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ind w:left="0"/>
        <w:rPr>
          <w:rFonts w:ascii="Times New Roman"/>
          <w:sz w:val="20"/>
        </w:rPr>
      </w:pPr>
    </w:p>
    <w:p>
      <w:pPr>
        <w:pStyle w:val="10"/>
        <w:ind w:left="0"/>
        <w:rPr>
          <w:rFonts w:ascii="Times New Roman"/>
          <w:sz w:val="28"/>
        </w:rPr>
      </w:pPr>
    </w:p>
    <w:p>
      <w:pPr>
        <w:pStyle w:val="25"/>
        <w:spacing w:line="480" w:lineRule="auto"/>
        <w:jc w:val="center"/>
        <w:rPr>
          <w:rFonts w:hint="eastAsia" w:ascii="宋体" w:hAnsi="宋体" w:cs="宋体"/>
          <w:b/>
          <w:color w:val="auto"/>
          <w:sz w:val="56"/>
          <w:szCs w:val="56"/>
        </w:rPr>
      </w:pPr>
      <w:r>
        <w:rPr>
          <w:rFonts w:hint="eastAsia" w:ascii="宋体" w:hAnsi="宋体" w:cs="宋体"/>
          <w:b/>
          <w:color w:val="auto"/>
          <w:sz w:val="56"/>
          <w:szCs w:val="56"/>
        </w:rPr>
        <w:t>新疆巴音郭楞蒙古自治州</w:t>
      </w:r>
    </w:p>
    <w:p>
      <w:pPr>
        <w:pStyle w:val="25"/>
        <w:spacing w:line="480" w:lineRule="auto"/>
        <w:jc w:val="center"/>
        <w:rPr>
          <w:rFonts w:hint="eastAsia" w:ascii="宋体" w:hAnsi="宋体" w:cs="宋体"/>
          <w:b/>
          <w:color w:val="auto"/>
          <w:sz w:val="56"/>
          <w:szCs w:val="56"/>
        </w:rPr>
      </w:pPr>
      <w:r>
        <w:rPr>
          <w:rFonts w:hint="eastAsia" w:ascii="宋体" w:hAnsi="宋体" w:cs="宋体"/>
          <w:b/>
          <w:color w:val="auto"/>
          <w:sz w:val="56"/>
          <w:szCs w:val="56"/>
        </w:rPr>
        <w:t>政府采购</w:t>
      </w:r>
    </w:p>
    <w:p>
      <w:pPr>
        <w:pStyle w:val="25"/>
        <w:spacing w:line="360" w:lineRule="auto"/>
        <w:jc w:val="center"/>
        <w:rPr>
          <w:rFonts w:hint="eastAsia" w:ascii="宋体" w:hAnsi="宋体" w:cs="宋体"/>
          <w:color w:val="auto"/>
          <w:sz w:val="48"/>
        </w:rPr>
      </w:pPr>
    </w:p>
    <w:p>
      <w:pPr>
        <w:pStyle w:val="25"/>
        <w:spacing w:line="360" w:lineRule="auto"/>
        <w:rPr>
          <w:rFonts w:hint="eastAsia" w:ascii="宋体" w:hAnsi="宋体" w:cs="宋体"/>
          <w:color w:val="auto"/>
          <w:sz w:val="32"/>
        </w:rPr>
      </w:pPr>
    </w:p>
    <w:p>
      <w:pPr>
        <w:pStyle w:val="25"/>
        <w:spacing w:line="360" w:lineRule="auto"/>
        <w:rPr>
          <w:rFonts w:hint="eastAsia" w:ascii="宋体" w:hAnsi="宋体" w:cs="宋体"/>
          <w:color w:val="auto"/>
          <w:sz w:val="32"/>
        </w:rPr>
      </w:pPr>
    </w:p>
    <w:p>
      <w:pPr>
        <w:pStyle w:val="25"/>
        <w:spacing w:line="360" w:lineRule="auto"/>
        <w:jc w:val="center"/>
        <w:rPr>
          <w:rFonts w:hint="eastAsia" w:ascii="宋体" w:hAnsi="宋体" w:cs="宋体"/>
          <w:b/>
          <w:color w:val="auto"/>
          <w:sz w:val="96"/>
          <w:szCs w:val="96"/>
        </w:rPr>
      </w:pPr>
      <w:r>
        <w:rPr>
          <w:rFonts w:hint="eastAsia" w:ascii="宋体" w:hAnsi="宋体" w:cs="宋体"/>
          <w:b/>
          <w:color w:val="auto"/>
          <w:sz w:val="96"/>
          <w:szCs w:val="96"/>
        </w:rPr>
        <w:t>招标文件</w:t>
      </w:r>
    </w:p>
    <w:p>
      <w:pPr>
        <w:pStyle w:val="25"/>
        <w:spacing w:line="360" w:lineRule="auto"/>
        <w:rPr>
          <w:rFonts w:hint="eastAsia" w:ascii="宋体" w:hAnsi="宋体" w:cs="宋体"/>
          <w:color w:val="auto"/>
          <w:sz w:val="32"/>
        </w:rPr>
      </w:pPr>
      <w:r>
        <w:rPr>
          <w:rFonts w:hint="eastAsia" w:ascii="宋体" w:hAnsi="宋体" w:cs="宋体"/>
          <w:color w:val="auto"/>
          <w:sz w:val="32"/>
        </w:rPr>
        <w:t xml:space="preserve">                                               </w:t>
      </w:r>
    </w:p>
    <w:p>
      <w:pPr>
        <w:pStyle w:val="25"/>
        <w:spacing w:line="360" w:lineRule="auto"/>
        <w:ind w:firstLine="1920" w:firstLineChars="600"/>
        <w:rPr>
          <w:rFonts w:hint="eastAsia" w:ascii="宋体" w:hAnsi="宋体" w:cs="宋体"/>
          <w:color w:val="auto"/>
          <w:sz w:val="32"/>
        </w:rPr>
      </w:pPr>
    </w:p>
    <w:p>
      <w:pPr>
        <w:pStyle w:val="25"/>
        <w:spacing w:line="360" w:lineRule="auto"/>
        <w:ind w:firstLine="1920" w:firstLineChars="600"/>
        <w:rPr>
          <w:rFonts w:hint="eastAsia" w:ascii="宋体" w:hAnsi="宋体" w:cs="宋体"/>
          <w:color w:val="auto"/>
          <w:sz w:val="32"/>
        </w:rPr>
      </w:pPr>
    </w:p>
    <w:p>
      <w:pPr>
        <w:pStyle w:val="25"/>
        <w:spacing w:line="360" w:lineRule="auto"/>
        <w:ind w:firstLine="1920" w:firstLineChars="600"/>
        <w:rPr>
          <w:rFonts w:hint="eastAsia" w:ascii="宋体" w:hAnsi="宋体" w:cs="宋体"/>
          <w:color w:val="auto"/>
          <w:sz w:val="32"/>
        </w:rPr>
      </w:pPr>
    </w:p>
    <w:p>
      <w:pPr>
        <w:spacing w:line="420" w:lineRule="exact"/>
        <w:ind w:left="3844" w:leftChars="725" w:hanging="2249" w:hangingChars="700"/>
        <w:jc w:val="left"/>
        <w:rPr>
          <w:rFonts w:hint="eastAsia" w:ascii="宋体" w:hAnsi="宋体" w:eastAsia="宋体" w:cs="宋体"/>
          <w:b/>
          <w:color w:val="auto"/>
          <w:kern w:val="0"/>
          <w:sz w:val="32"/>
          <w:szCs w:val="31"/>
          <w:lang w:val="en-US" w:eastAsia="zh-CN" w:bidi="ar-SA"/>
        </w:rPr>
      </w:pPr>
      <w:r>
        <w:rPr>
          <w:rFonts w:hint="eastAsia" w:ascii="宋体" w:hAnsi="宋体" w:cs="宋体"/>
          <w:b/>
          <w:color w:val="auto"/>
          <w:sz w:val="32"/>
          <w:szCs w:val="31"/>
        </w:rPr>
        <w:t>采购项目名称：</w:t>
      </w:r>
      <w:r>
        <w:rPr>
          <w:rFonts w:hint="eastAsia" w:ascii="宋体" w:hAnsi="宋体" w:cs="宋体"/>
          <w:b/>
          <w:color w:val="auto"/>
          <w:sz w:val="32"/>
          <w:szCs w:val="31"/>
          <w:lang w:val="en-US" w:eastAsia="zh-CN"/>
        </w:rPr>
        <w:t>和硕县消防救援能力提升基础设施建设及车辆装备购置项目</w:t>
      </w:r>
      <w:r>
        <w:rPr>
          <w:rFonts w:hint="eastAsia" w:cs="宋体"/>
          <w:b/>
          <w:color w:val="auto"/>
          <w:sz w:val="32"/>
          <w:szCs w:val="31"/>
          <w:lang w:val="en-US" w:eastAsia="zh-CN"/>
        </w:rPr>
        <w:t>第三包</w:t>
      </w:r>
    </w:p>
    <w:p>
      <w:pPr>
        <w:pStyle w:val="25"/>
        <w:spacing w:line="360" w:lineRule="auto"/>
        <w:ind w:firstLine="1606" w:firstLineChars="500"/>
        <w:jc w:val="left"/>
        <w:rPr>
          <w:rFonts w:hint="eastAsia" w:ascii="宋体" w:hAnsi="宋体" w:eastAsia="宋体" w:cs="宋体"/>
          <w:b/>
          <w:color w:val="auto"/>
          <w:sz w:val="32"/>
          <w:szCs w:val="31"/>
          <w:lang w:eastAsia="zh-CN"/>
        </w:rPr>
      </w:pPr>
      <w:r>
        <w:rPr>
          <w:rFonts w:hint="eastAsia" w:ascii="宋体" w:hAnsi="宋体" w:cs="宋体"/>
          <w:b/>
          <w:color w:val="auto"/>
          <w:sz w:val="32"/>
          <w:szCs w:val="31"/>
        </w:rPr>
        <w:t xml:space="preserve">招 标 </w:t>
      </w:r>
      <w:r>
        <w:rPr>
          <w:rFonts w:hint="eastAsia" w:ascii="宋体" w:hAnsi="宋体" w:cs="宋体"/>
          <w:b/>
          <w:color w:val="auto"/>
          <w:sz w:val="32"/>
          <w:szCs w:val="31"/>
          <w:lang w:val="en-US" w:eastAsia="zh-CN"/>
        </w:rPr>
        <w:t>代 理</w:t>
      </w:r>
      <w:r>
        <w:rPr>
          <w:rFonts w:hint="eastAsia" w:ascii="宋体" w:hAnsi="宋体" w:cs="宋体"/>
          <w:b/>
          <w:color w:val="auto"/>
          <w:sz w:val="32"/>
          <w:szCs w:val="31"/>
        </w:rPr>
        <w:t>：</w:t>
      </w:r>
      <w:r>
        <w:rPr>
          <w:rFonts w:hint="eastAsia" w:ascii="宋体" w:hAnsi="宋体" w:cs="宋体"/>
          <w:b/>
          <w:color w:val="auto"/>
          <w:sz w:val="32"/>
          <w:szCs w:val="31"/>
          <w:lang w:eastAsia="zh-CN"/>
        </w:rPr>
        <w:t>新疆正聚方企业管理咨询有限公司</w:t>
      </w:r>
    </w:p>
    <w:p>
      <w:pPr>
        <w:pStyle w:val="25"/>
        <w:spacing w:line="360" w:lineRule="auto"/>
        <w:ind w:firstLine="1574" w:firstLineChars="490"/>
        <w:jc w:val="left"/>
        <w:rPr>
          <w:rFonts w:hint="eastAsia" w:ascii="宋体" w:hAnsi="宋体" w:cs="宋体"/>
          <w:b/>
          <w:color w:val="auto"/>
          <w:sz w:val="32"/>
          <w:szCs w:val="31"/>
        </w:rPr>
      </w:pPr>
      <w:r>
        <w:rPr>
          <w:rFonts w:hint="eastAsia" w:ascii="宋体" w:hAnsi="宋体" w:cs="宋体"/>
          <w:b/>
          <w:color w:val="auto"/>
          <w:sz w:val="32"/>
          <w:szCs w:val="31"/>
        </w:rPr>
        <w:t>招标文件编号：ZJFZFCG2022</w:t>
      </w:r>
      <w:r>
        <w:rPr>
          <w:rFonts w:hint="eastAsia" w:ascii="宋体" w:hAnsi="宋体" w:cs="宋体"/>
          <w:b/>
          <w:color w:val="auto"/>
          <w:sz w:val="32"/>
          <w:szCs w:val="31"/>
          <w:lang w:val="en-US" w:eastAsia="zh-CN"/>
        </w:rPr>
        <w:t>-</w:t>
      </w:r>
      <w:r>
        <w:rPr>
          <w:rFonts w:hint="default" w:ascii="宋体" w:hAnsi="宋体" w:cs="宋体"/>
          <w:b/>
          <w:color w:val="auto"/>
          <w:sz w:val="32"/>
          <w:szCs w:val="31"/>
          <w:lang w:val="en-US"/>
        </w:rPr>
        <w:t>00</w:t>
      </w:r>
      <w:r>
        <w:rPr>
          <w:rFonts w:hint="eastAsia" w:ascii="宋体" w:hAnsi="宋体" w:cs="宋体"/>
          <w:b/>
          <w:color w:val="auto"/>
          <w:sz w:val="32"/>
          <w:szCs w:val="31"/>
          <w:lang w:val="en-US" w:eastAsia="zh-CN"/>
        </w:rPr>
        <w:t>7</w:t>
      </w:r>
      <w:r>
        <w:rPr>
          <w:rFonts w:hint="eastAsia" w:ascii="宋体" w:hAnsi="宋体" w:cs="宋体"/>
          <w:b/>
          <w:color w:val="auto"/>
          <w:sz w:val="32"/>
          <w:szCs w:val="31"/>
        </w:rPr>
        <w:t>号</w:t>
      </w:r>
    </w:p>
    <w:p>
      <w:pPr>
        <w:pStyle w:val="25"/>
        <w:spacing w:line="360" w:lineRule="auto"/>
        <w:ind w:firstLine="1574" w:firstLineChars="490"/>
        <w:jc w:val="left"/>
        <w:rPr>
          <w:rFonts w:hint="eastAsia" w:ascii="宋体" w:hAnsi="宋体" w:eastAsia="宋体" w:cs="宋体"/>
          <w:color w:val="auto"/>
          <w:sz w:val="30"/>
          <w:szCs w:val="30"/>
          <w:lang w:val="en-US" w:eastAsia="zh-CN"/>
        </w:rPr>
      </w:pPr>
      <w:r>
        <w:rPr>
          <w:rFonts w:hint="eastAsia" w:ascii="宋体" w:hAnsi="宋体" w:cs="宋体"/>
          <w:b/>
          <w:color w:val="auto"/>
          <w:sz w:val="32"/>
          <w:szCs w:val="31"/>
        </w:rPr>
        <w:t>采购单位：</w:t>
      </w:r>
      <w:r>
        <w:rPr>
          <w:rFonts w:hint="eastAsia" w:ascii="宋体" w:hAnsi="宋体" w:cs="宋体"/>
          <w:b/>
          <w:color w:val="auto"/>
          <w:sz w:val="32"/>
          <w:szCs w:val="31"/>
          <w:lang w:eastAsia="zh-CN"/>
        </w:rPr>
        <w:t>和硕县应急管理局</w:t>
      </w:r>
    </w:p>
    <w:p>
      <w:pPr>
        <w:pStyle w:val="25"/>
        <w:spacing w:line="360" w:lineRule="auto"/>
        <w:ind w:firstLine="1574" w:firstLineChars="490"/>
        <w:jc w:val="left"/>
        <w:rPr>
          <w:rFonts w:hint="eastAsia" w:ascii="宋体" w:hAnsi="宋体" w:cs="宋体"/>
          <w:b/>
          <w:color w:val="auto"/>
          <w:sz w:val="32"/>
          <w:szCs w:val="31"/>
        </w:rPr>
      </w:pPr>
      <w:r>
        <w:rPr>
          <w:rFonts w:hint="eastAsia" w:ascii="宋体" w:hAnsi="宋体" w:cs="宋体"/>
          <w:b/>
          <w:color w:val="auto"/>
          <w:sz w:val="32"/>
          <w:szCs w:val="31"/>
        </w:rPr>
        <w:t>采购单位代表确认（签字）：</w:t>
      </w:r>
    </w:p>
    <w:p>
      <w:pPr>
        <w:tabs>
          <w:tab w:val="left" w:pos="964"/>
        </w:tabs>
        <w:spacing w:before="118"/>
        <w:ind w:left="0" w:right="610" w:firstLine="0"/>
        <w:jc w:val="center"/>
        <w:rPr>
          <w:b/>
          <w:sz w:val="32"/>
        </w:rPr>
      </w:pPr>
    </w:p>
    <w:p>
      <w:pPr>
        <w:tabs>
          <w:tab w:val="left" w:pos="964"/>
        </w:tabs>
        <w:spacing w:before="118"/>
        <w:ind w:left="0" w:right="610" w:firstLine="0"/>
        <w:jc w:val="center"/>
        <w:rPr>
          <w:b/>
          <w:sz w:val="32"/>
        </w:rPr>
      </w:pPr>
      <w:r>
        <w:rPr>
          <w:b/>
          <w:sz w:val="32"/>
        </w:rPr>
        <w:t>目</w:t>
      </w:r>
      <w:r>
        <w:rPr>
          <w:b/>
          <w:sz w:val="32"/>
        </w:rPr>
        <w:tab/>
      </w:r>
      <w:r>
        <w:rPr>
          <w:b/>
          <w:sz w:val="32"/>
        </w:rPr>
        <w:t>录</w:t>
      </w:r>
    </w:p>
    <w:p>
      <w:pPr>
        <w:spacing w:before="186" w:line="364" w:lineRule="auto"/>
        <w:ind w:left="1386" w:right="7552" w:hanging="480"/>
        <w:jc w:val="left"/>
        <w:rPr>
          <w:sz w:val="24"/>
        </w:rPr>
      </w:pPr>
      <w:r>
        <w:rPr>
          <w:b/>
          <w:spacing w:val="-3"/>
          <w:sz w:val="24"/>
        </w:rPr>
        <w:t>第一部分 招标公告</w:t>
      </w:r>
      <w:r>
        <w:rPr>
          <w:sz w:val="24"/>
        </w:rPr>
        <w:t>招标公告</w:t>
      </w:r>
    </w:p>
    <w:p>
      <w:pPr>
        <w:spacing w:before="1" w:line="364" w:lineRule="auto"/>
        <w:ind w:left="1357" w:right="7552" w:hanging="452"/>
        <w:jc w:val="left"/>
        <w:rPr>
          <w:sz w:val="24"/>
        </w:rPr>
      </w:pPr>
      <w:r>
        <w:rPr>
          <w:b/>
          <w:spacing w:val="-3"/>
          <w:sz w:val="24"/>
        </w:rPr>
        <w:t>第二部分 投标须知</w:t>
      </w:r>
      <w:r>
        <w:rPr>
          <w:sz w:val="24"/>
        </w:rPr>
        <w:t>投标须知</w:t>
      </w:r>
    </w:p>
    <w:p>
      <w:pPr>
        <w:pStyle w:val="5"/>
        <w:spacing w:line="364" w:lineRule="auto"/>
        <w:ind w:left="877" w:right="7581"/>
      </w:pPr>
      <w:r>
        <w:t>第三部分 招标说明第四部分 投标说明</w:t>
      </w:r>
    </w:p>
    <w:p>
      <w:pPr>
        <w:pStyle w:val="10"/>
        <w:spacing w:line="364" w:lineRule="auto"/>
        <w:ind w:left="1357" w:right="6146"/>
      </w:pPr>
      <w:r>
        <w:t>第一章 对投标方的资质要求第二章 投标文件的编写</w:t>
      </w:r>
    </w:p>
    <w:p>
      <w:pPr>
        <w:pStyle w:val="10"/>
        <w:spacing w:before="2" w:line="364" w:lineRule="auto"/>
        <w:ind w:left="1357" w:right="6626"/>
      </w:pPr>
      <w:r>
        <w:t>第三章 投标文件的递交第四章 评标委员会</w:t>
      </w:r>
    </w:p>
    <w:p>
      <w:pPr>
        <w:tabs>
          <w:tab w:val="left" w:pos="2677"/>
        </w:tabs>
        <w:spacing w:before="1" w:line="364" w:lineRule="auto"/>
        <w:ind w:left="1357" w:right="6376" w:hanging="480"/>
        <w:jc w:val="left"/>
        <w:rPr>
          <w:sz w:val="24"/>
        </w:rPr>
      </w:pPr>
      <w:r>
        <w:rPr>
          <w:b/>
          <w:sz w:val="24"/>
        </w:rPr>
        <w:t>第五部分</w:t>
      </w:r>
      <w:r>
        <w:rPr>
          <w:b/>
          <w:spacing w:val="-4"/>
          <w:sz w:val="24"/>
        </w:rPr>
        <w:t xml:space="preserve"> </w:t>
      </w:r>
      <w:r>
        <w:rPr>
          <w:b/>
          <w:sz w:val="24"/>
        </w:rPr>
        <w:t>开标</w:t>
      </w:r>
      <w:r>
        <w:rPr>
          <w:b/>
          <w:spacing w:val="-1"/>
          <w:sz w:val="24"/>
        </w:rPr>
        <w:t xml:space="preserve"> </w:t>
      </w:r>
      <w:r>
        <w:rPr>
          <w:b/>
          <w:sz w:val="24"/>
        </w:rPr>
        <w:t>评标</w:t>
      </w:r>
      <w:r>
        <w:rPr>
          <w:b/>
          <w:spacing w:val="-1"/>
          <w:sz w:val="24"/>
        </w:rPr>
        <w:t xml:space="preserve"> </w:t>
      </w:r>
      <w:r>
        <w:rPr>
          <w:b/>
          <w:sz w:val="24"/>
        </w:rPr>
        <w:t>定标说</w:t>
      </w:r>
      <w:r>
        <w:rPr>
          <w:b/>
          <w:spacing w:val="-15"/>
          <w:sz w:val="24"/>
        </w:rPr>
        <w:t>明</w:t>
      </w:r>
      <w:r>
        <w:rPr>
          <w:sz w:val="24"/>
        </w:rPr>
        <w:t>第一章 开</w:t>
      </w:r>
      <w:r>
        <w:rPr>
          <w:sz w:val="24"/>
        </w:rPr>
        <w:tab/>
      </w:r>
      <w:r>
        <w:rPr>
          <w:sz w:val="24"/>
        </w:rPr>
        <w:t>标</w:t>
      </w:r>
    </w:p>
    <w:p>
      <w:pPr>
        <w:pStyle w:val="10"/>
        <w:tabs>
          <w:tab w:val="left" w:pos="2677"/>
        </w:tabs>
        <w:spacing w:line="364" w:lineRule="auto"/>
        <w:ind w:left="1357" w:right="7346"/>
      </w:pPr>
      <w:r>
        <w:t>第二章 评</w:t>
      </w:r>
      <w:r>
        <w:tab/>
      </w:r>
      <w:r>
        <w:t>标 第三章 定</w:t>
      </w:r>
      <w:r>
        <w:tab/>
      </w:r>
      <w:r>
        <w:t>标 第四章 授予合</w:t>
      </w:r>
      <w:r>
        <w:rPr>
          <w:spacing w:val="-17"/>
        </w:rPr>
        <w:t>同</w:t>
      </w:r>
    </w:p>
    <w:p>
      <w:pPr>
        <w:spacing w:before="2" w:line="364" w:lineRule="auto"/>
        <w:ind w:left="1357" w:right="5894" w:hanging="480"/>
        <w:jc w:val="left"/>
        <w:rPr>
          <w:sz w:val="24"/>
        </w:rPr>
      </w:pPr>
      <w:r>
        <w:rPr>
          <w:b/>
          <w:sz w:val="24"/>
        </w:rPr>
        <w:t>第六部分 货物需求、技术规格说明</w:t>
      </w:r>
      <w:r>
        <w:rPr>
          <w:sz w:val="24"/>
        </w:rPr>
        <w:t>第一章 技术规格及报价明细表</w:t>
      </w:r>
    </w:p>
    <w:p>
      <w:pPr>
        <w:pStyle w:val="5"/>
        <w:ind w:left="877"/>
      </w:pPr>
      <w:r>
        <w:t>第七部分 商务部分</w:t>
      </w:r>
    </w:p>
    <w:p>
      <w:pPr>
        <w:pStyle w:val="10"/>
        <w:spacing w:before="161" w:line="364" w:lineRule="auto"/>
        <w:ind w:left="1357" w:right="6626"/>
      </w:pPr>
      <w:r>
        <w:t>第一章 合同一般条款</w:t>
      </w:r>
    </w:p>
    <w:p>
      <w:pPr>
        <w:pStyle w:val="10"/>
        <w:spacing w:before="161" w:line="364" w:lineRule="auto"/>
        <w:ind w:left="1357" w:right="6626"/>
      </w:pPr>
      <w:r>
        <w:t>第二章 合同特殊条款</w:t>
      </w:r>
    </w:p>
    <w:p>
      <w:pPr>
        <w:pStyle w:val="10"/>
        <w:spacing w:before="161" w:line="364" w:lineRule="auto"/>
        <w:ind w:left="1357" w:right="6626"/>
      </w:pPr>
      <w:r>
        <w:t>第三章 付款币种及方式第四章 售后服务承诺</w:t>
      </w:r>
    </w:p>
    <w:p>
      <w:pPr>
        <w:tabs>
          <w:tab w:val="left" w:pos="2079"/>
        </w:tabs>
        <w:spacing w:before="2" w:line="364" w:lineRule="auto"/>
        <w:ind w:left="1235" w:right="6148" w:hanging="358"/>
        <w:jc w:val="left"/>
        <w:rPr>
          <w:sz w:val="24"/>
        </w:rPr>
      </w:pPr>
      <w:r>
        <w:rPr>
          <w:b/>
          <w:sz w:val="24"/>
        </w:rPr>
        <w:t>第八部分</w:t>
      </w:r>
      <w:r>
        <w:rPr>
          <w:b/>
          <w:sz w:val="24"/>
        </w:rPr>
        <w:tab/>
      </w:r>
      <w:r>
        <w:rPr>
          <w:b/>
          <w:sz w:val="24"/>
        </w:rPr>
        <w:t>投标文件的编制装订</w:t>
      </w:r>
      <w:r>
        <w:rPr>
          <w:sz w:val="24"/>
        </w:rPr>
        <w:t>一、投标文件编制和装订顺</w:t>
      </w:r>
      <w:r>
        <w:rPr>
          <w:spacing w:val="-17"/>
          <w:sz w:val="24"/>
        </w:rPr>
        <w:t>序</w:t>
      </w:r>
    </w:p>
    <w:p>
      <w:pPr>
        <w:pStyle w:val="10"/>
        <w:ind w:left="1237"/>
      </w:pPr>
      <w:r>
        <w:t>二、投标报价文件顺序及格式范本</w:t>
      </w:r>
    </w:p>
    <w:p>
      <w:pPr>
        <w:spacing w:after="0"/>
        <w:sectPr>
          <w:headerReference r:id="rId5" w:type="default"/>
          <w:footerReference r:id="rId6" w:type="default"/>
          <w:pgSz w:w="11910" w:h="16840"/>
          <w:pgMar w:top="1420" w:right="240" w:bottom="1180" w:left="1160" w:header="878" w:footer="993" w:gutter="0"/>
          <w:pgNumType w:fmt="decimal" w:start="2"/>
          <w:cols w:space="720" w:num="1"/>
        </w:sectPr>
      </w:pPr>
    </w:p>
    <w:p>
      <w:pPr>
        <w:pStyle w:val="3"/>
        <w:numPr>
          <w:ilvl w:val="0"/>
          <w:numId w:val="1"/>
        </w:numPr>
        <w:ind w:left="4180" w:leftChars="0" w:firstLine="0" w:firstLineChars="0"/>
        <w:jc w:val="both"/>
      </w:pPr>
      <w:r>
        <w:t>招标公告</w:t>
      </w:r>
    </w:p>
    <w:p>
      <w:pPr>
        <w:spacing w:line="240" w:lineRule="auto"/>
        <w:ind w:left="0" w:leftChars="0" w:firstLine="0" w:firstLineChars="0"/>
        <w:jc w:val="center"/>
        <w:rPr>
          <w:rFonts w:hint="eastAsia" w:ascii="宋体" w:hAnsi="宋体" w:cs="宋体"/>
          <w:b/>
          <w:color w:val="auto"/>
          <w:sz w:val="32"/>
          <w:szCs w:val="31"/>
          <w:lang w:val="en-US" w:eastAsia="zh-CN"/>
        </w:rPr>
      </w:pPr>
    </w:p>
    <w:p>
      <w:pPr>
        <w:spacing w:line="240" w:lineRule="auto"/>
        <w:ind w:left="0" w:leftChars="0" w:firstLine="0" w:firstLineChars="0"/>
        <w:jc w:val="center"/>
        <w:rPr>
          <w:rFonts w:hint="eastAsia" w:cs="宋体"/>
          <w:b/>
          <w:color w:val="auto"/>
          <w:sz w:val="32"/>
          <w:szCs w:val="31"/>
          <w:lang w:val="en-US" w:eastAsia="zh-CN"/>
        </w:rPr>
      </w:pPr>
      <w:r>
        <w:rPr>
          <w:rFonts w:hint="eastAsia" w:ascii="宋体" w:hAnsi="宋体" w:cs="宋体"/>
          <w:b/>
          <w:color w:val="auto"/>
          <w:sz w:val="32"/>
          <w:szCs w:val="31"/>
          <w:lang w:val="en-US" w:eastAsia="zh-CN"/>
        </w:rPr>
        <w:t>和硕县消防救援能力提升基础设施建设及车辆装备购置项目</w:t>
      </w:r>
      <w:r>
        <w:rPr>
          <w:rFonts w:hint="eastAsia" w:cs="宋体"/>
          <w:b/>
          <w:color w:val="auto"/>
          <w:sz w:val="32"/>
          <w:szCs w:val="31"/>
          <w:lang w:val="en-US" w:eastAsia="zh-CN"/>
        </w:rPr>
        <w:t>第三包</w:t>
      </w:r>
    </w:p>
    <w:p>
      <w:pPr>
        <w:spacing w:line="240" w:lineRule="auto"/>
        <w:ind w:left="0" w:leftChars="0" w:firstLine="0" w:firstLineChars="0"/>
        <w:jc w:val="center"/>
        <w:rPr>
          <w:rFonts w:hint="eastAsia" w:ascii="宋体" w:hAnsi="宋体" w:cs="宋体"/>
          <w:b/>
          <w:color w:val="auto"/>
          <w:kern w:val="0"/>
          <w:sz w:val="32"/>
          <w:szCs w:val="31"/>
          <w:lang w:val="en-US" w:eastAsia="zh-CN" w:bidi="ar-SA"/>
        </w:rPr>
      </w:pPr>
      <w:r>
        <w:rPr>
          <w:rFonts w:hint="eastAsia" w:ascii="宋体" w:hAnsi="宋体" w:cs="宋体"/>
          <w:b/>
          <w:color w:val="auto"/>
          <w:kern w:val="0"/>
          <w:sz w:val="32"/>
          <w:szCs w:val="31"/>
          <w:lang w:val="en-US" w:eastAsia="zh-CN" w:bidi="ar-SA"/>
        </w:rPr>
        <w:t>招标采购公告</w:t>
      </w:r>
    </w:p>
    <w:p>
      <w:pPr>
        <w:pStyle w:val="17"/>
        <w:spacing w:after="0"/>
        <w:ind w:left="0" w:leftChars="0" w:firstLine="0" w:firstLineChars="0"/>
      </w:pPr>
    </w:p>
    <w:p>
      <w:pPr>
        <w:ind w:firstLine="2409" w:firstLineChars="1000"/>
        <w:rPr>
          <w:rFonts w:hint="default" w:ascii="宋体" w:hAnsi="宋体" w:eastAsia="宋体" w:cs="宋体"/>
          <w:b/>
          <w:bCs/>
          <w:color w:val="auto"/>
          <w:kern w:val="0"/>
          <w:sz w:val="24"/>
          <w:szCs w:val="24"/>
          <w:lang w:val="en-US" w:eastAsia="zh-CN" w:bidi="zh-CN"/>
        </w:rPr>
      </w:pPr>
      <w:r>
        <w:rPr>
          <w:rFonts w:hint="eastAsia" w:ascii="宋体" w:hAnsi="宋体" w:eastAsia="宋体" w:cs="宋体"/>
          <w:b/>
          <w:bCs/>
          <w:color w:val="auto"/>
          <w:kern w:val="0"/>
          <w:sz w:val="24"/>
          <w:szCs w:val="24"/>
          <w:lang w:val="zh-CN" w:eastAsia="zh-CN" w:bidi="zh-CN"/>
        </w:rPr>
        <w:t>招标文件编号：ZJFZFCG202</w:t>
      </w:r>
      <w:r>
        <w:rPr>
          <w:rFonts w:hint="eastAsia" w:ascii="宋体" w:hAnsi="宋体" w:eastAsia="宋体" w:cs="宋体"/>
          <w:b/>
          <w:bCs/>
          <w:color w:val="auto"/>
          <w:kern w:val="0"/>
          <w:sz w:val="24"/>
          <w:szCs w:val="24"/>
          <w:lang w:val="en-US" w:eastAsia="zh-CN" w:bidi="zh-CN"/>
        </w:rPr>
        <w:t>2</w:t>
      </w:r>
      <w:r>
        <w:rPr>
          <w:rFonts w:hint="default" w:cs="宋体"/>
          <w:b/>
          <w:bCs/>
          <w:color w:val="auto"/>
          <w:kern w:val="0"/>
          <w:sz w:val="24"/>
          <w:szCs w:val="24"/>
          <w:lang w:val="en-US" w:eastAsia="zh-CN" w:bidi="zh-CN"/>
        </w:rPr>
        <w:t>-00</w:t>
      </w:r>
      <w:r>
        <w:rPr>
          <w:rFonts w:hint="eastAsia" w:cs="宋体"/>
          <w:b/>
          <w:bCs/>
          <w:color w:val="auto"/>
          <w:kern w:val="0"/>
          <w:sz w:val="24"/>
          <w:szCs w:val="24"/>
          <w:lang w:val="en-US" w:eastAsia="zh-CN" w:bidi="zh-CN"/>
        </w:rPr>
        <w:t>7号</w:t>
      </w:r>
    </w:p>
    <w:p>
      <w:pPr>
        <w:ind w:firstLine="1988" w:firstLineChars="900"/>
        <w:rPr>
          <w:rFonts w:ascii="宋体" w:hAnsi="宋体" w:eastAsia="宋体" w:cs="宋体"/>
          <w:b/>
          <w:bCs/>
        </w:rPr>
      </w:pPr>
    </w:p>
    <w:p>
      <w:pPr>
        <w:pStyle w:val="10"/>
        <w:spacing w:before="160" w:line="360" w:lineRule="auto"/>
        <w:ind w:left="0" w:leftChars="0" w:firstLine="0" w:firstLineChars="0"/>
        <w:jc w:val="both"/>
      </w:pPr>
      <w:r>
        <w:t>项目概况</w:t>
      </w:r>
    </w:p>
    <w:p>
      <w:pPr>
        <w:pStyle w:val="10"/>
        <w:spacing w:before="160" w:line="360" w:lineRule="auto"/>
        <w:ind w:left="0" w:leftChars="0" w:firstLine="0" w:firstLineChars="0"/>
        <w:jc w:val="both"/>
      </w:pPr>
      <w:r>
        <w:rPr>
          <w:rFonts w:hint="eastAsia"/>
        </w:rPr>
        <w:t>和硕县消防救援能力提升基础设施建设及车辆装备购置项目</w:t>
      </w:r>
      <w:r>
        <w:rPr>
          <w:rFonts w:hint="eastAsia"/>
          <w:lang w:eastAsia="zh-CN"/>
        </w:rPr>
        <w:t>第三包</w:t>
      </w:r>
      <w:r>
        <w:rPr>
          <w:rFonts w:hint="eastAsia"/>
        </w:rPr>
        <w:t>的潜在投标人应在政采云平台获取招标文件获取招标文件，并于2022年</w:t>
      </w:r>
      <w:r>
        <w:rPr>
          <w:rFonts w:hint="eastAsia"/>
          <w:lang w:val="en-US" w:eastAsia="zh-CN"/>
        </w:rPr>
        <w:t>08</w:t>
      </w:r>
      <w:r>
        <w:rPr>
          <w:rFonts w:hint="eastAsia"/>
        </w:rPr>
        <w:t>月</w:t>
      </w:r>
      <w:r>
        <w:rPr>
          <w:rFonts w:hint="eastAsia"/>
          <w:lang w:val="en-US" w:eastAsia="zh-CN"/>
        </w:rPr>
        <w:t>23</w:t>
      </w:r>
      <w:r>
        <w:rPr>
          <w:rFonts w:hint="eastAsia"/>
        </w:rPr>
        <w:t>日 1</w:t>
      </w:r>
      <w:r>
        <w:rPr>
          <w:rFonts w:hint="eastAsia"/>
          <w:lang w:val="en-US" w:eastAsia="zh-CN"/>
        </w:rPr>
        <w:t>0</w:t>
      </w:r>
      <w:r>
        <w:rPr>
          <w:rFonts w:hint="eastAsia"/>
        </w:rPr>
        <w:t>:</w:t>
      </w:r>
      <w:r>
        <w:rPr>
          <w:rFonts w:hint="eastAsia"/>
          <w:lang w:val="en-US" w:eastAsia="zh-CN"/>
        </w:rPr>
        <w:t>30</w:t>
      </w:r>
      <w:r>
        <w:rPr>
          <w:rFonts w:hint="eastAsia"/>
        </w:rPr>
        <w:t>（北京时间）前递交投标文件。</w:t>
      </w:r>
    </w:p>
    <w:p>
      <w:pPr>
        <w:pStyle w:val="10"/>
        <w:spacing w:before="160" w:line="360" w:lineRule="auto"/>
        <w:ind w:left="0" w:leftChars="0" w:firstLine="0" w:firstLineChars="0"/>
        <w:jc w:val="both"/>
      </w:pPr>
      <w:r>
        <w:t>一、项目基本情况</w:t>
      </w:r>
    </w:p>
    <w:p>
      <w:pPr>
        <w:pStyle w:val="10"/>
        <w:spacing w:before="160" w:line="360" w:lineRule="auto"/>
        <w:ind w:left="0" w:leftChars="0" w:firstLine="0" w:firstLineChars="0"/>
        <w:jc w:val="both"/>
        <w:rPr>
          <w:rFonts w:hint="eastAsia"/>
        </w:rPr>
      </w:pPr>
      <w:r>
        <w:rPr>
          <w:rFonts w:hint="eastAsia"/>
        </w:rPr>
        <w:t>项目编号：</w:t>
      </w:r>
    </w:p>
    <w:p>
      <w:pPr>
        <w:pStyle w:val="10"/>
        <w:spacing w:before="160" w:line="360" w:lineRule="auto"/>
        <w:ind w:left="0" w:leftChars="0" w:firstLine="0" w:firstLineChars="0"/>
        <w:jc w:val="both"/>
        <w:rPr>
          <w:rFonts w:hint="eastAsia"/>
          <w:color w:val="auto"/>
          <w:lang w:val="en-US" w:eastAsia="zh-CN"/>
        </w:rPr>
      </w:pPr>
      <w:r>
        <w:rPr>
          <w:rFonts w:hint="eastAsia"/>
          <w:color w:val="auto"/>
          <w:lang w:val="en-US" w:eastAsia="zh-CN"/>
        </w:rPr>
        <w:t>标项三</w:t>
      </w:r>
    </w:p>
    <w:p>
      <w:pPr>
        <w:pStyle w:val="10"/>
        <w:spacing w:before="160" w:line="360" w:lineRule="auto"/>
        <w:ind w:left="0" w:leftChars="0" w:firstLine="0" w:firstLineChars="0"/>
        <w:jc w:val="both"/>
        <w:rPr>
          <w:rFonts w:hint="eastAsia"/>
          <w:color w:val="auto"/>
        </w:rPr>
      </w:pPr>
      <w:r>
        <w:rPr>
          <w:rFonts w:hint="eastAsia"/>
          <w:color w:val="auto"/>
          <w:lang w:val="en-US" w:eastAsia="zh-CN"/>
        </w:rPr>
        <w:t>标项名称:和硕县消防救援能力提升基础设施建设及车辆装备购置项目第三包</w:t>
      </w:r>
    </w:p>
    <w:p>
      <w:pPr>
        <w:pStyle w:val="10"/>
        <w:spacing w:before="160" w:line="360" w:lineRule="auto"/>
        <w:ind w:left="0" w:leftChars="0" w:firstLine="0" w:firstLineChars="0"/>
        <w:jc w:val="both"/>
        <w:rPr>
          <w:rFonts w:hint="eastAsia"/>
          <w:color w:val="auto"/>
        </w:rPr>
      </w:pPr>
      <w:r>
        <w:rPr>
          <w:rFonts w:hint="eastAsia"/>
          <w:color w:val="auto"/>
          <w:lang w:val="en-US" w:eastAsia="zh-CN"/>
        </w:rPr>
        <w:t>数量：</w:t>
      </w:r>
      <w:r>
        <w:rPr>
          <w:rFonts w:hint="default"/>
          <w:color w:val="auto"/>
          <w:lang w:val="en-US" w:eastAsia="zh-CN"/>
        </w:rPr>
        <w:t>1</w:t>
      </w:r>
    </w:p>
    <w:p>
      <w:pPr>
        <w:pStyle w:val="10"/>
        <w:spacing w:before="160" w:line="360" w:lineRule="auto"/>
        <w:ind w:left="0" w:leftChars="0" w:firstLine="0" w:firstLineChars="0"/>
        <w:jc w:val="both"/>
        <w:rPr>
          <w:rFonts w:hint="eastAsia" w:eastAsia="宋体"/>
          <w:b/>
          <w:bCs/>
          <w:color w:val="auto"/>
          <w:lang w:val="en-US" w:eastAsia="zh-CN"/>
        </w:rPr>
      </w:pPr>
      <w:r>
        <w:rPr>
          <w:rFonts w:hint="default"/>
          <w:b/>
          <w:bCs/>
          <w:color w:val="auto"/>
          <w:lang w:val="en-US"/>
        </w:rPr>
        <w:t>预算金额（元）:1988100元；</w:t>
      </w:r>
    </w:p>
    <w:p>
      <w:pPr>
        <w:pStyle w:val="10"/>
        <w:spacing w:before="160" w:line="360" w:lineRule="auto"/>
        <w:ind w:left="0" w:leftChars="0" w:firstLine="0" w:firstLineChars="0"/>
        <w:jc w:val="both"/>
        <w:rPr>
          <w:rFonts w:hint="default" w:eastAsia="宋体"/>
          <w:color w:val="auto"/>
          <w:lang w:val="en-US" w:eastAsia="zh-CN"/>
        </w:rPr>
      </w:pPr>
      <w:r>
        <w:rPr>
          <w:rFonts w:hint="eastAsia"/>
          <w:color w:val="auto"/>
        </w:rPr>
        <w:t xml:space="preserve">  </w:t>
      </w:r>
      <w:r>
        <w:rPr>
          <w:rFonts w:hint="eastAsia"/>
          <w:color w:val="auto"/>
          <w:lang w:val="en-US" w:eastAsia="zh-CN"/>
        </w:rPr>
        <w:t xml:space="preserve"> </w:t>
      </w:r>
      <w:r>
        <w:rPr>
          <w:rFonts w:hint="eastAsia"/>
          <w:color w:val="auto"/>
        </w:rPr>
        <w:t> 简要规格描述或项目基本概况介绍、用途：破拆工具组</w:t>
      </w:r>
      <w:r>
        <w:rPr>
          <w:rFonts w:hint="eastAsia"/>
          <w:color w:val="auto"/>
          <w:lang w:eastAsia="zh-CN"/>
        </w:rPr>
        <w:t>、</w:t>
      </w:r>
      <w:r>
        <w:rPr>
          <w:rFonts w:hint="eastAsia"/>
          <w:color w:val="auto"/>
        </w:rPr>
        <w:t>单兵救援装备单人配置</w:t>
      </w:r>
      <w:r>
        <w:rPr>
          <w:rFonts w:hint="eastAsia"/>
          <w:color w:val="auto"/>
          <w:lang w:eastAsia="zh-CN"/>
        </w:rPr>
        <w:t>、单兵救援装备团队配置，</w:t>
      </w:r>
      <w:r>
        <w:rPr>
          <w:rFonts w:hint="eastAsia"/>
          <w:color w:val="auto"/>
          <w:highlight w:val="none"/>
          <w:u w:val="none"/>
          <w:lang w:eastAsia="zh-CN"/>
        </w:rPr>
        <w:t xml:space="preserve"> 危化品攻坚组器材</w:t>
      </w:r>
      <w:r>
        <w:rPr>
          <w:rFonts w:hint="eastAsia"/>
          <w:color w:val="auto"/>
          <w:highlight w:val="none"/>
          <w:u w:val="none"/>
          <w:lang w:val="en-US" w:eastAsia="zh-CN"/>
        </w:rPr>
        <w:t>等内容</w:t>
      </w:r>
      <w:r>
        <w:rPr>
          <w:rFonts w:hint="eastAsia"/>
          <w:color w:val="auto"/>
          <w:highlight w:val="none"/>
          <w:u w:val="none"/>
          <w:lang w:eastAsia="zh-CN"/>
        </w:rPr>
        <w:t>；</w:t>
      </w:r>
      <w:r>
        <w:rPr>
          <w:rFonts w:hint="eastAsia"/>
          <w:color w:val="auto"/>
          <w:lang w:val="en-US" w:eastAsia="zh-CN"/>
        </w:rPr>
        <w:t>详细内容祥见清单；</w:t>
      </w:r>
    </w:p>
    <w:p>
      <w:pPr>
        <w:pStyle w:val="11"/>
        <w:numPr>
          <w:ilvl w:val="0"/>
          <w:numId w:val="0"/>
        </w:numPr>
        <w:spacing w:before="160" w:line="360" w:lineRule="auto"/>
        <w:ind w:left="0" w:leftChars="0" w:firstLine="0" w:firstLineChars="0"/>
        <w:jc w:val="both"/>
      </w:pPr>
      <w:r>
        <w:rPr>
          <w:rFonts w:hint="default" w:eastAsia="宋体"/>
          <w:color w:val="auto"/>
          <w:lang w:val="en-US" w:eastAsia="zh-CN"/>
        </w:rPr>
        <w:t xml:space="preserve">  </w:t>
      </w:r>
      <w:r>
        <w:rPr>
          <w:rFonts w:hint="eastAsia"/>
          <w:color w:val="auto"/>
          <w:lang w:val="en-US" w:eastAsia="zh-CN"/>
        </w:rPr>
        <w:t>二</w:t>
      </w:r>
      <w:r>
        <w:t>、项目实施地点、供货时间、简要技术要求等：详见招标文件。</w:t>
      </w:r>
    </w:p>
    <w:p>
      <w:pPr>
        <w:pStyle w:val="10"/>
        <w:spacing w:before="161"/>
        <w:ind w:left="0" w:leftChars="0" w:firstLine="0" w:firstLineChars="0"/>
      </w:pPr>
      <w:r>
        <w:rPr>
          <w:rFonts w:hint="eastAsia"/>
          <w:lang w:eastAsia="zh-CN"/>
        </w:rPr>
        <w:t>三</w:t>
      </w:r>
      <w:r>
        <w:t>、供应商资质基本要求：</w:t>
      </w:r>
    </w:p>
    <w:p>
      <w:pPr>
        <w:pStyle w:val="10"/>
        <w:spacing w:before="161" w:line="360" w:lineRule="auto"/>
        <w:ind w:left="0" w:leftChars="0" w:firstLine="0" w:firstLineChars="0"/>
        <w:rPr>
          <w:sz w:val="24"/>
        </w:rPr>
      </w:pPr>
      <w:r>
        <w:rPr>
          <w:rFonts w:hint="eastAsia"/>
          <w:sz w:val="24"/>
          <w:lang w:val="en-US" w:eastAsia="zh-CN"/>
        </w:rPr>
        <w:t>1、</w:t>
      </w:r>
      <w:r>
        <w:rPr>
          <w:sz w:val="24"/>
        </w:rPr>
        <w:t>符合《中华人民共和国政府采购法》第二十二条的相关规定；</w:t>
      </w:r>
    </w:p>
    <w:p>
      <w:pPr>
        <w:pStyle w:val="2"/>
        <w:numPr>
          <w:ilvl w:val="0"/>
          <w:numId w:val="0"/>
        </w:numPr>
        <w:tabs>
          <w:tab w:val="left" w:pos="1479"/>
        </w:tabs>
        <w:spacing w:before="160" w:after="0" w:line="360" w:lineRule="auto"/>
        <w:ind w:right="0" w:rightChars="0"/>
        <w:jc w:val="left"/>
        <w:rPr>
          <w:sz w:val="24"/>
        </w:rPr>
      </w:pPr>
      <w:r>
        <w:rPr>
          <w:rFonts w:hint="eastAsia"/>
          <w:sz w:val="24"/>
          <w:lang w:val="en-US" w:eastAsia="zh-CN"/>
        </w:rPr>
        <w:t>2、</w:t>
      </w:r>
      <w:r>
        <w:rPr>
          <w:sz w:val="24"/>
        </w:rPr>
        <w:t>有效的“三证合一”的营业执照，且具备所投标的经营范围；</w:t>
      </w:r>
    </w:p>
    <w:p>
      <w:pPr>
        <w:pStyle w:val="2"/>
        <w:numPr>
          <w:ilvl w:val="0"/>
          <w:numId w:val="0"/>
        </w:numPr>
        <w:tabs>
          <w:tab w:val="left" w:pos="1479"/>
        </w:tabs>
        <w:spacing w:before="160" w:after="0" w:line="360" w:lineRule="auto"/>
        <w:ind w:right="0" w:rightChars="0"/>
        <w:jc w:val="left"/>
        <w:rPr>
          <w:rFonts w:hint="eastAsia" w:eastAsia="宋体"/>
          <w:sz w:val="24"/>
          <w:lang w:eastAsia="zh-CN"/>
        </w:rPr>
      </w:pPr>
      <w:r>
        <w:rPr>
          <w:rFonts w:hint="eastAsia"/>
          <w:sz w:val="24"/>
          <w:lang w:val="en-US" w:eastAsia="zh-CN"/>
        </w:rPr>
        <w:t>3、</w:t>
      </w:r>
      <w:r>
        <w:rPr>
          <w:rFonts w:hint="eastAsia"/>
          <w:sz w:val="24"/>
        </w:rPr>
        <w:t>投标人需具备独立法人资格，能够承担相应的供货、服务能力，持有效营业执照的生产厂家或代理商</w:t>
      </w:r>
      <w:r>
        <w:rPr>
          <w:rFonts w:hint="eastAsia"/>
          <w:sz w:val="24"/>
          <w:lang w:eastAsia="zh-CN"/>
        </w:rPr>
        <w:t>；</w:t>
      </w:r>
    </w:p>
    <w:p>
      <w:pPr>
        <w:pStyle w:val="2"/>
        <w:numPr>
          <w:ilvl w:val="0"/>
          <w:numId w:val="0"/>
        </w:numPr>
        <w:tabs>
          <w:tab w:val="left" w:pos="1479"/>
        </w:tabs>
        <w:spacing w:before="81" w:after="0" w:line="360" w:lineRule="auto"/>
        <w:ind w:right="0" w:rightChars="0"/>
        <w:jc w:val="left"/>
        <w:rPr>
          <w:sz w:val="24"/>
        </w:rPr>
      </w:pPr>
      <w:r>
        <w:rPr>
          <w:rFonts w:hint="eastAsia"/>
          <w:sz w:val="24"/>
          <w:lang w:val="en-US" w:eastAsia="zh-CN"/>
        </w:rPr>
        <w:t>4、近三年</w:t>
      </w:r>
      <w:r>
        <w:rPr>
          <w:sz w:val="24"/>
        </w:rPr>
        <w:t>具有良好的商业信誉和健全的财务会计制度；</w:t>
      </w:r>
    </w:p>
    <w:p>
      <w:pPr>
        <w:pStyle w:val="2"/>
        <w:numPr>
          <w:ilvl w:val="0"/>
          <w:numId w:val="0"/>
        </w:numPr>
        <w:tabs>
          <w:tab w:val="left" w:pos="1479"/>
        </w:tabs>
        <w:spacing w:before="81" w:after="0" w:line="360" w:lineRule="auto"/>
        <w:ind w:right="0" w:rightChars="0"/>
        <w:jc w:val="left"/>
        <w:rPr>
          <w:sz w:val="24"/>
        </w:rPr>
      </w:pPr>
      <w:r>
        <w:rPr>
          <w:rFonts w:hint="eastAsia"/>
          <w:sz w:val="24"/>
          <w:lang w:val="en-US" w:eastAsia="zh-CN"/>
        </w:rPr>
        <w:t>5、</w:t>
      </w:r>
      <w:r>
        <w:rPr>
          <w:sz w:val="24"/>
        </w:rPr>
        <w:t>近三年内，在经营活动中没有重大违法记录；</w:t>
      </w:r>
    </w:p>
    <w:p>
      <w:pPr>
        <w:pStyle w:val="10"/>
        <w:spacing w:before="160" w:line="360" w:lineRule="auto"/>
        <w:ind w:left="0" w:leftChars="0" w:firstLine="0" w:firstLineChars="0"/>
        <w:jc w:val="both"/>
      </w:pPr>
      <w:r>
        <w:rPr>
          <w:rFonts w:hint="eastAsia"/>
          <w:lang w:val="en-US" w:eastAsia="zh-CN"/>
        </w:rPr>
        <w:t>6、</w:t>
      </w:r>
      <w:r>
        <w:t xml:space="preserve">经 信 用 中 国 （ </w:t>
      </w:r>
      <w:r>
        <w:fldChar w:fldCharType="begin"/>
      </w:r>
      <w:r>
        <w:instrText xml:space="preserve"> HYPERLINK "http://www.creditchina.gov.cn/" \h </w:instrText>
      </w:r>
      <w:r>
        <w:fldChar w:fldCharType="separate"/>
      </w:r>
      <w:r>
        <w:t xml:space="preserve">www.creditchina.gov.cn </w:t>
      </w:r>
      <w:r>
        <w:fldChar w:fldCharType="end"/>
      </w:r>
      <w:r>
        <w:t>） 、 中 国 政 府 采 购 网（</w:t>
      </w:r>
      <w:r>
        <w:fldChar w:fldCharType="begin"/>
      </w:r>
      <w:r>
        <w:instrText xml:space="preserve"> HYPERLINK "http://www.ccgp.gov.cn/" \h </w:instrText>
      </w:r>
      <w:r>
        <w:fldChar w:fldCharType="separate"/>
      </w:r>
      <w:r>
        <w:t>www.ccgp.gov.cn</w:t>
      </w:r>
      <w:r>
        <w:fldChar w:fldCharType="end"/>
      </w:r>
      <w:r>
        <w:t>）等渠道查询后，列入失信被执行人、重大税违法案件当事</w:t>
      </w:r>
      <w:r>
        <w:rPr>
          <w:spacing w:val="-4"/>
        </w:rPr>
        <w:t>人名单、政府采购严重违法失信行为记录名单的，取消投标资格。</w:t>
      </w:r>
      <w:r>
        <w:t>（</w:t>
      </w:r>
      <w:r>
        <w:rPr>
          <w:spacing w:val="-2"/>
        </w:rPr>
        <w:t>提供“信用中</w:t>
      </w:r>
      <w:r>
        <w:rPr>
          <w:spacing w:val="-14"/>
        </w:rPr>
        <w:t xml:space="preserve">国”网站无任何不良记录的查询截图并加盖公章，时间为投标截止时间前 </w:t>
      </w:r>
      <w:r>
        <w:t>20</w:t>
      </w:r>
      <w:r>
        <w:rPr>
          <w:spacing w:val="-20"/>
        </w:rPr>
        <w:t xml:space="preserve"> 天内</w:t>
      </w:r>
      <w:r>
        <w:rPr>
          <w:spacing w:val="-129"/>
        </w:rPr>
        <w:t>）</w:t>
      </w:r>
      <w:r>
        <w:rPr>
          <w:spacing w:val="-9"/>
        </w:rPr>
        <w:t>；</w:t>
      </w:r>
    </w:p>
    <w:p>
      <w:pPr>
        <w:pStyle w:val="2"/>
        <w:numPr>
          <w:ilvl w:val="0"/>
          <w:numId w:val="0"/>
        </w:numPr>
        <w:tabs>
          <w:tab w:val="left" w:pos="1479"/>
        </w:tabs>
        <w:spacing w:before="1" w:after="0" w:line="360" w:lineRule="auto"/>
        <w:ind w:right="0" w:rightChars="0"/>
        <w:jc w:val="left"/>
        <w:rPr>
          <w:sz w:val="24"/>
        </w:rPr>
      </w:pPr>
      <w:r>
        <w:rPr>
          <w:rFonts w:hint="eastAsia" w:cs="宋体"/>
          <w:color w:val="auto"/>
          <w:kern w:val="0"/>
          <w:sz w:val="24"/>
          <w:szCs w:val="24"/>
          <w:lang w:val="en-US" w:eastAsia="zh-CN"/>
        </w:rPr>
        <w:t>7、</w:t>
      </w:r>
      <w:r>
        <w:rPr>
          <w:rFonts w:hint="eastAsia" w:ascii="宋体" w:hAnsi="宋体" w:cs="宋体"/>
          <w:color w:val="auto"/>
          <w:kern w:val="0"/>
          <w:sz w:val="24"/>
          <w:szCs w:val="24"/>
          <w:lang w:eastAsia="zh-CN"/>
        </w:rPr>
        <w:t>按文件要求缴纳投标保证金；</w:t>
      </w:r>
      <w:r>
        <w:rPr>
          <w:sz w:val="24"/>
        </w:rPr>
        <w:t>。</w:t>
      </w:r>
    </w:p>
    <w:p>
      <w:pPr>
        <w:pStyle w:val="2"/>
        <w:numPr>
          <w:ilvl w:val="0"/>
          <w:numId w:val="0"/>
        </w:numPr>
        <w:tabs>
          <w:tab w:val="left" w:pos="1479"/>
        </w:tabs>
        <w:spacing w:before="161" w:after="0" w:line="360" w:lineRule="auto"/>
        <w:ind w:right="0" w:rightChars="0"/>
        <w:jc w:val="left"/>
        <w:rPr>
          <w:sz w:val="24"/>
        </w:rPr>
      </w:pPr>
      <w:r>
        <w:rPr>
          <w:rFonts w:hint="eastAsia"/>
          <w:sz w:val="24"/>
          <w:lang w:val="en-US" w:eastAsia="zh-CN"/>
        </w:rPr>
        <w:t>8、</w:t>
      </w:r>
      <w:r>
        <w:rPr>
          <w:sz w:val="24"/>
        </w:rPr>
        <w:t>为充分保证完善的售后服务，本项目不接受联合体投标。</w:t>
      </w:r>
    </w:p>
    <w:p>
      <w:pPr>
        <w:pStyle w:val="2"/>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color w:val="auto"/>
          <w:sz w:val="24"/>
          <w:szCs w:val="24"/>
          <w:lang w:eastAsia="zh-CN"/>
        </w:rPr>
      </w:pPr>
      <w:r>
        <w:rPr>
          <w:color w:val="auto"/>
          <w:sz w:val="24"/>
          <w:szCs w:val="24"/>
        </w:rPr>
        <w:t>同时</w:t>
      </w:r>
      <w:r>
        <w:rPr>
          <w:rFonts w:hint="eastAsia"/>
          <w:color w:val="auto"/>
          <w:sz w:val="24"/>
          <w:szCs w:val="24"/>
          <w:lang w:eastAsia="zh-CN"/>
        </w:rPr>
        <w:t>将</w:t>
      </w:r>
      <w:r>
        <w:rPr>
          <w:color w:val="auto"/>
          <w:sz w:val="24"/>
          <w:szCs w:val="24"/>
        </w:rPr>
        <w:t>以下资质证明材料</w:t>
      </w:r>
      <w:r>
        <w:rPr>
          <w:rFonts w:hint="eastAsia"/>
          <w:color w:val="auto"/>
          <w:sz w:val="24"/>
          <w:szCs w:val="24"/>
          <w:lang w:eastAsia="zh-CN"/>
        </w:rPr>
        <w:t>在新疆政府采购网上上传报名：</w:t>
      </w:r>
    </w:p>
    <w:p>
      <w:pPr>
        <w:pStyle w:val="2"/>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color w:val="auto"/>
          <w:sz w:val="24"/>
        </w:rPr>
      </w:pPr>
      <w:r>
        <w:rPr>
          <w:rFonts w:hint="eastAsia"/>
          <w:color w:val="auto"/>
          <w:sz w:val="24"/>
          <w:lang w:val="en-US" w:eastAsia="zh-CN"/>
        </w:rPr>
        <w:t>1、</w:t>
      </w:r>
      <w:r>
        <w:rPr>
          <w:color w:val="auto"/>
          <w:sz w:val="24"/>
        </w:rPr>
        <w:t>营业执照副本原件；</w:t>
      </w:r>
    </w:p>
    <w:p>
      <w:pPr>
        <w:pStyle w:val="2"/>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color w:val="auto"/>
          <w:sz w:val="24"/>
        </w:rPr>
      </w:pPr>
      <w:r>
        <w:rPr>
          <w:rFonts w:hint="eastAsia"/>
          <w:color w:val="auto"/>
          <w:sz w:val="24"/>
          <w:lang w:val="en-US" w:eastAsia="zh-CN"/>
        </w:rPr>
        <w:t>2、</w:t>
      </w:r>
      <w:r>
        <w:rPr>
          <w:color w:val="auto"/>
          <w:sz w:val="24"/>
        </w:rPr>
        <w:t>法人授权委托书原件或具有同等法律效力的证明材料及被授权人《居民身份证》原件。</w:t>
      </w:r>
    </w:p>
    <w:p>
      <w:pPr>
        <w:pStyle w:val="2"/>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b/>
          <w:bCs/>
          <w:color w:val="auto"/>
        </w:rPr>
      </w:pPr>
      <w:r>
        <w:rPr>
          <w:rFonts w:hint="eastAsia"/>
          <w:color w:val="auto"/>
          <w:sz w:val="24"/>
          <w:lang w:val="en-US" w:eastAsia="zh-CN"/>
        </w:rPr>
        <w:t>3、</w:t>
      </w:r>
      <w:r>
        <w:rPr>
          <w:rFonts w:hint="eastAsia" w:ascii="宋体" w:hAnsi="宋体" w:cs="宋体"/>
          <w:color w:val="auto"/>
          <w:kern w:val="0"/>
          <w:sz w:val="24"/>
          <w:szCs w:val="24"/>
          <w:lang w:eastAsia="zh-CN"/>
        </w:rPr>
        <w:t>通过</w:t>
      </w:r>
      <w:r>
        <w:rPr>
          <w:rFonts w:hint="eastAsia" w:ascii="宋体" w:hAnsi="宋体" w:cs="宋体"/>
          <w:color w:val="auto"/>
          <w:kern w:val="0"/>
          <w:sz w:val="24"/>
          <w:szCs w:val="24"/>
        </w:rPr>
        <w:t>“信用中国”</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“中国政府采购网”</w:t>
      </w:r>
      <w:r>
        <w:rPr>
          <w:rFonts w:hint="eastAsia" w:ascii="宋体" w:hAnsi="宋体" w:cs="宋体"/>
          <w:color w:val="auto"/>
          <w:kern w:val="0"/>
          <w:sz w:val="24"/>
          <w:szCs w:val="24"/>
          <w:lang w:eastAsia="zh-CN"/>
        </w:rPr>
        <w:t>渠道查询的加盖公章的主体信用记录网页截图</w:t>
      </w:r>
      <w:r>
        <w:rPr>
          <w:color w:val="auto"/>
          <w:sz w:val="24"/>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720" w:hanging="720" w:hangingChars="300"/>
        <w:textAlignment w:val="auto"/>
        <w:rPr>
          <w:rFonts w:hint="eastAsia" w:ascii="宋体" w:hAnsi="宋体" w:eastAsia="宋体" w:cs="宋体"/>
          <w:color w:val="auto"/>
          <w:kern w:val="0"/>
          <w:sz w:val="24"/>
          <w:szCs w:val="24"/>
          <w:lang w:val="zh-CN" w:eastAsia="zh-CN" w:bidi="zh-CN"/>
        </w:rPr>
      </w:pPr>
      <w:r>
        <w:rPr>
          <w:rFonts w:hint="eastAsia" w:cs="宋体"/>
          <w:color w:val="auto"/>
          <w:kern w:val="0"/>
          <w:sz w:val="24"/>
          <w:szCs w:val="24"/>
          <w:lang w:eastAsia="zh-CN"/>
        </w:rPr>
        <w:t>四</w:t>
      </w:r>
      <w:r>
        <w:rPr>
          <w:rFonts w:hint="eastAsia" w:ascii="宋体" w:hAnsi="宋体" w:cs="宋体"/>
          <w:color w:val="auto"/>
          <w:kern w:val="0"/>
          <w:sz w:val="24"/>
          <w:szCs w:val="24"/>
        </w:rPr>
        <w:t>、</w:t>
      </w:r>
      <w:r>
        <w:rPr>
          <w:rFonts w:hint="eastAsia" w:ascii="宋体" w:hAnsi="宋体" w:eastAsia="宋体" w:cs="宋体"/>
          <w:color w:val="auto"/>
          <w:kern w:val="0"/>
          <w:sz w:val="24"/>
          <w:szCs w:val="24"/>
          <w:lang w:val="zh-CN" w:eastAsia="zh-CN" w:bidi="zh-CN"/>
        </w:rPr>
        <w:t>取获招标文件时间：202</w:t>
      </w:r>
      <w:r>
        <w:rPr>
          <w:rFonts w:hint="eastAsia" w:ascii="宋体" w:hAnsi="宋体" w:eastAsia="宋体" w:cs="宋体"/>
          <w:color w:val="auto"/>
          <w:kern w:val="0"/>
          <w:sz w:val="24"/>
          <w:szCs w:val="24"/>
          <w:lang w:val="en-US" w:eastAsia="zh-CN" w:bidi="zh-CN"/>
        </w:rPr>
        <w:t>2</w:t>
      </w:r>
      <w:r>
        <w:rPr>
          <w:rFonts w:hint="eastAsia" w:ascii="宋体" w:hAnsi="宋体" w:eastAsia="宋体" w:cs="宋体"/>
          <w:color w:val="auto"/>
          <w:kern w:val="0"/>
          <w:sz w:val="24"/>
          <w:szCs w:val="24"/>
          <w:lang w:val="zh-CN" w:eastAsia="zh-CN" w:bidi="zh-CN"/>
        </w:rPr>
        <w:t>年</w:t>
      </w:r>
      <w:r>
        <w:rPr>
          <w:rFonts w:hint="eastAsia" w:cs="宋体"/>
          <w:color w:val="auto"/>
          <w:kern w:val="0"/>
          <w:sz w:val="24"/>
          <w:szCs w:val="24"/>
          <w:lang w:val="en-US" w:eastAsia="zh-CN" w:bidi="zh-CN"/>
        </w:rPr>
        <w:t xml:space="preserve"> 08 </w:t>
      </w:r>
      <w:r>
        <w:rPr>
          <w:rFonts w:hint="eastAsia" w:ascii="宋体" w:hAnsi="宋体" w:eastAsia="宋体" w:cs="宋体"/>
          <w:color w:val="auto"/>
          <w:kern w:val="0"/>
          <w:sz w:val="24"/>
          <w:szCs w:val="24"/>
          <w:lang w:val="zh-CN" w:eastAsia="zh-CN" w:bidi="zh-CN"/>
        </w:rPr>
        <w:t>月</w:t>
      </w:r>
      <w:r>
        <w:rPr>
          <w:rFonts w:hint="eastAsia" w:cs="宋体"/>
          <w:color w:val="auto"/>
          <w:kern w:val="0"/>
          <w:sz w:val="24"/>
          <w:szCs w:val="24"/>
          <w:lang w:val="en-US" w:eastAsia="zh-CN" w:bidi="zh-CN"/>
        </w:rPr>
        <w:t>03</w:t>
      </w:r>
      <w:r>
        <w:rPr>
          <w:rFonts w:hint="eastAsia" w:ascii="宋体" w:hAnsi="宋体" w:eastAsia="宋体" w:cs="宋体"/>
          <w:color w:val="auto"/>
          <w:kern w:val="0"/>
          <w:sz w:val="24"/>
          <w:szCs w:val="24"/>
          <w:lang w:val="en-US" w:eastAsia="zh-CN" w:bidi="zh-CN"/>
        </w:rPr>
        <w:t>日</w:t>
      </w:r>
      <w:r>
        <w:rPr>
          <w:rFonts w:hint="eastAsia" w:ascii="宋体" w:hAnsi="宋体" w:eastAsia="宋体" w:cs="宋体"/>
          <w:color w:val="auto"/>
          <w:kern w:val="0"/>
          <w:sz w:val="24"/>
          <w:szCs w:val="24"/>
          <w:lang w:val="zh-CN" w:eastAsia="zh-CN" w:bidi="zh-CN"/>
        </w:rPr>
        <w:t>起至2020年</w:t>
      </w:r>
      <w:r>
        <w:rPr>
          <w:rFonts w:hint="eastAsia" w:cs="宋体"/>
          <w:color w:val="auto"/>
          <w:kern w:val="0"/>
          <w:sz w:val="24"/>
          <w:szCs w:val="24"/>
          <w:lang w:val="en-US" w:eastAsia="zh-CN" w:bidi="zh-CN"/>
        </w:rPr>
        <w:t xml:space="preserve"> 08</w:t>
      </w:r>
      <w:r>
        <w:rPr>
          <w:rFonts w:hint="eastAsia" w:ascii="宋体" w:hAnsi="宋体" w:eastAsia="宋体" w:cs="宋体"/>
          <w:color w:val="auto"/>
          <w:kern w:val="0"/>
          <w:sz w:val="24"/>
          <w:szCs w:val="24"/>
          <w:lang w:val="zh-CN" w:eastAsia="zh-CN" w:bidi="zh-CN"/>
        </w:rPr>
        <w:t>月</w:t>
      </w:r>
      <w:r>
        <w:rPr>
          <w:rFonts w:hint="eastAsia" w:ascii="宋体" w:hAnsi="宋体" w:eastAsia="宋体" w:cs="宋体"/>
          <w:color w:val="auto"/>
          <w:kern w:val="0"/>
          <w:sz w:val="24"/>
          <w:szCs w:val="24"/>
          <w:lang w:val="en-US" w:eastAsia="zh-CN" w:bidi="zh-CN"/>
        </w:rPr>
        <w:t xml:space="preserve"> </w:t>
      </w:r>
      <w:r>
        <w:rPr>
          <w:rFonts w:hint="eastAsia" w:cs="宋体"/>
          <w:color w:val="auto"/>
          <w:kern w:val="0"/>
          <w:sz w:val="24"/>
          <w:szCs w:val="24"/>
          <w:lang w:val="en-US" w:eastAsia="zh-CN" w:bidi="zh-CN"/>
        </w:rPr>
        <w:t>10</w:t>
      </w:r>
      <w:r>
        <w:rPr>
          <w:rFonts w:hint="eastAsia" w:ascii="宋体" w:hAnsi="宋体" w:eastAsia="宋体" w:cs="宋体"/>
          <w:color w:val="auto"/>
          <w:kern w:val="0"/>
          <w:sz w:val="24"/>
          <w:szCs w:val="24"/>
          <w:lang w:val="en-US" w:eastAsia="zh-CN" w:bidi="zh-CN"/>
        </w:rPr>
        <w:t xml:space="preserve"> </w:t>
      </w:r>
      <w:r>
        <w:rPr>
          <w:rFonts w:hint="eastAsia" w:ascii="宋体" w:hAnsi="宋体" w:eastAsia="宋体" w:cs="宋体"/>
          <w:color w:val="auto"/>
          <w:kern w:val="0"/>
          <w:sz w:val="24"/>
          <w:szCs w:val="24"/>
          <w:lang w:val="zh-CN" w:eastAsia="zh-CN" w:bidi="zh-CN"/>
        </w:rPr>
        <w:t>日止。（工作日10：00-1</w:t>
      </w:r>
      <w:r>
        <w:rPr>
          <w:rFonts w:hint="eastAsia" w:ascii="宋体" w:hAnsi="宋体" w:eastAsia="宋体" w:cs="宋体"/>
          <w:color w:val="auto"/>
          <w:kern w:val="0"/>
          <w:sz w:val="24"/>
          <w:szCs w:val="24"/>
          <w:lang w:val="en-US" w:eastAsia="zh-CN" w:bidi="zh-CN"/>
        </w:rPr>
        <w:t>4</w:t>
      </w:r>
      <w:r>
        <w:rPr>
          <w:rFonts w:hint="eastAsia" w:ascii="宋体" w:hAnsi="宋体" w:eastAsia="宋体" w:cs="宋体"/>
          <w:color w:val="auto"/>
          <w:kern w:val="0"/>
          <w:sz w:val="24"/>
          <w:szCs w:val="24"/>
          <w:lang w:val="zh-CN" w:eastAsia="zh-CN" w:bidi="zh-CN"/>
        </w:rPr>
        <w:t>：</w:t>
      </w:r>
      <w:r>
        <w:rPr>
          <w:rFonts w:hint="eastAsia" w:ascii="宋体" w:hAnsi="宋体" w:eastAsia="宋体" w:cs="宋体"/>
          <w:color w:val="auto"/>
          <w:kern w:val="0"/>
          <w:sz w:val="24"/>
          <w:szCs w:val="24"/>
          <w:lang w:val="en-US" w:eastAsia="zh-CN" w:bidi="zh-CN"/>
        </w:rPr>
        <w:t>0</w:t>
      </w:r>
      <w:r>
        <w:rPr>
          <w:rFonts w:hint="eastAsia" w:ascii="宋体" w:hAnsi="宋体" w:eastAsia="宋体" w:cs="宋体"/>
          <w:color w:val="auto"/>
          <w:kern w:val="0"/>
          <w:sz w:val="24"/>
          <w:szCs w:val="24"/>
          <w:lang w:val="zh-CN" w:eastAsia="zh-CN" w:bidi="zh-CN"/>
        </w:rPr>
        <w:t>0，16：00-19：</w:t>
      </w:r>
      <w:r>
        <w:rPr>
          <w:rFonts w:hint="eastAsia" w:ascii="宋体" w:hAnsi="宋体" w:eastAsia="宋体" w:cs="宋体"/>
          <w:color w:val="auto"/>
          <w:kern w:val="0"/>
          <w:sz w:val="24"/>
          <w:szCs w:val="24"/>
          <w:lang w:val="en-US" w:eastAsia="zh-CN" w:bidi="zh-CN"/>
        </w:rPr>
        <w:t>3</w:t>
      </w:r>
      <w:r>
        <w:rPr>
          <w:rFonts w:hint="eastAsia" w:ascii="宋体" w:hAnsi="宋体" w:eastAsia="宋体" w:cs="宋体"/>
          <w:color w:val="auto"/>
          <w:kern w:val="0"/>
          <w:sz w:val="24"/>
          <w:szCs w:val="24"/>
          <w:lang w:val="zh-CN" w:eastAsia="zh-CN" w:bidi="zh-CN"/>
        </w:rPr>
        <w:t>0）</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eastAsia="zh-CN"/>
        </w:rPr>
        <w:t>五</w:t>
      </w:r>
      <w:r>
        <w:rPr>
          <w:rFonts w:hint="eastAsia" w:ascii="宋体" w:hAnsi="宋体" w:cs="宋体"/>
          <w:color w:val="auto"/>
          <w:kern w:val="0"/>
          <w:sz w:val="24"/>
          <w:szCs w:val="24"/>
        </w:rPr>
        <w:t>、获取方式：供应商登陆政采云平台在线申请获取采购文件（进入“项目采购”应用，在获取采购文件菜单中选择项目，申请获取采购文件）。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rPr>
      </w:pPr>
      <w:r>
        <w:rPr>
          <w:rFonts w:hint="eastAsia" w:cs="宋体"/>
          <w:color w:val="auto"/>
          <w:kern w:val="0"/>
          <w:sz w:val="24"/>
          <w:szCs w:val="24"/>
          <w:lang w:val="en-US" w:eastAsia="zh-CN"/>
        </w:rPr>
        <w:t>六</w:t>
      </w:r>
      <w:r>
        <w:rPr>
          <w:rFonts w:hint="eastAsia" w:ascii="宋体" w:hAnsi="宋体" w:cs="宋体"/>
          <w:color w:val="auto"/>
          <w:kern w:val="0"/>
          <w:sz w:val="24"/>
          <w:szCs w:val="24"/>
          <w:lang w:val="en-US" w:eastAsia="zh-CN"/>
        </w:rPr>
        <w:t>、投标保证金缴纳及确认时间：凡拟参加本次招标项目的供应商，必须在202</w:t>
      </w:r>
      <w:r>
        <w:rPr>
          <w:rFonts w:hint="eastAsia" w:cs="宋体"/>
          <w:color w:val="auto"/>
          <w:kern w:val="0"/>
          <w:sz w:val="24"/>
          <w:szCs w:val="24"/>
          <w:lang w:val="en-US" w:eastAsia="zh-CN"/>
        </w:rPr>
        <w:t>2</w:t>
      </w:r>
      <w:r>
        <w:rPr>
          <w:rFonts w:hint="eastAsia" w:ascii="宋体" w:hAnsi="宋体" w:cs="宋体"/>
          <w:color w:val="auto"/>
          <w:kern w:val="0"/>
          <w:sz w:val="24"/>
          <w:szCs w:val="24"/>
          <w:lang w:val="en-US" w:eastAsia="zh-CN"/>
        </w:rPr>
        <w:t>年</w:t>
      </w:r>
      <w:r>
        <w:rPr>
          <w:rFonts w:hint="eastAsia" w:cs="宋体"/>
          <w:color w:val="auto"/>
          <w:kern w:val="0"/>
          <w:sz w:val="24"/>
          <w:szCs w:val="24"/>
          <w:lang w:val="en-US" w:eastAsia="zh-CN"/>
        </w:rPr>
        <w:t>08</w:t>
      </w:r>
      <w:r>
        <w:rPr>
          <w:rFonts w:hint="eastAsia" w:ascii="宋体" w:hAnsi="宋体" w:cs="宋体"/>
          <w:color w:val="auto"/>
          <w:kern w:val="0"/>
          <w:sz w:val="24"/>
          <w:szCs w:val="24"/>
          <w:lang w:val="en-US" w:eastAsia="zh-CN"/>
        </w:rPr>
        <w:t>月</w:t>
      </w:r>
      <w:r>
        <w:rPr>
          <w:rFonts w:hint="eastAsia" w:cs="宋体"/>
          <w:color w:val="auto"/>
          <w:kern w:val="0"/>
          <w:sz w:val="24"/>
          <w:szCs w:val="24"/>
          <w:lang w:val="en-US" w:eastAsia="zh-CN"/>
        </w:rPr>
        <w:t xml:space="preserve"> 23 </w:t>
      </w:r>
      <w:r>
        <w:rPr>
          <w:rFonts w:hint="eastAsia" w:ascii="宋体" w:hAnsi="宋体" w:cs="宋体"/>
          <w:color w:val="auto"/>
          <w:kern w:val="0"/>
          <w:sz w:val="24"/>
          <w:szCs w:val="24"/>
          <w:lang w:val="en-US" w:eastAsia="zh-CN"/>
        </w:rPr>
        <w:t>日1</w:t>
      </w:r>
      <w:r>
        <w:rPr>
          <w:rFonts w:hint="eastAsia" w:cs="宋体"/>
          <w:color w:val="auto"/>
          <w:kern w:val="0"/>
          <w:sz w:val="24"/>
          <w:szCs w:val="24"/>
          <w:lang w:val="en-US" w:eastAsia="zh-CN"/>
        </w:rPr>
        <w:t>0</w:t>
      </w:r>
      <w:r>
        <w:rPr>
          <w:rFonts w:hint="eastAsia" w:ascii="宋体" w:hAnsi="宋体" w:cs="宋体"/>
          <w:color w:val="auto"/>
          <w:kern w:val="0"/>
          <w:sz w:val="24"/>
          <w:szCs w:val="24"/>
          <w:lang w:val="en-US" w:eastAsia="zh-CN"/>
        </w:rPr>
        <w:t>:30时（北京时间）前将投标保证金汇入指定账户。投标保证金汇款凭证上用途栏应注明本项目招标项目名称</w:t>
      </w:r>
      <w:r>
        <w:rPr>
          <w:rFonts w:hint="eastAsia" w:cs="宋体"/>
          <w:color w:val="auto"/>
          <w:kern w:val="0"/>
          <w:sz w:val="24"/>
          <w:szCs w:val="24"/>
          <w:highlight w:val="none"/>
          <w:lang w:val="en-US" w:eastAsia="zh-CN"/>
        </w:rPr>
        <w:t>包段三：ZJFZFCG2022-007；</w:t>
      </w:r>
      <w:r>
        <w:rPr>
          <w:rFonts w:hint="eastAsia" w:ascii="宋体" w:hAnsi="宋体" w:cs="宋体"/>
          <w:color w:val="auto"/>
          <w:kern w:val="0"/>
          <w:sz w:val="24"/>
          <w:szCs w:val="24"/>
          <w:highlight w:val="none"/>
          <w:lang w:val="en-US" w:eastAsia="zh-CN"/>
        </w:rPr>
        <w:t>项目投标保证金</w:t>
      </w:r>
      <w:r>
        <w:rPr>
          <w:rFonts w:hint="eastAsia" w:ascii="宋体" w:hAnsi="宋体" w:cs="宋体"/>
          <w:color w:val="auto"/>
          <w:kern w:val="0"/>
          <w:sz w:val="24"/>
          <w:szCs w:val="24"/>
          <w:lang w:val="en-US" w:eastAsia="zh-CN"/>
        </w:rPr>
        <w:t>]。否则，届时其投标将被拒绝。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0000FF"/>
          <w:sz w:val="24"/>
          <w:szCs w:val="24"/>
        </w:rPr>
      </w:pPr>
      <w:r>
        <w:rPr>
          <w:rFonts w:hint="eastAsia" w:cs="宋体"/>
          <w:color w:val="auto"/>
          <w:kern w:val="0"/>
          <w:sz w:val="24"/>
          <w:szCs w:val="24"/>
          <w:lang w:eastAsia="zh-CN"/>
        </w:rPr>
        <w:t>七</w:t>
      </w:r>
      <w:r>
        <w:rPr>
          <w:rFonts w:hint="eastAsia" w:ascii="宋体" w:hAnsi="宋体" w:cs="宋体"/>
          <w:color w:val="auto"/>
          <w:kern w:val="0"/>
          <w:sz w:val="24"/>
          <w:szCs w:val="24"/>
        </w:rPr>
        <w:t>、招标文件售价：</w:t>
      </w:r>
      <w:r>
        <w:rPr>
          <w:rFonts w:hint="eastAsia" w:cs="宋体"/>
          <w:color w:val="auto"/>
          <w:kern w:val="0"/>
          <w:sz w:val="24"/>
          <w:szCs w:val="24"/>
          <w:lang w:val="en-US" w:eastAsia="zh-CN"/>
        </w:rPr>
        <w:t>0</w:t>
      </w:r>
      <w:r>
        <w:rPr>
          <w:rFonts w:hint="eastAsia" w:ascii="宋体" w:hAnsi="宋体" w:cs="宋体"/>
          <w:color w:val="auto"/>
          <w:kern w:val="0"/>
          <w:sz w:val="24"/>
          <w:szCs w:val="24"/>
        </w:rPr>
        <w:t>元/包</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eastAsia="zh-CN"/>
        </w:rPr>
        <w:t>八</w:t>
      </w:r>
      <w:r>
        <w:rPr>
          <w:rFonts w:hint="eastAsia" w:ascii="宋体" w:hAnsi="宋体" w:cs="宋体"/>
          <w:color w:val="auto"/>
          <w:kern w:val="0"/>
          <w:sz w:val="24"/>
          <w:szCs w:val="24"/>
        </w:rPr>
        <w:t>、投标文件递交截止时间及开标时间：20</w:t>
      </w:r>
      <w:r>
        <w:rPr>
          <w:rFonts w:hint="eastAsia" w:ascii="宋体" w:hAnsi="宋体" w:cs="宋体"/>
          <w:color w:val="auto"/>
          <w:kern w:val="0"/>
          <w:sz w:val="24"/>
          <w:szCs w:val="24"/>
          <w:lang w:val="en-US" w:eastAsia="zh-CN"/>
        </w:rPr>
        <w:t>2</w:t>
      </w:r>
      <w:r>
        <w:rPr>
          <w:rFonts w:hint="eastAsia" w:cs="宋体"/>
          <w:color w:val="auto"/>
          <w:kern w:val="0"/>
          <w:sz w:val="24"/>
          <w:szCs w:val="24"/>
          <w:lang w:val="en-US" w:eastAsia="zh-CN"/>
        </w:rPr>
        <w:t>2</w:t>
      </w:r>
      <w:r>
        <w:rPr>
          <w:rFonts w:hint="eastAsia" w:ascii="宋体" w:hAnsi="宋体" w:cs="宋体"/>
          <w:color w:val="auto"/>
          <w:kern w:val="0"/>
          <w:sz w:val="24"/>
          <w:szCs w:val="24"/>
        </w:rPr>
        <w:t>年</w:t>
      </w:r>
      <w:r>
        <w:rPr>
          <w:rFonts w:hint="eastAsia" w:cs="宋体"/>
          <w:color w:val="auto"/>
          <w:kern w:val="0"/>
          <w:sz w:val="24"/>
          <w:szCs w:val="24"/>
          <w:lang w:val="en-US" w:eastAsia="zh-CN"/>
        </w:rPr>
        <w:t>08</w:t>
      </w:r>
      <w:r>
        <w:rPr>
          <w:rFonts w:hint="eastAsia" w:ascii="宋体" w:hAnsi="宋体" w:cs="宋体"/>
          <w:color w:val="auto"/>
          <w:kern w:val="0"/>
          <w:sz w:val="24"/>
          <w:szCs w:val="24"/>
        </w:rPr>
        <w:t>月</w:t>
      </w:r>
      <w:r>
        <w:rPr>
          <w:rFonts w:hint="eastAsia" w:cs="宋体"/>
          <w:color w:val="auto"/>
          <w:kern w:val="0"/>
          <w:sz w:val="24"/>
          <w:szCs w:val="24"/>
          <w:lang w:val="en-US" w:eastAsia="zh-CN"/>
        </w:rPr>
        <w:t xml:space="preserve"> 24 </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午1</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：30(北京时间)，若逾期，届时其投标将被拒绝。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rPr>
      </w:pPr>
      <w:r>
        <w:rPr>
          <w:rFonts w:hint="eastAsia" w:cs="宋体"/>
          <w:color w:val="auto"/>
          <w:kern w:val="0"/>
          <w:sz w:val="24"/>
          <w:szCs w:val="24"/>
          <w:lang w:eastAsia="zh-CN"/>
        </w:rPr>
        <w:t>九</w:t>
      </w:r>
      <w:r>
        <w:rPr>
          <w:rFonts w:hint="eastAsia" w:ascii="宋体" w:hAnsi="宋体" w:eastAsia="宋体" w:cs="宋体"/>
          <w:color w:val="auto"/>
          <w:kern w:val="0"/>
          <w:sz w:val="24"/>
          <w:szCs w:val="24"/>
        </w:rPr>
        <w:t>、开标地点：政采云线上开标（www.zcygov.com）。</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eastAsia="zh-CN"/>
        </w:rPr>
      </w:pPr>
      <w:r>
        <w:rPr>
          <w:rFonts w:hint="eastAsia" w:cs="宋体"/>
          <w:color w:val="auto"/>
          <w:kern w:val="0"/>
          <w:sz w:val="24"/>
          <w:szCs w:val="24"/>
          <w:lang w:eastAsia="zh-CN"/>
        </w:rPr>
        <w:t>十</w:t>
      </w:r>
      <w:r>
        <w:rPr>
          <w:rFonts w:hint="eastAsia" w:ascii="宋体" w:hAnsi="宋体" w:eastAsia="宋体" w:cs="宋体"/>
          <w:color w:val="auto"/>
          <w:kern w:val="0"/>
          <w:sz w:val="24"/>
          <w:szCs w:val="24"/>
          <w:lang w:eastAsia="zh-CN"/>
        </w:rPr>
        <w:t>、其他补充</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1、本项目实行网上投标，采用电子投标文件。若供应商参与投标，自行承担投标一切费用。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"http://www.ccgp-xinjiang.gov.cn/"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http://www.ccgp-xinjiang.gov.cn/</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）下载专区查看，如有问题可拨打政采云客户服务热线400-881-7190进行咨询。</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color w:val="auto"/>
          <w:kern w:val="0"/>
          <w:sz w:val="24"/>
          <w:szCs w:val="24"/>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6、投标供应商应当在投标截止时间前，将生成的“电子加密投标文件”上传递交至“政府采购云平台”。投标截止时间以后上传递交的投标文件将被“政府采购云平台”拒收。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lang w:eastAsia="zh-CN"/>
        </w:rPr>
      </w:pPr>
      <w:r>
        <w:rPr>
          <w:rFonts w:hint="eastAsia" w:cs="宋体"/>
          <w:color w:val="auto"/>
          <w:kern w:val="0"/>
          <w:sz w:val="24"/>
          <w:szCs w:val="24"/>
          <w:lang w:val="en-US" w:eastAsia="zh-CN"/>
        </w:rPr>
        <w:t>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7、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截止时间前，供应商仅递交了“备份投标文件”而未将“电子加密投标文件”成功上传至“政府采购云平台”的，投标无效。</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十</w:t>
      </w:r>
      <w:r>
        <w:rPr>
          <w:rFonts w:hint="eastAsia" w:cs="宋体"/>
          <w:color w:val="auto"/>
          <w:kern w:val="0"/>
          <w:sz w:val="24"/>
          <w:szCs w:val="24"/>
          <w:lang w:eastAsia="zh-CN"/>
        </w:rPr>
        <w:t>一</w:t>
      </w:r>
      <w:r>
        <w:rPr>
          <w:rFonts w:hint="eastAsia" w:ascii="宋体" w:hAnsi="宋体" w:cs="宋体"/>
          <w:color w:val="auto"/>
          <w:kern w:val="0"/>
          <w:sz w:val="24"/>
          <w:szCs w:val="24"/>
        </w:rPr>
        <w:t xml:space="preserve">、联系方式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采购单位：</w:t>
      </w:r>
      <w:r>
        <w:rPr>
          <w:rFonts w:hint="eastAsia" w:cs="宋体"/>
          <w:color w:val="auto"/>
          <w:kern w:val="0"/>
          <w:sz w:val="24"/>
          <w:szCs w:val="24"/>
          <w:lang w:eastAsia="zh-CN"/>
        </w:rPr>
        <w:t>和硕县应急管理局</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采购单位地址：</w:t>
      </w:r>
      <w:r>
        <w:rPr>
          <w:rFonts w:hint="eastAsia" w:cs="宋体"/>
          <w:color w:val="auto"/>
          <w:kern w:val="0"/>
          <w:sz w:val="24"/>
          <w:szCs w:val="24"/>
          <w:lang w:eastAsia="zh-CN"/>
        </w:rPr>
        <w:t>和硕县</w:t>
      </w:r>
      <w:r>
        <w:rPr>
          <w:rFonts w:hint="eastAsia" w:ascii="宋体" w:hAnsi="宋体" w:cs="宋体"/>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 xml:space="preserve">刘志刚  </w:t>
      </w:r>
      <w:r>
        <w:rPr>
          <w:rFonts w:hint="eastAsia" w:ascii="宋体" w:hAnsi="宋体" w:eastAsia="宋体" w:cs="宋体"/>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val="en-US" w:eastAsia="zh-CN"/>
        </w:rPr>
        <w:t>13909969630</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招标代理机构：新疆正聚方企业管理咨询有限公司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招标公司地址：库尔勒市智慧嘉苑门面房65-01-3号2楼</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项目联系人</w:t>
      </w:r>
      <w:r>
        <w:rPr>
          <w:rFonts w:hint="eastAsia" w:ascii="宋体" w:hAnsi="宋体" w:eastAsia="宋体" w:cs="宋体"/>
          <w:color w:val="auto"/>
          <w:kern w:val="0"/>
          <w:sz w:val="24"/>
          <w:szCs w:val="24"/>
          <w:lang w:val="en-US" w:eastAsia="zh-CN"/>
        </w:rPr>
        <w:t>: 彭诗毓</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cs="宋体"/>
          <w:color w:val="auto"/>
          <w:kern w:val="0"/>
          <w:sz w:val="24"/>
          <w:szCs w:val="24"/>
          <w:lang w:val="en-US" w:eastAsia="zh-CN"/>
        </w:rPr>
        <w:t>19190311206</w:t>
      </w:r>
    </w:p>
    <w:p>
      <w:pPr>
        <w:overflowPunct w:val="0"/>
        <w:spacing w:line="440" w:lineRule="exact"/>
        <w:jc w:val="center"/>
        <w:rPr>
          <w:rFonts w:hint="eastAsia" w:ascii="黑体" w:hAnsi="黑体" w:eastAsia="黑体"/>
          <w:b/>
          <w:sz w:val="36"/>
        </w:rPr>
      </w:pPr>
    </w:p>
    <w:p>
      <w:pPr>
        <w:pStyle w:val="22"/>
        <w:rPr>
          <w:rFonts w:hint="eastAsia" w:ascii="黑体" w:hAnsi="黑体" w:eastAsia="黑体"/>
          <w:b/>
          <w:sz w:val="36"/>
        </w:rPr>
      </w:pPr>
    </w:p>
    <w:p>
      <w:pPr>
        <w:pStyle w:val="22"/>
        <w:rPr>
          <w:rFonts w:hint="eastAsia" w:ascii="黑体" w:hAnsi="黑体" w:eastAsia="黑体"/>
          <w:b/>
          <w:sz w:val="36"/>
        </w:rPr>
      </w:pPr>
    </w:p>
    <w:p>
      <w:pPr>
        <w:pStyle w:val="22"/>
        <w:rPr>
          <w:rFonts w:hint="eastAsia"/>
        </w:rPr>
      </w:pPr>
    </w:p>
    <w:p>
      <w:pPr>
        <w:overflowPunct w:val="0"/>
        <w:spacing w:line="440" w:lineRule="exact"/>
        <w:jc w:val="center"/>
        <w:rPr>
          <w:rFonts w:ascii="黑体" w:hAnsi="黑体" w:eastAsia="黑体"/>
          <w:b/>
          <w:sz w:val="36"/>
        </w:rPr>
      </w:pPr>
      <w:r>
        <w:rPr>
          <w:rFonts w:hint="eastAsia" w:ascii="黑体" w:hAnsi="黑体" w:eastAsia="黑体"/>
          <w:b/>
          <w:sz w:val="36"/>
        </w:rPr>
        <w:t>第</w:t>
      </w:r>
      <w:r>
        <w:rPr>
          <w:rFonts w:hint="eastAsia" w:ascii="黑体" w:hAnsi="黑体" w:eastAsia="黑体"/>
          <w:b/>
          <w:sz w:val="36"/>
          <w:lang w:eastAsia="zh-CN"/>
        </w:rPr>
        <w:t>二</w:t>
      </w:r>
      <w:r>
        <w:rPr>
          <w:rFonts w:hint="eastAsia" w:ascii="黑体" w:hAnsi="黑体" w:eastAsia="黑体"/>
          <w:b/>
          <w:sz w:val="36"/>
        </w:rPr>
        <w:t>部分</w:t>
      </w:r>
      <w:r>
        <w:rPr>
          <w:rFonts w:ascii="黑体" w:hAnsi="黑体" w:eastAsia="黑体"/>
          <w:b/>
          <w:sz w:val="36"/>
        </w:rPr>
        <w:t xml:space="preserve"> </w:t>
      </w:r>
      <w:r>
        <w:rPr>
          <w:rFonts w:hint="eastAsia" w:ascii="黑体" w:hAnsi="黑体" w:eastAsia="黑体"/>
          <w:b/>
          <w:sz w:val="36"/>
        </w:rPr>
        <w:t>投标须知</w:t>
      </w:r>
    </w:p>
    <w:p/>
    <w:tbl>
      <w:tblPr>
        <w:tblStyle w:val="18"/>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pStyle w:val="16"/>
              <w:numPr>
                <w:ilvl w:val="0"/>
                <w:numId w:val="0"/>
              </w:numPr>
              <w:spacing w:line="440" w:lineRule="exact"/>
              <w:jc w:val="both"/>
              <w:rPr>
                <w:rFonts w:hint="eastAsia" w:ascii="仿宋" w:hAnsi="仿宋" w:eastAsia="仿宋"/>
                <w:sz w:val="24"/>
                <w:szCs w:val="22"/>
                <w:lang w:eastAsia="zh-CN"/>
              </w:rPr>
            </w:pPr>
            <w:r>
              <w:rPr>
                <w:rFonts w:hint="default" w:ascii="仿宋" w:hAnsi="仿宋" w:eastAsia="仿宋"/>
                <w:sz w:val="24"/>
                <w:szCs w:val="22"/>
                <w:lang w:val="en-US" w:eastAsia="zh-CN"/>
              </w:rPr>
              <w:t>ZJFZFCG2022-00</w:t>
            </w:r>
            <w:r>
              <w:rPr>
                <w:rFonts w:hint="eastAsia" w:ascii="仿宋" w:hAnsi="仿宋" w:eastAsia="仿宋"/>
                <w:sz w:val="24"/>
                <w:szCs w:val="22"/>
                <w:lang w:val="en-US" w:eastAsia="zh-CN"/>
              </w:rPr>
              <w:t>7</w:t>
            </w:r>
            <w:r>
              <w:rPr>
                <w:rFonts w:hint="default" w:ascii="仿宋" w:hAnsi="仿宋" w:eastAsia="仿宋"/>
                <w:sz w:val="24"/>
                <w:szCs w:val="22"/>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tcPr>
          <w:p>
            <w:pPr>
              <w:spacing w:line="440" w:lineRule="exact"/>
              <w:jc w:val="both"/>
              <w:rPr>
                <w:rFonts w:hint="eastAsia" w:ascii="仿宋" w:hAnsi="仿宋" w:eastAsia="仿宋" w:cs="宋体"/>
                <w:kern w:val="0"/>
                <w:sz w:val="24"/>
                <w:lang w:eastAsia="zh-CN"/>
              </w:rPr>
            </w:pPr>
            <w:r>
              <w:rPr>
                <w:rFonts w:hint="eastAsia" w:ascii="仿宋" w:hAnsi="仿宋" w:eastAsia="仿宋" w:cs="宋体"/>
                <w:kern w:val="0"/>
                <w:sz w:val="24"/>
                <w:lang w:eastAsia="zh-CN"/>
              </w:rPr>
              <w:t>和</w:t>
            </w:r>
            <w:r>
              <w:rPr>
                <w:rFonts w:hint="eastAsia" w:ascii="仿宋" w:hAnsi="仿宋" w:eastAsia="仿宋" w:cs="宋体"/>
                <w:kern w:val="0"/>
                <w:sz w:val="24"/>
                <w:lang w:val="en-US" w:eastAsia="zh-CN"/>
              </w:rPr>
              <w:t>硕县消防救援能力提升基础设施建设及车辆装备购置项目第三包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采购单位：</w:t>
            </w:r>
            <w:r>
              <w:rPr>
                <w:rFonts w:hint="eastAsia" w:ascii="仿宋" w:hAnsi="仿宋" w:eastAsia="仿宋"/>
                <w:sz w:val="24"/>
                <w:szCs w:val="22"/>
                <w:lang w:eastAsia="zh-CN"/>
              </w:rPr>
              <w:t>和硕县应急管理局</w:t>
            </w:r>
          </w:p>
          <w:p>
            <w:pPr>
              <w:overflowPunct w:val="0"/>
              <w:spacing w:line="440" w:lineRule="exact"/>
              <w:rPr>
                <w:rFonts w:hint="eastAsia" w:ascii="仿宋" w:hAnsi="仿宋" w:eastAsia="仿宋"/>
                <w:sz w:val="24"/>
                <w:szCs w:val="22"/>
              </w:rPr>
            </w:pPr>
            <w:r>
              <w:rPr>
                <w:rFonts w:hint="eastAsia" w:ascii="仿宋" w:hAnsi="仿宋" w:eastAsia="仿宋"/>
                <w:sz w:val="24"/>
                <w:szCs w:val="22"/>
              </w:rPr>
              <w:t>联系</w:t>
            </w:r>
            <w:r>
              <w:rPr>
                <w:rFonts w:hint="eastAsia" w:ascii="仿宋" w:hAnsi="仿宋" w:eastAsia="仿宋"/>
                <w:sz w:val="24"/>
                <w:szCs w:val="22"/>
                <w:lang w:eastAsia="zh-CN"/>
              </w:rPr>
              <w:t>人：</w:t>
            </w:r>
            <w:r>
              <w:rPr>
                <w:rFonts w:hint="eastAsia" w:ascii="仿宋" w:hAnsi="仿宋" w:eastAsia="仿宋"/>
                <w:sz w:val="24"/>
                <w:szCs w:val="22"/>
                <w:lang w:val="en-US" w:eastAsia="zh-CN"/>
              </w:rPr>
              <w:t xml:space="preserve">刘志刚 </w:t>
            </w:r>
            <w:r>
              <w:rPr>
                <w:rFonts w:hint="eastAsia" w:ascii="仿宋" w:hAnsi="仿宋" w:eastAsia="仿宋"/>
                <w:sz w:val="24"/>
                <w:szCs w:val="22"/>
                <w:lang w:eastAsia="zh-CN"/>
              </w:rPr>
              <w:t xml:space="preserve">    </w:t>
            </w:r>
            <w:r>
              <w:rPr>
                <w:rFonts w:hint="eastAsia" w:ascii="仿宋" w:hAnsi="仿宋" w:eastAsia="仿宋"/>
                <w:sz w:val="24"/>
                <w:szCs w:val="22"/>
                <w:lang w:val="en-US" w:eastAsia="zh-CN"/>
              </w:rPr>
              <w:t xml:space="preserve">      </w:t>
            </w:r>
            <w:r>
              <w:rPr>
                <w:rFonts w:hint="eastAsia" w:ascii="仿宋" w:hAnsi="仿宋" w:eastAsia="仿宋"/>
                <w:sz w:val="24"/>
                <w:szCs w:val="22"/>
              </w:rPr>
              <w:t xml:space="preserve">联系电话： </w:t>
            </w:r>
            <w:r>
              <w:rPr>
                <w:rFonts w:hint="eastAsia" w:ascii="仿宋" w:hAnsi="仿宋" w:eastAsia="仿宋"/>
                <w:sz w:val="24"/>
                <w:szCs w:val="22"/>
                <w:lang w:val="en-US" w:eastAsia="zh-CN"/>
              </w:rPr>
              <w:t>13909969630</w:t>
            </w:r>
          </w:p>
          <w:p>
            <w:pPr>
              <w:overflowPunct w:val="0"/>
              <w:spacing w:line="440" w:lineRule="exact"/>
              <w:rPr>
                <w:rFonts w:hint="eastAsia" w:ascii="仿宋" w:hAnsi="仿宋" w:eastAsia="仿宋"/>
                <w:sz w:val="24"/>
                <w:szCs w:val="22"/>
              </w:rPr>
            </w:pPr>
            <w:r>
              <w:rPr>
                <w:rFonts w:hint="eastAsia" w:ascii="仿宋" w:hAnsi="仿宋" w:eastAsia="仿宋"/>
                <w:sz w:val="24"/>
                <w:szCs w:val="22"/>
              </w:rPr>
              <w:t>招标代理机构：新疆正聚方企业管理咨询有限公司</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rPr>
              <w:t>招标公司地址：库尔勒市智慧嘉苑门面房65-01-3号2楼</w:t>
            </w:r>
          </w:p>
          <w:p>
            <w:pPr>
              <w:overflowPunct w:val="0"/>
              <w:spacing w:line="440" w:lineRule="exact"/>
              <w:rPr>
                <w:rFonts w:hint="eastAsia" w:ascii="仿宋" w:hAnsi="仿宋" w:eastAsia="仿宋"/>
                <w:sz w:val="24"/>
                <w:szCs w:val="22"/>
                <w:lang w:val="en-US" w:eastAsia="zh-CN"/>
              </w:rPr>
            </w:pPr>
            <w:r>
              <w:rPr>
                <w:rFonts w:hint="eastAsia" w:ascii="仿宋" w:hAnsi="仿宋" w:eastAsia="仿宋"/>
                <w:sz w:val="24"/>
                <w:szCs w:val="22"/>
              </w:rPr>
              <w:t>项目联系人：</w:t>
            </w:r>
            <w:r>
              <w:rPr>
                <w:rFonts w:hint="eastAsia" w:ascii="仿宋" w:hAnsi="仿宋" w:eastAsia="仿宋"/>
                <w:sz w:val="24"/>
                <w:szCs w:val="22"/>
                <w:lang w:eastAsia="zh-CN"/>
              </w:rPr>
              <w:t>彭诗毓</w:t>
            </w:r>
          </w:p>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rPr>
              <w:t>联系电话：</w:t>
            </w:r>
            <w:r>
              <w:rPr>
                <w:rFonts w:hint="eastAsia" w:ascii="仿宋" w:hAnsi="仿宋" w:eastAsia="仿宋"/>
                <w:sz w:val="24"/>
                <w:szCs w:val="22"/>
                <w:lang w:val="en-US" w:eastAsia="zh-CN"/>
              </w:rPr>
              <w:t>19190311206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lang w:val="en-US" w:eastAsia="zh-CN"/>
              </w:rPr>
              <w:t>招标</w:t>
            </w:r>
            <w:r>
              <w:rPr>
                <w:rFonts w:hint="eastAsia" w:ascii="仿宋" w:hAnsi="仿宋" w:eastAsia="仿宋"/>
                <w:sz w:val="24"/>
              </w:rPr>
              <w:t>内容</w:t>
            </w:r>
          </w:p>
        </w:tc>
        <w:tc>
          <w:tcPr>
            <w:tcW w:w="7674" w:type="dxa"/>
            <w:vAlign w:val="center"/>
          </w:tcPr>
          <w:p>
            <w:pPr>
              <w:overflowPunct w:val="0"/>
              <w:spacing w:line="440" w:lineRule="exact"/>
              <w:rPr>
                <w:rFonts w:hint="default"/>
                <w:lang w:val="en-US" w:eastAsia="zh-CN"/>
              </w:rPr>
            </w:pPr>
            <w:r>
              <w:rPr>
                <w:rFonts w:hint="eastAsia" w:ascii="仿宋" w:hAnsi="仿宋" w:eastAsia="仿宋"/>
                <w:sz w:val="24"/>
                <w:szCs w:val="22"/>
                <w:lang w:val="en-US" w:eastAsia="zh-CN"/>
              </w:rPr>
              <w:t>第三包：破拆工具组、单兵救援装备单人配置、单兵救援装备团队配置，详细内容详见清单；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1672" w:type="dxa"/>
            <w:vAlign w:val="center"/>
          </w:tcPr>
          <w:p>
            <w:pPr>
              <w:overflowPunct w:val="0"/>
              <w:spacing w:line="440" w:lineRule="exact"/>
              <w:jc w:val="center"/>
              <w:rPr>
                <w:rFonts w:ascii="仿宋" w:hAnsi="仿宋" w:eastAsia="仿宋"/>
                <w:color w:val="auto"/>
                <w:sz w:val="24"/>
                <w:szCs w:val="22"/>
              </w:rPr>
            </w:pPr>
            <w:r>
              <w:rPr>
                <w:rFonts w:hint="eastAsia" w:ascii="仿宋" w:hAnsi="仿宋" w:eastAsia="仿宋"/>
                <w:color w:val="auto"/>
                <w:sz w:val="24"/>
                <w:szCs w:val="22"/>
              </w:rPr>
              <w:t>预算金额</w:t>
            </w:r>
          </w:p>
        </w:tc>
        <w:tc>
          <w:tcPr>
            <w:tcW w:w="7674" w:type="dxa"/>
            <w:vAlign w:val="center"/>
          </w:tcPr>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198.81</w:t>
            </w:r>
            <w:r>
              <w:rPr>
                <w:rFonts w:hint="eastAsia" w:ascii="仿宋" w:hAnsi="仿宋" w:eastAsia="仿宋"/>
                <w:color w:val="auto"/>
                <w:sz w:val="24"/>
                <w:szCs w:val="22"/>
                <w:lang w:eastAsia="zh-CN"/>
              </w:rPr>
              <w:t>万</w:t>
            </w:r>
            <w:r>
              <w:rPr>
                <w:rFonts w:hint="eastAsia" w:ascii="仿宋" w:hAnsi="仿宋" w:eastAsia="仿宋"/>
                <w:color w:val="auto"/>
                <w:sz w:val="24"/>
                <w:szCs w:val="22"/>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hint="eastAsia" w:ascii="仿宋" w:hAnsi="仿宋" w:eastAsia="仿宋"/>
                <w:sz w:val="24"/>
                <w:szCs w:val="22"/>
              </w:rPr>
            </w:pPr>
            <w:r>
              <w:rPr>
                <w:rFonts w:hint="eastAsia" w:ascii="仿宋" w:hAnsi="仿宋" w:eastAsia="仿宋"/>
                <w:sz w:val="24"/>
                <w:szCs w:val="22"/>
              </w:rPr>
              <w:t>2、有效的“三证合一”的营业执照，且具备所投标的经营范围；</w:t>
            </w:r>
          </w:p>
          <w:p>
            <w:pPr>
              <w:overflowPunct w:val="0"/>
              <w:spacing w:line="440" w:lineRule="exact"/>
              <w:rPr>
                <w:rFonts w:hint="eastAsia" w:ascii="仿宋" w:hAnsi="仿宋" w:eastAsia="仿宋"/>
                <w:sz w:val="24"/>
                <w:szCs w:val="22"/>
              </w:rPr>
            </w:pPr>
            <w:r>
              <w:rPr>
                <w:rFonts w:hint="eastAsia" w:ascii="仿宋" w:hAnsi="仿宋" w:eastAsia="仿宋"/>
                <w:sz w:val="24"/>
                <w:szCs w:val="22"/>
              </w:rPr>
              <w:t>3、投标人需具备独立法人资格，能够承担相应的供货、服务能力，持有效营业执照的生产厂家或代理商；</w:t>
            </w:r>
          </w:p>
          <w:p>
            <w:pPr>
              <w:overflowPunct w:val="0"/>
              <w:spacing w:line="440" w:lineRule="exact"/>
              <w:rPr>
                <w:rFonts w:hint="eastAsia" w:ascii="仿宋" w:hAnsi="仿宋" w:eastAsia="仿宋"/>
                <w:sz w:val="24"/>
                <w:szCs w:val="22"/>
              </w:rPr>
            </w:pPr>
            <w:r>
              <w:rPr>
                <w:rFonts w:hint="eastAsia" w:ascii="仿宋" w:hAnsi="仿宋" w:eastAsia="仿宋"/>
                <w:sz w:val="24"/>
                <w:szCs w:val="22"/>
                <w:lang w:val="en-US" w:eastAsia="zh-CN"/>
              </w:rPr>
              <w:t>4</w:t>
            </w:r>
            <w:r>
              <w:rPr>
                <w:rFonts w:hint="eastAsia" w:ascii="仿宋" w:hAnsi="仿宋" w:eastAsia="仿宋"/>
                <w:sz w:val="24"/>
                <w:szCs w:val="22"/>
              </w:rPr>
              <w:t>、</w:t>
            </w:r>
            <w:r>
              <w:rPr>
                <w:rFonts w:hint="eastAsia" w:ascii="仿宋" w:hAnsi="仿宋" w:eastAsia="仿宋"/>
                <w:sz w:val="24"/>
                <w:szCs w:val="22"/>
                <w:lang w:eastAsia="zh-CN"/>
              </w:rPr>
              <w:t>近三年</w:t>
            </w:r>
            <w:r>
              <w:rPr>
                <w:rFonts w:hint="eastAsia" w:ascii="仿宋" w:hAnsi="仿宋" w:eastAsia="仿宋"/>
                <w:sz w:val="24"/>
                <w:szCs w:val="22"/>
              </w:rPr>
              <w:t>具有良好的商业信誉和健全的财务会计制度；</w:t>
            </w:r>
          </w:p>
          <w:p>
            <w:pPr>
              <w:overflowPunct w:val="0"/>
              <w:spacing w:line="440" w:lineRule="exact"/>
              <w:rPr>
                <w:rFonts w:hint="eastAsia" w:ascii="仿宋" w:hAnsi="仿宋" w:eastAsia="仿宋"/>
                <w:sz w:val="24"/>
                <w:szCs w:val="22"/>
              </w:rPr>
            </w:pPr>
            <w:r>
              <w:rPr>
                <w:rFonts w:hint="eastAsia" w:ascii="仿宋" w:hAnsi="仿宋" w:eastAsia="仿宋"/>
                <w:sz w:val="24"/>
                <w:szCs w:val="22"/>
                <w:lang w:val="en-US" w:eastAsia="zh-CN"/>
              </w:rPr>
              <w:t>5</w:t>
            </w:r>
            <w:r>
              <w:rPr>
                <w:rFonts w:hint="eastAsia" w:ascii="仿宋" w:hAnsi="仿宋" w:eastAsia="仿宋"/>
                <w:sz w:val="24"/>
                <w:szCs w:val="22"/>
              </w:rPr>
              <w:t>、近三年内，在经营活动中没有重大违法记录；</w:t>
            </w:r>
          </w:p>
          <w:p>
            <w:pPr>
              <w:overflowPunct w:val="0"/>
              <w:spacing w:line="440" w:lineRule="exact"/>
              <w:rPr>
                <w:rFonts w:hint="eastAsia" w:ascii="仿宋" w:hAnsi="仿宋" w:eastAsia="仿宋"/>
                <w:sz w:val="24"/>
                <w:szCs w:val="22"/>
              </w:rPr>
            </w:pPr>
            <w:r>
              <w:rPr>
                <w:rFonts w:hint="eastAsia" w:ascii="仿宋" w:hAnsi="仿宋" w:eastAsia="仿宋"/>
                <w:sz w:val="24"/>
                <w:szCs w:val="22"/>
                <w:lang w:val="en-US" w:eastAsia="zh-CN"/>
              </w:rPr>
              <w:t>6</w:t>
            </w:r>
            <w:r>
              <w:rPr>
                <w:rFonts w:hint="eastAsia" w:ascii="仿宋" w:hAnsi="仿宋" w:eastAsia="仿宋"/>
                <w:sz w:val="24"/>
                <w:szCs w:val="22"/>
              </w:rPr>
              <w:t>、经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20 天内）；</w:t>
            </w:r>
          </w:p>
          <w:p>
            <w:pPr>
              <w:overflowPunct w:val="0"/>
              <w:spacing w:line="440" w:lineRule="exact"/>
              <w:rPr>
                <w:rFonts w:hint="eastAsia" w:ascii="仿宋" w:hAnsi="仿宋" w:eastAsia="仿宋"/>
                <w:sz w:val="24"/>
                <w:szCs w:val="22"/>
              </w:rPr>
            </w:pPr>
            <w:r>
              <w:rPr>
                <w:rFonts w:hint="eastAsia" w:ascii="仿宋" w:hAnsi="仿宋" w:eastAsia="仿宋"/>
                <w:sz w:val="24"/>
                <w:szCs w:val="22"/>
                <w:lang w:val="en-US" w:eastAsia="zh-CN"/>
              </w:rPr>
              <w:t>7</w:t>
            </w:r>
            <w:r>
              <w:rPr>
                <w:rFonts w:hint="eastAsia" w:ascii="仿宋" w:hAnsi="仿宋" w:eastAsia="仿宋"/>
                <w:sz w:val="24"/>
                <w:szCs w:val="22"/>
              </w:rPr>
              <w:t>、按文件要求缴纳投标保证金；。</w:t>
            </w:r>
          </w:p>
          <w:p>
            <w:pPr>
              <w:overflowPunct w:val="0"/>
              <w:spacing w:line="440" w:lineRule="exact"/>
              <w:rPr>
                <w:rFonts w:hint="eastAsia"/>
              </w:rPr>
            </w:pPr>
            <w:r>
              <w:rPr>
                <w:rFonts w:hint="eastAsia" w:ascii="仿宋" w:hAnsi="仿宋" w:eastAsia="仿宋"/>
                <w:sz w:val="24"/>
                <w:szCs w:val="22"/>
                <w:lang w:val="en-US" w:eastAsia="zh-CN"/>
              </w:rPr>
              <w:t>8</w:t>
            </w:r>
            <w:r>
              <w:rPr>
                <w:rFonts w:hint="eastAsia" w:ascii="仿宋" w:hAnsi="仿宋" w:eastAsia="仿宋"/>
                <w:sz w:val="24"/>
                <w:szCs w:val="22"/>
              </w:rPr>
              <w:t>、为充分保证完善的售后服务，本项目不接受联合体投标。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1672" w:type="dxa"/>
            <w:tcBorders>
              <w:bottom w:val="single" w:color="auto" w:sz="4" w:space="0"/>
              <w:right w:val="single" w:color="auto" w:sz="4" w:space="0"/>
            </w:tcBorders>
            <w:vAlign w:val="center"/>
          </w:tcPr>
          <w:p>
            <w:pPr>
              <w:pStyle w:val="26"/>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hint="eastAsia"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hint="eastAsia" w:ascii="仿宋" w:hAnsi="仿宋" w:eastAsia="仿宋"/>
                <w:sz w:val="24"/>
                <w:szCs w:val="22"/>
              </w:rPr>
            </w:pPr>
            <w:r>
              <w:rPr>
                <w:rFonts w:hint="eastAsia" w:ascii="仿宋" w:hAnsi="仿宋" w:eastAsia="仿宋"/>
                <w:sz w:val="24"/>
                <w:szCs w:val="22"/>
              </w:rPr>
              <w:t>（2）查询方式：投标人自行通过“</w:t>
            </w:r>
            <w:r>
              <w:rPr>
                <w:rFonts w:hint="eastAsia" w:ascii="仿宋" w:hAnsi="仿宋" w:eastAsia="仿宋"/>
                <w:sz w:val="24"/>
                <w:szCs w:val="22"/>
                <w:lang w:eastAsia="zh-CN"/>
              </w:rPr>
              <w:t>信用中国</w:t>
            </w:r>
            <w:r>
              <w:rPr>
                <w:rFonts w:hint="eastAsia" w:ascii="仿宋" w:hAnsi="仿宋" w:eastAsia="仿宋"/>
                <w:sz w:val="24"/>
                <w:szCs w:val="22"/>
              </w:rPr>
              <w:t>”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hint="eastAsia"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hint="eastAsia" w:ascii="仿宋" w:hAnsi="仿宋" w:eastAsia="仿宋"/>
                <w:sz w:val="24"/>
                <w:lang w:val="en-US" w:eastAsia="zh-CN"/>
              </w:rPr>
            </w:pPr>
            <w:r>
              <w:rPr>
                <w:rFonts w:hint="eastAsia" w:ascii="仿宋" w:hAnsi="仿宋" w:eastAsia="仿宋"/>
                <w:sz w:val="24"/>
                <w:lang w:val="en-US" w:eastAsia="zh-CN"/>
              </w:rPr>
              <w:t>60天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979"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lang w:val="en-US" w:eastAsia="zh-CN"/>
              </w:rPr>
              <w:t>招标</w:t>
            </w:r>
            <w:r>
              <w:rPr>
                <w:rFonts w:hint="eastAsia" w:ascii="仿宋" w:hAnsi="仿宋" w:eastAsia="仿宋"/>
                <w:sz w:val="24"/>
              </w:rPr>
              <w:t>文件发放日期</w:t>
            </w:r>
          </w:p>
        </w:tc>
        <w:tc>
          <w:tcPr>
            <w:tcW w:w="7674" w:type="dxa"/>
            <w:vAlign w:val="center"/>
          </w:tcPr>
          <w:p>
            <w:pPr>
              <w:overflowPunct w:val="0"/>
              <w:spacing w:line="440" w:lineRule="exact"/>
              <w:rPr>
                <w:rFonts w:hint="eastAsia" w:ascii="仿宋" w:hAnsi="仿宋" w:eastAsia="仿宋" w:cs="宋体"/>
                <w:kern w:val="0"/>
                <w:szCs w:val="21"/>
                <w:lang w:eastAsia="zh-CN"/>
              </w:rPr>
            </w:pPr>
            <w:r>
              <w:rPr>
                <w:rFonts w:hint="eastAsia" w:ascii="仿宋" w:hAnsi="仿宋" w:eastAsia="仿宋"/>
                <w:sz w:val="24"/>
                <w:highlight w:val="none"/>
              </w:rPr>
              <w:t>时间：</w:t>
            </w:r>
            <w:r>
              <w:rPr>
                <w:rFonts w:hint="eastAsia" w:ascii="仿宋" w:hAnsi="仿宋" w:eastAsia="仿宋" w:cs="宋体"/>
                <w:kern w:val="0"/>
                <w:sz w:val="24"/>
                <w:szCs w:val="24"/>
                <w:highlight w:val="none"/>
              </w:rPr>
              <w:t>202</w:t>
            </w: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lang w:val="en-US" w:eastAsia="zh-CN"/>
              </w:rPr>
              <w:t>08</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03</w:t>
            </w:r>
            <w:r>
              <w:rPr>
                <w:rFonts w:hint="eastAsia" w:ascii="仿宋" w:hAnsi="仿宋" w:eastAsia="仿宋" w:cs="宋体"/>
                <w:kern w:val="0"/>
                <w:sz w:val="24"/>
                <w:szCs w:val="24"/>
                <w:highlight w:val="none"/>
              </w:rPr>
              <w:t>日至2020年</w:t>
            </w:r>
            <w:r>
              <w:rPr>
                <w:rFonts w:hint="eastAsia" w:ascii="仿宋" w:hAnsi="仿宋" w:eastAsia="仿宋" w:cs="宋体"/>
                <w:kern w:val="0"/>
                <w:sz w:val="24"/>
                <w:szCs w:val="24"/>
                <w:highlight w:val="none"/>
                <w:lang w:val="en-US" w:eastAsia="zh-CN"/>
              </w:rPr>
              <w:t>08</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 xml:space="preserve">10日  </w:t>
            </w:r>
            <w:r>
              <w:rPr>
                <w:rFonts w:hint="eastAsia" w:ascii="仿宋" w:hAnsi="仿宋" w:eastAsia="仿宋"/>
                <w:sz w:val="24"/>
                <w:highlight w:val="none"/>
              </w:rPr>
              <w:t>（工作日</w:t>
            </w:r>
            <w:r>
              <w:rPr>
                <w:rFonts w:hint="eastAsia" w:ascii="仿宋" w:hAnsi="仿宋" w:eastAsia="仿宋"/>
                <w:sz w:val="24"/>
                <w:highlight w:val="none"/>
                <w:lang w:val="en-US" w:eastAsia="zh-CN"/>
              </w:rPr>
              <w:t>10</w:t>
            </w:r>
            <w:r>
              <w:rPr>
                <w:rFonts w:hint="eastAsia" w:ascii="仿宋" w:hAnsi="仿宋" w:eastAsia="仿宋"/>
                <w:sz w:val="24"/>
                <w:highlight w:val="none"/>
              </w:rPr>
              <w:t>：</w:t>
            </w:r>
            <w:r>
              <w:rPr>
                <w:rFonts w:hint="eastAsia" w:ascii="仿宋" w:hAnsi="仿宋" w:eastAsia="仿宋"/>
                <w:sz w:val="24"/>
                <w:highlight w:val="none"/>
                <w:lang w:val="en-US" w:eastAsia="zh-CN"/>
              </w:rPr>
              <w:t>0</w:t>
            </w:r>
            <w:r>
              <w:rPr>
                <w:rFonts w:ascii="仿宋" w:hAnsi="仿宋" w:eastAsia="仿宋"/>
                <w:sz w:val="24"/>
                <w:highlight w:val="none"/>
              </w:rPr>
              <w:t>0-1</w:t>
            </w:r>
            <w:r>
              <w:rPr>
                <w:rFonts w:hint="eastAsia" w:ascii="仿宋" w:hAnsi="仿宋" w:eastAsia="仿宋"/>
                <w:sz w:val="24"/>
                <w:highlight w:val="none"/>
                <w:lang w:val="en-US" w:eastAsia="zh-CN"/>
              </w:rPr>
              <w:t>4</w:t>
            </w:r>
            <w:r>
              <w:rPr>
                <w:rFonts w:hint="eastAsia" w:ascii="仿宋" w:hAnsi="仿宋" w:eastAsia="仿宋"/>
                <w:sz w:val="24"/>
                <w:highlight w:val="none"/>
              </w:rPr>
              <w:t>：</w:t>
            </w:r>
            <w:r>
              <w:rPr>
                <w:rFonts w:hint="eastAsia" w:ascii="仿宋" w:hAnsi="仿宋" w:eastAsia="仿宋"/>
                <w:sz w:val="24"/>
                <w:highlight w:val="none"/>
                <w:lang w:val="en-US" w:eastAsia="zh-CN"/>
              </w:rPr>
              <w:t>0</w:t>
            </w:r>
            <w:r>
              <w:rPr>
                <w:rFonts w:ascii="仿宋" w:hAnsi="仿宋" w:eastAsia="仿宋"/>
                <w:sz w:val="24"/>
                <w:highlight w:val="none"/>
              </w:rPr>
              <w:t>0</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6：</w:t>
            </w:r>
            <w:r>
              <w:rPr>
                <w:rFonts w:hint="eastAsia" w:ascii="仿宋" w:hAnsi="仿宋" w:eastAsia="仿宋"/>
                <w:sz w:val="24"/>
                <w:highlight w:val="none"/>
                <w:lang w:val="en-US" w:eastAsia="zh-CN"/>
              </w:rPr>
              <w:t>0</w:t>
            </w:r>
            <w:r>
              <w:rPr>
                <w:rFonts w:ascii="仿宋" w:hAnsi="仿宋" w:eastAsia="仿宋"/>
                <w:sz w:val="24"/>
                <w:highlight w:val="none"/>
              </w:rPr>
              <w:t>0-1</w:t>
            </w:r>
            <w:r>
              <w:rPr>
                <w:rFonts w:hint="eastAsia" w:ascii="仿宋" w:hAnsi="仿宋" w:eastAsia="仿宋"/>
                <w:sz w:val="24"/>
                <w:highlight w:val="none"/>
              </w:rPr>
              <w:t>9：</w:t>
            </w:r>
            <w:r>
              <w:rPr>
                <w:rFonts w:hint="eastAsia" w:ascii="仿宋" w:hAnsi="仿宋" w:eastAsia="仿宋"/>
                <w:sz w:val="24"/>
                <w:highlight w:val="none"/>
                <w:lang w:val="en-US" w:eastAsia="zh-CN"/>
              </w:rPr>
              <w:t>3</w:t>
            </w:r>
            <w:r>
              <w:rPr>
                <w:rFonts w:ascii="仿宋" w:hAnsi="仿宋" w:eastAsia="仿宋"/>
                <w:sz w:val="24"/>
                <w:highlight w:val="none"/>
              </w:rPr>
              <w:t>0</w:t>
            </w:r>
            <w:r>
              <w:rPr>
                <w:rFonts w:hint="eastAsia" w:ascii="仿宋" w:hAnsi="仿宋" w:eastAsia="仿宋"/>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8" w:hRule="atLeast"/>
          <w:jc w:val="center"/>
        </w:trPr>
        <w:tc>
          <w:tcPr>
            <w:tcW w:w="979"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12</w:t>
            </w:r>
          </w:p>
        </w:tc>
        <w:tc>
          <w:tcPr>
            <w:tcW w:w="1672" w:type="dxa"/>
            <w:vAlign w:val="center"/>
          </w:tcPr>
          <w:p>
            <w:pPr>
              <w:overflowPunct w:val="0"/>
              <w:spacing w:line="440" w:lineRule="exact"/>
              <w:jc w:val="center"/>
              <w:rPr>
                <w:rFonts w:hint="eastAsia" w:ascii="仿宋" w:hAnsi="仿宋" w:eastAsia="仿宋"/>
                <w:sz w:val="24"/>
                <w:highlight w:val="none"/>
                <w:lang w:eastAsia="zh-CN"/>
              </w:rPr>
            </w:pPr>
            <w:r>
              <w:rPr>
                <w:rFonts w:hint="eastAsia" w:ascii="仿宋" w:hAnsi="仿宋" w:eastAsia="仿宋"/>
                <w:sz w:val="24"/>
                <w:highlight w:val="none"/>
                <w:lang w:eastAsia="zh-CN"/>
              </w:rPr>
              <w:t>标前准备</w:t>
            </w:r>
          </w:p>
        </w:tc>
        <w:tc>
          <w:tcPr>
            <w:tcW w:w="7674" w:type="dxa"/>
            <w:vAlign w:val="center"/>
          </w:tcPr>
          <w:p>
            <w:pPr>
              <w:pStyle w:val="1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1、本项目实行网上投标，采用电子投标文件。若供应商参与投标，自行承担投标一切费用。</w:t>
            </w:r>
          </w:p>
          <w:p>
            <w:pPr>
              <w:pStyle w:val="15"/>
              <w:widowControl/>
              <w:spacing w:line="435" w:lineRule="atLeast"/>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widowControl/>
              <w:spacing w:line="435" w:lineRule="atLeast"/>
              <w:rPr>
                <w:rFonts w:ascii="仿宋" w:hAnsi="仿宋" w:eastAsia="仿宋"/>
                <w:sz w:val="24"/>
                <w:highlight w:val="yellow"/>
              </w:rPr>
            </w:pPr>
            <w:r>
              <w:rPr>
                <w:rFonts w:hint="eastAsia" w:ascii="仿宋" w:hAnsi="仿宋" w:eastAsia="仿宋" w:cs="宋体"/>
                <w:kern w:val="0"/>
                <w:sz w:val="24"/>
                <w:szCs w:val="24"/>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宋体"/>
                <w:kern w:val="0"/>
                <w:sz w:val="24"/>
                <w:szCs w:val="24"/>
                <w:highlight w:val="none"/>
                <w:lang w:val="en-US" w:eastAsia="zh-CN" w:bidi="ar-SA"/>
              </w:rPr>
              <w:fldChar w:fldCharType="begin"/>
            </w:r>
            <w:r>
              <w:rPr>
                <w:rFonts w:hint="eastAsia" w:ascii="仿宋" w:hAnsi="仿宋" w:eastAsia="仿宋" w:cs="宋体"/>
                <w:kern w:val="0"/>
                <w:sz w:val="24"/>
                <w:szCs w:val="24"/>
                <w:highlight w:val="none"/>
                <w:lang w:val="en-US" w:eastAsia="zh-CN" w:bidi="ar-SA"/>
              </w:rPr>
              <w:instrText xml:space="preserve"> HYPERLINK "http://www.ccgp-xinjiang.gov.cn/" </w:instrText>
            </w:r>
            <w:r>
              <w:rPr>
                <w:rFonts w:hint="eastAsia" w:ascii="仿宋" w:hAnsi="仿宋" w:eastAsia="仿宋" w:cs="宋体"/>
                <w:kern w:val="0"/>
                <w:sz w:val="24"/>
                <w:szCs w:val="24"/>
                <w:highlight w:val="none"/>
                <w:lang w:val="en-US" w:eastAsia="zh-CN" w:bidi="ar-SA"/>
              </w:rPr>
              <w:fldChar w:fldCharType="separate"/>
            </w:r>
            <w:r>
              <w:rPr>
                <w:rFonts w:hint="eastAsia" w:ascii="仿宋" w:hAnsi="仿宋" w:eastAsia="仿宋" w:cs="宋体"/>
                <w:kern w:val="0"/>
                <w:sz w:val="24"/>
                <w:szCs w:val="24"/>
                <w:highlight w:val="none"/>
                <w:lang w:val="en-US" w:eastAsia="zh-CN" w:bidi="ar-SA"/>
              </w:rPr>
              <w:t>http://www.ccgp-xinjiang.gov.cn/</w:t>
            </w:r>
            <w:r>
              <w:rPr>
                <w:rFonts w:hint="eastAsia" w:ascii="仿宋" w:hAnsi="仿宋" w:eastAsia="仿宋" w:cs="宋体"/>
                <w:kern w:val="0"/>
                <w:sz w:val="24"/>
                <w:szCs w:val="24"/>
                <w:highlight w:val="none"/>
                <w:lang w:val="en-US" w:eastAsia="zh-CN" w:bidi="ar-SA"/>
              </w:rPr>
              <w:fldChar w:fldCharType="end"/>
            </w:r>
            <w:r>
              <w:rPr>
                <w:rFonts w:hint="eastAsia" w:ascii="仿宋" w:hAnsi="仿宋" w:eastAsia="仿宋" w:cs="宋体"/>
                <w:kern w:val="0"/>
                <w:sz w:val="24"/>
                <w:szCs w:val="24"/>
                <w:highlight w:val="none"/>
                <w:lang w:val="en-US" w:eastAsia="zh-CN" w:bidi="ar-SA"/>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w:t>
            </w:r>
            <w:r>
              <w:rPr>
                <w:rFonts w:hint="eastAsia" w:ascii="仿宋" w:hAnsi="仿宋" w:eastAsia="仿宋"/>
                <w:sz w:val="24"/>
                <w:lang w:eastAsia="zh-CN"/>
              </w:rPr>
              <w:t>地点</w:t>
            </w:r>
            <w:r>
              <w:rPr>
                <w:rFonts w:hint="eastAsia" w:ascii="仿宋" w:hAnsi="仿宋" w:eastAsia="仿宋"/>
                <w:sz w:val="24"/>
              </w:rPr>
              <w:t>及投标文件递交</w:t>
            </w:r>
          </w:p>
        </w:tc>
        <w:tc>
          <w:tcPr>
            <w:tcW w:w="7674" w:type="dxa"/>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政采云平台（www.zcygov.cn）</w:t>
            </w:r>
          </w:p>
          <w:p>
            <w:pPr>
              <w:overflowPunct w:val="0"/>
              <w:spacing w:line="440" w:lineRule="exact"/>
              <w:rPr>
                <w:rFonts w:hint="eastAsia" w:ascii="仿宋" w:hAnsi="仿宋" w:eastAsia="仿宋"/>
                <w:sz w:val="24"/>
                <w:szCs w:val="22"/>
              </w:rPr>
            </w:pPr>
            <w:r>
              <w:rPr>
                <w:rFonts w:hint="eastAsia" w:ascii="仿宋" w:hAnsi="仿宋" w:eastAsia="仿宋"/>
                <w:sz w:val="24"/>
                <w:szCs w:val="22"/>
              </w:rPr>
              <w:t>投标人应于202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w:t>
            </w:r>
            <w:r>
              <w:rPr>
                <w:rFonts w:hint="eastAsia" w:ascii="仿宋" w:hAnsi="仿宋" w:eastAsia="仿宋"/>
                <w:sz w:val="24"/>
                <w:szCs w:val="22"/>
              </w:rPr>
              <w:t>月</w:t>
            </w:r>
            <w:r>
              <w:rPr>
                <w:rFonts w:hint="eastAsia" w:ascii="仿宋" w:hAnsi="仿宋" w:eastAsia="仿宋"/>
                <w:sz w:val="24"/>
                <w:szCs w:val="22"/>
                <w:lang w:val="en-US" w:eastAsia="zh-CN"/>
              </w:rPr>
              <w:t>23</w:t>
            </w:r>
            <w:r>
              <w:rPr>
                <w:rFonts w:hint="eastAsia" w:ascii="仿宋" w:hAnsi="仿宋" w:eastAsia="仿宋"/>
                <w:sz w:val="24"/>
                <w:szCs w:val="22"/>
              </w:rPr>
              <w:t>日</w:t>
            </w:r>
            <w:r>
              <w:rPr>
                <w:rFonts w:hint="eastAsia" w:ascii="仿宋" w:hAnsi="仿宋" w:eastAsia="仿宋"/>
                <w:sz w:val="24"/>
                <w:szCs w:val="22"/>
                <w:lang w:val="en-US" w:eastAsia="zh-CN"/>
              </w:rPr>
              <w:t>10</w:t>
            </w:r>
            <w:r>
              <w:rPr>
                <w:rFonts w:hint="eastAsia" w:ascii="仿宋" w:hAnsi="仿宋" w:eastAsia="仿宋"/>
                <w:sz w:val="24"/>
                <w:szCs w:val="22"/>
              </w:rPr>
              <w:t>:</w:t>
            </w:r>
            <w:r>
              <w:rPr>
                <w:rFonts w:hint="eastAsia" w:ascii="仿宋" w:hAnsi="仿宋" w:eastAsia="仿宋"/>
                <w:sz w:val="24"/>
                <w:szCs w:val="22"/>
                <w:lang w:val="en-US" w:eastAsia="zh-CN"/>
              </w:rPr>
              <w:t>3</w:t>
            </w:r>
            <w:r>
              <w:rPr>
                <w:rFonts w:hint="eastAsia" w:ascii="仿宋" w:hAnsi="仿宋" w:eastAsia="仿宋"/>
                <w:sz w:val="24"/>
                <w:szCs w:val="22"/>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68" w:hRule="atLeast"/>
          <w:jc w:val="center"/>
        </w:trPr>
        <w:tc>
          <w:tcPr>
            <w:tcW w:w="979" w:type="dxa"/>
            <w:vAlign w:val="center"/>
          </w:tcPr>
          <w:p>
            <w:pPr>
              <w:overflowPunct w:val="0"/>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14</w:t>
            </w:r>
          </w:p>
        </w:tc>
        <w:tc>
          <w:tcPr>
            <w:tcW w:w="1672"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rPr>
              <w:t>招标文件</w:t>
            </w:r>
            <w:r>
              <w:rPr>
                <w:rFonts w:hint="eastAsia" w:ascii="仿宋" w:hAnsi="仿宋" w:eastAsia="仿宋"/>
                <w:sz w:val="24"/>
                <w:lang w:eastAsia="zh-CN"/>
              </w:rPr>
              <w:t>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hint="eastAsia" w:ascii="仿宋" w:hAnsi="仿宋" w:eastAsia="仿宋"/>
                <w:color w:val="auto"/>
                <w:sz w:val="24"/>
                <w:szCs w:val="22"/>
              </w:rPr>
            </w:pPr>
            <w:r>
              <w:rPr>
                <w:rFonts w:hint="eastAsia" w:ascii="仿宋" w:hAnsi="仿宋" w:eastAsia="仿宋"/>
                <w:sz w:val="24"/>
                <w:szCs w:val="22"/>
              </w:rPr>
              <w:t>开标时间后</w:t>
            </w:r>
            <w:r>
              <w:rPr>
                <w:rFonts w:hint="eastAsia" w:ascii="仿宋" w:hAnsi="仿宋" w:eastAsia="仿宋"/>
                <w:sz w:val="24"/>
                <w:szCs w:val="22"/>
                <w:lang w:val="en-US" w:eastAsia="zh-CN"/>
              </w:rPr>
              <w:t>30分钟</w:t>
            </w:r>
            <w:r>
              <w:rPr>
                <w:rFonts w:hint="eastAsia" w:ascii="仿宋" w:hAnsi="仿宋" w:eastAsia="仿宋"/>
                <w:sz w:val="24"/>
                <w:szCs w:val="22"/>
              </w:rPr>
              <w:t>内（202</w:t>
            </w:r>
            <w:r>
              <w:rPr>
                <w:rFonts w:hint="eastAsia" w:ascii="仿宋" w:hAnsi="仿宋" w:eastAsia="仿宋"/>
                <w:sz w:val="24"/>
                <w:szCs w:val="22"/>
                <w:lang w:val="en-US" w:eastAsia="zh-CN"/>
              </w:rPr>
              <w:t>2</w:t>
            </w:r>
            <w:r>
              <w:rPr>
                <w:rFonts w:hint="eastAsia" w:ascii="仿宋" w:hAnsi="仿宋" w:eastAsia="仿宋"/>
                <w:sz w:val="24"/>
                <w:szCs w:val="22"/>
              </w:rPr>
              <w:t>年</w:t>
            </w:r>
            <w:r>
              <w:rPr>
                <w:rFonts w:hint="eastAsia" w:ascii="仿宋" w:hAnsi="仿宋" w:eastAsia="仿宋"/>
                <w:sz w:val="24"/>
                <w:szCs w:val="22"/>
                <w:lang w:val="en-US" w:eastAsia="zh-CN"/>
              </w:rPr>
              <w:t>08</w:t>
            </w:r>
            <w:r>
              <w:rPr>
                <w:rFonts w:hint="eastAsia" w:ascii="仿宋" w:hAnsi="仿宋" w:eastAsia="仿宋"/>
                <w:sz w:val="24"/>
                <w:szCs w:val="22"/>
              </w:rPr>
              <w:t>月</w:t>
            </w:r>
            <w:r>
              <w:rPr>
                <w:rFonts w:hint="eastAsia" w:ascii="仿宋" w:hAnsi="仿宋" w:eastAsia="仿宋"/>
                <w:sz w:val="24"/>
                <w:szCs w:val="22"/>
                <w:lang w:val="en-US" w:eastAsia="zh-CN"/>
              </w:rPr>
              <w:t xml:space="preserve">23 </w:t>
            </w:r>
            <w:r>
              <w:rPr>
                <w:rFonts w:hint="eastAsia" w:ascii="仿宋" w:hAnsi="仿宋" w:eastAsia="仿宋"/>
                <w:sz w:val="24"/>
                <w:szCs w:val="22"/>
              </w:rPr>
              <w:t>日上午10:</w:t>
            </w:r>
            <w:r>
              <w:rPr>
                <w:rFonts w:hint="eastAsia" w:ascii="仿宋" w:hAnsi="仿宋" w:eastAsia="仿宋"/>
                <w:sz w:val="24"/>
                <w:szCs w:val="22"/>
                <w:lang w:val="en-US" w:eastAsia="zh-CN"/>
              </w:rPr>
              <w:t>3</w:t>
            </w:r>
            <w:r>
              <w:rPr>
                <w:rFonts w:hint="eastAsia" w:ascii="仿宋" w:hAnsi="仿宋" w:eastAsia="仿宋"/>
                <w:sz w:val="24"/>
                <w:szCs w:val="22"/>
              </w:rPr>
              <w:t>0</w:t>
            </w:r>
            <w:r>
              <w:rPr>
                <w:rFonts w:hint="eastAsia" w:ascii="仿宋" w:hAnsi="仿宋" w:eastAsia="仿宋"/>
                <w:sz w:val="24"/>
                <w:szCs w:val="22"/>
                <w:lang w:val="en-US" w:eastAsia="zh-CN"/>
              </w:rPr>
              <w:t>-11：00</w:t>
            </w:r>
            <w:r>
              <w:rPr>
                <w:rFonts w:hint="eastAsia" w:ascii="仿宋" w:hAnsi="仿宋" w:eastAsia="仿宋"/>
                <w:sz w:val="24"/>
                <w:szCs w:val="22"/>
              </w:rPr>
              <w:t>前）供应商可以登录“政采云”平台，用“项目采购-开标评标”功能进行解密投标文件。若供应商在规定时</w:t>
            </w:r>
            <w:r>
              <w:rPr>
                <w:rFonts w:hint="eastAsia" w:ascii="仿宋" w:hAnsi="仿宋" w:eastAsia="仿宋"/>
                <w:color w:val="auto"/>
                <w:sz w:val="24"/>
                <w:szCs w:val="22"/>
              </w:rPr>
              <w:t>间内（2020年</w:t>
            </w:r>
            <w:r>
              <w:rPr>
                <w:rFonts w:hint="eastAsia" w:ascii="仿宋" w:hAnsi="仿宋" w:eastAsia="仿宋"/>
                <w:color w:val="auto"/>
                <w:sz w:val="24"/>
                <w:szCs w:val="22"/>
                <w:lang w:val="en-US" w:eastAsia="zh-CN"/>
              </w:rPr>
              <w:t>08</w:t>
            </w:r>
            <w:r>
              <w:rPr>
                <w:rFonts w:hint="eastAsia" w:ascii="仿宋" w:hAnsi="仿宋" w:eastAsia="仿宋"/>
                <w:color w:val="auto"/>
                <w:sz w:val="24"/>
                <w:szCs w:val="22"/>
              </w:rPr>
              <w:t>月</w:t>
            </w:r>
            <w:r>
              <w:rPr>
                <w:rFonts w:hint="eastAsia" w:ascii="仿宋" w:hAnsi="仿宋" w:eastAsia="仿宋"/>
                <w:color w:val="auto"/>
                <w:sz w:val="24"/>
                <w:szCs w:val="22"/>
                <w:lang w:val="en-US" w:eastAsia="zh-CN"/>
              </w:rPr>
              <w:t xml:space="preserve"> 23</w:t>
            </w:r>
            <w:r>
              <w:rPr>
                <w:rFonts w:hint="eastAsia" w:ascii="仿宋" w:hAnsi="仿宋" w:eastAsia="仿宋"/>
                <w:color w:val="auto"/>
                <w:sz w:val="24"/>
                <w:szCs w:val="22"/>
              </w:rPr>
              <w:t>日上午</w:t>
            </w:r>
            <w:r>
              <w:rPr>
                <w:rFonts w:hint="eastAsia" w:ascii="仿宋" w:hAnsi="仿宋" w:eastAsia="仿宋"/>
                <w:color w:val="auto"/>
                <w:sz w:val="24"/>
                <w:szCs w:val="22"/>
                <w:lang w:val="en-US" w:eastAsia="zh-CN"/>
              </w:rPr>
              <w:t>11</w:t>
            </w:r>
            <w:r>
              <w:rPr>
                <w:rFonts w:hint="eastAsia" w:ascii="仿宋" w:hAnsi="仿宋" w:eastAsia="仿宋"/>
                <w:color w:val="auto"/>
                <w:sz w:val="24"/>
                <w:szCs w:val="22"/>
              </w:rPr>
              <w:t>:</w:t>
            </w:r>
            <w:r>
              <w:rPr>
                <w:rFonts w:hint="eastAsia" w:ascii="仿宋" w:hAnsi="仿宋" w:eastAsia="仿宋"/>
                <w:color w:val="auto"/>
                <w:sz w:val="24"/>
                <w:szCs w:val="22"/>
                <w:lang w:val="en-US" w:eastAsia="zh-CN"/>
              </w:rPr>
              <w:t>0</w:t>
            </w:r>
            <w:r>
              <w:rPr>
                <w:rFonts w:hint="eastAsia" w:ascii="仿宋" w:hAnsi="仿宋" w:eastAsia="仿宋"/>
                <w:color w:val="auto"/>
                <w:sz w:val="24"/>
                <w:szCs w:val="22"/>
              </w:rPr>
              <w:t>0前）</w:t>
            </w:r>
          </w:p>
          <w:p>
            <w:pPr>
              <w:widowControl/>
              <w:spacing w:line="400" w:lineRule="exact"/>
              <w:jc w:val="left"/>
              <w:rPr>
                <w:rFonts w:ascii="仿宋" w:hAnsi="仿宋" w:eastAsia="仿宋" w:cs="Arial"/>
                <w:kern w:val="0"/>
                <w:sz w:val="24"/>
                <w:szCs w:val="28"/>
              </w:rPr>
            </w:pPr>
            <w:r>
              <w:rPr>
                <w:rFonts w:hint="eastAsia" w:ascii="仿宋" w:hAnsi="仿宋" w:eastAsia="仿宋"/>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15</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投标单位不用现场投标，按规定时间上传电子投标书即可。（投标结束后投标供应商在5天内将投标文件（一正二副）递交至库尔勒市智慧嘉苑门面房65-01-3号2楼；联系人：彭诗毓；联系电话19190311206）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color w:val="auto"/>
                <w:kern w:val="0"/>
                <w:sz w:val="24"/>
              </w:rPr>
            </w:pPr>
            <w:r>
              <w:rPr>
                <w:rFonts w:hint="eastAsia" w:ascii="仿宋" w:hAnsi="仿宋" w:eastAsia="仿宋" w:cs="宋体"/>
                <w:color w:val="auto"/>
                <w:kern w:val="0"/>
                <w:sz w:val="24"/>
                <w:lang w:eastAsia="zh-CN"/>
              </w:rPr>
              <w:t>按（</w:t>
            </w:r>
            <w:r>
              <w:rPr>
                <w:rFonts w:hint="eastAsia" w:ascii="仿宋" w:hAnsi="仿宋" w:eastAsia="仿宋" w:cs="宋体"/>
                <w:color w:val="auto"/>
                <w:kern w:val="0"/>
                <w:sz w:val="24"/>
                <w:lang w:val="en-US" w:eastAsia="zh-CN"/>
              </w:rPr>
              <w:t>2002</w:t>
            </w:r>
            <w:r>
              <w:rPr>
                <w:rFonts w:hint="eastAsia" w:ascii="仿宋" w:hAnsi="仿宋" w:eastAsia="仿宋" w:cs="宋体"/>
                <w:color w:val="auto"/>
                <w:kern w:val="0"/>
                <w:sz w:val="24"/>
                <w:lang w:eastAsia="zh-CN"/>
              </w:rPr>
              <w:t>）</w:t>
            </w:r>
            <w:r>
              <w:rPr>
                <w:rFonts w:hint="eastAsia" w:ascii="仿宋" w:hAnsi="仿宋" w:eastAsia="仿宋" w:cs="宋体"/>
                <w:color w:val="auto"/>
                <w:kern w:val="0"/>
                <w:sz w:val="24"/>
                <w:lang w:val="en-US" w:eastAsia="zh-CN"/>
              </w:rPr>
              <w:t>1980号文收取代理费</w:t>
            </w:r>
            <w:r>
              <w:rPr>
                <w:rFonts w:hint="eastAsia" w:ascii="仿宋" w:hAnsi="仿宋" w:eastAsia="仿宋" w:cs="宋体"/>
                <w:color w:val="auto"/>
                <w:kern w:val="0"/>
                <w:sz w:val="24"/>
              </w:rPr>
              <w:t>，由中标单位一次性支付。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tcBorders>
              <w:top w:val="single" w:color="auto" w:sz="4" w:space="0"/>
            </w:tcBorders>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17</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ascii="仿宋" w:hAnsi="仿宋" w:eastAsia="仿宋"/>
                <w:b/>
                <w:color w:val="auto"/>
                <w:sz w:val="24"/>
              </w:rPr>
            </w:pPr>
            <w:r>
              <w:rPr>
                <w:rFonts w:hint="eastAsia" w:ascii="仿宋" w:hAnsi="仿宋" w:eastAsia="仿宋" w:cs="仿宋"/>
                <w:b w:val="0"/>
                <w:bCs/>
                <w:color w:val="auto"/>
                <w:sz w:val="24"/>
                <w:szCs w:val="24"/>
              </w:rPr>
              <w:t>签订合同后，支付30%的预付款，全部货物到达采购人指定现场并经验收合格</w:t>
            </w:r>
            <w:r>
              <w:rPr>
                <w:rFonts w:hint="eastAsia" w:ascii="仿宋" w:hAnsi="仿宋" w:eastAsia="仿宋" w:cs="仿宋"/>
                <w:b w:val="0"/>
                <w:bCs/>
                <w:color w:val="auto"/>
                <w:sz w:val="24"/>
                <w:szCs w:val="24"/>
                <w:lang w:eastAsia="zh-CN"/>
              </w:rPr>
              <w:t>支付</w:t>
            </w:r>
            <w:r>
              <w:rPr>
                <w:rFonts w:hint="eastAsia" w:ascii="仿宋" w:hAnsi="仿宋" w:eastAsia="仿宋" w:cs="仿宋"/>
                <w:b w:val="0"/>
                <w:bCs/>
                <w:color w:val="auto"/>
                <w:sz w:val="24"/>
                <w:szCs w:val="24"/>
              </w:rPr>
              <w:t>9</w:t>
            </w: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rPr>
              <w:t>%；留</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 的质量保证金。</w:t>
            </w:r>
            <w:r>
              <w:rPr>
                <w:rFonts w:hint="eastAsia" w:ascii="仿宋" w:hAnsi="仿宋" w:eastAsia="仿宋" w:cs="仿宋"/>
                <w:b/>
                <w:color w:val="auto"/>
                <w:sz w:val="24"/>
                <w:szCs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相关账号</w:t>
            </w:r>
          </w:p>
        </w:tc>
        <w:tc>
          <w:tcPr>
            <w:tcW w:w="7674" w:type="dxa"/>
            <w:vAlign w:val="center"/>
          </w:tcPr>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投标保证金缴纳账号：</w:t>
            </w:r>
          </w:p>
          <w:p>
            <w:pPr>
              <w:spacing w:line="240" w:lineRule="atLeast"/>
              <w:rPr>
                <w:rFonts w:hint="default" w:ascii="仿宋" w:hAnsi="仿宋" w:eastAsia="仿宋" w:cs="仿宋"/>
                <w:color w:val="auto"/>
                <w:sz w:val="24"/>
                <w:highlight w:val="none"/>
                <w:lang w:val="en-US" w:eastAsia="zh-CN"/>
              </w:rPr>
            </w:pPr>
            <w:r>
              <w:rPr>
                <w:rFonts w:hint="eastAsia" w:ascii="仿宋" w:hAnsi="仿宋" w:eastAsia="仿宋" w:cs="宋体"/>
                <w:kern w:val="0"/>
                <w:sz w:val="24"/>
                <w:szCs w:val="22"/>
              </w:rPr>
              <w:t>账户名称：新疆正聚方企业管理咨询有限公司</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开户行：中国邮政储蓄银行股份有限公司巴音郭楞蒙古自治州分行</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账  号：965009010002716671</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注：汇款单上需注明投</w:t>
            </w:r>
            <w:r>
              <w:rPr>
                <w:rFonts w:hint="eastAsia" w:ascii="仿宋" w:hAnsi="仿宋" w:eastAsia="仿宋" w:cs="宋体"/>
                <w:kern w:val="0"/>
                <w:sz w:val="24"/>
                <w:szCs w:val="22"/>
                <w:lang w:eastAsia="zh-CN"/>
              </w:rPr>
              <w:t>项目名称或者</w:t>
            </w:r>
            <w:r>
              <w:rPr>
                <w:rFonts w:hint="eastAsia" w:ascii="仿宋" w:hAnsi="仿宋" w:eastAsia="仿宋" w:cs="宋体"/>
                <w:kern w:val="0"/>
                <w:sz w:val="24"/>
                <w:szCs w:val="22"/>
              </w:rPr>
              <w:t>项目编号</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招标代理服务费缴纳账号：（同上）</w:t>
            </w:r>
          </w:p>
          <w:p>
            <w:pPr>
              <w:overflowPunct w:val="0"/>
              <w:spacing w:line="440" w:lineRule="exact"/>
              <w:rPr>
                <w:rFonts w:ascii="仿宋" w:hAnsi="仿宋" w:eastAsia="仿宋"/>
                <w:sz w:val="24"/>
              </w:rPr>
            </w:pPr>
            <w:r>
              <w:rPr>
                <w:rFonts w:hint="eastAsia" w:ascii="仿宋" w:hAnsi="仿宋" w:eastAsia="仿宋" w:cs="宋体"/>
                <w:kern w:val="0"/>
                <w:sz w:val="24"/>
                <w:szCs w:val="22"/>
              </w:rPr>
              <w:t>投标保证金缴纳期限：凡拟参加本次招标项目的供应商，必须在202</w:t>
            </w:r>
            <w:r>
              <w:rPr>
                <w:rFonts w:hint="eastAsia" w:ascii="仿宋" w:hAnsi="仿宋" w:eastAsia="仿宋" w:cs="宋体"/>
                <w:kern w:val="0"/>
                <w:sz w:val="24"/>
                <w:szCs w:val="22"/>
                <w:lang w:val="en-US" w:eastAsia="zh-CN"/>
              </w:rPr>
              <w:t>2</w:t>
            </w:r>
            <w:r>
              <w:rPr>
                <w:rFonts w:hint="eastAsia" w:ascii="仿宋" w:hAnsi="仿宋" w:eastAsia="仿宋" w:cs="宋体"/>
                <w:color w:val="auto"/>
                <w:kern w:val="0"/>
                <w:sz w:val="24"/>
                <w:szCs w:val="22"/>
              </w:rPr>
              <w:t>年</w:t>
            </w:r>
            <w:r>
              <w:rPr>
                <w:rFonts w:hint="eastAsia" w:ascii="仿宋" w:hAnsi="仿宋" w:eastAsia="仿宋" w:cs="宋体"/>
                <w:color w:val="auto"/>
                <w:kern w:val="0"/>
                <w:sz w:val="24"/>
                <w:szCs w:val="22"/>
                <w:lang w:val="en-US" w:eastAsia="zh-CN"/>
              </w:rPr>
              <w:t>08</w:t>
            </w:r>
            <w:r>
              <w:rPr>
                <w:rFonts w:hint="eastAsia" w:ascii="仿宋" w:hAnsi="仿宋" w:eastAsia="仿宋" w:cs="宋体"/>
                <w:color w:val="auto"/>
                <w:kern w:val="0"/>
                <w:sz w:val="24"/>
                <w:szCs w:val="22"/>
              </w:rPr>
              <w:t>月</w:t>
            </w:r>
            <w:r>
              <w:rPr>
                <w:rFonts w:hint="eastAsia" w:ascii="仿宋" w:hAnsi="仿宋" w:eastAsia="仿宋" w:cs="宋体"/>
                <w:color w:val="auto"/>
                <w:kern w:val="0"/>
                <w:sz w:val="24"/>
                <w:szCs w:val="22"/>
                <w:lang w:val="en-US" w:eastAsia="zh-CN"/>
              </w:rPr>
              <w:t xml:space="preserve">23 </w:t>
            </w:r>
            <w:r>
              <w:rPr>
                <w:rFonts w:hint="eastAsia" w:ascii="仿宋" w:hAnsi="仿宋" w:eastAsia="仿宋" w:cs="宋体"/>
                <w:color w:val="auto"/>
                <w:kern w:val="0"/>
                <w:sz w:val="24"/>
                <w:szCs w:val="22"/>
              </w:rPr>
              <w:t>日</w:t>
            </w:r>
            <w:r>
              <w:rPr>
                <w:rFonts w:hint="eastAsia" w:ascii="仿宋" w:hAnsi="仿宋" w:eastAsia="仿宋" w:cs="宋体"/>
                <w:color w:val="auto"/>
                <w:kern w:val="0"/>
                <w:sz w:val="24"/>
                <w:szCs w:val="22"/>
                <w:lang w:val="en-US" w:eastAsia="zh-CN"/>
              </w:rPr>
              <w:t>10</w:t>
            </w:r>
            <w:r>
              <w:rPr>
                <w:rFonts w:hint="eastAsia" w:ascii="仿宋" w:hAnsi="仿宋" w:eastAsia="仿宋" w:cs="宋体"/>
                <w:color w:val="auto"/>
                <w:kern w:val="0"/>
                <w:sz w:val="24"/>
                <w:szCs w:val="22"/>
              </w:rPr>
              <w:t>:30时（</w:t>
            </w:r>
            <w:r>
              <w:rPr>
                <w:rFonts w:hint="eastAsia" w:ascii="仿宋" w:hAnsi="仿宋" w:eastAsia="仿宋" w:cs="宋体"/>
                <w:kern w:val="0"/>
                <w:sz w:val="24"/>
                <w:szCs w:val="22"/>
              </w:rPr>
              <w:t>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19</w:t>
            </w:r>
          </w:p>
        </w:tc>
        <w:tc>
          <w:tcPr>
            <w:tcW w:w="1672" w:type="dxa"/>
            <w:tcBorders>
              <w:top w:val="single" w:color="auto" w:sz="4" w:space="0"/>
            </w:tcBorders>
            <w:vAlign w:val="center"/>
          </w:tcPr>
          <w:p>
            <w:pPr>
              <w:overflowPunct w:val="0"/>
              <w:spacing w:line="44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交货期</w:t>
            </w:r>
          </w:p>
        </w:tc>
        <w:tc>
          <w:tcPr>
            <w:tcW w:w="7674" w:type="dxa"/>
            <w:vAlign w:val="center"/>
          </w:tcPr>
          <w:p>
            <w:pPr>
              <w:spacing w:line="440" w:lineRule="exact"/>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交货期30天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672" w:type="dxa"/>
            <w:tcBorders>
              <w:top w:val="single" w:color="auto" w:sz="4" w:space="0"/>
            </w:tcBorders>
            <w:vAlign w:val="center"/>
          </w:tcPr>
          <w:p>
            <w:pPr>
              <w:overflowPunct w:val="0"/>
              <w:spacing w:line="44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质保期</w:t>
            </w:r>
          </w:p>
        </w:tc>
        <w:tc>
          <w:tcPr>
            <w:tcW w:w="7674" w:type="dxa"/>
            <w:vAlign w:val="center"/>
          </w:tcPr>
          <w:p>
            <w:pPr>
              <w:spacing w:line="440" w:lineRule="exact"/>
              <w:jc w:val="left"/>
              <w:rPr>
                <w:rFonts w:hint="default" w:ascii="仿宋" w:hAnsi="仿宋" w:eastAsia="仿宋"/>
                <w:color w:val="auto"/>
                <w:sz w:val="24"/>
                <w:lang w:val="en-US" w:eastAsia="zh-CN"/>
              </w:rPr>
            </w:pPr>
            <w:r>
              <w:rPr>
                <w:rFonts w:hint="eastAsia" w:ascii="仿宋" w:hAnsi="仿宋" w:eastAsia="仿宋"/>
                <w:color w:val="FF0000"/>
                <w:sz w:val="24"/>
                <w:lang w:val="en-US" w:eastAsia="zh-CN"/>
              </w:rPr>
              <w:t>质保期为5年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21</w:t>
            </w:r>
          </w:p>
        </w:tc>
        <w:tc>
          <w:tcPr>
            <w:tcW w:w="1672" w:type="dxa"/>
            <w:vAlign w:val="center"/>
          </w:tcPr>
          <w:p>
            <w:pPr>
              <w:overflowPunct w:val="0"/>
              <w:jc w:val="center"/>
              <w:rPr>
                <w:rFonts w:ascii="仿宋" w:hAnsi="仿宋" w:eastAsia="仿宋"/>
                <w:sz w:val="24"/>
              </w:rPr>
            </w:pPr>
            <w:r>
              <w:rPr>
                <w:rFonts w:hint="eastAsia" w:ascii="仿宋" w:hAnsi="仿宋" w:eastAsia="仿宋"/>
                <w:sz w:val="24"/>
              </w:rPr>
              <w:t>低于成本价不正当竞争预防措施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22</w:t>
            </w:r>
          </w:p>
        </w:tc>
        <w:tc>
          <w:tcPr>
            <w:tcW w:w="1672" w:type="dxa"/>
            <w:vAlign w:val="center"/>
          </w:tcPr>
          <w:p>
            <w:pPr>
              <w:jc w:val="center"/>
              <w:rPr>
                <w:rFonts w:ascii="仿宋" w:hAnsi="仿宋" w:eastAsia="仿宋"/>
                <w:sz w:val="24"/>
                <w:szCs w:val="24"/>
              </w:rPr>
            </w:pPr>
            <w:r>
              <w:rPr>
                <w:rFonts w:hint="eastAsia" w:ascii="仿宋" w:hAnsi="仿宋" w:eastAsia="仿宋"/>
                <w:sz w:val="24"/>
                <w:szCs w:val="24"/>
              </w:rPr>
              <w:t>政府采购政策支持</w:t>
            </w:r>
          </w:p>
        </w:tc>
        <w:tc>
          <w:tcPr>
            <w:tcW w:w="7674" w:type="dxa"/>
          </w:tcPr>
          <w:p>
            <w:pPr>
              <w:spacing w:line="276" w:lineRule="auto"/>
              <w:rPr>
                <w:rFonts w:ascii="仿宋" w:hAnsi="仿宋" w:eastAsia="仿宋"/>
                <w:sz w:val="24"/>
              </w:rPr>
            </w:pPr>
            <w:r>
              <w:rPr>
                <w:rFonts w:ascii="仿宋" w:hAnsi="仿宋" w:eastAsia="仿宋"/>
                <w:sz w:val="24"/>
              </w:rPr>
              <w:t>1</w:t>
            </w:r>
            <w:r>
              <w:rPr>
                <w:rFonts w:hint="eastAsia" w:ascii="仿宋" w:hAnsi="仿宋" w:eastAsia="仿宋"/>
                <w:sz w:val="24"/>
              </w:rPr>
              <w:t>、本项目为非专门面向中小企业（含中型、小型、微型企业）采购项目，根据《政府采购促进中小企业发展暂行办法》（财库</w:t>
            </w:r>
            <w:r>
              <w:rPr>
                <w:rFonts w:ascii="仿宋" w:hAnsi="仿宋" w:eastAsia="仿宋"/>
                <w:sz w:val="24"/>
              </w:rPr>
              <w:t>[2011]181</w:t>
            </w:r>
            <w:r>
              <w:rPr>
                <w:rFonts w:hint="eastAsia" w:ascii="仿宋" w:hAnsi="仿宋" w:eastAsia="仿宋"/>
                <w:sz w:val="24"/>
              </w:rPr>
              <w:t>号）的规定，评标时将给予此类企业进行价格6</w:t>
            </w:r>
            <w:r>
              <w:rPr>
                <w:rFonts w:ascii="仿宋" w:hAnsi="仿宋" w:eastAsia="仿宋"/>
                <w:sz w:val="24"/>
              </w:rPr>
              <w:t>%</w:t>
            </w:r>
            <w:r>
              <w:rPr>
                <w:rFonts w:hint="eastAsia" w:ascii="仿宋" w:hAnsi="仿宋" w:eastAsia="仿宋"/>
                <w:sz w:val="24"/>
              </w:rPr>
              <w:t>的优惠，监狱企业、残疾人福利性单位视同为小微企业，用优惠后的价格参与评审。</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、政府采购强制采购：标记★符号的节能产品：</w:t>
            </w:r>
          </w:p>
          <w:p>
            <w:pPr>
              <w:spacing w:line="276" w:lineRule="auto"/>
              <w:rPr>
                <w:rFonts w:ascii="仿宋" w:hAnsi="仿宋" w:eastAsia="仿宋"/>
                <w:sz w:val="24"/>
              </w:rPr>
            </w:pPr>
            <w:r>
              <w:rPr>
                <w:rFonts w:hint="eastAsia" w:ascii="仿宋" w:hAnsi="仿宋" w:eastAsia="仿宋"/>
                <w:sz w:val="24"/>
              </w:rPr>
              <w:t>符合《节能产品政府采购清单》</w:t>
            </w:r>
            <w:r>
              <w:rPr>
                <w:rFonts w:ascii="仿宋" w:hAnsi="仿宋" w:eastAsia="仿宋"/>
                <w:sz w:val="24"/>
              </w:rPr>
              <w:t>(</w:t>
            </w:r>
            <w:r>
              <w:rPr>
                <w:rFonts w:hint="eastAsia" w:ascii="仿宋" w:hAnsi="仿宋" w:eastAsia="仿宋"/>
                <w:sz w:val="24"/>
              </w:rPr>
              <w:t>最新一期</w:t>
            </w:r>
            <w:r>
              <w:rPr>
                <w:rFonts w:ascii="仿宋" w:hAnsi="仿宋" w:eastAsia="仿宋"/>
                <w:sz w:val="24"/>
              </w:rPr>
              <w:t>)</w:t>
            </w:r>
            <w:r>
              <w:rPr>
                <w:rFonts w:hint="eastAsia" w:ascii="仿宋" w:hAnsi="仿宋" w:eastAsia="仿宋"/>
                <w:sz w:val="24"/>
              </w:rPr>
              <w:t>目录内的强制采购节能产品。</w:t>
            </w:r>
          </w:p>
          <w:p>
            <w:pPr>
              <w:spacing w:line="276" w:lineRule="auto"/>
              <w:rPr>
                <w:rFonts w:ascii="仿宋" w:hAnsi="仿宋" w:eastAsia="仿宋"/>
                <w:sz w:val="24"/>
              </w:rPr>
            </w:pPr>
            <w:r>
              <w:rPr>
                <w:rFonts w:ascii="仿宋" w:hAnsi="仿宋" w:eastAsia="仿宋"/>
                <w:sz w:val="24"/>
              </w:rPr>
              <w:t>3</w:t>
            </w:r>
            <w:r>
              <w:rPr>
                <w:rFonts w:hint="eastAsia" w:ascii="仿宋" w:hAnsi="仿宋" w:eastAsia="仿宋"/>
                <w:sz w:val="24"/>
              </w:rPr>
              <w:t>、政府采购优先采购：</w:t>
            </w:r>
            <w:r>
              <w:rPr>
                <w:rFonts w:ascii="仿宋" w:hAnsi="仿宋" w:eastAsia="仿宋"/>
                <w:sz w:val="24"/>
              </w:rPr>
              <w:t>(1)</w:t>
            </w:r>
            <w:r>
              <w:rPr>
                <w:rFonts w:hint="eastAsia" w:ascii="仿宋" w:hAnsi="仿宋" w:eastAsia="仿宋"/>
                <w:sz w:val="24"/>
              </w:rPr>
              <w:t>非标记★符号的节能产品；</w:t>
            </w:r>
            <w:r>
              <w:rPr>
                <w:rFonts w:ascii="仿宋" w:hAnsi="仿宋" w:eastAsia="仿宋"/>
                <w:sz w:val="24"/>
              </w:rPr>
              <w:t>(2)</w:t>
            </w:r>
            <w:r>
              <w:rPr>
                <w:rFonts w:hint="eastAsia" w:ascii="仿宋" w:hAnsi="仿宋" w:eastAsia="仿宋"/>
                <w:sz w:val="24"/>
              </w:rPr>
              <w:t>环境标志产品；</w:t>
            </w:r>
          </w:p>
          <w:p>
            <w:pPr>
              <w:spacing w:line="276" w:lineRule="auto"/>
              <w:rPr>
                <w:rFonts w:ascii="仿宋" w:hAnsi="仿宋" w:eastAsia="仿宋"/>
                <w:sz w:val="24"/>
              </w:rPr>
            </w:pPr>
            <w:r>
              <w:rPr>
                <w:rFonts w:hint="eastAsia" w:ascii="仿宋" w:hAnsi="仿宋" w:eastAsia="仿宋"/>
                <w:sz w:val="24"/>
              </w:rPr>
              <w:t>采购产品为《节能产品政府采购清单》(最新一期)</w:t>
            </w:r>
            <w:r>
              <w:rPr>
                <w:rFonts w:ascii="仿宋" w:hAnsi="仿宋" w:eastAsia="仿宋"/>
                <w:sz w:val="24"/>
              </w:rPr>
              <w:t xml:space="preserve"> </w:t>
            </w:r>
            <w:r>
              <w:rPr>
                <w:rFonts w:hint="eastAsia" w:ascii="仿宋" w:hAnsi="仿宋" w:eastAsia="仿宋"/>
                <w:sz w:val="24"/>
              </w:rPr>
              <w:t>内非标记★符号的节能产品及《环境标志产品政府采购清单》(最新一期)内的产品：</w:t>
            </w:r>
          </w:p>
          <w:p>
            <w:pPr>
              <w:spacing w:line="440" w:lineRule="exact"/>
              <w:rPr>
                <w:rFonts w:ascii="仿宋" w:hAnsi="仿宋" w:eastAsia="仿宋"/>
                <w:b/>
                <w:sz w:val="24"/>
                <w:szCs w:val="24"/>
              </w:rPr>
            </w:pPr>
            <w:r>
              <w:rPr>
                <w:rFonts w:ascii="仿宋" w:hAnsi="仿宋" w:eastAsia="仿宋"/>
                <w:sz w:val="24"/>
              </w:rPr>
              <w:t>1</w:t>
            </w:r>
            <w:r>
              <w:rPr>
                <w:rFonts w:hint="eastAsia" w:ascii="仿宋" w:hAnsi="仿宋" w:eastAsia="仿宋"/>
                <w:sz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仿宋" w:hAnsi="仿宋" w:eastAsia="仿宋"/>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23</w:t>
            </w:r>
          </w:p>
        </w:tc>
        <w:tc>
          <w:tcPr>
            <w:tcW w:w="1672" w:type="dxa"/>
            <w:vAlign w:val="center"/>
          </w:tcPr>
          <w:p>
            <w:pPr>
              <w:pStyle w:val="26"/>
              <w:spacing w:line="440" w:lineRule="exact"/>
              <w:jc w:val="center"/>
              <w:rPr>
                <w:rFonts w:ascii="仿宋" w:hAnsi="仿宋" w:eastAsia="仿宋" w:cs="Times New Roman"/>
                <w:kern w:val="2"/>
              </w:rPr>
            </w:pPr>
            <w:r>
              <w:rPr>
                <w:rFonts w:hint="eastAsia" w:ascii="仿宋" w:hAnsi="仿宋" w:eastAsia="仿宋" w:cs="Times New Roman"/>
                <w:kern w:val="2"/>
              </w:rPr>
              <w:t>质疑须知</w:t>
            </w:r>
          </w:p>
        </w:tc>
        <w:tc>
          <w:tcPr>
            <w:tcW w:w="7674" w:type="dxa"/>
            <w:vAlign w:val="center"/>
          </w:tcPr>
          <w:p>
            <w:pPr>
              <w:pStyle w:val="26"/>
              <w:spacing w:line="440" w:lineRule="exact"/>
              <w:ind w:left="494" w:hanging="494" w:hangingChars="206"/>
              <w:rPr>
                <w:rFonts w:ascii="仿宋" w:hAnsi="仿宋" w:eastAsia="仿宋" w:cs="Times New Roman"/>
                <w:kern w:val="2"/>
              </w:rPr>
            </w:pPr>
            <w:r>
              <w:rPr>
                <w:rFonts w:hint="eastAsia" w:ascii="仿宋" w:hAnsi="仿宋" w:eastAsia="仿宋" w:cs="Times New Roman"/>
                <w:kern w:val="2"/>
              </w:rPr>
              <w:t>接收质疑函的方式：现场递交纸质版及Word格式电子版质疑文件至接收单位</w:t>
            </w:r>
          </w:p>
          <w:p>
            <w:pPr>
              <w:pStyle w:val="26"/>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接受质疑的单位：新疆正聚方企业管理咨询有限公司</w:t>
            </w:r>
          </w:p>
          <w:p>
            <w:pPr>
              <w:pStyle w:val="26"/>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地址：库尔勒市智慧嘉苑门面房65-01-3号2楼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346" w:type="dxa"/>
            <w:gridSpan w:val="2"/>
            <w:vAlign w:val="center"/>
          </w:tcPr>
          <w:p>
            <w:pPr>
              <w:spacing w:line="440" w:lineRule="exact"/>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仿宋" w:hAnsi="仿宋" w:eastAsia="仿宋"/>
                <w:b/>
                <w:sz w:val="24"/>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10325" w:type="dxa"/>
            <w:gridSpan w:val="3"/>
            <w:vAlign w:val="center"/>
          </w:tcPr>
          <w:p>
            <w:pPr>
              <w:spacing w:line="360" w:lineRule="auto"/>
              <w:rPr>
                <w:rFonts w:ascii="仿宋" w:hAnsi="仿宋" w:eastAsia="仿宋"/>
                <w:b/>
                <w:sz w:val="24"/>
              </w:rPr>
            </w:pPr>
            <w:r>
              <w:rPr>
                <w:rFonts w:hint="eastAsia" w:ascii="仿宋" w:hAnsi="仿宋" w:eastAsia="仿宋"/>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spacing w:line="440" w:lineRule="exact"/>
        <w:jc w:val="both"/>
        <w:outlineLvl w:val="0"/>
        <w:rPr>
          <w:rFonts w:hint="eastAsia" w:ascii="黑体" w:hAnsi="黑体" w:eastAsia="黑体"/>
          <w:b/>
          <w:color w:val="auto"/>
          <w:kern w:val="2"/>
          <w:sz w:val="36"/>
          <w:szCs w:val="20"/>
        </w:rPr>
      </w:pPr>
    </w:p>
    <w:p>
      <w:pPr>
        <w:pStyle w:val="3"/>
        <w:ind w:firstLine="3614" w:firstLineChars="1000"/>
        <w:jc w:val="both"/>
      </w:pPr>
    </w:p>
    <w:p>
      <w:pPr>
        <w:pStyle w:val="3"/>
        <w:ind w:firstLine="3614" w:firstLineChars="1000"/>
        <w:jc w:val="both"/>
      </w:pPr>
    </w:p>
    <w:p>
      <w:pPr>
        <w:pStyle w:val="3"/>
        <w:ind w:firstLine="3614" w:firstLineChars="1000"/>
        <w:jc w:val="both"/>
      </w:pPr>
    </w:p>
    <w:p>
      <w:pPr>
        <w:pStyle w:val="3"/>
        <w:ind w:firstLine="3614" w:firstLineChars="1000"/>
        <w:jc w:val="both"/>
      </w:pPr>
    </w:p>
    <w:p>
      <w:pPr>
        <w:pStyle w:val="3"/>
        <w:ind w:firstLine="3614" w:firstLineChars="1000"/>
        <w:jc w:val="both"/>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6"/>
        <w:ind w:left="0" w:leftChars="0" w:firstLine="0" w:firstLineChars="0"/>
      </w:pPr>
    </w:p>
    <w:p>
      <w:pPr>
        <w:pStyle w:val="3"/>
        <w:ind w:firstLine="3614" w:firstLineChars="1000"/>
        <w:jc w:val="both"/>
      </w:pPr>
      <w:r>
        <w:rPr>
          <w:rFonts w:hint="eastAsia"/>
          <w:lang w:val="en-US" w:eastAsia="zh-CN"/>
        </w:rPr>
        <w:t>1、</w:t>
      </w:r>
      <w:r>
        <w:t>投标须知</w:t>
      </w:r>
    </w:p>
    <w:p/>
    <w:p>
      <w:pPr>
        <w:pStyle w:val="10"/>
        <w:numPr>
          <w:ilvl w:val="0"/>
          <w:numId w:val="2"/>
        </w:numPr>
        <w:spacing w:before="161"/>
        <w:ind w:left="3137" w:leftChars="500" w:hanging="2037" w:hangingChars="849"/>
        <w:rPr>
          <w:rFonts w:ascii="宋体" w:hAnsi="宋体" w:eastAsia="宋体" w:cs="宋体"/>
          <w:b w:val="0"/>
          <w:bCs w:val="0"/>
          <w:sz w:val="24"/>
          <w:szCs w:val="24"/>
          <w:lang w:val="zh-CN" w:eastAsia="zh-CN" w:bidi="zh-CN"/>
        </w:rPr>
      </w:pPr>
      <w:r>
        <w:rPr>
          <w:rFonts w:ascii="宋体" w:hAnsi="宋体" w:eastAsia="宋体" w:cs="宋体"/>
          <w:b w:val="0"/>
          <w:bCs w:val="0"/>
          <w:sz w:val="24"/>
          <w:szCs w:val="24"/>
          <w:lang w:val="zh-CN" w:eastAsia="zh-CN" w:bidi="zh-CN"/>
        </w:rPr>
        <w:t>招标文件编号：</w:t>
      </w:r>
      <w:r>
        <w:rPr>
          <w:rFonts w:hint="eastAsia" w:ascii="宋体" w:hAnsi="宋体" w:eastAsia="宋体" w:cs="宋体"/>
          <w:b w:val="0"/>
          <w:bCs w:val="0"/>
          <w:sz w:val="24"/>
          <w:szCs w:val="24"/>
          <w:lang w:val="zh-CN" w:eastAsia="zh-CN" w:bidi="zh-CN"/>
        </w:rPr>
        <w:t>ZJFZFCG2022-00</w:t>
      </w:r>
      <w:r>
        <w:rPr>
          <w:rFonts w:hint="eastAsia" w:cs="宋体"/>
          <w:b w:val="0"/>
          <w:bCs w:val="0"/>
          <w:sz w:val="24"/>
          <w:szCs w:val="24"/>
          <w:lang w:val="en-US" w:eastAsia="zh-CN" w:bidi="zh-CN"/>
        </w:rPr>
        <w:t>7</w:t>
      </w:r>
    </w:p>
    <w:p>
      <w:pPr>
        <w:pStyle w:val="11"/>
        <w:numPr>
          <w:ilvl w:val="0"/>
          <w:numId w:val="0"/>
        </w:numPr>
        <w:spacing w:before="161"/>
        <w:ind w:left="3137" w:leftChars="500" w:hanging="2037" w:hangingChars="849"/>
        <w:rPr>
          <w:rFonts w:hint="eastAsia" w:ascii="宋体" w:hAnsi="宋体" w:eastAsia="宋体" w:cs="宋体"/>
          <w:b w:val="0"/>
          <w:bCs w:val="0"/>
          <w:sz w:val="24"/>
          <w:szCs w:val="24"/>
          <w:lang w:val="zh-CN" w:eastAsia="zh-CN" w:bidi="zh-CN"/>
        </w:rPr>
      </w:pPr>
      <w:r>
        <w:rPr>
          <w:rFonts w:hint="default" w:ascii="宋体" w:hAnsi="宋体" w:eastAsia="宋体" w:cs="宋体"/>
          <w:b w:val="0"/>
          <w:bCs w:val="0"/>
          <w:sz w:val="24"/>
          <w:szCs w:val="24"/>
          <w:lang w:val="en-US" w:eastAsia="zh-CN" w:bidi="zh-CN"/>
        </w:rPr>
        <w:t>2</w:t>
      </w:r>
      <w:r>
        <w:rPr>
          <w:rFonts w:hint="eastAsia" w:ascii="宋体" w:hAnsi="宋体" w:cs="宋体"/>
          <w:b w:val="0"/>
          <w:bCs w:val="0"/>
          <w:sz w:val="24"/>
          <w:szCs w:val="24"/>
          <w:lang w:val="en-US" w:eastAsia="zh-CN" w:bidi="zh-CN"/>
        </w:rPr>
        <w:t>、</w:t>
      </w:r>
      <w:r>
        <w:rPr>
          <w:rFonts w:ascii="宋体" w:hAnsi="宋体" w:eastAsia="宋体" w:cs="宋体"/>
          <w:b w:val="0"/>
          <w:bCs w:val="0"/>
          <w:sz w:val="24"/>
          <w:szCs w:val="24"/>
          <w:lang w:val="zh-CN" w:eastAsia="zh-CN" w:bidi="zh-CN"/>
        </w:rPr>
        <w:t>采购项目名称：</w:t>
      </w:r>
      <w:r>
        <w:rPr>
          <w:rFonts w:hint="eastAsia" w:ascii="宋体" w:hAnsi="宋体" w:eastAsia="宋体" w:cs="宋体"/>
          <w:b w:val="0"/>
          <w:bCs w:val="0"/>
          <w:sz w:val="24"/>
          <w:szCs w:val="24"/>
          <w:lang w:val="zh-CN" w:eastAsia="zh-CN" w:bidi="zh-CN"/>
        </w:rPr>
        <w:t>和硕县消防救援能力提升基础设施建设及车辆装备购置项目</w:t>
      </w:r>
      <w:r>
        <w:rPr>
          <w:rFonts w:hint="eastAsia" w:ascii="宋体" w:hAnsi="宋体" w:cs="宋体"/>
          <w:b w:val="0"/>
          <w:bCs w:val="0"/>
          <w:sz w:val="24"/>
          <w:szCs w:val="24"/>
          <w:lang w:val="zh-CN" w:eastAsia="zh-CN" w:bidi="zh-CN"/>
        </w:rPr>
        <w:t>第三包</w:t>
      </w:r>
    </w:p>
    <w:p>
      <w:pPr>
        <w:pStyle w:val="10"/>
        <w:numPr>
          <w:ilvl w:val="0"/>
          <w:numId w:val="0"/>
        </w:numPr>
        <w:spacing w:before="161"/>
        <w:ind w:leftChars="-349" w:right="0" w:rightChars="0" w:firstLine="1920" w:firstLineChars="800"/>
        <w:rPr>
          <w:rFonts w:ascii="宋体" w:hAnsi="宋体" w:eastAsia="宋体" w:cs="宋体"/>
          <w:b w:val="0"/>
          <w:bCs w:val="0"/>
          <w:sz w:val="24"/>
          <w:szCs w:val="24"/>
          <w:lang w:val="zh-CN" w:eastAsia="zh-CN" w:bidi="zh-CN"/>
        </w:rPr>
      </w:pPr>
      <w:r>
        <w:rPr>
          <w:rFonts w:ascii="宋体" w:hAnsi="宋体" w:eastAsia="宋体" w:cs="宋体"/>
          <w:b w:val="0"/>
          <w:bCs w:val="0"/>
          <w:sz w:val="24"/>
          <w:szCs w:val="24"/>
          <w:lang w:val="zh-CN" w:eastAsia="zh-CN" w:bidi="zh-CN"/>
        </w:rPr>
        <w:t>3、采购单位名称：</w:t>
      </w:r>
      <w:r>
        <w:rPr>
          <w:rFonts w:hint="eastAsia" w:ascii="宋体" w:hAnsi="宋体" w:eastAsia="宋体" w:cs="宋体"/>
          <w:b w:val="0"/>
          <w:bCs w:val="0"/>
          <w:sz w:val="24"/>
          <w:szCs w:val="24"/>
          <w:lang w:val="zh-CN" w:eastAsia="zh-CN" w:bidi="zh-CN"/>
        </w:rPr>
        <w:t>和硕县应急管理局</w:t>
      </w:r>
    </w:p>
    <w:p>
      <w:pPr>
        <w:pStyle w:val="10"/>
        <w:spacing w:before="160"/>
        <w:ind w:left="1110"/>
        <w:rPr>
          <w:rFonts w:hint="eastAsia" w:eastAsia="宋体"/>
          <w:lang w:eastAsia="zh-CN"/>
        </w:rPr>
      </w:pPr>
      <w:r>
        <w:t>4、采购机构名称：</w:t>
      </w:r>
      <w:r>
        <w:rPr>
          <w:rFonts w:hint="eastAsia" w:ascii="宋体" w:hAnsi="宋体" w:cs="宋体"/>
          <w:color w:val="auto"/>
          <w:kern w:val="0"/>
          <w:sz w:val="24"/>
          <w:szCs w:val="24"/>
          <w:lang w:eastAsia="zh-CN"/>
        </w:rPr>
        <w:t>新疆正聚方企业管理咨询有限公司</w:t>
      </w:r>
    </w:p>
    <w:p>
      <w:pPr>
        <w:pStyle w:val="10"/>
        <w:spacing w:before="160"/>
        <w:ind w:left="1110"/>
        <w:rPr>
          <w:spacing w:val="-23"/>
        </w:rPr>
      </w:pPr>
      <w:r>
        <w:t>5、</w:t>
      </w:r>
      <w:r>
        <w:rPr>
          <w:spacing w:val="-23"/>
        </w:rPr>
        <w:t>采购机构地址：</w:t>
      </w:r>
      <w:r>
        <w:rPr>
          <w:rFonts w:hint="eastAsia"/>
          <w:spacing w:val="-23"/>
          <w:lang w:eastAsia="zh-CN"/>
        </w:rPr>
        <w:t>新疆库尔勒市智慧嘉苑门面房65-01-3号2楼</w:t>
      </w:r>
      <w:r>
        <w:rPr>
          <w:spacing w:val="-23"/>
        </w:rPr>
        <w:t>邮编：841000。</w:t>
      </w:r>
    </w:p>
    <w:p>
      <w:pPr>
        <w:pStyle w:val="10"/>
        <w:spacing w:before="160"/>
        <w:ind w:left="1110"/>
        <w:rPr>
          <w:rFonts w:hint="eastAsia"/>
          <w:spacing w:val="-23"/>
          <w:lang w:val="en-US" w:eastAsia="zh-CN"/>
        </w:rPr>
      </w:pPr>
      <w:r>
        <w:rPr>
          <w:spacing w:val="-23"/>
        </w:rPr>
        <w:t>6、投标保证金额：</w:t>
      </w:r>
      <w:r>
        <w:rPr>
          <w:rFonts w:hint="eastAsia"/>
          <w:spacing w:val="-23"/>
          <w:lang w:val="en-US" w:eastAsia="zh-CN"/>
        </w:rPr>
        <w:t xml:space="preserve">     第三包：35000（叁万伍仟元整）</w:t>
      </w:r>
    </w:p>
    <w:p>
      <w:pPr>
        <w:pStyle w:val="10"/>
        <w:spacing w:before="160"/>
        <w:ind w:left="1110"/>
        <w:rPr>
          <w:rFonts w:hint="default"/>
          <w:spacing w:val="-23"/>
          <w:lang w:val="en-US" w:eastAsia="zh-CN"/>
        </w:rPr>
      </w:pPr>
      <w:r>
        <w:rPr>
          <w:spacing w:val="-23"/>
        </w:rPr>
        <w:t>7、</w:t>
      </w:r>
      <w:r>
        <w:rPr>
          <w:spacing w:val="-23"/>
          <w:lang w:val="zh-CN" w:eastAsia="zh-CN"/>
        </w:rPr>
        <w:t>投标文件：</w:t>
      </w:r>
      <w:r>
        <w:rPr>
          <w:rFonts w:hint="eastAsia"/>
          <w:spacing w:val="-23"/>
          <w:lang w:val="zh-CN" w:eastAsia="zh-CN"/>
        </w:rPr>
        <w:t>在新疆政府采购网上递交电子投标书；</w:t>
      </w:r>
    </w:p>
    <w:p>
      <w:pPr>
        <w:pStyle w:val="10"/>
        <w:spacing w:before="160"/>
        <w:ind w:left="1110"/>
        <w:rPr>
          <w:spacing w:val="-23"/>
        </w:rPr>
      </w:pPr>
      <w:r>
        <w:rPr>
          <w:spacing w:val="-23"/>
        </w:rPr>
        <w:t>8、投标文件递交至：</w:t>
      </w:r>
      <w:r>
        <w:rPr>
          <w:rFonts w:hint="eastAsia"/>
          <w:spacing w:val="-23"/>
        </w:rPr>
        <w:t>政采云平台（www.zcygov.cn）</w:t>
      </w:r>
    </w:p>
    <w:p>
      <w:pPr>
        <w:pStyle w:val="10"/>
        <w:spacing w:before="160"/>
        <w:ind w:left="1117"/>
      </w:pPr>
      <w:r>
        <w:t>9、投标文件有效期：</w:t>
      </w:r>
      <w:r>
        <w:rPr>
          <w:rFonts w:hint="eastAsia"/>
          <w:lang w:val="en-US" w:eastAsia="zh-CN"/>
        </w:rPr>
        <w:t>60</w:t>
      </w:r>
      <w:r>
        <w:t xml:space="preserve"> 天</w:t>
      </w:r>
    </w:p>
    <w:p>
      <w:pPr>
        <w:spacing w:before="161"/>
        <w:ind w:left="1117" w:right="0" w:firstLine="0"/>
        <w:jc w:val="left"/>
        <w:rPr>
          <w:b/>
          <w:sz w:val="24"/>
        </w:rPr>
      </w:pPr>
      <w:r>
        <w:rPr>
          <w:sz w:val="24"/>
        </w:rPr>
        <w:t>10、评标办法：</w:t>
      </w:r>
      <w:r>
        <w:rPr>
          <w:b/>
          <w:sz w:val="24"/>
          <w:u w:val="single"/>
        </w:rPr>
        <w:t>综合评分法</w:t>
      </w:r>
    </w:p>
    <w:p>
      <w:pPr>
        <w:pStyle w:val="10"/>
        <w:spacing w:before="160"/>
        <w:ind w:left="1110"/>
        <w:rPr>
          <w:spacing w:val="-19"/>
        </w:rPr>
      </w:pPr>
      <w:r>
        <w:t>11</w:t>
      </w:r>
      <w:r>
        <w:rPr>
          <w:spacing w:val="-23"/>
        </w:rPr>
        <w:t>、获取招标文件时间：</w:t>
      </w:r>
      <w:r>
        <w:t>20</w:t>
      </w:r>
      <w:r>
        <w:rPr>
          <w:rFonts w:hint="eastAsia"/>
          <w:lang w:val="en-US" w:eastAsia="zh-CN"/>
        </w:rPr>
        <w:t>22</w:t>
      </w:r>
      <w:r>
        <w:rPr>
          <w:spacing w:val="-40"/>
        </w:rPr>
        <w:t xml:space="preserve">年 </w:t>
      </w:r>
      <w:r>
        <w:rPr>
          <w:rFonts w:hint="eastAsia"/>
          <w:spacing w:val="-40"/>
          <w:lang w:val="en-US" w:eastAsia="zh-CN"/>
        </w:rPr>
        <w:t xml:space="preserve">0 </w:t>
      </w:r>
      <w:r>
        <w:rPr>
          <w:rFonts w:hint="eastAsia"/>
          <w:lang w:val="en-US" w:eastAsia="zh-CN"/>
        </w:rPr>
        <w:t>8</w:t>
      </w:r>
      <w:r>
        <w:rPr>
          <w:spacing w:val="-40"/>
        </w:rPr>
        <w:t>月</w:t>
      </w:r>
      <w:r>
        <w:rPr>
          <w:rFonts w:hint="eastAsia"/>
          <w:spacing w:val="-40"/>
          <w:lang w:val="en-US" w:eastAsia="zh-CN"/>
        </w:rPr>
        <w:t xml:space="preserve"> 03 </w:t>
      </w:r>
      <w:r>
        <w:rPr>
          <w:spacing w:val="-24"/>
        </w:rPr>
        <w:t xml:space="preserve">日起至 </w:t>
      </w:r>
      <w:r>
        <w:t>20</w:t>
      </w:r>
      <w:r>
        <w:rPr>
          <w:rFonts w:hint="eastAsia"/>
          <w:lang w:val="en-US" w:eastAsia="zh-CN"/>
        </w:rPr>
        <w:t>22</w:t>
      </w:r>
      <w:r>
        <w:rPr>
          <w:spacing w:val="-40"/>
        </w:rPr>
        <w:t xml:space="preserve">年 </w:t>
      </w:r>
      <w:r>
        <w:rPr>
          <w:rFonts w:hint="eastAsia"/>
          <w:spacing w:val="-40"/>
          <w:lang w:val="en-US" w:eastAsia="zh-CN"/>
        </w:rPr>
        <w:t xml:space="preserve">0 </w:t>
      </w:r>
      <w:r>
        <w:rPr>
          <w:rFonts w:hint="eastAsia"/>
          <w:lang w:val="en-US" w:eastAsia="zh-CN"/>
        </w:rPr>
        <w:t>8</w:t>
      </w:r>
      <w:r>
        <w:rPr>
          <w:spacing w:val="-40"/>
        </w:rPr>
        <w:t>月</w:t>
      </w:r>
      <w:r>
        <w:rPr>
          <w:rFonts w:hint="eastAsia"/>
          <w:spacing w:val="-40"/>
          <w:lang w:val="en-US" w:eastAsia="zh-CN"/>
        </w:rPr>
        <w:t xml:space="preserve">10 </w:t>
      </w:r>
      <w:r>
        <w:rPr>
          <w:spacing w:val="-19"/>
        </w:rPr>
        <w:t>日止</w:t>
      </w:r>
      <w:r>
        <w:rPr>
          <w:rFonts w:hint="eastAsia"/>
          <w:spacing w:val="-19"/>
          <w:lang w:eastAsia="zh-CN"/>
        </w:rPr>
        <w:t>（节假日除外）</w:t>
      </w:r>
      <w:r>
        <w:rPr>
          <w:spacing w:val="-19"/>
        </w:rPr>
        <w:t>。每日上</w:t>
      </w:r>
    </w:p>
    <w:p>
      <w:pPr>
        <w:pStyle w:val="10"/>
        <w:spacing w:before="160"/>
      </w:pPr>
      <w:r>
        <w:rPr>
          <w:spacing w:val="-19"/>
        </w:rPr>
        <w:t xml:space="preserve">午 </w:t>
      </w:r>
      <w:r>
        <w:t>10时 00 分至 1</w:t>
      </w:r>
      <w:r>
        <w:rPr>
          <w:rFonts w:hint="eastAsia"/>
          <w:lang w:val="en-US" w:eastAsia="zh-CN"/>
        </w:rPr>
        <w:t>4</w:t>
      </w:r>
      <w:r>
        <w:t xml:space="preserve"> 时 </w:t>
      </w:r>
      <w:r>
        <w:rPr>
          <w:rFonts w:hint="eastAsia"/>
          <w:lang w:val="en-US" w:eastAsia="zh-CN"/>
        </w:rPr>
        <w:t>0</w:t>
      </w:r>
      <w:r>
        <w:t xml:space="preserve">0 分，下午 16 时 00 分至 19 时 </w:t>
      </w:r>
      <w:r>
        <w:rPr>
          <w:rFonts w:hint="eastAsia"/>
          <w:lang w:val="en-US" w:eastAsia="zh-CN"/>
        </w:rPr>
        <w:t>3</w:t>
      </w:r>
      <w:r>
        <w:t>0 分（北京时间）。</w:t>
      </w:r>
    </w:p>
    <w:p>
      <w:pPr>
        <w:pStyle w:val="10"/>
        <w:spacing w:before="160"/>
        <w:ind w:left="1110"/>
        <w:jc w:val="both"/>
        <w:rPr>
          <w:rFonts w:hint="default" w:eastAsia="宋体"/>
          <w:color w:val="auto"/>
          <w:lang w:val="en-US" w:eastAsia="zh-CN"/>
        </w:rPr>
      </w:pPr>
      <w:r>
        <w:rPr>
          <w:color w:val="auto"/>
        </w:rPr>
        <w:t>12、投标保证金缴纳：凡拟参加本次招标项目的供应商，必须在 20</w:t>
      </w:r>
      <w:r>
        <w:rPr>
          <w:rFonts w:hint="eastAsia"/>
          <w:color w:val="auto"/>
          <w:lang w:val="en-US" w:eastAsia="zh-CN"/>
        </w:rPr>
        <w:t>22</w:t>
      </w:r>
    </w:p>
    <w:p>
      <w:pPr>
        <w:pStyle w:val="10"/>
        <w:spacing w:before="161" w:line="364" w:lineRule="auto"/>
        <w:ind w:right="1249"/>
        <w:jc w:val="both"/>
        <w:rPr>
          <w:color w:val="auto"/>
        </w:rPr>
      </w:pPr>
      <w:r>
        <w:rPr>
          <w:color w:val="auto"/>
          <w:spacing w:val="-24"/>
        </w:rPr>
        <w:t>年</w:t>
      </w:r>
      <w:r>
        <w:rPr>
          <w:rFonts w:hint="eastAsia"/>
          <w:color w:val="auto"/>
          <w:spacing w:val="-24"/>
          <w:lang w:val="en-US" w:eastAsia="zh-CN"/>
        </w:rPr>
        <w:t>8</w:t>
      </w:r>
      <w:r>
        <w:rPr>
          <w:color w:val="auto"/>
          <w:spacing w:val="-32"/>
        </w:rPr>
        <w:t>月</w:t>
      </w:r>
      <w:r>
        <w:rPr>
          <w:rFonts w:hint="eastAsia"/>
          <w:color w:val="auto"/>
          <w:spacing w:val="-32"/>
          <w:lang w:val="en-US" w:eastAsia="zh-CN"/>
        </w:rPr>
        <w:t xml:space="preserve"> 23</w:t>
      </w:r>
      <w:r>
        <w:rPr>
          <w:color w:val="auto"/>
          <w:spacing w:val="-6"/>
        </w:rPr>
        <w:t>日</w:t>
      </w:r>
      <w:r>
        <w:rPr>
          <w:rFonts w:hint="eastAsia"/>
          <w:color w:val="auto"/>
          <w:spacing w:val="-6"/>
          <w:lang w:val="en-US" w:eastAsia="zh-CN"/>
        </w:rPr>
        <w:t>10:30</w:t>
      </w:r>
      <w:r>
        <w:rPr>
          <w:color w:val="auto"/>
          <w:spacing w:val="-6"/>
        </w:rPr>
        <w:t>前将投标保证金汇入指定账户</w:t>
      </w:r>
      <w:r>
        <w:rPr>
          <w:rFonts w:hint="eastAsia"/>
          <w:color w:val="auto"/>
          <w:spacing w:val="-6"/>
          <w:lang w:eastAsia="zh-CN"/>
        </w:rPr>
        <w:t>，</w:t>
      </w:r>
      <w:r>
        <w:rPr>
          <w:color w:val="auto"/>
          <w:spacing w:val="-7"/>
        </w:rPr>
        <w:t>投标保证金汇款凭证上用途栏应注明本项目招标编号</w:t>
      </w:r>
      <w:r>
        <w:rPr>
          <w:rFonts w:hint="eastAsia"/>
          <w:color w:val="auto"/>
          <w:spacing w:val="-7"/>
          <w:lang w:eastAsia="zh-CN"/>
        </w:rPr>
        <w:t>或项目名称</w:t>
      </w:r>
      <w:r>
        <w:rPr>
          <w:color w:val="auto"/>
        </w:rPr>
        <w:t>[标准格式</w:t>
      </w:r>
      <w:r>
        <w:rPr>
          <w:rFonts w:hint="eastAsia"/>
          <w:color w:val="auto"/>
          <w:lang w:val="en-US" w:eastAsia="zh-CN"/>
        </w:rPr>
        <w:t>:第三包</w:t>
      </w:r>
      <w:r>
        <w:rPr>
          <w:color w:val="auto"/>
          <w:spacing w:val="-8"/>
          <w:lang w:val="en-US"/>
        </w:rPr>
        <w:t>：ZJFZFCG2022-00</w:t>
      </w:r>
      <w:r>
        <w:rPr>
          <w:rFonts w:hint="eastAsia"/>
          <w:color w:val="auto"/>
          <w:spacing w:val="-8"/>
          <w:lang w:val="en-US" w:eastAsia="zh-CN"/>
        </w:rPr>
        <w:t>7</w:t>
      </w:r>
      <w:r>
        <w:rPr>
          <w:color w:val="auto"/>
          <w:spacing w:val="-8"/>
          <w:lang w:val="en-US"/>
        </w:rPr>
        <w:t>；</w:t>
      </w:r>
      <w:r>
        <w:rPr>
          <w:color w:val="auto"/>
          <w:spacing w:val="-8"/>
        </w:rPr>
        <w:t>投标保证金]。否则，届时其投标将被拒绝。</w:t>
      </w:r>
    </w:p>
    <w:p>
      <w:pPr>
        <w:pStyle w:val="10"/>
        <w:spacing w:before="2" w:line="364" w:lineRule="auto"/>
        <w:ind w:right="1240" w:firstLine="472"/>
        <w:jc w:val="both"/>
      </w:pPr>
      <w:r>
        <w:t>13</w:t>
      </w:r>
      <w:r>
        <w:rPr>
          <w:spacing w:val="-7"/>
        </w:rPr>
        <w:t>、开标</w:t>
      </w:r>
      <w:r>
        <w:t>（投标</w:t>
      </w:r>
      <w:r>
        <w:rPr>
          <w:spacing w:val="-10"/>
        </w:rPr>
        <w:t>）</w:t>
      </w:r>
      <w:r>
        <w:t>日期：20</w:t>
      </w:r>
      <w:r>
        <w:rPr>
          <w:rFonts w:hint="eastAsia"/>
          <w:lang w:val="en-US" w:eastAsia="zh-CN"/>
        </w:rPr>
        <w:t>22</w:t>
      </w:r>
      <w:r>
        <w:rPr>
          <w:spacing w:val="-42"/>
        </w:rPr>
        <w:t xml:space="preserve"> 年</w:t>
      </w:r>
      <w:r>
        <w:rPr>
          <w:rFonts w:hint="eastAsia"/>
          <w:spacing w:val="-42"/>
          <w:lang w:val="en-US" w:eastAsia="zh-CN"/>
        </w:rPr>
        <w:t xml:space="preserve"> 0 8 </w:t>
      </w:r>
      <w:r>
        <w:rPr>
          <w:spacing w:val="-42"/>
        </w:rPr>
        <w:t>月</w:t>
      </w:r>
      <w:r>
        <w:rPr>
          <w:rFonts w:hint="eastAsia"/>
          <w:spacing w:val="-42"/>
          <w:lang w:val="en-US" w:eastAsia="zh-CN"/>
        </w:rPr>
        <w:t xml:space="preserve"> 23 </w:t>
      </w:r>
      <w:r>
        <w:rPr>
          <w:spacing w:val="-26"/>
        </w:rPr>
        <w:t>日</w:t>
      </w:r>
      <w:r>
        <w:rPr>
          <w:rFonts w:hint="eastAsia"/>
          <w:spacing w:val="-26"/>
          <w:lang w:eastAsia="zh-CN"/>
        </w:rPr>
        <w:t>上</w:t>
      </w:r>
      <w:r>
        <w:rPr>
          <w:spacing w:val="-26"/>
        </w:rPr>
        <w:t xml:space="preserve">午 </w:t>
      </w:r>
      <w:r>
        <w:t>1</w:t>
      </w:r>
      <w:r>
        <w:rPr>
          <w:rFonts w:hint="eastAsia"/>
          <w:lang w:val="en-US" w:eastAsia="zh-CN"/>
        </w:rPr>
        <w:t>0</w:t>
      </w:r>
      <w:r>
        <w:t>：</w:t>
      </w:r>
      <w:r>
        <w:rPr>
          <w:rFonts w:hint="eastAsia"/>
          <w:lang w:val="en-US" w:eastAsia="zh-CN"/>
        </w:rPr>
        <w:t>3</w:t>
      </w:r>
      <w:r>
        <w:t>0</w:t>
      </w:r>
      <w:r>
        <w:rPr>
          <w:spacing w:val="-37"/>
        </w:rPr>
        <w:t xml:space="preserve"> 时</w:t>
      </w:r>
      <w:r>
        <w:t>（北京时间</w:t>
      </w:r>
      <w:r>
        <w:rPr>
          <w:spacing w:val="-8"/>
        </w:rPr>
        <w:t>）</w:t>
      </w:r>
      <w:r>
        <w:rPr>
          <w:spacing w:val="-7"/>
        </w:rPr>
        <w:t>。若逾</w:t>
      </w:r>
      <w:r>
        <w:t>时，届时其投标将被拒绝。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1099" w:firstLineChars="458"/>
        <w:textAlignment w:val="auto"/>
        <w:rPr>
          <w:rFonts w:hint="eastAsia" w:ascii="宋体" w:hAnsi="宋体" w:eastAsia="宋体" w:cs="宋体"/>
          <w:sz w:val="24"/>
          <w:szCs w:val="24"/>
          <w:lang w:val="zh-CN" w:eastAsia="zh-CN" w:bidi="zh-CN"/>
        </w:rPr>
      </w:pPr>
      <w:r>
        <w:rPr>
          <w:rFonts w:ascii="宋体" w:hAnsi="宋体" w:eastAsia="宋体" w:cs="宋体"/>
          <w:sz w:val="24"/>
          <w:szCs w:val="24"/>
          <w:lang w:val="zh-CN" w:eastAsia="zh-CN" w:bidi="zh-CN"/>
        </w:rPr>
        <w:t>14、开标地点：</w:t>
      </w:r>
      <w:r>
        <w:rPr>
          <w:rFonts w:hint="eastAsia" w:ascii="宋体" w:hAnsi="宋体" w:eastAsia="宋体" w:cs="宋体"/>
          <w:color w:val="auto"/>
          <w:kern w:val="0"/>
          <w:sz w:val="24"/>
          <w:szCs w:val="24"/>
        </w:rPr>
        <w:t>政采云线上开标（www.zcygov.com）</w:t>
      </w:r>
    </w:p>
    <w:p>
      <w:pPr>
        <w:pStyle w:val="10"/>
        <w:spacing w:before="160"/>
        <w:ind w:left="888" w:leftChars="0" w:firstLine="218" w:firstLineChars="91"/>
        <w:jc w:val="both"/>
        <w:rPr>
          <w:rFonts w:hint="eastAsia"/>
          <w:lang w:eastAsia="zh-CN"/>
        </w:rPr>
      </w:pPr>
      <w:r>
        <w:t>15、交货</w:t>
      </w:r>
      <w:r>
        <w:rPr>
          <w:rFonts w:hint="eastAsia"/>
          <w:lang w:val="en-US" w:eastAsia="zh-CN"/>
        </w:rPr>
        <w:t>期</w:t>
      </w:r>
      <w:r>
        <w:rPr>
          <w:color w:val="auto"/>
        </w:rPr>
        <w:t>：</w:t>
      </w:r>
      <w:r>
        <w:rPr>
          <w:rFonts w:hint="eastAsia"/>
          <w:lang w:eastAsia="zh-CN"/>
        </w:rPr>
        <w:t>签订合同后</w:t>
      </w:r>
      <w:r>
        <w:rPr>
          <w:rFonts w:hint="eastAsia"/>
          <w:lang w:val="en-US" w:eastAsia="zh-CN"/>
        </w:rPr>
        <w:t>30</w:t>
      </w:r>
      <w:r>
        <w:rPr>
          <w:rFonts w:hint="eastAsia"/>
          <w:lang w:eastAsia="zh-CN"/>
        </w:rPr>
        <w:t xml:space="preserve"> 天内。</w:t>
      </w:r>
    </w:p>
    <w:p>
      <w:pPr>
        <w:pStyle w:val="10"/>
        <w:spacing w:before="161"/>
        <w:ind w:left="1108"/>
      </w:pPr>
      <w:r>
        <w:t>16、交货地点：</w:t>
      </w:r>
      <w:r>
        <w:rPr>
          <w:rFonts w:hint="eastAsia"/>
          <w:lang w:eastAsia="zh-CN"/>
        </w:rPr>
        <w:t>和硕县</w:t>
      </w:r>
    </w:p>
    <w:p>
      <w:pPr>
        <w:pStyle w:val="10"/>
        <w:spacing w:before="160"/>
        <w:ind w:left="1117"/>
        <w:jc w:val="both"/>
        <w:rPr>
          <w:rFonts w:hint="default" w:eastAsia="宋体"/>
          <w:lang w:val="en-US" w:eastAsia="zh-CN"/>
        </w:rPr>
      </w:pPr>
      <w:r>
        <w:t>17、</w:t>
      </w:r>
      <w:r>
        <w:rPr>
          <w:rFonts w:hint="eastAsia"/>
          <w:lang w:eastAsia="zh-CN"/>
        </w:rPr>
        <w:t>招标代理</w:t>
      </w:r>
      <w:r>
        <w:t>联系人：</w:t>
      </w:r>
      <w:r>
        <w:rPr>
          <w:rFonts w:hint="eastAsia"/>
          <w:lang w:eastAsia="zh-CN"/>
        </w:rPr>
        <w:t>彭诗毓</w:t>
      </w:r>
      <w:r>
        <w:rPr>
          <w:rFonts w:hint="eastAsia"/>
          <w:lang w:val="en-US" w:eastAsia="zh-CN"/>
        </w:rPr>
        <w:t xml:space="preserve">  </w:t>
      </w:r>
      <w:r>
        <w:t xml:space="preserve"> 联系电话：</w:t>
      </w:r>
      <w:r>
        <w:rPr>
          <w:rFonts w:hint="eastAsia"/>
          <w:lang w:val="en-US" w:eastAsia="zh-CN"/>
        </w:rPr>
        <w:t>19190311206</w:t>
      </w:r>
    </w:p>
    <w:p>
      <w:pPr>
        <w:pStyle w:val="10"/>
        <w:spacing w:before="161"/>
        <w:ind w:left="1117"/>
      </w:pPr>
      <w:r>
        <w:t>18、采购代理服务费</w:t>
      </w:r>
    </w:p>
    <w:p>
      <w:pPr>
        <w:pStyle w:val="2"/>
        <w:numPr>
          <w:ilvl w:val="0"/>
          <w:numId w:val="3"/>
        </w:numPr>
        <w:tabs>
          <w:tab w:val="left" w:pos="1719"/>
        </w:tabs>
        <w:spacing w:before="160" w:after="0" w:line="240" w:lineRule="auto"/>
        <w:ind w:left="1718" w:right="0" w:hanging="602"/>
        <w:jc w:val="left"/>
        <w:rPr>
          <w:sz w:val="24"/>
        </w:rPr>
      </w:pPr>
      <w:r>
        <w:rPr>
          <w:spacing w:val="-1"/>
          <w:sz w:val="24"/>
        </w:rPr>
        <w:t>采购代理服务费收取按照原国家计委《招标代理服务收费管理暂行办法》</w:t>
      </w:r>
    </w:p>
    <w:p>
      <w:pPr>
        <w:pStyle w:val="10"/>
        <w:keepNext w:val="0"/>
        <w:keepLines w:val="0"/>
        <w:pageBreakBefore w:val="0"/>
        <w:widowControl w:val="0"/>
        <w:kinsoku/>
        <w:wordWrap/>
        <w:overflowPunct/>
        <w:topLinePunct w:val="0"/>
        <w:autoSpaceDE w:val="0"/>
        <w:autoSpaceDN w:val="0"/>
        <w:bidi w:val="0"/>
        <w:adjustRightInd w:val="0"/>
        <w:snapToGrid w:val="0"/>
        <w:spacing w:before="161" w:line="364" w:lineRule="auto"/>
        <w:ind w:right="1249"/>
        <w:jc w:val="left"/>
        <w:textAlignment w:val="auto"/>
        <w:sectPr>
          <w:pgSz w:w="11910" w:h="16840"/>
          <w:pgMar w:top="1420" w:right="240" w:bottom="1180" w:left="1160" w:header="878" w:footer="993" w:gutter="0"/>
          <w:pgNumType w:fmt="decimal"/>
          <w:cols w:space="720" w:num="1"/>
        </w:sectPr>
      </w:pPr>
      <w:r>
        <w:t>（计加盖[2002]1980</w:t>
      </w:r>
      <w:r>
        <w:rPr>
          <w:spacing w:val="-30"/>
        </w:rPr>
        <w:t xml:space="preserve"> 号</w:t>
      </w:r>
      <w:r>
        <w:rPr>
          <w:spacing w:val="-29"/>
        </w:rPr>
        <w:t>）</w:t>
      </w:r>
      <w:r>
        <w:rPr>
          <w:spacing w:val="-9"/>
        </w:rPr>
        <w:t>、国家发展改革委办公厅《关于招标代理服务收费有关问</w:t>
      </w:r>
      <w:r>
        <w:t>题的通知》（发改办价格[2003]857</w:t>
      </w:r>
      <w:r>
        <w:rPr>
          <w:spacing w:val="-30"/>
        </w:rPr>
        <w:t xml:space="preserve"> 号</w:t>
      </w:r>
      <w:r>
        <w:t>）和国家发展改革委《关于降低部分建设项</w:t>
      </w:r>
    </w:p>
    <w:p>
      <w:pPr>
        <w:pStyle w:val="2"/>
        <w:numPr>
          <w:ilvl w:val="0"/>
          <w:numId w:val="0"/>
        </w:numPr>
        <w:spacing w:before="160" w:after="0" w:line="360" w:lineRule="auto"/>
        <w:ind w:left="480" w:leftChars="218" w:right="1269" w:rightChars="577" w:firstLine="0" w:firstLineChars="0"/>
        <w:jc w:val="left"/>
        <w:rPr>
          <w:spacing w:val="-1"/>
          <w:sz w:val="24"/>
        </w:rPr>
      </w:pPr>
      <w:r>
        <w:rPr>
          <w:rFonts w:hint="eastAsia"/>
          <w:spacing w:val="-1"/>
          <w:sz w:val="24"/>
          <w:lang w:eastAsia="zh-CN"/>
        </w:rPr>
        <w:t>目收费标准规范收费行为等有关问题的通知》（发改价格【</w:t>
      </w:r>
      <w:r>
        <w:rPr>
          <w:rFonts w:hint="eastAsia"/>
          <w:spacing w:val="-1"/>
          <w:sz w:val="24"/>
          <w:lang w:val="en-US" w:eastAsia="zh-CN"/>
        </w:rPr>
        <w:t>2011</w:t>
      </w:r>
      <w:r>
        <w:rPr>
          <w:rFonts w:hint="eastAsia"/>
          <w:spacing w:val="-1"/>
          <w:sz w:val="24"/>
          <w:lang w:eastAsia="zh-CN"/>
        </w:rPr>
        <w:t>】</w:t>
      </w:r>
      <w:r>
        <w:rPr>
          <w:rFonts w:hint="eastAsia"/>
          <w:spacing w:val="-1"/>
          <w:sz w:val="24"/>
          <w:lang w:val="en-US" w:eastAsia="zh-CN"/>
        </w:rPr>
        <w:t>534号</w:t>
      </w:r>
      <w:r>
        <w:rPr>
          <w:rFonts w:hint="eastAsia"/>
          <w:spacing w:val="-1"/>
          <w:sz w:val="24"/>
          <w:lang w:eastAsia="zh-CN"/>
        </w:rPr>
        <w:t>规定</w:t>
      </w:r>
      <w:r>
        <w:rPr>
          <w:spacing w:val="-1"/>
          <w:sz w:val="24"/>
        </w:rPr>
        <w:t>中标金额为基准计算收取。中标金额在 5 亿元以上的代理服务费实行收费上限，服务类代理服务费上限为 300 万元。</w:t>
      </w:r>
    </w:p>
    <w:p>
      <w:pPr>
        <w:pStyle w:val="2"/>
        <w:numPr>
          <w:ilvl w:val="0"/>
          <w:numId w:val="0"/>
        </w:numPr>
        <w:tabs>
          <w:tab w:val="left" w:pos="1719"/>
        </w:tabs>
        <w:spacing w:before="161" w:after="0" w:line="360" w:lineRule="auto"/>
        <w:ind w:left="480" w:leftChars="218" w:right="1249" w:rightChars="0" w:firstLine="0" w:firstLineChars="0"/>
        <w:jc w:val="both"/>
        <w:rPr>
          <w:sz w:val="24"/>
        </w:rPr>
      </w:pPr>
      <w:r>
        <w:rPr>
          <w:rFonts w:hint="eastAsia"/>
          <w:spacing w:val="-3"/>
          <w:sz w:val="24"/>
          <w:lang w:eastAsia="zh-CN"/>
        </w:rPr>
        <w:t>（</w:t>
      </w:r>
      <w:r>
        <w:rPr>
          <w:rFonts w:hint="eastAsia"/>
          <w:spacing w:val="-3"/>
          <w:sz w:val="24"/>
          <w:lang w:val="en-US" w:eastAsia="zh-CN"/>
        </w:rPr>
        <w:t>2</w:t>
      </w:r>
      <w:r>
        <w:rPr>
          <w:rFonts w:hint="eastAsia"/>
          <w:spacing w:val="-3"/>
          <w:sz w:val="24"/>
          <w:lang w:eastAsia="zh-CN"/>
        </w:rPr>
        <w:t>）</w:t>
      </w:r>
      <w:r>
        <w:rPr>
          <w:spacing w:val="-3"/>
          <w:sz w:val="24"/>
        </w:rPr>
        <w:t>采购代理服务费在审批的项目预算中已经列支的，由采购人支付，并按照财政部门规定列支；在审批的项目预算中未列支的，采购代理服务费用由中标供</w:t>
      </w:r>
      <w:r>
        <w:rPr>
          <w:spacing w:val="-4"/>
          <w:sz w:val="24"/>
        </w:rPr>
        <w:t>应商支付，</w:t>
      </w:r>
      <w:r>
        <w:rPr>
          <w:rFonts w:hint="eastAsia" w:ascii="宋体" w:hAnsi="宋体" w:cs="宋体"/>
          <w:bCs/>
          <w:sz w:val="24"/>
          <w:szCs w:val="22"/>
        </w:rPr>
        <w:t>根据国家计委《招标代理服务收费管理暂行办法》（计价格[2002]1980号）文件规定标准支付。</w:t>
      </w:r>
    </w:p>
    <w:p>
      <w:pPr>
        <w:pStyle w:val="3"/>
        <w:spacing w:before="2"/>
      </w:pPr>
      <w:r>
        <w:t>第三部分 招标说明</w:t>
      </w:r>
    </w:p>
    <w:p>
      <w:pPr>
        <w:pStyle w:val="5"/>
        <w:numPr>
          <w:ilvl w:val="0"/>
          <w:numId w:val="4"/>
        </w:numPr>
        <w:tabs>
          <w:tab w:val="left" w:pos="1420"/>
        </w:tabs>
        <w:spacing w:before="162" w:after="0" w:line="240" w:lineRule="auto"/>
        <w:ind w:left="1420" w:right="0" w:hanging="363"/>
        <w:jc w:val="left"/>
      </w:pPr>
      <w:r>
        <w:t>适用范围</w:t>
      </w:r>
    </w:p>
    <w:p>
      <w:pPr>
        <w:pStyle w:val="2"/>
        <w:numPr>
          <w:ilvl w:val="1"/>
          <w:numId w:val="4"/>
        </w:numPr>
        <w:tabs>
          <w:tab w:val="left" w:pos="1605"/>
        </w:tabs>
        <w:spacing w:before="161" w:after="0" w:line="364" w:lineRule="auto"/>
        <w:ind w:left="637" w:right="1226" w:firstLine="480"/>
        <w:jc w:val="left"/>
        <w:rPr>
          <w:rFonts w:ascii="宋体" w:hAnsi="宋体" w:eastAsia="宋体" w:cs="宋体"/>
          <w:spacing w:val="5"/>
          <w:sz w:val="24"/>
        </w:rPr>
      </w:pPr>
      <w:r>
        <w:rPr>
          <w:rFonts w:ascii="宋体" w:hAnsi="宋体" w:eastAsia="宋体" w:cs="宋体"/>
          <w:spacing w:val="5"/>
          <w:sz w:val="24"/>
          <w:lang w:val="zh-CN" w:eastAsia="zh-CN"/>
        </w:rPr>
        <w:t>本招标文件仅适用于在</w:t>
      </w:r>
      <w:r>
        <w:rPr>
          <w:rFonts w:hint="eastAsia" w:ascii="宋体" w:hAnsi="宋体" w:eastAsia="宋体" w:cs="宋体"/>
          <w:spacing w:val="5"/>
          <w:sz w:val="24"/>
          <w:lang w:eastAsia="zh-CN"/>
        </w:rPr>
        <w:t>和</w:t>
      </w:r>
      <w:r>
        <w:rPr>
          <w:rFonts w:hint="eastAsia" w:ascii="宋体" w:hAnsi="宋体" w:eastAsia="宋体" w:cs="宋体"/>
          <w:spacing w:val="5"/>
          <w:sz w:val="24"/>
          <w:lang w:val="en-US" w:eastAsia="zh-CN"/>
        </w:rPr>
        <w:t>硕县消防救援能力提升基础设施建设及车辆装备购置项目</w:t>
      </w:r>
      <w:r>
        <w:rPr>
          <w:rFonts w:hint="eastAsia" w:cs="宋体"/>
          <w:spacing w:val="5"/>
          <w:sz w:val="24"/>
          <w:lang w:val="en-US" w:eastAsia="zh-CN"/>
        </w:rPr>
        <w:t>第三包</w:t>
      </w:r>
      <w:r>
        <w:rPr>
          <w:rFonts w:ascii="宋体" w:hAnsi="宋体" w:eastAsia="宋体" w:cs="宋体"/>
          <w:spacing w:val="5"/>
          <w:sz w:val="24"/>
          <w:lang w:val="zh-CN" w:eastAsia="zh-CN"/>
        </w:rPr>
        <w:t>招标文件中所叙述的本采购项目的合格供应商（包括制造商和代</w:t>
      </w:r>
      <w:r>
        <w:rPr>
          <w:rFonts w:ascii="宋体" w:hAnsi="宋体" w:eastAsia="宋体" w:cs="宋体"/>
          <w:spacing w:val="5"/>
          <w:sz w:val="24"/>
        </w:rPr>
        <w:t>理商）。</w:t>
      </w:r>
    </w:p>
    <w:p>
      <w:pPr>
        <w:pStyle w:val="5"/>
        <w:numPr>
          <w:ilvl w:val="0"/>
          <w:numId w:val="4"/>
        </w:numPr>
        <w:tabs>
          <w:tab w:val="left" w:pos="1480"/>
        </w:tabs>
        <w:spacing w:before="1" w:after="0" w:line="240" w:lineRule="auto"/>
        <w:ind w:left="1480" w:right="0" w:hanging="363"/>
        <w:jc w:val="left"/>
      </w:pPr>
      <w:r>
        <w:t>投标资格</w:t>
      </w:r>
    </w:p>
    <w:p>
      <w:pPr>
        <w:pStyle w:val="2"/>
        <w:numPr>
          <w:ilvl w:val="1"/>
          <w:numId w:val="4"/>
        </w:numPr>
        <w:tabs>
          <w:tab w:val="left" w:pos="1605"/>
        </w:tabs>
        <w:spacing w:before="161" w:after="0" w:line="364" w:lineRule="auto"/>
        <w:ind w:left="637" w:right="1226" w:firstLine="480"/>
        <w:jc w:val="left"/>
        <w:rPr>
          <w:sz w:val="24"/>
        </w:rPr>
      </w:pPr>
      <w:r>
        <w:rPr>
          <w:spacing w:val="5"/>
          <w:sz w:val="24"/>
        </w:rPr>
        <w:t>凡在中华人民共和国境内注册的合法的法人且有承担本项目的能力以及能够提供资格必备条件和审查项目条件且均应合格的供应商（制造商、代理商）</w:t>
      </w:r>
      <w:r>
        <w:rPr>
          <w:spacing w:val="-17"/>
          <w:sz w:val="24"/>
        </w:rPr>
        <w:t>。</w:t>
      </w:r>
    </w:p>
    <w:p>
      <w:pPr>
        <w:pStyle w:val="2"/>
        <w:numPr>
          <w:ilvl w:val="1"/>
          <w:numId w:val="4"/>
        </w:numPr>
        <w:tabs>
          <w:tab w:val="left" w:pos="1717"/>
          <w:tab w:val="left" w:pos="1718"/>
        </w:tabs>
        <w:spacing w:before="1" w:after="0" w:line="240" w:lineRule="auto"/>
        <w:ind w:left="1717" w:right="0" w:hanging="601"/>
        <w:jc w:val="left"/>
        <w:rPr>
          <w:sz w:val="24"/>
        </w:rPr>
      </w:pPr>
      <w:r>
        <w:rPr>
          <w:sz w:val="24"/>
        </w:rPr>
        <w:t>投标人应遵守中华人民共和国法律、法规和行政规章。</w:t>
      </w:r>
    </w:p>
    <w:p>
      <w:pPr>
        <w:pStyle w:val="2"/>
        <w:numPr>
          <w:ilvl w:val="1"/>
          <w:numId w:val="4"/>
        </w:numPr>
        <w:tabs>
          <w:tab w:val="left" w:pos="1717"/>
          <w:tab w:val="left" w:pos="1718"/>
        </w:tabs>
        <w:spacing w:before="160" w:after="0" w:line="240" w:lineRule="auto"/>
        <w:ind w:left="1717" w:right="0" w:hanging="601"/>
        <w:jc w:val="left"/>
        <w:rPr>
          <w:sz w:val="24"/>
        </w:rPr>
      </w:pPr>
      <w:r>
        <w:rPr>
          <w:sz w:val="24"/>
        </w:rPr>
        <w:t>本项目不接受联合体投标。</w:t>
      </w:r>
    </w:p>
    <w:p>
      <w:pPr>
        <w:pStyle w:val="5"/>
        <w:numPr>
          <w:ilvl w:val="0"/>
          <w:numId w:val="4"/>
        </w:numPr>
        <w:tabs>
          <w:tab w:val="left" w:pos="1480"/>
        </w:tabs>
        <w:spacing w:before="161" w:after="0" w:line="240" w:lineRule="auto"/>
        <w:ind w:left="1480" w:right="0" w:hanging="363"/>
        <w:jc w:val="left"/>
      </w:pPr>
      <w:r>
        <w:t>定义</w:t>
      </w:r>
    </w:p>
    <w:p>
      <w:pPr>
        <w:pStyle w:val="10"/>
        <w:spacing w:before="160"/>
        <w:ind w:left="1117"/>
      </w:pPr>
      <w:r>
        <w:t>下列术语和缩写的定义为：</w:t>
      </w:r>
    </w:p>
    <w:p>
      <w:pPr>
        <w:pStyle w:val="2"/>
        <w:numPr>
          <w:ilvl w:val="1"/>
          <w:numId w:val="4"/>
        </w:numPr>
        <w:tabs>
          <w:tab w:val="left" w:pos="1598"/>
        </w:tabs>
        <w:spacing w:before="161" w:after="0" w:line="240" w:lineRule="auto"/>
        <w:ind w:left="1597" w:right="0" w:hanging="481"/>
        <w:jc w:val="left"/>
        <w:rPr>
          <w:sz w:val="24"/>
        </w:rPr>
      </w:pPr>
      <w:r>
        <w:rPr>
          <w:sz w:val="24"/>
        </w:rPr>
        <w:t>“招标方”系指</w:t>
      </w:r>
      <w:r>
        <w:rPr>
          <w:rFonts w:hint="eastAsia"/>
          <w:sz w:val="24"/>
        </w:rPr>
        <w:t>和硕县应急管理局</w:t>
      </w:r>
      <w:r>
        <w:rPr>
          <w:sz w:val="24"/>
        </w:rPr>
        <w:t>。</w:t>
      </w:r>
    </w:p>
    <w:p>
      <w:pPr>
        <w:pStyle w:val="2"/>
        <w:numPr>
          <w:ilvl w:val="1"/>
          <w:numId w:val="4"/>
        </w:numPr>
        <w:tabs>
          <w:tab w:val="left" w:pos="1596"/>
        </w:tabs>
        <w:spacing w:before="160" w:after="0" w:line="364" w:lineRule="auto"/>
        <w:ind w:left="637" w:right="1249" w:firstLine="480"/>
        <w:jc w:val="left"/>
        <w:rPr>
          <w:sz w:val="24"/>
        </w:rPr>
      </w:pPr>
      <w:r>
        <w:rPr>
          <w:spacing w:val="-4"/>
          <w:sz w:val="24"/>
        </w:rPr>
        <w:t>“投标方”、“投标人”系指有资格的供应商</w:t>
      </w:r>
      <w:r>
        <w:rPr>
          <w:sz w:val="24"/>
        </w:rPr>
        <w:t>（制造商和代理商</w:t>
      </w:r>
      <w:r>
        <w:rPr>
          <w:spacing w:val="-5"/>
          <w:sz w:val="24"/>
        </w:rPr>
        <w:t>）及投标</w:t>
      </w:r>
      <w:r>
        <w:rPr>
          <w:sz w:val="24"/>
        </w:rPr>
        <w:t>表现人。</w:t>
      </w:r>
    </w:p>
    <w:p>
      <w:pPr>
        <w:pStyle w:val="2"/>
        <w:numPr>
          <w:ilvl w:val="1"/>
          <w:numId w:val="4"/>
        </w:numPr>
        <w:tabs>
          <w:tab w:val="left" w:pos="1562"/>
        </w:tabs>
        <w:spacing w:before="2" w:after="0" w:line="364" w:lineRule="auto"/>
        <w:ind w:left="637" w:right="1129" w:firstLine="480"/>
        <w:jc w:val="left"/>
        <w:rPr>
          <w:sz w:val="24"/>
        </w:rPr>
      </w:pPr>
      <w:r>
        <w:rPr>
          <w:spacing w:val="-11"/>
          <w:sz w:val="24"/>
        </w:rPr>
        <w:t>“货物”系指招标文件规定的，投标方须向招标方提供的一切设备、附件、</w:t>
      </w:r>
      <w:r>
        <w:rPr>
          <w:sz w:val="24"/>
        </w:rPr>
        <w:t>备品备件、工具、手册及其它有关资料和材料。</w:t>
      </w:r>
    </w:p>
    <w:p>
      <w:pPr>
        <w:pStyle w:val="2"/>
        <w:numPr>
          <w:ilvl w:val="1"/>
          <w:numId w:val="4"/>
        </w:numPr>
        <w:tabs>
          <w:tab w:val="left" w:pos="1593"/>
        </w:tabs>
        <w:spacing w:before="1" w:after="0" w:line="364" w:lineRule="auto"/>
        <w:ind w:left="637" w:right="1249" w:firstLine="480"/>
        <w:jc w:val="left"/>
        <w:rPr>
          <w:sz w:val="24"/>
        </w:rPr>
      </w:pPr>
      <w:r>
        <w:rPr>
          <w:spacing w:val="-5"/>
          <w:sz w:val="24"/>
        </w:rPr>
        <w:t>“服务”系指招标文件规定投标方须承担的保修、技术协助、培训及其他</w:t>
      </w:r>
      <w:r>
        <w:rPr>
          <w:sz w:val="24"/>
        </w:rPr>
        <w:t>类似的责任。</w:t>
      </w:r>
    </w:p>
    <w:p>
      <w:pPr>
        <w:pStyle w:val="5"/>
        <w:numPr>
          <w:ilvl w:val="0"/>
          <w:numId w:val="4"/>
        </w:numPr>
        <w:tabs>
          <w:tab w:val="left" w:pos="1480"/>
        </w:tabs>
        <w:spacing w:before="1" w:after="0" w:line="240" w:lineRule="auto"/>
        <w:ind w:left="1480" w:right="0" w:hanging="363"/>
        <w:jc w:val="left"/>
      </w:pPr>
      <w:r>
        <w:t>投标费用</w:t>
      </w:r>
    </w:p>
    <w:p>
      <w:pPr>
        <w:pStyle w:val="2"/>
        <w:numPr>
          <w:ilvl w:val="1"/>
          <w:numId w:val="4"/>
        </w:numPr>
        <w:tabs>
          <w:tab w:val="left" w:pos="1538"/>
        </w:tabs>
        <w:spacing w:before="160" w:after="0" w:line="364" w:lineRule="auto"/>
        <w:ind w:left="637" w:right="1248" w:firstLine="480"/>
        <w:jc w:val="left"/>
        <w:rPr>
          <w:sz w:val="24"/>
        </w:rPr>
      </w:pPr>
      <w:r>
        <w:rPr>
          <w:spacing w:val="-1"/>
          <w:sz w:val="24"/>
        </w:rPr>
        <w:t>无论投标结果如何，凡参与招标、投标活动有关的所有费用将由投标方自</w:t>
      </w:r>
      <w:r>
        <w:rPr>
          <w:sz w:val="24"/>
        </w:rPr>
        <w:t>行承担。</w:t>
      </w:r>
    </w:p>
    <w:p>
      <w:pPr>
        <w:pStyle w:val="2"/>
        <w:numPr>
          <w:ilvl w:val="1"/>
          <w:numId w:val="4"/>
        </w:numPr>
        <w:tabs>
          <w:tab w:val="left" w:pos="1605"/>
        </w:tabs>
        <w:spacing w:before="2" w:after="0" w:line="364" w:lineRule="auto"/>
        <w:ind w:left="637" w:right="1245" w:firstLine="480"/>
        <w:jc w:val="left"/>
        <w:rPr>
          <w:sz w:val="24"/>
        </w:rPr>
      </w:pPr>
      <w:r>
        <w:rPr>
          <w:spacing w:val="5"/>
          <w:sz w:val="24"/>
        </w:rPr>
        <w:t>投标人被视为熟悉本招标项目的各种情况以及与履行合同有关的一切情</w:t>
      </w:r>
      <w:r>
        <w:rPr>
          <w:sz w:val="24"/>
        </w:rPr>
        <w:t>况。</w:t>
      </w:r>
    </w:p>
    <w:p>
      <w:pPr>
        <w:pStyle w:val="5"/>
        <w:numPr>
          <w:ilvl w:val="0"/>
          <w:numId w:val="4"/>
        </w:numPr>
        <w:tabs>
          <w:tab w:val="left" w:pos="1480"/>
        </w:tabs>
        <w:spacing w:before="1" w:after="0" w:line="240" w:lineRule="auto"/>
        <w:ind w:left="1480" w:right="0" w:hanging="363"/>
        <w:jc w:val="left"/>
      </w:pPr>
      <w:r>
        <w:t>招标文件的构成</w:t>
      </w:r>
    </w:p>
    <w:p>
      <w:pPr>
        <w:spacing w:after="0" w:line="240" w:lineRule="auto"/>
        <w:jc w:val="left"/>
      </w:pPr>
    </w:p>
    <w:p>
      <w:pPr>
        <w:pStyle w:val="2"/>
        <w:numPr>
          <w:ilvl w:val="1"/>
          <w:numId w:val="4"/>
        </w:numPr>
        <w:tabs>
          <w:tab w:val="left" w:pos="1600"/>
        </w:tabs>
        <w:spacing w:before="90" w:after="0" w:line="364" w:lineRule="auto"/>
        <w:ind w:left="637" w:right="1248" w:firstLine="480"/>
        <w:jc w:val="both"/>
        <w:rPr>
          <w:sz w:val="24"/>
        </w:rPr>
      </w:pPr>
      <w:r>
        <w:rPr>
          <w:sz w:val="24"/>
        </w:rPr>
        <w:t>招标文件由投标须知、招标说明、投标说明、开标 评标及定标说明、货物需求及技术规格说明、商务部分、附件、询标（答疑）记录等组成。</w:t>
      </w:r>
    </w:p>
    <w:p>
      <w:pPr>
        <w:pStyle w:val="5"/>
        <w:numPr>
          <w:ilvl w:val="0"/>
          <w:numId w:val="4"/>
        </w:numPr>
        <w:tabs>
          <w:tab w:val="left" w:pos="1480"/>
        </w:tabs>
        <w:spacing w:before="1" w:after="0" w:line="240" w:lineRule="auto"/>
        <w:ind w:left="1480" w:right="0" w:hanging="363"/>
        <w:jc w:val="both"/>
      </w:pPr>
      <w:r>
        <w:t>招标文件的澄清</w:t>
      </w:r>
    </w:p>
    <w:p>
      <w:pPr>
        <w:pStyle w:val="2"/>
        <w:numPr>
          <w:ilvl w:val="1"/>
          <w:numId w:val="4"/>
        </w:numPr>
        <w:tabs>
          <w:tab w:val="left" w:pos="1538"/>
        </w:tabs>
        <w:spacing w:before="161" w:after="0" w:line="364" w:lineRule="auto"/>
        <w:ind w:left="637" w:right="1226" w:firstLine="480"/>
        <w:jc w:val="both"/>
        <w:rPr>
          <w:sz w:val="24"/>
        </w:rPr>
      </w:pPr>
      <w:r>
        <w:rPr>
          <w:spacing w:val="-3"/>
          <w:sz w:val="24"/>
        </w:rPr>
        <w:t xml:space="preserve">投标人对招标文件如有疑点，可在投标截止日的 </w:t>
      </w:r>
      <w:r>
        <w:rPr>
          <w:sz w:val="24"/>
        </w:rPr>
        <w:t>7</w:t>
      </w:r>
      <w:r>
        <w:rPr>
          <w:spacing w:val="-7"/>
          <w:sz w:val="24"/>
        </w:rPr>
        <w:t xml:space="preserve"> 日前按招标书中载明的</w:t>
      </w:r>
      <w:r>
        <w:rPr>
          <w:spacing w:val="-8"/>
          <w:sz w:val="24"/>
        </w:rPr>
        <w:t>地址以书面形式通知招标方要求澄清。招标方将视情况确定采用适当方式予以澄清或以书面形式予以答复。招标方认为有必要时，可将答复内容（</w:t>
      </w:r>
      <w:r>
        <w:rPr>
          <w:spacing w:val="-10"/>
          <w:sz w:val="24"/>
        </w:rPr>
        <w:t xml:space="preserve">包括原提出问题， </w:t>
      </w:r>
      <w:r>
        <w:rPr>
          <w:sz w:val="24"/>
        </w:rPr>
        <w:t>但不包括问题的来源）分发给所有拟投标人。</w:t>
      </w:r>
    </w:p>
    <w:p>
      <w:pPr>
        <w:pStyle w:val="5"/>
        <w:numPr>
          <w:ilvl w:val="0"/>
          <w:numId w:val="4"/>
        </w:numPr>
        <w:tabs>
          <w:tab w:val="left" w:pos="1418"/>
        </w:tabs>
        <w:spacing w:before="2" w:after="0" w:line="240" w:lineRule="auto"/>
        <w:ind w:left="1417" w:right="0" w:hanging="363"/>
        <w:jc w:val="both"/>
      </w:pPr>
      <w:r>
        <w:t>招标文件的修改或补充</w:t>
      </w:r>
    </w:p>
    <w:p>
      <w:pPr>
        <w:pStyle w:val="2"/>
        <w:numPr>
          <w:ilvl w:val="1"/>
          <w:numId w:val="4"/>
        </w:numPr>
        <w:tabs>
          <w:tab w:val="left" w:pos="1598"/>
        </w:tabs>
        <w:spacing w:before="160" w:after="0" w:line="364" w:lineRule="auto"/>
        <w:ind w:left="637" w:right="1249" w:firstLine="480"/>
        <w:jc w:val="both"/>
        <w:rPr>
          <w:sz w:val="24"/>
        </w:rPr>
      </w:pPr>
      <w:r>
        <w:rPr>
          <w:spacing w:val="-8"/>
          <w:sz w:val="24"/>
        </w:rPr>
        <w:t xml:space="preserve">在投标截止日的 </w:t>
      </w:r>
      <w:r>
        <w:rPr>
          <w:sz w:val="24"/>
        </w:rPr>
        <w:t>7</w:t>
      </w:r>
      <w:r>
        <w:rPr>
          <w:spacing w:val="-10"/>
          <w:sz w:val="24"/>
        </w:rPr>
        <w:t xml:space="preserve"> 日前的任何时间，招标方可主动或依据投标人要求澄清</w:t>
      </w:r>
      <w:r>
        <w:rPr>
          <w:sz w:val="24"/>
        </w:rPr>
        <w:t>的问题而修改或补充招标文件，并以书面或公告等形式通知所有投标人。</w:t>
      </w:r>
    </w:p>
    <w:p>
      <w:pPr>
        <w:pStyle w:val="2"/>
        <w:numPr>
          <w:ilvl w:val="1"/>
          <w:numId w:val="4"/>
        </w:numPr>
        <w:tabs>
          <w:tab w:val="left" w:pos="1598"/>
        </w:tabs>
        <w:spacing w:before="2" w:after="0" w:line="364" w:lineRule="auto"/>
        <w:ind w:left="637" w:right="1249" w:firstLine="480"/>
        <w:jc w:val="both"/>
        <w:rPr>
          <w:sz w:val="24"/>
        </w:rPr>
      </w:pPr>
      <w:r>
        <w:rPr>
          <w:spacing w:val="-2"/>
          <w:sz w:val="24"/>
        </w:rPr>
        <w:t>为使投标人在准备投标时有适当的时间考虑投标文件的修改，招标方有权</w:t>
      </w:r>
      <w:r>
        <w:rPr>
          <w:spacing w:val="-3"/>
          <w:sz w:val="24"/>
        </w:rPr>
        <w:t>决定推迟投标截止日期和开标日期，并将此变更以书面或公告等形式通知所有投标</w:t>
      </w:r>
      <w:r>
        <w:rPr>
          <w:sz w:val="24"/>
        </w:rPr>
        <w:t>人。</w:t>
      </w:r>
    </w:p>
    <w:p>
      <w:pPr>
        <w:pStyle w:val="2"/>
        <w:numPr>
          <w:ilvl w:val="1"/>
          <w:numId w:val="4"/>
        </w:numPr>
        <w:tabs>
          <w:tab w:val="left" w:pos="1598"/>
        </w:tabs>
        <w:spacing w:before="1" w:after="0" w:line="364" w:lineRule="auto"/>
        <w:ind w:left="637" w:right="1249" w:firstLine="480"/>
        <w:jc w:val="both"/>
        <w:rPr>
          <w:sz w:val="24"/>
        </w:rPr>
      </w:pPr>
      <w:r>
        <w:rPr>
          <w:spacing w:val="-2"/>
          <w:sz w:val="24"/>
        </w:rPr>
        <w:t>招标文件的修改和补充文件将构成招标文件的一部分，并且对投标人具有</w:t>
      </w:r>
      <w:r>
        <w:rPr>
          <w:sz w:val="24"/>
        </w:rPr>
        <w:t>优先约束力。</w:t>
      </w:r>
    </w:p>
    <w:p>
      <w:pPr>
        <w:pStyle w:val="5"/>
        <w:numPr>
          <w:ilvl w:val="0"/>
          <w:numId w:val="4"/>
        </w:numPr>
        <w:tabs>
          <w:tab w:val="left" w:pos="1480"/>
        </w:tabs>
        <w:spacing w:before="2" w:after="0" w:line="240" w:lineRule="auto"/>
        <w:ind w:left="1480" w:right="0" w:hanging="363"/>
        <w:jc w:val="both"/>
      </w:pPr>
      <w:r>
        <w:t>廉洁自律承诺要求</w:t>
      </w:r>
    </w:p>
    <w:p>
      <w:pPr>
        <w:pStyle w:val="5"/>
        <w:numPr>
          <w:ilvl w:val="0"/>
          <w:numId w:val="0"/>
        </w:numPr>
        <w:tabs>
          <w:tab w:val="left" w:pos="1479"/>
        </w:tabs>
        <w:spacing w:before="5" w:after="0" w:line="360" w:lineRule="auto"/>
        <w:ind w:left="480" w:leftChars="218" w:right="1269" w:rightChars="577" w:firstLine="0" w:firstLineChars="0"/>
        <w:jc w:val="left"/>
        <w:rPr>
          <w:rFonts w:ascii="宋体" w:hAnsi="宋体" w:eastAsia="宋体" w:cs="宋体"/>
          <w:b w:val="0"/>
          <w:bCs w:val="0"/>
          <w:spacing w:val="-2"/>
          <w:sz w:val="24"/>
          <w:szCs w:val="22"/>
          <w:lang w:val="zh-CN" w:eastAsia="zh-CN" w:bidi="zh-CN"/>
        </w:rPr>
      </w:pPr>
      <w:r>
        <w:rPr>
          <w:rFonts w:hint="eastAsia" w:cs="宋体"/>
          <w:b w:val="0"/>
          <w:bCs w:val="0"/>
          <w:spacing w:val="-2"/>
          <w:sz w:val="24"/>
          <w:szCs w:val="22"/>
          <w:lang w:val="en-US" w:eastAsia="zh-CN" w:bidi="zh-CN"/>
        </w:rPr>
        <w:t>8.1</w:t>
      </w:r>
      <w:r>
        <w:rPr>
          <w:rFonts w:ascii="宋体" w:hAnsi="宋体" w:eastAsia="宋体" w:cs="宋体"/>
          <w:b w:val="0"/>
          <w:bCs w:val="0"/>
          <w:spacing w:val="-2"/>
          <w:sz w:val="24"/>
          <w:szCs w:val="22"/>
          <w:lang w:val="zh-CN" w:eastAsia="zh-CN" w:bidi="zh-CN"/>
        </w:rPr>
        <w:t>按照《预防职务违法违纪工作规程》规定要求，在本次招标活动中，</w:t>
      </w:r>
      <w:r>
        <w:rPr>
          <w:rFonts w:hint="eastAsia" w:ascii="宋体" w:hAnsi="宋体" w:eastAsia="宋体" w:cs="宋体"/>
          <w:b w:val="0"/>
          <w:bCs w:val="0"/>
          <w:spacing w:val="-2"/>
          <w:sz w:val="24"/>
          <w:szCs w:val="22"/>
          <w:lang w:val="zh-CN" w:eastAsia="zh-CN" w:bidi="zh-CN"/>
        </w:rPr>
        <w:t>新疆正聚方企业管理咨询有限公司</w:t>
      </w:r>
      <w:r>
        <w:rPr>
          <w:rFonts w:ascii="宋体" w:hAnsi="宋体" w:eastAsia="宋体" w:cs="宋体"/>
          <w:b w:val="0"/>
          <w:bCs w:val="0"/>
          <w:spacing w:val="-2"/>
          <w:sz w:val="24"/>
          <w:szCs w:val="22"/>
          <w:lang w:val="zh-CN" w:eastAsia="zh-CN" w:bidi="zh-CN"/>
        </w:rPr>
        <w:t>保证不接受任何投标单位送的礼金礼品、有价证券、购物券、回扣、佣金；不与投标单位及其工作人员私下接触、参与宴请和娱乐活动； 不向投标单位及其工作人员索要好处费、赞助费和宣传费；不在投标单位支付旅游费用、报销各种消费凭证；同时，招标方要求参加本次项目的采购单位、评标专家要填写和提交《廉洁自律承诺书》，所有投标供应商必须要现场提交《反商业贿赂承诺书》和“信用中国”网站无任何不良记录的查询截图并加盖公章；凡不填写和不提交的将视为无效招标或无效投标处理。</w:t>
      </w:r>
    </w:p>
    <w:p>
      <w:pPr>
        <w:pStyle w:val="5"/>
        <w:numPr>
          <w:ilvl w:val="0"/>
          <w:numId w:val="4"/>
        </w:numPr>
        <w:tabs>
          <w:tab w:val="left" w:pos="1600"/>
        </w:tabs>
        <w:spacing w:before="0" w:after="0" w:line="253" w:lineRule="exact"/>
        <w:ind w:left="1600" w:right="0" w:hanging="483"/>
        <w:jc w:val="both"/>
      </w:pPr>
      <w:r>
        <w:t>招标会场纪律及要求</w:t>
      </w:r>
    </w:p>
    <w:p>
      <w:pPr>
        <w:pStyle w:val="2"/>
        <w:numPr>
          <w:ilvl w:val="1"/>
          <w:numId w:val="4"/>
        </w:numPr>
        <w:tabs>
          <w:tab w:val="left" w:pos="1720"/>
        </w:tabs>
        <w:spacing w:before="161" w:after="0" w:line="364" w:lineRule="auto"/>
        <w:ind w:left="637" w:right="1248" w:firstLine="480"/>
        <w:jc w:val="both"/>
        <w:rPr>
          <w:sz w:val="24"/>
        </w:rPr>
      </w:pPr>
      <w:r>
        <w:rPr>
          <w:sz w:val="24"/>
        </w:rPr>
        <w:t>会议按照“公开、公平、公正、诚信”的原则，招标采取全封闭方式主持进行。</w:t>
      </w:r>
    </w:p>
    <w:p>
      <w:pPr>
        <w:pStyle w:val="2"/>
        <w:numPr>
          <w:ilvl w:val="1"/>
          <w:numId w:val="4"/>
        </w:numPr>
        <w:tabs>
          <w:tab w:val="left" w:pos="1720"/>
        </w:tabs>
        <w:spacing w:before="1" w:after="0" w:line="364" w:lineRule="auto"/>
        <w:ind w:left="637" w:right="1243" w:firstLine="480"/>
        <w:jc w:val="both"/>
        <w:rPr>
          <w:sz w:val="24"/>
        </w:rPr>
      </w:pPr>
      <w:r>
        <w:rPr>
          <w:sz w:val="24"/>
        </w:rPr>
        <w:t>凡没有按投标报价截止时间准时到场的投标人、评审专家、与招标活动</w:t>
      </w:r>
      <w:r>
        <w:rPr>
          <w:spacing w:val="-1"/>
          <w:sz w:val="24"/>
        </w:rPr>
        <w:t>有关的工作人员</w:t>
      </w:r>
      <w:r>
        <w:rPr>
          <w:sz w:val="24"/>
        </w:rPr>
        <w:t>（</w:t>
      </w:r>
      <w:r>
        <w:rPr>
          <w:spacing w:val="-3"/>
          <w:sz w:val="24"/>
        </w:rPr>
        <w:t>即监标人、采购人代表、特邀代表、工作人员等）</w:t>
      </w:r>
      <w:r>
        <w:rPr>
          <w:spacing w:val="-4"/>
          <w:sz w:val="24"/>
        </w:rPr>
        <w:t>，一律不允许</w:t>
      </w:r>
      <w:r>
        <w:rPr>
          <w:sz w:val="24"/>
        </w:rPr>
        <w:t>进场。</w:t>
      </w:r>
    </w:p>
    <w:p>
      <w:pPr>
        <w:pStyle w:val="2"/>
        <w:numPr>
          <w:ilvl w:val="1"/>
          <w:numId w:val="4"/>
        </w:numPr>
        <w:tabs>
          <w:tab w:val="left" w:pos="1720"/>
        </w:tabs>
        <w:spacing w:before="2" w:after="0" w:line="364" w:lineRule="auto"/>
        <w:ind w:left="637" w:right="1248" w:firstLine="480"/>
        <w:jc w:val="both"/>
        <w:rPr>
          <w:sz w:val="24"/>
        </w:rPr>
      </w:pPr>
      <w:r>
        <w:rPr>
          <w:sz w:val="24"/>
        </w:rPr>
        <w:t>与会人员要关闭手机等一切通讯工具，严禁在会场大声喧哗。否则，将请你离开会场。</w:t>
      </w:r>
    </w:p>
    <w:p>
      <w:pPr>
        <w:pStyle w:val="5"/>
        <w:numPr>
          <w:ilvl w:val="1"/>
          <w:numId w:val="4"/>
        </w:numPr>
        <w:tabs>
          <w:tab w:val="left" w:pos="1720"/>
        </w:tabs>
        <w:spacing w:before="1" w:after="0" w:line="364" w:lineRule="auto"/>
        <w:ind w:left="637" w:right="1248" w:firstLine="480"/>
        <w:jc w:val="both"/>
      </w:pPr>
      <w:r>
        <w:t>投标截止时间到后，不允许已到场的所有投标人二次进出，招标现场对</w:t>
      </w:r>
      <w:r>
        <w:rPr>
          <w:spacing w:val="-3"/>
        </w:rPr>
        <w:t>投标方的所有投标资质及评标所需的资料证明等均不接受二次提供，且不允许与外</w:t>
      </w:r>
      <w:r>
        <w:t>界有任何方式的联系与沟通。否则，将直接取消其投标资格。</w:t>
      </w:r>
    </w:p>
    <w:p>
      <w:pPr>
        <w:pStyle w:val="2"/>
        <w:numPr>
          <w:ilvl w:val="1"/>
          <w:numId w:val="4"/>
        </w:numPr>
        <w:tabs>
          <w:tab w:val="left" w:pos="1718"/>
        </w:tabs>
        <w:spacing w:before="2" w:after="0" w:line="240" w:lineRule="auto"/>
        <w:ind w:left="1717" w:right="0" w:hanging="601"/>
        <w:jc w:val="both"/>
        <w:rPr>
          <w:sz w:val="24"/>
        </w:rPr>
      </w:pPr>
      <w:r>
        <w:rPr>
          <w:sz w:val="24"/>
        </w:rPr>
        <w:t>严禁投标方会议期间与评委单独接触和交往。</w:t>
      </w:r>
    </w:p>
    <w:p>
      <w:pPr>
        <w:pStyle w:val="2"/>
        <w:numPr>
          <w:ilvl w:val="1"/>
          <w:numId w:val="4"/>
        </w:numPr>
        <w:tabs>
          <w:tab w:val="left" w:pos="1720"/>
        </w:tabs>
        <w:spacing w:before="160" w:after="0" w:line="364" w:lineRule="auto"/>
        <w:ind w:left="637" w:right="1249" w:firstLine="480"/>
        <w:jc w:val="both"/>
        <w:rPr>
          <w:sz w:val="24"/>
        </w:rPr>
      </w:pPr>
      <w:r>
        <w:rPr>
          <w:sz w:val="24"/>
        </w:rPr>
        <w:t>评标活动结束前，评标委员会各成员务必自觉做到不与外界及投标供应</w:t>
      </w:r>
      <w:r>
        <w:rPr>
          <w:spacing w:val="-3"/>
          <w:sz w:val="24"/>
        </w:rPr>
        <w:t>商有任何形式的联系，确有特殊原因需要外出或其他方面的，必须由监标人提交招</w:t>
      </w:r>
      <w:r>
        <w:rPr>
          <w:sz w:val="24"/>
        </w:rPr>
        <w:t>标方后，方可外出，外出时须有监标人员陪同。</w:t>
      </w:r>
    </w:p>
    <w:p>
      <w:pPr>
        <w:pStyle w:val="2"/>
        <w:numPr>
          <w:ilvl w:val="1"/>
          <w:numId w:val="4"/>
        </w:numPr>
        <w:tabs>
          <w:tab w:val="left" w:pos="1653"/>
        </w:tabs>
        <w:spacing w:before="2" w:after="0" w:line="364" w:lineRule="auto"/>
        <w:ind w:left="637" w:right="1245" w:firstLine="470"/>
        <w:jc w:val="both"/>
        <w:rPr>
          <w:sz w:val="24"/>
        </w:rPr>
      </w:pPr>
      <w:r>
        <w:rPr>
          <w:spacing w:val="3"/>
          <w:sz w:val="24"/>
        </w:rPr>
        <w:t>投标供应商如果认为参加本次评标的专家成员及其他与会人员与其他投</w:t>
      </w:r>
      <w:r>
        <w:rPr>
          <w:spacing w:val="-3"/>
          <w:sz w:val="24"/>
        </w:rPr>
        <w:t>标供应商有利害关系的，可以现场申请其回避。如不申请其回避的，则视同无利害</w:t>
      </w:r>
      <w:r>
        <w:rPr>
          <w:sz w:val="24"/>
        </w:rPr>
        <w:t>关系。</w:t>
      </w:r>
    </w:p>
    <w:p>
      <w:pPr>
        <w:pStyle w:val="2"/>
        <w:numPr>
          <w:ilvl w:val="1"/>
          <w:numId w:val="4"/>
        </w:numPr>
        <w:tabs>
          <w:tab w:val="left" w:pos="1711"/>
        </w:tabs>
        <w:spacing w:before="2" w:after="0" w:line="364" w:lineRule="auto"/>
        <w:ind w:left="637" w:right="1123" w:firstLine="470"/>
        <w:jc w:val="both"/>
        <w:rPr>
          <w:sz w:val="24"/>
        </w:rPr>
      </w:pPr>
      <w:r>
        <w:rPr>
          <w:spacing w:val="-3"/>
          <w:sz w:val="24"/>
        </w:rPr>
        <w:t>对各投标供应商的资质审查、开标、报价、评标、询标（</w:t>
      </w:r>
      <w:r>
        <w:rPr>
          <w:sz w:val="24"/>
        </w:rPr>
        <w:t>答疑</w:t>
      </w:r>
      <w:r>
        <w:rPr>
          <w:spacing w:val="-3"/>
          <w:sz w:val="24"/>
        </w:rPr>
        <w:t>）</w:t>
      </w:r>
      <w:r>
        <w:rPr>
          <w:spacing w:val="-4"/>
          <w:sz w:val="24"/>
        </w:rPr>
        <w:t>、澄清、</w:t>
      </w:r>
      <w:r>
        <w:rPr>
          <w:spacing w:val="-14"/>
          <w:sz w:val="24"/>
        </w:rPr>
        <w:t xml:space="preserve">定标等工作，采取逐一方式进行，评标此期间投标供应商务必保持通讯工具的畅通， </w:t>
      </w:r>
      <w:r>
        <w:rPr>
          <w:spacing w:val="-3"/>
          <w:sz w:val="24"/>
        </w:rPr>
        <w:t>不要远离招标现场，以便及时联络和不延误工作。若发生通讯工具不通或备案通讯</w:t>
      </w:r>
    </w:p>
    <w:p>
      <w:pPr>
        <w:pStyle w:val="10"/>
        <w:spacing w:before="90" w:line="364" w:lineRule="auto"/>
        <w:ind w:right="1203"/>
      </w:pPr>
      <w:r>
        <w:t>工具号码有误，无法实现联络的，或无理拒绝或不执行招标方工作安排的，将视同自愿放弃本次投标权利。</w:t>
      </w:r>
    </w:p>
    <w:p>
      <w:pPr>
        <w:pStyle w:val="5"/>
        <w:numPr>
          <w:ilvl w:val="1"/>
          <w:numId w:val="4"/>
        </w:numPr>
        <w:tabs>
          <w:tab w:val="left" w:pos="1713"/>
        </w:tabs>
        <w:spacing w:before="1" w:after="0" w:line="364" w:lineRule="auto"/>
        <w:ind w:left="637" w:right="1216" w:firstLine="470"/>
        <w:jc w:val="both"/>
      </w:pPr>
      <w:r>
        <w:t>凡是须要经过会议通过的事宜事项，招标方对供应商在招标事后发生的  已通过事宜事项的质疑或投诉，将不予采信。</w:t>
      </w:r>
    </w:p>
    <w:p>
      <w:pPr>
        <w:pStyle w:val="2"/>
        <w:numPr>
          <w:ilvl w:val="0"/>
          <w:numId w:val="4"/>
        </w:numPr>
        <w:tabs>
          <w:tab w:val="left" w:pos="1598"/>
        </w:tabs>
        <w:spacing w:before="1" w:after="0" w:line="364" w:lineRule="auto"/>
        <w:ind w:left="637" w:right="1249" w:firstLine="480"/>
        <w:jc w:val="both"/>
        <w:rPr>
          <w:sz w:val="24"/>
        </w:rPr>
      </w:pPr>
      <w:r>
        <w:rPr>
          <w:spacing w:val="-3"/>
          <w:sz w:val="24"/>
        </w:rPr>
        <w:t>招标评标须在监标人的监督下由招标方组织进行。评标委员会各成员、采</w:t>
      </w:r>
      <w:r>
        <w:rPr>
          <w:spacing w:val="-6"/>
          <w:sz w:val="24"/>
        </w:rPr>
        <w:t>购人代表、投标人、特邀代表、工作人员等与会人员如有违纪、违规行为，监标人</w:t>
      </w:r>
      <w:r>
        <w:rPr>
          <w:sz w:val="24"/>
        </w:rPr>
        <w:t>有权予以纠正或制止。</w:t>
      </w:r>
    </w:p>
    <w:p>
      <w:pPr>
        <w:pStyle w:val="2"/>
        <w:numPr>
          <w:ilvl w:val="0"/>
          <w:numId w:val="4"/>
        </w:numPr>
        <w:tabs>
          <w:tab w:val="left" w:pos="1599"/>
        </w:tabs>
        <w:spacing w:before="2" w:after="0" w:line="364" w:lineRule="auto"/>
        <w:ind w:left="637" w:right="1249" w:firstLine="480"/>
        <w:jc w:val="left"/>
      </w:pPr>
      <w:r>
        <w:rPr>
          <w:spacing w:val="-3"/>
          <w:sz w:val="24"/>
        </w:rPr>
        <w:t>与评标活动有关的工作人员。是指评标委员会成员以外的、因参与评标监</w:t>
      </w:r>
      <w:r>
        <w:rPr>
          <w:sz w:val="24"/>
        </w:rPr>
        <w:t>督工作或者事务性工作而知悉有关评标情况的所有人员。</w:t>
      </w:r>
    </w:p>
    <w:p>
      <w:pPr>
        <w:pStyle w:val="3"/>
        <w:spacing w:before="162"/>
      </w:pPr>
      <w:r>
        <w:rPr>
          <w:spacing w:val="-1"/>
        </w:rPr>
        <w:t>第四部分 投标说明</w:t>
      </w:r>
    </w:p>
    <w:p>
      <w:pPr>
        <w:pStyle w:val="4"/>
        <w:spacing w:before="191"/>
        <w:ind w:right="608"/>
      </w:pPr>
      <w:r>
        <w:t>第一章 对投标方的资质要求</w:t>
      </w:r>
    </w:p>
    <w:p>
      <w:pPr>
        <w:pStyle w:val="2"/>
        <w:numPr>
          <w:ilvl w:val="1"/>
          <w:numId w:val="5"/>
        </w:numPr>
        <w:tabs>
          <w:tab w:val="left" w:pos="1605"/>
        </w:tabs>
        <w:spacing w:before="186" w:after="0" w:line="364" w:lineRule="auto"/>
        <w:ind w:left="637" w:right="1245" w:firstLine="480"/>
        <w:jc w:val="left"/>
        <w:rPr>
          <w:sz w:val="24"/>
        </w:rPr>
      </w:pPr>
      <w:r>
        <w:rPr>
          <w:spacing w:val="5"/>
          <w:sz w:val="24"/>
        </w:rPr>
        <w:t>投标人必须提交能够证明其具有履行本招标项目合同能力的资质证明文</w:t>
      </w:r>
      <w:r>
        <w:rPr>
          <w:sz w:val="24"/>
        </w:rPr>
        <w:t>件，作为投标文件的一部分。</w:t>
      </w:r>
    </w:p>
    <w:p>
      <w:pPr>
        <w:pStyle w:val="5"/>
        <w:numPr>
          <w:ilvl w:val="1"/>
          <w:numId w:val="5"/>
        </w:numPr>
        <w:tabs>
          <w:tab w:val="left" w:pos="1600"/>
        </w:tabs>
        <w:spacing w:before="1" w:after="0" w:line="364" w:lineRule="auto"/>
        <w:ind w:left="637" w:right="1216" w:firstLine="480"/>
        <w:jc w:val="left"/>
      </w:pPr>
      <w:r>
        <w:t>投标时资质审查的必要条件</w:t>
      </w:r>
      <w:r>
        <w:rPr>
          <w:rFonts w:hint="eastAsia"/>
          <w:lang w:eastAsia="zh-CN"/>
        </w:rPr>
        <w:t>：</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符合《中华人民共和国政府采购法》第二十二条的相关规定；</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有效的“三证合一”的营业执照，且具备所投标的经营范围；</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投标人需具备独立法人资格，能够承担相应的供货、服务能力，持有效营业执照的生产厂家或代理商；</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具有良好的商业信誉和健全的财务会计制度；</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近三年内，在经营活动中没有重大违法记录；</w:t>
      </w:r>
    </w:p>
    <w:p>
      <w:pPr>
        <w:pStyle w:val="2"/>
        <w:numPr>
          <w:ilvl w:val="0"/>
          <w:numId w:val="6"/>
        </w:numPr>
        <w:tabs>
          <w:tab w:val="left" w:pos="1592"/>
        </w:tabs>
        <w:spacing w:before="160" w:after="0" w:line="360" w:lineRule="auto"/>
        <w:ind w:left="1591" w:right="0" w:hanging="602"/>
        <w:jc w:val="left"/>
        <w:rPr>
          <w:rFonts w:hint="eastAsia"/>
          <w:color w:val="auto"/>
          <w:sz w:val="24"/>
          <w:lang w:val="en-US" w:eastAsia="zh-CN"/>
        </w:rPr>
      </w:pPr>
      <w:r>
        <w:rPr>
          <w:rFonts w:hint="eastAsia"/>
          <w:color w:val="auto"/>
          <w:sz w:val="24"/>
          <w:lang w:val="en-US" w:eastAsia="zh-CN"/>
        </w:rPr>
        <w:t>经 信 用 中 国 （ www.creditchina.gov.cn ） 、 中 国 政 府 采 购 网（www.ccgp.gov.cn）等渠道查询后，列入失信被执行人、重大税违法案件当事人名单、政府采购严重违法失信行为记录名单的，取消投标资格。（提供“信用中国”网站无任何不良记录的查询截图并加盖公章，时间为投标截止时间前 20 天内）；</w:t>
      </w:r>
    </w:p>
    <w:p>
      <w:pPr>
        <w:pStyle w:val="2"/>
        <w:numPr>
          <w:ilvl w:val="0"/>
          <w:numId w:val="6"/>
        </w:numPr>
        <w:tabs>
          <w:tab w:val="left" w:pos="1592"/>
        </w:tabs>
        <w:spacing w:before="160" w:after="0" w:line="360" w:lineRule="auto"/>
        <w:ind w:left="1591" w:right="0" w:hanging="602"/>
        <w:jc w:val="left"/>
        <w:rPr>
          <w:color w:val="auto"/>
          <w:sz w:val="24"/>
        </w:rPr>
      </w:pPr>
      <w:r>
        <w:rPr>
          <w:rFonts w:hint="eastAsia"/>
          <w:color w:val="auto"/>
          <w:sz w:val="24"/>
          <w:lang w:val="en-US" w:eastAsia="zh-CN"/>
        </w:rPr>
        <w:t>按文件要求缴纳投标保证金；</w:t>
      </w:r>
    </w:p>
    <w:p>
      <w:pPr>
        <w:pStyle w:val="2"/>
        <w:numPr>
          <w:ilvl w:val="0"/>
          <w:numId w:val="6"/>
        </w:numPr>
        <w:tabs>
          <w:tab w:val="left" w:pos="1592"/>
        </w:tabs>
        <w:spacing w:before="160" w:after="0" w:line="360" w:lineRule="auto"/>
        <w:ind w:left="1591" w:right="0" w:hanging="602"/>
        <w:jc w:val="left"/>
        <w:rPr>
          <w:color w:val="auto"/>
          <w:sz w:val="24"/>
        </w:rPr>
      </w:pPr>
      <w:r>
        <w:rPr>
          <w:rFonts w:hint="eastAsia"/>
          <w:color w:val="auto"/>
          <w:sz w:val="24"/>
          <w:lang w:val="en-US" w:eastAsia="zh-CN"/>
        </w:rPr>
        <w:t>如是代理商出具生产厂家针对本项目的授权原件.</w:t>
      </w:r>
    </w:p>
    <w:p>
      <w:pPr>
        <w:pStyle w:val="2"/>
        <w:numPr>
          <w:ilvl w:val="0"/>
          <w:numId w:val="0"/>
        </w:numPr>
        <w:tabs>
          <w:tab w:val="left" w:pos="1592"/>
        </w:tabs>
        <w:spacing w:before="161" w:after="0" w:line="360" w:lineRule="auto"/>
        <w:ind w:left="660" w:leftChars="0" w:right="609" w:rightChars="277" w:firstLine="480" w:firstLineChars="200"/>
        <w:jc w:val="left"/>
        <w:rPr>
          <w:color w:val="auto"/>
          <w:sz w:val="24"/>
        </w:rPr>
      </w:pPr>
      <w:r>
        <w:rPr>
          <w:rFonts w:hint="eastAsia"/>
          <w:color w:val="auto"/>
          <w:sz w:val="24"/>
          <w:lang w:val="en-US" w:eastAsia="zh-CN"/>
        </w:rPr>
        <w:t xml:space="preserve">1.3 </w:t>
      </w:r>
      <w:r>
        <w:rPr>
          <w:color w:val="auto"/>
          <w:sz w:val="24"/>
        </w:rPr>
        <w:t>投标时的评审审查项目。投标人如果不能提供或有缺项的，则相应本项</w:t>
      </w:r>
      <w:r>
        <w:rPr>
          <w:color w:val="auto"/>
          <w:spacing w:val="-2"/>
          <w:sz w:val="24"/>
        </w:rPr>
        <w:t>目</w:t>
      </w:r>
      <w:r>
        <w:rPr>
          <w:rFonts w:hint="eastAsia"/>
          <w:color w:val="auto"/>
          <w:spacing w:val="-2"/>
          <w:sz w:val="24"/>
          <w:lang w:eastAsia="zh-CN"/>
        </w:rPr>
        <w:t>不得分</w:t>
      </w:r>
      <w:r>
        <w:rPr>
          <w:color w:val="auto"/>
          <w:spacing w:val="-2"/>
          <w:sz w:val="24"/>
        </w:rPr>
        <w:t>，且本项目将做为是否中标的重要</w:t>
      </w:r>
      <w:r>
        <w:rPr>
          <w:color w:val="auto"/>
          <w:sz w:val="24"/>
        </w:rPr>
        <w:t>因素。</w:t>
      </w:r>
    </w:p>
    <w:p>
      <w:pPr>
        <w:pStyle w:val="2"/>
        <w:numPr>
          <w:ilvl w:val="0"/>
          <w:numId w:val="0"/>
        </w:numPr>
        <w:tabs>
          <w:tab w:val="left" w:pos="220"/>
          <w:tab w:val="left" w:pos="880"/>
        </w:tabs>
        <w:spacing w:before="2" w:after="0" w:line="360" w:lineRule="auto"/>
        <w:ind w:right="0" w:rightChars="0" w:firstLine="1200" w:firstLineChars="500"/>
        <w:jc w:val="left"/>
        <w:rPr>
          <w:color w:val="auto"/>
          <w:sz w:val="22"/>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color w:val="auto"/>
          <w:sz w:val="24"/>
        </w:rPr>
        <w:t>投标人合法经营和履行国家规定义务的有关证明。</w:t>
      </w:r>
    </w:p>
    <w:p>
      <w:pPr>
        <w:pStyle w:val="2"/>
        <w:numPr>
          <w:ilvl w:val="0"/>
          <w:numId w:val="0"/>
        </w:numPr>
        <w:tabs>
          <w:tab w:val="left" w:pos="660"/>
        </w:tabs>
        <w:spacing w:before="160" w:after="0" w:line="360" w:lineRule="auto"/>
        <w:ind w:left="660" w:leftChars="300" w:right="0" w:rightChars="0" w:firstLine="540" w:firstLineChars="225"/>
        <w:jc w:val="left"/>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color w:val="auto"/>
          <w:sz w:val="24"/>
        </w:rPr>
        <w:t>投标方提供由国家权威部门出具的产品质量鉴定证书或检测报告均须加盖生产企业法人公章）。</w:t>
      </w:r>
    </w:p>
    <w:p>
      <w:pPr>
        <w:pStyle w:val="2"/>
        <w:numPr>
          <w:ilvl w:val="0"/>
          <w:numId w:val="0"/>
        </w:numPr>
        <w:tabs>
          <w:tab w:val="left" w:pos="220"/>
          <w:tab w:val="left" w:pos="880"/>
        </w:tabs>
        <w:spacing w:before="2" w:after="0" w:line="360" w:lineRule="auto"/>
        <w:ind w:left="660" w:leftChars="300" w:right="0" w:rightChars="0" w:firstLine="540" w:firstLineChars="225"/>
        <w:jc w:val="left"/>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color w:val="auto"/>
          <w:sz w:val="24"/>
        </w:rPr>
        <w:t>投标方提供售后服务体系、服务保证及服务承诺。投标方应有能力履行招标文件中规定的、合同条款和技术要求方面的、由卖方履行的保养、修理、供应备件和其他技术服务的义务。</w:t>
      </w:r>
    </w:p>
    <w:p>
      <w:pPr>
        <w:pStyle w:val="2"/>
        <w:numPr>
          <w:ilvl w:val="0"/>
          <w:numId w:val="0"/>
        </w:numPr>
        <w:tabs>
          <w:tab w:val="left" w:pos="660"/>
        </w:tabs>
        <w:spacing w:before="160" w:after="0" w:line="360" w:lineRule="auto"/>
        <w:ind w:left="660" w:leftChars="300" w:right="0" w:rightChars="0" w:firstLine="540" w:firstLineChars="225"/>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）投标方所投标的产品是原厂生产的，须提供产品质量</w:t>
      </w:r>
      <w:r>
        <w:rPr>
          <w:rFonts w:hint="eastAsia"/>
          <w:color w:val="auto"/>
          <w:sz w:val="24"/>
          <w:lang w:val="en-US" w:eastAsia="zh-CN"/>
        </w:rPr>
        <w:t>检测报告扫面件</w:t>
      </w:r>
      <w:r>
        <w:rPr>
          <w:rFonts w:hint="eastAsia"/>
          <w:color w:val="auto"/>
          <w:sz w:val="24"/>
          <w:lang w:eastAsia="zh-CN"/>
        </w:rPr>
        <w:t>，经销商或代理商的须提供针对本次招标授权产品的授权证明</w:t>
      </w:r>
      <w:r>
        <w:rPr>
          <w:rFonts w:hint="eastAsia"/>
          <w:color w:val="auto"/>
          <w:sz w:val="24"/>
          <w:lang w:val="en-US" w:eastAsia="zh-CN"/>
        </w:rPr>
        <w:t>扫面件</w:t>
      </w:r>
      <w:r>
        <w:rPr>
          <w:rFonts w:hint="eastAsia"/>
          <w:color w:val="auto"/>
          <w:sz w:val="24"/>
          <w:lang w:eastAsia="zh-CN"/>
        </w:rPr>
        <w:t>。若投标方提供的货物及服务不是投标方生产或拥有的，则必须得到货物制造商的正式授权或所颁发的授权经营代理证明。</w:t>
      </w:r>
    </w:p>
    <w:p>
      <w:pPr>
        <w:pStyle w:val="2"/>
        <w:numPr>
          <w:ilvl w:val="0"/>
          <w:numId w:val="0"/>
        </w:numPr>
        <w:tabs>
          <w:tab w:val="left" w:pos="660"/>
        </w:tabs>
        <w:spacing w:before="160" w:after="0" w:line="360" w:lineRule="auto"/>
        <w:ind w:left="660" w:leftChars="300" w:right="0" w:rightChars="0" w:firstLine="540" w:firstLineChars="225"/>
        <w:jc w:val="left"/>
        <w:rPr>
          <w:rFonts w:hint="eastAsia"/>
          <w:color w:val="auto"/>
          <w:sz w:val="24"/>
          <w:lang w:eastAsia="zh-CN"/>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）投标方须提供经审计（或社会中介结构审计）的本企业近三年（</w:t>
      </w:r>
      <w:r>
        <w:rPr>
          <w:rFonts w:hint="eastAsia"/>
          <w:color w:val="auto"/>
          <w:sz w:val="24"/>
          <w:lang w:val="en-US" w:eastAsia="zh-CN"/>
        </w:rPr>
        <w:t>2019年到2021年</w:t>
      </w:r>
      <w:r>
        <w:rPr>
          <w:rFonts w:hint="eastAsia"/>
          <w:color w:val="auto"/>
          <w:sz w:val="24"/>
          <w:lang w:eastAsia="zh-CN"/>
        </w:rPr>
        <w:t>）财务审计报表。</w:t>
      </w:r>
    </w:p>
    <w:p>
      <w:pPr>
        <w:pStyle w:val="2"/>
        <w:numPr>
          <w:ilvl w:val="0"/>
          <w:numId w:val="0"/>
        </w:numPr>
        <w:tabs>
          <w:tab w:val="left" w:pos="1725"/>
        </w:tabs>
        <w:spacing w:before="2" w:after="0" w:line="364" w:lineRule="auto"/>
        <w:ind w:left="1117" w:leftChars="0" w:right="610" w:rightChars="0"/>
        <w:jc w:val="left"/>
        <w:rPr>
          <w:sz w:val="22"/>
        </w:rPr>
      </w:pPr>
      <w:r>
        <w:rPr>
          <w:rFonts w:hint="eastAsia"/>
          <w:sz w:val="24"/>
          <w:lang w:eastAsia="zh-CN"/>
        </w:rPr>
        <w:t>（</w:t>
      </w:r>
      <w:r>
        <w:rPr>
          <w:rFonts w:hint="eastAsia"/>
          <w:sz w:val="24"/>
          <w:lang w:val="en-US" w:eastAsia="zh-CN"/>
        </w:rPr>
        <w:t>6</w:t>
      </w:r>
      <w:r>
        <w:rPr>
          <w:rFonts w:hint="eastAsia"/>
          <w:sz w:val="24"/>
          <w:lang w:eastAsia="zh-CN"/>
        </w:rPr>
        <w:t>）</w:t>
      </w:r>
      <w:r>
        <w:rPr>
          <w:sz w:val="24"/>
        </w:rPr>
        <w:t>所投产品在国内近三年</w:t>
      </w:r>
      <w:r>
        <w:rPr>
          <w:rFonts w:hint="eastAsia"/>
          <w:sz w:val="24"/>
          <w:lang w:val="en-US" w:eastAsia="zh-CN"/>
        </w:rPr>
        <w:t>（2019年到2021年）</w:t>
      </w:r>
      <w:r>
        <w:rPr>
          <w:sz w:val="24"/>
        </w:rPr>
        <w:t>的</w:t>
      </w:r>
      <w:r>
        <w:rPr>
          <w:rFonts w:hint="eastAsia"/>
          <w:sz w:val="24"/>
          <w:lang w:eastAsia="zh-CN"/>
        </w:rPr>
        <w:t>类似项目</w:t>
      </w:r>
      <w:r>
        <w:rPr>
          <w:sz w:val="24"/>
        </w:rPr>
        <w:t>业绩</w:t>
      </w:r>
      <w:r>
        <w:rPr>
          <w:rFonts w:hint="eastAsia"/>
          <w:sz w:val="24"/>
          <w:lang w:eastAsia="zh-CN"/>
        </w:rPr>
        <w:t>。</w:t>
      </w:r>
    </w:p>
    <w:p>
      <w:pPr>
        <w:pStyle w:val="2"/>
        <w:numPr>
          <w:ilvl w:val="0"/>
          <w:numId w:val="0"/>
        </w:numPr>
        <w:tabs>
          <w:tab w:val="left" w:pos="1719"/>
        </w:tabs>
        <w:spacing w:before="1" w:after="0" w:line="240" w:lineRule="auto"/>
        <w:ind w:left="1116" w:leftChars="0" w:right="0" w:rightChars="0"/>
        <w:jc w:val="left"/>
        <w:rPr>
          <w:sz w:val="22"/>
        </w:rPr>
      </w:pPr>
      <w:r>
        <w:rPr>
          <w:rFonts w:hint="eastAsia"/>
          <w:color w:val="auto"/>
          <w:sz w:val="24"/>
          <w:lang w:eastAsia="zh-CN"/>
        </w:rPr>
        <w:t>（</w:t>
      </w:r>
      <w:r>
        <w:rPr>
          <w:rFonts w:hint="eastAsia"/>
          <w:color w:val="auto"/>
          <w:sz w:val="24"/>
          <w:lang w:val="en-US" w:eastAsia="zh-CN"/>
        </w:rPr>
        <w:t>7</w:t>
      </w:r>
      <w:r>
        <w:rPr>
          <w:rFonts w:hint="eastAsia"/>
          <w:color w:val="auto"/>
          <w:sz w:val="24"/>
          <w:lang w:eastAsia="zh-CN"/>
        </w:rPr>
        <w:t>）</w:t>
      </w:r>
      <w:r>
        <w:rPr>
          <w:color w:val="auto"/>
          <w:sz w:val="24"/>
        </w:rPr>
        <w:t>生产厂家产品彩页</w:t>
      </w:r>
      <w:r>
        <w:rPr>
          <w:sz w:val="24"/>
        </w:rPr>
        <w:t>。</w:t>
      </w:r>
    </w:p>
    <w:p>
      <w:pPr>
        <w:pStyle w:val="2"/>
        <w:numPr>
          <w:ilvl w:val="0"/>
          <w:numId w:val="0"/>
        </w:numPr>
        <w:tabs>
          <w:tab w:val="left" w:pos="1719"/>
          <w:tab w:val="left" w:pos="9240"/>
        </w:tabs>
        <w:spacing w:before="161" w:after="0" w:line="240" w:lineRule="auto"/>
        <w:ind w:left="1116" w:leftChars="0" w:right="0" w:rightChars="0"/>
        <w:jc w:val="left"/>
        <w:rPr>
          <w:sz w:val="22"/>
        </w:rPr>
      </w:pPr>
      <w:r>
        <w:rPr>
          <w:rFonts w:hint="eastAsia"/>
          <w:sz w:val="24"/>
          <w:lang w:eastAsia="zh-CN"/>
        </w:rPr>
        <w:t>（</w:t>
      </w:r>
      <w:r>
        <w:rPr>
          <w:rFonts w:hint="eastAsia"/>
          <w:sz w:val="24"/>
          <w:lang w:val="en-US" w:eastAsia="zh-CN"/>
        </w:rPr>
        <w:t>8</w:t>
      </w:r>
      <w:r>
        <w:rPr>
          <w:rFonts w:hint="eastAsia"/>
          <w:sz w:val="24"/>
          <w:lang w:eastAsia="zh-CN"/>
        </w:rPr>
        <w:t>）</w:t>
      </w:r>
      <w:r>
        <w:rPr>
          <w:sz w:val="24"/>
        </w:rPr>
        <w:t>本招标文件中除上述投标资质要求之外的其他方面的资质证明文件。</w:t>
      </w:r>
    </w:p>
    <w:p>
      <w:pPr>
        <w:pStyle w:val="2"/>
        <w:numPr>
          <w:ilvl w:val="0"/>
          <w:numId w:val="0"/>
        </w:numPr>
        <w:tabs>
          <w:tab w:val="left" w:pos="1832"/>
        </w:tabs>
        <w:spacing w:before="161" w:after="0" w:line="240" w:lineRule="auto"/>
        <w:ind w:left="1100" w:leftChars="0" w:right="0" w:rightChars="0"/>
        <w:jc w:val="left"/>
        <w:rPr>
          <w:rFonts w:ascii="宋体" w:hAnsi="宋体" w:eastAsia="宋体" w:cs="宋体"/>
          <w:color w:val="000000"/>
          <w:spacing w:val="-7"/>
          <w:sz w:val="24"/>
        </w:rPr>
      </w:pPr>
      <w:r>
        <w:rPr>
          <w:rFonts w:hint="eastAsia"/>
          <w:color w:val="000000"/>
          <w:spacing w:val="-10"/>
          <w:sz w:val="24"/>
          <w:lang w:val="en-US" w:eastAsia="zh-CN"/>
        </w:rPr>
        <w:t>（9</w:t>
      </w:r>
      <w:r>
        <w:rPr>
          <w:rFonts w:hint="eastAsia"/>
          <w:color w:val="000000"/>
          <w:spacing w:val="-10"/>
          <w:sz w:val="24"/>
          <w:lang w:eastAsia="zh-CN"/>
        </w:rPr>
        <w:t>）</w:t>
      </w:r>
      <w:r>
        <w:rPr>
          <w:color w:val="000000"/>
          <w:spacing w:val="-10"/>
          <w:sz w:val="24"/>
        </w:rPr>
        <w:t>投</w:t>
      </w:r>
      <w:r>
        <w:rPr>
          <w:rFonts w:ascii="宋体" w:hAnsi="宋体" w:eastAsia="宋体" w:cs="宋体"/>
          <w:color w:val="000000"/>
          <w:spacing w:val="-7"/>
          <w:sz w:val="24"/>
        </w:rPr>
        <w:t>标人最近 6 个月依法缴纳税收</w:t>
      </w:r>
      <w:r>
        <w:rPr>
          <w:rFonts w:hint="eastAsia" w:ascii="宋体" w:hAnsi="宋体" w:eastAsia="宋体" w:cs="宋体"/>
          <w:color w:val="000000"/>
          <w:spacing w:val="-7"/>
          <w:sz w:val="24"/>
          <w:lang w:eastAsia="zh-CN"/>
        </w:rPr>
        <w:t>（完税证明）</w:t>
      </w:r>
      <w:r>
        <w:rPr>
          <w:rFonts w:ascii="宋体" w:hAnsi="宋体" w:eastAsia="宋体" w:cs="宋体"/>
          <w:color w:val="000000"/>
          <w:spacing w:val="-7"/>
          <w:sz w:val="24"/>
        </w:rPr>
        <w:t>和社会保障资金</w:t>
      </w:r>
      <w:r>
        <w:rPr>
          <w:rFonts w:hint="eastAsia" w:ascii="宋体" w:hAnsi="宋体" w:eastAsia="宋体" w:cs="宋体"/>
          <w:color w:val="000000"/>
          <w:spacing w:val="-7"/>
          <w:sz w:val="24"/>
          <w:lang w:eastAsia="zh-CN"/>
        </w:rPr>
        <w:t>（社保缴纳</w:t>
      </w:r>
    </w:p>
    <w:p>
      <w:pPr>
        <w:pStyle w:val="2"/>
        <w:numPr>
          <w:ilvl w:val="0"/>
          <w:numId w:val="0"/>
        </w:numPr>
        <w:tabs>
          <w:tab w:val="left" w:pos="1832"/>
        </w:tabs>
        <w:spacing w:before="161" w:after="0" w:line="240" w:lineRule="auto"/>
        <w:ind w:left="1100" w:leftChars="0" w:right="0" w:rightChars="0"/>
        <w:jc w:val="left"/>
        <w:rPr>
          <w:color w:val="000000"/>
          <w:sz w:val="24"/>
        </w:rPr>
      </w:pPr>
      <w:r>
        <w:rPr>
          <w:rFonts w:hint="eastAsia" w:ascii="宋体" w:hAnsi="宋体" w:eastAsia="宋体" w:cs="宋体"/>
          <w:color w:val="000000"/>
          <w:spacing w:val="-7"/>
          <w:sz w:val="24"/>
          <w:lang w:eastAsia="zh-CN"/>
        </w:rPr>
        <w:t>凭证）</w:t>
      </w:r>
      <w:r>
        <w:rPr>
          <w:rFonts w:ascii="宋体" w:hAnsi="宋体" w:eastAsia="宋体" w:cs="宋体"/>
          <w:color w:val="000000"/>
          <w:spacing w:val="-7"/>
          <w:sz w:val="24"/>
        </w:rPr>
        <w:t>；</w:t>
      </w:r>
    </w:p>
    <w:p>
      <w:pPr>
        <w:pStyle w:val="5"/>
        <w:numPr>
          <w:ilvl w:val="1"/>
          <w:numId w:val="5"/>
        </w:numPr>
        <w:tabs>
          <w:tab w:val="left" w:pos="1600"/>
        </w:tabs>
        <w:spacing w:before="90" w:after="0" w:line="364" w:lineRule="auto"/>
        <w:ind w:left="637" w:right="1161" w:firstLine="480"/>
        <w:jc w:val="both"/>
      </w:pPr>
      <w:r>
        <w:t xml:space="preserve">开标现场对投标方投标资质中的所有投标资质及评标所需的资料证明等， </w:t>
      </w:r>
      <w:r>
        <w:rPr>
          <w:spacing w:val="-5"/>
        </w:rPr>
        <w:t xml:space="preserve">严格遵循“第三部分”中 </w:t>
      </w:r>
      <w:r>
        <w:t>10.8</w:t>
      </w:r>
      <w:r>
        <w:rPr>
          <w:spacing w:val="-10"/>
        </w:rPr>
        <w:t xml:space="preserve"> 条款之规定。</w:t>
      </w:r>
    </w:p>
    <w:p>
      <w:pPr>
        <w:pStyle w:val="2"/>
        <w:numPr>
          <w:ilvl w:val="1"/>
          <w:numId w:val="5"/>
        </w:numPr>
        <w:tabs>
          <w:tab w:val="left" w:pos="1598"/>
        </w:tabs>
        <w:spacing w:before="1" w:after="0" w:line="364" w:lineRule="auto"/>
        <w:ind w:left="637" w:right="1249" w:firstLine="480"/>
        <w:jc w:val="both"/>
        <w:rPr>
          <w:sz w:val="24"/>
        </w:rPr>
      </w:pPr>
      <w:r>
        <w:rPr>
          <w:rFonts w:hint="eastAsia"/>
          <w:spacing w:val="-5"/>
          <w:sz w:val="24"/>
          <w:lang w:val="en-US" w:eastAsia="zh-CN"/>
        </w:rPr>
        <w:t xml:space="preserve"> </w:t>
      </w:r>
      <w:r>
        <w:rPr>
          <w:spacing w:val="-5"/>
          <w:sz w:val="24"/>
        </w:rPr>
        <w:t>招标结束后，可根据投标方的需要退回所提供的投标资</w:t>
      </w:r>
      <w:r>
        <w:rPr>
          <w:sz w:val="24"/>
        </w:rPr>
        <w:t>质证明文件原件，但针对本招标项目的特定授权原件不予退还。</w:t>
      </w:r>
    </w:p>
    <w:p>
      <w:pPr>
        <w:pStyle w:val="2"/>
        <w:numPr>
          <w:ilvl w:val="1"/>
          <w:numId w:val="5"/>
        </w:numPr>
        <w:tabs>
          <w:tab w:val="left" w:pos="1598"/>
        </w:tabs>
        <w:spacing w:before="2" w:after="0" w:line="364" w:lineRule="auto"/>
        <w:ind w:left="637" w:right="1249" w:firstLine="480"/>
        <w:jc w:val="both"/>
        <w:rPr>
          <w:sz w:val="24"/>
        </w:rPr>
      </w:pPr>
      <w:r>
        <w:rPr>
          <w:spacing w:val="-2"/>
          <w:sz w:val="24"/>
        </w:rPr>
        <w:t>投标方保证和承诺所投产品报价不存在恶意或有意压价、恶意或有意虚报</w:t>
      </w:r>
      <w:r>
        <w:rPr>
          <w:sz w:val="24"/>
        </w:rPr>
        <w:t>报价，也不存在恶意或有意抬高报价等行为。</w:t>
      </w:r>
    </w:p>
    <w:p>
      <w:pPr>
        <w:pStyle w:val="2"/>
        <w:numPr>
          <w:ilvl w:val="1"/>
          <w:numId w:val="5"/>
        </w:numPr>
        <w:tabs>
          <w:tab w:val="left" w:pos="1598"/>
        </w:tabs>
        <w:spacing w:before="1" w:after="0" w:line="240" w:lineRule="auto"/>
        <w:ind w:left="1597" w:right="0" w:hanging="481"/>
        <w:jc w:val="both"/>
      </w:pPr>
      <w:r>
        <w:rPr>
          <w:sz w:val="24"/>
        </w:rPr>
        <w:t>投标方保证和承诺不存在与其它投标人有串标、陪标等行为。</w:t>
      </w:r>
    </w:p>
    <w:p>
      <w:pPr>
        <w:pStyle w:val="4"/>
        <w:spacing w:before="198"/>
      </w:pPr>
      <w:r>
        <w:t>第二章 投标文件的编写</w:t>
      </w:r>
    </w:p>
    <w:p>
      <w:pPr>
        <w:pStyle w:val="5"/>
        <w:numPr>
          <w:ilvl w:val="0"/>
          <w:numId w:val="7"/>
        </w:numPr>
        <w:tabs>
          <w:tab w:val="left" w:pos="1481"/>
        </w:tabs>
        <w:spacing w:before="186" w:after="0" w:line="240" w:lineRule="auto"/>
        <w:ind w:left="1481" w:right="0" w:hanging="361"/>
        <w:jc w:val="left"/>
      </w:pPr>
      <w:r>
        <w:t>要求</w:t>
      </w:r>
    </w:p>
    <w:p>
      <w:pPr>
        <w:pStyle w:val="2"/>
        <w:numPr>
          <w:ilvl w:val="1"/>
          <w:numId w:val="7"/>
        </w:numPr>
        <w:tabs>
          <w:tab w:val="left" w:pos="1598"/>
        </w:tabs>
        <w:spacing w:before="160" w:after="0" w:line="364" w:lineRule="auto"/>
        <w:ind w:left="637" w:right="1249" w:firstLine="480"/>
        <w:jc w:val="both"/>
        <w:rPr>
          <w:sz w:val="24"/>
        </w:rPr>
      </w:pPr>
      <w:r>
        <w:rPr>
          <w:spacing w:val="-4"/>
          <w:sz w:val="24"/>
        </w:rPr>
        <w:t>投标人应详细阅读招标方的招标文件中的条款、规范、表示、条件和格式等所有内容，按招标文件的要求编制投标文件和提供要求份数的投标文件，并保证</w:t>
      </w:r>
      <w:r>
        <w:rPr>
          <w:spacing w:val="-3"/>
          <w:sz w:val="24"/>
        </w:rPr>
        <w:t>所提供全部材料的真实性；投标文件必须对招标文件提出的要求和条件做出实质性</w:t>
      </w:r>
      <w:r>
        <w:rPr>
          <w:sz w:val="24"/>
        </w:rPr>
        <w:t>响应。否则，其投标可能将被拒绝。</w:t>
      </w:r>
    </w:p>
    <w:p>
      <w:pPr>
        <w:pStyle w:val="2"/>
        <w:numPr>
          <w:ilvl w:val="1"/>
          <w:numId w:val="7"/>
        </w:numPr>
        <w:tabs>
          <w:tab w:val="left" w:pos="1598"/>
        </w:tabs>
        <w:spacing w:before="2" w:after="0" w:line="364" w:lineRule="auto"/>
        <w:ind w:left="637" w:right="1226" w:firstLine="480"/>
        <w:jc w:val="both"/>
        <w:rPr>
          <w:sz w:val="24"/>
        </w:rPr>
      </w:pPr>
      <w:r>
        <w:rPr>
          <w:spacing w:val="-2"/>
          <w:sz w:val="24"/>
        </w:rPr>
        <w:t>允许投标人对招标文件中的所有包投标，也可根据本企业生产或代理产品</w:t>
      </w:r>
      <w:r>
        <w:rPr>
          <w:spacing w:val="-3"/>
          <w:sz w:val="24"/>
        </w:rPr>
        <w:t>的情况对部分包进行投标，但不允许投标人对某一包中的一项或部分项进行投标。</w:t>
      </w:r>
      <w:r>
        <w:rPr>
          <w:sz w:val="24"/>
        </w:rPr>
        <w:t>招标方可选择一家投标供应商为所有包的成交人，也可选择若干个分别中标。</w:t>
      </w:r>
    </w:p>
    <w:p>
      <w:pPr>
        <w:pStyle w:val="5"/>
        <w:numPr>
          <w:ilvl w:val="0"/>
          <w:numId w:val="7"/>
        </w:numPr>
        <w:tabs>
          <w:tab w:val="left" w:pos="1481"/>
        </w:tabs>
        <w:spacing w:before="2" w:after="0" w:line="240" w:lineRule="auto"/>
        <w:ind w:left="1481" w:right="0" w:hanging="361"/>
        <w:jc w:val="left"/>
      </w:pPr>
      <w:r>
        <w:t>投标文件语言和度量单位</w:t>
      </w:r>
    </w:p>
    <w:p>
      <w:pPr>
        <w:pStyle w:val="2"/>
        <w:numPr>
          <w:ilvl w:val="1"/>
          <w:numId w:val="7"/>
        </w:numPr>
        <w:tabs>
          <w:tab w:val="left" w:pos="1598"/>
        </w:tabs>
        <w:spacing w:before="161" w:after="0" w:line="364" w:lineRule="auto"/>
        <w:ind w:left="637" w:right="1249" w:firstLine="480"/>
        <w:jc w:val="left"/>
        <w:rPr>
          <w:sz w:val="24"/>
        </w:rPr>
      </w:pPr>
      <w:r>
        <w:rPr>
          <w:spacing w:val="-3"/>
          <w:sz w:val="24"/>
        </w:rPr>
        <w:t>招标文件及投标人和招标方就招标、投标交换的文件和往来信件，须以中</w:t>
      </w:r>
      <w:r>
        <w:rPr>
          <w:sz w:val="24"/>
        </w:rPr>
        <w:t>文书写。</w:t>
      </w:r>
    </w:p>
    <w:p>
      <w:pPr>
        <w:pStyle w:val="2"/>
        <w:numPr>
          <w:ilvl w:val="1"/>
          <w:numId w:val="7"/>
        </w:numPr>
        <w:tabs>
          <w:tab w:val="left" w:pos="1598"/>
        </w:tabs>
        <w:spacing w:before="1" w:after="0" w:line="364" w:lineRule="auto"/>
        <w:ind w:left="637" w:right="1249" w:firstLine="480"/>
        <w:jc w:val="left"/>
        <w:rPr>
          <w:sz w:val="24"/>
        </w:rPr>
      </w:pPr>
      <w:r>
        <w:rPr>
          <w:spacing w:val="-3"/>
          <w:sz w:val="24"/>
        </w:rPr>
        <w:t>除在招标文件的技术规格中另有规定外，计量单位应使用中华人民共和国</w:t>
      </w:r>
      <w:r>
        <w:rPr>
          <w:sz w:val="24"/>
        </w:rPr>
        <w:t>法定计量单位。</w:t>
      </w:r>
    </w:p>
    <w:p>
      <w:pPr>
        <w:pStyle w:val="5"/>
        <w:numPr>
          <w:ilvl w:val="0"/>
          <w:numId w:val="7"/>
        </w:numPr>
        <w:tabs>
          <w:tab w:val="left" w:pos="1481"/>
        </w:tabs>
        <w:spacing w:before="1" w:after="0" w:line="240" w:lineRule="auto"/>
        <w:ind w:left="1481" w:right="0" w:hanging="361"/>
        <w:jc w:val="left"/>
      </w:pPr>
      <w:r>
        <w:t>投标文件的组成</w:t>
      </w:r>
    </w:p>
    <w:p>
      <w:pPr>
        <w:pStyle w:val="2"/>
        <w:numPr>
          <w:ilvl w:val="1"/>
          <w:numId w:val="7"/>
        </w:numPr>
        <w:tabs>
          <w:tab w:val="left" w:pos="1598"/>
        </w:tabs>
        <w:spacing w:before="161" w:after="0" w:line="240" w:lineRule="auto"/>
        <w:ind w:left="1597" w:right="0" w:hanging="481"/>
        <w:jc w:val="both"/>
        <w:rPr>
          <w:sz w:val="24"/>
        </w:rPr>
      </w:pPr>
      <w:r>
        <w:rPr>
          <w:sz w:val="24"/>
        </w:rPr>
        <w:t>投标人编写的投标文件应包括下列内容：</w:t>
      </w:r>
    </w:p>
    <w:p>
      <w:pPr>
        <w:pStyle w:val="2"/>
        <w:numPr>
          <w:ilvl w:val="0"/>
          <w:numId w:val="8"/>
        </w:numPr>
        <w:tabs>
          <w:tab w:val="left" w:pos="1719"/>
        </w:tabs>
        <w:spacing w:before="160" w:after="0" w:line="240" w:lineRule="auto"/>
        <w:ind w:left="1718" w:right="0" w:hanging="602"/>
        <w:jc w:val="left"/>
        <w:rPr>
          <w:sz w:val="24"/>
        </w:rPr>
      </w:pPr>
      <w:r>
        <w:rPr>
          <w:sz w:val="24"/>
        </w:rPr>
        <w:t>投标书、开标一览表、投标报价表；</w:t>
      </w:r>
    </w:p>
    <w:p>
      <w:pPr>
        <w:pStyle w:val="2"/>
        <w:numPr>
          <w:ilvl w:val="0"/>
          <w:numId w:val="8"/>
        </w:numPr>
        <w:tabs>
          <w:tab w:val="left" w:pos="1719"/>
        </w:tabs>
        <w:spacing w:before="161" w:after="0" w:line="240" w:lineRule="auto"/>
        <w:ind w:left="1718" w:right="0" w:hanging="602"/>
        <w:jc w:val="left"/>
        <w:rPr>
          <w:sz w:val="24"/>
        </w:rPr>
      </w:pPr>
      <w:r>
        <w:rPr>
          <w:sz w:val="24"/>
        </w:rPr>
        <w:t>投标资格证明文件；</w:t>
      </w:r>
    </w:p>
    <w:p>
      <w:pPr>
        <w:pStyle w:val="2"/>
        <w:numPr>
          <w:ilvl w:val="0"/>
          <w:numId w:val="8"/>
        </w:numPr>
        <w:tabs>
          <w:tab w:val="left" w:pos="1719"/>
        </w:tabs>
        <w:spacing w:before="160" w:after="0" w:line="240" w:lineRule="auto"/>
        <w:ind w:left="1718" w:right="0" w:hanging="602"/>
        <w:jc w:val="left"/>
        <w:rPr>
          <w:sz w:val="24"/>
        </w:rPr>
      </w:pPr>
      <w:r>
        <w:rPr>
          <w:sz w:val="24"/>
        </w:rPr>
        <w:t>所投产品（设备）或软件的相关技术/证明资料；</w:t>
      </w:r>
      <w:r>
        <w:rPr>
          <w:color w:val="auto"/>
          <w:sz w:val="24"/>
        </w:rPr>
        <w:t>所投实物彩图</w:t>
      </w:r>
      <w:r>
        <w:rPr>
          <w:sz w:val="24"/>
        </w:rPr>
        <w:t>。</w:t>
      </w:r>
    </w:p>
    <w:p>
      <w:pPr>
        <w:pStyle w:val="2"/>
        <w:numPr>
          <w:ilvl w:val="0"/>
          <w:numId w:val="8"/>
        </w:numPr>
        <w:tabs>
          <w:tab w:val="left" w:pos="1719"/>
        </w:tabs>
        <w:spacing w:before="161" w:after="0" w:line="240" w:lineRule="auto"/>
        <w:ind w:left="1718" w:right="0" w:hanging="602"/>
        <w:jc w:val="left"/>
        <w:rPr>
          <w:sz w:val="24"/>
        </w:rPr>
      </w:pPr>
      <w:r>
        <w:rPr>
          <w:sz w:val="24"/>
        </w:rPr>
        <w:t>投标保证金；</w:t>
      </w:r>
    </w:p>
    <w:p>
      <w:pPr>
        <w:pStyle w:val="2"/>
        <w:numPr>
          <w:ilvl w:val="0"/>
          <w:numId w:val="8"/>
        </w:numPr>
        <w:tabs>
          <w:tab w:val="left" w:pos="1725"/>
        </w:tabs>
        <w:spacing w:before="90" w:after="0" w:line="364" w:lineRule="auto"/>
        <w:ind w:left="637" w:right="1248" w:firstLine="480"/>
        <w:jc w:val="left"/>
        <w:rPr>
          <w:sz w:val="24"/>
        </w:rPr>
      </w:pPr>
      <w:r>
        <w:rPr>
          <w:sz w:val="24"/>
        </w:rPr>
        <w:t>招标文件中货物需求及技术规格、合同特殊条款中要求提交的文件、资料等。</w:t>
      </w:r>
    </w:p>
    <w:p>
      <w:pPr>
        <w:pStyle w:val="2"/>
        <w:numPr>
          <w:ilvl w:val="0"/>
          <w:numId w:val="8"/>
        </w:numPr>
        <w:tabs>
          <w:tab w:val="left" w:pos="1719"/>
        </w:tabs>
        <w:spacing w:before="1" w:after="0" w:line="364" w:lineRule="auto"/>
        <w:ind w:left="1120" w:right="2786" w:hanging="3"/>
        <w:jc w:val="left"/>
        <w:rPr>
          <w:b/>
          <w:sz w:val="24"/>
        </w:rPr>
      </w:pPr>
      <w:r>
        <w:rPr>
          <w:spacing w:val="-1"/>
          <w:sz w:val="24"/>
        </w:rPr>
        <w:t>具体编制顺序严格按附件中投标文件编制顺序进行装订。</w:t>
      </w:r>
      <w:r>
        <w:rPr>
          <w:b/>
          <w:sz w:val="24"/>
        </w:rPr>
        <w:t>5．投标文件格式</w:t>
      </w:r>
    </w:p>
    <w:p>
      <w:pPr>
        <w:pStyle w:val="10"/>
        <w:spacing w:line="364" w:lineRule="auto"/>
        <w:ind w:right="1129" w:firstLine="482"/>
      </w:pPr>
      <w:r>
        <w:t>5.1</w:t>
      </w:r>
      <w:r>
        <w:rPr>
          <w:spacing w:val="-1"/>
        </w:rPr>
        <w:t xml:space="preserve"> 投标方应按招标文件范本格式中提供的投标文件格式认真填写投标书、开</w:t>
      </w:r>
      <w:r>
        <w:rPr>
          <w:spacing w:val="-13"/>
        </w:rPr>
        <w:t>标一览表、投标表等，并注明投标货物的名称、货物简介、原产地、数量和价格等。</w:t>
      </w:r>
    </w:p>
    <w:p>
      <w:pPr>
        <w:pStyle w:val="5"/>
        <w:numPr>
          <w:ilvl w:val="0"/>
          <w:numId w:val="9"/>
        </w:numPr>
        <w:tabs>
          <w:tab w:val="left" w:pos="1481"/>
        </w:tabs>
        <w:spacing w:before="1" w:after="0" w:line="240" w:lineRule="auto"/>
        <w:ind w:left="1481" w:right="0" w:hanging="361"/>
        <w:jc w:val="left"/>
      </w:pPr>
      <w:r>
        <w:t>投标报价</w:t>
      </w:r>
    </w:p>
    <w:p>
      <w:pPr>
        <w:pStyle w:val="2"/>
        <w:numPr>
          <w:ilvl w:val="1"/>
          <w:numId w:val="9"/>
        </w:numPr>
        <w:tabs>
          <w:tab w:val="left" w:pos="1600"/>
        </w:tabs>
        <w:spacing w:before="161" w:after="0" w:line="364" w:lineRule="auto"/>
        <w:ind w:left="637" w:right="1226" w:firstLine="482"/>
        <w:jc w:val="both"/>
        <w:rPr>
          <w:sz w:val="24"/>
        </w:rPr>
      </w:pPr>
      <w:r>
        <w:rPr>
          <w:spacing w:val="-2"/>
          <w:sz w:val="24"/>
        </w:rPr>
        <w:t>投标方须在投标报价表上标明单价和总价。如单价和总价不符，以单价累</w:t>
      </w:r>
      <w:r>
        <w:rPr>
          <w:spacing w:val="-5"/>
          <w:sz w:val="24"/>
        </w:rPr>
        <w:t>计为准。小写和大写不符，以大写为准。投标方如果不同意上述修改原则，其投标</w:t>
      </w:r>
      <w:r>
        <w:rPr>
          <w:spacing w:val="-6"/>
          <w:sz w:val="24"/>
        </w:rPr>
        <w:t xml:space="preserve">将被拒绝。投标方应标明其提供的所有货物及其相关工作范围内所有费用的总价， </w:t>
      </w:r>
      <w:r>
        <w:rPr>
          <w:sz w:val="24"/>
        </w:rPr>
        <w:t>招标方不接受有任何选择性的报价。</w:t>
      </w:r>
    </w:p>
    <w:p>
      <w:pPr>
        <w:pStyle w:val="2"/>
        <w:numPr>
          <w:ilvl w:val="1"/>
          <w:numId w:val="10"/>
        </w:numPr>
        <w:tabs>
          <w:tab w:val="left" w:pos="1720"/>
        </w:tabs>
        <w:spacing w:before="2" w:after="0" w:line="240" w:lineRule="auto"/>
        <w:ind w:left="1720" w:right="0" w:hanging="600"/>
        <w:jc w:val="both"/>
        <w:rPr>
          <w:sz w:val="24"/>
        </w:rPr>
      </w:pPr>
      <w:r>
        <w:rPr>
          <w:sz w:val="24"/>
        </w:rPr>
        <w:t>投标时应注意下列几点：</w:t>
      </w:r>
    </w:p>
    <w:p>
      <w:pPr>
        <w:pStyle w:val="2"/>
        <w:numPr>
          <w:ilvl w:val="2"/>
          <w:numId w:val="10"/>
        </w:numPr>
        <w:tabs>
          <w:tab w:val="left" w:pos="1840"/>
        </w:tabs>
        <w:spacing w:before="161" w:after="0" w:line="240" w:lineRule="auto"/>
        <w:ind w:left="1840" w:right="0" w:hanging="720"/>
        <w:jc w:val="both"/>
        <w:rPr>
          <w:sz w:val="24"/>
        </w:rPr>
      </w:pPr>
      <w:r>
        <w:rPr>
          <w:sz w:val="24"/>
        </w:rPr>
        <w:t>招标文件中特别要求的备品备件、易损件和专用工具的费用；</w:t>
      </w:r>
    </w:p>
    <w:p>
      <w:pPr>
        <w:pStyle w:val="2"/>
        <w:numPr>
          <w:ilvl w:val="2"/>
          <w:numId w:val="10"/>
        </w:numPr>
        <w:tabs>
          <w:tab w:val="left" w:pos="1840"/>
        </w:tabs>
        <w:spacing w:before="160" w:after="0" w:line="364" w:lineRule="auto"/>
        <w:ind w:left="637" w:right="1245" w:firstLine="482"/>
        <w:jc w:val="both"/>
        <w:rPr>
          <w:sz w:val="24"/>
        </w:rPr>
      </w:pPr>
      <w:r>
        <w:rPr>
          <w:spacing w:val="-5"/>
          <w:sz w:val="24"/>
        </w:rPr>
        <w:t>招标文件中特别要求的安装、调试、培训、运输、保险及其它附带服务</w:t>
      </w:r>
      <w:r>
        <w:rPr>
          <w:sz w:val="24"/>
        </w:rPr>
        <w:t>的全部费用；</w:t>
      </w:r>
    </w:p>
    <w:p>
      <w:pPr>
        <w:pStyle w:val="2"/>
        <w:numPr>
          <w:ilvl w:val="2"/>
          <w:numId w:val="10"/>
        </w:numPr>
        <w:tabs>
          <w:tab w:val="left" w:pos="1840"/>
        </w:tabs>
        <w:spacing w:before="2" w:after="0" w:line="364" w:lineRule="auto"/>
        <w:ind w:left="637" w:right="1249" w:firstLine="482"/>
        <w:jc w:val="both"/>
        <w:rPr>
          <w:sz w:val="24"/>
        </w:rPr>
      </w:pPr>
      <w:r>
        <w:rPr>
          <w:spacing w:val="-3"/>
          <w:sz w:val="24"/>
        </w:rPr>
        <w:t>投标人提供的在中华人民共和国制造的货物，或已在境内的、国外生产</w:t>
      </w:r>
      <w:r>
        <w:rPr>
          <w:spacing w:val="-6"/>
          <w:sz w:val="24"/>
        </w:rPr>
        <w:t>的、已经进口货物，其货物的投标价即交货价中，包括制造、组装该货物所使用的</w:t>
      </w:r>
      <w:r>
        <w:rPr>
          <w:sz w:val="24"/>
        </w:rPr>
        <w:t>零部件及原材料已付的全部关税、销售税和其他税。</w:t>
      </w:r>
    </w:p>
    <w:p>
      <w:pPr>
        <w:pStyle w:val="5"/>
        <w:numPr>
          <w:ilvl w:val="0"/>
          <w:numId w:val="9"/>
        </w:numPr>
        <w:tabs>
          <w:tab w:val="left" w:pos="1481"/>
        </w:tabs>
        <w:spacing w:before="1" w:after="0" w:line="240" w:lineRule="auto"/>
        <w:ind w:left="1481" w:right="0" w:hanging="361"/>
        <w:jc w:val="left"/>
      </w:pPr>
      <w:r>
        <w:t>投标报价的货币单位</w:t>
      </w:r>
    </w:p>
    <w:p>
      <w:pPr>
        <w:pStyle w:val="2"/>
        <w:numPr>
          <w:ilvl w:val="1"/>
          <w:numId w:val="9"/>
        </w:numPr>
        <w:tabs>
          <w:tab w:val="left" w:pos="1600"/>
        </w:tabs>
        <w:spacing w:before="161" w:after="0" w:line="364" w:lineRule="auto"/>
        <w:ind w:left="1120" w:right="1705" w:firstLine="0"/>
        <w:jc w:val="left"/>
        <w:rPr>
          <w:b/>
          <w:sz w:val="24"/>
        </w:rPr>
      </w:pPr>
      <w:r>
        <w:rPr>
          <w:spacing w:val="-1"/>
          <w:sz w:val="24"/>
        </w:rPr>
        <w:t>投标报价单位为人民币。对进口设备的报价也应以人民币进行报价。</w:t>
      </w:r>
      <w:r>
        <w:rPr>
          <w:b/>
          <w:sz w:val="24"/>
        </w:rPr>
        <w:t>8．投标文件规定的技术响应文件</w:t>
      </w:r>
    </w:p>
    <w:p>
      <w:pPr>
        <w:pStyle w:val="2"/>
        <w:numPr>
          <w:ilvl w:val="1"/>
          <w:numId w:val="11"/>
        </w:numPr>
        <w:tabs>
          <w:tab w:val="left" w:pos="1600"/>
        </w:tabs>
        <w:spacing w:before="1" w:after="0" w:line="364" w:lineRule="auto"/>
        <w:ind w:left="637" w:right="1249" w:firstLine="482"/>
        <w:jc w:val="left"/>
        <w:rPr>
          <w:sz w:val="24"/>
        </w:rPr>
      </w:pPr>
      <w:r>
        <w:rPr>
          <w:spacing w:val="-2"/>
          <w:sz w:val="24"/>
        </w:rPr>
        <w:t>投标方须提交证明拟供货物和服务符合招标文件规定的技术响应文件，作</w:t>
      </w:r>
      <w:r>
        <w:rPr>
          <w:sz w:val="24"/>
        </w:rPr>
        <w:t>为投标文件的一部分。</w:t>
      </w:r>
    </w:p>
    <w:p>
      <w:pPr>
        <w:pStyle w:val="2"/>
        <w:numPr>
          <w:ilvl w:val="1"/>
          <w:numId w:val="11"/>
        </w:numPr>
        <w:tabs>
          <w:tab w:val="left" w:pos="1600"/>
        </w:tabs>
        <w:spacing w:before="1" w:after="0" w:line="240" w:lineRule="auto"/>
        <w:ind w:left="1600" w:right="0" w:hanging="480"/>
        <w:jc w:val="left"/>
        <w:rPr>
          <w:sz w:val="24"/>
        </w:rPr>
      </w:pPr>
      <w:r>
        <w:rPr>
          <w:sz w:val="24"/>
        </w:rPr>
        <w:t>上述文件可以是文字资料、图纸和数据，并提供：</w:t>
      </w:r>
    </w:p>
    <w:p>
      <w:pPr>
        <w:pStyle w:val="2"/>
        <w:numPr>
          <w:ilvl w:val="0"/>
          <w:numId w:val="12"/>
        </w:numPr>
        <w:tabs>
          <w:tab w:val="left" w:pos="1721"/>
        </w:tabs>
        <w:spacing w:before="161" w:after="0" w:line="240" w:lineRule="auto"/>
        <w:ind w:left="1721" w:right="0" w:hanging="601"/>
        <w:jc w:val="left"/>
        <w:rPr>
          <w:sz w:val="24"/>
        </w:rPr>
      </w:pPr>
      <w:r>
        <w:rPr>
          <w:sz w:val="24"/>
        </w:rPr>
        <w:t>货物主要技术及性能特点的详细描述；</w:t>
      </w:r>
    </w:p>
    <w:p>
      <w:pPr>
        <w:pStyle w:val="2"/>
        <w:numPr>
          <w:ilvl w:val="0"/>
          <w:numId w:val="12"/>
        </w:numPr>
        <w:tabs>
          <w:tab w:val="left" w:pos="1721"/>
        </w:tabs>
        <w:spacing w:before="160" w:after="0" w:line="240" w:lineRule="auto"/>
        <w:ind w:left="1721" w:right="0" w:hanging="601"/>
        <w:jc w:val="left"/>
        <w:rPr>
          <w:sz w:val="24"/>
        </w:rPr>
      </w:pPr>
      <w:r>
        <w:rPr>
          <w:sz w:val="24"/>
        </w:rPr>
        <w:t>货物主要部件的详细资料，包括检验报告等；</w:t>
      </w:r>
    </w:p>
    <w:p>
      <w:pPr>
        <w:pStyle w:val="2"/>
        <w:numPr>
          <w:ilvl w:val="0"/>
          <w:numId w:val="12"/>
        </w:numPr>
        <w:tabs>
          <w:tab w:val="left" w:pos="1728"/>
        </w:tabs>
        <w:spacing w:before="161" w:after="0" w:line="364" w:lineRule="auto"/>
        <w:ind w:left="637" w:right="1248" w:firstLine="482"/>
        <w:jc w:val="left"/>
        <w:rPr>
          <w:sz w:val="24"/>
        </w:rPr>
      </w:pPr>
      <w:r>
        <w:rPr>
          <w:sz w:val="24"/>
        </w:rPr>
        <w:t>一份在技术规格中规定的保证货物正常和连续运转期间所需要的所有备件和专业工具的详细清单包括价格及供货来源信息。</w:t>
      </w:r>
    </w:p>
    <w:p>
      <w:pPr>
        <w:pStyle w:val="2"/>
        <w:numPr>
          <w:ilvl w:val="0"/>
          <w:numId w:val="12"/>
        </w:numPr>
        <w:tabs>
          <w:tab w:val="left" w:pos="1721"/>
        </w:tabs>
        <w:spacing w:before="1" w:after="0" w:line="240" w:lineRule="auto"/>
        <w:ind w:left="1721" w:right="0" w:hanging="601"/>
        <w:jc w:val="left"/>
        <w:rPr>
          <w:sz w:val="24"/>
        </w:rPr>
      </w:pPr>
      <w:r>
        <w:rPr>
          <w:sz w:val="24"/>
        </w:rPr>
        <w:t>规格、技术参数偏离表（见附件）</w:t>
      </w:r>
    </w:p>
    <w:p>
      <w:pPr>
        <w:pStyle w:val="10"/>
        <w:spacing w:before="90" w:line="364" w:lineRule="auto"/>
        <w:ind w:right="1249" w:firstLine="482"/>
      </w:pPr>
      <w:r>
        <w:rPr>
          <w:spacing w:val="-3"/>
        </w:rPr>
        <w:t>没有按要求提供资料或提供资料不完全的，将视为对招标文件没有做出实质性</w:t>
      </w:r>
      <w:r>
        <w:t>响应，其风险由投标人自行承担。</w:t>
      </w:r>
    </w:p>
    <w:p>
      <w:pPr>
        <w:pStyle w:val="5"/>
        <w:numPr>
          <w:ilvl w:val="0"/>
          <w:numId w:val="13"/>
        </w:numPr>
        <w:tabs>
          <w:tab w:val="left" w:pos="1481"/>
        </w:tabs>
        <w:spacing w:before="1" w:after="0" w:line="240" w:lineRule="auto"/>
        <w:ind w:left="1481" w:right="0" w:hanging="361"/>
        <w:jc w:val="left"/>
      </w:pPr>
      <w:r>
        <w:rPr>
          <w:w w:val="95"/>
        </w:rPr>
        <w:t>投标有效期</w:t>
      </w:r>
    </w:p>
    <w:p>
      <w:pPr>
        <w:pStyle w:val="10"/>
        <w:spacing w:before="90" w:line="364" w:lineRule="auto"/>
        <w:ind w:right="1249" w:firstLine="482"/>
        <w:rPr>
          <w:rFonts w:hint="eastAsia"/>
          <w:spacing w:val="-3"/>
        </w:rPr>
      </w:pPr>
      <w:r>
        <w:rPr>
          <w:rFonts w:hint="eastAsia"/>
          <w:spacing w:val="-3"/>
        </w:rPr>
        <w:t>10.1　投标文件应清楚工整，一般不准修改。个别非实质性修改之处必须由投标人的法定代表人（负责人）或经其正式授权的代表在修改的每一页上签字或盖投标单位公章后才有效。</w:t>
      </w:r>
    </w:p>
    <w:p>
      <w:pPr>
        <w:pStyle w:val="10"/>
        <w:spacing w:before="90" w:line="364" w:lineRule="auto"/>
        <w:ind w:right="1249" w:firstLine="482"/>
        <w:rPr>
          <w:rFonts w:hint="eastAsia"/>
          <w:spacing w:val="-3"/>
        </w:rPr>
      </w:pPr>
      <w:r>
        <w:rPr>
          <w:rFonts w:hint="eastAsia"/>
          <w:spacing w:val="-3"/>
        </w:rPr>
        <w:t>10.2　投标文件应由法人代表或法人授权代表在每一页逐一签署或加盖单位公章，投标文件方为有效。</w:t>
      </w:r>
    </w:p>
    <w:p>
      <w:pPr>
        <w:pStyle w:val="2"/>
        <w:numPr>
          <w:ilvl w:val="0"/>
          <w:numId w:val="0"/>
        </w:numPr>
        <w:tabs>
          <w:tab w:val="left" w:pos="1720"/>
        </w:tabs>
        <w:spacing w:before="1" w:after="0" w:line="364" w:lineRule="auto"/>
        <w:ind w:right="1245" w:rightChars="0" w:firstLine="936" w:firstLineChars="400"/>
        <w:jc w:val="both"/>
        <w:rPr>
          <w:rFonts w:hint="eastAsia" w:ascii="宋体" w:hAnsi="宋体" w:eastAsia="宋体" w:cs="宋体"/>
          <w:spacing w:val="-3"/>
          <w:sz w:val="24"/>
          <w:szCs w:val="24"/>
          <w:lang w:val="zh-CN" w:eastAsia="zh-CN" w:bidi="zh-CN"/>
        </w:rPr>
      </w:pPr>
      <w:r>
        <w:rPr>
          <w:rFonts w:hint="eastAsia" w:ascii="宋体" w:hAnsi="宋体" w:eastAsia="宋体" w:cs="宋体"/>
          <w:spacing w:val="-3"/>
          <w:sz w:val="24"/>
          <w:szCs w:val="24"/>
          <w:lang w:val="zh-CN" w:eastAsia="zh-CN" w:bidi="zh-CN"/>
        </w:rPr>
        <w:t>10.3  电报、电话、传真、电子邮件等形式的投标概不接受。</w:t>
      </w:r>
    </w:p>
    <w:p>
      <w:pPr>
        <w:pStyle w:val="2"/>
        <w:numPr>
          <w:ilvl w:val="0"/>
          <w:numId w:val="0"/>
        </w:numPr>
        <w:tabs>
          <w:tab w:val="left" w:pos="1720"/>
        </w:tabs>
        <w:spacing w:before="1" w:after="0" w:line="364" w:lineRule="auto"/>
        <w:ind w:right="1245" w:rightChars="0" w:firstLine="964" w:firstLineChars="400"/>
        <w:jc w:val="both"/>
        <w:rPr>
          <w:b/>
          <w:sz w:val="24"/>
        </w:rPr>
      </w:pPr>
      <w:r>
        <w:rPr>
          <w:b/>
          <w:sz w:val="24"/>
        </w:rPr>
        <w:t>11．投标保证金</w:t>
      </w:r>
    </w:p>
    <w:p>
      <w:pPr>
        <w:pStyle w:val="2"/>
        <w:numPr>
          <w:ilvl w:val="1"/>
          <w:numId w:val="14"/>
        </w:numPr>
        <w:tabs>
          <w:tab w:val="left" w:pos="1720"/>
        </w:tabs>
        <w:spacing w:before="1" w:after="0" w:line="364" w:lineRule="auto"/>
        <w:ind w:left="637" w:right="1245" w:firstLine="480"/>
        <w:jc w:val="both"/>
        <w:rPr>
          <w:sz w:val="24"/>
        </w:rPr>
      </w:pPr>
      <w:r>
        <w:rPr>
          <w:sz w:val="24"/>
        </w:rPr>
        <w:t>投标保证金是为了弥补招标方因供应商的违规行为而蒙受的损失。招标</w:t>
      </w:r>
      <w:r>
        <w:rPr>
          <w:spacing w:val="3"/>
          <w:sz w:val="24"/>
        </w:rPr>
        <w:t>方在因供应商的违规行为而受到损害时将没收其投标保证金，作为所受损害的补偿。</w:t>
      </w:r>
    </w:p>
    <w:p>
      <w:pPr>
        <w:pStyle w:val="2"/>
        <w:numPr>
          <w:ilvl w:val="1"/>
          <w:numId w:val="14"/>
        </w:numPr>
        <w:tabs>
          <w:tab w:val="left" w:pos="1720"/>
        </w:tabs>
        <w:spacing w:before="2" w:after="0" w:line="364" w:lineRule="auto"/>
        <w:ind w:left="637" w:right="1248" w:firstLine="480"/>
        <w:jc w:val="both"/>
        <w:rPr>
          <w:sz w:val="24"/>
        </w:rPr>
      </w:pPr>
      <w:r>
        <w:rPr>
          <w:sz w:val="24"/>
        </w:rPr>
        <w:t>供应商在提交投标文件时应交纳投标保证金，其有效期应不低于投标有效期。</w:t>
      </w:r>
    </w:p>
    <w:p>
      <w:pPr>
        <w:pageBreakBefore w:val="0"/>
        <w:widowControl w:val="0"/>
        <w:kinsoku/>
        <w:wordWrap/>
        <w:overflowPunct/>
        <w:topLinePunct w:val="0"/>
        <w:autoSpaceDE w:val="0"/>
        <w:autoSpaceDN w:val="0"/>
        <w:bidi w:val="0"/>
        <w:adjustRightInd w:val="0"/>
        <w:snapToGrid/>
        <w:spacing w:line="360" w:lineRule="auto"/>
        <w:ind w:left="722" w:leftChars="328" w:firstLine="67" w:firstLineChars="28"/>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en-US" w:eastAsia="zh-CN" w:bidi="zh-CN"/>
        </w:rPr>
        <w:t>1</w:t>
      </w:r>
      <w:r>
        <w:rPr>
          <w:rFonts w:hint="eastAsia" w:ascii="宋体" w:hAnsi="宋体" w:eastAsia="宋体" w:cs="宋体"/>
          <w:b/>
          <w:bCs/>
          <w:sz w:val="24"/>
          <w:szCs w:val="22"/>
          <w:lang w:val="zh-CN" w:eastAsia="zh-CN" w:bidi="zh-CN"/>
        </w:rPr>
        <w:t>.3  投标保证金按招标文件要求，在投标截止时间前将本项目投标保证金交</w:t>
      </w:r>
    </w:p>
    <w:p>
      <w:pPr>
        <w:pageBreakBefore w:val="0"/>
        <w:widowControl w:val="0"/>
        <w:kinsoku/>
        <w:wordWrap/>
        <w:overflowPunct/>
        <w:topLinePunct w:val="0"/>
        <w:autoSpaceDE w:val="0"/>
        <w:autoSpaceDN w:val="0"/>
        <w:bidi w:val="0"/>
        <w:adjustRightInd w:val="0"/>
        <w:snapToGrid/>
        <w:spacing w:line="360" w:lineRule="auto"/>
        <w:ind w:left="722" w:leftChars="328" w:firstLine="67" w:firstLineChars="28"/>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与招标代理公司</w:t>
      </w:r>
    </w:p>
    <w:p>
      <w:pPr>
        <w:pageBreakBefore w:val="0"/>
        <w:widowControl w:val="0"/>
        <w:kinsoku/>
        <w:wordWrap/>
        <w:overflowPunct/>
        <w:topLinePunct w:val="0"/>
        <w:autoSpaceDE w:val="0"/>
        <w:autoSpaceDN w:val="0"/>
        <w:bidi w:val="0"/>
        <w:adjustRightInd w:val="0"/>
        <w:snapToGrid/>
        <w:spacing w:line="360" w:lineRule="auto"/>
        <w:ind w:left="970" w:leftChars="328" w:hanging="248" w:hangingChars="103"/>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投标保证金提交形式：转  账</w:t>
      </w:r>
    </w:p>
    <w:p>
      <w:pPr>
        <w:pageBreakBefore w:val="0"/>
        <w:widowControl w:val="0"/>
        <w:kinsoku/>
        <w:wordWrap/>
        <w:overflowPunct/>
        <w:topLinePunct w:val="0"/>
        <w:autoSpaceDE w:val="0"/>
        <w:autoSpaceDN w:val="0"/>
        <w:bidi w:val="0"/>
        <w:adjustRightInd w:val="0"/>
        <w:snapToGrid/>
        <w:spacing w:line="360" w:lineRule="auto"/>
        <w:ind w:left="220" w:leftChars="100" w:firstLine="472" w:firstLineChars="196"/>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投标保证金金额： 第三包：35000（叁万伍仟元整）</w:t>
      </w:r>
    </w:p>
    <w:p>
      <w:pPr>
        <w:pageBreakBefore w:val="0"/>
        <w:widowControl w:val="0"/>
        <w:kinsoku/>
        <w:wordWrap/>
        <w:overflowPunct/>
        <w:topLinePunct w:val="0"/>
        <w:autoSpaceDE w:val="0"/>
        <w:autoSpaceDN w:val="0"/>
        <w:bidi w:val="0"/>
        <w:adjustRightInd w:val="0"/>
        <w:snapToGrid/>
        <w:spacing w:line="360" w:lineRule="auto"/>
        <w:ind w:left="220" w:leftChars="100" w:firstLine="472" w:firstLineChars="196"/>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帐户名称: 新疆正聚方企业管理咨询有限公司</w:t>
      </w:r>
    </w:p>
    <w:p>
      <w:pPr>
        <w:pageBreakBefore w:val="0"/>
        <w:widowControl w:val="0"/>
        <w:kinsoku/>
        <w:wordWrap/>
        <w:overflowPunct/>
        <w:topLinePunct w:val="0"/>
        <w:autoSpaceDE w:val="0"/>
        <w:autoSpaceDN w:val="0"/>
        <w:bidi w:val="0"/>
        <w:adjustRightInd w:val="0"/>
        <w:snapToGrid/>
        <w:spacing w:line="360" w:lineRule="auto"/>
        <w:ind w:left="220" w:leftChars="100" w:firstLine="472" w:firstLineChars="196"/>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开户行：中国邮政储蓄银行股份有限公司巴音郭楞蒙古自治州分行</w:t>
      </w:r>
    </w:p>
    <w:p>
      <w:pPr>
        <w:pageBreakBefore w:val="0"/>
        <w:widowControl w:val="0"/>
        <w:kinsoku/>
        <w:wordWrap/>
        <w:overflowPunct/>
        <w:topLinePunct w:val="0"/>
        <w:autoSpaceDE w:val="0"/>
        <w:autoSpaceDN w:val="0"/>
        <w:bidi w:val="0"/>
        <w:adjustRightInd w:val="0"/>
        <w:snapToGrid/>
        <w:spacing w:line="360" w:lineRule="auto"/>
        <w:ind w:left="220" w:leftChars="100" w:firstLine="472" w:firstLineChars="196"/>
        <w:textAlignment w:val="auto"/>
        <w:rPr>
          <w:rFonts w:hint="eastAsia"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账  号：965009010002716671</w:t>
      </w:r>
    </w:p>
    <w:p>
      <w:pPr>
        <w:pageBreakBefore w:val="0"/>
        <w:widowControl w:val="0"/>
        <w:kinsoku/>
        <w:wordWrap/>
        <w:overflowPunct/>
        <w:topLinePunct w:val="0"/>
        <w:autoSpaceDE w:val="0"/>
        <w:autoSpaceDN w:val="0"/>
        <w:bidi w:val="0"/>
        <w:adjustRightInd w:val="0"/>
        <w:snapToGrid/>
        <w:spacing w:line="360" w:lineRule="auto"/>
        <w:ind w:left="220" w:leftChars="100" w:firstLine="472" w:firstLineChars="196"/>
        <w:textAlignment w:val="auto"/>
        <w:rPr>
          <w:rFonts w:ascii="宋体" w:hAnsi="宋体" w:eastAsia="宋体" w:cs="宋体"/>
          <w:b/>
          <w:bCs/>
          <w:sz w:val="24"/>
          <w:szCs w:val="22"/>
          <w:lang w:val="zh-CN" w:eastAsia="zh-CN" w:bidi="zh-CN"/>
        </w:rPr>
      </w:pPr>
      <w:r>
        <w:rPr>
          <w:rFonts w:hint="eastAsia" w:ascii="宋体" w:hAnsi="宋体" w:eastAsia="宋体" w:cs="宋体"/>
          <w:b/>
          <w:bCs/>
          <w:sz w:val="24"/>
          <w:szCs w:val="22"/>
          <w:lang w:val="zh-CN" w:eastAsia="zh-CN" w:bidi="zh-CN"/>
        </w:rPr>
        <w:t>备  注：</w:t>
      </w:r>
    </w:p>
    <w:p>
      <w:pPr>
        <w:pageBreakBefore w:val="0"/>
        <w:widowControl w:val="0"/>
        <w:kinsoku/>
        <w:wordWrap/>
        <w:overflowPunct/>
        <w:topLinePunct w:val="0"/>
        <w:autoSpaceDE w:val="0"/>
        <w:autoSpaceDN w:val="0"/>
        <w:bidi w:val="0"/>
        <w:adjustRightInd w:val="0"/>
        <w:snapToGrid/>
        <w:spacing w:line="360" w:lineRule="auto"/>
        <w:ind w:left="220" w:leftChars="100" w:firstLine="480"/>
        <w:textAlignment w:val="auto"/>
        <w:rPr>
          <w:rFonts w:ascii="宋体" w:hAnsi="宋体" w:eastAsia="宋体" w:cs="宋体"/>
          <w:b/>
          <w:bCs/>
          <w:sz w:val="24"/>
          <w:szCs w:val="22"/>
          <w:lang w:val="zh-CN" w:eastAsia="zh-CN" w:bidi="zh-CN"/>
        </w:rPr>
      </w:pPr>
      <w:r>
        <w:rPr>
          <w:rFonts w:ascii="宋体" w:hAnsi="宋体" w:eastAsia="宋体" w:cs="宋体"/>
          <w:b/>
          <w:bCs/>
          <w:sz w:val="24"/>
          <w:szCs w:val="22"/>
          <w:lang w:val="zh-CN" w:eastAsia="zh-CN" w:bidi="zh-CN"/>
        </w:rPr>
        <w:t>1</w:t>
      </w:r>
      <w:r>
        <w:rPr>
          <w:rFonts w:hint="eastAsia" w:ascii="宋体" w:hAnsi="宋体" w:eastAsia="宋体" w:cs="宋体"/>
          <w:b/>
          <w:bCs/>
          <w:sz w:val="24"/>
          <w:szCs w:val="22"/>
          <w:lang w:val="zh-CN" w:eastAsia="zh-CN" w:bidi="zh-CN"/>
        </w:rPr>
        <w:t>、投标保证金的缴纳应采用银行转账的形式从投标人的基本账户办理。</w:t>
      </w:r>
    </w:p>
    <w:p>
      <w:pPr>
        <w:pageBreakBefore w:val="0"/>
        <w:widowControl w:val="0"/>
        <w:kinsoku/>
        <w:wordWrap/>
        <w:overflowPunct/>
        <w:topLinePunct w:val="0"/>
        <w:autoSpaceDE w:val="0"/>
        <w:autoSpaceDN w:val="0"/>
        <w:bidi w:val="0"/>
        <w:adjustRightInd w:val="0"/>
        <w:snapToGrid/>
        <w:spacing w:line="360" w:lineRule="auto"/>
        <w:ind w:left="220" w:leftChars="100" w:firstLine="480"/>
        <w:textAlignment w:val="auto"/>
        <w:rPr>
          <w:rFonts w:hint="eastAsia" w:ascii="宋体" w:hAnsi="宋体" w:eastAsia="宋体" w:cs="宋体"/>
          <w:b/>
          <w:bCs/>
          <w:sz w:val="24"/>
          <w:szCs w:val="22"/>
          <w:lang w:val="zh-CN" w:eastAsia="zh-CN" w:bidi="zh-CN"/>
        </w:rPr>
      </w:pPr>
      <w:r>
        <w:rPr>
          <w:rFonts w:ascii="宋体" w:hAnsi="宋体" w:eastAsia="宋体" w:cs="宋体"/>
          <w:b/>
          <w:bCs/>
          <w:sz w:val="24"/>
          <w:szCs w:val="22"/>
          <w:lang w:val="zh-CN" w:eastAsia="zh-CN" w:bidi="zh-CN"/>
        </w:rPr>
        <w:t>2</w:t>
      </w:r>
      <w:r>
        <w:rPr>
          <w:rFonts w:hint="eastAsia" w:ascii="宋体" w:hAnsi="宋体" w:eastAsia="宋体" w:cs="宋体"/>
          <w:b/>
          <w:bCs/>
          <w:sz w:val="24"/>
          <w:szCs w:val="22"/>
          <w:lang w:val="zh-CN" w:eastAsia="zh-CN" w:bidi="zh-CN"/>
        </w:rPr>
        <w:t>、投标人需随投标文件同时提交投标保证金的银行转账凭证.</w:t>
      </w:r>
    </w:p>
    <w:p>
      <w:pPr>
        <w:pStyle w:val="10"/>
        <w:spacing w:before="90" w:line="364" w:lineRule="auto"/>
        <w:ind w:right="1129" w:firstLine="480"/>
      </w:pPr>
      <w:r>
        <w:rPr>
          <w:spacing w:val="-2"/>
        </w:rPr>
        <w:t>办理投标保证金退付手续须携带的资料：</w:t>
      </w:r>
      <w:r>
        <w:rPr>
          <w:spacing w:val="-24"/>
        </w:rPr>
        <w:t>1</w:t>
      </w:r>
      <w:r>
        <w:rPr>
          <w:spacing w:val="-9"/>
        </w:rPr>
        <w:t>、开户许可证复印件或账户信息；</w:t>
      </w:r>
      <w:r>
        <w:rPr>
          <w:spacing w:val="-24"/>
        </w:rPr>
        <w:t>2</w:t>
      </w:r>
      <w:r>
        <w:rPr>
          <w:spacing w:val="-18"/>
        </w:rPr>
        <w:t>、</w:t>
      </w:r>
      <w:r>
        <w:rPr>
          <w:rFonts w:hint="eastAsia"/>
          <w:spacing w:val="-1"/>
          <w:lang w:eastAsia="zh-CN"/>
        </w:rPr>
        <w:t>转账凭证</w:t>
      </w:r>
      <w:r>
        <w:rPr>
          <w:spacing w:val="-3"/>
        </w:rPr>
        <w:t>。请各投标供应商在开标结束后尽快携带以上资料到我公司办理退保证金事宜。</w:t>
      </w:r>
    </w:p>
    <w:p>
      <w:pPr>
        <w:pStyle w:val="2"/>
        <w:numPr>
          <w:ilvl w:val="1"/>
          <w:numId w:val="14"/>
        </w:numPr>
        <w:tabs>
          <w:tab w:val="left" w:pos="1718"/>
        </w:tabs>
        <w:spacing w:before="2" w:after="0" w:line="364" w:lineRule="auto"/>
        <w:ind w:left="637" w:right="1249" w:firstLine="480"/>
        <w:jc w:val="left"/>
        <w:rPr>
          <w:sz w:val="24"/>
        </w:rPr>
      </w:pPr>
      <w:r>
        <w:rPr>
          <w:spacing w:val="-3"/>
          <w:sz w:val="24"/>
        </w:rPr>
        <w:t>招标方应当在《中标通知书》发出后</w:t>
      </w:r>
      <w:r>
        <w:rPr>
          <w:sz w:val="24"/>
        </w:rPr>
        <w:t>5</w:t>
      </w:r>
      <w:r>
        <w:rPr>
          <w:spacing w:val="-2"/>
          <w:sz w:val="24"/>
        </w:rPr>
        <w:t>个工作日内无息退还未成交供应商</w:t>
      </w:r>
      <w:r>
        <w:rPr>
          <w:sz w:val="24"/>
        </w:rPr>
        <w:t>的投标保证金，在采购合同签订5个工作日内无息退还中标供应商的投标保证金。</w:t>
      </w:r>
    </w:p>
    <w:p>
      <w:pPr>
        <w:pStyle w:val="2"/>
        <w:numPr>
          <w:ilvl w:val="1"/>
          <w:numId w:val="14"/>
        </w:numPr>
        <w:tabs>
          <w:tab w:val="left" w:pos="1720"/>
        </w:tabs>
        <w:spacing w:before="1" w:after="0" w:line="364" w:lineRule="auto"/>
        <w:ind w:left="637" w:right="1248" w:firstLine="480"/>
        <w:jc w:val="left"/>
        <w:rPr>
          <w:sz w:val="24"/>
        </w:rPr>
      </w:pPr>
      <w:r>
        <w:rPr>
          <w:sz w:val="24"/>
        </w:rPr>
        <w:t>未按招标文件规定提交投标保证金的，招标方应当拒绝接受投标方的投标文件，视为无效投标。</w:t>
      </w:r>
    </w:p>
    <w:p>
      <w:pPr>
        <w:pStyle w:val="2"/>
        <w:numPr>
          <w:ilvl w:val="1"/>
          <w:numId w:val="14"/>
        </w:numPr>
        <w:tabs>
          <w:tab w:val="left" w:pos="1718"/>
        </w:tabs>
        <w:spacing w:before="1" w:after="0" w:line="240" w:lineRule="auto"/>
        <w:ind w:left="1717" w:right="0" w:hanging="601"/>
        <w:jc w:val="left"/>
        <w:rPr>
          <w:sz w:val="24"/>
        </w:rPr>
      </w:pPr>
      <w:r>
        <w:rPr>
          <w:sz w:val="24"/>
        </w:rPr>
        <w:t>下列任何情况发生时，投标报价保证金将被没收。</w:t>
      </w:r>
    </w:p>
    <w:p>
      <w:pPr>
        <w:pStyle w:val="2"/>
        <w:numPr>
          <w:ilvl w:val="2"/>
          <w:numId w:val="14"/>
        </w:numPr>
        <w:tabs>
          <w:tab w:val="left" w:pos="1958"/>
        </w:tabs>
        <w:spacing w:before="161" w:after="0" w:line="240" w:lineRule="auto"/>
        <w:ind w:left="1957" w:right="0" w:hanging="841"/>
        <w:jc w:val="left"/>
        <w:rPr>
          <w:sz w:val="24"/>
        </w:rPr>
      </w:pPr>
      <w:r>
        <w:rPr>
          <w:sz w:val="24"/>
        </w:rPr>
        <w:t>投标方在招标文件规定的投标有效期内撤回其投标的；</w:t>
      </w:r>
    </w:p>
    <w:p>
      <w:pPr>
        <w:pStyle w:val="2"/>
        <w:numPr>
          <w:ilvl w:val="2"/>
          <w:numId w:val="14"/>
        </w:numPr>
        <w:tabs>
          <w:tab w:val="left" w:pos="1958"/>
        </w:tabs>
        <w:spacing w:before="160" w:after="0" w:line="240" w:lineRule="auto"/>
        <w:ind w:left="1957" w:right="0" w:hanging="841"/>
        <w:jc w:val="left"/>
        <w:rPr>
          <w:sz w:val="24"/>
        </w:rPr>
      </w:pPr>
      <w:r>
        <w:rPr>
          <w:sz w:val="24"/>
        </w:rPr>
        <w:t>中标方在规定期限内未能按规定与采购人及招标方签订合同的。</w:t>
      </w:r>
    </w:p>
    <w:p>
      <w:pPr>
        <w:pStyle w:val="2"/>
        <w:numPr>
          <w:ilvl w:val="2"/>
          <w:numId w:val="14"/>
        </w:numPr>
        <w:tabs>
          <w:tab w:val="left" w:pos="1958"/>
        </w:tabs>
        <w:spacing w:before="161" w:after="0" w:line="240" w:lineRule="auto"/>
        <w:ind w:left="1957" w:right="0" w:hanging="841"/>
        <w:jc w:val="left"/>
        <w:rPr>
          <w:sz w:val="24"/>
        </w:rPr>
      </w:pPr>
      <w:r>
        <w:rPr>
          <w:sz w:val="24"/>
        </w:rPr>
        <w:t>投标人串通投标，其投标无效。</w:t>
      </w:r>
    </w:p>
    <w:p>
      <w:pPr>
        <w:pStyle w:val="4"/>
        <w:numPr>
          <w:ilvl w:val="0"/>
          <w:numId w:val="15"/>
        </w:numPr>
        <w:spacing w:before="188"/>
      </w:pPr>
      <w:r>
        <w:t>投标文件的递交</w:t>
      </w:r>
    </w:p>
    <w:p>
      <w:pPr>
        <w:spacing w:line="440" w:lineRule="exact"/>
        <w:ind w:firstLine="723" w:firstLineChars="300"/>
        <w:rPr>
          <w:rFonts w:hint="eastAsia" w:ascii="宋体" w:hAnsi="宋体" w:eastAsia="宋体" w:cs="宋体"/>
          <w:b/>
          <w:bCs/>
          <w:spacing w:val="-2"/>
          <w:sz w:val="24"/>
          <w:szCs w:val="24"/>
          <w:lang w:val="zh-CN" w:eastAsia="zh-CN" w:bidi="zh-CN"/>
        </w:rPr>
      </w:pPr>
      <w:r>
        <w:rPr>
          <w:rFonts w:ascii="仿宋" w:hAnsi="仿宋" w:eastAsia="仿宋"/>
          <w:b/>
          <w:sz w:val="24"/>
          <w:szCs w:val="24"/>
        </w:rPr>
        <w:t xml:space="preserve">12. </w:t>
      </w:r>
      <w:r>
        <w:rPr>
          <w:rFonts w:hint="eastAsia" w:ascii="宋体" w:hAnsi="宋体" w:eastAsia="宋体" w:cs="宋体"/>
          <w:b/>
          <w:bCs/>
          <w:spacing w:val="-2"/>
          <w:sz w:val="24"/>
          <w:szCs w:val="24"/>
          <w:lang w:val="zh-CN" w:eastAsia="zh-CN" w:bidi="zh-CN"/>
        </w:rPr>
        <w:t>投标文件的标记</w:t>
      </w:r>
    </w:p>
    <w:p>
      <w:pPr>
        <w:pStyle w:val="10"/>
        <w:spacing w:before="90" w:line="364" w:lineRule="auto"/>
        <w:ind w:right="1129" w:firstLine="480"/>
        <w:rPr>
          <w:spacing w:val="-2"/>
        </w:rPr>
      </w:pPr>
      <w:r>
        <w:rPr>
          <w:spacing w:val="-2"/>
        </w:rPr>
        <w:t>12.1</w:t>
      </w:r>
      <w:r>
        <w:rPr>
          <w:rFonts w:hint="eastAsia"/>
          <w:spacing w:val="-2"/>
        </w:rPr>
        <w:t>　任何不完整或不满足招标文件要求的投标文件将被拒绝。</w:t>
      </w:r>
    </w:p>
    <w:p>
      <w:pPr>
        <w:pStyle w:val="10"/>
        <w:spacing w:before="90" w:line="364" w:lineRule="auto"/>
        <w:ind w:right="1129" w:firstLine="480"/>
        <w:rPr>
          <w:spacing w:val="-2"/>
        </w:rPr>
      </w:pPr>
      <w:r>
        <w:rPr>
          <w:spacing w:val="-2"/>
        </w:rPr>
        <w:t>12.2</w:t>
      </w:r>
      <w:r>
        <w:rPr>
          <w:rFonts w:hint="eastAsia"/>
          <w:spacing w:val="-2"/>
        </w:rPr>
        <w:t>　由于不可抗拒原因或无法控制的事件而导致的丢失或损坏投标包装体内的投标文件时，招标方将不负责任。</w:t>
      </w:r>
    </w:p>
    <w:p>
      <w:pPr>
        <w:spacing w:line="440" w:lineRule="exact"/>
        <w:ind w:firstLine="723" w:firstLineChars="300"/>
        <w:rPr>
          <w:rFonts w:ascii="仿宋" w:hAnsi="仿宋" w:eastAsia="仿宋"/>
          <w:b/>
          <w:sz w:val="24"/>
          <w:szCs w:val="24"/>
        </w:rPr>
      </w:pPr>
      <w:r>
        <w:rPr>
          <w:rFonts w:ascii="仿宋" w:hAnsi="仿宋" w:eastAsia="仿宋"/>
          <w:b/>
          <w:sz w:val="24"/>
          <w:szCs w:val="24"/>
        </w:rPr>
        <w:t xml:space="preserve">13. </w:t>
      </w:r>
      <w:r>
        <w:rPr>
          <w:rFonts w:hint="eastAsia" w:ascii="宋体" w:hAnsi="宋体" w:eastAsia="宋体" w:cs="宋体"/>
          <w:b/>
          <w:bCs/>
          <w:spacing w:val="-2"/>
          <w:sz w:val="24"/>
          <w:szCs w:val="24"/>
          <w:lang w:val="zh-CN" w:eastAsia="zh-CN" w:bidi="zh-CN"/>
        </w:rPr>
        <w:t>投标截止时间</w:t>
      </w:r>
    </w:p>
    <w:p>
      <w:pPr>
        <w:pStyle w:val="10"/>
        <w:spacing w:before="90" w:line="364" w:lineRule="auto"/>
        <w:ind w:right="1129" w:firstLine="480"/>
        <w:rPr>
          <w:spacing w:val="-2"/>
        </w:rPr>
      </w:pPr>
      <w:r>
        <w:rPr>
          <w:spacing w:val="-2"/>
        </w:rPr>
        <w:t xml:space="preserve">13.1  </w:t>
      </w:r>
      <w:r>
        <w:rPr>
          <w:rFonts w:hint="eastAsia"/>
          <w:spacing w:val="-2"/>
        </w:rPr>
        <w:t>投标文件的递交不得迟于招标文件规定的截止时间，以密封形式递交至</w:t>
      </w:r>
      <w:r>
        <w:rPr>
          <w:rFonts w:hint="eastAsia"/>
          <w:spacing w:val="-2"/>
          <w:lang w:eastAsia="zh-CN"/>
        </w:rPr>
        <w:t>代理公司</w:t>
      </w:r>
      <w:r>
        <w:rPr>
          <w:rFonts w:hint="eastAsia"/>
          <w:spacing w:val="-2"/>
        </w:rPr>
        <w:t>指定开标地点。</w:t>
      </w:r>
    </w:p>
    <w:p>
      <w:pPr>
        <w:pStyle w:val="10"/>
        <w:spacing w:before="90" w:line="364" w:lineRule="auto"/>
        <w:ind w:right="1129" w:firstLine="480"/>
        <w:rPr>
          <w:spacing w:val="-2"/>
        </w:rPr>
      </w:pPr>
      <w:r>
        <w:rPr>
          <w:spacing w:val="-2"/>
        </w:rPr>
        <w:t>13.2</w:t>
      </w:r>
      <w:r>
        <w:rPr>
          <w:rFonts w:hint="eastAsia"/>
          <w:spacing w:val="-2"/>
        </w:rPr>
        <w:t>　所有投标文件不论派人送交还是通过邮寄的方式递交，都必须在招标方规定的投标截止时间之前送达招标文件指定地点，在此之后送达的投标文件，为无效投标，投标文件将一律被拒绝。</w:t>
      </w:r>
    </w:p>
    <w:p>
      <w:pPr>
        <w:pStyle w:val="10"/>
        <w:spacing w:before="90" w:line="364" w:lineRule="auto"/>
        <w:ind w:right="1129" w:firstLine="480"/>
        <w:rPr>
          <w:spacing w:val="-2"/>
        </w:rPr>
      </w:pPr>
      <w:r>
        <w:rPr>
          <w:spacing w:val="-2"/>
        </w:rPr>
        <w:t xml:space="preserve">13.3  </w:t>
      </w:r>
      <w:r>
        <w:rPr>
          <w:rFonts w:hint="eastAsia"/>
          <w:spacing w:val="-2"/>
        </w:rPr>
        <w:t>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bCs/>
          <w:spacing w:val="-2"/>
          <w:sz w:val="24"/>
          <w:szCs w:val="24"/>
          <w:lang w:val="zh-CN" w:eastAsia="zh-CN" w:bidi="zh-CN"/>
        </w:rPr>
      </w:pPr>
      <w:r>
        <w:rPr>
          <w:rFonts w:ascii="仿宋" w:hAnsi="仿宋" w:eastAsia="仿宋"/>
          <w:b/>
          <w:sz w:val="24"/>
          <w:szCs w:val="24"/>
        </w:rPr>
        <w:t xml:space="preserve">14. </w:t>
      </w:r>
      <w:r>
        <w:rPr>
          <w:rFonts w:hint="eastAsia" w:ascii="宋体" w:hAnsi="宋体" w:eastAsia="宋体" w:cs="宋体"/>
          <w:b/>
          <w:bCs/>
          <w:spacing w:val="-2"/>
          <w:sz w:val="24"/>
          <w:szCs w:val="24"/>
          <w:lang w:val="zh-CN" w:eastAsia="zh-CN" w:bidi="zh-CN"/>
        </w:rPr>
        <w:t>投标文件解密时间</w:t>
      </w:r>
    </w:p>
    <w:p>
      <w:pPr>
        <w:pStyle w:val="10"/>
        <w:spacing w:before="90" w:line="364" w:lineRule="auto"/>
        <w:ind w:right="1129" w:firstLine="480"/>
        <w:rPr>
          <w:rFonts w:hint="eastAsia"/>
          <w:spacing w:val="-2"/>
        </w:rPr>
      </w:pPr>
      <w:r>
        <w:rPr>
          <w:rFonts w:hint="eastAsia"/>
          <w:spacing w:val="-2"/>
        </w:rPr>
        <w:t>开标时间后</w:t>
      </w:r>
      <w:r>
        <w:rPr>
          <w:rFonts w:hint="eastAsia"/>
          <w:spacing w:val="-2"/>
          <w:lang w:val="en-US" w:eastAsia="zh-CN"/>
        </w:rPr>
        <w:t>30分钟</w:t>
      </w:r>
      <w:r>
        <w:rPr>
          <w:rFonts w:hint="eastAsia"/>
          <w:spacing w:val="-2"/>
        </w:rPr>
        <w:t>内</w:t>
      </w:r>
      <w:r>
        <w:rPr>
          <w:rFonts w:hint="eastAsia"/>
          <w:color w:val="auto"/>
          <w:spacing w:val="-2"/>
        </w:rPr>
        <w:t>（202</w:t>
      </w:r>
      <w:r>
        <w:rPr>
          <w:rFonts w:hint="eastAsia"/>
          <w:color w:val="auto"/>
          <w:spacing w:val="-2"/>
          <w:lang w:val="en-US" w:eastAsia="zh-CN"/>
        </w:rPr>
        <w:t>2</w:t>
      </w:r>
      <w:r>
        <w:rPr>
          <w:rFonts w:hint="eastAsia"/>
          <w:color w:val="auto"/>
          <w:spacing w:val="-2"/>
        </w:rPr>
        <w:t>年</w:t>
      </w:r>
      <w:r>
        <w:rPr>
          <w:rFonts w:hint="eastAsia"/>
          <w:color w:val="auto"/>
          <w:spacing w:val="-2"/>
          <w:lang w:val="en-US" w:eastAsia="zh-CN"/>
        </w:rPr>
        <w:t>08</w:t>
      </w:r>
      <w:r>
        <w:rPr>
          <w:rFonts w:hint="eastAsia"/>
          <w:color w:val="auto"/>
          <w:spacing w:val="-2"/>
        </w:rPr>
        <w:t>月</w:t>
      </w:r>
      <w:r>
        <w:rPr>
          <w:rFonts w:hint="eastAsia"/>
          <w:color w:val="auto"/>
          <w:spacing w:val="-2"/>
          <w:lang w:val="en-US" w:eastAsia="zh-CN"/>
        </w:rPr>
        <w:t xml:space="preserve">23 </w:t>
      </w:r>
      <w:r>
        <w:rPr>
          <w:rFonts w:hint="eastAsia"/>
          <w:color w:val="auto"/>
          <w:spacing w:val="-2"/>
        </w:rPr>
        <w:t>日上午10:</w:t>
      </w:r>
      <w:r>
        <w:rPr>
          <w:rFonts w:hint="eastAsia"/>
          <w:color w:val="auto"/>
          <w:spacing w:val="-2"/>
          <w:lang w:val="en-US" w:eastAsia="zh-CN"/>
        </w:rPr>
        <w:t>3</w:t>
      </w:r>
      <w:r>
        <w:rPr>
          <w:rFonts w:hint="eastAsia"/>
          <w:color w:val="auto"/>
          <w:spacing w:val="-2"/>
        </w:rPr>
        <w:t>0</w:t>
      </w:r>
      <w:r>
        <w:rPr>
          <w:rFonts w:hint="eastAsia"/>
          <w:color w:val="auto"/>
          <w:spacing w:val="-2"/>
          <w:lang w:val="en-US" w:eastAsia="zh-CN"/>
        </w:rPr>
        <w:t>-11：00</w:t>
      </w:r>
      <w:r>
        <w:rPr>
          <w:rFonts w:hint="eastAsia"/>
          <w:color w:val="auto"/>
          <w:spacing w:val="-2"/>
        </w:rPr>
        <w:t>前）供应商可以登录“政采云”平台，用“项目采购-开标评标”功能进行解密投标文件。若供应商在规定时间内（202</w:t>
      </w:r>
      <w:r>
        <w:rPr>
          <w:rFonts w:hint="eastAsia"/>
          <w:color w:val="auto"/>
          <w:spacing w:val="-2"/>
          <w:lang w:val="en-US" w:eastAsia="zh-CN"/>
        </w:rPr>
        <w:t>2</w:t>
      </w:r>
      <w:r>
        <w:rPr>
          <w:rFonts w:hint="eastAsia"/>
          <w:color w:val="auto"/>
          <w:spacing w:val="-2"/>
        </w:rPr>
        <w:t>年</w:t>
      </w:r>
      <w:r>
        <w:rPr>
          <w:rFonts w:hint="eastAsia"/>
          <w:color w:val="auto"/>
          <w:spacing w:val="-2"/>
          <w:lang w:val="en-US" w:eastAsia="zh-CN"/>
        </w:rPr>
        <w:t>08</w:t>
      </w:r>
      <w:r>
        <w:rPr>
          <w:rFonts w:hint="eastAsia"/>
          <w:color w:val="auto"/>
          <w:spacing w:val="-2"/>
        </w:rPr>
        <w:t>月</w:t>
      </w:r>
      <w:r>
        <w:rPr>
          <w:rFonts w:hint="eastAsia"/>
          <w:color w:val="auto"/>
          <w:spacing w:val="-2"/>
          <w:lang w:val="en-US" w:eastAsia="zh-CN"/>
        </w:rPr>
        <w:t xml:space="preserve">23 </w:t>
      </w:r>
      <w:r>
        <w:rPr>
          <w:rFonts w:hint="eastAsia"/>
          <w:color w:val="auto"/>
          <w:spacing w:val="-2"/>
        </w:rPr>
        <w:t>日上午</w:t>
      </w:r>
      <w:r>
        <w:rPr>
          <w:rFonts w:hint="eastAsia"/>
          <w:color w:val="auto"/>
          <w:spacing w:val="-2"/>
          <w:lang w:val="en-US" w:eastAsia="zh-CN"/>
        </w:rPr>
        <w:t>11</w:t>
      </w:r>
      <w:r>
        <w:rPr>
          <w:rFonts w:hint="eastAsia"/>
          <w:color w:val="auto"/>
          <w:spacing w:val="-2"/>
        </w:rPr>
        <w:t>:</w:t>
      </w:r>
      <w:r>
        <w:rPr>
          <w:rFonts w:hint="eastAsia"/>
          <w:color w:val="auto"/>
          <w:spacing w:val="-2"/>
          <w:lang w:val="en-US" w:eastAsia="zh-CN"/>
        </w:rPr>
        <w:t>0</w:t>
      </w:r>
      <w:r>
        <w:rPr>
          <w:rFonts w:hint="eastAsia"/>
          <w:color w:val="auto"/>
          <w:spacing w:val="-2"/>
        </w:rPr>
        <w:t>0前）未按时解密的，视为投标文件撤回。</w:t>
      </w:r>
    </w:p>
    <w:p>
      <w:pPr>
        <w:pStyle w:val="10"/>
        <w:spacing w:before="90" w:line="364" w:lineRule="auto"/>
        <w:ind w:right="1129" w:firstLine="480"/>
        <w:rPr>
          <w:rFonts w:hint="eastAsia"/>
          <w:spacing w:val="-2"/>
        </w:rPr>
      </w:pPr>
    </w:p>
    <w:p>
      <w:pPr>
        <w:pStyle w:val="21"/>
        <w:rPr>
          <w:rFonts w:hint="eastAsia"/>
          <w:spacing w:val="-2"/>
        </w:rPr>
      </w:pPr>
    </w:p>
    <w:p>
      <w:pPr>
        <w:rPr>
          <w:rFonts w:hint="eastAsia"/>
          <w:spacing w:val="-2"/>
        </w:rPr>
      </w:pPr>
    </w:p>
    <w:p>
      <w:pPr>
        <w:pStyle w:val="7"/>
        <w:rPr>
          <w:rFonts w:hint="eastAsia"/>
          <w:spacing w:val="-2"/>
        </w:rPr>
      </w:pPr>
    </w:p>
    <w:p>
      <w:pPr>
        <w:rPr>
          <w:rFonts w:hint="eastAsia"/>
          <w:spacing w:val="-2"/>
        </w:rPr>
      </w:pPr>
    </w:p>
    <w:p>
      <w:pPr>
        <w:pStyle w:val="2"/>
        <w:rPr>
          <w:rFonts w:hint="eastAsia"/>
        </w:rPr>
      </w:pPr>
    </w:p>
    <w:p>
      <w:pPr>
        <w:rPr>
          <w:rFonts w:hint="eastAsia"/>
          <w:spacing w:val="-2"/>
        </w:rPr>
      </w:pPr>
    </w:p>
    <w:p>
      <w:pPr>
        <w:pStyle w:val="7"/>
        <w:rPr>
          <w:rFonts w:hint="eastAsia"/>
          <w:spacing w:val="-2"/>
        </w:rPr>
      </w:pPr>
    </w:p>
    <w:p>
      <w:pPr>
        <w:rPr>
          <w:rFonts w:hint="eastAsia"/>
          <w:spacing w:val="-2"/>
        </w:rPr>
      </w:pPr>
    </w:p>
    <w:p>
      <w:pPr>
        <w:pStyle w:val="7"/>
        <w:rPr>
          <w:rFonts w:hint="eastAsia"/>
        </w:rPr>
      </w:pPr>
    </w:p>
    <w:p>
      <w:pPr>
        <w:pStyle w:val="4"/>
      </w:pPr>
      <w:r>
        <w:t>第四章 评标委员会</w:t>
      </w:r>
    </w:p>
    <w:p>
      <w:pPr>
        <w:pStyle w:val="5"/>
        <w:spacing w:before="186"/>
        <w:ind w:left="1117"/>
      </w:pPr>
      <w:r>
        <w:t>15、评标委员会组成</w:t>
      </w:r>
    </w:p>
    <w:p>
      <w:pPr>
        <w:pStyle w:val="2"/>
        <w:numPr>
          <w:ilvl w:val="1"/>
          <w:numId w:val="16"/>
        </w:numPr>
        <w:tabs>
          <w:tab w:val="left" w:pos="1720"/>
        </w:tabs>
        <w:spacing w:before="161" w:after="0" w:line="364" w:lineRule="auto"/>
        <w:ind w:left="637" w:right="1249" w:firstLine="480"/>
        <w:jc w:val="both"/>
        <w:rPr>
          <w:sz w:val="24"/>
        </w:rPr>
      </w:pPr>
      <w:r>
        <w:rPr>
          <w:sz w:val="24"/>
        </w:rPr>
        <w:t>由招标方将根据《中华人民共和国政府采购法》规定，依法组建本次招</w:t>
      </w:r>
      <w:r>
        <w:rPr>
          <w:spacing w:val="-4"/>
          <w:sz w:val="24"/>
        </w:rPr>
        <w:t>标的评标委员会，负责组织本次招标的评标活动。评标委员会负责向招标方推荐拟</w:t>
      </w:r>
      <w:r>
        <w:rPr>
          <w:sz w:val="24"/>
        </w:rPr>
        <w:t>中标人或者根据招标方的授权直接确定中标人。</w:t>
      </w:r>
    </w:p>
    <w:p>
      <w:pPr>
        <w:pStyle w:val="10"/>
        <w:spacing w:before="2" w:line="364" w:lineRule="auto"/>
        <w:ind w:right="1249" w:firstLine="480"/>
        <w:jc w:val="both"/>
      </w:pPr>
      <w:r>
        <w:rPr>
          <w:spacing w:val="-3"/>
        </w:rPr>
        <w:t>本招标文件中所指的评标委员会及其成员，适用于公开招标和邀请招标的采购</w:t>
      </w:r>
      <w:r>
        <w:rPr>
          <w:spacing w:val="-6"/>
        </w:rPr>
        <w:t>方式。本招标文件中对评标委员会及其成员的要求，同时适用于采取邀请招标、竞</w:t>
      </w:r>
      <w:r>
        <w:t>争性谈判、询价或单一来源采购方式时依法组成的评审小组及其成员。</w:t>
      </w:r>
    </w:p>
    <w:p>
      <w:pPr>
        <w:pStyle w:val="2"/>
        <w:numPr>
          <w:ilvl w:val="1"/>
          <w:numId w:val="16"/>
        </w:numPr>
        <w:tabs>
          <w:tab w:val="left" w:pos="1720"/>
        </w:tabs>
        <w:spacing w:before="2" w:after="0" w:line="364" w:lineRule="auto"/>
        <w:ind w:left="637" w:right="1248" w:firstLine="480"/>
        <w:jc w:val="both"/>
        <w:rPr>
          <w:sz w:val="24"/>
        </w:rPr>
      </w:pPr>
      <w:r>
        <w:rPr>
          <w:sz w:val="24"/>
        </w:rPr>
        <w:t>评标委员会人选于开标前确定。评标委员会成员名单在中标结果确定前保密。</w:t>
      </w:r>
    </w:p>
    <w:p>
      <w:pPr>
        <w:pStyle w:val="2"/>
        <w:numPr>
          <w:ilvl w:val="1"/>
          <w:numId w:val="16"/>
        </w:numPr>
        <w:tabs>
          <w:tab w:val="left" w:pos="1658"/>
        </w:tabs>
        <w:spacing w:before="1" w:after="0" w:line="364" w:lineRule="auto"/>
        <w:ind w:left="637" w:right="1249" w:firstLine="480"/>
        <w:jc w:val="both"/>
        <w:rPr>
          <w:sz w:val="24"/>
        </w:rPr>
      </w:pPr>
      <w:r>
        <w:rPr>
          <w:spacing w:val="-9"/>
          <w:sz w:val="24"/>
        </w:rPr>
        <w:t>评标委员会由有关技术、经济等方面的专家和采购人熟悉相关业务的代表</w:t>
      </w:r>
      <w:r>
        <w:rPr>
          <w:spacing w:val="-5"/>
          <w:sz w:val="24"/>
        </w:rPr>
        <w:t>人员组成，成员为五人及以上的单数，其中技术、经济等方面的成员人数不少于成</w:t>
      </w:r>
      <w:r>
        <w:rPr>
          <w:sz w:val="24"/>
        </w:rPr>
        <w:t>员总数的三分之二。</w:t>
      </w:r>
    </w:p>
    <w:p>
      <w:pPr>
        <w:pStyle w:val="2"/>
        <w:numPr>
          <w:ilvl w:val="1"/>
          <w:numId w:val="16"/>
        </w:numPr>
        <w:tabs>
          <w:tab w:val="left" w:pos="1718"/>
        </w:tabs>
        <w:spacing w:before="2" w:after="0" w:line="364" w:lineRule="auto"/>
        <w:ind w:left="637" w:right="1129" w:firstLine="480"/>
        <w:jc w:val="left"/>
        <w:rPr>
          <w:sz w:val="24"/>
        </w:rPr>
      </w:pPr>
      <w:r>
        <w:rPr>
          <w:spacing w:val="-4"/>
          <w:sz w:val="24"/>
        </w:rPr>
        <w:t>按前款规定，评标委员会的成员，从专家库中采取随机抽取的方式确定。</w:t>
      </w:r>
      <w:r>
        <w:rPr>
          <w:spacing w:val="-3"/>
          <w:sz w:val="24"/>
        </w:rPr>
        <w:t>对于技术复杂、专业性要求较高或者国家有特殊要求的招标项目，抽取的专家不能满足评标工作需要时，将采取直接确定的方式选定评标委员会的人选。</w:t>
      </w:r>
    </w:p>
    <w:p>
      <w:pPr>
        <w:pStyle w:val="5"/>
        <w:numPr>
          <w:ilvl w:val="0"/>
          <w:numId w:val="17"/>
        </w:numPr>
        <w:tabs>
          <w:tab w:val="left" w:pos="1600"/>
        </w:tabs>
        <w:spacing w:before="1" w:after="0" w:line="240" w:lineRule="auto"/>
        <w:ind w:left="1600" w:right="0" w:hanging="483"/>
        <w:jc w:val="left"/>
      </w:pPr>
      <w:r>
        <w:t>评标委员会专家的条件和回避规定</w:t>
      </w:r>
    </w:p>
    <w:p>
      <w:pPr>
        <w:pStyle w:val="2"/>
        <w:numPr>
          <w:ilvl w:val="1"/>
          <w:numId w:val="17"/>
        </w:numPr>
        <w:tabs>
          <w:tab w:val="left" w:pos="1718"/>
        </w:tabs>
        <w:spacing w:before="161" w:after="0" w:line="240" w:lineRule="auto"/>
        <w:ind w:left="1717" w:right="0" w:hanging="601"/>
        <w:jc w:val="left"/>
        <w:rPr>
          <w:sz w:val="24"/>
        </w:rPr>
      </w:pPr>
      <w:r>
        <w:rPr>
          <w:sz w:val="24"/>
        </w:rPr>
        <w:t>评标委员会专家应符合下列条件：</w:t>
      </w:r>
    </w:p>
    <w:p>
      <w:pPr>
        <w:pStyle w:val="2"/>
        <w:numPr>
          <w:ilvl w:val="2"/>
          <w:numId w:val="17"/>
        </w:numPr>
        <w:tabs>
          <w:tab w:val="left" w:pos="1958"/>
        </w:tabs>
        <w:spacing w:before="160" w:after="0" w:line="240" w:lineRule="auto"/>
        <w:ind w:left="1957" w:right="0" w:hanging="841"/>
        <w:jc w:val="left"/>
        <w:rPr>
          <w:sz w:val="24"/>
        </w:rPr>
      </w:pPr>
      <w:r>
        <w:rPr>
          <w:sz w:val="24"/>
        </w:rPr>
        <w:t>熟悉有关和招标投标的法律法规；</w:t>
      </w:r>
    </w:p>
    <w:p>
      <w:pPr>
        <w:pStyle w:val="2"/>
        <w:numPr>
          <w:ilvl w:val="2"/>
          <w:numId w:val="17"/>
        </w:numPr>
        <w:tabs>
          <w:tab w:val="left" w:pos="1958"/>
        </w:tabs>
        <w:spacing w:before="161" w:after="0" w:line="240" w:lineRule="auto"/>
        <w:ind w:left="1957" w:right="0" w:hanging="841"/>
        <w:jc w:val="left"/>
        <w:rPr>
          <w:sz w:val="24"/>
        </w:rPr>
      </w:pPr>
      <w:r>
        <w:rPr>
          <w:sz w:val="24"/>
        </w:rPr>
        <w:t>在相关专业领域工作满八年并具有高级职称或者同等专业水平；</w:t>
      </w:r>
    </w:p>
    <w:p>
      <w:pPr>
        <w:pStyle w:val="2"/>
        <w:numPr>
          <w:ilvl w:val="2"/>
          <w:numId w:val="18"/>
        </w:numPr>
        <w:tabs>
          <w:tab w:val="left" w:pos="1898"/>
        </w:tabs>
        <w:spacing w:before="160" w:after="0" w:line="240" w:lineRule="auto"/>
        <w:ind w:left="1897" w:right="0" w:hanging="781"/>
        <w:jc w:val="left"/>
        <w:rPr>
          <w:sz w:val="24"/>
        </w:rPr>
      </w:pPr>
      <w:r>
        <w:rPr>
          <w:sz w:val="24"/>
        </w:rPr>
        <w:t>熟悉有关招标投标的法律法规，并具有与招标项目相关的实践经验；</w:t>
      </w:r>
    </w:p>
    <w:p>
      <w:pPr>
        <w:pStyle w:val="2"/>
        <w:numPr>
          <w:ilvl w:val="2"/>
          <w:numId w:val="18"/>
        </w:numPr>
        <w:tabs>
          <w:tab w:val="left" w:pos="1958"/>
        </w:tabs>
        <w:spacing w:before="161" w:after="0" w:line="240" w:lineRule="auto"/>
        <w:ind w:left="1957" w:right="0" w:hanging="841"/>
        <w:jc w:val="left"/>
        <w:rPr>
          <w:sz w:val="24"/>
        </w:rPr>
      </w:pPr>
      <w:r>
        <w:rPr>
          <w:sz w:val="24"/>
        </w:rPr>
        <w:t>能够认真、公正、诚实、廉洁的履行职责。</w:t>
      </w:r>
    </w:p>
    <w:p>
      <w:pPr>
        <w:pStyle w:val="2"/>
        <w:numPr>
          <w:ilvl w:val="1"/>
          <w:numId w:val="17"/>
        </w:numPr>
        <w:tabs>
          <w:tab w:val="left" w:pos="1837"/>
          <w:tab w:val="left" w:pos="1838"/>
        </w:tabs>
        <w:spacing w:before="160" w:after="0" w:line="240" w:lineRule="auto"/>
        <w:ind w:left="1837" w:right="0" w:hanging="721"/>
        <w:jc w:val="left"/>
        <w:rPr>
          <w:sz w:val="24"/>
        </w:rPr>
      </w:pPr>
      <w:r>
        <w:rPr>
          <w:sz w:val="24"/>
        </w:rPr>
        <w:t>有下列情形之一的，不得担任评标委员会成员：</w:t>
      </w:r>
    </w:p>
    <w:p>
      <w:pPr>
        <w:pStyle w:val="2"/>
        <w:numPr>
          <w:ilvl w:val="2"/>
          <w:numId w:val="17"/>
        </w:numPr>
        <w:tabs>
          <w:tab w:val="left" w:pos="1958"/>
        </w:tabs>
        <w:spacing w:before="161" w:after="0" w:line="240" w:lineRule="auto"/>
        <w:ind w:left="1957" w:right="0" w:hanging="841"/>
        <w:jc w:val="left"/>
        <w:rPr>
          <w:sz w:val="24"/>
        </w:rPr>
      </w:pPr>
      <w:r>
        <w:rPr>
          <w:sz w:val="24"/>
        </w:rPr>
        <w:t>与投标方或者投标方主要负责人有近亲关系的或有利害关系的；</w:t>
      </w:r>
    </w:p>
    <w:p>
      <w:pPr>
        <w:pStyle w:val="2"/>
        <w:numPr>
          <w:ilvl w:val="2"/>
          <w:numId w:val="17"/>
        </w:numPr>
        <w:tabs>
          <w:tab w:val="left" w:pos="1960"/>
        </w:tabs>
        <w:spacing w:before="160" w:after="0" w:line="364" w:lineRule="auto"/>
        <w:ind w:left="637" w:right="1248" w:firstLine="480"/>
        <w:jc w:val="left"/>
        <w:rPr>
          <w:sz w:val="24"/>
        </w:rPr>
      </w:pPr>
      <w:r>
        <w:rPr>
          <w:sz w:val="24"/>
        </w:rPr>
        <w:t>与项目主管部门或者行政监督部门的人员有近亲关系的或有利害关系的；</w:t>
      </w:r>
    </w:p>
    <w:p>
      <w:pPr>
        <w:pStyle w:val="2"/>
        <w:numPr>
          <w:ilvl w:val="2"/>
          <w:numId w:val="17"/>
        </w:numPr>
        <w:tabs>
          <w:tab w:val="left" w:pos="1958"/>
        </w:tabs>
        <w:spacing w:before="90" w:after="0" w:line="240" w:lineRule="auto"/>
        <w:ind w:left="1957" w:right="0" w:hanging="841"/>
        <w:jc w:val="left"/>
        <w:rPr>
          <w:sz w:val="24"/>
        </w:rPr>
      </w:pPr>
      <w:r>
        <w:rPr>
          <w:sz w:val="24"/>
        </w:rPr>
        <w:t>与投标方有经济利益关系，可能影响对投标公正评标的；</w:t>
      </w:r>
    </w:p>
    <w:p>
      <w:pPr>
        <w:pStyle w:val="2"/>
        <w:numPr>
          <w:ilvl w:val="2"/>
          <w:numId w:val="17"/>
        </w:numPr>
        <w:tabs>
          <w:tab w:val="left" w:pos="1960"/>
        </w:tabs>
        <w:spacing w:before="160" w:after="0" w:line="364" w:lineRule="auto"/>
        <w:ind w:left="637" w:right="1248" w:firstLine="480"/>
        <w:jc w:val="left"/>
        <w:rPr>
          <w:sz w:val="24"/>
        </w:rPr>
      </w:pPr>
      <w:r>
        <w:rPr>
          <w:sz w:val="24"/>
        </w:rPr>
        <w:t>曾因在招标、评标以及其他与招标、投标有关活动中从事违法行为而受过行政处罚或刑事处罚的。</w:t>
      </w:r>
    </w:p>
    <w:p>
      <w:pPr>
        <w:pStyle w:val="5"/>
        <w:numPr>
          <w:ilvl w:val="0"/>
          <w:numId w:val="17"/>
        </w:numPr>
        <w:tabs>
          <w:tab w:val="left" w:pos="1600"/>
        </w:tabs>
        <w:spacing w:before="2" w:after="0" w:line="364" w:lineRule="auto"/>
        <w:ind w:left="637" w:right="1216" w:firstLine="480"/>
        <w:jc w:val="left"/>
      </w:pPr>
      <w:r>
        <w:rPr>
          <w:spacing w:val="-3"/>
        </w:rPr>
        <w:t>评标委员会成员应当熟悉并认真研究招标文件，至少应了解和熟悉以下内容：</w:t>
      </w:r>
    </w:p>
    <w:p>
      <w:pPr>
        <w:pStyle w:val="2"/>
        <w:numPr>
          <w:ilvl w:val="1"/>
          <w:numId w:val="17"/>
        </w:numPr>
        <w:tabs>
          <w:tab w:val="left" w:pos="1718"/>
        </w:tabs>
        <w:spacing w:before="1" w:after="0" w:line="240" w:lineRule="auto"/>
        <w:ind w:left="1717" w:right="0" w:hanging="601"/>
        <w:jc w:val="left"/>
        <w:rPr>
          <w:sz w:val="24"/>
        </w:rPr>
      </w:pPr>
      <w:r>
        <w:rPr>
          <w:sz w:val="24"/>
        </w:rPr>
        <w:t>招标目的。</w:t>
      </w:r>
    </w:p>
    <w:p>
      <w:pPr>
        <w:pStyle w:val="2"/>
        <w:numPr>
          <w:ilvl w:val="1"/>
          <w:numId w:val="17"/>
        </w:numPr>
        <w:tabs>
          <w:tab w:val="left" w:pos="1718"/>
        </w:tabs>
        <w:spacing w:before="160" w:after="0" w:line="240" w:lineRule="auto"/>
        <w:ind w:left="1717" w:right="0" w:hanging="601"/>
        <w:jc w:val="left"/>
        <w:rPr>
          <w:sz w:val="24"/>
        </w:rPr>
      </w:pPr>
      <w:r>
        <w:rPr>
          <w:sz w:val="24"/>
        </w:rPr>
        <w:t>招标项目的范围、性质。</w:t>
      </w:r>
    </w:p>
    <w:p>
      <w:pPr>
        <w:pStyle w:val="2"/>
        <w:numPr>
          <w:ilvl w:val="1"/>
          <w:numId w:val="17"/>
        </w:numPr>
        <w:tabs>
          <w:tab w:val="left" w:pos="1718"/>
        </w:tabs>
        <w:spacing w:before="161" w:after="0" w:line="240" w:lineRule="auto"/>
        <w:ind w:left="1717" w:right="0" w:hanging="601"/>
        <w:jc w:val="left"/>
        <w:rPr>
          <w:sz w:val="24"/>
        </w:rPr>
      </w:pPr>
      <w:r>
        <w:rPr>
          <w:sz w:val="24"/>
        </w:rPr>
        <w:t>招标文件中规定的主要技术要求、标准和商务条款。</w:t>
      </w:r>
    </w:p>
    <w:p>
      <w:pPr>
        <w:pStyle w:val="2"/>
        <w:numPr>
          <w:ilvl w:val="1"/>
          <w:numId w:val="17"/>
        </w:numPr>
        <w:tabs>
          <w:tab w:val="left" w:pos="1720"/>
        </w:tabs>
        <w:spacing w:before="160" w:after="0" w:line="364" w:lineRule="auto"/>
        <w:ind w:left="637" w:right="1248" w:firstLine="480"/>
        <w:jc w:val="left"/>
        <w:rPr>
          <w:sz w:val="24"/>
        </w:rPr>
      </w:pPr>
      <w:r>
        <w:rPr>
          <w:sz w:val="24"/>
        </w:rPr>
        <w:t>招标文件规定的评标原则、评标标准、评标方法和在评标过程中应考虑的相关因素。</w:t>
      </w:r>
    </w:p>
    <w:p>
      <w:pPr>
        <w:pStyle w:val="2"/>
        <w:numPr>
          <w:ilvl w:val="0"/>
          <w:numId w:val="17"/>
        </w:numPr>
        <w:tabs>
          <w:tab w:val="left" w:pos="1598"/>
        </w:tabs>
        <w:spacing w:before="1" w:after="0" w:line="240" w:lineRule="auto"/>
        <w:ind w:left="1597" w:right="0" w:hanging="481"/>
        <w:jc w:val="left"/>
        <w:rPr>
          <w:sz w:val="24"/>
        </w:rPr>
      </w:pPr>
      <w:r>
        <w:rPr>
          <w:sz w:val="24"/>
        </w:rPr>
        <w:t>招标方应当向评标委员会提供评标所需的重要信息和数据。</w:t>
      </w:r>
    </w:p>
    <w:p>
      <w:pPr>
        <w:pStyle w:val="5"/>
        <w:numPr>
          <w:ilvl w:val="0"/>
          <w:numId w:val="17"/>
        </w:numPr>
        <w:tabs>
          <w:tab w:val="left" w:pos="1600"/>
        </w:tabs>
        <w:spacing w:before="161" w:after="0" w:line="240" w:lineRule="auto"/>
        <w:ind w:left="1600" w:right="0" w:hanging="483"/>
        <w:jc w:val="left"/>
      </w:pPr>
      <w:r>
        <w:t>评标委员会成员有前款规定情形之一的，应当主动提出回避。</w:t>
      </w:r>
    </w:p>
    <w:p>
      <w:pPr>
        <w:pStyle w:val="2"/>
        <w:numPr>
          <w:ilvl w:val="0"/>
          <w:numId w:val="17"/>
        </w:numPr>
        <w:tabs>
          <w:tab w:val="left" w:pos="1591"/>
        </w:tabs>
        <w:spacing w:before="160" w:after="0" w:line="240" w:lineRule="auto"/>
        <w:ind w:left="1590" w:right="0" w:hanging="483"/>
        <w:jc w:val="left"/>
        <w:rPr>
          <w:b/>
          <w:sz w:val="24"/>
        </w:rPr>
      </w:pPr>
      <w:r>
        <w:rPr>
          <w:b/>
          <w:spacing w:val="-1"/>
          <w:sz w:val="24"/>
        </w:rPr>
        <w:t>评标委员会及其成员应当履行的义务：</w:t>
      </w:r>
    </w:p>
    <w:p>
      <w:pPr>
        <w:pStyle w:val="2"/>
        <w:numPr>
          <w:ilvl w:val="1"/>
          <w:numId w:val="17"/>
        </w:numPr>
        <w:tabs>
          <w:tab w:val="left" w:pos="1718"/>
        </w:tabs>
        <w:spacing w:before="161" w:after="0" w:line="240" w:lineRule="auto"/>
        <w:ind w:left="1717" w:right="0" w:hanging="601"/>
        <w:jc w:val="left"/>
        <w:rPr>
          <w:sz w:val="24"/>
        </w:rPr>
      </w:pPr>
      <w:r>
        <w:rPr>
          <w:sz w:val="24"/>
        </w:rPr>
        <w:t>遵纪守法，客观、公正、廉洁地履行职责；</w:t>
      </w:r>
    </w:p>
    <w:p>
      <w:pPr>
        <w:pStyle w:val="2"/>
        <w:numPr>
          <w:ilvl w:val="1"/>
          <w:numId w:val="17"/>
        </w:numPr>
        <w:tabs>
          <w:tab w:val="left" w:pos="1708"/>
        </w:tabs>
        <w:spacing w:before="160" w:after="0" w:line="364" w:lineRule="auto"/>
        <w:ind w:left="637" w:right="1129" w:firstLine="470"/>
        <w:jc w:val="left"/>
        <w:rPr>
          <w:sz w:val="24"/>
        </w:rPr>
      </w:pPr>
      <w:r>
        <w:rPr>
          <w:spacing w:val="-2"/>
          <w:sz w:val="24"/>
        </w:rPr>
        <w:t xml:space="preserve">按照招标文件规定的评标方法和标准进行评标，严格履行签字确认手续， </w:t>
      </w:r>
      <w:r>
        <w:rPr>
          <w:sz w:val="24"/>
        </w:rPr>
        <w:t>对评标意见承担个人责任；</w:t>
      </w:r>
    </w:p>
    <w:p>
      <w:pPr>
        <w:pStyle w:val="2"/>
        <w:numPr>
          <w:ilvl w:val="1"/>
          <w:numId w:val="17"/>
        </w:numPr>
        <w:tabs>
          <w:tab w:val="left" w:pos="1708"/>
        </w:tabs>
        <w:spacing w:before="2" w:after="0" w:line="240" w:lineRule="auto"/>
        <w:ind w:left="1708" w:right="0" w:hanging="600"/>
        <w:jc w:val="left"/>
        <w:rPr>
          <w:sz w:val="24"/>
        </w:rPr>
      </w:pPr>
      <w:r>
        <w:rPr>
          <w:sz w:val="24"/>
        </w:rPr>
        <w:t>对评标过程和结果，以及供应商的商业秘密保密；</w:t>
      </w:r>
    </w:p>
    <w:p>
      <w:pPr>
        <w:pStyle w:val="2"/>
        <w:numPr>
          <w:ilvl w:val="1"/>
          <w:numId w:val="17"/>
        </w:numPr>
        <w:tabs>
          <w:tab w:val="left" w:pos="1708"/>
        </w:tabs>
        <w:spacing w:before="160" w:after="0" w:line="240" w:lineRule="auto"/>
        <w:ind w:left="1708" w:right="0" w:hanging="600"/>
        <w:jc w:val="left"/>
        <w:rPr>
          <w:sz w:val="24"/>
        </w:rPr>
      </w:pPr>
      <w:r>
        <w:rPr>
          <w:sz w:val="24"/>
        </w:rPr>
        <w:t>参与评标报告的起草；</w:t>
      </w:r>
    </w:p>
    <w:p>
      <w:pPr>
        <w:pStyle w:val="2"/>
        <w:numPr>
          <w:ilvl w:val="1"/>
          <w:numId w:val="17"/>
        </w:numPr>
        <w:tabs>
          <w:tab w:val="left" w:pos="1708"/>
        </w:tabs>
        <w:spacing w:before="161" w:after="0" w:line="240" w:lineRule="auto"/>
        <w:ind w:left="1708" w:right="0" w:hanging="600"/>
        <w:jc w:val="left"/>
        <w:rPr>
          <w:sz w:val="24"/>
        </w:rPr>
      </w:pPr>
      <w:r>
        <w:rPr>
          <w:sz w:val="24"/>
        </w:rPr>
        <w:t>配合财政部门的投诉处理工作；</w:t>
      </w:r>
    </w:p>
    <w:p>
      <w:pPr>
        <w:pStyle w:val="2"/>
        <w:numPr>
          <w:ilvl w:val="1"/>
          <w:numId w:val="17"/>
        </w:numPr>
        <w:tabs>
          <w:tab w:val="left" w:pos="1708"/>
        </w:tabs>
        <w:spacing w:before="160" w:after="0" w:line="240" w:lineRule="auto"/>
        <w:ind w:left="1708" w:right="0" w:hanging="600"/>
        <w:jc w:val="left"/>
        <w:rPr>
          <w:sz w:val="24"/>
        </w:rPr>
      </w:pPr>
      <w:r>
        <w:rPr>
          <w:sz w:val="24"/>
        </w:rPr>
        <w:t>配合招标方答复投标供应商提出的质疑。</w:t>
      </w:r>
    </w:p>
    <w:p>
      <w:pPr>
        <w:pStyle w:val="5"/>
        <w:numPr>
          <w:ilvl w:val="0"/>
          <w:numId w:val="17"/>
        </w:numPr>
        <w:tabs>
          <w:tab w:val="left" w:pos="1600"/>
        </w:tabs>
        <w:spacing w:before="161" w:after="0" w:line="240" w:lineRule="auto"/>
        <w:ind w:left="1600" w:right="0" w:hanging="483"/>
        <w:jc w:val="both"/>
      </w:pPr>
      <w:r>
        <w:t>评标委员会及其成员应注意事项：</w:t>
      </w:r>
    </w:p>
    <w:p>
      <w:pPr>
        <w:pStyle w:val="2"/>
        <w:numPr>
          <w:ilvl w:val="1"/>
          <w:numId w:val="17"/>
        </w:numPr>
        <w:tabs>
          <w:tab w:val="left" w:pos="1720"/>
        </w:tabs>
        <w:spacing w:before="160" w:after="0" w:line="364" w:lineRule="auto"/>
        <w:ind w:left="637" w:right="1249" w:firstLine="480"/>
        <w:jc w:val="both"/>
        <w:rPr>
          <w:sz w:val="24"/>
        </w:rPr>
      </w:pPr>
      <w:r>
        <w:rPr>
          <w:sz w:val="24"/>
        </w:rPr>
        <w:t>评标委员会应当客观、公正地履行职责，遵守职业道德，不得与任何投</w:t>
      </w:r>
      <w:r>
        <w:rPr>
          <w:spacing w:val="-5"/>
          <w:sz w:val="24"/>
        </w:rPr>
        <w:t>标人或者与招标结果有利害关系的人员进行私下接触，须响应前款“第三部分”中</w:t>
      </w:r>
    </w:p>
    <w:p>
      <w:pPr>
        <w:pStyle w:val="10"/>
        <w:jc w:val="both"/>
      </w:pPr>
      <w:r>
        <w:t>8.1 条款之规定要求。</w:t>
      </w:r>
    </w:p>
    <w:p>
      <w:pPr>
        <w:pStyle w:val="2"/>
        <w:numPr>
          <w:ilvl w:val="1"/>
          <w:numId w:val="19"/>
        </w:numPr>
        <w:tabs>
          <w:tab w:val="left" w:pos="1778"/>
        </w:tabs>
        <w:spacing w:before="161" w:after="0" w:line="364" w:lineRule="auto"/>
        <w:ind w:left="637" w:right="1245" w:firstLine="540"/>
        <w:jc w:val="both"/>
        <w:rPr>
          <w:sz w:val="24"/>
        </w:rPr>
      </w:pPr>
      <w:r>
        <w:rPr>
          <w:spacing w:val="-1"/>
          <w:sz w:val="24"/>
        </w:rPr>
        <w:t>评标委员会应当遵循独立评标的原则，按照《中华人民共和国政府采购</w:t>
      </w:r>
      <w:r>
        <w:rPr>
          <w:spacing w:val="-6"/>
          <w:sz w:val="24"/>
        </w:rPr>
        <w:t>法》，要以招标文件为评标的唯一依据，不做标书以外无关问题讨论和将招标文件</w:t>
      </w:r>
      <w:r>
        <w:rPr>
          <w:spacing w:val="-5"/>
          <w:sz w:val="24"/>
        </w:rPr>
        <w:t>中没有规定的标准和方法不得作为评标的依据。应本着“实事求是、公正诚信”的原则，根据招标文件规定的评标标准和方法，对投标方的投标文件进行系统地评标</w:t>
      </w:r>
      <w:r>
        <w:rPr>
          <w:sz w:val="24"/>
        </w:rPr>
        <w:t>和比较。并按要求做好相关书面原始署名记录。</w:t>
      </w:r>
    </w:p>
    <w:p>
      <w:pPr>
        <w:pStyle w:val="2"/>
        <w:numPr>
          <w:ilvl w:val="1"/>
          <w:numId w:val="19"/>
        </w:numPr>
        <w:tabs>
          <w:tab w:val="left" w:pos="1778"/>
        </w:tabs>
        <w:spacing w:before="90" w:after="0" w:line="364" w:lineRule="auto"/>
        <w:ind w:left="637" w:right="1245" w:firstLine="540"/>
        <w:jc w:val="both"/>
        <w:rPr>
          <w:sz w:val="24"/>
        </w:rPr>
      </w:pPr>
      <w:r>
        <w:rPr>
          <w:sz w:val="24"/>
        </w:rPr>
        <w:t>评标委员会应当客观、公正地履行职责。评标时，严禁存在个人印象、</w:t>
      </w:r>
      <w:r>
        <w:rPr>
          <w:spacing w:val="-4"/>
          <w:sz w:val="24"/>
        </w:rPr>
        <w:t>个人关系或带有明显倾向性的行为发生。否则，经核实后，招标方将有权予以制止此类行为的发生，责成其修正不果的，将做为不良记录记录在案，并按相关政策法</w:t>
      </w:r>
      <w:r>
        <w:rPr>
          <w:sz w:val="24"/>
        </w:rPr>
        <w:t>规的规定和程序，向财政监管部门提出处罚建议意见。</w:t>
      </w:r>
    </w:p>
    <w:p>
      <w:pPr>
        <w:pStyle w:val="2"/>
        <w:numPr>
          <w:ilvl w:val="1"/>
          <w:numId w:val="19"/>
        </w:numPr>
        <w:tabs>
          <w:tab w:val="left" w:pos="1658"/>
        </w:tabs>
        <w:spacing w:before="2" w:after="0" w:line="364" w:lineRule="auto"/>
        <w:ind w:left="637" w:right="1249" w:firstLine="480"/>
        <w:jc w:val="both"/>
        <w:rPr>
          <w:sz w:val="24"/>
        </w:rPr>
      </w:pPr>
      <w:r>
        <w:rPr>
          <w:spacing w:val="-5"/>
          <w:sz w:val="24"/>
        </w:rPr>
        <w:t>评标委员会成员和与本次评标活动有关的工作人员，不得透露对投标文件</w:t>
      </w:r>
      <w:r>
        <w:rPr>
          <w:sz w:val="24"/>
        </w:rPr>
        <w:t>的评标和比较、中标候选人的推荐情况以及与评标有关的其他情况。</w:t>
      </w:r>
    </w:p>
    <w:p>
      <w:pPr>
        <w:pStyle w:val="2"/>
        <w:numPr>
          <w:ilvl w:val="1"/>
          <w:numId w:val="19"/>
        </w:numPr>
        <w:tabs>
          <w:tab w:val="left" w:pos="1720"/>
        </w:tabs>
        <w:spacing w:before="1" w:after="0" w:line="364" w:lineRule="auto"/>
        <w:ind w:left="637" w:right="1249" w:firstLine="480"/>
        <w:jc w:val="both"/>
        <w:rPr>
          <w:sz w:val="24"/>
        </w:rPr>
      </w:pPr>
      <w:r>
        <w:rPr>
          <w:sz w:val="24"/>
        </w:rPr>
        <w:t>除法律需要外，自开标直至宣布中标及签订合同为止，有关投标文件的</w:t>
      </w:r>
      <w:r>
        <w:rPr>
          <w:spacing w:val="-6"/>
          <w:sz w:val="24"/>
        </w:rPr>
        <w:t>审查、澄清、评定及关于评标的建议等情况，评标委员会及其成员任何人均不得以</w:t>
      </w:r>
      <w:r>
        <w:rPr>
          <w:spacing w:val="-5"/>
          <w:sz w:val="24"/>
        </w:rPr>
        <w:t>任何形式泄露，评标过程中如有不明事宜，需要投标方进行解释的，只能由评标委</w:t>
      </w:r>
      <w:r>
        <w:rPr>
          <w:sz w:val="24"/>
        </w:rPr>
        <w:t>员会各成员进行询标（答疑）。</w:t>
      </w:r>
    </w:p>
    <w:p>
      <w:pPr>
        <w:pStyle w:val="2"/>
        <w:numPr>
          <w:ilvl w:val="0"/>
          <w:numId w:val="17"/>
        </w:numPr>
        <w:tabs>
          <w:tab w:val="left" w:pos="1598"/>
        </w:tabs>
        <w:spacing w:before="3" w:after="0" w:line="364" w:lineRule="auto"/>
        <w:ind w:left="637" w:right="1249" w:firstLine="480"/>
        <w:jc w:val="both"/>
      </w:pPr>
      <w:r>
        <w:rPr>
          <w:spacing w:val="-3"/>
          <w:sz w:val="24"/>
        </w:rPr>
        <w:t>与评标活动有关的工作人员，自开标之日期起至定标日止，在此期间任何</w:t>
      </w:r>
      <w:r>
        <w:rPr>
          <w:spacing w:val="-5"/>
          <w:sz w:val="24"/>
        </w:rPr>
        <w:t>监标人、采购人代表、特邀代表、工作人员及供应商不得干扰评标委员会正常及其</w:t>
      </w:r>
      <w:r>
        <w:rPr>
          <w:sz w:val="24"/>
        </w:rPr>
        <w:t>它评标工作，否则，招标方将有权取消其权利资格。</w:t>
      </w:r>
    </w:p>
    <w:p>
      <w:pPr>
        <w:pStyle w:val="3"/>
        <w:spacing w:before="162"/>
        <w:ind w:right="603"/>
      </w:pPr>
      <w:r>
        <w:t>第五部分 开标 评标 定标说明</w:t>
      </w:r>
    </w:p>
    <w:p>
      <w:pPr>
        <w:pStyle w:val="4"/>
        <w:tabs>
          <w:tab w:val="left" w:pos="1766"/>
        </w:tabs>
        <w:spacing w:before="191"/>
      </w:pPr>
      <w:r>
        <w:t>第一章</w:t>
      </w:r>
      <w:r>
        <w:rPr>
          <w:spacing w:val="-4"/>
        </w:rPr>
        <w:t xml:space="preserve"> </w:t>
      </w:r>
      <w:r>
        <w:t>开</w:t>
      </w:r>
      <w:r>
        <w:tab/>
      </w:r>
      <w:r>
        <w:t>标</w:t>
      </w:r>
    </w:p>
    <w:p>
      <w:pPr>
        <w:pStyle w:val="5"/>
        <w:numPr>
          <w:ilvl w:val="0"/>
          <w:numId w:val="17"/>
        </w:numPr>
        <w:tabs>
          <w:tab w:val="left" w:pos="1599"/>
        </w:tabs>
        <w:spacing w:before="186" w:after="0" w:line="240" w:lineRule="auto"/>
        <w:ind w:left="1598" w:right="0" w:hanging="482"/>
        <w:jc w:val="left"/>
        <w:rPr>
          <w:sz w:val="22"/>
        </w:rPr>
      </w:pPr>
      <w:r>
        <w:t>开标</w:t>
      </w:r>
    </w:p>
    <w:p>
      <w:pPr>
        <w:pStyle w:val="2"/>
        <w:numPr>
          <w:ilvl w:val="1"/>
          <w:numId w:val="17"/>
        </w:numPr>
        <w:tabs>
          <w:tab w:val="left" w:pos="1720"/>
        </w:tabs>
        <w:spacing w:before="160" w:after="0" w:line="364" w:lineRule="auto"/>
        <w:ind w:left="637" w:right="1248" w:firstLine="480"/>
        <w:jc w:val="both"/>
        <w:rPr>
          <w:sz w:val="24"/>
        </w:rPr>
      </w:pPr>
      <w:r>
        <w:rPr>
          <w:sz w:val="24"/>
        </w:rPr>
        <w:t>本次招标按招标文件的规定的时间和地点进行公开开标，允许投标人的法定代表人或其授权人参加开标会。</w:t>
      </w:r>
    </w:p>
    <w:p>
      <w:pPr>
        <w:pStyle w:val="2"/>
        <w:numPr>
          <w:ilvl w:val="1"/>
          <w:numId w:val="17"/>
        </w:numPr>
        <w:tabs>
          <w:tab w:val="left" w:pos="1720"/>
        </w:tabs>
        <w:spacing w:before="2" w:after="0" w:line="364" w:lineRule="auto"/>
        <w:ind w:left="637" w:right="1245" w:firstLine="480"/>
        <w:jc w:val="both"/>
        <w:rPr>
          <w:sz w:val="24"/>
        </w:rPr>
      </w:pPr>
      <w:r>
        <w:rPr>
          <w:sz w:val="24"/>
        </w:rPr>
        <w:t>为了体现投标人的合法权益，和确保评标工作的公平、公正，投标人如</w:t>
      </w:r>
      <w:r>
        <w:rPr>
          <w:spacing w:val="3"/>
          <w:sz w:val="24"/>
        </w:rPr>
        <w:t>果认为参加评标的评标委员会成员及其他与会人员与其他投标供应商有利害关系</w:t>
      </w:r>
      <w:r>
        <w:rPr>
          <w:spacing w:val="-5"/>
          <w:sz w:val="24"/>
        </w:rPr>
        <w:t>的，有权在开标现场以举手示意的方式向招标方申请其回避。如现场不提请招标方</w:t>
      </w:r>
      <w:r>
        <w:rPr>
          <w:sz w:val="24"/>
        </w:rPr>
        <w:t>申请其回避的，则视同无利害关系。</w:t>
      </w:r>
    </w:p>
    <w:p>
      <w:pPr>
        <w:pStyle w:val="2"/>
        <w:numPr>
          <w:ilvl w:val="1"/>
          <w:numId w:val="17"/>
        </w:numPr>
        <w:tabs>
          <w:tab w:val="left" w:pos="1720"/>
        </w:tabs>
        <w:spacing w:before="2" w:after="0" w:line="364" w:lineRule="auto"/>
        <w:ind w:left="637" w:right="1248" w:firstLine="480"/>
        <w:jc w:val="both"/>
        <w:rPr>
          <w:sz w:val="24"/>
        </w:rPr>
      </w:pPr>
      <w:r>
        <w:rPr>
          <w:sz w:val="24"/>
        </w:rPr>
        <w:t>按照上述会议通过事项，所有参加投标的供应商如事后发生上述原因的质疑或投诉事项，</w:t>
      </w:r>
      <w:r>
        <w:rPr>
          <w:rFonts w:hint="eastAsia"/>
          <w:sz w:val="24"/>
        </w:rPr>
        <w:t>新疆正聚方企业管理咨询有限公司</w:t>
      </w:r>
      <w:r>
        <w:rPr>
          <w:sz w:val="24"/>
        </w:rPr>
        <w:t>将不予采信。</w:t>
      </w:r>
    </w:p>
    <w:p>
      <w:pPr>
        <w:pStyle w:val="5"/>
        <w:numPr>
          <w:ilvl w:val="1"/>
          <w:numId w:val="17"/>
        </w:numPr>
        <w:tabs>
          <w:tab w:val="left" w:pos="1720"/>
        </w:tabs>
        <w:spacing w:before="1" w:after="0" w:line="240" w:lineRule="auto"/>
        <w:ind w:left="1720" w:right="0" w:hanging="603"/>
        <w:jc w:val="both"/>
      </w:pPr>
      <w:r>
        <w:t>投标文件响应性审查</w:t>
      </w:r>
    </w:p>
    <w:p>
      <w:pPr>
        <w:pStyle w:val="2"/>
        <w:numPr>
          <w:ilvl w:val="2"/>
          <w:numId w:val="17"/>
        </w:numPr>
        <w:tabs>
          <w:tab w:val="left" w:pos="1898"/>
        </w:tabs>
        <w:spacing w:before="161" w:after="0" w:line="364" w:lineRule="auto"/>
        <w:ind w:left="637" w:right="1249" w:firstLine="480"/>
        <w:jc w:val="both"/>
        <w:rPr>
          <w:sz w:val="24"/>
        </w:rPr>
      </w:pPr>
      <w:r>
        <w:rPr>
          <w:spacing w:val="-9"/>
          <w:sz w:val="24"/>
        </w:rPr>
        <w:t>开标后，招标方将组织对投标文件进行审查，应检查其是否完整，是否</w:t>
      </w:r>
      <w:r>
        <w:rPr>
          <w:spacing w:val="-4"/>
          <w:sz w:val="24"/>
        </w:rPr>
        <w:t>出现计算性错误，投标文件正本是否由投标表现人逐页签名，是否满足招标文件的</w:t>
      </w:r>
      <w:r>
        <w:rPr>
          <w:sz w:val="24"/>
        </w:rPr>
        <w:t>格式要求，是否提供投标保证金等。</w:t>
      </w:r>
    </w:p>
    <w:p>
      <w:pPr>
        <w:pStyle w:val="2"/>
        <w:numPr>
          <w:ilvl w:val="2"/>
          <w:numId w:val="17"/>
        </w:numPr>
        <w:tabs>
          <w:tab w:val="left" w:pos="1898"/>
        </w:tabs>
        <w:spacing w:before="90" w:after="0" w:line="364" w:lineRule="auto"/>
        <w:ind w:left="637" w:right="1249" w:firstLine="480"/>
        <w:jc w:val="both"/>
        <w:rPr>
          <w:sz w:val="24"/>
        </w:rPr>
      </w:pPr>
      <w:r>
        <w:rPr>
          <w:spacing w:val="-7"/>
          <w:sz w:val="24"/>
        </w:rPr>
        <w:t>在对投标文件进行综合评估之前，招标方将依据投标人提供的资格证明</w:t>
      </w:r>
      <w:r>
        <w:rPr>
          <w:spacing w:val="-6"/>
          <w:sz w:val="24"/>
        </w:rPr>
        <w:t>文件，审查投标人的财务和技术能力。如果确定投标人无能力履行合同，其投标将</w:t>
      </w:r>
      <w:r>
        <w:rPr>
          <w:sz w:val="24"/>
        </w:rPr>
        <w:t>被拒绝。</w:t>
      </w:r>
    </w:p>
    <w:p>
      <w:pPr>
        <w:pStyle w:val="2"/>
        <w:numPr>
          <w:ilvl w:val="2"/>
          <w:numId w:val="17"/>
        </w:numPr>
        <w:tabs>
          <w:tab w:val="left" w:pos="1903"/>
        </w:tabs>
        <w:spacing w:before="2" w:after="0" w:line="364" w:lineRule="auto"/>
        <w:ind w:left="637" w:right="1249" w:firstLine="480"/>
        <w:jc w:val="both"/>
        <w:rPr>
          <w:sz w:val="24"/>
        </w:rPr>
      </w:pPr>
      <w:r>
        <w:rPr>
          <w:spacing w:val="3"/>
          <w:sz w:val="24"/>
        </w:rPr>
        <w:t>评标委员会将确定每一投标人是否对投标文件的要求做出了实质性响</w:t>
      </w:r>
      <w:r>
        <w:rPr>
          <w:spacing w:val="-5"/>
          <w:sz w:val="24"/>
        </w:rPr>
        <w:t>应，而没有重大偏离。实质性响应的投标是指符合招标文件的所有条款、条件和规</w:t>
      </w:r>
      <w:r>
        <w:rPr>
          <w:sz w:val="24"/>
        </w:rPr>
        <w:t>定且没有重大偏离和保留的投标。</w:t>
      </w:r>
    </w:p>
    <w:p>
      <w:pPr>
        <w:pStyle w:val="2"/>
        <w:numPr>
          <w:ilvl w:val="2"/>
          <w:numId w:val="17"/>
        </w:numPr>
        <w:tabs>
          <w:tab w:val="left" w:pos="1903"/>
        </w:tabs>
        <w:spacing w:before="1" w:after="0" w:line="364" w:lineRule="auto"/>
        <w:ind w:left="637" w:right="1248" w:firstLine="480"/>
        <w:jc w:val="both"/>
        <w:rPr>
          <w:sz w:val="24"/>
        </w:rPr>
      </w:pPr>
      <w:r>
        <w:rPr>
          <w:spacing w:val="3"/>
          <w:sz w:val="24"/>
        </w:rPr>
        <w:t>评标委员会判断投标文件的响应性仅基于投标文件本身而不靠外部证据。</w:t>
      </w:r>
    </w:p>
    <w:p>
      <w:pPr>
        <w:pStyle w:val="2"/>
        <w:numPr>
          <w:ilvl w:val="2"/>
          <w:numId w:val="17"/>
        </w:numPr>
        <w:tabs>
          <w:tab w:val="left" w:pos="1898"/>
        </w:tabs>
        <w:spacing w:before="2" w:after="0" w:line="364" w:lineRule="auto"/>
        <w:ind w:left="637" w:right="1249" w:firstLine="480"/>
        <w:jc w:val="both"/>
        <w:rPr>
          <w:sz w:val="24"/>
        </w:rPr>
      </w:pPr>
      <w:r>
        <w:rPr>
          <w:spacing w:val="-5"/>
          <w:sz w:val="24"/>
        </w:rPr>
        <w:t>评标委员会将拒绝被确定为非实质性响应的投标。投标方不能通过修正</w:t>
      </w:r>
      <w:r>
        <w:rPr>
          <w:sz w:val="24"/>
        </w:rPr>
        <w:t>或撤回不符合之处而使其投标成为实质性响应的投标。</w:t>
      </w:r>
    </w:p>
    <w:p>
      <w:pPr>
        <w:pStyle w:val="5"/>
        <w:numPr>
          <w:ilvl w:val="1"/>
          <w:numId w:val="17"/>
        </w:numPr>
        <w:tabs>
          <w:tab w:val="left" w:pos="1711"/>
        </w:tabs>
        <w:spacing w:before="3" w:after="0" w:line="240" w:lineRule="auto"/>
        <w:ind w:left="1710" w:right="0" w:hanging="603"/>
        <w:jc w:val="both"/>
      </w:pPr>
      <w:r>
        <w:t>投标登记确认的审查</w:t>
      </w:r>
    </w:p>
    <w:p>
      <w:pPr>
        <w:pStyle w:val="2"/>
        <w:numPr>
          <w:ilvl w:val="2"/>
          <w:numId w:val="17"/>
        </w:numPr>
        <w:tabs>
          <w:tab w:val="left" w:pos="1888"/>
        </w:tabs>
        <w:spacing w:before="160" w:after="0" w:line="364" w:lineRule="auto"/>
        <w:ind w:left="637" w:right="1129" w:firstLine="470"/>
        <w:jc w:val="left"/>
        <w:rPr>
          <w:sz w:val="24"/>
        </w:rPr>
      </w:pPr>
      <w:r>
        <w:rPr>
          <w:spacing w:val="-8"/>
          <w:sz w:val="24"/>
        </w:rPr>
        <w:t>由招标方以书面方式，对按招标文件规定的开标时间准时参加的供应商</w:t>
      </w:r>
      <w:r>
        <w:rPr>
          <w:spacing w:val="-17"/>
          <w:sz w:val="24"/>
        </w:rPr>
        <w:t xml:space="preserve">的投标登记确认情况，进行现场审查通报。凡按规定时间前进行了投标登记确认的， </w:t>
      </w:r>
      <w:r>
        <w:rPr>
          <w:sz w:val="24"/>
        </w:rPr>
        <w:t>其投标被接受。否则，其投标将直接被拒绝。</w:t>
      </w:r>
    </w:p>
    <w:p>
      <w:pPr>
        <w:pStyle w:val="2"/>
        <w:numPr>
          <w:ilvl w:val="2"/>
          <w:numId w:val="17"/>
        </w:numPr>
        <w:tabs>
          <w:tab w:val="left" w:pos="1951"/>
        </w:tabs>
        <w:spacing w:before="2" w:after="0" w:line="364" w:lineRule="auto"/>
        <w:ind w:left="637" w:right="1226" w:firstLine="470"/>
        <w:jc w:val="both"/>
        <w:rPr>
          <w:sz w:val="24"/>
        </w:rPr>
      </w:pPr>
      <w:r>
        <w:rPr>
          <w:sz w:val="24"/>
        </w:rPr>
        <w:t>通报后，在招标文件及程序符合法律规定的前提下，对招标文件做出</w:t>
      </w:r>
      <w:r>
        <w:rPr>
          <w:spacing w:val="-3"/>
          <w:sz w:val="24"/>
        </w:rPr>
        <w:t>实质性响应的供应商只有两家时，且是第一次开标，招标方应中止谈判，重新组织</w:t>
      </w:r>
      <w:r>
        <w:rPr>
          <w:spacing w:val="-5"/>
          <w:sz w:val="24"/>
        </w:rPr>
        <w:t>采购；如果是第二次开标，按照公开、公平和竞争的原则，采购人可以书面提出转</w:t>
      </w:r>
      <w:r>
        <w:rPr>
          <w:spacing w:val="-6"/>
          <w:sz w:val="24"/>
        </w:rPr>
        <w:t>竞争性谈判方式进行，招标方同意且提交批准后，按批准后的采购方式继续开标。</w:t>
      </w:r>
      <w:r>
        <w:rPr>
          <w:sz w:val="24"/>
        </w:rPr>
        <w:t>反之，则应直接作废标处理，并依法重新组织采购。</w:t>
      </w:r>
    </w:p>
    <w:p>
      <w:pPr>
        <w:pStyle w:val="2"/>
        <w:numPr>
          <w:ilvl w:val="2"/>
          <w:numId w:val="17"/>
        </w:numPr>
        <w:tabs>
          <w:tab w:val="left" w:pos="1951"/>
        </w:tabs>
        <w:spacing w:before="3" w:after="0" w:line="364" w:lineRule="auto"/>
        <w:ind w:left="637" w:right="1249" w:firstLine="470"/>
        <w:jc w:val="both"/>
        <w:rPr>
          <w:sz w:val="24"/>
        </w:rPr>
      </w:pPr>
      <w:r>
        <w:rPr>
          <w:sz w:val="24"/>
        </w:rPr>
        <w:t>通报后，如果合格供应商只有一家时，且是第一次开标，招标方应中</w:t>
      </w:r>
      <w:r>
        <w:rPr>
          <w:spacing w:val="-5"/>
          <w:sz w:val="24"/>
        </w:rPr>
        <w:t>止谈判，重新组织采购；如果是第二次开标，采购人和投标商既没有过不良行为记录，也不存在明显或恶意的投标倾向性行为，采购人可以书面申请单一来源方式采</w:t>
      </w:r>
      <w:r>
        <w:rPr>
          <w:spacing w:val="-6"/>
          <w:sz w:val="24"/>
        </w:rPr>
        <w:t>购，经批准后，按批准后的采购方式依法按程序组织采购。反之，则应直接作废标</w:t>
      </w:r>
      <w:r>
        <w:rPr>
          <w:sz w:val="24"/>
        </w:rPr>
        <w:t>处理，并依法重新组织采购。</w:t>
      </w:r>
    </w:p>
    <w:p>
      <w:pPr>
        <w:pStyle w:val="5"/>
        <w:numPr>
          <w:ilvl w:val="1"/>
          <w:numId w:val="17"/>
        </w:numPr>
        <w:tabs>
          <w:tab w:val="left" w:pos="1711"/>
        </w:tabs>
        <w:spacing w:before="3" w:after="0" w:line="240" w:lineRule="auto"/>
        <w:ind w:left="1710" w:right="0" w:hanging="603"/>
        <w:jc w:val="both"/>
      </w:pPr>
      <w:r>
        <w:t>投标供应商资格资质审查</w:t>
      </w:r>
    </w:p>
    <w:p>
      <w:pPr>
        <w:pStyle w:val="2"/>
        <w:numPr>
          <w:ilvl w:val="2"/>
          <w:numId w:val="17"/>
        </w:numPr>
        <w:tabs>
          <w:tab w:val="left" w:pos="1948"/>
        </w:tabs>
        <w:spacing w:before="161" w:after="0" w:line="364" w:lineRule="auto"/>
        <w:ind w:left="637" w:right="1129" w:firstLine="470"/>
        <w:jc w:val="both"/>
        <w:rPr>
          <w:sz w:val="24"/>
        </w:rPr>
      </w:pPr>
      <w:r>
        <w:rPr>
          <w:spacing w:val="-2"/>
          <w:sz w:val="24"/>
        </w:rPr>
        <w:t xml:space="preserve">各投标供应商的资格资质审查，现场不接受二次提供涉及的投标资料， </w:t>
      </w:r>
      <w:r>
        <w:rPr>
          <w:sz w:val="24"/>
        </w:rPr>
        <w:t>且现场不允许与外界有任何方式的联系和沟通。</w:t>
      </w:r>
    </w:p>
    <w:p>
      <w:pPr>
        <w:pStyle w:val="2"/>
        <w:numPr>
          <w:ilvl w:val="2"/>
          <w:numId w:val="17"/>
        </w:numPr>
        <w:tabs>
          <w:tab w:val="left" w:pos="1960"/>
        </w:tabs>
        <w:spacing w:before="1" w:after="0" w:line="364" w:lineRule="auto"/>
        <w:ind w:left="637" w:right="1249" w:firstLine="480"/>
        <w:jc w:val="both"/>
      </w:pPr>
      <w:r>
        <w:rPr>
          <w:sz w:val="24"/>
        </w:rPr>
        <w:t>依据招标文件规定，由招标方按照投标登记确认先后顺序，当众启封</w:t>
      </w:r>
      <w:r>
        <w:rPr>
          <w:spacing w:val="-5"/>
          <w:sz w:val="24"/>
        </w:rPr>
        <w:t>投标文件，并对投标文件的密封性、完整性、时效性、相关资质资格等证照和投保</w:t>
      </w:r>
      <w:r>
        <w:rPr>
          <w:spacing w:val="-11"/>
        </w:rPr>
        <w:t xml:space="preserve">保证金缴纳情况等进行审查。凡不符合前款“第四部分”中 </w:t>
      </w:r>
      <w:r>
        <w:t>1.2</w:t>
      </w:r>
      <w:r>
        <w:rPr>
          <w:spacing w:val="-9"/>
        </w:rPr>
        <w:t xml:space="preserve"> 条款之规定要求的， </w:t>
      </w:r>
      <w:r>
        <w:t>其投标将被直接拒绝，并不得进入具体评标程序。</w:t>
      </w:r>
    </w:p>
    <w:p>
      <w:pPr>
        <w:pStyle w:val="2"/>
        <w:numPr>
          <w:ilvl w:val="2"/>
          <w:numId w:val="17"/>
        </w:numPr>
        <w:tabs>
          <w:tab w:val="left" w:pos="1898"/>
        </w:tabs>
        <w:spacing w:before="1" w:after="0" w:line="364" w:lineRule="auto"/>
        <w:ind w:left="637" w:right="1129" w:firstLine="480"/>
        <w:jc w:val="left"/>
        <w:rPr>
          <w:sz w:val="24"/>
        </w:rPr>
      </w:pPr>
      <w:r>
        <w:rPr>
          <w:spacing w:val="-11"/>
          <w:sz w:val="24"/>
        </w:rPr>
        <w:t xml:space="preserve">资质资格审查合格的供应商不足法定数量时，可以比照前款“第五部分” </w:t>
      </w:r>
      <w:r>
        <w:rPr>
          <w:spacing w:val="-30"/>
          <w:sz w:val="24"/>
        </w:rPr>
        <w:t xml:space="preserve">中 </w:t>
      </w:r>
      <w:r>
        <w:rPr>
          <w:sz w:val="24"/>
        </w:rPr>
        <w:t>23.5</w:t>
      </w:r>
      <w:r>
        <w:rPr>
          <w:spacing w:val="-20"/>
          <w:sz w:val="24"/>
        </w:rPr>
        <w:t xml:space="preserve"> 条款中的 </w:t>
      </w:r>
      <w:r>
        <w:rPr>
          <w:sz w:val="24"/>
        </w:rPr>
        <w:t>23.5.2</w:t>
      </w:r>
      <w:r>
        <w:rPr>
          <w:spacing w:val="-24"/>
          <w:sz w:val="24"/>
        </w:rPr>
        <w:t xml:space="preserve"> 条款和 </w:t>
      </w:r>
      <w:r>
        <w:rPr>
          <w:sz w:val="24"/>
        </w:rPr>
        <w:t>23.5.3</w:t>
      </w:r>
      <w:r>
        <w:rPr>
          <w:spacing w:val="-8"/>
          <w:sz w:val="24"/>
        </w:rPr>
        <w:t xml:space="preserve"> 条款之规定执行。</w:t>
      </w:r>
    </w:p>
    <w:p>
      <w:pPr>
        <w:pStyle w:val="5"/>
        <w:numPr>
          <w:ilvl w:val="1"/>
          <w:numId w:val="20"/>
        </w:numPr>
        <w:tabs>
          <w:tab w:val="left" w:pos="1711"/>
        </w:tabs>
        <w:spacing w:before="1" w:after="0" w:line="240" w:lineRule="auto"/>
        <w:ind w:left="1710" w:right="0" w:hanging="603"/>
        <w:jc w:val="left"/>
      </w:pPr>
      <w:r>
        <w:t>评标前的意见征求</w:t>
      </w:r>
    </w:p>
    <w:p>
      <w:pPr>
        <w:pStyle w:val="2"/>
        <w:numPr>
          <w:ilvl w:val="2"/>
          <w:numId w:val="20"/>
        </w:numPr>
        <w:tabs>
          <w:tab w:val="left" w:pos="1888"/>
        </w:tabs>
        <w:spacing w:before="161" w:after="0" w:line="364" w:lineRule="auto"/>
        <w:ind w:left="637" w:right="1249" w:firstLine="470"/>
        <w:jc w:val="left"/>
        <w:rPr>
          <w:sz w:val="24"/>
        </w:rPr>
      </w:pPr>
      <w:r>
        <w:rPr>
          <w:spacing w:val="-6"/>
          <w:sz w:val="24"/>
        </w:rPr>
        <w:t>严格在招标文件的规定范围内，由招标方现场以书面的方式，征求采购</w:t>
      </w:r>
      <w:r>
        <w:rPr>
          <w:sz w:val="24"/>
        </w:rPr>
        <w:t>单位代表对本次评标委员会评标时应注意的事项及意见建议，并签字确认。</w:t>
      </w:r>
    </w:p>
    <w:p>
      <w:pPr>
        <w:pStyle w:val="2"/>
        <w:numPr>
          <w:ilvl w:val="2"/>
          <w:numId w:val="20"/>
        </w:numPr>
        <w:tabs>
          <w:tab w:val="left" w:pos="1951"/>
        </w:tabs>
        <w:spacing w:before="1" w:after="0" w:line="364" w:lineRule="auto"/>
        <w:ind w:left="637" w:right="1248" w:firstLine="470"/>
        <w:jc w:val="left"/>
        <w:rPr>
          <w:sz w:val="24"/>
        </w:rPr>
      </w:pPr>
      <w:r>
        <w:rPr>
          <w:sz w:val="24"/>
        </w:rPr>
        <w:t>由招标方本次项目承办责任人严格按照招标文件的规定范围，核实并提出是否采信的意见并签字确认。</w:t>
      </w:r>
    </w:p>
    <w:p>
      <w:pPr>
        <w:pStyle w:val="2"/>
        <w:numPr>
          <w:ilvl w:val="2"/>
          <w:numId w:val="20"/>
        </w:numPr>
        <w:tabs>
          <w:tab w:val="left" w:pos="1888"/>
        </w:tabs>
        <w:spacing w:before="1" w:after="0" w:line="364" w:lineRule="auto"/>
        <w:ind w:left="637" w:right="1249" w:firstLine="470"/>
        <w:jc w:val="left"/>
        <w:rPr>
          <w:sz w:val="24"/>
        </w:rPr>
      </w:pPr>
      <w:r>
        <w:rPr>
          <w:spacing w:val="-6"/>
          <w:sz w:val="24"/>
        </w:rPr>
        <w:t>由招标方将可采信的上述意见建议，现场向评标委员会及成员提出可以</w:t>
      </w:r>
      <w:r>
        <w:rPr>
          <w:sz w:val="24"/>
        </w:rPr>
        <w:t>予以采纳的决定。反之，则不予采纳。</w:t>
      </w:r>
    </w:p>
    <w:p>
      <w:pPr>
        <w:pStyle w:val="4"/>
        <w:tabs>
          <w:tab w:val="left" w:pos="1766"/>
        </w:tabs>
        <w:spacing w:before="29"/>
      </w:pPr>
      <w:r>
        <w:t>第二章</w:t>
      </w:r>
      <w:r>
        <w:rPr>
          <w:spacing w:val="-4"/>
        </w:rPr>
        <w:t xml:space="preserve"> </w:t>
      </w:r>
      <w:r>
        <w:t>评</w:t>
      </w:r>
      <w:r>
        <w:tab/>
      </w:r>
      <w:r>
        <w:t>标</w:t>
      </w:r>
    </w:p>
    <w:p>
      <w:pPr>
        <w:pStyle w:val="5"/>
        <w:numPr>
          <w:ilvl w:val="0"/>
          <w:numId w:val="17"/>
        </w:numPr>
        <w:tabs>
          <w:tab w:val="left" w:pos="1599"/>
        </w:tabs>
        <w:spacing w:before="186" w:after="0" w:line="240" w:lineRule="auto"/>
        <w:ind w:left="1598" w:right="0" w:hanging="482"/>
        <w:jc w:val="left"/>
        <w:rPr>
          <w:sz w:val="22"/>
        </w:rPr>
      </w:pPr>
      <w:r>
        <w:t>开标报价</w:t>
      </w:r>
    </w:p>
    <w:p>
      <w:pPr>
        <w:pStyle w:val="2"/>
        <w:numPr>
          <w:ilvl w:val="1"/>
          <w:numId w:val="17"/>
        </w:numPr>
        <w:tabs>
          <w:tab w:val="left" w:pos="1720"/>
        </w:tabs>
        <w:spacing w:before="161" w:after="0" w:line="240" w:lineRule="auto"/>
        <w:ind w:left="1720" w:right="0" w:hanging="603"/>
        <w:jc w:val="both"/>
        <w:rPr>
          <w:b/>
          <w:sz w:val="24"/>
        </w:rPr>
      </w:pPr>
      <w:r>
        <w:rPr>
          <w:b/>
          <w:sz w:val="24"/>
        </w:rPr>
        <w:t>评标依据</w:t>
      </w:r>
    </w:p>
    <w:p>
      <w:pPr>
        <w:pStyle w:val="2"/>
        <w:numPr>
          <w:ilvl w:val="2"/>
          <w:numId w:val="17"/>
        </w:numPr>
        <w:tabs>
          <w:tab w:val="left" w:pos="1960"/>
        </w:tabs>
        <w:spacing w:before="160" w:after="0" w:line="364" w:lineRule="auto"/>
        <w:ind w:left="637" w:right="1248" w:firstLine="480"/>
        <w:jc w:val="both"/>
        <w:rPr>
          <w:sz w:val="24"/>
        </w:rPr>
      </w:pPr>
      <w:r>
        <w:rPr>
          <w:sz w:val="24"/>
        </w:rPr>
        <w:t>招标文件是评标的唯一依据。评标委员会评标要依据招标方的公开招标文件和投标方的投标文件进行比较与评标。</w:t>
      </w:r>
    </w:p>
    <w:p>
      <w:pPr>
        <w:pStyle w:val="2"/>
        <w:numPr>
          <w:ilvl w:val="2"/>
          <w:numId w:val="17"/>
        </w:numPr>
        <w:tabs>
          <w:tab w:val="left" w:pos="1960"/>
        </w:tabs>
        <w:spacing w:before="2" w:after="0" w:line="364" w:lineRule="auto"/>
        <w:ind w:left="637" w:right="1249" w:firstLine="480"/>
        <w:jc w:val="both"/>
        <w:rPr>
          <w:sz w:val="24"/>
        </w:rPr>
      </w:pPr>
      <w:r>
        <w:rPr>
          <w:sz w:val="24"/>
        </w:rPr>
        <w:t>招标文件中的主要产品或金额大的产品，提供相同品牌产品且通过资</w:t>
      </w:r>
      <w:r>
        <w:rPr>
          <w:spacing w:val="-5"/>
          <w:sz w:val="24"/>
        </w:rPr>
        <w:t>格审查、符合性审查的不同投标人，按一家投标人计算，评审后得分最高的同品牌</w:t>
      </w:r>
      <w:r>
        <w:rPr>
          <w:sz w:val="24"/>
        </w:rPr>
        <w:t>投标人获得中标人推荐资格。</w:t>
      </w:r>
    </w:p>
    <w:p>
      <w:pPr>
        <w:pStyle w:val="2"/>
        <w:numPr>
          <w:ilvl w:val="2"/>
          <w:numId w:val="17"/>
        </w:numPr>
        <w:tabs>
          <w:tab w:val="left" w:pos="1960"/>
        </w:tabs>
        <w:spacing w:before="1" w:after="0" w:line="364" w:lineRule="auto"/>
        <w:ind w:left="637" w:right="1129" w:firstLine="480"/>
        <w:jc w:val="left"/>
        <w:rPr>
          <w:sz w:val="24"/>
        </w:rPr>
      </w:pPr>
      <w:r>
        <w:rPr>
          <w:sz w:val="24"/>
        </w:rPr>
        <w:t>当发现投标人的投标文件有以下情形时，将认定为有串标嫌疑而对其</w:t>
      </w:r>
      <w:r>
        <w:rPr>
          <w:spacing w:val="-13"/>
          <w:sz w:val="24"/>
        </w:rPr>
        <w:t xml:space="preserve">予以废标：总报价相近，但其中分项报价不合理，且没有合理解释的；总报价相近， </w:t>
      </w:r>
      <w:r>
        <w:rPr>
          <w:spacing w:val="-11"/>
          <w:sz w:val="24"/>
        </w:rPr>
        <w:t xml:space="preserve">且其中款项报价雷同，又提不出计算依据的；总报价相近，数项子目单价完全相同， </w:t>
      </w:r>
      <w:r>
        <w:rPr>
          <w:spacing w:val="-3"/>
          <w:sz w:val="24"/>
        </w:rPr>
        <w:t>且提不出合理的单价组成的；总报价相近，主要材料设备价格极其相近的；总价相</w:t>
      </w:r>
      <w:r>
        <w:fldChar w:fldCharType="begin"/>
      </w:r>
      <w:r>
        <w:instrText xml:space="preserve"> HYPERLINK "http://www.shenmeshi.com/Education/Education_20070429223431.html" \h </w:instrText>
      </w:r>
      <w:r>
        <w:fldChar w:fldCharType="separate"/>
      </w:r>
      <w:r>
        <w:rPr>
          <w:spacing w:val="-3"/>
          <w:sz w:val="24"/>
        </w:rPr>
        <w:t>同，没有成本分析</w:t>
      </w:r>
      <w:r>
        <w:rPr>
          <w:spacing w:val="-3"/>
          <w:sz w:val="24"/>
        </w:rPr>
        <w:fldChar w:fldCharType="end"/>
      </w:r>
      <w:r>
        <w:rPr>
          <w:spacing w:val="-3"/>
          <w:sz w:val="24"/>
        </w:rPr>
        <w:t>，分项乱调的；几个投标人的</w:t>
      </w:r>
      <w:r>
        <w:fldChar w:fldCharType="begin"/>
      </w:r>
      <w:r>
        <w:instrText xml:space="preserve"> HYPERLINK "http://www.shenmeshi.com/Science/Index.html" \h </w:instrText>
      </w:r>
      <w:r>
        <w:fldChar w:fldCharType="separate"/>
      </w:r>
      <w:r>
        <w:rPr>
          <w:spacing w:val="-3"/>
          <w:sz w:val="24"/>
        </w:rPr>
        <w:t>技术</w:t>
      </w:r>
      <w:r>
        <w:rPr>
          <w:spacing w:val="-3"/>
          <w:sz w:val="24"/>
        </w:rPr>
        <w:fldChar w:fldCharType="end"/>
      </w:r>
      <w:r>
        <w:rPr>
          <w:spacing w:val="-3"/>
          <w:sz w:val="24"/>
        </w:rPr>
        <w:t>标都雷同的。</w:t>
      </w:r>
    </w:p>
    <w:p>
      <w:pPr>
        <w:pStyle w:val="2"/>
        <w:numPr>
          <w:ilvl w:val="2"/>
          <w:numId w:val="17"/>
        </w:numPr>
        <w:tabs>
          <w:tab w:val="left" w:pos="1960"/>
        </w:tabs>
        <w:spacing w:before="3" w:after="0" w:line="240" w:lineRule="auto"/>
        <w:ind w:left="1960" w:right="0" w:hanging="840"/>
        <w:jc w:val="left"/>
        <w:rPr>
          <w:sz w:val="24"/>
        </w:rPr>
      </w:pPr>
      <w:r>
        <w:rPr>
          <w:sz w:val="24"/>
        </w:rPr>
        <w:t>本次评标采取</w:t>
      </w:r>
      <w:r>
        <w:rPr>
          <w:b/>
          <w:spacing w:val="-1"/>
          <w:sz w:val="24"/>
          <w:u w:val="single"/>
        </w:rPr>
        <w:t>综合评分法</w:t>
      </w:r>
      <w:r>
        <w:rPr>
          <w:sz w:val="24"/>
        </w:rPr>
        <w:t>。</w:t>
      </w:r>
    </w:p>
    <w:p>
      <w:pPr>
        <w:pStyle w:val="5"/>
        <w:numPr>
          <w:ilvl w:val="1"/>
          <w:numId w:val="17"/>
        </w:numPr>
        <w:tabs>
          <w:tab w:val="left" w:pos="1723"/>
        </w:tabs>
        <w:spacing w:before="161" w:after="0" w:line="240" w:lineRule="auto"/>
        <w:ind w:left="1722" w:right="0" w:hanging="603"/>
        <w:jc w:val="left"/>
      </w:pPr>
      <w:r>
        <w:t>评标过程的保密性</w:t>
      </w:r>
    </w:p>
    <w:p>
      <w:pPr>
        <w:pStyle w:val="2"/>
        <w:numPr>
          <w:ilvl w:val="2"/>
          <w:numId w:val="17"/>
        </w:numPr>
        <w:tabs>
          <w:tab w:val="left" w:pos="1960"/>
        </w:tabs>
        <w:spacing w:before="160" w:after="0" w:line="364" w:lineRule="auto"/>
        <w:ind w:left="637" w:right="1248" w:firstLine="480"/>
        <w:jc w:val="left"/>
        <w:rPr>
          <w:sz w:val="24"/>
        </w:rPr>
      </w:pPr>
      <w:r>
        <w:rPr>
          <w:sz w:val="24"/>
        </w:rPr>
        <w:t>所有与本次招标及评标有关的人员，均不得向供应商及与招标项目无关的其他人员，透露与评标有关的资料以及授予合同的意见等。</w:t>
      </w:r>
    </w:p>
    <w:p>
      <w:pPr>
        <w:pStyle w:val="2"/>
        <w:numPr>
          <w:ilvl w:val="2"/>
          <w:numId w:val="17"/>
        </w:numPr>
        <w:tabs>
          <w:tab w:val="left" w:pos="1960"/>
        </w:tabs>
        <w:spacing w:before="2" w:after="0" w:line="240" w:lineRule="auto"/>
        <w:ind w:left="1960" w:right="0" w:hanging="843"/>
        <w:jc w:val="left"/>
        <w:rPr>
          <w:sz w:val="24"/>
        </w:rPr>
      </w:pPr>
      <w:r>
        <w:rPr>
          <w:sz w:val="24"/>
        </w:rPr>
        <w:t>在评标过程中，供应商试图在投标文件审查、报价、询标（</w:t>
      </w:r>
      <w:r>
        <w:rPr>
          <w:spacing w:val="2"/>
          <w:sz w:val="24"/>
        </w:rPr>
        <w:t>答疑</w:t>
      </w:r>
      <w:r>
        <w:rPr>
          <w:sz w:val="24"/>
        </w:rPr>
        <w:t>）、</w:t>
      </w:r>
    </w:p>
    <w:p>
      <w:pPr>
        <w:pStyle w:val="10"/>
        <w:spacing w:before="90" w:line="364" w:lineRule="auto"/>
        <w:ind w:right="1203"/>
      </w:pPr>
      <w:r>
        <w:t>澄清、比较及授予合同方面向采购人员施加影响的任何行为，都可能导致其投标文件被拒绝。</w:t>
      </w:r>
    </w:p>
    <w:p>
      <w:pPr>
        <w:pStyle w:val="2"/>
        <w:numPr>
          <w:ilvl w:val="2"/>
          <w:numId w:val="17"/>
        </w:numPr>
        <w:tabs>
          <w:tab w:val="left" w:pos="1958"/>
        </w:tabs>
        <w:spacing w:before="1" w:after="0" w:line="364" w:lineRule="auto"/>
        <w:ind w:left="637" w:right="1129" w:firstLine="480"/>
        <w:jc w:val="left"/>
        <w:rPr>
          <w:sz w:val="24"/>
        </w:rPr>
      </w:pPr>
      <w:r>
        <w:rPr>
          <w:spacing w:val="-9"/>
          <w:sz w:val="24"/>
        </w:rPr>
        <w:t>开标后直到授予投标人合同为止，凡是属于审查、报价、询标</w:t>
      </w:r>
      <w:r>
        <w:rPr>
          <w:sz w:val="24"/>
        </w:rPr>
        <w:t>（答疑</w:t>
      </w:r>
      <w:r>
        <w:rPr>
          <w:spacing w:val="-120"/>
          <w:sz w:val="24"/>
        </w:rPr>
        <w:t>）</w:t>
      </w:r>
      <w:r>
        <w:rPr>
          <w:spacing w:val="-18"/>
          <w:sz w:val="24"/>
        </w:rPr>
        <w:t>、</w:t>
      </w:r>
      <w:r>
        <w:rPr>
          <w:spacing w:val="-4"/>
          <w:sz w:val="24"/>
        </w:rPr>
        <w:t>澄清、评价和比较的有关资料以及授标建议等，评标委员会成员或参与评标的有关</w:t>
      </w:r>
      <w:r>
        <w:rPr>
          <w:spacing w:val="-6"/>
          <w:sz w:val="24"/>
        </w:rPr>
        <w:t>工作人员均不得向投标人或其他无关的人员透露，违者给予警告、取消担任评标委员会成员的资格，不得再参加任何投标项目的评标。</w:t>
      </w:r>
    </w:p>
    <w:p>
      <w:pPr>
        <w:pStyle w:val="2"/>
        <w:numPr>
          <w:ilvl w:val="2"/>
          <w:numId w:val="17"/>
        </w:numPr>
        <w:tabs>
          <w:tab w:val="left" w:pos="1960"/>
        </w:tabs>
        <w:spacing w:before="2" w:after="0" w:line="364" w:lineRule="auto"/>
        <w:ind w:left="637" w:right="1248" w:firstLine="480"/>
        <w:jc w:val="left"/>
        <w:rPr>
          <w:sz w:val="24"/>
        </w:rPr>
      </w:pPr>
      <w:r>
        <w:rPr>
          <w:sz w:val="24"/>
        </w:rPr>
        <w:t>投标人在评标过程中，所进行的力图影响评标结果的不符合《政府采购法》及本次招标有关规定的活动，将被取消中标资格。</w:t>
      </w:r>
    </w:p>
    <w:p>
      <w:pPr>
        <w:pStyle w:val="5"/>
        <w:numPr>
          <w:ilvl w:val="1"/>
          <w:numId w:val="17"/>
        </w:numPr>
        <w:tabs>
          <w:tab w:val="left" w:pos="1720"/>
        </w:tabs>
        <w:spacing w:before="2" w:after="0" w:line="240" w:lineRule="auto"/>
        <w:ind w:left="1720" w:right="0" w:hanging="603"/>
        <w:jc w:val="left"/>
      </w:pPr>
      <w:r>
        <w:t>评标有关规定要求</w:t>
      </w:r>
    </w:p>
    <w:p>
      <w:pPr>
        <w:pStyle w:val="2"/>
        <w:numPr>
          <w:ilvl w:val="2"/>
          <w:numId w:val="17"/>
        </w:numPr>
        <w:tabs>
          <w:tab w:val="left" w:pos="1960"/>
        </w:tabs>
        <w:spacing w:before="160" w:after="0" w:line="364" w:lineRule="auto"/>
        <w:ind w:left="637" w:right="1245" w:firstLine="480"/>
        <w:jc w:val="both"/>
        <w:rPr>
          <w:sz w:val="24"/>
        </w:rPr>
      </w:pPr>
      <w:r>
        <w:rPr>
          <w:sz w:val="24"/>
        </w:rPr>
        <w:t>各投标供应商严格遵守前款“第三部分”中10.7条款之规定，在招标方规定时间进行评标。</w:t>
      </w:r>
    </w:p>
    <w:p>
      <w:pPr>
        <w:pStyle w:val="2"/>
        <w:numPr>
          <w:ilvl w:val="2"/>
          <w:numId w:val="17"/>
        </w:numPr>
        <w:tabs>
          <w:tab w:val="left" w:pos="1960"/>
        </w:tabs>
        <w:spacing w:before="1" w:after="0" w:line="364" w:lineRule="auto"/>
        <w:ind w:left="637" w:right="1248" w:firstLine="480"/>
        <w:jc w:val="both"/>
        <w:rPr>
          <w:sz w:val="24"/>
        </w:rPr>
      </w:pPr>
      <w:r>
        <w:rPr>
          <w:sz w:val="24"/>
        </w:rPr>
        <w:t>评标、报价、询标（</w:t>
      </w:r>
      <w:r>
        <w:rPr>
          <w:spacing w:val="2"/>
          <w:sz w:val="24"/>
        </w:rPr>
        <w:t>答疑</w:t>
      </w:r>
      <w:r>
        <w:rPr>
          <w:spacing w:val="4"/>
          <w:sz w:val="24"/>
        </w:rPr>
        <w:t>）</w:t>
      </w:r>
      <w:r>
        <w:rPr>
          <w:sz w:val="24"/>
        </w:rPr>
        <w:t>、澄清应按照投标供应商递交投标文件的正顺序进行。</w:t>
      </w:r>
    </w:p>
    <w:p>
      <w:pPr>
        <w:pStyle w:val="2"/>
        <w:numPr>
          <w:ilvl w:val="2"/>
          <w:numId w:val="17"/>
        </w:numPr>
        <w:tabs>
          <w:tab w:val="left" w:pos="1960"/>
        </w:tabs>
        <w:spacing w:before="2" w:after="0" w:line="364" w:lineRule="auto"/>
        <w:ind w:left="637" w:right="1243" w:firstLine="480"/>
        <w:jc w:val="both"/>
        <w:rPr>
          <w:sz w:val="24"/>
        </w:rPr>
      </w:pPr>
      <w:r>
        <w:rPr>
          <w:sz w:val="24"/>
        </w:rPr>
        <w:t>评标委员会成员和与本次评标活动有关的工作人员，应遵循前款“第</w:t>
      </w:r>
      <w:r>
        <w:rPr>
          <w:spacing w:val="-12"/>
          <w:sz w:val="24"/>
        </w:rPr>
        <w:t xml:space="preserve">四部分”“第四章”中 </w:t>
      </w:r>
      <w:r>
        <w:rPr>
          <w:sz w:val="24"/>
        </w:rPr>
        <w:t>21.2</w:t>
      </w:r>
      <w:r>
        <w:rPr>
          <w:spacing w:val="-3"/>
          <w:sz w:val="24"/>
        </w:rPr>
        <w:t xml:space="preserve"> 条款、</w:t>
      </w:r>
      <w:r>
        <w:rPr>
          <w:sz w:val="24"/>
        </w:rPr>
        <w:t>21.3</w:t>
      </w:r>
      <w:r>
        <w:rPr>
          <w:spacing w:val="-18"/>
          <w:sz w:val="24"/>
        </w:rPr>
        <w:t xml:space="preserve"> 条款、</w:t>
      </w:r>
      <w:r>
        <w:rPr>
          <w:sz w:val="24"/>
        </w:rPr>
        <w:t>21.4</w:t>
      </w:r>
      <w:r>
        <w:rPr>
          <w:spacing w:val="-18"/>
          <w:sz w:val="24"/>
        </w:rPr>
        <w:t xml:space="preserve"> 条款、</w:t>
      </w:r>
      <w:r>
        <w:rPr>
          <w:sz w:val="24"/>
        </w:rPr>
        <w:t>21.5</w:t>
      </w:r>
      <w:r>
        <w:rPr>
          <w:spacing w:val="-24"/>
          <w:sz w:val="24"/>
        </w:rPr>
        <w:t xml:space="preserve"> 条款和 </w:t>
      </w:r>
      <w:r>
        <w:rPr>
          <w:sz w:val="24"/>
        </w:rPr>
        <w:t>22.</w:t>
      </w:r>
      <w:r>
        <w:rPr>
          <w:spacing w:val="-6"/>
          <w:sz w:val="24"/>
        </w:rPr>
        <w:t>条款之</w:t>
      </w:r>
      <w:r>
        <w:rPr>
          <w:sz w:val="24"/>
        </w:rPr>
        <w:t>规定。</w:t>
      </w:r>
    </w:p>
    <w:p>
      <w:pPr>
        <w:pStyle w:val="2"/>
        <w:numPr>
          <w:ilvl w:val="2"/>
          <w:numId w:val="17"/>
        </w:numPr>
        <w:tabs>
          <w:tab w:val="left" w:pos="1898"/>
        </w:tabs>
        <w:spacing w:before="1" w:after="0" w:line="364" w:lineRule="auto"/>
        <w:ind w:left="637" w:right="1166" w:firstLine="480"/>
        <w:jc w:val="both"/>
        <w:rPr>
          <w:sz w:val="24"/>
        </w:rPr>
      </w:pPr>
      <w:r>
        <w:rPr>
          <w:spacing w:val="-1"/>
          <w:sz w:val="24"/>
        </w:rPr>
        <w:t xml:space="preserve">评标现场凡供应商提供所涉及的投标资料，严格按照前款“第三部分” </w:t>
      </w:r>
      <w:r>
        <w:rPr>
          <w:spacing w:val="-30"/>
          <w:sz w:val="24"/>
        </w:rPr>
        <w:t xml:space="preserve">中 </w:t>
      </w:r>
      <w:r>
        <w:rPr>
          <w:sz w:val="24"/>
        </w:rPr>
        <w:t>10.4</w:t>
      </w:r>
      <w:r>
        <w:rPr>
          <w:spacing w:val="-10"/>
          <w:sz w:val="24"/>
        </w:rPr>
        <w:t xml:space="preserve"> 条款执行。</w:t>
      </w:r>
    </w:p>
    <w:p>
      <w:pPr>
        <w:pStyle w:val="2"/>
        <w:numPr>
          <w:ilvl w:val="2"/>
          <w:numId w:val="17"/>
        </w:numPr>
        <w:tabs>
          <w:tab w:val="left" w:pos="1960"/>
        </w:tabs>
        <w:spacing w:before="2" w:after="0" w:line="364" w:lineRule="auto"/>
        <w:ind w:left="637" w:right="1249" w:firstLine="480"/>
        <w:jc w:val="both"/>
        <w:rPr>
          <w:sz w:val="24"/>
        </w:rPr>
      </w:pPr>
      <w:r>
        <w:rPr>
          <w:sz w:val="24"/>
        </w:rPr>
        <w:t>招标方要对当事双方的评标、报价、询标（</w:t>
      </w:r>
      <w:r>
        <w:rPr>
          <w:spacing w:val="2"/>
          <w:sz w:val="24"/>
        </w:rPr>
        <w:t>答疑</w:t>
      </w:r>
      <w:r>
        <w:rPr>
          <w:spacing w:val="4"/>
          <w:sz w:val="24"/>
        </w:rPr>
        <w:t>）</w:t>
      </w:r>
      <w:r>
        <w:rPr>
          <w:sz w:val="24"/>
        </w:rPr>
        <w:t>、澄清等，做好书</w:t>
      </w:r>
      <w:r>
        <w:rPr>
          <w:spacing w:val="-5"/>
          <w:sz w:val="24"/>
        </w:rPr>
        <w:t>面记录，经评标委员会、投标供应商签字确认的记录与招标文件、投标供应商投标</w:t>
      </w:r>
      <w:r>
        <w:rPr>
          <w:spacing w:val="-3"/>
          <w:sz w:val="24"/>
        </w:rPr>
        <w:t>文件具有同等法律地位；也是供应商一旦中标后，与采购人签订中标合同和发生质</w:t>
      </w:r>
      <w:r>
        <w:rPr>
          <w:sz w:val="24"/>
        </w:rPr>
        <w:t>疑或投诉事项时的重要法律依据。</w:t>
      </w:r>
    </w:p>
    <w:p>
      <w:pPr>
        <w:pStyle w:val="2"/>
        <w:numPr>
          <w:ilvl w:val="2"/>
          <w:numId w:val="17"/>
        </w:numPr>
        <w:tabs>
          <w:tab w:val="left" w:pos="1960"/>
        </w:tabs>
        <w:spacing w:before="2" w:after="0" w:line="364" w:lineRule="auto"/>
        <w:ind w:left="637" w:right="1249" w:firstLine="480"/>
        <w:jc w:val="both"/>
        <w:rPr>
          <w:sz w:val="24"/>
        </w:rPr>
      </w:pPr>
      <w:r>
        <w:rPr>
          <w:sz w:val="24"/>
        </w:rPr>
        <w:t>评标委员会各成员应在招标方规定时间内阅读和熟悉招标文件，当要</w:t>
      </w:r>
      <w:r>
        <w:rPr>
          <w:spacing w:val="-3"/>
          <w:sz w:val="24"/>
        </w:rPr>
        <w:t>提出招标文件疑问事项时，应由招标方本次招标项目的责任人作为主体解答者，解</w:t>
      </w:r>
      <w:r>
        <w:rPr>
          <w:sz w:val="24"/>
        </w:rPr>
        <w:t>答不清的，由会议主持进行补充解答。</w:t>
      </w:r>
    </w:p>
    <w:p>
      <w:pPr>
        <w:pStyle w:val="5"/>
        <w:numPr>
          <w:ilvl w:val="1"/>
          <w:numId w:val="17"/>
        </w:numPr>
        <w:tabs>
          <w:tab w:val="left" w:pos="1720"/>
        </w:tabs>
        <w:spacing w:before="2" w:after="0" w:line="240" w:lineRule="auto"/>
        <w:ind w:left="1720" w:right="0" w:hanging="603"/>
        <w:jc w:val="both"/>
      </w:pPr>
      <w:r>
        <w:rPr>
          <w:w w:val="95"/>
        </w:rPr>
        <w:t>报价</w:t>
      </w:r>
    </w:p>
    <w:p>
      <w:pPr>
        <w:pStyle w:val="2"/>
        <w:numPr>
          <w:ilvl w:val="2"/>
          <w:numId w:val="17"/>
        </w:numPr>
        <w:tabs>
          <w:tab w:val="left" w:pos="1963"/>
        </w:tabs>
        <w:spacing w:before="160" w:after="0" w:line="240" w:lineRule="auto"/>
        <w:ind w:left="1962" w:right="0" w:hanging="846"/>
        <w:jc w:val="both"/>
        <w:rPr>
          <w:b/>
          <w:sz w:val="24"/>
        </w:rPr>
      </w:pPr>
      <w:r>
        <w:rPr>
          <w:b/>
          <w:sz w:val="24"/>
        </w:rPr>
        <w:t>投标报价的审查和原则要求</w:t>
      </w:r>
    </w:p>
    <w:p>
      <w:pPr>
        <w:pStyle w:val="2"/>
        <w:numPr>
          <w:ilvl w:val="3"/>
          <w:numId w:val="17"/>
        </w:numPr>
        <w:tabs>
          <w:tab w:val="left" w:pos="2200"/>
        </w:tabs>
        <w:spacing w:before="161" w:after="0" w:line="364" w:lineRule="auto"/>
        <w:ind w:left="637" w:right="1248" w:firstLine="480"/>
        <w:jc w:val="both"/>
        <w:rPr>
          <w:sz w:val="24"/>
        </w:rPr>
      </w:pPr>
      <w:r>
        <w:rPr>
          <w:sz w:val="24"/>
        </w:rPr>
        <w:t>招标方应须对评标委员会确定为实质上响应招标文件要求的投标文件中的价格进行审核，检查看其是否有计算和累加上的错误。</w:t>
      </w:r>
    </w:p>
    <w:p>
      <w:pPr>
        <w:pStyle w:val="2"/>
        <w:numPr>
          <w:ilvl w:val="3"/>
          <w:numId w:val="17"/>
        </w:numPr>
        <w:tabs>
          <w:tab w:val="left" w:pos="2200"/>
        </w:tabs>
        <w:spacing w:before="90" w:after="0" w:line="364" w:lineRule="auto"/>
        <w:ind w:left="637" w:right="1249" w:firstLine="480"/>
        <w:jc w:val="both"/>
        <w:rPr>
          <w:sz w:val="24"/>
        </w:rPr>
      </w:pPr>
      <w:r>
        <w:rPr>
          <w:sz w:val="24"/>
        </w:rPr>
        <w:t>修正错误的原则。如大写金额与小写金额不一致的，以大写金额为</w:t>
      </w:r>
      <w:r>
        <w:rPr>
          <w:spacing w:val="-6"/>
          <w:sz w:val="24"/>
        </w:rPr>
        <w:t>准；总价金额与按单价汇总金额不一致的，以单价金额计算结果为准；单价金额小</w:t>
      </w:r>
      <w:r>
        <w:rPr>
          <w:spacing w:val="-4"/>
          <w:sz w:val="24"/>
        </w:rPr>
        <w:t>数点有明显错位的，以总价为准，并修改单价；对不同文字文本投标文件的解释发</w:t>
      </w:r>
      <w:r>
        <w:rPr>
          <w:spacing w:val="-5"/>
          <w:sz w:val="24"/>
        </w:rPr>
        <w:t>生异议的，以中文文本为准。按上述原则调整后的价格为评标价，对供应商具有约</w:t>
      </w:r>
      <w:r>
        <w:rPr>
          <w:spacing w:val="-6"/>
          <w:sz w:val="24"/>
        </w:rPr>
        <w:t>束力。如果供应商不接受修正后的价格，则其报价将被拒绝，其投标报价保证金将</w:t>
      </w:r>
      <w:r>
        <w:rPr>
          <w:sz w:val="24"/>
        </w:rPr>
        <w:t>被没收。</w:t>
      </w:r>
    </w:p>
    <w:p>
      <w:pPr>
        <w:pStyle w:val="2"/>
        <w:numPr>
          <w:ilvl w:val="3"/>
          <w:numId w:val="17"/>
        </w:numPr>
        <w:tabs>
          <w:tab w:val="left" w:pos="2200"/>
        </w:tabs>
        <w:spacing w:before="3" w:after="0" w:line="364" w:lineRule="auto"/>
        <w:ind w:left="637" w:right="1248" w:firstLine="480"/>
        <w:jc w:val="both"/>
        <w:rPr>
          <w:sz w:val="24"/>
        </w:rPr>
      </w:pPr>
      <w:r>
        <w:rPr>
          <w:sz w:val="24"/>
        </w:rPr>
        <w:t>招标方按照规定时间，应检查所有投标文件的密封情况，确认无误后，以书面记录分别对投标供应商的报价单统一启封后，进行公开唱标、记标。</w:t>
      </w:r>
    </w:p>
    <w:p>
      <w:pPr>
        <w:pStyle w:val="2"/>
        <w:numPr>
          <w:ilvl w:val="3"/>
          <w:numId w:val="17"/>
        </w:numPr>
        <w:tabs>
          <w:tab w:val="left" w:pos="2200"/>
        </w:tabs>
        <w:spacing w:before="2" w:after="0" w:line="240" w:lineRule="auto"/>
        <w:ind w:left="2200" w:right="0" w:hanging="1080"/>
        <w:jc w:val="both"/>
        <w:rPr>
          <w:sz w:val="24"/>
        </w:rPr>
      </w:pPr>
      <w:r>
        <w:rPr>
          <w:sz w:val="24"/>
        </w:rPr>
        <w:t>报价采取密封的形式提交，采用一次性报价方式，且为最终报价。</w:t>
      </w:r>
    </w:p>
    <w:p>
      <w:pPr>
        <w:pStyle w:val="2"/>
        <w:numPr>
          <w:ilvl w:val="3"/>
          <w:numId w:val="17"/>
        </w:numPr>
        <w:tabs>
          <w:tab w:val="left" w:pos="2200"/>
        </w:tabs>
        <w:spacing w:before="160" w:after="0" w:line="240" w:lineRule="auto"/>
        <w:ind w:left="2200" w:right="0" w:hanging="1080"/>
        <w:jc w:val="both"/>
        <w:rPr>
          <w:sz w:val="24"/>
        </w:rPr>
      </w:pPr>
      <w:r>
        <w:rPr>
          <w:sz w:val="24"/>
        </w:rPr>
        <w:t>投标供应商的报价均应报出拟提供货物的单价和总价。</w:t>
      </w:r>
    </w:p>
    <w:p>
      <w:pPr>
        <w:pStyle w:val="2"/>
        <w:numPr>
          <w:ilvl w:val="3"/>
          <w:numId w:val="17"/>
        </w:numPr>
        <w:tabs>
          <w:tab w:val="left" w:pos="2200"/>
        </w:tabs>
        <w:spacing w:before="161" w:after="0" w:line="364" w:lineRule="auto"/>
        <w:ind w:left="637" w:right="1249" w:firstLine="480"/>
        <w:jc w:val="both"/>
        <w:rPr>
          <w:sz w:val="24"/>
        </w:rPr>
      </w:pPr>
      <w:r>
        <w:rPr>
          <w:sz w:val="24"/>
        </w:rPr>
        <w:t>投标供应商的报价采取现场公开的方式进行唱标记标，报价时现场</w:t>
      </w:r>
      <w:r>
        <w:rPr>
          <w:spacing w:val="-4"/>
          <w:sz w:val="24"/>
        </w:rPr>
        <w:t>不接受涂改、不合规更正的报价单，不允许投标供应商与外界有任何方式的联系和</w:t>
      </w:r>
      <w:r>
        <w:rPr>
          <w:sz w:val="24"/>
        </w:rPr>
        <w:t>沟通，且现场均不接受二次提供。否则，将直接取消其投标报价资格。</w:t>
      </w:r>
    </w:p>
    <w:p>
      <w:pPr>
        <w:pStyle w:val="2"/>
        <w:numPr>
          <w:ilvl w:val="3"/>
          <w:numId w:val="17"/>
        </w:numPr>
        <w:tabs>
          <w:tab w:val="left" w:pos="2200"/>
        </w:tabs>
        <w:spacing w:before="1" w:after="0" w:line="364" w:lineRule="auto"/>
        <w:ind w:left="637" w:right="1249" w:firstLine="482"/>
        <w:jc w:val="both"/>
        <w:rPr>
          <w:sz w:val="24"/>
        </w:rPr>
      </w:pPr>
      <w:r>
        <w:rPr>
          <w:spacing w:val="-8"/>
          <w:sz w:val="24"/>
        </w:rPr>
        <w:t>各投标供应商须按照招标方规定的时间进行报价，严格遵守前款“第</w:t>
      </w:r>
      <w:r>
        <w:rPr>
          <w:sz w:val="24"/>
        </w:rPr>
        <w:t>三部分”中10.7条款、10.8条款之规定。</w:t>
      </w:r>
    </w:p>
    <w:p>
      <w:pPr>
        <w:pStyle w:val="5"/>
        <w:numPr>
          <w:ilvl w:val="2"/>
          <w:numId w:val="17"/>
        </w:numPr>
        <w:tabs>
          <w:tab w:val="left" w:pos="1963"/>
        </w:tabs>
        <w:spacing w:before="2" w:after="0" w:line="240" w:lineRule="auto"/>
        <w:ind w:left="1962" w:right="0" w:hanging="846"/>
        <w:jc w:val="both"/>
      </w:pPr>
      <w:r>
        <w:t>唱标、记标</w:t>
      </w:r>
    </w:p>
    <w:p>
      <w:pPr>
        <w:pStyle w:val="2"/>
        <w:numPr>
          <w:ilvl w:val="3"/>
          <w:numId w:val="17"/>
        </w:numPr>
        <w:tabs>
          <w:tab w:val="left" w:pos="2203"/>
        </w:tabs>
        <w:spacing w:before="160" w:after="0" w:line="364" w:lineRule="auto"/>
        <w:ind w:left="637" w:right="1226" w:firstLine="482"/>
        <w:jc w:val="both"/>
        <w:rPr>
          <w:sz w:val="24"/>
        </w:rPr>
      </w:pPr>
      <w:r>
        <w:rPr>
          <w:sz w:val="24"/>
        </w:rPr>
        <w:t>招标方对投标报价登记确认、资格资质审查合格，及对招标文件做</w:t>
      </w:r>
      <w:r>
        <w:rPr>
          <w:spacing w:val="-2"/>
          <w:sz w:val="24"/>
        </w:rPr>
        <w:t>出实质性响应的供应商的报价，要给予每个正在参加评标的供应商相同的机会，并</w:t>
      </w:r>
      <w:r>
        <w:rPr>
          <w:spacing w:val="-3"/>
          <w:sz w:val="24"/>
        </w:rPr>
        <w:t xml:space="preserve">对报价采取公开的方式，按照供应商递交投标文件的正顺序，采取书面记录方式， </w:t>
      </w:r>
      <w:r>
        <w:rPr>
          <w:spacing w:val="-2"/>
          <w:sz w:val="24"/>
        </w:rPr>
        <w:t>在开标现场当场进行唱标公布。该报价只允许有一个报价，投标供应商任何有选择性的报价将不予接受。</w:t>
      </w:r>
    </w:p>
    <w:p>
      <w:pPr>
        <w:pStyle w:val="2"/>
        <w:numPr>
          <w:ilvl w:val="3"/>
          <w:numId w:val="17"/>
        </w:numPr>
        <w:tabs>
          <w:tab w:val="left" w:pos="2200"/>
        </w:tabs>
        <w:spacing w:before="3" w:after="0" w:line="240" w:lineRule="auto"/>
        <w:ind w:left="2200" w:right="0" w:hanging="1080"/>
        <w:jc w:val="both"/>
        <w:rPr>
          <w:sz w:val="24"/>
        </w:rPr>
      </w:pPr>
      <w:r>
        <w:rPr>
          <w:sz w:val="24"/>
        </w:rPr>
        <w:t>报价以供应商提交的投标文件正本中“开标一览表”的内容为准。</w:t>
      </w:r>
    </w:p>
    <w:p>
      <w:pPr>
        <w:pStyle w:val="2"/>
        <w:numPr>
          <w:ilvl w:val="3"/>
          <w:numId w:val="17"/>
        </w:numPr>
        <w:tabs>
          <w:tab w:val="left" w:pos="2200"/>
        </w:tabs>
        <w:spacing w:before="161" w:after="0" w:line="364" w:lineRule="auto"/>
        <w:ind w:left="637" w:right="1248" w:firstLine="480"/>
        <w:jc w:val="both"/>
        <w:rPr>
          <w:sz w:val="24"/>
        </w:rPr>
      </w:pPr>
      <w:r>
        <w:rPr>
          <w:sz w:val="24"/>
        </w:rPr>
        <w:t>唱标和记标的顺序，按照投标供应商递交投标文件的正顺序依次进行。</w:t>
      </w:r>
    </w:p>
    <w:p>
      <w:pPr>
        <w:pStyle w:val="5"/>
        <w:numPr>
          <w:ilvl w:val="2"/>
          <w:numId w:val="17"/>
        </w:numPr>
        <w:tabs>
          <w:tab w:val="left" w:pos="1963"/>
        </w:tabs>
        <w:spacing w:before="1" w:after="0" w:line="240" w:lineRule="auto"/>
        <w:ind w:left="1962" w:right="0" w:hanging="846"/>
        <w:jc w:val="both"/>
      </w:pPr>
      <w:r>
        <w:t>最终报价是否均超过采购预算的审查确认</w:t>
      </w:r>
    </w:p>
    <w:p>
      <w:pPr>
        <w:pStyle w:val="2"/>
        <w:numPr>
          <w:ilvl w:val="3"/>
          <w:numId w:val="17"/>
        </w:numPr>
        <w:tabs>
          <w:tab w:val="left" w:pos="2200"/>
        </w:tabs>
        <w:spacing w:before="160" w:after="0" w:line="364" w:lineRule="auto"/>
        <w:ind w:left="637" w:right="1249" w:firstLine="480"/>
        <w:jc w:val="both"/>
        <w:rPr>
          <w:sz w:val="24"/>
        </w:rPr>
      </w:pPr>
      <w:r>
        <w:rPr>
          <w:sz w:val="24"/>
        </w:rPr>
        <w:t>报价唱标结束后，招标方须根据《中华人民共和国政府采购法》及</w:t>
      </w:r>
      <w:r>
        <w:rPr>
          <w:spacing w:val="-4"/>
          <w:sz w:val="24"/>
        </w:rPr>
        <w:t>招标文件的规定，按照最终报价不接受超过采购预算的原则，对最终报价是否均超</w:t>
      </w:r>
      <w:r>
        <w:rPr>
          <w:sz w:val="24"/>
        </w:rPr>
        <w:t>过采购预算进行审查确认，并现场公布结果。</w:t>
      </w:r>
    </w:p>
    <w:p>
      <w:pPr>
        <w:pStyle w:val="2"/>
        <w:numPr>
          <w:ilvl w:val="3"/>
          <w:numId w:val="17"/>
        </w:numPr>
        <w:tabs>
          <w:tab w:val="left" w:pos="2200"/>
        </w:tabs>
        <w:spacing w:before="2" w:after="0" w:line="240" w:lineRule="auto"/>
        <w:ind w:left="2200" w:right="0" w:hanging="1083"/>
        <w:jc w:val="both"/>
        <w:rPr>
          <w:sz w:val="24"/>
        </w:rPr>
      </w:pPr>
      <w:r>
        <w:rPr>
          <w:sz w:val="24"/>
        </w:rPr>
        <w:t>唱标结束后，如所有报价均超过采购预算，且采购人不能支付时，</w:t>
      </w:r>
    </w:p>
    <w:p>
      <w:pPr>
        <w:pStyle w:val="10"/>
        <w:spacing w:before="90" w:line="364" w:lineRule="auto"/>
        <w:ind w:right="1201"/>
      </w:pPr>
      <w:r>
        <w:t>招标方现场应宣布本次招标废标。出现此种情况时，评标委员会有权决定拒绝所有的投标文件。</w:t>
      </w:r>
    </w:p>
    <w:p>
      <w:pPr>
        <w:pStyle w:val="2"/>
        <w:numPr>
          <w:ilvl w:val="3"/>
          <w:numId w:val="17"/>
        </w:numPr>
        <w:tabs>
          <w:tab w:val="left" w:pos="2200"/>
        </w:tabs>
        <w:spacing w:before="1" w:after="0" w:line="364" w:lineRule="auto"/>
        <w:ind w:left="637" w:right="1129" w:firstLine="480"/>
        <w:jc w:val="left"/>
        <w:rPr>
          <w:sz w:val="24"/>
        </w:rPr>
      </w:pPr>
      <w:r>
        <w:rPr>
          <w:sz w:val="24"/>
        </w:rPr>
        <w:t>唱标结束后，如果没有超过采购预算的投标供应商只有二家时，且</w:t>
      </w:r>
      <w:r>
        <w:rPr>
          <w:spacing w:val="-12"/>
          <w:sz w:val="24"/>
        </w:rPr>
        <w:t>是第一次开标，招标方应中止谈判，重新组织采购；如果是第二次开标，按照公开、</w:t>
      </w:r>
      <w:r>
        <w:rPr>
          <w:spacing w:val="-3"/>
          <w:sz w:val="24"/>
        </w:rPr>
        <w:t>公平和竞争的原则，采购人、招标方可以书面提出转竞争性谈判方式采购，经批准后，按批准后的采购方式继续开标。</w:t>
      </w:r>
    </w:p>
    <w:p>
      <w:pPr>
        <w:pStyle w:val="2"/>
        <w:numPr>
          <w:ilvl w:val="3"/>
          <w:numId w:val="17"/>
        </w:numPr>
        <w:tabs>
          <w:tab w:val="left" w:pos="2200"/>
        </w:tabs>
        <w:spacing w:before="2" w:after="0" w:line="364" w:lineRule="auto"/>
        <w:ind w:left="637" w:right="1249" w:firstLine="480"/>
        <w:jc w:val="both"/>
        <w:rPr>
          <w:sz w:val="24"/>
        </w:rPr>
      </w:pPr>
      <w:r>
        <w:rPr>
          <w:sz w:val="24"/>
        </w:rPr>
        <w:t>唱标结束后，如果没有超过采购预算的投标供应商只有一家时，且</w:t>
      </w:r>
      <w:r>
        <w:rPr>
          <w:spacing w:val="-5"/>
          <w:sz w:val="24"/>
        </w:rPr>
        <w:t>是第一次开标，招标方应中止谈判，重新组织采购；如果是第二次开标，采购人和</w:t>
      </w:r>
      <w:r>
        <w:rPr>
          <w:spacing w:val="-3"/>
          <w:sz w:val="24"/>
        </w:rPr>
        <w:t>投标商既没有过不良行为记录，也不存在明显或恶意的投标倾向性行为，由评标委</w:t>
      </w:r>
      <w:r>
        <w:rPr>
          <w:spacing w:val="-2"/>
          <w:sz w:val="24"/>
        </w:rPr>
        <w:t>员会对其递交的投标文件和招标文件做出实质性响应进行审查确认后，采购人可以</w:t>
      </w:r>
      <w:r>
        <w:rPr>
          <w:spacing w:val="-3"/>
          <w:sz w:val="24"/>
        </w:rPr>
        <w:t>书面申请单一来源方式采购，经批准同意后，按批准后的采购方式依法按程序组织</w:t>
      </w:r>
      <w:r>
        <w:rPr>
          <w:sz w:val="24"/>
        </w:rPr>
        <w:t>采购。反之，则应直接作废标处理，并依法重新组织采购。</w:t>
      </w:r>
    </w:p>
    <w:p>
      <w:pPr>
        <w:pStyle w:val="5"/>
        <w:numPr>
          <w:ilvl w:val="1"/>
          <w:numId w:val="17"/>
        </w:numPr>
        <w:tabs>
          <w:tab w:val="left" w:pos="1720"/>
        </w:tabs>
        <w:spacing w:before="4" w:after="0" w:line="240" w:lineRule="auto"/>
        <w:ind w:left="1720" w:right="0" w:hanging="603"/>
        <w:jc w:val="both"/>
      </w:pPr>
      <w:r>
        <w:t>评标程序</w:t>
      </w:r>
    </w:p>
    <w:p>
      <w:pPr>
        <w:pStyle w:val="2"/>
        <w:numPr>
          <w:ilvl w:val="2"/>
          <w:numId w:val="17"/>
        </w:numPr>
        <w:tabs>
          <w:tab w:val="left" w:pos="1960"/>
        </w:tabs>
        <w:spacing w:before="161" w:after="0" w:line="240" w:lineRule="auto"/>
        <w:ind w:left="1960" w:right="0" w:hanging="843"/>
        <w:jc w:val="left"/>
        <w:rPr>
          <w:sz w:val="24"/>
        </w:rPr>
      </w:pPr>
      <w:r>
        <w:rPr>
          <w:sz w:val="24"/>
        </w:rPr>
        <w:t>评标委员会及其成员应当遵循独立评标的原则，按照独立初审、单独</w:t>
      </w:r>
    </w:p>
    <w:p>
      <w:pPr>
        <w:pStyle w:val="10"/>
        <w:spacing w:before="160" w:line="364" w:lineRule="auto"/>
        <w:ind w:right="1201"/>
      </w:pPr>
      <w:r>
        <w:t>（或集中）询标（答疑）、独立综合评审、独立推荐拟中标人、集体定标、出具评标报告的工作程序进行。</w:t>
      </w:r>
    </w:p>
    <w:p>
      <w:pPr>
        <w:pStyle w:val="2"/>
        <w:numPr>
          <w:ilvl w:val="2"/>
          <w:numId w:val="17"/>
        </w:numPr>
        <w:tabs>
          <w:tab w:val="left" w:pos="1960"/>
        </w:tabs>
        <w:spacing w:before="1" w:after="0" w:line="364" w:lineRule="auto"/>
        <w:ind w:left="637" w:right="1248" w:firstLine="480"/>
        <w:jc w:val="both"/>
        <w:rPr>
          <w:sz w:val="24"/>
        </w:rPr>
      </w:pPr>
      <w:r>
        <w:rPr>
          <w:sz w:val="24"/>
        </w:rPr>
        <w:t>供应商按招标方规定时间要求，向本次评标委员会进行投标方案的简要介绍。</w:t>
      </w:r>
    </w:p>
    <w:p>
      <w:pPr>
        <w:pStyle w:val="2"/>
        <w:numPr>
          <w:ilvl w:val="2"/>
          <w:numId w:val="17"/>
        </w:numPr>
        <w:tabs>
          <w:tab w:val="left" w:pos="1960"/>
        </w:tabs>
        <w:spacing w:before="1" w:after="0" w:line="364" w:lineRule="auto"/>
        <w:ind w:left="637" w:right="1248" w:firstLine="480"/>
        <w:jc w:val="both"/>
        <w:rPr>
          <w:sz w:val="24"/>
        </w:rPr>
      </w:pPr>
      <w:r>
        <w:rPr>
          <w:sz w:val="24"/>
        </w:rPr>
        <w:t>评标委员会应单独（</w:t>
      </w:r>
      <w:r>
        <w:rPr>
          <w:spacing w:val="2"/>
          <w:sz w:val="24"/>
        </w:rPr>
        <w:t>或集中</w:t>
      </w:r>
      <w:r>
        <w:rPr>
          <w:sz w:val="24"/>
        </w:rPr>
        <w:t>）与资格资质审查合格的供应商分别进行技术和商务评审与比较。</w:t>
      </w:r>
    </w:p>
    <w:p>
      <w:pPr>
        <w:pStyle w:val="2"/>
        <w:numPr>
          <w:ilvl w:val="2"/>
          <w:numId w:val="17"/>
        </w:numPr>
        <w:tabs>
          <w:tab w:val="left" w:pos="1960"/>
        </w:tabs>
        <w:spacing w:before="2" w:after="0" w:line="364" w:lineRule="auto"/>
        <w:ind w:left="637" w:right="1249" w:firstLine="480"/>
        <w:jc w:val="both"/>
        <w:rPr>
          <w:sz w:val="24"/>
        </w:rPr>
      </w:pPr>
      <w:r>
        <w:rPr>
          <w:sz w:val="24"/>
        </w:rPr>
        <w:t xml:space="preserve">按照招标方规定程序，评标当事双方应本着“实事求是、公正诚信” </w:t>
      </w:r>
      <w:r>
        <w:rPr>
          <w:spacing w:val="-5"/>
          <w:sz w:val="24"/>
        </w:rPr>
        <w:t>的原则，要以招标方的招标文件为评标的唯一依据，不允许做招标文件以外无关问</w:t>
      </w:r>
      <w:r>
        <w:rPr>
          <w:spacing w:val="-3"/>
          <w:sz w:val="24"/>
        </w:rPr>
        <w:t>题讨论；评标委员会成员可以采取单独</w:t>
      </w:r>
      <w:r>
        <w:rPr>
          <w:sz w:val="24"/>
        </w:rPr>
        <w:t>（或集中</w:t>
      </w:r>
      <w:r>
        <w:rPr>
          <w:spacing w:val="-8"/>
          <w:sz w:val="24"/>
        </w:rPr>
        <w:t>）</w:t>
      </w:r>
      <w:r>
        <w:rPr>
          <w:spacing w:val="-2"/>
          <w:sz w:val="24"/>
        </w:rPr>
        <w:t>的方式与供应商分别逐一进行评</w:t>
      </w:r>
      <w:r>
        <w:rPr>
          <w:sz w:val="24"/>
        </w:rPr>
        <w:t>标、询标（答疑）、澄清。</w:t>
      </w:r>
    </w:p>
    <w:p>
      <w:pPr>
        <w:pStyle w:val="5"/>
        <w:numPr>
          <w:ilvl w:val="2"/>
          <w:numId w:val="17"/>
        </w:numPr>
        <w:tabs>
          <w:tab w:val="left" w:pos="1963"/>
        </w:tabs>
        <w:spacing w:before="2" w:after="0" w:line="240" w:lineRule="auto"/>
        <w:ind w:left="1962" w:right="0" w:hanging="846"/>
        <w:jc w:val="both"/>
      </w:pPr>
      <w:r>
        <w:t>询标（答疑）、澄清</w:t>
      </w:r>
    </w:p>
    <w:p>
      <w:pPr>
        <w:pStyle w:val="2"/>
        <w:numPr>
          <w:ilvl w:val="3"/>
          <w:numId w:val="17"/>
        </w:numPr>
        <w:tabs>
          <w:tab w:val="left" w:pos="2138"/>
        </w:tabs>
        <w:spacing w:before="161" w:after="0" w:line="364" w:lineRule="auto"/>
        <w:ind w:left="637" w:right="1249" w:firstLine="480"/>
        <w:jc w:val="both"/>
        <w:rPr>
          <w:sz w:val="24"/>
        </w:rPr>
      </w:pPr>
      <w:r>
        <w:rPr>
          <w:spacing w:val="-9"/>
          <w:sz w:val="24"/>
        </w:rPr>
        <w:t>在评标过程中，评标委员会各成员如对投标文件中含义不明确、同类</w:t>
      </w:r>
      <w:r>
        <w:rPr>
          <w:spacing w:val="-3"/>
          <w:sz w:val="24"/>
        </w:rPr>
        <w:t>问题表述不一致或者有明显文字和计算错误的内容，需要供应商进行必要澄清、说</w:t>
      </w:r>
      <w:r>
        <w:rPr>
          <w:spacing w:val="3"/>
          <w:sz w:val="24"/>
        </w:rPr>
        <w:t>明或者纠正，应以书面形式要求供应商在招标方规定的时间内现场作出必要的澄清、说明或者补正，和分别单独（或集中）进行询标（答疑）。</w:t>
      </w:r>
    </w:p>
    <w:p>
      <w:pPr>
        <w:pStyle w:val="2"/>
        <w:numPr>
          <w:ilvl w:val="3"/>
          <w:numId w:val="17"/>
        </w:numPr>
        <w:tabs>
          <w:tab w:val="left" w:pos="2200"/>
        </w:tabs>
        <w:spacing w:before="90" w:after="0" w:line="364" w:lineRule="auto"/>
        <w:ind w:left="637" w:right="1249" w:firstLine="480"/>
        <w:jc w:val="both"/>
        <w:rPr>
          <w:sz w:val="24"/>
        </w:rPr>
      </w:pPr>
      <w:r>
        <w:rPr>
          <w:sz w:val="24"/>
        </w:rPr>
        <w:t>为有助于对投标文件进行审查、评估和比较，评标委员会及其成员</w:t>
      </w:r>
      <w:r>
        <w:rPr>
          <w:spacing w:val="-1"/>
          <w:sz w:val="24"/>
        </w:rPr>
        <w:t>将对认为需要投标人进行询标</w:t>
      </w:r>
      <w:r>
        <w:rPr>
          <w:sz w:val="24"/>
        </w:rPr>
        <w:t>（答疑</w:t>
      </w:r>
      <w:r>
        <w:rPr>
          <w:spacing w:val="-5"/>
          <w:sz w:val="24"/>
        </w:rPr>
        <w:t>）、澄清等时，投标方有责任按照招标方通知</w:t>
      </w:r>
      <w:r>
        <w:rPr>
          <w:spacing w:val="-2"/>
          <w:sz w:val="24"/>
        </w:rPr>
        <w:t>的时间、地点进行询标</w:t>
      </w:r>
      <w:r>
        <w:rPr>
          <w:spacing w:val="-3"/>
          <w:sz w:val="24"/>
        </w:rPr>
        <w:t>（</w:t>
      </w:r>
      <w:r>
        <w:rPr>
          <w:sz w:val="24"/>
        </w:rPr>
        <w:t>答疑</w:t>
      </w:r>
      <w:r>
        <w:rPr>
          <w:spacing w:val="-3"/>
          <w:sz w:val="24"/>
        </w:rPr>
        <w:t>）</w:t>
      </w:r>
      <w:r>
        <w:rPr>
          <w:spacing w:val="-2"/>
          <w:sz w:val="24"/>
        </w:rPr>
        <w:t>和澄清。询标</w:t>
      </w:r>
      <w:r>
        <w:rPr>
          <w:sz w:val="24"/>
        </w:rPr>
        <w:t>（答疑</w:t>
      </w:r>
      <w:r>
        <w:rPr>
          <w:spacing w:val="-3"/>
          <w:sz w:val="24"/>
        </w:rPr>
        <w:t>）和澄清时，投标方代表应作</w:t>
      </w:r>
      <w:r>
        <w:rPr>
          <w:sz w:val="24"/>
        </w:rPr>
        <w:t>书面记录，并对重要内容做出书面答复。</w:t>
      </w:r>
    </w:p>
    <w:p>
      <w:pPr>
        <w:pStyle w:val="2"/>
        <w:numPr>
          <w:ilvl w:val="3"/>
          <w:numId w:val="17"/>
        </w:numPr>
        <w:tabs>
          <w:tab w:val="left" w:pos="2200"/>
        </w:tabs>
        <w:spacing w:before="2" w:after="0" w:line="364" w:lineRule="auto"/>
        <w:ind w:left="637" w:right="1248" w:firstLine="480"/>
        <w:jc w:val="both"/>
        <w:rPr>
          <w:sz w:val="24"/>
        </w:rPr>
      </w:pPr>
      <w:r>
        <w:rPr>
          <w:sz w:val="24"/>
        </w:rPr>
        <w:t>评标委员会在初步评审的基础上，单独</w:t>
      </w:r>
      <w:r>
        <w:rPr>
          <w:spacing w:val="4"/>
          <w:sz w:val="24"/>
        </w:rPr>
        <w:t>（</w:t>
      </w:r>
      <w:r>
        <w:rPr>
          <w:spacing w:val="1"/>
          <w:sz w:val="24"/>
        </w:rPr>
        <w:t>或集体</w:t>
      </w:r>
      <w:r>
        <w:rPr>
          <w:spacing w:val="4"/>
          <w:sz w:val="24"/>
        </w:rPr>
        <w:t>）</w:t>
      </w:r>
      <w:r>
        <w:rPr>
          <w:sz w:val="24"/>
        </w:rPr>
        <w:t>讨论、分析、综合各种因素后，可决定是否与各投标供应商再次进行询标（答疑）。</w:t>
      </w:r>
    </w:p>
    <w:p>
      <w:pPr>
        <w:pStyle w:val="2"/>
        <w:numPr>
          <w:ilvl w:val="3"/>
          <w:numId w:val="17"/>
        </w:numPr>
        <w:tabs>
          <w:tab w:val="left" w:pos="2200"/>
        </w:tabs>
        <w:spacing w:before="1" w:after="0" w:line="364" w:lineRule="auto"/>
        <w:ind w:left="637" w:right="1129" w:firstLine="480"/>
        <w:jc w:val="left"/>
        <w:rPr>
          <w:sz w:val="24"/>
        </w:rPr>
      </w:pPr>
      <w:r>
        <w:rPr>
          <w:sz w:val="24"/>
        </w:rPr>
        <w:t>招标方要对供应商的澄清、说明或者补正，采用书面形式，由招标</w:t>
      </w:r>
      <w:r>
        <w:rPr>
          <w:spacing w:val="-11"/>
          <w:sz w:val="24"/>
        </w:rPr>
        <w:t>方做好书面记录，并由其法定代表人或授权的代表签字或加盖招标方公章，其澄清、</w:t>
      </w:r>
      <w:r>
        <w:rPr>
          <w:spacing w:val="-1"/>
          <w:sz w:val="24"/>
        </w:rPr>
        <w:t>说明或者补正不得超出投标报价文件的范围或者改变其实质性内容，并作为投标文件的组成部分。</w:t>
      </w:r>
    </w:p>
    <w:p>
      <w:pPr>
        <w:pStyle w:val="2"/>
        <w:numPr>
          <w:ilvl w:val="3"/>
          <w:numId w:val="17"/>
        </w:numPr>
        <w:tabs>
          <w:tab w:val="left" w:pos="2200"/>
        </w:tabs>
        <w:spacing w:before="3" w:after="0" w:line="364" w:lineRule="auto"/>
        <w:ind w:left="637" w:right="1249" w:firstLine="480"/>
        <w:jc w:val="both"/>
        <w:rPr>
          <w:sz w:val="24"/>
        </w:rPr>
      </w:pPr>
      <w:r>
        <w:rPr>
          <w:sz w:val="24"/>
        </w:rPr>
        <w:t>投标供应商拒不进行澄清、说明或者补正的，或者不能在招标方规</w:t>
      </w:r>
      <w:r>
        <w:rPr>
          <w:spacing w:val="-3"/>
          <w:sz w:val="24"/>
        </w:rPr>
        <w:t>定时间内做出书面澄清、说明或者补正的，评标委员会将取消其继续参加评标的资</w:t>
      </w:r>
      <w:r>
        <w:rPr>
          <w:sz w:val="24"/>
        </w:rPr>
        <w:t>格。</w:t>
      </w:r>
    </w:p>
    <w:p>
      <w:pPr>
        <w:pStyle w:val="2"/>
        <w:numPr>
          <w:ilvl w:val="3"/>
          <w:numId w:val="17"/>
        </w:numPr>
        <w:tabs>
          <w:tab w:val="left" w:pos="2200"/>
        </w:tabs>
        <w:spacing w:before="2" w:after="0" w:line="364" w:lineRule="auto"/>
        <w:ind w:left="637" w:right="1248" w:firstLine="480"/>
        <w:jc w:val="both"/>
        <w:rPr>
          <w:sz w:val="24"/>
        </w:rPr>
      </w:pPr>
      <w:r>
        <w:rPr>
          <w:sz w:val="24"/>
        </w:rPr>
        <w:t>参加投标的供应商应当对评标（</w:t>
      </w:r>
      <w:r>
        <w:rPr>
          <w:spacing w:val="4"/>
          <w:sz w:val="24"/>
        </w:rPr>
        <w:t>审</w:t>
      </w:r>
      <w:r>
        <w:rPr>
          <w:sz w:val="24"/>
        </w:rPr>
        <w:t>）的承诺和最终报价以书面形式确认，并由其法定代表人或其授权人签署或加盖公章。</w:t>
      </w:r>
    </w:p>
    <w:p>
      <w:pPr>
        <w:pStyle w:val="5"/>
        <w:numPr>
          <w:ilvl w:val="2"/>
          <w:numId w:val="17"/>
        </w:numPr>
        <w:tabs>
          <w:tab w:val="left" w:pos="1963"/>
        </w:tabs>
        <w:spacing w:before="1" w:after="0" w:line="240" w:lineRule="auto"/>
        <w:ind w:left="1962" w:right="0" w:hanging="846"/>
        <w:jc w:val="both"/>
      </w:pPr>
      <w:r>
        <w:t>符合性审查</w:t>
      </w:r>
    </w:p>
    <w:p>
      <w:pPr>
        <w:pStyle w:val="2"/>
        <w:numPr>
          <w:ilvl w:val="3"/>
          <w:numId w:val="17"/>
        </w:numPr>
        <w:tabs>
          <w:tab w:val="left" w:pos="2200"/>
        </w:tabs>
        <w:spacing w:before="160" w:after="0" w:line="364" w:lineRule="auto"/>
        <w:ind w:left="637" w:right="1249" w:firstLine="480"/>
        <w:jc w:val="both"/>
        <w:rPr>
          <w:sz w:val="24"/>
        </w:rPr>
      </w:pPr>
      <w:r>
        <w:rPr>
          <w:sz w:val="24"/>
        </w:rPr>
        <w:t>评标委员会应依据招标文件的规定，对投标供应商的报价文件的有</w:t>
      </w:r>
      <w:r>
        <w:rPr>
          <w:spacing w:val="-5"/>
          <w:sz w:val="24"/>
        </w:rPr>
        <w:t>效性、完整性和对招标文件的响应程度进行审查，以确定是否对招标文件的要求做</w:t>
      </w:r>
      <w:r>
        <w:rPr>
          <w:spacing w:val="-4"/>
          <w:sz w:val="24"/>
        </w:rPr>
        <w:t>出实质性响应，对招标文件的要求未做出实质性响应的投标供应商，不得进入具体</w:t>
      </w:r>
      <w:r>
        <w:rPr>
          <w:sz w:val="24"/>
        </w:rPr>
        <w:t>评标程序。</w:t>
      </w:r>
    </w:p>
    <w:p>
      <w:pPr>
        <w:pStyle w:val="2"/>
        <w:numPr>
          <w:ilvl w:val="3"/>
          <w:numId w:val="17"/>
        </w:numPr>
        <w:tabs>
          <w:tab w:val="left" w:pos="2200"/>
        </w:tabs>
        <w:spacing w:before="3" w:after="0" w:line="364" w:lineRule="auto"/>
        <w:ind w:left="637" w:right="1248" w:firstLine="480"/>
        <w:jc w:val="both"/>
        <w:rPr>
          <w:sz w:val="24"/>
        </w:rPr>
      </w:pPr>
      <w:r>
        <w:rPr>
          <w:sz w:val="24"/>
        </w:rPr>
        <w:t>评标委员会应当根据招标文件，审查并逐项列出每一个投标文件的全部投标偏差。投标偏差分为重大偏差和细微偏差。</w:t>
      </w:r>
    </w:p>
    <w:p>
      <w:pPr>
        <w:pStyle w:val="10"/>
        <w:spacing w:line="364" w:lineRule="auto"/>
        <w:ind w:right="1249" w:firstLine="480"/>
        <w:jc w:val="both"/>
      </w:pPr>
      <w:r>
        <w:t>1、细微偏差是指投标实质上响应了招标文件要求，但在个别地方存在漏项或</w:t>
      </w:r>
      <w:r>
        <w:rPr>
          <w:spacing w:val="-3"/>
        </w:rPr>
        <w:t>者提供了不完整的技术信息和数据等情况，并且补正这些遗漏或不完整不会对其他</w:t>
      </w:r>
      <w:r>
        <w:t>投标人造成不公平的结果。细微偏差不影响投标文件的有效性。</w:t>
      </w:r>
    </w:p>
    <w:p>
      <w:pPr>
        <w:pStyle w:val="10"/>
        <w:spacing w:before="2" w:line="364" w:lineRule="auto"/>
        <w:ind w:right="1248" w:firstLine="480"/>
      </w:pPr>
      <w:r>
        <w:t>2、应当要求存在细小偏差的投标人在评标结束前以书面形式予以补正。拒绝补正的，在综合评审时可以对细微偏差作不利于该投标人的量化。</w:t>
      </w:r>
    </w:p>
    <w:p>
      <w:pPr>
        <w:pStyle w:val="10"/>
        <w:spacing w:line="364" w:lineRule="auto"/>
        <w:ind w:right="1201" w:firstLine="480"/>
      </w:pPr>
      <w:r>
        <w:t>3、重大偏离或保留系指影响到招标文件规定的服务范围和质量，或限制了招标方的权力和义务的规定，而纠正这些偏离将影响到其他提交实质性响应的投标方</w:t>
      </w:r>
    </w:p>
    <w:p>
      <w:pPr>
        <w:pStyle w:val="10"/>
        <w:spacing w:before="90" w:line="364" w:lineRule="auto"/>
        <w:ind w:right="1226"/>
        <w:jc w:val="both"/>
      </w:pPr>
      <w:r>
        <w:t>的公平竞争地位。主要表现有投标文件没有按照招标文件要求提供投标保证金的， 投标文件没有投标人授权代表签字和加盖公章的，投标文件中附有招标方不能接受的条件的，和不符合招标文件中规定的其他实质性要求的等。</w:t>
      </w:r>
    </w:p>
    <w:p>
      <w:pPr>
        <w:pStyle w:val="10"/>
        <w:spacing w:before="2" w:line="364" w:lineRule="auto"/>
        <w:ind w:right="1248" w:firstLine="480"/>
      </w:pPr>
      <w:r>
        <w:t>4、发现有重大偏差时，评标委员会及其成员应按招标文件中的规定，可以取消其投标的权利。</w:t>
      </w:r>
    </w:p>
    <w:p>
      <w:pPr>
        <w:pStyle w:val="2"/>
        <w:numPr>
          <w:ilvl w:val="3"/>
          <w:numId w:val="17"/>
        </w:numPr>
        <w:tabs>
          <w:tab w:val="left" w:pos="2200"/>
        </w:tabs>
        <w:spacing w:before="1" w:after="0" w:line="364" w:lineRule="auto"/>
        <w:ind w:left="637" w:right="1249" w:firstLine="480"/>
        <w:jc w:val="both"/>
        <w:rPr>
          <w:sz w:val="24"/>
        </w:rPr>
      </w:pPr>
      <w:r>
        <w:rPr>
          <w:sz w:val="24"/>
        </w:rPr>
        <w:t>进行符合性审查时，评标委员会应当审查每一个投标文件是否对招</w:t>
      </w:r>
      <w:r>
        <w:rPr>
          <w:spacing w:val="-3"/>
          <w:sz w:val="24"/>
        </w:rPr>
        <w:t>标文件提出的所有实质性要求和条件作出响应。未能实质上响应的，视情况按照招</w:t>
      </w:r>
      <w:r>
        <w:rPr>
          <w:sz w:val="24"/>
        </w:rPr>
        <w:t>标文件的规定，应不得进入综合评审程序。主要有下列情况：</w:t>
      </w:r>
    </w:p>
    <w:p>
      <w:pPr>
        <w:pStyle w:val="10"/>
        <w:spacing w:before="2" w:line="364" w:lineRule="auto"/>
        <w:ind w:right="1248" w:firstLine="480"/>
        <w:jc w:val="both"/>
      </w:pPr>
      <w:r>
        <w:t>1、投标文件未按规定由投标方法定代表人或其授权代理人签字的（需要加盖公章时，供应商应按在规定时间内加盖公章，投标文件正本无投标表现人逐页签名）；</w:t>
      </w:r>
    </w:p>
    <w:p>
      <w:pPr>
        <w:pStyle w:val="10"/>
        <w:ind w:left="1117"/>
      </w:pPr>
      <w:r>
        <w:t>2、投标文件载明的采购项目完成期限超过招标文件规定期限的；</w:t>
      </w:r>
    </w:p>
    <w:p>
      <w:pPr>
        <w:pStyle w:val="10"/>
        <w:spacing w:before="161" w:line="364" w:lineRule="auto"/>
        <w:ind w:right="1248" w:firstLine="480"/>
      </w:pPr>
      <w:r>
        <w:t>3、投标文件明显不符合招标文件规定的产品技术规格、技术标准以及商务条款要求的；</w:t>
      </w:r>
    </w:p>
    <w:p>
      <w:pPr>
        <w:pStyle w:val="10"/>
        <w:spacing w:line="364" w:lineRule="auto"/>
        <w:ind w:right="1248" w:firstLine="480"/>
      </w:pPr>
      <w:r>
        <w:t>4、投标文件载明的货物包装方式、检验标准和方法等明显不符合招标文件要求的；</w:t>
      </w:r>
    </w:p>
    <w:p>
      <w:pPr>
        <w:pStyle w:val="10"/>
        <w:ind w:left="1117"/>
      </w:pPr>
      <w:r>
        <w:t>5、投标文件附有采购人和招标方不能接受的条件的；</w:t>
      </w:r>
    </w:p>
    <w:p>
      <w:pPr>
        <w:pStyle w:val="10"/>
        <w:spacing w:before="161" w:line="364" w:lineRule="auto"/>
        <w:ind w:right="1226" w:firstLine="480"/>
        <w:jc w:val="both"/>
      </w:pPr>
      <w:r>
        <w:t>6、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p>
    <w:p>
      <w:pPr>
        <w:pStyle w:val="10"/>
        <w:spacing w:before="2" w:line="364" w:lineRule="auto"/>
        <w:ind w:right="1249" w:firstLine="480"/>
        <w:jc w:val="both"/>
      </w:pPr>
      <w:r>
        <w:t>7、招标方不接受不符合国家有关部门相关规定的投标报价或优惠方案。最终</w:t>
      </w:r>
      <w:r>
        <w:rPr>
          <w:spacing w:val="-3"/>
        </w:rPr>
        <w:t>报价不接受超过采购预算的报价，投标供应商的最终报价超过采购预算，且采购人</w:t>
      </w:r>
      <w:r>
        <w:t>不能支付的；</w:t>
      </w:r>
    </w:p>
    <w:p>
      <w:pPr>
        <w:pStyle w:val="10"/>
        <w:spacing w:before="2" w:line="364" w:lineRule="auto"/>
        <w:ind w:right="1248" w:firstLine="480"/>
      </w:pPr>
      <w:r>
        <w:t>8、在评标过程中，发现投标人以他人名义投标、串通投标、以行贿手段谋取成交或者以其他弄虚作假方式投标的；</w:t>
      </w:r>
    </w:p>
    <w:p>
      <w:pPr>
        <w:pStyle w:val="10"/>
        <w:spacing w:line="364" w:lineRule="auto"/>
        <w:ind w:right="1248" w:firstLine="480"/>
      </w:pPr>
      <w:r>
        <w:t>9、投标人的资格条件不符合国家有关规定和谈判文件文件要求的，或者拒不按照要求对招标文件进行澄清、说明或补正的；</w:t>
      </w:r>
    </w:p>
    <w:p>
      <w:pPr>
        <w:pStyle w:val="10"/>
        <w:ind w:left="1117"/>
      </w:pPr>
      <w:r>
        <w:t>10、投标人误导、干扰招标方的评标活动的；</w:t>
      </w:r>
    </w:p>
    <w:p>
      <w:pPr>
        <w:pStyle w:val="10"/>
        <w:spacing w:before="90"/>
        <w:ind w:left="1117"/>
      </w:pPr>
      <w:r>
        <w:t>11、投标文件不符合招标文件规定的其他实质性要求的。</w:t>
      </w:r>
    </w:p>
    <w:p>
      <w:pPr>
        <w:pStyle w:val="10"/>
        <w:spacing w:before="160" w:line="364" w:lineRule="auto"/>
        <w:ind w:right="1249" w:firstLine="480"/>
        <w:jc w:val="both"/>
      </w:pPr>
      <w:r>
        <w:t>26.5.7 评标委员会根据上述规定否决不合格投标或者界定为废标后，因有效</w:t>
      </w:r>
      <w:r>
        <w:rPr>
          <w:spacing w:val="-4"/>
        </w:rPr>
        <w:t>投标不足三个使得投标明显缺乏竞争性时，根据《中华人民共和国政府采购法》及</w:t>
      </w:r>
      <w:r>
        <w:t>招标文件的相关规定，可以作出废标处理，并由招标方依法重新组织采购活动。</w:t>
      </w:r>
    </w:p>
    <w:p>
      <w:pPr>
        <w:pStyle w:val="5"/>
        <w:numPr>
          <w:ilvl w:val="2"/>
          <w:numId w:val="21"/>
        </w:numPr>
        <w:tabs>
          <w:tab w:val="left" w:pos="1963"/>
        </w:tabs>
        <w:spacing w:before="2" w:after="0" w:line="240" w:lineRule="auto"/>
        <w:ind w:left="1962" w:right="0" w:hanging="846"/>
        <w:jc w:val="both"/>
      </w:pPr>
      <w:r>
        <w:t>综合评审</w:t>
      </w:r>
    </w:p>
    <w:p>
      <w:pPr>
        <w:pStyle w:val="2"/>
        <w:numPr>
          <w:ilvl w:val="3"/>
          <w:numId w:val="21"/>
        </w:numPr>
        <w:tabs>
          <w:tab w:val="left" w:pos="2200"/>
        </w:tabs>
        <w:spacing w:before="161" w:after="0" w:line="364" w:lineRule="auto"/>
        <w:ind w:left="637" w:right="1129" w:firstLine="480"/>
        <w:jc w:val="both"/>
        <w:rPr>
          <w:sz w:val="24"/>
        </w:rPr>
      </w:pPr>
      <w:r>
        <w:rPr>
          <w:sz w:val="24"/>
        </w:rPr>
        <w:t>评标委员会各成员应当遵循独立评审原则，按照招标文件的评标方</w:t>
      </w:r>
      <w:r>
        <w:rPr>
          <w:spacing w:val="-5"/>
          <w:sz w:val="24"/>
        </w:rPr>
        <w:t>法和标准，对资质资格资质检查和复合性检查合格的投标文件的商务和技术进行评</w:t>
      </w:r>
      <w:r>
        <w:rPr>
          <w:spacing w:val="-12"/>
          <w:sz w:val="24"/>
        </w:rPr>
        <w:t>估，综合比较与评价。并应当以书面方式发表各自</w:t>
      </w:r>
      <w:r>
        <w:rPr>
          <w:sz w:val="24"/>
        </w:rPr>
        <w:t>（或集体</w:t>
      </w:r>
      <w:r>
        <w:rPr>
          <w:spacing w:val="-36"/>
          <w:sz w:val="24"/>
        </w:rPr>
        <w:t>）</w:t>
      </w:r>
      <w:r>
        <w:rPr>
          <w:spacing w:val="-2"/>
          <w:sz w:val="24"/>
        </w:rPr>
        <w:t>的具体综合评审意见。</w:t>
      </w:r>
    </w:p>
    <w:p>
      <w:pPr>
        <w:pStyle w:val="2"/>
        <w:numPr>
          <w:ilvl w:val="3"/>
          <w:numId w:val="21"/>
        </w:numPr>
        <w:tabs>
          <w:tab w:val="left" w:pos="2200"/>
        </w:tabs>
        <w:spacing w:before="1" w:after="0" w:line="364" w:lineRule="auto"/>
        <w:ind w:left="637" w:right="1245" w:firstLine="480"/>
        <w:jc w:val="both"/>
        <w:rPr>
          <w:sz w:val="24"/>
        </w:rPr>
      </w:pPr>
      <w:r>
        <w:rPr>
          <w:sz w:val="24"/>
        </w:rPr>
        <w:t>评估和综合比较与评价，应当严格按照招标方设计格式要求，做好书面原始署名记录，连同书面评标报告提交招标方。</w:t>
      </w:r>
    </w:p>
    <w:p>
      <w:pPr>
        <w:pStyle w:val="2"/>
        <w:numPr>
          <w:ilvl w:val="3"/>
          <w:numId w:val="21"/>
        </w:numPr>
        <w:tabs>
          <w:tab w:val="left" w:pos="2200"/>
        </w:tabs>
        <w:spacing w:before="2" w:after="0" w:line="364" w:lineRule="auto"/>
        <w:ind w:left="637" w:right="1249" w:firstLine="480"/>
        <w:jc w:val="both"/>
        <w:rPr>
          <w:sz w:val="24"/>
        </w:rPr>
      </w:pPr>
      <w:r>
        <w:rPr>
          <w:sz w:val="24"/>
        </w:rPr>
        <w:t>“综合评分法”应当载明投标人的投标项目、所作的任何修正、对</w:t>
      </w:r>
      <w:r>
        <w:rPr>
          <w:spacing w:val="-4"/>
          <w:sz w:val="24"/>
        </w:rPr>
        <w:t>商业偏差的调整、对技术偏差的调整、对各评审因素的评估，以及对每一投标的最</w:t>
      </w:r>
      <w:r>
        <w:rPr>
          <w:sz w:val="24"/>
        </w:rPr>
        <w:t>终评标结果。</w:t>
      </w:r>
    </w:p>
    <w:p>
      <w:pPr>
        <w:pStyle w:val="2"/>
        <w:numPr>
          <w:ilvl w:val="3"/>
          <w:numId w:val="21"/>
        </w:numPr>
        <w:tabs>
          <w:tab w:val="left" w:pos="2200"/>
        </w:tabs>
        <w:spacing w:before="1" w:after="0" w:line="364" w:lineRule="auto"/>
        <w:ind w:left="637" w:right="1123" w:firstLine="480"/>
        <w:jc w:val="left"/>
        <w:rPr>
          <w:sz w:val="24"/>
        </w:rPr>
      </w:pPr>
      <w:r>
        <w:rPr>
          <w:sz w:val="24"/>
        </w:rPr>
        <w:t>综合评审记录要突出重点、抓住关键（</w:t>
      </w:r>
      <w:r>
        <w:rPr>
          <w:spacing w:val="2"/>
          <w:sz w:val="24"/>
        </w:rPr>
        <w:t>核心</w:t>
      </w:r>
      <w:r>
        <w:rPr>
          <w:spacing w:val="4"/>
          <w:sz w:val="24"/>
        </w:rPr>
        <w:t>）</w:t>
      </w:r>
      <w:r>
        <w:rPr>
          <w:sz w:val="24"/>
        </w:rPr>
        <w:t>、真实准确、简明扼</w:t>
      </w:r>
      <w:r>
        <w:rPr>
          <w:spacing w:val="-13"/>
          <w:sz w:val="24"/>
        </w:rPr>
        <w:t xml:space="preserve">要，体现公平、公正、合理。否则，经核实后，将按前款“第四部分”中“第四章” </w:t>
      </w:r>
      <w:r>
        <w:rPr>
          <w:sz w:val="24"/>
        </w:rPr>
        <w:t>的21.3条款之规定执行。</w:t>
      </w:r>
    </w:p>
    <w:p>
      <w:pPr>
        <w:pStyle w:val="5"/>
        <w:spacing w:before="2"/>
        <w:ind w:left="1117"/>
      </w:pPr>
      <w:r>
        <w:t>24.5.8.9 比较与评价</w:t>
      </w:r>
    </w:p>
    <w:p>
      <w:pPr>
        <w:pStyle w:val="10"/>
        <w:spacing w:before="161" w:line="364" w:lineRule="auto"/>
        <w:ind w:right="1129" w:firstLine="480"/>
      </w:pPr>
      <w:r>
        <w:t>1</w:t>
      </w:r>
      <w:r>
        <w:rPr>
          <w:spacing w:val="-6"/>
        </w:rPr>
        <w:t xml:space="preserve">、综合评标时，评标委员会各成员应当对每一个有效投标供应商的投标文件， </w:t>
      </w:r>
      <w:r>
        <w:rPr>
          <w:spacing w:val="-5"/>
        </w:rPr>
        <w:t>根据招标文件中要求的产品价格、技术、性能、质量及质检认证、环保节能、财务状况、信誉、业绩、服务、培训、货物供应及对招标文件的响应程度等指标，进行具体评估。</w:t>
      </w:r>
    </w:p>
    <w:p>
      <w:pPr>
        <w:pStyle w:val="10"/>
        <w:spacing w:before="2" w:line="364" w:lineRule="auto"/>
        <w:ind w:right="1226" w:firstLine="480"/>
        <w:jc w:val="both"/>
      </w:pPr>
      <w:r>
        <w:t>2、评标委员会成员应独立按照对每一个投标供应商所投产品的最终报价、设备选型、配置及性能指标、质检认证报告、环保节能、售后服务体系、培训计划、货物供应、财务能力和状况、类似业绩等因素的具体综合评估，进行比较与评价。</w:t>
      </w:r>
    </w:p>
    <w:p>
      <w:pPr>
        <w:pStyle w:val="5"/>
        <w:numPr>
          <w:ilvl w:val="2"/>
          <w:numId w:val="21"/>
        </w:numPr>
        <w:tabs>
          <w:tab w:val="left" w:pos="1963"/>
        </w:tabs>
        <w:spacing w:before="2" w:after="0" w:line="240" w:lineRule="auto"/>
        <w:ind w:left="1962" w:right="0" w:hanging="846"/>
        <w:jc w:val="both"/>
      </w:pPr>
      <w:r>
        <w:t>综合评分法的原则、方法和标准</w:t>
      </w:r>
    </w:p>
    <w:p>
      <w:pPr>
        <w:pStyle w:val="2"/>
        <w:numPr>
          <w:ilvl w:val="3"/>
          <w:numId w:val="21"/>
        </w:numPr>
        <w:tabs>
          <w:tab w:val="left" w:pos="2143"/>
        </w:tabs>
        <w:spacing w:before="160" w:after="0" w:line="364" w:lineRule="auto"/>
        <w:ind w:left="637" w:right="1249" w:firstLine="480"/>
        <w:jc w:val="both"/>
        <w:rPr>
          <w:sz w:val="24"/>
        </w:rPr>
      </w:pPr>
      <w:r>
        <w:rPr>
          <w:spacing w:val="3"/>
          <w:sz w:val="24"/>
        </w:rPr>
        <w:t>采用综合评分法，是指在最大限度地满足招标文件实质性要求前提</w:t>
      </w:r>
      <w:r>
        <w:rPr>
          <w:spacing w:val="-5"/>
          <w:sz w:val="24"/>
        </w:rPr>
        <w:t>下，按照招标文件中规定的各项因素进行综合评审后，以评分得分最高的投标人作</w:t>
      </w:r>
      <w:r>
        <w:rPr>
          <w:sz w:val="24"/>
        </w:rPr>
        <w:t>为中标候选供应商或者中标供应商的评标方法。</w:t>
      </w:r>
    </w:p>
    <w:p>
      <w:pPr>
        <w:pStyle w:val="2"/>
        <w:numPr>
          <w:ilvl w:val="3"/>
          <w:numId w:val="21"/>
        </w:numPr>
        <w:tabs>
          <w:tab w:val="left" w:pos="2200"/>
        </w:tabs>
        <w:spacing w:before="2" w:after="0" w:line="240" w:lineRule="auto"/>
        <w:ind w:left="2200" w:right="0" w:hanging="1083"/>
        <w:jc w:val="both"/>
        <w:rPr>
          <w:sz w:val="24"/>
        </w:rPr>
      </w:pPr>
      <w:r>
        <w:rPr>
          <w:sz w:val="24"/>
        </w:rPr>
        <w:t>综合评分方法：评标委员会成员应按照独立综合评审原则，根据对</w:t>
      </w:r>
    </w:p>
    <w:p>
      <w:pPr>
        <w:pStyle w:val="10"/>
        <w:spacing w:before="90" w:line="364" w:lineRule="auto"/>
        <w:ind w:right="1243"/>
        <w:jc w:val="both"/>
      </w:pPr>
      <w:r>
        <w:rPr>
          <w:spacing w:val="-3"/>
        </w:rPr>
        <w:t>招标文件的响应程度和具体评标情况，独立对具体投标文件的商务和技术指标进行</w:t>
      </w:r>
      <w:r>
        <w:rPr>
          <w:spacing w:val="-2"/>
        </w:rPr>
        <w:t>评估和综合比较与评价后，独立</w:t>
      </w:r>
      <w:r>
        <w:t>（或集体</w:t>
      </w:r>
      <w:r>
        <w:rPr>
          <w:spacing w:val="-5"/>
        </w:rPr>
        <w:t>）</w:t>
      </w:r>
      <w:r>
        <w:rPr>
          <w:spacing w:val="-1"/>
        </w:rPr>
        <w:t>发表综合评审</w:t>
      </w:r>
      <w:r>
        <w:t>（议</w:t>
      </w:r>
      <w:r>
        <w:rPr>
          <w:spacing w:val="-3"/>
        </w:rPr>
        <w:t>）意见，对每一个投</w:t>
      </w:r>
      <w:r>
        <w:rPr>
          <w:spacing w:val="-4"/>
        </w:rPr>
        <w:t>标供应商做出打分决定；经招标方核对和汇总后，按得高分原则，由高到低进行排</w:t>
      </w:r>
      <w:r>
        <w:t>序后，最后根据评标委员会各成员签署的打分结果，得出评标结论。</w:t>
      </w:r>
    </w:p>
    <w:p>
      <w:pPr>
        <w:pStyle w:val="2"/>
        <w:numPr>
          <w:ilvl w:val="3"/>
          <w:numId w:val="21"/>
        </w:numPr>
        <w:tabs>
          <w:tab w:val="left" w:pos="2200"/>
        </w:tabs>
        <w:spacing w:before="2" w:after="0" w:line="364" w:lineRule="auto"/>
        <w:ind w:left="637" w:right="1248" w:firstLine="480"/>
        <w:jc w:val="left"/>
        <w:rPr>
          <w:sz w:val="24"/>
        </w:rPr>
      </w:pPr>
      <w:r>
        <w:rPr>
          <w:sz w:val="24"/>
        </w:rPr>
        <w:t>评标时，评标委员会各成员应当独立对每个有效投标人的投标文件进行评价、打分，然后由招标方核对汇总出每个投标人每项评分因素的得分。</w:t>
      </w:r>
    </w:p>
    <w:p>
      <w:pPr>
        <w:pStyle w:val="2"/>
        <w:numPr>
          <w:ilvl w:val="3"/>
          <w:numId w:val="21"/>
        </w:numPr>
        <w:tabs>
          <w:tab w:val="left" w:pos="2198"/>
        </w:tabs>
        <w:spacing w:before="1" w:after="0" w:line="364" w:lineRule="auto"/>
        <w:ind w:left="637" w:right="1129" w:firstLine="480"/>
        <w:jc w:val="left"/>
        <w:rPr>
          <w:sz w:val="24"/>
        </w:rPr>
      </w:pPr>
      <w:r>
        <w:rPr>
          <w:spacing w:val="-9"/>
          <w:sz w:val="24"/>
        </w:rPr>
        <w:t>综合评分，应严格遵守前款</w:t>
      </w:r>
      <w:r>
        <w:rPr>
          <w:sz w:val="24"/>
        </w:rPr>
        <w:t>“24.5.8</w:t>
      </w:r>
      <w:r>
        <w:rPr>
          <w:spacing w:val="-10"/>
          <w:sz w:val="24"/>
        </w:rPr>
        <w:t xml:space="preserve"> 综合评审”条款之规定。否则， </w:t>
      </w:r>
      <w:r>
        <w:rPr>
          <w:sz w:val="24"/>
        </w:rPr>
        <w:t>经核实后，将按前款“第四部分”中“第四章”的21.3条款之规定执行。</w:t>
      </w:r>
    </w:p>
    <w:p>
      <w:pPr>
        <w:pStyle w:val="2"/>
        <w:numPr>
          <w:ilvl w:val="3"/>
          <w:numId w:val="21"/>
        </w:numPr>
        <w:tabs>
          <w:tab w:val="left" w:pos="2258"/>
        </w:tabs>
        <w:spacing w:before="2" w:after="0" w:line="364" w:lineRule="auto"/>
        <w:ind w:left="637" w:right="1248" w:firstLine="540"/>
        <w:jc w:val="left"/>
        <w:rPr>
          <w:sz w:val="24"/>
        </w:rPr>
      </w:pPr>
      <w:r>
        <w:rPr>
          <w:spacing w:val="-1"/>
          <w:sz w:val="24"/>
        </w:rPr>
        <w:t>评标委员会各成员要按照招标方规定格式，将每一个投标供应商的</w:t>
      </w:r>
      <w:r>
        <w:rPr>
          <w:sz w:val="24"/>
        </w:rPr>
        <w:t>综合评审意见、打分结果、推荐理由等进行署名原始记录。</w:t>
      </w:r>
    </w:p>
    <w:p>
      <w:pPr>
        <w:pStyle w:val="5"/>
        <w:numPr>
          <w:ilvl w:val="3"/>
          <w:numId w:val="21"/>
        </w:numPr>
        <w:tabs>
          <w:tab w:val="left" w:pos="2220"/>
        </w:tabs>
        <w:spacing w:before="1" w:after="0" w:line="240" w:lineRule="auto"/>
        <w:ind w:left="2219" w:right="0" w:hanging="1089"/>
        <w:jc w:val="left"/>
      </w:pPr>
      <w:r>
        <w:t>综合评分主要包括技术、商务、报价等指标</w:t>
      </w:r>
    </w:p>
    <w:p>
      <w:pPr>
        <w:pStyle w:val="10"/>
        <w:spacing w:before="160" w:line="364" w:lineRule="auto"/>
        <w:ind w:right="1245" w:firstLine="480"/>
      </w:pPr>
      <w:r>
        <w:t>1、技术部分主要包括：设备选型（综合评价）、配置及性能指标、质量及质检认证报告、环保节能等指标。</w:t>
      </w:r>
    </w:p>
    <w:p>
      <w:pPr>
        <w:pStyle w:val="10"/>
        <w:spacing w:before="2" w:line="364" w:lineRule="auto"/>
        <w:ind w:right="1248" w:firstLine="480"/>
      </w:pPr>
      <w:r>
        <w:t>2、商务部分主要包括：最终报价、售后服务体系及服务情况、货物供应、财务能力和状况、类似业绩、边远少数民族地区企业等指标。</w:t>
      </w:r>
    </w:p>
    <w:p>
      <w:pPr>
        <w:pStyle w:val="10"/>
        <w:ind w:left="1117"/>
      </w:pPr>
      <w:r>
        <w:t>3、报价指标：有效投标供应商的最终报价。</w:t>
      </w:r>
    </w:p>
    <w:p>
      <w:pPr>
        <w:pStyle w:val="10"/>
        <w:spacing w:before="160"/>
        <w:ind w:left="1117"/>
      </w:pPr>
      <w:r>
        <w:t>4、综合评分具体指标和标准，见《评标（分）记录明细表》。</w:t>
      </w:r>
    </w:p>
    <w:p>
      <w:pPr>
        <w:pStyle w:val="5"/>
        <w:numPr>
          <w:ilvl w:val="3"/>
          <w:numId w:val="21"/>
        </w:numPr>
        <w:tabs>
          <w:tab w:val="left" w:pos="2205"/>
        </w:tabs>
        <w:spacing w:before="161" w:after="0" w:line="240" w:lineRule="auto"/>
        <w:ind w:left="2204" w:right="0" w:hanging="1088"/>
        <w:jc w:val="both"/>
      </w:pPr>
      <w:r>
        <w:t>综合评分原则</w:t>
      </w:r>
    </w:p>
    <w:p>
      <w:pPr>
        <w:pStyle w:val="10"/>
        <w:spacing w:before="160" w:line="364" w:lineRule="auto"/>
        <w:ind w:right="1249" w:firstLine="480"/>
        <w:jc w:val="both"/>
      </w:pPr>
      <w:r>
        <w:t>1、评标委员会对所报产品价格、技术（配置、质量及性能、技术方案）、财</w:t>
      </w:r>
      <w:r>
        <w:rPr>
          <w:spacing w:val="-6"/>
        </w:rPr>
        <w:t>务状况、信誉、业绩、服务、标书的响应程度等因素进行比较与评价，并进行打分</w:t>
      </w:r>
      <w:r>
        <w:t>和汇总。详见《评标（分）记录明细表》。</w:t>
      </w:r>
    </w:p>
    <w:p>
      <w:pPr>
        <w:pStyle w:val="10"/>
        <w:spacing w:before="2"/>
        <w:ind w:left="1117"/>
      </w:pPr>
      <w:r>
        <w:t>2、评标委员会小组成员评标、打分时不得协商，应独立完成。</w:t>
      </w:r>
    </w:p>
    <w:p>
      <w:pPr>
        <w:pStyle w:val="10"/>
        <w:spacing w:before="161"/>
        <w:ind w:left="1117"/>
      </w:pPr>
      <w:r>
        <w:t>3、未满足招标文件要求的投标方，不予评分。</w:t>
      </w:r>
    </w:p>
    <w:p>
      <w:pPr>
        <w:pStyle w:val="10"/>
        <w:spacing w:before="160" w:line="364" w:lineRule="auto"/>
        <w:ind w:right="1248" w:firstLine="480"/>
      </w:pPr>
      <w:r>
        <w:t>4、评标打分应当按照技术部分、商务部分、报价部分的顺序进行，打分可保留两位小数。</w:t>
      </w:r>
    </w:p>
    <w:p>
      <w:pPr>
        <w:pStyle w:val="10"/>
        <w:spacing w:before="90" w:line="360" w:lineRule="auto"/>
        <w:ind w:firstLine="480" w:firstLineChars="200"/>
        <w:rPr>
          <w:spacing w:val="-3"/>
        </w:rPr>
      </w:pPr>
      <w:r>
        <w:t>5、技术、商务部分应按各小项分档打分，投标文件中各小项指标相近的，打</w:t>
      </w:r>
      <w:r>
        <w:rPr>
          <w:spacing w:val="-3"/>
        </w:rPr>
        <w:t>分应</w:t>
      </w:r>
    </w:p>
    <w:p>
      <w:pPr>
        <w:pStyle w:val="10"/>
        <w:spacing w:before="90" w:line="360" w:lineRule="auto"/>
        <w:rPr>
          <w:spacing w:val="-10"/>
        </w:rPr>
      </w:pPr>
      <w:r>
        <w:rPr>
          <w:spacing w:val="-3"/>
        </w:rPr>
        <w:t>属同一档次。在招标方同意的情况下，允许评标委员会小组各成员根据招标书</w:t>
      </w:r>
      <w:r>
        <w:rPr>
          <w:spacing w:val="-10"/>
        </w:rPr>
        <w:t>文件部分要</w:t>
      </w:r>
    </w:p>
    <w:p>
      <w:pPr>
        <w:pStyle w:val="10"/>
        <w:spacing w:before="90" w:line="360" w:lineRule="auto"/>
        <w:rPr>
          <w:spacing w:val="-2"/>
        </w:rPr>
      </w:pPr>
      <w:r>
        <w:rPr>
          <w:spacing w:val="-10"/>
        </w:rPr>
        <w:t>求的技术、功能和《评标</w:t>
      </w:r>
      <w:r>
        <w:t>（分</w:t>
      </w:r>
      <w:r>
        <w:rPr>
          <w:spacing w:val="-29"/>
        </w:rPr>
        <w:t>）</w:t>
      </w:r>
      <w:r>
        <w:rPr>
          <w:spacing w:val="-6"/>
        </w:rPr>
        <w:t xml:space="preserve">记录明细表》表格部分的性能指标要求， </w:t>
      </w:r>
      <w:r>
        <w:rPr>
          <w:spacing w:val="-2"/>
        </w:rPr>
        <w:t>可以按各投标</w:t>
      </w:r>
    </w:p>
    <w:p>
      <w:pPr>
        <w:pStyle w:val="10"/>
        <w:spacing w:before="90" w:line="360" w:lineRule="auto"/>
      </w:pPr>
      <w:r>
        <w:rPr>
          <w:spacing w:val="-2"/>
        </w:rPr>
        <w:t>文件</w:t>
      </w:r>
      <w:r>
        <w:t>（投标书和产品技术说明书</w:t>
      </w:r>
      <w:r>
        <w:rPr>
          <w:spacing w:val="-12"/>
        </w:rPr>
        <w:t>）</w:t>
      </w:r>
      <w:r>
        <w:t>实际情况在档次打分范围内调整分值。</w:t>
      </w:r>
    </w:p>
    <w:p>
      <w:pPr>
        <w:pStyle w:val="10"/>
        <w:spacing w:before="160"/>
        <w:ind w:left="1208"/>
      </w:pPr>
      <w:r>
        <w:t xml:space="preserve">6、打分采取百分制，其中技术商务部分占总分的 </w:t>
      </w:r>
      <w:r>
        <w:rPr>
          <w:u w:val="single"/>
        </w:rPr>
        <w:t>70%</w:t>
      </w:r>
      <w:r>
        <w:t xml:space="preserve">，报价部分占总分的 </w:t>
      </w:r>
      <w:r>
        <w:rPr>
          <w:u w:val="single"/>
        </w:rPr>
        <w:t>30%。</w:t>
      </w:r>
    </w:p>
    <w:p>
      <w:pPr>
        <w:pStyle w:val="10"/>
        <w:spacing w:before="161"/>
        <w:ind w:left="1208"/>
      </w:pPr>
      <w:r>
        <w:t>7、招标方核对汇总评标委员会各成员评分时，将计算出每一个投标供应商技</w:t>
      </w:r>
    </w:p>
    <w:p>
      <w:pPr>
        <w:pStyle w:val="10"/>
        <w:spacing w:before="160" w:line="364" w:lineRule="auto"/>
        <w:ind w:right="1249"/>
        <w:jc w:val="both"/>
      </w:pPr>
      <w:r>
        <w:rPr>
          <w:spacing w:val="-3"/>
        </w:rPr>
        <w:t>术部分和商务部分所得分数的合计数后，再计算出其合计数的算术平均数，对高于</w:t>
      </w:r>
      <w:r>
        <w:rPr>
          <w:spacing w:val="-5"/>
        </w:rPr>
        <w:t xml:space="preserve">或低于这一平均数 </w:t>
      </w:r>
      <w:r>
        <w:t>20</w:t>
      </w:r>
      <w:r>
        <w:rPr>
          <w:spacing w:val="-1"/>
        </w:rPr>
        <w:t>%以上的评分，不纳入计算该投标供应商技术部分和商务部分</w:t>
      </w:r>
      <w:r>
        <w:rPr>
          <w:spacing w:val="-4"/>
        </w:rPr>
        <w:t>的合计得分的范围，剩余评标委员会小组成员技术部分和商务部分合计评分的算术</w:t>
      </w:r>
      <w:r>
        <w:t>平均数加上该投标方报价部分的得分后，即为该投标方的最后综合得分。</w:t>
      </w:r>
    </w:p>
    <w:p>
      <w:pPr>
        <w:pStyle w:val="10"/>
        <w:spacing w:before="3" w:line="364" w:lineRule="auto"/>
        <w:ind w:right="1245" w:firstLine="540"/>
        <w:jc w:val="both"/>
      </w:pPr>
      <w:r>
        <w:t>8</w:t>
      </w:r>
      <w:r>
        <w:rPr>
          <w:spacing w:val="-1"/>
        </w:rPr>
        <w:t>、由招标方核对录入和汇总计算出每一个投标供应商的所得分数值，并由高</w:t>
      </w:r>
      <w:r>
        <w:rPr>
          <w:spacing w:val="-5"/>
        </w:rPr>
        <w:t>到底排序后，须有评标委员会小组各成员署名确认。如出现得分相同的，应按投标</w:t>
      </w:r>
      <w:r>
        <w:rPr>
          <w:spacing w:val="-3"/>
        </w:rPr>
        <w:t>供应商的报价由低到高顺序排列；得分且其报价相等的，则按核心技术指标优劣顺</w:t>
      </w:r>
      <w:r>
        <w:t>序排列。价格、技术指标的高低或优劣由评标委员各成员确认评定。</w:t>
      </w:r>
    </w:p>
    <w:p>
      <w:pPr>
        <w:pStyle w:val="10"/>
        <w:spacing w:before="2" w:line="364" w:lineRule="auto"/>
        <w:ind w:right="1129" w:firstLine="480"/>
      </w:pPr>
      <w:r>
        <w:t>9</w:t>
      </w:r>
      <w:r>
        <w:rPr>
          <w:spacing w:val="-5"/>
        </w:rPr>
        <w:t xml:space="preserve">、若发现打分有误或者有差错的，或发现存在个人印象或带有明显倾向性时， </w:t>
      </w:r>
      <w:r>
        <w:t>招标方将按前款“第四部分”中“第四章”的21.3条款之规定执行。</w:t>
      </w:r>
    </w:p>
    <w:p>
      <w:pPr>
        <w:pStyle w:val="5"/>
        <w:numPr>
          <w:ilvl w:val="3"/>
          <w:numId w:val="21"/>
        </w:numPr>
        <w:tabs>
          <w:tab w:val="left" w:pos="2205"/>
        </w:tabs>
        <w:spacing w:before="1" w:after="0" w:line="240" w:lineRule="auto"/>
        <w:ind w:left="2204" w:right="0" w:hanging="1088"/>
        <w:jc w:val="left"/>
      </w:pPr>
      <w:r>
        <w:t>《评标（分）记录明细表》</w:t>
      </w:r>
    </w:p>
    <w:p>
      <w:pPr>
        <w:pStyle w:val="10"/>
        <w:spacing w:before="161" w:line="364" w:lineRule="auto"/>
        <w:ind w:right="1095" w:firstLine="480"/>
      </w:pPr>
      <w:r>
        <w:t>1、明细表包括技术部分、商务部分、报价部分、评审分标准、具体评审意见、综合评审意见、分数标准、得分、其他等组成。</w:t>
      </w:r>
    </w:p>
    <w:p>
      <w:pPr>
        <w:pStyle w:val="10"/>
        <w:spacing w:line="364" w:lineRule="auto"/>
        <w:ind w:right="1129" w:firstLine="480"/>
        <w:rPr>
          <w:rFonts w:hint="eastAsia" w:ascii="仿宋" w:hAnsi="仿宋" w:eastAsia="仿宋"/>
          <w:spacing w:val="-2"/>
          <w:sz w:val="30"/>
          <w:szCs w:val="30"/>
        </w:rPr>
      </w:pPr>
      <w:r>
        <w:t>2、评标委员会各成员记录原则上不允许有涂改、划擦等，如有应按合规方式</w:t>
      </w:r>
      <w:r>
        <w:rPr>
          <w:spacing w:val="-12"/>
        </w:rPr>
        <w:t>修正。不允许在招标方核对汇总且确认之后，在未经许可时，不能再要回重新记录。</w:t>
      </w:r>
    </w:p>
    <w:p>
      <w:pPr>
        <w:pStyle w:val="21"/>
        <w:ind w:left="0" w:leftChars="0" w:firstLine="0" w:firstLineChars="0"/>
        <w:jc w:val="both"/>
        <w:rPr>
          <w:rFonts w:hint="eastAsia"/>
        </w:rPr>
      </w:pPr>
    </w:p>
    <w:p>
      <w:pPr>
        <w:rPr>
          <w:rFonts w:hint="eastAsia"/>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18"/>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b w:val="0"/>
                <w:bCs w:val="0"/>
                <w:spacing w:val="-2"/>
                <w:sz w:val="24"/>
                <w:szCs w:val="24"/>
              </w:rPr>
            </w:pPr>
            <w:r>
              <w:rPr>
                <w:rFonts w:hint="eastAsia" w:ascii="仿宋" w:hAnsi="仿宋" w:eastAsia="仿宋"/>
                <w:b w:val="0"/>
                <w:bCs w:val="0"/>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b w:val="0"/>
                <w:bCs w:val="0"/>
                <w:spacing w:val="-2"/>
                <w:sz w:val="24"/>
                <w:szCs w:val="24"/>
              </w:rPr>
            </w:pPr>
            <w:r>
              <w:rPr>
                <w:rFonts w:hint="eastAsia" w:ascii="仿宋" w:hAnsi="仿宋" w:eastAsia="仿宋"/>
                <w:b w:val="0"/>
                <w:bCs w:val="0"/>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b w:val="0"/>
                <w:bCs w:val="0"/>
                <w:spacing w:val="-2"/>
                <w:sz w:val="24"/>
                <w:szCs w:val="24"/>
              </w:rPr>
            </w:pPr>
            <w:r>
              <w:rPr>
                <w:rFonts w:ascii="仿宋" w:hAnsi="仿宋" w:eastAsia="仿宋"/>
                <w:b w:val="0"/>
                <w:bCs w:val="0"/>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b w:val="0"/>
                <w:bCs w:val="0"/>
                <w:spacing w:val="-2"/>
                <w:sz w:val="24"/>
                <w:szCs w:val="24"/>
              </w:rPr>
            </w:pPr>
            <w:r>
              <w:rPr>
                <w:rFonts w:ascii="仿宋" w:hAnsi="仿宋" w:eastAsia="仿宋"/>
                <w:b w:val="0"/>
                <w:bCs w:val="0"/>
                <w:spacing w:val="-2"/>
                <w:sz w:val="24"/>
                <w:szCs w:val="24"/>
              </w:rPr>
              <w:t>2</w:t>
            </w:r>
          </w:p>
        </w:tc>
        <w:tc>
          <w:tcPr>
            <w:tcW w:w="778" w:type="dxa"/>
            <w:vAlign w:val="center"/>
          </w:tcPr>
          <w:p>
            <w:pPr>
              <w:spacing w:line="440" w:lineRule="exact"/>
              <w:ind w:firstLine="424" w:firstLineChars="180"/>
              <w:jc w:val="center"/>
              <w:rPr>
                <w:rFonts w:ascii="仿宋" w:hAnsi="仿宋" w:eastAsia="仿宋"/>
                <w:b w:val="0"/>
                <w:bCs w:val="0"/>
                <w:spacing w:val="-2"/>
                <w:sz w:val="24"/>
                <w:szCs w:val="24"/>
              </w:rPr>
            </w:pPr>
            <w:r>
              <w:rPr>
                <w:rFonts w:ascii="仿宋" w:hAnsi="仿宋" w:eastAsia="仿宋"/>
                <w:b w:val="0"/>
                <w:bCs w:val="0"/>
                <w:spacing w:val="-2"/>
                <w:sz w:val="24"/>
                <w:szCs w:val="24"/>
              </w:rPr>
              <w:t>3</w:t>
            </w:r>
          </w:p>
        </w:tc>
        <w:tc>
          <w:tcPr>
            <w:tcW w:w="457" w:type="dxa"/>
            <w:vAlign w:val="center"/>
          </w:tcPr>
          <w:p>
            <w:pPr>
              <w:jc w:val="center"/>
              <w:rPr>
                <w:rFonts w:ascii="仿宋" w:hAnsi="仿宋" w:eastAsia="仿宋"/>
                <w:b w:val="0"/>
                <w:bCs w:val="0"/>
                <w:sz w:val="24"/>
                <w:szCs w:val="24"/>
              </w:rPr>
            </w:pPr>
            <w:r>
              <w:rPr>
                <w:rFonts w:hint="eastAsia" w:ascii="仿宋" w:hAnsi="仿宋" w:eastAsia="仿宋"/>
                <w:b w:val="0"/>
                <w:bCs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b w:val="0"/>
                <w:bCs w:val="0"/>
                <w:sz w:val="24"/>
                <w:szCs w:val="24"/>
              </w:rPr>
            </w:pPr>
            <w:r>
              <w:rPr>
                <w:rFonts w:ascii="仿宋" w:hAnsi="仿宋" w:eastAsia="仿宋"/>
                <w:b w:val="0"/>
                <w:bCs w:val="0"/>
                <w:sz w:val="24"/>
                <w:szCs w:val="24"/>
              </w:rPr>
              <w:t>1</w:t>
            </w:r>
          </w:p>
        </w:tc>
        <w:tc>
          <w:tcPr>
            <w:tcW w:w="6415" w:type="dxa"/>
            <w:tcBorders>
              <w:right w:val="single" w:color="auto" w:sz="4" w:space="0"/>
            </w:tcBorders>
            <w:vAlign w:val="center"/>
          </w:tcPr>
          <w:p>
            <w:pPr>
              <w:spacing w:line="440" w:lineRule="exact"/>
              <w:rPr>
                <w:rFonts w:ascii="仿宋" w:hAnsi="仿宋" w:eastAsia="仿宋"/>
                <w:b w:val="0"/>
                <w:bCs w:val="0"/>
                <w:spacing w:val="-2"/>
                <w:sz w:val="24"/>
                <w:szCs w:val="24"/>
              </w:rPr>
            </w:pPr>
            <w:r>
              <w:rPr>
                <w:rFonts w:hint="eastAsia" w:ascii="仿宋" w:hAnsi="仿宋" w:eastAsia="仿宋" w:cs="宋体"/>
                <w:b w:val="0"/>
                <w:bCs w:val="0"/>
                <w:kern w:val="0"/>
                <w:sz w:val="24"/>
                <w:szCs w:val="22"/>
              </w:rPr>
              <w:t>有效的工商营业执照副本、税务登记证副本、组织机构代码证副本或“三证合一”的营业执照副本，且具备所投标的经营范围；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457" w:type="dxa"/>
            <w:tcBorders>
              <w:left w:val="single" w:color="auto" w:sz="4" w:space="0"/>
            </w:tcBorders>
          </w:tcPr>
          <w:p>
            <w:pPr>
              <w:rPr>
                <w:rFonts w:ascii="仿宋" w:hAnsi="仿宋" w:eastAsia="仿宋"/>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b w:val="0"/>
                <w:bCs w:val="0"/>
                <w:sz w:val="24"/>
                <w:szCs w:val="24"/>
              </w:rPr>
            </w:pPr>
            <w:r>
              <w:rPr>
                <w:rFonts w:ascii="仿宋" w:hAnsi="仿宋" w:eastAsia="仿宋"/>
                <w:b w:val="0"/>
                <w:bCs w:val="0"/>
                <w:sz w:val="24"/>
                <w:szCs w:val="24"/>
              </w:rPr>
              <w:t>2</w:t>
            </w:r>
          </w:p>
        </w:tc>
        <w:tc>
          <w:tcPr>
            <w:tcW w:w="6415" w:type="dxa"/>
            <w:tcBorders>
              <w:right w:val="single" w:color="auto" w:sz="4" w:space="0"/>
            </w:tcBorders>
            <w:vAlign w:val="center"/>
          </w:tcPr>
          <w:p>
            <w:pPr>
              <w:spacing w:line="440" w:lineRule="exact"/>
              <w:rPr>
                <w:rFonts w:ascii="仿宋" w:hAnsi="仿宋" w:eastAsia="仿宋"/>
                <w:b w:val="0"/>
                <w:bCs w:val="0"/>
                <w:spacing w:val="-2"/>
                <w:sz w:val="24"/>
                <w:szCs w:val="24"/>
              </w:rPr>
            </w:pPr>
            <w:r>
              <w:rPr>
                <w:rFonts w:hint="eastAsia" w:ascii="仿宋" w:hAnsi="仿宋" w:eastAsia="仿宋" w:cs="宋体"/>
                <w:b w:val="0"/>
                <w:bCs w:val="0"/>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457" w:type="dxa"/>
            <w:tcBorders>
              <w:left w:val="single" w:color="auto" w:sz="4" w:space="0"/>
            </w:tcBorders>
          </w:tcPr>
          <w:p>
            <w:pPr>
              <w:rPr>
                <w:rFonts w:ascii="仿宋" w:hAnsi="仿宋" w:eastAsia="仿宋"/>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b w:val="0"/>
                <w:bCs w:val="0"/>
                <w:sz w:val="24"/>
                <w:szCs w:val="24"/>
              </w:rPr>
            </w:pPr>
            <w:r>
              <w:rPr>
                <w:rFonts w:ascii="仿宋" w:hAnsi="仿宋" w:eastAsia="仿宋"/>
                <w:b w:val="0"/>
                <w:bCs w:val="0"/>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b w:val="0"/>
                <w:bCs w:val="0"/>
                <w:sz w:val="24"/>
                <w:szCs w:val="24"/>
              </w:rPr>
            </w:pPr>
            <w:r>
              <w:rPr>
                <w:rFonts w:hint="eastAsia" w:ascii="仿宋" w:hAnsi="仿宋" w:eastAsia="仿宋"/>
                <w:b w:val="0"/>
                <w:bCs w:val="0"/>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457" w:type="dxa"/>
            <w:tcBorders>
              <w:left w:val="single" w:color="auto" w:sz="4" w:space="0"/>
            </w:tcBorders>
          </w:tcPr>
          <w:p>
            <w:pPr>
              <w:rPr>
                <w:rFonts w:ascii="仿宋" w:hAnsi="仿宋" w:eastAsia="仿宋"/>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4</w:t>
            </w:r>
          </w:p>
        </w:tc>
        <w:tc>
          <w:tcPr>
            <w:tcW w:w="6415" w:type="dxa"/>
            <w:tcBorders>
              <w:right w:val="single" w:color="auto" w:sz="4" w:space="0"/>
            </w:tcBorders>
            <w:vAlign w:val="center"/>
          </w:tcPr>
          <w:p>
            <w:pPr>
              <w:numPr>
                <w:ilvl w:val="0"/>
                <w:numId w:val="0"/>
              </w:numPr>
              <w:spacing w:line="520" w:lineRule="exact"/>
              <w:jc w:val="left"/>
              <w:rPr>
                <w:rFonts w:hint="eastAsia" w:ascii="仿宋" w:hAnsi="仿宋" w:eastAsia="仿宋"/>
                <w:b w:val="0"/>
                <w:bCs w:val="0"/>
                <w:sz w:val="24"/>
                <w:szCs w:val="24"/>
                <w:lang w:val="en-US" w:eastAsia="zh-CN"/>
              </w:rPr>
            </w:pPr>
            <w:r>
              <w:rPr>
                <w:rFonts w:hint="eastAsia" w:ascii="仿宋" w:hAnsi="仿宋" w:eastAsia="仿宋" w:cs="仿宋"/>
                <w:b w:val="0"/>
                <w:bCs w:val="0"/>
                <w:color w:val="auto"/>
                <w:sz w:val="24"/>
                <w:highlight w:val="none"/>
                <w:lang w:val="en-US" w:eastAsia="zh-CN"/>
              </w:rPr>
              <w:t>近三年（2019年到2021）度财务审计报告</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b w:val="0"/>
                <w:bCs w:val="0"/>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457" w:type="dxa"/>
            <w:tcBorders>
              <w:left w:val="single" w:color="auto" w:sz="4" w:space="0"/>
            </w:tcBorders>
          </w:tcPr>
          <w:p>
            <w:pPr>
              <w:rPr>
                <w:rFonts w:ascii="仿宋" w:hAnsi="仿宋" w:eastAsia="仿宋"/>
                <w:b w:val="0"/>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b w:val="0"/>
                <w:bCs w:val="0"/>
                <w:spacing w:val="-2"/>
                <w:sz w:val="24"/>
                <w:szCs w:val="24"/>
              </w:rPr>
            </w:pPr>
            <w:r>
              <w:rPr>
                <w:rFonts w:hint="eastAsia" w:ascii="仿宋" w:hAnsi="仿宋" w:eastAsia="仿宋"/>
                <w:b w:val="0"/>
                <w:bCs w:val="0"/>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b w:val="0"/>
                <w:bCs w:val="0"/>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b w:val="0"/>
                <w:bCs w:val="0"/>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b w:val="0"/>
                <w:bCs w:val="0"/>
                <w:spacing w:val="-2"/>
                <w:sz w:val="24"/>
                <w:szCs w:val="24"/>
              </w:rPr>
            </w:pPr>
          </w:p>
        </w:tc>
        <w:tc>
          <w:tcPr>
            <w:tcW w:w="457" w:type="dxa"/>
            <w:tcBorders>
              <w:bottom w:val="single" w:color="auto" w:sz="12" w:space="0"/>
            </w:tcBorders>
          </w:tcPr>
          <w:p>
            <w:pPr>
              <w:rPr>
                <w:rFonts w:ascii="仿宋" w:hAnsi="仿宋" w:eastAsia="仿宋"/>
                <w:b w:val="0"/>
                <w:bCs w:val="0"/>
                <w:sz w:val="24"/>
                <w:szCs w:val="24"/>
              </w:rPr>
            </w:pPr>
          </w:p>
        </w:tc>
      </w:tr>
    </w:tbl>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18"/>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w:t>
            </w:r>
            <w:r>
              <w:rPr>
                <w:rFonts w:hint="eastAsia" w:ascii="仿宋" w:hAnsi="仿宋" w:eastAsia="仿宋"/>
                <w:sz w:val="24"/>
                <w:lang w:eastAsia="zh-CN"/>
              </w:rPr>
              <w:t>服务</w:t>
            </w:r>
            <w:r>
              <w:rPr>
                <w:rFonts w:hint="eastAsia" w:ascii="仿宋" w:hAnsi="仿宋" w:eastAsia="仿宋"/>
                <w:sz w:val="24"/>
              </w:rPr>
              <w:t>期限；</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3</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left="480" w:leftChars="218" w:firstLine="0" w:firstLineChars="0"/>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pStyle w:val="4"/>
        <w:spacing w:before="29"/>
        <w:rPr>
          <w:rFonts w:hint="eastAsia"/>
          <w:lang w:val="en-US" w:eastAsia="zh-CN"/>
        </w:rPr>
      </w:pPr>
      <w:r>
        <w:rPr>
          <w:rFonts w:hint="eastAsia"/>
          <w:lang w:val="en-US" w:eastAsia="zh-CN"/>
        </w:rPr>
        <w:t xml:space="preserve">  </w:t>
      </w:r>
    </w:p>
    <w:p>
      <w:pPr>
        <w:pStyle w:val="4"/>
        <w:spacing w:before="29"/>
        <w:rPr>
          <w:rFonts w:hint="eastAsia"/>
          <w:lang w:val="en-US" w:eastAsia="zh-CN"/>
        </w:rPr>
      </w:pPr>
    </w:p>
    <w:p>
      <w:pPr>
        <w:rPr>
          <w:rFonts w:hint="eastAsia"/>
          <w:lang w:val="en-US" w:eastAsia="zh-CN"/>
        </w:rPr>
      </w:pPr>
    </w:p>
    <w:p>
      <w:pPr>
        <w:pStyle w:val="4"/>
        <w:spacing w:before="29"/>
        <w:rPr>
          <w:rFonts w:hint="eastAsia"/>
          <w:lang w:val="en-US" w:eastAsia="zh-CN"/>
        </w:rPr>
      </w:pPr>
    </w:p>
    <w:p>
      <w:pPr>
        <w:pStyle w:val="4"/>
        <w:spacing w:before="29"/>
        <w:rPr>
          <w:rFonts w:hint="eastAsia"/>
          <w:lang w:val="en-US" w:eastAsia="zh-CN"/>
        </w:rPr>
      </w:pPr>
    </w:p>
    <w:p>
      <w:pPr>
        <w:pStyle w:val="4"/>
        <w:spacing w:before="29"/>
      </w:pPr>
      <w:r>
        <w:rPr>
          <w:rFonts w:hint="eastAsia"/>
          <w:lang w:val="en-US" w:eastAsia="zh-CN"/>
        </w:rPr>
        <w:t xml:space="preserve"> </w:t>
      </w:r>
      <w:r>
        <w:t>技术商务部分评分记录明细表</w:t>
      </w:r>
    </w:p>
    <w:p>
      <w:pPr>
        <w:pStyle w:val="10"/>
        <w:spacing w:before="3" w:after="1"/>
        <w:ind w:left="0"/>
        <w:rPr>
          <w:b/>
          <w:sz w:val="8"/>
        </w:rPr>
      </w:pPr>
    </w:p>
    <w:tbl>
      <w:tblPr>
        <w:tblStyle w:val="18"/>
        <w:tblW w:w="0" w:type="auto"/>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1360"/>
        <w:gridCol w:w="1514"/>
        <w:gridCol w:w="7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525" w:type="dxa"/>
          </w:tcPr>
          <w:p>
            <w:pPr>
              <w:pStyle w:val="24"/>
              <w:rPr>
                <w:rFonts w:ascii="Times New Roman"/>
                <w:sz w:val="24"/>
              </w:rPr>
            </w:pPr>
          </w:p>
        </w:tc>
        <w:tc>
          <w:tcPr>
            <w:tcW w:w="1360" w:type="dxa"/>
          </w:tcPr>
          <w:p>
            <w:pPr>
              <w:pStyle w:val="24"/>
              <w:ind w:right="166" w:firstLine="241" w:firstLineChars="100"/>
              <w:jc w:val="center"/>
              <w:rPr>
                <w:b/>
                <w:sz w:val="24"/>
              </w:rPr>
            </w:pPr>
            <w:r>
              <w:rPr>
                <w:b/>
                <w:sz w:val="24"/>
              </w:rPr>
              <w:t>考核项目</w:t>
            </w:r>
          </w:p>
        </w:tc>
        <w:tc>
          <w:tcPr>
            <w:tcW w:w="1514" w:type="dxa"/>
          </w:tcPr>
          <w:p>
            <w:pPr>
              <w:pStyle w:val="24"/>
              <w:spacing w:before="82"/>
              <w:ind w:left="144" w:right="128"/>
              <w:jc w:val="center"/>
              <w:rPr>
                <w:b/>
                <w:sz w:val="24"/>
              </w:rPr>
            </w:pPr>
            <w:r>
              <w:rPr>
                <w:b/>
                <w:sz w:val="24"/>
              </w:rPr>
              <w:t>分数标准</w:t>
            </w:r>
          </w:p>
        </w:tc>
        <w:tc>
          <w:tcPr>
            <w:tcW w:w="7000" w:type="dxa"/>
          </w:tcPr>
          <w:p>
            <w:pPr>
              <w:pStyle w:val="24"/>
              <w:ind w:right="91" w:firstLine="2891" w:firstLineChars="1200"/>
              <w:jc w:val="both"/>
              <w:rPr>
                <w:b/>
                <w:sz w:val="24"/>
              </w:rPr>
            </w:pPr>
            <w:r>
              <w:rPr>
                <w:b/>
                <w:sz w:val="24"/>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25" w:type="dxa"/>
          </w:tcPr>
          <w:p>
            <w:pPr>
              <w:pStyle w:val="24"/>
              <w:spacing w:before="81"/>
              <w:ind w:left="38"/>
              <w:jc w:val="center"/>
              <w:rPr>
                <w:b/>
                <w:sz w:val="24"/>
              </w:rPr>
            </w:pPr>
            <w:r>
              <w:rPr>
                <w:b/>
                <w:w w:val="99"/>
                <w:sz w:val="24"/>
              </w:rPr>
              <w:t>一</w:t>
            </w:r>
          </w:p>
        </w:tc>
        <w:tc>
          <w:tcPr>
            <w:tcW w:w="1360" w:type="dxa"/>
          </w:tcPr>
          <w:p>
            <w:pPr>
              <w:pStyle w:val="24"/>
              <w:spacing w:before="81"/>
              <w:ind w:left="181" w:right="166"/>
              <w:jc w:val="center"/>
              <w:rPr>
                <w:b/>
                <w:sz w:val="24"/>
              </w:rPr>
            </w:pPr>
            <w:r>
              <w:rPr>
                <w:b/>
                <w:sz w:val="24"/>
              </w:rPr>
              <w:t>技术部分</w:t>
            </w:r>
          </w:p>
        </w:tc>
        <w:tc>
          <w:tcPr>
            <w:tcW w:w="1514" w:type="dxa"/>
          </w:tcPr>
          <w:p>
            <w:pPr>
              <w:pStyle w:val="24"/>
              <w:spacing w:before="81"/>
              <w:ind w:left="144" w:right="128"/>
              <w:jc w:val="center"/>
              <w:rPr>
                <w:rFonts w:hint="default" w:eastAsia="宋体"/>
                <w:b/>
                <w:sz w:val="24"/>
                <w:lang w:val="en-US" w:eastAsia="zh-CN"/>
              </w:rPr>
            </w:pPr>
            <w:r>
              <w:rPr>
                <w:rFonts w:hint="eastAsia"/>
                <w:b/>
                <w:sz w:val="24"/>
                <w:lang w:val="en-US" w:eastAsia="zh-CN"/>
              </w:rPr>
              <w:t>30</w:t>
            </w:r>
          </w:p>
        </w:tc>
        <w:tc>
          <w:tcPr>
            <w:tcW w:w="7000" w:type="dxa"/>
          </w:tcPr>
          <w:p>
            <w:pPr>
              <w:pStyle w:val="24"/>
              <w:spacing w:before="81"/>
              <w:ind w:left="108" w:right="81"/>
              <w:jc w:val="center"/>
              <w:rPr>
                <w:b/>
                <w:sz w:val="24"/>
              </w:rPr>
            </w:pPr>
            <w:r>
              <w:rPr>
                <w:b/>
                <w:sz w:val="24"/>
              </w:rPr>
              <w:t>具体按下列标准要求进行评审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trPr>
        <w:tc>
          <w:tcPr>
            <w:tcW w:w="525" w:type="dxa"/>
          </w:tcPr>
          <w:p>
            <w:pPr>
              <w:pStyle w:val="24"/>
              <w:rPr>
                <w:b/>
                <w:sz w:val="24"/>
              </w:rPr>
            </w:pPr>
          </w:p>
          <w:p>
            <w:pPr>
              <w:pStyle w:val="24"/>
              <w:spacing w:before="10"/>
              <w:rPr>
                <w:b/>
                <w:sz w:val="18"/>
              </w:rPr>
            </w:pPr>
          </w:p>
          <w:p>
            <w:pPr>
              <w:pStyle w:val="24"/>
              <w:spacing w:before="1"/>
              <w:ind w:left="14"/>
              <w:jc w:val="center"/>
              <w:rPr>
                <w:sz w:val="24"/>
              </w:rPr>
            </w:pPr>
            <w:r>
              <w:rPr>
                <w:sz w:val="24"/>
              </w:rPr>
              <w:t>1</w:t>
            </w:r>
          </w:p>
        </w:tc>
        <w:tc>
          <w:tcPr>
            <w:tcW w:w="1360" w:type="dxa"/>
          </w:tcPr>
          <w:p>
            <w:pPr>
              <w:pStyle w:val="24"/>
              <w:spacing w:before="8"/>
              <w:jc w:val="center"/>
              <w:rPr>
                <w:b/>
                <w:sz w:val="24"/>
              </w:rPr>
            </w:pPr>
          </w:p>
          <w:p>
            <w:pPr>
              <w:pStyle w:val="24"/>
              <w:spacing w:line="364" w:lineRule="auto"/>
              <w:jc w:val="center"/>
              <w:rPr>
                <w:sz w:val="24"/>
              </w:rPr>
            </w:pPr>
            <w:r>
              <w:rPr>
                <w:sz w:val="24"/>
              </w:rPr>
              <w:t>综合评价</w:t>
            </w:r>
          </w:p>
        </w:tc>
        <w:tc>
          <w:tcPr>
            <w:tcW w:w="1514" w:type="dxa"/>
          </w:tcPr>
          <w:p>
            <w:pPr>
              <w:pStyle w:val="24"/>
              <w:jc w:val="center"/>
              <w:rPr>
                <w:b/>
                <w:sz w:val="24"/>
              </w:rPr>
            </w:pPr>
          </w:p>
          <w:p>
            <w:pPr>
              <w:pStyle w:val="24"/>
              <w:spacing w:before="1"/>
              <w:ind w:firstLine="480" w:firstLineChars="200"/>
              <w:jc w:val="both"/>
              <w:rPr>
                <w:sz w:val="24"/>
              </w:rPr>
            </w:pPr>
            <w:r>
              <w:rPr>
                <w:rFonts w:hint="eastAsia"/>
                <w:sz w:val="24"/>
                <w:lang w:val="en-US" w:eastAsia="zh-CN"/>
              </w:rPr>
              <w:t>7</w:t>
            </w:r>
            <w:r>
              <w:rPr>
                <w:sz w:val="24"/>
              </w:rPr>
              <w:t>分</w:t>
            </w:r>
          </w:p>
        </w:tc>
        <w:tc>
          <w:tcPr>
            <w:tcW w:w="7000" w:type="dxa"/>
          </w:tcPr>
          <w:p>
            <w:pPr>
              <w:pStyle w:val="24"/>
              <w:spacing w:before="1"/>
              <w:ind w:left="108"/>
              <w:rPr>
                <w:sz w:val="24"/>
              </w:rPr>
            </w:pPr>
            <w:r>
              <w:rPr>
                <w:rFonts w:hint="eastAsia"/>
                <w:sz w:val="24"/>
              </w:rPr>
              <w:t>根据投标产品在实际救援作战行动中的设计实用性情况的优劣程度打分，优于得</w:t>
            </w:r>
            <w:r>
              <w:rPr>
                <w:rFonts w:hint="eastAsia"/>
                <w:sz w:val="24"/>
                <w:lang w:val="en-US" w:eastAsia="zh-CN"/>
              </w:rPr>
              <w:t>4-7</w:t>
            </w:r>
            <w:r>
              <w:rPr>
                <w:rFonts w:hint="eastAsia"/>
                <w:sz w:val="24"/>
              </w:rPr>
              <w:t>分；</w:t>
            </w:r>
            <w:r>
              <w:rPr>
                <w:rFonts w:hint="eastAsia"/>
                <w:sz w:val="24"/>
                <w:lang w:val="en-US" w:eastAsia="zh-CN"/>
              </w:rPr>
              <w:t>一般得1-3分；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525" w:type="dxa"/>
          </w:tcPr>
          <w:p>
            <w:pPr>
              <w:pStyle w:val="24"/>
              <w:rPr>
                <w:b/>
                <w:color w:val="FF0000"/>
                <w:sz w:val="24"/>
              </w:rPr>
            </w:pPr>
          </w:p>
          <w:p>
            <w:pPr>
              <w:pStyle w:val="24"/>
              <w:rPr>
                <w:b/>
                <w:color w:val="FF0000"/>
                <w:sz w:val="24"/>
              </w:rPr>
            </w:pPr>
          </w:p>
          <w:p>
            <w:pPr>
              <w:pStyle w:val="24"/>
              <w:spacing w:before="168"/>
              <w:ind w:left="14"/>
              <w:jc w:val="center"/>
              <w:rPr>
                <w:color w:val="FF0000"/>
                <w:sz w:val="24"/>
              </w:rPr>
            </w:pPr>
            <w:r>
              <w:rPr>
                <w:color w:val="auto"/>
                <w:sz w:val="24"/>
              </w:rPr>
              <w:t>2</w:t>
            </w:r>
          </w:p>
        </w:tc>
        <w:tc>
          <w:tcPr>
            <w:tcW w:w="1360" w:type="dxa"/>
          </w:tcPr>
          <w:p>
            <w:pPr>
              <w:pStyle w:val="24"/>
              <w:jc w:val="center"/>
              <w:rPr>
                <w:b/>
                <w:color w:val="auto"/>
                <w:sz w:val="24"/>
              </w:rPr>
            </w:pPr>
          </w:p>
          <w:p>
            <w:pPr>
              <w:pStyle w:val="24"/>
              <w:spacing w:line="364" w:lineRule="auto"/>
              <w:ind w:right="166"/>
              <w:jc w:val="center"/>
              <w:rPr>
                <w:color w:val="auto"/>
                <w:sz w:val="24"/>
              </w:rPr>
            </w:pPr>
            <w:r>
              <w:rPr>
                <w:color w:val="auto"/>
                <w:sz w:val="24"/>
              </w:rPr>
              <w:t>配置及性能指标</w:t>
            </w:r>
          </w:p>
        </w:tc>
        <w:tc>
          <w:tcPr>
            <w:tcW w:w="1514" w:type="dxa"/>
          </w:tcPr>
          <w:p>
            <w:pPr>
              <w:pStyle w:val="24"/>
              <w:jc w:val="both"/>
              <w:rPr>
                <w:b/>
                <w:color w:val="auto"/>
                <w:sz w:val="24"/>
              </w:rPr>
            </w:pPr>
          </w:p>
          <w:p>
            <w:pPr>
              <w:pStyle w:val="24"/>
              <w:spacing w:before="168"/>
              <w:ind w:left="253" w:firstLine="240" w:firstLineChars="100"/>
              <w:jc w:val="both"/>
              <w:rPr>
                <w:color w:val="auto"/>
                <w:sz w:val="24"/>
              </w:rPr>
            </w:pPr>
            <w:r>
              <w:rPr>
                <w:rFonts w:hint="eastAsia"/>
                <w:color w:val="auto"/>
                <w:sz w:val="24"/>
                <w:lang w:val="en-US" w:eastAsia="zh-CN"/>
              </w:rPr>
              <w:t>20</w:t>
            </w:r>
            <w:r>
              <w:rPr>
                <w:color w:val="auto"/>
                <w:sz w:val="24"/>
              </w:rPr>
              <w:t>分</w:t>
            </w:r>
          </w:p>
        </w:tc>
        <w:tc>
          <w:tcPr>
            <w:tcW w:w="7000" w:type="dxa"/>
          </w:tcPr>
          <w:p>
            <w:pPr>
              <w:pStyle w:val="24"/>
              <w:spacing w:before="1"/>
              <w:ind w:left="108"/>
              <w:rPr>
                <w:rFonts w:hint="eastAsia" w:eastAsia="宋体"/>
                <w:color w:val="auto"/>
                <w:sz w:val="24"/>
                <w:lang w:eastAsia="zh-CN"/>
              </w:rPr>
            </w:pPr>
            <w:r>
              <w:rPr>
                <w:rFonts w:hint="eastAsia"/>
                <w:color w:val="auto"/>
                <w:sz w:val="24"/>
              </w:rPr>
              <w:t>根据所投产品的配置与性能指标的响应程度打分，全部响应招标文件的得</w:t>
            </w:r>
            <w:r>
              <w:rPr>
                <w:rFonts w:hint="eastAsia"/>
                <w:color w:val="auto"/>
                <w:sz w:val="24"/>
                <w:lang w:val="en-US" w:eastAsia="zh-CN"/>
              </w:rPr>
              <w:t>15</w:t>
            </w:r>
            <w:r>
              <w:rPr>
                <w:rFonts w:hint="eastAsia"/>
                <w:color w:val="auto"/>
                <w:sz w:val="24"/>
              </w:rPr>
              <w:t>分。每有一项指标高于要求的加0.5分，每有一项关键指标低于要求的扣</w:t>
            </w:r>
            <w:r>
              <w:rPr>
                <w:rFonts w:hint="eastAsia"/>
                <w:color w:val="auto"/>
                <w:sz w:val="24"/>
                <w:lang w:val="en-US" w:eastAsia="zh-CN"/>
              </w:rPr>
              <w:t>1</w:t>
            </w:r>
            <w:r>
              <w:rPr>
                <w:rFonts w:hint="eastAsia"/>
                <w:color w:val="auto"/>
                <w:sz w:val="24"/>
              </w:rPr>
              <w:t>分，此项最高得</w:t>
            </w:r>
            <w:r>
              <w:rPr>
                <w:rFonts w:hint="eastAsia"/>
                <w:color w:val="auto"/>
                <w:sz w:val="24"/>
                <w:lang w:val="en-US" w:eastAsia="zh-CN"/>
              </w:rPr>
              <w:t>20</w:t>
            </w:r>
            <w:r>
              <w:rPr>
                <w:rFonts w:hint="eastAsia"/>
                <w:color w:val="auto"/>
                <w:sz w:val="24"/>
              </w:rPr>
              <w:t>分，最低的0分</w:t>
            </w:r>
            <w:r>
              <w:rPr>
                <w:rFonts w:hint="eastAsia"/>
                <w:color w:val="auto"/>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525" w:type="dxa"/>
          </w:tcPr>
          <w:p>
            <w:pPr>
              <w:pStyle w:val="24"/>
              <w:rPr>
                <w:b/>
                <w:sz w:val="24"/>
              </w:rPr>
            </w:pPr>
          </w:p>
          <w:p>
            <w:pPr>
              <w:pStyle w:val="24"/>
              <w:spacing w:before="11"/>
              <w:rPr>
                <w:b/>
                <w:sz w:val="18"/>
              </w:rPr>
            </w:pPr>
          </w:p>
          <w:p>
            <w:pPr>
              <w:pStyle w:val="24"/>
              <w:ind w:left="14" w:leftChars="0" w:right="0" w:rightChars="0"/>
              <w:jc w:val="center"/>
              <w:rPr>
                <w:rFonts w:hint="eastAsia" w:eastAsia="宋体"/>
                <w:sz w:val="24"/>
                <w:lang w:eastAsia="zh-CN"/>
              </w:rPr>
            </w:pPr>
            <w:r>
              <w:rPr>
                <w:rFonts w:hint="eastAsia"/>
                <w:sz w:val="24"/>
                <w:lang w:val="en-US" w:eastAsia="zh-CN"/>
              </w:rPr>
              <w:t>3</w:t>
            </w:r>
          </w:p>
        </w:tc>
        <w:tc>
          <w:tcPr>
            <w:tcW w:w="1360" w:type="dxa"/>
          </w:tcPr>
          <w:p>
            <w:pPr>
              <w:pStyle w:val="24"/>
              <w:ind w:right="166" w:rightChars="0"/>
              <w:jc w:val="center"/>
              <w:rPr>
                <w:color w:val="auto"/>
                <w:sz w:val="24"/>
              </w:rPr>
            </w:pPr>
          </w:p>
          <w:p>
            <w:pPr>
              <w:pStyle w:val="24"/>
              <w:ind w:right="166" w:rightChars="0"/>
              <w:jc w:val="center"/>
              <w:rPr>
                <w:rFonts w:hint="default" w:eastAsia="宋体"/>
                <w:color w:val="auto"/>
                <w:sz w:val="24"/>
                <w:lang w:val="en-US" w:eastAsia="zh-CN"/>
              </w:rPr>
            </w:pPr>
            <w:r>
              <w:rPr>
                <w:rFonts w:hint="default" w:eastAsia="宋体"/>
                <w:color w:val="auto"/>
                <w:sz w:val="24"/>
                <w:lang w:val="en-US" w:eastAsia="zh-CN"/>
              </w:rPr>
              <w:t>质量检测报告</w:t>
            </w:r>
          </w:p>
        </w:tc>
        <w:tc>
          <w:tcPr>
            <w:tcW w:w="1514" w:type="dxa"/>
          </w:tcPr>
          <w:p>
            <w:pPr>
              <w:pStyle w:val="24"/>
              <w:jc w:val="center"/>
              <w:rPr>
                <w:b/>
                <w:color w:val="auto"/>
                <w:sz w:val="24"/>
              </w:rPr>
            </w:pPr>
          </w:p>
          <w:p>
            <w:pPr>
              <w:pStyle w:val="24"/>
              <w:ind w:right="128" w:rightChars="0" w:firstLine="480" w:firstLineChars="200"/>
              <w:jc w:val="both"/>
              <w:rPr>
                <w:rFonts w:hint="eastAsia"/>
                <w:color w:val="auto"/>
                <w:sz w:val="24"/>
                <w:lang w:val="en-US" w:eastAsia="zh-CN"/>
              </w:rPr>
            </w:pPr>
            <w:r>
              <w:rPr>
                <w:rFonts w:hint="eastAsia"/>
                <w:color w:val="auto"/>
                <w:sz w:val="24"/>
                <w:lang w:val="en-US" w:eastAsia="zh-CN"/>
              </w:rPr>
              <w:t>3</w:t>
            </w:r>
            <w:r>
              <w:rPr>
                <w:color w:val="auto"/>
                <w:sz w:val="24"/>
              </w:rPr>
              <w:t>分</w:t>
            </w:r>
          </w:p>
        </w:tc>
        <w:tc>
          <w:tcPr>
            <w:tcW w:w="7000" w:type="dxa"/>
          </w:tcPr>
          <w:p>
            <w:pPr>
              <w:pStyle w:val="24"/>
              <w:spacing w:before="81" w:line="364" w:lineRule="auto"/>
              <w:ind w:right="90"/>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打</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设备需提供检测报告全部提供的</w:t>
            </w:r>
            <w:r>
              <w:rPr>
                <w:rFonts w:hint="eastAsia" w:ascii="宋体" w:hAnsi="宋体" w:eastAsia="宋体" w:cs="宋体"/>
                <w:color w:val="auto"/>
                <w:kern w:val="0"/>
                <w:sz w:val="24"/>
                <w:szCs w:val="24"/>
                <w:lang w:val="en-US" w:eastAsia="zh-CN"/>
              </w:rPr>
              <w:t>得</w:t>
            </w:r>
            <w:r>
              <w:rPr>
                <w:rFonts w:hint="eastAsia" w:cs="宋体"/>
                <w:color w:val="auto"/>
                <w:kern w:val="0"/>
                <w:sz w:val="24"/>
                <w:szCs w:val="24"/>
                <w:lang w:val="en-US" w:eastAsia="zh-CN"/>
              </w:rPr>
              <w:t>3</w:t>
            </w:r>
            <w:r>
              <w:rPr>
                <w:rFonts w:hint="eastAsia" w:ascii="宋体" w:hAnsi="宋体" w:eastAsia="宋体" w:cs="宋体"/>
                <w:color w:val="auto"/>
                <w:kern w:val="0"/>
                <w:sz w:val="24"/>
                <w:szCs w:val="24"/>
                <w:lang w:val="en-US" w:eastAsia="zh-CN"/>
              </w:rPr>
              <w:t>分</w:t>
            </w:r>
            <w:r>
              <w:rPr>
                <w:rFonts w:hint="eastAsia" w:cs="宋体"/>
                <w:color w:val="auto"/>
                <w:kern w:val="0"/>
                <w:sz w:val="24"/>
                <w:szCs w:val="24"/>
                <w:lang w:val="en-US" w:eastAsia="zh-CN"/>
              </w:rPr>
              <w:t>，未提供的一项扣1分</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扣完为止，</w:t>
            </w:r>
            <w:r>
              <w:rPr>
                <w:rFonts w:hint="eastAsia" w:ascii="宋体" w:hAnsi="宋体" w:eastAsia="宋体" w:cs="宋体"/>
                <w:color w:val="auto"/>
                <w:kern w:val="0"/>
                <w:sz w:val="24"/>
                <w:szCs w:val="24"/>
                <w:lang w:val="en-US" w:eastAsia="zh-CN"/>
              </w:rPr>
              <w:t>最低得0分，最高得</w:t>
            </w:r>
            <w:r>
              <w:rPr>
                <w:rFonts w:hint="eastAsia" w:cs="宋体"/>
                <w:color w:val="auto"/>
                <w:kern w:val="0"/>
                <w:sz w:val="24"/>
                <w:szCs w:val="24"/>
                <w:lang w:val="en-US" w:eastAsia="zh-CN"/>
              </w:rPr>
              <w:t>3</w:t>
            </w:r>
            <w:r>
              <w:rPr>
                <w:rFonts w:hint="eastAsia" w:ascii="宋体" w:hAnsi="宋体" w:eastAsia="宋体" w:cs="宋体"/>
                <w:color w:val="auto"/>
                <w:kern w:val="0"/>
                <w:sz w:val="24"/>
                <w:szCs w:val="24"/>
                <w:lang w:val="en-US" w:eastAsia="zh-CN"/>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525" w:type="dxa"/>
          </w:tcPr>
          <w:p>
            <w:pPr>
              <w:pStyle w:val="24"/>
              <w:jc w:val="both"/>
              <w:rPr>
                <w:b/>
                <w:sz w:val="24"/>
              </w:rPr>
            </w:pPr>
            <w:r>
              <w:rPr>
                <w:b/>
                <w:w w:val="99"/>
                <w:sz w:val="24"/>
              </w:rPr>
              <w:t>二</w:t>
            </w:r>
          </w:p>
        </w:tc>
        <w:tc>
          <w:tcPr>
            <w:tcW w:w="1360" w:type="dxa"/>
          </w:tcPr>
          <w:p>
            <w:pPr>
              <w:pStyle w:val="24"/>
              <w:ind w:right="166"/>
              <w:jc w:val="both"/>
              <w:rPr>
                <w:b/>
                <w:color w:val="auto"/>
                <w:sz w:val="24"/>
              </w:rPr>
            </w:pPr>
            <w:r>
              <w:rPr>
                <w:b/>
                <w:color w:val="auto"/>
                <w:sz w:val="24"/>
              </w:rPr>
              <w:t>商务部分</w:t>
            </w:r>
          </w:p>
        </w:tc>
        <w:tc>
          <w:tcPr>
            <w:tcW w:w="1514" w:type="dxa"/>
          </w:tcPr>
          <w:p>
            <w:pPr>
              <w:pStyle w:val="24"/>
              <w:ind w:right="128"/>
              <w:jc w:val="center"/>
              <w:rPr>
                <w:rFonts w:hint="default" w:eastAsia="宋体"/>
                <w:b/>
                <w:color w:val="auto"/>
                <w:sz w:val="24"/>
                <w:lang w:val="en-US" w:eastAsia="zh-CN"/>
              </w:rPr>
            </w:pPr>
            <w:r>
              <w:rPr>
                <w:rFonts w:hint="eastAsia"/>
                <w:b/>
                <w:color w:val="auto"/>
                <w:sz w:val="24"/>
                <w:lang w:val="en-US" w:eastAsia="zh-CN"/>
              </w:rPr>
              <w:t>40</w:t>
            </w:r>
          </w:p>
        </w:tc>
        <w:tc>
          <w:tcPr>
            <w:tcW w:w="7000" w:type="dxa"/>
          </w:tcPr>
          <w:p>
            <w:pPr>
              <w:pStyle w:val="24"/>
              <w:rPr>
                <w:b/>
                <w:color w:val="auto"/>
                <w:sz w:val="24"/>
              </w:rPr>
            </w:pPr>
            <w:r>
              <w:rPr>
                <w:b/>
                <w:color w:val="auto"/>
                <w:sz w:val="24"/>
              </w:rPr>
              <w:t>具体按下列标准要求进行评审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3" w:hRule="atLeast"/>
        </w:trPr>
        <w:tc>
          <w:tcPr>
            <w:tcW w:w="525" w:type="dxa"/>
            <w:tcBorders>
              <w:bottom w:val="single" w:color="000000" w:sz="4" w:space="0"/>
            </w:tcBorders>
            <w:vAlign w:val="top"/>
          </w:tcPr>
          <w:p>
            <w:pPr>
              <w:pStyle w:val="24"/>
              <w:jc w:val="both"/>
              <w:rPr>
                <w:b/>
                <w:color w:val="auto"/>
                <w:w w:val="99"/>
                <w:sz w:val="24"/>
              </w:rPr>
            </w:pPr>
          </w:p>
          <w:p>
            <w:pPr>
              <w:pStyle w:val="24"/>
              <w:ind w:left="86" w:leftChars="0" w:right="0" w:rightChars="0"/>
              <w:jc w:val="center"/>
              <w:rPr>
                <w:rFonts w:ascii="宋体" w:hAnsi="宋体" w:eastAsia="宋体" w:cs="宋体"/>
                <w:b/>
                <w:color w:val="FF0000"/>
                <w:sz w:val="24"/>
                <w:szCs w:val="22"/>
                <w:lang w:val="zh-CN" w:eastAsia="zh-CN" w:bidi="zh-CN"/>
              </w:rPr>
            </w:pPr>
            <w:r>
              <w:rPr>
                <w:b/>
                <w:color w:val="auto"/>
                <w:w w:val="99"/>
                <w:sz w:val="24"/>
              </w:rPr>
              <w:t>1</w:t>
            </w:r>
          </w:p>
        </w:tc>
        <w:tc>
          <w:tcPr>
            <w:tcW w:w="1360" w:type="dxa"/>
            <w:tcBorders>
              <w:bottom w:val="single" w:color="000000" w:sz="4" w:space="0"/>
            </w:tcBorders>
            <w:vAlign w:val="top"/>
          </w:tcPr>
          <w:p>
            <w:pPr>
              <w:pStyle w:val="24"/>
              <w:spacing w:line="364" w:lineRule="auto"/>
              <w:ind w:left="0" w:leftChars="0" w:right="130" w:rightChars="0"/>
              <w:jc w:val="both"/>
              <w:rPr>
                <w:rFonts w:ascii="宋体" w:hAnsi="宋体" w:eastAsia="宋体" w:cs="宋体"/>
                <w:color w:val="auto"/>
                <w:sz w:val="24"/>
                <w:szCs w:val="22"/>
                <w:lang w:val="zh-CN" w:eastAsia="zh-CN" w:bidi="zh-CN"/>
              </w:rPr>
            </w:pPr>
            <w:r>
              <w:rPr>
                <w:color w:val="auto"/>
                <w:sz w:val="24"/>
              </w:rPr>
              <w:t>售后服务</w:t>
            </w:r>
            <w:r>
              <w:rPr>
                <w:rFonts w:hint="eastAsia"/>
                <w:color w:val="auto"/>
                <w:sz w:val="24"/>
                <w:lang w:eastAsia="zh-CN"/>
              </w:rPr>
              <w:t>及承诺</w:t>
            </w:r>
            <w:r>
              <w:rPr>
                <w:rFonts w:hint="eastAsia"/>
                <w:color w:val="auto"/>
                <w:sz w:val="24"/>
                <w:lang w:val="en-US" w:eastAsia="zh-CN"/>
              </w:rPr>
              <w:t xml:space="preserve"> </w:t>
            </w:r>
          </w:p>
        </w:tc>
        <w:tc>
          <w:tcPr>
            <w:tcW w:w="1514" w:type="dxa"/>
            <w:tcBorders>
              <w:bottom w:val="single" w:color="000000" w:sz="4" w:space="0"/>
            </w:tcBorders>
            <w:vAlign w:val="top"/>
          </w:tcPr>
          <w:p>
            <w:pPr>
              <w:pStyle w:val="24"/>
              <w:ind w:right="128"/>
              <w:jc w:val="both"/>
              <w:rPr>
                <w:rFonts w:hint="eastAsia"/>
                <w:color w:val="auto"/>
                <w:sz w:val="24"/>
                <w:lang w:val="en-US" w:eastAsia="zh-CN"/>
              </w:rPr>
            </w:pPr>
          </w:p>
          <w:p>
            <w:pPr>
              <w:pStyle w:val="24"/>
              <w:ind w:left="140" w:leftChars="0" w:right="128" w:rightChars="0"/>
              <w:jc w:val="center"/>
              <w:rPr>
                <w:rFonts w:ascii="宋体" w:hAnsi="宋体" w:eastAsia="宋体" w:cs="宋体"/>
                <w:color w:val="auto"/>
                <w:sz w:val="24"/>
                <w:szCs w:val="22"/>
                <w:lang w:val="zh-CN" w:eastAsia="zh-CN" w:bidi="zh-CN"/>
              </w:rPr>
            </w:pPr>
            <w:r>
              <w:rPr>
                <w:rFonts w:hint="eastAsia"/>
                <w:color w:val="auto"/>
                <w:sz w:val="24"/>
                <w:lang w:val="en-US" w:eastAsia="zh-CN"/>
              </w:rPr>
              <w:t>12</w:t>
            </w:r>
            <w:r>
              <w:rPr>
                <w:color w:val="auto"/>
                <w:sz w:val="24"/>
              </w:rPr>
              <w:t xml:space="preserve"> 分</w:t>
            </w:r>
          </w:p>
        </w:tc>
        <w:tc>
          <w:tcPr>
            <w:tcW w:w="7000" w:type="dxa"/>
            <w:tcBorders>
              <w:bottom w:val="single" w:color="000000" w:sz="4" w:space="0"/>
            </w:tcBorders>
            <w:vAlign w:val="top"/>
          </w:tcPr>
          <w:p>
            <w:pPr>
              <w:spacing w:line="312" w:lineRule="auto"/>
              <w:jc w:val="left"/>
              <w:rPr>
                <w:rFonts w:hint="eastAsia" w:ascii="宋体" w:hAnsi="宋体" w:cs="宋体"/>
                <w:color w:val="auto"/>
                <w:sz w:val="24"/>
                <w:lang w:val="zh-CN" w:eastAsia="zh-CN"/>
              </w:rPr>
            </w:pPr>
            <w:r>
              <w:rPr>
                <w:rFonts w:hint="eastAsia"/>
                <w:vertAlign w:val="baseline"/>
                <w:lang w:eastAsia="zh-CN"/>
              </w:rPr>
              <w:t>售</w:t>
            </w:r>
            <w:r>
              <w:rPr>
                <w:rFonts w:hint="eastAsia" w:ascii="宋体" w:hAnsi="宋体" w:cs="宋体"/>
                <w:color w:val="auto"/>
                <w:sz w:val="24"/>
                <w:lang w:val="zh-CN" w:eastAsia="zh-CN"/>
              </w:rPr>
              <w:t>后服务方案</w:t>
            </w:r>
            <w:r>
              <w:rPr>
                <w:rFonts w:hint="eastAsia" w:cs="宋体"/>
                <w:color w:val="auto"/>
                <w:sz w:val="24"/>
                <w:lang w:val="zh-CN" w:eastAsia="zh-CN"/>
              </w:rPr>
              <w:t>全面，流程</w:t>
            </w:r>
            <w:r>
              <w:rPr>
                <w:rFonts w:hint="eastAsia" w:ascii="宋体" w:hAnsi="宋体" w:cs="宋体"/>
                <w:color w:val="auto"/>
                <w:sz w:val="24"/>
                <w:lang w:val="zh-CN" w:eastAsia="zh-CN"/>
              </w:rPr>
              <w:t>清晰</w:t>
            </w:r>
            <w:r>
              <w:rPr>
                <w:rFonts w:hint="eastAsia" w:cs="宋体"/>
                <w:color w:val="auto"/>
                <w:sz w:val="24"/>
                <w:lang w:val="zh-CN" w:eastAsia="zh-CN"/>
              </w:rPr>
              <w:t>、售后及时</w:t>
            </w:r>
            <w:r>
              <w:rPr>
                <w:rFonts w:hint="eastAsia" w:ascii="宋体" w:hAnsi="宋体" w:cs="宋体"/>
                <w:color w:val="auto"/>
                <w:sz w:val="24"/>
                <w:lang w:val="zh-CN" w:eastAsia="zh-CN"/>
              </w:rPr>
              <w:t>，服务内容具体，承诺优惠，进行评分。</w:t>
            </w:r>
          </w:p>
          <w:p>
            <w:pPr>
              <w:spacing w:line="312" w:lineRule="auto"/>
              <w:ind w:left="0" w:leftChars="0" w:right="0" w:rightChars="0"/>
              <w:jc w:val="left"/>
              <w:rPr>
                <w:rFonts w:hint="default" w:ascii="宋体" w:hAnsi="宋体" w:eastAsia="宋体" w:cs="宋体"/>
                <w:sz w:val="22"/>
                <w:szCs w:val="22"/>
                <w:lang w:val="en-US" w:eastAsia="zh-CN" w:bidi="zh-CN"/>
              </w:rPr>
            </w:pPr>
            <w:r>
              <w:rPr>
                <w:rFonts w:hint="eastAsia" w:ascii="宋体" w:hAnsi="宋体" w:cs="宋体"/>
                <w:color w:val="auto"/>
                <w:sz w:val="24"/>
                <w:lang w:val="en-US" w:eastAsia="zh-CN"/>
              </w:rPr>
              <w:t>优：</w:t>
            </w:r>
            <w:r>
              <w:rPr>
                <w:rFonts w:hint="eastAsia" w:cs="宋体"/>
                <w:color w:val="auto"/>
                <w:sz w:val="24"/>
                <w:lang w:val="en-US" w:eastAsia="zh-CN"/>
              </w:rPr>
              <w:t>9</w:t>
            </w:r>
            <w:r>
              <w:rPr>
                <w:rFonts w:hint="eastAsia" w:ascii="宋体" w:hAnsi="宋体" w:cs="宋体"/>
                <w:color w:val="auto"/>
                <w:sz w:val="24"/>
                <w:lang w:val="en-US" w:eastAsia="zh-CN"/>
              </w:rPr>
              <w:t>-</w:t>
            </w:r>
            <w:r>
              <w:rPr>
                <w:rFonts w:hint="eastAsia" w:cs="宋体"/>
                <w:color w:val="auto"/>
                <w:sz w:val="24"/>
                <w:lang w:val="en-US" w:eastAsia="zh-CN"/>
              </w:rPr>
              <w:t>12</w:t>
            </w:r>
            <w:r>
              <w:rPr>
                <w:rFonts w:hint="eastAsia" w:ascii="宋体" w:hAnsi="宋体" w:cs="宋体"/>
                <w:color w:val="auto"/>
                <w:sz w:val="24"/>
                <w:lang w:val="en-US" w:eastAsia="zh-CN"/>
              </w:rPr>
              <w:t>分  良：</w:t>
            </w:r>
            <w:r>
              <w:rPr>
                <w:rFonts w:hint="eastAsia" w:cs="宋体"/>
                <w:color w:val="auto"/>
                <w:sz w:val="24"/>
                <w:lang w:val="en-US" w:eastAsia="zh-CN"/>
              </w:rPr>
              <w:t>5</w:t>
            </w:r>
            <w:r>
              <w:rPr>
                <w:rFonts w:hint="eastAsia" w:ascii="宋体" w:hAnsi="宋体" w:cs="宋体"/>
                <w:color w:val="auto"/>
                <w:sz w:val="24"/>
                <w:lang w:val="en-US" w:eastAsia="zh-CN"/>
              </w:rPr>
              <w:t>-</w:t>
            </w:r>
            <w:r>
              <w:rPr>
                <w:rFonts w:hint="eastAsia" w:cs="宋体"/>
                <w:color w:val="auto"/>
                <w:sz w:val="24"/>
                <w:lang w:val="en-US" w:eastAsia="zh-CN"/>
              </w:rPr>
              <w:t>8</w:t>
            </w:r>
            <w:r>
              <w:rPr>
                <w:rFonts w:hint="eastAsia" w:ascii="宋体" w:hAnsi="宋体" w:cs="宋体"/>
                <w:color w:val="auto"/>
                <w:sz w:val="24"/>
                <w:lang w:val="en-US" w:eastAsia="zh-CN"/>
              </w:rPr>
              <w:t>分   差：0-</w:t>
            </w:r>
            <w:r>
              <w:rPr>
                <w:rFonts w:hint="eastAsia" w:cs="宋体"/>
                <w:color w:val="auto"/>
                <w:sz w:val="24"/>
                <w:lang w:val="en-US" w:eastAsia="zh-CN"/>
              </w:rPr>
              <w:t>4</w:t>
            </w:r>
            <w:r>
              <w:rPr>
                <w:rFonts w:hint="eastAsia" w:ascii="宋体" w:hAnsi="宋体" w:cs="宋体"/>
                <w:color w:val="auto"/>
                <w:sz w:val="24"/>
                <w:lang w:val="en-US" w:eastAsia="zh-CN"/>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525" w:type="dxa"/>
            <w:tcBorders>
              <w:bottom w:val="single" w:color="000000" w:sz="4" w:space="0"/>
            </w:tcBorders>
            <w:vAlign w:val="top"/>
          </w:tcPr>
          <w:p>
            <w:pPr>
              <w:pStyle w:val="24"/>
              <w:jc w:val="both"/>
              <w:rPr>
                <w:b/>
                <w:color w:val="auto"/>
                <w:w w:val="99"/>
                <w:sz w:val="24"/>
              </w:rPr>
            </w:pPr>
          </w:p>
          <w:p>
            <w:pPr>
              <w:pStyle w:val="24"/>
              <w:ind w:left="86" w:leftChars="0" w:right="0" w:rightChars="0"/>
              <w:jc w:val="center"/>
              <w:rPr>
                <w:rFonts w:hint="eastAsia" w:ascii="宋体" w:hAnsi="宋体" w:eastAsia="宋体" w:cs="宋体"/>
                <w:b/>
                <w:color w:val="auto"/>
                <w:w w:val="99"/>
                <w:sz w:val="24"/>
                <w:szCs w:val="22"/>
                <w:lang w:val="en-US" w:eastAsia="zh-CN" w:bidi="zh-CN"/>
              </w:rPr>
            </w:pPr>
            <w:r>
              <w:rPr>
                <w:rFonts w:hint="eastAsia"/>
                <w:b/>
                <w:color w:val="auto"/>
                <w:w w:val="99"/>
                <w:sz w:val="24"/>
                <w:lang w:val="en-US" w:eastAsia="zh-CN"/>
              </w:rPr>
              <w:t>2</w:t>
            </w:r>
          </w:p>
        </w:tc>
        <w:tc>
          <w:tcPr>
            <w:tcW w:w="1360" w:type="dxa"/>
            <w:tcBorders>
              <w:bottom w:val="single" w:color="000000" w:sz="4" w:space="0"/>
            </w:tcBorders>
            <w:vAlign w:val="top"/>
          </w:tcPr>
          <w:p>
            <w:pPr>
              <w:pStyle w:val="24"/>
              <w:spacing w:line="364" w:lineRule="auto"/>
              <w:ind w:left="0" w:leftChars="0" w:right="130" w:rightChars="0"/>
              <w:jc w:val="both"/>
              <w:rPr>
                <w:rFonts w:ascii="宋体" w:hAnsi="宋体" w:eastAsia="宋体" w:cs="宋体"/>
                <w:color w:val="auto"/>
                <w:sz w:val="24"/>
                <w:szCs w:val="22"/>
                <w:lang w:val="zh-CN" w:eastAsia="zh-CN" w:bidi="zh-CN"/>
              </w:rPr>
            </w:pPr>
            <w:r>
              <w:rPr>
                <w:rFonts w:hint="eastAsia"/>
                <w:color w:val="auto"/>
                <w:sz w:val="24"/>
              </w:rPr>
              <w:t>质量及应急保障措施</w:t>
            </w:r>
          </w:p>
        </w:tc>
        <w:tc>
          <w:tcPr>
            <w:tcW w:w="1514" w:type="dxa"/>
            <w:tcBorders>
              <w:bottom w:val="single" w:color="000000" w:sz="4" w:space="0"/>
            </w:tcBorders>
            <w:vAlign w:val="top"/>
          </w:tcPr>
          <w:p>
            <w:pPr>
              <w:pStyle w:val="24"/>
              <w:ind w:left="140" w:right="128"/>
              <w:jc w:val="center"/>
              <w:rPr>
                <w:rFonts w:hint="eastAsia"/>
                <w:color w:val="auto"/>
                <w:sz w:val="24"/>
                <w:lang w:val="en-US" w:eastAsia="zh-CN"/>
              </w:rPr>
            </w:pPr>
          </w:p>
          <w:p>
            <w:pPr>
              <w:pStyle w:val="24"/>
              <w:ind w:left="140" w:right="128"/>
              <w:jc w:val="center"/>
              <w:rPr>
                <w:rFonts w:hint="eastAsia"/>
                <w:color w:val="auto"/>
                <w:sz w:val="24"/>
                <w:lang w:val="en-US" w:eastAsia="zh-CN"/>
              </w:rPr>
            </w:pPr>
          </w:p>
          <w:p>
            <w:pPr>
              <w:pStyle w:val="24"/>
              <w:ind w:left="140" w:leftChars="0" w:right="128" w:rightChars="0"/>
              <w:jc w:val="center"/>
              <w:rPr>
                <w:rFonts w:hint="default" w:ascii="宋体" w:hAnsi="宋体" w:eastAsia="宋体" w:cs="宋体"/>
                <w:color w:val="auto"/>
                <w:sz w:val="24"/>
                <w:szCs w:val="22"/>
                <w:lang w:val="en-US" w:eastAsia="zh-CN" w:bidi="zh-CN"/>
              </w:rPr>
            </w:pPr>
            <w:r>
              <w:rPr>
                <w:rFonts w:hint="eastAsia"/>
                <w:color w:val="auto"/>
                <w:sz w:val="24"/>
                <w:lang w:val="en-US" w:eastAsia="zh-CN"/>
              </w:rPr>
              <w:t>6分</w:t>
            </w:r>
          </w:p>
        </w:tc>
        <w:tc>
          <w:tcPr>
            <w:tcW w:w="7000" w:type="dxa"/>
            <w:tcBorders>
              <w:bottom w:val="single" w:color="000000" w:sz="4" w:space="0"/>
            </w:tcBorders>
            <w:vAlign w:val="top"/>
          </w:tcPr>
          <w:p>
            <w:pPr>
              <w:spacing w:line="312" w:lineRule="auto"/>
              <w:ind w:left="0" w:leftChars="0" w:right="0" w:rightChars="0"/>
              <w:rPr>
                <w:rFonts w:hint="eastAsia" w:ascii="宋体" w:hAnsi="宋体" w:eastAsia="宋体" w:cs="宋体"/>
                <w:color w:val="auto"/>
                <w:sz w:val="24"/>
                <w:szCs w:val="22"/>
                <w:lang w:val="en-US" w:eastAsia="zh-CN" w:bidi="zh-CN"/>
              </w:rPr>
            </w:pPr>
            <w:r>
              <w:rPr>
                <w:rFonts w:hint="eastAsia" w:ascii="宋体" w:hAnsi="宋体" w:cs="宋体"/>
                <w:color w:val="auto"/>
                <w:sz w:val="24"/>
              </w:rPr>
              <w:t>质量保障措施完善，针对本项目制定有效的方案、针对性强、措施合理切实得</w:t>
            </w:r>
            <w:r>
              <w:rPr>
                <w:rFonts w:hint="eastAsia" w:cs="宋体"/>
                <w:color w:val="auto"/>
                <w:sz w:val="24"/>
                <w:lang w:val="en-US" w:eastAsia="zh-CN"/>
              </w:rPr>
              <w:t>4-6</w:t>
            </w:r>
            <w:r>
              <w:rPr>
                <w:rFonts w:hint="eastAsia" w:ascii="宋体" w:hAnsi="宋体" w:cs="宋体"/>
                <w:color w:val="auto"/>
                <w:sz w:val="24"/>
              </w:rPr>
              <w:t>分；方案基本可行得</w:t>
            </w:r>
            <w:r>
              <w:rPr>
                <w:rFonts w:hint="eastAsia" w:cs="宋体"/>
                <w:color w:val="auto"/>
                <w:sz w:val="24"/>
                <w:lang w:val="en-US" w:eastAsia="zh-CN"/>
              </w:rPr>
              <w:t>1-3</w:t>
            </w:r>
            <w:r>
              <w:rPr>
                <w:rFonts w:hint="eastAsia" w:ascii="宋体" w:hAnsi="宋体" w:cs="宋体"/>
                <w:color w:val="auto"/>
                <w:sz w:val="24"/>
              </w:rPr>
              <w:t>分；方案内容不完善未提供或不符合本项目得0分。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3" w:hRule="atLeast"/>
        </w:trPr>
        <w:tc>
          <w:tcPr>
            <w:tcW w:w="525" w:type="dxa"/>
            <w:tcBorders>
              <w:bottom w:val="single" w:color="000000" w:sz="4" w:space="0"/>
            </w:tcBorders>
            <w:vAlign w:val="top"/>
          </w:tcPr>
          <w:p>
            <w:pPr>
              <w:pStyle w:val="24"/>
              <w:jc w:val="center"/>
              <w:rPr>
                <w:b/>
                <w:sz w:val="24"/>
              </w:rPr>
            </w:pPr>
          </w:p>
          <w:p>
            <w:pPr>
              <w:pStyle w:val="24"/>
              <w:spacing w:before="7"/>
              <w:jc w:val="center"/>
              <w:rPr>
                <w:b/>
                <w:sz w:val="23"/>
              </w:rPr>
            </w:pPr>
          </w:p>
          <w:p>
            <w:pPr>
              <w:pStyle w:val="24"/>
              <w:ind w:left="86" w:leftChars="0" w:right="0" w:rightChars="0"/>
              <w:jc w:val="center"/>
              <w:rPr>
                <w:rFonts w:hint="default" w:ascii="宋体" w:hAnsi="宋体" w:eastAsia="宋体" w:cs="宋体"/>
                <w:b/>
                <w:sz w:val="24"/>
                <w:szCs w:val="22"/>
                <w:lang w:val="en-US" w:eastAsia="zh-CN" w:bidi="zh-CN"/>
              </w:rPr>
            </w:pPr>
            <w:r>
              <w:rPr>
                <w:rFonts w:hint="eastAsia"/>
                <w:b/>
                <w:w w:val="99"/>
                <w:sz w:val="24"/>
                <w:lang w:val="en-US" w:eastAsia="zh-CN"/>
              </w:rPr>
              <w:t>3</w:t>
            </w:r>
          </w:p>
        </w:tc>
        <w:tc>
          <w:tcPr>
            <w:tcW w:w="1360" w:type="dxa"/>
            <w:tcBorders>
              <w:bottom w:val="single" w:color="000000" w:sz="4" w:space="0"/>
            </w:tcBorders>
            <w:vAlign w:val="top"/>
          </w:tcPr>
          <w:p>
            <w:pPr>
              <w:pStyle w:val="24"/>
              <w:jc w:val="center"/>
              <w:rPr>
                <w:b/>
                <w:sz w:val="24"/>
              </w:rPr>
            </w:pPr>
          </w:p>
          <w:p>
            <w:pPr>
              <w:pStyle w:val="24"/>
              <w:ind w:left="0" w:leftChars="0" w:right="166" w:rightChars="0"/>
              <w:jc w:val="center"/>
              <w:rPr>
                <w:rFonts w:ascii="宋体" w:hAnsi="宋体" w:eastAsia="宋体" w:cs="宋体"/>
                <w:sz w:val="24"/>
                <w:szCs w:val="22"/>
                <w:lang w:val="zh-CN" w:eastAsia="zh-CN" w:bidi="zh-CN"/>
              </w:rPr>
            </w:pPr>
            <w:r>
              <w:rPr>
                <w:rFonts w:hint="eastAsia"/>
                <w:sz w:val="24"/>
              </w:rPr>
              <w:t>供货服务方案</w:t>
            </w:r>
          </w:p>
        </w:tc>
        <w:tc>
          <w:tcPr>
            <w:tcW w:w="1514" w:type="dxa"/>
            <w:tcBorders>
              <w:bottom w:val="single" w:color="000000" w:sz="4" w:space="0"/>
            </w:tcBorders>
            <w:vAlign w:val="top"/>
          </w:tcPr>
          <w:p>
            <w:pPr>
              <w:pStyle w:val="24"/>
              <w:spacing w:before="7"/>
              <w:jc w:val="both"/>
              <w:rPr>
                <w:b/>
                <w:sz w:val="23"/>
              </w:rPr>
            </w:pPr>
          </w:p>
          <w:p>
            <w:pPr>
              <w:pStyle w:val="24"/>
              <w:ind w:left="140" w:leftChars="0" w:right="128" w:rightChars="0"/>
              <w:jc w:val="center"/>
              <w:rPr>
                <w:rFonts w:hint="default" w:ascii="宋体" w:hAnsi="宋体" w:eastAsia="宋体" w:cs="宋体"/>
                <w:sz w:val="24"/>
                <w:szCs w:val="22"/>
                <w:lang w:val="en-US" w:eastAsia="zh-CN" w:bidi="zh-CN"/>
              </w:rPr>
            </w:pPr>
            <w:r>
              <w:rPr>
                <w:rFonts w:hint="eastAsia"/>
                <w:color w:val="auto"/>
                <w:sz w:val="24"/>
                <w:lang w:val="en-US" w:eastAsia="zh-CN"/>
              </w:rPr>
              <w:t>6</w:t>
            </w:r>
            <w:r>
              <w:rPr>
                <w:color w:val="auto"/>
                <w:sz w:val="24"/>
              </w:rPr>
              <w:t>分</w:t>
            </w:r>
          </w:p>
        </w:tc>
        <w:tc>
          <w:tcPr>
            <w:tcW w:w="7000" w:type="dxa"/>
            <w:tcBorders>
              <w:bottom w:val="single" w:color="000000" w:sz="4" w:space="0"/>
            </w:tcBorders>
            <w:vAlign w:val="top"/>
          </w:tcPr>
          <w:p>
            <w:pPr>
              <w:pStyle w:val="24"/>
              <w:spacing w:before="141"/>
              <w:rPr>
                <w:rFonts w:hint="eastAsia" w:ascii="宋体" w:hAnsi="宋体" w:eastAsia="宋体" w:cs="宋体"/>
                <w:color w:val="auto"/>
                <w:sz w:val="24"/>
                <w:szCs w:val="22"/>
                <w:lang w:val="zh-TW" w:eastAsia="zh-TW" w:bidi="zh-CN"/>
              </w:rPr>
            </w:pPr>
            <w:r>
              <w:rPr>
                <w:rFonts w:hint="eastAsia" w:ascii="宋体" w:hAnsi="宋体" w:eastAsia="宋体" w:cs="宋体"/>
                <w:color w:val="auto"/>
                <w:sz w:val="24"/>
                <w:szCs w:val="22"/>
                <w:lang w:val="zh-TW" w:eastAsia="zh-TW" w:bidi="zh-CN"/>
              </w:rPr>
              <w:t>进度安排合理、控制措施全面、可操作性强</w:t>
            </w:r>
            <w:r>
              <w:rPr>
                <w:rFonts w:hint="eastAsia" w:cs="宋体"/>
                <w:color w:val="auto"/>
                <w:sz w:val="24"/>
                <w:szCs w:val="22"/>
                <w:lang w:val="en-US" w:eastAsia="zh-CN" w:bidi="zh-CN"/>
              </w:rPr>
              <w:t>4</w:t>
            </w:r>
            <w:r>
              <w:rPr>
                <w:rFonts w:hint="eastAsia" w:ascii="宋体" w:hAnsi="宋体" w:eastAsia="宋体" w:cs="宋体"/>
                <w:color w:val="auto"/>
                <w:sz w:val="24"/>
                <w:szCs w:val="22"/>
                <w:lang w:val="en-US" w:eastAsia="zh-CN" w:bidi="zh-CN"/>
              </w:rPr>
              <w:t>-</w:t>
            </w:r>
            <w:r>
              <w:rPr>
                <w:rFonts w:hint="eastAsia" w:cs="宋体"/>
                <w:color w:val="auto"/>
                <w:sz w:val="24"/>
                <w:szCs w:val="22"/>
                <w:lang w:val="en-US" w:eastAsia="zh-CN" w:bidi="zh-CN"/>
              </w:rPr>
              <w:t>6</w:t>
            </w:r>
            <w:r>
              <w:rPr>
                <w:rFonts w:hint="eastAsia" w:ascii="宋体" w:hAnsi="宋体" w:eastAsia="宋体" w:cs="宋体"/>
                <w:color w:val="auto"/>
                <w:sz w:val="24"/>
                <w:szCs w:val="22"/>
                <w:lang w:val="zh-TW" w:eastAsia="zh-TW" w:bidi="zh-CN"/>
              </w:rPr>
              <w:t>分；</w:t>
            </w:r>
          </w:p>
          <w:p>
            <w:pPr>
              <w:pStyle w:val="24"/>
              <w:spacing w:before="141"/>
              <w:ind w:left="0" w:leftChars="0" w:right="0" w:rightChars="0"/>
              <w:rPr>
                <w:rFonts w:hint="eastAsia" w:ascii="宋体" w:hAnsi="宋体" w:eastAsia="宋体" w:cs="宋体"/>
                <w:sz w:val="24"/>
                <w:szCs w:val="22"/>
                <w:lang w:val="zh-CN" w:eastAsia="zh-CN" w:bidi="zh-CN"/>
              </w:rPr>
            </w:pPr>
            <w:r>
              <w:rPr>
                <w:rFonts w:hint="eastAsia" w:ascii="宋体" w:hAnsi="宋体" w:eastAsia="宋体" w:cs="宋体"/>
                <w:color w:val="auto"/>
                <w:sz w:val="24"/>
                <w:szCs w:val="22"/>
                <w:lang w:val="zh-TW" w:eastAsia="zh-TW" w:bidi="zh-CN"/>
              </w:rPr>
              <w:t>进度安排基本合理、控制措施基本完整、具有一定的可操作性</w:t>
            </w:r>
            <w:r>
              <w:rPr>
                <w:rFonts w:hint="eastAsia" w:ascii="宋体" w:hAnsi="宋体" w:eastAsia="宋体" w:cs="宋体"/>
                <w:color w:val="auto"/>
                <w:sz w:val="24"/>
                <w:szCs w:val="22"/>
                <w:lang w:val="en-US" w:eastAsia="zh-CN" w:bidi="zh-CN"/>
              </w:rPr>
              <w:t>1-</w:t>
            </w:r>
            <w:r>
              <w:rPr>
                <w:rFonts w:hint="eastAsia" w:cs="宋体"/>
                <w:color w:val="auto"/>
                <w:sz w:val="24"/>
                <w:szCs w:val="22"/>
                <w:lang w:val="en-US" w:eastAsia="zh-CN" w:bidi="zh-CN"/>
              </w:rPr>
              <w:t>3</w:t>
            </w:r>
            <w:r>
              <w:rPr>
                <w:rFonts w:hint="eastAsia" w:ascii="宋体" w:hAnsi="宋体" w:eastAsia="宋体" w:cs="宋体"/>
                <w:color w:val="auto"/>
                <w:sz w:val="24"/>
                <w:szCs w:val="22"/>
                <w:lang w:val="zh-TW" w:eastAsia="zh-TW" w:bidi="zh-CN"/>
              </w:rPr>
              <w:t>分</w:t>
            </w:r>
            <w:r>
              <w:rPr>
                <w:rFonts w:hint="eastAsia" w:ascii="宋体" w:hAnsi="宋体" w:eastAsia="宋体" w:cs="宋体"/>
                <w:color w:val="auto"/>
                <w:sz w:val="24"/>
                <w:szCs w:val="22"/>
                <w:lang w:val="zh-TW" w:eastAsia="zh-CN" w:bidi="zh-CN"/>
              </w:rPr>
              <w:t>；</w:t>
            </w:r>
            <w:r>
              <w:rPr>
                <w:rFonts w:hint="eastAsia" w:ascii="宋体" w:hAnsi="宋体" w:eastAsia="宋体" w:cs="宋体"/>
                <w:color w:val="auto"/>
                <w:sz w:val="24"/>
                <w:szCs w:val="22"/>
                <w:lang w:val="zh-TW" w:eastAsia="zh-TW" w:bidi="zh-CN"/>
              </w:rPr>
              <w:t>进度安排不合理、控制措施不全面、无可操作性0分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0" w:hRule="atLeast"/>
        </w:trPr>
        <w:tc>
          <w:tcPr>
            <w:tcW w:w="525" w:type="dxa"/>
            <w:tcBorders>
              <w:top w:val="single" w:color="000000" w:sz="4" w:space="0"/>
              <w:bottom w:val="single" w:color="000000" w:sz="4" w:space="0"/>
            </w:tcBorders>
            <w:vAlign w:val="top"/>
          </w:tcPr>
          <w:p>
            <w:pPr>
              <w:pStyle w:val="24"/>
              <w:jc w:val="center"/>
              <w:rPr>
                <w:rFonts w:hint="eastAsia"/>
                <w:b/>
                <w:w w:val="99"/>
                <w:sz w:val="24"/>
                <w:lang w:val="en-US" w:eastAsia="zh-CN"/>
              </w:rPr>
            </w:pPr>
          </w:p>
          <w:p>
            <w:pPr>
              <w:pStyle w:val="24"/>
              <w:ind w:left="0" w:leftChars="0" w:right="0" w:rightChars="0" w:firstLine="238" w:firstLineChars="100"/>
              <w:jc w:val="center"/>
              <w:rPr>
                <w:rFonts w:hint="eastAsia" w:ascii="宋体" w:hAnsi="宋体" w:eastAsia="宋体" w:cs="宋体"/>
                <w:b/>
                <w:sz w:val="24"/>
                <w:szCs w:val="22"/>
                <w:lang w:val="zh-CN" w:eastAsia="zh-CN" w:bidi="zh-CN"/>
              </w:rPr>
            </w:pPr>
            <w:r>
              <w:rPr>
                <w:rFonts w:hint="eastAsia"/>
                <w:b/>
                <w:w w:val="99"/>
                <w:sz w:val="24"/>
                <w:lang w:val="en-US" w:eastAsia="zh-CN"/>
              </w:rPr>
              <w:t>4</w:t>
            </w:r>
          </w:p>
        </w:tc>
        <w:tc>
          <w:tcPr>
            <w:tcW w:w="1360" w:type="dxa"/>
            <w:tcBorders>
              <w:top w:val="single" w:color="000000" w:sz="4" w:space="0"/>
              <w:bottom w:val="single" w:color="000000" w:sz="4" w:space="0"/>
            </w:tcBorders>
            <w:vAlign w:val="top"/>
          </w:tcPr>
          <w:p>
            <w:pPr>
              <w:pStyle w:val="24"/>
              <w:spacing w:before="205" w:line="364" w:lineRule="auto"/>
              <w:ind w:left="0" w:leftChars="0" w:right="166" w:rightChars="0"/>
              <w:jc w:val="center"/>
              <w:rPr>
                <w:rFonts w:ascii="宋体" w:hAnsi="宋体" w:eastAsia="宋体" w:cs="宋体"/>
                <w:sz w:val="24"/>
                <w:szCs w:val="22"/>
                <w:lang w:val="zh-CN" w:eastAsia="zh-CN" w:bidi="zh-CN"/>
              </w:rPr>
            </w:pPr>
            <w:r>
              <w:rPr>
                <w:sz w:val="24"/>
              </w:rPr>
              <w:t>财务能力和状况</w:t>
            </w:r>
          </w:p>
        </w:tc>
        <w:tc>
          <w:tcPr>
            <w:tcW w:w="1514" w:type="dxa"/>
            <w:tcBorders>
              <w:top w:val="single" w:color="000000" w:sz="4" w:space="0"/>
              <w:bottom w:val="single" w:color="000000" w:sz="4" w:space="0"/>
            </w:tcBorders>
            <w:vAlign w:val="top"/>
          </w:tcPr>
          <w:p>
            <w:pPr>
              <w:pStyle w:val="24"/>
              <w:ind w:right="128"/>
              <w:jc w:val="center"/>
              <w:rPr>
                <w:rFonts w:hint="eastAsia"/>
                <w:sz w:val="24"/>
                <w:lang w:val="en-US" w:eastAsia="zh-CN"/>
              </w:rPr>
            </w:pPr>
          </w:p>
          <w:p>
            <w:pPr>
              <w:pStyle w:val="24"/>
              <w:ind w:left="0" w:leftChars="0" w:right="128" w:rightChars="0"/>
              <w:jc w:val="center"/>
              <w:rPr>
                <w:rFonts w:ascii="宋体" w:hAnsi="宋体" w:eastAsia="宋体" w:cs="宋体"/>
                <w:sz w:val="24"/>
                <w:szCs w:val="22"/>
                <w:lang w:val="zh-CN" w:eastAsia="zh-CN" w:bidi="zh-CN"/>
              </w:rPr>
            </w:pPr>
            <w:r>
              <w:rPr>
                <w:rFonts w:hint="eastAsia"/>
                <w:sz w:val="24"/>
                <w:lang w:val="en-US" w:eastAsia="zh-CN"/>
              </w:rPr>
              <w:t>2</w:t>
            </w:r>
            <w:r>
              <w:rPr>
                <w:sz w:val="24"/>
              </w:rPr>
              <w:t>分</w:t>
            </w:r>
          </w:p>
        </w:tc>
        <w:tc>
          <w:tcPr>
            <w:tcW w:w="7000" w:type="dxa"/>
            <w:tcBorders>
              <w:top w:val="single" w:color="000000" w:sz="4" w:space="0"/>
              <w:bottom w:val="single" w:color="000000" w:sz="4" w:space="0"/>
            </w:tcBorders>
            <w:vAlign w:val="top"/>
          </w:tcPr>
          <w:p>
            <w:pPr>
              <w:pStyle w:val="25"/>
              <w:bidi w:val="0"/>
              <w:rPr>
                <w:rFonts w:ascii="Times New Roman" w:hAnsi="Times New Roman" w:eastAsia="宋体" w:cs="Times New Roman"/>
                <w:color w:val="000000"/>
                <w:sz w:val="24"/>
                <w:szCs w:val="24"/>
                <w:lang w:val="en-US" w:eastAsia="zh-CN" w:bidi="ar-SA"/>
              </w:rPr>
            </w:pPr>
            <w:r>
              <w:rPr>
                <w:rFonts w:hint="eastAsia"/>
                <w:color w:val="auto"/>
                <w:lang w:eastAsia="zh-CN"/>
              </w:rPr>
              <w:t>提供近三年（</w:t>
            </w:r>
            <w:r>
              <w:rPr>
                <w:rFonts w:hint="eastAsia"/>
                <w:color w:val="auto"/>
                <w:lang w:val="en-US" w:eastAsia="zh-CN"/>
              </w:rPr>
              <w:t>2019年--2021年</w:t>
            </w:r>
            <w:r>
              <w:rPr>
                <w:rFonts w:hint="eastAsia"/>
                <w:color w:val="auto"/>
                <w:lang w:eastAsia="zh-CN"/>
              </w:rPr>
              <w:t>）</w:t>
            </w:r>
            <w:r>
              <w:rPr>
                <w:rFonts w:hint="eastAsia"/>
                <w:color w:val="auto"/>
              </w:rPr>
              <w:t>经审计的上年度会计报表资产负债率小于50%的得</w:t>
            </w:r>
            <w:r>
              <w:rPr>
                <w:rFonts w:hint="eastAsia"/>
                <w:color w:val="auto"/>
                <w:lang w:val="en-US" w:eastAsia="zh-CN"/>
              </w:rPr>
              <w:t>2</w:t>
            </w:r>
            <w:r>
              <w:rPr>
                <w:rFonts w:hint="eastAsia"/>
                <w:color w:val="auto"/>
              </w:rPr>
              <w:t>分；≥50%得1分；不提供者或报表未经审计的不得分。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trPr>
        <w:tc>
          <w:tcPr>
            <w:tcW w:w="525" w:type="dxa"/>
            <w:tcBorders>
              <w:top w:val="single" w:color="000000" w:sz="4" w:space="0"/>
              <w:bottom w:val="single" w:color="000000" w:sz="4" w:space="0"/>
            </w:tcBorders>
            <w:vAlign w:val="top"/>
          </w:tcPr>
          <w:p>
            <w:pPr>
              <w:pStyle w:val="24"/>
              <w:ind w:firstLine="238" w:firstLineChars="100"/>
              <w:jc w:val="center"/>
              <w:rPr>
                <w:rFonts w:hint="eastAsia"/>
                <w:b/>
                <w:w w:val="99"/>
                <w:sz w:val="24"/>
                <w:lang w:val="en-US" w:eastAsia="zh-CN"/>
              </w:rPr>
            </w:pPr>
          </w:p>
          <w:p>
            <w:pPr>
              <w:pStyle w:val="24"/>
              <w:ind w:left="0" w:leftChars="0" w:right="0" w:rightChars="0" w:firstLine="238" w:firstLineChars="100"/>
              <w:jc w:val="center"/>
              <w:rPr>
                <w:rFonts w:hint="eastAsia" w:ascii="宋体" w:hAnsi="宋体" w:eastAsia="宋体" w:cs="宋体"/>
                <w:b/>
                <w:w w:val="99"/>
                <w:sz w:val="24"/>
                <w:szCs w:val="22"/>
                <w:lang w:val="en-US" w:eastAsia="zh-CN" w:bidi="zh-CN"/>
              </w:rPr>
            </w:pPr>
            <w:r>
              <w:rPr>
                <w:rFonts w:hint="eastAsia"/>
                <w:b/>
                <w:w w:val="99"/>
                <w:sz w:val="24"/>
                <w:lang w:val="en-US" w:eastAsia="zh-CN"/>
              </w:rPr>
              <w:t>5</w:t>
            </w:r>
          </w:p>
        </w:tc>
        <w:tc>
          <w:tcPr>
            <w:tcW w:w="1360" w:type="dxa"/>
            <w:tcBorders>
              <w:top w:val="single" w:color="000000" w:sz="4" w:space="0"/>
              <w:bottom w:val="single" w:color="000000" w:sz="4" w:space="0"/>
            </w:tcBorders>
            <w:vAlign w:val="top"/>
          </w:tcPr>
          <w:p>
            <w:pPr>
              <w:pStyle w:val="24"/>
              <w:spacing w:before="205" w:line="364" w:lineRule="auto"/>
              <w:ind w:left="0" w:leftChars="0" w:right="166" w:rightChars="0"/>
              <w:jc w:val="center"/>
              <w:rPr>
                <w:rFonts w:ascii="宋体" w:hAnsi="宋体" w:eastAsia="宋体" w:cs="宋体"/>
                <w:sz w:val="24"/>
                <w:szCs w:val="22"/>
                <w:lang w:val="zh-CN" w:eastAsia="zh-CN" w:bidi="zh-CN"/>
              </w:rPr>
            </w:pPr>
            <w:r>
              <w:rPr>
                <w:rFonts w:hint="eastAsia" w:ascii="宋体" w:hAnsi="宋体" w:eastAsia="宋体" w:cs="宋体"/>
                <w:color w:val="auto"/>
                <w:sz w:val="24"/>
                <w:szCs w:val="22"/>
                <w:lang w:val="zh-TW" w:eastAsia="zh-TW" w:bidi="zh-CN"/>
              </w:rPr>
              <w:t>交货期</w:t>
            </w:r>
          </w:p>
        </w:tc>
        <w:tc>
          <w:tcPr>
            <w:tcW w:w="1514" w:type="dxa"/>
            <w:tcBorders>
              <w:top w:val="single" w:color="000000" w:sz="4" w:space="0"/>
              <w:bottom w:val="single" w:color="000000" w:sz="4" w:space="0"/>
            </w:tcBorders>
            <w:vAlign w:val="top"/>
          </w:tcPr>
          <w:p>
            <w:pPr>
              <w:pStyle w:val="24"/>
              <w:ind w:right="128"/>
              <w:jc w:val="center"/>
              <w:rPr>
                <w:rFonts w:hint="eastAsia"/>
                <w:color w:val="auto"/>
                <w:sz w:val="24"/>
                <w:lang w:val="en-US" w:eastAsia="zh-CN"/>
              </w:rPr>
            </w:pPr>
          </w:p>
          <w:p>
            <w:pPr>
              <w:pStyle w:val="24"/>
              <w:ind w:left="0" w:leftChars="0" w:right="128" w:rightChars="0"/>
              <w:jc w:val="center"/>
              <w:rPr>
                <w:rFonts w:hint="default" w:ascii="宋体" w:hAnsi="宋体" w:eastAsia="宋体" w:cs="宋体"/>
                <w:color w:val="auto"/>
                <w:sz w:val="24"/>
                <w:szCs w:val="22"/>
                <w:lang w:val="en-US" w:eastAsia="zh-CN" w:bidi="zh-CN"/>
              </w:rPr>
            </w:pPr>
            <w:r>
              <w:rPr>
                <w:rFonts w:hint="eastAsia"/>
                <w:color w:val="auto"/>
                <w:sz w:val="24"/>
                <w:lang w:val="en-US" w:eastAsia="zh-CN"/>
              </w:rPr>
              <w:t>5分</w:t>
            </w:r>
          </w:p>
        </w:tc>
        <w:tc>
          <w:tcPr>
            <w:tcW w:w="7000" w:type="dxa"/>
            <w:tcBorders>
              <w:top w:val="single" w:color="000000" w:sz="4" w:space="0"/>
              <w:bottom w:val="single" w:color="000000" w:sz="4" w:space="0"/>
            </w:tcBorders>
            <w:vAlign w:val="top"/>
          </w:tcPr>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招标文件要求：合同签订后</w:t>
            </w:r>
            <w:r>
              <w:rPr>
                <w:rFonts w:hint="eastAsia" w:ascii="Times New Roman" w:hAnsi="Times New Roman" w:cs="Times New Roman"/>
                <w:color w:val="auto"/>
                <w:sz w:val="24"/>
                <w:szCs w:val="24"/>
                <w:lang w:val="en-US" w:eastAsia="zh-CN" w:bidi="ar-SA"/>
              </w:rPr>
              <w:t>30</w:t>
            </w:r>
            <w:r>
              <w:rPr>
                <w:rFonts w:hint="eastAsia" w:ascii="Times New Roman" w:hAnsi="Times New Roman" w:eastAsia="宋体" w:cs="Times New Roman"/>
                <w:color w:val="auto"/>
                <w:sz w:val="24"/>
                <w:szCs w:val="24"/>
                <w:lang w:val="en-US" w:eastAsia="zh-CN" w:bidi="ar-SA"/>
              </w:rPr>
              <w:t>日内交货。</w:t>
            </w:r>
          </w:p>
          <w:p>
            <w:pPr>
              <w:pStyle w:val="25"/>
              <w:bidi w:val="0"/>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交货期满足招标人要求</w:t>
            </w:r>
            <w:r>
              <w:rPr>
                <w:rFonts w:hint="eastAsia" w:cs="Times New Roman"/>
                <w:color w:val="auto"/>
                <w:sz w:val="24"/>
                <w:szCs w:val="24"/>
                <w:lang w:val="en-US" w:eastAsia="zh-CN" w:bidi="ar-SA"/>
              </w:rPr>
              <w:t>得3分</w:t>
            </w:r>
            <w:r>
              <w:rPr>
                <w:rFonts w:hint="eastAsia" w:ascii="Times New Roman" w:hAnsi="Times New Roman" w:eastAsia="宋体" w:cs="Times New Roman"/>
                <w:color w:val="auto"/>
                <w:sz w:val="24"/>
                <w:szCs w:val="24"/>
                <w:lang w:val="en-US" w:eastAsia="zh-CN" w:bidi="ar-SA"/>
              </w:rPr>
              <w:t>，每提前</w:t>
            </w:r>
            <w:r>
              <w:rPr>
                <w:rFonts w:hint="eastAsia" w:cs="Times New Roman"/>
                <w:color w:val="auto"/>
                <w:sz w:val="24"/>
                <w:szCs w:val="24"/>
                <w:lang w:val="en-US" w:eastAsia="zh-CN" w:bidi="ar-SA"/>
              </w:rPr>
              <w:t>5</w:t>
            </w:r>
            <w:r>
              <w:rPr>
                <w:rFonts w:hint="eastAsia" w:ascii="Times New Roman" w:hAnsi="Times New Roman" w:eastAsia="宋体" w:cs="Times New Roman"/>
                <w:color w:val="auto"/>
                <w:sz w:val="24"/>
                <w:szCs w:val="24"/>
                <w:lang w:val="en-US" w:eastAsia="zh-CN" w:bidi="ar-SA"/>
              </w:rPr>
              <w:t>日得</w:t>
            </w:r>
            <w:r>
              <w:rPr>
                <w:rFonts w:hint="eastAsia" w:cs="Times New Roman"/>
                <w:color w:val="auto"/>
                <w:sz w:val="24"/>
                <w:szCs w:val="24"/>
                <w:lang w:val="en-US" w:eastAsia="zh-CN" w:bidi="ar-SA"/>
              </w:rPr>
              <w:t>0.5</w:t>
            </w:r>
            <w:r>
              <w:rPr>
                <w:rFonts w:hint="eastAsia" w:ascii="Times New Roman" w:hAnsi="Times New Roman" w:eastAsia="宋体" w:cs="Times New Roman"/>
                <w:color w:val="auto"/>
                <w:sz w:val="24"/>
                <w:szCs w:val="24"/>
                <w:lang w:val="en-US" w:eastAsia="zh-CN" w:bidi="ar-SA"/>
              </w:rPr>
              <w:t>分；最高得</w:t>
            </w:r>
            <w:r>
              <w:rPr>
                <w:rFonts w:hint="eastAsia" w:cs="Times New Roman"/>
                <w:color w:val="auto"/>
                <w:sz w:val="24"/>
                <w:szCs w:val="24"/>
                <w:lang w:val="en-US" w:eastAsia="zh-CN" w:bidi="ar-SA"/>
              </w:rPr>
              <w:t>5</w:t>
            </w:r>
            <w:r>
              <w:rPr>
                <w:rFonts w:hint="eastAsia" w:ascii="Times New Roman" w:hAnsi="Times New Roman" w:eastAsia="宋体" w:cs="Times New Roman"/>
                <w:color w:val="auto"/>
                <w:sz w:val="24"/>
                <w:szCs w:val="24"/>
                <w:lang w:val="en-US" w:eastAsia="zh-CN" w:bidi="ar-SA"/>
              </w:rPr>
              <w:t>分,否则不得分。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 w:hRule="atLeast"/>
        </w:trPr>
        <w:tc>
          <w:tcPr>
            <w:tcW w:w="525" w:type="dxa"/>
            <w:tcBorders>
              <w:top w:val="single" w:color="000000" w:sz="4" w:space="0"/>
              <w:bottom w:val="single" w:color="000000" w:sz="4" w:space="0"/>
            </w:tcBorders>
            <w:vAlign w:val="top"/>
          </w:tcPr>
          <w:p>
            <w:pPr>
              <w:pStyle w:val="24"/>
              <w:spacing w:before="2"/>
              <w:jc w:val="center"/>
              <w:rPr>
                <w:b/>
                <w:sz w:val="19"/>
              </w:rPr>
            </w:pPr>
          </w:p>
          <w:p>
            <w:pPr>
              <w:pStyle w:val="24"/>
              <w:spacing w:before="1"/>
              <w:jc w:val="center"/>
              <w:rPr>
                <w:rFonts w:hint="eastAsia"/>
                <w:b/>
                <w:w w:val="99"/>
                <w:sz w:val="24"/>
                <w:lang w:val="en-US" w:eastAsia="zh-CN"/>
              </w:rPr>
            </w:pPr>
          </w:p>
          <w:p>
            <w:pPr>
              <w:pStyle w:val="24"/>
              <w:spacing w:before="1"/>
              <w:ind w:left="0" w:leftChars="0" w:right="0" w:rightChars="0" w:firstLine="238" w:firstLineChars="100"/>
              <w:jc w:val="center"/>
              <w:rPr>
                <w:rFonts w:hint="default" w:ascii="宋体" w:hAnsi="宋体" w:eastAsia="宋体" w:cs="宋体"/>
                <w:b/>
                <w:sz w:val="24"/>
                <w:szCs w:val="22"/>
                <w:lang w:val="en-US" w:eastAsia="zh-CN" w:bidi="zh-CN"/>
              </w:rPr>
            </w:pPr>
            <w:r>
              <w:rPr>
                <w:rFonts w:hint="eastAsia"/>
                <w:b/>
                <w:w w:val="99"/>
                <w:sz w:val="24"/>
                <w:lang w:val="en-US" w:eastAsia="zh-CN"/>
              </w:rPr>
              <w:t>6</w:t>
            </w:r>
          </w:p>
        </w:tc>
        <w:tc>
          <w:tcPr>
            <w:tcW w:w="1360" w:type="dxa"/>
            <w:tcBorders>
              <w:top w:val="single" w:color="000000" w:sz="4" w:space="0"/>
              <w:bottom w:val="single" w:color="000000" w:sz="4" w:space="0"/>
            </w:tcBorders>
            <w:vAlign w:val="top"/>
          </w:tcPr>
          <w:p>
            <w:pPr>
              <w:pStyle w:val="24"/>
              <w:jc w:val="center"/>
              <w:rPr>
                <w:b/>
                <w:sz w:val="24"/>
              </w:rPr>
            </w:pPr>
          </w:p>
          <w:p>
            <w:pPr>
              <w:pStyle w:val="24"/>
              <w:spacing w:before="1"/>
              <w:ind w:left="0" w:leftChars="0" w:right="166" w:rightChars="0"/>
              <w:jc w:val="center"/>
              <w:rPr>
                <w:rFonts w:ascii="宋体" w:hAnsi="宋体" w:eastAsia="宋体" w:cs="宋体"/>
                <w:sz w:val="24"/>
                <w:szCs w:val="22"/>
                <w:lang w:val="zh-CN" w:eastAsia="zh-CN" w:bidi="zh-CN"/>
              </w:rPr>
            </w:pPr>
            <w:r>
              <w:rPr>
                <w:sz w:val="24"/>
              </w:rPr>
              <w:t>类似业绩</w:t>
            </w:r>
          </w:p>
        </w:tc>
        <w:tc>
          <w:tcPr>
            <w:tcW w:w="1514" w:type="dxa"/>
            <w:tcBorders>
              <w:top w:val="single" w:color="000000" w:sz="4" w:space="0"/>
              <w:bottom w:val="single" w:color="000000" w:sz="4" w:space="0"/>
            </w:tcBorders>
            <w:vAlign w:val="top"/>
          </w:tcPr>
          <w:p>
            <w:pPr>
              <w:pStyle w:val="24"/>
              <w:rPr>
                <w:b/>
                <w:sz w:val="24"/>
              </w:rPr>
            </w:pPr>
          </w:p>
          <w:p>
            <w:pPr>
              <w:pStyle w:val="24"/>
              <w:spacing w:before="1"/>
              <w:ind w:left="0" w:leftChars="0" w:right="128" w:rightChars="0" w:firstLine="480" w:firstLineChars="200"/>
              <w:jc w:val="both"/>
              <w:rPr>
                <w:rFonts w:hint="default" w:ascii="宋体" w:hAnsi="宋体" w:eastAsia="宋体" w:cs="宋体"/>
                <w:sz w:val="24"/>
                <w:szCs w:val="22"/>
                <w:lang w:val="en-US" w:eastAsia="zh-CN" w:bidi="zh-CN"/>
              </w:rPr>
            </w:pPr>
            <w:r>
              <w:rPr>
                <w:rFonts w:hint="eastAsia"/>
                <w:sz w:val="24"/>
                <w:lang w:val="en-US" w:eastAsia="zh-CN"/>
              </w:rPr>
              <w:t>3</w:t>
            </w:r>
            <w:r>
              <w:rPr>
                <w:sz w:val="24"/>
              </w:rPr>
              <w:t>分</w:t>
            </w:r>
          </w:p>
        </w:tc>
        <w:tc>
          <w:tcPr>
            <w:tcW w:w="7000" w:type="dxa"/>
            <w:tcBorders>
              <w:top w:val="single" w:color="000000" w:sz="4" w:space="0"/>
              <w:bottom w:val="single" w:color="000000" w:sz="4" w:space="0"/>
            </w:tcBorders>
            <w:vAlign w:val="top"/>
          </w:tcPr>
          <w:p>
            <w:pPr>
              <w:pStyle w:val="24"/>
              <w:spacing w:line="364" w:lineRule="auto"/>
              <w:ind w:left="0" w:leftChars="0" w:right="114" w:rightChars="0"/>
              <w:rPr>
                <w:rFonts w:hint="eastAsia" w:ascii="宋体" w:hAnsi="宋体" w:eastAsia="宋体" w:cs="宋体"/>
                <w:sz w:val="24"/>
                <w:szCs w:val="22"/>
                <w:lang w:val="zh-CN" w:eastAsia="zh-CN" w:bidi="zh-CN"/>
              </w:rPr>
            </w:pPr>
            <w:r>
              <w:rPr>
                <w:rFonts w:hint="eastAsia"/>
                <w:spacing w:val="-4"/>
                <w:sz w:val="24"/>
                <w:lang w:val="en-US" w:eastAsia="zh-CN"/>
              </w:rPr>
              <w:t>近三年（2019年至2021年）</w:t>
            </w:r>
            <w:r>
              <w:rPr>
                <w:spacing w:val="-4"/>
                <w:sz w:val="24"/>
              </w:rPr>
              <w:t>有类似业绩成功案例的每个加</w:t>
            </w:r>
            <w:r>
              <w:rPr>
                <w:rFonts w:hint="eastAsia"/>
                <w:spacing w:val="-4"/>
                <w:sz w:val="24"/>
                <w:lang w:val="en-US" w:eastAsia="zh-CN"/>
              </w:rPr>
              <w:t>1</w:t>
            </w:r>
            <w:r>
              <w:rPr>
                <w:spacing w:val="-9"/>
                <w:sz w:val="24"/>
              </w:rPr>
              <w:t>分，</w:t>
            </w:r>
            <w:r>
              <w:rPr>
                <w:rFonts w:hint="eastAsia"/>
                <w:spacing w:val="-9"/>
                <w:sz w:val="24"/>
                <w:lang w:val="en-US" w:eastAsia="zh-CN"/>
              </w:rPr>
              <w:t>满分3分，</w:t>
            </w:r>
            <w:r>
              <w:rPr>
                <w:spacing w:val="-9"/>
                <w:sz w:val="24"/>
              </w:rPr>
              <w:t>有完整合同</w:t>
            </w:r>
            <w:r>
              <w:rPr>
                <w:rFonts w:hint="eastAsia"/>
                <w:spacing w:val="-9"/>
                <w:sz w:val="24"/>
                <w:lang w:eastAsia="zh-CN"/>
              </w:rPr>
              <w:t>或中标通知书</w:t>
            </w:r>
            <w:r>
              <w:rPr>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525" w:type="dxa"/>
            <w:tcBorders>
              <w:top w:val="single" w:color="000000" w:sz="4" w:space="0"/>
              <w:bottom w:val="single" w:color="000000" w:sz="4" w:space="0"/>
            </w:tcBorders>
            <w:vAlign w:val="top"/>
          </w:tcPr>
          <w:p>
            <w:pPr>
              <w:pStyle w:val="24"/>
              <w:jc w:val="center"/>
              <w:rPr>
                <w:b/>
                <w:sz w:val="24"/>
              </w:rPr>
            </w:pPr>
          </w:p>
          <w:p>
            <w:pPr>
              <w:pStyle w:val="24"/>
              <w:spacing w:before="11"/>
              <w:jc w:val="center"/>
              <w:rPr>
                <w:b/>
                <w:sz w:val="18"/>
              </w:rPr>
            </w:pPr>
          </w:p>
          <w:p>
            <w:pPr>
              <w:pStyle w:val="24"/>
              <w:spacing w:before="1"/>
              <w:ind w:left="14" w:leftChars="0" w:right="0" w:rightChars="0"/>
              <w:jc w:val="center"/>
              <w:rPr>
                <w:rFonts w:hint="default" w:ascii="宋体" w:hAnsi="宋体" w:eastAsia="宋体" w:cs="宋体"/>
                <w:b/>
                <w:sz w:val="24"/>
                <w:szCs w:val="22"/>
                <w:lang w:val="en-US" w:eastAsia="zh-CN" w:bidi="zh-CN"/>
              </w:rPr>
            </w:pPr>
            <w:r>
              <w:rPr>
                <w:rFonts w:hint="eastAsia"/>
                <w:b/>
                <w:w w:val="99"/>
                <w:sz w:val="24"/>
                <w:lang w:val="en-US" w:eastAsia="zh-CN"/>
              </w:rPr>
              <w:t>7</w:t>
            </w:r>
          </w:p>
        </w:tc>
        <w:tc>
          <w:tcPr>
            <w:tcW w:w="1360" w:type="dxa"/>
            <w:tcBorders>
              <w:top w:val="single" w:color="000000" w:sz="4" w:space="0"/>
              <w:bottom w:val="single" w:color="000000" w:sz="4" w:space="0"/>
            </w:tcBorders>
            <w:vAlign w:val="center"/>
          </w:tcPr>
          <w:p>
            <w:pPr>
              <w:pStyle w:val="24"/>
              <w:spacing w:before="7"/>
              <w:jc w:val="center"/>
              <w:rPr>
                <w:b/>
                <w:sz w:val="24"/>
              </w:rPr>
            </w:pPr>
          </w:p>
          <w:p>
            <w:pPr>
              <w:pStyle w:val="24"/>
              <w:spacing w:line="364" w:lineRule="auto"/>
              <w:ind w:left="661" w:leftChars="0" w:right="166" w:rightChars="0" w:hanging="480" w:firstLineChars="0"/>
              <w:jc w:val="center"/>
              <w:rPr>
                <w:rFonts w:ascii="宋体" w:hAnsi="宋体" w:eastAsia="宋体" w:cs="宋体"/>
                <w:sz w:val="24"/>
                <w:szCs w:val="22"/>
                <w:lang w:val="zh-CN" w:eastAsia="zh-CN" w:bidi="zh-CN"/>
              </w:rPr>
            </w:pPr>
            <w:r>
              <w:rPr>
                <w:sz w:val="24"/>
              </w:rPr>
              <w:t>投标报价件</w:t>
            </w:r>
          </w:p>
        </w:tc>
        <w:tc>
          <w:tcPr>
            <w:tcW w:w="1514" w:type="dxa"/>
            <w:tcBorders>
              <w:top w:val="single" w:color="000000" w:sz="4" w:space="0"/>
              <w:bottom w:val="single" w:color="000000" w:sz="4" w:space="0"/>
            </w:tcBorders>
            <w:vAlign w:val="center"/>
          </w:tcPr>
          <w:p>
            <w:pPr>
              <w:pStyle w:val="24"/>
              <w:spacing w:before="11"/>
              <w:jc w:val="both"/>
              <w:rPr>
                <w:b/>
                <w:sz w:val="18"/>
              </w:rPr>
            </w:pPr>
          </w:p>
          <w:p>
            <w:pPr>
              <w:pStyle w:val="24"/>
              <w:spacing w:before="1"/>
              <w:ind w:left="0" w:leftChars="0" w:right="239" w:rightChars="0"/>
              <w:jc w:val="center"/>
              <w:rPr>
                <w:rFonts w:hint="default" w:ascii="宋体" w:hAnsi="宋体" w:eastAsia="宋体" w:cs="宋体"/>
                <w:sz w:val="24"/>
                <w:szCs w:val="22"/>
                <w:lang w:val="en-US" w:eastAsia="zh-CN" w:bidi="zh-CN"/>
              </w:rPr>
            </w:pPr>
            <w:r>
              <w:rPr>
                <w:rFonts w:hint="eastAsia"/>
                <w:sz w:val="24"/>
                <w:lang w:val="en-US" w:eastAsia="zh-CN"/>
              </w:rPr>
              <w:t>3</w:t>
            </w:r>
            <w:r>
              <w:rPr>
                <w:sz w:val="24"/>
              </w:rPr>
              <w:t>分</w:t>
            </w:r>
          </w:p>
        </w:tc>
        <w:tc>
          <w:tcPr>
            <w:tcW w:w="7000" w:type="dxa"/>
            <w:tcBorders>
              <w:top w:val="single" w:color="000000" w:sz="4" w:space="0"/>
              <w:bottom w:val="single" w:color="000000" w:sz="4" w:space="0"/>
            </w:tcBorders>
            <w:vAlign w:val="top"/>
          </w:tcPr>
          <w:p>
            <w:pPr>
              <w:pStyle w:val="24"/>
              <w:spacing w:before="82" w:line="364" w:lineRule="auto"/>
              <w:ind w:left="108" w:leftChars="0" w:right="138" w:rightChars="0"/>
              <w:jc w:val="left"/>
              <w:rPr>
                <w:rFonts w:hint="default" w:ascii="宋体" w:hAnsi="宋体" w:eastAsia="宋体" w:cs="宋体"/>
                <w:sz w:val="24"/>
                <w:szCs w:val="22"/>
                <w:lang w:val="en-US" w:eastAsia="zh-CN" w:bidi="zh-CN"/>
              </w:rPr>
            </w:pPr>
            <w:r>
              <w:rPr>
                <w:spacing w:val="-1"/>
                <w:sz w:val="24"/>
              </w:rPr>
              <w:t>投标文件有目录和页码、完全响应招标文件制作要求的得</w:t>
            </w:r>
            <w:r>
              <w:rPr>
                <w:rFonts w:hint="eastAsia"/>
                <w:sz w:val="24"/>
                <w:lang w:val="en-US" w:eastAsia="zh-CN"/>
              </w:rPr>
              <w:t>3</w:t>
            </w:r>
            <w:r>
              <w:rPr>
                <w:spacing w:val="-14"/>
                <w:sz w:val="24"/>
              </w:rPr>
              <w:t xml:space="preserve"> 分；基本响应的得 </w:t>
            </w:r>
            <w:r>
              <w:rPr>
                <w:rFonts w:hint="eastAsia"/>
                <w:sz w:val="24"/>
                <w:lang w:val="en-US" w:eastAsia="zh-CN"/>
              </w:rPr>
              <w:t>2</w:t>
            </w:r>
            <w:r>
              <w:rPr>
                <w:spacing w:val="-8"/>
                <w:sz w:val="24"/>
              </w:rPr>
              <w:t xml:space="preserve"> 分；投标文件无目录、无页码或目</w:t>
            </w:r>
            <w:r>
              <w:rPr>
                <w:sz w:val="24"/>
              </w:rPr>
              <w:t>录、页码编号不符合档案管理要求的得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7" w:hRule="atLeast"/>
        </w:trPr>
        <w:tc>
          <w:tcPr>
            <w:tcW w:w="525" w:type="dxa"/>
            <w:tcBorders>
              <w:top w:val="single" w:color="000000" w:sz="4" w:space="0"/>
              <w:bottom w:val="single" w:color="000000" w:sz="4" w:space="0"/>
            </w:tcBorders>
          </w:tcPr>
          <w:p>
            <w:pPr>
              <w:pStyle w:val="24"/>
              <w:spacing w:before="1"/>
              <w:ind w:firstLine="238" w:firstLineChars="100"/>
              <w:jc w:val="center"/>
              <w:rPr>
                <w:rFonts w:hint="eastAsia"/>
                <w:b/>
                <w:w w:val="99"/>
                <w:sz w:val="24"/>
                <w:lang w:val="en-US" w:eastAsia="zh-CN"/>
              </w:rPr>
            </w:pPr>
          </w:p>
          <w:p>
            <w:pPr>
              <w:pStyle w:val="24"/>
              <w:spacing w:before="1"/>
              <w:ind w:firstLine="238" w:firstLineChars="100"/>
              <w:jc w:val="center"/>
              <w:rPr>
                <w:rFonts w:hint="default"/>
                <w:b/>
                <w:w w:val="99"/>
                <w:sz w:val="24"/>
                <w:lang w:val="en-US" w:eastAsia="zh-CN"/>
              </w:rPr>
            </w:pPr>
            <w:r>
              <w:rPr>
                <w:rFonts w:hint="eastAsia"/>
                <w:b/>
                <w:w w:val="99"/>
                <w:sz w:val="24"/>
                <w:lang w:val="en-US" w:eastAsia="zh-CN"/>
              </w:rPr>
              <w:t>8</w:t>
            </w:r>
          </w:p>
        </w:tc>
        <w:tc>
          <w:tcPr>
            <w:tcW w:w="1360" w:type="dxa"/>
            <w:tcBorders>
              <w:top w:val="single" w:color="000000" w:sz="4" w:space="0"/>
              <w:bottom w:val="single" w:color="000000" w:sz="4" w:space="0"/>
            </w:tcBorders>
          </w:tcPr>
          <w:p>
            <w:pPr>
              <w:pStyle w:val="24"/>
              <w:spacing w:before="1"/>
              <w:ind w:right="166"/>
              <w:jc w:val="center"/>
              <w:rPr>
                <w:rFonts w:hint="eastAsia"/>
                <w:sz w:val="24"/>
              </w:rPr>
            </w:pPr>
          </w:p>
          <w:p>
            <w:pPr>
              <w:pStyle w:val="24"/>
              <w:spacing w:before="1"/>
              <w:ind w:right="166"/>
              <w:jc w:val="center"/>
              <w:rPr>
                <w:sz w:val="24"/>
              </w:rPr>
            </w:pPr>
            <w:r>
              <w:rPr>
                <w:rFonts w:hint="eastAsia"/>
                <w:sz w:val="24"/>
              </w:rPr>
              <w:t>培训计划</w:t>
            </w:r>
          </w:p>
        </w:tc>
        <w:tc>
          <w:tcPr>
            <w:tcW w:w="1514" w:type="dxa"/>
            <w:tcBorders>
              <w:top w:val="single" w:color="000000" w:sz="4" w:space="0"/>
            </w:tcBorders>
          </w:tcPr>
          <w:p>
            <w:pPr>
              <w:pStyle w:val="24"/>
              <w:spacing w:before="1"/>
              <w:ind w:right="128" w:firstLine="480" w:firstLineChars="200"/>
              <w:jc w:val="both"/>
              <w:rPr>
                <w:rFonts w:hint="eastAsia"/>
                <w:sz w:val="24"/>
                <w:lang w:val="en-US" w:eastAsia="zh-CN"/>
              </w:rPr>
            </w:pPr>
          </w:p>
          <w:p>
            <w:pPr>
              <w:pStyle w:val="24"/>
              <w:spacing w:before="1"/>
              <w:ind w:right="128" w:firstLine="480" w:firstLineChars="200"/>
              <w:jc w:val="both"/>
              <w:rPr>
                <w:rFonts w:hint="default"/>
                <w:sz w:val="24"/>
                <w:lang w:val="en-US" w:eastAsia="zh-CN"/>
              </w:rPr>
            </w:pPr>
            <w:r>
              <w:rPr>
                <w:rFonts w:hint="eastAsia"/>
                <w:sz w:val="24"/>
                <w:lang w:val="en-US" w:eastAsia="zh-CN"/>
              </w:rPr>
              <w:t>3分</w:t>
            </w:r>
          </w:p>
        </w:tc>
        <w:tc>
          <w:tcPr>
            <w:tcW w:w="7000" w:type="dxa"/>
            <w:tcBorders>
              <w:top w:val="single" w:color="000000" w:sz="4" w:space="0"/>
            </w:tcBorders>
          </w:tcPr>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培训要求：有详细的培训计划；通过培训能够熟练操作、安全</w:t>
            </w:r>
            <w:r>
              <w:rPr>
                <w:rFonts w:hint="eastAsia" w:ascii="Times New Roman" w:hAnsi="Times New Roman" w:cs="Times New Roman"/>
                <w:color w:val="auto"/>
                <w:sz w:val="24"/>
                <w:szCs w:val="24"/>
                <w:lang w:val="en-US" w:eastAsia="zh-CN" w:bidi="ar-SA"/>
              </w:rPr>
              <w:t>操作</w:t>
            </w:r>
            <w:r>
              <w:rPr>
                <w:rFonts w:hint="eastAsia" w:ascii="Times New Roman" w:hAnsi="Times New Roman" w:eastAsia="宋体" w:cs="Times New Roman"/>
                <w:color w:val="auto"/>
                <w:sz w:val="24"/>
                <w:szCs w:val="24"/>
                <w:lang w:val="en-US" w:eastAsia="zh-CN" w:bidi="ar-SA"/>
              </w:rPr>
              <w:t>；了解机械的结构配置，</w:t>
            </w:r>
            <w:r>
              <w:rPr>
                <w:rFonts w:hint="eastAsia" w:ascii="Times New Roman" w:hAnsi="Times New Roman" w:cs="Times New Roman"/>
                <w:color w:val="auto"/>
                <w:sz w:val="24"/>
                <w:szCs w:val="24"/>
                <w:lang w:val="en-US" w:eastAsia="zh-CN" w:bidi="ar-SA"/>
              </w:rPr>
              <w:t>操作人员</w:t>
            </w:r>
            <w:r>
              <w:rPr>
                <w:rFonts w:hint="eastAsia" w:ascii="Times New Roman" w:hAnsi="Times New Roman" w:eastAsia="宋体" w:cs="Times New Roman"/>
                <w:color w:val="auto"/>
                <w:sz w:val="24"/>
                <w:szCs w:val="24"/>
                <w:lang w:val="en-US" w:eastAsia="zh-CN" w:bidi="ar-SA"/>
              </w:rPr>
              <w:t>对机械故障情况有一定的了解；有培训后的机械使用指导和讲解支持。</w:t>
            </w:r>
          </w:p>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培训方案完全满足本项目培训要求的得1分；</w:t>
            </w:r>
          </w:p>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培训方案基本满足本项目培训要求的得1分；</w:t>
            </w:r>
          </w:p>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培训方式新颖且通俗易懂方便</w:t>
            </w:r>
            <w:r>
              <w:rPr>
                <w:rFonts w:hint="eastAsia" w:ascii="Times New Roman" w:hAnsi="Times New Roman" w:cs="Times New Roman"/>
                <w:color w:val="auto"/>
                <w:sz w:val="24"/>
                <w:szCs w:val="24"/>
                <w:lang w:val="en-US" w:eastAsia="zh-CN" w:bidi="ar-SA"/>
              </w:rPr>
              <w:t>操作人员</w:t>
            </w:r>
            <w:r>
              <w:rPr>
                <w:rFonts w:hint="eastAsia" w:ascii="Times New Roman" w:hAnsi="Times New Roman" w:eastAsia="宋体" w:cs="Times New Roman"/>
                <w:color w:val="auto"/>
                <w:sz w:val="24"/>
                <w:szCs w:val="24"/>
                <w:lang w:val="en-US" w:eastAsia="zh-CN" w:bidi="ar-SA"/>
              </w:rPr>
              <w:t>掌握机械情况的加1分；</w:t>
            </w:r>
          </w:p>
          <w:p>
            <w:pPr>
              <w:spacing w:line="300" w:lineRule="auto"/>
              <w:jc w:val="left"/>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培训时间短且效率高的加1分。</w:t>
            </w:r>
          </w:p>
          <w:p>
            <w:pPr>
              <w:pStyle w:val="24"/>
              <w:spacing w:line="364" w:lineRule="auto"/>
              <w:ind w:right="114"/>
              <w:rPr>
                <w:rFonts w:hint="eastAsia"/>
                <w:spacing w:val="-4"/>
                <w:sz w:val="24"/>
                <w:lang w:val="en-US" w:eastAsia="zh-CN"/>
              </w:rPr>
            </w:pPr>
            <w:r>
              <w:rPr>
                <w:rFonts w:hint="eastAsia" w:ascii="Times New Roman" w:hAnsi="Times New Roman" w:eastAsia="宋体" w:cs="Times New Roman"/>
                <w:color w:val="auto"/>
                <w:sz w:val="24"/>
                <w:szCs w:val="24"/>
                <w:lang w:val="en-US" w:eastAsia="zh-CN" w:bidi="ar-SA"/>
              </w:rPr>
              <w:t>本项满分共3分。</w:t>
            </w:r>
          </w:p>
        </w:tc>
      </w:tr>
    </w:tbl>
    <w:p>
      <w:pPr>
        <w:pStyle w:val="5"/>
        <w:spacing w:before="91"/>
      </w:pPr>
      <w:r>
        <w:t>评审专家（签字）：</w:t>
      </w:r>
    </w:p>
    <w:p>
      <w:pPr>
        <w:pStyle w:val="17"/>
        <w:ind w:left="0" w:leftChars="0" w:firstLine="0" w:firstLineChars="0"/>
        <w:rPr>
          <w:b/>
          <w:sz w:val="32"/>
        </w:rPr>
      </w:pPr>
    </w:p>
    <w:p>
      <w:pPr>
        <w:spacing w:before="55"/>
        <w:ind w:left="0" w:right="610" w:firstLine="0"/>
        <w:jc w:val="center"/>
        <w:rPr>
          <w:rFonts w:hint="eastAsia"/>
          <w:b/>
          <w:sz w:val="32"/>
          <w:lang w:val="en-US" w:eastAsia="zh-CN"/>
        </w:rPr>
      </w:pPr>
    </w:p>
    <w:p>
      <w:pPr>
        <w:spacing w:before="55"/>
        <w:ind w:left="0" w:right="610" w:firstLine="0"/>
        <w:jc w:val="center"/>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spacing w:before="55"/>
        <w:ind w:left="0" w:right="610" w:firstLine="0"/>
        <w:jc w:val="center"/>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pStyle w:val="2"/>
        <w:rPr>
          <w:rFonts w:hint="eastAsia"/>
          <w:b/>
          <w:sz w:val="32"/>
          <w:lang w:val="en-US" w:eastAsia="zh-CN"/>
        </w:rPr>
      </w:pPr>
    </w:p>
    <w:p>
      <w:pPr>
        <w:spacing w:before="55"/>
        <w:ind w:left="0" w:right="610" w:firstLine="0"/>
        <w:jc w:val="both"/>
        <w:rPr>
          <w:rFonts w:hint="eastAsia"/>
          <w:b/>
          <w:sz w:val="32"/>
          <w:lang w:val="en-US" w:eastAsia="zh-CN"/>
        </w:rPr>
      </w:pPr>
    </w:p>
    <w:p>
      <w:pPr>
        <w:spacing w:before="55"/>
        <w:ind w:left="0" w:right="610" w:firstLine="0"/>
        <w:jc w:val="center"/>
        <w:rPr>
          <w:b/>
          <w:sz w:val="32"/>
        </w:rPr>
      </w:pPr>
      <w:r>
        <w:rPr>
          <w:rFonts w:hint="eastAsia"/>
          <w:b/>
          <w:sz w:val="32"/>
          <w:lang w:val="en-US" w:eastAsia="zh-CN"/>
        </w:rPr>
        <w:t xml:space="preserve">  </w:t>
      </w:r>
      <w:r>
        <w:rPr>
          <w:b/>
          <w:sz w:val="32"/>
        </w:rPr>
        <w:t>价格评标（分）记录明细表</w:t>
      </w:r>
    </w:p>
    <w:p>
      <w:pPr>
        <w:pStyle w:val="10"/>
        <w:spacing w:before="4"/>
        <w:ind w:left="0"/>
        <w:rPr>
          <w:b/>
          <w:sz w:val="8"/>
        </w:rPr>
      </w:pPr>
    </w:p>
    <w:tbl>
      <w:tblPr>
        <w:tblStyle w:val="18"/>
        <w:tblW w:w="0" w:type="auto"/>
        <w:tblInd w:w="-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968"/>
        <w:gridCol w:w="836"/>
        <w:gridCol w:w="3600"/>
        <w:gridCol w:w="841"/>
        <w:gridCol w:w="3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32" w:type="dxa"/>
            <w:tcBorders>
              <w:left w:val="single" w:color="000000" w:sz="6" w:space="0"/>
              <w:right w:val="single" w:color="000000" w:sz="6" w:space="0"/>
            </w:tcBorders>
            <w:vAlign w:val="center"/>
          </w:tcPr>
          <w:p>
            <w:pPr>
              <w:pStyle w:val="24"/>
              <w:spacing w:before="81"/>
              <w:ind w:left="108"/>
              <w:jc w:val="center"/>
              <w:rPr>
                <w:b/>
                <w:color w:val="auto"/>
                <w:sz w:val="24"/>
              </w:rPr>
            </w:pPr>
            <w:r>
              <w:rPr>
                <w:b/>
                <w:color w:val="auto"/>
                <w:w w:val="99"/>
                <w:sz w:val="24"/>
              </w:rPr>
              <w:t>序</w:t>
            </w:r>
          </w:p>
          <w:p>
            <w:pPr>
              <w:pStyle w:val="24"/>
              <w:spacing w:before="160"/>
              <w:ind w:left="108"/>
              <w:jc w:val="center"/>
              <w:rPr>
                <w:b/>
                <w:color w:val="auto"/>
                <w:sz w:val="24"/>
              </w:rPr>
            </w:pPr>
            <w:r>
              <w:rPr>
                <w:b/>
                <w:color w:val="auto"/>
                <w:w w:val="99"/>
                <w:sz w:val="24"/>
              </w:rPr>
              <w:t>号</w:t>
            </w:r>
          </w:p>
        </w:tc>
        <w:tc>
          <w:tcPr>
            <w:tcW w:w="968" w:type="dxa"/>
            <w:tcBorders>
              <w:left w:val="single" w:color="000000" w:sz="6" w:space="0"/>
              <w:right w:val="single" w:color="000000" w:sz="6" w:space="0"/>
            </w:tcBorders>
            <w:vAlign w:val="center"/>
          </w:tcPr>
          <w:p>
            <w:pPr>
              <w:pStyle w:val="24"/>
              <w:spacing w:before="81"/>
              <w:ind w:left="210"/>
              <w:jc w:val="center"/>
              <w:rPr>
                <w:b/>
                <w:color w:val="auto"/>
                <w:sz w:val="24"/>
              </w:rPr>
            </w:pPr>
            <w:r>
              <w:rPr>
                <w:b/>
                <w:color w:val="auto"/>
                <w:w w:val="95"/>
                <w:sz w:val="24"/>
              </w:rPr>
              <w:t>考核</w:t>
            </w:r>
          </w:p>
          <w:p>
            <w:pPr>
              <w:pStyle w:val="24"/>
              <w:spacing w:before="160"/>
              <w:ind w:left="210"/>
              <w:jc w:val="center"/>
              <w:rPr>
                <w:b/>
                <w:color w:val="auto"/>
                <w:sz w:val="24"/>
              </w:rPr>
            </w:pPr>
            <w:r>
              <w:rPr>
                <w:b/>
                <w:color w:val="auto"/>
                <w:w w:val="95"/>
                <w:sz w:val="24"/>
              </w:rPr>
              <w:t>项目</w:t>
            </w:r>
          </w:p>
        </w:tc>
        <w:tc>
          <w:tcPr>
            <w:tcW w:w="836" w:type="dxa"/>
            <w:tcBorders>
              <w:left w:val="single" w:color="000000" w:sz="6" w:space="0"/>
              <w:right w:val="single" w:color="000000" w:sz="6" w:space="0"/>
            </w:tcBorders>
            <w:vAlign w:val="center"/>
          </w:tcPr>
          <w:p>
            <w:pPr>
              <w:pStyle w:val="24"/>
              <w:spacing w:before="81"/>
              <w:ind w:left="119"/>
              <w:jc w:val="center"/>
              <w:rPr>
                <w:b/>
                <w:color w:val="auto"/>
                <w:sz w:val="24"/>
              </w:rPr>
            </w:pPr>
            <w:r>
              <w:rPr>
                <w:b/>
                <w:color w:val="auto"/>
                <w:w w:val="95"/>
                <w:sz w:val="24"/>
              </w:rPr>
              <w:t>分数</w:t>
            </w:r>
          </w:p>
          <w:p>
            <w:pPr>
              <w:pStyle w:val="24"/>
              <w:spacing w:before="160"/>
              <w:ind w:left="119"/>
              <w:jc w:val="center"/>
              <w:rPr>
                <w:b/>
                <w:color w:val="auto"/>
                <w:sz w:val="24"/>
              </w:rPr>
            </w:pPr>
            <w:r>
              <w:rPr>
                <w:b/>
                <w:color w:val="auto"/>
                <w:w w:val="95"/>
                <w:sz w:val="24"/>
              </w:rPr>
              <w:t>标准</w:t>
            </w:r>
          </w:p>
        </w:tc>
        <w:tc>
          <w:tcPr>
            <w:tcW w:w="3600" w:type="dxa"/>
            <w:tcBorders>
              <w:left w:val="single" w:color="000000" w:sz="6" w:space="0"/>
              <w:right w:val="single" w:color="000000" w:sz="6" w:space="0"/>
            </w:tcBorders>
            <w:vAlign w:val="center"/>
          </w:tcPr>
          <w:p>
            <w:pPr>
              <w:pStyle w:val="24"/>
              <w:spacing w:before="160"/>
              <w:ind w:left="94" w:right="81"/>
              <w:jc w:val="center"/>
              <w:rPr>
                <w:color w:val="auto"/>
                <w:sz w:val="24"/>
              </w:rPr>
            </w:pPr>
            <w:r>
              <w:rPr>
                <w:b/>
                <w:color w:val="auto"/>
                <w:sz w:val="24"/>
              </w:rPr>
              <w:t>评分标准</w:t>
            </w:r>
          </w:p>
        </w:tc>
        <w:tc>
          <w:tcPr>
            <w:tcW w:w="841" w:type="dxa"/>
            <w:tcBorders>
              <w:top w:val="single" w:color="000000" w:sz="6" w:space="0"/>
              <w:left w:val="single" w:color="000000" w:sz="6" w:space="0"/>
              <w:bottom w:val="single" w:color="000000" w:sz="6" w:space="0"/>
              <w:right w:val="single" w:color="000000" w:sz="6" w:space="0"/>
            </w:tcBorders>
            <w:vAlign w:val="center"/>
          </w:tcPr>
          <w:p>
            <w:pPr>
              <w:pStyle w:val="24"/>
              <w:spacing w:before="8"/>
              <w:jc w:val="center"/>
              <w:rPr>
                <w:b/>
                <w:color w:val="auto"/>
                <w:sz w:val="24"/>
              </w:rPr>
            </w:pPr>
          </w:p>
          <w:p>
            <w:pPr>
              <w:pStyle w:val="24"/>
              <w:spacing w:before="1"/>
              <w:ind w:right="115"/>
              <w:jc w:val="center"/>
              <w:rPr>
                <w:b/>
                <w:color w:val="auto"/>
                <w:sz w:val="24"/>
              </w:rPr>
            </w:pPr>
            <w:r>
              <w:rPr>
                <w:rFonts w:hint="eastAsia"/>
                <w:b/>
                <w:color w:val="auto"/>
                <w:w w:val="95"/>
                <w:sz w:val="24"/>
                <w:lang w:val="en-US" w:eastAsia="zh-CN"/>
              </w:rPr>
              <w:t xml:space="preserve"> </w:t>
            </w:r>
            <w:r>
              <w:rPr>
                <w:b/>
                <w:color w:val="auto"/>
                <w:w w:val="95"/>
                <w:sz w:val="24"/>
              </w:rPr>
              <w:t>得分</w:t>
            </w:r>
          </w:p>
        </w:tc>
        <w:tc>
          <w:tcPr>
            <w:tcW w:w="3382" w:type="dxa"/>
            <w:tcBorders>
              <w:top w:val="single" w:color="000000" w:sz="6" w:space="0"/>
              <w:left w:val="single" w:color="000000" w:sz="6" w:space="0"/>
              <w:bottom w:val="single" w:color="000000" w:sz="6" w:space="0"/>
              <w:right w:val="single" w:color="000000" w:sz="6" w:space="0"/>
            </w:tcBorders>
            <w:vAlign w:val="center"/>
          </w:tcPr>
          <w:p>
            <w:pPr>
              <w:pStyle w:val="24"/>
              <w:spacing w:before="81"/>
              <w:jc w:val="center"/>
              <w:rPr>
                <w:b/>
                <w:color w:val="auto"/>
                <w:sz w:val="24"/>
              </w:rPr>
            </w:pPr>
            <w:r>
              <w:rPr>
                <w:b/>
                <w:color w:val="auto"/>
                <w:sz w:val="24"/>
              </w:rPr>
              <w:t>具体评估（价）的依据及理由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832" w:type="dxa"/>
            <w:tcBorders>
              <w:left w:val="single" w:color="000000" w:sz="6" w:space="0"/>
              <w:right w:val="single" w:color="000000" w:sz="6" w:space="0"/>
            </w:tcBorders>
          </w:tcPr>
          <w:p>
            <w:pPr>
              <w:pStyle w:val="24"/>
              <w:spacing w:before="138"/>
              <w:ind w:left="38"/>
              <w:jc w:val="center"/>
              <w:rPr>
                <w:b/>
                <w:color w:val="auto"/>
                <w:sz w:val="24"/>
              </w:rPr>
            </w:pPr>
            <w:r>
              <w:rPr>
                <w:b/>
                <w:color w:val="auto"/>
                <w:w w:val="99"/>
                <w:sz w:val="24"/>
              </w:rPr>
              <w:t>四</w:t>
            </w:r>
          </w:p>
        </w:tc>
        <w:tc>
          <w:tcPr>
            <w:tcW w:w="968" w:type="dxa"/>
            <w:tcBorders>
              <w:left w:val="single" w:color="000000" w:sz="6" w:space="0"/>
              <w:right w:val="single" w:color="000000" w:sz="6" w:space="0"/>
            </w:tcBorders>
          </w:tcPr>
          <w:p>
            <w:pPr>
              <w:pStyle w:val="24"/>
              <w:spacing w:before="138"/>
              <w:ind w:left="210"/>
              <w:rPr>
                <w:b/>
                <w:color w:val="auto"/>
                <w:sz w:val="24"/>
              </w:rPr>
            </w:pPr>
            <w:r>
              <w:rPr>
                <w:b/>
                <w:color w:val="auto"/>
                <w:sz w:val="24"/>
              </w:rPr>
              <w:t>报价</w:t>
            </w:r>
          </w:p>
        </w:tc>
        <w:tc>
          <w:tcPr>
            <w:tcW w:w="836" w:type="dxa"/>
            <w:tcBorders>
              <w:left w:val="single" w:color="000000" w:sz="6" w:space="0"/>
              <w:right w:val="single" w:color="000000" w:sz="6" w:space="0"/>
            </w:tcBorders>
          </w:tcPr>
          <w:p>
            <w:pPr>
              <w:pStyle w:val="24"/>
              <w:spacing w:before="138"/>
              <w:ind w:left="239"/>
              <w:rPr>
                <w:b/>
                <w:color w:val="auto"/>
                <w:sz w:val="24"/>
              </w:rPr>
            </w:pPr>
            <w:r>
              <w:rPr>
                <w:b/>
                <w:color w:val="auto"/>
                <w:sz w:val="24"/>
              </w:rPr>
              <w:t>30</w:t>
            </w:r>
          </w:p>
        </w:tc>
        <w:tc>
          <w:tcPr>
            <w:tcW w:w="3600" w:type="dxa"/>
            <w:tcBorders>
              <w:left w:val="single" w:color="000000" w:sz="6" w:space="0"/>
              <w:right w:val="single" w:color="000000" w:sz="6" w:space="0"/>
            </w:tcBorders>
          </w:tcPr>
          <w:p>
            <w:pPr>
              <w:pStyle w:val="24"/>
              <w:spacing w:before="138"/>
              <w:ind w:left="107"/>
              <w:rPr>
                <w:b/>
                <w:color w:val="auto"/>
                <w:sz w:val="24"/>
              </w:rPr>
            </w:pPr>
            <w:r>
              <w:rPr>
                <w:b/>
                <w:color w:val="auto"/>
                <w:sz w:val="24"/>
              </w:rPr>
              <w:t>具体按下列标准要求进行评审</w:t>
            </w:r>
          </w:p>
        </w:tc>
        <w:tc>
          <w:tcPr>
            <w:tcW w:w="841" w:type="dxa"/>
            <w:tcBorders>
              <w:top w:val="single" w:color="000000" w:sz="6" w:space="0"/>
              <w:left w:val="single" w:color="000000" w:sz="6" w:space="0"/>
              <w:bottom w:val="single" w:color="000000" w:sz="6" w:space="0"/>
              <w:right w:val="single" w:color="000000" w:sz="6" w:space="0"/>
            </w:tcBorders>
          </w:tcPr>
          <w:p>
            <w:pPr>
              <w:pStyle w:val="24"/>
              <w:spacing w:before="138"/>
              <w:ind w:right="103"/>
              <w:jc w:val="center"/>
              <w:rPr>
                <w:b/>
                <w:color w:val="auto"/>
                <w:sz w:val="24"/>
              </w:rPr>
            </w:pPr>
            <w:r>
              <w:rPr>
                <w:rFonts w:hint="eastAsia"/>
                <w:b/>
                <w:color w:val="auto"/>
                <w:w w:val="95"/>
                <w:sz w:val="24"/>
                <w:lang w:val="en-US" w:eastAsia="zh-CN"/>
              </w:rPr>
              <w:t xml:space="preserve"> </w:t>
            </w:r>
            <w:r>
              <w:rPr>
                <w:b/>
                <w:color w:val="auto"/>
                <w:w w:val="95"/>
                <w:sz w:val="24"/>
              </w:rPr>
              <w:t>得分</w:t>
            </w:r>
          </w:p>
        </w:tc>
        <w:tc>
          <w:tcPr>
            <w:tcW w:w="3382" w:type="dxa"/>
            <w:tcBorders>
              <w:top w:val="single" w:color="000000" w:sz="6" w:space="0"/>
              <w:left w:val="single" w:color="000000" w:sz="6" w:space="0"/>
              <w:bottom w:val="single" w:color="000000" w:sz="6" w:space="0"/>
              <w:right w:val="single" w:color="000000" w:sz="6" w:space="0"/>
            </w:tcBorders>
          </w:tcPr>
          <w:p>
            <w:pPr>
              <w:pStyle w:val="24"/>
              <w:spacing w:before="138"/>
              <w:ind w:left="1914"/>
              <w:rPr>
                <w:b/>
                <w:color w:val="auto"/>
                <w:sz w:val="24"/>
              </w:rPr>
            </w:pPr>
            <w:r>
              <w:rPr>
                <w:b/>
                <w:color w:val="auto"/>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3" w:hRule="atLeast"/>
        </w:trPr>
        <w:tc>
          <w:tcPr>
            <w:tcW w:w="832" w:type="dxa"/>
            <w:tcBorders>
              <w:left w:val="single" w:color="000000" w:sz="6" w:space="0"/>
              <w:right w:val="single" w:color="000000" w:sz="6" w:space="0"/>
            </w:tcBorders>
          </w:tcPr>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spacing w:before="8"/>
              <w:rPr>
                <w:b/>
                <w:color w:val="auto"/>
                <w:sz w:val="26"/>
              </w:rPr>
            </w:pPr>
          </w:p>
          <w:p>
            <w:pPr>
              <w:pStyle w:val="24"/>
              <w:ind w:left="14"/>
              <w:jc w:val="center"/>
              <w:rPr>
                <w:b/>
                <w:color w:val="auto"/>
                <w:sz w:val="24"/>
              </w:rPr>
            </w:pPr>
            <w:r>
              <w:rPr>
                <w:b/>
                <w:color w:val="auto"/>
                <w:w w:val="99"/>
                <w:sz w:val="24"/>
              </w:rPr>
              <w:t>1</w:t>
            </w:r>
          </w:p>
        </w:tc>
        <w:tc>
          <w:tcPr>
            <w:tcW w:w="968" w:type="dxa"/>
            <w:tcBorders>
              <w:left w:val="single" w:color="000000" w:sz="6" w:space="0"/>
              <w:right w:val="single" w:color="000000" w:sz="6" w:space="0"/>
            </w:tcBorders>
          </w:tcPr>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spacing w:before="6"/>
              <w:rPr>
                <w:b/>
                <w:color w:val="auto"/>
                <w:sz w:val="32"/>
              </w:rPr>
            </w:pPr>
          </w:p>
          <w:p>
            <w:pPr>
              <w:pStyle w:val="24"/>
              <w:spacing w:line="364" w:lineRule="auto"/>
              <w:ind w:left="210" w:right="192"/>
              <w:rPr>
                <w:color w:val="auto"/>
                <w:sz w:val="24"/>
              </w:rPr>
            </w:pPr>
            <w:r>
              <w:rPr>
                <w:color w:val="auto"/>
                <w:sz w:val="24"/>
              </w:rPr>
              <w:t>最终报价</w:t>
            </w:r>
          </w:p>
        </w:tc>
        <w:tc>
          <w:tcPr>
            <w:tcW w:w="836" w:type="dxa"/>
            <w:tcBorders>
              <w:left w:val="single" w:color="000000" w:sz="6" w:space="0"/>
              <w:right w:val="single" w:color="000000" w:sz="6" w:space="0"/>
            </w:tcBorders>
          </w:tcPr>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rPr>
                <w:b/>
                <w:color w:val="auto"/>
                <w:sz w:val="24"/>
              </w:rPr>
            </w:pPr>
          </w:p>
          <w:p>
            <w:pPr>
              <w:pStyle w:val="24"/>
              <w:spacing w:before="6"/>
              <w:rPr>
                <w:b/>
                <w:color w:val="auto"/>
                <w:sz w:val="32"/>
              </w:rPr>
            </w:pPr>
          </w:p>
          <w:p>
            <w:pPr>
              <w:pStyle w:val="24"/>
              <w:ind w:left="239"/>
              <w:rPr>
                <w:color w:val="auto"/>
                <w:sz w:val="24"/>
              </w:rPr>
            </w:pPr>
            <w:r>
              <w:rPr>
                <w:color w:val="auto"/>
                <w:sz w:val="24"/>
              </w:rPr>
              <w:t>30</w:t>
            </w:r>
          </w:p>
          <w:p>
            <w:pPr>
              <w:pStyle w:val="24"/>
              <w:spacing w:before="161"/>
              <w:ind w:left="239"/>
              <w:rPr>
                <w:color w:val="auto"/>
                <w:sz w:val="24"/>
              </w:rPr>
            </w:pPr>
            <w:r>
              <w:rPr>
                <w:color w:val="auto"/>
                <w:sz w:val="24"/>
              </w:rPr>
              <w:t>分</w:t>
            </w:r>
          </w:p>
        </w:tc>
        <w:tc>
          <w:tcPr>
            <w:tcW w:w="3600" w:type="dxa"/>
            <w:tcBorders>
              <w:left w:val="single" w:color="000000" w:sz="6" w:space="0"/>
              <w:right w:val="single" w:color="000000" w:sz="6" w:space="0"/>
            </w:tcBorders>
          </w:tcPr>
          <w:p>
            <w:pPr>
              <w:pStyle w:val="24"/>
              <w:spacing w:before="82" w:line="364" w:lineRule="auto"/>
              <w:ind w:left="107" w:right="91"/>
              <w:jc w:val="both"/>
              <w:rPr>
                <w:color w:val="auto"/>
                <w:sz w:val="24"/>
              </w:rPr>
            </w:pPr>
            <w:r>
              <w:rPr>
                <w:color w:val="auto"/>
                <w:sz w:val="24"/>
              </w:rPr>
              <w:t>价格分应当采用低价优先法计算，即满足招标文件要求且投标价格最低的投标报价为评标基准价，其价格分为满分。其他投标人的价格分统一按照下列公式计算：投标报价得分=(评标基准价／ 投标报价)×100×30%</w:t>
            </w:r>
          </w:p>
          <w:p>
            <w:pPr>
              <w:pStyle w:val="24"/>
              <w:spacing w:before="2"/>
              <w:ind w:left="107"/>
              <w:rPr>
                <w:color w:val="auto"/>
                <w:sz w:val="24"/>
              </w:rPr>
            </w:pPr>
            <w:r>
              <w:rPr>
                <w:color w:val="auto"/>
                <w:sz w:val="24"/>
              </w:rPr>
              <w:t>评估具体依据和理由用其报价金</w:t>
            </w:r>
          </w:p>
          <w:p>
            <w:pPr>
              <w:pStyle w:val="24"/>
              <w:spacing w:before="160"/>
              <w:ind w:left="107"/>
              <w:rPr>
                <w:color w:val="auto"/>
                <w:sz w:val="24"/>
              </w:rPr>
            </w:pPr>
            <w:r>
              <w:rPr>
                <w:color w:val="auto"/>
                <w:sz w:val="24"/>
              </w:rPr>
              <w:t>额表述。</w:t>
            </w:r>
          </w:p>
        </w:tc>
        <w:tc>
          <w:tcPr>
            <w:tcW w:w="841" w:type="dxa"/>
            <w:tcBorders>
              <w:top w:val="single" w:color="000000" w:sz="6" w:space="0"/>
              <w:left w:val="single" w:color="000000" w:sz="6" w:space="0"/>
              <w:bottom w:val="single" w:color="000000" w:sz="6" w:space="0"/>
              <w:right w:val="single" w:color="000000" w:sz="6" w:space="0"/>
            </w:tcBorders>
          </w:tcPr>
          <w:p>
            <w:pPr>
              <w:pStyle w:val="24"/>
              <w:rPr>
                <w:rFonts w:ascii="Times New Roman"/>
                <w:color w:val="auto"/>
                <w:sz w:val="24"/>
              </w:rPr>
            </w:pPr>
          </w:p>
        </w:tc>
        <w:tc>
          <w:tcPr>
            <w:tcW w:w="3382" w:type="dxa"/>
            <w:tcBorders>
              <w:top w:val="single" w:color="000000" w:sz="6" w:space="0"/>
              <w:left w:val="single" w:color="000000" w:sz="6" w:space="0"/>
              <w:bottom w:val="single" w:color="000000" w:sz="6" w:space="0"/>
              <w:right w:val="single" w:color="000000" w:sz="6" w:space="0"/>
            </w:tcBorders>
          </w:tcPr>
          <w:p>
            <w:pPr>
              <w:pStyle w:val="24"/>
              <w:rPr>
                <w:b/>
                <w:color w:val="auto"/>
                <w:sz w:val="24"/>
              </w:rPr>
            </w:pPr>
          </w:p>
          <w:p>
            <w:pPr>
              <w:pStyle w:val="24"/>
              <w:rPr>
                <w:b/>
                <w:color w:val="auto"/>
                <w:sz w:val="24"/>
              </w:rPr>
            </w:pPr>
          </w:p>
          <w:p>
            <w:pPr>
              <w:pStyle w:val="24"/>
              <w:spacing w:before="5"/>
              <w:rPr>
                <w:b/>
                <w:color w:val="auto"/>
                <w:sz w:val="31"/>
              </w:rPr>
            </w:pPr>
          </w:p>
          <w:p>
            <w:pPr>
              <w:pStyle w:val="24"/>
              <w:tabs>
                <w:tab w:val="left" w:pos="2396"/>
              </w:tabs>
              <w:spacing w:before="1"/>
              <w:ind w:left="107"/>
              <w:rPr>
                <w:b/>
                <w:color w:val="auto"/>
                <w:sz w:val="24"/>
              </w:rPr>
            </w:pPr>
            <w:r>
              <w:rPr>
                <w:b/>
                <w:color w:val="auto"/>
                <w:sz w:val="24"/>
              </w:rPr>
              <w:t>￥：</w:t>
            </w:r>
            <w:r>
              <w:rPr>
                <w:b/>
                <w:color w:val="auto"/>
                <w:sz w:val="24"/>
              </w:rPr>
              <w:tab/>
            </w:r>
            <w:r>
              <w:rPr>
                <w:b/>
                <w:color w:val="auto"/>
                <w:sz w:val="24"/>
              </w:rPr>
              <w:t>元</w:t>
            </w:r>
          </w:p>
        </w:tc>
      </w:tr>
    </w:tbl>
    <w:p>
      <w:pPr>
        <w:tabs>
          <w:tab w:val="left" w:pos="4971"/>
          <w:tab w:val="left" w:pos="7261"/>
        </w:tabs>
        <w:spacing w:before="81"/>
        <w:ind w:left="637" w:right="0" w:firstLine="0"/>
        <w:jc w:val="left"/>
        <w:rPr>
          <w:rFonts w:hint="eastAsia"/>
          <w:b/>
          <w:sz w:val="24"/>
          <w:lang w:val="en-US" w:eastAsia="zh-CN"/>
        </w:rPr>
      </w:pPr>
      <w:r>
        <w:rPr>
          <w:b/>
          <w:sz w:val="24"/>
        </w:rPr>
        <w:t>评审专家（签字）：</w:t>
      </w:r>
      <w:r>
        <w:rPr>
          <w:b/>
          <w:sz w:val="24"/>
        </w:rPr>
        <w:tab/>
      </w:r>
      <w:r>
        <w:rPr>
          <w:b/>
          <w:sz w:val="24"/>
        </w:rPr>
        <w:t>核对人：</w:t>
      </w:r>
      <w:r>
        <w:rPr>
          <w:b/>
          <w:sz w:val="24"/>
        </w:rPr>
        <w:tab/>
      </w:r>
      <w:r>
        <w:rPr>
          <w:b/>
          <w:sz w:val="24"/>
        </w:rPr>
        <w:t>录入人</w:t>
      </w:r>
      <w:r>
        <w:rPr>
          <w:rFonts w:hint="eastAsia"/>
          <w:b/>
          <w:sz w:val="24"/>
          <w:lang w:val="en-US" w:eastAsia="zh-CN"/>
        </w:rPr>
        <w:t>:</w:t>
      </w:r>
    </w:p>
    <w:p>
      <w:pPr>
        <w:pStyle w:val="17"/>
      </w:pPr>
    </w:p>
    <w:p>
      <w:pPr>
        <w:pStyle w:val="2"/>
        <w:numPr>
          <w:ilvl w:val="0"/>
          <w:numId w:val="17"/>
        </w:numPr>
        <w:tabs>
          <w:tab w:val="left" w:pos="1660"/>
        </w:tabs>
        <w:spacing w:before="0" w:after="0" w:line="240" w:lineRule="auto"/>
        <w:ind w:left="1660" w:right="0" w:hanging="483"/>
        <w:jc w:val="left"/>
        <w:rPr>
          <w:b/>
          <w:sz w:val="24"/>
        </w:rPr>
      </w:pPr>
      <w:r>
        <w:rPr>
          <w:b/>
          <w:sz w:val="24"/>
        </w:rPr>
        <w:t>推荐拟中标候选人</w:t>
      </w:r>
    </w:p>
    <w:p>
      <w:pPr>
        <w:pStyle w:val="2"/>
        <w:numPr>
          <w:ilvl w:val="1"/>
          <w:numId w:val="17"/>
        </w:numPr>
        <w:tabs>
          <w:tab w:val="left" w:pos="1720"/>
        </w:tabs>
        <w:spacing w:before="161" w:after="0" w:line="364" w:lineRule="auto"/>
        <w:ind w:left="637" w:right="1245" w:firstLine="540"/>
        <w:jc w:val="left"/>
        <w:rPr>
          <w:sz w:val="24"/>
        </w:rPr>
      </w:pPr>
      <w:r>
        <w:rPr>
          <w:sz w:val="24"/>
        </w:rPr>
        <w:t>由评标委员会集体按照经署名确认的汇总得分排序顺序，推荐拟中标候选人。</w:t>
      </w:r>
    </w:p>
    <w:p>
      <w:pPr>
        <w:pStyle w:val="2"/>
        <w:numPr>
          <w:ilvl w:val="1"/>
          <w:numId w:val="17"/>
        </w:numPr>
        <w:tabs>
          <w:tab w:val="left" w:pos="1778"/>
        </w:tabs>
        <w:spacing w:before="1" w:after="0" w:line="240" w:lineRule="auto"/>
        <w:ind w:left="1777" w:right="0" w:hanging="601"/>
        <w:jc w:val="left"/>
        <w:rPr>
          <w:sz w:val="24"/>
        </w:rPr>
      </w:pPr>
      <w:r>
        <w:rPr>
          <w:sz w:val="24"/>
        </w:rPr>
        <w:t>推荐拟中标候选供应商数量应当根据采购需要确定，应当限定在一至三</w:t>
      </w:r>
    </w:p>
    <w:p>
      <w:pPr>
        <w:pStyle w:val="10"/>
        <w:spacing w:before="90"/>
      </w:pPr>
      <w:r>
        <w:t>人，并标明排列顺序。排序第一位的为推荐的第一拟成交供应商。</w:t>
      </w:r>
    </w:p>
    <w:p>
      <w:pPr>
        <w:pStyle w:val="2"/>
        <w:numPr>
          <w:ilvl w:val="1"/>
          <w:numId w:val="17"/>
        </w:numPr>
        <w:tabs>
          <w:tab w:val="left" w:pos="1778"/>
        </w:tabs>
        <w:spacing w:before="160" w:after="0" w:line="364" w:lineRule="auto"/>
        <w:ind w:left="637" w:right="1245" w:firstLine="540"/>
        <w:jc w:val="both"/>
        <w:rPr>
          <w:sz w:val="24"/>
        </w:rPr>
      </w:pPr>
      <w:r>
        <w:rPr>
          <w:sz w:val="24"/>
        </w:rPr>
        <w:t>投标方最低投标报价不是唯一中标条件。对资格资质审查和符合性审查</w:t>
      </w:r>
      <w:r>
        <w:rPr>
          <w:spacing w:val="-3"/>
          <w:sz w:val="24"/>
        </w:rPr>
        <w:t>合格的投标报价文件完整无缺、最大限度的满足谈判文件需求的投标方，中标机会</w:t>
      </w:r>
      <w:r>
        <w:rPr>
          <w:sz w:val="24"/>
        </w:rPr>
        <w:t>均等。</w:t>
      </w:r>
    </w:p>
    <w:p>
      <w:pPr>
        <w:pStyle w:val="2"/>
        <w:numPr>
          <w:ilvl w:val="1"/>
          <w:numId w:val="17"/>
        </w:numPr>
        <w:tabs>
          <w:tab w:val="left" w:pos="1778"/>
        </w:tabs>
        <w:spacing w:before="2" w:after="0" w:line="364" w:lineRule="auto"/>
        <w:ind w:left="637" w:right="1243" w:firstLine="540"/>
        <w:jc w:val="both"/>
        <w:rPr>
          <w:sz w:val="24"/>
        </w:rPr>
      </w:pPr>
      <w:r>
        <w:rPr>
          <w:sz w:val="24"/>
        </w:rPr>
        <w:t>如汇总得分排序后出现推荐拟中标候选人得分相同的，评标委员会只对</w:t>
      </w:r>
      <w:r>
        <w:rPr>
          <w:spacing w:val="-4"/>
          <w:sz w:val="24"/>
        </w:rPr>
        <w:t>取得得分前三位供应商，按照其报价由低到高顺序排列；得分且其报价相等的，则</w:t>
      </w:r>
      <w:r>
        <w:rPr>
          <w:spacing w:val="-3"/>
          <w:sz w:val="24"/>
        </w:rPr>
        <w:t>按核心技术指标优劣顺序排列。价格、技术指标的高低或优劣由评标委员会集体进</w:t>
      </w:r>
      <w:r>
        <w:rPr>
          <w:sz w:val="24"/>
        </w:rPr>
        <w:t>行综合确认评定。排序在前三位之后的，按原排序不变，允许排序并列。</w:t>
      </w:r>
    </w:p>
    <w:p>
      <w:pPr>
        <w:pStyle w:val="2"/>
        <w:numPr>
          <w:ilvl w:val="1"/>
          <w:numId w:val="17"/>
        </w:numPr>
        <w:tabs>
          <w:tab w:val="left" w:pos="1720"/>
        </w:tabs>
        <w:spacing w:before="3" w:after="0" w:line="364" w:lineRule="auto"/>
        <w:ind w:left="637" w:right="1248" w:firstLine="480"/>
        <w:jc w:val="both"/>
        <w:rPr>
          <w:sz w:val="24"/>
        </w:rPr>
      </w:pPr>
      <w:r>
        <w:rPr>
          <w:sz w:val="24"/>
        </w:rPr>
        <w:t>由招标方对未推荐拟成交候选人、确认废标的，进行核对汇总后，由评标委员会各成员签署确认。</w:t>
      </w:r>
    </w:p>
    <w:p>
      <w:pPr>
        <w:pStyle w:val="5"/>
        <w:numPr>
          <w:ilvl w:val="0"/>
          <w:numId w:val="17"/>
        </w:numPr>
        <w:tabs>
          <w:tab w:val="left" w:pos="1660"/>
        </w:tabs>
        <w:spacing w:before="1" w:after="0" w:line="240" w:lineRule="auto"/>
        <w:ind w:left="1660" w:right="0" w:hanging="483"/>
        <w:jc w:val="both"/>
      </w:pPr>
      <w:r>
        <w:t>编写评标报告</w:t>
      </w:r>
    </w:p>
    <w:p>
      <w:pPr>
        <w:pStyle w:val="2"/>
        <w:numPr>
          <w:ilvl w:val="1"/>
          <w:numId w:val="17"/>
        </w:numPr>
        <w:tabs>
          <w:tab w:val="left" w:pos="1720"/>
        </w:tabs>
        <w:spacing w:before="160" w:after="0" w:line="364" w:lineRule="auto"/>
        <w:ind w:left="637" w:right="1245" w:firstLine="540"/>
        <w:jc w:val="both"/>
        <w:rPr>
          <w:sz w:val="24"/>
        </w:rPr>
      </w:pPr>
      <w:r>
        <w:rPr>
          <w:sz w:val="24"/>
        </w:rPr>
        <w:t>评标委员会根据全体成员签字的评标（</w:t>
      </w:r>
      <w:r>
        <w:rPr>
          <w:spacing w:val="2"/>
          <w:sz w:val="24"/>
        </w:rPr>
        <w:t>评审</w:t>
      </w:r>
      <w:r>
        <w:rPr>
          <w:sz w:val="24"/>
        </w:rPr>
        <w:t>）原始记录和结果，编写评标报告，并现场提交给招标方。编写的评标报告要符合招标文件的要求。</w:t>
      </w:r>
    </w:p>
    <w:p>
      <w:pPr>
        <w:pStyle w:val="5"/>
        <w:numPr>
          <w:ilvl w:val="0"/>
          <w:numId w:val="17"/>
        </w:numPr>
        <w:tabs>
          <w:tab w:val="left" w:pos="1660"/>
        </w:tabs>
        <w:spacing w:before="1" w:after="0" w:line="240" w:lineRule="auto"/>
        <w:ind w:left="1660" w:right="0" w:hanging="483"/>
        <w:jc w:val="both"/>
      </w:pPr>
      <w:r>
        <w:t>评标结束</w:t>
      </w:r>
    </w:p>
    <w:p>
      <w:pPr>
        <w:pStyle w:val="2"/>
        <w:numPr>
          <w:ilvl w:val="1"/>
          <w:numId w:val="17"/>
        </w:numPr>
        <w:tabs>
          <w:tab w:val="left" w:pos="1720"/>
        </w:tabs>
        <w:spacing w:before="161" w:after="0" w:line="364" w:lineRule="auto"/>
        <w:ind w:left="637" w:right="1245" w:firstLine="540"/>
        <w:jc w:val="both"/>
        <w:rPr>
          <w:sz w:val="24"/>
        </w:rPr>
      </w:pPr>
      <w:r>
        <w:rPr>
          <w:sz w:val="24"/>
        </w:rPr>
        <w:t>招标方应按规定时间，通知全部参与本次招标投标有效的供应商入场， 进行会议总结，宣布本次评标委员会推荐的第一拟成交供应商名单。</w:t>
      </w:r>
    </w:p>
    <w:p>
      <w:pPr>
        <w:pStyle w:val="2"/>
        <w:numPr>
          <w:ilvl w:val="1"/>
          <w:numId w:val="17"/>
        </w:numPr>
        <w:tabs>
          <w:tab w:val="left" w:pos="1778"/>
        </w:tabs>
        <w:spacing w:before="1" w:after="0" w:line="240" w:lineRule="auto"/>
        <w:ind w:left="1777" w:right="0" w:hanging="601"/>
        <w:jc w:val="both"/>
        <w:rPr>
          <w:sz w:val="24"/>
        </w:rPr>
      </w:pPr>
      <w:r>
        <w:rPr>
          <w:sz w:val="24"/>
        </w:rPr>
        <w:t>谈判评审小组各成员名单不公开。</w:t>
      </w:r>
    </w:p>
    <w:p>
      <w:pPr>
        <w:pStyle w:val="2"/>
        <w:numPr>
          <w:ilvl w:val="1"/>
          <w:numId w:val="17"/>
        </w:numPr>
        <w:tabs>
          <w:tab w:val="left" w:pos="1778"/>
        </w:tabs>
        <w:spacing w:before="161" w:after="0" w:line="364" w:lineRule="auto"/>
        <w:ind w:left="637" w:right="1245" w:firstLine="540"/>
        <w:jc w:val="both"/>
        <w:rPr>
          <w:sz w:val="24"/>
        </w:rPr>
      </w:pPr>
      <w:r>
        <w:rPr>
          <w:sz w:val="24"/>
        </w:rPr>
        <w:t>由招标方宣读有关招标信息公告、中标确认原则及质疑（投诉）</w:t>
      </w:r>
      <w:r>
        <w:rPr>
          <w:spacing w:val="-4"/>
          <w:sz w:val="24"/>
        </w:rPr>
        <w:t>事项等</w:t>
      </w:r>
      <w:r>
        <w:rPr>
          <w:sz w:val="24"/>
        </w:rPr>
        <w:t>说明。</w:t>
      </w:r>
    </w:p>
    <w:p>
      <w:pPr>
        <w:pStyle w:val="2"/>
        <w:numPr>
          <w:ilvl w:val="1"/>
          <w:numId w:val="17"/>
        </w:numPr>
        <w:tabs>
          <w:tab w:val="left" w:pos="1778"/>
        </w:tabs>
        <w:spacing w:before="1" w:after="0" w:line="364" w:lineRule="auto"/>
        <w:ind w:left="637" w:right="1245" w:firstLine="540"/>
        <w:jc w:val="both"/>
        <w:rPr>
          <w:sz w:val="24"/>
        </w:rPr>
      </w:pPr>
      <w:r>
        <w:rPr>
          <w:spacing w:val="-1"/>
          <w:sz w:val="24"/>
        </w:rPr>
        <w:t>在宣布会议结束后，招标方均有义务告知所有投标供应商办理投标保证</w:t>
      </w:r>
      <w:r>
        <w:rPr>
          <w:sz w:val="24"/>
        </w:rPr>
        <w:t>金的退付手续。</w:t>
      </w:r>
    </w:p>
    <w:p>
      <w:pPr>
        <w:pStyle w:val="10"/>
        <w:spacing w:line="364" w:lineRule="auto"/>
        <w:ind w:right="1226" w:firstLine="480"/>
        <w:jc w:val="both"/>
        <w:rPr>
          <w:spacing w:val="-1"/>
        </w:rPr>
      </w:pPr>
      <w:r>
        <w:t>27.51</w:t>
      </w:r>
      <w:r>
        <w:rPr>
          <w:spacing w:val="-4"/>
        </w:rPr>
        <w:t xml:space="preserve"> 评标和定标一般应当在开标后 </w:t>
      </w:r>
      <w:r>
        <w:t>7</w:t>
      </w:r>
      <w:r>
        <w:rPr>
          <w:spacing w:val="-10"/>
        </w:rPr>
        <w:t xml:space="preserve"> 个工作日内完成，项目金额较大、技术</w:t>
      </w:r>
      <w:r>
        <w:rPr>
          <w:spacing w:val="-13"/>
        </w:rPr>
        <w:t xml:space="preserve">较为复杂等特殊项目的评标工作应当在 </w:t>
      </w:r>
      <w:r>
        <w:t>30</w:t>
      </w:r>
      <w:r>
        <w:rPr>
          <w:spacing w:val="-13"/>
        </w:rPr>
        <w:t xml:space="preserve"> 个工作日内完成。不能在开标后 </w:t>
      </w:r>
      <w:r>
        <w:t>30</w:t>
      </w:r>
      <w:r>
        <w:rPr>
          <w:spacing w:val="-20"/>
        </w:rPr>
        <w:t xml:space="preserve"> 个工</w:t>
      </w:r>
      <w:r>
        <w:rPr>
          <w:spacing w:val="-22"/>
        </w:rPr>
        <w:t xml:space="preserve">作日内完成评标和定标的，招标人应当提前 </w:t>
      </w:r>
      <w:r>
        <w:t>3</w:t>
      </w:r>
      <w:r>
        <w:rPr>
          <w:spacing w:val="-9"/>
        </w:rPr>
        <w:t xml:space="preserve"> 天通知所有投标人延长投标有效期。</w:t>
      </w:r>
      <w:r>
        <w:rPr>
          <w:spacing w:val="-1"/>
        </w:rPr>
        <w:t>同意延长投标有效期的投标人应当相应延长其投标保证金的有效期，但不得修改其投标文件的实质性内容。</w:t>
      </w:r>
    </w:p>
    <w:p>
      <w:pPr>
        <w:pStyle w:val="4"/>
        <w:tabs>
          <w:tab w:val="left" w:pos="1766"/>
        </w:tabs>
        <w:spacing w:before="118"/>
      </w:pPr>
      <w:r>
        <w:rPr>
          <w:rFonts w:hint="eastAsia"/>
          <w:lang w:val="en-US" w:eastAsia="zh-CN"/>
        </w:rPr>
        <w:t xml:space="preserve">  </w:t>
      </w:r>
      <w:r>
        <w:t>第三章</w:t>
      </w:r>
      <w:r>
        <w:rPr>
          <w:spacing w:val="-4"/>
        </w:rPr>
        <w:t xml:space="preserve"> </w:t>
      </w:r>
      <w:r>
        <w:t>定</w:t>
      </w:r>
      <w:r>
        <w:rPr>
          <w:rFonts w:hint="eastAsia"/>
          <w:lang w:val="en-US" w:eastAsia="zh-CN"/>
        </w:rPr>
        <w:t xml:space="preserve"> </w:t>
      </w:r>
      <w:r>
        <w:tab/>
      </w:r>
      <w:r>
        <w:t>标</w:t>
      </w:r>
    </w:p>
    <w:p>
      <w:pPr>
        <w:pStyle w:val="5"/>
        <w:numPr>
          <w:ilvl w:val="0"/>
          <w:numId w:val="17"/>
        </w:numPr>
        <w:tabs>
          <w:tab w:val="left" w:pos="1599"/>
        </w:tabs>
        <w:spacing w:before="186" w:after="0" w:line="240" w:lineRule="auto"/>
        <w:ind w:left="1598" w:right="0" w:hanging="482"/>
        <w:jc w:val="left"/>
        <w:rPr>
          <w:sz w:val="22"/>
        </w:rPr>
      </w:pPr>
      <w:r>
        <w:t>定标标准</w:t>
      </w:r>
    </w:p>
    <w:p>
      <w:pPr>
        <w:pStyle w:val="2"/>
        <w:numPr>
          <w:ilvl w:val="1"/>
          <w:numId w:val="17"/>
        </w:numPr>
        <w:tabs>
          <w:tab w:val="left" w:pos="1718"/>
        </w:tabs>
        <w:spacing w:before="160" w:after="0" w:line="364" w:lineRule="auto"/>
        <w:ind w:left="637" w:right="1249" w:firstLine="480"/>
        <w:jc w:val="both"/>
        <w:rPr>
          <w:sz w:val="24"/>
        </w:rPr>
      </w:pPr>
      <w:r>
        <w:rPr>
          <w:sz w:val="24"/>
        </w:rPr>
        <w:t>招标方应在评标结束后2</w:t>
      </w:r>
      <w:r>
        <w:rPr>
          <w:spacing w:val="-4"/>
          <w:sz w:val="24"/>
        </w:rPr>
        <w:t>个工作日内，以书面形式向采购人发出《中标供</w:t>
      </w:r>
      <w:r>
        <w:rPr>
          <w:sz w:val="24"/>
        </w:rPr>
        <w:t>应商确认函》，采购人在收到后5个工作日内，应按照评标报告确定的中标候选供应商名单中的顺序确认中标供应商。</w:t>
      </w:r>
    </w:p>
    <w:p>
      <w:pPr>
        <w:pStyle w:val="2"/>
        <w:numPr>
          <w:ilvl w:val="1"/>
          <w:numId w:val="17"/>
        </w:numPr>
        <w:tabs>
          <w:tab w:val="left" w:pos="1720"/>
        </w:tabs>
        <w:spacing w:before="2" w:after="0" w:line="364" w:lineRule="auto"/>
        <w:ind w:left="637" w:right="1248" w:firstLine="480"/>
        <w:jc w:val="both"/>
        <w:rPr>
          <w:sz w:val="24"/>
        </w:rPr>
      </w:pPr>
      <w:r>
        <w:rPr>
          <w:sz w:val="24"/>
        </w:rPr>
        <w:t>中标供应商因不可抗力或者自身原因不能履行合同的，采购人可以与排位在中标供应商之后第一位的中标候选供应商签订合同，以此类推。</w:t>
      </w:r>
    </w:p>
    <w:p>
      <w:pPr>
        <w:pStyle w:val="2"/>
        <w:numPr>
          <w:ilvl w:val="2"/>
          <w:numId w:val="17"/>
        </w:numPr>
        <w:tabs>
          <w:tab w:val="left" w:pos="1958"/>
        </w:tabs>
        <w:spacing w:before="1" w:after="0" w:line="240" w:lineRule="auto"/>
        <w:ind w:left="1957" w:right="0" w:hanging="841"/>
        <w:jc w:val="both"/>
        <w:rPr>
          <w:sz w:val="24"/>
        </w:rPr>
      </w:pPr>
      <w:r>
        <w:rPr>
          <w:sz w:val="24"/>
        </w:rPr>
        <w:t>最低投标价不一定是被授予合同的保证。</w:t>
      </w:r>
    </w:p>
    <w:p>
      <w:pPr>
        <w:pStyle w:val="2"/>
        <w:numPr>
          <w:ilvl w:val="2"/>
          <w:numId w:val="17"/>
        </w:numPr>
        <w:tabs>
          <w:tab w:val="left" w:pos="1960"/>
        </w:tabs>
        <w:spacing w:before="161" w:after="0" w:line="364" w:lineRule="auto"/>
        <w:ind w:left="637" w:right="1249" w:firstLine="480"/>
        <w:jc w:val="both"/>
        <w:rPr>
          <w:sz w:val="24"/>
        </w:rPr>
      </w:pPr>
      <w:r>
        <w:rPr>
          <w:sz w:val="24"/>
        </w:rPr>
        <w:t>合同将授予被确定为实质上响应招标文件要求，经评定认为具备履行</w:t>
      </w:r>
      <w:r>
        <w:rPr>
          <w:spacing w:val="-5"/>
          <w:sz w:val="24"/>
        </w:rPr>
        <w:t>合同义务能力、报价合理、技术和商务条件都符合招标文件要求的、对买方最为有</w:t>
      </w:r>
      <w:r>
        <w:rPr>
          <w:sz w:val="24"/>
        </w:rPr>
        <w:t>利的投标供应商。</w:t>
      </w:r>
    </w:p>
    <w:p>
      <w:pPr>
        <w:pStyle w:val="2"/>
        <w:numPr>
          <w:ilvl w:val="2"/>
          <w:numId w:val="17"/>
        </w:numPr>
        <w:tabs>
          <w:tab w:val="left" w:pos="1960"/>
        </w:tabs>
        <w:spacing w:before="2" w:after="0" w:line="364" w:lineRule="auto"/>
        <w:ind w:left="637" w:right="1248" w:firstLine="480"/>
        <w:jc w:val="both"/>
        <w:rPr>
          <w:sz w:val="24"/>
        </w:rPr>
      </w:pPr>
      <w:r>
        <w:rPr>
          <w:sz w:val="24"/>
        </w:rPr>
        <w:t>如果采购人确定该中标供应商无条件圆满履行合同，应由招标方将对下一个可能成交的投标供应商资格做出类似的审查。</w:t>
      </w:r>
    </w:p>
    <w:p>
      <w:pPr>
        <w:pStyle w:val="5"/>
        <w:numPr>
          <w:ilvl w:val="0"/>
          <w:numId w:val="17"/>
        </w:numPr>
        <w:tabs>
          <w:tab w:val="left" w:pos="1601"/>
        </w:tabs>
        <w:spacing w:before="1" w:after="0" w:line="240" w:lineRule="auto"/>
        <w:ind w:left="1601" w:right="0" w:hanging="481"/>
        <w:jc w:val="left"/>
        <w:rPr>
          <w:sz w:val="22"/>
        </w:rPr>
      </w:pPr>
      <w:r>
        <w:t>接受和拒绝任何或所有投标的权力</w:t>
      </w:r>
    </w:p>
    <w:p>
      <w:pPr>
        <w:pStyle w:val="2"/>
        <w:numPr>
          <w:ilvl w:val="1"/>
          <w:numId w:val="17"/>
        </w:numPr>
        <w:tabs>
          <w:tab w:val="left" w:pos="1713"/>
        </w:tabs>
        <w:spacing w:before="160" w:after="0" w:line="364" w:lineRule="auto"/>
        <w:ind w:left="637" w:right="1245" w:firstLine="470"/>
        <w:jc w:val="left"/>
        <w:rPr>
          <w:sz w:val="24"/>
        </w:rPr>
      </w:pPr>
      <w:r>
        <w:rPr>
          <w:sz w:val="24"/>
        </w:rPr>
        <w:t>为维护国家利益，评标委员会在授予合同之前仍有选择或拒绝任何投标的权力。</w:t>
      </w:r>
    </w:p>
    <w:p>
      <w:pPr>
        <w:pStyle w:val="5"/>
        <w:numPr>
          <w:ilvl w:val="0"/>
          <w:numId w:val="17"/>
        </w:numPr>
        <w:tabs>
          <w:tab w:val="left" w:pos="1601"/>
        </w:tabs>
        <w:spacing w:before="2" w:after="0" w:line="240" w:lineRule="auto"/>
        <w:ind w:left="1601" w:right="0" w:hanging="481"/>
        <w:jc w:val="left"/>
        <w:rPr>
          <w:sz w:val="22"/>
        </w:rPr>
      </w:pPr>
      <w:r>
        <w:t>中标通知书</w:t>
      </w:r>
    </w:p>
    <w:p>
      <w:pPr>
        <w:pStyle w:val="2"/>
        <w:numPr>
          <w:ilvl w:val="1"/>
          <w:numId w:val="17"/>
        </w:numPr>
        <w:tabs>
          <w:tab w:val="left" w:pos="1713"/>
        </w:tabs>
        <w:spacing w:before="160" w:after="0" w:line="364" w:lineRule="auto"/>
        <w:ind w:left="637" w:right="1245" w:firstLine="470"/>
        <w:jc w:val="both"/>
        <w:rPr>
          <w:sz w:val="24"/>
        </w:rPr>
      </w:pPr>
      <w:r>
        <w:rPr>
          <w:sz w:val="24"/>
        </w:rPr>
        <w:t>中标供应商确定后，招标方应当将中标结果在省级以上财政部门指定的信息发布媒体上公告1个工作日，在公告中标结果的同时，招标方向中标供应商发出《中标通知书》 。</w:t>
      </w:r>
    </w:p>
    <w:p>
      <w:pPr>
        <w:pStyle w:val="2"/>
        <w:numPr>
          <w:ilvl w:val="2"/>
          <w:numId w:val="17"/>
        </w:numPr>
        <w:tabs>
          <w:tab w:val="left" w:pos="1960"/>
        </w:tabs>
        <w:spacing w:before="2" w:after="0" w:line="364" w:lineRule="auto"/>
        <w:ind w:left="637" w:right="1249" w:firstLine="480"/>
        <w:jc w:val="both"/>
        <w:rPr>
          <w:sz w:val="24"/>
        </w:rPr>
      </w:pPr>
      <w:r>
        <w:rPr>
          <w:sz w:val="24"/>
        </w:rPr>
        <w:t>投标供应商对中标公告有异议的，应当在中标公告发布之日起七个工</w:t>
      </w:r>
      <w:r>
        <w:rPr>
          <w:spacing w:val="-5"/>
          <w:sz w:val="24"/>
        </w:rPr>
        <w:t>作日内，以书面形式向招标方提出质疑。招标方应当在收到投标供应商书面质疑后</w:t>
      </w:r>
      <w:r>
        <w:rPr>
          <w:spacing w:val="-4"/>
          <w:sz w:val="24"/>
        </w:rPr>
        <w:t>七个工作日内，对质疑内容做出答复。质疑供应商对答复不满意或者招标方未在规定时间内答复的，可以在答复期满后十五个工作日内按有关规定，向同级人民政府</w:t>
      </w:r>
      <w:r>
        <w:rPr>
          <w:sz w:val="24"/>
        </w:rPr>
        <w:t>财政部门投诉。</w:t>
      </w:r>
    </w:p>
    <w:p>
      <w:pPr>
        <w:pStyle w:val="2"/>
        <w:numPr>
          <w:ilvl w:val="2"/>
          <w:numId w:val="17"/>
        </w:numPr>
        <w:tabs>
          <w:tab w:val="left" w:pos="1948"/>
        </w:tabs>
        <w:spacing w:before="3" w:after="0" w:line="364" w:lineRule="auto"/>
        <w:ind w:left="637" w:right="1245" w:firstLine="470"/>
        <w:jc w:val="both"/>
        <w:rPr>
          <w:sz w:val="24"/>
        </w:rPr>
      </w:pPr>
      <w:r>
        <w:rPr>
          <w:spacing w:val="-2"/>
          <w:sz w:val="24"/>
        </w:rPr>
        <w:t>采购人在收到《中标供应商确认函》</w:t>
      </w:r>
      <w:r>
        <w:rPr>
          <w:sz w:val="24"/>
        </w:rPr>
        <w:t>5</w:t>
      </w:r>
      <w:r>
        <w:rPr>
          <w:spacing w:val="-2"/>
          <w:sz w:val="24"/>
        </w:rPr>
        <w:t>个工作日内，如不按规定确认中</w:t>
      </w:r>
      <w:r>
        <w:rPr>
          <w:sz w:val="24"/>
        </w:rPr>
        <w:t>标供应商，应在规定的</w:t>
      </w:r>
      <w:r>
        <w:rPr>
          <w:spacing w:val="4"/>
          <w:sz w:val="24"/>
        </w:rPr>
        <w:t>5</w:t>
      </w:r>
      <w:r>
        <w:rPr>
          <w:sz w:val="24"/>
        </w:rPr>
        <w:t>个工作日期限内，以书面方式回函提出异议，经过财政监</w:t>
      </w:r>
      <w:r>
        <w:rPr>
          <w:spacing w:val="-5"/>
          <w:sz w:val="24"/>
        </w:rPr>
        <w:t>管部门同意后，由招标方直接向中标首选供应商发出《中标通知书》。如逾期既不</w:t>
      </w:r>
      <w:r>
        <w:rPr>
          <w:spacing w:val="-3"/>
          <w:sz w:val="24"/>
        </w:rPr>
        <w:t>确认也不回函提出异议的，招标方则视同采购人认可评标委员会推荐的中标首选结</w:t>
      </w:r>
    </w:p>
    <w:p>
      <w:pPr>
        <w:pStyle w:val="10"/>
        <w:spacing w:before="90" w:line="364" w:lineRule="auto"/>
        <w:ind w:right="1221"/>
      </w:pPr>
      <w:r>
        <w:t>果，由招标方直接向拟中标首选供应商发出《中标通知书》。一经发出即发生法律效力。</w:t>
      </w:r>
    </w:p>
    <w:p>
      <w:pPr>
        <w:pStyle w:val="2"/>
        <w:numPr>
          <w:ilvl w:val="2"/>
          <w:numId w:val="17"/>
        </w:numPr>
        <w:tabs>
          <w:tab w:val="left" w:pos="1958"/>
        </w:tabs>
        <w:spacing w:before="1" w:after="0" w:line="364" w:lineRule="auto"/>
        <w:ind w:left="637" w:right="1125" w:firstLine="480"/>
        <w:jc w:val="left"/>
        <w:rPr>
          <w:sz w:val="24"/>
        </w:rPr>
      </w:pPr>
      <w:r>
        <w:rPr>
          <w:spacing w:val="-5"/>
          <w:sz w:val="24"/>
        </w:rPr>
        <w:t xml:space="preserve">中标供应商领取《中标通知书》时，须向招标方提交合同履约保证金， </w:t>
      </w:r>
      <w:r>
        <w:rPr>
          <w:sz w:val="24"/>
        </w:rPr>
        <w:t>拒绝提交的，视为放弃成交项目。</w:t>
      </w:r>
    </w:p>
    <w:p>
      <w:pPr>
        <w:pStyle w:val="2"/>
        <w:numPr>
          <w:ilvl w:val="3"/>
          <w:numId w:val="17"/>
        </w:numPr>
        <w:tabs>
          <w:tab w:val="left" w:pos="2200"/>
        </w:tabs>
        <w:spacing w:before="1" w:after="0" w:line="364" w:lineRule="auto"/>
        <w:ind w:left="637" w:right="1248" w:firstLine="480"/>
        <w:jc w:val="left"/>
        <w:rPr>
          <w:sz w:val="24"/>
        </w:rPr>
      </w:pPr>
      <w:r>
        <w:rPr>
          <w:sz w:val="24"/>
        </w:rPr>
        <w:t>合同履约保证金与投标保证金同等额。待合同执行期满、货物验收合格及办理货款结算时，由招标方无息退还。</w:t>
      </w:r>
    </w:p>
    <w:p>
      <w:pPr>
        <w:pStyle w:val="2"/>
        <w:numPr>
          <w:ilvl w:val="3"/>
          <w:numId w:val="17"/>
        </w:numPr>
        <w:tabs>
          <w:tab w:val="left" w:pos="2200"/>
        </w:tabs>
        <w:spacing w:before="1" w:after="0" w:line="364" w:lineRule="auto"/>
        <w:ind w:left="637" w:right="1248" w:firstLine="480"/>
        <w:jc w:val="left"/>
        <w:rPr>
          <w:sz w:val="24"/>
        </w:rPr>
      </w:pPr>
      <w:r>
        <w:rPr>
          <w:sz w:val="24"/>
        </w:rPr>
        <w:t>合同履约保证金可采用银行汇票、银行保函等形式交纳，成交供应商须将履约保证金交到招标方指定帐户。指定账户与投标报价保证金同账户。</w:t>
      </w:r>
    </w:p>
    <w:p>
      <w:pPr>
        <w:pStyle w:val="2"/>
        <w:numPr>
          <w:ilvl w:val="3"/>
          <w:numId w:val="17"/>
        </w:numPr>
        <w:tabs>
          <w:tab w:val="left" w:pos="2200"/>
        </w:tabs>
        <w:spacing w:before="2" w:after="0" w:line="364" w:lineRule="auto"/>
        <w:ind w:left="637" w:right="1248" w:firstLine="480"/>
        <w:jc w:val="left"/>
        <w:rPr>
          <w:sz w:val="24"/>
        </w:rPr>
      </w:pPr>
      <w:r>
        <w:rPr>
          <w:sz w:val="24"/>
        </w:rPr>
        <w:t>中标供应商提交的合同履约保证金，其有效期限应不低于合同有效期。</w:t>
      </w:r>
    </w:p>
    <w:p>
      <w:pPr>
        <w:pStyle w:val="2"/>
        <w:numPr>
          <w:ilvl w:val="1"/>
          <w:numId w:val="17"/>
        </w:numPr>
        <w:tabs>
          <w:tab w:val="left" w:pos="1838"/>
        </w:tabs>
        <w:spacing w:before="1" w:after="0" w:line="364" w:lineRule="auto"/>
        <w:ind w:left="637" w:right="1226" w:firstLine="480"/>
        <w:jc w:val="both"/>
        <w:rPr>
          <w:sz w:val="24"/>
        </w:rPr>
      </w:pPr>
      <w:r>
        <w:rPr>
          <w:spacing w:val="-1"/>
          <w:sz w:val="24"/>
        </w:rPr>
        <w:t xml:space="preserve">在发布中标公告后，招标采购单位应当向中标供应商发出中标通知书， </w:t>
      </w:r>
      <w:r>
        <w:rPr>
          <w:spacing w:val="-3"/>
          <w:sz w:val="24"/>
        </w:rPr>
        <w:t>中标通知书对采购人和中标供应商具有同等法律效力。《中标通知书》发出后，采购人改变中标结果，或者中标供应商放弃成交，应当承担相应的法律责任。</w:t>
      </w:r>
    </w:p>
    <w:p>
      <w:pPr>
        <w:pStyle w:val="2"/>
        <w:numPr>
          <w:ilvl w:val="1"/>
          <w:numId w:val="17"/>
        </w:numPr>
        <w:tabs>
          <w:tab w:val="left" w:pos="1720"/>
        </w:tabs>
        <w:spacing w:before="2" w:after="0" w:line="364" w:lineRule="auto"/>
        <w:ind w:left="637" w:right="1248" w:firstLine="480"/>
        <w:jc w:val="both"/>
      </w:pPr>
      <w:r>
        <w:rPr>
          <w:sz w:val="24"/>
        </w:rPr>
        <w:t>《中标通知书》要作为采购人、中标供应商签订的由招标方监章的合同的依据。</w:t>
      </w:r>
    </w:p>
    <w:p>
      <w:pPr>
        <w:pStyle w:val="4"/>
      </w:pPr>
    </w:p>
    <w:p>
      <w:pPr>
        <w:pStyle w:val="4"/>
      </w:pPr>
    </w:p>
    <w:p>
      <w:pPr>
        <w:pStyle w:val="4"/>
      </w:pPr>
      <w:r>
        <w:t>第四章 授予合同</w:t>
      </w:r>
    </w:p>
    <w:p>
      <w:pPr>
        <w:pStyle w:val="5"/>
        <w:numPr>
          <w:ilvl w:val="0"/>
          <w:numId w:val="17"/>
        </w:numPr>
        <w:tabs>
          <w:tab w:val="left" w:pos="1603"/>
        </w:tabs>
        <w:spacing w:before="186" w:after="0" w:line="240" w:lineRule="auto"/>
        <w:ind w:left="1602" w:right="0" w:hanging="483"/>
        <w:jc w:val="both"/>
      </w:pPr>
      <w:r>
        <w:t>签订合同</w:t>
      </w:r>
    </w:p>
    <w:p>
      <w:pPr>
        <w:pStyle w:val="2"/>
        <w:numPr>
          <w:ilvl w:val="1"/>
          <w:numId w:val="17"/>
        </w:numPr>
        <w:tabs>
          <w:tab w:val="left" w:pos="1713"/>
        </w:tabs>
        <w:spacing w:before="161" w:after="0" w:line="364" w:lineRule="auto"/>
        <w:ind w:left="637" w:right="1245" w:firstLine="470"/>
        <w:jc w:val="both"/>
        <w:rPr>
          <w:sz w:val="24"/>
        </w:rPr>
      </w:pPr>
      <w:r>
        <w:rPr>
          <w:sz w:val="24"/>
        </w:rPr>
        <w:t>中标供应商应当自《中标通知书》发出之日起30日内，按照招标方招标</w:t>
      </w:r>
      <w:r>
        <w:rPr>
          <w:spacing w:val="-2"/>
          <w:sz w:val="24"/>
        </w:rPr>
        <w:t>文件的约定和中标方投标文件中的承诺与采购单位签订书面合同，所签订的合同不</w:t>
      </w:r>
      <w:r>
        <w:rPr>
          <w:sz w:val="24"/>
        </w:rPr>
        <w:t>得对招标方招标文件和中标方的投标文件作实质性修改。</w:t>
      </w:r>
    </w:p>
    <w:p>
      <w:pPr>
        <w:pStyle w:val="2"/>
        <w:numPr>
          <w:ilvl w:val="1"/>
          <w:numId w:val="17"/>
        </w:numPr>
        <w:tabs>
          <w:tab w:val="left" w:pos="1713"/>
        </w:tabs>
        <w:spacing w:before="2" w:after="0" w:line="364" w:lineRule="auto"/>
        <w:ind w:left="637" w:right="1245" w:firstLine="470"/>
        <w:jc w:val="both"/>
        <w:rPr>
          <w:sz w:val="24"/>
        </w:rPr>
      </w:pPr>
      <w:r>
        <w:rPr>
          <w:sz w:val="24"/>
        </w:rPr>
        <w:t>采购单位不得向中标供应商提出任何不合理要求作为签订合同的条件， 不得与中标供应商私下订立背离合同实质性内容的协议。</w:t>
      </w:r>
    </w:p>
    <w:p>
      <w:pPr>
        <w:pStyle w:val="2"/>
        <w:numPr>
          <w:ilvl w:val="1"/>
          <w:numId w:val="17"/>
        </w:numPr>
        <w:tabs>
          <w:tab w:val="left" w:pos="1708"/>
        </w:tabs>
        <w:spacing w:before="1" w:after="0" w:line="240" w:lineRule="auto"/>
        <w:ind w:left="1708" w:right="0" w:hanging="600"/>
        <w:jc w:val="both"/>
        <w:rPr>
          <w:sz w:val="24"/>
        </w:rPr>
      </w:pPr>
      <w:r>
        <w:rPr>
          <w:sz w:val="24"/>
        </w:rPr>
        <w:t>合同的双方当事人不得擅自变更、中止或者终止合同。</w:t>
      </w:r>
    </w:p>
    <w:p>
      <w:pPr>
        <w:pStyle w:val="2"/>
        <w:numPr>
          <w:ilvl w:val="1"/>
          <w:numId w:val="17"/>
        </w:numPr>
        <w:tabs>
          <w:tab w:val="left" w:pos="1708"/>
        </w:tabs>
        <w:spacing w:before="160" w:after="0" w:line="364" w:lineRule="auto"/>
        <w:ind w:left="637" w:right="1129" w:firstLine="470"/>
        <w:jc w:val="left"/>
        <w:rPr>
          <w:sz w:val="24"/>
        </w:rPr>
      </w:pPr>
      <w:r>
        <w:rPr>
          <w:spacing w:val="-2"/>
          <w:sz w:val="24"/>
        </w:rPr>
        <w:t>合同继续履行将损害国家利益和社会公共利益的，双方当事人应当变更、</w:t>
      </w:r>
      <w:r>
        <w:rPr>
          <w:spacing w:val="-3"/>
          <w:sz w:val="24"/>
        </w:rPr>
        <w:t>中止或者终止合同。有过错的一方承担赔偿责任，双方都有过错的，各自承担相应责任。</w:t>
      </w:r>
    </w:p>
    <w:p>
      <w:pPr>
        <w:pStyle w:val="10"/>
        <w:spacing w:before="90"/>
        <w:ind w:firstLine="472" w:firstLineChars="200"/>
        <w:rPr>
          <w:rFonts w:ascii="宋体" w:hAnsi="宋体" w:eastAsia="宋体" w:cs="宋体"/>
          <w:spacing w:val="-2"/>
          <w:sz w:val="24"/>
          <w:szCs w:val="22"/>
          <w:lang w:val="zh-CN" w:eastAsia="zh-CN" w:bidi="zh-CN"/>
        </w:rPr>
      </w:pPr>
      <w:r>
        <w:rPr>
          <w:rFonts w:ascii="宋体" w:hAnsi="宋体" w:eastAsia="宋体" w:cs="宋体"/>
          <w:spacing w:val="-2"/>
          <w:sz w:val="24"/>
          <w:szCs w:val="22"/>
          <w:lang w:val="zh-CN" w:eastAsia="zh-CN" w:bidi="zh-CN"/>
        </w:rPr>
        <w:t>合同履行中，采购人需追加与合同标的相同的货物、工程或者服务的， 在不改</w:t>
      </w:r>
    </w:p>
    <w:p>
      <w:pPr>
        <w:pStyle w:val="10"/>
        <w:spacing w:before="90"/>
        <w:rPr>
          <w:rFonts w:ascii="宋体" w:hAnsi="宋体" w:eastAsia="宋体" w:cs="宋体"/>
          <w:spacing w:val="-2"/>
          <w:sz w:val="24"/>
          <w:szCs w:val="22"/>
          <w:lang w:val="zh-CN" w:eastAsia="zh-CN" w:bidi="zh-CN"/>
        </w:rPr>
      </w:pPr>
      <w:r>
        <w:rPr>
          <w:rFonts w:ascii="宋体" w:hAnsi="宋体" w:eastAsia="宋体" w:cs="宋体"/>
          <w:spacing w:val="-2"/>
          <w:sz w:val="24"/>
          <w:szCs w:val="22"/>
          <w:lang w:val="zh-CN" w:eastAsia="zh-CN" w:bidi="zh-CN"/>
        </w:rPr>
        <w:t>变其他条款的前提下，经招标方审查后，可以与供应商签订补充合同，补充合同须有</w:t>
      </w:r>
    </w:p>
    <w:p>
      <w:pPr>
        <w:pStyle w:val="10"/>
        <w:spacing w:before="90"/>
        <w:rPr>
          <w:rFonts w:ascii="宋体" w:hAnsi="宋体" w:eastAsia="宋体" w:cs="宋体"/>
          <w:spacing w:val="-2"/>
          <w:sz w:val="24"/>
          <w:szCs w:val="22"/>
          <w:lang w:val="zh-CN" w:eastAsia="zh-CN" w:bidi="zh-CN"/>
        </w:rPr>
      </w:pPr>
      <w:r>
        <w:rPr>
          <w:rFonts w:ascii="宋体" w:hAnsi="宋体" w:eastAsia="宋体" w:cs="宋体"/>
          <w:spacing w:val="-2"/>
          <w:sz w:val="24"/>
          <w:szCs w:val="22"/>
          <w:lang w:val="zh-CN" w:eastAsia="zh-CN" w:bidi="zh-CN"/>
        </w:rPr>
        <w:t>招标方监章，但所有补充合同的采购金额不得超过原合同金额的10%。</w:t>
      </w:r>
    </w:p>
    <w:p>
      <w:pPr>
        <w:pStyle w:val="2"/>
        <w:numPr>
          <w:ilvl w:val="2"/>
          <w:numId w:val="17"/>
        </w:numPr>
        <w:tabs>
          <w:tab w:val="left" w:pos="1953"/>
        </w:tabs>
        <w:spacing w:before="160" w:after="0" w:line="364" w:lineRule="auto"/>
        <w:ind w:left="637" w:right="1248" w:firstLine="470"/>
        <w:jc w:val="both"/>
        <w:rPr>
          <w:sz w:val="24"/>
        </w:rPr>
      </w:pPr>
      <w:r>
        <w:rPr>
          <w:sz w:val="24"/>
        </w:rPr>
        <w:t>招标方在授予采购人、中标人合同时，经审查采购人的书面申请后， 有权对招标文件中规定的货物和服务的数量在10%的幅度内予以增加或减少，并要在合同中增加条款进行说明。</w:t>
      </w:r>
    </w:p>
    <w:p>
      <w:pPr>
        <w:pStyle w:val="2"/>
        <w:numPr>
          <w:ilvl w:val="1"/>
          <w:numId w:val="17"/>
        </w:numPr>
        <w:tabs>
          <w:tab w:val="left" w:pos="1713"/>
        </w:tabs>
        <w:spacing w:before="2" w:after="0" w:line="364" w:lineRule="auto"/>
        <w:ind w:left="637" w:right="1245" w:firstLine="470"/>
        <w:jc w:val="both"/>
        <w:rPr>
          <w:sz w:val="24"/>
        </w:rPr>
      </w:pPr>
      <w:r>
        <w:rPr>
          <w:sz w:val="24"/>
        </w:rPr>
        <w:t>如中标供应商拒签合同，则按违约处理。招标方将没收其合同履约保证金。</w:t>
      </w:r>
    </w:p>
    <w:p>
      <w:pPr>
        <w:pStyle w:val="2"/>
        <w:numPr>
          <w:ilvl w:val="1"/>
          <w:numId w:val="17"/>
        </w:numPr>
        <w:tabs>
          <w:tab w:val="left" w:pos="1708"/>
        </w:tabs>
        <w:spacing w:before="1" w:after="0" w:line="364" w:lineRule="auto"/>
        <w:ind w:left="637" w:right="1129" w:firstLine="470"/>
        <w:jc w:val="both"/>
        <w:rPr>
          <w:sz w:val="24"/>
        </w:rPr>
      </w:pPr>
      <w:r>
        <w:rPr>
          <w:spacing w:val="-3"/>
          <w:sz w:val="24"/>
        </w:rPr>
        <w:t>招标方的招标文件、中标方的投标文件及其澄清、询标</w:t>
      </w:r>
      <w:r>
        <w:rPr>
          <w:sz w:val="24"/>
        </w:rPr>
        <w:t>（答疑</w:t>
      </w:r>
      <w:r>
        <w:rPr>
          <w:spacing w:val="-5"/>
          <w:sz w:val="24"/>
        </w:rPr>
        <w:t>）</w:t>
      </w:r>
      <w:r>
        <w:rPr>
          <w:spacing w:val="-4"/>
          <w:sz w:val="24"/>
        </w:rPr>
        <w:t xml:space="preserve">文件等， </w:t>
      </w:r>
      <w:r>
        <w:rPr>
          <w:sz w:val="24"/>
        </w:rPr>
        <w:t>均做为签订合同的法律依据。</w:t>
      </w:r>
    </w:p>
    <w:p>
      <w:pPr>
        <w:pStyle w:val="2"/>
        <w:numPr>
          <w:ilvl w:val="1"/>
          <w:numId w:val="17"/>
        </w:numPr>
        <w:tabs>
          <w:tab w:val="left" w:pos="1713"/>
        </w:tabs>
        <w:spacing w:before="2" w:after="0" w:line="364" w:lineRule="auto"/>
        <w:ind w:left="637" w:right="1245" w:firstLine="470"/>
        <w:jc w:val="both"/>
        <w:rPr>
          <w:sz w:val="24"/>
        </w:rPr>
      </w:pPr>
      <w:r>
        <w:rPr>
          <w:sz w:val="24"/>
        </w:rPr>
        <w:t>在未经采购人和招标方允许的情况下，不允许中标人将成交项目分包或转交他人承担。而且，采购人和招标方也不得直接指定分包人。</w:t>
      </w:r>
    </w:p>
    <w:p>
      <w:pPr>
        <w:pStyle w:val="2"/>
        <w:numPr>
          <w:ilvl w:val="2"/>
          <w:numId w:val="17"/>
        </w:numPr>
        <w:tabs>
          <w:tab w:val="left" w:pos="1948"/>
        </w:tabs>
        <w:spacing w:before="1" w:after="0" w:line="364" w:lineRule="auto"/>
        <w:ind w:left="637" w:right="1129" w:firstLine="470"/>
        <w:jc w:val="left"/>
        <w:rPr>
          <w:sz w:val="24"/>
        </w:rPr>
      </w:pPr>
      <w:r>
        <w:rPr>
          <w:spacing w:val="-3"/>
          <w:sz w:val="24"/>
        </w:rPr>
        <w:t>经采购人和招标方同意，中标供应商可以依法采取分包方式履行合同。合同分包履行的，中标供应商就采购项目和分包项目向采购人负责，分包供应商向分包项目承担责任。</w:t>
      </w:r>
    </w:p>
    <w:p>
      <w:pPr>
        <w:pStyle w:val="2"/>
        <w:numPr>
          <w:ilvl w:val="2"/>
          <w:numId w:val="17"/>
        </w:numPr>
        <w:tabs>
          <w:tab w:val="left" w:pos="1953"/>
        </w:tabs>
        <w:spacing w:before="2" w:after="0" w:line="364" w:lineRule="auto"/>
        <w:ind w:left="637" w:right="1226" w:firstLine="470"/>
        <w:jc w:val="both"/>
        <w:rPr>
          <w:sz w:val="24"/>
        </w:rPr>
      </w:pPr>
      <w:r>
        <w:rPr>
          <w:sz w:val="24"/>
        </w:rPr>
        <w:t>对于不具备分包条件或者不符合分包规定的，招标方有权在签订合同</w:t>
      </w:r>
      <w:r>
        <w:rPr>
          <w:spacing w:val="-2"/>
          <w:sz w:val="24"/>
        </w:rPr>
        <w:t>或中标供应商提出分包要求时予以拒绝。如发现中标供应商转包或违法分包时，有</w:t>
      </w:r>
      <w:r>
        <w:rPr>
          <w:spacing w:val="-3"/>
          <w:sz w:val="24"/>
        </w:rPr>
        <w:t>权要求其改正；拒不改正的，有权要求终止合同，并报请有关行政监督部门查处。</w:t>
      </w:r>
    </w:p>
    <w:p>
      <w:pPr>
        <w:pStyle w:val="2"/>
        <w:numPr>
          <w:ilvl w:val="3"/>
          <w:numId w:val="17"/>
        </w:numPr>
        <w:tabs>
          <w:tab w:val="left" w:pos="2193"/>
        </w:tabs>
        <w:spacing w:before="1" w:after="0" w:line="364" w:lineRule="auto"/>
        <w:ind w:left="637" w:right="1249" w:firstLine="470"/>
        <w:jc w:val="both"/>
      </w:pPr>
      <w:r>
        <w:rPr>
          <w:sz w:val="24"/>
        </w:rPr>
        <w:t>中标供应商必须与采购人、招标方协商后，共同决定将合同标的中</w:t>
      </w:r>
      <w:r>
        <w:rPr>
          <w:spacing w:val="-3"/>
          <w:sz w:val="24"/>
        </w:rPr>
        <w:t>的部分由第三方承担供货和服务责任，但中标供应商必须对合同标的的全部内容向</w:t>
      </w:r>
      <w:r>
        <w:rPr>
          <w:spacing w:val="-5"/>
          <w:sz w:val="24"/>
        </w:rPr>
        <w:t>采购人、招标方负责，并保证第三方提供的供货和服务符合招标方招标文件的约定</w:t>
      </w:r>
      <w:r>
        <w:rPr>
          <w:sz w:val="24"/>
        </w:rPr>
        <w:t>和其投标文件的承诺及相关约定</w:t>
      </w:r>
      <w:r>
        <w:rPr>
          <w:rFonts w:hint="eastAsia"/>
          <w:sz w:val="24"/>
          <w:lang w:eastAsia="zh-CN"/>
        </w:rPr>
        <w:t>。</w:t>
      </w:r>
    </w:p>
    <w:p>
      <w:pPr>
        <w:pStyle w:val="2"/>
        <w:widowControl w:val="0"/>
        <w:numPr>
          <w:ilvl w:val="0"/>
          <w:numId w:val="0"/>
        </w:numPr>
        <w:tabs>
          <w:tab w:val="left" w:pos="2193"/>
        </w:tabs>
        <w:autoSpaceDE w:val="0"/>
        <w:autoSpaceDN w:val="0"/>
        <w:spacing w:before="1" w:after="0" w:line="364" w:lineRule="auto"/>
        <w:ind w:right="1249" w:rightChars="0"/>
        <w:jc w:val="both"/>
      </w:pPr>
    </w:p>
    <w:p>
      <w:pPr>
        <w:pStyle w:val="3"/>
        <w:spacing w:before="163"/>
        <w:ind w:right="605"/>
      </w:pPr>
    </w:p>
    <w:p>
      <w:pPr>
        <w:pStyle w:val="17"/>
        <w:ind w:left="0" w:leftChars="0" w:firstLine="0" w:firstLineChars="0"/>
      </w:pPr>
    </w:p>
    <w:p>
      <w:pPr>
        <w:pStyle w:val="17"/>
        <w:ind w:left="0" w:leftChars="0" w:firstLine="0" w:firstLineChars="0"/>
      </w:pPr>
    </w:p>
    <w:p>
      <w:pPr>
        <w:pStyle w:val="17"/>
        <w:ind w:left="0" w:leftChars="0" w:firstLine="0" w:firstLineChars="0"/>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pPr>
    </w:p>
    <w:p>
      <w:pPr>
        <w:pStyle w:val="3"/>
        <w:spacing w:before="163"/>
        <w:ind w:right="605"/>
        <w:jc w:val="both"/>
      </w:pPr>
    </w:p>
    <w:p>
      <w:pPr>
        <w:pStyle w:val="3"/>
        <w:spacing w:before="163"/>
        <w:ind w:right="605"/>
      </w:pPr>
    </w:p>
    <w:p>
      <w:pPr>
        <w:pStyle w:val="3"/>
        <w:spacing w:before="163"/>
        <w:ind w:right="605"/>
      </w:pPr>
    </w:p>
    <w:p>
      <w:pPr>
        <w:pStyle w:val="3"/>
        <w:spacing w:before="163"/>
        <w:ind w:right="605"/>
      </w:pPr>
    </w:p>
    <w:p>
      <w:pPr>
        <w:pStyle w:val="3"/>
        <w:spacing w:before="163"/>
        <w:ind w:right="605"/>
      </w:pPr>
    </w:p>
    <w:p/>
    <w:p>
      <w:pPr>
        <w:pStyle w:val="2"/>
      </w:pPr>
    </w:p>
    <w:p>
      <w:pPr>
        <w:pStyle w:val="2"/>
      </w:pPr>
    </w:p>
    <w:p>
      <w:pPr>
        <w:pStyle w:val="2"/>
      </w:pPr>
    </w:p>
    <w:p>
      <w:pPr>
        <w:pStyle w:val="2"/>
      </w:pPr>
    </w:p>
    <w:p>
      <w:pPr>
        <w:pStyle w:val="2"/>
      </w:pPr>
    </w:p>
    <w:p>
      <w:pPr>
        <w:pStyle w:val="3"/>
        <w:spacing w:before="163"/>
        <w:ind w:right="605"/>
      </w:pPr>
    </w:p>
    <w:p>
      <w:pPr>
        <w:pStyle w:val="3"/>
        <w:spacing w:before="163"/>
        <w:ind w:right="605" w:firstLine="2168" w:firstLineChars="600"/>
        <w:jc w:val="both"/>
      </w:pPr>
      <w:r>
        <w:t>第六部分 货物需求、技术规格说明</w:t>
      </w:r>
    </w:p>
    <w:p>
      <w:pPr>
        <w:pStyle w:val="4"/>
        <w:spacing w:before="191"/>
        <w:ind w:right="608"/>
        <w:rPr>
          <w:rFonts w:hint="eastAsia" w:eastAsia="宋体"/>
          <w:lang w:val="en-US" w:eastAsia="zh-CN"/>
        </w:rPr>
      </w:pPr>
      <w:r>
        <w:t xml:space="preserve"> 产品规格报价明细表</w:t>
      </w:r>
      <w:r>
        <w:rPr>
          <w:rFonts w:hint="eastAsia"/>
          <w:lang w:eastAsia="zh-CN"/>
        </w:rPr>
        <w:t>（</w:t>
      </w:r>
      <w:r>
        <w:rPr>
          <w:rFonts w:hint="eastAsia"/>
          <w:lang w:val="en-US" w:eastAsia="zh-CN"/>
        </w:rPr>
        <w:t>详见附表</w:t>
      </w:r>
      <w:r>
        <w:rPr>
          <w:rFonts w:hint="eastAsia"/>
          <w:lang w:eastAsia="zh-CN"/>
        </w:rPr>
        <w:t>）</w:t>
      </w:r>
    </w:p>
    <w:p>
      <w:pPr>
        <w:pStyle w:val="2"/>
      </w:pPr>
    </w:p>
    <w:p>
      <w:pPr>
        <w:pStyle w:val="17"/>
        <w:ind w:left="0" w:leftChars="0" w:firstLine="0" w:firstLineChars="0"/>
        <w:rPr>
          <w:rFonts w:hint="eastAsia"/>
          <w:b/>
          <w:bCs/>
          <w:sz w:val="40"/>
          <w:szCs w:val="44"/>
          <w:lang w:val="en-US" w:eastAsia="zh-CN"/>
        </w:rPr>
      </w:pPr>
      <w:r>
        <w:rPr>
          <w:rFonts w:hint="eastAsia"/>
          <w:b/>
          <w:bCs/>
          <w:sz w:val="40"/>
          <w:szCs w:val="44"/>
          <w:lang w:val="en-US" w:eastAsia="zh-CN"/>
        </w:rPr>
        <w:t>第三包清单：</w:t>
      </w:r>
    </w:p>
    <w:tbl>
      <w:tblPr>
        <w:tblStyle w:val="18"/>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705"/>
        <w:gridCol w:w="1039"/>
        <w:gridCol w:w="915"/>
        <w:gridCol w:w="6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6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包三：（1）破拆工具组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序号</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装备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数量</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破拆救援工具组套装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锂电池凿岩机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正常工作，防水防震；双开关安全启动，安全可靠；采用无刷马达；电池电量降低时工具输出性能不会随之衰减，具备软启动功能；                     技术参数：电压≥72V，电池容量≥6Ah ，充电时间≤90min，工作时间≥60min，夹头尺寸≤28mm，冲击能量≥64J，振动5.17≤m/s²，冲击率 ≥1300bom， 电池重量（含电池）≤29.6kg，便携小推车重量≤15.7kg标准配置：28mm尖凿头1根；28mm平凿头1根，便携小推车1台，电池2块，充电器1个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锂电池金属圆锯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 整机具备电子刹车功能及碎屑自动收集功能，操作更安全。                                    技术参数：电压≤18V，电池容量≥12Ah ，充电时间≤130min，工作时间≥60min，空载速度≥4000 rpm，最大切割深度≥66mm，锯片直径≥203mm重量（不含电池）≤5.85 kg配置：锂电池 2 块，充电器1个，内六角扳手1把，尼龙工具袋1个，高性能金属锯片1片。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锂电池钻孔机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正常工作，防水防震；双开关安全启动，安全可靠；采用无刷马达；具备电池电量显示功能；钻孔有安全离合保护； 钻机自身配备LED水平仪和进给力指示灯技术参数：电压≥72V，电池容量≥3Ah ，充电时间≤55min，工作时间≥30min，空载转速≥1550RPM，最大钻孔直径≥152mm，重量（含电池）≤10.3，钻架≤13.2kg，钻架具备密封胶圈配合真空吸盘支持真空泵吸附固定功能标准配置工具；带滚轮的塑料工具箱；快速水管接头1个；A-ROD转接头1个；扳机锁定钥匙1个；充电器1个，电池2块，钻架1个推荐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锂电池手持无齿锯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正常工作，防水防震；双开关安全启动，安全可靠；采用无刷马达；具备电子刹车功能，操作更安全                                      技术参数：电压≤18V，电池容量≥12Ah ，充电时间≤130min，工作时间≥60min，空载速度≥6600 rpm，最大切割深度≥85mm，锯片直径≥230mm，振动级别≤1.81m/s²，重量（含电池）≤6.2 kg配置：锂电池 2 块，充电器1个，随机专用工具1附， 快速水管连接器1个; 金刚石锯片1片;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5</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锂电池无齿锯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正常工作，防水防震；双开关安全启动，安全可靠；采用无刷马达；具备电池电量显示功能； 技术参数：电压≥72V，电池容量≥6Ah ，充电时间≤90min，工作时间≥30min，锯片直径≥350 mm，锯片空载速度≤5370 rpm，最大切割深度≥125mm，重量（含电池）≤ 16.7Kg。配置：快充适配器1个、锂电池2块、350mm混凝土金刚石锯片1片、350mm金属锯片1片，随机专用工具1套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锂电池电锤</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正常工作，防水防震；双开关安全启动，安全可靠；采用无刷马达；整机具备自停防卡死功能，有效防止操作过程中的安全性。                            技术参数：电压≤18V，电池容量≥12Ah ，充电时间≤130min，工作时间≥60min，空载转速≥380 rpm，冲击频率≥2900 bpm，冲击能量≥11J，最大钻孔直径（混凝土）≥45mm，钻孔振动级别≤8.6 m/s²，凿击振动级别≤9.4 m/s2，重量（不含电池）≤10.4，标准配置：工具1个; 减振副手柄1个；塑料工具箱1个；电池2块；充电器1个；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7</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锂电池链锯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 正常工作，防水防震；双开关安全启动，安全可靠；采用无刷马达；                                     技术参数：电压≤18V，电池容量≥12Ah ，充电时间≤130min，工作时间≥60min，链锯速度≥12.4m/s，最大切割深度≥380mm，导板长度≥406mm，重量（含电池）≤4.7 kg配置：锂电池 2 块，充电器1个，专用工具1个；链锯条1根；导板1块；导板护罩1个；链锯润滑液1瓶；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锂电池马刀锯</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排放优势，不受地理位置限制。锂电池可在≤-20℃正常工作，防水防震；双开关安全启动，安全可靠；采用无刷马达；五档速度调及摆动/直线2档切割模式，使得应用中性能更稳定技术参数：电压≤18V，电池容量≥12Ah ，充电时间≤130min，工作时间≥60min，空载速度≥3000 rpm，往复行程：≥32mm，最大切割深度（铝材）≥25mm，最大切割深度（金属管）≥150mm，最大切割深度（钢材）≥20mm，最大切割深度（木材）≥300mm，重量（不含电池）≤ 4Kg。配置：18V 12Ah 锂电池 2 块，充电器1个，内六角扳手1把，塑料工具箱1个，高性能金属锯片1片，石材锯片1片，木材锯片1片。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9</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电动破拆工具组</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知名品牌；整套装备包括电动扩张器、电动剪切钳，电动顶杆1个，电池3块，充电器2个。具备电池残量指示灯，由充电器插头，快速接头处有LED照明灯。电动剪切钳：工具一键开关,开关处有两个LED灯，LED灯与液压系统共享电源，电池插口处带发光源。工具手控阀均采用星状设计，任何角度一个手指头即可操作。技术参数：剪断力≥680kN,剪切圆钢直径≥35mm,最大开口距离≥160mm，重量≤19kg，NFPA剪切等级≥A7/B8/C7/D7/E7。须提供EN、NFPA认证。电动扩张器：工具一键开关。开关处有两个LED灯，LED灯与液压系统共享电源,电池插口处带发光源方便夜间更换电池。工具手控阀均采用星状设计，任何角度一个手指头即可操作。扩张臂下内置了挤压盘,还有带刺点菱形颗粒结构的“鲨鱼牙齿”扩张头。技术参数：扩张力≥836kN，NFPA报告扩张力39kN-63kN，扩张距离≥600mm，牵拉力≥56kN；NFPA报告牵拉力23kN-43kN，牵拉距离≥440mm，挤压力≥144kN，重量≤19kg。电动顶杆：机身及工具头部一体式设计，无需外接动力源和油管。交直流两用，电池和电源线均可使用。电源线的使用可使工具救援无时间限制。工具一键开关。开关处有两个LED灯，LED灯与液压系统共享电源，电池插口处带发光源。工具手控阀均采用星状设计，任何角度一个手指头即可操作。技术参数：活塞行程≥387mm，撑顶力≥127kN，闭合长度≤597mm，伸出长度≥984mm，重量≤18kg。</w:t>
            </w:r>
          </w:p>
        </w:tc>
      </w:tr>
    </w:tbl>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rPr>
          <w:rFonts w:hint="eastAsia"/>
          <w:b/>
          <w:bCs/>
          <w:sz w:val="36"/>
          <w:szCs w:val="40"/>
          <w:lang w:val="en-US" w:eastAsia="zh-CN"/>
        </w:rPr>
      </w:pPr>
    </w:p>
    <w:p>
      <w:pPr>
        <w:pStyle w:val="17"/>
        <w:ind w:left="0" w:leftChars="0" w:firstLine="0" w:firstLineChars="0"/>
      </w:pPr>
    </w:p>
    <w:p>
      <w:pPr>
        <w:pStyle w:val="17"/>
      </w:pPr>
    </w:p>
    <w:tbl>
      <w:tblPr>
        <w:tblStyle w:val="18"/>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921"/>
        <w:gridCol w:w="585"/>
        <w:gridCol w:w="6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2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包三：（2）单兵救援装备单人配置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序号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装备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数量</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救援安全带</w:t>
            </w:r>
            <w:r>
              <w:rPr>
                <w:rFonts w:hint="eastAsia" w:ascii="黑体" w:hAnsi="宋体" w:eastAsia="黑体" w:cs="黑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五挂点全身安全带，内置一体式胸式上升器，腹部连接点可打开，方便连接挽索、上升器等；半硬式、宽大的腰带和腿环，使用透气泡棉作内衬，提高悬挂时的舒适度；配有双保险卡扣。腿环备有自动上锁扣，后背(腰带和腿环之间)带有自锁扣；配有五个备有保护套的成形工具环，两个工具挂环槽，两个工具包连接点，配有携带工具架凹槽，配有预设型胸式上升器的链接，使上升承载受力时更加安全。腰带70-93cm，腿环47 - 62cm，身高165 - 185cm；重</w:t>
            </w:r>
            <w:r>
              <w:rPr>
                <w:rStyle w:val="33"/>
                <w:sz w:val="20"/>
                <w:szCs w:val="20"/>
                <w:lang w:val="en-US" w:eastAsia="zh-CN" w:bidi="ar"/>
              </w:rPr>
              <w:t>≧</w:t>
            </w:r>
            <w:r>
              <w:rPr>
                <w:rStyle w:val="32"/>
                <w:sz w:val="20"/>
                <w:szCs w:val="20"/>
                <w:lang w:val="en-US" w:eastAsia="zh-CN" w:bidi="ar"/>
              </w:rPr>
              <w:t>1900g；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手持上升器★</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用于绳索上升，铸模的人体工程学把手当在单手或双手拖拉的时候能提供舒适和有力的抓握，宽大的下连接孔能容易的连接挽索锁扣和脚踏圈的锁扣，铸模双密度把手备有食指抓握区域同时宽阔的底部支撑可防止手滑脱，人体工程学的上部结构方便双绳抓握，可开启的安全凸轮让手式上升器在绳索的任何位置都可以用单手打开或安装，配戴手套依然操作自如。材料：铝，不锈钢，塑料和橡胶；重量：</w:t>
            </w:r>
            <w:r>
              <w:rPr>
                <w:rStyle w:val="33"/>
                <w:sz w:val="20"/>
                <w:szCs w:val="20"/>
                <w:lang w:val="en-US" w:eastAsia="zh-CN" w:bidi="ar"/>
              </w:rPr>
              <w:t>≧</w:t>
            </w:r>
            <w:r>
              <w:rPr>
                <w:rStyle w:val="32"/>
                <w:sz w:val="20"/>
                <w:szCs w:val="20"/>
                <w:lang w:val="en-US" w:eastAsia="zh-CN" w:bidi="ar"/>
              </w:rPr>
              <w:t>165g绳索兼容：直径8-13mm颜色：黄色（右手）。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可调挽索</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30</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单臂可调节挽索，采用动力绳挽索配合调节块,能带来一定的缓冲能力，调节块能进行精确的调节，采用橡胶套能固定锁扣的位置，让锁扣始终处于主轴状态，最大长度</w:t>
            </w:r>
            <w:r>
              <w:rPr>
                <w:rStyle w:val="33"/>
                <w:sz w:val="20"/>
                <w:szCs w:val="20"/>
                <w:lang w:val="en-US" w:eastAsia="zh-CN" w:bidi="ar"/>
              </w:rPr>
              <w:t>≧</w:t>
            </w:r>
            <w:r>
              <w:rPr>
                <w:rStyle w:val="32"/>
                <w:sz w:val="20"/>
                <w:szCs w:val="20"/>
                <w:lang w:val="en-US" w:eastAsia="zh-CN" w:bidi="ar"/>
              </w:rPr>
              <w:t xml:space="preserve">100cm, </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Style w:val="32"/>
                <w:sz w:val="20"/>
                <w:szCs w:val="20"/>
                <w:lang w:val="en-US" w:eastAsia="zh-CN" w:bidi="ar"/>
              </w:rPr>
              <w:t>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脚式上升器防脱扣</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脚式上升器的防脱块，有助于在绳索上升期间将绳索保持在脚式上升器里面，防止绳索脱出。分左右脚两个版本。重量</w:t>
            </w:r>
            <w:r>
              <w:rPr>
                <w:rStyle w:val="33"/>
                <w:sz w:val="20"/>
                <w:szCs w:val="20"/>
                <w:lang w:val="en-US" w:eastAsia="zh-CN" w:bidi="ar"/>
              </w:rPr>
              <w:t>≧</w:t>
            </w:r>
            <w:r>
              <w:rPr>
                <w:rStyle w:val="32"/>
                <w:sz w:val="20"/>
                <w:szCs w:val="20"/>
                <w:lang w:val="en-US" w:eastAsia="zh-CN" w:bidi="ar"/>
              </w:rPr>
              <w:t>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下降器★</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小型自动制停下降器， 手柄能够自动回弹，侧板带有可开启门，可在连接状态下打开，采用了钢制侧板摩擦唇和侧边摩擦槽，更耐用。绳索直径10-11.5mm，可使用9-11mm动力绳，最大工作负</w:t>
            </w:r>
            <w:r>
              <w:rPr>
                <w:rFonts w:hint="eastAsia" w:ascii="宋体" w:hAnsi="宋体" w:eastAsia="宋体" w:cs="宋体"/>
                <w:i w:val="0"/>
                <w:iCs w:val="0"/>
                <w:color w:val="000000"/>
                <w:kern w:val="0"/>
                <w:sz w:val="20"/>
                <w:szCs w:val="20"/>
                <w:u w:val="none"/>
                <w:lang w:val="en-US" w:eastAsia="zh-CN" w:bidi="ar"/>
              </w:rPr>
              <w:t>荷</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200kg，重量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Style w:val="32"/>
                <w:sz w:val="20"/>
                <w:szCs w:val="20"/>
                <w:lang w:val="en-US" w:eastAsia="zh-CN" w:bidi="ar"/>
              </w:rPr>
              <w:t>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不锈钢快挂</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不锈钢直门快挂单锁，不锈钢材质更加耐磨，强度≧16kN,锁门，</w:t>
            </w:r>
            <w:r>
              <w:rPr>
                <w:rFonts w:hint="eastAsia" w:ascii="宋体" w:hAnsi="宋体" w:eastAsia="宋体" w:cs="宋体"/>
                <w:i w:val="0"/>
                <w:iCs w:val="0"/>
                <w:color w:val="000000"/>
                <w:kern w:val="0"/>
                <w:sz w:val="20"/>
                <w:szCs w:val="20"/>
                <w:u w:val="none"/>
                <w:lang w:val="en-US" w:eastAsia="zh-CN" w:bidi="ar"/>
              </w:rPr>
              <w:t>长</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80mm，宽</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44mm，直径</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8mm，开口</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12mm，重量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72g</w:t>
            </w:r>
            <w:r>
              <w:rPr>
                <w:rStyle w:val="3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滑轮锁★</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该滑轮锁扣用于在连接抓绳器时，可方便地安装绳索拖拉，滑轮锁扣的锁门开合在滑轮一侧，便于滑轮固定在抓绳器上时安装绳索。它具有自动上锁系统和无锁快挂</w:t>
            </w:r>
            <w:r>
              <w:rPr>
                <w:rFonts w:hint="eastAsia" w:ascii="宋体" w:hAnsi="宋体" w:eastAsia="宋体" w:cs="宋体"/>
                <w:i w:val="0"/>
                <w:iCs w:val="0"/>
                <w:color w:val="000000"/>
                <w:kern w:val="0"/>
                <w:sz w:val="20"/>
                <w:szCs w:val="20"/>
                <w:u w:val="none"/>
                <w:lang w:val="en-US" w:eastAsia="zh-CN" w:bidi="ar"/>
              </w:rPr>
              <w:t>可与</w:t>
            </w:r>
            <w:r>
              <w:rPr>
                <w:rStyle w:val="32"/>
                <w:sz w:val="20"/>
                <w:szCs w:val="20"/>
                <w:lang w:val="en-US" w:eastAsia="zh-CN" w:bidi="ar"/>
              </w:rPr>
              <w:t>固定杆配合使用，能使锁扣在主轴受力，减少翻转的风险，并保持与装备的连接。，采用密闭滚珠轴承，登山扣的H形横截面：确保提高的强度重量比，保护标记免受磨损，适用绳索直径：7-13毫米，滑轮直径：18毫米，最大工作负载：≧4 kN，效率：</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85％，主轴强度：</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20 kN，短轴强度：</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 kN，开门强度：</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7 k</w:t>
            </w:r>
            <w:r>
              <w:rPr>
                <w:rStyle w:val="32"/>
                <w:sz w:val="20"/>
                <w:szCs w:val="20"/>
                <w:lang w:val="en-US" w:eastAsia="zh-CN" w:bidi="ar"/>
              </w:rPr>
              <w:t>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救援头盔</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合式 兼具耐用轻便功能可选配件种类丰富面罩，护耳可拆洗吸汗内衬适压快速释放系统10孔透气兼具防尘-质量合格独立编号适用头围：51-62 cm/重量：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Style w:val="32"/>
                <w:sz w:val="20"/>
                <w:szCs w:val="20"/>
                <w:lang w:val="en-US" w:eastAsia="zh-CN" w:bidi="ar"/>
              </w:rPr>
              <w:t>80 g/外壳材质：聚丙烯/内壳材质：密度50聚苯乙烯泡沫/头盔带：高分子聚乙烯/头灯卡：轻质尼龙扣</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装备包</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材质:聚氯乙烯（pvc）夹网布+织物尺寸：</w:t>
            </w:r>
            <w:r>
              <w:rPr>
                <w:rFonts w:ascii="宋体" w:hAnsi="宋体" w:eastAsia="宋体" w:cs="宋体"/>
                <w:i w:val="0"/>
                <w:iCs w:val="0"/>
                <w:color w:val="000000"/>
                <w:kern w:val="0"/>
                <w:sz w:val="20"/>
                <w:szCs w:val="20"/>
                <w:u w:val="none"/>
                <w:lang w:val="en-US" w:eastAsia="zh-CN" w:bidi="ar"/>
              </w:rPr>
              <w:t>≧</w:t>
            </w:r>
            <w:r>
              <w:rPr>
                <w:rStyle w:val="32"/>
                <w:sz w:val="20"/>
                <w:szCs w:val="20"/>
                <w:lang w:val="en-US" w:eastAsia="zh-CN" w:bidi="ar"/>
              </w:rPr>
              <w:t>34*24*67cm容量：</w:t>
            </w:r>
            <w:r>
              <w:rPr>
                <w:rFonts w:ascii="宋体" w:hAnsi="宋体" w:eastAsia="宋体" w:cs="宋体"/>
                <w:i w:val="0"/>
                <w:iCs w:val="0"/>
                <w:color w:val="000000"/>
                <w:kern w:val="0"/>
                <w:sz w:val="20"/>
                <w:szCs w:val="20"/>
                <w:u w:val="none"/>
                <w:lang w:val="en-US" w:eastAsia="zh-CN" w:bidi="ar"/>
              </w:rPr>
              <w:t>≧</w:t>
            </w:r>
            <w:r>
              <w:rPr>
                <w:rStyle w:val="32"/>
                <w:sz w:val="20"/>
                <w:szCs w:val="20"/>
                <w:lang w:val="en-US" w:eastAsia="zh-CN" w:bidi="ar"/>
              </w:rPr>
              <w:t>45L   重量：</w:t>
            </w:r>
            <w:r>
              <w:rPr>
                <w:rFonts w:ascii="宋体" w:hAnsi="宋体" w:eastAsia="宋体" w:cs="宋体"/>
                <w:i w:val="0"/>
                <w:iCs w:val="0"/>
                <w:color w:val="000000"/>
                <w:kern w:val="0"/>
                <w:sz w:val="20"/>
                <w:szCs w:val="20"/>
                <w:u w:val="none"/>
                <w:lang w:val="en-US" w:eastAsia="zh-CN" w:bidi="ar"/>
              </w:rPr>
              <w:t>≧</w:t>
            </w:r>
            <w:r>
              <w:rPr>
                <w:rStyle w:val="32"/>
                <w:sz w:val="20"/>
                <w:szCs w:val="20"/>
                <w:lang w:val="en-US" w:eastAsia="zh-CN" w:bidi="ar"/>
              </w:rPr>
              <w:t>1600g入150米/10.5MM绳1.PVC夹网，高周波压合，坚固耐磨；低吸水带有衬垫背负，加厚腰带和肩带的舒适性，适合长距离背负，2、内置ID卡位包盖，减少流水对包口的直接冲击，加强防水性能，穿越复杂路段时，减少勾挂；3、面料符合国家环保4、执行标准： QB/T 1333-2018   GB/T 4744-2013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装备钩</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塑料工具架，可安装在工业安全带上，可快速安装和拿取设备，最大工作负荷</w:t>
            </w:r>
            <w:r>
              <w:rPr>
                <w:rFonts w:ascii="宋体" w:hAnsi="宋体" w:eastAsia="宋体" w:cs="宋体"/>
                <w:i w:val="0"/>
                <w:iCs w:val="0"/>
                <w:color w:val="000000"/>
                <w:kern w:val="0"/>
                <w:sz w:val="20"/>
                <w:szCs w:val="20"/>
                <w:u w:val="none"/>
                <w:lang w:val="en-US" w:eastAsia="zh-CN" w:bidi="ar"/>
              </w:rPr>
              <w:t>≧</w:t>
            </w:r>
            <w:r>
              <w:rPr>
                <w:rStyle w:val="32"/>
                <w:sz w:val="20"/>
                <w:szCs w:val="20"/>
                <w:lang w:val="en-US" w:eastAsia="zh-CN" w:bidi="ar"/>
              </w:rPr>
              <w:t>15kg,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止坠器★</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安全绳索通过移动止坠器与安全带的胸部或背部挂点相连，让绳索上升操作更加便捷。普通使用时，不需要人为干预止坠器便可在绳索上自由移动，并且跟随使用者的移动。如遇坠落冲击或突然加速，移动止坠器将在绳索上制动并制止使用者的下坠。内置了锁定功能，能将设备固定在绳索上降低坠落距离。连接臂能防止通过中间时设备发生掉落。配合势能吸收器挽索将绳索与作业面保持一定距离。兼容10-13毫米直径的绳索，颜色为金黄色，重量</w:t>
            </w:r>
            <w:r>
              <w:rPr>
                <w:rFonts w:ascii="宋体" w:hAnsi="宋体" w:eastAsia="宋体" w:cs="宋体"/>
                <w:i w:val="0"/>
                <w:iCs w:val="0"/>
                <w:color w:val="000000"/>
                <w:kern w:val="0"/>
                <w:sz w:val="20"/>
                <w:szCs w:val="20"/>
                <w:u w:val="none"/>
                <w:lang w:val="en-US" w:eastAsia="zh-CN" w:bidi="ar"/>
              </w:rPr>
              <w:t>≧</w:t>
            </w:r>
            <w:r>
              <w:rPr>
                <w:rStyle w:val="32"/>
                <w:sz w:val="20"/>
                <w:szCs w:val="20"/>
                <w:lang w:val="en-US" w:eastAsia="zh-CN" w:bidi="ar"/>
              </w:rPr>
              <w:t>425克。材料：铝，不锈钢和尼龙。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脚式上升器★</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右脚上升器辅助上升,有专利的解锁系统。可以保持设备保持关闭或打开的状态，防止从绳索中滑出。使用单手就能安装；凸轮和解锁机构完全融合在设备内部；凸轮可自清理，能在结冰和有污垢的绳索上使用；扁带可调节，更好的穿戴；脚踏端扁带使用扁带套加固；稳定：不会在受力下翻转。 重量</w:t>
            </w:r>
            <w:r>
              <w:rPr>
                <w:rFonts w:hint="eastAsia" w:ascii="宋体" w:hAnsi="宋体" w:eastAsia="宋体" w:cs="宋体"/>
                <w:i w:val="0"/>
                <w:iCs w:val="0"/>
                <w:color w:val="000000"/>
                <w:kern w:val="0"/>
                <w:sz w:val="20"/>
                <w:szCs w:val="20"/>
                <w:u w:val="none"/>
                <w:lang w:val="en-US" w:eastAsia="zh-CN" w:bidi="ar"/>
              </w:rPr>
              <w:t>：</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16</w:t>
            </w:r>
            <w:r>
              <w:rPr>
                <w:rStyle w:val="32"/>
                <w:sz w:val="20"/>
                <w:szCs w:val="20"/>
                <w:lang w:val="en-US" w:eastAsia="zh-CN" w:bidi="ar"/>
              </w:rPr>
              <w:t>5g，使用绳索：Ø 8 - 13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势能缓冲包</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配合用于移动止坠器，可双人救援使用，配有撕裂式扁带，装于拉链式包内，可视化管理，便于安全检查，遇冲坠时势能吸收器通过织带撕裂吸收对使用者的冲击力。两端的STRING织带保护器，用于将连接器固定到位并保护织带免受磨损。长</w:t>
            </w:r>
            <w:r>
              <w:rPr>
                <w:rFonts w:hint="eastAsia" w:ascii="宋体" w:hAnsi="宋体" w:eastAsia="宋体" w:cs="宋体"/>
                <w:i w:val="0"/>
                <w:iCs w:val="0"/>
                <w:color w:val="000000"/>
                <w:kern w:val="0"/>
                <w:sz w:val="20"/>
                <w:szCs w:val="20"/>
                <w:u w:val="none"/>
                <w:lang w:val="en-US" w:eastAsia="zh-CN" w:bidi="ar"/>
              </w:rPr>
              <w:t>度</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40cm，重量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205g，最大负荷</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脚踏绳</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材质：</w:t>
            </w:r>
            <w:r>
              <w:rPr>
                <w:rFonts w:hint="eastAsia" w:ascii="宋体" w:hAnsi="宋体" w:eastAsia="宋体" w:cs="宋体"/>
                <w:i w:val="0"/>
                <w:iCs w:val="0"/>
                <w:color w:val="000000"/>
                <w:kern w:val="0"/>
                <w:sz w:val="20"/>
                <w:szCs w:val="20"/>
                <w:u w:val="none"/>
                <w:lang w:val="en-US" w:eastAsia="zh-CN" w:bidi="ar"/>
              </w:rPr>
              <w:t>大力马纤维长度：</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143cm直径：</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5.3mm重量：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47g</w:t>
            </w:r>
            <w:r>
              <w:rPr>
                <w:rStyle w:val="32"/>
                <w:sz w:val="20"/>
                <w:szCs w:val="20"/>
                <w:lang w:val="en-US" w:eastAsia="zh-CN" w:bidi="ar"/>
              </w:rPr>
              <w:t>速调式脚蹬绳，用于SRT，救援，登山，攀岩等高空作业活动。1</w:t>
            </w:r>
            <w:r>
              <w:rPr>
                <w:rFonts w:hint="eastAsia" w:ascii="宋体" w:hAnsi="宋体" w:eastAsia="宋体" w:cs="宋体"/>
                <w:i w:val="0"/>
                <w:iCs w:val="0"/>
                <w:color w:val="000000"/>
                <w:kern w:val="0"/>
                <w:sz w:val="20"/>
                <w:szCs w:val="20"/>
                <w:u w:val="none"/>
                <w:lang w:val="en-US" w:eastAsia="zh-CN" w:bidi="ar"/>
              </w:rPr>
              <w:t>、大力马</w:t>
            </w:r>
            <w:r>
              <w:rPr>
                <w:rStyle w:val="32"/>
                <w:sz w:val="20"/>
                <w:szCs w:val="20"/>
                <w:lang w:val="en-US" w:eastAsia="zh-CN" w:bidi="ar"/>
              </w:rPr>
              <w:t>绳与扁带的结合，拉力大，轻便；2、打组缝合，绳芯不滑动；3、不锈钢二孔调节扣，快速调节绳索长度。</w:t>
            </w:r>
            <w:r>
              <w:rPr>
                <w:rFonts w:hint="eastAsia" w:ascii="宋体" w:hAnsi="宋体" w:eastAsia="宋体" w:cs="宋体"/>
                <w:i w:val="0"/>
                <w:iCs w:val="0"/>
                <w:color w:val="000000"/>
                <w:kern w:val="0"/>
                <w:sz w:val="20"/>
                <w:szCs w:val="20"/>
                <w:u w:val="none"/>
                <w:lang w:val="en-US" w:eastAsia="zh-CN" w:bidi="ar"/>
              </w:rPr>
              <w:t>警告：本品不是PPE,只能承受体重，不能承受冲坠。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多功能下降器</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该设备可以在连接到锁扣时安装在绳索上。 因此，在绳索上安装或卸载期间，设备不会掉落。它是市场上无与伦比的工具，是唯一可在高空工作时实现5种功能并在拉紧或对角绳索上保留所有这些功能的工具。跌落保护装置/下降/止坠/救援装备/可调式挽索（+3米专用静力挽索）。材料：铝，不锈钢 颜色：红色，蓝色，黑色  重</w:t>
            </w:r>
            <w:r>
              <w:rPr>
                <w:rFonts w:hint="eastAsia" w:ascii="宋体" w:hAnsi="宋体" w:eastAsia="宋体" w:cs="宋体"/>
                <w:i w:val="0"/>
                <w:iCs w:val="0"/>
                <w:color w:val="000000"/>
                <w:kern w:val="0"/>
                <w:sz w:val="20"/>
                <w:szCs w:val="20"/>
                <w:u w:val="none"/>
                <w:lang w:val="en-US" w:eastAsia="zh-CN" w:bidi="ar"/>
              </w:rPr>
              <w:t>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380克，尺寸长宽高：</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15cm,8cm,4cm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半永久万向节★</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单段可开启万向转还，设计用于和主锁连接。该万向节可防止挽索之间互相缠绕，并让装备保持在合适的位置。采用无滚珠轴承的设计，能在不承重时自由旋转，并且在承重后停止旋，转以确保装备处于合适的位置。材料：铝，塑料，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75克，断裂负荷：</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23 kN</w:t>
            </w:r>
            <w:r>
              <w:rPr>
                <w:rStyle w:val="32"/>
                <w:sz w:val="20"/>
                <w:szCs w:val="2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飞拉达快开锁</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特点：-快开锁-两把交替使用-钩挂顺滑锁头-方便抓握尺寸-质量合格独立编码横向拉力：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 kN/纵向拉力：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30 kN/开口拉力：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9 kN/开口大小：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26 mm/重量：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87</w:t>
            </w:r>
            <w:r>
              <w:rPr>
                <w:rStyle w:val="32"/>
                <w:sz w:val="20"/>
                <w:szCs w:val="20"/>
                <w:lang w:val="en-US" w:eastAsia="zh-CN" w:bidi="ar"/>
              </w:rPr>
              <w:t xml:space="preserve">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摩擦锁</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sz w:val="20"/>
                <w:szCs w:val="20"/>
                <w:lang w:val="en-US" w:eastAsia="zh-CN" w:bidi="ar"/>
              </w:rPr>
              <w:t>带有摩擦块的锁扣，可在下降过程中增加或调节摩擦力，以改善负重下降过程中的下降速度。易于使用和控制。绳索可以快速重新引导到摩擦支点上，并可以用一只手将其卸下，它易于使用，</w:t>
            </w:r>
            <w:r>
              <w:rPr>
                <w:rFonts w:hint="eastAsia" w:ascii="宋体" w:hAnsi="宋体" w:eastAsia="宋体" w:cs="宋体"/>
                <w:i w:val="0"/>
                <w:iCs w:val="0"/>
                <w:color w:val="000000"/>
                <w:kern w:val="0"/>
                <w:sz w:val="20"/>
                <w:szCs w:val="20"/>
                <w:u w:val="none"/>
                <w:lang w:val="en-US" w:eastAsia="zh-CN" w:bidi="ar"/>
              </w:rPr>
              <w:t>在与自制动下降器配合使用时。从设备回路转移到腹部连接点或锚点时，直接旋转，可以防止下降器掉落</w:t>
            </w:r>
            <w:r>
              <w:rPr>
                <w:rStyle w:val="32"/>
                <w:sz w:val="20"/>
                <w:szCs w:val="20"/>
                <w:lang w:val="en-US" w:eastAsia="zh-CN" w:bidi="ar"/>
              </w:rPr>
              <w:t>。材质：铝合金，</w:t>
            </w:r>
            <w:r>
              <w:rPr>
                <w:rFonts w:hint="eastAsia" w:ascii="宋体" w:hAnsi="宋体" w:eastAsia="宋体" w:cs="宋体"/>
                <w:i w:val="0"/>
                <w:iCs w:val="0"/>
                <w:color w:val="000000"/>
                <w:kern w:val="0"/>
                <w:sz w:val="20"/>
                <w:szCs w:val="20"/>
                <w:u w:val="none"/>
                <w:lang w:val="en-US" w:eastAsia="zh-CN" w:bidi="ar"/>
              </w:rPr>
              <w:t>重量</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75g，纵向拉力：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23KN；横向拉力：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8KN；开口拉力：</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8KN；开口尺寸：</w:t>
            </w:r>
            <w:r>
              <w:rPr>
                <w:rStyle w:val="33"/>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18MM。</w:t>
            </w:r>
          </w:p>
        </w:tc>
      </w:tr>
    </w:tbl>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before="134"/>
        <w:ind w:right="0"/>
        <w:jc w:val="left"/>
        <w:rPr>
          <w:rFonts w:hint="eastAsia" w:ascii="仿宋" w:eastAsia="仿宋"/>
          <w:b/>
          <w:color w:val="0000FF"/>
          <w:sz w:val="24"/>
        </w:rPr>
      </w:pPr>
    </w:p>
    <w:tbl>
      <w:tblPr>
        <w:tblStyle w:val="18"/>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536"/>
        <w:gridCol w:w="546"/>
        <w:gridCol w:w="6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87"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包三：（3）单兵救援装备团队配置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装备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数量</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钢丝I型挽索  长度130cm</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两端配有连接环；高强度和高耐用性；适合树上作业或高空焊接；强度≧15kN材料：镀锌钢 PVC外套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钢丝I型挽索  长度5m</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两端配有连接环.高强度和高耐用性.适合树上作业或高空焊接                                                              颜色：连接环颜色为黄色；钢丝直径6mm，外套直径≧13mm；强度：≧15kN；材料：镀锌钢覆盖PVC外套；长度：≧5m；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Y型挽索</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Y型双挽索设计用于为通过中间锚点时提供不间断的保护，通过交替连接两个臂上的锁扣；用于50kg至130kg的人使用；内置小巧势能吸收器，不会阻碍使用者的移动或抓握，耐用的保护袋能防止势能吸收器受到磨损和污染；一旦发生坠落，撕裂式势能吸收器能降低使用者受到的冲击；配有锁眼式锁扣用于连接安全带，和两个MGO大开口锁扣，用于连接金属结构和大直径的钢缆和横条；重量≧1850g，含锁扣在内最大长度≧110cm，坠落撕裂后最大长度≧220cm，最大净空距离≧435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大号分力板</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12孔铝合金锚固点,孔径：≧19毫米，适合用于救援时设置锚点。颜色为金色；材质：铝合金；重量：≧350g；断裂负荷：≧36kN；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超强扁带</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强力扁带，用于设置高强度锚点，或进行辅助攀登 。采用超高分子量聚乙烯材料，保证了极高的断裂强度， 并且增加了材料保护外皮，能保证吊索长时间的耐用性， 并且降低了重量。 注意，纤维材料在锋利的边缘依然需要护绳措施，以保证 设备的安全性 直径: ≧10mm 破断力:≧ 8100kgf 长度: ≧1.2m 耐切割, 耐腐蚀，不生锈 ≧195g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连接环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可开启圆环，铝合金材质，可在多个方向受力，断裂负荷≧23kN，开口大小≧11mm，重量≧70g。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高效紧绳器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滑轮式自动制停下降器，用于技术救援，可使操作重物下放和提拉更为简便，可用于主系统或备份系统。多功能性可让救援者适应所有可能碰到的环境。人体工程学手柄可以下放绳索，并舒适掌握下降速度。从下降位置可以立即切换到上升位置，而无须卸下物品。内置制停滑轮，具有大直径的密封滚珠轴承，保证上升时的高效率。AUTO-LOCK系统，可以在不用手柄时自动锁住绳索。一旦锁住，不需触动手柄即可收回绳索。与直径为10.5至11.5毫米的绳索兼容，最多可操作≧250公斤的重物。重量≧1100g，断裂负荷≧36KN，效率可达≧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万向单滑轮★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1.5单滑轮滑轮直径：1.5”(38mm)滑轮数：单个滑轮材料：铝可用颜色：标准 / 黑色重量：≧260g最小破断强度：≧36kN额定载荷：≧8kN最大可用绳索：≧13mm。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万向双滑轮★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1.5双滑轮 滑轮直径：1.5”(38mm)滑轮数：两个滑轮材料：铝可用颜色：标准 / 黑色重量：≧411g最小破断强度：≧36kN额定载荷：≧8kN最大可用绳索：≧13mm。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H型自动主锁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自动扣2重安全门主锁，锁体7075合金铝材质，Keylock设计防止使用时勾挂绳索或尖锐物，H型锁可使用意大利半扣下降，锁门关闭指示器设计。断裂拉力（KN)：26-11-8，锁体尺寸：120*78mm，开门尺寸：≧24mm，重量：≧88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单向滑轮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大直径、高效率的滑轮尤其适 合提拉重物。上锁承重后侧板能够防止滑轮在使用时打开。下方连接孔能组装各种不同的提拉系 统。滑轮直径≦38mm,兼容绳索直径8-13mm,内置滚珠轴承，95%工作效率，最大工作负荷单滑轮≧5KN,单项制停≧2.5KN。最大断裂负荷≧22KN，重量≧265g.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狭小空间全地形担架</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增加舒适性，且简单易操作. 伤员能够以水平、垂直或倾斜的角度运送，以适应不规则或狭窄的地形； 担架里面配有一条全身安全带以确保伤员的安全。不同的颜色标示，可避免任何安装错误； DoubleBack自锁扣可简单快速地调整调节带；光滑，坚硬的塑料底部确保良好的滑行，泡沫垫给伤背部提供舒适的支撑；底部固定的四根横杆装置可以卸除，准许担架卷起装在45L背包里面，在行进过程中降低携带担架的困难；备选配件: STEF 角度调节器， 可与担架的三个连接点连接，可根据地形轻松调节角度。规格• 材质： TPU, 尼龙，聚乙烯, 铝合金， 重量：≧13100g， 尺寸：≧200 × 50 × 5cm，这款担架适用所有的绳索救援技术，特别是在密闭空间。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扭曲钢锁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特殊的螺旋形连接器，带有扭曲的碳钢阀体和圆形棒，在需要“偏移”载荷时必须有。它允许任何连接装置(下降器、绳夹、避雷器等)90°旋转，优化操作对准。可与汽车座(3运动)和扭转锁(2运动)套筒。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过结横渡滑轮★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重量：≧711g破断力：≧39kn工作载荷：6kn最大绳索直径：≧19mm滑轮直径：≧56mm；重量：≧25盎司（711克）断裂强度：≧2 x 19.5 kN = 39 kN WLL：6 kN最大绳索直径：≧19 mm滑轮直径：≧2.2英寸（56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绳包20L</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材质：尼龙TPU（420D）尺寸：≧23*23*50cm重量：≧320g容量：≧20L可入80米10.5绳 1抗磨尼龙布环保TPU涂层；高周波压合坚固耐磨；塔式锁口扣具，帮助快速开关袋口操作；2、地上拖拉使用无防，简易背包织带，包身细长可保持挺立，可随意折叠携带。3、面料符合国家环保4、执行标准：QB/T 1333-2018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O型自动锁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轻型O型锁扣椭圆外形可使较宽的装备如滑轮、上升器和移动止坠器位于最佳位置。流畅的内部设计和Keylock系统让使用更为简便。H型轮廓有助于更好的抓力，保护标记不受磨损，减轻重量；其可与固定杆配合使用，能使锁扣在主轴受力，减少翻转的风险，并保持与装备的连接；上锁系统：三段自动扣，为频繁操作而设计。7075铝合金制，开口尺寸≧22mm， 纵向拉力≧25KN， 横向拉力≧8KN，开口拉力：≧7KN， 颜色为银色， 重量为≧75克。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钛合金担架</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35"/>
                <w:sz w:val="20"/>
                <w:szCs w:val="20"/>
                <w:lang w:val="en-US" w:eastAsia="zh-CN" w:bidi="ar"/>
              </w:rPr>
              <w:t>钛2  （配件：聚乙稀、PE、涤纶）尺寸：</w:t>
            </w:r>
            <w:r>
              <w:rPr>
                <w:rStyle w:val="34"/>
                <w:rFonts w:ascii="宋体" w:hAnsi="宋体" w:eastAsia="宋体" w:cs="宋体"/>
                <w:sz w:val="32"/>
                <w:szCs w:val="32"/>
                <w:lang w:val="en-US" w:eastAsia="zh-CN" w:bidi="ar"/>
              </w:rPr>
              <w:t>≧</w:t>
            </w:r>
            <w:r>
              <w:rPr>
                <w:rStyle w:val="35"/>
                <w:sz w:val="20"/>
                <w:szCs w:val="20"/>
                <w:lang w:val="en-US" w:eastAsia="zh-CN" w:bidi="ar"/>
              </w:rPr>
              <w:t>208*58*18cm（分体）重量：</w:t>
            </w:r>
            <w:r>
              <w:rPr>
                <w:rStyle w:val="34"/>
                <w:rFonts w:ascii="宋体" w:hAnsi="宋体" w:eastAsia="宋体" w:cs="宋体"/>
                <w:sz w:val="32"/>
                <w:szCs w:val="32"/>
                <w:lang w:val="en-US" w:eastAsia="zh-CN" w:bidi="ar"/>
              </w:rPr>
              <w:t>≧</w:t>
            </w:r>
            <w:r>
              <w:rPr>
                <w:rStyle w:val="35"/>
                <w:sz w:val="20"/>
                <w:szCs w:val="20"/>
                <w:lang w:val="en-US" w:eastAsia="zh-CN" w:bidi="ar"/>
              </w:rPr>
              <w:t>7.5 kg（不包含配件）, 包括配件</w:t>
            </w:r>
            <w:r>
              <w:rPr>
                <w:rStyle w:val="34"/>
                <w:rFonts w:ascii="宋体" w:hAnsi="宋体" w:eastAsia="宋体" w:cs="宋体"/>
                <w:sz w:val="32"/>
                <w:szCs w:val="32"/>
                <w:lang w:val="en-US" w:eastAsia="zh-CN" w:bidi="ar"/>
              </w:rPr>
              <w:t>≧</w:t>
            </w:r>
            <w:r>
              <w:rPr>
                <w:rStyle w:val="35"/>
                <w:sz w:val="20"/>
                <w:szCs w:val="20"/>
                <w:lang w:val="en-US" w:eastAsia="zh-CN" w:bidi="ar"/>
              </w:rPr>
              <w:t xml:space="preserve">10.5 kg有效承重:水平 </w:t>
            </w:r>
            <w:r>
              <w:rPr>
                <w:rStyle w:val="34"/>
                <w:rFonts w:ascii="宋体" w:hAnsi="宋体" w:eastAsia="宋体" w:cs="宋体"/>
                <w:sz w:val="32"/>
                <w:szCs w:val="32"/>
                <w:lang w:val="en-US" w:eastAsia="zh-CN" w:bidi="ar"/>
              </w:rPr>
              <w:t>≧</w:t>
            </w:r>
            <w:r>
              <w:rPr>
                <w:rStyle w:val="35"/>
                <w:sz w:val="20"/>
                <w:szCs w:val="20"/>
                <w:lang w:val="en-US" w:eastAsia="zh-CN" w:bidi="ar"/>
              </w:rPr>
              <w:t>300kg；垂直:</w:t>
            </w:r>
            <w:r>
              <w:rPr>
                <w:rStyle w:val="34"/>
                <w:rFonts w:ascii="宋体" w:hAnsi="宋体" w:eastAsia="宋体" w:cs="宋体"/>
                <w:sz w:val="32"/>
                <w:szCs w:val="32"/>
                <w:lang w:val="en-US" w:eastAsia="zh-CN" w:bidi="ar"/>
              </w:rPr>
              <w:t>≧</w:t>
            </w:r>
            <w:r>
              <w:rPr>
                <w:rStyle w:val="35"/>
                <w:sz w:val="20"/>
                <w:szCs w:val="20"/>
                <w:lang w:val="en-US" w:eastAsia="zh-CN" w:bidi="ar"/>
              </w:rPr>
              <w:t>300kg， 用于救援工作中伤员转移使用钛的特点是密度小，机械强度大，使用在救援担架上实现轻量化，利于救援工作中伤员转移使用，根据东亚人种的体形设计，宽</w:t>
            </w:r>
            <w:r>
              <w:rPr>
                <w:rStyle w:val="34"/>
                <w:rFonts w:ascii="宋体" w:hAnsi="宋体" w:eastAsia="宋体" w:cs="宋体"/>
                <w:sz w:val="32"/>
                <w:szCs w:val="32"/>
                <w:lang w:val="en-US" w:eastAsia="zh-CN" w:bidi="ar"/>
              </w:rPr>
              <w:t>≧</w:t>
            </w:r>
            <w:r>
              <w:rPr>
                <w:rStyle w:val="35"/>
                <w:sz w:val="20"/>
                <w:szCs w:val="20"/>
                <w:lang w:val="en-US" w:eastAsia="zh-CN" w:bidi="ar"/>
              </w:rPr>
              <w:t>58CM、长</w:t>
            </w:r>
            <w:r>
              <w:rPr>
                <w:rStyle w:val="34"/>
                <w:rFonts w:ascii="宋体" w:hAnsi="宋体" w:eastAsia="宋体" w:cs="宋体"/>
                <w:sz w:val="32"/>
                <w:szCs w:val="32"/>
                <w:lang w:val="en-US" w:eastAsia="zh-CN" w:bidi="ar"/>
              </w:rPr>
              <w:t>≧</w:t>
            </w:r>
            <w:r>
              <w:rPr>
                <w:rStyle w:val="35"/>
                <w:sz w:val="20"/>
                <w:szCs w:val="20"/>
                <w:lang w:val="en-US" w:eastAsia="zh-CN" w:bidi="ar"/>
              </w:rPr>
              <w:t>208CM和圆形头的特点，在狭窄空间操作更灵活。1.管材一体成型弯管，副管满焊，强度大，共有5个挂点分布在两侧及尾部正中，适合不同的悬吊方式，四点式悬吊，担架平稳舒适，三点式悬吊，担架可快速调整姿态。3.配置背部支撑耐用聚乙稀背板长至小腿部，更舒适，</w:t>
            </w:r>
            <w:r>
              <w:rPr>
                <w:rStyle w:val="34"/>
                <w:rFonts w:ascii="宋体" w:hAnsi="宋体" w:eastAsia="宋体" w:cs="宋体"/>
                <w:sz w:val="32"/>
                <w:szCs w:val="32"/>
                <w:lang w:val="en-US" w:eastAsia="zh-CN" w:bidi="ar"/>
              </w:rPr>
              <w:t>≦</w:t>
            </w:r>
            <w:r>
              <w:rPr>
                <w:rStyle w:val="35"/>
                <w:sz w:val="20"/>
                <w:szCs w:val="20"/>
                <w:lang w:val="en-US" w:eastAsia="zh-CN" w:bidi="ar"/>
              </w:rPr>
              <w:t>13mm格阻燃网衬，四条快拆装功能的固定带。4.主管直径</w:t>
            </w:r>
            <w:r>
              <w:rPr>
                <w:rStyle w:val="34"/>
                <w:rFonts w:ascii="宋体" w:hAnsi="宋体" w:eastAsia="宋体" w:cs="宋体"/>
                <w:sz w:val="32"/>
                <w:szCs w:val="32"/>
                <w:lang w:val="en-US" w:eastAsia="zh-CN" w:bidi="ar"/>
              </w:rPr>
              <w:t>≦</w:t>
            </w:r>
            <w:r>
              <w:rPr>
                <w:rStyle w:val="35"/>
                <w:sz w:val="20"/>
                <w:szCs w:val="20"/>
                <w:lang w:val="en-US" w:eastAsia="zh-CN" w:bidi="ar"/>
              </w:rPr>
              <w:t>24mm方便抓握，架连接采用主管螺纹连接、底部七字互扣，结构强度大，可实现快速拆装.5.本担架可用于垂直、平移、斜坡等多种角度环境使用.6.担架采用</w:t>
            </w:r>
            <w:r>
              <w:rPr>
                <w:rFonts w:hint="eastAsia" w:ascii="宋体" w:hAnsi="宋体" w:eastAsia="宋体" w:cs="宋体"/>
                <w:i w:val="0"/>
                <w:iCs w:val="0"/>
                <w:color w:val="000000"/>
                <w:kern w:val="0"/>
                <w:sz w:val="20"/>
                <w:szCs w:val="20"/>
                <w:u w:val="none"/>
                <w:lang w:val="en-US" w:eastAsia="zh-CN" w:bidi="ar"/>
              </w:rPr>
              <w:t>分体结构，两段可套叠起来，存储、运输更便利。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墙角保护器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材质：支架/滚珠轴心、轴筒铝合金尺</w:t>
            </w:r>
            <w:r>
              <w:rPr>
                <w:rStyle w:val="35"/>
                <w:sz w:val="20"/>
                <w:szCs w:val="20"/>
                <w:lang w:val="en-US" w:eastAsia="zh-CN" w:bidi="ar"/>
              </w:rPr>
              <w:t>寸：</w:t>
            </w:r>
            <w:r>
              <w:rPr>
                <w:rStyle w:val="34"/>
                <w:rFonts w:ascii="宋体" w:hAnsi="宋体" w:eastAsia="宋体" w:cs="宋体"/>
                <w:sz w:val="32"/>
                <w:szCs w:val="32"/>
                <w:lang w:val="en-US" w:eastAsia="zh-CN" w:bidi="ar"/>
              </w:rPr>
              <w:t>≧</w:t>
            </w:r>
            <w:r>
              <w:rPr>
                <w:rStyle w:val="35"/>
                <w:sz w:val="20"/>
                <w:szCs w:val="20"/>
                <w:lang w:val="en-US" w:eastAsia="zh-CN" w:bidi="ar"/>
              </w:rPr>
              <w:t>20×10×6.8cm X2重量：</w:t>
            </w:r>
            <w:r>
              <w:rPr>
                <w:rStyle w:val="34"/>
                <w:rFonts w:ascii="宋体" w:hAnsi="宋体" w:eastAsia="宋体" w:cs="宋体"/>
                <w:sz w:val="32"/>
                <w:szCs w:val="32"/>
                <w:lang w:val="en-US" w:eastAsia="zh-CN" w:bidi="ar"/>
              </w:rPr>
              <w:t>≧</w:t>
            </w:r>
            <w:r>
              <w:rPr>
                <w:rStyle w:val="35"/>
                <w:sz w:val="20"/>
                <w:szCs w:val="20"/>
                <w:lang w:val="en-US" w:eastAsia="zh-CN" w:bidi="ar"/>
              </w:rPr>
              <w:t>1939g用于保护绳索，避免建筑物的棱角、墙角、岩石等粗糙尖锐突起部份预防磨损绳索，1、2截分体304不锈钢支架，7075合金滚轮，装有2滚动轴承，减少摩擦，担架拖拉操作高效省力；2.2个组合，满足不同角度使用；底座4角有14MM固定孔；侧板每边各留有2个14MM辅绳固定孔，可按实际环境固定绳保。3、有效承重</w:t>
            </w:r>
            <w:r>
              <w:rPr>
                <w:rStyle w:val="34"/>
                <w:rFonts w:ascii="宋体" w:hAnsi="宋体" w:eastAsia="宋体" w:cs="宋体"/>
                <w:sz w:val="32"/>
                <w:szCs w:val="32"/>
                <w:lang w:val="en-US" w:eastAsia="zh-CN" w:bidi="ar"/>
              </w:rPr>
              <w:t>≧</w:t>
            </w:r>
            <w:r>
              <w:rPr>
                <w:rStyle w:val="35"/>
                <w:sz w:val="20"/>
                <w:szCs w:val="20"/>
                <w:lang w:val="en-US" w:eastAsia="zh-CN" w:bidi="ar"/>
              </w:rPr>
              <w:t>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滚轴绳索保护器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材质：侧板/轴筒铝合金滚珠</w:t>
            </w:r>
            <w:r>
              <w:rPr>
                <w:rStyle w:val="35"/>
                <w:sz w:val="20"/>
                <w:szCs w:val="20"/>
                <w:lang w:val="en-US" w:eastAsia="zh-CN" w:bidi="ar"/>
              </w:rPr>
              <w:t>轴心尺寸：</w:t>
            </w:r>
            <w:r>
              <w:rPr>
                <w:rStyle w:val="34"/>
                <w:rFonts w:ascii="宋体" w:hAnsi="宋体" w:eastAsia="宋体" w:cs="宋体"/>
                <w:sz w:val="32"/>
                <w:szCs w:val="32"/>
                <w:lang w:val="en-US" w:eastAsia="zh-CN" w:bidi="ar"/>
              </w:rPr>
              <w:t>≧</w:t>
            </w:r>
            <w:r>
              <w:rPr>
                <w:rStyle w:val="35"/>
                <w:sz w:val="20"/>
                <w:szCs w:val="20"/>
                <w:lang w:val="en-US" w:eastAsia="zh-CN" w:bidi="ar"/>
              </w:rPr>
              <w:t>39×12.6×5cm重量：</w:t>
            </w:r>
            <w:r>
              <w:rPr>
                <w:rStyle w:val="34"/>
                <w:rFonts w:ascii="宋体" w:hAnsi="宋体" w:eastAsia="宋体" w:cs="宋体"/>
                <w:sz w:val="32"/>
                <w:szCs w:val="32"/>
                <w:lang w:val="en-US" w:eastAsia="zh-CN" w:bidi="ar"/>
              </w:rPr>
              <w:t>≧</w:t>
            </w:r>
            <w:r>
              <w:rPr>
                <w:rStyle w:val="35"/>
                <w:sz w:val="20"/>
                <w:szCs w:val="20"/>
                <w:lang w:val="en-US" w:eastAsia="zh-CN" w:bidi="ar"/>
              </w:rPr>
              <w:t>935g（可级联）用于保护绳索，避免建筑物的棱角、墙角、岩石等粗糙尖锐突起部份预防磨损绳索。1、滚轮/侧板支架2024航空铝，装有4条滚动轴承，减少摩擦，担架拖拉操作高效省力；2、链条式设计（可级联），4角设置有系辅绳固定用挂点。收纳体积小，展开保护面积大；可组合不同长度，围柱，直角，斜坡等环境均适合使用；3、有效承重</w:t>
            </w:r>
            <w:r>
              <w:rPr>
                <w:rStyle w:val="34"/>
                <w:rFonts w:ascii="宋体" w:hAnsi="宋体" w:eastAsia="宋体" w:cs="宋体"/>
                <w:sz w:val="32"/>
                <w:szCs w:val="32"/>
                <w:lang w:val="en-US" w:eastAsia="zh-CN" w:bidi="ar"/>
              </w:rPr>
              <w:t>≧</w:t>
            </w:r>
            <w:r>
              <w:rPr>
                <w:rStyle w:val="35"/>
                <w:sz w:val="20"/>
                <w:szCs w:val="20"/>
                <w:lang w:val="en-US" w:eastAsia="zh-CN" w:bidi="ar"/>
              </w:rPr>
              <w:t>350KG。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器材包</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材质：锦纶（可提</w:t>
            </w:r>
            <w:r>
              <w:rPr>
                <w:rStyle w:val="35"/>
                <w:sz w:val="20"/>
                <w:szCs w:val="20"/>
                <w:lang w:val="en-US" w:eastAsia="zh-CN" w:bidi="ar"/>
              </w:rPr>
              <w:t>拉）尺寸：</w:t>
            </w:r>
            <w:r>
              <w:rPr>
                <w:rStyle w:val="34"/>
                <w:rFonts w:ascii="宋体" w:hAnsi="宋体" w:eastAsia="宋体" w:cs="宋体"/>
                <w:sz w:val="32"/>
                <w:szCs w:val="32"/>
                <w:lang w:val="en-US" w:eastAsia="zh-CN" w:bidi="ar"/>
              </w:rPr>
              <w:t>≧</w:t>
            </w:r>
            <w:r>
              <w:rPr>
                <w:rStyle w:val="35"/>
                <w:sz w:val="20"/>
                <w:szCs w:val="20"/>
                <w:lang w:val="en-US" w:eastAsia="zh-CN" w:bidi="ar"/>
              </w:rPr>
              <w:t>29*29*59CM容量：</w:t>
            </w:r>
            <w:r>
              <w:rPr>
                <w:rStyle w:val="34"/>
                <w:rFonts w:ascii="宋体" w:hAnsi="宋体" w:eastAsia="宋体" w:cs="宋体"/>
                <w:sz w:val="32"/>
                <w:szCs w:val="32"/>
                <w:lang w:val="en-US" w:eastAsia="zh-CN" w:bidi="ar"/>
              </w:rPr>
              <w:t>≧</w:t>
            </w:r>
            <w:r>
              <w:rPr>
                <w:rStyle w:val="35"/>
                <w:sz w:val="20"/>
                <w:szCs w:val="20"/>
                <w:lang w:val="en-US" w:eastAsia="zh-CN" w:bidi="ar"/>
              </w:rPr>
              <w:t>35L 重量：</w:t>
            </w:r>
            <w:r>
              <w:rPr>
                <w:rStyle w:val="34"/>
                <w:rFonts w:ascii="宋体" w:hAnsi="宋体" w:eastAsia="宋体" w:cs="宋体"/>
                <w:sz w:val="32"/>
                <w:szCs w:val="32"/>
                <w:lang w:val="en-US" w:eastAsia="zh-CN" w:bidi="ar"/>
              </w:rPr>
              <w:t>≧</w:t>
            </w:r>
            <w:r>
              <w:rPr>
                <w:rStyle w:val="35"/>
                <w:sz w:val="20"/>
                <w:szCs w:val="20"/>
                <w:lang w:val="en-US" w:eastAsia="zh-CN" w:bidi="ar"/>
              </w:rPr>
              <w:t>380g1、可提拉（1000D）防磨面料，带防水涂层；2、袋口使用受力收紧式绳扣；3、双肩背包，可入100米11MM绳 4、适合绳索分装管理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帆布垫</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材质：100%棉</w:t>
            </w:r>
            <w:r>
              <w:rPr>
                <w:rStyle w:val="35"/>
                <w:sz w:val="20"/>
                <w:szCs w:val="20"/>
                <w:lang w:val="en-US" w:eastAsia="zh-CN" w:bidi="ar"/>
              </w:rPr>
              <w:t>尺寸：</w:t>
            </w:r>
            <w:r>
              <w:rPr>
                <w:rStyle w:val="34"/>
                <w:rFonts w:ascii="宋体" w:hAnsi="宋体" w:eastAsia="宋体" w:cs="宋体"/>
                <w:sz w:val="32"/>
                <w:szCs w:val="32"/>
                <w:lang w:val="en-US" w:eastAsia="zh-CN" w:bidi="ar"/>
              </w:rPr>
              <w:t>≧</w:t>
            </w:r>
            <w:r>
              <w:rPr>
                <w:rStyle w:val="35"/>
                <w:sz w:val="20"/>
                <w:szCs w:val="20"/>
                <w:lang w:val="en-US" w:eastAsia="zh-CN" w:bidi="ar"/>
              </w:rPr>
              <w:t>69*83重量：</w:t>
            </w:r>
            <w:r>
              <w:rPr>
                <w:rStyle w:val="34"/>
                <w:rFonts w:ascii="宋体" w:hAnsi="宋体" w:eastAsia="宋体" w:cs="宋体"/>
                <w:sz w:val="32"/>
                <w:szCs w:val="32"/>
                <w:lang w:val="en-US" w:eastAsia="zh-CN" w:bidi="ar"/>
              </w:rPr>
              <w:t>≧</w:t>
            </w:r>
            <w:r>
              <w:rPr>
                <w:rStyle w:val="35"/>
                <w:sz w:val="20"/>
                <w:szCs w:val="20"/>
                <w:lang w:val="en-US" w:eastAsia="zh-CN" w:bidi="ar"/>
              </w:rPr>
              <w:t>542g 用于救援时，铺垫于地面，有效保护器材与地面的直接磨擦。1、100%纯棉，耐高温；双层料结构坚固耐磨，充份保护。2、304不锈钢气眼，垫与垫可拼接；17MM气眼，可直接穿主锁；3、保护面积大，特别适合不规则的环境使用。执行标准：GB/T 411-2017《棉印染布》GB 18401-2010 《国家纺织产品基本安全技术规范》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不锈钢梅陇锁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加长型</w:t>
            </w:r>
            <w:r>
              <w:rPr>
                <w:rStyle w:val="35"/>
                <w:sz w:val="20"/>
                <w:szCs w:val="20"/>
                <w:lang w:val="en-US" w:eastAsia="zh-CN" w:bidi="ar"/>
              </w:rPr>
              <w:t>大开口梅隆锁（7mm,不锈钢）,拉力</w:t>
            </w:r>
            <w:r>
              <w:rPr>
                <w:rStyle w:val="34"/>
                <w:rFonts w:ascii="宋体" w:hAnsi="宋体" w:eastAsia="宋体" w:cs="宋体"/>
                <w:sz w:val="32"/>
                <w:szCs w:val="32"/>
                <w:lang w:val="en-US" w:eastAsia="zh-CN" w:bidi="ar"/>
              </w:rPr>
              <w:t>≧</w:t>
            </w:r>
            <w:r>
              <w:rPr>
                <w:rStyle w:val="35"/>
                <w:sz w:val="20"/>
                <w:szCs w:val="20"/>
                <w:lang w:val="en-US" w:eastAsia="zh-CN" w:bidi="ar"/>
              </w:rPr>
              <w:t>25KN，304钢，长</w:t>
            </w:r>
            <w:r>
              <w:rPr>
                <w:rStyle w:val="34"/>
                <w:rFonts w:ascii="宋体" w:hAnsi="宋体" w:eastAsia="宋体" w:cs="宋体"/>
                <w:sz w:val="32"/>
                <w:szCs w:val="32"/>
                <w:lang w:val="en-US" w:eastAsia="zh-CN" w:bidi="ar"/>
              </w:rPr>
              <w:t>≦</w:t>
            </w:r>
            <w:r>
              <w:rPr>
                <w:rStyle w:val="35"/>
                <w:sz w:val="20"/>
                <w:szCs w:val="20"/>
                <w:lang w:val="en-US" w:eastAsia="zh-CN" w:bidi="ar"/>
              </w:rPr>
              <w:t>8cm，宽</w:t>
            </w:r>
            <w:r>
              <w:rPr>
                <w:rStyle w:val="34"/>
                <w:rFonts w:ascii="宋体" w:hAnsi="宋体" w:eastAsia="宋体" w:cs="宋体"/>
                <w:sz w:val="32"/>
                <w:szCs w:val="32"/>
                <w:lang w:val="en-US" w:eastAsia="zh-CN" w:bidi="ar"/>
              </w:rPr>
              <w:t>≦</w:t>
            </w:r>
            <w:r>
              <w:rPr>
                <w:rStyle w:val="35"/>
                <w:sz w:val="20"/>
                <w:szCs w:val="20"/>
                <w:lang w:val="en-US" w:eastAsia="zh-CN" w:bidi="ar"/>
              </w:rPr>
              <w:t>3cm，开口</w:t>
            </w:r>
            <w:r>
              <w:rPr>
                <w:rStyle w:val="34"/>
                <w:rFonts w:ascii="宋体" w:hAnsi="宋体" w:eastAsia="宋体" w:cs="宋体"/>
                <w:sz w:val="32"/>
                <w:szCs w:val="32"/>
                <w:lang w:val="en-US" w:eastAsia="zh-CN" w:bidi="ar"/>
              </w:rPr>
              <w:t>≧</w:t>
            </w:r>
            <w:r>
              <w:rPr>
                <w:rStyle w:val="35"/>
                <w:sz w:val="20"/>
                <w:szCs w:val="20"/>
                <w:lang w:val="en-US" w:eastAsia="zh-CN" w:bidi="ar"/>
              </w:rPr>
              <w:t>10mm，重量：</w:t>
            </w:r>
            <w:r>
              <w:rPr>
                <w:rStyle w:val="34"/>
                <w:rFonts w:ascii="宋体" w:hAnsi="宋体" w:eastAsia="宋体" w:cs="宋体"/>
                <w:sz w:val="32"/>
                <w:szCs w:val="32"/>
                <w:lang w:val="en-US" w:eastAsia="zh-CN" w:bidi="ar"/>
              </w:rPr>
              <w:t>≧</w:t>
            </w:r>
            <w:r>
              <w:rPr>
                <w:rStyle w:val="35"/>
                <w:sz w:val="20"/>
                <w:szCs w:val="20"/>
                <w:lang w:val="en-US" w:eastAsia="zh-CN" w:bidi="ar"/>
              </w:rPr>
              <w:t>62g，执行标准：XF 494-2004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不锈钢挂片</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10mm挂片。用316不锈钢制成，孔径更大，使用更方便。更加防锈和耐腐蚀，适合在降水量很大的地区和海边使用</w:t>
            </w:r>
            <w:r>
              <w:rPr>
                <w:rStyle w:val="35"/>
                <w:sz w:val="20"/>
                <w:szCs w:val="20"/>
                <w:lang w:val="en-US" w:eastAsia="zh-CN" w:bidi="ar"/>
              </w:rPr>
              <w:t>。重量：</w:t>
            </w:r>
            <w:r>
              <w:rPr>
                <w:rStyle w:val="34"/>
                <w:rFonts w:ascii="宋体" w:hAnsi="宋体" w:eastAsia="宋体" w:cs="宋体"/>
                <w:sz w:val="32"/>
                <w:szCs w:val="32"/>
                <w:lang w:val="en-US" w:eastAsia="zh-CN" w:bidi="ar"/>
              </w:rPr>
              <w:t>≧</w:t>
            </w:r>
            <w:r>
              <w:rPr>
                <w:rStyle w:val="35"/>
                <w:sz w:val="20"/>
                <w:szCs w:val="20"/>
                <w:lang w:val="en-US" w:eastAsia="zh-CN" w:bidi="ar"/>
              </w:rPr>
              <w:t>43g 承重：</w:t>
            </w:r>
            <w:r>
              <w:rPr>
                <w:rStyle w:val="34"/>
                <w:rFonts w:ascii="宋体" w:hAnsi="宋体" w:eastAsia="宋体" w:cs="宋体"/>
                <w:sz w:val="32"/>
                <w:szCs w:val="32"/>
                <w:lang w:val="en-US" w:eastAsia="zh-CN" w:bidi="ar"/>
              </w:rPr>
              <w:t>≧</w:t>
            </w:r>
            <w:r>
              <w:rPr>
                <w:rStyle w:val="35"/>
                <w:sz w:val="20"/>
                <w:szCs w:val="20"/>
                <w:lang w:val="en-US" w:eastAsia="zh-CN" w:bidi="ar"/>
              </w:rPr>
              <w:t>25KN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定位挽索</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调节挽索用于建立工作定位系统，同时作为防坠落系统的补充。可根据工作位置准确、操作手柄调节长度，以舒适地定位作业位置。缝合终端配有塑料保护套，使绳索保持在适当位置，防止绳索磨损；根据使用环境，可单挂点或双挂点模式使用。重</w:t>
            </w:r>
            <w:r>
              <w:rPr>
                <w:rStyle w:val="35"/>
                <w:sz w:val="20"/>
                <w:szCs w:val="20"/>
                <w:lang w:val="en-US" w:eastAsia="zh-CN" w:bidi="ar"/>
              </w:rPr>
              <w:t>量</w:t>
            </w:r>
            <w:r>
              <w:rPr>
                <w:rStyle w:val="34"/>
                <w:rFonts w:ascii="宋体" w:hAnsi="宋体" w:eastAsia="宋体" w:cs="宋体"/>
                <w:sz w:val="32"/>
                <w:szCs w:val="32"/>
                <w:lang w:val="en-US" w:eastAsia="zh-CN" w:bidi="ar"/>
              </w:rPr>
              <w:t>≧</w:t>
            </w:r>
            <w:r>
              <w:rPr>
                <w:rStyle w:val="35"/>
                <w:sz w:val="20"/>
                <w:szCs w:val="20"/>
                <w:lang w:val="en-US" w:eastAsia="zh-CN" w:bidi="ar"/>
              </w:rPr>
              <w:t>560g，长度可调节至</w:t>
            </w:r>
            <w:r>
              <w:rPr>
                <w:rStyle w:val="34"/>
                <w:rFonts w:ascii="宋体" w:hAnsi="宋体" w:eastAsia="宋体" w:cs="宋体"/>
                <w:sz w:val="32"/>
                <w:szCs w:val="32"/>
                <w:lang w:val="en-US" w:eastAsia="zh-CN" w:bidi="ar"/>
              </w:rPr>
              <w:t>≧</w:t>
            </w:r>
            <w:r>
              <w:rPr>
                <w:rStyle w:val="35"/>
                <w:sz w:val="20"/>
                <w:szCs w:val="20"/>
                <w:lang w:val="en-US" w:eastAsia="zh-CN" w:bidi="ar"/>
              </w:rPr>
              <w:t>3m</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钢制大挂钩</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用于连接大型结构和脚手架等固定锚点的钢制连接大挂钩，双杆锁定系统确保使用的安全</w:t>
            </w:r>
            <w:r>
              <w:rPr>
                <w:rStyle w:val="35"/>
                <w:sz w:val="20"/>
                <w:szCs w:val="20"/>
                <w:lang w:val="en-US" w:eastAsia="zh-CN" w:bidi="ar"/>
              </w:rPr>
              <w:t>性和易操作性,重量：</w:t>
            </w:r>
            <w:r>
              <w:rPr>
                <w:rStyle w:val="34"/>
                <w:rFonts w:ascii="宋体" w:hAnsi="宋体" w:eastAsia="宋体" w:cs="宋体"/>
                <w:sz w:val="32"/>
                <w:szCs w:val="32"/>
                <w:lang w:val="en-US" w:eastAsia="zh-CN" w:bidi="ar"/>
              </w:rPr>
              <w:t>≧</w:t>
            </w:r>
            <w:r>
              <w:rPr>
                <w:rStyle w:val="35"/>
                <w:sz w:val="20"/>
                <w:szCs w:val="20"/>
                <w:lang w:val="en-US" w:eastAsia="zh-CN" w:bidi="ar"/>
              </w:rPr>
              <w:t>470g，纵向拉力：</w:t>
            </w:r>
            <w:r>
              <w:rPr>
                <w:rStyle w:val="34"/>
                <w:rFonts w:ascii="宋体" w:hAnsi="宋体" w:eastAsia="宋体" w:cs="宋体"/>
                <w:sz w:val="32"/>
                <w:szCs w:val="32"/>
                <w:lang w:val="en-US" w:eastAsia="zh-CN" w:bidi="ar"/>
              </w:rPr>
              <w:t>≧</w:t>
            </w:r>
            <w:r>
              <w:rPr>
                <w:rStyle w:val="35"/>
                <w:sz w:val="20"/>
                <w:szCs w:val="20"/>
                <w:lang w:val="en-US" w:eastAsia="zh-CN" w:bidi="ar"/>
              </w:rPr>
              <w:t>25KN，开口尺寸：</w:t>
            </w:r>
            <w:r>
              <w:rPr>
                <w:rStyle w:val="34"/>
                <w:rFonts w:ascii="宋体" w:hAnsi="宋体" w:eastAsia="宋体" w:cs="宋体"/>
                <w:sz w:val="32"/>
                <w:szCs w:val="32"/>
                <w:lang w:val="en-US" w:eastAsia="zh-CN" w:bidi="ar"/>
              </w:rPr>
              <w:t>≧</w:t>
            </w:r>
            <w:r>
              <w:rPr>
                <w:rStyle w:val="35"/>
                <w:sz w:val="20"/>
                <w:szCs w:val="20"/>
                <w:lang w:val="en-US" w:eastAsia="zh-CN" w:bidi="ar"/>
              </w:rPr>
              <w:t>53mm，长度：</w:t>
            </w:r>
            <w:r>
              <w:rPr>
                <w:rStyle w:val="34"/>
                <w:rFonts w:ascii="宋体" w:hAnsi="宋体" w:eastAsia="宋体" w:cs="宋体"/>
                <w:sz w:val="32"/>
                <w:szCs w:val="32"/>
                <w:lang w:val="en-US" w:eastAsia="zh-CN" w:bidi="ar"/>
              </w:rPr>
              <w:t>≧</w:t>
            </w:r>
            <w:r>
              <w:rPr>
                <w:rStyle w:val="35"/>
                <w:sz w:val="20"/>
                <w:szCs w:val="20"/>
                <w:lang w:val="en-US" w:eastAsia="zh-CN" w:bidi="ar"/>
              </w:rPr>
              <w:t>220mm。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四槽护板</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材质：PTFE(聚四氟乙稀)</w:t>
            </w:r>
            <w:r>
              <w:rPr>
                <w:rStyle w:val="35"/>
                <w:sz w:val="20"/>
                <w:szCs w:val="20"/>
                <w:lang w:val="en-US" w:eastAsia="zh-CN" w:bidi="ar"/>
              </w:rPr>
              <w:t>尺寸：</w:t>
            </w:r>
            <w:r>
              <w:rPr>
                <w:rStyle w:val="34"/>
                <w:rFonts w:ascii="宋体" w:hAnsi="宋体" w:eastAsia="宋体" w:cs="宋体"/>
                <w:sz w:val="32"/>
                <w:szCs w:val="32"/>
                <w:lang w:val="en-US" w:eastAsia="zh-CN" w:bidi="ar"/>
              </w:rPr>
              <w:t>≧</w:t>
            </w:r>
            <w:r>
              <w:rPr>
                <w:rStyle w:val="35"/>
                <w:sz w:val="20"/>
                <w:szCs w:val="20"/>
                <w:lang w:val="en-US" w:eastAsia="zh-CN" w:bidi="ar"/>
              </w:rPr>
              <w:t>403*1142*18mm重量：</w:t>
            </w:r>
            <w:r>
              <w:rPr>
                <w:rStyle w:val="34"/>
                <w:rFonts w:ascii="宋体" w:hAnsi="宋体" w:eastAsia="宋体" w:cs="宋体"/>
                <w:sz w:val="32"/>
                <w:szCs w:val="32"/>
                <w:lang w:val="en-US" w:eastAsia="zh-CN" w:bidi="ar"/>
              </w:rPr>
              <w:t>≧</w:t>
            </w:r>
            <w:r>
              <w:rPr>
                <w:rStyle w:val="35"/>
                <w:sz w:val="20"/>
                <w:szCs w:val="20"/>
                <w:lang w:val="en-US" w:eastAsia="zh-CN" w:bidi="ar"/>
              </w:rPr>
              <w:t>776g1、使用PTFE(聚四氟乙稀)制作，具有优良的耐高温和耐低温特性，极低的摩擦系数，耐磨以及强钢韧度和化学稳定性。2、梯槽造型设计加上高强的钢强韧性，适</w:t>
            </w:r>
            <w:r>
              <w:rPr>
                <w:rFonts w:hint="eastAsia" w:ascii="宋体" w:hAnsi="宋体" w:eastAsia="宋体" w:cs="宋体"/>
                <w:i w:val="0"/>
                <w:iCs w:val="0"/>
                <w:color w:val="000000"/>
                <w:kern w:val="0"/>
                <w:sz w:val="20"/>
                <w:szCs w:val="20"/>
                <w:u w:val="none"/>
                <w:lang w:val="en-US" w:eastAsia="zh-CN" w:bidi="ar"/>
              </w:rPr>
              <w:t>合各种不同环境使用。3、四槽、小巧、轻便、两端四角留有固定孔4、可同时保护多条绳索作业。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豆袋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树上作业用抛投包用于设置锚</w:t>
            </w:r>
            <w:r>
              <w:rPr>
                <w:rStyle w:val="35"/>
                <w:sz w:val="20"/>
                <w:szCs w:val="20"/>
                <w:lang w:val="en-US" w:eastAsia="zh-CN" w:bidi="ar"/>
              </w:rPr>
              <w:t>点采用耐磨材料制造配有</w:t>
            </w:r>
            <w:r>
              <w:rPr>
                <w:rStyle w:val="34"/>
                <w:rFonts w:ascii="宋体" w:hAnsi="宋体" w:eastAsia="宋体" w:cs="宋体"/>
                <w:sz w:val="32"/>
                <w:szCs w:val="32"/>
                <w:lang w:val="en-US" w:eastAsia="zh-CN" w:bidi="ar"/>
              </w:rPr>
              <w:t>≧</w:t>
            </w:r>
            <w:r>
              <w:rPr>
                <w:rStyle w:val="35"/>
                <w:sz w:val="20"/>
                <w:szCs w:val="20"/>
                <w:lang w:val="en-US" w:eastAsia="zh-CN" w:bidi="ar"/>
              </w:rPr>
              <w:t>3mm的钢丝环底部有额外的环，用于拖拽绳索材料：PES，钢，尼龙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抛绳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材质：大力马纤维16股普</w:t>
            </w:r>
            <w:r>
              <w:rPr>
                <w:rStyle w:val="35"/>
                <w:sz w:val="20"/>
                <w:szCs w:val="20"/>
                <w:lang w:val="en-US" w:eastAsia="zh-CN" w:bidi="ar"/>
              </w:rPr>
              <w:t>编规格：</w:t>
            </w:r>
            <w:r>
              <w:rPr>
                <w:rStyle w:val="34"/>
                <w:rFonts w:ascii="宋体" w:hAnsi="宋体" w:eastAsia="宋体" w:cs="宋体"/>
                <w:sz w:val="32"/>
                <w:szCs w:val="32"/>
                <w:lang w:val="en-US" w:eastAsia="zh-CN" w:bidi="ar"/>
              </w:rPr>
              <w:t>≧</w:t>
            </w:r>
            <w:r>
              <w:rPr>
                <w:rStyle w:val="35"/>
                <w:sz w:val="20"/>
                <w:szCs w:val="20"/>
                <w:lang w:val="en-US" w:eastAsia="zh-CN" w:bidi="ar"/>
              </w:rPr>
              <w:t>2mm（圆绳）ISO 5081:1977标准，实测拉力：</w:t>
            </w:r>
            <w:r>
              <w:rPr>
                <w:rStyle w:val="34"/>
                <w:rFonts w:ascii="宋体" w:hAnsi="宋体" w:eastAsia="宋体" w:cs="宋体"/>
                <w:sz w:val="32"/>
                <w:szCs w:val="32"/>
                <w:lang w:val="en-US" w:eastAsia="zh-CN" w:bidi="ar"/>
              </w:rPr>
              <w:t>≧</w:t>
            </w:r>
            <w:r>
              <w:rPr>
                <w:rStyle w:val="35"/>
                <w:sz w:val="20"/>
                <w:szCs w:val="20"/>
                <w:lang w:val="en-US" w:eastAsia="zh-CN" w:bidi="ar"/>
              </w:rPr>
              <w:t>1419N/144.79KG用于攀树，水域，山地等环境牵引绳索抛投需求使用。1.结合不同使用环境提供50，100，200米长度选择执行标准：ISO 5081:1977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抛绳包</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材质:聚氯乙烯（pvc）夹网布+织物尺</w:t>
            </w:r>
            <w:r>
              <w:rPr>
                <w:rStyle w:val="35"/>
                <w:sz w:val="20"/>
                <w:szCs w:val="20"/>
                <w:lang w:val="en-US" w:eastAsia="zh-CN" w:bidi="ar"/>
              </w:rPr>
              <w:t>寸：</w:t>
            </w:r>
            <w:r>
              <w:rPr>
                <w:rStyle w:val="34"/>
                <w:rFonts w:ascii="宋体" w:hAnsi="宋体" w:eastAsia="宋体" w:cs="宋体"/>
                <w:sz w:val="32"/>
                <w:szCs w:val="32"/>
                <w:lang w:val="en-US" w:eastAsia="zh-CN" w:bidi="ar"/>
              </w:rPr>
              <w:t>≧</w:t>
            </w:r>
            <w:r>
              <w:rPr>
                <w:rStyle w:val="35"/>
                <w:sz w:val="20"/>
                <w:szCs w:val="20"/>
                <w:lang w:val="en-US" w:eastAsia="zh-CN" w:bidi="ar"/>
              </w:rPr>
              <w:t>17x9x24cm容量：4L重量：</w:t>
            </w:r>
            <w:r>
              <w:rPr>
                <w:rStyle w:val="34"/>
                <w:rFonts w:ascii="宋体" w:hAnsi="宋体" w:eastAsia="宋体" w:cs="宋体"/>
                <w:sz w:val="32"/>
                <w:szCs w:val="32"/>
                <w:lang w:val="en-US" w:eastAsia="zh-CN" w:bidi="ar"/>
              </w:rPr>
              <w:t>≧</w:t>
            </w:r>
            <w:r>
              <w:rPr>
                <w:rStyle w:val="35"/>
                <w:sz w:val="20"/>
                <w:szCs w:val="20"/>
                <w:lang w:val="en-US" w:eastAsia="zh-CN" w:bidi="ar"/>
              </w:rPr>
              <w:t>185g10米短绳，15米短绳，单套硅笼适用1、PVC夹网（500D），高周波粘合，坚固耐用，体积小易清洗；2、包身备有多个挂点，可挂或套在安</w:t>
            </w:r>
            <w:r>
              <w:rPr>
                <w:rFonts w:hint="eastAsia" w:ascii="宋体" w:hAnsi="宋体" w:eastAsia="宋体" w:cs="宋体"/>
                <w:i w:val="0"/>
                <w:iCs w:val="0"/>
                <w:color w:val="000000"/>
                <w:kern w:val="0"/>
                <w:sz w:val="20"/>
                <w:szCs w:val="20"/>
                <w:u w:val="none"/>
                <w:lang w:val="en-US" w:eastAsia="zh-CN" w:bidi="ar"/>
              </w:rPr>
              <w:t>全带上；弹力收口绳，放取物方便。3、面料符合国家环保4、QB/T 1333-2018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先锋伸缩杆</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材质：碳纤维孔径：英标1/2-12长度：43-290cm节数：9节、元径：</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31mm、先径：</w:t>
            </w: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12mm重量</w:t>
            </w:r>
            <w:r>
              <w:rPr>
                <w:rStyle w:val="35"/>
                <w:sz w:val="20"/>
                <w:szCs w:val="20"/>
                <w:lang w:val="en-US" w:eastAsia="zh-CN" w:bidi="ar"/>
              </w:rPr>
              <w:t>：</w:t>
            </w:r>
            <w:r>
              <w:rPr>
                <w:rStyle w:val="34"/>
                <w:rFonts w:ascii="宋体" w:hAnsi="宋体" w:eastAsia="宋体" w:cs="宋体"/>
                <w:sz w:val="32"/>
                <w:szCs w:val="32"/>
                <w:lang w:val="en-US" w:eastAsia="zh-CN" w:bidi="ar"/>
              </w:rPr>
              <w:t>≧</w:t>
            </w:r>
            <w:r>
              <w:rPr>
                <w:rStyle w:val="35"/>
                <w:sz w:val="20"/>
                <w:szCs w:val="20"/>
                <w:lang w:val="en-US" w:eastAsia="zh-CN" w:bidi="ar"/>
              </w:rPr>
              <w:t>310g1. 碳纤维材质先锋伸缩杆，长度290CM重量</w:t>
            </w:r>
            <w:r>
              <w:rPr>
                <w:rStyle w:val="34"/>
                <w:rFonts w:ascii="宋体" w:hAnsi="宋体" w:eastAsia="宋体" w:cs="宋体"/>
                <w:sz w:val="32"/>
                <w:szCs w:val="32"/>
                <w:lang w:val="en-US" w:eastAsia="zh-CN" w:bidi="ar"/>
              </w:rPr>
              <w:t>≦</w:t>
            </w:r>
            <w:r>
              <w:rPr>
                <w:rStyle w:val="35"/>
                <w:sz w:val="20"/>
                <w:szCs w:val="20"/>
                <w:lang w:val="en-US" w:eastAsia="zh-CN" w:bidi="ar"/>
              </w:rPr>
              <w:t>310克，最短可以收到43CM，可以装包内携带。2.碳纤材料制造，结实耐用，配合夹子可做先锋挂绳用。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速攀脚踏</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材质：大力马纤维 脚踏</w:t>
            </w:r>
            <w:r>
              <w:rPr>
                <w:rStyle w:val="35"/>
                <w:sz w:val="20"/>
                <w:szCs w:val="20"/>
                <w:lang w:val="en-US" w:eastAsia="zh-CN" w:bidi="ar"/>
              </w:rPr>
              <w:t>长度：</w:t>
            </w:r>
            <w:r>
              <w:rPr>
                <w:rStyle w:val="34"/>
                <w:rFonts w:ascii="宋体" w:hAnsi="宋体" w:eastAsia="宋体" w:cs="宋体"/>
                <w:sz w:val="32"/>
                <w:szCs w:val="32"/>
                <w:lang w:val="en-US" w:eastAsia="zh-CN" w:bidi="ar"/>
              </w:rPr>
              <w:t>≧</w:t>
            </w:r>
            <w:r>
              <w:rPr>
                <w:rStyle w:val="35"/>
                <w:sz w:val="20"/>
                <w:szCs w:val="20"/>
                <w:lang w:val="en-US" w:eastAsia="zh-CN" w:bidi="ar"/>
              </w:rPr>
              <w:t>55cm直径：</w:t>
            </w:r>
            <w:r>
              <w:rPr>
                <w:rStyle w:val="34"/>
                <w:rFonts w:ascii="宋体" w:hAnsi="宋体" w:eastAsia="宋体" w:cs="宋体"/>
                <w:sz w:val="32"/>
                <w:szCs w:val="32"/>
                <w:lang w:val="en-US" w:eastAsia="zh-CN" w:bidi="ar"/>
              </w:rPr>
              <w:t>≧</w:t>
            </w:r>
            <w:r>
              <w:rPr>
                <w:rStyle w:val="35"/>
                <w:sz w:val="20"/>
                <w:szCs w:val="20"/>
                <w:lang w:val="en-US" w:eastAsia="zh-CN" w:bidi="ar"/>
              </w:rPr>
              <w:t>12mm重量：</w:t>
            </w:r>
            <w:r>
              <w:rPr>
                <w:rStyle w:val="34"/>
                <w:rFonts w:ascii="宋体" w:hAnsi="宋体" w:eastAsia="宋体" w:cs="宋体"/>
                <w:sz w:val="32"/>
                <w:szCs w:val="32"/>
                <w:lang w:val="en-US" w:eastAsia="zh-CN" w:bidi="ar"/>
              </w:rPr>
              <w:t>≧</w:t>
            </w:r>
            <w:r>
              <w:rPr>
                <w:rStyle w:val="35"/>
                <w:sz w:val="20"/>
                <w:szCs w:val="20"/>
                <w:lang w:val="en-US" w:eastAsia="zh-CN" w:bidi="ar"/>
              </w:rPr>
              <w:t>56g哈式攀爬脚蹬绳，运用于绳索长距离攀爬比赛，节省体力，提高速度。1、大力马扁带的与橡筋结合，轻巧便携。2、不锈钢日字调节扣，可配合个人身高调节长度；打组缝合，结实美观；脚蹬扁带上的防脱橡筋可紧紧的固定</w:t>
            </w:r>
            <w:r>
              <w:rPr>
                <w:rFonts w:hint="eastAsia" w:ascii="宋体" w:hAnsi="宋体" w:eastAsia="宋体" w:cs="宋体"/>
                <w:i w:val="0"/>
                <w:iCs w:val="0"/>
                <w:color w:val="000000"/>
                <w:kern w:val="0"/>
                <w:sz w:val="20"/>
                <w:szCs w:val="20"/>
                <w:u w:val="none"/>
                <w:lang w:val="en-US" w:eastAsia="zh-CN" w:bidi="ar"/>
              </w:rPr>
              <w:t>鞋子。警告：本品不是PPE,只能承受体重，不能承受冲坠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弹簧绳筐</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便于携带的大容积可收缩绳筐，内沿有四个装备挂环和一个拉链尼龙袋。方便攀岩装备的归类放置及随身小物件的携带。收缩后体积小，便于携带。可提可背。加强尼龙结实耐用，YKK拉链。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静力绳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10.5</w:t>
            </w:r>
            <w:r>
              <w:rPr>
                <w:rStyle w:val="35"/>
                <w:sz w:val="20"/>
                <w:szCs w:val="20"/>
                <w:lang w:val="en-US" w:eastAsia="zh-CN" w:bidi="ar"/>
              </w:rPr>
              <w:t>mm*200m，绳直径：</w:t>
            </w:r>
            <w:r>
              <w:rPr>
                <w:rStyle w:val="34"/>
                <w:rFonts w:ascii="宋体" w:hAnsi="宋体" w:eastAsia="宋体" w:cs="宋体"/>
                <w:sz w:val="32"/>
                <w:szCs w:val="32"/>
                <w:lang w:val="en-US" w:eastAsia="zh-CN" w:bidi="ar"/>
              </w:rPr>
              <w:t>≧</w:t>
            </w:r>
            <w:r>
              <w:rPr>
                <w:rStyle w:val="35"/>
                <w:sz w:val="20"/>
                <w:szCs w:val="20"/>
                <w:lang w:val="en-US" w:eastAsia="zh-CN" w:bidi="ar"/>
              </w:rPr>
              <w:t>10.5mm，重量：</w:t>
            </w:r>
            <w:r>
              <w:rPr>
                <w:rStyle w:val="34"/>
                <w:rFonts w:ascii="宋体" w:hAnsi="宋体" w:eastAsia="宋体" w:cs="宋体"/>
                <w:sz w:val="32"/>
                <w:szCs w:val="32"/>
                <w:lang w:val="en-US" w:eastAsia="zh-CN" w:bidi="ar"/>
              </w:rPr>
              <w:t>≧</w:t>
            </w:r>
            <w:r>
              <w:rPr>
                <w:rStyle w:val="35"/>
                <w:sz w:val="20"/>
                <w:szCs w:val="20"/>
                <w:lang w:val="en-US" w:eastAsia="zh-CN" w:bidi="ar"/>
              </w:rPr>
              <w:t>71g/m，坠落次数：</w:t>
            </w:r>
            <w:r>
              <w:rPr>
                <w:rStyle w:val="34"/>
                <w:rFonts w:ascii="宋体" w:hAnsi="宋体" w:eastAsia="宋体" w:cs="宋体"/>
                <w:sz w:val="32"/>
                <w:szCs w:val="32"/>
                <w:lang w:val="en-US" w:eastAsia="zh-CN" w:bidi="ar"/>
              </w:rPr>
              <w:t>≧</w:t>
            </w:r>
            <w:r>
              <w:rPr>
                <w:rStyle w:val="35"/>
                <w:sz w:val="20"/>
                <w:szCs w:val="20"/>
                <w:lang w:val="en-US" w:eastAsia="zh-CN" w:bidi="ar"/>
              </w:rPr>
              <w:t>20min.，相对绳皮比率：36%，绳皮滑动率：3%，延展率(50-150kg）：</w:t>
            </w:r>
            <w:r>
              <w:rPr>
                <w:rStyle w:val="34"/>
                <w:rFonts w:ascii="宋体" w:hAnsi="宋体" w:eastAsia="宋体" w:cs="宋体"/>
                <w:sz w:val="32"/>
                <w:szCs w:val="32"/>
                <w:lang w:val="en-US" w:eastAsia="zh-CN" w:bidi="ar"/>
              </w:rPr>
              <w:t>≦</w:t>
            </w:r>
            <w:r>
              <w:rPr>
                <w:rStyle w:val="35"/>
                <w:sz w:val="20"/>
                <w:szCs w:val="20"/>
                <w:lang w:val="en-US" w:eastAsia="zh-CN" w:bidi="ar"/>
              </w:rPr>
              <w:t>3.4%，收缩率：</w:t>
            </w:r>
            <w:r>
              <w:rPr>
                <w:rStyle w:val="34"/>
                <w:rFonts w:ascii="宋体" w:hAnsi="宋体" w:eastAsia="宋体" w:cs="宋体"/>
                <w:sz w:val="32"/>
                <w:szCs w:val="32"/>
                <w:lang w:val="en-US" w:eastAsia="zh-CN" w:bidi="ar"/>
              </w:rPr>
              <w:t>≦</w:t>
            </w:r>
            <w:r>
              <w:rPr>
                <w:rStyle w:val="35"/>
                <w:sz w:val="20"/>
                <w:szCs w:val="20"/>
                <w:lang w:val="en-US" w:eastAsia="zh-CN" w:bidi="ar"/>
              </w:rPr>
              <w:t>1.9%，承载：</w:t>
            </w:r>
            <w:r>
              <w:rPr>
                <w:rStyle w:val="34"/>
                <w:rFonts w:ascii="宋体" w:hAnsi="宋体" w:eastAsia="宋体" w:cs="宋体"/>
                <w:sz w:val="32"/>
                <w:szCs w:val="32"/>
                <w:lang w:val="en-US" w:eastAsia="zh-CN" w:bidi="ar"/>
              </w:rPr>
              <w:t>≧</w:t>
            </w:r>
            <w:r>
              <w:rPr>
                <w:rStyle w:val="35"/>
                <w:sz w:val="20"/>
                <w:szCs w:val="20"/>
                <w:lang w:val="en-US" w:eastAsia="zh-CN" w:bidi="ar"/>
              </w:rPr>
              <w:t>30kN，最小打结承载：</w:t>
            </w:r>
            <w:r>
              <w:rPr>
                <w:rStyle w:val="34"/>
                <w:rFonts w:ascii="宋体" w:hAnsi="宋体" w:eastAsia="宋体" w:cs="宋体"/>
                <w:sz w:val="32"/>
                <w:szCs w:val="32"/>
                <w:lang w:val="en-US" w:eastAsia="zh-CN" w:bidi="ar"/>
              </w:rPr>
              <w:t>≧</w:t>
            </w:r>
            <w:r>
              <w:rPr>
                <w:rStyle w:val="35"/>
                <w:sz w:val="20"/>
                <w:szCs w:val="20"/>
                <w:lang w:val="en-US" w:eastAsia="zh-CN" w:bidi="ar"/>
              </w:rPr>
              <w:t>18kN，使用材料：PA，绳类型：A，颜色：白色。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静力绳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400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r>
              <w:rPr>
                <w:rStyle w:val="35"/>
                <w:sz w:val="20"/>
                <w:szCs w:val="20"/>
                <w:lang w:val="en-US" w:eastAsia="zh-CN" w:bidi="ar"/>
              </w:rPr>
              <w:t>：</w:t>
            </w:r>
            <w:r>
              <w:rPr>
                <w:rStyle w:val="34"/>
                <w:rFonts w:ascii="宋体" w:hAnsi="宋体" w:eastAsia="宋体" w:cs="宋体"/>
                <w:sz w:val="32"/>
                <w:szCs w:val="32"/>
                <w:lang w:val="en-US" w:eastAsia="zh-CN" w:bidi="ar"/>
              </w:rPr>
              <w:t>≦</w:t>
            </w:r>
            <w:r>
              <w:rPr>
                <w:rStyle w:val="35"/>
                <w:sz w:val="20"/>
                <w:szCs w:val="20"/>
                <w:lang w:val="en-US" w:eastAsia="zh-CN" w:bidi="ar"/>
              </w:rPr>
              <w:t>10,5 mm；重量：</w:t>
            </w:r>
            <w:r>
              <w:rPr>
                <w:rStyle w:val="34"/>
                <w:rFonts w:ascii="宋体" w:hAnsi="宋体" w:eastAsia="宋体" w:cs="宋体"/>
                <w:sz w:val="32"/>
                <w:szCs w:val="32"/>
                <w:lang w:val="en-US" w:eastAsia="zh-CN" w:bidi="ar"/>
              </w:rPr>
              <w:t>≧</w:t>
            </w:r>
            <w:r>
              <w:rPr>
                <w:rStyle w:val="35"/>
                <w:sz w:val="20"/>
                <w:szCs w:val="20"/>
                <w:lang w:val="en-US" w:eastAsia="zh-CN" w:bidi="ar"/>
              </w:rPr>
              <w:t xml:space="preserve">74 g/m；强度： </w:t>
            </w:r>
            <w:r>
              <w:rPr>
                <w:rStyle w:val="34"/>
                <w:rFonts w:ascii="宋体" w:hAnsi="宋体" w:eastAsia="宋体" w:cs="宋体"/>
                <w:sz w:val="32"/>
                <w:szCs w:val="32"/>
                <w:lang w:val="en-US" w:eastAsia="zh-CN" w:bidi="ar"/>
              </w:rPr>
              <w:t>≧</w:t>
            </w:r>
            <w:r>
              <w:rPr>
                <w:rStyle w:val="35"/>
                <w:sz w:val="20"/>
                <w:szCs w:val="20"/>
                <w:lang w:val="en-US" w:eastAsia="zh-CN" w:bidi="ar"/>
              </w:rPr>
              <w:t>30 kN；8字结强度：</w:t>
            </w:r>
            <w:r>
              <w:rPr>
                <w:rStyle w:val="34"/>
                <w:rFonts w:ascii="宋体" w:hAnsi="宋体" w:eastAsia="宋体" w:cs="宋体"/>
                <w:sz w:val="32"/>
                <w:szCs w:val="32"/>
                <w:lang w:val="en-US" w:eastAsia="zh-CN" w:bidi="ar"/>
              </w:rPr>
              <w:t>≧</w:t>
            </w:r>
            <w:r>
              <w:rPr>
                <w:rStyle w:val="35"/>
                <w:sz w:val="20"/>
                <w:szCs w:val="20"/>
                <w:lang w:val="en-US" w:eastAsia="zh-CN" w:bidi="ar"/>
              </w:rPr>
              <w:t>19 kN；静态延展率：</w:t>
            </w:r>
            <w:r>
              <w:rPr>
                <w:rStyle w:val="34"/>
                <w:rFonts w:ascii="宋体" w:hAnsi="宋体" w:eastAsia="宋体" w:cs="宋体"/>
                <w:sz w:val="32"/>
                <w:szCs w:val="32"/>
                <w:lang w:val="en-US" w:eastAsia="zh-CN" w:bidi="ar"/>
              </w:rPr>
              <w:t>≦</w:t>
            </w:r>
            <w:r>
              <w:rPr>
                <w:rStyle w:val="35"/>
                <w:sz w:val="20"/>
                <w:szCs w:val="20"/>
                <w:lang w:val="en-US" w:eastAsia="zh-CN" w:bidi="ar"/>
              </w:rPr>
              <w:t xml:space="preserve"> 1,9 %；绳皮比例： </w:t>
            </w:r>
            <w:r>
              <w:rPr>
                <w:rStyle w:val="34"/>
                <w:rFonts w:ascii="宋体" w:hAnsi="宋体" w:eastAsia="宋体" w:cs="宋体"/>
                <w:sz w:val="32"/>
                <w:szCs w:val="32"/>
                <w:lang w:val="en-US" w:eastAsia="zh-CN" w:bidi="ar"/>
              </w:rPr>
              <w:t>≧</w:t>
            </w:r>
            <w:r>
              <w:rPr>
                <w:rStyle w:val="35"/>
                <w:sz w:val="20"/>
                <w:szCs w:val="20"/>
                <w:lang w:val="en-US" w:eastAsia="zh-CN" w:bidi="ar"/>
              </w:rPr>
              <w:t>42 %；缩水率：</w:t>
            </w:r>
            <w:r>
              <w:rPr>
                <w:rStyle w:val="34"/>
                <w:rFonts w:ascii="宋体" w:hAnsi="宋体" w:eastAsia="宋体" w:cs="宋体"/>
                <w:sz w:val="32"/>
                <w:szCs w:val="32"/>
                <w:lang w:val="en-US" w:eastAsia="zh-CN" w:bidi="ar"/>
              </w:rPr>
              <w:t>≦</w:t>
            </w:r>
            <w:r>
              <w:rPr>
                <w:rStyle w:val="35"/>
                <w:sz w:val="20"/>
                <w:szCs w:val="20"/>
                <w:lang w:val="en-US" w:eastAsia="zh-CN" w:bidi="ar"/>
              </w:rPr>
              <w:t>2,0 %；打结系数：1,0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头灯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16</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材质：镁合金</w:t>
            </w:r>
            <w:r>
              <w:rPr>
                <w:rStyle w:val="35"/>
                <w:sz w:val="20"/>
                <w:szCs w:val="20"/>
                <w:lang w:val="en-US" w:eastAsia="zh-CN" w:bidi="ar"/>
              </w:rPr>
              <w:t xml:space="preserve"> 重量</w:t>
            </w:r>
            <w:r>
              <w:rPr>
                <w:rStyle w:val="34"/>
                <w:rFonts w:ascii="宋体" w:hAnsi="宋体" w:eastAsia="宋体" w:cs="宋体"/>
                <w:sz w:val="32"/>
                <w:szCs w:val="32"/>
                <w:lang w:val="en-US" w:eastAsia="zh-CN" w:bidi="ar"/>
              </w:rPr>
              <w:t>≦</w:t>
            </w:r>
            <w:r>
              <w:rPr>
                <w:rStyle w:val="35"/>
                <w:sz w:val="20"/>
                <w:szCs w:val="20"/>
                <w:lang w:val="en-US" w:eastAsia="zh-CN" w:bidi="ar"/>
              </w:rPr>
              <w:t>69.5克（不含电池）8级防水，6级防尘 水下2米LED双光源 亮度七档调节</w:t>
            </w:r>
            <w:r>
              <w:rPr>
                <w:rStyle w:val="34"/>
                <w:rFonts w:ascii="宋体" w:hAnsi="宋体" w:eastAsia="宋体" w:cs="宋体"/>
                <w:sz w:val="32"/>
                <w:szCs w:val="32"/>
                <w:lang w:val="en-US" w:eastAsia="zh-CN" w:bidi="ar"/>
              </w:rPr>
              <w:t>≧</w:t>
            </w:r>
            <w:r>
              <w:rPr>
                <w:rStyle w:val="35"/>
                <w:sz w:val="20"/>
                <w:szCs w:val="20"/>
                <w:lang w:val="en-US" w:eastAsia="zh-CN" w:bidi="ar"/>
              </w:rPr>
              <w:t>300小时续航。最高亮度：</w:t>
            </w:r>
            <w:r>
              <w:rPr>
                <w:rStyle w:val="34"/>
                <w:rFonts w:ascii="宋体" w:hAnsi="宋体" w:eastAsia="宋体" w:cs="宋体"/>
                <w:sz w:val="32"/>
                <w:szCs w:val="32"/>
                <w:lang w:val="en-US" w:eastAsia="zh-CN" w:bidi="ar"/>
              </w:rPr>
              <w:t>≧</w:t>
            </w:r>
            <w:r>
              <w:rPr>
                <w:rStyle w:val="35"/>
                <w:sz w:val="20"/>
                <w:szCs w:val="20"/>
                <w:lang w:val="en-US" w:eastAsia="zh-CN" w:bidi="ar"/>
              </w:rPr>
              <w:t>1400流明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45L绳包</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材质:聚氯乙烯（pvc）夹网</w:t>
            </w:r>
            <w:r>
              <w:rPr>
                <w:rStyle w:val="35"/>
                <w:sz w:val="20"/>
                <w:szCs w:val="20"/>
                <w:lang w:val="en-US" w:eastAsia="zh-CN" w:bidi="ar"/>
              </w:rPr>
              <w:t>布+织物尺寸：</w:t>
            </w:r>
            <w:r>
              <w:rPr>
                <w:rStyle w:val="34"/>
                <w:rFonts w:ascii="宋体" w:hAnsi="宋体" w:eastAsia="宋体" w:cs="宋体"/>
                <w:sz w:val="32"/>
                <w:szCs w:val="32"/>
                <w:lang w:val="en-US" w:eastAsia="zh-CN" w:bidi="ar"/>
              </w:rPr>
              <w:t>≧</w:t>
            </w:r>
            <w:r>
              <w:rPr>
                <w:rStyle w:val="35"/>
                <w:sz w:val="20"/>
                <w:szCs w:val="20"/>
                <w:lang w:val="en-US" w:eastAsia="zh-CN" w:bidi="ar"/>
              </w:rPr>
              <w:t>34*24*65cm容量：</w:t>
            </w:r>
            <w:r>
              <w:rPr>
                <w:rStyle w:val="34"/>
                <w:rFonts w:ascii="宋体" w:hAnsi="宋体" w:eastAsia="宋体" w:cs="宋体"/>
                <w:sz w:val="32"/>
                <w:szCs w:val="32"/>
                <w:lang w:val="en-US" w:eastAsia="zh-CN" w:bidi="ar"/>
              </w:rPr>
              <w:t>≧</w:t>
            </w:r>
            <w:r>
              <w:rPr>
                <w:rStyle w:val="35"/>
                <w:sz w:val="20"/>
                <w:szCs w:val="20"/>
                <w:lang w:val="en-US" w:eastAsia="zh-CN" w:bidi="ar"/>
              </w:rPr>
              <w:t>45L重量：</w:t>
            </w:r>
            <w:r>
              <w:rPr>
                <w:rStyle w:val="34"/>
                <w:rFonts w:ascii="宋体" w:hAnsi="宋体" w:eastAsia="宋体" w:cs="宋体"/>
                <w:sz w:val="32"/>
                <w:szCs w:val="32"/>
                <w:lang w:val="en-US" w:eastAsia="zh-CN" w:bidi="ar"/>
              </w:rPr>
              <w:t>≧</w:t>
            </w:r>
            <w:r>
              <w:rPr>
                <w:rStyle w:val="35"/>
                <w:sz w:val="20"/>
                <w:szCs w:val="20"/>
                <w:lang w:val="en-US" w:eastAsia="zh-CN" w:bidi="ar"/>
              </w:rPr>
              <w:t>1180g入200米/10.5MM绳 1.聚氯乙烯夹网（1000D），高周波压合，坚固耐磨；28*47cm低吸水带有衬垫背负，19*8cm加厚腰带和6.5cm弯型可调节肩带的舒适性，适合长距离背负。2.背负顶上置有1个直向提手，1个吊</w:t>
            </w:r>
            <w:r>
              <w:rPr>
                <w:rFonts w:hint="eastAsia" w:ascii="宋体" w:hAnsi="宋体" w:eastAsia="宋体" w:cs="宋体"/>
                <w:i w:val="0"/>
                <w:iCs w:val="0"/>
                <w:color w:val="000000"/>
                <w:kern w:val="0"/>
                <w:sz w:val="20"/>
                <w:szCs w:val="20"/>
                <w:u w:val="none"/>
                <w:lang w:val="en-US" w:eastAsia="zh-CN" w:bidi="ar"/>
              </w:rPr>
              <w:t>包织带环，侧面有1个横向提手3.袋内置有1个拉链小件附袋，5个挂点。4.袋口有防漏档盖，预防小件漏出。5.袋口锁使用国际品牌UTX搭型扣，实现快速开关操作功能，结实耐用。6、执行标准： QB/T 1333-2018  （有质检报告）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救援三脚架</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救援三脚架用于山地救援，可以调节各脚架长度，调节三脚架到一个合适的救援角度，支撑脚两节可分解式，便于携带，连接头可以组合成三角型、A型支架、斜A型支架或起重支架。组成斜A型支架时，可以更适合悬崖或建筑物边缘的救援。可以帮助救援人员在悬崖、狭窄空间或工业现场更有效地建立起救援系统，建立系统时不需要D型挂钩，顶部直接安装的滑轮，配有多种基座，适合各种救援场所。可收纳到4个便携式背包中，便于在山地、坡道等特殊环境下携带。具备适应沙地、岩石、水泥地等多种环境的架设能力。由三脚架、加长脚、收紧扁带、收紧器、绳包、器材包、弹簧螺栓、螺帽组成。配备连接头1件，工具包 5件，连接头滑轮1个，上支腿 3件，下支腿 7件，连接头销钉 4件，支腿销钉 11件，平支脚3件，尖支脚3件，普通高度</w:t>
            </w:r>
            <w:r>
              <w:rPr>
                <w:rStyle w:val="36"/>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2.7 m，加长高度</w:t>
            </w:r>
            <w:r>
              <w:rPr>
                <w:rStyle w:val="36"/>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3.7 m，安全承重</w:t>
            </w:r>
            <w:r>
              <w:rPr>
                <w:rStyle w:val="36"/>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3600kg，整套系统重量</w:t>
            </w:r>
            <w:r>
              <w:rPr>
                <w:rStyle w:val="36"/>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28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100L驮包</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材质:聚氯乙烯（pvc）夹网布+织物规格</w:t>
            </w:r>
            <w:r>
              <w:rPr>
                <w:rStyle w:val="35"/>
                <w:sz w:val="20"/>
                <w:szCs w:val="20"/>
                <w:lang w:val="en-US" w:eastAsia="zh-CN" w:bidi="ar"/>
              </w:rPr>
              <w:t>：</w:t>
            </w:r>
            <w:r>
              <w:rPr>
                <w:rStyle w:val="34"/>
                <w:rFonts w:ascii="宋体" w:hAnsi="宋体" w:eastAsia="宋体" w:cs="宋体"/>
                <w:sz w:val="32"/>
                <w:szCs w:val="32"/>
                <w:lang w:val="en-US" w:eastAsia="zh-CN" w:bidi="ar"/>
              </w:rPr>
              <w:t>≧</w:t>
            </w:r>
            <w:r>
              <w:rPr>
                <w:rStyle w:val="35"/>
                <w:sz w:val="20"/>
                <w:szCs w:val="20"/>
                <w:lang w:val="en-US" w:eastAsia="zh-CN" w:bidi="ar"/>
              </w:rPr>
              <w:t>78×40×38cm容量：</w:t>
            </w:r>
            <w:r>
              <w:rPr>
                <w:rStyle w:val="34"/>
                <w:rFonts w:ascii="宋体" w:hAnsi="宋体" w:eastAsia="宋体" w:cs="宋体"/>
                <w:sz w:val="32"/>
                <w:szCs w:val="32"/>
                <w:lang w:val="en-US" w:eastAsia="zh-CN" w:bidi="ar"/>
              </w:rPr>
              <w:t>≧</w:t>
            </w:r>
            <w:r>
              <w:rPr>
                <w:rStyle w:val="35"/>
                <w:sz w:val="20"/>
                <w:szCs w:val="20"/>
                <w:lang w:val="en-US" w:eastAsia="zh-CN" w:bidi="ar"/>
              </w:rPr>
              <w:t>120L重量：</w:t>
            </w:r>
            <w:r>
              <w:rPr>
                <w:rStyle w:val="34"/>
                <w:rFonts w:ascii="宋体" w:hAnsi="宋体" w:eastAsia="宋体" w:cs="宋体"/>
                <w:sz w:val="32"/>
                <w:szCs w:val="32"/>
                <w:lang w:val="en-US" w:eastAsia="zh-CN" w:bidi="ar"/>
              </w:rPr>
              <w:t>≧</w:t>
            </w:r>
            <w:r>
              <w:rPr>
                <w:rStyle w:val="35"/>
                <w:sz w:val="20"/>
                <w:szCs w:val="20"/>
                <w:lang w:val="en-US" w:eastAsia="zh-CN" w:bidi="ar"/>
              </w:rPr>
              <w:t>2290g1、大开口主仓，包盖内设有拉链网袋，独立侧仓，干湿分储，两侧提手，</w:t>
            </w:r>
            <w:r>
              <w:rPr>
                <w:rFonts w:hint="eastAsia" w:ascii="宋体" w:hAnsi="宋体" w:eastAsia="宋体" w:cs="宋体"/>
                <w:i w:val="0"/>
                <w:iCs w:val="0"/>
                <w:color w:val="000000"/>
                <w:kern w:val="0"/>
                <w:sz w:val="20"/>
                <w:szCs w:val="20"/>
                <w:u w:val="none"/>
                <w:lang w:val="en-US" w:eastAsia="zh-CN" w:bidi="ar"/>
              </w:rPr>
              <w:t>可两人抬行；设有可拆装背包带，可变背包；有ID卡片窗。2、巨大容量，坚固耐磨，适合长途运输装备使用。3、面料符合国家环保4、执行标准： QB/T 1333-2018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中号分力板</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8孔铝合金锚固点,孔径：</w:t>
            </w:r>
            <w:r>
              <w:rPr>
                <w:rStyle w:val="34"/>
                <w:rFonts w:ascii="宋体" w:hAnsi="宋体" w:eastAsia="宋体" w:cs="宋体"/>
                <w:sz w:val="32"/>
                <w:szCs w:val="32"/>
                <w:lang w:val="en-US" w:eastAsia="zh-CN" w:bidi="ar"/>
              </w:rPr>
              <w:t>≧</w:t>
            </w:r>
            <w:r>
              <w:rPr>
                <w:rStyle w:val="35"/>
                <w:sz w:val="20"/>
                <w:szCs w:val="20"/>
                <w:lang w:val="en-US" w:eastAsia="zh-CN" w:bidi="ar"/>
              </w:rPr>
              <w:t>19毫米，适合用于救援时设置锚点，颜色为蓝色。 材质：铝合金；重量：</w:t>
            </w:r>
            <w:r>
              <w:rPr>
                <w:rStyle w:val="34"/>
                <w:rFonts w:ascii="宋体" w:hAnsi="宋体" w:eastAsia="宋体" w:cs="宋体"/>
                <w:sz w:val="32"/>
                <w:szCs w:val="32"/>
                <w:lang w:val="en-US" w:eastAsia="zh-CN" w:bidi="ar"/>
              </w:rPr>
              <w:t>≧</w:t>
            </w:r>
            <w:r>
              <w:rPr>
                <w:rStyle w:val="35"/>
                <w:sz w:val="20"/>
                <w:szCs w:val="20"/>
                <w:lang w:val="en-US" w:eastAsia="zh-CN" w:bidi="ar"/>
              </w:rPr>
              <w:t>210g；断裂负荷：</w:t>
            </w:r>
            <w:r>
              <w:rPr>
                <w:rStyle w:val="34"/>
                <w:rFonts w:ascii="宋体" w:hAnsi="宋体" w:eastAsia="宋体" w:cs="宋体"/>
                <w:sz w:val="32"/>
                <w:szCs w:val="32"/>
                <w:lang w:val="en-US" w:eastAsia="zh-CN" w:bidi="ar"/>
              </w:rPr>
              <w:t>≧</w:t>
            </w:r>
            <w:r>
              <w:rPr>
                <w:rStyle w:val="35"/>
                <w:sz w:val="20"/>
                <w:szCs w:val="20"/>
                <w:lang w:val="en-US" w:eastAsia="zh-CN" w:bidi="ar"/>
              </w:rPr>
              <w:t>36kN；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工字钢锚点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r>
              <w:rPr>
                <w:rStyle w:val="35"/>
                <w:sz w:val="20"/>
                <w:szCs w:val="20"/>
                <w:lang w:val="en-US" w:eastAsia="zh-CN" w:bidi="ar"/>
              </w:rPr>
              <w:t>：铝合金、不锈钢工作负荷：</w:t>
            </w:r>
            <w:r>
              <w:rPr>
                <w:rStyle w:val="34"/>
                <w:rFonts w:ascii="宋体" w:hAnsi="宋体" w:eastAsia="宋体" w:cs="宋体"/>
                <w:sz w:val="32"/>
                <w:szCs w:val="32"/>
                <w:lang w:val="en-US" w:eastAsia="zh-CN" w:bidi="ar"/>
              </w:rPr>
              <w:t>≧</w:t>
            </w:r>
            <w:r>
              <w:rPr>
                <w:rStyle w:val="35"/>
                <w:sz w:val="20"/>
                <w:szCs w:val="20"/>
                <w:lang w:val="en-US" w:eastAsia="zh-CN" w:bidi="ar"/>
              </w:rPr>
              <w:t>140kg；最小断裂强度：</w:t>
            </w:r>
            <w:r>
              <w:rPr>
                <w:rStyle w:val="34"/>
                <w:rFonts w:ascii="宋体" w:hAnsi="宋体" w:eastAsia="宋体" w:cs="宋体"/>
                <w:sz w:val="32"/>
                <w:szCs w:val="32"/>
                <w:lang w:val="en-US" w:eastAsia="zh-CN" w:bidi="ar"/>
              </w:rPr>
              <w:t>≧</w:t>
            </w:r>
            <w:r>
              <w:rPr>
                <w:rStyle w:val="35"/>
                <w:sz w:val="20"/>
                <w:szCs w:val="20"/>
                <w:lang w:val="en-US" w:eastAsia="zh-CN" w:bidi="ar"/>
              </w:rPr>
              <w:t>22kn；最大安装宽度：</w:t>
            </w:r>
            <w:r>
              <w:rPr>
                <w:rStyle w:val="34"/>
                <w:rFonts w:ascii="宋体" w:hAnsi="宋体" w:eastAsia="宋体" w:cs="宋体"/>
                <w:sz w:val="32"/>
                <w:szCs w:val="32"/>
                <w:lang w:val="en-US" w:eastAsia="zh-CN" w:bidi="ar"/>
              </w:rPr>
              <w:t>≧</w:t>
            </w:r>
            <w:r>
              <w:rPr>
                <w:rStyle w:val="35"/>
                <w:sz w:val="20"/>
                <w:szCs w:val="20"/>
                <w:lang w:val="en-US" w:eastAsia="zh-CN" w:bidi="ar"/>
              </w:rPr>
              <w:t>350mm；最小安装宽度：</w:t>
            </w:r>
            <w:r>
              <w:rPr>
                <w:rStyle w:val="34"/>
                <w:rFonts w:ascii="宋体" w:hAnsi="宋体" w:eastAsia="宋体" w:cs="宋体"/>
                <w:sz w:val="32"/>
                <w:szCs w:val="32"/>
                <w:lang w:val="en-US" w:eastAsia="zh-CN" w:bidi="ar"/>
              </w:rPr>
              <w:t>≦</w:t>
            </w:r>
            <w:r>
              <w:rPr>
                <w:rStyle w:val="35"/>
                <w:sz w:val="20"/>
                <w:szCs w:val="20"/>
                <w:lang w:val="en-US" w:eastAsia="zh-CN" w:bidi="ar"/>
              </w:rPr>
              <w:t>90mm；最大安装厚度：</w:t>
            </w:r>
            <w:r>
              <w:rPr>
                <w:rStyle w:val="34"/>
                <w:rFonts w:ascii="宋体" w:hAnsi="宋体" w:eastAsia="宋体" w:cs="宋体"/>
                <w:sz w:val="32"/>
                <w:szCs w:val="32"/>
                <w:lang w:val="en-US" w:eastAsia="zh-CN" w:bidi="ar"/>
              </w:rPr>
              <w:t>≧</w:t>
            </w:r>
            <w:r>
              <w:rPr>
                <w:rStyle w:val="35"/>
                <w:sz w:val="20"/>
                <w:szCs w:val="20"/>
                <w:lang w:val="en-US" w:eastAsia="zh-CN" w:bidi="ar"/>
              </w:rPr>
              <w:t>30mm；执行标准： GB 30862-2014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门窗锚点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锚点.用于室内门/窗临时架设锚点.非常快速且易于设置.无需工具即可在窗户或门口固定.根据框架的间距可调间距.轴承表面涂有合成材料.可以同时承受两个人作业（根据空间）.宽900mm以内，连接两个人.宽900-1100mm，只能连接一个人重量:</w:t>
            </w:r>
            <w:r>
              <w:rPr>
                <w:rStyle w:val="35"/>
                <w:sz w:val="20"/>
                <w:szCs w:val="20"/>
                <w:lang w:val="en-US" w:eastAsia="zh-CN" w:bidi="ar"/>
              </w:rPr>
              <w:t xml:space="preserve"> </w:t>
            </w:r>
            <w:r>
              <w:rPr>
                <w:rStyle w:val="34"/>
                <w:rFonts w:ascii="宋体" w:hAnsi="宋体" w:eastAsia="宋体" w:cs="宋体"/>
                <w:sz w:val="32"/>
                <w:szCs w:val="32"/>
                <w:lang w:val="en-US" w:eastAsia="zh-CN" w:bidi="ar"/>
              </w:rPr>
              <w:t>≧</w:t>
            </w:r>
            <w:r>
              <w:rPr>
                <w:rStyle w:val="35"/>
                <w:sz w:val="20"/>
                <w:szCs w:val="20"/>
                <w:lang w:val="en-US" w:eastAsia="zh-CN" w:bidi="ar"/>
              </w:rPr>
              <w:t xml:space="preserve">11 kg强度: </w:t>
            </w:r>
            <w:r>
              <w:rPr>
                <w:rStyle w:val="34"/>
                <w:rFonts w:ascii="宋体" w:hAnsi="宋体" w:eastAsia="宋体" w:cs="宋体"/>
                <w:sz w:val="32"/>
                <w:szCs w:val="32"/>
                <w:lang w:val="en-US" w:eastAsia="zh-CN" w:bidi="ar"/>
              </w:rPr>
              <w:t>≧</w:t>
            </w:r>
            <w:r>
              <w:rPr>
                <w:rStyle w:val="35"/>
                <w:sz w:val="20"/>
                <w:szCs w:val="20"/>
                <w:lang w:val="en-US" w:eastAsia="zh-CN" w:bidi="ar"/>
              </w:rPr>
              <w:t xml:space="preserve">22 kN长度: </w:t>
            </w:r>
            <w:r>
              <w:rPr>
                <w:rStyle w:val="34"/>
                <w:rFonts w:ascii="宋体" w:hAnsi="宋体" w:eastAsia="宋体" w:cs="宋体"/>
                <w:sz w:val="32"/>
                <w:szCs w:val="32"/>
                <w:lang w:val="en-US" w:eastAsia="zh-CN" w:bidi="ar"/>
              </w:rPr>
              <w:t>≧</w:t>
            </w:r>
            <w:r>
              <w:rPr>
                <w:rStyle w:val="35"/>
                <w:sz w:val="20"/>
                <w:szCs w:val="20"/>
                <w:lang w:val="en-US" w:eastAsia="zh-CN" w:bidi="ar"/>
              </w:rPr>
              <w:t>1410 mm (最大内尺寸1100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成型扁带环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扁带环，用于设置简易临时确定点。材质采用强力尼龙纤维编制，超强耐磨，颜色绿色，偏于识别。长</w:t>
            </w:r>
            <w:r>
              <w:rPr>
                <w:rStyle w:val="35"/>
                <w:sz w:val="20"/>
                <w:szCs w:val="20"/>
                <w:lang w:val="en-US" w:eastAsia="zh-CN" w:bidi="ar"/>
              </w:rPr>
              <w:t>度</w:t>
            </w:r>
            <w:r>
              <w:rPr>
                <w:rStyle w:val="34"/>
                <w:rFonts w:ascii="宋体" w:hAnsi="宋体" w:eastAsia="宋体" w:cs="宋体"/>
                <w:sz w:val="32"/>
                <w:szCs w:val="32"/>
                <w:lang w:val="en-US" w:eastAsia="zh-CN" w:bidi="ar"/>
              </w:rPr>
              <w:t>≧</w:t>
            </w:r>
            <w:r>
              <w:rPr>
                <w:rStyle w:val="35"/>
                <w:sz w:val="20"/>
                <w:szCs w:val="20"/>
                <w:lang w:val="en-US" w:eastAsia="zh-CN" w:bidi="ar"/>
              </w:rPr>
              <w:t>120cm，宽</w:t>
            </w:r>
            <w:r>
              <w:rPr>
                <w:rStyle w:val="34"/>
                <w:rFonts w:ascii="宋体" w:hAnsi="宋体" w:eastAsia="宋体" w:cs="宋体"/>
                <w:sz w:val="32"/>
                <w:szCs w:val="32"/>
                <w:lang w:val="en-US" w:eastAsia="zh-CN" w:bidi="ar"/>
              </w:rPr>
              <w:t>≧</w:t>
            </w:r>
            <w:r>
              <w:rPr>
                <w:rStyle w:val="35"/>
                <w:sz w:val="20"/>
                <w:szCs w:val="20"/>
                <w:lang w:val="en-US" w:eastAsia="zh-CN" w:bidi="ar"/>
              </w:rPr>
              <w:t>18mm，重量</w:t>
            </w:r>
            <w:r>
              <w:rPr>
                <w:rStyle w:val="34"/>
                <w:rFonts w:ascii="宋体" w:hAnsi="宋体" w:eastAsia="宋体" w:cs="宋体"/>
                <w:sz w:val="32"/>
                <w:szCs w:val="32"/>
                <w:lang w:val="en-US" w:eastAsia="zh-CN" w:bidi="ar"/>
              </w:rPr>
              <w:t>≧</w:t>
            </w:r>
            <w:r>
              <w:rPr>
                <w:rStyle w:val="35"/>
                <w:sz w:val="20"/>
                <w:szCs w:val="20"/>
                <w:lang w:val="en-US" w:eastAsia="zh-CN" w:bidi="ar"/>
              </w:rPr>
              <w:t>100g，断裂负荷</w:t>
            </w:r>
            <w:r>
              <w:rPr>
                <w:rStyle w:val="34"/>
                <w:rFonts w:ascii="宋体" w:hAnsi="宋体" w:eastAsia="宋体" w:cs="宋体"/>
                <w:sz w:val="32"/>
                <w:szCs w:val="32"/>
                <w:lang w:val="en-US" w:eastAsia="zh-CN" w:bidi="ar"/>
              </w:rPr>
              <w:t>≧</w:t>
            </w:r>
            <w:r>
              <w:rPr>
                <w:rStyle w:val="35"/>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2KN。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成型扁带环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扁带环，用于设置简易临时确定点。材质采用强力尼龙纤维编制，超强耐磨，颜色黄色，偏于识别</w:t>
            </w:r>
            <w:r>
              <w:rPr>
                <w:rStyle w:val="35"/>
                <w:sz w:val="20"/>
                <w:szCs w:val="20"/>
                <w:lang w:val="en-US" w:eastAsia="zh-CN" w:bidi="ar"/>
              </w:rPr>
              <w:t>。长度</w:t>
            </w:r>
            <w:r>
              <w:rPr>
                <w:rStyle w:val="34"/>
                <w:rFonts w:ascii="宋体" w:hAnsi="宋体" w:eastAsia="宋体" w:cs="宋体"/>
                <w:sz w:val="32"/>
                <w:szCs w:val="32"/>
                <w:lang w:val="en-US" w:eastAsia="zh-CN" w:bidi="ar"/>
              </w:rPr>
              <w:t>≧</w:t>
            </w:r>
            <w:r>
              <w:rPr>
                <w:rStyle w:val="35"/>
                <w:sz w:val="20"/>
                <w:szCs w:val="20"/>
                <w:lang w:val="en-US" w:eastAsia="zh-CN" w:bidi="ar"/>
              </w:rPr>
              <w:t>60cm，宽</w:t>
            </w:r>
            <w:r>
              <w:rPr>
                <w:rStyle w:val="34"/>
                <w:rFonts w:ascii="宋体" w:hAnsi="宋体" w:eastAsia="宋体" w:cs="宋体"/>
                <w:sz w:val="32"/>
                <w:szCs w:val="32"/>
                <w:lang w:val="en-US" w:eastAsia="zh-CN" w:bidi="ar"/>
              </w:rPr>
              <w:t>≧</w:t>
            </w:r>
            <w:r>
              <w:rPr>
                <w:rStyle w:val="35"/>
                <w:sz w:val="20"/>
                <w:szCs w:val="20"/>
                <w:lang w:val="en-US" w:eastAsia="zh-CN" w:bidi="ar"/>
              </w:rPr>
              <w:t>18mm，重量</w:t>
            </w:r>
            <w:r>
              <w:rPr>
                <w:rStyle w:val="34"/>
                <w:rFonts w:ascii="宋体" w:hAnsi="宋体" w:eastAsia="宋体" w:cs="宋体"/>
                <w:sz w:val="32"/>
                <w:szCs w:val="32"/>
                <w:lang w:val="en-US" w:eastAsia="zh-CN" w:bidi="ar"/>
              </w:rPr>
              <w:t>≧</w:t>
            </w:r>
            <w:r>
              <w:rPr>
                <w:rStyle w:val="35"/>
                <w:sz w:val="20"/>
                <w:szCs w:val="20"/>
                <w:lang w:val="en-US" w:eastAsia="zh-CN" w:bidi="ar"/>
              </w:rPr>
              <w:t>60g，断裂负荷</w:t>
            </w:r>
            <w:r>
              <w:rPr>
                <w:rStyle w:val="34"/>
                <w:rFonts w:ascii="宋体" w:hAnsi="宋体" w:eastAsia="宋体" w:cs="宋体"/>
                <w:sz w:val="32"/>
                <w:szCs w:val="32"/>
                <w:lang w:val="en-US" w:eastAsia="zh-CN" w:bidi="ar"/>
              </w:rPr>
              <w:t>≧</w:t>
            </w:r>
            <w:r>
              <w:rPr>
                <w:rStyle w:val="35"/>
                <w:sz w:val="20"/>
                <w:szCs w:val="20"/>
                <w:lang w:val="en-US" w:eastAsia="zh-CN" w:bidi="ar"/>
              </w:rPr>
              <w:t>22KN。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8mm耐高温抓结绳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r>
              <w:rPr>
                <w:rStyle w:val="35"/>
                <w:sz w:val="20"/>
                <w:szCs w:val="20"/>
                <w:lang w:val="en-US" w:eastAsia="zh-CN" w:bidi="ar"/>
              </w:rPr>
              <w:t>涤纶和芳纶断裂拉力：</w:t>
            </w:r>
            <w:r>
              <w:rPr>
                <w:rStyle w:val="34"/>
                <w:rFonts w:ascii="宋体" w:hAnsi="宋体" w:eastAsia="宋体" w:cs="宋体"/>
                <w:sz w:val="32"/>
                <w:szCs w:val="32"/>
                <w:lang w:val="en-US" w:eastAsia="zh-CN" w:bidi="ar"/>
              </w:rPr>
              <w:t>≧</w:t>
            </w:r>
            <w:r>
              <w:rPr>
                <w:rStyle w:val="35"/>
                <w:sz w:val="20"/>
                <w:szCs w:val="20"/>
                <w:lang w:val="en-US" w:eastAsia="zh-CN" w:bidi="ar"/>
              </w:rPr>
              <w:t>18kN（8mm）20kN（10mm）/ 重量 ：</w:t>
            </w:r>
            <w:r>
              <w:rPr>
                <w:rStyle w:val="34"/>
                <w:rFonts w:ascii="宋体" w:hAnsi="宋体" w:eastAsia="宋体" w:cs="宋体"/>
                <w:sz w:val="32"/>
                <w:szCs w:val="32"/>
                <w:lang w:val="en-US" w:eastAsia="zh-CN" w:bidi="ar"/>
              </w:rPr>
              <w:t>≧</w:t>
            </w:r>
            <w:r>
              <w:rPr>
                <w:rStyle w:val="35"/>
                <w:sz w:val="20"/>
                <w:szCs w:val="20"/>
                <w:lang w:val="en-US" w:eastAsia="zh-CN" w:bidi="ar"/>
              </w:rPr>
              <w:t>79 g/（80cm)。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救援三角吊带</w:t>
            </w:r>
            <w:r>
              <w:rPr>
                <w:rFonts w:hint="eastAsia" w:ascii="黑体" w:hAnsi="宋体" w:eastAsia="黑体" w:cs="黑体"/>
                <w:b/>
                <w:bCs/>
                <w:i w:val="0"/>
                <w:iCs w:val="0"/>
                <w:color w:val="000000"/>
                <w:kern w:val="0"/>
                <w:sz w:val="28"/>
                <w:szCs w:val="28"/>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疏散用三角吊带，用于各类救援，滑雪缆车救援或消防使用，能在短时间内疏散被困者。配有肩带，可快速穿戴，并且配有可调节的自锁扣，可快速调整。重量</w:t>
            </w:r>
            <w:r>
              <w:rPr>
                <w:rStyle w:val="34"/>
                <w:rFonts w:ascii="宋体" w:hAnsi="宋体" w:eastAsia="宋体" w:cs="宋体"/>
                <w:sz w:val="32"/>
                <w:szCs w:val="32"/>
                <w:lang w:val="en-US" w:eastAsia="zh-CN" w:bidi="ar"/>
              </w:rPr>
              <w:t>≧</w:t>
            </w:r>
            <w:r>
              <w:rPr>
                <w:rStyle w:val="35"/>
                <w:sz w:val="20"/>
                <w:szCs w:val="20"/>
                <w:lang w:val="en-US" w:eastAsia="zh-CN" w:bidi="ar"/>
              </w:rPr>
              <w:t>1290g。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30KN缆车救援滑轮</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在滑雪缆车上前进和疏散的救援滑轮.直接连接到滑雪缆车的承载电缆.用于在救援行动中疏散人员.在用做救援设备时，它不被视为PPE（个人防护设备），无相应的CE标准.为了更好的可追溯性和检查性，该零件标有唯一编号注意！切勿单独使用此滑轮-必须与备用挽索一起使用切勿在没有制动绳索的情况下使用强度：</w:t>
            </w:r>
            <w:r>
              <w:rPr>
                <w:rStyle w:val="34"/>
                <w:rFonts w:ascii="宋体" w:hAnsi="宋体" w:eastAsia="宋体" w:cs="宋体"/>
                <w:sz w:val="32"/>
                <w:szCs w:val="32"/>
                <w:lang w:val="en-US" w:eastAsia="zh-CN" w:bidi="ar"/>
              </w:rPr>
              <w:t>≧</w:t>
            </w:r>
            <w:r>
              <w:rPr>
                <w:rStyle w:val="35"/>
                <w:sz w:val="20"/>
                <w:szCs w:val="20"/>
                <w:lang w:val="en-US" w:eastAsia="zh-CN" w:bidi="ar"/>
              </w:rPr>
              <w:t>30 kN工作负荷：</w:t>
            </w:r>
            <w:r>
              <w:rPr>
                <w:rStyle w:val="34"/>
                <w:rFonts w:ascii="宋体" w:hAnsi="宋体" w:eastAsia="宋体" w:cs="宋体"/>
                <w:sz w:val="32"/>
                <w:szCs w:val="32"/>
                <w:lang w:val="en-US" w:eastAsia="zh-CN" w:bidi="ar"/>
              </w:rPr>
              <w:t>≧</w:t>
            </w:r>
            <w:r>
              <w:rPr>
                <w:rStyle w:val="35"/>
                <w:sz w:val="20"/>
                <w:szCs w:val="20"/>
                <w:lang w:val="en-US" w:eastAsia="zh-CN" w:bidi="ar"/>
              </w:rPr>
              <w:t>5 kN最高速度：</w:t>
            </w:r>
            <w:r>
              <w:rPr>
                <w:rStyle w:val="34"/>
                <w:rFonts w:ascii="宋体" w:hAnsi="宋体" w:eastAsia="宋体" w:cs="宋体"/>
                <w:sz w:val="32"/>
                <w:szCs w:val="32"/>
                <w:lang w:val="en-US" w:eastAsia="zh-CN" w:bidi="ar"/>
              </w:rPr>
              <w:t>≧</w:t>
            </w:r>
            <w:r>
              <w:rPr>
                <w:rStyle w:val="35"/>
                <w:sz w:val="20"/>
                <w:szCs w:val="20"/>
                <w:lang w:val="en-US" w:eastAsia="zh-CN" w:bidi="ar"/>
              </w:rPr>
              <w:t>2m/s适用绳索（钢缆）最大直径：</w:t>
            </w:r>
            <w:r>
              <w:rPr>
                <w:rStyle w:val="34"/>
                <w:rFonts w:ascii="宋体" w:hAnsi="宋体" w:eastAsia="宋体" w:cs="宋体"/>
                <w:sz w:val="32"/>
                <w:szCs w:val="32"/>
                <w:lang w:val="en-US" w:eastAsia="zh-CN" w:bidi="ar"/>
              </w:rPr>
              <w:t>≧</w:t>
            </w:r>
            <w:r>
              <w:rPr>
                <w:rStyle w:val="35"/>
                <w:sz w:val="20"/>
                <w:szCs w:val="20"/>
                <w:lang w:val="en-US" w:eastAsia="zh-CN" w:bidi="ar"/>
              </w:rPr>
              <w:t>55 mm重量：</w:t>
            </w:r>
            <w:r>
              <w:rPr>
                <w:rStyle w:val="34"/>
                <w:rFonts w:ascii="宋体" w:hAnsi="宋体" w:eastAsia="宋体" w:cs="宋体"/>
                <w:sz w:val="32"/>
                <w:szCs w:val="32"/>
                <w:lang w:val="en-US" w:eastAsia="zh-CN" w:bidi="ar"/>
              </w:rPr>
              <w:t>≧</w:t>
            </w:r>
            <w:r>
              <w:rPr>
                <w:rStyle w:val="35"/>
                <w:sz w:val="20"/>
                <w:szCs w:val="20"/>
                <w:lang w:val="en-US" w:eastAsia="zh-CN" w:bidi="ar"/>
              </w:rPr>
              <w:t>1420g轴承：滚珠材料：主框架-铝合金，开合门-不锈</w:t>
            </w:r>
            <w:r>
              <w:rPr>
                <w:rFonts w:hint="eastAsia" w:ascii="宋体" w:hAnsi="宋体" w:eastAsia="宋体" w:cs="宋体"/>
                <w:i w:val="0"/>
                <w:iCs w:val="0"/>
                <w:color w:val="000000"/>
                <w:kern w:val="0"/>
                <w:sz w:val="20"/>
                <w:szCs w:val="20"/>
                <w:u w:val="none"/>
                <w:lang w:val="en-US" w:eastAsia="zh-CN" w:bidi="ar"/>
              </w:rPr>
              <w:t>钢，滑轮-PA。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短连接扁带</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成付快挂连</w:t>
            </w:r>
            <w:r>
              <w:rPr>
                <w:rStyle w:val="35"/>
                <w:sz w:val="20"/>
                <w:szCs w:val="20"/>
                <w:lang w:val="en-US" w:eastAsia="zh-CN" w:bidi="ar"/>
              </w:rPr>
              <w:t>接扁带，长度</w:t>
            </w:r>
            <w:r>
              <w:rPr>
                <w:rStyle w:val="34"/>
                <w:rFonts w:ascii="宋体" w:hAnsi="宋体" w:eastAsia="宋体" w:cs="宋体"/>
                <w:sz w:val="32"/>
                <w:szCs w:val="32"/>
                <w:lang w:val="en-US" w:eastAsia="zh-CN" w:bidi="ar"/>
              </w:rPr>
              <w:t>≧</w:t>
            </w:r>
            <w:r>
              <w:rPr>
                <w:rStyle w:val="35"/>
                <w:sz w:val="20"/>
                <w:szCs w:val="20"/>
                <w:lang w:val="en-US" w:eastAsia="zh-CN" w:bidi="ar"/>
              </w:rPr>
              <w:t>11cm，宽度</w:t>
            </w:r>
            <w:r>
              <w:rPr>
                <w:rStyle w:val="34"/>
                <w:rFonts w:ascii="宋体" w:hAnsi="宋体" w:eastAsia="宋体" w:cs="宋体"/>
                <w:sz w:val="32"/>
                <w:szCs w:val="32"/>
                <w:lang w:val="en-US" w:eastAsia="zh-CN" w:bidi="ar"/>
              </w:rPr>
              <w:t>≧</w:t>
            </w:r>
            <w:r>
              <w:rPr>
                <w:rStyle w:val="35"/>
                <w:sz w:val="20"/>
                <w:szCs w:val="20"/>
                <w:lang w:val="en-US" w:eastAsia="zh-CN" w:bidi="ar"/>
              </w:rPr>
              <w:t>16mm，拉力：</w:t>
            </w:r>
            <w:r>
              <w:rPr>
                <w:rStyle w:val="34"/>
                <w:rFonts w:ascii="宋体" w:hAnsi="宋体" w:eastAsia="宋体" w:cs="宋体"/>
                <w:sz w:val="32"/>
                <w:szCs w:val="32"/>
                <w:lang w:val="en-US" w:eastAsia="zh-CN" w:bidi="ar"/>
              </w:rPr>
              <w:t>≧</w:t>
            </w:r>
            <w:r>
              <w:rPr>
                <w:rStyle w:val="35"/>
                <w:sz w:val="20"/>
                <w:szCs w:val="20"/>
                <w:lang w:val="en-US" w:eastAsia="zh-CN" w:bidi="ar"/>
              </w:rPr>
              <w:t>22KN，重量</w:t>
            </w:r>
            <w:r>
              <w:rPr>
                <w:rStyle w:val="34"/>
                <w:rFonts w:ascii="宋体" w:hAnsi="宋体" w:eastAsia="宋体" w:cs="宋体"/>
                <w:sz w:val="32"/>
                <w:szCs w:val="32"/>
                <w:lang w:val="en-US" w:eastAsia="zh-CN" w:bidi="ar"/>
              </w:rPr>
              <w:t>≧</w:t>
            </w:r>
            <w:r>
              <w:rPr>
                <w:rStyle w:val="35"/>
                <w:sz w:val="20"/>
                <w:szCs w:val="20"/>
                <w:lang w:val="en-US" w:eastAsia="zh-CN" w:bidi="ar"/>
              </w:rPr>
              <w:t>16g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三阶段自动锁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50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不对称锁扣由铝镁合金制成。它具有D形，特别适合连接到各种设备，例如下降器或定位挂绳。其流畅的内部设计和Keylock系统便于操作，H形锻造横截面，确保更高的强度重量比，保护标记免受磨损，防勾挂锁门设计，避免了登山扣的任何非自愿卡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O型2重自动主锁</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铝合金O型大开口自动主锁，设计用于树上作业、探洞和工业救援：O形锁适合滑轮和上升器的定位，</w:t>
            </w:r>
            <w:r>
              <w:rPr>
                <w:rStyle w:val="35"/>
                <w:sz w:val="20"/>
                <w:szCs w:val="20"/>
                <w:lang w:val="en-US" w:eastAsia="zh-CN" w:bidi="ar"/>
              </w:rPr>
              <w:t>适合与单滑轮配合使用，用于保护站、提拉和救援作业。防钩挂锁鼻防止在扣入和取出设备时发生钩挂，单手即可操作。重量：</w:t>
            </w:r>
            <w:r>
              <w:rPr>
                <w:rStyle w:val="34"/>
                <w:rFonts w:ascii="宋体" w:hAnsi="宋体" w:eastAsia="宋体" w:cs="宋体"/>
                <w:sz w:val="32"/>
                <w:szCs w:val="32"/>
                <w:lang w:val="en-US" w:eastAsia="zh-CN" w:bidi="ar"/>
              </w:rPr>
              <w:t>≧</w:t>
            </w:r>
            <w:r>
              <w:rPr>
                <w:rStyle w:val="35"/>
                <w:sz w:val="20"/>
                <w:szCs w:val="20"/>
                <w:lang w:val="en-US" w:eastAsia="zh-CN" w:bidi="ar"/>
              </w:rPr>
              <w:t>76g，拉力：28-11-7 KN，开口尺寸：</w:t>
            </w:r>
            <w:r>
              <w:rPr>
                <w:rStyle w:val="34"/>
                <w:rFonts w:ascii="宋体" w:hAnsi="宋体" w:eastAsia="宋体" w:cs="宋体"/>
                <w:sz w:val="32"/>
                <w:szCs w:val="32"/>
                <w:lang w:val="en-US" w:eastAsia="zh-CN" w:bidi="ar"/>
              </w:rPr>
              <w:t>≧</w:t>
            </w:r>
            <w:r>
              <w:rPr>
                <w:rStyle w:val="35"/>
                <w:sz w:val="20"/>
                <w:szCs w:val="20"/>
                <w:lang w:val="en-US" w:eastAsia="zh-CN" w:bidi="ar"/>
              </w:rPr>
              <w:t>20mm，长度：</w:t>
            </w:r>
            <w:r>
              <w:rPr>
                <w:rStyle w:val="34"/>
                <w:rFonts w:ascii="宋体" w:hAnsi="宋体" w:eastAsia="宋体" w:cs="宋体"/>
                <w:sz w:val="32"/>
                <w:szCs w:val="32"/>
                <w:lang w:val="en-US" w:eastAsia="zh-CN" w:bidi="ar"/>
              </w:rPr>
              <w:t>≧</w:t>
            </w:r>
            <w:r>
              <w:rPr>
                <w:rStyle w:val="35"/>
                <w:sz w:val="20"/>
                <w:szCs w:val="20"/>
                <w:lang w:val="en-US" w:eastAsia="zh-CN" w:bidi="ar"/>
              </w:rPr>
              <w:t>110mm。双动锁锁定套筒上有粗糙的凹槽，易于操作倾斜的keyLock锁鼻，可平稳夹住和松开热锻工字梁结构使登山扣极为坚固，坚固和轻便几乎呈椭圆形的形状，使登山扣易于在连接处调转（锚点或扁带）由于椭圆形，连接滑轮时力对称分布较大的绳索承重区域，可更好地滑动绳索并减少登山扣的磨损每个登山扣都经过单独测试，强度为</w:t>
            </w:r>
            <w:r>
              <w:rPr>
                <w:rStyle w:val="34"/>
                <w:rFonts w:ascii="宋体" w:hAnsi="宋体" w:eastAsia="宋体" w:cs="宋体"/>
                <w:sz w:val="32"/>
                <w:szCs w:val="32"/>
                <w:lang w:val="en-US" w:eastAsia="zh-CN" w:bidi="ar"/>
              </w:rPr>
              <w:t>≧</w:t>
            </w:r>
            <w:r>
              <w:rPr>
                <w:rStyle w:val="35"/>
                <w:sz w:val="20"/>
                <w:szCs w:val="20"/>
                <w:lang w:val="en-US" w:eastAsia="zh-CN" w:bidi="ar"/>
              </w:rPr>
              <w:t>10 kN唯一的生产编号纵向拉力：</w:t>
            </w:r>
            <w:r>
              <w:rPr>
                <w:rStyle w:val="34"/>
                <w:rFonts w:ascii="宋体" w:hAnsi="宋体" w:eastAsia="宋体" w:cs="宋体"/>
                <w:sz w:val="32"/>
                <w:szCs w:val="32"/>
                <w:lang w:val="en-US" w:eastAsia="zh-CN" w:bidi="ar"/>
              </w:rPr>
              <w:t>≧</w:t>
            </w:r>
            <w:r>
              <w:rPr>
                <w:rStyle w:val="35"/>
                <w:sz w:val="20"/>
                <w:szCs w:val="20"/>
                <w:lang w:val="en-US" w:eastAsia="zh-CN" w:bidi="ar"/>
              </w:rPr>
              <w:t>26 kN/横向拉力：</w:t>
            </w:r>
            <w:r>
              <w:rPr>
                <w:rStyle w:val="34"/>
                <w:rFonts w:ascii="宋体" w:hAnsi="宋体" w:eastAsia="宋体" w:cs="宋体"/>
                <w:sz w:val="32"/>
                <w:szCs w:val="32"/>
                <w:lang w:val="en-US" w:eastAsia="zh-CN" w:bidi="ar"/>
              </w:rPr>
              <w:t>≧</w:t>
            </w:r>
            <w:r>
              <w:rPr>
                <w:rStyle w:val="35"/>
                <w:sz w:val="20"/>
                <w:szCs w:val="20"/>
                <w:lang w:val="en-US" w:eastAsia="zh-CN" w:bidi="ar"/>
              </w:rPr>
              <w:t>8 kN/开口拉力：</w:t>
            </w:r>
            <w:r>
              <w:rPr>
                <w:rStyle w:val="34"/>
                <w:rFonts w:ascii="宋体" w:hAnsi="宋体" w:eastAsia="宋体" w:cs="宋体"/>
                <w:sz w:val="32"/>
                <w:szCs w:val="32"/>
                <w:lang w:val="en-US" w:eastAsia="zh-CN" w:bidi="ar"/>
              </w:rPr>
              <w:t>≧</w:t>
            </w:r>
            <w:r>
              <w:rPr>
                <w:rStyle w:val="35"/>
                <w:sz w:val="20"/>
                <w:szCs w:val="20"/>
                <w:lang w:val="en-US" w:eastAsia="zh-CN" w:bidi="ar"/>
              </w:rPr>
              <w:t>7 kN/开口大小：</w:t>
            </w:r>
            <w:r>
              <w:rPr>
                <w:rStyle w:val="34"/>
                <w:rFonts w:ascii="宋体" w:hAnsi="宋体" w:eastAsia="宋体" w:cs="宋体"/>
                <w:sz w:val="32"/>
                <w:szCs w:val="32"/>
                <w:lang w:val="en-US" w:eastAsia="zh-CN" w:bidi="ar"/>
              </w:rPr>
              <w:t>≧</w:t>
            </w:r>
            <w:r>
              <w:rPr>
                <w:rStyle w:val="35"/>
                <w:sz w:val="20"/>
                <w:szCs w:val="20"/>
                <w:lang w:val="en-US" w:eastAsia="zh-CN" w:bidi="ar"/>
              </w:rPr>
              <w:t>21 mm/重量：</w:t>
            </w:r>
            <w:r>
              <w:rPr>
                <w:rStyle w:val="34"/>
                <w:rFonts w:ascii="宋体" w:hAnsi="宋体" w:eastAsia="宋体" w:cs="宋体"/>
                <w:sz w:val="32"/>
                <w:szCs w:val="32"/>
                <w:lang w:val="en-US" w:eastAsia="zh-CN" w:bidi="ar"/>
              </w:rPr>
              <w:t>≧</w:t>
            </w:r>
            <w:r>
              <w:rPr>
                <w:rStyle w:val="35"/>
                <w:sz w:val="20"/>
                <w:szCs w:val="20"/>
                <w:lang w:val="en-US" w:eastAsia="zh-CN" w:bidi="ar"/>
              </w:rPr>
              <w:t>81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提拉套装</w:t>
            </w:r>
          </w:p>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b/>
                <w:bCs/>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省力系统具有体积小、重量轻、集成系统（部件不容易丢失）、携带方便等特点。它具有极其紧凑的高效双向双滑轮组，仅需要颠倒悬挂的方向（上下）就可以根据需要拥有4:1或5:1的机械省力系统。主要用途（1）救援人员进行担架升降护送；（2）高层绳索牵拉作业（3）快速调整绳索系统方向整套系统包含：万向滑轮装置（1个蓝色和1个橙色）万向滑轮插销直径8mm长度15m的绳索，绳端缝合套圈；</w:t>
            </w:r>
            <w:r>
              <w:rPr>
                <w:rStyle w:val="35"/>
                <w:sz w:val="20"/>
                <w:szCs w:val="20"/>
                <w:lang w:val="en-US" w:eastAsia="zh-CN" w:bidi="ar"/>
              </w:rPr>
              <w:t>抓结绳(6mm) 1根蓝色和1根橙色；长绳圈(6mm) 1根蓝色；器材包1个。滑轮技术参数：最小破坏力：</w:t>
            </w:r>
            <w:r>
              <w:rPr>
                <w:rStyle w:val="34"/>
                <w:rFonts w:ascii="宋体" w:hAnsi="宋体" w:eastAsia="宋体" w:cs="宋体"/>
                <w:sz w:val="32"/>
                <w:szCs w:val="32"/>
                <w:lang w:val="en-US" w:eastAsia="zh-CN" w:bidi="ar"/>
              </w:rPr>
              <w:t>≧</w:t>
            </w:r>
            <w:r>
              <w:rPr>
                <w:rStyle w:val="35"/>
                <w:sz w:val="20"/>
                <w:szCs w:val="20"/>
                <w:lang w:val="en-US" w:eastAsia="zh-CN" w:bidi="ar"/>
              </w:rPr>
              <w:t>36KN工作负荷：提拉人3KN提拉物体：</w:t>
            </w:r>
            <w:r>
              <w:rPr>
                <w:rStyle w:val="34"/>
                <w:rFonts w:ascii="宋体" w:hAnsi="宋体" w:eastAsia="宋体" w:cs="宋体"/>
                <w:sz w:val="32"/>
                <w:szCs w:val="32"/>
                <w:lang w:val="en-US" w:eastAsia="zh-CN" w:bidi="ar"/>
              </w:rPr>
              <w:t>≧</w:t>
            </w:r>
            <w:r>
              <w:rPr>
                <w:rStyle w:val="35"/>
                <w:sz w:val="20"/>
                <w:szCs w:val="20"/>
                <w:lang w:val="en-US" w:eastAsia="zh-CN" w:bidi="ar"/>
              </w:rPr>
              <w:t>5KN最大绳索尺寸：</w:t>
            </w:r>
            <w:r>
              <w:rPr>
                <w:rStyle w:val="34"/>
                <w:rFonts w:ascii="宋体" w:hAnsi="宋体" w:eastAsia="宋体" w:cs="宋体"/>
                <w:sz w:val="32"/>
                <w:szCs w:val="32"/>
                <w:lang w:val="en-US" w:eastAsia="zh-CN" w:bidi="ar"/>
              </w:rPr>
              <w:t>≧</w:t>
            </w:r>
            <w:r>
              <w:rPr>
                <w:rStyle w:val="35"/>
                <w:sz w:val="20"/>
                <w:szCs w:val="20"/>
                <w:lang w:val="en-US" w:eastAsia="zh-CN" w:bidi="ar"/>
              </w:rPr>
              <w:t>8mm滑轮直径：</w:t>
            </w:r>
            <w:r>
              <w:rPr>
                <w:rStyle w:val="34"/>
                <w:rFonts w:ascii="宋体" w:hAnsi="宋体" w:eastAsia="宋体" w:cs="宋体"/>
                <w:sz w:val="32"/>
                <w:szCs w:val="32"/>
                <w:lang w:val="en-US" w:eastAsia="zh-CN" w:bidi="ar"/>
              </w:rPr>
              <w:t>≧</w:t>
            </w:r>
            <w:r>
              <w:rPr>
                <w:rStyle w:val="35"/>
                <w:sz w:val="20"/>
                <w:szCs w:val="20"/>
                <w:lang w:val="en-US" w:eastAsia="zh-CN" w:bidi="ar"/>
              </w:rPr>
              <w:t>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机械抓结★</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开启凸轮式抓绳器，人体工程设计，操作简单，设计用于提拉系统或防回跑系统。可开启、定向的凸轮，可以轻松地在绳索的任意位置安装或取下。开关闸上有未关闭指示；大连接孔，方便锁扣旋转；集成凸轮弹簧，避免意外卡结，增加耐用性；重</w:t>
            </w:r>
            <w:r>
              <w:rPr>
                <w:rStyle w:val="35"/>
                <w:sz w:val="20"/>
                <w:szCs w:val="20"/>
                <w:lang w:val="en-US" w:eastAsia="zh-CN" w:bidi="ar"/>
              </w:rPr>
              <w:t>量</w:t>
            </w:r>
            <w:r>
              <w:rPr>
                <w:rStyle w:val="34"/>
                <w:rFonts w:ascii="宋体" w:hAnsi="宋体" w:eastAsia="宋体" w:cs="宋体"/>
                <w:sz w:val="32"/>
                <w:szCs w:val="32"/>
                <w:lang w:val="en-US" w:eastAsia="zh-CN" w:bidi="ar"/>
              </w:rPr>
              <w:t>≧</w:t>
            </w:r>
            <w:r>
              <w:rPr>
                <w:rStyle w:val="35"/>
                <w:sz w:val="20"/>
                <w:szCs w:val="20"/>
                <w:lang w:val="en-US" w:eastAsia="zh-CN" w:bidi="ar"/>
              </w:rPr>
              <w:t>260g，</w:t>
            </w:r>
            <w:r>
              <w:rPr>
                <w:rFonts w:hint="eastAsia" w:ascii="宋体" w:hAnsi="宋体" w:eastAsia="宋体" w:cs="宋体"/>
                <w:i w:val="0"/>
                <w:iCs w:val="0"/>
                <w:color w:val="000000"/>
                <w:kern w:val="0"/>
                <w:sz w:val="20"/>
                <w:szCs w:val="20"/>
                <w:u w:val="none"/>
                <w:lang w:val="en-US" w:eastAsia="zh-CN" w:bidi="ar"/>
              </w:rPr>
              <w:t>绳索兼容9-13mm；</w:t>
            </w:r>
          </w:p>
        </w:tc>
      </w:tr>
    </w:tbl>
    <w:p>
      <w:pPr>
        <w:pStyle w:val="2"/>
        <w:ind w:left="0" w:leftChars="0" w:firstLine="0" w:firstLineChars="0"/>
        <w:rPr>
          <w:b/>
          <w:spacing w:val="-1"/>
          <w:sz w:val="36"/>
        </w:rPr>
      </w:pPr>
    </w:p>
    <w:tbl>
      <w:tblPr>
        <w:tblStyle w:val="18"/>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8"/>
        <w:gridCol w:w="1398"/>
        <w:gridCol w:w="857"/>
        <w:gridCol w:w="6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92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包三：（4）危化品攻坚组器材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装备</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小型多功能挖掘机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整机重量不超过1700kg运输长度不超过3160/1100/2380mm行走速度不小于4km每小时挖掘深度≥2100mm挖掘高度≥2200mm挖掘半径≥3500mm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特级防化服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满足XF770-2008标准；提供国家级消防装备检测报告或认证证书；2、颜色为绿色或蓝色；3、化学灾害现场或生化恐怖袭击现场处置生化毒剂时的全身防护。4、具有气密性，对军用芥子气、沙林、强酸强碱和工业苯的防护时间≥1h。5、由杜邦材质制成，连体全密封设计，与空气呼吸器配套使用，能有效地将各种化学物质阻隔，含防化手套和防化靴。6、防酸渗透性能：（10mmX1h）防碱渗透性能：（10mmX1h）适用温度范围：-50℃ 到 60℃。 储存温度范围：-5℃到25℃。阻燃性能，损毁长度&lt;10cm，续燃时间&lt;2s，阴燃时间&lt;10se且无溶滴。气密性能（1650Pa+50Pa，6min）压降&lt;300Pa。配空气呼吸器接口。7、尺寸必须按照用户要求供货。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防化手套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满足XF770-2008标准；提供国家级消防装备检测报告或认证证书；2、化学灾害事故现场作业时的手部和腕部防护，面料和接缝部位抗化学品渗透时间≥60分钟；3、具备耐热、绝缘，有极强的防水防酸、碱及各种溶剂的性能；耐穿刺力≥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防化靴</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满足XF770-2008标准；提供国家级消防装备检测报告或认证证书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便携危险化学品检测片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室温2-25摄氏度）下失效时间：≥20小时2、佩戴于手腕脚腕上臂等，通过测试片的颜色变化探测周围环境中的有毒化学气体或蒸汽3、整套配置：臂带、测试片夹子、检测片50个以上，包装小袋子。4、测试片种类：强酸强碱等不少于6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手持测温仪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1、手持式，非接触测量物体温度；2、测温范围：-50℃-900℃；3、LCD电子显示当时温度，可预设高、低温危险声音报警（中文操作界面）；4、提供中文详细使用说明书（含主要参数、加盖生产或代理企业印章）。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有毒气体检测仪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便携手持式有毒气体探测仪，配备高清高亮度显示器，内置泵吸式测量（流量≥500毫升/分钟），采样距离10米以上，可存储数据不少于10万条，中文操作界面；2、检测气体范围包括一氧化碳CO、硫化氢H2S、氧气O2、可燃气体Ex等；3、检测气体不低于以下范围：CO（0～1000ppm）、H2S（0～100ppm）、O2（0～30%Vol）、Ex（0～100%LEL）；4、检测气体分辨率不低于以下范围：CO（0.1ppm）、H2S（0.01ppm）、O2（0.01%Vol）、Ex（0.1%LEL）；5、检测精度≤±2%（F.S）；6、报警方式：声光报警、振动报警、视觉报警、声光+振动+视觉报警、关闭报警，响应时间≤20秒，恢复时间≤30秒；7、带过充、过放、过压、过热、短路保护功能；8、防爆等级≥Exia II CT6，防护等级≥IP66；9、整套设备包括探测仪、湿度粉尘过滤器、便携箱等，整机重量≤350g；10、提供中文详细使用说明书（含主要参数、加盖生产或代理企业印章）。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漏电探测仪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用于探测电源泄漏位置，尺寸不超过：106mm*75mm*38mm，重量≤0.5kg；2、可探测120V/60Hz或220V/50Hz、7.2KV/Hz或15Kv/50Hz；3、带彩色显示屏，声光报警、温度显示、电量显示；4、使用锂电池驱动，持续使用时间380min；5、具有声光报警功能；6、提供中文详细使用说明书（含主要参数、加盖生产或代理企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激光测距仪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具备测距、测高、测角、测速等功能，整机净重不超过172g；2、测距范围不低于3-1500米，300米内测量误差≤0.5米，300米以上测量误差≤1米；3、测角范围不低于-90°-+90°，测角误差不高于土1°；4、测速范围不低于10-300公里/小时，测速误差不高于5公里/小时；5、视野范围8°，放大倍数不低于7倍；6、物镜孔径25mm，目镜孔径不低于16mm；7、提供中文详细使用说明书（含主要参数、加盖生产或代理企业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高压强磁堵漏装置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各种罐体和管道表面点状、线状泄漏的堵漏作业，全套设备包括磁压器、极靴、防爆片、胶和铝合金携带箱等；2、最大吸附力≥300kg，堵漏温度≥80°，堵漏压力≥0.8Mpa，符合Q/FY001-2012《堵漏工具》标准；3、提供产品相关认证书或国家级检测报告文印件，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内封式堵漏袋（4种）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1、由防腐橡胶制成，化学耐药性中等，工作压力≥0.15MPa，封堵压力≥0.1MPa。2、配有快速充气接口，连接头为实心黄铜材质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外封式堵漏袋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提供国家消防装备质量监督检验中心或其他具有相应资质的第三方检测机构出具的检验报告和消防产品认证书2、设备由脚踏气泵、堵漏垫、捆扎带、气管、携行箱子组成；3、脚踏泵工作压力≥0.2mpa，充气时间≤60S；4、堵漏垫工作压力≥0.2mpa，可封堵泄漏介质的最大压力≥0.15Mpa；5、气管长度≥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头骨震动式通讯装置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10</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消防队员佩戴空气呼吸器及重型防化服时正常通话，在保持通话时解放消防队员双手，利于灭火救援作业。2、与头盔一体化佩戴。3、在高噪音环境下正常通话。4、防水、耐温、抗酸碱，能在一20度~+75度之间正常使用。防水防尘：IP54。5、按键寿命：≥30万次，电磁干扰：GT/T17626.3，3级，电线单体负重≥10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手动隔膜抽吸泵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1、排液量≥50L/min，最大吸入颗粒直径≥10mm；2、防爆、防腐蚀；3、配备进水管、排水管各1根，长度≥2米4、提供产品相关认证书或国家级检测报告，配备详细的中文说明书。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防爆输转泵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1、水轮机驱动，防爆、防腐蚀，吸附、转输各种液体；                                                      2、排液量≥400L/min，最大吸入颗粒直径≥5mm；                                                           3、进出水口直径65mm，内扣式接口；                                                                     4、吸排液口径50mm，工作压力≤0.3mpa。                                                        5、提供产品相关认证书或国家级检测报告，配备详细的中文说明书。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粘稠液体抽吸泵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用于抽取有毒有害及粘稠液体，防爆、防腐蚀，循环风冷；2、220V交流电驱动，功率≥2kw；3、最大抽吸深度≥4米；4、抽吸流量≥5000L/h，最大吸入颗粒直径≥10mm；5、出液口直径50mm，内扣式接口。6、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排污泵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1、流量：≥800立方米每小时2、电机功率：≥55km3、转速≥2900r/min4、介质温：≥100摄氏度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有毒物质密封桶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1、用于收集并转运有毒物体、液体及有毒有害物质；                                                2、高密度聚乙烯材质，带旋盖；                                                                  3、容量≥60L；                                                                                  4、配备带有万向轮的底座，可拖拽行驶。                                                       5、提供产品相关认证书或国家级检测报告，配备详细的中文说明书。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围油栏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1、用于陆地及水面，防止油类及污水蔓延，防腐材料制成；                                                    2、长度≥100米，填充高度≥25cm，每段设置充气和供水接口，并带截止阀。                          3、提供产品相关认证书或国家级检测报告，配备详细的中文说明书。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吸附垫</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1、吸附各类液体包括油污、强酸强碱等任何有害危险液体。吸收表面积大，松软而有弹性，不易分层脱落，吸液速度快，适合大小面积抛散或铺设；                                                                                                       2、配备便携箱，内置100片吸附垫。适用于清理、围堵、预防任何可能出现的油液和化学品泄漏的区域，包括生产制造业、运输业、石油化工业、海上紧急救援、港口、航空、消防、医疗业、能源电力业、食品加工业等任何需要清除泄漏液体的场所。                                                                                3、提供产品相关认证书或国家级检测报告，配备详细的中文说明书。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集污袋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1、暂时存放酸、碱及油类液体，材料耐酸碱。2、产品符合国家有关技术标准。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22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粘帖式堵漏工具组</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堵漏温度≤2000℃工作压力≤2Mpa抗压能力≤10Mpa耐化学性质：水、油、气、盐、碱、稀酸类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23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小型（四旋翼）无人机(双光版)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w:t>
            </w:r>
          </w:p>
        </w:tc>
        <w:tc>
          <w:tcPr>
            <w:tcW w:w="6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含飞行器、电池、DJI带屏遥控器、喊话器、探照灯、夜航灯、安全保护箱双光相机（640×512分辨率热成像相机和1/2英寸CMOS传感器4800万像素可见光相机）支持网络RTK模式支持10km图传</w:t>
            </w:r>
          </w:p>
        </w:tc>
      </w:tr>
    </w:tbl>
    <w:p>
      <w:pPr>
        <w:pStyle w:val="2"/>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pacing w:val="-1"/>
          <w:sz w:val="36"/>
        </w:rPr>
      </w:pPr>
    </w:p>
    <w:p>
      <w:pPr>
        <w:spacing w:before="50"/>
        <w:ind w:right="608" w:firstLine="3594" w:firstLineChars="1000"/>
        <w:jc w:val="both"/>
        <w:rPr>
          <w:b/>
          <w:sz w:val="36"/>
        </w:rPr>
      </w:pPr>
      <w:bookmarkStart w:id="0" w:name="_GoBack"/>
      <w:bookmarkEnd w:id="0"/>
      <w:r>
        <w:rPr>
          <w:b/>
          <w:spacing w:val="-1"/>
          <w:sz w:val="36"/>
        </w:rPr>
        <w:t>第七部分 商务部分</w:t>
      </w:r>
    </w:p>
    <w:p>
      <w:pPr>
        <w:spacing w:before="191"/>
        <w:ind w:left="0" w:right="613" w:firstLine="0"/>
        <w:jc w:val="center"/>
        <w:rPr>
          <w:b/>
          <w:sz w:val="32"/>
        </w:rPr>
      </w:pPr>
      <w:r>
        <w:rPr>
          <w:b/>
          <w:spacing w:val="-3"/>
          <w:sz w:val="32"/>
        </w:rPr>
        <w:t>第一章 合同一般条款</w:t>
      </w:r>
    </w:p>
    <w:p>
      <w:pPr>
        <w:pStyle w:val="2"/>
        <w:numPr>
          <w:ilvl w:val="0"/>
          <w:numId w:val="22"/>
        </w:numPr>
        <w:tabs>
          <w:tab w:val="left" w:pos="1479"/>
        </w:tabs>
        <w:spacing w:before="186" w:after="0" w:line="240" w:lineRule="auto"/>
        <w:ind w:left="1478" w:right="0" w:hanging="362"/>
        <w:jc w:val="left"/>
        <w:rPr>
          <w:b/>
          <w:sz w:val="24"/>
        </w:rPr>
      </w:pPr>
      <w:r>
        <w:rPr>
          <w:b/>
          <w:sz w:val="24"/>
        </w:rPr>
        <w:t>定义</w:t>
      </w:r>
    </w:p>
    <w:p>
      <w:pPr>
        <w:pStyle w:val="2"/>
        <w:numPr>
          <w:ilvl w:val="1"/>
          <w:numId w:val="22"/>
        </w:numPr>
        <w:tabs>
          <w:tab w:val="left" w:pos="1591"/>
        </w:tabs>
        <w:spacing w:before="160" w:after="0" w:line="364" w:lineRule="auto"/>
        <w:ind w:left="637" w:right="1226" w:firstLine="480"/>
        <w:jc w:val="both"/>
        <w:rPr>
          <w:sz w:val="24"/>
        </w:rPr>
      </w:pPr>
      <w:r>
        <w:rPr>
          <w:spacing w:val="-3"/>
          <w:sz w:val="24"/>
        </w:rPr>
        <w:t>“合同”系指买方和卖方(以下简称合同双方)已达成的协议，即由双方签</w:t>
      </w:r>
      <w:r>
        <w:rPr>
          <w:spacing w:val="-4"/>
          <w:sz w:val="24"/>
        </w:rPr>
        <w:t>订的合同格式文件，包括所有的招标文件、投标文件、招标答疑纪录、澄清说明、</w:t>
      </w:r>
      <w:r>
        <w:rPr>
          <w:sz w:val="24"/>
        </w:rPr>
        <w:t>附件、附录和组成合同的所有其他文件。</w:t>
      </w:r>
    </w:p>
    <w:p>
      <w:pPr>
        <w:pStyle w:val="2"/>
        <w:numPr>
          <w:ilvl w:val="1"/>
          <w:numId w:val="22"/>
        </w:numPr>
        <w:tabs>
          <w:tab w:val="left" w:pos="1593"/>
        </w:tabs>
        <w:spacing w:before="90" w:after="0" w:line="364" w:lineRule="auto"/>
        <w:ind w:left="637" w:right="1249" w:firstLine="480"/>
        <w:jc w:val="left"/>
        <w:rPr>
          <w:sz w:val="24"/>
        </w:rPr>
      </w:pPr>
      <w:r>
        <w:rPr>
          <w:spacing w:val="-4"/>
          <w:sz w:val="24"/>
        </w:rPr>
        <w:t>“合同价格”系指根据合同规定，在卖方全面正确地履行合同义务时，买</w:t>
      </w:r>
      <w:r>
        <w:rPr>
          <w:sz w:val="24"/>
        </w:rPr>
        <w:t>方应支付给卖方的款项。</w:t>
      </w:r>
    </w:p>
    <w:p>
      <w:pPr>
        <w:pStyle w:val="2"/>
        <w:numPr>
          <w:ilvl w:val="1"/>
          <w:numId w:val="22"/>
        </w:numPr>
        <w:tabs>
          <w:tab w:val="left" w:pos="1593"/>
        </w:tabs>
        <w:spacing w:before="1" w:after="0" w:line="364" w:lineRule="auto"/>
        <w:ind w:left="637" w:right="1249" w:firstLine="480"/>
        <w:jc w:val="left"/>
        <w:rPr>
          <w:sz w:val="24"/>
        </w:rPr>
      </w:pPr>
      <w:r>
        <w:rPr>
          <w:spacing w:val="-6"/>
          <w:sz w:val="24"/>
        </w:rPr>
        <w:t>“货物”系指卖方按合同要求，须向买方提供的一切设备、机械、仪器仪</w:t>
      </w:r>
      <w:r>
        <w:rPr>
          <w:sz w:val="24"/>
        </w:rPr>
        <w:t>表、备品备件、工具、手册、其它技术资料和其它材料。</w:t>
      </w:r>
    </w:p>
    <w:p>
      <w:pPr>
        <w:pStyle w:val="2"/>
        <w:numPr>
          <w:ilvl w:val="1"/>
          <w:numId w:val="22"/>
        </w:numPr>
        <w:tabs>
          <w:tab w:val="left" w:pos="1593"/>
        </w:tabs>
        <w:spacing w:before="1" w:after="0" w:line="364" w:lineRule="auto"/>
        <w:ind w:left="637" w:right="1243" w:firstLine="480"/>
        <w:jc w:val="left"/>
        <w:rPr>
          <w:sz w:val="24"/>
        </w:rPr>
      </w:pPr>
      <w:r>
        <w:rPr>
          <w:spacing w:val="-5"/>
          <w:sz w:val="24"/>
        </w:rPr>
        <w:t>“服务”系指合同规定卖方必须承担的安装、调试、技术协助、校准、培</w:t>
      </w:r>
      <w:r>
        <w:rPr>
          <w:sz w:val="24"/>
        </w:rPr>
        <w:t>训以及其他类似义务。</w:t>
      </w:r>
    </w:p>
    <w:p>
      <w:pPr>
        <w:pStyle w:val="2"/>
        <w:numPr>
          <w:ilvl w:val="1"/>
          <w:numId w:val="22"/>
        </w:numPr>
        <w:tabs>
          <w:tab w:val="left" w:pos="1596"/>
        </w:tabs>
        <w:spacing w:before="1" w:after="0" w:line="364" w:lineRule="auto"/>
        <w:ind w:left="637" w:right="1240" w:firstLine="480"/>
        <w:jc w:val="left"/>
        <w:rPr>
          <w:sz w:val="24"/>
        </w:rPr>
      </w:pPr>
      <w:r>
        <w:rPr>
          <w:spacing w:val="-5"/>
          <w:sz w:val="24"/>
        </w:rPr>
        <w:t>“甲方”、“买方”、“招标方”均系指通过招标采购，接受合同货物及</w:t>
      </w:r>
      <w:r>
        <w:rPr>
          <w:sz w:val="24"/>
        </w:rPr>
        <w:t>服务的采购单位及</w:t>
      </w:r>
      <w:r>
        <w:rPr>
          <w:rFonts w:hint="eastAsia"/>
          <w:sz w:val="24"/>
        </w:rPr>
        <w:t>新疆正聚方企业管理咨询有限公司</w:t>
      </w:r>
      <w:r>
        <w:rPr>
          <w:sz w:val="24"/>
        </w:rPr>
        <w:t>。</w:t>
      </w:r>
    </w:p>
    <w:p>
      <w:pPr>
        <w:pStyle w:val="2"/>
        <w:numPr>
          <w:ilvl w:val="1"/>
          <w:numId w:val="22"/>
        </w:numPr>
        <w:tabs>
          <w:tab w:val="left" w:pos="1598"/>
        </w:tabs>
        <w:spacing w:before="2" w:after="0" w:line="240" w:lineRule="auto"/>
        <w:ind w:left="1597" w:right="0" w:hanging="481"/>
        <w:jc w:val="left"/>
        <w:rPr>
          <w:sz w:val="24"/>
        </w:rPr>
      </w:pPr>
      <w:r>
        <w:rPr>
          <w:sz w:val="24"/>
        </w:rPr>
        <w:t>“乙方”、“卖方”系指中标后提供合同货物和服务的经济实体。</w:t>
      </w:r>
    </w:p>
    <w:p>
      <w:pPr>
        <w:pStyle w:val="2"/>
        <w:numPr>
          <w:ilvl w:val="1"/>
          <w:numId w:val="22"/>
        </w:numPr>
        <w:tabs>
          <w:tab w:val="left" w:pos="1598"/>
        </w:tabs>
        <w:spacing w:before="160" w:after="0" w:line="240" w:lineRule="auto"/>
        <w:ind w:left="1597" w:right="0" w:hanging="481"/>
        <w:jc w:val="left"/>
        <w:rPr>
          <w:sz w:val="24"/>
        </w:rPr>
      </w:pPr>
      <w:r>
        <w:rPr>
          <w:sz w:val="24"/>
        </w:rPr>
        <w:t>“现场”系指将要进行货物安装和运转的地点。</w:t>
      </w:r>
    </w:p>
    <w:p>
      <w:pPr>
        <w:pStyle w:val="2"/>
        <w:numPr>
          <w:ilvl w:val="1"/>
          <w:numId w:val="22"/>
        </w:numPr>
        <w:tabs>
          <w:tab w:val="left" w:pos="1588"/>
        </w:tabs>
        <w:spacing w:before="161" w:after="0" w:line="364" w:lineRule="auto"/>
        <w:ind w:left="637" w:right="1249" w:firstLine="480"/>
        <w:jc w:val="left"/>
        <w:rPr>
          <w:sz w:val="24"/>
        </w:rPr>
      </w:pPr>
      <w:r>
        <w:rPr>
          <w:spacing w:val="-4"/>
          <w:sz w:val="24"/>
        </w:rPr>
        <w:t>“验收”系指买方依据技术参数规格规定接受合同货物所依据的程序和条</w:t>
      </w:r>
      <w:r>
        <w:rPr>
          <w:sz w:val="24"/>
        </w:rPr>
        <w:t>件。</w:t>
      </w:r>
    </w:p>
    <w:p>
      <w:pPr>
        <w:pStyle w:val="5"/>
        <w:numPr>
          <w:ilvl w:val="0"/>
          <w:numId w:val="22"/>
        </w:numPr>
        <w:tabs>
          <w:tab w:val="left" w:pos="1479"/>
        </w:tabs>
        <w:spacing w:before="1" w:after="0" w:line="240" w:lineRule="auto"/>
        <w:ind w:left="1478" w:right="0" w:hanging="362"/>
        <w:jc w:val="left"/>
      </w:pPr>
      <w:r>
        <w:t>适用范围</w:t>
      </w:r>
    </w:p>
    <w:p>
      <w:pPr>
        <w:pStyle w:val="2"/>
        <w:numPr>
          <w:ilvl w:val="1"/>
          <w:numId w:val="22"/>
        </w:numPr>
        <w:tabs>
          <w:tab w:val="left" w:pos="1598"/>
        </w:tabs>
        <w:spacing w:before="160" w:after="0" w:line="364" w:lineRule="auto"/>
        <w:ind w:left="1117" w:right="5066" w:firstLine="0"/>
        <w:jc w:val="left"/>
        <w:rPr>
          <w:b/>
          <w:sz w:val="24"/>
        </w:rPr>
      </w:pPr>
      <w:r>
        <w:rPr>
          <w:spacing w:val="-2"/>
          <w:sz w:val="24"/>
        </w:rPr>
        <w:t>本合同条款仅适用于本次招标活动。</w:t>
      </w:r>
      <w:r>
        <w:rPr>
          <w:b/>
          <w:sz w:val="24"/>
        </w:rPr>
        <w:t>3．原产地</w:t>
      </w:r>
    </w:p>
    <w:p>
      <w:pPr>
        <w:spacing w:before="2" w:line="364" w:lineRule="auto"/>
        <w:ind w:left="1117" w:right="3146" w:firstLine="0"/>
        <w:jc w:val="left"/>
        <w:rPr>
          <w:b/>
          <w:sz w:val="24"/>
        </w:rPr>
      </w:pPr>
      <w:r>
        <w:rPr>
          <w:sz w:val="24"/>
        </w:rPr>
        <w:t>3.1 原产地系指货物的生产地，或提供辅助服务的来源地。</w:t>
      </w:r>
      <w:r>
        <w:rPr>
          <w:b/>
          <w:sz w:val="24"/>
        </w:rPr>
        <w:t>4．技术规格和标准</w:t>
      </w:r>
    </w:p>
    <w:p>
      <w:pPr>
        <w:pStyle w:val="10"/>
        <w:spacing w:line="364" w:lineRule="auto"/>
        <w:ind w:right="1245" w:firstLine="480"/>
        <w:jc w:val="both"/>
      </w:pPr>
      <w:r>
        <w:t>4.1</w:t>
      </w:r>
      <w:r>
        <w:rPr>
          <w:spacing w:val="5"/>
        </w:rPr>
        <w:t xml:space="preserve"> 本合同项下所供货物的技术规格应与本谈判文件技术规格规定的标准相</w:t>
      </w:r>
      <w:r>
        <w:rPr>
          <w:spacing w:val="-5"/>
        </w:rPr>
        <w:t>一致。若技术规格中无相应规定，货物则应符合相应的国家标准或有关权威部门最</w:t>
      </w:r>
      <w:r>
        <w:t>新颁布的相应的正式标准。</w:t>
      </w:r>
    </w:p>
    <w:p>
      <w:pPr>
        <w:pStyle w:val="5"/>
        <w:numPr>
          <w:ilvl w:val="0"/>
          <w:numId w:val="23"/>
        </w:numPr>
        <w:tabs>
          <w:tab w:val="left" w:pos="1479"/>
        </w:tabs>
        <w:spacing w:before="2" w:after="0" w:line="240" w:lineRule="auto"/>
        <w:ind w:left="1478" w:right="0" w:hanging="362"/>
        <w:jc w:val="left"/>
      </w:pPr>
      <w:r>
        <w:t>专利权</w:t>
      </w:r>
    </w:p>
    <w:p>
      <w:pPr>
        <w:pStyle w:val="2"/>
        <w:numPr>
          <w:ilvl w:val="1"/>
          <w:numId w:val="23"/>
        </w:numPr>
        <w:tabs>
          <w:tab w:val="left" w:pos="1598"/>
        </w:tabs>
        <w:spacing w:before="160" w:after="0" w:line="364" w:lineRule="auto"/>
        <w:ind w:left="637" w:right="1249" w:firstLine="480"/>
        <w:jc w:val="both"/>
        <w:rPr>
          <w:sz w:val="24"/>
        </w:rPr>
      </w:pPr>
      <w:r>
        <w:rPr>
          <w:spacing w:val="-3"/>
          <w:sz w:val="24"/>
        </w:rPr>
        <w:t>卖方须保障买方在使用其提供的货物、服务及其任何部分时不受到第三方</w:t>
      </w:r>
      <w:r>
        <w:rPr>
          <w:spacing w:val="-4"/>
          <w:sz w:val="24"/>
        </w:rPr>
        <w:t>关于侵犯专利权、商标权或工业设计权的指控。任何第三方如果提出侵权指控，卖</w:t>
      </w:r>
      <w:r>
        <w:rPr>
          <w:sz w:val="24"/>
        </w:rPr>
        <w:t>方须与第三方交涉并承担由此而引起的一切法律责任和费用。</w:t>
      </w:r>
    </w:p>
    <w:p>
      <w:pPr>
        <w:pStyle w:val="5"/>
        <w:numPr>
          <w:ilvl w:val="0"/>
          <w:numId w:val="23"/>
        </w:numPr>
        <w:tabs>
          <w:tab w:val="left" w:pos="1479"/>
        </w:tabs>
        <w:spacing w:before="2" w:after="0" w:line="240" w:lineRule="auto"/>
        <w:ind w:left="1478" w:right="0" w:hanging="362"/>
        <w:jc w:val="left"/>
      </w:pPr>
      <w:r>
        <w:t>包装</w:t>
      </w:r>
    </w:p>
    <w:p>
      <w:pPr>
        <w:pStyle w:val="2"/>
        <w:numPr>
          <w:ilvl w:val="1"/>
          <w:numId w:val="23"/>
        </w:numPr>
        <w:tabs>
          <w:tab w:val="left" w:pos="1598"/>
        </w:tabs>
        <w:spacing w:before="90" w:after="0" w:line="364" w:lineRule="auto"/>
        <w:ind w:left="637" w:right="1249" w:firstLine="480"/>
        <w:jc w:val="left"/>
        <w:rPr>
          <w:sz w:val="24"/>
        </w:rPr>
      </w:pPr>
      <w:r>
        <w:rPr>
          <w:spacing w:val="-1"/>
          <w:sz w:val="24"/>
        </w:rPr>
        <w:t>除本合同另有规定之外，提供的全部货物须采用相应标准的保护措施进行</w:t>
      </w:r>
      <w:r>
        <w:rPr>
          <w:spacing w:val="-6"/>
          <w:sz w:val="24"/>
        </w:rPr>
        <w:t>包装。这种包装应适于空运和内陆运输，并有良好的防潮、防震、防锈和防野蛮装</w:t>
      </w:r>
      <w:r>
        <w:rPr>
          <w:spacing w:val="-4"/>
          <w:sz w:val="24"/>
        </w:rPr>
        <w:t>卸等保护措施，以确保货物安全运抵现场。卖方应承担由于其包装或其防护措施不</w:t>
      </w:r>
      <w:r>
        <w:rPr>
          <w:sz w:val="24"/>
        </w:rPr>
        <w:t>妥而引起货物锈蚀、损坏和丢失造成的任何损失或费用。</w:t>
      </w:r>
      <w:r>
        <w:rPr>
          <w:spacing w:val="-3"/>
          <w:sz w:val="24"/>
        </w:rPr>
        <w:t>每件包装应附有详细装箱单和质量证书各两套，一套在包装箱里，一套在</w:t>
      </w:r>
      <w:r>
        <w:rPr>
          <w:sz w:val="24"/>
        </w:rPr>
        <w:t>包装箱外。</w:t>
      </w:r>
    </w:p>
    <w:p>
      <w:pPr>
        <w:pStyle w:val="5"/>
        <w:numPr>
          <w:ilvl w:val="0"/>
          <w:numId w:val="23"/>
        </w:numPr>
        <w:tabs>
          <w:tab w:val="left" w:pos="1479"/>
        </w:tabs>
        <w:spacing w:before="1" w:after="0" w:line="240" w:lineRule="auto"/>
        <w:ind w:left="1478" w:right="0" w:hanging="362"/>
        <w:jc w:val="left"/>
      </w:pPr>
      <w:r>
        <w:t>运输标记</w:t>
      </w:r>
    </w:p>
    <w:p>
      <w:pPr>
        <w:pStyle w:val="2"/>
        <w:numPr>
          <w:ilvl w:val="1"/>
          <w:numId w:val="23"/>
        </w:numPr>
        <w:tabs>
          <w:tab w:val="left" w:pos="1538"/>
        </w:tabs>
        <w:spacing w:before="161" w:after="0" w:line="364" w:lineRule="auto"/>
        <w:ind w:left="637" w:right="1248" w:firstLine="480"/>
        <w:jc w:val="left"/>
        <w:rPr>
          <w:sz w:val="24"/>
        </w:rPr>
      </w:pPr>
      <w:r>
        <w:rPr>
          <w:spacing w:val="-1"/>
          <w:sz w:val="24"/>
        </w:rPr>
        <w:t>卖方应在每一包装箱邻接的四个侧面用不易褪色的油漆以醒目的中文印刷</w:t>
      </w:r>
      <w:r>
        <w:rPr>
          <w:sz w:val="24"/>
        </w:rPr>
        <w:t>字体标明以下各项：</w:t>
      </w:r>
    </w:p>
    <w:p>
      <w:pPr>
        <w:pStyle w:val="2"/>
        <w:numPr>
          <w:ilvl w:val="0"/>
          <w:numId w:val="24"/>
        </w:numPr>
        <w:tabs>
          <w:tab w:val="left" w:pos="1479"/>
        </w:tabs>
        <w:spacing w:before="1" w:after="0" w:line="240" w:lineRule="auto"/>
        <w:ind w:left="1478" w:right="0" w:hanging="362"/>
        <w:jc w:val="left"/>
        <w:rPr>
          <w:sz w:val="24"/>
        </w:rPr>
      </w:pPr>
      <w:r>
        <w:rPr>
          <w:sz w:val="24"/>
        </w:rPr>
        <w:t>收货人</w:t>
      </w:r>
    </w:p>
    <w:p>
      <w:pPr>
        <w:pStyle w:val="2"/>
        <w:numPr>
          <w:ilvl w:val="0"/>
          <w:numId w:val="24"/>
        </w:numPr>
        <w:tabs>
          <w:tab w:val="left" w:pos="1479"/>
        </w:tabs>
        <w:spacing w:before="160" w:after="0" w:line="240" w:lineRule="auto"/>
        <w:ind w:left="1478" w:right="0" w:hanging="362"/>
        <w:jc w:val="left"/>
        <w:rPr>
          <w:sz w:val="24"/>
        </w:rPr>
      </w:pPr>
      <w:r>
        <w:rPr>
          <w:sz w:val="24"/>
        </w:rPr>
        <w:t>合同号</w:t>
      </w:r>
    </w:p>
    <w:p>
      <w:pPr>
        <w:pStyle w:val="2"/>
        <w:numPr>
          <w:ilvl w:val="0"/>
          <w:numId w:val="24"/>
        </w:numPr>
        <w:tabs>
          <w:tab w:val="left" w:pos="1479"/>
        </w:tabs>
        <w:spacing w:before="161" w:after="0" w:line="364" w:lineRule="auto"/>
        <w:ind w:left="1117" w:right="7826" w:firstLine="0"/>
        <w:jc w:val="left"/>
        <w:rPr>
          <w:sz w:val="24"/>
        </w:rPr>
      </w:pPr>
      <w:r>
        <w:rPr>
          <w:spacing w:val="-4"/>
          <w:sz w:val="24"/>
        </w:rPr>
        <w:t>收货人代号</w:t>
      </w:r>
      <w:r>
        <w:rPr>
          <w:sz w:val="24"/>
        </w:rPr>
        <w:t>(4)目的地</w:t>
      </w:r>
    </w:p>
    <w:p>
      <w:pPr>
        <w:pStyle w:val="10"/>
        <w:spacing w:line="364" w:lineRule="auto"/>
        <w:ind w:left="1117" w:right="6146"/>
      </w:pPr>
      <w:r>
        <w:t>(5)货物的名称、品目号、箱号(6)毛重／净重(公斤)</w:t>
      </w:r>
    </w:p>
    <w:p>
      <w:pPr>
        <w:spacing w:before="1" w:line="364" w:lineRule="auto"/>
        <w:ind w:left="1117" w:right="5906" w:firstLine="0"/>
        <w:jc w:val="left"/>
        <w:rPr>
          <w:b/>
          <w:sz w:val="24"/>
        </w:rPr>
      </w:pPr>
      <w:r>
        <w:rPr>
          <w:sz w:val="24"/>
        </w:rPr>
        <w:t>(7)</w:t>
      </w:r>
      <w:r>
        <w:rPr>
          <w:spacing w:val="-12"/>
          <w:sz w:val="24"/>
        </w:rPr>
        <w:t xml:space="preserve">尺寸(长 </w:t>
      </w:r>
      <w:r>
        <w:rPr>
          <w:sz w:val="24"/>
        </w:rPr>
        <w:t>x</w:t>
      </w:r>
      <w:r>
        <w:rPr>
          <w:spacing w:val="-40"/>
          <w:sz w:val="24"/>
        </w:rPr>
        <w:t xml:space="preserve"> 宽 </w:t>
      </w:r>
      <w:r>
        <w:rPr>
          <w:sz w:val="24"/>
        </w:rPr>
        <w:t>x</w:t>
      </w:r>
      <w:r>
        <w:rPr>
          <w:spacing w:val="-10"/>
          <w:sz w:val="24"/>
        </w:rPr>
        <w:t xml:space="preserve"> 高，以厘米计) </w:t>
      </w:r>
      <w:r>
        <w:rPr>
          <w:b/>
          <w:sz w:val="24"/>
        </w:rPr>
        <w:t>8．卖方的交货价</w:t>
      </w:r>
    </w:p>
    <w:p>
      <w:pPr>
        <w:pStyle w:val="2"/>
        <w:numPr>
          <w:ilvl w:val="1"/>
          <w:numId w:val="25"/>
        </w:numPr>
        <w:tabs>
          <w:tab w:val="left" w:pos="1600"/>
        </w:tabs>
        <w:spacing w:before="1" w:after="0" w:line="364" w:lineRule="auto"/>
        <w:ind w:left="637" w:right="1226" w:firstLine="480"/>
        <w:jc w:val="both"/>
        <w:rPr>
          <w:sz w:val="24"/>
        </w:rPr>
      </w:pPr>
      <w:r>
        <w:rPr>
          <w:spacing w:val="-4"/>
          <w:sz w:val="24"/>
        </w:rPr>
        <w:t xml:space="preserve">卖方应在合同规定的交货期前 </w:t>
      </w:r>
      <w:r>
        <w:rPr>
          <w:sz w:val="24"/>
        </w:rPr>
        <w:t>10</w:t>
      </w:r>
      <w:r>
        <w:rPr>
          <w:spacing w:val="-5"/>
          <w:sz w:val="24"/>
        </w:rPr>
        <w:t xml:space="preserve"> 天以电报、传真或电传等方式通知买方</w:t>
      </w:r>
      <w:r>
        <w:rPr>
          <w:spacing w:val="-6"/>
          <w:sz w:val="24"/>
        </w:rPr>
        <w:t>合同号、货物名称、数量、包装件数、总毛重、总体积(立方米)和备妥待运日期。</w:t>
      </w:r>
      <w:r>
        <w:rPr>
          <w:spacing w:val="-1"/>
          <w:sz w:val="24"/>
        </w:rPr>
        <w:t>同时，卖方应以挂号信寄给买方详细交货清单一式五份，包括合同号、货物名称、</w:t>
      </w:r>
      <w:r>
        <w:rPr>
          <w:spacing w:val="-2"/>
          <w:sz w:val="24"/>
        </w:rPr>
        <w:t xml:space="preserve">规格、数量、总重、总体积(立方米)和每一包装箱的尺寸(长 </w:t>
      </w:r>
      <w:r>
        <w:rPr>
          <w:sz w:val="24"/>
        </w:rPr>
        <w:t>x</w:t>
      </w:r>
      <w:r>
        <w:rPr>
          <w:spacing w:val="-37"/>
          <w:sz w:val="24"/>
        </w:rPr>
        <w:t xml:space="preserve"> 宽 </w:t>
      </w:r>
      <w:r>
        <w:rPr>
          <w:sz w:val="24"/>
        </w:rPr>
        <w:t>x 高)、单价和总价、备妥待运日期，以及货物在运输和仓储中的特殊要求和注意事项。</w:t>
      </w:r>
    </w:p>
    <w:p>
      <w:pPr>
        <w:pStyle w:val="2"/>
        <w:numPr>
          <w:ilvl w:val="1"/>
          <w:numId w:val="25"/>
        </w:numPr>
        <w:tabs>
          <w:tab w:val="left" w:pos="1598"/>
        </w:tabs>
        <w:spacing w:before="3" w:after="0" w:line="240" w:lineRule="auto"/>
        <w:ind w:left="1597" w:right="0" w:hanging="481"/>
        <w:jc w:val="both"/>
        <w:rPr>
          <w:sz w:val="24"/>
        </w:rPr>
      </w:pPr>
      <w:r>
        <w:rPr>
          <w:sz w:val="24"/>
        </w:rPr>
        <w:t>卖方负责安排自发运地至买方现场的运输，费用包含在合同总价中。</w:t>
      </w:r>
    </w:p>
    <w:p>
      <w:pPr>
        <w:pStyle w:val="2"/>
        <w:numPr>
          <w:ilvl w:val="1"/>
          <w:numId w:val="25"/>
        </w:numPr>
        <w:tabs>
          <w:tab w:val="left" w:pos="1598"/>
        </w:tabs>
        <w:spacing w:before="161" w:after="0" w:line="240" w:lineRule="auto"/>
        <w:ind w:left="1597" w:right="0" w:hanging="481"/>
        <w:jc w:val="left"/>
        <w:rPr>
          <w:sz w:val="24"/>
        </w:rPr>
      </w:pPr>
      <w:r>
        <w:rPr>
          <w:sz w:val="24"/>
        </w:rPr>
        <w:t>交货日期以货物到达买方现场为准。</w:t>
      </w:r>
    </w:p>
    <w:p>
      <w:pPr>
        <w:pStyle w:val="2"/>
        <w:numPr>
          <w:ilvl w:val="1"/>
          <w:numId w:val="25"/>
        </w:numPr>
        <w:tabs>
          <w:tab w:val="left" w:pos="1598"/>
        </w:tabs>
        <w:spacing w:before="160" w:after="0" w:line="364" w:lineRule="auto"/>
        <w:ind w:left="637" w:right="1226" w:firstLine="480"/>
        <w:jc w:val="left"/>
        <w:rPr>
          <w:sz w:val="24"/>
        </w:rPr>
      </w:pPr>
      <w:r>
        <w:rPr>
          <w:spacing w:val="-1"/>
          <w:sz w:val="24"/>
        </w:rPr>
        <w:t xml:space="preserve">卖方装运的货物必须符合合同规定的货物名称、型号规格、数量或重量， </w:t>
      </w:r>
      <w:r>
        <w:rPr>
          <w:sz w:val="24"/>
        </w:rPr>
        <w:t>否则，一切后果均由卖方承担。</w:t>
      </w:r>
    </w:p>
    <w:p>
      <w:pPr>
        <w:pStyle w:val="5"/>
        <w:numPr>
          <w:ilvl w:val="0"/>
          <w:numId w:val="26"/>
        </w:numPr>
        <w:tabs>
          <w:tab w:val="left" w:pos="1479"/>
        </w:tabs>
        <w:spacing w:before="2" w:after="0" w:line="240" w:lineRule="auto"/>
        <w:ind w:left="1478" w:right="0" w:hanging="362"/>
        <w:jc w:val="left"/>
      </w:pPr>
      <w:r>
        <w:t>装运通知</w:t>
      </w:r>
    </w:p>
    <w:p>
      <w:pPr>
        <w:pStyle w:val="2"/>
        <w:numPr>
          <w:ilvl w:val="1"/>
          <w:numId w:val="26"/>
        </w:numPr>
        <w:tabs>
          <w:tab w:val="left" w:pos="1600"/>
        </w:tabs>
        <w:spacing w:before="160" w:after="0" w:line="364" w:lineRule="auto"/>
        <w:ind w:left="637" w:right="1243" w:firstLine="480"/>
        <w:jc w:val="both"/>
        <w:rPr>
          <w:sz w:val="24"/>
        </w:rPr>
      </w:pPr>
      <w:r>
        <w:rPr>
          <w:spacing w:val="-4"/>
          <w:sz w:val="24"/>
        </w:rPr>
        <w:t xml:space="preserve">卖方应在货物装运完成 </w:t>
      </w:r>
      <w:r>
        <w:rPr>
          <w:sz w:val="24"/>
        </w:rPr>
        <w:t>24</w:t>
      </w:r>
      <w:r>
        <w:rPr>
          <w:spacing w:val="-5"/>
          <w:sz w:val="24"/>
        </w:rPr>
        <w:t xml:space="preserve"> 小时内以电报、传真或电传通知买方合同号、</w:t>
      </w:r>
      <w:r>
        <w:rPr>
          <w:spacing w:val="-6"/>
          <w:sz w:val="24"/>
        </w:rPr>
        <w:t>货物名称、数量、毛重、体积(立方米)、发票金额、载运车次名称和启运日期。如</w:t>
      </w:r>
      <w:r>
        <w:rPr>
          <w:spacing w:val="-7"/>
          <w:sz w:val="24"/>
        </w:rPr>
        <w:t xml:space="preserve">果包装件重量超过 </w:t>
      </w:r>
      <w:r>
        <w:rPr>
          <w:sz w:val="24"/>
        </w:rPr>
        <w:t>20</w:t>
      </w:r>
      <w:r>
        <w:rPr>
          <w:spacing w:val="-13"/>
          <w:sz w:val="24"/>
        </w:rPr>
        <w:t xml:space="preserve"> 吨或尺寸达到或超过 </w:t>
      </w:r>
      <w:r>
        <w:rPr>
          <w:sz w:val="24"/>
        </w:rPr>
        <w:t>12</w:t>
      </w:r>
      <w:r>
        <w:rPr>
          <w:spacing w:val="-14"/>
          <w:sz w:val="24"/>
        </w:rPr>
        <w:t xml:space="preserve"> 米长、</w:t>
      </w:r>
      <w:r>
        <w:rPr>
          <w:sz w:val="24"/>
        </w:rPr>
        <w:t>2.7</w:t>
      </w:r>
      <w:r>
        <w:rPr>
          <w:spacing w:val="-23"/>
          <w:sz w:val="24"/>
        </w:rPr>
        <w:t xml:space="preserve"> 米宽和 </w:t>
      </w:r>
      <w:r>
        <w:rPr>
          <w:sz w:val="24"/>
        </w:rPr>
        <w:t>3</w:t>
      </w:r>
      <w:r>
        <w:rPr>
          <w:spacing w:val="-8"/>
          <w:sz w:val="24"/>
        </w:rPr>
        <w:t xml:space="preserve"> 米高，卖方应将</w:t>
      </w:r>
      <w:r>
        <w:rPr>
          <w:spacing w:val="-11"/>
          <w:sz w:val="24"/>
        </w:rPr>
        <w:t>其重量或尺寸通知买方。若货物中有易燃品或危险品，卖方也须将详细情况通知买</w:t>
      </w:r>
      <w:r>
        <w:rPr>
          <w:sz w:val="24"/>
        </w:rPr>
        <w:t>方。</w:t>
      </w:r>
    </w:p>
    <w:p>
      <w:pPr>
        <w:pStyle w:val="5"/>
        <w:numPr>
          <w:ilvl w:val="0"/>
          <w:numId w:val="26"/>
        </w:numPr>
        <w:tabs>
          <w:tab w:val="left" w:pos="1599"/>
        </w:tabs>
        <w:spacing w:before="3" w:after="0" w:line="240" w:lineRule="auto"/>
        <w:ind w:left="1598" w:right="0" w:hanging="482"/>
        <w:jc w:val="left"/>
      </w:pPr>
      <w:r>
        <w:t>保险</w:t>
      </w:r>
    </w:p>
    <w:p>
      <w:pPr>
        <w:pStyle w:val="2"/>
        <w:numPr>
          <w:ilvl w:val="1"/>
          <w:numId w:val="26"/>
        </w:numPr>
        <w:tabs>
          <w:tab w:val="left" w:pos="1658"/>
        </w:tabs>
        <w:spacing w:before="90" w:after="0" w:line="364" w:lineRule="auto"/>
        <w:ind w:left="1117" w:right="4526" w:firstLine="0"/>
        <w:jc w:val="left"/>
        <w:rPr>
          <w:b/>
          <w:sz w:val="24"/>
        </w:rPr>
      </w:pPr>
      <w:r>
        <w:rPr>
          <w:spacing w:val="-1"/>
          <w:sz w:val="24"/>
        </w:rPr>
        <w:t>在合同价条件下，由卖方负责办理保险。</w:t>
      </w:r>
      <w:r>
        <w:rPr>
          <w:b/>
          <w:sz w:val="24"/>
        </w:rPr>
        <w:t>11．合同价款的支付方式</w:t>
      </w:r>
    </w:p>
    <w:p>
      <w:pPr>
        <w:pStyle w:val="10"/>
        <w:spacing w:line="364" w:lineRule="auto"/>
        <w:ind w:left="1117" w:right="2306"/>
        <w:rPr>
          <w:rFonts w:hint="eastAsia" w:ascii="宋体" w:hAnsi="宋体" w:eastAsia="宋体" w:cs="宋体"/>
          <w:sz w:val="24"/>
          <w:lang w:eastAsia="zh-CN"/>
        </w:rPr>
      </w:pPr>
      <w:r>
        <w:rPr>
          <w:rFonts w:ascii="宋体" w:hAnsi="宋体" w:eastAsia="宋体" w:cs="宋体"/>
          <w:spacing w:val="-1"/>
          <w:sz w:val="24"/>
          <w:szCs w:val="22"/>
          <w:lang w:val="zh-CN" w:eastAsia="zh-CN" w:bidi="zh-CN"/>
        </w:rPr>
        <w:t>11.1 除另有规定者外，</w:t>
      </w:r>
      <w:r>
        <w:rPr>
          <w:rFonts w:hint="eastAsia" w:ascii="宋体" w:hAnsi="宋体" w:cs="宋体"/>
          <w:sz w:val="24"/>
        </w:rPr>
        <w:t>本合同价款将由买方直接向卖方支付</w:t>
      </w:r>
      <w:r>
        <w:rPr>
          <w:rFonts w:hint="eastAsia" w:ascii="宋体" w:hAnsi="宋体" w:cs="宋体"/>
          <w:sz w:val="24"/>
          <w:lang w:eastAsia="zh-CN"/>
        </w:rPr>
        <w:t>。</w:t>
      </w:r>
    </w:p>
    <w:p>
      <w:pPr>
        <w:pStyle w:val="10"/>
        <w:spacing w:line="364" w:lineRule="auto"/>
        <w:ind w:left="1117" w:right="2306"/>
        <w:rPr>
          <w:b/>
        </w:rPr>
      </w:pPr>
      <w:r>
        <w:rPr>
          <w:b/>
        </w:rPr>
        <w:t>12．技术资料</w:t>
      </w:r>
    </w:p>
    <w:p>
      <w:pPr>
        <w:pStyle w:val="2"/>
        <w:numPr>
          <w:ilvl w:val="1"/>
          <w:numId w:val="27"/>
        </w:numPr>
        <w:tabs>
          <w:tab w:val="left" w:pos="1658"/>
        </w:tabs>
        <w:spacing w:before="1" w:after="0" w:line="364" w:lineRule="auto"/>
        <w:ind w:left="637" w:right="1226" w:firstLine="480"/>
        <w:jc w:val="both"/>
        <w:rPr>
          <w:sz w:val="24"/>
        </w:rPr>
      </w:pPr>
      <w:r>
        <w:rPr>
          <w:spacing w:val="-5"/>
          <w:sz w:val="24"/>
        </w:rPr>
        <w:t xml:space="preserve">除谈判文件的技术规范书中另有规定的外，卖方应准备与合同设备或仪器相符的中文技术资料，并于合同生效后 </w:t>
      </w:r>
      <w:r>
        <w:rPr>
          <w:sz w:val="24"/>
        </w:rPr>
        <w:t>15</w:t>
      </w:r>
      <w:r>
        <w:rPr>
          <w:spacing w:val="-5"/>
          <w:sz w:val="24"/>
        </w:rPr>
        <w:t xml:space="preserve"> 天内寄送到买方，如样本、图纸、操作</w:t>
      </w:r>
      <w:r>
        <w:rPr>
          <w:spacing w:val="-6"/>
          <w:sz w:val="24"/>
        </w:rPr>
        <w:t xml:space="preserve">手册、使用说明、维修指南或服务手册等。如本条款所述资料寄送不完整或丢失， </w:t>
      </w:r>
      <w:r>
        <w:rPr>
          <w:sz w:val="24"/>
        </w:rPr>
        <w:t>卖方应在收到买方通知后立即免费另寄。</w:t>
      </w:r>
    </w:p>
    <w:p>
      <w:pPr>
        <w:pStyle w:val="2"/>
        <w:numPr>
          <w:ilvl w:val="1"/>
          <w:numId w:val="27"/>
        </w:numPr>
        <w:tabs>
          <w:tab w:val="left" w:pos="1718"/>
        </w:tabs>
        <w:spacing w:before="3" w:after="0" w:line="364" w:lineRule="auto"/>
        <w:ind w:left="1117" w:right="3266" w:firstLine="0"/>
        <w:jc w:val="both"/>
        <w:rPr>
          <w:b/>
          <w:sz w:val="24"/>
        </w:rPr>
      </w:pPr>
      <w:r>
        <w:rPr>
          <w:spacing w:val="-1"/>
          <w:sz w:val="24"/>
        </w:rPr>
        <w:t>上述一套完整的资料应包装好随每批货物一起发运。</w:t>
      </w:r>
      <w:r>
        <w:rPr>
          <w:b/>
          <w:sz w:val="24"/>
        </w:rPr>
        <w:t>13．价格</w:t>
      </w:r>
    </w:p>
    <w:p>
      <w:pPr>
        <w:pStyle w:val="10"/>
        <w:spacing w:line="364" w:lineRule="auto"/>
        <w:ind w:right="1249" w:firstLine="480"/>
      </w:pPr>
      <w:r>
        <w:t>13.1</w:t>
      </w:r>
      <w:r>
        <w:rPr>
          <w:spacing w:val="-14"/>
        </w:rPr>
        <w:t xml:space="preserve"> 除合同中另有规定者外，卖方为其所供货物和服务而要求买方支付的金额</w:t>
      </w:r>
      <w:r>
        <w:t>应与其投标报价一致。</w:t>
      </w:r>
    </w:p>
    <w:p>
      <w:pPr>
        <w:pStyle w:val="5"/>
        <w:numPr>
          <w:ilvl w:val="0"/>
          <w:numId w:val="28"/>
        </w:numPr>
        <w:tabs>
          <w:tab w:val="left" w:pos="1599"/>
        </w:tabs>
        <w:spacing w:before="1" w:after="0" w:line="240" w:lineRule="auto"/>
        <w:ind w:left="1598" w:right="0" w:hanging="482"/>
        <w:jc w:val="left"/>
      </w:pPr>
      <w:r>
        <w:t>质量保证</w:t>
      </w:r>
    </w:p>
    <w:p>
      <w:pPr>
        <w:pStyle w:val="2"/>
        <w:numPr>
          <w:ilvl w:val="1"/>
          <w:numId w:val="28"/>
        </w:numPr>
        <w:tabs>
          <w:tab w:val="left" w:pos="1658"/>
        </w:tabs>
        <w:spacing w:before="161" w:after="0" w:line="364" w:lineRule="auto"/>
        <w:ind w:left="637" w:right="1249" w:firstLine="480"/>
        <w:jc w:val="both"/>
        <w:rPr>
          <w:sz w:val="24"/>
        </w:rPr>
      </w:pPr>
      <w:r>
        <w:rPr>
          <w:spacing w:val="-6"/>
          <w:sz w:val="24"/>
        </w:rPr>
        <w:t>卖方应保证其提供的货物是全新的、未使用过的，采用的是最佳材料和一</w:t>
      </w:r>
      <w:r>
        <w:rPr>
          <w:spacing w:val="-5"/>
          <w:sz w:val="24"/>
        </w:rPr>
        <w:t>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w:t>
      </w:r>
      <w:r>
        <w:rPr>
          <w:spacing w:val="-2"/>
          <w:sz w:val="24"/>
        </w:rPr>
        <w:t xml:space="preserve">合同中另有规定者外，出现上述情况，卖方应在收到买方通知后 </w:t>
      </w:r>
      <w:r>
        <w:rPr>
          <w:sz w:val="24"/>
        </w:rPr>
        <w:t>30</w:t>
      </w:r>
      <w:r>
        <w:rPr>
          <w:spacing w:val="-6"/>
          <w:sz w:val="24"/>
        </w:rPr>
        <w:t xml:space="preserve"> 天内，免费负责修理或更换有缺陷的零部件或整机</w:t>
      </w:r>
      <w:r>
        <w:rPr>
          <w:rFonts w:hint="eastAsia"/>
          <w:spacing w:val="-6"/>
          <w:sz w:val="24"/>
          <w:lang w:eastAsia="zh-CN"/>
        </w:rPr>
        <w:t>，</w:t>
      </w:r>
      <w:r>
        <w:rPr>
          <w:spacing w:val="-6"/>
          <w:sz w:val="24"/>
        </w:rPr>
        <w:t>对造成的损失买方保留索赔的权利。</w:t>
      </w:r>
    </w:p>
    <w:p>
      <w:pPr>
        <w:pStyle w:val="2"/>
        <w:numPr>
          <w:ilvl w:val="1"/>
          <w:numId w:val="28"/>
        </w:numPr>
        <w:tabs>
          <w:tab w:val="left" w:pos="1720"/>
        </w:tabs>
        <w:spacing w:before="3" w:after="0" w:line="364" w:lineRule="auto"/>
        <w:ind w:left="637" w:right="1248" w:firstLine="480"/>
        <w:jc w:val="both"/>
        <w:rPr>
          <w:sz w:val="24"/>
        </w:rPr>
      </w:pPr>
      <w:r>
        <w:rPr>
          <w:sz w:val="24"/>
        </w:rPr>
        <w:t>除合同中另有规定者外，合同项下货物的质量保证期为货物正式验收合</w:t>
      </w:r>
      <w:r>
        <w:rPr>
          <w:spacing w:val="-20"/>
          <w:sz w:val="24"/>
        </w:rPr>
        <w:t xml:space="preserve">格后 </w:t>
      </w:r>
      <w:r>
        <w:rPr>
          <w:sz w:val="24"/>
        </w:rPr>
        <w:t>12</w:t>
      </w:r>
      <w:r>
        <w:rPr>
          <w:spacing w:val="-15"/>
          <w:sz w:val="24"/>
        </w:rPr>
        <w:t xml:space="preserve"> 个月。</w:t>
      </w:r>
    </w:p>
    <w:p>
      <w:pPr>
        <w:pStyle w:val="5"/>
        <w:numPr>
          <w:ilvl w:val="0"/>
          <w:numId w:val="28"/>
        </w:numPr>
        <w:tabs>
          <w:tab w:val="left" w:pos="1599"/>
        </w:tabs>
        <w:spacing w:before="1" w:after="0" w:line="240" w:lineRule="auto"/>
        <w:ind w:left="1598" w:right="0" w:hanging="482"/>
        <w:jc w:val="left"/>
      </w:pPr>
      <w:r>
        <w:t>履约保证金</w:t>
      </w:r>
    </w:p>
    <w:p>
      <w:pPr>
        <w:pStyle w:val="2"/>
        <w:numPr>
          <w:ilvl w:val="1"/>
          <w:numId w:val="28"/>
        </w:numPr>
        <w:tabs>
          <w:tab w:val="left" w:pos="1658"/>
        </w:tabs>
        <w:spacing w:before="161" w:after="0" w:line="240" w:lineRule="auto"/>
        <w:ind w:left="1657" w:right="0" w:hanging="541"/>
        <w:jc w:val="left"/>
        <w:rPr>
          <w:sz w:val="24"/>
        </w:rPr>
      </w:pPr>
      <w:r>
        <w:rPr>
          <w:sz w:val="24"/>
        </w:rPr>
        <w:t>合同签订后，卖方须向买方提供招标文件中规定金额的履约保证金。</w:t>
      </w:r>
    </w:p>
    <w:p>
      <w:pPr>
        <w:pStyle w:val="2"/>
        <w:numPr>
          <w:ilvl w:val="1"/>
          <w:numId w:val="28"/>
        </w:numPr>
        <w:tabs>
          <w:tab w:val="left" w:pos="1658"/>
        </w:tabs>
        <w:spacing w:before="160" w:after="0" w:line="364" w:lineRule="auto"/>
        <w:ind w:left="637" w:right="1249" w:firstLine="480"/>
        <w:jc w:val="left"/>
        <w:rPr>
          <w:sz w:val="24"/>
        </w:rPr>
      </w:pPr>
      <w:r>
        <w:rPr>
          <w:spacing w:val="-6"/>
          <w:sz w:val="24"/>
        </w:rPr>
        <w:t>卖方在收到买方的货物验收合格的报告后，买方在七个工作日无息退还履</w:t>
      </w:r>
      <w:r>
        <w:rPr>
          <w:sz w:val="24"/>
        </w:rPr>
        <w:t>约保证金。</w:t>
      </w:r>
    </w:p>
    <w:p>
      <w:pPr>
        <w:pStyle w:val="5"/>
        <w:numPr>
          <w:ilvl w:val="0"/>
          <w:numId w:val="28"/>
        </w:numPr>
        <w:tabs>
          <w:tab w:val="left" w:pos="1599"/>
        </w:tabs>
        <w:spacing w:before="2" w:after="0" w:line="240" w:lineRule="auto"/>
        <w:ind w:left="1598" w:right="0" w:hanging="482"/>
        <w:jc w:val="left"/>
      </w:pPr>
      <w:r>
        <w:t>检验</w:t>
      </w:r>
    </w:p>
    <w:p>
      <w:pPr>
        <w:pStyle w:val="2"/>
        <w:numPr>
          <w:ilvl w:val="1"/>
          <w:numId w:val="28"/>
        </w:numPr>
        <w:tabs>
          <w:tab w:val="left" w:pos="1720"/>
        </w:tabs>
        <w:spacing w:before="160" w:after="0" w:line="364" w:lineRule="auto"/>
        <w:ind w:left="637" w:right="1249" w:firstLine="480"/>
        <w:jc w:val="both"/>
        <w:rPr>
          <w:sz w:val="24"/>
        </w:rPr>
      </w:pPr>
      <w:r>
        <w:rPr>
          <w:sz w:val="24"/>
        </w:rPr>
        <w:t>卖方应在发货之前，对货物的有关内在和外观质量、规格、性能、数量</w:t>
      </w:r>
      <w:r>
        <w:rPr>
          <w:spacing w:val="-3"/>
          <w:sz w:val="24"/>
        </w:rPr>
        <w:t>和重量进行准确和全面的检验，并出具其货物符合合同规定的质量证书。该证书将</w:t>
      </w:r>
      <w:r>
        <w:rPr>
          <w:spacing w:val="-5"/>
          <w:sz w:val="24"/>
        </w:rPr>
        <w:t>作为提交付款单据的组成部分，但不应视为是对质量、规格、性能、数量或重量的</w:t>
      </w:r>
    </w:p>
    <w:p>
      <w:pPr>
        <w:pStyle w:val="10"/>
        <w:spacing w:before="90"/>
      </w:pPr>
      <w:r>
        <w:t>最终定论。质量证书应附有写明制造商检验的细节和结果的说明。</w:t>
      </w:r>
    </w:p>
    <w:p>
      <w:pPr>
        <w:pStyle w:val="2"/>
        <w:numPr>
          <w:ilvl w:val="1"/>
          <w:numId w:val="28"/>
        </w:numPr>
        <w:tabs>
          <w:tab w:val="left" w:pos="1720"/>
        </w:tabs>
        <w:spacing w:before="160" w:after="0" w:line="364" w:lineRule="auto"/>
        <w:ind w:left="637" w:right="1249" w:firstLine="480"/>
        <w:jc w:val="both"/>
        <w:rPr>
          <w:sz w:val="24"/>
        </w:rPr>
      </w:pPr>
      <w:r>
        <w:rPr>
          <w:sz w:val="24"/>
        </w:rPr>
        <w:t>在合同规定的质量保证期内，如果发现货物的质量或规格与合同规定不</w:t>
      </w:r>
      <w:r>
        <w:rPr>
          <w:spacing w:val="-6"/>
          <w:sz w:val="24"/>
        </w:rPr>
        <w:t>符，或证明货物有缺陷，包括潜在的缺陷或使用不合适的原材料等，买方应申请质</w:t>
      </w:r>
      <w:r>
        <w:rPr>
          <w:sz w:val="24"/>
        </w:rPr>
        <w:t>检部门进行检验，并有权根据检验证书及质量保证条款立即向卖方提出索赔。</w:t>
      </w:r>
    </w:p>
    <w:p>
      <w:pPr>
        <w:pStyle w:val="5"/>
        <w:numPr>
          <w:ilvl w:val="0"/>
          <w:numId w:val="28"/>
        </w:numPr>
        <w:tabs>
          <w:tab w:val="left" w:pos="1599"/>
        </w:tabs>
        <w:spacing w:before="2" w:after="0" w:line="240" w:lineRule="auto"/>
        <w:ind w:left="1598" w:right="0" w:hanging="482"/>
        <w:jc w:val="left"/>
      </w:pPr>
      <w:r>
        <w:t>索赔</w:t>
      </w:r>
    </w:p>
    <w:p>
      <w:pPr>
        <w:pStyle w:val="2"/>
        <w:numPr>
          <w:ilvl w:val="1"/>
          <w:numId w:val="28"/>
        </w:numPr>
        <w:tabs>
          <w:tab w:val="left" w:pos="1658"/>
        </w:tabs>
        <w:spacing w:before="161" w:after="0" w:line="364" w:lineRule="auto"/>
        <w:ind w:left="637" w:right="1166" w:firstLine="480"/>
        <w:jc w:val="left"/>
        <w:rPr>
          <w:sz w:val="24"/>
        </w:rPr>
      </w:pPr>
      <w:r>
        <w:rPr>
          <w:spacing w:val="-1"/>
          <w:sz w:val="24"/>
        </w:rPr>
        <w:t>卖方对所供货物与合同约定相一致负完全责任。在买方已于规定的检验、</w:t>
      </w:r>
      <w:r>
        <w:rPr>
          <w:spacing w:val="-4"/>
          <w:sz w:val="24"/>
        </w:rPr>
        <w:t>安装、调试和验收测试期限内和质量保证期内提出索赔时，卖方应按买方同意的下述一种或多种方法解决索赔事宜。</w:t>
      </w:r>
    </w:p>
    <w:p>
      <w:pPr>
        <w:pStyle w:val="2"/>
        <w:numPr>
          <w:ilvl w:val="0"/>
          <w:numId w:val="29"/>
        </w:numPr>
        <w:tabs>
          <w:tab w:val="left" w:pos="1605"/>
        </w:tabs>
        <w:spacing w:before="1" w:after="0" w:line="364" w:lineRule="auto"/>
        <w:ind w:left="637" w:right="1129" w:firstLine="480"/>
        <w:jc w:val="left"/>
        <w:rPr>
          <w:sz w:val="24"/>
        </w:rPr>
      </w:pPr>
      <w:r>
        <w:rPr>
          <w:spacing w:val="5"/>
          <w:sz w:val="24"/>
        </w:rPr>
        <w:t>卖方同意买方拒收货物并把被拒收货物的金额以合同规定的同类货币还</w:t>
      </w:r>
      <w:r>
        <w:rPr>
          <w:spacing w:val="-10"/>
          <w:sz w:val="24"/>
        </w:rPr>
        <w:t>付给买方，卖方负担发生的一切损失和费用，包括利息、银行费用、运输和保险费、</w:t>
      </w:r>
      <w:r>
        <w:rPr>
          <w:sz w:val="24"/>
        </w:rPr>
        <w:t>检验费、仓储和装卸费以及为保管和保护被拒绝货物所需的其它必要费用。</w:t>
      </w:r>
    </w:p>
    <w:p>
      <w:pPr>
        <w:pStyle w:val="2"/>
        <w:numPr>
          <w:ilvl w:val="0"/>
          <w:numId w:val="29"/>
        </w:numPr>
        <w:tabs>
          <w:tab w:val="left" w:pos="1586"/>
        </w:tabs>
        <w:spacing w:before="2" w:after="0" w:line="240" w:lineRule="auto"/>
        <w:ind w:left="1585" w:right="0" w:hanging="469"/>
        <w:jc w:val="left"/>
        <w:rPr>
          <w:sz w:val="24"/>
        </w:rPr>
      </w:pPr>
      <w:r>
        <w:rPr>
          <w:spacing w:val="-12"/>
          <w:sz w:val="24"/>
        </w:rPr>
        <w:t>根据货物的疵劣和受损程度以及买方遭受损失的金额，经双方同意降低货价。</w:t>
      </w:r>
    </w:p>
    <w:p>
      <w:pPr>
        <w:pStyle w:val="2"/>
        <w:numPr>
          <w:ilvl w:val="0"/>
          <w:numId w:val="29"/>
        </w:numPr>
        <w:tabs>
          <w:tab w:val="left" w:pos="1598"/>
        </w:tabs>
        <w:spacing w:before="161" w:after="0" w:line="364" w:lineRule="auto"/>
        <w:ind w:left="637" w:right="1249" w:firstLine="480"/>
        <w:jc w:val="both"/>
        <w:rPr>
          <w:sz w:val="24"/>
        </w:rPr>
      </w:pPr>
      <w:r>
        <w:rPr>
          <w:spacing w:val="-4"/>
          <w:sz w:val="24"/>
        </w:rPr>
        <w:t>更换有缺陷的零件、部件和设备，或修理缺陷部分，以达到合同规定的规</w:t>
      </w:r>
      <w:r>
        <w:rPr>
          <w:spacing w:val="-6"/>
          <w:sz w:val="24"/>
        </w:rPr>
        <w:t>格、质量和性能，卖方承担一切费用和风险并负担买方遭受的一切直接费用。同时</w:t>
      </w:r>
      <w:r>
        <w:rPr>
          <w:sz w:val="24"/>
        </w:rPr>
        <w:t>卖方应相应延长被更换货物的质量保证期。</w:t>
      </w:r>
    </w:p>
    <w:p>
      <w:pPr>
        <w:pStyle w:val="2"/>
        <w:numPr>
          <w:ilvl w:val="1"/>
          <w:numId w:val="28"/>
        </w:numPr>
        <w:tabs>
          <w:tab w:val="left" w:pos="1839"/>
          <w:tab w:val="left" w:pos="1840"/>
        </w:tabs>
        <w:spacing w:before="2" w:after="0" w:line="364" w:lineRule="auto"/>
        <w:ind w:left="637" w:right="1129" w:firstLine="480"/>
        <w:jc w:val="left"/>
        <w:rPr>
          <w:sz w:val="24"/>
        </w:rPr>
      </w:pPr>
      <w:r>
        <w:rPr>
          <w:spacing w:val="-5"/>
          <w:sz w:val="24"/>
        </w:rPr>
        <w:t xml:space="preserve">如果买方提出索赔通知后 </w:t>
      </w:r>
      <w:r>
        <w:rPr>
          <w:sz w:val="24"/>
        </w:rPr>
        <w:t>30</w:t>
      </w:r>
      <w:r>
        <w:rPr>
          <w:spacing w:val="-6"/>
          <w:sz w:val="24"/>
        </w:rPr>
        <w:t xml:space="preserve"> 天内卖方未能予以答复，该索赔应视为已</w:t>
      </w:r>
      <w:r>
        <w:rPr>
          <w:spacing w:val="-10"/>
          <w:sz w:val="24"/>
        </w:rPr>
        <w:t xml:space="preserve">被卖方接受。若卖方未能在买方提出索赔通知的 </w:t>
      </w:r>
      <w:r>
        <w:rPr>
          <w:sz w:val="24"/>
        </w:rPr>
        <w:t>30</w:t>
      </w:r>
      <w:r>
        <w:rPr>
          <w:spacing w:val="-9"/>
          <w:sz w:val="24"/>
        </w:rPr>
        <w:t xml:space="preserve"> 天内或买方同意的更长时间内， </w:t>
      </w:r>
      <w:r>
        <w:rPr>
          <w:spacing w:val="-2"/>
          <w:sz w:val="24"/>
        </w:rPr>
        <w:t>按买方同意的上述任何一种方式处理索赔事宜，买方将从未付款或卖方提供的履约保证金中扣回索赔金额，同时保留进一步要求赔偿的权利。</w:t>
      </w:r>
    </w:p>
    <w:p>
      <w:pPr>
        <w:pStyle w:val="5"/>
        <w:numPr>
          <w:ilvl w:val="0"/>
          <w:numId w:val="28"/>
        </w:numPr>
        <w:tabs>
          <w:tab w:val="left" w:pos="1599"/>
        </w:tabs>
        <w:spacing w:before="2" w:after="0" w:line="240" w:lineRule="auto"/>
        <w:ind w:left="1598" w:right="0" w:hanging="482"/>
        <w:jc w:val="left"/>
      </w:pPr>
      <w:r>
        <w:t>延期交货与核定损失额</w:t>
      </w:r>
    </w:p>
    <w:p>
      <w:pPr>
        <w:pStyle w:val="2"/>
        <w:numPr>
          <w:ilvl w:val="1"/>
          <w:numId w:val="28"/>
        </w:numPr>
        <w:tabs>
          <w:tab w:val="left" w:pos="1658"/>
        </w:tabs>
        <w:spacing w:before="160" w:after="0" w:line="364" w:lineRule="auto"/>
        <w:ind w:left="637" w:right="1129" w:firstLine="480"/>
        <w:jc w:val="left"/>
        <w:rPr>
          <w:sz w:val="24"/>
        </w:rPr>
      </w:pPr>
      <w:r>
        <w:rPr>
          <w:spacing w:val="-4"/>
          <w:sz w:val="24"/>
        </w:rPr>
        <w:t>如果卖方未能按合同规定的时间按期交货(不可抗力除外)，在卖方同意支</w:t>
      </w:r>
      <w:r>
        <w:rPr>
          <w:spacing w:val="-6"/>
          <w:sz w:val="24"/>
        </w:rPr>
        <w:t>付核定损失额的条件下，买方将同意延长交货期。核定损失额的支付将从未付款或</w:t>
      </w:r>
      <w:r>
        <w:rPr>
          <w:spacing w:val="-12"/>
          <w:sz w:val="24"/>
        </w:rPr>
        <w:t xml:space="preserve">从履约保证金中扣除。核定损失额比率为每迟交 </w:t>
      </w:r>
      <w:r>
        <w:rPr>
          <w:sz w:val="24"/>
        </w:rPr>
        <w:t>7</w:t>
      </w:r>
      <w:r>
        <w:rPr>
          <w:spacing w:val="-15"/>
          <w:sz w:val="24"/>
        </w:rPr>
        <w:t xml:space="preserve"> 天，按迟交货物金额的 </w:t>
      </w:r>
      <w:r>
        <w:rPr>
          <w:spacing w:val="-6"/>
          <w:sz w:val="24"/>
        </w:rPr>
        <w:t>0.5%</w:t>
      </w:r>
      <w:r>
        <w:rPr>
          <w:spacing w:val="-3"/>
          <w:sz w:val="24"/>
        </w:rPr>
        <w:t>，不</w:t>
      </w:r>
      <w:r>
        <w:rPr>
          <w:spacing w:val="-32"/>
          <w:sz w:val="24"/>
        </w:rPr>
        <w:t xml:space="preserve">满 </w:t>
      </w:r>
      <w:r>
        <w:rPr>
          <w:sz w:val="24"/>
        </w:rPr>
        <w:t>7</w:t>
      </w:r>
      <w:r>
        <w:rPr>
          <w:spacing w:val="-30"/>
          <w:sz w:val="24"/>
        </w:rPr>
        <w:t xml:space="preserve"> 天按 </w:t>
      </w:r>
      <w:r>
        <w:rPr>
          <w:sz w:val="24"/>
        </w:rPr>
        <w:t>7</w:t>
      </w:r>
      <w:r>
        <w:rPr>
          <w:spacing w:val="-20"/>
          <w:sz w:val="24"/>
        </w:rPr>
        <w:t xml:space="preserve"> 天计算，但是，核定损失额的支付不得超过迟交货物部分合同金额的 </w:t>
      </w:r>
      <w:r>
        <w:rPr>
          <w:sz w:val="24"/>
        </w:rPr>
        <w:t>5%</w:t>
      </w:r>
      <w:r>
        <w:rPr>
          <w:spacing w:val="-18"/>
          <w:sz w:val="24"/>
        </w:rPr>
        <w:t>。</w:t>
      </w:r>
      <w:r>
        <w:rPr>
          <w:spacing w:val="-1"/>
          <w:sz w:val="24"/>
        </w:rPr>
        <w:t>如果卖方在达到核定损失额的最高限额后仍不能交货，买方有权因卖方违约终止合同，而卖方仍有义务支付上述迟交核定损失金额。</w:t>
      </w:r>
    </w:p>
    <w:p>
      <w:pPr>
        <w:pStyle w:val="5"/>
        <w:numPr>
          <w:ilvl w:val="0"/>
          <w:numId w:val="28"/>
        </w:numPr>
        <w:tabs>
          <w:tab w:val="left" w:pos="1599"/>
        </w:tabs>
        <w:spacing w:before="4" w:after="0" w:line="240" w:lineRule="auto"/>
        <w:ind w:left="1598" w:right="0" w:hanging="482"/>
        <w:jc w:val="left"/>
      </w:pPr>
      <w:r>
        <w:t>不可抗力</w:t>
      </w:r>
    </w:p>
    <w:p>
      <w:pPr>
        <w:pStyle w:val="2"/>
        <w:numPr>
          <w:ilvl w:val="1"/>
          <w:numId w:val="28"/>
        </w:numPr>
        <w:tabs>
          <w:tab w:val="left" w:pos="1658"/>
        </w:tabs>
        <w:spacing w:before="161" w:after="0" w:line="364" w:lineRule="auto"/>
        <w:ind w:left="637" w:right="1249" w:firstLine="480"/>
        <w:jc w:val="left"/>
        <w:rPr>
          <w:sz w:val="24"/>
        </w:rPr>
      </w:pPr>
      <w:r>
        <w:rPr>
          <w:spacing w:val="-6"/>
          <w:sz w:val="24"/>
        </w:rPr>
        <w:t>签约任何一方由于受诸如战争、严重火灾、洪水、台风、地震等不可抗力</w:t>
      </w:r>
      <w:r>
        <w:rPr>
          <w:spacing w:val="-3"/>
          <w:sz w:val="24"/>
        </w:rPr>
        <w:t>事故的影响而不能执行合同时，履行合同的期限应予以延长，则延长的期限应相当</w:t>
      </w:r>
    </w:p>
    <w:p>
      <w:pPr>
        <w:pStyle w:val="10"/>
        <w:spacing w:before="90" w:line="364" w:lineRule="auto"/>
        <w:ind w:right="1201"/>
      </w:pPr>
      <w:r>
        <w:t>于事故所影响的时间。不可抗力事故系指买卖双方在缔结合同时所不能预见的，并且它的发生及其后果是无法避免和无法克服的事故。</w:t>
      </w:r>
    </w:p>
    <w:p>
      <w:pPr>
        <w:pStyle w:val="2"/>
        <w:numPr>
          <w:ilvl w:val="1"/>
          <w:numId w:val="28"/>
        </w:numPr>
        <w:tabs>
          <w:tab w:val="left" w:pos="1720"/>
        </w:tabs>
        <w:spacing w:before="1" w:after="0" w:line="364" w:lineRule="auto"/>
        <w:ind w:left="637" w:right="1249" w:firstLine="480"/>
        <w:jc w:val="both"/>
        <w:rPr>
          <w:sz w:val="24"/>
        </w:rPr>
      </w:pPr>
      <w:r>
        <w:rPr>
          <w:sz w:val="24"/>
        </w:rPr>
        <w:t xml:space="preserve">受阻一方应在不可抗力事故发生后尽快用电报、传真或电传通知对方， </w:t>
      </w:r>
      <w:r>
        <w:rPr>
          <w:spacing w:val="-5"/>
          <w:sz w:val="24"/>
        </w:rPr>
        <w:t xml:space="preserve">并于事故发生后 </w:t>
      </w:r>
      <w:r>
        <w:rPr>
          <w:sz w:val="24"/>
        </w:rPr>
        <w:t>15</w:t>
      </w:r>
      <w:r>
        <w:rPr>
          <w:spacing w:val="-5"/>
          <w:sz w:val="24"/>
        </w:rPr>
        <w:t xml:space="preserve"> 天内将有关部门出具的证明文件用特快专递或挂号信等形式寄</w:t>
      </w:r>
      <w:r>
        <w:rPr>
          <w:spacing w:val="-9"/>
          <w:sz w:val="24"/>
        </w:rPr>
        <w:t xml:space="preserve">给对方审阅确认。一旦不可抗力事故的影响持续 </w:t>
      </w:r>
      <w:r>
        <w:rPr>
          <w:sz w:val="24"/>
        </w:rPr>
        <w:t>120</w:t>
      </w:r>
      <w:r>
        <w:rPr>
          <w:spacing w:val="-10"/>
          <w:sz w:val="24"/>
        </w:rPr>
        <w:t xml:space="preserve"> 天以上，双方应通过友好协商</w:t>
      </w:r>
      <w:r>
        <w:rPr>
          <w:sz w:val="24"/>
        </w:rPr>
        <w:t>在合理的时间内达成进一步履行合同的协议。</w:t>
      </w:r>
    </w:p>
    <w:p>
      <w:pPr>
        <w:pStyle w:val="5"/>
        <w:numPr>
          <w:ilvl w:val="0"/>
          <w:numId w:val="28"/>
        </w:numPr>
        <w:tabs>
          <w:tab w:val="left" w:pos="1599"/>
        </w:tabs>
        <w:spacing w:before="2" w:after="0" w:line="240" w:lineRule="auto"/>
        <w:ind w:left="1598" w:right="0" w:hanging="482"/>
        <w:jc w:val="left"/>
      </w:pPr>
      <w:r>
        <w:t>仲裁</w:t>
      </w:r>
    </w:p>
    <w:p>
      <w:pPr>
        <w:pStyle w:val="2"/>
        <w:numPr>
          <w:ilvl w:val="1"/>
          <w:numId w:val="28"/>
        </w:numPr>
        <w:tabs>
          <w:tab w:val="left" w:pos="1663"/>
        </w:tabs>
        <w:spacing w:before="161" w:after="0" w:line="364" w:lineRule="auto"/>
        <w:ind w:left="637" w:right="1245" w:firstLine="480"/>
        <w:jc w:val="left"/>
        <w:rPr>
          <w:sz w:val="24"/>
        </w:rPr>
      </w:pPr>
      <w:r>
        <w:rPr>
          <w:spacing w:val="3"/>
          <w:sz w:val="24"/>
        </w:rPr>
        <w:t>在执行本合同中发生的或与本合同有关的争端，双方应通过友好协商解</w:t>
      </w:r>
      <w:r>
        <w:rPr>
          <w:spacing w:val="-6"/>
          <w:sz w:val="24"/>
        </w:rPr>
        <w:t xml:space="preserve">决，经协商在 </w:t>
      </w:r>
      <w:r>
        <w:rPr>
          <w:sz w:val="24"/>
        </w:rPr>
        <w:t>30</w:t>
      </w:r>
      <w:r>
        <w:rPr>
          <w:spacing w:val="-8"/>
          <w:sz w:val="24"/>
        </w:rPr>
        <w:t xml:space="preserve"> 天内不能达成协议时，应提交仲裁。</w:t>
      </w:r>
    </w:p>
    <w:p>
      <w:pPr>
        <w:pStyle w:val="2"/>
        <w:numPr>
          <w:ilvl w:val="1"/>
          <w:numId w:val="28"/>
        </w:numPr>
        <w:tabs>
          <w:tab w:val="left" w:pos="1718"/>
        </w:tabs>
        <w:spacing w:before="1" w:after="0" w:line="240" w:lineRule="auto"/>
        <w:ind w:left="1717" w:right="0" w:hanging="601"/>
        <w:jc w:val="left"/>
        <w:rPr>
          <w:sz w:val="24"/>
        </w:rPr>
      </w:pPr>
      <w:r>
        <w:rPr>
          <w:sz w:val="24"/>
        </w:rPr>
        <w:t>仲裁应由买方所在地仲裁机构，根据其仲裁程序和规则进行。</w:t>
      </w:r>
    </w:p>
    <w:p>
      <w:pPr>
        <w:pStyle w:val="2"/>
        <w:numPr>
          <w:ilvl w:val="1"/>
          <w:numId w:val="28"/>
        </w:numPr>
        <w:tabs>
          <w:tab w:val="left" w:pos="1718"/>
        </w:tabs>
        <w:spacing w:before="161" w:after="0" w:line="240" w:lineRule="auto"/>
        <w:ind w:left="1717" w:right="0" w:hanging="601"/>
        <w:jc w:val="left"/>
        <w:rPr>
          <w:sz w:val="24"/>
        </w:rPr>
      </w:pPr>
      <w:r>
        <w:rPr>
          <w:sz w:val="24"/>
        </w:rPr>
        <w:t>仲裁裁决为最终决定，并对双方具有约束力。</w:t>
      </w:r>
    </w:p>
    <w:p>
      <w:pPr>
        <w:pStyle w:val="2"/>
        <w:numPr>
          <w:ilvl w:val="1"/>
          <w:numId w:val="28"/>
        </w:numPr>
        <w:tabs>
          <w:tab w:val="left" w:pos="1718"/>
        </w:tabs>
        <w:spacing w:before="160" w:after="0" w:line="240" w:lineRule="auto"/>
        <w:ind w:left="1717" w:right="0" w:hanging="601"/>
        <w:jc w:val="both"/>
        <w:rPr>
          <w:sz w:val="24"/>
        </w:rPr>
      </w:pPr>
      <w:r>
        <w:rPr>
          <w:sz w:val="24"/>
        </w:rPr>
        <w:t>除另有裁决外，仲裁费应由败诉方负担。</w:t>
      </w:r>
    </w:p>
    <w:p>
      <w:pPr>
        <w:pStyle w:val="2"/>
        <w:numPr>
          <w:ilvl w:val="1"/>
          <w:numId w:val="28"/>
        </w:numPr>
        <w:tabs>
          <w:tab w:val="left" w:pos="1718"/>
        </w:tabs>
        <w:spacing w:before="161" w:after="0" w:line="364" w:lineRule="auto"/>
        <w:ind w:left="1117" w:right="1826" w:firstLine="0"/>
        <w:jc w:val="both"/>
        <w:rPr>
          <w:b/>
          <w:sz w:val="24"/>
        </w:rPr>
      </w:pPr>
      <w:r>
        <w:rPr>
          <w:spacing w:val="-1"/>
          <w:sz w:val="24"/>
        </w:rPr>
        <w:t>在仲裁期间，除正在进行的仲裁部分外，合同其它部分继续执行。</w:t>
      </w:r>
      <w:r>
        <w:rPr>
          <w:b/>
          <w:sz w:val="24"/>
        </w:rPr>
        <w:t>21．违约终止合同</w:t>
      </w:r>
    </w:p>
    <w:p>
      <w:pPr>
        <w:pStyle w:val="2"/>
        <w:numPr>
          <w:ilvl w:val="1"/>
          <w:numId w:val="30"/>
        </w:numPr>
        <w:tabs>
          <w:tab w:val="left" w:pos="1658"/>
        </w:tabs>
        <w:spacing w:before="1" w:after="0" w:line="364" w:lineRule="auto"/>
        <w:ind w:left="637" w:right="1245" w:firstLine="480"/>
        <w:jc w:val="both"/>
        <w:rPr>
          <w:sz w:val="24"/>
        </w:rPr>
      </w:pPr>
      <w:r>
        <w:rPr>
          <w:spacing w:val="-5"/>
          <w:sz w:val="24"/>
        </w:rPr>
        <w:t xml:space="preserve">在补救违约而采取的任何其他措施未能实现的情况下，即在卖方收到买方发出的违约通知后 </w:t>
      </w:r>
      <w:r>
        <w:rPr>
          <w:sz w:val="24"/>
        </w:rPr>
        <w:t>30</w:t>
      </w:r>
      <w:r>
        <w:rPr>
          <w:spacing w:val="-6"/>
          <w:sz w:val="24"/>
        </w:rPr>
        <w:t xml:space="preserve"> 天内(或经买方书面确认的更长时间内)仍未纠正其下述任何一种违约行为，买方可向卖方发出书面违约通知，终止全部或部分合同：</w:t>
      </w:r>
    </w:p>
    <w:p>
      <w:pPr>
        <w:pStyle w:val="2"/>
        <w:numPr>
          <w:ilvl w:val="0"/>
          <w:numId w:val="31"/>
        </w:numPr>
        <w:tabs>
          <w:tab w:val="left" w:pos="1480"/>
        </w:tabs>
        <w:spacing w:before="2" w:after="0" w:line="364" w:lineRule="auto"/>
        <w:ind w:left="637" w:right="1248" w:firstLine="480"/>
        <w:jc w:val="left"/>
        <w:rPr>
          <w:sz w:val="24"/>
        </w:rPr>
      </w:pPr>
      <w:r>
        <w:rPr>
          <w:sz w:val="24"/>
        </w:rPr>
        <w:t>如果卖方未能在合同规定的期限内或买方准许的任何延期内交付部分或全部货物。</w:t>
      </w:r>
    </w:p>
    <w:p>
      <w:pPr>
        <w:pStyle w:val="2"/>
        <w:numPr>
          <w:ilvl w:val="0"/>
          <w:numId w:val="31"/>
        </w:numPr>
        <w:tabs>
          <w:tab w:val="left" w:pos="1479"/>
        </w:tabs>
        <w:spacing w:before="1" w:after="0" w:line="240" w:lineRule="auto"/>
        <w:ind w:left="1478" w:right="0" w:hanging="362"/>
        <w:jc w:val="left"/>
        <w:rPr>
          <w:sz w:val="24"/>
        </w:rPr>
      </w:pPr>
      <w:r>
        <w:rPr>
          <w:sz w:val="24"/>
        </w:rPr>
        <w:t>卖方未能履行合同项下的其它义务。</w:t>
      </w:r>
    </w:p>
    <w:p>
      <w:pPr>
        <w:pStyle w:val="2"/>
        <w:numPr>
          <w:ilvl w:val="1"/>
          <w:numId w:val="30"/>
        </w:numPr>
        <w:tabs>
          <w:tab w:val="left" w:pos="1718"/>
        </w:tabs>
        <w:spacing w:before="160" w:after="0" w:line="364" w:lineRule="auto"/>
        <w:ind w:left="637" w:right="1245" w:firstLine="480"/>
        <w:jc w:val="both"/>
        <w:rPr>
          <w:sz w:val="24"/>
        </w:rPr>
      </w:pPr>
      <w:r>
        <w:rPr>
          <w:spacing w:val="-8"/>
          <w:sz w:val="24"/>
        </w:rPr>
        <w:t xml:space="preserve">一旦买方根据第 </w:t>
      </w:r>
      <w:r>
        <w:rPr>
          <w:sz w:val="24"/>
        </w:rPr>
        <w:t>21.1</w:t>
      </w:r>
      <w:r>
        <w:rPr>
          <w:spacing w:val="-11"/>
          <w:sz w:val="24"/>
        </w:rPr>
        <w:t xml:space="preserve"> 款终止部分或全部合同，买方可以按其认为适当的</w:t>
      </w:r>
      <w:r>
        <w:rPr>
          <w:spacing w:val="3"/>
          <w:sz w:val="24"/>
        </w:rPr>
        <w:t>条件和方式采购类似未交付部分的货物。卖方应承担买方购买类似货物的额外费用。但是，卖方应继续履行合同中未终止的部分。</w:t>
      </w:r>
    </w:p>
    <w:p>
      <w:pPr>
        <w:pStyle w:val="5"/>
        <w:numPr>
          <w:ilvl w:val="0"/>
          <w:numId w:val="32"/>
        </w:numPr>
        <w:tabs>
          <w:tab w:val="left" w:pos="1599"/>
        </w:tabs>
        <w:spacing w:before="2" w:after="0" w:line="240" w:lineRule="auto"/>
        <w:ind w:left="1598" w:right="0" w:hanging="482"/>
        <w:jc w:val="left"/>
      </w:pPr>
      <w:r>
        <w:t>变更指示</w:t>
      </w:r>
    </w:p>
    <w:p>
      <w:pPr>
        <w:pStyle w:val="2"/>
        <w:numPr>
          <w:ilvl w:val="1"/>
          <w:numId w:val="32"/>
        </w:numPr>
        <w:tabs>
          <w:tab w:val="left" w:pos="1658"/>
        </w:tabs>
        <w:spacing w:before="161" w:after="0" w:line="364" w:lineRule="auto"/>
        <w:ind w:left="637" w:right="1249" w:firstLine="480"/>
        <w:jc w:val="left"/>
        <w:rPr>
          <w:sz w:val="24"/>
        </w:rPr>
      </w:pPr>
      <w:r>
        <w:rPr>
          <w:spacing w:val="-7"/>
          <w:sz w:val="24"/>
        </w:rPr>
        <w:t>买方可以随时向卖方发出书面指示，在合同总体范围内对如下一点或几点</w:t>
      </w:r>
      <w:r>
        <w:rPr>
          <w:sz w:val="24"/>
        </w:rPr>
        <w:t>提出变更：</w:t>
      </w:r>
    </w:p>
    <w:p>
      <w:pPr>
        <w:pStyle w:val="2"/>
        <w:numPr>
          <w:ilvl w:val="2"/>
          <w:numId w:val="32"/>
        </w:numPr>
        <w:tabs>
          <w:tab w:val="left" w:pos="1599"/>
        </w:tabs>
        <w:spacing w:before="1" w:after="0" w:line="364" w:lineRule="auto"/>
        <w:ind w:left="1320" w:leftChars="0" w:right="3146" w:firstLine="0" w:firstLineChars="0"/>
        <w:jc w:val="left"/>
        <w:rPr>
          <w:sz w:val="24"/>
        </w:rPr>
      </w:pPr>
      <w:r>
        <w:rPr>
          <w:spacing w:val="-1"/>
          <w:sz w:val="24"/>
        </w:rPr>
        <w:t xml:space="preserve">合同项下需为买方特殊制造货物的图纸、设计或规格； </w:t>
      </w:r>
    </w:p>
    <w:p>
      <w:pPr>
        <w:pStyle w:val="2"/>
        <w:numPr>
          <w:ilvl w:val="2"/>
          <w:numId w:val="32"/>
        </w:numPr>
        <w:tabs>
          <w:tab w:val="left" w:pos="1599"/>
        </w:tabs>
        <w:spacing w:before="1" w:after="0" w:line="364" w:lineRule="auto"/>
        <w:ind w:left="1320" w:leftChars="0" w:right="3146" w:firstLine="0" w:firstLineChars="0"/>
        <w:jc w:val="left"/>
        <w:rPr>
          <w:sz w:val="24"/>
        </w:rPr>
      </w:pPr>
      <w:r>
        <w:rPr>
          <w:sz w:val="24"/>
        </w:rPr>
        <w:t>装运方式和包装方式；</w:t>
      </w:r>
    </w:p>
    <w:p>
      <w:pPr>
        <w:pStyle w:val="2"/>
        <w:numPr>
          <w:ilvl w:val="2"/>
          <w:numId w:val="32"/>
        </w:numPr>
        <w:tabs>
          <w:tab w:val="left" w:pos="1599"/>
        </w:tabs>
        <w:spacing w:before="1" w:after="0" w:line="364" w:lineRule="auto"/>
        <w:ind w:left="1320" w:leftChars="0" w:right="3146" w:firstLine="0" w:firstLineChars="0"/>
        <w:jc w:val="left"/>
        <w:rPr>
          <w:sz w:val="24"/>
        </w:rPr>
      </w:pPr>
      <w:r>
        <w:rPr>
          <w:sz w:val="24"/>
        </w:rPr>
        <w:t>交货地点；</w:t>
      </w:r>
    </w:p>
    <w:p>
      <w:pPr>
        <w:pStyle w:val="2"/>
        <w:numPr>
          <w:ilvl w:val="2"/>
          <w:numId w:val="32"/>
        </w:numPr>
        <w:tabs>
          <w:tab w:val="left" w:pos="1599"/>
        </w:tabs>
        <w:spacing w:before="1" w:after="0" w:line="364" w:lineRule="auto"/>
        <w:ind w:left="1320" w:leftChars="0" w:right="3146" w:firstLine="0" w:firstLineChars="0"/>
        <w:jc w:val="left"/>
        <w:rPr>
          <w:sz w:val="24"/>
        </w:rPr>
      </w:pPr>
      <w:r>
        <w:rPr>
          <w:sz w:val="24"/>
        </w:rPr>
        <w:t>卖方须提供的服务。</w:t>
      </w:r>
    </w:p>
    <w:p>
      <w:pPr>
        <w:pStyle w:val="2"/>
        <w:widowControl w:val="0"/>
        <w:numPr>
          <w:ilvl w:val="0"/>
          <w:numId w:val="0"/>
        </w:numPr>
        <w:tabs>
          <w:tab w:val="left" w:pos="1599"/>
        </w:tabs>
        <w:autoSpaceDE w:val="0"/>
        <w:autoSpaceDN w:val="0"/>
        <w:spacing w:before="1" w:after="0" w:line="364" w:lineRule="auto"/>
        <w:ind w:right="3146" w:rightChars="0"/>
        <w:jc w:val="left"/>
        <w:rPr>
          <w:sz w:val="24"/>
        </w:rPr>
      </w:pPr>
    </w:p>
    <w:p>
      <w:pPr>
        <w:pStyle w:val="2"/>
        <w:widowControl w:val="0"/>
        <w:numPr>
          <w:ilvl w:val="0"/>
          <w:numId w:val="0"/>
        </w:numPr>
        <w:tabs>
          <w:tab w:val="left" w:pos="1599"/>
        </w:tabs>
        <w:autoSpaceDE w:val="0"/>
        <w:autoSpaceDN w:val="0"/>
        <w:spacing w:before="1" w:after="0" w:line="364" w:lineRule="auto"/>
        <w:ind w:right="3146" w:rightChars="0"/>
        <w:jc w:val="left"/>
        <w:rPr>
          <w:sz w:val="24"/>
        </w:rPr>
        <w:sectPr>
          <w:footerReference r:id="rId7" w:type="default"/>
          <w:pgSz w:w="11910" w:h="16840"/>
          <w:pgMar w:top="1200" w:right="240" w:bottom="1180" w:left="1160" w:header="878" w:footer="993" w:gutter="0"/>
          <w:pgNumType w:fmt="decimal"/>
          <w:cols w:space="720" w:num="1"/>
        </w:sectPr>
      </w:pPr>
    </w:p>
    <w:p>
      <w:pPr>
        <w:pStyle w:val="2"/>
        <w:numPr>
          <w:ilvl w:val="1"/>
          <w:numId w:val="32"/>
        </w:numPr>
        <w:tabs>
          <w:tab w:val="left" w:pos="1845"/>
        </w:tabs>
        <w:spacing w:before="160" w:after="0" w:line="364" w:lineRule="auto"/>
        <w:ind w:left="637" w:right="1245" w:firstLine="480"/>
        <w:jc w:val="both"/>
        <w:rPr>
          <w:sz w:val="24"/>
        </w:rPr>
      </w:pPr>
      <w:r>
        <w:rPr>
          <w:spacing w:val="6"/>
          <w:sz w:val="24"/>
        </w:rPr>
        <w:t>若上述变更导致了卖方履行合同项下任何部分义务的费用或所需时间</w:t>
      </w:r>
      <w:r>
        <w:rPr>
          <w:spacing w:val="-5"/>
          <w:sz w:val="24"/>
        </w:rPr>
        <w:t xml:space="preserve">的增减，应对合同价格或交货进度进行合理的调整，同时相应地修改合同。卖方必须在接到买方的变更指示后 </w:t>
      </w:r>
      <w:r>
        <w:rPr>
          <w:sz w:val="24"/>
        </w:rPr>
        <w:t>30</w:t>
      </w:r>
      <w:r>
        <w:rPr>
          <w:spacing w:val="-8"/>
          <w:sz w:val="24"/>
        </w:rPr>
        <w:t xml:space="preserve"> 天内根据本款提出调整的实施意见。</w:t>
      </w:r>
    </w:p>
    <w:p>
      <w:pPr>
        <w:pStyle w:val="5"/>
        <w:numPr>
          <w:ilvl w:val="0"/>
          <w:numId w:val="32"/>
        </w:numPr>
        <w:tabs>
          <w:tab w:val="left" w:pos="1599"/>
        </w:tabs>
        <w:spacing w:before="2" w:after="0" w:line="240" w:lineRule="auto"/>
        <w:ind w:left="1598" w:right="0" w:hanging="482"/>
        <w:jc w:val="left"/>
      </w:pPr>
      <w:r>
        <w:t>合同修改</w:t>
      </w:r>
    </w:p>
    <w:p>
      <w:pPr>
        <w:pStyle w:val="2"/>
        <w:numPr>
          <w:ilvl w:val="1"/>
          <w:numId w:val="32"/>
        </w:numPr>
        <w:tabs>
          <w:tab w:val="left" w:pos="1658"/>
        </w:tabs>
        <w:spacing w:before="161" w:after="0" w:line="364" w:lineRule="auto"/>
        <w:ind w:left="637" w:right="1249" w:firstLine="480"/>
        <w:jc w:val="left"/>
        <w:rPr>
          <w:sz w:val="24"/>
        </w:rPr>
      </w:pPr>
      <w:r>
        <w:rPr>
          <w:spacing w:val="-7"/>
          <w:sz w:val="24"/>
        </w:rPr>
        <w:t>欲对合同条款做出任何改动或偏离，均须由买卖双方签署书面的合同修改</w:t>
      </w:r>
      <w:r>
        <w:rPr>
          <w:sz w:val="24"/>
        </w:rPr>
        <w:t>书。</w:t>
      </w:r>
    </w:p>
    <w:p>
      <w:pPr>
        <w:pStyle w:val="5"/>
        <w:numPr>
          <w:ilvl w:val="0"/>
          <w:numId w:val="32"/>
        </w:numPr>
        <w:tabs>
          <w:tab w:val="left" w:pos="1599"/>
        </w:tabs>
        <w:spacing w:before="1" w:after="0" w:line="240" w:lineRule="auto"/>
        <w:ind w:left="1598" w:right="0" w:hanging="482"/>
        <w:jc w:val="left"/>
      </w:pPr>
      <w:r>
        <w:t>转让与分包</w:t>
      </w:r>
    </w:p>
    <w:p>
      <w:pPr>
        <w:pStyle w:val="2"/>
        <w:numPr>
          <w:ilvl w:val="1"/>
          <w:numId w:val="32"/>
        </w:numPr>
        <w:tabs>
          <w:tab w:val="left" w:pos="1658"/>
        </w:tabs>
        <w:spacing w:before="160" w:after="0" w:line="364" w:lineRule="auto"/>
        <w:ind w:left="637" w:right="1249" w:firstLine="480"/>
        <w:jc w:val="left"/>
        <w:rPr>
          <w:sz w:val="24"/>
        </w:rPr>
      </w:pPr>
      <w:r>
        <w:rPr>
          <w:spacing w:val="-10"/>
          <w:sz w:val="24"/>
        </w:rPr>
        <w:t>除买方事先同意外，卖方不得部分转让或全部转让其应履行的合同项下的</w:t>
      </w:r>
      <w:r>
        <w:rPr>
          <w:sz w:val="24"/>
        </w:rPr>
        <w:t>义务。</w:t>
      </w:r>
    </w:p>
    <w:p>
      <w:pPr>
        <w:pStyle w:val="2"/>
        <w:numPr>
          <w:ilvl w:val="1"/>
          <w:numId w:val="32"/>
        </w:numPr>
        <w:tabs>
          <w:tab w:val="left" w:pos="1658"/>
        </w:tabs>
        <w:spacing w:before="2" w:after="0" w:line="364" w:lineRule="auto"/>
        <w:ind w:left="637" w:right="1249" w:firstLine="480"/>
        <w:jc w:val="left"/>
        <w:rPr>
          <w:sz w:val="24"/>
        </w:rPr>
      </w:pPr>
      <w:r>
        <w:rPr>
          <w:spacing w:val="-5"/>
          <w:sz w:val="24"/>
        </w:rPr>
        <w:t>卖方应书面通知买方本合同项下所授予的所有分包合同。但该通知不解除</w:t>
      </w:r>
      <w:r>
        <w:rPr>
          <w:sz w:val="24"/>
        </w:rPr>
        <w:t>卖方承担的本合同项下的任何责任或义务。</w:t>
      </w:r>
    </w:p>
    <w:p>
      <w:pPr>
        <w:pStyle w:val="5"/>
        <w:numPr>
          <w:ilvl w:val="0"/>
          <w:numId w:val="32"/>
        </w:numPr>
        <w:tabs>
          <w:tab w:val="left" w:pos="1599"/>
        </w:tabs>
        <w:spacing w:before="1" w:after="0" w:line="240" w:lineRule="auto"/>
        <w:ind w:left="1598" w:right="0" w:hanging="482"/>
        <w:jc w:val="left"/>
      </w:pPr>
      <w:r>
        <w:t>适用法律</w:t>
      </w:r>
    </w:p>
    <w:p>
      <w:pPr>
        <w:pStyle w:val="2"/>
        <w:numPr>
          <w:ilvl w:val="1"/>
          <w:numId w:val="32"/>
        </w:numPr>
        <w:tabs>
          <w:tab w:val="left" w:pos="1658"/>
        </w:tabs>
        <w:spacing w:before="160" w:after="0" w:line="364" w:lineRule="auto"/>
        <w:ind w:left="1117" w:right="4046" w:firstLine="0"/>
        <w:jc w:val="left"/>
        <w:rPr>
          <w:b/>
          <w:sz w:val="24"/>
        </w:rPr>
      </w:pPr>
      <w:r>
        <w:rPr>
          <w:spacing w:val="-1"/>
          <w:sz w:val="24"/>
        </w:rPr>
        <w:t>本合同应按中华人民共和国的相关法律解释。</w:t>
      </w:r>
      <w:r>
        <w:rPr>
          <w:b/>
          <w:sz w:val="24"/>
        </w:rPr>
        <w:t>26．通知</w:t>
      </w:r>
    </w:p>
    <w:p>
      <w:pPr>
        <w:pStyle w:val="10"/>
        <w:spacing w:line="364" w:lineRule="auto"/>
        <w:ind w:right="1249" w:firstLine="480"/>
      </w:pPr>
      <w:r>
        <w:t>26.1</w:t>
      </w:r>
      <w:r>
        <w:rPr>
          <w:spacing w:val="-13"/>
        </w:rPr>
        <w:t xml:space="preserve"> 本合同任何一方给另一方的通知都应以书面或电传、电报、传真的形式发</w:t>
      </w:r>
      <w:r>
        <w:t>送，而另一方应以书面形式确认并发送到对方明确的地址。</w:t>
      </w:r>
    </w:p>
    <w:p>
      <w:pPr>
        <w:pStyle w:val="5"/>
        <w:numPr>
          <w:ilvl w:val="0"/>
          <w:numId w:val="33"/>
        </w:numPr>
        <w:tabs>
          <w:tab w:val="left" w:pos="1599"/>
        </w:tabs>
        <w:spacing w:before="2" w:after="0" w:line="240" w:lineRule="auto"/>
        <w:ind w:left="1598" w:right="0" w:hanging="482"/>
        <w:jc w:val="left"/>
      </w:pPr>
      <w:r>
        <w:t>合同文件及资料的使用</w:t>
      </w:r>
    </w:p>
    <w:p>
      <w:pPr>
        <w:pStyle w:val="2"/>
        <w:numPr>
          <w:ilvl w:val="1"/>
          <w:numId w:val="33"/>
        </w:numPr>
        <w:tabs>
          <w:tab w:val="left" w:pos="1658"/>
        </w:tabs>
        <w:spacing w:before="160" w:after="0" w:line="364" w:lineRule="auto"/>
        <w:ind w:left="637" w:right="1243" w:firstLine="480"/>
        <w:jc w:val="both"/>
        <w:rPr>
          <w:sz w:val="24"/>
        </w:rPr>
      </w:pPr>
      <w:r>
        <w:rPr>
          <w:spacing w:val="-6"/>
          <w:sz w:val="24"/>
        </w:rPr>
        <w:t>除了卖方为执行合同所雇人员外，在未经买方同意的情况下，卖方不得将</w:t>
      </w:r>
      <w:r>
        <w:rPr>
          <w:spacing w:val="-5"/>
          <w:sz w:val="24"/>
        </w:rPr>
        <w:t>合同、合同中的规定、有关规格、计划、图纸、式样、样本或买方为上述内容向卖</w:t>
      </w:r>
      <w:r>
        <w:rPr>
          <w:spacing w:val="-3"/>
          <w:sz w:val="24"/>
        </w:rPr>
        <w:t>方提供的资料透露给任何人。卖方须在对外保密的前提下，对其雇用人员提供有关</w:t>
      </w:r>
      <w:r>
        <w:rPr>
          <w:sz w:val="24"/>
        </w:rPr>
        <w:t>情况，所提供的情况仅限于执行本合同必不可少的范围内。</w:t>
      </w:r>
    </w:p>
    <w:p>
      <w:pPr>
        <w:pStyle w:val="2"/>
        <w:numPr>
          <w:ilvl w:val="1"/>
          <w:numId w:val="33"/>
        </w:numPr>
        <w:tabs>
          <w:tab w:val="left" w:pos="1720"/>
        </w:tabs>
        <w:spacing w:before="3" w:after="0" w:line="364" w:lineRule="auto"/>
        <w:ind w:left="637" w:right="1248" w:firstLine="480"/>
        <w:jc w:val="both"/>
        <w:rPr>
          <w:sz w:val="24"/>
        </w:rPr>
      </w:pPr>
      <w:r>
        <w:rPr>
          <w:sz w:val="24"/>
        </w:rPr>
        <w:t>除非执行合同需要，在事先末得到买方同意的情况下，卖方不得将与本合同有关的任何文件和资料给第三方使用。</w:t>
      </w:r>
    </w:p>
    <w:p>
      <w:pPr>
        <w:pStyle w:val="2"/>
        <w:numPr>
          <w:ilvl w:val="1"/>
          <w:numId w:val="33"/>
        </w:numPr>
        <w:tabs>
          <w:tab w:val="left" w:pos="1720"/>
        </w:tabs>
        <w:spacing w:before="1" w:after="0" w:line="364" w:lineRule="auto"/>
        <w:ind w:left="637" w:right="1248" w:firstLine="480"/>
        <w:jc w:val="both"/>
        <w:rPr>
          <w:sz w:val="24"/>
        </w:rPr>
      </w:pPr>
      <w:r>
        <w:rPr>
          <w:sz w:val="24"/>
        </w:rPr>
        <w:t>除合同本身以外，若买方要求，卖方应于其合同义务履行完毕以后将这些资料(包括所有副本)退还买方。</w:t>
      </w:r>
    </w:p>
    <w:p>
      <w:pPr>
        <w:pStyle w:val="5"/>
        <w:numPr>
          <w:ilvl w:val="0"/>
          <w:numId w:val="33"/>
        </w:numPr>
        <w:tabs>
          <w:tab w:val="left" w:pos="1599"/>
        </w:tabs>
        <w:spacing w:before="1" w:after="0" w:line="240" w:lineRule="auto"/>
        <w:ind w:left="1598" w:right="0" w:hanging="482"/>
        <w:jc w:val="left"/>
      </w:pPr>
      <w:r>
        <w:t>合同生效及其他</w:t>
      </w:r>
    </w:p>
    <w:p>
      <w:pPr>
        <w:pStyle w:val="2"/>
        <w:numPr>
          <w:ilvl w:val="1"/>
          <w:numId w:val="33"/>
        </w:numPr>
        <w:tabs>
          <w:tab w:val="left" w:pos="1658"/>
        </w:tabs>
        <w:spacing w:before="160" w:after="0" w:line="364" w:lineRule="auto"/>
        <w:ind w:left="637" w:right="1249" w:firstLine="480"/>
        <w:jc w:val="left"/>
        <w:rPr>
          <w:sz w:val="24"/>
        </w:rPr>
      </w:pPr>
      <w:r>
        <w:rPr>
          <w:spacing w:val="-4"/>
          <w:sz w:val="24"/>
        </w:rPr>
        <w:t>本合同应在买方</w:t>
      </w:r>
      <w:r>
        <w:rPr>
          <w:sz w:val="24"/>
        </w:rPr>
        <w:t>（采购单位</w:t>
      </w:r>
      <w:r>
        <w:rPr>
          <w:spacing w:val="-20"/>
          <w:sz w:val="24"/>
        </w:rPr>
        <w:t>）</w:t>
      </w:r>
      <w:r>
        <w:rPr>
          <w:spacing w:val="-5"/>
          <w:sz w:val="24"/>
        </w:rPr>
        <w:t>和卖方签字后，招标方</w:t>
      </w:r>
      <w:r>
        <w:rPr>
          <w:sz w:val="24"/>
        </w:rPr>
        <w:t>（</w:t>
      </w:r>
      <w:r>
        <w:rPr>
          <w:rFonts w:hint="eastAsia"/>
          <w:sz w:val="24"/>
        </w:rPr>
        <w:t>新疆正聚方企业管理咨询有限公司</w:t>
      </w:r>
      <w:r>
        <w:rPr>
          <w:spacing w:val="-22"/>
          <w:sz w:val="24"/>
        </w:rPr>
        <w:t>）</w:t>
      </w:r>
      <w:r>
        <w:rPr>
          <w:spacing w:val="-2"/>
          <w:sz w:val="24"/>
        </w:rPr>
        <w:t>收到卖方的履约保证金并加盖鉴证章</w:t>
      </w:r>
    </w:p>
    <w:p>
      <w:pPr>
        <w:spacing w:after="0" w:line="364" w:lineRule="auto"/>
        <w:jc w:val="left"/>
        <w:rPr>
          <w:sz w:val="24"/>
        </w:rPr>
        <w:sectPr>
          <w:footerReference r:id="rId8" w:type="default"/>
          <w:pgSz w:w="11910" w:h="16840"/>
          <w:pgMar w:top="1420" w:right="240" w:bottom="1180" w:left="1160" w:header="878" w:footer="993" w:gutter="0"/>
          <w:pgNumType w:fmt="decimal"/>
          <w:cols w:space="720" w:num="1"/>
        </w:sectPr>
      </w:pPr>
    </w:p>
    <w:p>
      <w:pPr>
        <w:pStyle w:val="10"/>
        <w:spacing w:before="90"/>
      </w:pPr>
      <w:r>
        <w:t>后生效。</w:t>
      </w:r>
    </w:p>
    <w:p>
      <w:pPr>
        <w:pStyle w:val="2"/>
        <w:numPr>
          <w:ilvl w:val="1"/>
          <w:numId w:val="33"/>
        </w:numPr>
        <w:tabs>
          <w:tab w:val="left" w:pos="1720"/>
        </w:tabs>
        <w:spacing w:before="160" w:after="0" w:line="364" w:lineRule="auto"/>
        <w:ind w:left="637" w:right="1248" w:firstLine="480"/>
        <w:jc w:val="left"/>
        <w:rPr>
          <w:sz w:val="24"/>
        </w:rPr>
      </w:pPr>
      <w:r>
        <w:rPr>
          <w:sz w:val="24"/>
        </w:rPr>
        <w:t>卖方须按技术规格中的规定，向买方提供与合同项下货物有关的现场安装调试、技术服务、培训等其他相关服务。</w:t>
      </w:r>
    </w:p>
    <w:p>
      <w:pPr>
        <w:pStyle w:val="2"/>
        <w:numPr>
          <w:ilvl w:val="1"/>
          <w:numId w:val="33"/>
        </w:numPr>
        <w:tabs>
          <w:tab w:val="left" w:pos="1718"/>
        </w:tabs>
        <w:spacing w:before="2" w:after="0" w:line="240" w:lineRule="auto"/>
        <w:ind w:left="1717" w:right="0" w:hanging="601"/>
        <w:jc w:val="left"/>
        <w:rPr>
          <w:sz w:val="24"/>
        </w:rPr>
      </w:pPr>
      <w:r>
        <w:rPr>
          <w:sz w:val="24"/>
        </w:rPr>
        <w:t>商务合同应包括买方最后确认的价格条款和付款方式。</w:t>
      </w:r>
    </w:p>
    <w:p>
      <w:pPr>
        <w:pStyle w:val="2"/>
        <w:numPr>
          <w:ilvl w:val="1"/>
          <w:numId w:val="33"/>
        </w:numPr>
        <w:tabs>
          <w:tab w:val="left" w:pos="1718"/>
        </w:tabs>
        <w:spacing w:before="160" w:after="0" w:line="364" w:lineRule="auto"/>
        <w:ind w:left="637" w:right="1236" w:firstLine="480"/>
        <w:jc w:val="left"/>
        <w:rPr>
          <w:sz w:val="24"/>
        </w:rPr>
      </w:pPr>
      <w:r>
        <w:rPr>
          <w:spacing w:val="-13"/>
          <w:sz w:val="24"/>
        </w:rPr>
        <w:t>下述文件将作为合同附件，为本合同不可分割的组成部分，并与本合具有同</w:t>
      </w:r>
      <w:r>
        <w:rPr>
          <w:spacing w:val="-9"/>
          <w:sz w:val="24"/>
        </w:rPr>
        <w:t>等效力；</w:t>
      </w:r>
    </w:p>
    <w:p>
      <w:pPr>
        <w:pStyle w:val="2"/>
        <w:numPr>
          <w:ilvl w:val="0"/>
          <w:numId w:val="34"/>
        </w:numPr>
        <w:tabs>
          <w:tab w:val="left" w:pos="1719"/>
        </w:tabs>
        <w:spacing w:before="1" w:after="0" w:line="240" w:lineRule="auto"/>
        <w:ind w:left="1718" w:right="0" w:hanging="602"/>
        <w:jc w:val="left"/>
        <w:rPr>
          <w:sz w:val="24"/>
        </w:rPr>
      </w:pPr>
      <w:r>
        <w:rPr>
          <w:sz w:val="24"/>
        </w:rPr>
        <w:t>招标文件</w:t>
      </w:r>
    </w:p>
    <w:p>
      <w:pPr>
        <w:pStyle w:val="2"/>
        <w:numPr>
          <w:ilvl w:val="0"/>
          <w:numId w:val="34"/>
        </w:numPr>
        <w:tabs>
          <w:tab w:val="left" w:pos="1719"/>
        </w:tabs>
        <w:spacing w:before="161" w:after="0" w:line="240" w:lineRule="auto"/>
        <w:ind w:left="1718" w:right="0" w:hanging="602"/>
        <w:jc w:val="left"/>
        <w:rPr>
          <w:sz w:val="24"/>
        </w:rPr>
      </w:pPr>
      <w:r>
        <w:rPr>
          <w:sz w:val="24"/>
        </w:rPr>
        <w:t>中标通知书</w:t>
      </w:r>
    </w:p>
    <w:p>
      <w:pPr>
        <w:pStyle w:val="2"/>
        <w:numPr>
          <w:ilvl w:val="0"/>
          <w:numId w:val="34"/>
        </w:numPr>
        <w:tabs>
          <w:tab w:val="left" w:pos="1719"/>
        </w:tabs>
        <w:spacing w:before="160" w:after="0" w:line="240" w:lineRule="auto"/>
        <w:ind w:left="1718" w:right="0" w:hanging="602"/>
        <w:jc w:val="left"/>
      </w:pPr>
      <w:r>
        <w:rPr>
          <w:sz w:val="24"/>
        </w:rPr>
        <w:t>中标方的投标文件及询标过程中的书面答疑记录</w:t>
      </w:r>
    </w:p>
    <w:p>
      <w:pPr>
        <w:pStyle w:val="4"/>
        <w:spacing w:before="198"/>
        <w:ind w:right="613"/>
      </w:pPr>
      <w:r>
        <w:t>第二章 合同特殊条款</w:t>
      </w:r>
    </w:p>
    <w:p>
      <w:pPr>
        <w:pStyle w:val="10"/>
        <w:spacing w:before="186" w:line="364" w:lineRule="auto"/>
        <w:ind w:right="1245" w:firstLine="480"/>
      </w:pPr>
      <w:r>
        <w:t>合同特殊条款是对合同一般条款的补充和修改，如果两者之间有不一致之处时，应以特殊条款为准。</w:t>
      </w:r>
    </w:p>
    <w:p>
      <w:pPr>
        <w:pStyle w:val="5"/>
        <w:numPr>
          <w:ilvl w:val="0"/>
          <w:numId w:val="35"/>
        </w:numPr>
        <w:tabs>
          <w:tab w:val="left" w:pos="1479"/>
        </w:tabs>
        <w:spacing w:before="1" w:after="0" w:line="240" w:lineRule="auto"/>
        <w:ind w:left="1478" w:right="0" w:hanging="362"/>
        <w:jc w:val="left"/>
      </w:pPr>
      <w:r>
        <w:t>培训：</w:t>
      </w:r>
    </w:p>
    <w:p>
      <w:pPr>
        <w:pStyle w:val="2"/>
        <w:numPr>
          <w:ilvl w:val="1"/>
          <w:numId w:val="35"/>
        </w:numPr>
        <w:tabs>
          <w:tab w:val="left" w:pos="1598"/>
        </w:tabs>
        <w:spacing w:before="160" w:after="0" w:line="364" w:lineRule="auto"/>
        <w:ind w:left="637" w:right="1226" w:firstLine="480"/>
        <w:jc w:val="both"/>
        <w:rPr>
          <w:sz w:val="24"/>
        </w:rPr>
      </w:pPr>
      <w:r>
        <w:rPr>
          <w:spacing w:val="-1"/>
          <w:sz w:val="24"/>
        </w:rPr>
        <w:t>卖方的安装调试人员有义务对买方的设备维修人员及使用人员进行培训， 使维修人员能对设备进行日常维护和一般性故障的查找及故障的排除，使用人员能够熟练掌握设备的各项功能和操作；</w:t>
      </w:r>
    </w:p>
    <w:p>
      <w:pPr>
        <w:pStyle w:val="5"/>
        <w:numPr>
          <w:ilvl w:val="0"/>
          <w:numId w:val="35"/>
        </w:numPr>
        <w:tabs>
          <w:tab w:val="left" w:pos="1479"/>
        </w:tabs>
        <w:spacing w:before="2" w:after="0" w:line="240" w:lineRule="auto"/>
        <w:ind w:left="1478" w:right="0" w:hanging="362"/>
        <w:jc w:val="left"/>
      </w:pPr>
      <w:r>
        <w:t>检验</w:t>
      </w:r>
    </w:p>
    <w:p>
      <w:pPr>
        <w:pStyle w:val="2"/>
        <w:numPr>
          <w:ilvl w:val="1"/>
          <w:numId w:val="35"/>
        </w:numPr>
        <w:tabs>
          <w:tab w:val="left" w:pos="1598"/>
        </w:tabs>
        <w:spacing w:before="161" w:after="0" w:line="364" w:lineRule="auto"/>
        <w:ind w:left="637" w:right="1249" w:firstLine="480"/>
        <w:jc w:val="both"/>
        <w:rPr>
          <w:sz w:val="24"/>
        </w:rPr>
      </w:pPr>
      <w:r>
        <w:rPr>
          <w:spacing w:val="-2"/>
          <w:sz w:val="24"/>
        </w:rPr>
        <w:t>卖方提供的所有货物应符合国际及国内通行的标准，并应附有相应的测试</w:t>
      </w:r>
      <w:r>
        <w:rPr>
          <w:sz w:val="24"/>
        </w:rPr>
        <w:t>报告和合同证书；</w:t>
      </w:r>
    </w:p>
    <w:p>
      <w:pPr>
        <w:pStyle w:val="2"/>
        <w:numPr>
          <w:ilvl w:val="1"/>
          <w:numId w:val="35"/>
        </w:numPr>
        <w:tabs>
          <w:tab w:val="left" w:pos="1605"/>
        </w:tabs>
        <w:spacing w:before="1" w:after="0" w:line="364" w:lineRule="auto"/>
        <w:ind w:left="637" w:right="1249" w:firstLine="480"/>
        <w:jc w:val="both"/>
        <w:rPr>
          <w:sz w:val="24"/>
        </w:rPr>
      </w:pPr>
      <w:r>
        <w:rPr>
          <w:spacing w:val="3"/>
          <w:sz w:val="24"/>
        </w:rPr>
        <w:t>对于卖方提供的所有货物, 买方可按货物的一定比例委托自治区质量监</w:t>
      </w:r>
      <w:r>
        <w:rPr>
          <w:spacing w:val="-5"/>
          <w:sz w:val="24"/>
        </w:rPr>
        <w:t>督部门进行抽检，验收会格后，所产生的费用由买方承担，经检验不合格时，所产</w:t>
      </w:r>
      <w:r>
        <w:rPr>
          <w:sz w:val="24"/>
        </w:rPr>
        <w:t>生的费用由卖方承担。</w:t>
      </w:r>
    </w:p>
    <w:p>
      <w:pPr>
        <w:pStyle w:val="2"/>
        <w:numPr>
          <w:ilvl w:val="1"/>
          <w:numId w:val="35"/>
        </w:numPr>
        <w:tabs>
          <w:tab w:val="left" w:pos="1605"/>
        </w:tabs>
        <w:spacing w:before="2" w:after="0" w:line="364" w:lineRule="auto"/>
        <w:ind w:left="637" w:right="1245" w:firstLine="480"/>
        <w:jc w:val="both"/>
        <w:rPr>
          <w:sz w:val="24"/>
        </w:rPr>
      </w:pPr>
      <w:r>
        <w:rPr>
          <w:spacing w:val="5"/>
          <w:sz w:val="24"/>
        </w:rPr>
        <w:t>具体的国际或国内检验标准按卖方在投标文件中承诺的并经买方确认的</w:t>
      </w:r>
      <w:r>
        <w:rPr>
          <w:sz w:val="24"/>
        </w:rPr>
        <w:t>规定执行。</w:t>
      </w:r>
    </w:p>
    <w:p>
      <w:pPr>
        <w:pStyle w:val="5"/>
        <w:numPr>
          <w:ilvl w:val="0"/>
          <w:numId w:val="35"/>
        </w:numPr>
        <w:tabs>
          <w:tab w:val="left" w:pos="1479"/>
        </w:tabs>
        <w:spacing w:before="1" w:after="0" w:line="240" w:lineRule="auto"/>
        <w:ind w:left="1478" w:right="0" w:hanging="362"/>
        <w:jc w:val="left"/>
      </w:pPr>
      <w:r>
        <w:t>安装调试</w:t>
      </w:r>
    </w:p>
    <w:p>
      <w:pPr>
        <w:pStyle w:val="2"/>
        <w:numPr>
          <w:ilvl w:val="1"/>
          <w:numId w:val="35"/>
        </w:numPr>
        <w:tabs>
          <w:tab w:val="left" w:pos="1598"/>
        </w:tabs>
        <w:spacing w:before="160" w:after="0" w:line="364" w:lineRule="auto"/>
        <w:ind w:left="637" w:right="1249" w:firstLine="480"/>
        <w:jc w:val="left"/>
        <w:rPr>
          <w:sz w:val="24"/>
        </w:rPr>
      </w:pPr>
      <w:r>
        <w:rPr>
          <w:spacing w:val="-3"/>
          <w:sz w:val="24"/>
        </w:rPr>
        <w:t>卖方必须在合同签订后将所有的安装调试条件、需买方配合的事项以书面</w:t>
      </w:r>
      <w:r>
        <w:rPr>
          <w:sz w:val="24"/>
        </w:rPr>
        <w:t>方式通知用户；</w:t>
      </w:r>
    </w:p>
    <w:p>
      <w:pPr>
        <w:pStyle w:val="2"/>
        <w:numPr>
          <w:ilvl w:val="1"/>
          <w:numId w:val="35"/>
        </w:numPr>
        <w:tabs>
          <w:tab w:val="left" w:pos="1598"/>
        </w:tabs>
        <w:spacing w:before="2" w:after="0" w:line="240" w:lineRule="auto"/>
        <w:ind w:left="1597" w:right="0" w:hanging="481"/>
        <w:jc w:val="left"/>
        <w:rPr>
          <w:sz w:val="24"/>
        </w:rPr>
      </w:pPr>
      <w:r>
        <w:rPr>
          <w:sz w:val="24"/>
        </w:rPr>
        <w:t>卖方免费负责设备在买方的安装、调试，买方协助开展工作；</w:t>
      </w:r>
    </w:p>
    <w:p>
      <w:pPr>
        <w:spacing w:after="0" w:line="240" w:lineRule="auto"/>
        <w:jc w:val="left"/>
        <w:rPr>
          <w:sz w:val="24"/>
        </w:rPr>
        <w:sectPr>
          <w:pgSz w:w="11910" w:h="16840"/>
          <w:pgMar w:top="1420" w:right="240" w:bottom="1180" w:left="1160" w:header="878" w:footer="993" w:gutter="0"/>
          <w:pgNumType w:fmt="decimal"/>
          <w:cols w:space="720" w:num="1"/>
        </w:sectPr>
      </w:pPr>
    </w:p>
    <w:p>
      <w:pPr>
        <w:pStyle w:val="2"/>
        <w:numPr>
          <w:ilvl w:val="1"/>
          <w:numId w:val="35"/>
        </w:numPr>
        <w:tabs>
          <w:tab w:val="left" w:pos="1598"/>
        </w:tabs>
        <w:spacing w:before="90" w:after="0" w:line="364" w:lineRule="auto"/>
        <w:ind w:left="637" w:right="1249" w:firstLine="480"/>
        <w:jc w:val="both"/>
        <w:rPr>
          <w:sz w:val="24"/>
        </w:rPr>
      </w:pPr>
      <w:r>
        <w:rPr>
          <w:spacing w:val="-3"/>
          <w:sz w:val="24"/>
        </w:rPr>
        <w:t>卖方安装调试专家人员应及时到达买方现场，直至安装调试结束、通过验</w:t>
      </w:r>
      <w:r>
        <w:rPr>
          <w:sz w:val="24"/>
        </w:rPr>
        <w:t>收；</w:t>
      </w:r>
    </w:p>
    <w:p>
      <w:pPr>
        <w:pStyle w:val="2"/>
        <w:numPr>
          <w:ilvl w:val="1"/>
          <w:numId w:val="35"/>
        </w:numPr>
        <w:tabs>
          <w:tab w:val="left" w:pos="1598"/>
        </w:tabs>
        <w:spacing w:before="1" w:after="0" w:line="364" w:lineRule="auto"/>
        <w:ind w:left="637" w:right="1249" w:firstLine="480"/>
        <w:jc w:val="both"/>
        <w:rPr>
          <w:sz w:val="24"/>
        </w:rPr>
      </w:pPr>
      <w:r>
        <w:rPr>
          <w:spacing w:val="-1"/>
          <w:sz w:val="24"/>
        </w:rPr>
        <w:t>卖方负责安装调试期间</w:t>
      </w:r>
      <w:r>
        <w:rPr>
          <w:sz w:val="24"/>
        </w:rPr>
        <w:t>（包括错发或运输中</w:t>
      </w:r>
      <w:r>
        <w:rPr>
          <w:spacing w:val="-8"/>
          <w:sz w:val="24"/>
        </w:rPr>
        <w:t>）</w:t>
      </w:r>
      <w:r>
        <w:rPr>
          <w:spacing w:val="-3"/>
          <w:sz w:val="24"/>
        </w:rPr>
        <w:t>可能损坏的元器件、测试材</w:t>
      </w:r>
      <w:r>
        <w:rPr>
          <w:spacing w:val="-5"/>
          <w:sz w:val="24"/>
        </w:rPr>
        <w:t>料的准备，如因时间关系，买方可以考虑使用随机的易损件进行更换，但卖方应及</w:t>
      </w:r>
      <w:r>
        <w:rPr>
          <w:sz w:val="24"/>
        </w:rPr>
        <w:t>时给买方补齐（中间产生的任何费用，均由卖方承担）；</w:t>
      </w:r>
    </w:p>
    <w:p>
      <w:pPr>
        <w:pStyle w:val="2"/>
        <w:numPr>
          <w:ilvl w:val="1"/>
          <w:numId w:val="35"/>
        </w:numPr>
        <w:tabs>
          <w:tab w:val="left" w:pos="1598"/>
        </w:tabs>
        <w:spacing w:before="2" w:after="0" w:line="364" w:lineRule="auto"/>
        <w:ind w:left="637" w:right="1249" w:firstLine="480"/>
        <w:jc w:val="both"/>
        <w:rPr>
          <w:sz w:val="24"/>
        </w:rPr>
      </w:pPr>
      <w:r>
        <w:rPr>
          <w:spacing w:val="-4"/>
          <w:sz w:val="24"/>
        </w:rPr>
        <w:t>上述安装调试完成后，买方按相应的卖方在投标文件中所提供的技术指标</w:t>
      </w:r>
      <w:r>
        <w:rPr>
          <w:sz w:val="24"/>
        </w:rPr>
        <w:t>进行验收；</w:t>
      </w:r>
    </w:p>
    <w:p>
      <w:pPr>
        <w:pStyle w:val="2"/>
        <w:numPr>
          <w:ilvl w:val="1"/>
          <w:numId w:val="35"/>
        </w:numPr>
        <w:tabs>
          <w:tab w:val="left" w:pos="1598"/>
        </w:tabs>
        <w:spacing w:before="1" w:after="0" w:line="240" w:lineRule="auto"/>
        <w:ind w:left="1597" w:right="0" w:hanging="481"/>
        <w:jc w:val="both"/>
        <w:rPr>
          <w:sz w:val="24"/>
        </w:rPr>
      </w:pPr>
      <w:r>
        <w:rPr>
          <w:sz w:val="24"/>
        </w:rPr>
        <w:t>卖方如不能按时完成安装、调试工作，应赔偿由此买方造成的所有损失；</w:t>
      </w:r>
    </w:p>
    <w:p>
      <w:pPr>
        <w:pStyle w:val="2"/>
        <w:numPr>
          <w:ilvl w:val="1"/>
          <w:numId w:val="35"/>
        </w:numPr>
        <w:tabs>
          <w:tab w:val="left" w:pos="1598"/>
        </w:tabs>
        <w:spacing w:before="161" w:after="0" w:line="364" w:lineRule="auto"/>
        <w:ind w:left="1117" w:right="3146" w:firstLine="0"/>
        <w:jc w:val="both"/>
        <w:rPr>
          <w:b/>
          <w:sz w:val="24"/>
        </w:rPr>
      </w:pPr>
      <w:r>
        <w:rPr>
          <w:spacing w:val="-1"/>
          <w:sz w:val="24"/>
        </w:rPr>
        <w:t>最终的测试验收报告由买卖双方代表签字认可后生效。</w:t>
      </w:r>
      <w:r>
        <w:rPr>
          <w:b/>
          <w:sz w:val="24"/>
        </w:rPr>
        <w:t>4．质量保证</w:t>
      </w:r>
    </w:p>
    <w:p>
      <w:pPr>
        <w:pStyle w:val="2"/>
        <w:numPr>
          <w:ilvl w:val="1"/>
          <w:numId w:val="36"/>
        </w:numPr>
        <w:tabs>
          <w:tab w:val="left" w:pos="1538"/>
        </w:tabs>
        <w:spacing w:before="1" w:after="0" w:line="364" w:lineRule="auto"/>
        <w:ind w:left="637" w:right="1248" w:firstLine="480"/>
        <w:jc w:val="left"/>
        <w:rPr>
          <w:sz w:val="24"/>
        </w:rPr>
      </w:pPr>
      <w:r>
        <w:rPr>
          <w:sz w:val="24"/>
        </w:rPr>
        <w:t>因卖方原因造成买方不能按时使用（根据合同有关条款）所购买货物（</w:t>
      </w:r>
      <w:r>
        <w:rPr>
          <w:spacing w:val="-11"/>
          <w:sz w:val="24"/>
        </w:rPr>
        <w:t>设</w:t>
      </w:r>
      <w:r>
        <w:rPr>
          <w:sz w:val="24"/>
        </w:rPr>
        <w:t>备）时，卖方应根据合同规定向买方做出赔偿；</w:t>
      </w:r>
    </w:p>
    <w:p>
      <w:pPr>
        <w:pStyle w:val="2"/>
        <w:numPr>
          <w:ilvl w:val="1"/>
          <w:numId w:val="36"/>
        </w:numPr>
        <w:tabs>
          <w:tab w:val="left" w:pos="1598"/>
        </w:tabs>
        <w:spacing w:before="1" w:after="0" w:line="364" w:lineRule="auto"/>
        <w:ind w:left="637" w:right="1249" w:firstLine="480"/>
        <w:jc w:val="left"/>
        <w:rPr>
          <w:b/>
          <w:bCs/>
          <w:color w:val="auto"/>
          <w:sz w:val="24"/>
        </w:rPr>
      </w:pPr>
      <w:r>
        <w:rPr>
          <w:b/>
          <w:bCs/>
          <w:color w:val="auto"/>
          <w:spacing w:val="-3"/>
          <w:sz w:val="24"/>
        </w:rPr>
        <w:t>卖方对合同项下设备提供</w:t>
      </w:r>
      <w:r>
        <w:rPr>
          <w:rFonts w:hint="eastAsia"/>
          <w:b/>
          <w:bCs/>
          <w:color w:val="auto"/>
          <w:spacing w:val="-3"/>
          <w:sz w:val="24"/>
          <w:lang w:val="en-US" w:eastAsia="zh-CN"/>
        </w:rPr>
        <w:t>质保</w:t>
      </w:r>
      <w:r>
        <w:rPr>
          <w:b/>
          <w:bCs/>
          <w:color w:val="auto"/>
          <w:spacing w:val="-3"/>
          <w:sz w:val="24"/>
        </w:rPr>
        <w:t>期</w:t>
      </w:r>
      <w:r>
        <w:rPr>
          <w:rFonts w:hint="eastAsia"/>
          <w:b/>
          <w:bCs/>
          <w:color w:val="auto"/>
          <w:spacing w:val="-3"/>
          <w:sz w:val="24"/>
          <w:lang w:val="en-US" w:eastAsia="zh-CN"/>
        </w:rPr>
        <w:t>为五</w:t>
      </w:r>
      <w:r>
        <w:rPr>
          <w:b/>
          <w:bCs/>
          <w:color w:val="auto"/>
          <w:spacing w:val="-3"/>
          <w:sz w:val="24"/>
        </w:rPr>
        <w:t>年的保修服务，保修期自验收合格双方签</w:t>
      </w:r>
      <w:r>
        <w:rPr>
          <w:b/>
          <w:bCs/>
          <w:color w:val="auto"/>
          <w:sz w:val="24"/>
        </w:rPr>
        <w:t>字时算起。在保修期内，卖方需提供免费的维修零配件。</w:t>
      </w:r>
    </w:p>
    <w:p>
      <w:pPr>
        <w:pStyle w:val="5"/>
        <w:numPr>
          <w:ilvl w:val="0"/>
          <w:numId w:val="37"/>
        </w:numPr>
        <w:tabs>
          <w:tab w:val="left" w:pos="1479"/>
        </w:tabs>
        <w:spacing w:before="1" w:after="0" w:line="240" w:lineRule="auto"/>
        <w:ind w:left="1478" w:right="0" w:hanging="362"/>
        <w:jc w:val="left"/>
      </w:pPr>
      <w:r>
        <w:t>售后服务</w:t>
      </w:r>
    </w:p>
    <w:p>
      <w:pPr>
        <w:pStyle w:val="2"/>
        <w:numPr>
          <w:ilvl w:val="1"/>
          <w:numId w:val="37"/>
        </w:numPr>
        <w:tabs>
          <w:tab w:val="left" w:pos="1538"/>
        </w:tabs>
        <w:spacing w:before="161" w:after="0" w:line="364" w:lineRule="auto"/>
        <w:ind w:left="637" w:right="1248" w:firstLine="480"/>
        <w:jc w:val="left"/>
        <w:rPr>
          <w:sz w:val="24"/>
        </w:rPr>
      </w:pPr>
      <w:r>
        <w:rPr>
          <w:spacing w:val="-1"/>
          <w:sz w:val="24"/>
        </w:rPr>
        <w:t>提供给买方详细的设备清单及相应的使用、维修、故障查询手册及电器、</w:t>
      </w:r>
      <w:r>
        <w:rPr>
          <w:sz w:val="24"/>
        </w:rPr>
        <w:t>电路图；</w:t>
      </w:r>
    </w:p>
    <w:p>
      <w:pPr>
        <w:pStyle w:val="2"/>
        <w:numPr>
          <w:ilvl w:val="1"/>
          <w:numId w:val="37"/>
        </w:numPr>
        <w:tabs>
          <w:tab w:val="left" w:pos="1600"/>
        </w:tabs>
        <w:spacing w:before="1" w:after="0" w:line="364" w:lineRule="auto"/>
        <w:ind w:left="637" w:right="1248" w:firstLine="480"/>
        <w:jc w:val="left"/>
        <w:rPr>
          <w:sz w:val="24"/>
        </w:rPr>
      </w:pPr>
      <w:r>
        <w:rPr>
          <w:spacing w:val="-4"/>
          <w:sz w:val="24"/>
        </w:rPr>
        <w:t xml:space="preserve">在买方发出要求服务通知的 </w:t>
      </w:r>
      <w:r>
        <w:rPr>
          <w:rFonts w:hint="eastAsia"/>
          <w:sz w:val="24"/>
          <w:lang w:val="en-US" w:eastAsia="zh-CN"/>
        </w:rPr>
        <w:t>6</w:t>
      </w:r>
      <w:r>
        <w:rPr>
          <w:spacing w:val="-5"/>
          <w:sz w:val="24"/>
        </w:rPr>
        <w:t>小时内，卖方指派的服务人员必须到达买</w:t>
      </w:r>
      <w:r>
        <w:rPr>
          <w:spacing w:val="-8"/>
          <w:sz w:val="24"/>
        </w:rPr>
        <w:t xml:space="preserve">方现场，对设备出现的较大问题，解决时间不应超过 </w:t>
      </w:r>
      <w:r>
        <w:rPr>
          <w:sz w:val="24"/>
        </w:rPr>
        <w:t>5</w:t>
      </w:r>
      <w:r>
        <w:rPr>
          <w:spacing w:val="-10"/>
          <w:sz w:val="24"/>
        </w:rPr>
        <w:t xml:space="preserve"> 个日历日；</w:t>
      </w:r>
    </w:p>
    <w:p>
      <w:pPr>
        <w:pStyle w:val="2"/>
        <w:numPr>
          <w:ilvl w:val="1"/>
          <w:numId w:val="37"/>
        </w:numPr>
        <w:tabs>
          <w:tab w:val="left" w:pos="1598"/>
        </w:tabs>
        <w:spacing w:before="1" w:after="0" w:line="364" w:lineRule="auto"/>
        <w:ind w:left="637" w:right="1249" w:firstLine="480"/>
        <w:jc w:val="left"/>
        <w:rPr>
          <w:sz w:val="24"/>
        </w:rPr>
      </w:pPr>
      <w:r>
        <w:rPr>
          <w:spacing w:val="-7"/>
          <w:sz w:val="24"/>
        </w:rPr>
        <w:t xml:space="preserve">在保修期内，如设备出现故障，必须在 </w:t>
      </w:r>
      <w:r>
        <w:rPr>
          <w:sz w:val="24"/>
        </w:rPr>
        <w:t>3</w:t>
      </w:r>
      <w:r>
        <w:rPr>
          <w:spacing w:val="-9"/>
          <w:sz w:val="24"/>
        </w:rPr>
        <w:t xml:space="preserve"> 个日历日内完成维修工作，否则</w:t>
      </w:r>
      <w:r>
        <w:rPr>
          <w:sz w:val="24"/>
        </w:rPr>
        <w:t>更换新机；</w:t>
      </w:r>
    </w:p>
    <w:p>
      <w:pPr>
        <w:pStyle w:val="2"/>
        <w:numPr>
          <w:ilvl w:val="1"/>
          <w:numId w:val="37"/>
        </w:numPr>
        <w:tabs>
          <w:tab w:val="left" w:pos="1598"/>
        </w:tabs>
        <w:spacing w:before="1" w:after="0" w:line="364" w:lineRule="auto"/>
        <w:ind w:left="637" w:right="1249" w:firstLine="480"/>
        <w:jc w:val="left"/>
        <w:rPr>
          <w:sz w:val="24"/>
        </w:rPr>
      </w:pPr>
      <w:r>
        <w:rPr>
          <w:spacing w:val="-1"/>
          <w:sz w:val="24"/>
        </w:rPr>
        <w:t>提供相应的售后服务承诺</w:t>
      </w:r>
      <w:r>
        <w:rPr>
          <w:sz w:val="24"/>
        </w:rPr>
        <w:t>（</w:t>
      </w:r>
      <w:r>
        <w:rPr>
          <w:spacing w:val="-2"/>
          <w:sz w:val="24"/>
        </w:rPr>
        <w:t>需要设备生产企业协助的部分，须由该生产企</w:t>
      </w:r>
      <w:r>
        <w:rPr>
          <w:sz w:val="24"/>
        </w:rPr>
        <w:t>业做出相应的服务承诺），并附在投标文件中。</w:t>
      </w:r>
    </w:p>
    <w:p>
      <w:pPr>
        <w:pStyle w:val="5"/>
        <w:numPr>
          <w:ilvl w:val="0"/>
          <w:numId w:val="37"/>
        </w:numPr>
        <w:tabs>
          <w:tab w:val="left" w:pos="1479"/>
        </w:tabs>
        <w:spacing w:before="1" w:after="0" w:line="240" w:lineRule="auto"/>
        <w:ind w:left="1478" w:right="0" w:hanging="362"/>
        <w:jc w:val="left"/>
      </w:pPr>
      <w:r>
        <w:t>其他</w:t>
      </w:r>
    </w:p>
    <w:p>
      <w:pPr>
        <w:pStyle w:val="2"/>
        <w:numPr>
          <w:ilvl w:val="1"/>
          <w:numId w:val="37"/>
        </w:numPr>
        <w:tabs>
          <w:tab w:val="left" w:pos="1598"/>
        </w:tabs>
        <w:spacing w:before="161" w:after="0" w:line="240" w:lineRule="auto"/>
        <w:ind w:left="1597" w:right="0" w:hanging="481"/>
        <w:jc w:val="both"/>
        <w:rPr>
          <w:sz w:val="24"/>
        </w:rPr>
      </w:pPr>
      <w:r>
        <w:rPr>
          <w:sz w:val="24"/>
        </w:rPr>
        <w:t>投标报价：设备使用地安装调试完成、且验收合格后的交货价</w:t>
      </w:r>
    </w:p>
    <w:p>
      <w:pPr>
        <w:pStyle w:val="2"/>
        <w:numPr>
          <w:ilvl w:val="1"/>
          <w:numId w:val="37"/>
        </w:numPr>
        <w:tabs>
          <w:tab w:val="left" w:pos="1598"/>
        </w:tabs>
        <w:spacing w:before="160" w:after="0" w:line="240" w:lineRule="auto"/>
        <w:ind w:left="1597" w:right="0" w:hanging="481"/>
        <w:jc w:val="left"/>
        <w:rPr>
          <w:sz w:val="24"/>
        </w:rPr>
      </w:pPr>
      <w:r>
        <w:rPr>
          <w:sz w:val="24"/>
        </w:rPr>
        <w:t>投标货币：人民币</w:t>
      </w:r>
    </w:p>
    <w:p>
      <w:pPr>
        <w:pStyle w:val="2"/>
        <w:numPr>
          <w:ilvl w:val="1"/>
          <w:numId w:val="37"/>
        </w:numPr>
        <w:tabs>
          <w:tab w:val="left" w:pos="1598"/>
        </w:tabs>
        <w:spacing w:before="161" w:after="0" w:line="364" w:lineRule="auto"/>
        <w:ind w:left="637" w:right="1226" w:firstLine="480"/>
        <w:jc w:val="left"/>
        <w:rPr>
          <w:sz w:val="24"/>
        </w:rPr>
      </w:pPr>
      <w:r>
        <w:rPr>
          <w:sz w:val="24"/>
        </w:rPr>
        <w:t>列出详细的易损件、专用工具的清单，并分项报价（应包括在总价内）</w:t>
      </w:r>
      <w:r>
        <w:rPr>
          <w:spacing w:val="-17"/>
          <w:sz w:val="24"/>
        </w:rPr>
        <w:t>。</w:t>
      </w:r>
      <w:r>
        <w:rPr>
          <w:sz w:val="24"/>
        </w:rPr>
        <w:t>清单内容应包括：名称、数量、单价、总价</w:t>
      </w:r>
    </w:p>
    <w:p>
      <w:pPr>
        <w:pStyle w:val="2"/>
        <w:numPr>
          <w:ilvl w:val="1"/>
          <w:numId w:val="37"/>
        </w:numPr>
        <w:tabs>
          <w:tab w:val="left" w:pos="1598"/>
        </w:tabs>
        <w:spacing w:before="1" w:after="0" w:line="240" w:lineRule="auto"/>
        <w:ind w:left="1597" w:right="0" w:hanging="481"/>
        <w:jc w:val="left"/>
        <w:rPr>
          <w:sz w:val="24"/>
        </w:rPr>
      </w:pPr>
      <w:r>
        <w:rPr>
          <w:sz w:val="24"/>
        </w:rPr>
        <w:t>付款币种及方式（见第三章）</w:t>
      </w:r>
    </w:p>
    <w:p>
      <w:pPr>
        <w:spacing w:after="0" w:line="240" w:lineRule="auto"/>
        <w:jc w:val="left"/>
        <w:rPr>
          <w:sz w:val="24"/>
        </w:rPr>
        <w:sectPr>
          <w:pgSz w:w="11910" w:h="16840"/>
          <w:pgMar w:top="1420" w:right="240" w:bottom="1180" w:left="1160" w:header="878" w:footer="993" w:gutter="0"/>
          <w:pgNumType w:fmt="decimal"/>
          <w:cols w:space="720" w:num="1"/>
        </w:sectPr>
      </w:pPr>
    </w:p>
    <w:p>
      <w:pPr>
        <w:pStyle w:val="2"/>
        <w:numPr>
          <w:ilvl w:val="1"/>
          <w:numId w:val="37"/>
        </w:numPr>
        <w:tabs>
          <w:tab w:val="left" w:pos="1658"/>
        </w:tabs>
        <w:spacing w:before="90" w:after="0" w:line="240" w:lineRule="auto"/>
        <w:ind w:left="1657" w:right="0" w:hanging="481"/>
        <w:jc w:val="left"/>
        <w:rPr>
          <w:sz w:val="24"/>
        </w:rPr>
      </w:pPr>
      <w:r>
        <w:rPr>
          <w:sz w:val="24"/>
        </w:rPr>
        <w:t>交货地点</w:t>
      </w:r>
      <w:r>
        <w:rPr>
          <w:spacing w:val="-8"/>
          <w:sz w:val="24"/>
        </w:rPr>
        <w:t>：</w:t>
      </w:r>
      <w:r>
        <w:rPr>
          <w:rFonts w:hint="eastAsia"/>
          <w:spacing w:val="-8"/>
          <w:sz w:val="24"/>
          <w:lang w:eastAsia="zh-CN"/>
        </w:rPr>
        <w:t>和硕县；</w:t>
      </w:r>
    </w:p>
    <w:p>
      <w:pPr>
        <w:pStyle w:val="2"/>
        <w:numPr>
          <w:ilvl w:val="1"/>
          <w:numId w:val="37"/>
        </w:numPr>
        <w:tabs>
          <w:tab w:val="left" w:pos="1598"/>
        </w:tabs>
        <w:spacing w:before="160" w:after="0" w:line="240" w:lineRule="auto"/>
        <w:ind w:left="1597" w:right="0" w:hanging="481"/>
        <w:jc w:val="left"/>
        <w:rPr>
          <w:color w:val="auto"/>
          <w:sz w:val="24"/>
        </w:rPr>
      </w:pPr>
      <w:r>
        <w:rPr>
          <w:spacing w:val="-6"/>
          <w:sz w:val="24"/>
        </w:rPr>
        <w:t>交货时间：</w:t>
      </w:r>
      <w:r>
        <w:rPr>
          <w:color w:val="auto"/>
          <w:spacing w:val="-6"/>
          <w:sz w:val="24"/>
        </w:rPr>
        <w:t xml:space="preserve">签订合同后 </w:t>
      </w:r>
      <w:r>
        <w:rPr>
          <w:rFonts w:hint="eastAsia"/>
          <w:color w:val="auto"/>
          <w:sz w:val="24"/>
          <w:lang w:val="en-US" w:eastAsia="zh-CN"/>
        </w:rPr>
        <w:t>30</w:t>
      </w:r>
      <w:r>
        <w:rPr>
          <w:color w:val="auto"/>
          <w:spacing w:val="-8"/>
          <w:sz w:val="24"/>
        </w:rPr>
        <w:t>天内交货安装调试完毕。</w:t>
      </w:r>
    </w:p>
    <w:p>
      <w:pPr>
        <w:pStyle w:val="4"/>
        <w:spacing w:before="189"/>
      </w:pPr>
      <w:r>
        <w:t>第三章 付款币种及方式</w:t>
      </w:r>
    </w:p>
    <w:p>
      <w:pPr>
        <w:pStyle w:val="10"/>
        <w:spacing w:before="186"/>
        <w:ind w:left="1117"/>
      </w:pPr>
      <w:r>
        <w:t>1．付款币种</w:t>
      </w:r>
    </w:p>
    <w:p>
      <w:pPr>
        <w:pStyle w:val="10"/>
        <w:spacing w:before="160" w:line="364" w:lineRule="auto"/>
        <w:ind w:left="1117" w:right="4826"/>
      </w:pPr>
      <w:r>
        <w:rPr>
          <w:spacing w:val="-1"/>
        </w:rPr>
        <w:t>本次招标所述的项目资金均以人民币支付。</w:t>
      </w:r>
      <w:r>
        <w:t>3.付款方式：</w:t>
      </w:r>
    </w:p>
    <w:p>
      <w:pPr>
        <w:spacing w:line="420" w:lineRule="exact"/>
        <w:ind w:left="440" w:leftChars="200" w:right="829" w:rightChars="377" w:firstLine="480" w:firstLineChars="200"/>
        <w:rPr>
          <w:rFonts w:hint="eastAsia" w:ascii="宋体" w:hAnsi="宋体" w:eastAsia="宋体" w:cs="Times New Roman"/>
          <w:b/>
          <w:bCs/>
          <w:kern w:val="2"/>
          <w:sz w:val="24"/>
          <w:szCs w:val="24"/>
          <w:lang w:val="zh-CN" w:eastAsia="zh-CN" w:bidi="ar-SA"/>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本项目的付款方式：</w:t>
      </w:r>
      <w:r>
        <w:rPr>
          <w:rFonts w:hint="eastAsia" w:ascii="宋体" w:hAnsi="宋体" w:eastAsia="宋体" w:cs="Times New Roman"/>
          <w:b/>
          <w:bCs/>
          <w:kern w:val="2"/>
          <w:sz w:val="24"/>
          <w:szCs w:val="24"/>
          <w:lang w:val="zh-CN" w:eastAsia="zh-CN" w:bidi="ar-SA"/>
        </w:rPr>
        <w:t>签订合同后，支付30%的预付款，全部货物到达采购人指定现场并经验收合格后付至审计价的9</w:t>
      </w:r>
      <w:r>
        <w:rPr>
          <w:rFonts w:hint="eastAsia" w:ascii="宋体" w:hAnsi="宋体" w:eastAsia="宋体" w:cs="Times New Roman"/>
          <w:b/>
          <w:bCs/>
          <w:kern w:val="2"/>
          <w:sz w:val="24"/>
          <w:szCs w:val="24"/>
          <w:lang w:val="en-US" w:eastAsia="zh-CN" w:bidi="ar-SA"/>
        </w:rPr>
        <w:t>7</w:t>
      </w:r>
      <w:r>
        <w:rPr>
          <w:rFonts w:hint="eastAsia" w:ascii="宋体" w:hAnsi="宋体" w:eastAsia="宋体" w:cs="Times New Roman"/>
          <w:b/>
          <w:bCs/>
          <w:kern w:val="2"/>
          <w:sz w:val="24"/>
          <w:szCs w:val="24"/>
          <w:lang w:val="zh-CN" w:eastAsia="zh-CN" w:bidi="ar-SA"/>
        </w:rPr>
        <w:t>%；留</w:t>
      </w:r>
      <w:r>
        <w:rPr>
          <w:rFonts w:hint="eastAsia" w:ascii="宋体" w:hAnsi="宋体" w:eastAsia="宋体" w:cs="Times New Roman"/>
          <w:b/>
          <w:bCs/>
          <w:kern w:val="2"/>
          <w:sz w:val="24"/>
          <w:szCs w:val="24"/>
          <w:lang w:val="en-US" w:eastAsia="zh-CN" w:bidi="ar-SA"/>
        </w:rPr>
        <w:t>3</w:t>
      </w:r>
      <w:r>
        <w:rPr>
          <w:rFonts w:hint="eastAsia" w:ascii="宋体" w:hAnsi="宋体" w:eastAsia="宋体" w:cs="Times New Roman"/>
          <w:b/>
          <w:bCs/>
          <w:kern w:val="2"/>
          <w:sz w:val="24"/>
          <w:szCs w:val="24"/>
          <w:lang w:val="zh-CN" w:eastAsia="zh-CN" w:bidi="ar-SA"/>
        </w:rPr>
        <w:t>% 的质量保证金，</w:t>
      </w:r>
      <w:r>
        <w:rPr>
          <w:rFonts w:hint="eastAsia" w:ascii="宋体" w:hAnsi="宋体" w:eastAsia="宋体" w:cs="Times New Roman"/>
          <w:b/>
          <w:bCs/>
          <w:kern w:val="2"/>
          <w:sz w:val="24"/>
          <w:szCs w:val="24"/>
          <w:lang w:val="en-US" w:eastAsia="zh-CN" w:bidi="ar-SA"/>
        </w:rPr>
        <w:t>质保期过后退还。</w:t>
      </w:r>
      <w:r>
        <w:rPr>
          <w:rFonts w:hint="eastAsia" w:ascii="宋体" w:hAnsi="宋体" w:eastAsia="宋体" w:cs="Times New Roman"/>
          <w:b/>
          <w:bCs/>
          <w:kern w:val="2"/>
          <w:sz w:val="24"/>
          <w:szCs w:val="24"/>
          <w:lang w:val="zh-CN" w:eastAsia="zh-CN" w:bidi="ar-SA"/>
        </w:rPr>
        <w:t>备注：最终付款方式以和甲方单位签订合同为主。</w:t>
      </w:r>
    </w:p>
    <w:p>
      <w:pPr>
        <w:pStyle w:val="17"/>
        <w:spacing w:line="500" w:lineRule="exact"/>
        <w:ind w:left="0" w:leftChars="0" w:firstLine="960" w:firstLineChars="4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验收付款时供应商应必须提交：</w:t>
      </w:r>
    </w:p>
    <w:p>
      <w:pPr>
        <w:pStyle w:val="17"/>
        <w:spacing w:line="360" w:lineRule="exact"/>
        <w:ind w:left="0" w:leftChars="0" w:firstLine="0" w:firstLineChars="0"/>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rPr>
        <w:fldChar w:fldCharType="begin"/>
      </w:r>
      <w:r>
        <w:rPr>
          <w:rFonts w:hint="eastAsia" w:ascii="宋体" w:hAnsi="宋体" w:cs="宋体"/>
          <w:kern w:val="0"/>
          <w:sz w:val="24"/>
          <w:szCs w:val="24"/>
        </w:rPr>
        <w:instrText xml:space="preserve"> = 1 \* GB3 \* MERGEFORMAT </w:instrText>
      </w:r>
      <w:r>
        <w:rPr>
          <w:rFonts w:hint="eastAsia" w:ascii="宋体" w:hAnsi="宋体" w:cs="宋体"/>
          <w:kern w:val="0"/>
          <w:sz w:val="24"/>
          <w:szCs w:val="24"/>
        </w:rPr>
        <w:fldChar w:fldCharType="separate"/>
      </w:r>
      <w:r>
        <w:t>①</w:t>
      </w:r>
      <w:r>
        <w:rPr>
          <w:rFonts w:hint="eastAsia" w:ascii="宋体" w:hAnsi="宋体" w:cs="宋体"/>
          <w:kern w:val="0"/>
          <w:sz w:val="24"/>
          <w:szCs w:val="24"/>
        </w:rPr>
        <w:fldChar w:fldCharType="end"/>
      </w:r>
      <w:r>
        <w:rPr>
          <w:rFonts w:hint="eastAsia" w:ascii="宋体" w:hAnsi="宋体" w:cs="宋体"/>
          <w:kern w:val="0"/>
          <w:sz w:val="24"/>
          <w:szCs w:val="24"/>
        </w:rPr>
        <w:t>符合招标人要求的发票；</w:t>
      </w:r>
    </w:p>
    <w:p>
      <w:pPr>
        <w:pStyle w:val="17"/>
        <w:spacing w:line="360" w:lineRule="exact"/>
        <w:ind w:left="0" w:leftChars="0" w:firstLine="0" w:firstLineChars="0"/>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 </w:t>
      </w:r>
      <w:r>
        <w:rPr>
          <w:rFonts w:hint="eastAsia" w:ascii="宋体" w:hAnsi="宋体" w:cs="宋体"/>
          <w:kern w:val="0"/>
          <w:sz w:val="24"/>
          <w:szCs w:val="24"/>
        </w:rPr>
        <w:fldChar w:fldCharType="begin"/>
      </w:r>
      <w:r>
        <w:rPr>
          <w:rFonts w:hint="eastAsia" w:ascii="宋体" w:hAnsi="宋体" w:cs="宋体"/>
          <w:kern w:val="0"/>
          <w:sz w:val="24"/>
          <w:szCs w:val="24"/>
        </w:rPr>
        <w:instrText xml:space="preserve"> = 2 \* GB3 \* MERGEFORMAT </w:instrText>
      </w:r>
      <w:r>
        <w:rPr>
          <w:rFonts w:hint="eastAsia" w:ascii="宋体" w:hAnsi="宋体" w:cs="宋体"/>
          <w:kern w:val="0"/>
          <w:sz w:val="24"/>
          <w:szCs w:val="24"/>
        </w:rPr>
        <w:fldChar w:fldCharType="separate"/>
      </w:r>
      <w:r>
        <w:t>②</w:t>
      </w:r>
      <w:r>
        <w:rPr>
          <w:rFonts w:hint="eastAsia" w:ascii="宋体" w:hAnsi="宋体" w:cs="宋体"/>
          <w:kern w:val="0"/>
          <w:sz w:val="24"/>
          <w:szCs w:val="24"/>
        </w:rPr>
        <w:fldChar w:fldCharType="end"/>
      </w:r>
      <w:r>
        <w:rPr>
          <w:rFonts w:hint="eastAsia" w:ascii="宋体" w:hAnsi="宋体" w:cs="宋体"/>
          <w:kern w:val="0"/>
          <w:sz w:val="24"/>
          <w:szCs w:val="24"/>
        </w:rPr>
        <w:t>采购人认可的签字盖章的验收回执一份。</w:t>
      </w:r>
    </w:p>
    <w:p>
      <w:pPr>
        <w:pStyle w:val="4"/>
        <w:spacing w:before="197"/>
        <w:ind w:right="613"/>
      </w:pPr>
      <w:r>
        <w:t>第四章 售后服务承诺</w:t>
      </w:r>
    </w:p>
    <w:p>
      <w:pPr>
        <w:pStyle w:val="2"/>
        <w:numPr>
          <w:ilvl w:val="0"/>
          <w:numId w:val="38"/>
        </w:numPr>
        <w:tabs>
          <w:tab w:val="left" w:pos="1480"/>
        </w:tabs>
        <w:spacing w:before="186" w:after="0" w:line="364" w:lineRule="auto"/>
        <w:ind w:left="637" w:right="1249" w:firstLine="480"/>
        <w:jc w:val="both"/>
        <w:rPr>
          <w:sz w:val="24"/>
          <w:u w:val="none"/>
        </w:rPr>
      </w:pPr>
      <w:r>
        <w:rPr>
          <w:sz w:val="24"/>
        </w:rPr>
        <w:t>在交付使用后，卖方应对保修期及其以后的服务做出承诺，并具有切实可</w:t>
      </w:r>
      <w:r>
        <w:rPr>
          <w:spacing w:val="-4"/>
          <w:sz w:val="24"/>
        </w:rPr>
        <w:t>行的服务措施。</w:t>
      </w:r>
      <w:r>
        <w:rPr>
          <w:color w:val="auto"/>
          <w:spacing w:val="-4"/>
          <w:sz w:val="24"/>
          <w:u w:val="none"/>
        </w:rPr>
        <w:t>不能及时兑现服务承诺内容而影响买方使用时，卖方应给予补偿的</w:t>
      </w:r>
      <w:r>
        <w:rPr>
          <w:color w:val="auto"/>
          <w:spacing w:val="-5"/>
          <w:sz w:val="24"/>
          <w:u w:val="none"/>
        </w:rPr>
        <w:t>承诺，在投标书中均应明确说明。</w:t>
      </w:r>
    </w:p>
    <w:p>
      <w:pPr>
        <w:pStyle w:val="10"/>
        <w:spacing w:before="0"/>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10"/>
        <w:spacing w:before="12"/>
        <w:ind w:left="0"/>
      </w:pPr>
    </w:p>
    <w:p>
      <w:pPr>
        <w:pStyle w:val="3"/>
        <w:spacing w:before="0"/>
        <w:ind w:right="605"/>
      </w:pPr>
      <w:r>
        <w:t>第八部分 投标文件的编制装订</w:t>
      </w:r>
    </w:p>
    <w:p>
      <w:pPr>
        <w:pStyle w:val="5"/>
        <w:spacing w:before="163"/>
        <w:ind w:left="1235"/>
      </w:pPr>
      <w:r>
        <w:t>一、投标文件编制和装订顺序</w:t>
      </w:r>
    </w:p>
    <w:p>
      <w:pPr>
        <w:pStyle w:val="10"/>
        <w:spacing w:before="2" w:line="364" w:lineRule="auto"/>
        <w:ind w:right="1248" w:firstLine="597"/>
      </w:pPr>
      <w:r>
        <w:t>（</w:t>
      </w:r>
      <w:r>
        <w:rPr>
          <w:rFonts w:hint="eastAsia"/>
          <w:lang w:eastAsia="zh-CN"/>
        </w:rPr>
        <w:t>一</w:t>
      </w:r>
      <w:r>
        <w:t>）投标人的投标文件编制顺序，必须按下列顺序排列和装订。否则，其投标文件将可能被拒绝接受，或作为废标处理。编制排列和装订顺序严格如下：</w:t>
      </w:r>
    </w:p>
    <w:p>
      <w:pPr>
        <w:pStyle w:val="10"/>
        <w:ind w:left="1225"/>
        <w:rPr>
          <w:rFonts w:hint="eastAsia" w:eastAsia="宋体"/>
          <w:lang w:eastAsia="zh-CN"/>
        </w:rPr>
      </w:pPr>
      <w:r>
        <w:t>1、投标函</w:t>
      </w:r>
      <w:r>
        <w:rPr>
          <w:rFonts w:hint="eastAsia"/>
          <w:lang w:eastAsia="zh-CN"/>
        </w:rPr>
        <w:t>；</w:t>
      </w:r>
    </w:p>
    <w:p>
      <w:pPr>
        <w:pStyle w:val="10"/>
        <w:spacing w:before="160"/>
        <w:ind w:left="1237"/>
        <w:rPr>
          <w:rFonts w:hint="eastAsia" w:eastAsia="宋体"/>
          <w:lang w:eastAsia="zh-CN"/>
        </w:rPr>
      </w:pPr>
      <w:r>
        <w:t>2、法人代表授权委托书原件及授权代表身份证明原件</w:t>
      </w:r>
      <w:r>
        <w:rPr>
          <w:rFonts w:hint="eastAsia"/>
          <w:lang w:eastAsia="zh-CN"/>
        </w:rPr>
        <w:t>；</w:t>
      </w:r>
    </w:p>
    <w:p>
      <w:pPr>
        <w:pStyle w:val="10"/>
        <w:spacing w:before="161"/>
        <w:ind w:left="1237"/>
        <w:rPr>
          <w:rFonts w:hint="eastAsia" w:eastAsia="宋体"/>
          <w:lang w:eastAsia="zh-CN"/>
        </w:rPr>
      </w:pPr>
      <w:r>
        <w:t>3、开标一览表</w:t>
      </w:r>
      <w:r>
        <w:rPr>
          <w:rFonts w:hint="eastAsia"/>
          <w:lang w:eastAsia="zh-CN"/>
        </w:rPr>
        <w:t>；</w:t>
      </w:r>
    </w:p>
    <w:p>
      <w:pPr>
        <w:pStyle w:val="10"/>
        <w:spacing w:before="160"/>
        <w:ind w:left="1237"/>
      </w:pPr>
      <w:r>
        <w:t>4、投标方资质证明文件，包括：</w:t>
      </w:r>
    </w:p>
    <w:p>
      <w:pPr>
        <w:pStyle w:val="2"/>
        <w:numPr>
          <w:ilvl w:val="1"/>
          <w:numId w:val="38"/>
        </w:numPr>
        <w:tabs>
          <w:tab w:val="left" w:pos="1959"/>
        </w:tabs>
        <w:spacing w:before="161" w:after="0" w:line="240" w:lineRule="auto"/>
        <w:ind w:left="1958" w:right="0" w:hanging="602"/>
        <w:jc w:val="left"/>
        <w:rPr>
          <w:sz w:val="24"/>
        </w:rPr>
      </w:pPr>
      <w:r>
        <w:rPr>
          <w:sz w:val="24"/>
        </w:rPr>
        <w:t>投标人营业执照复印件</w:t>
      </w:r>
      <w:r>
        <w:rPr>
          <w:rFonts w:hint="eastAsia"/>
          <w:sz w:val="24"/>
          <w:lang w:eastAsia="zh-CN"/>
        </w:rPr>
        <w:t>；</w:t>
      </w:r>
    </w:p>
    <w:p>
      <w:pPr>
        <w:pStyle w:val="2"/>
        <w:numPr>
          <w:ilvl w:val="1"/>
          <w:numId w:val="38"/>
        </w:numPr>
        <w:tabs>
          <w:tab w:val="left" w:pos="1959"/>
        </w:tabs>
        <w:spacing w:before="160" w:after="0" w:line="240" w:lineRule="auto"/>
        <w:ind w:left="1958" w:right="0" w:hanging="602"/>
        <w:jc w:val="left"/>
        <w:rPr>
          <w:sz w:val="24"/>
        </w:rPr>
      </w:pPr>
      <w:r>
        <w:rPr>
          <w:sz w:val="24"/>
        </w:rPr>
        <w:t>招标文件要求的各项资质证件</w:t>
      </w:r>
      <w:r>
        <w:rPr>
          <w:rFonts w:hint="eastAsia"/>
          <w:sz w:val="24"/>
          <w:lang w:eastAsia="zh-CN"/>
        </w:rPr>
        <w:t>；</w:t>
      </w:r>
    </w:p>
    <w:p>
      <w:pPr>
        <w:pStyle w:val="2"/>
        <w:numPr>
          <w:ilvl w:val="1"/>
          <w:numId w:val="38"/>
        </w:numPr>
        <w:tabs>
          <w:tab w:val="left" w:pos="1959"/>
        </w:tabs>
        <w:spacing w:before="161" w:after="0" w:line="240" w:lineRule="auto"/>
        <w:ind w:left="1958" w:right="0" w:hanging="602"/>
        <w:jc w:val="left"/>
        <w:rPr>
          <w:rFonts w:ascii="Times New Roman"/>
          <w:sz w:val="20"/>
        </w:rPr>
      </w:pPr>
      <w:r>
        <w:rPr>
          <w:sz w:val="24"/>
        </w:rPr>
        <w:t>投标供应商人员资质证件</w:t>
      </w:r>
      <w:r>
        <w:rPr>
          <w:rFonts w:hint="eastAsia"/>
          <w:sz w:val="24"/>
          <w:lang w:eastAsia="zh-CN"/>
        </w:rPr>
        <w:t>；</w:t>
      </w:r>
    </w:p>
    <w:p>
      <w:pPr>
        <w:pStyle w:val="2"/>
        <w:numPr>
          <w:ilvl w:val="1"/>
          <w:numId w:val="38"/>
        </w:numPr>
        <w:tabs>
          <w:tab w:val="left" w:pos="1959"/>
        </w:tabs>
        <w:spacing w:before="90" w:after="0" w:line="240" w:lineRule="auto"/>
        <w:ind w:left="1958" w:right="0" w:hanging="602"/>
        <w:jc w:val="left"/>
        <w:rPr>
          <w:color w:val="auto"/>
          <w:sz w:val="24"/>
          <w:u w:val="none"/>
        </w:rPr>
      </w:pPr>
      <w:r>
        <w:rPr>
          <w:color w:val="auto"/>
          <w:spacing w:val="-20"/>
          <w:sz w:val="24"/>
          <w:u w:val="none"/>
        </w:rPr>
        <w:t xml:space="preserve">最近 </w:t>
      </w:r>
      <w:r>
        <w:rPr>
          <w:color w:val="auto"/>
          <w:sz w:val="24"/>
          <w:u w:val="none"/>
        </w:rPr>
        <w:t>6</w:t>
      </w:r>
      <w:r>
        <w:rPr>
          <w:color w:val="auto"/>
          <w:spacing w:val="-8"/>
          <w:sz w:val="24"/>
          <w:u w:val="none"/>
        </w:rPr>
        <w:t xml:space="preserve"> 个月纳税证明</w:t>
      </w:r>
      <w:r>
        <w:rPr>
          <w:rFonts w:hint="eastAsia"/>
          <w:color w:val="auto"/>
          <w:spacing w:val="-8"/>
          <w:sz w:val="24"/>
          <w:u w:val="none"/>
          <w:lang w:eastAsia="zh-CN"/>
        </w:rPr>
        <w:t>（完税证明）</w:t>
      </w:r>
      <w:r>
        <w:rPr>
          <w:color w:val="auto"/>
          <w:spacing w:val="-8"/>
          <w:sz w:val="24"/>
          <w:u w:val="none"/>
        </w:rPr>
        <w:t>及社保资金缴纳证明</w:t>
      </w:r>
      <w:r>
        <w:rPr>
          <w:rFonts w:hint="eastAsia"/>
          <w:color w:val="auto"/>
          <w:spacing w:val="-8"/>
          <w:sz w:val="24"/>
          <w:u w:val="none"/>
          <w:lang w:eastAsia="zh-CN"/>
        </w:rPr>
        <w:t>（社保缴纳凭证）</w:t>
      </w:r>
      <w:r>
        <w:rPr>
          <w:color w:val="auto"/>
          <w:spacing w:val="-8"/>
          <w:sz w:val="24"/>
          <w:u w:val="none"/>
        </w:rPr>
        <w:t>复</w:t>
      </w:r>
    </w:p>
    <w:p>
      <w:pPr>
        <w:pStyle w:val="2"/>
        <w:numPr>
          <w:ilvl w:val="0"/>
          <w:numId w:val="0"/>
        </w:numPr>
        <w:tabs>
          <w:tab w:val="left" w:pos="1959"/>
        </w:tabs>
        <w:spacing w:before="90" w:after="0" w:line="240" w:lineRule="auto"/>
        <w:ind w:right="0" w:rightChars="0" w:firstLine="2016" w:firstLineChars="900"/>
        <w:jc w:val="left"/>
        <w:rPr>
          <w:rFonts w:hint="eastAsia" w:eastAsia="宋体"/>
          <w:color w:val="auto"/>
          <w:sz w:val="24"/>
          <w:u w:val="none"/>
          <w:lang w:eastAsia="zh-CN"/>
        </w:rPr>
      </w:pPr>
      <w:r>
        <w:rPr>
          <w:color w:val="auto"/>
          <w:spacing w:val="-8"/>
          <w:sz w:val="24"/>
          <w:u w:val="none"/>
        </w:rPr>
        <w:t>印件</w:t>
      </w:r>
      <w:r>
        <w:rPr>
          <w:rFonts w:hint="eastAsia"/>
          <w:color w:val="auto"/>
          <w:spacing w:val="-8"/>
          <w:sz w:val="24"/>
          <w:u w:val="none"/>
          <w:lang w:eastAsia="zh-CN"/>
        </w:rPr>
        <w:t>；</w:t>
      </w:r>
    </w:p>
    <w:p>
      <w:pPr>
        <w:pStyle w:val="2"/>
        <w:numPr>
          <w:ilvl w:val="1"/>
          <w:numId w:val="38"/>
        </w:numPr>
        <w:tabs>
          <w:tab w:val="left" w:pos="1965"/>
        </w:tabs>
        <w:spacing w:before="160" w:after="0" w:line="364" w:lineRule="auto"/>
        <w:ind w:left="637" w:right="1248" w:firstLine="720"/>
        <w:jc w:val="left"/>
        <w:rPr>
          <w:sz w:val="24"/>
        </w:rPr>
      </w:pPr>
      <w:r>
        <w:rPr>
          <w:sz w:val="24"/>
        </w:rPr>
        <w:t>有关行业的经营企业许可证、注册证复印件</w:t>
      </w:r>
      <w:r>
        <w:rPr>
          <w:rFonts w:hint="eastAsia"/>
          <w:sz w:val="24"/>
          <w:lang w:eastAsia="zh-CN"/>
        </w:rPr>
        <w:t>；</w:t>
      </w:r>
    </w:p>
    <w:p>
      <w:pPr>
        <w:pStyle w:val="2"/>
        <w:numPr>
          <w:ilvl w:val="1"/>
          <w:numId w:val="38"/>
        </w:numPr>
        <w:tabs>
          <w:tab w:val="left" w:pos="1959"/>
        </w:tabs>
        <w:spacing w:before="2" w:after="0" w:line="240" w:lineRule="auto"/>
        <w:ind w:left="1958" w:right="0" w:hanging="602"/>
        <w:jc w:val="left"/>
        <w:rPr>
          <w:sz w:val="24"/>
        </w:rPr>
      </w:pPr>
      <w:r>
        <w:rPr>
          <w:sz w:val="24"/>
        </w:rPr>
        <w:t>关于资格的声明函</w:t>
      </w:r>
      <w:r>
        <w:rPr>
          <w:rFonts w:hint="eastAsia"/>
          <w:sz w:val="24"/>
          <w:lang w:eastAsia="zh-CN"/>
        </w:rPr>
        <w:t>；</w:t>
      </w:r>
    </w:p>
    <w:p>
      <w:pPr>
        <w:pStyle w:val="2"/>
        <w:numPr>
          <w:ilvl w:val="1"/>
          <w:numId w:val="38"/>
        </w:numPr>
        <w:tabs>
          <w:tab w:val="left" w:pos="1959"/>
        </w:tabs>
        <w:spacing w:before="160" w:after="0" w:line="240" w:lineRule="auto"/>
        <w:ind w:left="1958" w:right="0" w:hanging="602"/>
        <w:jc w:val="left"/>
        <w:rPr>
          <w:sz w:val="24"/>
        </w:rPr>
      </w:pPr>
      <w:r>
        <w:rPr>
          <w:sz w:val="24"/>
        </w:rPr>
        <w:t>制造商的资格声明函</w:t>
      </w:r>
      <w:r>
        <w:rPr>
          <w:rFonts w:hint="eastAsia"/>
          <w:sz w:val="24"/>
          <w:lang w:eastAsia="zh-CN"/>
        </w:rPr>
        <w:t>；</w:t>
      </w:r>
    </w:p>
    <w:p>
      <w:pPr>
        <w:pStyle w:val="2"/>
        <w:numPr>
          <w:ilvl w:val="1"/>
          <w:numId w:val="38"/>
        </w:numPr>
        <w:tabs>
          <w:tab w:val="left" w:pos="1965"/>
        </w:tabs>
        <w:spacing w:before="161" w:after="0" w:line="364" w:lineRule="auto"/>
        <w:ind w:left="637" w:right="1248" w:firstLine="720"/>
        <w:jc w:val="left"/>
        <w:rPr>
          <w:sz w:val="24"/>
        </w:rPr>
      </w:pPr>
      <w:r>
        <w:rPr>
          <w:sz w:val="24"/>
        </w:rPr>
        <w:t>有关投标产品供应商出具的授权函</w:t>
      </w:r>
      <w:r>
        <w:rPr>
          <w:rFonts w:hint="eastAsia"/>
          <w:sz w:val="24"/>
          <w:lang w:eastAsia="zh-CN"/>
        </w:rPr>
        <w:t>；</w:t>
      </w:r>
    </w:p>
    <w:p>
      <w:pPr>
        <w:pStyle w:val="2"/>
        <w:numPr>
          <w:ilvl w:val="1"/>
          <w:numId w:val="38"/>
        </w:numPr>
        <w:tabs>
          <w:tab w:val="left" w:pos="1959"/>
        </w:tabs>
        <w:spacing w:before="1" w:after="0" w:line="240" w:lineRule="auto"/>
        <w:ind w:left="1958" w:right="0" w:hanging="602"/>
        <w:jc w:val="left"/>
        <w:rPr>
          <w:sz w:val="24"/>
        </w:rPr>
      </w:pPr>
      <w:r>
        <w:rPr>
          <w:rFonts w:hint="eastAsia"/>
          <w:sz w:val="24"/>
          <w:lang w:eastAsia="zh-CN"/>
        </w:rPr>
        <w:t>近三年（</w:t>
      </w:r>
      <w:r>
        <w:rPr>
          <w:rFonts w:hint="eastAsia"/>
          <w:sz w:val="24"/>
          <w:lang w:val="en-US" w:eastAsia="zh-CN"/>
        </w:rPr>
        <w:t>2019年至2021年</w:t>
      </w:r>
      <w:r>
        <w:rPr>
          <w:rFonts w:hint="eastAsia"/>
          <w:sz w:val="24"/>
          <w:lang w:eastAsia="zh-CN"/>
        </w:rPr>
        <w:t>）</w:t>
      </w:r>
      <w:r>
        <w:rPr>
          <w:sz w:val="24"/>
        </w:rPr>
        <w:t>财务</w:t>
      </w:r>
      <w:r>
        <w:rPr>
          <w:rFonts w:hint="eastAsia"/>
          <w:sz w:val="24"/>
          <w:lang w:eastAsia="zh-CN"/>
        </w:rPr>
        <w:t>审</w:t>
      </w:r>
      <w:r>
        <w:rPr>
          <w:sz w:val="24"/>
        </w:rPr>
        <w:t>计报表</w:t>
      </w:r>
      <w:r>
        <w:rPr>
          <w:rFonts w:hint="eastAsia"/>
          <w:sz w:val="24"/>
          <w:lang w:eastAsia="zh-CN"/>
        </w:rPr>
        <w:t>；</w:t>
      </w:r>
    </w:p>
    <w:p>
      <w:pPr>
        <w:pStyle w:val="10"/>
        <w:spacing w:before="161"/>
        <w:ind w:left="1237"/>
        <w:rPr>
          <w:rFonts w:hint="eastAsia" w:eastAsia="宋体"/>
          <w:lang w:eastAsia="zh-CN"/>
        </w:rPr>
      </w:pPr>
      <w:r>
        <w:rPr>
          <w:rFonts w:hint="eastAsia"/>
          <w:lang w:val="en-US" w:eastAsia="zh-CN"/>
        </w:rPr>
        <w:t>5</w:t>
      </w:r>
      <w:r>
        <w:t>、产品的检测报告</w:t>
      </w:r>
      <w:r>
        <w:rPr>
          <w:rFonts w:hint="eastAsia"/>
          <w:lang w:eastAsia="zh-CN"/>
        </w:rPr>
        <w:t>；</w:t>
      </w:r>
    </w:p>
    <w:p>
      <w:pPr>
        <w:pStyle w:val="10"/>
        <w:spacing w:before="160"/>
        <w:ind w:left="1237"/>
        <w:rPr>
          <w:rFonts w:hint="eastAsia" w:eastAsia="宋体"/>
          <w:lang w:eastAsia="zh-CN"/>
        </w:rPr>
      </w:pPr>
      <w:r>
        <w:rPr>
          <w:rFonts w:hint="eastAsia"/>
          <w:lang w:val="en-US" w:eastAsia="zh-CN"/>
        </w:rPr>
        <w:t>6</w:t>
      </w:r>
      <w:r>
        <w:t>、产品规格报价明细表</w:t>
      </w:r>
      <w:r>
        <w:rPr>
          <w:rFonts w:hint="eastAsia"/>
          <w:lang w:eastAsia="zh-CN"/>
        </w:rPr>
        <w:t>；</w:t>
      </w:r>
    </w:p>
    <w:p>
      <w:pPr>
        <w:pStyle w:val="10"/>
        <w:spacing w:before="161"/>
        <w:ind w:left="1237"/>
        <w:rPr>
          <w:rFonts w:hint="eastAsia" w:eastAsia="宋体"/>
          <w:lang w:eastAsia="zh-CN"/>
        </w:rPr>
      </w:pPr>
      <w:r>
        <w:rPr>
          <w:rFonts w:hint="eastAsia"/>
          <w:lang w:val="en-US" w:eastAsia="zh-CN"/>
        </w:rPr>
        <w:t>7</w:t>
      </w:r>
      <w:r>
        <w:t>、投标产品技术规格及要求详述</w:t>
      </w:r>
      <w:r>
        <w:rPr>
          <w:rFonts w:hint="eastAsia"/>
          <w:lang w:eastAsia="zh-CN"/>
        </w:rPr>
        <w:t>；</w:t>
      </w:r>
    </w:p>
    <w:p>
      <w:pPr>
        <w:pStyle w:val="10"/>
        <w:spacing w:before="160"/>
        <w:ind w:left="1237"/>
        <w:rPr>
          <w:rFonts w:hint="eastAsia" w:eastAsia="宋体"/>
          <w:lang w:eastAsia="zh-CN"/>
        </w:rPr>
      </w:pPr>
      <w:r>
        <w:rPr>
          <w:rFonts w:hint="eastAsia"/>
          <w:lang w:val="en-US" w:eastAsia="zh-CN"/>
        </w:rPr>
        <w:t>8</w:t>
      </w:r>
      <w:r>
        <w:t>、有关投标产品的制造、验收标准</w:t>
      </w:r>
      <w:r>
        <w:rPr>
          <w:rFonts w:hint="eastAsia"/>
          <w:lang w:eastAsia="zh-CN"/>
        </w:rPr>
        <w:t>；</w:t>
      </w:r>
    </w:p>
    <w:p>
      <w:pPr>
        <w:pStyle w:val="10"/>
        <w:spacing w:before="161"/>
        <w:ind w:left="1237"/>
        <w:rPr>
          <w:rFonts w:hint="eastAsia" w:eastAsia="宋体"/>
          <w:lang w:eastAsia="zh-CN"/>
        </w:rPr>
      </w:pPr>
      <w:r>
        <w:rPr>
          <w:rFonts w:hint="eastAsia"/>
          <w:lang w:val="en-US" w:eastAsia="zh-CN"/>
        </w:rPr>
        <w:t>9</w:t>
      </w:r>
      <w:r>
        <w:t>、售后服务承诺详述、维修、培训等计划详述</w:t>
      </w:r>
      <w:r>
        <w:rPr>
          <w:rFonts w:hint="eastAsia"/>
          <w:lang w:eastAsia="zh-CN"/>
        </w:rPr>
        <w:t>；</w:t>
      </w:r>
    </w:p>
    <w:p>
      <w:pPr>
        <w:pStyle w:val="10"/>
        <w:spacing w:before="160"/>
        <w:ind w:left="1237"/>
        <w:rPr>
          <w:rFonts w:hint="eastAsia" w:eastAsia="宋体"/>
          <w:lang w:eastAsia="zh-CN"/>
        </w:rPr>
      </w:pPr>
      <w:r>
        <w:rPr>
          <w:rFonts w:hint="eastAsia"/>
          <w:lang w:val="en-US" w:eastAsia="zh-CN"/>
        </w:rPr>
        <w:t>10</w:t>
      </w:r>
      <w:r>
        <w:t>、备品、备件清单</w:t>
      </w:r>
      <w:r>
        <w:rPr>
          <w:rFonts w:hint="eastAsia"/>
          <w:lang w:eastAsia="zh-CN"/>
        </w:rPr>
        <w:t>；</w:t>
      </w:r>
    </w:p>
    <w:p>
      <w:pPr>
        <w:pStyle w:val="10"/>
        <w:spacing w:before="161"/>
        <w:ind w:left="1237"/>
        <w:rPr>
          <w:rFonts w:hint="eastAsia" w:eastAsia="宋体"/>
          <w:lang w:eastAsia="zh-CN"/>
        </w:rPr>
      </w:pPr>
      <w:r>
        <w:rPr>
          <w:rFonts w:hint="eastAsia"/>
          <w:lang w:val="en-US" w:eastAsia="zh-CN"/>
        </w:rPr>
        <w:t>11</w:t>
      </w:r>
      <w:r>
        <w:t>、技术参数、功能偏离表</w:t>
      </w:r>
      <w:r>
        <w:rPr>
          <w:rFonts w:hint="eastAsia"/>
          <w:lang w:eastAsia="zh-CN"/>
        </w:rPr>
        <w:t>；</w:t>
      </w:r>
    </w:p>
    <w:p>
      <w:pPr>
        <w:pStyle w:val="10"/>
        <w:spacing w:before="160"/>
        <w:ind w:left="1237"/>
        <w:rPr>
          <w:rFonts w:hint="eastAsia" w:eastAsia="宋体"/>
          <w:lang w:eastAsia="zh-CN"/>
        </w:rPr>
      </w:pPr>
      <w:r>
        <w:rPr>
          <w:rFonts w:hint="eastAsia"/>
          <w:lang w:val="en-US" w:eastAsia="zh-CN"/>
        </w:rPr>
        <w:t>12</w:t>
      </w:r>
      <w:r>
        <w:t>、商务条款偏离表</w:t>
      </w:r>
      <w:r>
        <w:rPr>
          <w:rFonts w:hint="eastAsia"/>
          <w:lang w:eastAsia="zh-CN"/>
        </w:rPr>
        <w:t>；</w:t>
      </w:r>
    </w:p>
    <w:p>
      <w:pPr>
        <w:pStyle w:val="10"/>
        <w:spacing w:before="161"/>
        <w:ind w:left="1237"/>
        <w:rPr>
          <w:rFonts w:hint="eastAsia" w:eastAsia="宋体"/>
          <w:lang w:eastAsia="zh-CN"/>
        </w:rPr>
      </w:pPr>
      <w:r>
        <w:rPr>
          <w:rFonts w:hint="eastAsia"/>
          <w:lang w:val="en-US" w:eastAsia="zh-CN"/>
        </w:rPr>
        <w:t>13</w:t>
      </w:r>
      <w:r>
        <w:t>、提供其它有利于投标的资料</w:t>
      </w:r>
      <w:r>
        <w:rPr>
          <w:rFonts w:hint="eastAsia"/>
          <w:lang w:eastAsia="zh-CN"/>
        </w:rPr>
        <w:t>；</w:t>
      </w:r>
    </w:p>
    <w:p>
      <w:pPr>
        <w:pStyle w:val="10"/>
        <w:spacing w:before="160"/>
        <w:ind w:left="1237"/>
        <w:rPr>
          <w:rFonts w:hint="eastAsia" w:eastAsia="宋体"/>
          <w:lang w:eastAsia="zh-CN"/>
        </w:rPr>
      </w:pPr>
      <w:r>
        <w:rPr>
          <w:rFonts w:hint="eastAsia"/>
          <w:lang w:val="en-US" w:eastAsia="zh-CN"/>
        </w:rPr>
        <w:t>14</w:t>
      </w:r>
      <w:r>
        <w:t>、近三年</w:t>
      </w:r>
      <w:r>
        <w:rPr>
          <w:rFonts w:hint="eastAsia"/>
          <w:lang w:eastAsia="zh-CN"/>
        </w:rPr>
        <w:t>（</w:t>
      </w:r>
      <w:r>
        <w:rPr>
          <w:rFonts w:hint="eastAsia"/>
          <w:lang w:val="en-US" w:eastAsia="zh-CN"/>
        </w:rPr>
        <w:t>2019年-2021年</w:t>
      </w:r>
      <w:r>
        <w:rPr>
          <w:rFonts w:hint="eastAsia"/>
          <w:lang w:eastAsia="zh-CN"/>
        </w:rPr>
        <w:t>）类似项目</w:t>
      </w:r>
      <w:r>
        <w:t>的业绩表</w:t>
      </w:r>
      <w:r>
        <w:rPr>
          <w:rFonts w:hint="eastAsia"/>
          <w:lang w:eastAsia="zh-CN"/>
        </w:rPr>
        <w:t>；</w:t>
      </w:r>
    </w:p>
    <w:p>
      <w:pPr>
        <w:spacing w:before="161" w:line="364" w:lineRule="auto"/>
        <w:ind w:left="1237" w:right="4706" w:firstLine="0"/>
        <w:jc w:val="left"/>
        <w:rPr>
          <w:b/>
          <w:sz w:val="24"/>
        </w:rPr>
      </w:pPr>
      <w:r>
        <w:rPr>
          <w:rFonts w:hint="eastAsia"/>
          <w:sz w:val="24"/>
          <w:lang w:val="en-US" w:eastAsia="zh-CN"/>
        </w:rPr>
        <w:t>15</w:t>
      </w:r>
      <w:r>
        <w:rPr>
          <w:sz w:val="24"/>
        </w:rPr>
        <w:t>、投标单位（供应商）反商业贿赂承诺书</w:t>
      </w:r>
      <w:r>
        <w:rPr>
          <w:rFonts w:hint="eastAsia"/>
          <w:sz w:val="24"/>
          <w:lang w:eastAsia="zh-CN"/>
        </w:rPr>
        <w:t>；</w:t>
      </w:r>
      <w:r>
        <w:rPr>
          <w:b/>
          <w:sz w:val="24"/>
        </w:rPr>
        <w:t>二、投标文件顺序及格式范本</w:t>
      </w:r>
    </w:p>
    <w:p>
      <w:pPr>
        <w:pStyle w:val="5"/>
        <w:ind w:left="1237"/>
      </w:pPr>
      <w:r>
        <w:t>（一）投标文件顺序及要求</w:t>
      </w:r>
    </w:p>
    <w:p>
      <w:pPr>
        <w:pStyle w:val="10"/>
        <w:spacing w:before="160" w:line="364" w:lineRule="auto"/>
        <w:ind w:right="1212" w:firstLine="600"/>
      </w:pPr>
      <w:r>
        <w:t>1、各投标人应严格按格式范本提供，不允许擅自或随意改变和变动，标书范本应做到工整整齐和完整。</w:t>
      </w:r>
    </w:p>
    <w:p>
      <w:pPr>
        <w:pStyle w:val="10"/>
        <w:spacing w:line="364" w:lineRule="auto"/>
        <w:ind w:right="1212" w:firstLine="600"/>
      </w:pPr>
      <w:r>
        <w:rPr>
          <w:rFonts w:hint="eastAsia"/>
          <w:lang w:val="en-US" w:eastAsia="zh-CN"/>
        </w:rPr>
        <w:t>2</w:t>
      </w:r>
      <w:r>
        <w:t>、凡须要签字盖章的，必须有符合招标文件规定要求的人员签字，公章必须是单位法人印章。</w:t>
      </w:r>
    </w:p>
    <w:p>
      <w:pPr>
        <w:pStyle w:val="10"/>
        <w:ind w:left="1237"/>
        <w:rPr>
          <w:rFonts w:hint="eastAsia" w:eastAsia="宋体"/>
          <w:b/>
          <w:lang w:eastAsia="zh-CN"/>
        </w:rPr>
      </w:pPr>
      <w:r>
        <w:rPr>
          <w:rFonts w:hint="eastAsia"/>
          <w:lang w:val="en-US" w:eastAsia="zh-CN"/>
        </w:rPr>
        <w:t>3</w:t>
      </w:r>
      <w:r>
        <w:t>、凡有备注说明的，必须符合说明的要求</w:t>
      </w:r>
      <w:r>
        <w:rPr>
          <w:rFonts w:hint="eastAsia"/>
          <w:lang w:eastAsia="zh-CN"/>
        </w:rPr>
        <w:t>。</w:t>
      </w:r>
    </w:p>
    <w:p>
      <w:pPr>
        <w:pStyle w:val="10"/>
        <w:spacing w:before="90" w:line="364" w:lineRule="auto"/>
        <w:ind w:left="218" w:leftChars="0" w:right="1212" w:hanging="218" w:hangingChars="91"/>
        <w:sectPr>
          <w:headerReference r:id="rId9" w:type="default"/>
          <w:footerReference r:id="rId10" w:type="default"/>
          <w:pgSz w:w="11910" w:h="16840"/>
          <w:pgMar w:top="1420" w:right="240" w:bottom="1180" w:left="1160" w:header="878" w:footer="993" w:gutter="0"/>
          <w:pgNumType w:fmt="decimal"/>
          <w:cols w:space="720" w:num="1"/>
        </w:sectPr>
      </w:pPr>
      <w:r>
        <w:rPr>
          <w:rFonts w:hint="eastAsia"/>
          <w:sz w:val="24"/>
          <w:lang w:val="en-US" w:eastAsia="zh-CN"/>
        </w:rPr>
        <w:t xml:space="preserve">          </w:t>
      </w:r>
      <w:r>
        <w:rPr>
          <w:rFonts w:hint="eastAsia"/>
          <w:lang w:val="en-US" w:eastAsia="zh-CN"/>
        </w:rPr>
        <w:t>4</w:t>
      </w:r>
      <w:r>
        <w:t>、凡招标文件要求提供的，必须提供。否则，将视为不响应招标文件的实质性要求，可能投标文件将会被拒绝。</w:t>
      </w:r>
    </w:p>
    <w:p>
      <w:pPr>
        <w:pStyle w:val="5"/>
        <w:ind w:left="0" w:leftChars="0" w:firstLine="723" w:firstLineChars="300"/>
      </w:pPr>
      <w:r>
        <w:t>（二）投标文件格式范本</w:t>
      </w:r>
    </w:p>
    <w:p>
      <w:pPr>
        <w:pStyle w:val="10"/>
        <w:spacing w:before="2"/>
        <w:ind w:left="0"/>
        <w:rPr>
          <w:b/>
          <w:sz w:val="11"/>
        </w:rPr>
      </w:pPr>
    </w:p>
    <w:p>
      <w:pPr>
        <w:spacing w:before="58"/>
        <w:ind w:left="0" w:right="464" w:firstLine="0"/>
        <w:jc w:val="center"/>
        <w:rPr>
          <w:b/>
          <w:sz w:val="30"/>
        </w:rPr>
      </w:pPr>
      <w:r>
        <w:rPr>
          <w:b/>
          <w:sz w:val="30"/>
        </w:rPr>
        <w:t>投标函</w:t>
      </w:r>
    </w:p>
    <w:p>
      <w:pPr>
        <w:pStyle w:val="10"/>
        <w:spacing w:before="199"/>
      </w:pPr>
      <w:r>
        <w:t>致：</w:t>
      </w:r>
      <w:r>
        <w:rPr>
          <w:rFonts w:hint="eastAsia"/>
        </w:rPr>
        <w:t>和硕县应急管理局</w:t>
      </w:r>
      <w:r>
        <w:t>:</w:t>
      </w:r>
    </w:p>
    <w:p>
      <w:pPr>
        <w:pStyle w:val="10"/>
        <w:tabs>
          <w:tab w:val="left" w:pos="3116"/>
        </w:tabs>
        <w:spacing w:before="161" w:line="364" w:lineRule="auto"/>
        <w:ind w:right="1243" w:firstLine="554"/>
        <w:jc w:val="both"/>
        <w:rPr>
          <w:strike/>
          <w:color w:val="FF0000"/>
        </w:rPr>
      </w:pPr>
      <w:r>
        <w:t>根据贵方为</w:t>
      </w:r>
      <w:r>
        <w:rPr>
          <w:u w:val="single"/>
        </w:rPr>
        <w:t xml:space="preserve"> </w:t>
      </w:r>
      <w:r>
        <w:rPr>
          <w:u w:val="single"/>
        </w:rPr>
        <w:tab/>
      </w:r>
      <w:r>
        <w:rPr>
          <w:u w:val="single"/>
        </w:rPr>
        <w:t xml:space="preserve">（项目名称）  </w:t>
      </w:r>
      <w:r>
        <w:rPr>
          <w:spacing w:val="11"/>
          <w:u w:val="single"/>
        </w:rPr>
        <w:t xml:space="preserve"> </w:t>
      </w:r>
      <w:r>
        <w:t>项目招标的投标邀请</w:t>
      </w:r>
      <w:r>
        <w:rPr>
          <w:u w:val="single"/>
        </w:rPr>
        <w:t>（招标编号）</w:t>
      </w:r>
      <w:r>
        <w:rPr>
          <w:spacing w:val="4"/>
          <w:u w:val="single"/>
        </w:rPr>
        <w:t xml:space="preserve"> </w:t>
      </w:r>
      <w:r>
        <w:t>，签字代</w:t>
      </w:r>
      <w:r>
        <w:rPr>
          <w:spacing w:val="-5"/>
        </w:rPr>
        <w:t>表</w:t>
      </w:r>
      <w:r>
        <w:rPr>
          <w:u w:val="single"/>
        </w:rPr>
        <w:t>（姓名</w:t>
      </w:r>
      <w:r>
        <w:rPr>
          <w:spacing w:val="-3"/>
          <w:u w:val="single"/>
        </w:rPr>
        <w:t>、</w:t>
      </w:r>
      <w:r>
        <w:rPr>
          <w:u w:val="single"/>
        </w:rPr>
        <w:t>职务</w:t>
      </w:r>
      <w:r>
        <w:rPr>
          <w:spacing w:val="-3"/>
          <w:u w:val="single"/>
        </w:rPr>
        <w:t>）</w:t>
      </w:r>
      <w:r>
        <w:t>经正式授权并代表投标</w:t>
      </w:r>
      <w:r>
        <w:rPr>
          <w:spacing w:val="-3"/>
        </w:rPr>
        <w:t>人</w:t>
      </w:r>
      <w:r>
        <w:rPr>
          <w:u w:val="single"/>
        </w:rPr>
        <w:t>（投标人名称</w:t>
      </w:r>
      <w:r>
        <w:rPr>
          <w:spacing w:val="-3"/>
          <w:u w:val="single"/>
        </w:rPr>
        <w:t>、</w:t>
      </w:r>
      <w:r>
        <w:rPr>
          <w:u w:val="single"/>
        </w:rPr>
        <w:t>地址</w:t>
      </w:r>
      <w:r>
        <w:rPr>
          <w:spacing w:val="-3"/>
          <w:u w:val="single"/>
        </w:rPr>
        <w:t>）</w:t>
      </w:r>
    </w:p>
    <w:p>
      <w:pPr>
        <w:pStyle w:val="2"/>
        <w:numPr>
          <w:ilvl w:val="0"/>
          <w:numId w:val="39"/>
        </w:numPr>
        <w:tabs>
          <w:tab w:val="left" w:pos="1881"/>
        </w:tabs>
        <w:spacing w:before="2" w:after="0" w:line="240" w:lineRule="auto"/>
        <w:ind w:left="1880" w:right="0" w:hanging="690"/>
        <w:jc w:val="both"/>
        <w:rPr>
          <w:sz w:val="24"/>
        </w:rPr>
      </w:pPr>
      <w:r>
        <w:rPr>
          <w:sz w:val="24"/>
        </w:rPr>
        <w:t>开标一览表</w:t>
      </w:r>
    </w:p>
    <w:p>
      <w:pPr>
        <w:pStyle w:val="2"/>
        <w:numPr>
          <w:ilvl w:val="0"/>
          <w:numId w:val="39"/>
        </w:numPr>
        <w:tabs>
          <w:tab w:val="left" w:pos="1881"/>
        </w:tabs>
        <w:spacing w:before="160" w:after="0" w:line="240" w:lineRule="auto"/>
        <w:ind w:left="1880" w:right="0" w:hanging="690"/>
        <w:jc w:val="both"/>
        <w:rPr>
          <w:sz w:val="24"/>
        </w:rPr>
      </w:pPr>
      <w:r>
        <w:rPr>
          <w:sz w:val="24"/>
        </w:rPr>
        <w:t>投标分项报价表</w:t>
      </w:r>
    </w:p>
    <w:p>
      <w:pPr>
        <w:pStyle w:val="2"/>
        <w:numPr>
          <w:ilvl w:val="0"/>
          <w:numId w:val="39"/>
        </w:numPr>
        <w:tabs>
          <w:tab w:val="left" w:pos="1881"/>
        </w:tabs>
        <w:spacing w:before="161" w:after="0" w:line="240" w:lineRule="auto"/>
        <w:ind w:left="1880" w:right="0" w:hanging="690"/>
        <w:jc w:val="left"/>
        <w:rPr>
          <w:sz w:val="24"/>
        </w:rPr>
      </w:pPr>
      <w:r>
        <w:rPr>
          <w:sz w:val="24"/>
        </w:rPr>
        <w:t>规格、技术参数、功能偏离表</w:t>
      </w:r>
    </w:p>
    <w:p>
      <w:pPr>
        <w:pStyle w:val="2"/>
        <w:numPr>
          <w:ilvl w:val="0"/>
          <w:numId w:val="39"/>
        </w:numPr>
        <w:tabs>
          <w:tab w:val="left" w:pos="1881"/>
        </w:tabs>
        <w:spacing w:before="160" w:after="0" w:line="240" w:lineRule="auto"/>
        <w:ind w:left="1880" w:right="0" w:hanging="690"/>
        <w:jc w:val="left"/>
        <w:rPr>
          <w:sz w:val="24"/>
        </w:rPr>
      </w:pPr>
      <w:r>
        <w:rPr>
          <w:sz w:val="24"/>
        </w:rPr>
        <w:t>商务条款偏离表</w:t>
      </w:r>
    </w:p>
    <w:p>
      <w:pPr>
        <w:pStyle w:val="2"/>
        <w:numPr>
          <w:ilvl w:val="0"/>
          <w:numId w:val="39"/>
        </w:numPr>
        <w:tabs>
          <w:tab w:val="left" w:pos="1881"/>
        </w:tabs>
        <w:spacing w:before="161" w:after="0" w:line="240" w:lineRule="auto"/>
        <w:ind w:left="1880" w:right="0" w:hanging="690"/>
        <w:jc w:val="left"/>
        <w:rPr>
          <w:sz w:val="24"/>
        </w:rPr>
      </w:pPr>
      <w:r>
        <w:rPr>
          <w:sz w:val="24"/>
        </w:rPr>
        <w:t>按谈判文件投标人须知、技术规格要求及其他要求提供有关文件</w:t>
      </w:r>
    </w:p>
    <w:p>
      <w:pPr>
        <w:pStyle w:val="2"/>
        <w:numPr>
          <w:ilvl w:val="0"/>
          <w:numId w:val="39"/>
        </w:numPr>
        <w:tabs>
          <w:tab w:val="left" w:pos="1881"/>
        </w:tabs>
        <w:spacing w:before="160" w:after="0" w:line="240" w:lineRule="auto"/>
        <w:ind w:left="1880" w:right="0" w:hanging="690"/>
        <w:jc w:val="left"/>
        <w:rPr>
          <w:sz w:val="24"/>
        </w:rPr>
      </w:pPr>
      <w:r>
        <w:rPr>
          <w:sz w:val="24"/>
        </w:rPr>
        <w:t>资格证明文件</w:t>
      </w:r>
    </w:p>
    <w:p>
      <w:pPr>
        <w:pStyle w:val="2"/>
        <w:numPr>
          <w:ilvl w:val="0"/>
          <w:numId w:val="39"/>
        </w:numPr>
        <w:tabs>
          <w:tab w:val="left" w:pos="1881"/>
          <w:tab w:val="left" w:pos="6680"/>
        </w:tabs>
        <w:spacing w:before="161" w:after="0" w:line="364" w:lineRule="auto"/>
        <w:ind w:left="1191" w:right="3583" w:firstLine="0"/>
        <w:jc w:val="left"/>
        <w:rPr>
          <w:sz w:val="24"/>
        </w:rPr>
      </w:pPr>
      <w:r>
        <w:rPr>
          <w:sz w:val="24"/>
        </w:rPr>
        <w:t>投标保证金，金额为</w:t>
      </w:r>
      <w:r>
        <w:rPr>
          <w:sz w:val="24"/>
          <w:u w:val="single"/>
        </w:rPr>
        <w:t xml:space="preserve"> </w:t>
      </w:r>
      <w:r>
        <w:rPr>
          <w:sz w:val="24"/>
          <w:u w:val="single"/>
        </w:rPr>
        <w:tab/>
      </w:r>
      <w:r>
        <w:rPr>
          <w:spacing w:val="-17"/>
          <w:sz w:val="24"/>
        </w:rPr>
        <w:t>。</w:t>
      </w:r>
      <w:r>
        <w:rPr>
          <w:sz w:val="24"/>
        </w:rPr>
        <w:t>据此函，签字代表宣布并同意如下：</w:t>
      </w:r>
    </w:p>
    <w:p>
      <w:pPr>
        <w:pStyle w:val="10"/>
        <w:tabs>
          <w:tab w:val="left" w:pos="1357"/>
        </w:tabs>
        <w:spacing w:line="364" w:lineRule="auto"/>
        <w:ind w:right="1248" w:firstLine="554"/>
      </w:pPr>
      <w:r>
        <w:t>1、所附投标报价表中规定的应提交和交付的货物和服务投标总价为</w:t>
      </w:r>
      <w:r>
        <w:rPr>
          <w:u w:val="single"/>
        </w:rPr>
        <w:t>（注明</w:t>
      </w:r>
      <w:r>
        <w:rPr>
          <w:spacing w:val="-13"/>
          <w:u w:val="single"/>
        </w:rPr>
        <w:t>币</w:t>
      </w:r>
      <w:r>
        <w:rPr>
          <w:spacing w:val="-220"/>
          <w:u w:val="single"/>
        </w:rPr>
        <w:t>种</w:t>
      </w:r>
      <w:r>
        <w:rPr>
          <w:u w:val="single"/>
        </w:rPr>
        <w:t>，</w:t>
      </w:r>
      <w:r>
        <w:rPr>
          <w:u w:val="none"/>
        </w:rPr>
        <w:tab/>
      </w:r>
      <w:r>
        <w:rPr>
          <w:u w:val="single"/>
        </w:rPr>
        <w:t>并用文字和数字表示的投标总价</w:t>
      </w:r>
      <w:r>
        <w:t>）。</w:t>
      </w:r>
    </w:p>
    <w:p>
      <w:pPr>
        <w:pStyle w:val="10"/>
        <w:ind w:left="1191"/>
      </w:pPr>
      <w:r>
        <w:t>2、投标方将按招标文件的规定履行合同责任和义务；</w:t>
      </w:r>
    </w:p>
    <w:p>
      <w:pPr>
        <w:pStyle w:val="10"/>
        <w:spacing w:before="160" w:line="364" w:lineRule="auto"/>
        <w:ind w:right="1248" w:firstLine="554"/>
      </w:pPr>
      <w:r>
        <w:t>3、投标方已详细阅读并理解了招标文件的全部，包括修改文件。我们完全理解并同意放弃对这方面有不明及误解的权利。</w:t>
      </w:r>
    </w:p>
    <w:p>
      <w:pPr>
        <w:pStyle w:val="10"/>
        <w:tabs>
          <w:tab w:val="left" w:pos="5151"/>
        </w:tabs>
        <w:spacing w:before="2"/>
        <w:ind w:left="1191"/>
      </w:pPr>
      <w:r>
        <w:t>4、本投标有效期自开标之日起</w:t>
      </w:r>
      <w:r>
        <w:rPr>
          <w:u w:val="single"/>
        </w:rPr>
        <w:t xml:space="preserve"> </w:t>
      </w:r>
      <w:r>
        <w:rPr>
          <w:u w:val="single"/>
        </w:rPr>
        <w:tab/>
      </w:r>
      <w:r>
        <w:t>个日历日。</w:t>
      </w:r>
    </w:p>
    <w:p>
      <w:pPr>
        <w:pStyle w:val="10"/>
        <w:spacing w:before="160" w:line="364" w:lineRule="auto"/>
        <w:ind w:right="1248" w:firstLine="554"/>
      </w:pPr>
      <w:r>
        <w:t>5、在规定的开标时间后，如果在投标有效期内撤回投标，同意投标保证金将被贵方没收。</w:t>
      </w:r>
    </w:p>
    <w:p>
      <w:pPr>
        <w:pStyle w:val="10"/>
        <w:spacing w:line="364" w:lineRule="auto"/>
        <w:ind w:right="1248" w:firstLine="554"/>
      </w:pPr>
      <w:r>
        <w:t>6、投标人同意提供按照贵方可能要求的与其投标有关的一切数据或资料，完全理解贵方不一定接受最低价的投标或收到的任何投标的约定。</w:t>
      </w:r>
    </w:p>
    <w:p>
      <w:pPr>
        <w:pStyle w:val="10"/>
        <w:spacing w:before="2"/>
        <w:ind w:left="1206"/>
      </w:pPr>
      <w:r>
        <w:t>7、与本投标有关的一切正式往来信函请寄：</w:t>
      </w:r>
    </w:p>
    <w:p>
      <w:pPr>
        <w:pStyle w:val="10"/>
        <w:tabs>
          <w:tab w:val="left" w:pos="6096"/>
          <w:tab w:val="left" w:pos="6576"/>
        </w:tabs>
        <w:spacing w:before="160" w:line="364" w:lineRule="auto"/>
        <w:ind w:left="1477" w:right="3927"/>
        <w:rPr>
          <w:rFonts w:hint="default" w:ascii="Times New Roman" w:eastAsia="宋体"/>
          <w:lang w:val="en-US" w:eastAsia="zh-CN"/>
        </w:rPr>
      </w:pPr>
      <w:r>
        <w:t>投 标 人 名</w:t>
      </w:r>
      <w:r>
        <w:rPr>
          <w:spacing w:val="-1"/>
        </w:rPr>
        <w:t xml:space="preserve"> </w:t>
      </w:r>
      <w:r>
        <w:t>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4"/>
          <w:u w:val="single"/>
        </w:rPr>
        <w:t xml:space="preserve"> </w:t>
      </w:r>
      <w:r>
        <w:rPr>
          <w:spacing w:val="-1"/>
        </w:rPr>
        <w:t>投</w:t>
      </w:r>
      <w:r>
        <w:t>标人代表签字：</w:t>
      </w:r>
      <w:r>
        <w:rPr>
          <w:rFonts w:ascii="Times New Roman" w:eastAsia="Times New Roman"/>
          <w:u w:val="single"/>
        </w:rPr>
        <w:t xml:space="preserve"> </w:t>
      </w:r>
      <w:r>
        <w:rPr>
          <w:rFonts w:ascii="Times New Roman" w:eastAsia="Times New Roman"/>
          <w:u w:val="single"/>
        </w:rPr>
        <w:tab/>
      </w:r>
      <w:r>
        <w:rPr>
          <w:rFonts w:hint="eastAsia" w:ascii="Times New Roman" w:eastAsia="宋体"/>
          <w:u w:val="single"/>
          <w:lang w:val="en-US" w:eastAsia="zh-CN"/>
        </w:rPr>
        <w:t xml:space="preserve"> </w:t>
      </w:r>
      <w:r>
        <w:rPr>
          <w:rFonts w:hint="eastAsia" w:ascii="Times New Roman"/>
          <w:u w:val="single"/>
          <w:lang w:val="en-US" w:eastAsia="zh-CN"/>
        </w:rPr>
        <w:t xml:space="preserve">      </w:t>
      </w:r>
    </w:p>
    <w:p>
      <w:pPr>
        <w:pStyle w:val="10"/>
        <w:tabs>
          <w:tab w:val="left" w:pos="2917"/>
          <w:tab w:val="left" w:pos="6576"/>
        </w:tabs>
        <w:spacing w:before="90"/>
        <w:ind w:left="1477"/>
        <w:rPr>
          <w:rFonts w:ascii="Times New Roman" w:eastAsia="Times New Roman"/>
        </w:rPr>
      </w:pPr>
      <w:r>
        <w:t>公</w:t>
      </w:r>
      <w:r>
        <w:tab/>
      </w:r>
      <w:r>
        <w:rPr>
          <w:spacing w:val="-1"/>
        </w:rPr>
        <w:t>章</w:t>
      </w:r>
      <w:r>
        <w:t>：</w:t>
      </w:r>
      <w:r>
        <w:rPr>
          <w:rFonts w:ascii="Times New Roman" w:eastAsia="Times New Roman"/>
          <w:u w:val="single"/>
        </w:rPr>
        <w:t xml:space="preserve"> </w:t>
      </w:r>
      <w:r>
        <w:rPr>
          <w:rFonts w:ascii="Times New Roman" w:eastAsia="Times New Roman"/>
          <w:u w:val="single"/>
        </w:rPr>
        <w:tab/>
      </w:r>
    </w:p>
    <w:p>
      <w:pPr>
        <w:pStyle w:val="10"/>
        <w:tabs>
          <w:tab w:val="left" w:pos="2953"/>
          <w:tab w:val="left" w:pos="6132"/>
        </w:tabs>
        <w:spacing w:before="160"/>
        <w:ind w:left="1513"/>
        <w:rPr>
          <w:rFonts w:hint="default" w:ascii="Times New Roman" w:eastAsia="宋体"/>
          <w:lang w:val="en-US" w:eastAsia="zh-CN"/>
        </w:rPr>
      </w:pP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hint="eastAsia" w:ascii="Times New Roman"/>
          <w:u w:val="single"/>
          <w:lang w:val="en-US" w:eastAsia="zh-CN"/>
        </w:rPr>
        <w:t xml:space="preserve">      </w:t>
      </w:r>
    </w:p>
    <w:p>
      <w:pPr>
        <w:pStyle w:val="10"/>
        <w:tabs>
          <w:tab w:val="left" w:pos="2917"/>
          <w:tab w:val="left" w:pos="5856"/>
        </w:tabs>
        <w:spacing w:before="161"/>
        <w:ind w:left="1477"/>
        <w:rPr>
          <w:rFonts w:hint="default" w:ascii="Times New Roman" w:eastAsia="宋体"/>
          <w:lang w:val="en-US" w:eastAsia="zh-C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r>
        <w:rPr>
          <w:rFonts w:hint="eastAsia" w:ascii="Times New Roman" w:eastAsia="宋体"/>
          <w:u w:val="single"/>
          <w:lang w:val="en-US" w:eastAsia="zh-CN"/>
        </w:rPr>
        <w:t xml:space="preserve">          </w:t>
      </w:r>
    </w:p>
    <w:p>
      <w:pPr>
        <w:pStyle w:val="10"/>
        <w:tabs>
          <w:tab w:val="left" w:pos="2917"/>
          <w:tab w:val="left" w:pos="5496"/>
        </w:tabs>
        <w:spacing w:before="160"/>
        <w:ind w:left="1477" w:firstLine="240" w:firstLineChars="100"/>
        <w:rPr>
          <w:rFonts w:hint="default" w:ascii="Times New Roman" w:eastAsia="宋体"/>
          <w:lang w:val="en-US" w:eastAsia="zh-CN"/>
        </w:rPr>
      </w:pPr>
      <w:r>
        <w:t>邮</w:t>
      </w:r>
      <w:r>
        <w:rPr>
          <w:rFonts w:hint="eastAsia"/>
          <w:lang w:val="en-US" w:eastAsia="zh-CN"/>
        </w:rPr>
        <w:t xml:space="preserve">   </w:t>
      </w:r>
      <w:r>
        <w:rPr>
          <w:spacing w:val="-1"/>
        </w:rPr>
        <w:t>编</w:t>
      </w:r>
      <w:r>
        <w:t>：</w:t>
      </w:r>
      <w:r>
        <w:rPr>
          <w:rFonts w:ascii="Times New Roman" w:eastAsia="Times New Roman"/>
          <w:u w:val="single"/>
        </w:rPr>
        <w:t xml:space="preserve"> </w:t>
      </w:r>
      <w:r>
        <w:rPr>
          <w:rFonts w:ascii="Times New Roman" w:eastAsia="Times New Roman"/>
          <w:u w:val="single"/>
        </w:rPr>
        <w:tab/>
      </w:r>
      <w:r>
        <w:rPr>
          <w:rFonts w:hint="eastAsia" w:ascii="Times New Roman"/>
          <w:u w:val="single"/>
          <w:lang w:val="en-US" w:eastAsia="zh-CN"/>
        </w:rPr>
        <w:t xml:space="preserve">                     </w:t>
      </w:r>
    </w:p>
    <w:p>
      <w:pPr>
        <w:pStyle w:val="10"/>
        <w:tabs>
          <w:tab w:val="left" w:pos="2917"/>
          <w:tab w:val="left" w:pos="5496"/>
        </w:tabs>
        <w:spacing w:before="161"/>
        <w:ind w:left="1477" w:firstLine="240" w:firstLineChars="100"/>
        <w:rPr>
          <w:rFonts w:hint="default" w:ascii="Times New Roman" w:eastAsia="宋体"/>
          <w:lang w:val="en-US" w:eastAsia="zh-CN"/>
        </w:rPr>
      </w:pPr>
      <w:r>
        <w:t>传</w:t>
      </w:r>
      <w:r>
        <w:rPr>
          <w:rFonts w:hint="eastAsia"/>
          <w:lang w:val="en-US" w:eastAsia="zh-CN"/>
        </w:rPr>
        <w:t xml:space="preserve">   </w:t>
      </w:r>
      <w:r>
        <w:rPr>
          <w:spacing w:val="-1"/>
        </w:rPr>
        <w:t>真</w:t>
      </w:r>
      <w:r>
        <w:t>：</w:t>
      </w:r>
      <w:r>
        <w:rPr>
          <w:rFonts w:ascii="Times New Roman" w:eastAsia="Times New Roman"/>
          <w:u w:val="single"/>
        </w:rPr>
        <w:t xml:space="preserve"> </w:t>
      </w:r>
      <w:r>
        <w:rPr>
          <w:rFonts w:ascii="Times New Roman" w:eastAsia="Times New Roman"/>
          <w:u w:val="single"/>
        </w:rPr>
        <w:tab/>
      </w:r>
      <w:r>
        <w:rPr>
          <w:rFonts w:hint="eastAsia" w:ascii="Times New Roman"/>
          <w:u w:val="single"/>
          <w:lang w:val="en-US" w:eastAsia="zh-CN"/>
        </w:rPr>
        <w:t xml:space="preserve">                      </w:t>
      </w:r>
    </w:p>
    <w:p>
      <w:pPr>
        <w:pStyle w:val="10"/>
        <w:spacing w:before="0"/>
        <w:ind w:left="0"/>
        <w:rPr>
          <w:rFonts w:ascii="Times New Roman"/>
          <w:sz w:val="20"/>
        </w:rPr>
      </w:pPr>
    </w:p>
    <w:p>
      <w:pPr>
        <w:pStyle w:val="10"/>
        <w:tabs>
          <w:tab w:val="left" w:pos="2917"/>
          <w:tab w:val="left" w:pos="5496"/>
        </w:tabs>
        <w:spacing w:before="161"/>
        <w:ind w:left="1477"/>
        <w:rPr>
          <w:rFonts w:ascii="Times New Roman" w:hAnsi="宋体" w:eastAsia="Times New Roman" w:cs="宋体"/>
          <w:u w:val="single"/>
        </w:rPr>
      </w:pPr>
    </w:p>
    <w:p>
      <w:pPr>
        <w:pStyle w:val="10"/>
        <w:tabs>
          <w:tab w:val="left" w:pos="2917"/>
          <w:tab w:val="left" w:pos="5496"/>
        </w:tabs>
        <w:spacing w:before="161"/>
        <w:ind w:left="1477"/>
        <w:jc w:val="center"/>
        <w:rPr>
          <w:rFonts w:ascii="Times New Roman" w:hAnsi="宋体" w:eastAsia="Times New Roman" w:cs="宋体"/>
          <w:u w:val="single"/>
        </w:rPr>
      </w:pPr>
      <w:r>
        <w:rPr>
          <w:rFonts w:hint="eastAsia" w:ascii="Times New Roman" w:hAnsi="宋体" w:cs="宋体"/>
          <w:u w:val="single"/>
          <w:lang w:val="en-US" w:eastAsia="zh-CN"/>
        </w:rPr>
        <w:t xml:space="preserve">          </w:t>
      </w:r>
      <w:r>
        <w:rPr>
          <w:rFonts w:ascii="Times New Roman" w:hAnsi="宋体" w:eastAsia="Times New Roman" w:cs="宋体"/>
          <w:u w:val="single"/>
        </w:rPr>
        <w:t xml:space="preserve">年 </w:t>
      </w:r>
      <w:r>
        <w:rPr>
          <w:rFonts w:hint="eastAsia" w:ascii="Times New Roman" w:hAnsi="宋体" w:cs="宋体"/>
          <w:u w:val="single"/>
          <w:lang w:val="en-US" w:eastAsia="zh-CN"/>
        </w:rPr>
        <w:t xml:space="preserve">         </w:t>
      </w:r>
      <w:r>
        <w:rPr>
          <w:rFonts w:ascii="Times New Roman" w:hAnsi="宋体" w:eastAsia="Times New Roman" w:cs="宋体"/>
          <w:u w:val="single"/>
        </w:rPr>
        <w:t>月</w:t>
      </w:r>
      <w:r>
        <w:rPr>
          <w:rFonts w:hint="eastAsia" w:ascii="Times New Roman" w:hAnsi="宋体" w:cs="宋体"/>
          <w:u w:val="single"/>
          <w:lang w:val="en-US" w:eastAsia="zh-CN"/>
        </w:rPr>
        <w:t xml:space="preserve">         </w:t>
      </w:r>
      <w:r>
        <w:rPr>
          <w:rFonts w:ascii="Times New Roman" w:hAnsi="宋体" w:eastAsia="Times New Roman" w:cs="宋体"/>
          <w:u w:val="single"/>
        </w:rPr>
        <w:t xml:space="preserve"> 日</w:t>
      </w:r>
    </w:p>
    <w:p>
      <w:pPr>
        <w:pStyle w:val="5"/>
        <w:spacing w:before="67"/>
        <w:ind w:left="0" w:leftChars="0" w:firstLine="0" w:firstLineChars="0"/>
      </w:pPr>
    </w:p>
    <w:p>
      <w:pPr>
        <w:pStyle w:val="5"/>
        <w:spacing w:before="67"/>
        <w:ind w:left="0" w:leftChars="0" w:firstLine="0" w:firstLineChars="0"/>
      </w:pPr>
    </w:p>
    <w:p>
      <w:pPr>
        <w:pStyle w:val="5"/>
        <w:spacing w:before="67"/>
        <w:ind w:left="0" w:leftChars="0" w:firstLine="0" w:firstLineChars="0"/>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10"/>
      </w:pPr>
    </w:p>
    <w:p>
      <w:pPr>
        <w:pStyle w:val="21"/>
      </w:pPr>
    </w:p>
    <w:p/>
    <w:p>
      <w:pPr>
        <w:pStyle w:val="5"/>
        <w:spacing w:before="67"/>
        <w:ind w:left="0" w:leftChars="0" w:firstLine="964" w:firstLineChars="400"/>
      </w:pPr>
    </w:p>
    <w:p>
      <w:pPr>
        <w:pStyle w:val="5"/>
        <w:spacing w:before="67"/>
        <w:ind w:left="0" w:leftChars="0" w:firstLine="964" w:firstLineChars="400"/>
      </w:pPr>
      <w:r>
        <w:t>（</w:t>
      </w:r>
      <w:r>
        <w:rPr>
          <w:rFonts w:hint="eastAsia"/>
          <w:lang w:eastAsia="zh-CN"/>
        </w:rPr>
        <w:t>三</w:t>
      </w:r>
      <w:r>
        <w:t>）法人代表授权书格式</w:t>
      </w:r>
    </w:p>
    <w:p>
      <w:pPr>
        <w:pStyle w:val="10"/>
        <w:spacing w:before="0"/>
        <w:ind w:left="0"/>
        <w:rPr>
          <w:b/>
        </w:rPr>
      </w:pPr>
    </w:p>
    <w:p>
      <w:pPr>
        <w:pStyle w:val="10"/>
        <w:spacing w:before="3"/>
        <w:ind w:left="0"/>
        <w:rPr>
          <w:b/>
          <w:sz w:val="28"/>
        </w:rPr>
      </w:pPr>
    </w:p>
    <w:p>
      <w:pPr>
        <w:spacing w:before="0"/>
        <w:ind w:left="0" w:right="612" w:firstLine="0"/>
        <w:jc w:val="center"/>
        <w:rPr>
          <w:b/>
          <w:sz w:val="30"/>
        </w:rPr>
      </w:pPr>
      <w:r>
        <w:rPr>
          <w:b/>
          <w:sz w:val="30"/>
        </w:rPr>
        <w:t>法人代表授权书</w:t>
      </w:r>
    </w:p>
    <w:p>
      <w:pPr>
        <w:pStyle w:val="10"/>
        <w:tabs>
          <w:tab w:val="left" w:pos="3997"/>
          <w:tab w:val="left" w:pos="4957"/>
        </w:tabs>
        <w:spacing w:before="199" w:line="364" w:lineRule="auto"/>
        <w:ind w:right="1245" w:firstLine="602"/>
        <w:jc w:val="both"/>
      </w:pPr>
      <w:r>
        <w:t>本</w:t>
      </w:r>
      <w:r>
        <w:rPr>
          <w:spacing w:val="4"/>
        </w:rPr>
        <w:t>授</w:t>
      </w:r>
      <w:r>
        <w:t>权书</w:t>
      </w:r>
      <w:r>
        <w:rPr>
          <w:spacing w:val="4"/>
        </w:rPr>
        <w:t>声</w:t>
      </w:r>
      <w:r>
        <w:t>明：注</w:t>
      </w:r>
      <w:r>
        <w:rPr>
          <w:spacing w:val="4"/>
        </w:rPr>
        <w:t>册</w:t>
      </w:r>
      <w:r>
        <w:t>于</w:t>
      </w:r>
      <w:r>
        <w:rPr>
          <w:u w:val="single"/>
        </w:rPr>
        <w:t>（</w:t>
      </w:r>
      <w:r>
        <w:rPr>
          <w:spacing w:val="4"/>
          <w:u w:val="single"/>
        </w:rPr>
        <w:t>地</w:t>
      </w:r>
      <w:r>
        <w:rPr>
          <w:u w:val="single"/>
        </w:rPr>
        <w:t>区的</w:t>
      </w:r>
      <w:r>
        <w:rPr>
          <w:spacing w:val="4"/>
          <w:u w:val="single"/>
        </w:rPr>
        <w:t>名</w:t>
      </w:r>
      <w:r>
        <w:rPr>
          <w:u w:val="single"/>
        </w:rPr>
        <w:t>称</w:t>
      </w:r>
      <w:r>
        <w:rPr>
          <w:spacing w:val="4"/>
          <w:u w:val="single"/>
        </w:rPr>
        <w:t>）</w:t>
      </w:r>
      <w:r>
        <w:t>的</w:t>
      </w:r>
      <w:r>
        <w:rPr>
          <w:u w:val="single"/>
        </w:rPr>
        <w:t>（</w:t>
      </w:r>
      <w:r>
        <w:rPr>
          <w:spacing w:val="4"/>
          <w:u w:val="single"/>
        </w:rPr>
        <w:t>公</w:t>
      </w:r>
      <w:r>
        <w:rPr>
          <w:u w:val="single"/>
        </w:rPr>
        <w:t>司名</w:t>
      </w:r>
      <w:r>
        <w:rPr>
          <w:spacing w:val="4"/>
          <w:u w:val="single"/>
        </w:rPr>
        <w:t>称</w:t>
      </w:r>
      <w:r>
        <w:rPr>
          <w:u w:val="single"/>
        </w:rPr>
        <w:t>）</w:t>
      </w:r>
      <w:r>
        <w:t>，</w:t>
      </w:r>
      <w:r>
        <w:rPr>
          <w:spacing w:val="4"/>
        </w:rPr>
        <w:t>在</w:t>
      </w:r>
      <w:r>
        <w:t>下面</w:t>
      </w:r>
      <w:r>
        <w:rPr>
          <w:spacing w:val="4"/>
        </w:rPr>
        <w:t>签</w:t>
      </w:r>
      <w:r>
        <w:t>字的法人代</w:t>
      </w:r>
      <w:r>
        <w:rPr>
          <w:spacing w:val="-3"/>
        </w:rPr>
        <w:t>表</w:t>
      </w:r>
      <w:r>
        <w:rPr>
          <w:spacing w:val="-3"/>
          <w:u w:val="single"/>
        </w:rPr>
        <w:t>（</w:t>
      </w:r>
      <w:r>
        <w:rPr>
          <w:u w:val="single"/>
        </w:rPr>
        <w:t>姓名</w:t>
      </w:r>
      <w:r>
        <w:rPr>
          <w:spacing w:val="-3"/>
          <w:u w:val="single"/>
        </w:rPr>
        <w:t>、</w:t>
      </w:r>
      <w:r>
        <w:rPr>
          <w:u w:val="single"/>
        </w:rPr>
        <w:t>职务</w:t>
      </w:r>
      <w:r>
        <w:rPr>
          <w:spacing w:val="-3"/>
          <w:u w:val="single"/>
        </w:rPr>
        <w:t>）</w:t>
      </w:r>
      <w:r>
        <w:rPr>
          <w:spacing w:val="-3"/>
        </w:rPr>
        <w:t>，</w:t>
      </w:r>
      <w:r>
        <w:t>代表本公司授权在下面签字</w:t>
      </w:r>
      <w:r>
        <w:rPr>
          <w:spacing w:val="-3"/>
        </w:rPr>
        <w:t>的</w:t>
      </w:r>
      <w:r>
        <w:rPr>
          <w:u w:val="single"/>
        </w:rPr>
        <w:t>（被授权人的姓名</w:t>
      </w:r>
      <w:r>
        <w:rPr>
          <w:spacing w:val="-3"/>
          <w:u w:val="single"/>
        </w:rPr>
        <w:t>、</w:t>
      </w:r>
      <w:r>
        <w:rPr>
          <w:u w:val="single"/>
        </w:rPr>
        <w:t>职务</w:t>
      </w:r>
      <w:r>
        <w:rPr>
          <w:spacing w:val="-5"/>
          <w:u w:val="single"/>
        </w:rPr>
        <w:t>）</w:t>
      </w:r>
      <w:r>
        <w:rPr>
          <w:spacing w:val="-10"/>
        </w:rPr>
        <w:t>为</w:t>
      </w:r>
      <w:r>
        <w:t>本公司的合法代理人</w:t>
      </w:r>
      <w:r>
        <w:rPr>
          <w:spacing w:val="-5"/>
        </w:rPr>
        <w:t>，</w:t>
      </w:r>
      <w:r>
        <w:t>就</w:t>
      </w:r>
      <w:r>
        <w:rPr>
          <w:spacing w:val="115"/>
          <w:u w:val="single"/>
        </w:rPr>
        <w:t xml:space="preserve"> </w:t>
      </w:r>
      <w:r>
        <w:rPr>
          <w:u w:val="single"/>
        </w:rPr>
        <w:t>（项目名称）</w:t>
      </w:r>
      <w:r>
        <w:rPr>
          <w:spacing w:val="112"/>
          <w:u w:val="single"/>
        </w:rPr>
        <w:t xml:space="preserve"> </w:t>
      </w:r>
      <w:r>
        <w:t>的投标</w:t>
      </w:r>
      <w:r>
        <w:rPr>
          <w:spacing w:val="-5"/>
        </w:rPr>
        <w:t>，</w:t>
      </w:r>
      <w:r>
        <w:t>以本公司的名义处理一切与</w:t>
      </w:r>
      <w:r>
        <w:rPr>
          <w:spacing w:val="-13"/>
        </w:rPr>
        <w:t>之</w:t>
      </w:r>
      <w:r>
        <w:t>有关的事务。本授权书于</w:t>
      </w:r>
      <w:r>
        <w:rPr>
          <w:u w:val="single"/>
        </w:rPr>
        <w:t xml:space="preserve"> </w:t>
      </w:r>
      <w:r>
        <w:rPr>
          <w:u w:val="single"/>
        </w:rPr>
        <w:tab/>
      </w:r>
      <w:r>
        <w:t>年</w:t>
      </w:r>
      <w:r>
        <w:rPr>
          <w:u w:val="single"/>
        </w:rPr>
        <w:t xml:space="preserve"> </w:t>
      </w:r>
      <w:r>
        <w:rPr>
          <w:u w:val="single"/>
        </w:rPr>
        <w:tab/>
      </w:r>
      <w:r>
        <w:t>月</w:t>
      </w:r>
      <w:r>
        <w:rPr>
          <w:spacing w:val="119"/>
          <w:u w:val="single"/>
        </w:rPr>
        <w:t xml:space="preserve"> </w:t>
      </w:r>
      <w:r>
        <w:t>日签字生效，特此声明。</w:t>
      </w:r>
    </w:p>
    <w:p>
      <w:pPr>
        <w:pStyle w:val="10"/>
        <w:spacing w:before="9"/>
        <w:ind w:left="0"/>
        <w:rPr>
          <w:sz w:val="36"/>
        </w:rPr>
      </w:pPr>
    </w:p>
    <w:p>
      <w:pPr>
        <w:pStyle w:val="10"/>
        <w:tabs>
          <w:tab w:val="left" w:pos="8376"/>
        </w:tabs>
        <w:spacing w:before="0" w:line="364" w:lineRule="auto"/>
        <w:ind w:left="3037" w:right="2127"/>
        <w:jc w:val="both"/>
      </w:pPr>
      <w:r>
        <w:rPr>
          <w:spacing w:val="-1"/>
        </w:rPr>
        <w:t>法</w:t>
      </w:r>
      <w:r>
        <w:t>人代表签字：</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8"/>
          <w:u w:val="single"/>
        </w:rPr>
        <w:t xml:space="preserve"> </w:t>
      </w:r>
      <w:r>
        <w:rPr>
          <w:spacing w:val="-1"/>
        </w:rPr>
        <w:t>被</w:t>
      </w:r>
      <w:r>
        <w:t>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公 章 ：</w:t>
      </w:r>
    </w:p>
    <w:p>
      <w:pPr>
        <w:pStyle w:val="10"/>
        <w:spacing w:before="2"/>
        <w:ind w:left="3037"/>
        <w:jc w:val="both"/>
      </w:pPr>
      <w:r>
        <w:t>授 权 日 期 ：</w:t>
      </w:r>
      <w:r>
        <w:rPr>
          <w:u w:val="single"/>
        </w:rPr>
        <w:t xml:space="preserve"> </w:t>
      </w:r>
      <w:r>
        <w:t>年</w:t>
      </w:r>
      <w:r>
        <w:rPr>
          <w:u w:val="single"/>
        </w:rPr>
        <w:t xml:space="preserve"> </w:t>
      </w:r>
      <w:r>
        <w:t>月</w:t>
      </w:r>
      <w:r>
        <w:rPr>
          <w:spacing w:val="118"/>
          <w:u w:val="single"/>
        </w:rPr>
        <w:t xml:space="preserve"> </w:t>
      </w:r>
      <w:r>
        <w:t>日</w:t>
      </w:r>
    </w:p>
    <w:p>
      <w:pPr>
        <w:pStyle w:val="10"/>
        <w:spacing w:before="0"/>
        <w:ind w:left="0"/>
        <w:rPr>
          <w:sz w:val="26"/>
        </w:rPr>
      </w:pPr>
    </w:p>
    <w:p>
      <w:pPr>
        <w:pStyle w:val="10"/>
        <w:spacing w:before="0"/>
        <w:ind w:left="0"/>
        <w:rPr>
          <w:sz w:val="23"/>
        </w:rPr>
      </w:pPr>
    </w:p>
    <w:p>
      <w:pPr>
        <w:pStyle w:val="5"/>
        <w:spacing w:before="0" w:line="364" w:lineRule="auto"/>
        <w:ind w:right="1185" w:firstLine="480"/>
      </w:pPr>
      <w:r>
        <w:t>注：法人代表本人作为公司代理人前来参加投标的，投标方可以不提供此项证明文件。</w:t>
      </w: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0"/>
        </w:rPr>
      </w:pPr>
    </w:p>
    <w:p>
      <w:pPr>
        <w:pStyle w:val="10"/>
        <w:spacing w:before="0"/>
        <w:ind w:left="0"/>
        <w:rPr>
          <w:b/>
          <w:sz w:val="28"/>
        </w:rPr>
      </w:pPr>
    </w:p>
    <w:p>
      <w:pPr>
        <w:spacing w:after="0"/>
        <w:rPr>
          <w:sz w:val="28"/>
        </w:rPr>
        <w:sectPr>
          <w:pgSz w:w="11910" w:h="16840"/>
          <w:pgMar w:top="1420" w:right="240" w:bottom="1180" w:left="1160" w:header="878" w:footer="993" w:gutter="0"/>
          <w:pgNumType w:fmt="decimal"/>
          <w:cols w:space="720" w:num="1"/>
        </w:sectPr>
      </w:pPr>
    </w:p>
    <w:p>
      <w:pPr>
        <w:spacing w:before="66"/>
        <w:ind w:left="1117" w:right="0" w:firstLine="0"/>
        <w:jc w:val="left"/>
        <w:rPr>
          <w:b/>
          <w:sz w:val="44"/>
        </w:rPr>
      </w:pPr>
      <w:r>
        <w:rPr>
          <w:b/>
          <w:sz w:val="24"/>
        </w:rPr>
        <w:t>（三）</w:t>
      </w:r>
      <w:r>
        <w:rPr>
          <w:b/>
          <w:spacing w:val="-3"/>
          <w:sz w:val="24"/>
        </w:rPr>
        <w:t>开标一览表格式</w:t>
      </w:r>
    </w:p>
    <w:p>
      <w:pPr>
        <w:spacing w:before="0"/>
        <w:ind w:left="704" w:right="0" w:firstLine="0"/>
        <w:jc w:val="center"/>
        <w:rPr>
          <w:b/>
          <w:sz w:val="30"/>
        </w:rPr>
      </w:pPr>
      <w:r>
        <w:rPr>
          <w:b/>
          <w:sz w:val="30"/>
        </w:rPr>
        <w:t>开标一览表</w:t>
      </w:r>
    </w:p>
    <w:p>
      <w:pPr>
        <w:pStyle w:val="10"/>
        <w:spacing w:before="5"/>
        <w:ind w:left="0"/>
        <w:rPr>
          <w:b/>
          <w:sz w:val="10"/>
        </w:rPr>
      </w:pPr>
    </w:p>
    <w:p>
      <w:pPr>
        <w:spacing w:before="66"/>
        <w:ind w:left="455" w:right="0" w:firstLine="0"/>
        <w:jc w:val="left"/>
        <w:rPr>
          <w:b/>
          <w:sz w:val="24"/>
        </w:rPr>
      </w:pPr>
      <w:r>
        <w:rPr>
          <w:b/>
          <w:sz w:val="24"/>
        </w:rPr>
        <w:t>投标人名称：</w:t>
      </w:r>
    </w:p>
    <w:p>
      <w:pPr>
        <w:spacing w:before="90" w:line="364" w:lineRule="auto"/>
        <w:ind w:left="455" w:right="8364" w:firstLine="0"/>
        <w:jc w:val="left"/>
        <w:rPr>
          <w:b/>
          <w:sz w:val="24"/>
        </w:rPr>
      </w:pPr>
      <w:r>
        <mc:AlternateContent>
          <mc:Choice Requires="wps">
            <w:drawing>
              <wp:anchor distT="0" distB="0" distL="0" distR="0" simplePos="0" relativeHeight="251659264" behindDoc="0" locked="0" layoutInCell="1" allowOverlap="1">
                <wp:simplePos x="0" y="0"/>
                <wp:positionH relativeFrom="page">
                  <wp:posOffset>1069340</wp:posOffset>
                </wp:positionH>
                <wp:positionV relativeFrom="paragraph">
                  <wp:posOffset>600075</wp:posOffset>
                </wp:positionV>
                <wp:extent cx="5621655" cy="1723390"/>
                <wp:effectExtent l="6350" t="6350" r="10795" b="22860"/>
                <wp:wrapNone/>
                <wp:docPr id="1026" name="文本框 8"/>
                <wp:cNvGraphicFramePr/>
                <a:graphic xmlns:a="http://schemas.openxmlformats.org/drawingml/2006/main">
                  <a:graphicData uri="http://schemas.microsoft.com/office/word/2010/wordprocessingShape">
                    <wps:wsp>
                      <wps:cNvSpPr/>
                      <wps:spPr>
                        <a:xfrm>
                          <a:off x="0" y="0"/>
                          <a:ext cx="5621655" cy="1723390"/>
                        </a:xfrm>
                        <a:prstGeom prst="rect">
                          <a:avLst/>
                        </a:prstGeom>
                        <a:ln w="12700" cap="flat" cmpd="sng">
                          <a:solidFill>
                            <a:srgbClr val="000000"/>
                          </a:solidFill>
                          <a:prstDash val="solid"/>
                          <a:miter/>
                          <a:headEnd type="none" w="med" len="med"/>
                          <a:tailEnd type="none" w="med" len="med"/>
                        </a:ln>
                      </wps:spPr>
                      <wps:txbx>
                        <w:txbxContent>
                          <w:tbl>
                            <w:tblPr>
                              <w:tblStyle w:val="18"/>
                              <w:tblW w:w="0" w:type="auto"/>
                              <w:tblInd w:w="5"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821"/>
                              <w:gridCol w:w="1034"/>
                              <w:gridCol w:w="3130"/>
                              <w:gridCol w:w="1350"/>
                              <w:gridCol w:w="150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821" w:type="dxa"/>
                                </w:tcPr>
                                <w:p>
                                  <w:pPr>
                                    <w:pStyle w:val="24"/>
                                    <w:spacing w:before="5"/>
                                    <w:rPr>
                                      <w:b/>
                                      <w:sz w:val="22"/>
                                    </w:rPr>
                                  </w:pPr>
                                </w:p>
                                <w:p>
                                  <w:pPr>
                                    <w:pStyle w:val="24"/>
                                    <w:ind w:left="281"/>
                                    <w:rPr>
                                      <w:b/>
                                      <w:sz w:val="21"/>
                                    </w:rPr>
                                  </w:pPr>
                                  <w:r>
                                    <w:rPr>
                                      <w:b/>
                                      <w:sz w:val="21"/>
                                    </w:rPr>
                                    <w:t>采购单位名称</w:t>
                                  </w:r>
                                </w:p>
                              </w:tc>
                              <w:tc>
                                <w:tcPr>
                                  <w:tcW w:w="1034" w:type="dxa"/>
                                </w:tcPr>
                                <w:p>
                                  <w:pPr>
                                    <w:pStyle w:val="24"/>
                                    <w:spacing w:before="5"/>
                                    <w:rPr>
                                      <w:b/>
                                      <w:sz w:val="22"/>
                                    </w:rPr>
                                  </w:pPr>
                                </w:p>
                                <w:p>
                                  <w:pPr>
                                    <w:pStyle w:val="24"/>
                                    <w:ind w:left="307"/>
                                    <w:rPr>
                                      <w:b/>
                                      <w:sz w:val="21"/>
                                    </w:rPr>
                                  </w:pPr>
                                  <w:r>
                                    <w:rPr>
                                      <w:b/>
                                      <w:sz w:val="21"/>
                                    </w:rPr>
                                    <w:t>包段</w:t>
                                  </w:r>
                                </w:p>
                              </w:tc>
                              <w:tc>
                                <w:tcPr>
                                  <w:tcW w:w="3130" w:type="dxa"/>
                                </w:tcPr>
                                <w:p>
                                  <w:pPr>
                                    <w:pStyle w:val="24"/>
                                    <w:spacing w:before="5"/>
                                    <w:rPr>
                                      <w:b/>
                                      <w:sz w:val="22"/>
                                    </w:rPr>
                                  </w:pPr>
                                </w:p>
                                <w:p>
                                  <w:pPr>
                                    <w:pStyle w:val="24"/>
                                    <w:ind w:left="972"/>
                                    <w:rPr>
                                      <w:b/>
                                      <w:sz w:val="21"/>
                                    </w:rPr>
                                  </w:pPr>
                                  <w:r>
                                    <w:rPr>
                                      <w:b/>
                                      <w:sz w:val="21"/>
                                    </w:rPr>
                                    <w:t>投标报价（元）</w:t>
                                  </w:r>
                                </w:p>
                              </w:tc>
                              <w:tc>
                                <w:tcPr>
                                  <w:tcW w:w="1350" w:type="dxa"/>
                                  <w:tcBorders>
                                    <w:right w:val="single" w:color="auto" w:sz="4" w:space="0"/>
                                  </w:tcBorders>
                                </w:tcPr>
                                <w:p>
                                  <w:pPr>
                                    <w:pStyle w:val="24"/>
                                    <w:spacing w:before="5"/>
                                    <w:rPr>
                                      <w:b/>
                                      <w:sz w:val="22"/>
                                    </w:rPr>
                                  </w:pPr>
                                </w:p>
                                <w:p>
                                  <w:pPr>
                                    <w:pStyle w:val="24"/>
                                    <w:ind w:left="216"/>
                                    <w:rPr>
                                      <w:b/>
                                      <w:sz w:val="21"/>
                                    </w:rPr>
                                  </w:pPr>
                                  <w:r>
                                    <w:rPr>
                                      <w:b/>
                                      <w:sz w:val="21"/>
                                    </w:rPr>
                                    <w:t>交货日期</w:t>
                                  </w:r>
                                </w:p>
                              </w:tc>
                              <w:tc>
                                <w:tcPr>
                                  <w:tcW w:w="1502" w:type="dxa"/>
                                  <w:tcBorders>
                                    <w:left w:val="single" w:color="auto" w:sz="4" w:space="0"/>
                                    <w:bottom w:val="single" w:color="auto" w:sz="4" w:space="0"/>
                                  </w:tcBorders>
                                </w:tcPr>
                                <w:p>
                                  <w:pPr>
                                    <w:pStyle w:val="24"/>
                                    <w:spacing w:before="5"/>
                                    <w:rPr>
                                      <w:b/>
                                      <w:sz w:val="22"/>
                                    </w:rPr>
                                  </w:pPr>
                                </w:p>
                                <w:p>
                                  <w:pPr>
                                    <w:pStyle w:val="24"/>
                                    <w:ind w:left="552"/>
                                    <w:rPr>
                                      <w:b/>
                                      <w:sz w:val="21"/>
                                    </w:rPr>
                                  </w:pPr>
                                  <w:r>
                                    <w:rPr>
                                      <w:b/>
                                      <w:sz w:val="21"/>
                                    </w:rPr>
                                    <w:t>备 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21" w:type="dxa"/>
                                  <w:tcBorders>
                                    <w:bottom w:val="single" w:color="auto" w:sz="4" w:space="0"/>
                                  </w:tcBorders>
                                </w:tcPr>
                                <w:p>
                                  <w:pPr>
                                    <w:pStyle w:val="24"/>
                                    <w:rPr>
                                      <w:rFonts w:ascii="Times New Roman"/>
                                      <w:sz w:val="22"/>
                                    </w:rPr>
                                  </w:pPr>
                                </w:p>
                              </w:tc>
                              <w:tc>
                                <w:tcPr>
                                  <w:tcW w:w="1034" w:type="dxa"/>
                                  <w:tcBorders>
                                    <w:bottom w:val="single" w:color="auto" w:sz="4" w:space="0"/>
                                  </w:tcBorders>
                                </w:tcPr>
                                <w:p>
                                  <w:pPr>
                                    <w:pStyle w:val="24"/>
                                    <w:rPr>
                                      <w:rFonts w:ascii="Times New Roman"/>
                                      <w:sz w:val="22"/>
                                    </w:rPr>
                                  </w:pPr>
                                </w:p>
                              </w:tc>
                              <w:tc>
                                <w:tcPr>
                                  <w:tcW w:w="3130" w:type="dxa"/>
                                  <w:tcBorders>
                                    <w:bottom w:val="single" w:color="auto" w:sz="4" w:space="0"/>
                                  </w:tcBorders>
                                </w:tcPr>
                                <w:p>
                                  <w:pPr>
                                    <w:pStyle w:val="24"/>
                                    <w:rPr>
                                      <w:rFonts w:ascii="Times New Roman"/>
                                      <w:sz w:val="22"/>
                                    </w:rPr>
                                  </w:pPr>
                                </w:p>
                              </w:tc>
                              <w:tc>
                                <w:tcPr>
                                  <w:tcW w:w="1350" w:type="dxa"/>
                                  <w:tcBorders>
                                    <w:bottom w:val="single" w:color="auto" w:sz="4" w:space="0"/>
                                    <w:right w:val="single" w:color="auto" w:sz="4" w:space="0"/>
                                  </w:tcBorders>
                                </w:tcPr>
                                <w:p>
                                  <w:pPr>
                                    <w:pStyle w:val="24"/>
                                    <w:rPr>
                                      <w:rFonts w:ascii="Times New Roman"/>
                                      <w:sz w:val="22"/>
                                    </w:rPr>
                                  </w:pPr>
                                </w:p>
                              </w:tc>
                              <w:tc>
                                <w:tcPr>
                                  <w:tcW w:w="1502" w:type="dxa"/>
                                  <w:tcBorders>
                                    <w:top w:val="single" w:color="auto" w:sz="4" w:space="0"/>
                                    <w:left w:val="single" w:color="auto" w:sz="4" w:space="0"/>
                                    <w:bottom w:val="single" w:color="auto" w:sz="4" w:space="0"/>
                                  </w:tcBorders>
                                </w:tcPr>
                                <w:p>
                                  <w:pPr>
                                    <w:pStyle w:val="24"/>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837" w:type="dxa"/>
                                  <w:gridSpan w:val="5"/>
                                  <w:tcBorders>
                                    <w:top w:val="single" w:color="auto" w:sz="4" w:space="0"/>
                                  </w:tcBorders>
                                </w:tcPr>
                                <w:p>
                                  <w:pPr>
                                    <w:pStyle w:val="24"/>
                                    <w:spacing w:before="11"/>
                                    <w:rPr>
                                      <w:b/>
                                      <w:sz w:val="15"/>
                                    </w:rPr>
                                  </w:pPr>
                                </w:p>
                                <w:p>
                                  <w:pPr>
                                    <w:pStyle w:val="24"/>
                                    <w:ind w:left="79"/>
                                    <w:rPr>
                                      <w:b/>
                                      <w:sz w:val="21"/>
                                    </w:rPr>
                                  </w:pPr>
                                  <w:r>
                                    <w:rPr>
                                      <w:b/>
                                      <w:sz w:val="21"/>
                                    </w:rPr>
                                    <w:t>人民币大写：</w:t>
                                  </w:r>
                                </w:p>
                              </w:tc>
                            </w:tr>
                          </w:tbl>
                          <w:p>
                            <w:pPr>
                              <w:pStyle w:val="10"/>
                              <w:spacing w:before="0"/>
                              <w:ind w:left="0"/>
                            </w:pPr>
                          </w:p>
                        </w:txbxContent>
                      </wps:txbx>
                      <wps:bodyPr lIns="0" tIns="0" rIns="0" bIns="0" upright="1"/>
                    </wps:wsp>
                  </a:graphicData>
                </a:graphic>
              </wp:anchor>
            </w:drawing>
          </mc:Choice>
          <mc:Fallback>
            <w:pict>
              <v:rect id="文本框 8" o:spid="_x0000_s1026" o:spt="1" style="position:absolute;left:0pt;margin-left:84.2pt;margin-top:47.25pt;height:135.7pt;width:442.65pt;mso-position-horizontal-relative:page;z-index:251659264;mso-width-relative:page;mso-height-relative:page;" filled="f" stroked="t" coordsize="21600,21600" o:gfxdata="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O6989oAAAALAQAADwAAAAAAAAAB&#10;ACAAAAAiAAAAZHJzL2Rvd25yZXYueG1sUEsBAhQAFAAAAAgAh07iQDt/jtwOAgAAIQQAAA4AAAAA&#10;AAAAAQAgAAAAKQEAAGRycy9lMm9Eb2MueG1sUEsFBgAAAAAGAAYAWQEAAKkFAAAAAA==&#10;">
                <v:fill on="f" focussize="0,0"/>
                <v:stroke weight="1pt" color="#000000" joinstyle="miter"/>
                <v:imagedata o:title=""/>
                <o:lock v:ext="edit" aspectratio="f"/>
                <v:textbox inset="0mm,0mm,0mm,0mm">
                  <w:txbxContent>
                    <w:tbl>
                      <w:tblPr>
                        <w:tblStyle w:val="18"/>
                        <w:tblW w:w="0" w:type="auto"/>
                        <w:tblInd w:w="5"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821"/>
                        <w:gridCol w:w="1034"/>
                        <w:gridCol w:w="3130"/>
                        <w:gridCol w:w="1350"/>
                        <w:gridCol w:w="150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821" w:type="dxa"/>
                          </w:tcPr>
                          <w:p>
                            <w:pPr>
                              <w:pStyle w:val="24"/>
                              <w:spacing w:before="5"/>
                              <w:rPr>
                                <w:b/>
                                <w:sz w:val="22"/>
                              </w:rPr>
                            </w:pPr>
                          </w:p>
                          <w:p>
                            <w:pPr>
                              <w:pStyle w:val="24"/>
                              <w:ind w:left="281"/>
                              <w:rPr>
                                <w:b/>
                                <w:sz w:val="21"/>
                              </w:rPr>
                            </w:pPr>
                            <w:r>
                              <w:rPr>
                                <w:b/>
                                <w:sz w:val="21"/>
                              </w:rPr>
                              <w:t>采购单位名称</w:t>
                            </w:r>
                          </w:p>
                        </w:tc>
                        <w:tc>
                          <w:tcPr>
                            <w:tcW w:w="1034" w:type="dxa"/>
                          </w:tcPr>
                          <w:p>
                            <w:pPr>
                              <w:pStyle w:val="24"/>
                              <w:spacing w:before="5"/>
                              <w:rPr>
                                <w:b/>
                                <w:sz w:val="22"/>
                              </w:rPr>
                            </w:pPr>
                          </w:p>
                          <w:p>
                            <w:pPr>
                              <w:pStyle w:val="24"/>
                              <w:ind w:left="307"/>
                              <w:rPr>
                                <w:b/>
                                <w:sz w:val="21"/>
                              </w:rPr>
                            </w:pPr>
                            <w:r>
                              <w:rPr>
                                <w:b/>
                                <w:sz w:val="21"/>
                              </w:rPr>
                              <w:t>包段</w:t>
                            </w:r>
                          </w:p>
                        </w:tc>
                        <w:tc>
                          <w:tcPr>
                            <w:tcW w:w="3130" w:type="dxa"/>
                          </w:tcPr>
                          <w:p>
                            <w:pPr>
                              <w:pStyle w:val="24"/>
                              <w:spacing w:before="5"/>
                              <w:rPr>
                                <w:b/>
                                <w:sz w:val="22"/>
                              </w:rPr>
                            </w:pPr>
                          </w:p>
                          <w:p>
                            <w:pPr>
                              <w:pStyle w:val="24"/>
                              <w:ind w:left="972"/>
                              <w:rPr>
                                <w:b/>
                                <w:sz w:val="21"/>
                              </w:rPr>
                            </w:pPr>
                            <w:r>
                              <w:rPr>
                                <w:b/>
                                <w:sz w:val="21"/>
                              </w:rPr>
                              <w:t>投标报价（元）</w:t>
                            </w:r>
                          </w:p>
                        </w:tc>
                        <w:tc>
                          <w:tcPr>
                            <w:tcW w:w="1350" w:type="dxa"/>
                            <w:tcBorders>
                              <w:right w:val="single" w:color="auto" w:sz="4" w:space="0"/>
                            </w:tcBorders>
                          </w:tcPr>
                          <w:p>
                            <w:pPr>
                              <w:pStyle w:val="24"/>
                              <w:spacing w:before="5"/>
                              <w:rPr>
                                <w:b/>
                                <w:sz w:val="22"/>
                              </w:rPr>
                            </w:pPr>
                          </w:p>
                          <w:p>
                            <w:pPr>
                              <w:pStyle w:val="24"/>
                              <w:ind w:left="216"/>
                              <w:rPr>
                                <w:b/>
                                <w:sz w:val="21"/>
                              </w:rPr>
                            </w:pPr>
                            <w:r>
                              <w:rPr>
                                <w:b/>
                                <w:sz w:val="21"/>
                              </w:rPr>
                              <w:t>交货日期</w:t>
                            </w:r>
                          </w:p>
                        </w:tc>
                        <w:tc>
                          <w:tcPr>
                            <w:tcW w:w="1502" w:type="dxa"/>
                            <w:tcBorders>
                              <w:left w:val="single" w:color="auto" w:sz="4" w:space="0"/>
                              <w:bottom w:val="single" w:color="auto" w:sz="4" w:space="0"/>
                            </w:tcBorders>
                          </w:tcPr>
                          <w:p>
                            <w:pPr>
                              <w:pStyle w:val="24"/>
                              <w:spacing w:before="5"/>
                              <w:rPr>
                                <w:b/>
                                <w:sz w:val="22"/>
                              </w:rPr>
                            </w:pPr>
                          </w:p>
                          <w:p>
                            <w:pPr>
                              <w:pStyle w:val="24"/>
                              <w:ind w:left="552"/>
                              <w:rPr>
                                <w:b/>
                                <w:sz w:val="21"/>
                              </w:rPr>
                            </w:pPr>
                            <w:r>
                              <w:rPr>
                                <w:b/>
                                <w:sz w:val="21"/>
                              </w:rPr>
                              <w:t>备 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21" w:type="dxa"/>
                            <w:tcBorders>
                              <w:bottom w:val="single" w:color="auto" w:sz="4" w:space="0"/>
                            </w:tcBorders>
                          </w:tcPr>
                          <w:p>
                            <w:pPr>
                              <w:pStyle w:val="24"/>
                              <w:rPr>
                                <w:rFonts w:ascii="Times New Roman"/>
                                <w:sz w:val="22"/>
                              </w:rPr>
                            </w:pPr>
                          </w:p>
                        </w:tc>
                        <w:tc>
                          <w:tcPr>
                            <w:tcW w:w="1034" w:type="dxa"/>
                            <w:tcBorders>
                              <w:bottom w:val="single" w:color="auto" w:sz="4" w:space="0"/>
                            </w:tcBorders>
                          </w:tcPr>
                          <w:p>
                            <w:pPr>
                              <w:pStyle w:val="24"/>
                              <w:rPr>
                                <w:rFonts w:ascii="Times New Roman"/>
                                <w:sz w:val="22"/>
                              </w:rPr>
                            </w:pPr>
                          </w:p>
                        </w:tc>
                        <w:tc>
                          <w:tcPr>
                            <w:tcW w:w="3130" w:type="dxa"/>
                            <w:tcBorders>
                              <w:bottom w:val="single" w:color="auto" w:sz="4" w:space="0"/>
                            </w:tcBorders>
                          </w:tcPr>
                          <w:p>
                            <w:pPr>
                              <w:pStyle w:val="24"/>
                              <w:rPr>
                                <w:rFonts w:ascii="Times New Roman"/>
                                <w:sz w:val="22"/>
                              </w:rPr>
                            </w:pPr>
                          </w:p>
                        </w:tc>
                        <w:tc>
                          <w:tcPr>
                            <w:tcW w:w="1350" w:type="dxa"/>
                            <w:tcBorders>
                              <w:bottom w:val="single" w:color="auto" w:sz="4" w:space="0"/>
                              <w:right w:val="single" w:color="auto" w:sz="4" w:space="0"/>
                            </w:tcBorders>
                          </w:tcPr>
                          <w:p>
                            <w:pPr>
                              <w:pStyle w:val="24"/>
                              <w:rPr>
                                <w:rFonts w:ascii="Times New Roman"/>
                                <w:sz w:val="22"/>
                              </w:rPr>
                            </w:pPr>
                          </w:p>
                        </w:tc>
                        <w:tc>
                          <w:tcPr>
                            <w:tcW w:w="1502" w:type="dxa"/>
                            <w:tcBorders>
                              <w:top w:val="single" w:color="auto" w:sz="4" w:space="0"/>
                              <w:left w:val="single" w:color="auto" w:sz="4" w:space="0"/>
                              <w:bottom w:val="single" w:color="auto" w:sz="4" w:space="0"/>
                            </w:tcBorders>
                          </w:tcPr>
                          <w:p>
                            <w:pPr>
                              <w:pStyle w:val="24"/>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837" w:type="dxa"/>
                            <w:gridSpan w:val="5"/>
                            <w:tcBorders>
                              <w:top w:val="single" w:color="auto" w:sz="4" w:space="0"/>
                            </w:tcBorders>
                          </w:tcPr>
                          <w:p>
                            <w:pPr>
                              <w:pStyle w:val="24"/>
                              <w:spacing w:before="11"/>
                              <w:rPr>
                                <w:b/>
                                <w:sz w:val="15"/>
                              </w:rPr>
                            </w:pPr>
                          </w:p>
                          <w:p>
                            <w:pPr>
                              <w:pStyle w:val="24"/>
                              <w:ind w:left="79"/>
                              <w:rPr>
                                <w:b/>
                                <w:sz w:val="21"/>
                              </w:rPr>
                            </w:pPr>
                            <w:r>
                              <w:rPr>
                                <w:b/>
                                <w:sz w:val="21"/>
                              </w:rPr>
                              <w:t>人民币大写：</w:t>
                            </w:r>
                          </w:p>
                        </w:tc>
                      </w:tr>
                    </w:tbl>
                    <w:p>
                      <w:pPr>
                        <w:pStyle w:val="10"/>
                        <w:spacing w:before="0"/>
                        <w:ind w:left="0"/>
                      </w:pPr>
                    </w:p>
                  </w:txbxContent>
                </v:textbox>
              </v:rect>
            </w:pict>
          </mc:Fallback>
        </mc:AlternateContent>
      </w:r>
      <w:r>
        <w:rPr>
          <w:b/>
          <w:sz w:val="24"/>
        </w:rPr>
        <w:t>招标文件编号： 采购项目名称：</w:t>
      </w:r>
    </w:p>
    <w:p>
      <w:pPr>
        <w:pStyle w:val="10"/>
        <w:spacing w:before="0"/>
        <w:ind w:left="0"/>
        <w:rPr>
          <w:b/>
        </w:rPr>
      </w:pPr>
    </w:p>
    <w:p>
      <w:pPr>
        <w:pStyle w:val="10"/>
        <w:spacing w:before="0"/>
        <w:ind w:left="0"/>
        <w:rPr>
          <w:b/>
        </w:rPr>
      </w:pPr>
    </w:p>
    <w:p>
      <w:pPr>
        <w:pStyle w:val="10"/>
        <w:spacing w:before="0"/>
        <w:ind w:left="0"/>
        <w:rPr>
          <w:b/>
        </w:rPr>
      </w:pPr>
    </w:p>
    <w:p>
      <w:pPr>
        <w:pStyle w:val="10"/>
        <w:spacing w:before="0"/>
        <w:ind w:left="0"/>
        <w:rPr>
          <w:b/>
        </w:rPr>
      </w:pPr>
    </w:p>
    <w:p>
      <w:pPr>
        <w:pStyle w:val="10"/>
        <w:spacing w:before="0"/>
        <w:ind w:left="0"/>
        <w:rPr>
          <w:b/>
        </w:rPr>
      </w:pPr>
    </w:p>
    <w:p>
      <w:pPr>
        <w:pStyle w:val="10"/>
        <w:spacing w:before="0"/>
        <w:ind w:left="0"/>
        <w:rPr>
          <w:b/>
        </w:rPr>
      </w:pPr>
    </w:p>
    <w:p>
      <w:pPr>
        <w:pStyle w:val="10"/>
        <w:spacing w:before="0"/>
        <w:ind w:left="0"/>
        <w:rPr>
          <w:b/>
        </w:rPr>
      </w:pPr>
    </w:p>
    <w:p>
      <w:pPr>
        <w:pStyle w:val="10"/>
        <w:spacing w:before="3"/>
        <w:ind w:left="0"/>
        <w:rPr>
          <w:b/>
          <w:sz w:val="19"/>
        </w:rPr>
      </w:pPr>
    </w:p>
    <w:p>
      <w:pPr>
        <w:spacing w:before="0"/>
        <w:ind w:left="637" w:right="0" w:firstLine="0"/>
        <w:jc w:val="left"/>
        <w:rPr>
          <w:b/>
          <w:sz w:val="24"/>
        </w:rPr>
      </w:pPr>
    </w:p>
    <w:p>
      <w:pPr>
        <w:spacing w:before="0"/>
        <w:ind w:left="637" w:right="0" w:firstLine="0"/>
        <w:jc w:val="left"/>
        <w:rPr>
          <w:rFonts w:hint="eastAsia"/>
          <w:b/>
          <w:sz w:val="24"/>
          <w:lang w:eastAsia="zh-CN"/>
        </w:rPr>
      </w:pPr>
      <w:r>
        <w:rPr>
          <w:b/>
          <w:sz w:val="24"/>
        </w:rPr>
        <w:t>投单位法人代表或授权代表签字</w:t>
      </w:r>
    </w:p>
    <w:p>
      <w:pPr>
        <w:spacing w:before="0"/>
        <w:ind w:left="637" w:right="0" w:firstLine="0"/>
        <w:jc w:val="left"/>
        <w:rPr>
          <w:rFonts w:hint="eastAsia"/>
          <w:b/>
          <w:sz w:val="24"/>
          <w:lang w:eastAsia="zh-CN"/>
        </w:rPr>
      </w:pPr>
    </w:p>
    <w:p>
      <w:pPr>
        <w:spacing w:before="0"/>
        <w:ind w:left="637" w:right="0" w:firstLine="0"/>
        <w:jc w:val="left"/>
        <w:rPr>
          <w:rFonts w:hint="eastAsia"/>
          <w:b/>
          <w:sz w:val="24"/>
          <w:lang w:eastAsia="zh-CN"/>
        </w:rPr>
      </w:pPr>
    </w:p>
    <w:p>
      <w:pPr>
        <w:spacing w:before="0"/>
        <w:ind w:left="637" w:right="0" w:firstLine="0"/>
        <w:jc w:val="left"/>
        <w:rPr>
          <w:rFonts w:hint="eastAsia"/>
          <w:b/>
          <w:sz w:val="24"/>
          <w:lang w:eastAsia="zh-CN"/>
        </w:rPr>
      </w:pPr>
    </w:p>
    <w:p>
      <w:pPr>
        <w:spacing w:before="0"/>
        <w:ind w:left="637" w:right="0" w:firstLine="0"/>
        <w:jc w:val="left"/>
        <w:rPr>
          <w:b/>
          <w:sz w:val="24"/>
        </w:rPr>
      </w:pPr>
      <w:r>
        <w:rPr>
          <w:b/>
          <w:sz w:val="24"/>
        </w:rPr>
        <w:t>（四）关于资格的声明函</w:t>
      </w:r>
    </w:p>
    <w:p>
      <w:pPr>
        <w:spacing w:before="201"/>
        <w:ind w:left="0" w:right="610" w:firstLine="0"/>
        <w:jc w:val="center"/>
        <w:rPr>
          <w:b/>
          <w:sz w:val="30"/>
        </w:rPr>
      </w:pPr>
      <w:r>
        <w:rPr>
          <w:b/>
          <w:sz w:val="30"/>
        </w:rPr>
        <w:t>关于资格的声明函</w:t>
      </w:r>
    </w:p>
    <w:p>
      <w:pPr>
        <w:spacing w:before="199"/>
        <w:ind w:left="637" w:right="0" w:firstLine="0"/>
        <w:jc w:val="left"/>
        <w:rPr>
          <w:b/>
          <w:sz w:val="24"/>
        </w:rPr>
      </w:pPr>
      <w:r>
        <w:rPr>
          <w:b/>
          <w:sz w:val="24"/>
        </w:rPr>
        <w:t>致：</w:t>
      </w:r>
      <w:r>
        <w:rPr>
          <w:rFonts w:hint="eastAsia"/>
          <w:b/>
          <w:sz w:val="24"/>
        </w:rPr>
        <w:t>和硕县应急管理局</w:t>
      </w:r>
      <w:r>
        <w:rPr>
          <w:b/>
          <w:sz w:val="24"/>
        </w:rPr>
        <w:t>：</w:t>
      </w:r>
    </w:p>
    <w:p>
      <w:pPr>
        <w:pStyle w:val="10"/>
        <w:tabs>
          <w:tab w:val="left" w:pos="2797"/>
        </w:tabs>
        <w:spacing w:before="160" w:line="364" w:lineRule="auto"/>
        <w:ind w:right="1245" w:firstLine="480"/>
        <w:jc w:val="both"/>
      </w:pPr>
      <w:r>
        <w:t>关</w:t>
      </w:r>
      <w:r>
        <w:rPr>
          <w:spacing w:val="-44"/>
        </w:rPr>
        <w:t xml:space="preserve"> </w:t>
      </w:r>
      <w:r>
        <w:t>于</w:t>
      </w:r>
      <w:r>
        <w:rPr>
          <w:spacing w:val="-46"/>
        </w:rPr>
        <w:t xml:space="preserve"> </w:t>
      </w:r>
      <w:r>
        <w:t>贵</w:t>
      </w:r>
      <w:r>
        <w:rPr>
          <w:spacing w:val="-44"/>
        </w:rPr>
        <w:t xml:space="preserve"> </w:t>
      </w:r>
      <w:r>
        <w:t>方</w:t>
      </w:r>
      <w:r>
        <w:rPr>
          <w:u w:val="single"/>
        </w:rPr>
        <w:t xml:space="preserve">   </w:t>
      </w:r>
      <w:r>
        <w:rPr>
          <w:spacing w:val="107"/>
          <w:u w:val="single"/>
        </w:rPr>
        <w:t xml:space="preserve"> </w:t>
      </w:r>
      <w:r>
        <w:t>年</w:t>
      </w:r>
      <w:r>
        <w:rPr>
          <w:u w:val="single"/>
        </w:rPr>
        <w:t xml:space="preserve">    </w:t>
      </w:r>
      <w:r>
        <w:rPr>
          <w:spacing w:val="107"/>
          <w:u w:val="single"/>
        </w:rPr>
        <w:t xml:space="preserve"> </w:t>
      </w:r>
      <w:r>
        <w:t>月</w:t>
      </w:r>
      <w:r>
        <w:rPr>
          <w:u w:val="single"/>
        </w:rPr>
        <w:t xml:space="preserve">    </w:t>
      </w:r>
      <w:r>
        <w:rPr>
          <w:spacing w:val="107"/>
          <w:u w:val="single"/>
        </w:rPr>
        <w:t xml:space="preserve"> </w:t>
      </w:r>
      <w:r>
        <w:t>日</w:t>
      </w:r>
      <w:r>
        <w:rPr>
          <w:spacing w:val="-44"/>
        </w:rPr>
        <w:t xml:space="preserve"> </w:t>
      </w:r>
      <w:r>
        <w:t>第</w:t>
      </w:r>
      <w:r>
        <w:rPr>
          <w:spacing w:val="-46"/>
        </w:rPr>
        <w:t xml:space="preserve"> </w:t>
      </w:r>
      <w:r>
        <w:t>（</w:t>
      </w:r>
      <w:r>
        <w:rPr>
          <w:spacing w:val="-44"/>
        </w:rPr>
        <w:t xml:space="preserve"> </w:t>
      </w:r>
      <w:r>
        <w:t>招</w:t>
      </w:r>
      <w:r>
        <w:rPr>
          <w:spacing w:val="-44"/>
        </w:rPr>
        <w:t xml:space="preserve"> </w:t>
      </w:r>
      <w:r>
        <w:t>标</w:t>
      </w:r>
      <w:r>
        <w:rPr>
          <w:spacing w:val="-46"/>
        </w:rPr>
        <w:t xml:space="preserve"> </w:t>
      </w:r>
      <w:r>
        <w:t>编</w:t>
      </w:r>
      <w:r>
        <w:rPr>
          <w:spacing w:val="-44"/>
        </w:rPr>
        <w:t xml:space="preserve"> </w:t>
      </w:r>
      <w:r>
        <w:t>号</w:t>
      </w:r>
      <w:r>
        <w:rPr>
          <w:spacing w:val="-44"/>
        </w:rPr>
        <w:t xml:space="preserve"> </w:t>
      </w:r>
      <w:r>
        <w:t>）</w:t>
      </w:r>
      <w:r>
        <w:rPr>
          <w:spacing w:val="-46"/>
        </w:rPr>
        <w:t xml:space="preserve"> </w:t>
      </w:r>
      <w:r>
        <w:t>招</w:t>
      </w:r>
      <w:r>
        <w:rPr>
          <w:spacing w:val="-44"/>
        </w:rPr>
        <w:t xml:space="preserve"> </w:t>
      </w:r>
      <w:r>
        <w:t>标</w:t>
      </w:r>
      <w:r>
        <w:rPr>
          <w:spacing w:val="-44"/>
        </w:rPr>
        <w:t xml:space="preserve"> </w:t>
      </w:r>
      <w:r>
        <w:t>公</w:t>
      </w:r>
      <w:r>
        <w:rPr>
          <w:spacing w:val="-46"/>
        </w:rPr>
        <w:t xml:space="preserve"> </w:t>
      </w:r>
      <w:r>
        <w:t>告</w:t>
      </w:r>
      <w:r>
        <w:rPr>
          <w:spacing w:val="-44"/>
        </w:rPr>
        <w:t xml:space="preserve"> </w:t>
      </w:r>
      <w:r>
        <w:t>关</w:t>
      </w:r>
      <w:r>
        <w:rPr>
          <w:spacing w:val="-44"/>
        </w:rPr>
        <w:t xml:space="preserve"> </w:t>
      </w:r>
      <w:r>
        <w:t>于</w:t>
      </w:r>
      <w:r>
        <w:rPr>
          <w:u w:val="single"/>
        </w:rPr>
        <w:t>“</w:t>
      </w:r>
      <w:r>
        <w:rPr>
          <w:u w:val="single"/>
        </w:rPr>
        <w:tab/>
      </w:r>
      <w:r>
        <w:rPr>
          <w:spacing w:val="-5"/>
          <w:u w:val="single"/>
        </w:rPr>
        <w:t>”</w:t>
      </w:r>
      <w:r>
        <w:t>的招标项目</w:t>
      </w:r>
      <w:r>
        <w:rPr>
          <w:spacing w:val="-5"/>
        </w:rPr>
        <w:t>，</w:t>
      </w:r>
      <w:r>
        <w:t>本签字人愿意参加投标</w:t>
      </w:r>
      <w:r>
        <w:rPr>
          <w:spacing w:val="-8"/>
        </w:rPr>
        <w:t>，</w:t>
      </w:r>
      <w:r>
        <w:t>并有能力提供</w:t>
      </w:r>
      <w:r>
        <w:rPr>
          <w:spacing w:val="115"/>
          <w:u w:val="single"/>
        </w:rPr>
        <w:t xml:space="preserve"> </w:t>
      </w:r>
      <w:r>
        <w:rPr>
          <w:u w:val="single"/>
        </w:rPr>
        <w:t>（</w:t>
      </w:r>
      <w:r>
        <w:rPr>
          <w:spacing w:val="-13"/>
          <w:u w:val="single"/>
        </w:rPr>
        <w:t>项</w:t>
      </w:r>
      <w:r>
        <w:rPr>
          <w:spacing w:val="-220"/>
          <w:u w:val="single"/>
        </w:rPr>
        <w:t>目</w:t>
      </w:r>
      <w:r>
        <w:rPr>
          <w:u w:val="single"/>
        </w:rPr>
        <w:t xml:space="preserve">名称）   </w:t>
      </w:r>
      <w:r>
        <w:rPr>
          <w:spacing w:val="6"/>
          <w:u w:val="single"/>
        </w:rPr>
        <w:t xml:space="preserve"> </w:t>
      </w:r>
      <w:r>
        <w:t>项目中</w:t>
      </w:r>
      <w:r>
        <w:rPr>
          <w:spacing w:val="-5"/>
        </w:rPr>
        <w:t>的</w:t>
      </w:r>
      <w:r>
        <w:t>（</w:t>
      </w:r>
      <w:r>
        <w:rPr>
          <w:u w:val="single"/>
        </w:rPr>
        <w:t>包号及货物名称</w:t>
      </w:r>
      <w:r>
        <w:rPr>
          <w:spacing w:val="-8"/>
          <w:u w:val="single"/>
        </w:rPr>
        <w:t>）</w:t>
      </w:r>
      <w:r>
        <w:t>招标货物及相关服务</w:t>
      </w:r>
      <w:r>
        <w:rPr>
          <w:spacing w:val="-5"/>
        </w:rPr>
        <w:t>，</w:t>
      </w:r>
      <w:r>
        <w:t>并保证所提交的所有文件和说明是真实和准确的。</w:t>
      </w:r>
    </w:p>
    <w:p>
      <w:pPr>
        <w:pStyle w:val="10"/>
        <w:tabs>
          <w:tab w:val="left" w:pos="8376"/>
        </w:tabs>
        <w:spacing w:before="3"/>
        <w:ind w:left="1777"/>
        <w:jc w:val="both"/>
      </w:pPr>
      <w:r>
        <w:t>投标人（盖章）：</w:t>
      </w:r>
      <w:r>
        <w:rPr>
          <w:spacing w:val="119"/>
          <w:u w:val="single"/>
        </w:rPr>
        <w:t xml:space="preserve"> </w:t>
      </w:r>
      <w:r>
        <w:rPr>
          <w:u w:val="single"/>
        </w:rPr>
        <w:t>投标人名称</w:t>
      </w:r>
      <w:r>
        <w:rPr>
          <w:u w:val="single"/>
        </w:rPr>
        <w:tab/>
      </w:r>
    </w:p>
    <w:p>
      <w:pPr>
        <w:pStyle w:val="10"/>
        <w:spacing w:before="9"/>
        <w:ind w:left="0"/>
        <w:rPr>
          <w:sz w:val="16"/>
        </w:rPr>
      </w:pPr>
    </w:p>
    <w:p>
      <w:pPr>
        <w:pStyle w:val="10"/>
        <w:spacing w:before="66"/>
        <w:ind w:left="1777"/>
      </w:pPr>
      <w:r>
        <w:t>授权签署本资格文件人（签字）：</w:t>
      </w:r>
      <w:r>
        <w:rPr>
          <w:u w:val="single"/>
        </w:rPr>
        <w:t>被授权人姓名</w:t>
      </w:r>
    </w:p>
    <w:p>
      <w:pPr>
        <w:pStyle w:val="10"/>
        <w:spacing w:before="9"/>
        <w:ind w:left="0"/>
        <w:rPr>
          <w:sz w:val="16"/>
        </w:rPr>
      </w:pPr>
    </w:p>
    <w:p>
      <w:pPr>
        <w:pStyle w:val="10"/>
        <w:spacing w:before="67"/>
        <w:ind w:left="1777"/>
      </w:pPr>
      <w:r>
        <w:t>签字人姓名、职务：</w:t>
      </w:r>
      <w:r>
        <w:rPr>
          <w:u w:val="single"/>
        </w:rPr>
        <w:t>被授权人姓名、职务</w:t>
      </w:r>
    </w:p>
    <w:p>
      <w:pPr>
        <w:pStyle w:val="10"/>
        <w:spacing w:before="9"/>
        <w:ind w:left="0"/>
        <w:rPr>
          <w:sz w:val="16"/>
        </w:rPr>
      </w:pPr>
    </w:p>
    <w:p>
      <w:pPr>
        <w:pStyle w:val="10"/>
        <w:tabs>
          <w:tab w:val="left" w:pos="6479"/>
        </w:tabs>
        <w:spacing w:before="66"/>
        <w:ind w:left="0" w:right="469"/>
        <w:jc w:val="center"/>
      </w:pPr>
      <w:r>
        <w:t>地址：</w:t>
      </w:r>
      <w:r>
        <w:rPr>
          <w:u w:val="single"/>
        </w:rPr>
        <w:t>投标人地址</w:t>
      </w:r>
      <w:r>
        <w:rPr>
          <w:u w:val="single"/>
        </w:rPr>
        <w:tab/>
      </w:r>
    </w:p>
    <w:p>
      <w:pPr>
        <w:pStyle w:val="10"/>
        <w:spacing w:before="2"/>
        <w:ind w:left="0"/>
        <w:rPr>
          <w:sz w:val="16"/>
        </w:rPr>
      </w:pPr>
    </w:p>
    <w:p>
      <w:pPr>
        <w:pStyle w:val="10"/>
        <w:tabs>
          <w:tab w:val="left" w:pos="1979"/>
          <w:tab w:val="left" w:pos="4379"/>
          <w:tab w:val="left" w:pos="4679"/>
          <w:tab w:val="left" w:pos="6539"/>
        </w:tabs>
        <w:spacing w:before="74"/>
        <w:ind w:left="0" w:right="409"/>
        <w:jc w:val="center"/>
        <w:rPr>
          <w:rFonts w:ascii="Times New Roman" w:eastAsia="Times New Roman"/>
        </w:rPr>
      </w:pPr>
      <w:r>
        <w:t>传真：</w:t>
      </w:r>
      <w:r>
        <w:rPr>
          <w:u w:val="single"/>
        </w:rPr>
        <w:t xml:space="preserve"> </w:t>
      </w:r>
      <w:r>
        <w:rPr>
          <w:u w:val="single"/>
        </w:rPr>
        <w:tab/>
      </w:r>
      <w:r>
        <w:t>电话：</w:t>
      </w:r>
      <w:r>
        <w:rPr>
          <w:u w:val="single"/>
        </w:rPr>
        <w:t xml:space="preserve"> </w:t>
      </w:r>
      <w:r>
        <w:rPr>
          <w:u w:val="single"/>
        </w:rPr>
        <w:tab/>
      </w:r>
      <w:r>
        <w:tab/>
      </w:r>
      <w:r>
        <w:rPr>
          <w:spacing w:val="-1"/>
        </w:rPr>
        <w:t>邮</w:t>
      </w:r>
      <w:r>
        <w:t>编：</w:t>
      </w:r>
      <w:r>
        <w:rPr>
          <w:rFonts w:ascii="Times New Roman" w:eastAsia="Times New Roman"/>
          <w:u w:val="single"/>
        </w:rPr>
        <w:t xml:space="preserve"> </w:t>
      </w:r>
      <w:r>
        <w:rPr>
          <w:rFonts w:ascii="Times New Roman" w:eastAsia="Times New Roman"/>
          <w:u w:val="single"/>
        </w:rPr>
        <w:tab/>
      </w:r>
    </w:p>
    <w:p>
      <w:pPr>
        <w:pStyle w:val="10"/>
        <w:spacing w:before="0"/>
        <w:ind w:left="0"/>
        <w:rPr>
          <w:rFonts w:ascii="Times New Roman"/>
          <w:sz w:val="20"/>
        </w:rPr>
      </w:pPr>
    </w:p>
    <w:p>
      <w:pPr>
        <w:pStyle w:val="10"/>
        <w:spacing w:before="0"/>
        <w:ind w:left="0"/>
        <w:rPr>
          <w:rFonts w:ascii="Times New Roman"/>
          <w:sz w:val="20"/>
        </w:rPr>
      </w:pPr>
    </w:p>
    <w:p>
      <w:pPr>
        <w:pStyle w:val="10"/>
        <w:ind w:left="0"/>
        <w:rPr>
          <w:rFonts w:ascii="Times New Roman"/>
          <w:sz w:val="29"/>
        </w:rPr>
      </w:pPr>
    </w:p>
    <w:p>
      <w:pPr>
        <w:tabs>
          <w:tab w:val="left" w:pos="7232"/>
        </w:tabs>
        <w:spacing w:before="74"/>
        <w:ind w:left="5548" w:right="0" w:firstLine="0"/>
        <w:jc w:val="left"/>
        <w:rPr>
          <w:sz w:val="26"/>
        </w:rPr>
      </w:pPr>
      <w:r>
        <w:rPr>
          <w:b/>
          <w:sz w:val="24"/>
        </w:rPr>
        <w:t>声明日期：</w:t>
      </w:r>
      <w:r>
        <w:rPr>
          <w:b/>
          <w:sz w:val="24"/>
          <w:u w:val="single"/>
        </w:rPr>
        <w:t xml:space="preserve"> </w:t>
      </w:r>
      <w:r>
        <w:rPr>
          <w:b/>
          <w:sz w:val="24"/>
          <w:u w:val="single"/>
        </w:rPr>
        <w:tab/>
      </w:r>
      <w:r>
        <w:rPr>
          <w:sz w:val="24"/>
        </w:rPr>
        <w:t>年</w:t>
      </w:r>
      <w:r>
        <w:rPr>
          <w:sz w:val="24"/>
          <w:u w:val="single"/>
        </w:rPr>
        <w:t xml:space="preserve"> </w:t>
      </w:r>
      <w:r>
        <w:rPr>
          <w:sz w:val="24"/>
        </w:rPr>
        <w:t>月</w:t>
      </w:r>
      <w:r>
        <w:rPr>
          <w:spacing w:val="119"/>
          <w:sz w:val="24"/>
          <w:u w:val="single"/>
        </w:rPr>
        <w:t xml:space="preserve"> </w:t>
      </w:r>
      <w:r>
        <w:rPr>
          <w:sz w:val="24"/>
        </w:rPr>
        <w:t>日</w:t>
      </w:r>
    </w:p>
    <w:p>
      <w:pPr>
        <w:pStyle w:val="10"/>
        <w:spacing w:before="0"/>
        <w:ind w:left="0"/>
        <w:rPr>
          <w:sz w:val="23"/>
        </w:rPr>
        <w:sectPr>
          <w:pgSz w:w="11910" w:h="16840"/>
          <w:pgMar w:top="1420" w:right="240" w:bottom="1180" w:left="1160" w:header="878" w:footer="993" w:gutter="0"/>
          <w:pgNumType w:fmt="decimal"/>
          <w:cols w:space="720" w:num="1"/>
        </w:sectPr>
      </w:pPr>
    </w:p>
    <w:p>
      <w:pPr>
        <w:pStyle w:val="10"/>
        <w:spacing w:before="0"/>
        <w:ind w:left="0"/>
        <w:rPr>
          <w:sz w:val="23"/>
        </w:rPr>
      </w:pPr>
    </w:p>
    <w:p>
      <w:pPr>
        <w:pStyle w:val="5"/>
      </w:pPr>
      <w:r>
        <w:t>（五）制造商出具的授权函</w:t>
      </w:r>
    </w:p>
    <w:p>
      <w:pPr>
        <w:spacing w:before="201"/>
        <w:ind w:left="0" w:right="610" w:firstLine="0"/>
        <w:jc w:val="center"/>
        <w:rPr>
          <w:b/>
          <w:sz w:val="30"/>
        </w:rPr>
      </w:pPr>
      <w:r>
        <w:rPr>
          <w:b/>
          <w:sz w:val="30"/>
        </w:rPr>
        <w:t>制造商出具的授权函</w:t>
      </w:r>
    </w:p>
    <w:p>
      <w:pPr>
        <w:spacing w:before="90"/>
        <w:ind w:left="637" w:right="0" w:firstLine="0"/>
        <w:jc w:val="left"/>
        <w:rPr>
          <w:b/>
          <w:sz w:val="24"/>
        </w:rPr>
      </w:pPr>
      <w:r>
        <w:rPr>
          <w:b/>
          <w:sz w:val="24"/>
        </w:rPr>
        <w:t>致：</w:t>
      </w:r>
      <w:r>
        <w:rPr>
          <w:rFonts w:hint="eastAsia"/>
          <w:b/>
          <w:sz w:val="24"/>
        </w:rPr>
        <w:t>和硕县应急管理局</w:t>
      </w:r>
      <w:r>
        <w:rPr>
          <w:b/>
          <w:sz w:val="24"/>
        </w:rPr>
        <w:t>：</w:t>
      </w:r>
    </w:p>
    <w:p>
      <w:pPr>
        <w:pStyle w:val="10"/>
        <w:tabs>
          <w:tab w:val="left" w:pos="3787"/>
          <w:tab w:val="left" w:pos="8285"/>
        </w:tabs>
        <w:spacing w:before="160" w:line="364" w:lineRule="auto"/>
        <w:ind w:right="1248" w:firstLine="480"/>
      </w:pPr>
      <w:r>
        <w:t>我们</w:t>
      </w:r>
      <w:r>
        <w:rPr>
          <w:u w:val="single"/>
        </w:rPr>
        <w:t xml:space="preserve"> </w:t>
      </w:r>
      <w:r>
        <w:rPr>
          <w:spacing w:val="9"/>
          <w:u w:val="single"/>
        </w:rPr>
        <w:t xml:space="preserve"> </w:t>
      </w:r>
      <w:r>
        <w:rPr>
          <w:u w:val="single"/>
        </w:rPr>
        <w:t>（</w:t>
      </w:r>
      <w:r>
        <w:rPr>
          <w:spacing w:val="4"/>
          <w:u w:val="single"/>
        </w:rPr>
        <w:t>制</w:t>
      </w:r>
      <w:r>
        <w:rPr>
          <w:u w:val="single"/>
        </w:rPr>
        <w:t>造商名</w:t>
      </w:r>
      <w:r>
        <w:rPr>
          <w:spacing w:val="4"/>
          <w:u w:val="single"/>
        </w:rPr>
        <w:t>称</w:t>
      </w:r>
      <w:r>
        <w:rPr>
          <w:u w:val="single"/>
        </w:rPr>
        <w:t>）</w:t>
      </w:r>
      <w:r>
        <w:rPr>
          <w:u w:val="single"/>
        </w:rPr>
        <w:tab/>
      </w:r>
      <w:r>
        <w:t>兹</w:t>
      </w:r>
      <w:r>
        <w:rPr>
          <w:spacing w:val="4"/>
        </w:rPr>
        <w:t>指</w:t>
      </w:r>
      <w:r>
        <w:t>派主要</w:t>
      </w:r>
      <w:r>
        <w:rPr>
          <w:spacing w:val="4"/>
        </w:rPr>
        <w:t>营</w:t>
      </w:r>
      <w:r>
        <w:t>业地点</w:t>
      </w:r>
      <w:r>
        <w:rPr>
          <w:spacing w:val="4"/>
        </w:rPr>
        <w:t>设</w:t>
      </w:r>
      <w:r>
        <w:t>在</w:t>
      </w:r>
      <w:r>
        <w:rPr>
          <w:u w:val="single"/>
        </w:rPr>
        <w:t xml:space="preserve"> </w:t>
      </w:r>
      <w:r>
        <w:rPr>
          <w:spacing w:val="15"/>
          <w:u w:val="single"/>
        </w:rPr>
        <w:t xml:space="preserve"> </w:t>
      </w:r>
      <w:r>
        <w:rPr>
          <w:u w:val="single"/>
        </w:rPr>
        <w:t>投</w:t>
      </w:r>
      <w:r>
        <w:rPr>
          <w:spacing w:val="4"/>
          <w:u w:val="single"/>
        </w:rPr>
        <w:t>标</w:t>
      </w:r>
      <w:r>
        <w:rPr>
          <w:u w:val="single"/>
        </w:rPr>
        <w:t>人地址</w:t>
      </w:r>
      <w:r>
        <w:rPr>
          <w:u w:val="single"/>
        </w:rPr>
        <w:tab/>
      </w:r>
      <w:r>
        <w:t>的</w:t>
      </w:r>
      <w:r>
        <w:rPr>
          <w:u w:val="single"/>
        </w:rPr>
        <w:t>投</w:t>
      </w:r>
      <w:r>
        <w:rPr>
          <w:spacing w:val="4"/>
          <w:u w:val="single"/>
        </w:rPr>
        <w:t>标</w:t>
      </w:r>
      <w:r>
        <w:rPr>
          <w:spacing w:val="-15"/>
          <w:u w:val="single"/>
        </w:rPr>
        <w:t>人</w:t>
      </w:r>
      <w:r>
        <w:rPr>
          <w:spacing w:val="-220"/>
          <w:u w:val="single"/>
        </w:rPr>
        <w:t>名</w:t>
      </w:r>
      <w:r>
        <w:rPr>
          <w:u w:val="single"/>
        </w:rPr>
        <w:t>称</w:t>
      </w:r>
      <w:r>
        <w:rPr>
          <w:spacing w:val="-1"/>
          <w:u w:val="single"/>
        </w:rPr>
        <w:t xml:space="preserve"> </w:t>
      </w:r>
      <w:r>
        <w:t>作为我方真正和合法的唯一代理人进行下列有效的活动：</w:t>
      </w:r>
    </w:p>
    <w:p>
      <w:pPr>
        <w:pStyle w:val="2"/>
        <w:numPr>
          <w:ilvl w:val="0"/>
          <w:numId w:val="40"/>
        </w:numPr>
        <w:tabs>
          <w:tab w:val="left" w:pos="1480"/>
          <w:tab w:val="left" w:pos="2317"/>
          <w:tab w:val="left" w:pos="4236"/>
          <w:tab w:val="left" w:pos="6831"/>
        </w:tabs>
        <w:spacing w:before="2" w:after="0" w:line="364" w:lineRule="auto"/>
        <w:ind w:left="637" w:right="1248" w:firstLine="480"/>
        <w:jc w:val="left"/>
        <w:rPr>
          <w:sz w:val="24"/>
        </w:rPr>
      </w:pPr>
      <w:r>
        <w:rPr>
          <w:sz w:val="24"/>
        </w:rPr>
        <w:t>代表我</w:t>
      </w:r>
      <w:r>
        <w:rPr>
          <w:spacing w:val="4"/>
          <w:sz w:val="24"/>
        </w:rPr>
        <w:t>方</w:t>
      </w:r>
      <w:r>
        <w:rPr>
          <w:sz w:val="24"/>
        </w:rPr>
        <w:t>办理贵方招</w:t>
      </w:r>
      <w:r>
        <w:rPr>
          <w:spacing w:val="4"/>
          <w:sz w:val="24"/>
        </w:rPr>
        <w:t>标</w:t>
      </w:r>
      <w:r>
        <w:rPr>
          <w:sz w:val="24"/>
        </w:rPr>
        <w:t>文件编号</w:t>
      </w:r>
      <w:r>
        <w:rPr>
          <w:sz w:val="24"/>
          <w:u w:val="single"/>
        </w:rPr>
        <w:t xml:space="preserve"> </w:t>
      </w:r>
      <w:r>
        <w:rPr>
          <w:spacing w:val="35"/>
          <w:sz w:val="24"/>
          <w:u w:val="single"/>
        </w:rPr>
        <w:t xml:space="preserve"> </w:t>
      </w:r>
      <w:r>
        <w:rPr>
          <w:sz w:val="24"/>
          <w:u w:val="single"/>
        </w:rPr>
        <w:t>文件编号</w:t>
      </w:r>
      <w:r>
        <w:rPr>
          <w:sz w:val="24"/>
          <w:u w:val="single"/>
        </w:rPr>
        <w:tab/>
      </w:r>
      <w:r>
        <w:rPr>
          <w:sz w:val="24"/>
        </w:rPr>
        <w:t>号投标</w:t>
      </w:r>
      <w:r>
        <w:rPr>
          <w:spacing w:val="4"/>
          <w:sz w:val="24"/>
        </w:rPr>
        <w:t>要</w:t>
      </w:r>
      <w:r>
        <w:rPr>
          <w:sz w:val="24"/>
        </w:rPr>
        <w:t>求提供的由</w:t>
      </w:r>
      <w:r>
        <w:rPr>
          <w:spacing w:val="-13"/>
          <w:sz w:val="24"/>
        </w:rPr>
        <w:t>我</w:t>
      </w:r>
      <w:r>
        <w:rPr>
          <w:sz w:val="24"/>
        </w:rPr>
        <w:t>方制造设备</w:t>
      </w:r>
      <w:r>
        <w:rPr>
          <w:sz w:val="24"/>
          <w:u w:val="single"/>
        </w:rPr>
        <w:t xml:space="preserve"> </w:t>
      </w:r>
      <w:r>
        <w:rPr>
          <w:sz w:val="24"/>
          <w:u w:val="single"/>
        </w:rPr>
        <w:tab/>
      </w:r>
      <w:r>
        <w:rPr>
          <w:sz w:val="24"/>
          <w:u w:val="single"/>
        </w:rPr>
        <w:t>（货物名称）</w:t>
      </w:r>
      <w:r>
        <w:rPr>
          <w:sz w:val="24"/>
          <w:u w:val="single"/>
        </w:rPr>
        <w:tab/>
      </w:r>
      <w:r>
        <w:rPr>
          <w:sz w:val="24"/>
        </w:rPr>
        <w:t>的有关事宜，并对我方具有约束力；</w:t>
      </w:r>
    </w:p>
    <w:p>
      <w:pPr>
        <w:pStyle w:val="2"/>
        <w:numPr>
          <w:ilvl w:val="0"/>
          <w:numId w:val="40"/>
        </w:numPr>
        <w:tabs>
          <w:tab w:val="left" w:pos="1480"/>
        </w:tabs>
        <w:spacing w:before="1" w:after="0" w:line="364" w:lineRule="auto"/>
        <w:ind w:left="637" w:right="1248" w:firstLine="480"/>
        <w:jc w:val="left"/>
        <w:rPr>
          <w:sz w:val="24"/>
        </w:rPr>
      </w:pPr>
      <w:r>
        <w:rPr>
          <w:sz w:val="24"/>
        </w:rPr>
        <w:t>作为制造商，我方保证以投标合作者来约束自己，并对该投标共同和分别承担招标文件中所规定的义务；</w:t>
      </w:r>
    </w:p>
    <w:p>
      <w:pPr>
        <w:pStyle w:val="2"/>
        <w:numPr>
          <w:ilvl w:val="0"/>
          <w:numId w:val="40"/>
        </w:numPr>
        <w:tabs>
          <w:tab w:val="left" w:pos="1483"/>
        </w:tabs>
        <w:spacing w:before="1" w:after="0" w:line="364" w:lineRule="auto"/>
        <w:ind w:left="637" w:right="1245" w:firstLine="480"/>
        <w:jc w:val="both"/>
        <w:rPr>
          <w:sz w:val="24"/>
        </w:rPr>
      </w:pPr>
      <w:r>
        <w:rPr>
          <w:spacing w:val="5"/>
          <w:sz w:val="24"/>
        </w:rPr>
        <w:t>我方兹授予</w:t>
      </w:r>
      <w:r>
        <w:rPr>
          <w:spacing w:val="15"/>
          <w:sz w:val="24"/>
          <w:u w:val="single"/>
        </w:rPr>
        <w:t xml:space="preserve"> 投标人名称   </w:t>
      </w:r>
      <w:r>
        <w:rPr>
          <w:spacing w:val="3"/>
          <w:sz w:val="24"/>
        </w:rPr>
        <w:t xml:space="preserve"> 全权办理和履行上述我方为完成上述各点</w:t>
      </w:r>
      <w:r>
        <w:rPr>
          <w:sz w:val="24"/>
        </w:rPr>
        <w:t>所必须的事宜。兹确认</w:t>
      </w:r>
      <w:r>
        <w:rPr>
          <w:sz w:val="24"/>
          <w:u w:val="single"/>
        </w:rPr>
        <w:t xml:space="preserve">  投标人名称</w:t>
      </w:r>
      <w:r>
        <w:rPr>
          <w:sz w:val="24"/>
        </w:rPr>
        <w:t xml:space="preserve"> 和其正式授权代表</w:t>
      </w:r>
      <w:r>
        <w:rPr>
          <w:spacing w:val="2"/>
          <w:sz w:val="24"/>
          <w:u w:val="single"/>
        </w:rPr>
        <w:t xml:space="preserve">  姓名  </w:t>
      </w:r>
      <w:r>
        <w:rPr>
          <w:spacing w:val="4"/>
          <w:sz w:val="24"/>
        </w:rPr>
        <w:t xml:space="preserve"> ，依此合法地办理一切事宜。</w:t>
      </w:r>
    </w:p>
    <w:p>
      <w:pPr>
        <w:pStyle w:val="10"/>
        <w:spacing w:before="2" w:line="364" w:lineRule="auto"/>
        <w:ind w:right="1249" w:firstLine="480"/>
        <w:jc w:val="both"/>
      </w:pPr>
      <w:r>
        <w:t>我方于</w:t>
      </w:r>
      <w:r>
        <w:rPr>
          <w:u w:val="single"/>
        </w:rPr>
        <w:t xml:space="preserve">    </w:t>
      </w:r>
      <w:r>
        <w:t>年</w:t>
      </w:r>
      <w:r>
        <w:rPr>
          <w:u w:val="single"/>
        </w:rPr>
        <w:t xml:space="preserve">    </w:t>
      </w:r>
      <w:r>
        <w:t>月</w:t>
      </w:r>
      <w:r>
        <w:rPr>
          <w:u w:val="single"/>
        </w:rPr>
        <w:t xml:space="preserve">    </w:t>
      </w:r>
      <w:r>
        <w:t>日签署本文件，</w:t>
      </w:r>
      <w:r>
        <w:rPr>
          <w:u w:val="single"/>
        </w:rPr>
        <w:t xml:space="preserve">  投标人名称 </w:t>
      </w:r>
      <w:r>
        <w:t>于</w:t>
      </w:r>
      <w:r>
        <w:rPr>
          <w:u w:val="single"/>
        </w:rPr>
        <w:t xml:space="preserve">     </w:t>
      </w:r>
      <w:r>
        <w:t>年     月日接受此件，以此为证。</w:t>
      </w:r>
    </w:p>
    <w:p>
      <w:pPr>
        <w:pStyle w:val="10"/>
        <w:spacing w:before="0"/>
        <w:ind w:left="0"/>
      </w:pPr>
    </w:p>
    <w:p>
      <w:pPr>
        <w:pStyle w:val="10"/>
        <w:spacing w:before="12"/>
        <w:ind w:left="0"/>
        <w:rPr>
          <w:sz w:val="21"/>
        </w:rPr>
      </w:pPr>
    </w:p>
    <w:p>
      <w:pPr>
        <w:pStyle w:val="10"/>
        <w:tabs>
          <w:tab w:val="left" w:pos="4057"/>
        </w:tabs>
        <w:spacing w:before="0"/>
        <w:ind w:left="1057"/>
      </w:pPr>
      <w:r>
        <w:t>制造商名称（公章）：</w:t>
      </w:r>
      <w:r>
        <w:rPr>
          <w:u w:val="single"/>
        </w:rPr>
        <w:t xml:space="preserve"> </w:t>
      </w:r>
      <w:r>
        <w:rPr>
          <w:u w:val="single"/>
        </w:rPr>
        <w:tab/>
      </w:r>
      <w:r>
        <w:rPr>
          <w:u w:val="single"/>
        </w:rPr>
        <w:t>企业全称</w:t>
      </w:r>
    </w:p>
    <w:p>
      <w:pPr>
        <w:pStyle w:val="10"/>
        <w:spacing w:before="9"/>
        <w:ind w:left="0"/>
        <w:rPr>
          <w:sz w:val="16"/>
        </w:rPr>
      </w:pPr>
    </w:p>
    <w:p>
      <w:pPr>
        <w:pStyle w:val="10"/>
        <w:spacing w:before="67"/>
        <w:ind w:left="1057"/>
      </w:pPr>
      <w:r>
        <w:t>制造商法人或其授权代表（签字）：</w:t>
      </w:r>
    </w:p>
    <w:p>
      <w:pPr>
        <w:pStyle w:val="10"/>
        <w:spacing w:before="11"/>
        <w:ind w:left="0"/>
        <w:rPr>
          <w:sz w:val="21"/>
        </w:rPr>
      </w:pPr>
    </w:p>
    <w:p>
      <w:pPr>
        <w:pStyle w:val="10"/>
        <w:tabs>
          <w:tab w:val="left" w:pos="8496"/>
        </w:tabs>
        <w:spacing w:before="0"/>
        <w:ind w:left="1057"/>
      </w:pPr>
      <w:r>
        <w:t>授权投标人（公章）：</w:t>
      </w:r>
      <w:r>
        <w:rPr>
          <w:spacing w:val="119"/>
          <w:u w:val="single"/>
        </w:rPr>
        <w:t xml:space="preserve"> </w:t>
      </w:r>
      <w:r>
        <w:rPr>
          <w:u w:val="single"/>
        </w:rPr>
        <w:t>投标人全称</w:t>
      </w:r>
      <w:r>
        <w:rPr>
          <w:u w:val="single"/>
        </w:rPr>
        <w:tab/>
      </w:r>
    </w:p>
    <w:p>
      <w:pPr>
        <w:pStyle w:val="10"/>
        <w:spacing w:before="9"/>
        <w:ind w:left="0"/>
        <w:rPr>
          <w:sz w:val="16"/>
        </w:rPr>
      </w:pPr>
    </w:p>
    <w:p>
      <w:pPr>
        <w:pStyle w:val="10"/>
        <w:spacing w:before="67"/>
        <w:ind w:left="1057"/>
      </w:pPr>
      <w:r>
        <w:t>授权投标人法人代表或授权代表人（签字）：</w:t>
      </w:r>
      <w:r>
        <w:rPr>
          <w:u w:val="single"/>
        </w:rPr>
        <w:t>被授权人姓名</w:t>
      </w:r>
    </w:p>
    <w:p>
      <w:pPr>
        <w:pStyle w:val="10"/>
        <w:ind w:left="0"/>
        <w:rPr>
          <w:sz w:val="16"/>
        </w:rPr>
      </w:pPr>
    </w:p>
    <w:p>
      <w:pPr>
        <w:pStyle w:val="10"/>
        <w:tabs>
          <w:tab w:val="left" w:pos="8556"/>
        </w:tabs>
        <w:spacing w:before="74"/>
        <w:ind w:left="1057"/>
        <w:rPr>
          <w:rFonts w:ascii="Times New Roman" w:eastAsia="Times New Roman"/>
        </w:rPr>
      </w:pPr>
      <w:r>
        <w:rPr>
          <w:spacing w:val="-1"/>
        </w:rPr>
        <w:t>制</w:t>
      </w:r>
      <w:r>
        <w:t>造商地址：</w:t>
      </w:r>
      <w:r>
        <w:rPr>
          <w:rFonts w:ascii="Times New Roman" w:eastAsia="Times New Roman"/>
          <w:u w:val="single"/>
        </w:rPr>
        <w:t xml:space="preserve"> </w:t>
      </w:r>
      <w:r>
        <w:rPr>
          <w:rFonts w:ascii="Times New Roman" w:eastAsia="Times New Roman"/>
          <w:u w:val="single"/>
        </w:rPr>
        <w:tab/>
      </w:r>
    </w:p>
    <w:p>
      <w:pPr>
        <w:pStyle w:val="10"/>
        <w:spacing w:before="7"/>
        <w:ind w:left="0"/>
        <w:rPr>
          <w:rFonts w:ascii="Times New Roman"/>
          <w:sz w:val="18"/>
        </w:rPr>
      </w:pPr>
    </w:p>
    <w:p>
      <w:pPr>
        <w:pStyle w:val="10"/>
        <w:tabs>
          <w:tab w:val="left" w:pos="3816"/>
          <w:tab w:val="left" w:pos="6216"/>
          <w:tab w:val="left" w:pos="6517"/>
        </w:tabs>
        <w:spacing w:before="67" w:line="364" w:lineRule="auto"/>
        <w:ind w:left="1117" w:right="3266"/>
      </w:pPr>
      <w:r>
        <w:t>制造商传真：</w:t>
      </w:r>
      <w:r>
        <w:rPr>
          <w:u w:val="single"/>
        </w:rPr>
        <w:t xml:space="preserve"> </w:t>
      </w:r>
      <w:r>
        <w:rPr>
          <w:u w:val="single"/>
        </w:rPr>
        <w:tab/>
      </w:r>
      <w:r>
        <w:t>电话：</w:t>
      </w:r>
      <w:r>
        <w:rPr>
          <w:u w:val="single"/>
        </w:rPr>
        <w:t xml:space="preserve"> </w:t>
      </w:r>
      <w:r>
        <w:rPr>
          <w:u w:val="single"/>
        </w:rPr>
        <w:tab/>
      </w:r>
      <w:r>
        <w:tab/>
      </w:r>
      <w:r>
        <w:t>邮编</w:t>
      </w:r>
      <w:r>
        <w:rPr>
          <w:spacing w:val="-17"/>
        </w:rPr>
        <w:t xml:space="preserve">： </w:t>
      </w:r>
      <w:r>
        <w:t>授权投标人地址：</w:t>
      </w:r>
    </w:p>
    <w:p>
      <w:pPr>
        <w:pStyle w:val="10"/>
        <w:tabs>
          <w:tab w:val="left" w:pos="4296"/>
          <w:tab w:val="left" w:pos="6696"/>
        </w:tabs>
        <w:ind w:left="1117"/>
      </w:pPr>
      <w:r>
        <w:t>授权投标人传真：</w:t>
      </w:r>
      <w:r>
        <w:rPr>
          <w:u w:val="single"/>
        </w:rPr>
        <w:t xml:space="preserve"> </w:t>
      </w:r>
      <w:r>
        <w:rPr>
          <w:u w:val="single"/>
        </w:rPr>
        <w:tab/>
      </w:r>
      <w:r>
        <w:t>电话：</w:t>
      </w:r>
      <w:r>
        <w:rPr>
          <w:u w:val="single"/>
        </w:rPr>
        <w:t xml:space="preserve"> </w:t>
      </w:r>
      <w:r>
        <w:rPr>
          <w:u w:val="single"/>
        </w:rPr>
        <w:tab/>
      </w:r>
      <w:r>
        <w:t>邮编：</w:t>
      </w:r>
    </w:p>
    <w:p>
      <w:pPr>
        <w:pStyle w:val="5"/>
        <w:spacing w:before="161"/>
        <w:ind w:left="1117"/>
      </w:pPr>
      <w:r>
        <w:t>注：若制造商作为投标主体直接参与投标，可以不提供此项证明文件。</w:t>
      </w:r>
    </w:p>
    <w:p>
      <w:pPr>
        <w:pStyle w:val="5"/>
        <w:spacing w:before="161"/>
        <w:ind w:left="1117"/>
        <w:rPr>
          <w:b/>
          <w:sz w:val="24"/>
        </w:rPr>
      </w:pPr>
    </w:p>
    <w:p>
      <w:pPr>
        <w:pStyle w:val="5"/>
        <w:spacing w:before="161"/>
        <w:ind w:left="1117"/>
        <w:rPr>
          <w:b/>
          <w:sz w:val="24"/>
        </w:rPr>
      </w:pPr>
    </w:p>
    <w:p>
      <w:pPr>
        <w:pStyle w:val="5"/>
        <w:spacing w:before="161"/>
        <w:ind w:left="1117"/>
        <w:rPr>
          <w:b/>
          <w:sz w:val="24"/>
        </w:rPr>
      </w:pPr>
    </w:p>
    <w:p>
      <w:pPr>
        <w:pStyle w:val="5"/>
        <w:spacing w:before="161"/>
        <w:ind w:left="1117"/>
        <w:rPr>
          <w:b/>
          <w:sz w:val="24"/>
        </w:rPr>
      </w:pPr>
    </w:p>
    <w:p>
      <w:pPr>
        <w:pStyle w:val="5"/>
        <w:spacing w:before="161"/>
        <w:ind w:left="1117"/>
        <w:rPr>
          <w:b/>
          <w:color w:val="auto"/>
          <w:sz w:val="24"/>
        </w:rPr>
      </w:pPr>
      <w:r>
        <w:rPr>
          <w:b/>
          <w:color w:val="auto"/>
          <w:sz w:val="24"/>
        </w:rPr>
        <w:t>（六）检测报告</w:t>
      </w:r>
    </w:p>
    <w:p>
      <w:pPr>
        <w:pStyle w:val="10"/>
        <w:spacing w:before="161" w:line="364" w:lineRule="auto"/>
        <w:ind w:right="1248" w:firstLine="480"/>
        <w:rPr>
          <w:color w:val="auto"/>
        </w:rPr>
      </w:pPr>
      <w:r>
        <w:rPr>
          <w:color w:val="auto"/>
        </w:rPr>
        <w:t>1、投标方提供由国家权威部门出具的产品质量鉴定证书或检测报告复印件（均须加盖生产企业法人公章）。</w:t>
      </w:r>
    </w:p>
    <w:p>
      <w:pPr>
        <w:pStyle w:val="10"/>
        <w:spacing w:line="364" w:lineRule="auto"/>
        <w:ind w:right="1248" w:firstLine="480"/>
        <w:rPr>
          <w:color w:val="auto"/>
        </w:rPr>
      </w:pPr>
      <w:r>
        <w:rPr>
          <w:color w:val="auto"/>
        </w:rPr>
        <w:t>2、投标方提供由国家权威部门出具的所投产品环保节能证书复印件（均须加盖生产企业法人公章）。</w:t>
      </w:r>
    </w:p>
    <w:p>
      <w:pPr>
        <w:pStyle w:val="5"/>
        <w:ind w:left="1117"/>
      </w:pPr>
      <w:r>
        <w:t>（七）有关投标产品的制造、验收标准</w:t>
      </w:r>
    </w:p>
    <w:p>
      <w:pPr>
        <w:spacing w:before="90"/>
        <w:ind w:left="1117" w:right="0" w:firstLine="0"/>
        <w:jc w:val="left"/>
        <w:rPr>
          <w:b/>
          <w:sz w:val="24"/>
        </w:rPr>
      </w:pPr>
      <w:r>
        <w:rPr>
          <w:b/>
          <w:sz w:val="24"/>
        </w:rPr>
        <w:t>（八）售后维修计划及备品、备件清单</w:t>
      </w:r>
    </w:p>
    <w:p>
      <w:pPr>
        <w:spacing w:before="160"/>
        <w:ind w:left="1117" w:right="0" w:firstLine="0"/>
        <w:jc w:val="left"/>
        <w:rPr>
          <w:b/>
          <w:sz w:val="24"/>
        </w:rPr>
      </w:pPr>
      <w:r>
        <w:rPr>
          <w:b/>
          <w:sz w:val="24"/>
        </w:rPr>
        <w:t>（九）产品规格报价明细表</w:t>
      </w:r>
    </w:p>
    <w:p>
      <w:pPr>
        <w:pStyle w:val="10"/>
        <w:spacing w:before="0"/>
        <w:ind w:left="0"/>
        <w:rPr>
          <w:b/>
        </w:rPr>
      </w:pPr>
    </w:p>
    <w:p>
      <w:pPr>
        <w:pStyle w:val="10"/>
        <w:ind w:left="0"/>
        <w:rPr>
          <w:b/>
          <w:sz w:val="25"/>
        </w:rPr>
      </w:pPr>
    </w:p>
    <w:p>
      <w:pPr>
        <w:spacing w:before="201"/>
        <w:ind w:left="0" w:right="610" w:firstLine="0"/>
        <w:jc w:val="center"/>
        <w:rPr>
          <w:b/>
          <w:sz w:val="30"/>
        </w:rPr>
      </w:pPr>
      <w:r>
        <w:rPr>
          <w:b/>
          <w:sz w:val="30"/>
        </w:rPr>
        <w:t>产品规格报价明细表</w:t>
      </w:r>
    </w:p>
    <w:p>
      <w:pPr>
        <w:tabs>
          <w:tab w:val="left" w:pos="5860"/>
          <w:tab w:val="left" w:pos="8378"/>
        </w:tabs>
        <w:spacing w:before="161"/>
        <w:ind w:left="0" w:right="610" w:firstLine="0"/>
        <w:jc w:val="center"/>
        <w:rPr>
          <w:b/>
          <w:sz w:val="24"/>
        </w:rPr>
      </w:pPr>
      <w:r>
        <w:rPr>
          <w:b/>
          <w:sz w:val="24"/>
        </w:rPr>
        <w:t>投标人名</w:t>
      </w:r>
      <w:r>
        <w:rPr>
          <w:b/>
          <w:spacing w:val="-15"/>
          <w:sz w:val="24"/>
        </w:rPr>
        <w:t>称</w:t>
      </w:r>
      <w:r>
        <w:rPr>
          <w:b/>
          <w:sz w:val="24"/>
        </w:rPr>
        <w:t>（公章</w:t>
      </w:r>
      <w:r>
        <w:rPr>
          <w:b/>
          <w:spacing w:val="-6"/>
          <w:sz w:val="24"/>
        </w:rPr>
        <w:t>）：</w:t>
      </w:r>
      <w:r>
        <w:rPr>
          <w:b/>
          <w:spacing w:val="-6"/>
          <w:sz w:val="24"/>
        </w:rPr>
        <w:tab/>
      </w:r>
      <w:r>
        <w:rPr>
          <w:b/>
          <w:sz w:val="24"/>
        </w:rPr>
        <w:t>招标编号/标段号：</w:t>
      </w:r>
      <w:r>
        <w:rPr>
          <w:b/>
          <w:sz w:val="24"/>
        </w:rPr>
        <w:tab/>
      </w:r>
      <w:r>
        <w:rPr>
          <w:b/>
          <w:sz w:val="24"/>
        </w:rPr>
        <w:t>包</w:t>
      </w:r>
    </w:p>
    <w:p>
      <w:pPr>
        <w:pStyle w:val="10"/>
        <w:spacing w:before="3"/>
        <w:ind w:left="0"/>
        <w:rPr>
          <w:b/>
          <w:sz w:val="6"/>
        </w:rPr>
      </w:pPr>
    </w:p>
    <w:tbl>
      <w:tblPr>
        <w:tblStyle w:val="18"/>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413"/>
        <w:gridCol w:w="2340"/>
        <w:gridCol w:w="900"/>
        <w:gridCol w:w="872"/>
        <w:gridCol w:w="1068"/>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5" w:type="dxa"/>
          </w:tcPr>
          <w:p>
            <w:pPr>
              <w:pStyle w:val="24"/>
              <w:rPr>
                <w:b/>
                <w:sz w:val="26"/>
              </w:rPr>
            </w:pPr>
          </w:p>
          <w:p>
            <w:pPr>
              <w:pStyle w:val="24"/>
              <w:ind w:left="106" w:right="96"/>
              <w:jc w:val="center"/>
              <w:rPr>
                <w:b/>
                <w:sz w:val="21"/>
              </w:rPr>
            </w:pPr>
            <w:r>
              <w:rPr>
                <w:b/>
                <w:sz w:val="21"/>
              </w:rPr>
              <w:t>序号</w:t>
            </w:r>
          </w:p>
        </w:tc>
        <w:tc>
          <w:tcPr>
            <w:tcW w:w="1413" w:type="dxa"/>
          </w:tcPr>
          <w:p>
            <w:pPr>
              <w:pStyle w:val="24"/>
              <w:rPr>
                <w:b/>
                <w:sz w:val="26"/>
              </w:rPr>
            </w:pPr>
          </w:p>
          <w:p>
            <w:pPr>
              <w:pStyle w:val="24"/>
              <w:ind w:left="285"/>
              <w:rPr>
                <w:b/>
                <w:sz w:val="21"/>
              </w:rPr>
            </w:pPr>
            <w:r>
              <w:rPr>
                <w:b/>
                <w:sz w:val="21"/>
              </w:rPr>
              <w:t>产品名称</w:t>
            </w:r>
          </w:p>
        </w:tc>
        <w:tc>
          <w:tcPr>
            <w:tcW w:w="2340" w:type="dxa"/>
          </w:tcPr>
          <w:p>
            <w:pPr>
              <w:pStyle w:val="24"/>
              <w:spacing w:before="98"/>
              <w:ind w:left="99" w:right="81"/>
              <w:jc w:val="center"/>
              <w:rPr>
                <w:b/>
                <w:sz w:val="21"/>
              </w:rPr>
            </w:pPr>
            <w:r>
              <w:rPr>
                <w:b/>
                <w:sz w:val="21"/>
              </w:rPr>
              <w:t>规格型号及主要技术参</w:t>
            </w:r>
          </w:p>
          <w:p>
            <w:pPr>
              <w:pStyle w:val="24"/>
              <w:spacing w:before="6"/>
              <w:rPr>
                <w:b/>
                <w:sz w:val="15"/>
              </w:rPr>
            </w:pPr>
          </w:p>
          <w:p>
            <w:pPr>
              <w:pStyle w:val="24"/>
              <w:ind w:left="6"/>
              <w:jc w:val="center"/>
              <w:rPr>
                <w:b/>
                <w:sz w:val="21"/>
              </w:rPr>
            </w:pPr>
            <w:r>
              <w:rPr>
                <w:b/>
                <w:w w:val="99"/>
                <w:sz w:val="21"/>
              </w:rPr>
              <w:t>数</w:t>
            </w:r>
          </w:p>
        </w:tc>
        <w:tc>
          <w:tcPr>
            <w:tcW w:w="900" w:type="dxa"/>
          </w:tcPr>
          <w:p>
            <w:pPr>
              <w:pStyle w:val="24"/>
              <w:rPr>
                <w:b/>
                <w:sz w:val="26"/>
              </w:rPr>
            </w:pPr>
          </w:p>
          <w:p>
            <w:pPr>
              <w:pStyle w:val="24"/>
              <w:ind w:left="108"/>
              <w:rPr>
                <w:b/>
                <w:sz w:val="21"/>
              </w:rPr>
            </w:pPr>
            <w:r>
              <w:rPr>
                <w:b/>
                <w:sz w:val="21"/>
              </w:rPr>
              <w:t>数量</w:t>
            </w:r>
          </w:p>
        </w:tc>
        <w:tc>
          <w:tcPr>
            <w:tcW w:w="872" w:type="dxa"/>
          </w:tcPr>
          <w:p>
            <w:pPr>
              <w:pStyle w:val="24"/>
              <w:spacing w:before="98"/>
              <w:ind w:left="99" w:right="89"/>
              <w:jc w:val="center"/>
              <w:rPr>
                <w:b/>
                <w:sz w:val="21"/>
              </w:rPr>
            </w:pPr>
            <w:r>
              <w:rPr>
                <w:b/>
                <w:sz w:val="21"/>
              </w:rPr>
              <w:t>产地及</w:t>
            </w:r>
          </w:p>
          <w:p>
            <w:pPr>
              <w:pStyle w:val="24"/>
              <w:spacing w:before="6"/>
              <w:rPr>
                <w:b/>
                <w:sz w:val="15"/>
              </w:rPr>
            </w:pPr>
          </w:p>
          <w:p>
            <w:pPr>
              <w:pStyle w:val="24"/>
              <w:ind w:left="99" w:right="89"/>
              <w:jc w:val="center"/>
              <w:rPr>
                <w:b/>
                <w:sz w:val="21"/>
              </w:rPr>
            </w:pPr>
            <w:r>
              <w:rPr>
                <w:b/>
                <w:sz w:val="21"/>
              </w:rPr>
              <w:t>品牌</w:t>
            </w:r>
          </w:p>
        </w:tc>
        <w:tc>
          <w:tcPr>
            <w:tcW w:w="1068" w:type="dxa"/>
          </w:tcPr>
          <w:p>
            <w:pPr>
              <w:pStyle w:val="24"/>
              <w:rPr>
                <w:b/>
                <w:sz w:val="26"/>
              </w:rPr>
            </w:pPr>
          </w:p>
          <w:p>
            <w:pPr>
              <w:pStyle w:val="24"/>
              <w:ind w:left="323"/>
              <w:rPr>
                <w:b/>
                <w:sz w:val="21"/>
              </w:rPr>
            </w:pPr>
            <w:r>
              <w:rPr>
                <w:b/>
                <w:sz w:val="21"/>
              </w:rPr>
              <w:t>单价</w:t>
            </w:r>
          </w:p>
        </w:tc>
        <w:tc>
          <w:tcPr>
            <w:tcW w:w="1260" w:type="dxa"/>
          </w:tcPr>
          <w:p>
            <w:pPr>
              <w:pStyle w:val="24"/>
              <w:rPr>
                <w:b/>
                <w:sz w:val="26"/>
              </w:rPr>
            </w:pPr>
          </w:p>
          <w:p>
            <w:pPr>
              <w:pStyle w:val="24"/>
              <w:ind w:left="419"/>
              <w:rPr>
                <w:b/>
                <w:sz w:val="21"/>
              </w:rPr>
            </w:pPr>
            <w:r>
              <w:rPr>
                <w:b/>
                <w:sz w:val="21"/>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5" w:type="dxa"/>
          </w:tcPr>
          <w:p>
            <w:pPr>
              <w:pStyle w:val="24"/>
              <w:spacing w:before="118"/>
              <w:ind w:left="6"/>
              <w:jc w:val="center"/>
              <w:rPr>
                <w:sz w:val="18"/>
              </w:rPr>
            </w:pPr>
            <w:r>
              <w:rPr>
                <w:sz w:val="18"/>
              </w:rPr>
              <w:t>1</w:t>
            </w:r>
          </w:p>
        </w:tc>
        <w:tc>
          <w:tcPr>
            <w:tcW w:w="1413" w:type="dxa"/>
          </w:tcPr>
          <w:p>
            <w:pPr>
              <w:pStyle w:val="24"/>
              <w:rPr>
                <w:rFonts w:ascii="Times New Roman"/>
                <w:sz w:val="22"/>
              </w:rPr>
            </w:pPr>
          </w:p>
        </w:tc>
        <w:tc>
          <w:tcPr>
            <w:tcW w:w="2340" w:type="dxa"/>
          </w:tcPr>
          <w:p>
            <w:pPr>
              <w:pStyle w:val="24"/>
              <w:rPr>
                <w:rFonts w:ascii="Times New Roman"/>
                <w:sz w:val="22"/>
              </w:rPr>
            </w:pPr>
          </w:p>
        </w:tc>
        <w:tc>
          <w:tcPr>
            <w:tcW w:w="900" w:type="dxa"/>
          </w:tcPr>
          <w:p>
            <w:pPr>
              <w:pStyle w:val="24"/>
              <w:rPr>
                <w:rFonts w:ascii="Times New Roman"/>
                <w:sz w:val="22"/>
              </w:rPr>
            </w:pPr>
          </w:p>
        </w:tc>
        <w:tc>
          <w:tcPr>
            <w:tcW w:w="872" w:type="dxa"/>
          </w:tcPr>
          <w:p>
            <w:pPr>
              <w:pStyle w:val="24"/>
              <w:rPr>
                <w:rFonts w:ascii="Times New Roman"/>
                <w:sz w:val="22"/>
              </w:rPr>
            </w:pPr>
          </w:p>
        </w:tc>
        <w:tc>
          <w:tcPr>
            <w:tcW w:w="1068" w:type="dxa"/>
          </w:tcPr>
          <w:p>
            <w:pPr>
              <w:pStyle w:val="24"/>
              <w:rPr>
                <w:rFonts w:ascii="Times New Roman"/>
                <w:sz w:val="22"/>
              </w:rPr>
            </w:pPr>
          </w:p>
        </w:tc>
        <w:tc>
          <w:tcPr>
            <w:tcW w:w="126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5" w:type="dxa"/>
          </w:tcPr>
          <w:p>
            <w:pPr>
              <w:pStyle w:val="24"/>
              <w:spacing w:before="120"/>
              <w:ind w:left="6"/>
              <w:jc w:val="center"/>
              <w:rPr>
                <w:sz w:val="18"/>
              </w:rPr>
            </w:pPr>
            <w:r>
              <w:rPr>
                <w:sz w:val="18"/>
              </w:rPr>
              <w:t>2</w:t>
            </w:r>
          </w:p>
        </w:tc>
        <w:tc>
          <w:tcPr>
            <w:tcW w:w="1413" w:type="dxa"/>
          </w:tcPr>
          <w:p>
            <w:pPr>
              <w:pStyle w:val="24"/>
              <w:rPr>
                <w:rFonts w:ascii="Times New Roman"/>
                <w:sz w:val="22"/>
              </w:rPr>
            </w:pPr>
          </w:p>
        </w:tc>
        <w:tc>
          <w:tcPr>
            <w:tcW w:w="2340" w:type="dxa"/>
          </w:tcPr>
          <w:p>
            <w:pPr>
              <w:pStyle w:val="24"/>
              <w:rPr>
                <w:rFonts w:ascii="Times New Roman"/>
                <w:sz w:val="22"/>
              </w:rPr>
            </w:pPr>
          </w:p>
        </w:tc>
        <w:tc>
          <w:tcPr>
            <w:tcW w:w="900" w:type="dxa"/>
          </w:tcPr>
          <w:p>
            <w:pPr>
              <w:pStyle w:val="24"/>
              <w:rPr>
                <w:rFonts w:ascii="Times New Roman"/>
                <w:sz w:val="22"/>
              </w:rPr>
            </w:pPr>
          </w:p>
        </w:tc>
        <w:tc>
          <w:tcPr>
            <w:tcW w:w="872" w:type="dxa"/>
          </w:tcPr>
          <w:p>
            <w:pPr>
              <w:pStyle w:val="24"/>
              <w:rPr>
                <w:rFonts w:ascii="Times New Roman"/>
                <w:sz w:val="22"/>
              </w:rPr>
            </w:pPr>
          </w:p>
        </w:tc>
        <w:tc>
          <w:tcPr>
            <w:tcW w:w="1068" w:type="dxa"/>
          </w:tcPr>
          <w:p>
            <w:pPr>
              <w:pStyle w:val="24"/>
              <w:rPr>
                <w:rFonts w:ascii="Times New Roman"/>
                <w:sz w:val="22"/>
              </w:rPr>
            </w:pPr>
          </w:p>
        </w:tc>
        <w:tc>
          <w:tcPr>
            <w:tcW w:w="126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5" w:type="dxa"/>
          </w:tcPr>
          <w:p>
            <w:pPr>
              <w:pStyle w:val="24"/>
              <w:spacing w:before="119"/>
              <w:ind w:left="6"/>
              <w:jc w:val="center"/>
              <w:rPr>
                <w:sz w:val="18"/>
              </w:rPr>
            </w:pPr>
            <w:r>
              <w:rPr>
                <w:sz w:val="18"/>
              </w:rPr>
              <w:t>3</w:t>
            </w:r>
          </w:p>
        </w:tc>
        <w:tc>
          <w:tcPr>
            <w:tcW w:w="1413" w:type="dxa"/>
          </w:tcPr>
          <w:p>
            <w:pPr>
              <w:pStyle w:val="24"/>
              <w:rPr>
                <w:rFonts w:ascii="Times New Roman"/>
                <w:sz w:val="22"/>
              </w:rPr>
            </w:pPr>
          </w:p>
        </w:tc>
        <w:tc>
          <w:tcPr>
            <w:tcW w:w="2340" w:type="dxa"/>
          </w:tcPr>
          <w:p>
            <w:pPr>
              <w:pStyle w:val="24"/>
              <w:rPr>
                <w:rFonts w:ascii="Times New Roman"/>
                <w:sz w:val="22"/>
              </w:rPr>
            </w:pPr>
          </w:p>
        </w:tc>
        <w:tc>
          <w:tcPr>
            <w:tcW w:w="900" w:type="dxa"/>
          </w:tcPr>
          <w:p>
            <w:pPr>
              <w:pStyle w:val="24"/>
              <w:rPr>
                <w:rFonts w:ascii="Times New Roman"/>
                <w:sz w:val="22"/>
              </w:rPr>
            </w:pPr>
          </w:p>
        </w:tc>
        <w:tc>
          <w:tcPr>
            <w:tcW w:w="872" w:type="dxa"/>
          </w:tcPr>
          <w:p>
            <w:pPr>
              <w:pStyle w:val="24"/>
              <w:rPr>
                <w:rFonts w:ascii="Times New Roman"/>
                <w:sz w:val="22"/>
              </w:rPr>
            </w:pPr>
          </w:p>
        </w:tc>
        <w:tc>
          <w:tcPr>
            <w:tcW w:w="1068" w:type="dxa"/>
          </w:tcPr>
          <w:p>
            <w:pPr>
              <w:pStyle w:val="24"/>
              <w:rPr>
                <w:rFonts w:ascii="Times New Roman"/>
                <w:sz w:val="22"/>
              </w:rPr>
            </w:pPr>
          </w:p>
        </w:tc>
        <w:tc>
          <w:tcPr>
            <w:tcW w:w="126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528" w:type="dxa"/>
            <w:gridSpan w:val="7"/>
          </w:tcPr>
          <w:p>
            <w:pPr>
              <w:pStyle w:val="24"/>
              <w:spacing w:before="99"/>
              <w:ind w:left="108"/>
              <w:rPr>
                <w:b/>
                <w:sz w:val="21"/>
              </w:rPr>
            </w:pPr>
            <w:r>
              <w:rPr>
                <w:b/>
                <w:sz w:val="21"/>
              </w:rPr>
              <w:t>运输费、保险费、安装费、调试费、培训费及其它含在单项报价中。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528" w:type="dxa"/>
            <w:gridSpan w:val="7"/>
          </w:tcPr>
          <w:p>
            <w:pPr>
              <w:pStyle w:val="24"/>
              <w:tabs>
                <w:tab w:val="left" w:pos="3374"/>
                <w:tab w:val="left" w:pos="6115"/>
              </w:tabs>
              <w:spacing w:before="98"/>
              <w:ind w:left="108"/>
              <w:rPr>
                <w:b/>
                <w:sz w:val="21"/>
              </w:rPr>
            </w:pPr>
            <w:r>
              <w:rPr>
                <w:b/>
                <w:sz w:val="21"/>
              </w:rPr>
              <w:t>投标总报价：￥</w:t>
            </w:r>
            <w:r>
              <w:rPr>
                <w:b/>
                <w:sz w:val="21"/>
              </w:rPr>
              <w:tab/>
            </w:r>
            <w:r>
              <w:rPr>
                <w:b/>
                <w:sz w:val="21"/>
              </w:rPr>
              <w:t>元（大写：</w:t>
            </w:r>
            <w:r>
              <w:rPr>
                <w:b/>
                <w:sz w:val="21"/>
              </w:rPr>
              <w:tab/>
            </w:r>
            <w:r>
              <w:rPr>
                <w:b/>
                <w:sz w:val="21"/>
              </w:rPr>
              <w:t>）</w:t>
            </w:r>
          </w:p>
        </w:tc>
      </w:tr>
    </w:tbl>
    <w:p>
      <w:pPr>
        <w:spacing w:before="80"/>
        <w:ind w:left="637" w:right="0" w:firstLine="0"/>
        <w:jc w:val="left"/>
        <w:rPr>
          <w:b/>
          <w:sz w:val="24"/>
        </w:rPr>
      </w:pPr>
      <w:r>
        <w:rPr>
          <w:b/>
          <w:sz w:val="24"/>
        </w:rPr>
        <w:t>注：此表需详列投标的每种产品。</w:t>
      </w:r>
    </w:p>
    <w:p>
      <w:pPr>
        <w:pStyle w:val="10"/>
        <w:ind w:left="0"/>
        <w:rPr>
          <w:b/>
          <w:color w:val="FF0000"/>
          <w:sz w:val="25"/>
        </w:rPr>
      </w:pPr>
    </w:p>
    <w:p>
      <w:pPr>
        <w:tabs>
          <w:tab w:val="left" w:pos="5031"/>
        </w:tabs>
        <w:spacing w:before="0"/>
        <w:ind w:left="637" w:right="0" w:firstLine="0"/>
        <w:jc w:val="left"/>
        <w:rPr>
          <w:rFonts w:ascii="Times New Roman" w:eastAsia="Times New Roman"/>
          <w:b/>
          <w:color w:val="auto"/>
          <w:sz w:val="24"/>
        </w:rPr>
      </w:pPr>
      <w:r>
        <w:rPr>
          <w:rFonts w:hint="eastAsia"/>
          <w:b/>
          <w:color w:val="auto"/>
          <w:w w:val="95"/>
          <w:sz w:val="24"/>
          <w:lang w:val="en-US" w:eastAsia="zh-CN"/>
        </w:rPr>
        <w:t>法定代表人或</w:t>
      </w:r>
      <w:r>
        <w:rPr>
          <w:b/>
          <w:color w:val="auto"/>
          <w:w w:val="95"/>
          <w:sz w:val="24"/>
        </w:rPr>
        <w:t>投标人代表签字</w:t>
      </w:r>
      <w:r>
        <w:rPr>
          <w:rFonts w:hint="eastAsia"/>
          <w:b/>
          <w:color w:val="auto"/>
          <w:w w:val="95"/>
          <w:sz w:val="24"/>
          <w:lang w:val="en-US" w:eastAsia="zh-CN"/>
        </w:rPr>
        <w:t>或盖章</w:t>
      </w:r>
      <w:r>
        <w:rPr>
          <w:b/>
          <w:color w:val="auto"/>
          <w:w w:val="95"/>
          <w:sz w:val="24"/>
        </w:rPr>
        <w:t>：</w:t>
      </w:r>
      <w:r>
        <w:rPr>
          <w:rFonts w:ascii="Times New Roman" w:eastAsia="Times New Roman"/>
          <w:b/>
          <w:color w:val="auto"/>
          <w:sz w:val="24"/>
          <w:u w:val="single"/>
        </w:rPr>
        <w:t xml:space="preserve"> </w:t>
      </w:r>
      <w:r>
        <w:rPr>
          <w:rFonts w:ascii="Times New Roman" w:eastAsia="Times New Roman"/>
          <w:b/>
          <w:color w:val="auto"/>
          <w:sz w:val="24"/>
          <w:u w:val="single"/>
        </w:rPr>
        <w:tab/>
      </w:r>
    </w:p>
    <w:p>
      <w:pPr>
        <w:pStyle w:val="10"/>
        <w:spacing w:before="0"/>
        <w:ind w:left="0"/>
        <w:rPr>
          <w:rFonts w:ascii="Times New Roman"/>
          <w:b/>
          <w:sz w:val="20"/>
        </w:rPr>
      </w:pPr>
    </w:p>
    <w:p>
      <w:pPr>
        <w:pStyle w:val="10"/>
        <w:spacing w:before="0"/>
        <w:ind w:left="0"/>
        <w:rPr>
          <w:rFonts w:ascii="Times New Roman"/>
          <w:b/>
          <w:sz w:val="20"/>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pStyle w:val="10"/>
        <w:spacing w:before="7"/>
        <w:ind w:left="0"/>
        <w:rPr>
          <w:rFonts w:ascii="Times New Roman"/>
          <w:b/>
          <w:sz w:val="29"/>
        </w:rPr>
      </w:pPr>
    </w:p>
    <w:p>
      <w:pPr>
        <w:spacing w:before="66"/>
        <w:ind w:right="0" w:firstLine="2711" w:firstLineChars="900"/>
        <w:jc w:val="left"/>
        <w:rPr>
          <w:b/>
          <w:sz w:val="30"/>
          <w:szCs w:val="30"/>
        </w:rPr>
      </w:pPr>
      <w:r>
        <w:rPr>
          <w:b/>
          <w:sz w:val="30"/>
          <w:szCs w:val="30"/>
        </w:rPr>
        <w:t>（十）产品简要说明一览表</w:t>
      </w:r>
    </w:p>
    <w:p>
      <w:pPr>
        <w:spacing w:before="201"/>
        <w:ind w:left="0" w:right="610" w:firstLine="0"/>
        <w:jc w:val="center"/>
        <w:rPr>
          <w:b/>
          <w:sz w:val="30"/>
        </w:rPr>
      </w:pPr>
      <w:r>
        <w:rPr>
          <w:b/>
          <w:sz w:val="30"/>
        </w:rPr>
        <w:t>产品简要说明一览表</w:t>
      </w:r>
    </w:p>
    <w:p>
      <w:pPr>
        <w:tabs>
          <w:tab w:val="left" w:pos="6258"/>
          <w:tab w:val="left" w:pos="9015"/>
        </w:tabs>
        <w:spacing w:before="199"/>
        <w:ind w:left="637" w:right="0" w:firstLine="0"/>
        <w:jc w:val="left"/>
        <w:rPr>
          <w:b/>
          <w:sz w:val="24"/>
        </w:rPr>
      </w:pPr>
      <w:r>
        <w:rPr>
          <w:b/>
          <w:sz w:val="24"/>
        </w:rPr>
        <w:t>投标人名</w:t>
      </w:r>
      <w:r>
        <w:rPr>
          <w:b/>
          <w:spacing w:val="-15"/>
          <w:sz w:val="24"/>
        </w:rPr>
        <w:t>称</w:t>
      </w:r>
      <w:r>
        <w:rPr>
          <w:b/>
          <w:sz w:val="24"/>
        </w:rPr>
        <w:t>（公章</w:t>
      </w:r>
      <w:r>
        <w:rPr>
          <w:b/>
          <w:spacing w:val="-6"/>
          <w:sz w:val="24"/>
        </w:rPr>
        <w:t>）：</w:t>
      </w:r>
      <w:r>
        <w:rPr>
          <w:b/>
          <w:spacing w:val="-6"/>
          <w:sz w:val="24"/>
        </w:rPr>
        <w:tab/>
      </w:r>
      <w:r>
        <w:rPr>
          <w:b/>
          <w:sz w:val="24"/>
        </w:rPr>
        <w:t>招标编号/标段号：</w:t>
      </w:r>
      <w:r>
        <w:rPr>
          <w:b/>
          <w:sz w:val="24"/>
        </w:rPr>
        <w:tab/>
      </w:r>
      <w:r>
        <w:rPr>
          <w:b/>
          <w:sz w:val="24"/>
        </w:rPr>
        <w:t>包</w:t>
      </w:r>
    </w:p>
    <w:p>
      <w:pPr>
        <w:pStyle w:val="10"/>
        <w:spacing w:before="4"/>
        <w:ind w:left="0"/>
        <w:rPr>
          <w:b/>
          <w:sz w:val="6"/>
        </w:rPr>
      </w:pPr>
    </w:p>
    <w:tbl>
      <w:tblPr>
        <w:tblStyle w:val="18"/>
        <w:tblW w:w="0" w:type="auto"/>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233"/>
        <w:gridCol w:w="3702"/>
        <w:gridCol w:w="1518"/>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67" w:type="dxa"/>
          </w:tcPr>
          <w:p>
            <w:pPr>
              <w:pStyle w:val="24"/>
              <w:spacing w:before="100"/>
              <w:ind w:left="177"/>
              <w:rPr>
                <w:b/>
                <w:sz w:val="22"/>
                <w:szCs w:val="24"/>
              </w:rPr>
            </w:pPr>
            <w:r>
              <w:rPr>
                <w:b/>
                <w:w w:val="99"/>
                <w:sz w:val="22"/>
                <w:szCs w:val="24"/>
              </w:rPr>
              <w:t>序</w:t>
            </w:r>
          </w:p>
          <w:p>
            <w:pPr>
              <w:pStyle w:val="24"/>
              <w:spacing w:before="6"/>
              <w:rPr>
                <w:b/>
                <w:sz w:val="16"/>
                <w:szCs w:val="24"/>
              </w:rPr>
            </w:pPr>
          </w:p>
          <w:p>
            <w:pPr>
              <w:pStyle w:val="24"/>
              <w:ind w:left="177"/>
              <w:rPr>
                <w:b/>
                <w:sz w:val="22"/>
                <w:szCs w:val="24"/>
              </w:rPr>
            </w:pPr>
            <w:r>
              <w:rPr>
                <w:b/>
                <w:w w:val="99"/>
                <w:sz w:val="22"/>
                <w:szCs w:val="24"/>
              </w:rPr>
              <w:t>号</w:t>
            </w:r>
          </w:p>
        </w:tc>
        <w:tc>
          <w:tcPr>
            <w:tcW w:w="1233" w:type="dxa"/>
          </w:tcPr>
          <w:p>
            <w:pPr>
              <w:pStyle w:val="24"/>
              <w:spacing w:before="12"/>
              <w:rPr>
                <w:b/>
                <w:sz w:val="28"/>
                <w:szCs w:val="24"/>
              </w:rPr>
            </w:pPr>
          </w:p>
          <w:p>
            <w:pPr>
              <w:pStyle w:val="24"/>
              <w:ind w:left="196"/>
              <w:rPr>
                <w:b/>
                <w:sz w:val="22"/>
                <w:szCs w:val="24"/>
              </w:rPr>
            </w:pPr>
            <w:r>
              <w:rPr>
                <w:b/>
                <w:sz w:val="22"/>
                <w:szCs w:val="24"/>
              </w:rPr>
              <w:t>产品名称</w:t>
            </w:r>
          </w:p>
        </w:tc>
        <w:tc>
          <w:tcPr>
            <w:tcW w:w="3702" w:type="dxa"/>
          </w:tcPr>
          <w:p>
            <w:pPr>
              <w:pStyle w:val="24"/>
              <w:spacing w:before="12"/>
              <w:rPr>
                <w:b/>
                <w:sz w:val="28"/>
                <w:szCs w:val="24"/>
              </w:rPr>
            </w:pPr>
          </w:p>
          <w:p>
            <w:pPr>
              <w:pStyle w:val="24"/>
              <w:ind w:left="379"/>
              <w:rPr>
                <w:b/>
                <w:sz w:val="22"/>
                <w:szCs w:val="24"/>
              </w:rPr>
            </w:pPr>
            <w:r>
              <w:rPr>
                <w:b/>
                <w:sz w:val="22"/>
                <w:szCs w:val="24"/>
              </w:rPr>
              <w:t>品牌、规格型号及主要技术参数</w:t>
            </w:r>
          </w:p>
        </w:tc>
        <w:tc>
          <w:tcPr>
            <w:tcW w:w="1518" w:type="dxa"/>
          </w:tcPr>
          <w:p>
            <w:pPr>
              <w:pStyle w:val="24"/>
              <w:spacing w:before="12"/>
              <w:rPr>
                <w:b/>
                <w:sz w:val="28"/>
                <w:szCs w:val="24"/>
              </w:rPr>
            </w:pPr>
          </w:p>
          <w:p>
            <w:pPr>
              <w:pStyle w:val="24"/>
              <w:ind w:left="337"/>
              <w:rPr>
                <w:b/>
                <w:sz w:val="22"/>
                <w:szCs w:val="24"/>
              </w:rPr>
            </w:pPr>
            <w:r>
              <w:rPr>
                <w:b/>
                <w:sz w:val="22"/>
                <w:szCs w:val="24"/>
              </w:rPr>
              <w:t>性能说明</w:t>
            </w:r>
          </w:p>
        </w:tc>
        <w:tc>
          <w:tcPr>
            <w:tcW w:w="1856" w:type="dxa"/>
          </w:tcPr>
          <w:p>
            <w:pPr>
              <w:pStyle w:val="24"/>
              <w:spacing w:before="12"/>
              <w:rPr>
                <w:b/>
                <w:sz w:val="28"/>
                <w:szCs w:val="24"/>
              </w:rPr>
            </w:pPr>
          </w:p>
          <w:p>
            <w:pPr>
              <w:pStyle w:val="24"/>
              <w:ind w:left="697" w:right="687"/>
              <w:jc w:val="center"/>
              <w:rPr>
                <w:b/>
                <w:sz w:val="22"/>
                <w:szCs w:val="24"/>
              </w:rPr>
            </w:pPr>
            <w:r>
              <w:rPr>
                <w:b/>
                <w:sz w:val="22"/>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 w:type="dxa"/>
          </w:tcPr>
          <w:p>
            <w:pPr>
              <w:pStyle w:val="24"/>
              <w:spacing w:before="120"/>
              <w:ind w:left="8"/>
              <w:jc w:val="center"/>
              <w:rPr>
                <w:sz w:val="20"/>
                <w:szCs w:val="24"/>
              </w:rPr>
            </w:pPr>
            <w:r>
              <w:rPr>
                <w:sz w:val="20"/>
                <w:szCs w:val="24"/>
              </w:rPr>
              <w:t>1</w:t>
            </w:r>
          </w:p>
        </w:tc>
        <w:tc>
          <w:tcPr>
            <w:tcW w:w="1233" w:type="dxa"/>
          </w:tcPr>
          <w:p>
            <w:pPr>
              <w:pStyle w:val="24"/>
              <w:rPr>
                <w:rFonts w:ascii="Times New Roman"/>
                <w:sz w:val="24"/>
                <w:szCs w:val="24"/>
              </w:rPr>
            </w:pPr>
          </w:p>
        </w:tc>
        <w:tc>
          <w:tcPr>
            <w:tcW w:w="3702" w:type="dxa"/>
          </w:tcPr>
          <w:p>
            <w:pPr>
              <w:pStyle w:val="24"/>
              <w:rPr>
                <w:rFonts w:ascii="Times New Roman"/>
                <w:sz w:val="24"/>
                <w:szCs w:val="24"/>
              </w:rPr>
            </w:pPr>
          </w:p>
        </w:tc>
        <w:tc>
          <w:tcPr>
            <w:tcW w:w="1518" w:type="dxa"/>
          </w:tcPr>
          <w:p>
            <w:pPr>
              <w:pStyle w:val="24"/>
              <w:rPr>
                <w:rFonts w:ascii="Times New Roman"/>
                <w:sz w:val="24"/>
                <w:szCs w:val="24"/>
              </w:rPr>
            </w:pPr>
          </w:p>
        </w:tc>
        <w:tc>
          <w:tcPr>
            <w:tcW w:w="1856"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 w:type="dxa"/>
          </w:tcPr>
          <w:p>
            <w:pPr>
              <w:pStyle w:val="24"/>
              <w:spacing w:before="119"/>
              <w:ind w:left="8"/>
              <w:jc w:val="center"/>
              <w:rPr>
                <w:sz w:val="20"/>
                <w:szCs w:val="24"/>
              </w:rPr>
            </w:pPr>
            <w:r>
              <w:rPr>
                <w:sz w:val="20"/>
                <w:szCs w:val="24"/>
              </w:rPr>
              <w:t>2</w:t>
            </w:r>
          </w:p>
        </w:tc>
        <w:tc>
          <w:tcPr>
            <w:tcW w:w="1233" w:type="dxa"/>
          </w:tcPr>
          <w:p>
            <w:pPr>
              <w:pStyle w:val="24"/>
              <w:rPr>
                <w:rFonts w:ascii="Times New Roman"/>
                <w:sz w:val="24"/>
                <w:szCs w:val="24"/>
              </w:rPr>
            </w:pPr>
          </w:p>
        </w:tc>
        <w:tc>
          <w:tcPr>
            <w:tcW w:w="3702" w:type="dxa"/>
          </w:tcPr>
          <w:p>
            <w:pPr>
              <w:pStyle w:val="24"/>
              <w:rPr>
                <w:rFonts w:ascii="Times New Roman"/>
                <w:sz w:val="24"/>
                <w:szCs w:val="24"/>
              </w:rPr>
            </w:pPr>
          </w:p>
        </w:tc>
        <w:tc>
          <w:tcPr>
            <w:tcW w:w="1518" w:type="dxa"/>
          </w:tcPr>
          <w:p>
            <w:pPr>
              <w:pStyle w:val="24"/>
              <w:rPr>
                <w:rFonts w:ascii="Times New Roman"/>
                <w:sz w:val="24"/>
                <w:szCs w:val="24"/>
              </w:rPr>
            </w:pPr>
          </w:p>
        </w:tc>
        <w:tc>
          <w:tcPr>
            <w:tcW w:w="1856"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7" w:type="dxa"/>
          </w:tcPr>
          <w:p>
            <w:pPr>
              <w:pStyle w:val="24"/>
              <w:spacing w:before="119"/>
              <w:ind w:left="8"/>
              <w:jc w:val="center"/>
              <w:rPr>
                <w:sz w:val="20"/>
                <w:szCs w:val="24"/>
              </w:rPr>
            </w:pPr>
            <w:r>
              <w:rPr>
                <w:sz w:val="20"/>
                <w:szCs w:val="24"/>
              </w:rPr>
              <w:t>3</w:t>
            </w:r>
          </w:p>
        </w:tc>
        <w:tc>
          <w:tcPr>
            <w:tcW w:w="1233" w:type="dxa"/>
          </w:tcPr>
          <w:p>
            <w:pPr>
              <w:pStyle w:val="24"/>
              <w:rPr>
                <w:rFonts w:ascii="Times New Roman"/>
                <w:sz w:val="24"/>
                <w:szCs w:val="24"/>
              </w:rPr>
            </w:pPr>
          </w:p>
        </w:tc>
        <w:tc>
          <w:tcPr>
            <w:tcW w:w="3702" w:type="dxa"/>
          </w:tcPr>
          <w:p>
            <w:pPr>
              <w:pStyle w:val="24"/>
              <w:rPr>
                <w:rFonts w:ascii="Times New Roman"/>
                <w:sz w:val="24"/>
                <w:szCs w:val="24"/>
              </w:rPr>
            </w:pPr>
          </w:p>
        </w:tc>
        <w:tc>
          <w:tcPr>
            <w:tcW w:w="1518" w:type="dxa"/>
          </w:tcPr>
          <w:p>
            <w:pPr>
              <w:pStyle w:val="24"/>
              <w:rPr>
                <w:rFonts w:ascii="Times New Roman"/>
                <w:sz w:val="24"/>
                <w:szCs w:val="24"/>
              </w:rPr>
            </w:pPr>
          </w:p>
        </w:tc>
        <w:tc>
          <w:tcPr>
            <w:tcW w:w="1856"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67" w:type="dxa"/>
          </w:tcPr>
          <w:p>
            <w:pPr>
              <w:pStyle w:val="24"/>
              <w:spacing w:before="119"/>
              <w:ind w:left="7"/>
              <w:jc w:val="center"/>
              <w:rPr>
                <w:sz w:val="20"/>
                <w:szCs w:val="24"/>
              </w:rPr>
            </w:pPr>
            <w:r>
              <w:rPr>
                <w:sz w:val="20"/>
                <w:szCs w:val="24"/>
              </w:rPr>
              <w:t>…</w:t>
            </w:r>
          </w:p>
        </w:tc>
        <w:tc>
          <w:tcPr>
            <w:tcW w:w="1233" w:type="dxa"/>
          </w:tcPr>
          <w:p>
            <w:pPr>
              <w:pStyle w:val="24"/>
              <w:rPr>
                <w:rFonts w:ascii="Times New Roman"/>
                <w:sz w:val="24"/>
                <w:szCs w:val="24"/>
              </w:rPr>
            </w:pPr>
          </w:p>
        </w:tc>
        <w:tc>
          <w:tcPr>
            <w:tcW w:w="3702" w:type="dxa"/>
          </w:tcPr>
          <w:p>
            <w:pPr>
              <w:pStyle w:val="24"/>
              <w:rPr>
                <w:rFonts w:ascii="Times New Roman"/>
                <w:sz w:val="24"/>
                <w:szCs w:val="24"/>
              </w:rPr>
            </w:pPr>
          </w:p>
        </w:tc>
        <w:tc>
          <w:tcPr>
            <w:tcW w:w="1518" w:type="dxa"/>
          </w:tcPr>
          <w:p>
            <w:pPr>
              <w:pStyle w:val="24"/>
              <w:rPr>
                <w:rFonts w:ascii="Times New Roman"/>
                <w:sz w:val="24"/>
                <w:szCs w:val="24"/>
              </w:rPr>
            </w:pPr>
          </w:p>
        </w:tc>
        <w:tc>
          <w:tcPr>
            <w:tcW w:w="1856" w:type="dxa"/>
          </w:tcPr>
          <w:p>
            <w:pPr>
              <w:pStyle w:val="24"/>
              <w:rPr>
                <w:rFonts w:ascii="Times New Roman"/>
                <w:sz w:val="24"/>
                <w:szCs w:val="24"/>
              </w:rPr>
            </w:pPr>
          </w:p>
        </w:tc>
      </w:tr>
    </w:tbl>
    <w:p>
      <w:pPr>
        <w:spacing w:before="80"/>
        <w:ind w:left="637" w:right="0" w:firstLine="0"/>
        <w:jc w:val="left"/>
        <w:rPr>
          <w:b/>
          <w:sz w:val="24"/>
        </w:rPr>
      </w:pPr>
      <w:r>
        <w:rPr>
          <w:b/>
          <w:sz w:val="24"/>
        </w:rPr>
        <w:t>注：此表需详列投标的每种产品。</w:t>
      </w:r>
    </w:p>
    <w:p>
      <w:pPr>
        <w:pStyle w:val="10"/>
        <w:spacing w:before="0"/>
        <w:ind w:left="0"/>
        <w:rPr>
          <w:b/>
        </w:rPr>
      </w:pPr>
    </w:p>
    <w:p>
      <w:pPr>
        <w:pStyle w:val="10"/>
        <w:ind w:left="0"/>
        <w:rPr>
          <w:b/>
          <w:color w:val="auto"/>
          <w:sz w:val="25"/>
        </w:rPr>
      </w:pPr>
    </w:p>
    <w:p>
      <w:pPr>
        <w:tabs>
          <w:tab w:val="left" w:pos="5031"/>
        </w:tabs>
        <w:spacing w:before="0"/>
        <w:ind w:left="637" w:right="0" w:firstLine="0"/>
        <w:jc w:val="left"/>
        <w:rPr>
          <w:rFonts w:ascii="Times New Roman" w:eastAsia="Times New Roman"/>
          <w:b/>
          <w:color w:val="auto"/>
          <w:sz w:val="24"/>
        </w:rPr>
      </w:pPr>
      <w:r>
        <w:rPr>
          <w:rFonts w:hint="eastAsia"/>
          <w:b/>
          <w:color w:val="auto"/>
          <w:w w:val="95"/>
          <w:sz w:val="24"/>
          <w:lang w:val="en-US" w:eastAsia="zh-CN"/>
        </w:rPr>
        <w:t>法定代表人或</w:t>
      </w:r>
      <w:r>
        <w:rPr>
          <w:b/>
          <w:color w:val="auto"/>
          <w:w w:val="95"/>
          <w:sz w:val="24"/>
        </w:rPr>
        <w:t>投标人代表签字</w:t>
      </w:r>
      <w:r>
        <w:rPr>
          <w:rFonts w:hint="eastAsia"/>
          <w:b/>
          <w:color w:val="auto"/>
          <w:w w:val="95"/>
          <w:sz w:val="24"/>
          <w:lang w:val="en-US" w:eastAsia="zh-CN"/>
        </w:rPr>
        <w:t>或盖章</w:t>
      </w:r>
      <w:r>
        <w:rPr>
          <w:b/>
          <w:color w:val="auto"/>
          <w:w w:val="95"/>
          <w:sz w:val="24"/>
        </w:rPr>
        <w:t>：</w:t>
      </w:r>
      <w:r>
        <w:rPr>
          <w:rFonts w:ascii="Times New Roman" w:eastAsia="Times New Roman"/>
          <w:b/>
          <w:color w:val="auto"/>
          <w:sz w:val="24"/>
          <w:u w:val="single"/>
        </w:rPr>
        <w:t xml:space="preserve"> </w:t>
      </w:r>
      <w:r>
        <w:rPr>
          <w:rFonts w:ascii="Times New Roman" w:eastAsia="Times New Roman"/>
          <w:b/>
          <w:color w:val="auto"/>
          <w:sz w:val="24"/>
          <w:u w:val="single"/>
        </w:rPr>
        <w:tab/>
      </w:r>
    </w:p>
    <w:p>
      <w:pPr>
        <w:spacing w:after="0"/>
        <w:jc w:val="left"/>
        <w:rPr>
          <w:rFonts w:ascii="Times New Roman" w:eastAsia="Times New Roman"/>
          <w:color w:val="auto"/>
          <w:sz w:val="24"/>
        </w:rPr>
        <w:sectPr>
          <w:footerReference r:id="rId11" w:type="default"/>
          <w:pgSz w:w="11910" w:h="16840"/>
          <w:pgMar w:top="1420" w:right="240" w:bottom="1180" w:left="1160" w:header="878" w:footer="993" w:gutter="0"/>
          <w:pgNumType w:fmt="decimal"/>
          <w:cols w:space="720" w:num="1"/>
        </w:sectPr>
      </w:pPr>
    </w:p>
    <w:p>
      <w:pPr>
        <w:pStyle w:val="10"/>
        <w:spacing w:before="8"/>
        <w:ind w:left="0"/>
        <w:rPr>
          <w:rFonts w:ascii="Times New Roman"/>
          <w:b/>
          <w:sz w:val="22"/>
        </w:rPr>
      </w:pPr>
    </w:p>
    <w:p>
      <w:pPr>
        <w:spacing w:before="67"/>
        <w:ind w:left="1117" w:right="0" w:firstLine="1968" w:firstLineChars="700"/>
        <w:jc w:val="left"/>
        <w:rPr>
          <w:b/>
          <w:sz w:val="28"/>
          <w:szCs w:val="28"/>
        </w:rPr>
      </w:pPr>
      <w:r>
        <w:rPr>
          <w:b/>
          <w:sz w:val="28"/>
          <w:szCs w:val="28"/>
        </w:rPr>
        <w:t>（十一）产品技术参数、功能偏离表</w:t>
      </w:r>
    </w:p>
    <w:p>
      <w:pPr>
        <w:spacing w:before="67"/>
        <w:ind w:left="1117" w:right="0" w:firstLine="2530" w:firstLineChars="900"/>
        <w:jc w:val="left"/>
        <w:rPr>
          <w:b/>
          <w:sz w:val="28"/>
          <w:szCs w:val="28"/>
        </w:rPr>
      </w:pPr>
      <w:r>
        <w:rPr>
          <w:b/>
          <w:sz w:val="28"/>
          <w:szCs w:val="28"/>
        </w:rPr>
        <w:t>产品技术参数、功能偏离表</w:t>
      </w:r>
    </w:p>
    <w:p>
      <w:pPr>
        <w:tabs>
          <w:tab w:val="left" w:pos="6498"/>
          <w:tab w:val="left" w:pos="9015"/>
        </w:tabs>
        <w:spacing w:before="199"/>
        <w:ind w:left="637" w:right="0" w:firstLine="0"/>
        <w:jc w:val="left"/>
        <w:rPr>
          <w:b/>
          <w:sz w:val="24"/>
        </w:rPr>
      </w:pPr>
      <w:r>
        <w:rPr>
          <w:b/>
          <w:sz w:val="24"/>
        </w:rPr>
        <w:t>投标人名</w:t>
      </w:r>
      <w:r>
        <w:rPr>
          <w:b/>
          <w:spacing w:val="-15"/>
          <w:sz w:val="24"/>
        </w:rPr>
        <w:t>称</w:t>
      </w:r>
      <w:r>
        <w:rPr>
          <w:b/>
          <w:sz w:val="24"/>
        </w:rPr>
        <w:t>（公章</w:t>
      </w:r>
      <w:r>
        <w:rPr>
          <w:b/>
          <w:spacing w:val="-6"/>
          <w:sz w:val="24"/>
        </w:rPr>
        <w:t>）：</w:t>
      </w:r>
      <w:r>
        <w:rPr>
          <w:b/>
          <w:spacing w:val="-6"/>
          <w:sz w:val="24"/>
        </w:rPr>
        <w:tab/>
      </w:r>
      <w:r>
        <w:rPr>
          <w:b/>
          <w:sz w:val="24"/>
        </w:rPr>
        <w:t>招标编号/标段号：</w:t>
      </w:r>
      <w:r>
        <w:rPr>
          <w:b/>
          <w:sz w:val="24"/>
        </w:rPr>
        <w:tab/>
      </w:r>
      <w:r>
        <w:rPr>
          <w:b/>
          <w:sz w:val="24"/>
        </w:rPr>
        <w:t>包</w:t>
      </w:r>
    </w:p>
    <w:p>
      <w:pPr>
        <w:pStyle w:val="10"/>
        <w:spacing w:before="3"/>
        <w:ind w:left="0"/>
        <w:rPr>
          <w:b/>
          <w:sz w:val="6"/>
        </w:rPr>
      </w:pPr>
    </w:p>
    <w:tbl>
      <w:tblPr>
        <w:tblStyle w:val="18"/>
        <w:tblW w:w="0" w:type="auto"/>
        <w:tblInd w:w="6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1496"/>
        <w:gridCol w:w="2453"/>
        <w:gridCol w:w="2227"/>
        <w:gridCol w:w="160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95" w:type="dxa"/>
          </w:tcPr>
          <w:p>
            <w:pPr>
              <w:pStyle w:val="24"/>
              <w:spacing w:before="98"/>
              <w:ind w:left="142"/>
              <w:rPr>
                <w:b/>
                <w:sz w:val="22"/>
                <w:szCs w:val="24"/>
              </w:rPr>
            </w:pPr>
            <w:r>
              <w:rPr>
                <w:b/>
                <w:w w:val="99"/>
                <w:sz w:val="22"/>
                <w:szCs w:val="24"/>
              </w:rPr>
              <w:t>序</w:t>
            </w:r>
          </w:p>
          <w:p>
            <w:pPr>
              <w:pStyle w:val="24"/>
              <w:spacing w:before="6"/>
              <w:rPr>
                <w:b/>
                <w:sz w:val="16"/>
                <w:szCs w:val="24"/>
              </w:rPr>
            </w:pPr>
          </w:p>
          <w:p>
            <w:pPr>
              <w:pStyle w:val="24"/>
              <w:ind w:left="142"/>
              <w:rPr>
                <w:b/>
                <w:sz w:val="22"/>
                <w:szCs w:val="24"/>
              </w:rPr>
            </w:pPr>
            <w:r>
              <w:rPr>
                <w:b/>
                <w:w w:val="99"/>
                <w:sz w:val="22"/>
                <w:szCs w:val="24"/>
              </w:rPr>
              <w:t>号</w:t>
            </w:r>
          </w:p>
        </w:tc>
        <w:tc>
          <w:tcPr>
            <w:tcW w:w="1496" w:type="dxa"/>
          </w:tcPr>
          <w:p>
            <w:pPr>
              <w:pStyle w:val="24"/>
              <w:spacing w:before="98"/>
              <w:ind w:left="96" w:right="84"/>
              <w:jc w:val="center"/>
              <w:rPr>
                <w:b/>
                <w:sz w:val="22"/>
                <w:szCs w:val="24"/>
              </w:rPr>
            </w:pPr>
            <w:r>
              <w:rPr>
                <w:b/>
                <w:sz w:val="22"/>
                <w:szCs w:val="24"/>
              </w:rPr>
              <w:t>招标文件规格</w:t>
            </w:r>
          </w:p>
          <w:p>
            <w:pPr>
              <w:pStyle w:val="24"/>
              <w:spacing w:before="6"/>
              <w:rPr>
                <w:b/>
                <w:sz w:val="16"/>
                <w:szCs w:val="24"/>
              </w:rPr>
            </w:pPr>
          </w:p>
          <w:p>
            <w:pPr>
              <w:pStyle w:val="24"/>
              <w:ind w:left="94" w:right="84"/>
              <w:jc w:val="center"/>
              <w:rPr>
                <w:b/>
                <w:sz w:val="22"/>
                <w:szCs w:val="24"/>
              </w:rPr>
            </w:pPr>
            <w:r>
              <w:rPr>
                <w:b/>
                <w:sz w:val="22"/>
                <w:szCs w:val="24"/>
              </w:rPr>
              <w:t>条目号</w:t>
            </w:r>
          </w:p>
        </w:tc>
        <w:tc>
          <w:tcPr>
            <w:tcW w:w="2453" w:type="dxa"/>
          </w:tcPr>
          <w:p>
            <w:pPr>
              <w:pStyle w:val="24"/>
              <w:rPr>
                <w:b/>
                <w:sz w:val="28"/>
                <w:szCs w:val="24"/>
              </w:rPr>
            </w:pPr>
          </w:p>
          <w:p>
            <w:pPr>
              <w:pStyle w:val="24"/>
              <w:ind w:left="805"/>
              <w:rPr>
                <w:b/>
                <w:sz w:val="22"/>
                <w:szCs w:val="24"/>
              </w:rPr>
            </w:pPr>
            <w:r>
              <w:rPr>
                <w:b/>
                <w:sz w:val="22"/>
                <w:szCs w:val="24"/>
              </w:rPr>
              <w:t>招标规格</w:t>
            </w:r>
          </w:p>
        </w:tc>
        <w:tc>
          <w:tcPr>
            <w:tcW w:w="2227" w:type="dxa"/>
          </w:tcPr>
          <w:p>
            <w:pPr>
              <w:pStyle w:val="24"/>
              <w:rPr>
                <w:b/>
                <w:sz w:val="28"/>
                <w:szCs w:val="24"/>
              </w:rPr>
            </w:pPr>
          </w:p>
          <w:p>
            <w:pPr>
              <w:pStyle w:val="24"/>
              <w:ind w:left="692"/>
              <w:rPr>
                <w:b/>
                <w:sz w:val="22"/>
                <w:szCs w:val="24"/>
              </w:rPr>
            </w:pPr>
            <w:r>
              <w:rPr>
                <w:b/>
                <w:sz w:val="22"/>
                <w:szCs w:val="24"/>
              </w:rPr>
              <w:t>投标规格</w:t>
            </w:r>
          </w:p>
        </w:tc>
        <w:tc>
          <w:tcPr>
            <w:tcW w:w="1600" w:type="dxa"/>
          </w:tcPr>
          <w:p>
            <w:pPr>
              <w:pStyle w:val="24"/>
              <w:rPr>
                <w:b/>
                <w:sz w:val="28"/>
                <w:szCs w:val="24"/>
              </w:rPr>
            </w:pPr>
          </w:p>
          <w:p>
            <w:pPr>
              <w:pStyle w:val="24"/>
              <w:ind w:left="569" w:right="559"/>
              <w:jc w:val="center"/>
              <w:rPr>
                <w:b/>
                <w:sz w:val="22"/>
                <w:szCs w:val="24"/>
              </w:rPr>
            </w:pPr>
            <w:r>
              <w:rPr>
                <w:b/>
                <w:sz w:val="22"/>
                <w:szCs w:val="24"/>
              </w:rPr>
              <w:t>偏离</w:t>
            </w:r>
          </w:p>
        </w:tc>
        <w:tc>
          <w:tcPr>
            <w:tcW w:w="1134" w:type="dxa"/>
          </w:tcPr>
          <w:p>
            <w:pPr>
              <w:pStyle w:val="24"/>
              <w:rPr>
                <w:b/>
                <w:sz w:val="28"/>
                <w:szCs w:val="24"/>
              </w:rPr>
            </w:pPr>
          </w:p>
          <w:p>
            <w:pPr>
              <w:pStyle w:val="24"/>
              <w:ind w:left="355"/>
              <w:rPr>
                <w:b/>
                <w:sz w:val="22"/>
                <w:szCs w:val="24"/>
              </w:rPr>
            </w:pPr>
            <w:r>
              <w:rPr>
                <w:b/>
                <w:sz w:val="22"/>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495" w:type="dxa"/>
          </w:tcPr>
          <w:p>
            <w:pPr>
              <w:pStyle w:val="24"/>
              <w:rPr>
                <w:rFonts w:ascii="Times New Roman"/>
                <w:sz w:val="24"/>
                <w:szCs w:val="24"/>
              </w:rPr>
            </w:pPr>
          </w:p>
        </w:tc>
        <w:tc>
          <w:tcPr>
            <w:tcW w:w="1496" w:type="dxa"/>
          </w:tcPr>
          <w:p>
            <w:pPr>
              <w:pStyle w:val="24"/>
              <w:rPr>
                <w:rFonts w:ascii="Times New Roman"/>
                <w:sz w:val="24"/>
                <w:szCs w:val="24"/>
              </w:rPr>
            </w:pPr>
          </w:p>
        </w:tc>
        <w:tc>
          <w:tcPr>
            <w:tcW w:w="2453" w:type="dxa"/>
          </w:tcPr>
          <w:p>
            <w:pPr>
              <w:pStyle w:val="24"/>
              <w:rPr>
                <w:rFonts w:ascii="Times New Roman"/>
                <w:sz w:val="24"/>
                <w:szCs w:val="24"/>
              </w:rPr>
            </w:pPr>
          </w:p>
        </w:tc>
        <w:tc>
          <w:tcPr>
            <w:tcW w:w="2227" w:type="dxa"/>
          </w:tcPr>
          <w:p>
            <w:pPr>
              <w:pStyle w:val="24"/>
              <w:rPr>
                <w:rFonts w:ascii="Times New Roman"/>
                <w:sz w:val="24"/>
                <w:szCs w:val="24"/>
              </w:rPr>
            </w:pPr>
          </w:p>
        </w:tc>
        <w:tc>
          <w:tcPr>
            <w:tcW w:w="1600" w:type="dxa"/>
          </w:tcPr>
          <w:p>
            <w:pPr>
              <w:pStyle w:val="24"/>
              <w:rPr>
                <w:rFonts w:ascii="Times New Roman"/>
                <w:sz w:val="24"/>
                <w:szCs w:val="24"/>
              </w:rPr>
            </w:pPr>
          </w:p>
        </w:tc>
        <w:tc>
          <w:tcPr>
            <w:tcW w:w="1134"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95" w:type="dxa"/>
          </w:tcPr>
          <w:p>
            <w:pPr>
              <w:pStyle w:val="24"/>
              <w:rPr>
                <w:rFonts w:ascii="Times New Roman"/>
                <w:sz w:val="24"/>
                <w:szCs w:val="24"/>
              </w:rPr>
            </w:pPr>
          </w:p>
        </w:tc>
        <w:tc>
          <w:tcPr>
            <w:tcW w:w="1496" w:type="dxa"/>
          </w:tcPr>
          <w:p>
            <w:pPr>
              <w:pStyle w:val="24"/>
              <w:rPr>
                <w:rFonts w:ascii="Times New Roman"/>
                <w:sz w:val="24"/>
                <w:szCs w:val="24"/>
              </w:rPr>
            </w:pPr>
          </w:p>
        </w:tc>
        <w:tc>
          <w:tcPr>
            <w:tcW w:w="2453" w:type="dxa"/>
          </w:tcPr>
          <w:p>
            <w:pPr>
              <w:pStyle w:val="24"/>
              <w:rPr>
                <w:rFonts w:ascii="Times New Roman"/>
                <w:sz w:val="24"/>
                <w:szCs w:val="24"/>
              </w:rPr>
            </w:pPr>
          </w:p>
        </w:tc>
        <w:tc>
          <w:tcPr>
            <w:tcW w:w="2227" w:type="dxa"/>
          </w:tcPr>
          <w:p>
            <w:pPr>
              <w:pStyle w:val="24"/>
              <w:rPr>
                <w:rFonts w:ascii="Times New Roman"/>
                <w:sz w:val="24"/>
                <w:szCs w:val="24"/>
              </w:rPr>
            </w:pPr>
          </w:p>
        </w:tc>
        <w:tc>
          <w:tcPr>
            <w:tcW w:w="1600" w:type="dxa"/>
          </w:tcPr>
          <w:p>
            <w:pPr>
              <w:pStyle w:val="24"/>
              <w:rPr>
                <w:rFonts w:ascii="Times New Roman"/>
                <w:sz w:val="24"/>
                <w:szCs w:val="24"/>
              </w:rPr>
            </w:pPr>
          </w:p>
        </w:tc>
        <w:tc>
          <w:tcPr>
            <w:tcW w:w="1134"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95" w:type="dxa"/>
          </w:tcPr>
          <w:p>
            <w:pPr>
              <w:pStyle w:val="24"/>
              <w:rPr>
                <w:rFonts w:ascii="Times New Roman"/>
                <w:sz w:val="24"/>
                <w:szCs w:val="24"/>
              </w:rPr>
            </w:pPr>
          </w:p>
        </w:tc>
        <w:tc>
          <w:tcPr>
            <w:tcW w:w="1496" w:type="dxa"/>
          </w:tcPr>
          <w:p>
            <w:pPr>
              <w:pStyle w:val="24"/>
              <w:rPr>
                <w:rFonts w:ascii="Times New Roman"/>
                <w:sz w:val="24"/>
                <w:szCs w:val="24"/>
              </w:rPr>
            </w:pPr>
          </w:p>
        </w:tc>
        <w:tc>
          <w:tcPr>
            <w:tcW w:w="2453" w:type="dxa"/>
          </w:tcPr>
          <w:p>
            <w:pPr>
              <w:pStyle w:val="24"/>
              <w:rPr>
                <w:rFonts w:ascii="Times New Roman"/>
                <w:sz w:val="24"/>
                <w:szCs w:val="24"/>
              </w:rPr>
            </w:pPr>
          </w:p>
        </w:tc>
        <w:tc>
          <w:tcPr>
            <w:tcW w:w="2227" w:type="dxa"/>
          </w:tcPr>
          <w:p>
            <w:pPr>
              <w:pStyle w:val="24"/>
              <w:rPr>
                <w:rFonts w:ascii="Times New Roman"/>
                <w:sz w:val="24"/>
                <w:szCs w:val="24"/>
              </w:rPr>
            </w:pPr>
          </w:p>
        </w:tc>
        <w:tc>
          <w:tcPr>
            <w:tcW w:w="1600" w:type="dxa"/>
          </w:tcPr>
          <w:p>
            <w:pPr>
              <w:pStyle w:val="24"/>
              <w:rPr>
                <w:rFonts w:ascii="Times New Roman"/>
                <w:sz w:val="24"/>
                <w:szCs w:val="24"/>
              </w:rPr>
            </w:pPr>
          </w:p>
        </w:tc>
        <w:tc>
          <w:tcPr>
            <w:tcW w:w="1134" w:type="dxa"/>
          </w:tcPr>
          <w:p>
            <w:pPr>
              <w:pStyle w:val="24"/>
              <w:rPr>
                <w:rFonts w:ascii="Times New Roman"/>
                <w:sz w:val="24"/>
                <w:szCs w:val="24"/>
              </w:rPr>
            </w:pPr>
          </w:p>
        </w:tc>
      </w:tr>
    </w:tbl>
    <w:p>
      <w:pPr>
        <w:spacing w:before="81"/>
        <w:ind w:left="637" w:right="0" w:firstLine="0"/>
        <w:jc w:val="left"/>
        <w:rPr>
          <w:b/>
          <w:sz w:val="24"/>
        </w:rPr>
      </w:pPr>
      <w:r>
        <w:rPr>
          <w:b/>
          <w:sz w:val="24"/>
        </w:rPr>
        <w:t>注：与招标文件要求逐条对应填写。</w:t>
      </w:r>
    </w:p>
    <w:p>
      <w:pPr>
        <w:tabs>
          <w:tab w:val="left" w:pos="5273"/>
        </w:tabs>
        <w:spacing w:before="161"/>
        <w:ind w:left="637" w:right="0" w:firstLine="0"/>
        <w:jc w:val="left"/>
        <w:rPr>
          <w:rFonts w:ascii="Times New Roman" w:eastAsia="Times New Roman"/>
          <w:b/>
          <w:color w:val="auto"/>
          <w:sz w:val="24"/>
          <w:u w:val="single"/>
        </w:rPr>
      </w:pPr>
      <w:r>
        <w:rPr>
          <w:rFonts w:hint="eastAsia"/>
          <w:b/>
          <w:color w:val="auto"/>
          <w:w w:val="95"/>
          <w:sz w:val="24"/>
          <w:lang w:val="en-US" w:eastAsia="zh-CN"/>
        </w:rPr>
        <w:t>法定代表人或</w:t>
      </w:r>
      <w:r>
        <w:rPr>
          <w:b/>
          <w:color w:val="auto"/>
          <w:w w:val="95"/>
          <w:sz w:val="24"/>
        </w:rPr>
        <w:t>投标人代表签字</w:t>
      </w:r>
      <w:r>
        <w:rPr>
          <w:rFonts w:hint="eastAsia"/>
          <w:b/>
          <w:color w:val="auto"/>
          <w:w w:val="95"/>
          <w:sz w:val="24"/>
          <w:lang w:val="en-US" w:eastAsia="zh-CN"/>
        </w:rPr>
        <w:t>或盖章</w:t>
      </w:r>
      <w:r>
        <w:rPr>
          <w:b/>
          <w:color w:val="auto"/>
          <w:w w:val="95"/>
          <w:sz w:val="24"/>
        </w:rPr>
        <w:t>：</w:t>
      </w:r>
      <w:r>
        <w:rPr>
          <w:rFonts w:ascii="Times New Roman" w:eastAsia="Times New Roman"/>
          <w:b/>
          <w:color w:val="auto"/>
          <w:sz w:val="24"/>
          <w:u w:val="single"/>
        </w:rPr>
        <w:t xml:space="preserve"> </w:t>
      </w:r>
      <w:r>
        <w:rPr>
          <w:rFonts w:ascii="Times New Roman" w:eastAsia="Times New Roman"/>
          <w:b/>
          <w:color w:val="auto"/>
          <w:sz w:val="24"/>
          <w:u w:val="single"/>
        </w:rPr>
        <w:tab/>
      </w:r>
    </w:p>
    <w:p>
      <w:pPr>
        <w:pStyle w:val="2"/>
        <w:rPr>
          <w:rFonts w:ascii="Times New Roman" w:eastAsia="Times New Roman"/>
          <w:b/>
          <w:color w:val="auto"/>
          <w:sz w:val="24"/>
          <w:u w:val="single"/>
        </w:rPr>
      </w:pPr>
    </w:p>
    <w:p>
      <w:pPr>
        <w:pStyle w:val="2"/>
        <w:rPr>
          <w:rFonts w:ascii="Times New Roman" w:eastAsia="Times New Roman"/>
          <w:b/>
          <w:color w:val="auto"/>
          <w:sz w:val="24"/>
          <w:u w:val="single"/>
        </w:rPr>
      </w:pPr>
    </w:p>
    <w:p>
      <w:pPr>
        <w:spacing w:before="67"/>
        <w:ind w:right="0" w:firstLine="3373" w:firstLineChars="1200"/>
        <w:jc w:val="left"/>
        <w:rPr>
          <w:b/>
          <w:sz w:val="28"/>
          <w:szCs w:val="28"/>
        </w:rPr>
      </w:pPr>
      <w:r>
        <w:rPr>
          <w:b/>
          <w:sz w:val="28"/>
          <w:szCs w:val="28"/>
        </w:rPr>
        <w:t>（十二）商务条款偏离表</w:t>
      </w:r>
    </w:p>
    <w:p>
      <w:pPr>
        <w:pStyle w:val="10"/>
        <w:spacing w:before="0"/>
        <w:ind w:left="0"/>
        <w:rPr>
          <w:b/>
          <w:sz w:val="11"/>
        </w:rPr>
      </w:pPr>
    </w:p>
    <w:p>
      <w:pPr>
        <w:spacing w:before="67"/>
        <w:ind w:left="1117" w:right="0" w:firstLine="3092" w:firstLineChars="1100"/>
        <w:jc w:val="left"/>
        <w:rPr>
          <w:b/>
          <w:sz w:val="28"/>
          <w:szCs w:val="28"/>
        </w:rPr>
      </w:pPr>
      <w:r>
        <w:rPr>
          <w:b/>
          <w:sz w:val="28"/>
          <w:szCs w:val="28"/>
        </w:rPr>
        <w:t>商务条款偏离表</w:t>
      </w:r>
    </w:p>
    <w:p>
      <w:pPr>
        <w:tabs>
          <w:tab w:val="left" w:pos="6378"/>
          <w:tab w:val="left" w:pos="9015"/>
        </w:tabs>
        <w:spacing w:before="202"/>
        <w:ind w:left="637" w:right="0" w:firstLine="0"/>
        <w:jc w:val="left"/>
        <w:rPr>
          <w:b/>
          <w:sz w:val="24"/>
        </w:rPr>
      </w:pPr>
      <w:r>
        <w:rPr>
          <w:b/>
          <w:sz w:val="24"/>
        </w:rPr>
        <w:t>投标人名</w:t>
      </w:r>
      <w:r>
        <w:rPr>
          <w:b/>
          <w:spacing w:val="-15"/>
          <w:sz w:val="24"/>
        </w:rPr>
        <w:t>称</w:t>
      </w:r>
      <w:r>
        <w:rPr>
          <w:b/>
          <w:sz w:val="24"/>
        </w:rPr>
        <w:t>（公章</w:t>
      </w:r>
      <w:r>
        <w:rPr>
          <w:b/>
          <w:spacing w:val="-6"/>
          <w:sz w:val="24"/>
        </w:rPr>
        <w:t>）：</w:t>
      </w:r>
      <w:r>
        <w:rPr>
          <w:rFonts w:hint="eastAsia"/>
          <w:b/>
          <w:spacing w:val="-6"/>
          <w:sz w:val="24"/>
          <w:lang w:val="en-US" w:eastAsia="zh-CN"/>
        </w:rPr>
        <w:t xml:space="preserve">                     </w:t>
      </w:r>
      <w:r>
        <w:rPr>
          <w:b/>
          <w:sz w:val="24"/>
        </w:rPr>
        <w:t>招标编号/标段</w:t>
      </w:r>
      <w:r>
        <w:rPr>
          <w:rFonts w:hint="eastAsia"/>
          <w:b/>
          <w:sz w:val="24"/>
          <w:lang w:val="en-US" w:eastAsia="zh-CN"/>
        </w:rPr>
        <w:t xml:space="preserve">     </w:t>
      </w:r>
      <w:r>
        <w:rPr>
          <w:b/>
          <w:sz w:val="24"/>
        </w:rPr>
        <w:t>号：</w:t>
      </w:r>
      <w:r>
        <w:rPr>
          <w:rFonts w:hint="eastAsia"/>
          <w:b/>
          <w:sz w:val="24"/>
          <w:lang w:val="en-US" w:eastAsia="zh-CN"/>
        </w:rPr>
        <w:t xml:space="preserve">  </w:t>
      </w:r>
      <w:r>
        <w:rPr>
          <w:b/>
          <w:sz w:val="24"/>
        </w:rPr>
        <w:t>包</w:t>
      </w:r>
    </w:p>
    <w:p>
      <w:pPr>
        <w:pStyle w:val="10"/>
        <w:spacing w:before="3"/>
        <w:ind w:left="0"/>
        <w:rPr>
          <w:b/>
          <w:sz w:val="6"/>
        </w:rPr>
      </w:pPr>
    </w:p>
    <w:tbl>
      <w:tblPr>
        <w:tblStyle w:val="18"/>
        <w:tblW w:w="0" w:type="auto"/>
        <w:tblInd w:w="6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260"/>
        <w:gridCol w:w="2520"/>
        <w:gridCol w:w="2556"/>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675" w:type="dxa"/>
          </w:tcPr>
          <w:p>
            <w:pPr>
              <w:pStyle w:val="24"/>
              <w:rPr>
                <w:b/>
                <w:sz w:val="28"/>
                <w:szCs w:val="24"/>
              </w:rPr>
            </w:pPr>
          </w:p>
          <w:p>
            <w:pPr>
              <w:pStyle w:val="24"/>
              <w:ind w:left="125"/>
              <w:rPr>
                <w:b/>
                <w:sz w:val="22"/>
                <w:szCs w:val="24"/>
              </w:rPr>
            </w:pPr>
            <w:r>
              <w:rPr>
                <w:b/>
                <w:sz w:val="22"/>
                <w:szCs w:val="24"/>
              </w:rPr>
              <w:t>序号</w:t>
            </w:r>
          </w:p>
        </w:tc>
        <w:tc>
          <w:tcPr>
            <w:tcW w:w="1260" w:type="dxa"/>
          </w:tcPr>
          <w:p>
            <w:pPr>
              <w:pStyle w:val="24"/>
              <w:spacing w:before="98"/>
              <w:ind w:left="188" w:right="178"/>
              <w:jc w:val="center"/>
              <w:rPr>
                <w:b/>
                <w:sz w:val="22"/>
                <w:szCs w:val="24"/>
              </w:rPr>
            </w:pPr>
            <w:r>
              <w:rPr>
                <w:b/>
                <w:sz w:val="22"/>
                <w:szCs w:val="24"/>
              </w:rPr>
              <w:t>招标文件</w:t>
            </w:r>
          </w:p>
          <w:p>
            <w:pPr>
              <w:pStyle w:val="24"/>
              <w:spacing w:before="7"/>
              <w:rPr>
                <w:b/>
                <w:sz w:val="16"/>
                <w:szCs w:val="24"/>
              </w:rPr>
            </w:pPr>
          </w:p>
          <w:p>
            <w:pPr>
              <w:pStyle w:val="24"/>
              <w:ind w:left="188" w:right="178"/>
              <w:jc w:val="center"/>
              <w:rPr>
                <w:b/>
                <w:sz w:val="22"/>
                <w:szCs w:val="24"/>
              </w:rPr>
            </w:pPr>
            <w:r>
              <w:rPr>
                <w:b/>
                <w:sz w:val="22"/>
                <w:szCs w:val="24"/>
              </w:rPr>
              <w:t>条目号</w:t>
            </w:r>
          </w:p>
        </w:tc>
        <w:tc>
          <w:tcPr>
            <w:tcW w:w="2520" w:type="dxa"/>
          </w:tcPr>
          <w:p>
            <w:pPr>
              <w:pStyle w:val="24"/>
              <w:rPr>
                <w:b/>
                <w:sz w:val="28"/>
                <w:szCs w:val="24"/>
              </w:rPr>
            </w:pPr>
          </w:p>
          <w:p>
            <w:pPr>
              <w:pStyle w:val="24"/>
              <w:ind w:left="211"/>
              <w:rPr>
                <w:b/>
                <w:sz w:val="22"/>
                <w:szCs w:val="24"/>
              </w:rPr>
            </w:pPr>
            <w:r>
              <w:rPr>
                <w:b/>
                <w:sz w:val="22"/>
                <w:szCs w:val="24"/>
              </w:rPr>
              <w:t>招标文件的商务条款</w:t>
            </w:r>
          </w:p>
        </w:tc>
        <w:tc>
          <w:tcPr>
            <w:tcW w:w="2556" w:type="dxa"/>
          </w:tcPr>
          <w:p>
            <w:pPr>
              <w:pStyle w:val="24"/>
              <w:rPr>
                <w:b/>
                <w:sz w:val="28"/>
                <w:szCs w:val="24"/>
              </w:rPr>
            </w:pPr>
          </w:p>
          <w:p>
            <w:pPr>
              <w:pStyle w:val="24"/>
              <w:ind w:left="331"/>
              <w:rPr>
                <w:b/>
                <w:sz w:val="22"/>
                <w:szCs w:val="24"/>
              </w:rPr>
            </w:pPr>
            <w:r>
              <w:rPr>
                <w:b/>
                <w:sz w:val="22"/>
                <w:szCs w:val="24"/>
              </w:rPr>
              <w:t>投标文件的商务条款</w:t>
            </w:r>
          </w:p>
        </w:tc>
        <w:tc>
          <w:tcPr>
            <w:tcW w:w="2059" w:type="dxa"/>
          </w:tcPr>
          <w:p>
            <w:pPr>
              <w:pStyle w:val="24"/>
              <w:rPr>
                <w:b/>
                <w:sz w:val="28"/>
                <w:szCs w:val="24"/>
              </w:rPr>
            </w:pPr>
          </w:p>
          <w:p>
            <w:pPr>
              <w:pStyle w:val="24"/>
              <w:ind w:left="668" w:right="660"/>
              <w:jc w:val="center"/>
              <w:rPr>
                <w:b/>
                <w:sz w:val="22"/>
                <w:szCs w:val="24"/>
              </w:rPr>
            </w:pPr>
            <w:r>
              <w:rPr>
                <w:b/>
                <w:sz w:val="22"/>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5" w:type="dxa"/>
          </w:tcPr>
          <w:p>
            <w:pPr>
              <w:pStyle w:val="24"/>
              <w:rPr>
                <w:rFonts w:ascii="Times New Roman"/>
                <w:sz w:val="24"/>
                <w:szCs w:val="24"/>
              </w:rPr>
            </w:pPr>
          </w:p>
        </w:tc>
        <w:tc>
          <w:tcPr>
            <w:tcW w:w="1260" w:type="dxa"/>
          </w:tcPr>
          <w:p>
            <w:pPr>
              <w:pStyle w:val="24"/>
              <w:rPr>
                <w:rFonts w:ascii="Times New Roman"/>
                <w:sz w:val="24"/>
                <w:szCs w:val="24"/>
              </w:rPr>
            </w:pPr>
          </w:p>
        </w:tc>
        <w:tc>
          <w:tcPr>
            <w:tcW w:w="2520" w:type="dxa"/>
          </w:tcPr>
          <w:p>
            <w:pPr>
              <w:pStyle w:val="24"/>
              <w:rPr>
                <w:rFonts w:ascii="Times New Roman"/>
                <w:sz w:val="24"/>
                <w:szCs w:val="24"/>
              </w:rPr>
            </w:pPr>
          </w:p>
        </w:tc>
        <w:tc>
          <w:tcPr>
            <w:tcW w:w="2556" w:type="dxa"/>
          </w:tcPr>
          <w:p>
            <w:pPr>
              <w:pStyle w:val="24"/>
              <w:rPr>
                <w:rFonts w:ascii="Times New Roman"/>
                <w:sz w:val="24"/>
                <w:szCs w:val="24"/>
              </w:rPr>
            </w:pPr>
          </w:p>
        </w:tc>
        <w:tc>
          <w:tcPr>
            <w:tcW w:w="2059"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5" w:type="dxa"/>
          </w:tcPr>
          <w:p>
            <w:pPr>
              <w:pStyle w:val="24"/>
              <w:rPr>
                <w:rFonts w:ascii="Times New Roman"/>
                <w:sz w:val="24"/>
                <w:szCs w:val="24"/>
              </w:rPr>
            </w:pPr>
          </w:p>
        </w:tc>
        <w:tc>
          <w:tcPr>
            <w:tcW w:w="1260" w:type="dxa"/>
          </w:tcPr>
          <w:p>
            <w:pPr>
              <w:pStyle w:val="24"/>
              <w:rPr>
                <w:rFonts w:ascii="Times New Roman"/>
                <w:sz w:val="24"/>
                <w:szCs w:val="24"/>
              </w:rPr>
            </w:pPr>
          </w:p>
        </w:tc>
        <w:tc>
          <w:tcPr>
            <w:tcW w:w="2520" w:type="dxa"/>
          </w:tcPr>
          <w:p>
            <w:pPr>
              <w:pStyle w:val="24"/>
              <w:rPr>
                <w:rFonts w:ascii="Times New Roman"/>
                <w:sz w:val="24"/>
                <w:szCs w:val="24"/>
              </w:rPr>
            </w:pPr>
          </w:p>
        </w:tc>
        <w:tc>
          <w:tcPr>
            <w:tcW w:w="2556" w:type="dxa"/>
          </w:tcPr>
          <w:p>
            <w:pPr>
              <w:pStyle w:val="24"/>
              <w:rPr>
                <w:rFonts w:ascii="Times New Roman"/>
                <w:sz w:val="24"/>
                <w:szCs w:val="24"/>
              </w:rPr>
            </w:pPr>
          </w:p>
        </w:tc>
        <w:tc>
          <w:tcPr>
            <w:tcW w:w="2059"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5" w:type="dxa"/>
          </w:tcPr>
          <w:p>
            <w:pPr>
              <w:pStyle w:val="24"/>
              <w:rPr>
                <w:rFonts w:ascii="Times New Roman"/>
                <w:sz w:val="24"/>
                <w:szCs w:val="24"/>
              </w:rPr>
            </w:pPr>
          </w:p>
        </w:tc>
        <w:tc>
          <w:tcPr>
            <w:tcW w:w="1260" w:type="dxa"/>
          </w:tcPr>
          <w:p>
            <w:pPr>
              <w:pStyle w:val="24"/>
              <w:rPr>
                <w:rFonts w:ascii="Times New Roman"/>
                <w:sz w:val="24"/>
                <w:szCs w:val="24"/>
              </w:rPr>
            </w:pPr>
          </w:p>
        </w:tc>
        <w:tc>
          <w:tcPr>
            <w:tcW w:w="2520" w:type="dxa"/>
          </w:tcPr>
          <w:p>
            <w:pPr>
              <w:pStyle w:val="24"/>
              <w:rPr>
                <w:rFonts w:ascii="Times New Roman"/>
                <w:sz w:val="24"/>
                <w:szCs w:val="24"/>
              </w:rPr>
            </w:pPr>
          </w:p>
        </w:tc>
        <w:tc>
          <w:tcPr>
            <w:tcW w:w="2556" w:type="dxa"/>
          </w:tcPr>
          <w:p>
            <w:pPr>
              <w:pStyle w:val="24"/>
              <w:rPr>
                <w:rFonts w:ascii="Times New Roman"/>
                <w:sz w:val="24"/>
                <w:szCs w:val="24"/>
              </w:rPr>
            </w:pPr>
          </w:p>
        </w:tc>
        <w:tc>
          <w:tcPr>
            <w:tcW w:w="2059" w:type="dxa"/>
          </w:tcPr>
          <w:p>
            <w:pPr>
              <w:pStyle w:val="24"/>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675" w:type="dxa"/>
          </w:tcPr>
          <w:p>
            <w:pPr>
              <w:pStyle w:val="24"/>
              <w:rPr>
                <w:rFonts w:ascii="Times New Roman"/>
                <w:sz w:val="24"/>
                <w:szCs w:val="24"/>
              </w:rPr>
            </w:pPr>
          </w:p>
        </w:tc>
        <w:tc>
          <w:tcPr>
            <w:tcW w:w="1260" w:type="dxa"/>
          </w:tcPr>
          <w:p>
            <w:pPr>
              <w:pStyle w:val="24"/>
              <w:rPr>
                <w:rFonts w:ascii="Times New Roman"/>
                <w:sz w:val="24"/>
                <w:szCs w:val="24"/>
              </w:rPr>
            </w:pPr>
          </w:p>
        </w:tc>
        <w:tc>
          <w:tcPr>
            <w:tcW w:w="2520" w:type="dxa"/>
          </w:tcPr>
          <w:p>
            <w:pPr>
              <w:pStyle w:val="24"/>
              <w:rPr>
                <w:rFonts w:ascii="Times New Roman"/>
                <w:sz w:val="24"/>
                <w:szCs w:val="24"/>
              </w:rPr>
            </w:pPr>
          </w:p>
        </w:tc>
        <w:tc>
          <w:tcPr>
            <w:tcW w:w="2556" w:type="dxa"/>
          </w:tcPr>
          <w:p>
            <w:pPr>
              <w:pStyle w:val="24"/>
              <w:rPr>
                <w:rFonts w:ascii="Times New Roman"/>
                <w:sz w:val="24"/>
                <w:szCs w:val="24"/>
              </w:rPr>
            </w:pPr>
          </w:p>
        </w:tc>
        <w:tc>
          <w:tcPr>
            <w:tcW w:w="2059" w:type="dxa"/>
          </w:tcPr>
          <w:p>
            <w:pPr>
              <w:pStyle w:val="24"/>
              <w:rPr>
                <w:rFonts w:ascii="Times New Roman"/>
                <w:sz w:val="24"/>
                <w:szCs w:val="24"/>
              </w:rPr>
            </w:pPr>
          </w:p>
        </w:tc>
      </w:tr>
    </w:tbl>
    <w:p>
      <w:pPr>
        <w:pStyle w:val="10"/>
        <w:spacing w:before="0"/>
        <w:ind w:left="0"/>
        <w:rPr>
          <w:b/>
        </w:rPr>
      </w:pPr>
    </w:p>
    <w:p>
      <w:pPr>
        <w:pStyle w:val="10"/>
        <w:spacing w:before="10"/>
        <w:ind w:left="0"/>
        <w:rPr>
          <w:b/>
          <w:sz w:val="18"/>
        </w:rPr>
      </w:pPr>
    </w:p>
    <w:p>
      <w:pPr>
        <w:tabs>
          <w:tab w:val="left" w:pos="6235"/>
        </w:tabs>
        <w:spacing w:before="1"/>
        <w:ind w:left="637" w:right="0" w:firstLine="0"/>
        <w:jc w:val="left"/>
        <w:rPr>
          <w:rFonts w:ascii="Times New Roman" w:eastAsia="Times New Roman"/>
          <w:b/>
          <w:color w:val="auto"/>
          <w:sz w:val="24"/>
        </w:rPr>
      </w:pPr>
      <w:r>
        <w:rPr>
          <w:rFonts w:hint="eastAsia"/>
          <w:b/>
          <w:color w:val="auto"/>
          <w:w w:val="95"/>
          <w:sz w:val="24"/>
          <w:lang w:val="en-US" w:eastAsia="zh-CN"/>
        </w:rPr>
        <w:t>法定代表人或</w:t>
      </w:r>
      <w:r>
        <w:rPr>
          <w:b/>
          <w:color w:val="auto"/>
          <w:w w:val="95"/>
          <w:sz w:val="24"/>
        </w:rPr>
        <w:t>投标人代表签字</w:t>
      </w:r>
      <w:r>
        <w:rPr>
          <w:rFonts w:hint="eastAsia"/>
          <w:b/>
          <w:color w:val="auto"/>
          <w:w w:val="95"/>
          <w:sz w:val="24"/>
          <w:lang w:val="en-US" w:eastAsia="zh-CN"/>
        </w:rPr>
        <w:t>或盖章</w:t>
      </w:r>
      <w:r>
        <w:rPr>
          <w:b/>
          <w:color w:val="auto"/>
          <w:w w:val="95"/>
          <w:sz w:val="24"/>
        </w:rPr>
        <w:t>：</w:t>
      </w:r>
      <w:r>
        <w:rPr>
          <w:rFonts w:ascii="Times New Roman" w:eastAsia="Times New Roman"/>
          <w:b/>
          <w:color w:val="auto"/>
          <w:sz w:val="24"/>
          <w:u w:val="single"/>
        </w:rPr>
        <w:t xml:space="preserve"> </w:t>
      </w:r>
      <w:r>
        <w:rPr>
          <w:rFonts w:ascii="Times New Roman" w:eastAsia="Times New Roman"/>
          <w:b/>
          <w:color w:val="auto"/>
          <w:sz w:val="24"/>
          <w:u w:val="single"/>
        </w:rPr>
        <w:tab/>
      </w:r>
    </w:p>
    <w:p>
      <w:pPr>
        <w:spacing w:before="160"/>
        <w:ind w:left="0" w:right="111" w:firstLine="0"/>
        <w:jc w:val="center"/>
        <w:rPr>
          <w:b/>
          <w:color w:val="auto"/>
          <w:sz w:val="24"/>
        </w:rPr>
      </w:pPr>
    </w:p>
    <w:p>
      <w:pPr>
        <w:spacing w:before="160"/>
        <w:ind w:left="0" w:right="111" w:firstLine="0"/>
        <w:jc w:val="center"/>
        <w:rPr>
          <w:b/>
          <w:sz w:val="24"/>
        </w:rPr>
      </w:pPr>
    </w:p>
    <w:p>
      <w:pPr>
        <w:spacing w:before="160"/>
        <w:ind w:left="0" w:right="111" w:firstLine="0"/>
        <w:jc w:val="center"/>
        <w:rPr>
          <w:b/>
          <w:sz w:val="24"/>
        </w:rPr>
      </w:pPr>
    </w:p>
    <w:p>
      <w:pPr>
        <w:spacing w:before="160"/>
        <w:ind w:left="0" w:right="111" w:firstLine="0"/>
        <w:jc w:val="center"/>
        <w:rPr>
          <w:b/>
          <w:sz w:val="24"/>
        </w:rPr>
      </w:pPr>
    </w:p>
    <w:p>
      <w:pPr>
        <w:spacing w:before="160"/>
        <w:ind w:left="0" w:right="111" w:firstLine="0"/>
        <w:jc w:val="center"/>
        <w:rPr>
          <w:b/>
          <w:sz w:val="24"/>
        </w:rPr>
      </w:pPr>
    </w:p>
    <w:p>
      <w:pPr>
        <w:spacing w:before="160"/>
        <w:ind w:left="0" w:right="111" w:firstLine="0"/>
        <w:jc w:val="both"/>
        <w:rPr>
          <w:b/>
          <w:sz w:val="24"/>
        </w:rPr>
      </w:pPr>
    </w:p>
    <w:p>
      <w:pPr>
        <w:spacing w:before="199"/>
        <w:ind w:left="0" w:right="10" w:firstLine="0"/>
        <w:jc w:val="center"/>
        <w:rPr>
          <w:b/>
          <w:sz w:val="30"/>
        </w:rPr>
      </w:pPr>
      <w:r>
        <w:rPr>
          <w:b/>
          <w:sz w:val="30"/>
        </w:rPr>
        <w:t>（十三）近三年</w:t>
      </w:r>
      <w:r>
        <w:rPr>
          <w:rFonts w:hint="eastAsia"/>
          <w:b/>
          <w:sz w:val="30"/>
          <w:lang w:eastAsia="zh-CN"/>
        </w:rPr>
        <w:t>（</w:t>
      </w:r>
      <w:r>
        <w:rPr>
          <w:rFonts w:hint="eastAsia"/>
          <w:b/>
          <w:sz w:val="30"/>
          <w:lang w:val="en-US" w:eastAsia="zh-CN"/>
        </w:rPr>
        <w:t>2019至2021</w:t>
      </w:r>
      <w:r>
        <w:rPr>
          <w:rFonts w:hint="eastAsia"/>
          <w:b/>
          <w:sz w:val="30"/>
          <w:lang w:eastAsia="zh-CN"/>
        </w:rPr>
        <w:t>）类似项目</w:t>
      </w:r>
      <w:r>
        <w:rPr>
          <w:b/>
          <w:sz w:val="30"/>
        </w:rPr>
        <w:t>的业绩表</w:t>
      </w:r>
    </w:p>
    <w:p>
      <w:pPr>
        <w:tabs>
          <w:tab w:val="left" w:pos="6529"/>
          <w:tab w:val="left" w:pos="9015"/>
        </w:tabs>
        <w:spacing w:before="201"/>
        <w:ind w:left="637" w:right="0" w:firstLine="0"/>
        <w:jc w:val="left"/>
        <w:rPr>
          <w:b/>
          <w:sz w:val="24"/>
        </w:rPr>
      </w:pPr>
      <w:r>
        <w:rPr>
          <w:b/>
          <w:sz w:val="24"/>
        </w:rPr>
        <w:t>投标人名</w:t>
      </w:r>
      <w:r>
        <w:rPr>
          <w:b/>
          <w:spacing w:val="-46"/>
          <w:sz w:val="24"/>
        </w:rPr>
        <w:t>称</w:t>
      </w:r>
      <w:r>
        <w:rPr>
          <w:b/>
          <w:sz w:val="24"/>
        </w:rPr>
        <w:t>（公章</w:t>
      </w:r>
      <w:r>
        <w:rPr>
          <w:b/>
          <w:spacing w:val="-21"/>
          <w:sz w:val="24"/>
        </w:rPr>
        <w:t>）：</w:t>
      </w:r>
      <w:r>
        <w:rPr>
          <w:b/>
          <w:spacing w:val="-21"/>
          <w:sz w:val="24"/>
        </w:rPr>
        <w:tab/>
      </w:r>
      <w:r>
        <w:rPr>
          <w:b/>
          <w:sz w:val="24"/>
        </w:rPr>
        <w:t>招标编号/标段号：</w:t>
      </w:r>
      <w:r>
        <w:rPr>
          <w:b/>
          <w:sz w:val="24"/>
        </w:rPr>
        <w:tab/>
      </w:r>
      <w:r>
        <w:rPr>
          <w:b/>
          <w:sz w:val="24"/>
        </w:rPr>
        <w:t>包</w:t>
      </w:r>
    </w:p>
    <w:p>
      <w:pPr>
        <w:pStyle w:val="10"/>
        <w:spacing w:before="3"/>
        <w:ind w:left="0"/>
        <w:rPr>
          <w:b/>
          <w:sz w:val="6"/>
        </w:rPr>
      </w:pPr>
    </w:p>
    <w:tbl>
      <w:tblPr>
        <w:tblStyle w:val="18"/>
        <w:tblW w:w="0" w:type="auto"/>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620"/>
        <w:gridCol w:w="3060"/>
        <w:gridCol w:w="90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620" w:type="dxa"/>
          </w:tcPr>
          <w:p>
            <w:pPr>
              <w:pStyle w:val="24"/>
              <w:tabs>
                <w:tab w:val="left" w:pos="1022"/>
              </w:tabs>
              <w:spacing w:before="98"/>
              <w:ind w:left="389"/>
              <w:rPr>
                <w:b/>
                <w:sz w:val="21"/>
              </w:rPr>
            </w:pPr>
            <w:r>
              <w:rPr>
                <w:b/>
                <w:sz w:val="21"/>
              </w:rPr>
              <w:t>地</w:t>
            </w:r>
            <w:r>
              <w:rPr>
                <w:b/>
                <w:sz w:val="21"/>
              </w:rPr>
              <w:tab/>
            </w:r>
            <w:r>
              <w:rPr>
                <w:b/>
                <w:sz w:val="21"/>
              </w:rPr>
              <w:t>区</w:t>
            </w:r>
          </w:p>
        </w:tc>
        <w:tc>
          <w:tcPr>
            <w:tcW w:w="1620" w:type="dxa"/>
          </w:tcPr>
          <w:p>
            <w:pPr>
              <w:pStyle w:val="24"/>
              <w:spacing w:before="98"/>
              <w:ind w:left="441"/>
              <w:rPr>
                <w:b/>
                <w:sz w:val="21"/>
              </w:rPr>
            </w:pPr>
            <w:r>
              <w:rPr>
                <w:b/>
                <w:sz w:val="21"/>
              </w:rPr>
              <w:t>货物名称</w:t>
            </w:r>
          </w:p>
        </w:tc>
        <w:tc>
          <w:tcPr>
            <w:tcW w:w="3060" w:type="dxa"/>
          </w:tcPr>
          <w:p>
            <w:pPr>
              <w:pStyle w:val="24"/>
              <w:spacing w:before="98"/>
              <w:ind w:left="528"/>
              <w:rPr>
                <w:b/>
                <w:sz w:val="21"/>
              </w:rPr>
            </w:pPr>
            <w:r>
              <w:rPr>
                <w:b/>
                <w:sz w:val="21"/>
              </w:rPr>
              <w:t>规格及型号</w:t>
            </w:r>
          </w:p>
        </w:tc>
        <w:tc>
          <w:tcPr>
            <w:tcW w:w="900" w:type="dxa"/>
          </w:tcPr>
          <w:p>
            <w:pPr>
              <w:pStyle w:val="24"/>
              <w:spacing w:before="98"/>
              <w:ind w:left="240"/>
              <w:rPr>
                <w:b/>
                <w:sz w:val="21"/>
              </w:rPr>
            </w:pPr>
            <w:r>
              <w:rPr>
                <w:b/>
                <w:sz w:val="21"/>
              </w:rPr>
              <w:t>数量</w:t>
            </w:r>
          </w:p>
        </w:tc>
        <w:tc>
          <w:tcPr>
            <w:tcW w:w="1800" w:type="dxa"/>
          </w:tcPr>
          <w:p>
            <w:pPr>
              <w:pStyle w:val="24"/>
              <w:spacing w:before="98"/>
              <w:ind w:left="521"/>
              <w:rPr>
                <w:b/>
                <w:sz w:val="21"/>
              </w:rPr>
            </w:pPr>
            <w:r>
              <w:rPr>
                <w:b/>
                <w:sz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620" w:type="dxa"/>
          </w:tcPr>
          <w:p>
            <w:pPr>
              <w:pStyle w:val="24"/>
              <w:rPr>
                <w:rFonts w:ascii="Times New Roman"/>
                <w:sz w:val="22"/>
              </w:rPr>
            </w:pPr>
          </w:p>
        </w:tc>
        <w:tc>
          <w:tcPr>
            <w:tcW w:w="1620" w:type="dxa"/>
          </w:tcPr>
          <w:p>
            <w:pPr>
              <w:pStyle w:val="24"/>
              <w:rPr>
                <w:rFonts w:ascii="Times New Roman"/>
                <w:sz w:val="22"/>
              </w:rPr>
            </w:pPr>
          </w:p>
        </w:tc>
        <w:tc>
          <w:tcPr>
            <w:tcW w:w="3060" w:type="dxa"/>
          </w:tcPr>
          <w:p>
            <w:pPr>
              <w:pStyle w:val="24"/>
              <w:rPr>
                <w:rFonts w:ascii="Times New Roman"/>
                <w:sz w:val="22"/>
              </w:rPr>
            </w:pPr>
          </w:p>
        </w:tc>
        <w:tc>
          <w:tcPr>
            <w:tcW w:w="900" w:type="dxa"/>
          </w:tcPr>
          <w:p>
            <w:pPr>
              <w:pStyle w:val="24"/>
              <w:rPr>
                <w:rFonts w:ascii="Times New Roman"/>
                <w:sz w:val="22"/>
              </w:rPr>
            </w:pPr>
          </w:p>
        </w:tc>
        <w:tc>
          <w:tcPr>
            <w:tcW w:w="1800" w:type="dxa"/>
          </w:tcPr>
          <w:p>
            <w:pPr>
              <w:pStyle w:val="2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620" w:type="dxa"/>
          </w:tcPr>
          <w:p>
            <w:pPr>
              <w:pStyle w:val="24"/>
              <w:rPr>
                <w:rFonts w:ascii="Times New Roman"/>
                <w:sz w:val="22"/>
              </w:rPr>
            </w:pPr>
          </w:p>
        </w:tc>
        <w:tc>
          <w:tcPr>
            <w:tcW w:w="1620" w:type="dxa"/>
          </w:tcPr>
          <w:p>
            <w:pPr>
              <w:pStyle w:val="24"/>
              <w:rPr>
                <w:rFonts w:ascii="Times New Roman"/>
                <w:sz w:val="22"/>
              </w:rPr>
            </w:pPr>
          </w:p>
        </w:tc>
        <w:tc>
          <w:tcPr>
            <w:tcW w:w="3060" w:type="dxa"/>
          </w:tcPr>
          <w:p>
            <w:pPr>
              <w:pStyle w:val="24"/>
              <w:rPr>
                <w:rFonts w:ascii="Times New Roman"/>
                <w:sz w:val="22"/>
              </w:rPr>
            </w:pPr>
          </w:p>
        </w:tc>
        <w:tc>
          <w:tcPr>
            <w:tcW w:w="900" w:type="dxa"/>
          </w:tcPr>
          <w:p>
            <w:pPr>
              <w:pStyle w:val="24"/>
              <w:rPr>
                <w:rFonts w:ascii="Times New Roman"/>
                <w:sz w:val="22"/>
              </w:rPr>
            </w:pPr>
          </w:p>
        </w:tc>
        <w:tc>
          <w:tcPr>
            <w:tcW w:w="1800" w:type="dxa"/>
          </w:tcPr>
          <w:p>
            <w:pPr>
              <w:pStyle w:val="24"/>
              <w:rPr>
                <w:rFonts w:ascii="Times New Roman"/>
                <w:sz w:val="22"/>
              </w:rPr>
            </w:pPr>
          </w:p>
        </w:tc>
      </w:tr>
    </w:tbl>
    <w:p>
      <w:pPr>
        <w:spacing w:before="91"/>
        <w:ind w:left="637" w:right="0" w:firstLine="0"/>
        <w:jc w:val="left"/>
        <w:rPr>
          <w:b/>
          <w:color w:val="auto"/>
          <w:sz w:val="24"/>
        </w:rPr>
      </w:pPr>
      <w:r>
        <w:rPr>
          <w:b/>
          <w:color w:val="auto"/>
          <w:sz w:val="24"/>
        </w:rPr>
        <w:t>注：业绩须附有合同</w:t>
      </w:r>
      <w:r>
        <w:rPr>
          <w:rFonts w:hint="eastAsia"/>
          <w:b/>
          <w:color w:val="auto"/>
          <w:sz w:val="24"/>
          <w:lang w:val="en-US" w:eastAsia="zh-CN"/>
        </w:rPr>
        <w:t>或者中标通知书</w:t>
      </w:r>
      <w:r>
        <w:rPr>
          <w:b/>
          <w:color w:val="auto"/>
          <w:sz w:val="24"/>
        </w:rPr>
        <w:t>。</w:t>
      </w:r>
    </w:p>
    <w:p>
      <w:pPr>
        <w:tabs>
          <w:tab w:val="left" w:pos="6235"/>
        </w:tabs>
        <w:spacing w:before="160"/>
        <w:ind w:left="637" w:right="0" w:firstLine="0"/>
        <w:jc w:val="left"/>
        <w:rPr>
          <w:rFonts w:ascii="Times New Roman" w:eastAsia="Times New Roman"/>
          <w:b/>
          <w:color w:val="auto"/>
          <w:sz w:val="24"/>
        </w:rPr>
      </w:pPr>
      <w:r>
        <w:rPr>
          <w:rFonts w:hint="eastAsia"/>
          <w:b/>
          <w:color w:val="auto"/>
          <w:w w:val="95"/>
          <w:sz w:val="24"/>
          <w:lang w:val="en-US" w:eastAsia="zh-CN"/>
        </w:rPr>
        <w:t>法定代表人或</w:t>
      </w:r>
      <w:r>
        <w:rPr>
          <w:b/>
          <w:color w:val="auto"/>
          <w:w w:val="95"/>
          <w:sz w:val="24"/>
        </w:rPr>
        <w:t>投标人代表签字</w:t>
      </w:r>
      <w:r>
        <w:rPr>
          <w:rFonts w:hint="eastAsia"/>
          <w:b/>
          <w:color w:val="auto"/>
          <w:w w:val="95"/>
          <w:sz w:val="24"/>
          <w:lang w:val="en-US" w:eastAsia="zh-CN"/>
        </w:rPr>
        <w:t>或盖章</w:t>
      </w:r>
      <w:r>
        <w:rPr>
          <w:b/>
          <w:color w:val="auto"/>
          <w:w w:val="95"/>
          <w:sz w:val="24"/>
        </w:rPr>
        <w:t>：</w:t>
      </w:r>
      <w:r>
        <w:rPr>
          <w:rFonts w:ascii="Times New Roman" w:eastAsia="Times New Roman"/>
          <w:b/>
          <w:color w:val="auto"/>
          <w:sz w:val="24"/>
          <w:u w:val="single"/>
        </w:rPr>
        <w:t xml:space="preserve"> </w:t>
      </w:r>
      <w:r>
        <w:rPr>
          <w:rFonts w:ascii="Times New Roman" w:eastAsia="Times New Roman"/>
          <w:b/>
          <w:color w:val="auto"/>
          <w:sz w:val="24"/>
          <w:u w:val="single"/>
        </w:rPr>
        <w:tab/>
      </w:r>
    </w:p>
    <w:p>
      <w:pPr>
        <w:spacing w:after="0"/>
        <w:rPr>
          <w:rFonts w:ascii="Times New Roman"/>
          <w:color w:val="auto"/>
          <w:sz w:val="22"/>
        </w:rPr>
        <w:sectPr>
          <w:pgSz w:w="11910" w:h="16840"/>
          <w:pgMar w:top="1420" w:right="240" w:bottom="1180" w:left="1160" w:header="878" w:footer="993" w:gutter="0"/>
          <w:pgNumType w:fmt="decimal"/>
          <w:cols w:space="720" w:num="1"/>
        </w:sectPr>
      </w:pPr>
    </w:p>
    <w:p>
      <w:pPr>
        <w:spacing w:before="199"/>
        <w:ind w:left="0" w:right="10" w:firstLine="0"/>
        <w:jc w:val="center"/>
        <w:rPr>
          <w:b/>
          <w:sz w:val="30"/>
        </w:rPr>
      </w:pPr>
      <w:r>
        <w:rPr>
          <w:b/>
          <w:sz w:val="30"/>
        </w:rPr>
        <w:t>（十四）投标单位（供应商）反商业贿赂承诺书</w:t>
      </w:r>
    </w:p>
    <w:p>
      <w:pPr>
        <w:spacing w:before="199"/>
        <w:ind w:left="0" w:right="10" w:firstLine="0"/>
        <w:jc w:val="center"/>
        <w:rPr>
          <w:b/>
          <w:sz w:val="30"/>
        </w:rPr>
      </w:pPr>
      <w:r>
        <w:rPr>
          <w:b/>
          <w:sz w:val="30"/>
        </w:rPr>
        <w:t>投标单位（供应商）反商业贿赂承诺书</w:t>
      </w:r>
    </w:p>
    <w:p>
      <w:pPr>
        <w:pStyle w:val="10"/>
        <w:spacing w:before="201" w:line="364" w:lineRule="auto"/>
        <w:ind w:right="1249" w:firstLine="480"/>
        <w:jc w:val="both"/>
      </w:pPr>
      <w:r>
        <w:rPr>
          <w:spacing w:val="-1"/>
        </w:rPr>
        <w:t>我公司承诺在</w:t>
      </w:r>
      <w:r>
        <w:rPr>
          <w:u w:val="single"/>
        </w:rPr>
        <w:t>（</w:t>
      </w:r>
      <w:r>
        <w:rPr>
          <w:spacing w:val="-1"/>
          <w:u w:val="single"/>
        </w:rPr>
        <w:t>项目编号、项目名称</w:t>
      </w:r>
      <w:r>
        <w:rPr>
          <w:spacing w:val="-8"/>
          <w:u w:val="single"/>
        </w:rPr>
        <w:t>）</w:t>
      </w:r>
      <w:r>
        <w:rPr>
          <w:spacing w:val="-2"/>
        </w:rPr>
        <w:t>招标活动中，不给予国家工作人员以及</w:t>
      </w:r>
      <w:r>
        <w:rPr>
          <w:spacing w:val="-1"/>
        </w:rPr>
        <w:t>中介机构工作人员及其亲属各种形式的商业贿赂</w:t>
      </w:r>
      <w:r>
        <w:t>（</w:t>
      </w:r>
      <w:r>
        <w:rPr>
          <w:spacing w:val="-3"/>
        </w:rPr>
        <w:t>包括送礼金礼品、有价证券、购</w:t>
      </w:r>
      <w:r>
        <w:rPr>
          <w:spacing w:val="-5"/>
        </w:rPr>
        <w:t>物券、回扣、佣金、咨询费、劳务费、赞助费、宣传费、支付旅游费用、报销各种</w:t>
      </w:r>
      <w:r>
        <w:rPr>
          <w:spacing w:val="-2"/>
        </w:rPr>
        <w:t>消费凭证、宴请、娱乐等</w:t>
      </w:r>
      <w:r>
        <w:rPr>
          <w:spacing w:val="-4"/>
        </w:rPr>
        <w:t>）</w:t>
      </w:r>
      <w:r>
        <w:rPr>
          <w:spacing w:val="-5"/>
        </w:rPr>
        <w:t>，如有上述行为，我公司及项目参与人员愿意按照《反</w:t>
      </w:r>
      <w:r>
        <w:t>不正当竞争法》的有关规定接受处罚。</w:t>
      </w:r>
    </w:p>
    <w:p>
      <w:pPr>
        <w:pStyle w:val="10"/>
        <w:spacing w:before="3" w:line="364" w:lineRule="auto"/>
        <w:ind w:left="1117" w:right="7226"/>
      </w:pPr>
      <w:r>
        <w:t>公司法人代表签字： 法人授权代表签字：</w:t>
      </w:r>
    </w:p>
    <w:p>
      <w:pPr>
        <w:pStyle w:val="10"/>
        <w:spacing w:before="0"/>
        <w:ind w:left="0"/>
        <w:rPr>
          <w:sz w:val="22"/>
        </w:rPr>
      </w:pPr>
    </w:p>
    <w:p>
      <w:pPr>
        <w:tabs>
          <w:tab w:val="left" w:pos="5859"/>
          <w:tab w:val="left" w:pos="6459"/>
          <w:tab w:val="left" w:pos="7179"/>
        </w:tabs>
        <w:spacing w:before="0"/>
        <w:ind w:left="4292" w:right="0" w:firstLine="0"/>
        <w:jc w:val="left"/>
        <w:rPr>
          <w:sz w:val="24"/>
        </w:rPr>
      </w:pPr>
      <w:r>
        <w:rPr>
          <w:b/>
          <w:sz w:val="24"/>
        </w:rPr>
        <w:t>承诺日期：</w:t>
      </w:r>
      <w:r>
        <w:rPr>
          <w:b/>
          <w:sz w:val="24"/>
        </w:rPr>
        <w:tab/>
      </w:r>
      <w:r>
        <w:rPr>
          <w:sz w:val="24"/>
        </w:rPr>
        <w:t>年</w:t>
      </w:r>
      <w:r>
        <w:rPr>
          <w:sz w:val="24"/>
        </w:rPr>
        <w:tab/>
      </w:r>
      <w:r>
        <w:rPr>
          <w:sz w:val="24"/>
        </w:rPr>
        <w:t>月</w:t>
      </w:r>
      <w:r>
        <w:rPr>
          <w:sz w:val="24"/>
        </w:rPr>
        <w:tab/>
      </w:r>
      <w:r>
        <w:rPr>
          <w:sz w:val="24"/>
        </w:rPr>
        <w:t>日</w:t>
      </w:r>
    </w:p>
    <w:p>
      <w:pPr>
        <w:pStyle w:val="10"/>
        <w:spacing w:before="3"/>
        <w:ind w:left="0"/>
        <w:rPr>
          <w:sz w:val="34"/>
        </w:rPr>
      </w:pPr>
    </w:p>
    <w:p>
      <w:pPr>
        <w:spacing w:before="199"/>
        <w:ind w:left="0" w:right="10" w:firstLine="1807" w:firstLineChars="600"/>
        <w:jc w:val="both"/>
        <w:rPr>
          <w:b/>
          <w:sz w:val="30"/>
        </w:rPr>
      </w:pPr>
      <w:r>
        <w:rPr>
          <w:b/>
          <w:sz w:val="30"/>
        </w:rPr>
        <w:t>（十五）其</w:t>
      </w:r>
      <w:r>
        <w:rPr>
          <w:rFonts w:hint="eastAsia"/>
          <w:b/>
          <w:sz w:val="30"/>
          <w:lang w:val="en-US" w:eastAsia="zh-CN"/>
        </w:rPr>
        <w:t xml:space="preserve">  </w:t>
      </w:r>
      <w:r>
        <w:rPr>
          <w:b/>
          <w:sz w:val="30"/>
        </w:rPr>
        <w:t>他</w:t>
      </w:r>
    </w:p>
    <w:p>
      <w:pPr>
        <w:bidi w:val="0"/>
        <w:rPr>
          <w:rFonts w:hint="eastAsia"/>
          <w:lang w:val="en-US" w:eastAsia="zh-CN"/>
        </w:rPr>
      </w:pPr>
      <w:r>
        <w:rPr>
          <w:rFonts w:hint="eastAsia"/>
          <w:lang w:val="en-US" w:eastAsia="zh-CN"/>
        </w:rPr>
        <w:t xml:space="preserve">          </w:t>
      </w:r>
    </w:p>
    <w:p>
      <w:pPr>
        <w:pStyle w:val="10"/>
        <w:spacing w:before="201" w:line="364" w:lineRule="auto"/>
        <w:ind w:right="1249" w:firstLine="1706" w:firstLineChars="717"/>
        <w:jc w:val="both"/>
        <w:rPr>
          <w:rFonts w:hint="default"/>
          <w:spacing w:val="-1"/>
          <w:lang w:val="en-US" w:eastAsia="zh-CN"/>
        </w:rPr>
      </w:pPr>
      <w:r>
        <w:rPr>
          <w:rFonts w:hint="eastAsia"/>
          <w:spacing w:val="-1"/>
          <w:lang w:val="en-US" w:eastAsia="zh-CN"/>
        </w:rPr>
        <w:t xml:space="preserve"> 附：采购清单</w:t>
      </w:r>
    </w:p>
    <w:p>
      <w:pPr>
        <w:pStyle w:val="10"/>
        <w:spacing w:before="201" w:line="364" w:lineRule="auto"/>
        <w:ind w:right="1249" w:firstLine="480"/>
        <w:jc w:val="both"/>
        <w:rPr>
          <w:spacing w:val="-1"/>
        </w:rPr>
      </w:pPr>
    </w:p>
    <w:p>
      <w:pPr>
        <w:tabs>
          <w:tab w:val="left" w:pos="1750"/>
        </w:tabs>
        <w:bidi w:val="0"/>
        <w:jc w:val="left"/>
        <w:rPr>
          <w:rFonts w:hint="eastAsia"/>
          <w:lang w:eastAsia="zh-CN"/>
        </w:rPr>
      </w:pPr>
      <w:r>
        <w:rPr>
          <w:rFonts w:hint="eastAsia"/>
          <w:lang w:eastAsia="zh-CN"/>
        </w:rPr>
        <w:tab/>
      </w: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pStyle w:val="5"/>
        <w:ind w:left="0" w:leftChars="0" w:firstLine="0" w:firstLineChars="0"/>
        <w:rPr>
          <w:rFonts w:hint="eastAsia"/>
          <w:lang w:val="en-US" w:eastAsia="zh-CN"/>
        </w:rPr>
      </w:pPr>
    </w:p>
    <w:sectPr>
      <w:headerReference r:id="rId12" w:type="default"/>
      <w:footerReference r:id="rId13" w:type="default"/>
      <w:pgSz w:w="11910" w:h="16840"/>
      <w:pgMar w:top="1420" w:right="240" w:bottom="1180" w:left="1160" w:header="878"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3823970</wp:posOffset>
              </wp:positionH>
              <wp:positionV relativeFrom="page">
                <wp:posOffset>9921240</wp:posOffset>
              </wp:positionV>
              <wp:extent cx="379095" cy="152400"/>
              <wp:effectExtent l="0" t="0" r="0" b="0"/>
              <wp:wrapNone/>
              <wp:docPr id="4099" name="文本框 3"/>
              <wp:cNvGraphicFramePr/>
              <a:graphic xmlns:a="http://schemas.openxmlformats.org/drawingml/2006/main">
                <a:graphicData uri="http://schemas.microsoft.com/office/word/2010/wordprocessingShape">
                  <wps:wsp>
                    <wps:cNvSpPr/>
                    <wps:spPr>
                      <a:xfrm>
                        <a:off x="0" y="0"/>
                        <a:ext cx="379095"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rect id="文本框 3" o:spid="_x0000_s1026" o:spt="1" style="position:absolute;left:0pt;margin-left:301.1pt;margin-top:781.2pt;height:12pt;width:29.85pt;mso-position-horizontal-relative:page;mso-position-vertical-relative:page;z-index:-251657216;mso-width-relative:page;mso-height-relative:page;" filled="f" stroked="f" coordsize="21600,21600" o:gfxdata="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o7HTdwAAAANAQAADwAAAAAAAAABACAAAAAiAAAAZHJzL2Rvd25yZXYueG1sUEsBAhQA&#10;FAAAAAgAh07iQImC7zu1AQAAXwMAAA4AAAAAAAAAAQAgAAAAKw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100" name="文本框 25"/>
              <wp:cNvGraphicFramePr/>
              <a:graphic xmlns:a="http://schemas.openxmlformats.org/drawingml/2006/main">
                <a:graphicData uri="http://schemas.microsoft.com/office/word/2010/wordprocessingShape">
                  <wps:wsp>
                    <wps:cNvSpPr/>
                    <wps:spPr>
                      <a:xfrm>
                        <a:off x="0" y="0"/>
                        <a:ext cx="166370"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rect id="文本框 25" o:spid="_x0000_s1026" o:spt="1" style="position:absolute;left:0pt;margin-left:298.8pt;margin-top:781.2pt;height:12pt;width:13.1pt;mso-position-horizontal-relative:page;mso-position-vertical-relative:page;z-index:-251657216;mso-width-relative:page;mso-height-relative:page;" filled="f" stroked="f" coordsize="21600,21600" o:gfxdata="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nJX7/cAAAADQEAAA8AAAAAAAAAAQAgAAAAIgAAAGRycy9kb3ducmV2LnhtbFBLAQIUABQA&#10;AAAIAIdO4kBNxF01swEAAGADAAAOAAAAAAAAAAEAIAAAACsBAABkcnMvZTJvRG9jLnhtbFBLBQYA&#10;AAAABgAGAFkBAABQ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101" name="文本框 25"/>
              <wp:cNvGraphicFramePr/>
              <a:graphic xmlns:a="http://schemas.openxmlformats.org/drawingml/2006/main">
                <a:graphicData uri="http://schemas.microsoft.com/office/word/2010/wordprocessingShape">
                  <wps:wsp>
                    <wps:cNvSpPr/>
                    <wps:spPr>
                      <a:xfrm>
                        <a:off x="0" y="0"/>
                        <a:ext cx="166370"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rect id="文本框 25" o:spid="_x0000_s1026" o:spt="1" style="position:absolute;left:0pt;margin-left:298.8pt;margin-top:781.2pt;height:12pt;width:13.1pt;mso-position-horizontal-relative:page;mso-position-vertical-relative:page;z-index:-251657216;mso-width-relative:page;mso-height-relative:page;" filled="f" stroked="f" coordsize="21600,21600" o:gfxdata="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JyV+/3AAAAA0BAAAPAAAAAAAAAAEAIAAAACIAAABkcnMvZG93bnJldi54bWxQSwECFAAU&#10;AAAACACHTuJA/hyJ97QBAABgAwAADgAAAAAAAAABACAAAAArAQAAZHJzL2Uyb0RvYy54bWxQSwUG&#10;AAAAAAYABgBZAQAAU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104" name="文本框 32"/>
              <wp:cNvGraphicFramePr/>
              <a:graphic xmlns:a="http://schemas.openxmlformats.org/drawingml/2006/main">
                <a:graphicData uri="http://schemas.microsoft.com/office/word/2010/wordprocessingShape">
                  <wps:wsp>
                    <wps:cNvSpPr/>
                    <wps:spPr>
                      <a:xfrm>
                        <a:off x="0" y="0"/>
                        <a:ext cx="166370"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rect id="文本框 32" o:spid="_x0000_s1026" o:spt="1" style="position:absolute;left:0pt;margin-left:298.8pt;margin-top:781.2pt;height:12pt;width:13.1pt;mso-position-horizontal-relative:page;mso-position-vertical-relative:page;z-index:-251657216;mso-width-relative:page;mso-height-relative:page;" filled="f" stroked="f" coordsize="21600,21600" o:gfxdata="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clfv9wAAAANAQAADwAAAAAAAAABACAAAAAiAAAAZHJzL2Rvd25yZXYueG1sUEsBAhQA&#10;FAAAAAgAh07iQEM/oDq1AQAAYAMAAA4AAAAAAAAAAQAgAAAAKw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105" name="文本框 33"/>
              <wp:cNvGraphicFramePr/>
              <a:graphic xmlns:a="http://schemas.openxmlformats.org/drawingml/2006/main">
                <a:graphicData uri="http://schemas.microsoft.com/office/word/2010/wordprocessingShape">
                  <wps:wsp>
                    <wps:cNvSpPr/>
                    <wps:spPr>
                      <a:xfrm>
                        <a:off x="0" y="0"/>
                        <a:ext cx="166370"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rect id="文本框 33" o:spid="_x0000_s1026" o:spt="1" style="position:absolute;left:0pt;margin-left:298.8pt;margin-top:781.2pt;height:12pt;width:13.1pt;mso-position-horizontal-relative:page;mso-position-vertical-relative:page;z-index:-251657216;mso-width-relative:page;mso-height-relative:page;" filled="f" stroked="f" coordsize="21600,21600" o:gfxdata="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clfv9wAAAANAQAADwAAAAAAAAABACAAAAAiAAAAZHJzL2Rvd25yZXYueG1sUEsBAhQA&#10;FAAAAAgAh07iQMyUxMq1AQAAYAMAAA4AAAAAAAAAAQAgAAAAKw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108" name="文本框 8"/>
              <wp:cNvGraphicFramePr/>
              <a:graphic xmlns:a="http://schemas.openxmlformats.org/drawingml/2006/main">
                <a:graphicData uri="http://schemas.microsoft.com/office/word/2010/wordprocessingShape">
                  <wps:wsp>
                    <wps:cNvSpPr/>
                    <wps:spPr>
                      <a:xfrm>
                        <a:off x="0" y="0"/>
                        <a:ext cx="166370" cy="152400"/>
                      </a:xfrm>
                      <a:prstGeom prst="rect">
                        <a:avLst/>
                      </a:prstGeom>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rect id="文本框 8" o:spid="_x0000_s1026" o:spt="1" style="position:absolute;left:0pt;margin-left:298.8pt;margin-top:781.2pt;height:12pt;width:13.1pt;mso-position-horizontal-relative:page;mso-position-vertical-relative:page;z-index:-251657216;mso-width-relative:page;mso-height-relative:page;" filled="f" stroked="f" coordsize="21600,21600" o:gfxdata="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JyV+/3AAAAA0BAAAPAAAAAAAAAAEAIAAAACIAAABkcnMvZG93bnJldi54bWxQSwECFAAU&#10;AAAACACHTuJAPBKpwLQBAABfAwAADgAAAAAAAAABACAAAAArAQAAZHJzL2Uyb0RvYy54bWxQSwUG&#10;AAAAAAYABgBZAQAAUQ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2637790</wp:posOffset>
              </wp:positionH>
              <wp:positionV relativeFrom="page">
                <wp:posOffset>544830</wp:posOffset>
              </wp:positionV>
              <wp:extent cx="3441700" cy="160655"/>
              <wp:effectExtent l="0" t="0" r="0" b="0"/>
              <wp:wrapNone/>
              <wp:docPr id="4097" name="文本框 2"/>
              <wp:cNvGraphicFramePr/>
              <a:graphic xmlns:a="http://schemas.openxmlformats.org/drawingml/2006/main">
                <a:graphicData uri="http://schemas.microsoft.com/office/word/2010/wordprocessingShape">
                  <wps:wsp>
                    <wps:cNvSpPr/>
                    <wps:spPr>
                      <a:xfrm>
                        <a:off x="0" y="0"/>
                        <a:ext cx="3441700" cy="160655"/>
                      </a:xfrm>
                      <a:prstGeom prst="rect">
                        <a:avLst/>
                      </a:prstGeom>
                      <a:ln>
                        <a:noFill/>
                      </a:ln>
                    </wps:spPr>
                    <wps:txbx>
                      <w:txbxContent>
                        <w:p>
                          <w:pPr>
                            <w:spacing w:before="0" w:line="220" w:lineRule="exact"/>
                            <w:ind w:right="0"/>
                            <w:jc w:val="left"/>
                            <w:rPr>
                              <w:rFonts w:hint="eastAsia" w:eastAsia="宋体"/>
                              <w:sz w:val="18"/>
                              <w:lang w:eastAsia="zh-CN"/>
                            </w:rPr>
                          </w:pPr>
                          <w:r>
                            <w:rPr>
                              <w:rFonts w:hint="eastAsia" w:cs="宋体"/>
                              <w:color w:val="auto"/>
                              <w:kern w:val="0"/>
                              <w:sz w:val="24"/>
                              <w:szCs w:val="24"/>
                              <w:lang w:eastAsia="zh-CN"/>
                            </w:rPr>
                            <w:t>新疆正聚方企业管理咨询有限公司</w:t>
                          </w:r>
                        </w:p>
                      </w:txbxContent>
                    </wps:txbx>
                    <wps:bodyPr lIns="0" tIns="0" rIns="0" bIns="0" upright="1"/>
                  </wps:wsp>
                </a:graphicData>
              </a:graphic>
            </wp:anchor>
          </w:drawing>
        </mc:Choice>
        <mc:Fallback>
          <w:pict>
            <v:rect id="文本框 2" o:spid="_x0000_s1026" o:spt="1" style="position:absolute;left:0pt;margin-left:207.7pt;margin-top:42.9pt;height:12.65pt;width:271pt;mso-position-horizontal-relative:page;mso-position-vertical-relative:page;z-index:-251657216;mso-width-relative:page;mso-height-relative:page;" filled="f" stroked="f" coordsize="21600,21600" o:gfxdata="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nDly2QAAAAoBAAAPAAAAAAAAAAEAIAAAACIAAABkcnMvZG93bnJldi54bWxQSwECFAAUAAAA&#10;CACHTuJAUln8IrQBAABgAwAADgAAAAAAAAABACAAAAAoAQAAZHJzL2Uyb0RvYy54bWxQSwUGAAAA&#10;AAYABgBZAQAATgUAAAAA&#10;">
              <v:fill on="f" focussize="0,0"/>
              <v:stroke on="f"/>
              <v:imagedata o:title=""/>
              <o:lock v:ext="edit" aspectratio="f"/>
              <v:textbox inset="0mm,0mm,0mm,0mm">
                <w:txbxContent>
                  <w:p>
                    <w:pPr>
                      <w:spacing w:before="0" w:line="220" w:lineRule="exact"/>
                      <w:ind w:right="0"/>
                      <w:jc w:val="left"/>
                      <w:rPr>
                        <w:rFonts w:hint="eastAsia" w:eastAsia="宋体"/>
                        <w:sz w:val="18"/>
                        <w:lang w:eastAsia="zh-CN"/>
                      </w:rPr>
                    </w:pPr>
                    <w:r>
                      <w:rPr>
                        <w:rFonts w:hint="eastAsia" w:cs="宋体"/>
                        <w:color w:val="auto"/>
                        <w:kern w:val="0"/>
                        <w:sz w:val="24"/>
                        <w:szCs w:val="24"/>
                        <w:lang w:eastAsia="zh-CN"/>
                      </w:rPr>
                      <w:t>新疆正聚方企业管理咨询有限公司</w:t>
                    </w:r>
                  </w:p>
                </w:txbxContent>
              </v:textbox>
            </v:rect>
          </w:pict>
        </mc:Fallback>
      </mc:AlternateContent>
    </w:r>
    <w:r>
      <mc:AlternateContent>
        <mc:Choice Requires="wps">
          <w:drawing>
            <wp:anchor distT="0" distB="0" distL="0" distR="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0" r="0" b="0"/>
              <wp:wrapNone/>
              <wp:docPr id="4098" name="直线 1"/>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hWTo9QAAAAM&#10;AQAADwAAAAAAAAABACAAAAAiAAAAZHJzL2Rvd25yZXYueG1sUEsBAhQAFAAAAAgAh07iQJyt6dPn&#10;AQAA3AMAAA4AAAAAAAAAAQAgAAAAIwEAAGRycy9lMm9Eb2MueG1sUEsFBgAAAAAGAAYAWQEAAHwF&#10;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p>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2600960</wp:posOffset>
              </wp:positionH>
              <wp:positionV relativeFrom="page">
                <wp:posOffset>513715</wp:posOffset>
              </wp:positionV>
              <wp:extent cx="2687955" cy="243205"/>
              <wp:effectExtent l="0" t="0" r="0" b="0"/>
              <wp:wrapNone/>
              <wp:docPr id="4102" name="文本框 27"/>
              <wp:cNvGraphicFramePr/>
              <a:graphic xmlns:a="http://schemas.openxmlformats.org/drawingml/2006/main">
                <a:graphicData uri="http://schemas.microsoft.com/office/word/2010/wordprocessingShape">
                  <wps:wsp>
                    <wps:cNvSpPr/>
                    <wps:spPr>
                      <a:xfrm>
                        <a:off x="0" y="0"/>
                        <a:ext cx="2687955" cy="243204"/>
                      </a:xfrm>
                      <a:prstGeom prst="rect">
                        <a:avLst/>
                      </a:prstGeom>
                      <a:ln>
                        <a:noFill/>
                      </a:ln>
                    </wps:spPr>
                    <wps:txbx>
                      <w:txbxContent>
                        <w:p>
                          <w:pPr>
                            <w:spacing w:before="0" w:line="220" w:lineRule="exact"/>
                            <w:ind w:right="0"/>
                            <w:jc w:val="center"/>
                            <w:rPr>
                              <w:rFonts w:hint="eastAsia" w:eastAsia="宋体"/>
                              <w:sz w:val="18"/>
                              <w:lang w:eastAsia="zh-CN"/>
                            </w:rPr>
                          </w:pPr>
                          <w:r>
                            <w:rPr>
                              <w:rFonts w:hint="eastAsia" w:cs="宋体"/>
                              <w:color w:val="auto"/>
                              <w:kern w:val="0"/>
                              <w:sz w:val="24"/>
                              <w:szCs w:val="24"/>
                              <w:lang w:eastAsia="zh-CN"/>
                            </w:rPr>
                            <w:t>新疆正聚方企业管理咨询有限公司</w:t>
                          </w:r>
                        </w:p>
                        <w:p>
                          <w:pPr>
                            <w:jc w:val="center"/>
                            <w:rPr>
                              <w:rFonts w:hint="eastAsia"/>
                              <w:lang w:eastAsia="zh-CN"/>
                            </w:rPr>
                          </w:pPr>
                        </w:p>
                      </w:txbxContent>
                    </wps:txbx>
                    <wps:bodyPr lIns="0" tIns="0" rIns="0" bIns="0" upright="1"/>
                  </wps:wsp>
                </a:graphicData>
              </a:graphic>
            </wp:anchor>
          </w:drawing>
        </mc:Choice>
        <mc:Fallback>
          <w:pict>
            <v:rect id="文本框 27" o:spid="_x0000_s1026" o:spt="1" style="position:absolute;left:0pt;margin-left:204.8pt;margin-top:40.45pt;height:19.15pt;width:211.65pt;mso-position-horizontal-relative:page;mso-position-vertical-relative:page;z-index:-251657216;mso-width-relative:page;mso-height-relative:page;" filled="f" stroked="f" coordsize="21600,21600" o:gfxdata="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GoDraAAAACgEAAA8AAAAAAAAAAQAgAAAAIgAAAGRycy9kb3ducmV2LnhtbFBLAQIUABQA&#10;AAAIAIdO4kDJc0BqtQEAAGEDAAAOAAAAAAAAAAEAIAAAACkBAABkcnMvZTJvRG9jLnhtbFBLBQYA&#10;AAAABgAGAFkBAABQBQAAAAA=&#10;">
              <v:fill on="f" focussize="0,0"/>
              <v:stroke on="f"/>
              <v:imagedata o:title=""/>
              <o:lock v:ext="edit" aspectratio="f"/>
              <v:textbox inset="0mm,0mm,0mm,0mm">
                <w:txbxContent>
                  <w:p>
                    <w:pPr>
                      <w:spacing w:before="0" w:line="220" w:lineRule="exact"/>
                      <w:ind w:right="0"/>
                      <w:jc w:val="center"/>
                      <w:rPr>
                        <w:rFonts w:hint="eastAsia" w:eastAsia="宋体"/>
                        <w:sz w:val="18"/>
                        <w:lang w:eastAsia="zh-CN"/>
                      </w:rPr>
                    </w:pPr>
                    <w:r>
                      <w:rPr>
                        <w:rFonts w:hint="eastAsia" w:cs="宋体"/>
                        <w:color w:val="auto"/>
                        <w:kern w:val="0"/>
                        <w:sz w:val="24"/>
                        <w:szCs w:val="24"/>
                        <w:lang w:eastAsia="zh-CN"/>
                      </w:rPr>
                      <w:t>新疆正聚方企业管理咨询有限公司</w:t>
                    </w:r>
                  </w:p>
                  <w:p>
                    <w:pPr>
                      <w:jc w:val="center"/>
                      <w:rPr>
                        <w:rFonts w:hint="eastAsia"/>
                        <w:lang w:eastAsia="zh-CN"/>
                      </w:rPr>
                    </w:pPr>
                  </w:p>
                </w:txbxContent>
              </v:textbox>
            </v:rect>
          </w:pict>
        </mc:Fallback>
      </mc:AlternateContent>
    </w:r>
    <w:r>
      <mc:AlternateContent>
        <mc:Choice Requires="wps">
          <w:drawing>
            <wp:anchor distT="0" distB="0" distL="0" distR="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0" r="0" b="0"/>
              <wp:wrapNone/>
              <wp:docPr id="4103" name="直线 26"/>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26"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FZOj1AAA&#10;AAwBAAAPAAAAAAAAAAEAIAAAACIAAABkcnMvZG93bnJldi54bWxQSwECFAAUAAAACACHTuJAWfhY&#10;SOkBAADdAwAADgAAAAAAAAABACAAAAAjAQAAZHJzL2Uyb0RvYy54bWxQSwUGAAAAAAYABgBZAQAA&#10;fg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2702560</wp:posOffset>
              </wp:positionH>
              <wp:positionV relativeFrom="page">
                <wp:posOffset>563880</wp:posOffset>
              </wp:positionV>
              <wp:extent cx="2016125" cy="158750"/>
              <wp:effectExtent l="0" t="0" r="0" b="0"/>
              <wp:wrapNone/>
              <wp:docPr id="4107" name="文本框 15"/>
              <wp:cNvGraphicFramePr/>
              <a:graphic xmlns:a="http://schemas.openxmlformats.org/drawingml/2006/main">
                <a:graphicData uri="http://schemas.microsoft.com/office/word/2010/wordprocessingShape">
                  <wps:wsp>
                    <wps:cNvSpPr/>
                    <wps:spPr>
                      <a:xfrm>
                        <a:off x="0" y="0"/>
                        <a:ext cx="2016125" cy="158750"/>
                      </a:xfrm>
                      <a:prstGeom prst="rect">
                        <a:avLst/>
                      </a:prstGeom>
                      <a:ln>
                        <a:noFill/>
                      </a:ln>
                    </wps:spPr>
                    <wps:txbx>
                      <w:txbxContent>
                        <w:p>
                          <w:pPr>
                            <w:spacing w:before="0" w:line="220" w:lineRule="exact"/>
                            <w:ind w:left="20" w:right="0" w:firstLine="0"/>
                            <w:jc w:val="left"/>
                            <w:rPr>
                              <w:rFonts w:hint="eastAsia" w:eastAsia="宋体"/>
                              <w:sz w:val="21"/>
                              <w:szCs w:val="21"/>
                              <w:lang w:eastAsia="zh-CN"/>
                            </w:rPr>
                          </w:pPr>
                          <w:r>
                            <w:rPr>
                              <w:rFonts w:hint="eastAsia"/>
                              <w:sz w:val="21"/>
                              <w:szCs w:val="21"/>
                              <w:lang w:eastAsia="zh-CN"/>
                            </w:rPr>
                            <w:t>新疆正聚方企业管理咨询有限公司</w:t>
                          </w:r>
                        </w:p>
                      </w:txbxContent>
                    </wps:txbx>
                    <wps:bodyPr lIns="0" tIns="0" rIns="0" bIns="0" upright="1"/>
                  </wps:wsp>
                </a:graphicData>
              </a:graphic>
            </wp:anchor>
          </w:drawing>
        </mc:Choice>
        <mc:Fallback>
          <w:pict>
            <v:rect id="文本框 15" o:spid="_x0000_s1026" o:spt="1" style="position:absolute;left:0pt;margin-left:212.8pt;margin-top:44.4pt;height:12.5pt;width:158.75pt;mso-position-horizontal-relative:page;mso-position-vertical-relative:page;z-index:-251657216;mso-width-relative:page;mso-height-relative:page;" filled="f" stroked="f" coordsize="21600,21600" o:gfxdata="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ejgd2wAAAAoBAAAPAAAAAAAAAAEAIAAAACIAAABkcnMvZG93bnJldi54bWxQSwECFAAU&#10;AAAACACHTuJA4gy5fbUBAABhAwAADgAAAAAAAAABACAAAAAqAQAAZHJzL2Uyb0RvYy54bWxQSwUG&#10;AAAAAAYABgBZAQAAUQUAAAAA&#10;">
              <v:fill on="f" focussize="0,0"/>
              <v:stroke on="f"/>
              <v:imagedata o:title=""/>
              <o:lock v:ext="edit" aspectratio="f"/>
              <v:textbox inset="0mm,0mm,0mm,0mm">
                <w:txbxContent>
                  <w:p>
                    <w:pPr>
                      <w:spacing w:before="0" w:line="220" w:lineRule="exact"/>
                      <w:ind w:left="20" w:right="0" w:firstLine="0"/>
                      <w:jc w:val="left"/>
                      <w:rPr>
                        <w:rFonts w:hint="eastAsia" w:eastAsia="宋体"/>
                        <w:sz w:val="21"/>
                        <w:szCs w:val="21"/>
                        <w:lang w:eastAsia="zh-CN"/>
                      </w:rPr>
                    </w:pPr>
                    <w:r>
                      <w:rPr>
                        <w:rFonts w:hint="eastAsia"/>
                        <w:sz w:val="21"/>
                        <w:szCs w:val="21"/>
                        <w:lang w:eastAsia="zh-CN"/>
                      </w:rPr>
                      <w:t>新疆正聚方企业管理咨询有限公司</w:t>
                    </w:r>
                  </w:p>
                </w:txbxContent>
              </v:textbox>
            </v:rect>
          </w:pict>
        </mc:Fallback>
      </mc:AlternateContent>
    </w:r>
    <w:r>
      <mc:AlternateContent>
        <mc:Choice Requires="wps">
          <w:drawing>
            <wp:anchor distT="0" distB="0" distL="0" distR="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0" r="0" b="0"/>
              <wp:wrapNone/>
              <wp:docPr id="4106" name="直线 14"/>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4"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YVk6PUAAAA&#10;DAEAAA8AAAAAAAAAAQAgAAAAIgAAAGRycy9kb3ducmV2LnhtbFBLAQIUABQAAAAIAIdO4kD0pIm3&#10;6AEAAN0DAAAOAAAAAAAAAAEAIAAAACMBAABkcnMvZTJvRG9jLnhtbFBLBQYAAAAABgAGAFkBAAB9&#10;BQAAAAA=&#10;">
              <v:fill on="f" focussize="0,0"/>
              <v:stroke weight="0.72pt" color="#000000" joinstyle="round"/>
              <v:imagedata o:title=""/>
              <o:lock v:ext="edit" aspectratio="f"/>
            </v:line>
          </w:pict>
        </mc:Fallback>
      </mc:AlternateContent>
    </w:r>
    <w:r>
      <w:rPr>
        <w:rFonts w:hint="eastAsia"/>
        <w:sz w:val="20"/>
        <w:lang w:eastAsia="zh-CN"/>
      </w:rPr>
      <w:t>咨询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1"/>
      <w:numFmt w:val="decimal"/>
      <w:lvlText w:val="%1"/>
      <w:lvlJc w:val="left"/>
      <w:pPr>
        <w:ind w:left="637" w:hanging="540"/>
        <w:jc w:val="left"/>
      </w:pPr>
      <w:rPr>
        <w:rFonts w:hint="default"/>
        <w:lang w:val="zh-CN" w:eastAsia="zh-CN" w:bidi="zh-CN"/>
      </w:rPr>
    </w:lvl>
    <w:lvl w:ilvl="1" w:tentative="0">
      <w:start w:val="1"/>
      <w:numFmt w:val="decimal"/>
      <w:lvlText w:val="%1.%2"/>
      <w:lvlJc w:val="left"/>
      <w:pPr>
        <w:ind w:left="637"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13" w:hanging="540"/>
      </w:pPr>
      <w:rPr>
        <w:rFonts w:hint="default"/>
        <w:lang w:val="zh-CN" w:eastAsia="zh-CN" w:bidi="zh-CN"/>
      </w:rPr>
    </w:lvl>
    <w:lvl w:ilvl="3" w:tentative="0">
      <w:start w:val="0"/>
      <w:numFmt w:val="bullet"/>
      <w:lvlText w:val="•"/>
      <w:lvlJc w:val="left"/>
      <w:pPr>
        <w:ind w:left="3599" w:hanging="540"/>
      </w:pPr>
      <w:rPr>
        <w:rFonts w:hint="default"/>
        <w:lang w:val="zh-CN" w:eastAsia="zh-CN" w:bidi="zh-CN"/>
      </w:rPr>
    </w:lvl>
    <w:lvl w:ilvl="4" w:tentative="0">
      <w:start w:val="0"/>
      <w:numFmt w:val="bullet"/>
      <w:lvlText w:val="•"/>
      <w:lvlJc w:val="left"/>
      <w:pPr>
        <w:ind w:left="4586" w:hanging="540"/>
      </w:pPr>
      <w:rPr>
        <w:rFonts w:hint="default"/>
        <w:lang w:val="zh-CN" w:eastAsia="zh-CN" w:bidi="zh-CN"/>
      </w:rPr>
    </w:lvl>
    <w:lvl w:ilvl="5" w:tentative="0">
      <w:start w:val="0"/>
      <w:numFmt w:val="bullet"/>
      <w:lvlText w:val="•"/>
      <w:lvlJc w:val="left"/>
      <w:pPr>
        <w:ind w:left="5573" w:hanging="540"/>
      </w:pPr>
      <w:rPr>
        <w:rFonts w:hint="default"/>
        <w:lang w:val="zh-CN" w:eastAsia="zh-CN" w:bidi="zh-CN"/>
      </w:rPr>
    </w:lvl>
    <w:lvl w:ilvl="6" w:tentative="0">
      <w:start w:val="0"/>
      <w:numFmt w:val="bullet"/>
      <w:lvlText w:val="•"/>
      <w:lvlJc w:val="left"/>
      <w:pPr>
        <w:ind w:left="6559" w:hanging="540"/>
      </w:pPr>
      <w:rPr>
        <w:rFonts w:hint="default"/>
        <w:lang w:val="zh-CN" w:eastAsia="zh-CN" w:bidi="zh-CN"/>
      </w:rPr>
    </w:lvl>
    <w:lvl w:ilvl="7" w:tentative="0">
      <w:start w:val="0"/>
      <w:numFmt w:val="bullet"/>
      <w:lvlText w:val="•"/>
      <w:lvlJc w:val="left"/>
      <w:pPr>
        <w:ind w:left="7546" w:hanging="540"/>
      </w:pPr>
      <w:rPr>
        <w:rFonts w:hint="default"/>
        <w:lang w:val="zh-CN" w:eastAsia="zh-CN" w:bidi="zh-CN"/>
      </w:rPr>
    </w:lvl>
    <w:lvl w:ilvl="8" w:tentative="0">
      <w:start w:val="0"/>
      <w:numFmt w:val="bullet"/>
      <w:lvlText w:val="•"/>
      <w:lvlJc w:val="left"/>
      <w:pPr>
        <w:ind w:left="8532" w:hanging="540"/>
      </w:pPr>
      <w:rPr>
        <w:rFonts w:hint="default"/>
        <w:lang w:val="zh-CN" w:eastAsia="zh-CN" w:bidi="zh-CN"/>
      </w:rPr>
    </w:lvl>
  </w:abstractNum>
  <w:abstractNum w:abstractNumId="1">
    <w:nsid w:val="00000001"/>
    <w:multiLevelType w:val="multilevel"/>
    <w:tmpl w:val="00000001"/>
    <w:lvl w:ilvl="0" w:tentative="0">
      <w:start w:val="1"/>
      <w:numFmt w:val="decimal"/>
      <w:lvlText w:val="(%1)"/>
      <w:lvlJc w:val="left"/>
      <w:pPr>
        <w:ind w:left="637" w:hanging="36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26" w:hanging="363"/>
      </w:pPr>
      <w:rPr>
        <w:rFonts w:hint="default"/>
        <w:lang w:val="zh-CN" w:eastAsia="zh-CN" w:bidi="zh-CN"/>
      </w:rPr>
    </w:lvl>
    <w:lvl w:ilvl="2" w:tentative="0">
      <w:start w:val="0"/>
      <w:numFmt w:val="bullet"/>
      <w:lvlText w:val="•"/>
      <w:lvlJc w:val="left"/>
      <w:pPr>
        <w:ind w:left="2613" w:hanging="363"/>
      </w:pPr>
      <w:rPr>
        <w:rFonts w:hint="default"/>
        <w:lang w:val="zh-CN" w:eastAsia="zh-CN" w:bidi="zh-CN"/>
      </w:rPr>
    </w:lvl>
    <w:lvl w:ilvl="3" w:tentative="0">
      <w:start w:val="0"/>
      <w:numFmt w:val="bullet"/>
      <w:lvlText w:val="•"/>
      <w:lvlJc w:val="left"/>
      <w:pPr>
        <w:ind w:left="3599" w:hanging="363"/>
      </w:pPr>
      <w:rPr>
        <w:rFonts w:hint="default"/>
        <w:lang w:val="zh-CN" w:eastAsia="zh-CN" w:bidi="zh-CN"/>
      </w:rPr>
    </w:lvl>
    <w:lvl w:ilvl="4" w:tentative="0">
      <w:start w:val="0"/>
      <w:numFmt w:val="bullet"/>
      <w:lvlText w:val="•"/>
      <w:lvlJc w:val="left"/>
      <w:pPr>
        <w:ind w:left="4586" w:hanging="363"/>
      </w:pPr>
      <w:rPr>
        <w:rFonts w:hint="default"/>
        <w:lang w:val="zh-CN" w:eastAsia="zh-CN" w:bidi="zh-CN"/>
      </w:rPr>
    </w:lvl>
    <w:lvl w:ilvl="5" w:tentative="0">
      <w:start w:val="0"/>
      <w:numFmt w:val="bullet"/>
      <w:lvlText w:val="•"/>
      <w:lvlJc w:val="left"/>
      <w:pPr>
        <w:ind w:left="5573" w:hanging="363"/>
      </w:pPr>
      <w:rPr>
        <w:rFonts w:hint="default"/>
        <w:lang w:val="zh-CN" w:eastAsia="zh-CN" w:bidi="zh-CN"/>
      </w:rPr>
    </w:lvl>
    <w:lvl w:ilvl="6" w:tentative="0">
      <w:start w:val="0"/>
      <w:numFmt w:val="bullet"/>
      <w:lvlText w:val="•"/>
      <w:lvlJc w:val="left"/>
      <w:pPr>
        <w:ind w:left="6559" w:hanging="363"/>
      </w:pPr>
      <w:rPr>
        <w:rFonts w:hint="default"/>
        <w:lang w:val="zh-CN" w:eastAsia="zh-CN" w:bidi="zh-CN"/>
      </w:rPr>
    </w:lvl>
    <w:lvl w:ilvl="7" w:tentative="0">
      <w:start w:val="0"/>
      <w:numFmt w:val="bullet"/>
      <w:lvlText w:val="•"/>
      <w:lvlJc w:val="left"/>
      <w:pPr>
        <w:ind w:left="7546" w:hanging="363"/>
      </w:pPr>
      <w:rPr>
        <w:rFonts w:hint="default"/>
        <w:lang w:val="zh-CN" w:eastAsia="zh-CN" w:bidi="zh-CN"/>
      </w:rPr>
    </w:lvl>
    <w:lvl w:ilvl="8" w:tentative="0">
      <w:start w:val="0"/>
      <w:numFmt w:val="bullet"/>
      <w:lvlText w:val="•"/>
      <w:lvlJc w:val="left"/>
      <w:pPr>
        <w:ind w:left="8532" w:hanging="363"/>
      </w:pPr>
      <w:rPr>
        <w:rFonts w:hint="default"/>
        <w:lang w:val="zh-CN" w:eastAsia="zh-CN" w:bidi="zh-CN"/>
      </w:rPr>
    </w:lvl>
  </w:abstractNum>
  <w:abstractNum w:abstractNumId="2">
    <w:nsid w:val="00000002"/>
    <w:multiLevelType w:val="multilevel"/>
    <w:tmpl w:val="00000002"/>
    <w:lvl w:ilvl="0" w:tentative="0">
      <w:start w:val="12"/>
      <w:numFmt w:val="decimal"/>
      <w:lvlText w:val="%1"/>
      <w:lvlJc w:val="left"/>
      <w:pPr>
        <w:ind w:left="637" w:hanging="540"/>
        <w:jc w:val="left"/>
      </w:pPr>
      <w:rPr>
        <w:rFonts w:hint="default"/>
        <w:lang w:val="zh-CN" w:eastAsia="zh-CN" w:bidi="zh-CN"/>
      </w:rPr>
    </w:lvl>
    <w:lvl w:ilvl="1" w:tentative="0">
      <w:start w:val="1"/>
      <w:numFmt w:val="decimal"/>
      <w:lvlText w:val="%1.%2"/>
      <w:lvlJc w:val="left"/>
      <w:pPr>
        <w:ind w:left="637"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13" w:hanging="540"/>
      </w:pPr>
      <w:rPr>
        <w:rFonts w:hint="default"/>
        <w:lang w:val="zh-CN" w:eastAsia="zh-CN" w:bidi="zh-CN"/>
      </w:rPr>
    </w:lvl>
    <w:lvl w:ilvl="3" w:tentative="0">
      <w:start w:val="0"/>
      <w:numFmt w:val="bullet"/>
      <w:lvlText w:val="•"/>
      <w:lvlJc w:val="left"/>
      <w:pPr>
        <w:ind w:left="3599" w:hanging="540"/>
      </w:pPr>
      <w:rPr>
        <w:rFonts w:hint="default"/>
        <w:lang w:val="zh-CN" w:eastAsia="zh-CN" w:bidi="zh-CN"/>
      </w:rPr>
    </w:lvl>
    <w:lvl w:ilvl="4" w:tentative="0">
      <w:start w:val="0"/>
      <w:numFmt w:val="bullet"/>
      <w:lvlText w:val="•"/>
      <w:lvlJc w:val="left"/>
      <w:pPr>
        <w:ind w:left="4586" w:hanging="540"/>
      </w:pPr>
      <w:rPr>
        <w:rFonts w:hint="default"/>
        <w:lang w:val="zh-CN" w:eastAsia="zh-CN" w:bidi="zh-CN"/>
      </w:rPr>
    </w:lvl>
    <w:lvl w:ilvl="5" w:tentative="0">
      <w:start w:val="0"/>
      <w:numFmt w:val="bullet"/>
      <w:lvlText w:val="•"/>
      <w:lvlJc w:val="left"/>
      <w:pPr>
        <w:ind w:left="5573" w:hanging="540"/>
      </w:pPr>
      <w:rPr>
        <w:rFonts w:hint="default"/>
        <w:lang w:val="zh-CN" w:eastAsia="zh-CN" w:bidi="zh-CN"/>
      </w:rPr>
    </w:lvl>
    <w:lvl w:ilvl="6" w:tentative="0">
      <w:start w:val="0"/>
      <w:numFmt w:val="bullet"/>
      <w:lvlText w:val="•"/>
      <w:lvlJc w:val="left"/>
      <w:pPr>
        <w:ind w:left="6559" w:hanging="540"/>
      </w:pPr>
      <w:rPr>
        <w:rFonts w:hint="default"/>
        <w:lang w:val="zh-CN" w:eastAsia="zh-CN" w:bidi="zh-CN"/>
      </w:rPr>
    </w:lvl>
    <w:lvl w:ilvl="7" w:tentative="0">
      <w:start w:val="0"/>
      <w:numFmt w:val="bullet"/>
      <w:lvlText w:val="•"/>
      <w:lvlJc w:val="left"/>
      <w:pPr>
        <w:ind w:left="7546" w:hanging="540"/>
      </w:pPr>
      <w:rPr>
        <w:rFonts w:hint="default"/>
        <w:lang w:val="zh-CN" w:eastAsia="zh-CN" w:bidi="zh-CN"/>
      </w:rPr>
    </w:lvl>
    <w:lvl w:ilvl="8" w:tentative="0">
      <w:start w:val="0"/>
      <w:numFmt w:val="bullet"/>
      <w:lvlText w:val="•"/>
      <w:lvlJc w:val="left"/>
      <w:pPr>
        <w:ind w:left="8532" w:hanging="540"/>
      </w:pPr>
      <w:rPr>
        <w:rFonts w:hint="default"/>
        <w:lang w:val="zh-CN" w:eastAsia="zh-CN" w:bidi="zh-CN"/>
      </w:rPr>
    </w:lvl>
  </w:abstractNum>
  <w:abstractNum w:abstractNumId="3">
    <w:nsid w:val="00000003"/>
    <w:multiLevelType w:val="multilevel"/>
    <w:tmpl w:val="00000003"/>
    <w:lvl w:ilvl="0" w:tentative="0">
      <w:start w:val="5"/>
      <w:numFmt w:val="decimal"/>
      <w:lvlText w:val="%1."/>
      <w:lvlJc w:val="left"/>
      <w:pPr>
        <w:ind w:left="1478"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00" w:hanging="420"/>
      </w:pPr>
      <w:rPr>
        <w:rFonts w:hint="default"/>
        <w:lang w:val="zh-CN" w:eastAsia="zh-CN" w:bidi="zh-CN"/>
      </w:rPr>
    </w:lvl>
    <w:lvl w:ilvl="3" w:tentative="0">
      <w:start w:val="0"/>
      <w:numFmt w:val="bullet"/>
      <w:lvlText w:val="•"/>
      <w:lvlJc w:val="left"/>
      <w:pPr>
        <w:ind w:left="2713" w:hanging="420"/>
      </w:pPr>
      <w:rPr>
        <w:rFonts w:hint="default"/>
        <w:lang w:val="zh-CN" w:eastAsia="zh-CN" w:bidi="zh-CN"/>
      </w:rPr>
    </w:lvl>
    <w:lvl w:ilvl="4" w:tentative="0">
      <w:start w:val="0"/>
      <w:numFmt w:val="bullet"/>
      <w:lvlText w:val="•"/>
      <w:lvlJc w:val="left"/>
      <w:pPr>
        <w:ind w:left="3826" w:hanging="420"/>
      </w:pPr>
      <w:rPr>
        <w:rFonts w:hint="default"/>
        <w:lang w:val="zh-CN" w:eastAsia="zh-CN" w:bidi="zh-CN"/>
      </w:rPr>
    </w:lvl>
    <w:lvl w:ilvl="5" w:tentative="0">
      <w:start w:val="0"/>
      <w:numFmt w:val="bullet"/>
      <w:lvlText w:val="•"/>
      <w:lvlJc w:val="left"/>
      <w:pPr>
        <w:ind w:left="4939" w:hanging="420"/>
      </w:pPr>
      <w:rPr>
        <w:rFonts w:hint="default"/>
        <w:lang w:val="zh-CN" w:eastAsia="zh-CN" w:bidi="zh-CN"/>
      </w:rPr>
    </w:lvl>
    <w:lvl w:ilvl="6" w:tentative="0">
      <w:start w:val="0"/>
      <w:numFmt w:val="bullet"/>
      <w:lvlText w:val="•"/>
      <w:lvlJc w:val="left"/>
      <w:pPr>
        <w:ind w:left="6053" w:hanging="420"/>
      </w:pPr>
      <w:rPr>
        <w:rFonts w:hint="default"/>
        <w:lang w:val="zh-CN" w:eastAsia="zh-CN" w:bidi="zh-CN"/>
      </w:rPr>
    </w:lvl>
    <w:lvl w:ilvl="7" w:tentative="0">
      <w:start w:val="0"/>
      <w:numFmt w:val="bullet"/>
      <w:lvlText w:val="•"/>
      <w:lvlJc w:val="left"/>
      <w:pPr>
        <w:ind w:left="7166" w:hanging="420"/>
      </w:pPr>
      <w:rPr>
        <w:rFonts w:hint="default"/>
        <w:lang w:val="zh-CN" w:eastAsia="zh-CN" w:bidi="zh-CN"/>
      </w:rPr>
    </w:lvl>
    <w:lvl w:ilvl="8" w:tentative="0">
      <w:start w:val="0"/>
      <w:numFmt w:val="bullet"/>
      <w:lvlText w:val="•"/>
      <w:lvlJc w:val="left"/>
      <w:pPr>
        <w:ind w:left="8279" w:hanging="420"/>
      </w:pPr>
      <w:rPr>
        <w:rFonts w:hint="default"/>
        <w:lang w:val="zh-CN" w:eastAsia="zh-CN" w:bidi="zh-CN"/>
      </w:rPr>
    </w:lvl>
  </w:abstractNum>
  <w:abstractNum w:abstractNumId="4">
    <w:nsid w:val="00000004"/>
    <w:multiLevelType w:val="multilevel"/>
    <w:tmpl w:val="00000004"/>
    <w:lvl w:ilvl="0" w:tentative="0">
      <w:start w:val="6"/>
      <w:numFmt w:val="decimal"/>
      <w:lvlText w:val="%1."/>
      <w:lvlJc w:val="left"/>
      <w:pPr>
        <w:ind w:left="1481"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80"/>
        <w:jc w:val="left"/>
      </w:pPr>
      <w:rPr>
        <w:rFonts w:hint="default" w:ascii="宋体" w:hAnsi="宋体" w:eastAsia="宋体" w:cs="宋体"/>
        <w:spacing w:val="-17"/>
        <w:w w:val="100"/>
        <w:sz w:val="24"/>
        <w:szCs w:val="24"/>
        <w:lang w:val="zh-CN" w:eastAsia="zh-CN" w:bidi="zh-CN"/>
      </w:rPr>
    </w:lvl>
    <w:lvl w:ilvl="2" w:tentative="0">
      <w:start w:val="0"/>
      <w:numFmt w:val="bullet"/>
      <w:lvlText w:val="•"/>
      <w:lvlJc w:val="left"/>
      <w:pPr>
        <w:ind w:left="1480" w:hanging="480"/>
      </w:pPr>
      <w:rPr>
        <w:rFonts w:hint="default"/>
        <w:lang w:val="zh-CN" w:eastAsia="zh-CN" w:bidi="zh-CN"/>
      </w:rPr>
    </w:lvl>
    <w:lvl w:ilvl="3" w:tentative="0">
      <w:start w:val="0"/>
      <w:numFmt w:val="bullet"/>
      <w:lvlText w:val="•"/>
      <w:lvlJc w:val="left"/>
      <w:pPr>
        <w:ind w:left="2608" w:hanging="480"/>
      </w:pPr>
      <w:rPr>
        <w:rFonts w:hint="default"/>
        <w:lang w:val="zh-CN" w:eastAsia="zh-CN" w:bidi="zh-CN"/>
      </w:rPr>
    </w:lvl>
    <w:lvl w:ilvl="4" w:tentative="0">
      <w:start w:val="0"/>
      <w:numFmt w:val="bullet"/>
      <w:lvlText w:val="•"/>
      <w:lvlJc w:val="left"/>
      <w:pPr>
        <w:ind w:left="3736" w:hanging="480"/>
      </w:pPr>
      <w:rPr>
        <w:rFonts w:hint="default"/>
        <w:lang w:val="zh-CN" w:eastAsia="zh-CN" w:bidi="zh-CN"/>
      </w:rPr>
    </w:lvl>
    <w:lvl w:ilvl="5" w:tentative="0">
      <w:start w:val="0"/>
      <w:numFmt w:val="bullet"/>
      <w:lvlText w:val="•"/>
      <w:lvlJc w:val="left"/>
      <w:pPr>
        <w:ind w:left="4864" w:hanging="480"/>
      </w:pPr>
      <w:rPr>
        <w:rFonts w:hint="default"/>
        <w:lang w:val="zh-CN" w:eastAsia="zh-CN" w:bidi="zh-CN"/>
      </w:rPr>
    </w:lvl>
    <w:lvl w:ilvl="6" w:tentative="0">
      <w:start w:val="0"/>
      <w:numFmt w:val="bullet"/>
      <w:lvlText w:val="•"/>
      <w:lvlJc w:val="left"/>
      <w:pPr>
        <w:ind w:left="5993" w:hanging="480"/>
      </w:pPr>
      <w:rPr>
        <w:rFonts w:hint="default"/>
        <w:lang w:val="zh-CN" w:eastAsia="zh-CN" w:bidi="zh-CN"/>
      </w:rPr>
    </w:lvl>
    <w:lvl w:ilvl="7" w:tentative="0">
      <w:start w:val="0"/>
      <w:numFmt w:val="bullet"/>
      <w:lvlText w:val="•"/>
      <w:lvlJc w:val="left"/>
      <w:pPr>
        <w:ind w:left="7121" w:hanging="480"/>
      </w:pPr>
      <w:rPr>
        <w:rFonts w:hint="default"/>
        <w:lang w:val="zh-CN" w:eastAsia="zh-CN" w:bidi="zh-CN"/>
      </w:rPr>
    </w:lvl>
    <w:lvl w:ilvl="8" w:tentative="0">
      <w:start w:val="0"/>
      <w:numFmt w:val="bullet"/>
      <w:lvlText w:val="•"/>
      <w:lvlJc w:val="left"/>
      <w:pPr>
        <w:ind w:left="8249" w:hanging="480"/>
      </w:pPr>
      <w:rPr>
        <w:rFonts w:hint="default"/>
        <w:lang w:val="zh-CN" w:eastAsia="zh-CN" w:bidi="zh-CN"/>
      </w:rPr>
    </w:lvl>
  </w:abstractNum>
  <w:abstractNum w:abstractNumId="5">
    <w:nsid w:val="00000005"/>
    <w:multiLevelType w:val="multilevel"/>
    <w:tmpl w:val="00000005"/>
    <w:lvl w:ilvl="0" w:tentative="0">
      <w:start w:val="8"/>
      <w:numFmt w:val="decimal"/>
      <w:lvlText w:val="%1"/>
      <w:lvlJc w:val="left"/>
      <w:pPr>
        <w:ind w:left="637" w:hanging="483"/>
        <w:jc w:val="left"/>
      </w:pPr>
      <w:rPr>
        <w:rFonts w:hint="default"/>
        <w:lang w:val="zh-CN" w:eastAsia="zh-CN" w:bidi="zh-CN"/>
      </w:rPr>
    </w:lvl>
    <w:lvl w:ilvl="1" w:tentative="0">
      <w:start w:val="1"/>
      <w:numFmt w:val="decimal"/>
      <w:lvlText w:val="%1.%2"/>
      <w:lvlJc w:val="left"/>
      <w:pPr>
        <w:ind w:left="637" w:hanging="48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13" w:hanging="483"/>
      </w:pPr>
      <w:rPr>
        <w:rFonts w:hint="default"/>
        <w:lang w:val="zh-CN" w:eastAsia="zh-CN" w:bidi="zh-CN"/>
      </w:rPr>
    </w:lvl>
    <w:lvl w:ilvl="3" w:tentative="0">
      <w:start w:val="0"/>
      <w:numFmt w:val="bullet"/>
      <w:lvlText w:val="•"/>
      <w:lvlJc w:val="left"/>
      <w:pPr>
        <w:ind w:left="3599" w:hanging="483"/>
      </w:pPr>
      <w:rPr>
        <w:rFonts w:hint="default"/>
        <w:lang w:val="zh-CN" w:eastAsia="zh-CN" w:bidi="zh-CN"/>
      </w:rPr>
    </w:lvl>
    <w:lvl w:ilvl="4" w:tentative="0">
      <w:start w:val="0"/>
      <w:numFmt w:val="bullet"/>
      <w:lvlText w:val="•"/>
      <w:lvlJc w:val="left"/>
      <w:pPr>
        <w:ind w:left="4586" w:hanging="483"/>
      </w:pPr>
      <w:rPr>
        <w:rFonts w:hint="default"/>
        <w:lang w:val="zh-CN" w:eastAsia="zh-CN" w:bidi="zh-CN"/>
      </w:rPr>
    </w:lvl>
    <w:lvl w:ilvl="5" w:tentative="0">
      <w:start w:val="0"/>
      <w:numFmt w:val="bullet"/>
      <w:lvlText w:val="•"/>
      <w:lvlJc w:val="left"/>
      <w:pPr>
        <w:ind w:left="5573" w:hanging="483"/>
      </w:pPr>
      <w:rPr>
        <w:rFonts w:hint="default"/>
        <w:lang w:val="zh-CN" w:eastAsia="zh-CN" w:bidi="zh-CN"/>
      </w:rPr>
    </w:lvl>
    <w:lvl w:ilvl="6" w:tentative="0">
      <w:start w:val="0"/>
      <w:numFmt w:val="bullet"/>
      <w:lvlText w:val="•"/>
      <w:lvlJc w:val="left"/>
      <w:pPr>
        <w:ind w:left="6559" w:hanging="483"/>
      </w:pPr>
      <w:rPr>
        <w:rFonts w:hint="default"/>
        <w:lang w:val="zh-CN" w:eastAsia="zh-CN" w:bidi="zh-CN"/>
      </w:rPr>
    </w:lvl>
    <w:lvl w:ilvl="7" w:tentative="0">
      <w:start w:val="0"/>
      <w:numFmt w:val="bullet"/>
      <w:lvlText w:val="•"/>
      <w:lvlJc w:val="left"/>
      <w:pPr>
        <w:ind w:left="7546" w:hanging="483"/>
      </w:pPr>
      <w:rPr>
        <w:rFonts w:hint="default"/>
        <w:lang w:val="zh-CN" w:eastAsia="zh-CN" w:bidi="zh-CN"/>
      </w:rPr>
    </w:lvl>
    <w:lvl w:ilvl="8" w:tentative="0">
      <w:start w:val="0"/>
      <w:numFmt w:val="bullet"/>
      <w:lvlText w:val="•"/>
      <w:lvlJc w:val="left"/>
      <w:pPr>
        <w:ind w:left="8532" w:hanging="483"/>
      </w:pPr>
      <w:rPr>
        <w:rFonts w:hint="default"/>
        <w:lang w:val="zh-CN" w:eastAsia="zh-CN" w:bidi="zh-CN"/>
      </w:rPr>
    </w:lvl>
  </w:abstractNum>
  <w:abstractNum w:abstractNumId="6">
    <w:nsid w:val="00000006"/>
    <w:multiLevelType w:val="multilevel"/>
    <w:tmpl w:val="00000006"/>
    <w:lvl w:ilvl="0" w:tentative="0">
      <w:start w:val="23"/>
      <w:numFmt w:val="decimal"/>
      <w:lvlText w:val="%1"/>
      <w:lvlJc w:val="left"/>
      <w:pPr>
        <w:ind w:left="1710" w:hanging="603"/>
        <w:jc w:val="left"/>
      </w:pPr>
      <w:rPr>
        <w:rFonts w:hint="default"/>
        <w:lang w:val="zh-CN" w:eastAsia="zh-CN" w:bidi="zh-CN"/>
      </w:rPr>
    </w:lvl>
    <w:lvl w:ilvl="1" w:tentative="0">
      <w:start w:val="6"/>
      <w:numFmt w:val="decimal"/>
      <w:lvlText w:val="%1.%2"/>
      <w:lvlJc w:val="left"/>
      <w:pPr>
        <w:ind w:left="1710" w:hanging="603"/>
        <w:jc w:val="left"/>
      </w:pPr>
      <w:rPr>
        <w:rFonts w:hint="default" w:ascii="宋体" w:hAnsi="宋体" w:eastAsia="宋体" w:cs="宋体"/>
        <w:b/>
        <w:bCs/>
        <w:w w:val="99"/>
        <w:sz w:val="24"/>
        <w:szCs w:val="24"/>
        <w:lang w:val="zh-CN" w:eastAsia="zh-CN" w:bidi="zh-CN"/>
      </w:rPr>
    </w:lvl>
    <w:lvl w:ilvl="2" w:tentative="0">
      <w:start w:val="1"/>
      <w:numFmt w:val="decimal"/>
      <w:lvlText w:val="%1.%2.%3"/>
      <w:lvlJc w:val="left"/>
      <w:pPr>
        <w:ind w:left="637"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672" w:hanging="780"/>
      </w:pPr>
      <w:rPr>
        <w:rFonts w:hint="default"/>
        <w:lang w:val="zh-CN" w:eastAsia="zh-CN" w:bidi="zh-CN"/>
      </w:rPr>
    </w:lvl>
    <w:lvl w:ilvl="4" w:tentative="0">
      <w:start w:val="0"/>
      <w:numFmt w:val="bullet"/>
      <w:lvlText w:val="•"/>
      <w:lvlJc w:val="left"/>
      <w:pPr>
        <w:ind w:left="4648" w:hanging="780"/>
      </w:pPr>
      <w:rPr>
        <w:rFonts w:hint="default"/>
        <w:lang w:val="zh-CN" w:eastAsia="zh-CN" w:bidi="zh-CN"/>
      </w:rPr>
    </w:lvl>
    <w:lvl w:ilvl="5" w:tentative="0">
      <w:start w:val="0"/>
      <w:numFmt w:val="bullet"/>
      <w:lvlText w:val="•"/>
      <w:lvlJc w:val="left"/>
      <w:pPr>
        <w:ind w:left="5624" w:hanging="780"/>
      </w:pPr>
      <w:rPr>
        <w:rFonts w:hint="default"/>
        <w:lang w:val="zh-CN" w:eastAsia="zh-CN" w:bidi="zh-CN"/>
      </w:rPr>
    </w:lvl>
    <w:lvl w:ilvl="6" w:tentative="0">
      <w:start w:val="0"/>
      <w:numFmt w:val="bullet"/>
      <w:lvlText w:val="•"/>
      <w:lvlJc w:val="left"/>
      <w:pPr>
        <w:ind w:left="6601" w:hanging="780"/>
      </w:pPr>
      <w:rPr>
        <w:rFonts w:hint="default"/>
        <w:lang w:val="zh-CN" w:eastAsia="zh-CN" w:bidi="zh-CN"/>
      </w:rPr>
    </w:lvl>
    <w:lvl w:ilvl="7" w:tentative="0">
      <w:start w:val="0"/>
      <w:numFmt w:val="bullet"/>
      <w:lvlText w:val="•"/>
      <w:lvlJc w:val="left"/>
      <w:pPr>
        <w:ind w:left="7577" w:hanging="780"/>
      </w:pPr>
      <w:rPr>
        <w:rFonts w:hint="default"/>
        <w:lang w:val="zh-CN" w:eastAsia="zh-CN" w:bidi="zh-CN"/>
      </w:rPr>
    </w:lvl>
    <w:lvl w:ilvl="8" w:tentative="0">
      <w:start w:val="0"/>
      <w:numFmt w:val="bullet"/>
      <w:lvlText w:val="•"/>
      <w:lvlJc w:val="left"/>
      <w:pPr>
        <w:ind w:left="8553" w:hanging="780"/>
      </w:pPr>
      <w:rPr>
        <w:rFonts w:hint="default"/>
        <w:lang w:val="zh-CN" w:eastAsia="zh-CN" w:bidi="zh-CN"/>
      </w:rPr>
    </w:lvl>
  </w:abstractNum>
  <w:abstractNum w:abstractNumId="7">
    <w:nsid w:val="00000007"/>
    <w:multiLevelType w:val="multilevel"/>
    <w:tmpl w:val="00000007"/>
    <w:lvl w:ilvl="0" w:tentative="0">
      <w:start w:val="1"/>
      <w:numFmt w:val="decimal"/>
      <w:lvlText w:val="%1"/>
      <w:lvlJc w:val="left"/>
      <w:pPr>
        <w:ind w:left="637" w:hanging="488"/>
        <w:jc w:val="left"/>
      </w:pPr>
      <w:rPr>
        <w:rFonts w:hint="default"/>
        <w:lang w:val="zh-CN" w:eastAsia="zh-CN" w:bidi="zh-CN"/>
      </w:rPr>
    </w:lvl>
    <w:lvl w:ilvl="1" w:tentative="0">
      <w:start w:val="1"/>
      <w:numFmt w:val="decimal"/>
      <w:lvlText w:val="%1.%2"/>
      <w:lvlJc w:val="left"/>
      <w:pPr>
        <w:ind w:left="637" w:hanging="488"/>
        <w:jc w:val="right"/>
      </w:pPr>
      <w:rPr>
        <w:rFonts w:hint="default"/>
        <w:w w:val="100"/>
        <w:lang w:val="zh-CN" w:eastAsia="zh-CN" w:bidi="zh-CN"/>
      </w:rPr>
    </w:lvl>
    <w:lvl w:ilvl="2" w:tentative="0">
      <w:start w:val="0"/>
      <w:numFmt w:val="bullet"/>
      <w:lvlText w:val="•"/>
      <w:lvlJc w:val="left"/>
      <w:pPr>
        <w:ind w:left="2613" w:hanging="488"/>
      </w:pPr>
      <w:rPr>
        <w:rFonts w:hint="default"/>
        <w:lang w:val="zh-CN" w:eastAsia="zh-CN" w:bidi="zh-CN"/>
      </w:rPr>
    </w:lvl>
    <w:lvl w:ilvl="3" w:tentative="0">
      <w:start w:val="0"/>
      <w:numFmt w:val="bullet"/>
      <w:lvlText w:val="•"/>
      <w:lvlJc w:val="left"/>
      <w:pPr>
        <w:ind w:left="3599" w:hanging="488"/>
      </w:pPr>
      <w:rPr>
        <w:rFonts w:hint="default"/>
        <w:lang w:val="zh-CN" w:eastAsia="zh-CN" w:bidi="zh-CN"/>
      </w:rPr>
    </w:lvl>
    <w:lvl w:ilvl="4" w:tentative="0">
      <w:start w:val="0"/>
      <w:numFmt w:val="bullet"/>
      <w:lvlText w:val="•"/>
      <w:lvlJc w:val="left"/>
      <w:pPr>
        <w:ind w:left="4586" w:hanging="488"/>
      </w:pPr>
      <w:rPr>
        <w:rFonts w:hint="default"/>
        <w:lang w:val="zh-CN" w:eastAsia="zh-CN" w:bidi="zh-CN"/>
      </w:rPr>
    </w:lvl>
    <w:lvl w:ilvl="5" w:tentative="0">
      <w:start w:val="0"/>
      <w:numFmt w:val="bullet"/>
      <w:lvlText w:val="•"/>
      <w:lvlJc w:val="left"/>
      <w:pPr>
        <w:ind w:left="5573" w:hanging="488"/>
      </w:pPr>
      <w:rPr>
        <w:rFonts w:hint="default"/>
        <w:lang w:val="zh-CN" w:eastAsia="zh-CN" w:bidi="zh-CN"/>
      </w:rPr>
    </w:lvl>
    <w:lvl w:ilvl="6" w:tentative="0">
      <w:start w:val="0"/>
      <w:numFmt w:val="bullet"/>
      <w:lvlText w:val="•"/>
      <w:lvlJc w:val="left"/>
      <w:pPr>
        <w:ind w:left="6559" w:hanging="488"/>
      </w:pPr>
      <w:rPr>
        <w:rFonts w:hint="default"/>
        <w:lang w:val="zh-CN" w:eastAsia="zh-CN" w:bidi="zh-CN"/>
      </w:rPr>
    </w:lvl>
    <w:lvl w:ilvl="7" w:tentative="0">
      <w:start w:val="0"/>
      <w:numFmt w:val="bullet"/>
      <w:lvlText w:val="•"/>
      <w:lvlJc w:val="left"/>
      <w:pPr>
        <w:ind w:left="7546" w:hanging="488"/>
      </w:pPr>
      <w:rPr>
        <w:rFonts w:hint="default"/>
        <w:lang w:val="zh-CN" w:eastAsia="zh-CN" w:bidi="zh-CN"/>
      </w:rPr>
    </w:lvl>
    <w:lvl w:ilvl="8" w:tentative="0">
      <w:start w:val="0"/>
      <w:numFmt w:val="bullet"/>
      <w:lvlText w:val="•"/>
      <w:lvlJc w:val="left"/>
      <w:pPr>
        <w:ind w:left="8532" w:hanging="488"/>
      </w:pPr>
      <w:rPr>
        <w:rFonts w:hint="default"/>
        <w:lang w:val="zh-CN" w:eastAsia="zh-CN" w:bidi="zh-CN"/>
      </w:rPr>
    </w:lvl>
  </w:abstractNum>
  <w:abstractNum w:abstractNumId="8">
    <w:nsid w:val="00000008"/>
    <w:multiLevelType w:val="multilevel"/>
    <w:tmpl w:val="00000008"/>
    <w:lvl w:ilvl="0" w:tentative="0">
      <w:start w:val="1"/>
      <w:numFmt w:val="decimal"/>
      <w:lvlText w:val="%1."/>
      <w:lvlJc w:val="left"/>
      <w:pPr>
        <w:ind w:left="637" w:hanging="363"/>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1958"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909" w:hanging="601"/>
      </w:pPr>
      <w:rPr>
        <w:rFonts w:hint="default"/>
        <w:lang w:val="zh-CN" w:eastAsia="zh-CN" w:bidi="zh-CN"/>
      </w:rPr>
    </w:lvl>
    <w:lvl w:ilvl="3" w:tentative="0">
      <w:start w:val="0"/>
      <w:numFmt w:val="bullet"/>
      <w:lvlText w:val="•"/>
      <w:lvlJc w:val="left"/>
      <w:pPr>
        <w:ind w:left="3859" w:hanging="601"/>
      </w:pPr>
      <w:rPr>
        <w:rFonts w:hint="default"/>
        <w:lang w:val="zh-CN" w:eastAsia="zh-CN" w:bidi="zh-CN"/>
      </w:rPr>
    </w:lvl>
    <w:lvl w:ilvl="4" w:tentative="0">
      <w:start w:val="0"/>
      <w:numFmt w:val="bullet"/>
      <w:lvlText w:val="•"/>
      <w:lvlJc w:val="left"/>
      <w:pPr>
        <w:ind w:left="4808" w:hanging="601"/>
      </w:pPr>
      <w:rPr>
        <w:rFonts w:hint="default"/>
        <w:lang w:val="zh-CN" w:eastAsia="zh-CN" w:bidi="zh-CN"/>
      </w:rPr>
    </w:lvl>
    <w:lvl w:ilvl="5" w:tentative="0">
      <w:start w:val="0"/>
      <w:numFmt w:val="bullet"/>
      <w:lvlText w:val="•"/>
      <w:lvlJc w:val="left"/>
      <w:pPr>
        <w:ind w:left="5758" w:hanging="601"/>
      </w:pPr>
      <w:rPr>
        <w:rFonts w:hint="default"/>
        <w:lang w:val="zh-CN" w:eastAsia="zh-CN" w:bidi="zh-CN"/>
      </w:rPr>
    </w:lvl>
    <w:lvl w:ilvl="6" w:tentative="0">
      <w:start w:val="0"/>
      <w:numFmt w:val="bullet"/>
      <w:lvlText w:val="•"/>
      <w:lvlJc w:val="left"/>
      <w:pPr>
        <w:ind w:left="6707" w:hanging="601"/>
      </w:pPr>
      <w:rPr>
        <w:rFonts w:hint="default"/>
        <w:lang w:val="zh-CN" w:eastAsia="zh-CN" w:bidi="zh-CN"/>
      </w:rPr>
    </w:lvl>
    <w:lvl w:ilvl="7" w:tentative="0">
      <w:start w:val="0"/>
      <w:numFmt w:val="bullet"/>
      <w:lvlText w:val="•"/>
      <w:lvlJc w:val="left"/>
      <w:pPr>
        <w:ind w:left="7657" w:hanging="601"/>
      </w:pPr>
      <w:rPr>
        <w:rFonts w:hint="default"/>
        <w:lang w:val="zh-CN" w:eastAsia="zh-CN" w:bidi="zh-CN"/>
      </w:rPr>
    </w:lvl>
    <w:lvl w:ilvl="8" w:tentative="0">
      <w:start w:val="0"/>
      <w:numFmt w:val="bullet"/>
      <w:lvlText w:val="•"/>
      <w:lvlJc w:val="left"/>
      <w:pPr>
        <w:ind w:left="8606" w:hanging="601"/>
      </w:pPr>
      <w:rPr>
        <w:rFonts w:hint="default"/>
        <w:lang w:val="zh-CN" w:eastAsia="zh-CN" w:bidi="zh-CN"/>
      </w:rPr>
    </w:lvl>
  </w:abstractNum>
  <w:abstractNum w:abstractNumId="9">
    <w:nsid w:val="00000009"/>
    <w:multiLevelType w:val="multilevel"/>
    <w:tmpl w:val="00000009"/>
    <w:lvl w:ilvl="0" w:tentative="0">
      <w:start w:val="4"/>
      <w:numFmt w:val="decimal"/>
      <w:lvlText w:val="%1"/>
      <w:lvlJc w:val="left"/>
      <w:pPr>
        <w:ind w:left="637" w:hanging="420"/>
        <w:jc w:val="left"/>
      </w:pPr>
      <w:rPr>
        <w:rFonts w:hint="default"/>
        <w:lang w:val="zh-CN" w:eastAsia="zh-CN" w:bidi="zh-CN"/>
      </w:rPr>
    </w:lvl>
    <w:lvl w:ilvl="1" w:tentative="0">
      <w:start w:val="1"/>
      <w:numFmt w:val="decimal"/>
      <w:lvlText w:val="%1.%2"/>
      <w:lvlJc w:val="left"/>
      <w:pPr>
        <w:ind w:left="637"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13" w:hanging="420"/>
      </w:pPr>
      <w:rPr>
        <w:rFonts w:hint="default"/>
        <w:lang w:val="zh-CN" w:eastAsia="zh-CN" w:bidi="zh-CN"/>
      </w:rPr>
    </w:lvl>
    <w:lvl w:ilvl="3" w:tentative="0">
      <w:start w:val="0"/>
      <w:numFmt w:val="bullet"/>
      <w:lvlText w:val="•"/>
      <w:lvlJc w:val="left"/>
      <w:pPr>
        <w:ind w:left="3599" w:hanging="420"/>
      </w:pPr>
      <w:rPr>
        <w:rFonts w:hint="default"/>
        <w:lang w:val="zh-CN" w:eastAsia="zh-CN" w:bidi="zh-CN"/>
      </w:rPr>
    </w:lvl>
    <w:lvl w:ilvl="4" w:tentative="0">
      <w:start w:val="0"/>
      <w:numFmt w:val="bullet"/>
      <w:lvlText w:val="•"/>
      <w:lvlJc w:val="left"/>
      <w:pPr>
        <w:ind w:left="4586" w:hanging="420"/>
      </w:pPr>
      <w:rPr>
        <w:rFonts w:hint="default"/>
        <w:lang w:val="zh-CN" w:eastAsia="zh-CN" w:bidi="zh-CN"/>
      </w:rPr>
    </w:lvl>
    <w:lvl w:ilvl="5" w:tentative="0">
      <w:start w:val="0"/>
      <w:numFmt w:val="bullet"/>
      <w:lvlText w:val="•"/>
      <w:lvlJc w:val="left"/>
      <w:pPr>
        <w:ind w:left="5573" w:hanging="420"/>
      </w:pPr>
      <w:rPr>
        <w:rFonts w:hint="default"/>
        <w:lang w:val="zh-CN" w:eastAsia="zh-CN" w:bidi="zh-CN"/>
      </w:rPr>
    </w:lvl>
    <w:lvl w:ilvl="6" w:tentative="0">
      <w:start w:val="0"/>
      <w:numFmt w:val="bullet"/>
      <w:lvlText w:val="•"/>
      <w:lvlJc w:val="left"/>
      <w:pPr>
        <w:ind w:left="6559" w:hanging="420"/>
      </w:pPr>
      <w:rPr>
        <w:rFonts w:hint="default"/>
        <w:lang w:val="zh-CN" w:eastAsia="zh-CN" w:bidi="zh-CN"/>
      </w:rPr>
    </w:lvl>
    <w:lvl w:ilvl="7" w:tentative="0">
      <w:start w:val="0"/>
      <w:numFmt w:val="bullet"/>
      <w:lvlText w:val="•"/>
      <w:lvlJc w:val="left"/>
      <w:pPr>
        <w:ind w:left="7546" w:hanging="420"/>
      </w:pPr>
      <w:rPr>
        <w:rFonts w:hint="default"/>
        <w:lang w:val="zh-CN" w:eastAsia="zh-CN" w:bidi="zh-CN"/>
      </w:rPr>
    </w:lvl>
    <w:lvl w:ilvl="8" w:tentative="0">
      <w:start w:val="0"/>
      <w:numFmt w:val="bullet"/>
      <w:lvlText w:val="•"/>
      <w:lvlJc w:val="left"/>
      <w:pPr>
        <w:ind w:left="8532" w:hanging="420"/>
      </w:pPr>
      <w:rPr>
        <w:rFonts w:hint="default"/>
        <w:lang w:val="zh-CN" w:eastAsia="zh-CN" w:bidi="zh-CN"/>
      </w:rPr>
    </w:lvl>
  </w:abstractNum>
  <w:abstractNum w:abstractNumId="10">
    <w:nsid w:val="0000000A"/>
    <w:multiLevelType w:val="singleLevel"/>
    <w:tmpl w:val="0000000A"/>
    <w:lvl w:ilvl="0" w:tentative="0">
      <w:start w:val="1"/>
      <w:numFmt w:val="chineseCounting"/>
      <w:suff w:val="space"/>
      <w:lvlText w:val="第%1部分"/>
      <w:lvlJc w:val="left"/>
      <w:pPr>
        <w:ind w:left="4180" w:leftChars="0" w:firstLine="0" w:firstLineChars="0"/>
      </w:pPr>
      <w:rPr>
        <w:rFonts w:hint="eastAsia"/>
      </w:rPr>
    </w:lvl>
  </w:abstractNum>
  <w:abstractNum w:abstractNumId="11">
    <w:nsid w:val="0000000B"/>
    <w:multiLevelType w:val="multilevel"/>
    <w:tmpl w:val="0000000B"/>
    <w:lvl w:ilvl="0" w:tentative="0">
      <w:start w:val="5"/>
      <w:numFmt w:val="decimal"/>
      <w:lvlText w:val="%1."/>
      <w:lvlJc w:val="left"/>
      <w:pPr>
        <w:ind w:left="1478"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80"/>
        <w:jc w:val="left"/>
      </w:pPr>
      <w:rPr>
        <w:rFonts w:hint="default" w:ascii="宋体" w:hAnsi="宋体" w:eastAsia="宋体" w:cs="宋体"/>
        <w:spacing w:val="-22"/>
        <w:w w:val="100"/>
        <w:sz w:val="24"/>
        <w:szCs w:val="24"/>
        <w:lang w:val="zh-CN" w:eastAsia="zh-CN" w:bidi="zh-CN"/>
      </w:rPr>
    </w:lvl>
    <w:lvl w:ilvl="2" w:tentative="0">
      <w:start w:val="0"/>
      <w:numFmt w:val="bullet"/>
      <w:lvlText w:val="•"/>
      <w:lvlJc w:val="left"/>
      <w:pPr>
        <w:ind w:left="2482" w:hanging="480"/>
      </w:pPr>
      <w:rPr>
        <w:rFonts w:hint="default"/>
        <w:lang w:val="zh-CN" w:eastAsia="zh-CN" w:bidi="zh-CN"/>
      </w:rPr>
    </w:lvl>
    <w:lvl w:ilvl="3" w:tentative="0">
      <w:start w:val="0"/>
      <w:numFmt w:val="bullet"/>
      <w:lvlText w:val="•"/>
      <w:lvlJc w:val="left"/>
      <w:pPr>
        <w:ind w:left="3485" w:hanging="480"/>
      </w:pPr>
      <w:rPr>
        <w:rFonts w:hint="default"/>
        <w:lang w:val="zh-CN" w:eastAsia="zh-CN" w:bidi="zh-CN"/>
      </w:rPr>
    </w:lvl>
    <w:lvl w:ilvl="4" w:tentative="0">
      <w:start w:val="0"/>
      <w:numFmt w:val="bullet"/>
      <w:lvlText w:val="•"/>
      <w:lvlJc w:val="left"/>
      <w:pPr>
        <w:ind w:left="4488" w:hanging="480"/>
      </w:pPr>
      <w:rPr>
        <w:rFonts w:hint="default"/>
        <w:lang w:val="zh-CN" w:eastAsia="zh-CN" w:bidi="zh-CN"/>
      </w:rPr>
    </w:lvl>
    <w:lvl w:ilvl="5" w:tentative="0">
      <w:start w:val="0"/>
      <w:numFmt w:val="bullet"/>
      <w:lvlText w:val="•"/>
      <w:lvlJc w:val="left"/>
      <w:pPr>
        <w:ind w:left="5491" w:hanging="480"/>
      </w:pPr>
      <w:rPr>
        <w:rFonts w:hint="default"/>
        <w:lang w:val="zh-CN" w:eastAsia="zh-CN" w:bidi="zh-CN"/>
      </w:rPr>
    </w:lvl>
    <w:lvl w:ilvl="6" w:tentative="0">
      <w:start w:val="0"/>
      <w:numFmt w:val="bullet"/>
      <w:lvlText w:val="•"/>
      <w:lvlJc w:val="left"/>
      <w:pPr>
        <w:ind w:left="6494" w:hanging="480"/>
      </w:pPr>
      <w:rPr>
        <w:rFonts w:hint="default"/>
        <w:lang w:val="zh-CN" w:eastAsia="zh-CN" w:bidi="zh-CN"/>
      </w:rPr>
    </w:lvl>
    <w:lvl w:ilvl="7" w:tentative="0">
      <w:start w:val="0"/>
      <w:numFmt w:val="bullet"/>
      <w:lvlText w:val="•"/>
      <w:lvlJc w:val="left"/>
      <w:pPr>
        <w:ind w:left="7497" w:hanging="480"/>
      </w:pPr>
      <w:rPr>
        <w:rFonts w:hint="default"/>
        <w:lang w:val="zh-CN" w:eastAsia="zh-CN" w:bidi="zh-CN"/>
      </w:rPr>
    </w:lvl>
    <w:lvl w:ilvl="8" w:tentative="0">
      <w:start w:val="0"/>
      <w:numFmt w:val="bullet"/>
      <w:lvlText w:val="•"/>
      <w:lvlJc w:val="left"/>
      <w:pPr>
        <w:ind w:left="8500" w:hanging="480"/>
      </w:pPr>
      <w:rPr>
        <w:rFonts w:hint="default"/>
        <w:lang w:val="zh-CN" w:eastAsia="zh-CN" w:bidi="zh-CN"/>
      </w:rPr>
    </w:lvl>
  </w:abstractNum>
  <w:abstractNum w:abstractNumId="12">
    <w:nsid w:val="0000000C"/>
    <w:multiLevelType w:val="multilevel"/>
    <w:tmpl w:val="0000000C"/>
    <w:lvl w:ilvl="0" w:tentative="0">
      <w:start w:val="1"/>
      <w:numFmt w:val="decimal"/>
      <w:lvlText w:val="%1."/>
      <w:lvlJc w:val="left"/>
      <w:pPr>
        <w:ind w:left="1420" w:hanging="363"/>
        <w:jc w:val="left"/>
      </w:pPr>
      <w:rPr>
        <w:rFonts w:hint="default"/>
        <w:b/>
        <w:bCs/>
        <w:spacing w:val="0"/>
        <w:w w:val="99"/>
        <w:lang w:val="zh-CN" w:eastAsia="zh-CN" w:bidi="zh-CN"/>
      </w:rPr>
    </w:lvl>
    <w:lvl w:ilvl="1" w:tentative="0">
      <w:start w:val="1"/>
      <w:numFmt w:val="decimal"/>
      <w:lvlText w:val="%1.%2"/>
      <w:lvlJc w:val="left"/>
      <w:pPr>
        <w:ind w:left="637" w:hanging="603"/>
        <w:jc w:val="left"/>
      </w:pPr>
      <w:rPr>
        <w:rFonts w:hint="default"/>
        <w:w w:val="100"/>
        <w:lang w:val="zh-CN" w:eastAsia="zh-CN" w:bidi="zh-CN"/>
      </w:rPr>
    </w:lvl>
    <w:lvl w:ilvl="2" w:tentative="0">
      <w:start w:val="0"/>
      <w:numFmt w:val="bullet"/>
      <w:lvlText w:val="•"/>
      <w:lvlJc w:val="left"/>
      <w:pPr>
        <w:ind w:left="1600" w:hanging="603"/>
      </w:pPr>
      <w:rPr>
        <w:rFonts w:hint="default"/>
        <w:lang w:val="zh-CN" w:eastAsia="zh-CN" w:bidi="zh-CN"/>
      </w:rPr>
    </w:lvl>
    <w:lvl w:ilvl="3" w:tentative="0">
      <w:start w:val="0"/>
      <w:numFmt w:val="bullet"/>
      <w:lvlText w:val="•"/>
      <w:lvlJc w:val="left"/>
      <w:pPr>
        <w:ind w:left="2713" w:hanging="603"/>
      </w:pPr>
      <w:rPr>
        <w:rFonts w:hint="default"/>
        <w:lang w:val="zh-CN" w:eastAsia="zh-CN" w:bidi="zh-CN"/>
      </w:rPr>
    </w:lvl>
    <w:lvl w:ilvl="4" w:tentative="0">
      <w:start w:val="0"/>
      <w:numFmt w:val="bullet"/>
      <w:lvlText w:val="•"/>
      <w:lvlJc w:val="left"/>
      <w:pPr>
        <w:ind w:left="3826" w:hanging="603"/>
      </w:pPr>
      <w:rPr>
        <w:rFonts w:hint="default"/>
        <w:lang w:val="zh-CN" w:eastAsia="zh-CN" w:bidi="zh-CN"/>
      </w:rPr>
    </w:lvl>
    <w:lvl w:ilvl="5" w:tentative="0">
      <w:start w:val="0"/>
      <w:numFmt w:val="bullet"/>
      <w:lvlText w:val="•"/>
      <w:lvlJc w:val="left"/>
      <w:pPr>
        <w:ind w:left="4939" w:hanging="603"/>
      </w:pPr>
      <w:rPr>
        <w:rFonts w:hint="default"/>
        <w:lang w:val="zh-CN" w:eastAsia="zh-CN" w:bidi="zh-CN"/>
      </w:rPr>
    </w:lvl>
    <w:lvl w:ilvl="6" w:tentative="0">
      <w:start w:val="0"/>
      <w:numFmt w:val="bullet"/>
      <w:lvlText w:val="•"/>
      <w:lvlJc w:val="left"/>
      <w:pPr>
        <w:ind w:left="6053" w:hanging="603"/>
      </w:pPr>
      <w:rPr>
        <w:rFonts w:hint="default"/>
        <w:lang w:val="zh-CN" w:eastAsia="zh-CN" w:bidi="zh-CN"/>
      </w:rPr>
    </w:lvl>
    <w:lvl w:ilvl="7" w:tentative="0">
      <w:start w:val="0"/>
      <w:numFmt w:val="bullet"/>
      <w:lvlText w:val="•"/>
      <w:lvlJc w:val="left"/>
      <w:pPr>
        <w:ind w:left="7166" w:hanging="603"/>
      </w:pPr>
      <w:rPr>
        <w:rFonts w:hint="default"/>
        <w:lang w:val="zh-CN" w:eastAsia="zh-CN" w:bidi="zh-CN"/>
      </w:rPr>
    </w:lvl>
    <w:lvl w:ilvl="8" w:tentative="0">
      <w:start w:val="0"/>
      <w:numFmt w:val="bullet"/>
      <w:lvlText w:val="•"/>
      <w:lvlJc w:val="left"/>
      <w:pPr>
        <w:ind w:left="8279" w:hanging="603"/>
      </w:pPr>
      <w:rPr>
        <w:rFonts w:hint="default"/>
        <w:lang w:val="zh-CN" w:eastAsia="zh-CN" w:bidi="zh-CN"/>
      </w:rPr>
    </w:lvl>
  </w:abstractNum>
  <w:abstractNum w:abstractNumId="13">
    <w:nsid w:val="0000000D"/>
    <w:multiLevelType w:val="multilevel"/>
    <w:tmpl w:val="0000000D"/>
    <w:lvl w:ilvl="0" w:tentative="0">
      <w:start w:val="1"/>
      <w:numFmt w:val="decimal"/>
      <w:lvlText w:val="（%1）"/>
      <w:lvlJc w:val="left"/>
      <w:pPr>
        <w:ind w:left="172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98" w:hanging="601"/>
      </w:pPr>
      <w:rPr>
        <w:rFonts w:hint="default"/>
        <w:lang w:val="zh-CN" w:eastAsia="zh-CN" w:bidi="zh-CN"/>
      </w:rPr>
    </w:lvl>
    <w:lvl w:ilvl="2" w:tentative="0">
      <w:start w:val="0"/>
      <w:numFmt w:val="bullet"/>
      <w:lvlText w:val="•"/>
      <w:lvlJc w:val="left"/>
      <w:pPr>
        <w:ind w:left="3477" w:hanging="601"/>
      </w:pPr>
      <w:rPr>
        <w:rFonts w:hint="default"/>
        <w:lang w:val="zh-CN" w:eastAsia="zh-CN" w:bidi="zh-CN"/>
      </w:rPr>
    </w:lvl>
    <w:lvl w:ilvl="3" w:tentative="0">
      <w:start w:val="0"/>
      <w:numFmt w:val="bullet"/>
      <w:lvlText w:val="•"/>
      <w:lvlJc w:val="left"/>
      <w:pPr>
        <w:ind w:left="435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13" w:hanging="601"/>
      </w:pPr>
      <w:rPr>
        <w:rFonts w:hint="default"/>
        <w:lang w:val="zh-CN" w:eastAsia="zh-CN" w:bidi="zh-CN"/>
      </w:rPr>
    </w:lvl>
    <w:lvl w:ilvl="6" w:tentative="0">
      <w:start w:val="0"/>
      <w:numFmt w:val="bullet"/>
      <w:lvlText w:val="•"/>
      <w:lvlJc w:val="left"/>
      <w:pPr>
        <w:ind w:left="6991" w:hanging="601"/>
      </w:pPr>
      <w:rPr>
        <w:rFonts w:hint="default"/>
        <w:lang w:val="zh-CN" w:eastAsia="zh-CN" w:bidi="zh-CN"/>
      </w:rPr>
    </w:lvl>
    <w:lvl w:ilvl="7" w:tentative="0">
      <w:start w:val="0"/>
      <w:numFmt w:val="bullet"/>
      <w:lvlText w:val="•"/>
      <w:lvlJc w:val="left"/>
      <w:pPr>
        <w:ind w:left="7870" w:hanging="601"/>
      </w:pPr>
      <w:rPr>
        <w:rFonts w:hint="default"/>
        <w:lang w:val="zh-CN" w:eastAsia="zh-CN" w:bidi="zh-CN"/>
      </w:rPr>
    </w:lvl>
    <w:lvl w:ilvl="8" w:tentative="0">
      <w:start w:val="0"/>
      <w:numFmt w:val="bullet"/>
      <w:lvlText w:val="•"/>
      <w:lvlJc w:val="left"/>
      <w:pPr>
        <w:ind w:left="8748" w:hanging="601"/>
      </w:pPr>
      <w:rPr>
        <w:rFonts w:hint="default"/>
        <w:lang w:val="zh-CN" w:eastAsia="zh-CN" w:bidi="zh-CN"/>
      </w:rPr>
    </w:lvl>
  </w:abstractNum>
  <w:abstractNum w:abstractNumId="14">
    <w:nsid w:val="0000000E"/>
    <w:multiLevelType w:val="multilevel"/>
    <w:tmpl w:val="0000000E"/>
    <w:lvl w:ilvl="0" w:tentative="0">
      <w:start w:val="27"/>
      <w:numFmt w:val="decimal"/>
      <w:lvlText w:val="%1."/>
      <w:lvlJc w:val="left"/>
      <w:pPr>
        <w:ind w:left="1598"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637"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89" w:hanging="540"/>
      </w:pPr>
      <w:rPr>
        <w:rFonts w:hint="default"/>
        <w:lang w:val="zh-CN" w:eastAsia="zh-CN" w:bidi="zh-CN"/>
      </w:rPr>
    </w:lvl>
    <w:lvl w:ilvl="3" w:tentative="0">
      <w:start w:val="0"/>
      <w:numFmt w:val="bullet"/>
      <w:lvlText w:val="•"/>
      <w:lvlJc w:val="left"/>
      <w:pPr>
        <w:ind w:left="3579" w:hanging="540"/>
      </w:pPr>
      <w:rPr>
        <w:rFonts w:hint="default"/>
        <w:lang w:val="zh-CN" w:eastAsia="zh-CN" w:bidi="zh-CN"/>
      </w:rPr>
    </w:lvl>
    <w:lvl w:ilvl="4" w:tentative="0">
      <w:start w:val="0"/>
      <w:numFmt w:val="bullet"/>
      <w:lvlText w:val="•"/>
      <w:lvlJc w:val="left"/>
      <w:pPr>
        <w:ind w:left="4568" w:hanging="540"/>
      </w:pPr>
      <w:rPr>
        <w:rFonts w:hint="default"/>
        <w:lang w:val="zh-CN" w:eastAsia="zh-CN" w:bidi="zh-CN"/>
      </w:rPr>
    </w:lvl>
    <w:lvl w:ilvl="5" w:tentative="0">
      <w:start w:val="0"/>
      <w:numFmt w:val="bullet"/>
      <w:lvlText w:val="•"/>
      <w:lvlJc w:val="left"/>
      <w:pPr>
        <w:ind w:left="5558" w:hanging="540"/>
      </w:pPr>
      <w:rPr>
        <w:rFonts w:hint="default"/>
        <w:lang w:val="zh-CN" w:eastAsia="zh-CN" w:bidi="zh-CN"/>
      </w:rPr>
    </w:lvl>
    <w:lvl w:ilvl="6" w:tentative="0">
      <w:start w:val="0"/>
      <w:numFmt w:val="bullet"/>
      <w:lvlText w:val="•"/>
      <w:lvlJc w:val="left"/>
      <w:pPr>
        <w:ind w:left="6547" w:hanging="540"/>
      </w:pPr>
      <w:rPr>
        <w:rFonts w:hint="default"/>
        <w:lang w:val="zh-CN" w:eastAsia="zh-CN" w:bidi="zh-CN"/>
      </w:rPr>
    </w:lvl>
    <w:lvl w:ilvl="7" w:tentative="0">
      <w:start w:val="0"/>
      <w:numFmt w:val="bullet"/>
      <w:lvlText w:val="•"/>
      <w:lvlJc w:val="left"/>
      <w:pPr>
        <w:ind w:left="7537" w:hanging="540"/>
      </w:pPr>
      <w:rPr>
        <w:rFonts w:hint="default"/>
        <w:lang w:val="zh-CN" w:eastAsia="zh-CN" w:bidi="zh-CN"/>
      </w:rPr>
    </w:lvl>
    <w:lvl w:ilvl="8" w:tentative="0">
      <w:start w:val="0"/>
      <w:numFmt w:val="bullet"/>
      <w:lvlText w:val="•"/>
      <w:lvlJc w:val="left"/>
      <w:pPr>
        <w:ind w:left="8526" w:hanging="540"/>
      </w:pPr>
      <w:rPr>
        <w:rFonts w:hint="default"/>
        <w:lang w:val="zh-CN" w:eastAsia="zh-CN" w:bidi="zh-CN"/>
      </w:rPr>
    </w:lvl>
  </w:abstractNum>
  <w:abstractNum w:abstractNumId="15">
    <w:nsid w:val="0000000F"/>
    <w:multiLevelType w:val="multilevel"/>
    <w:tmpl w:val="0000000F"/>
    <w:lvl w:ilvl="0" w:tentative="0">
      <w:start w:val="1"/>
      <w:numFmt w:val="decimal"/>
      <w:lvlText w:val="（%1）"/>
      <w:lvlJc w:val="left"/>
      <w:pPr>
        <w:ind w:left="171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98" w:hanging="601"/>
      </w:pPr>
      <w:rPr>
        <w:rFonts w:hint="default"/>
        <w:lang w:val="zh-CN" w:eastAsia="zh-CN" w:bidi="zh-CN"/>
      </w:rPr>
    </w:lvl>
    <w:lvl w:ilvl="2" w:tentative="0">
      <w:start w:val="0"/>
      <w:numFmt w:val="bullet"/>
      <w:lvlText w:val="•"/>
      <w:lvlJc w:val="left"/>
      <w:pPr>
        <w:ind w:left="3477" w:hanging="601"/>
      </w:pPr>
      <w:rPr>
        <w:rFonts w:hint="default"/>
        <w:lang w:val="zh-CN" w:eastAsia="zh-CN" w:bidi="zh-CN"/>
      </w:rPr>
    </w:lvl>
    <w:lvl w:ilvl="3" w:tentative="0">
      <w:start w:val="0"/>
      <w:numFmt w:val="bullet"/>
      <w:lvlText w:val="•"/>
      <w:lvlJc w:val="left"/>
      <w:pPr>
        <w:ind w:left="435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13" w:hanging="601"/>
      </w:pPr>
      <w:rPr>
        <w:rFonts w:hint="default"/>
        <w:lang w:val="zh-CN" w:eastAsia="zh-CN" w:bidi="zh-CN"/>
      </w:rPr>
    </w:lvl>
    <w:lvl w:ilvl="6" w:tentative="0">
      <w:start w:val="0"/>
      <w:numFmt w:val="bullet"/>
      <w:lvlText w:val="•"/>
      <w:lvlJc w:val="left"/>
      <w:pPr>
        <w:ind w:left="6991" w:hanging="601"/>
      </w:pPr>
      <w:rPr>
        <w:rFonts w:hint="default"/>
        <w:lang w:val="zh-CN" w:eastAsia="zh-CN" w:bidi="zh-CN"/>
      </w:rPr>
    </w:lvl>
    <w:lvl w:ilvl="7" w:tentative="0">
      <w:start w:val="0"/>
      <w:numFmt w:val="bullet"/>
      <w:lvlText w:val="•"/>
      <w:lvlJc w:val="left"/>
      <w:pPr>
        <w:ind w:left="7870" w:hanging="601"/>
      </w:pPr>
      <w:rPr>
        <w:rFonts w:hint="default"/>
        <w:lang w:val="zh-CN" w:eastAsia="zh-CN" w:bidi="zh-CN"/>
      </w:rPr>
    </w:lvl>
    <w:lvl w:ilvl="8" w:tentative="0">
      <w:start w:val="0"/>
      <w:numFmt w:val="bullet"/>
      <w:lvlText w:val="•"/>
      <w:lvlJc w:val="left"/>
      <w:pPr>
        <w:ind w:left="8748" w:hanging="601"/>
      </w:pPr>
      <w:rPr>
        <w:rFonts w:hint="default"/>
        <w:lang w:val="zh-CN" w:eastAsia="zh-CN" w:bidi="zh-CN"/>
      </w:rPr>
    </w:lvl>
  </w:abstractNum>
  <w:abstractNum w:abstractNumId="16">
    <w:nsid w:val="00000010"/>
    <w:multiLevelType w:val="multilevel"/>
    <w:tmpl w:val="00000010"/>
    <w:lvl w:ilvl="0" w:tentative="0">
      <w:start w:val="1"/>
      <w:numFmt w:val="decimal"/>
      <w:lvlText w:val="（%1）"/>
      <w:lvlJc w:val="left"/>
      <w:pPr>
        <w:ind w:left="637" w:hanging="601"/>
        <w:jc w:val="left"/>
      </w:pPr>
      <w:rPr>
        <w:rFonts w:hint="default" w:ascii="宋体" w:hAnsi="宋体" w:eastAsia="宋体" w:cs="宋体"/>
        <w:spacing w:val="-8"/>
        <w:w w:val="100"/>
        <w:sz w:val="22"/>
        <w:szCs w:val="22"/>
        <w:lang w:val="zh-CN" w:eastAsia="zh-CN" w:bidi="zh-CN"/>
      </w:rPr>
    </w:lvl>
    <w:lvl w:ilvl="1" w:tentative="0">
      <w:start w:val="1"/>
      <w:numFmt w:val="decimal"/>
      <w:lvlText w:val="（%2）"/>
      <w:lvlJc w:val="left"/>
      <w:pPr>
        <w:ind w:left="2822" w:hanging="601"/>
        <w:jc w:val="left"/>
      </w:pPr>
      <w:rPr>
        <w:rFonts w:hint="default"/>
        <w:w w:val="100"/>
        <w:lang w:val="zh-CN" w:eastAsia="zh-CN" w:bidi="zh-CN"/>
      </w:rPr>
    </w:lvl>
    <w:lvl w:ilvl="2" w:tentative="0">
      <w:start w:val="0"/>
      <w:numFmt w:val="bullet"/>
      <w:lvlText w:val="•"/>
      <w:lvlJc w:val="left"/>
      <w:pPr>
        <w:ind w:left="2696" w:hanging="601"/>
      </w:pPr>
      <w:rPr>
        <w:rFonts w:hint="default"/>
        <w:lang w:val="zh-CN" w:eastAsia="zh-CN" w:bidi="zh-CN"/>
      </w:rPr>
    </w:lvl>
    <w:lvl w:ilvl="3" w:tentative="0">
      <w:start w:val="0"/>
      <w:numFmt w:val="bullet"/>
      <w:lvlText w:val="•"/>
      <w:lvlJc w:val="left"/>
      <w:pPr>
        <w:ind w:left="3672" w:hanging="601"/>
      </w:pPr>
      <w:rPr>
        <w:rFonts w:hint="default"/>
        <w:lang w:val="zh-CN" w:eastAsia="zh-CN" w:bidi="zh-CN"/>
      </w:rPr>
    </w:lvl>
    <w:lvl w:ilvl="4" w:tentative="0">
      <w:start w:val="0"/>
      <w:numFmt w:val="bullet"/>
      <w:lvlText w:val="•"/>
      <w:lvlJc w:val="left"/>
      <w:pPr>
        <w:ind w:left="4648" w:hanging="601"/>
      </w:pPr>
      <w:rPr>
        <w:rFonts w:hint="default"/>
        <w:lang w:val="zh-CN" w:eastAsia="zh-CN" w:bidi="zh-CN"/>
      </w:rPr>
    </w:lvl>
    <w:lvl w:ilvl="5" w:tentative="0">
      <w:start w:val="0"/>
      <w:numFmt w:val="bullet"/>
      <w:lvlText w:val="•"/>
      <w:lvlJc w:val="left"/>
      <w:pPr>
        <w:ind w:left="5624" w:hanging="601"/>
      </w:pPr>
      <w:rPr>
        <w:rFonts w:hint="default"/>
        <w:lang w:val="zh-CN" w:eastAsia="zh-CN" w:bidi="zh-CN"/>
      </w:rPr>
    </w:lvl>
    <w:lvl w:ilvl="6" w:tentative="0">
      <w:start w:val="0"/>
      <w:numFmt w:val="bullet"/>
      <w:lvlText w:val="•"/>
      <w:lvlJc w:val="left"/>
      <w:pPr>
        <w:ind w:left="6601" w:hanging="601"/>
      </w:pPr>
      <w:rPr>
        <w:rFonts w:hint="default"/>
        <w:lang w:val="zh-CN" w:eastAsia="zh-CN" w:bidi="zh-CN"/>
      </w:rPr>
    </w:lvl>
    <w:lvl w:ilvl="7" w:tentative="0">
      <w:start w:val="0"/>
      <w:numFmt w:val="bullet"/>
      <w:lvlText w:val="•"/>
      <w:lvlJc w:val="left"/>
      <w:pPr>
        <w:ind w:left="7577" w:hanging="601"/>
      </w:pPr>
      <w:rPr>
        <w:rFonts w:hint="default"/>
        <w:lang w:val="zh-CN" w:eastAsia="zh-CN" w:bidi="zh-CN"/>
      </w:rPr>
    </w:lvl>
    <w:lvl w:ilvl="8" w:tentative="0">
      <w:start w:val="0"/>
      <w:numFmt w:val="bullet"/>
      <w:lvlText w:val="•"/>
      <w:lvlJc w:val="left"/>
      <w:pPr>
        <w:ind w:left="8553" w:hanging="601"/>
      </w:pPr>
      <w:rPr>
        <w:rFonts w:hint="default"/>
        <w:lang w:val="zh-CN" w:eastAsia="zh-CN" w:bidi="zh-CN"/>
      </w:rPr>
    </w:lvl>
  </w:abstractNum>
  <w:abstractNum w:abstractNumId="17">
    <w:nsid w:val="00000011"/>
    <w:multiLevelType w:val="singleLevel"/>
    <w:tmpl w:val="00000011"/>
    <w:lvl w:ilvl="0" w:tentative="0">
      <w:start w:val="1"/>
      <w:numFmt w:val="decimal"/>
      <w:suff w:val="nothing"/>
      <w:lvlText w:val="%1、"/>
      <w:lvlJc w:val="left"/>
    </w:lvl>
  </w:abstractNum>
  <w:abstractNum w:abstractNumId="18">
    <w:nsid w:val="00000012"/>
    <w:multiLevelType w:val="multilevel"/>
    <w:tmpl w:val="00000012"/>
    <w:lvl w:ilvl="0" w:tentative="0">
      <w:start w:val="15"/>
      <w:numFmt w:val="decimal"/>
      <w:lvlText w:val="%1"/>
      <w:lvlJc w:val="left"/>
      <w:pPr>
        <w:ind w:left="1897" w:hanging="780"/>
        <w:jc w:val="left"/>
      </w:pPr>
      <w:rPr>
        <w:rFonts w:hint="default"/>
        <w:lang w:val="zh-CN" w:eastAsia="zh-CN" w:bidi="zh-CN"/>
      </w:rPr>
    </w:lvl>
    <w:lvl w:ilvl="1" w:tentative="0">
      <w:start w:val="1"/>
      <w:numFmt w:val="decimal"/>
      <w:lvlText w:val="%1.%2"/>
      <w:lvlJc w:val="left"/>
      <w:pPr>
        <w:ind w:left="1897" w:hanging="780"/>
        <w:jc w:val="left"/>
      </w:pPr>
      <w:rPr>
        <w:rFonts w:hint="default"/>
        <w:lang w:val="zh-CN" w:eastAsia="zh-CN" w:bidi="zh-CN"/>
      </w:rPr>
    </w:lvl>
    <w:lvl w:ilvl="2" w:tentative="0">
      <w:start w:val="3"/>
      <w:numFmt w:val="decimal"/>
      <w:lvlText w:val="%1.%2.%3"/>
      <w:lvlJc w:val="left"/>
      <w:pPr>
        <w:ind w:left="1897"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4481" w:hanging="780"/>
      </w:pPr>
      <w:rPr>
        <w:rFonts w:hint="default"/>
        <w:lang w:val="zh-CN" w:eastAsia="zh-CN" w:bidi="zh-CN"/>
      </w:rPr>
    </w:lvl>
    <w:lvl w:ilvl="4" w:tentative="0">
      <w:start w:val="0"/>
      <w:numFmt w:val="bullet"/>
      <w:lvlText w:val="•"/>
      <w:lvlJc w:val="left"/>
      <w:pPr>
        <w:ind w:left="5342" w:hanging="780"/>
      </w:pPr>
      <w:rPr>
        <w:rFonts w:hint="default"/>
        <w:lang w:val="zh-CN" w:eastAsia="zh-CN" w:bidi="zh-CN"/>
      </w:rPr>
    </w:lvl>
    <w:lvl w:ilvl="5" w:tentative="0">
      <w:start w:val="0"/>
      <w:numFmt w:val="bullet"/>
      <w:lvlText w:val="•"/>
      <w:lvlJc w:val="left"/>
      <w:pPr>
        <w:ind w:left="6203" w:hanging="780"/>
      </w:pPr>
      <w:rPr>
        <w:rFonts w:hint="default"/>
        <w:lang w:val="zh-CN" w:eastAsia="zh-CN" w:bidi="zh-CN"/>
      </w:rPr>
    </w:lvl>
    <w:lvl w:ilvl="6" w:tentative="0">
      <w:start w:val="0"/>
      <w:numFmt w:val="bullet"/>
      <w:lvlText w:val="•"/>
      <w:lvlJc w:val="left"/>
      <w:pPr>
        <w:ind w:left="7063" w:hanging="780"/>
      </w:pPr>
      <w:rPr>
        <w:rFonts w:hint="default"/>
        <w:lang w:val="zh-CN" w:eastAsia="zh-CN" w:bidi="zh-CN"/>
      </w:rPr>
    </w:lvl>
    <w:lvl w:ilvl="7" w:tentative="0">
      <w:start w:val="0"/>
      <w:numFmt w:val="bullet"/>
      <w:lvlText w:val="•"/>
      <w:lvlJc w:val="left"/>
      <w:pPr>
        <w:ind w:left="7924" w:hanging="780"/>
      </w:pPr>
      <w:rPr>
        <w:rFonts w:hint="default"/>
        <w:lang w:val="zh-CN" w:eastAsia="zh-CN" w:bidi="zh-CN"/>
      </w:rPr>
    </w:lvl>
    <w:lvl w:ilvl="8" w:tentative="0">
      <w:start w:val="0"/>
      <w:numFmt w:val="bullet"/>
      <w:lvlText w:val="•"/>
      <w:lvlJc w:val="left"/>
      <w:pPr>
        <w:ind w:left="8784" w:hanging="780"/>
      </w:pPr>
      <w:rPr>
        <w:rFonts w:hint="default"/>
        <w:lang w:val="zh-CN" w:eastAsia="zh-CN" w:bidi="zh-CN"/>
      </w:rPr>
    </w:lvl>
  </w:abstractNum>
  <w:abstractNum w:abstractNumId="19">
    <w:nsid w:val="00000013"/>
    <w:multiLevelType w:val="multilevel"/>
    <w:tmpl w:val="00000013"/>
    <w:lvl w:ilvl="0" w:tentative="0">
      <w:start w:val="1"/>
      <w:numFmt w:val="decimal"/>
      <w:lvlText w:val="(%1)"/>
      <w:lvlJc w:val="left"/>
      <w:pPr>
        <w:ind w:left="637" w:hanging="36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26" w:hanging="363"/>
      </w:pPr>
      <w:rPr>
        <w:rFonts w:hint="default"/>
        <w:lang w:val="zh-CN" w:eastAsia="zh-CN" w:bidi="zh-CN"/>
      </w:rPr>
    </w:lvl>
    <w:lvl w:ilvl="2" w:tentative="0">
      <w:start w:val="0"/>
      <w:numFmt w:val="bullet"/>
      <w:lvlText w:val="•"/>
      <w:lvlJc w:val="left"/>
      <w:pPr>
        <w:ind w:left="2613" w:hanging="363"/>
      </w:pPr>
      <w:rPr>
        <w:rFonts w:hint="default"/>
        <w:lang w:val="zh-CN" w:eastAsia="zh-CN" w:bidi="zh-CN"/>
      </w:rPr>
    </w:lvl>
    <w:lvl w:ilvl="3" w:tentative="0">
      <w:start w:val="0"/>
      <w:numFmt w:val="bullet"/>
      <w:lvlText w:val="•"/>
      <w:lvlJc w:val="left"/>
      <w:pPr>
        <w:ind w:left="3599" w:hanging="363"/>
      </w:pPr>
      <w:rPr>
        <w:rFonts w:hint="default"/>
        <w:lang w:val="zh-CN" w:eastAsia="zh-CN" w:bidi="zh-CN"/>
      </w:rPr>
    </w:lvl>
    <w:lvl w:ilvl="4" w:tentative="0">
      <w:start w:val="0"/>
      <w:numFmt w:val="bullet"/>
      <w:lvlText w:val="•"/>
      <w:lvlJc w:val="left"/>
      <w:pPr>
        <w:ind w:left="4586" w:hanging="363"/>
      </w:pPr>
      <w:rPr>
        <w:rFonts w:hint="default"/>
        <w:lang w:val="zh-CN" w:eastAsia="zh-CN" w:bidi="zh-CN"/>
      </w:rPr>
    </w:lvl>
    <w:lvl w:ilvl="5" w:tentative="0">
      <w:start w:val="0"/>
      <w:numFmt w:val="bullet"/>
      <w:lvlText w:val="•"/>
      <w:lvlJc w:val="left"/>
      <w:pPr>
        <w:ind w:left="5573" w:hanging="363"/>
      </w:pPr>
      <w:rPr>
        <w:rFonts w:hint="default"/>
        <w:lang w:val="zh-CN" w:eastAsia="zh-CN" w:bidi="zh-CN"/>
      </w:rPr>
    </w:lvl>
    <w:lvl w:ilvl="6" w:tentative="0">
      <w:start w:val="0"/>
      <w:numFmt w:val="bullet"/>
      <w:lvlText w:val="•"/>
      <w:lvlJc w:val="left"/>
      <w:pPr>
        <w:ind w:left="6559" w:hanging="363"/>
      </w:pPr>
      <w:rPr>
        <w:rFonts w:hint="default"/>
        <w:lang w:val="zh-CN" w:eastAsia="zh-CN" w:bidi="zh-CN"/>
      </w:rPr>
    </w:lvl>
    <w:lvl w:ilvl="7" w:tentative="0">
      <w:start w:val="0"/>
      <w:numFmt w:val="bullet"/>
      <w:lvlText w:val="•"/>
      <w:lvlJc w:val="left"/>
      <w:pPr>
        <w:ind w:left="7546" w:hanging="363"/>
      </w:pPr>
      <w:rPr>
        <w:rFonts w:hint="default"/>
        <w:lang w:val="zh-CN" w:eastAsia="zh-CN" w:bidi="zh-CN"/>
      </w:rPr>
    </w:lvl>
    <w:lvl w:ilvl="8" w:tentative="0">
      <w:start w:val="0"/>
      <w:numFmt w:val="bullet"/>
      <w:lvlText w:val="•"/>
      <w:lvlJc w:val="left"/>
      <w:pPr>
        <w:ind w:left="8532" w:hanging="363"/>
      </w:pPr>
      <w:rPr>
        <w:rFonts w:hint="default"/>
        <w:lang w:val="zh-CN" w:eastAsia="zh-CN" w:bidi="zh-CN"/>
      </w:rPr>
    </w:lvl>
  </w:abstractNum>
  <w:abstractNum w:abstractNumId="20">
    <w:nsid w:val="00000014"/>
    <w:multiLevelType w:val="multilevel"/>
    <w:tmpl w:val="00000014"/>
    <w:lvl w:ilvl="0" w:tentative="0">
      <w:start w:val="11"/>
      <w:numFmt w:val="decimal"/>
      <w:lvlText w:val="%1"/>
      <w:lvlJc w:val="left"/>
      <w:pPr>
        <w:ind w:left="637" w:hanging="603"/>
        <w:jc w:val="left"/>
      </w:pPr>
      <w:rPr>
        <w:rFonts w:hint="default"/>
        <w:lang w:val="zh-CN" w:eastAsia="zh-CN" w:bidi="zh-CN"/>
      </w:rPr>
    </w:lvl>
    <w:lvl w:ilvl="1" w:tentative="0">
      <w:start w:val="1"/>
      <w:numFmt w:val="decimal"/>
      <w:lvlText w:val="%1.%2"/>
      <w:lvlJc w:val="left"/>
      <w:pPr>
        <w:ind w:left="637" w:hanging="603"/>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957" w:hanging="84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859" w:hanging="840"/>
      </w:pPr>
      <w:rPr>
        <w:rFonts w:hint="default"/>
        <w:lang w:val="zh-CN" w:eastAsia="zh-CN" w:bidi="zh-CN"/>
      </w:rPr>
    </w:lvl>
    <w:lvl w:ilvl="4" w:tentative="0">
      <w:start w:val="0"/>
      <w:numFmt w:val="bullet"/>
      <w:lvlText w:val="•"/>
      <w:lvlJc w:val="left"/>
      <w:pPr>
        <w:ind w:left="4808" w:hanging="840"/>
      </w:pPr>
      <w:rPr>
        <w:rFonts w:hint="default"/>
        <w:lang w:val="zh-CN" w:eastAsia="zh-CN" w:bidi="zh-CN"/>
      </w:rPr>
    </w:lvl>
    <w:lvl w:ilvl="5" w:tentative="0">
      <w:start w:val="0"/>
      <w:numFmt w:val="bullet"/>
      <w:lvlText w:val="•"/>
      <w:lvlJc w:val="left"/>
      <w:pPr>
        <w:ind w:left="5758" w:hanging="840"/>
      </w:pPr>
      <w:rPr>
        <w:rFonts w:hint="default"/>
        <w:lang w:val="zh-CN" w:eastAsia="zh-CN" w:bidi="zh-CN"/>
      </w:rPr>
    </w:lvl>
    <w:lvl w:ilvl="6" w:tentative="0">
      <w:start w:val="0"/>
      <w:numFmt w:val="bullet"/>
      <w:lvlText w:val="•"/>
      <w:lvlJc w:val="left"/>
      <w:pPr>
        <w:ind w:left="6707" w:hanging="840"/>
      </w:pPr>
      <w:rPr>
        <w:rFonts w:hint="default"/>
        <w:lang w:val="zh-CN" w:eastAsia="zh-CN" w:bidi="zh-CN"/>
      </w:rPr>
    </w:lvl>
    <w:lvl w:ilvl="7" w:tentative="0">
      <w:start w:val="0"/>
      <w:numFmt w:val="bullet"/>
      <w:lvlText w:val="•"/>
      <w:lvlJc w:val="left"/>
      <w:pPr>
        <w:ind w:left="7657" w:hanging="840"/>
      </w:pPr>
      <w:rPr>
        <w:rFonts w:hint="default"/>
        <w:lang w:val="zh-CN" w:eastAsia="zh-CN" w:bidi="zh-CN"/>
      </w:rPr>
    </w:lvl>
    <w:lvl w:ilvl="8" w:tentative="0">
      <w:start w:val="0"/>
      <w:numFmt w:val="bullet"/>
      <w:lvlText w:val="•"/>
      <w:lvlJc w:val="left"/>
      <w:pPr>
        <w:ind w:left="8606" w:hanging="840"/>
      </w:pPr>
      <w:rPr>
        <w:rFonts w:hint="default"/>
        <w:lang w:val="zh-CN" w:eastAsia="zh-CN" w:bidi="zh-CN"/>
      </w:rPr>
    </w:lvl>
  </w:abstractNum>
  <w:abstractNum w:abstractNumId="21">
    <w:nsid w:val="00000015"/>
    <w:multiLevelType w:val="multilevel"/>
    <w:tmpl w:val="00000015"/>
    <w:lvl w:ilvl="0" w:tentative="0">
      <w:start w:val="6"/>
      <w:numFmt w:val="decimal"/>
      <w:lvlText w:val="%1"/>
      <w:lvlJc w:val="left"/>
      <w:pPr>
        <w:ind w:left="1720" w:hanging="600"/>
        <w:jc w:val="left"/>
      </w:pPr>
      <w:rPr>
        <w:rFonts w:hint="default"/>
        <w:lang w:val="zh-CN" w:eastAsia="zh-CN" w:bidi="zh-CN"/>
      </w:rPr>
    </w:lvl>
    <w:lvl w:ilvl="1" w:tentative="0">
      <w:start w:val="2"/>
      <w:numFmt w:val="decimal"/>
      <w:lvlText w:val="%1.%2."/>
      <w:lvlJc w:val="left"/>
      <w:pPr>
        <w:ind w:left="1720"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840" w:hanging="72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765" w:hanging="720"/>
      </w:pPr>
      <w:rPr>
        <w:rFonts w:hint="default"/>
        <w:lang w:val="zh-CN" w:eastAsia="zh-CN" w:bidi="zh-CN"/>
      </w:rPr>
    </w:lvl>
    <w:lvl w:ilvl="4" w:tentative="0">
      <w:start w:val="0"/>
      <w:numFmt w:val="bullet"/>
      <w:lvlText w:val="•"/>
      <w:lvlJc w:val="left"/>
      <w:pPr>
        <w:ind w:left="4728" w:hanging="720"/>
      </w:pPr>
      <w:rPr>
        <w:rFonts w:hint="default"/>
        <w:lang w:val="zh-CN" w:eastAsia="zh-CN" w:bidi="zh-CN"/>
      </w:rPr>
    </w:lvl>
    <w:lvl w:ilvl="5" w:tentative="0">
      <w:start w:val="0"/>
      <w:numFmt w:val="bullet"/>
      <w:lvlText w:val="•"/>
      <w:lvlJc w:val="left"/>
      <w:pPr>
        <w:ind w:left="5691" w:hanging="720"/>
      </w:pPr>
      <w:rPr>
        <w:rFonts w:hint="default"/>
        <w:lang w:val="zh-CN" w:eastAsia="zh-CN" w:bidi="zh-CN"/>
      </w:rPr>
    </w:lvl>
    <w:lvl w:ilvl="6" w:tentative="0">
      <w:start w:val="0"/>
      <w:numFmt w:val="bullet"/>
      <w:lvlText w:val="•"/>
      <w:lvlJc w:val="left"/>
      <w:pPr>
        <w:ind w:left="6654" w:hanging="720"/>
      </w:pPr>
      <w:rPr>
        <w:rFonts w:hint="default"/>
        <w:lang w:val="zh-CN" w:eastAsia="zh-CN" w:bidi="zh-CN"/>
      </w:rPr>
    </w:lvl>
    <w:lvl w:ilvl="7" w:tentative="0">
      <w:start w:val="0"/>
      <w:numFmt w:val="bullet"/>
      <w:lvlText w:val="•"/>
      <w:lvlJc w:val="left"/>
      <w:pPr>
        <w:ind w:left="7617" w:hanging="720"/>
      </w:pPr>
      <w:rPr>
        <w:rFonts w:hint="default"/>
        <w:lang w:val="zh-CN" w:eastAsia="zh-CN" w:bidi="zh-CN"/>
      </w:rPr>
    </w:lvl>
    <w:lvl w:ilvl="8" w:tentative="0">
      <w:start w:val="0"/>
      <w:numFmt w:val="bullet"/>
      <w:lvlText w:val="•"/>
      <w:lvlJc w:val="left"/>
      <w:pPr>
        <w:ind w:left="8580" w:hanging="720"/>
      </w:pPr>
      <w:rPr>
        <w:rFonts w:hint="default"/>
        <w:lang w:val="zh-CN" w:eastAsia="zh-CN" w:bidi="zh-CN"/>
      </w:rPr>
    </w:lvl>
  </w:abstractNum>
  <w:abstractNum w:abstractNumId="22">
    <w:nsid w:val="00000016"/>
    <w:multiLevelType w:val="multilevel"/>
    <w:tmpl w:val="00000016"/>
    <w:lvl w:ilvl="0" w:tentative="0">
      <w:start w:val="1"/>
      <w:numFmt w:val="decimal"/>
      <w:lvlText w:val="（%1）"/>
      <w:lvlJc w:val="left"/>
      <w:pPr>
        <w:ind w:left="171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98" w:hanging="601"/>
      </w:pPr>
      <w:rPr>
        <w:rFonts w:hint="default"/>
        <w:lang w:val="zh-CN" w:eastAsia="zh-CN" w:bidi="zh-CN"/>
      </w:rPr>
    </w:lvl>
    <w:lvl w:ilvl="2" w:tentative="0">
      <w:start w:val="0"/>
      <w:numFmt w:val="bullet"/>
      <w:lvlText w:val="•"/>
      <w:lvlJc w:val="left"/>
      <w:pPr>
        <w:ind w:left="3477" w:hanging="601"/>
      </w:pPr>
      <w:rPr>
        <w:rFonts w:hint="default"/>
        <w:lang w:val="zh-CN" w:eastAsia="zh-CN" w:bidi="zh-CN"/>
      </w:rPr>
    </w:lvl>
    <w:lvl w:ilvl="3" w:tentative="0">
      <w:start w:val="0"/>
      <w:numFmt w:val="bullet"/>
      <w:lvlText w:val="•"/>
      <w:lvlJc w:val="left"/>
      <w:pPr>
        <w:ind w:left="435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13" w:hanging="601"/>
      </w:pPr>
      <w:rPr>
        <w:rFonts w:hint="default"/>
        <w:lang w:val="zh-CN" w:eastAsia="zh-CN" w:bidi="zh-CN"/>
      </w:rPr>
    </w:lvl>
    <w:lvl w:ilvl="6" w:tentative="0">
      <w:start w:val="0"/>
      <w:numFmt w:val="bullet"/>
      <w:lvlText w:val="•"/>
      <w:lvlJc w:val="left"/>
      <w:pPr>
        <w:ind w:left="6991" w:hanging="601"/>
      </w:pPr>
      <w:rPr>
        <w:rFonts w:hint="default"/>
        <w:lang w:val="zh-CN" w:eastAsia="zh-CN" w:bidi="zh-CN"/>
      </w:rPr>
    </w:lvl>
    <w:lvl w:ilvl="7" w:tentative="0">
      <w:start w:val="0"/>
      <w:numFmt w:val="bullet"/>
      <w:lvlText w:val="•"/>
      <w:lvlJc w:val="left"/>
      <w:pPr>
        <w:ind w:left="7870" w:hanging="601"/>
      </w:pPr>
      <w:rPr>
        <w:rFonts w:hint="default"/>
        <w:lang w:val="zh-CN" w:eastAsia="zh-CN" w:bidi="zh-CN"/>
      </w:rPr>
    </w:lvl>
    <w:lvl w:ilvl="8" w:tentative="0">
      <w:start w:val="0"/>
      <w:numFmt w:val="bullet"/>
      <w:lvlText w:val="•"/>
      <w:lvlJc w:val="left"/>
      <w:pPr>
        <w:ind w:left="8748" w:hanging="601"/>
      </w:pPr>
      <w:rPr>
        <w:rFonts w:hint="default"/>
        <w:lang w:val="zh-CN" w:eastAsia="zh-CN" w:bidi="zh-CN"/>
      </w:rPr>
    </w:lvl>
  </w:abstractNum>
  <w:abstractNum w:abstractNumId="23">
    <w:nsid w:val="00000017"/>
    <w:multiLevelType w:val="multilevel"/>
    <w:tmpl w:val="00000017"/>
    <w:lvl w:ilvl="0" w:tentative="0">
      <w:start w:val="9"/>
      <w:numFmt w:val="decimal"/>
      <w:lvlText w:val="%1."/>
      <w:lvlJc w:val="left"/>
      <w:pPr>
        <w:ind w:left="1478"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8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483"/>
      </w:pPr>
      <w:rPr>
        <w:rFonts w:hint="default"/>
        <w:lang w:val="zh-CN" w:eastAsia="zh-CN" w:bidi="zh-CN"/>
      </w:rPr>
    </w:lvl>
    <w:lvl w:ilvl="3" w:tentative="0">
      <w:start w:val="0"/>
      <w:numFmt w:val="bullet"/>
      <w:lvlText w:val="•"/>
      <w:lvlJc w:val="left"/>
      <w:pPr>
        <w:ind w:left="2608" w:hanging="483"/>
      </w:pPr>
      <w:rPr>
        <w:rFonts w:hint="default"/>
        <w:lang w:val="zh-CN" w:eastAsia="zh-CN" w:bidi="zh-CN"/>
      </w:rPr>
    </w:lvl>
    <w:lvl w:ilvl="4" w:tentative="0">
      <w:start w:val="0"/>
      <w:numFmt w:val="bullet"/>
      <w:lvlText w:val="•"/>
      <w:lvlJc w:val="left"/>
      <w:pPr>
        <w:ind w:left="3736" w:hanging="483"/>
      </w:pPr>
      <w:rPr>
        <w:rFonts w:hint="default"/>
        <w:lang w:val="zh-CN" w:eastAsia="zh-CN" w:bidi="zh-CN"/>
      </w:rPr>
    </w:lvl>
    <w:lvl w:ilvl="5" w:tentative="0">
      <w:start w:val="0"/>
      <w:numFmt w:val="bullet"/>
      <w:lvlText w:val="•"/>
      <w:lvlJc w:val="left"/>
      <w:pPr>
        <w:ind w:left="4864" w:hanging="483"/>
      </w:pPr>
      <w:rPr>
        <w:rFonts w:hint="default"/>
        <w:lang w:val="zh-CN" w:eastAsia="zh-CN" w:bidi="zh-CN"/>
      </w:rPr>
    </w:lvl>
    <w:lvl w:ilvl="6" w:tentative="0">
      <w:start w:val="0"/>
      <w:numFmt w:val="bullet"/>
      <w:lvlText w:val="•"/>
      <w:lvlJc w:val="left"/>
      <w:pPr>
        <w:ind w:left="5993" w:hanging="483"/>
      </w:pPr>
      <w:rPr>
        <w:rFonts w:hint="default"/>
        <w:lang w:val="zh-CN" w:eastAsia="zh-CN" w:bidi="zh-CN"/>
      </w:rPr>
    </w:lvl>
    <w:lvl w:ilvl="7" w:tentative="0">
      <w:start w:val="0"/>
      <w:numFmt w:val="bullet"/>
      <w:lvlText w:val="•"/>
      <w:lvlJc w:val="left"/>
      <w:pPr>
        <w:ind w:left="7121" w:hanging="483"/>
      </w:pPr>
      <w:rPr>
        <w:rFonts w:hint="default"/>
        <w:lang w:val="zh-CN" w:eastAsia="zh-CN" w:bidi="zh-CN"/>
      </w:rPr>
    </w:lvl>
    <w:lvl w:ilvl="8" w:tentative="0">
      <w:start w:val="0"/>
      <w:numFmt w:val="bullet"/>
      <w:lvlText w:val="•"/>
      <w:lvlJc w:val="left"/>
      <w:pPr>
        <w:ind w:left="8249" w:hanging="483"/>
      </w:pPr>
      <w:rPr>
        <w:rFonts w:hint="default"/>
        <w:lang w:val="zh-CN" w:eastAsia="zh-CN" w:bidi="zh-CN"/>
      </w:rPr>
    </w:lvl>
  </w:abstractNum>
  <w:abstractNum w:abstractNumId="24">
    <w:nsid w:val="00000018"/>
    <w:multiLevelType w:val="multilevel"/>
    <w:tmpl w:val="00000018"/>
    <w:lvl w:ilvl="0" w:tentative="0">
      <w:start w:val="21"/>
      <w:numFmt w:val="decimal"/>
      <w:lvlText w:val="%1"/>
      <w:lvlJc w:val="left"/>
      <w:pPr>
        <w:ind w:left="637" w:hanging="600"/>
        <w:jc w:val="left"/>
      </w:pPr>
      <w:rPr>
        <w:rFonts w:hint="default"/>
        <w:lang w:val="zh-CN" w:eastAsia="zh-CN" w:bidi="zh-CN"/>
      </w:rPr>
    </w:lvl>
    <w:lvl w:ilvl="1" w:tentative="0">
      <w:start w:val="2"/>
      <w:numFmt w:val="decimal"/>
      <w:lvlText w:val="%1.%2"/>
      <w:lvlJc w:val="left"/>
      <w:pPr>
        <w:ind w:left="637" w:hanging="600"/>
        <w:jc w:val="left"/>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613" w:hanging="600"/>
      </w:pPr>
      <w:rPr>
        <w:rFonts w:hint="default"/>
        <w:lang w:val="zh-CN" w:eastAsia="zh-CN" w:bidi="zh-CN"/>
      </w:rPr>
    </w:lvl>
    <w:lvl w:ilvl="3" w:tentative="0">
      <w:start w:val="0"/>
      <w:numFmt w:val="bullet"/>
      <w:lvlText w:val="•"/>
      <w:lvlJc w:val="left"/>
      <w:pPr>
        <w:ind w:left="3599" w:hanging="600"/>
      </w:pPr>
      <w:rPr>
        <w:rFonts w:hint="default"/>
        <w:lang w:val="zh-CN" w:eastAsia="zh-CN" w:bidi="zh-CN"/>
      </w:rPr>
    </w:lvl>
    <w:lvl w:ilvl="4" w:tentative="0">
      <w:start w:val="0"/>
      <w:numFmt w:val="bullet"/>
      <w:lvlText w:val="•"/>
      <w:lvlJc w:val="left"/>
      <w:pPr>
        <w:ind w:left="4586" w:hanging="600"/>
      </w:pPr>
      <w:rPr>
        <w:rFonts w:hint="default"/>
        <w:lang w:val="zh-CN" w:eastAsia="zh-CN" w:bidi="zh-CN"/>
      </w:rPr>
    </w:lvl>
    <w:lvl w:ilvl="5" w:tentative="0">
      <w:start w:val="0"/>
      <w:numFmt w:val="bullet"/>
      <w:lvlText w:val="•"/>
      <w:lvlJc w:val="left"/>
      <w:pPr>
        <w:ind w:left="5573" w:hanging="600"/>
      </w:pPr>
      <w:rPr>
        <w:rFonts w:hint="default"/>
        <w:lang w:val="zh-CN" w:eastAsia="zh-CN" w:bidi="zh-CN"/>
      </w:rPr>
    </w:lvl>
    <w:lvl w:ilvl="6" w:tentative="0">
      <w:start w:val="0"/>
      <w:numFmt w:val="bullet"/>
      <w:lvlText w:val="•"/>
      <w:lvlJc w:val="left"/>
      <w:pPr>
        <w:ind w:left="6559" w:hanging="600"/>
      </w:pPr>
      <w:rPr>
        <w:rFonts w:hint="default"/>
        <w:lang w:val="zh-CN" w:eastAsia="zh-CN" w:bidi="zh-CN"/>
      </w:rPr>
    </w:lvl>
    <w:lvl w:ilvl="7" w:tentative="0">
      <w:start w:val="0"/>
      <w:numFmt w:val="bullet"/>
      <w:lvlText w:val="•"/>
      <w:lvlJc w:val="left"/>
      <w:pPr>
        <w:ind w:left="7546" w:hanging="600"/>
      </w:pPr>
      <w:rPr>
        <w:rFonts w:hint="default"/>
        <w:lang w:val="zh-CN" w:eastAsia="zh-CN" w:bidi="zh-CN"/>
      </w:rPr>
    </w:lvl>
    <w:lvl w:ilvl="8" w:tentative="0">
      <w:start w:val="0"/>
      <w:numFmt w:val="bullet"/>
      <w:lvlText w:val="•"/>
      <w:lvlJc w:val="left"/>
      <w:pPr>
        <w:ind w:left="8532" w:hanging="600"/>
      </w:pPr>
      <w:rPr>
        <w:rFonts w:hint="default"/>
        <w:lang w:val="zh-CN" w:eastAsia="zh-CN" w:bidi="zh-CN"/>
      </w:rPr>
    </w:lvl>
  </w:abstractNum>
  <w:abstractNum w:abstractNumId="25">
    <w:nsid w:val="00000019"/>
    <w:multiLevelType w:val="multilevel"/>
    <w:tmpl w:val="00000019"/>
    <w:lvl w:ilvl="0" w:tentative="0">
      <w:start w:val="15"/>
      <w:numFmt w:val="decimal"/>
      <w:lvlText w:val="%1"/>
      <w:lvlJc w:val="left"/>
      <w:pPr>
        <w:ind w:left="637" w:hanging="603"/>
        <w:jc w:val="left"/>
      </w:pPr>
      <w:rPr>
        <w:rFonts w:hint="default"/>
        <w:lang w:val="zh-CN" w:eastAsia="zh-CN" w:bidi="zh-CN"/>
      </w:rPr>
    </w:lvl>
    <w:lvl w:ilvl="1" w:tentative="0">
      <w:start w:val="1"/>
      <w:numFmt w:val="decimal"/>
      <w:lvlText w:val="%1.%2"/>
      <w:lvlJc w:val="left"/>
      <w:pPr>
        <w:ind w:left="637" w:hanging="60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13" w:hanging="603"/>
      </w:pPr>
      <w:rPr>
        <w:rFonts w:hint="default"/>
        <w:lang w:val="zh-CN" w:eastAsia="zh-CN" w:bidi="zh-CN"/>
      </w:rPr>
    </w:lvl>
    <w:lvl w:ilvl="3" w:tentative="0">
      <w:start w:val="0"/>
      <w:numFmt w:val="bullet"/>
      <w:lvlText w:val="•"/>
      <w:lvlJc w:val="left"/>
      <w:pPr>
        <w:ind w:left="3599" w:hanging="603"/>
      </w:pPr>
      <w:rPr>
        <w:rFonts w:hint="default"/>
        <w:lang w:val="zh-CN" w:eastAsia="zh-CN" w:bidi="zh-CN"/>
      </w:rPr>
    </w:lvl>
    <w:lvl w:ilvl="4" w:tentative="0">
      <w:start w:val="0"/>
      <w:numFmt w:val="bullet"/>
      <w:lvlText w:val="•"/>
      <w:lvlJc w:val="left"/>
      <w:pPr>
        <w:ind w:left="4586" w:hanging="603"/>
      </w:pPr>
      <w:rPr>
        <w:rFonts w:hint="default"/>
        <w:lang w:val="zh-CN" w:eastAsia="zh-CN" w:bidi="zh-CN"/>
      </w:rPr>
    </w:lvl>
    <w:lvl w:ilvl="5" w:tentative="0">
      <w:start w:val="0"/>
      <w:numFmt w:val="bullet"/>
      <w:lvlText w:val="•"/>
      <w:lvlJc w:val="left"/>
      <w:pPr>
        <w:ind w:left="5573" w:hanging="603"/>
      </w:pPr>
      <w:rPr>
        <w:rFonts w:hint="default"/>
        <w:lang w:val="zh-CN" w:eastAsia="zh-CN" w:bidi="zh-CN"/>
      </w:rPr>
    </w:lvl>
    <w:lvl w:ilvl="6" w:tentative="0">
      <w:start w:val="0"/>
      <w:numFmt w:val="bullet"/>
      <w:lvlText w:val="•"/>
      <w:lvlJc w:val="left"/>
      <w:pPr>
        <w:ind w:left="6559" w:hanging="603"/>
      </w:pPr>
      <w:rPr>
        <w:rFonts w:hint="default"/>
        <w:lang w:val="zh-CN" w:eastAsia="zh-CN" w:bidi="zh-CN"/>
      </w:rPr>
    </w:lvl>
    <w:lvl w:ilvl="7" w:tentative="0">
      <w:start w:val="0"/>
      <w:numFmt w:val="bullet"/>
      <w:lvlText w:val="•"/>
      <w:lvlJc w:val="left"/>
      <w:pPr>
        <w:ind w:left="7546" w:hanging="603"/>
      </w:pPr>
      <w:rPr>
        <w:rFonts w:hint="default"/>
        <w:lang w:val="zh-CN" w:eastAsia="zh-CN" w:bidi="zh-CN"/>
      </w:rPr>
    </w:lvl>
    <w:lvl w:ilvl="8" w:tentative="0">
      <w:start w:val="0"/>
      <w:numFmt w:val="bullet"/>
      <w:lvlText w:val="•"/>
      <w:lvlJc w:val="left"/>
      <w:pPr>
        <w:ind w:left="8532" w:hanging="603"/>
      </w:pPr>
      <w:rPr>
        <w:rFonts w:hint="default"/>
        <w:lang w:val="zh-CN" w:eastAsia="zh-CN" w:bidi="zh-CN"/>
      </w:rPr>
    </w:lvl>
  </w:abstractNum>
  <w:abstractNum w:abstractNumId="26">
    <w:nsid w:val="0000001A"/>
    <w:multiLevelType w:val="multilevel"/>
    <w:tmpl w:val="0000001A"/>
    <w:lvl w:ilvl="0" w:tentative="0">
      <w:start w:val="9"/>
      <w:numFmt w:val="decimal"/>
      <w:lvlText w:val="%1."/>
      <w:lvlJc w:val="left"/>
      <w:pPr>
        <w:ind w:left="1481"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1600"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89" w:hanging="480"/>
      </w:pPr>
      <w:rPr>
        <w:rFonts w:hint="default"/>
        <w:lang w:val="zh-CN" w:eastAsia="zh-CN" w:bidi="zh-CN"/>
      </w:rPr>
    </w:lvl>
    <w:lvl w:ilvl="3" w:tentative="0">
      <w:start w:val="0"/>
      <w:numFmt w:val="bullet"/>
      <w:lvlText w:val="•"/>
      <w:lvlJc w:val="left"/>
      <w:pPr>
        <w:ind w:left="3579" w:hanging="480"/>
      </w:pPr>
      <w:rPr>
        <w:rFonts w:hint="default"/>
        <w:lang w:val="zh-CN" w:eastAsia="zh-CN" w:bidi="zh-CN"/>
      </w:rPr>
    </w:lvl>
    <w:lvl w:ilvl="4" w:tentative="0">
      <w:start w:val="0"/>
      <w:numFmt w:val="bullet"/>
      <w:lvlText w:val="•"/>
      <w:lvlJc w:val="left"/>
      <w:pPr>
        <w:ind w:left="4568" w:hanging="480"/>
      </w:pPr>
      <w:rPr>
        <w:rFonts w:hint="default"/>
        <w:lang w:val="zh-CN" w:eastAsia="zh-CN" w:bidi="zh-CN"/>
      </w:rPr>
    </w:lvl>
    <w:lvl w:ilvl="5" w:tentative="0">
      <w:start w:val="0"/>
      <w:numFmt w:val="bullet"/>
      <w:lvlText w:val="•"/>
      <w:lvlJc w:val="left"/>
      <w:pPr>
        <w:ind w:left="5558" w:hanging="480"/>
      </w:pPr>
      <w:rPr>
        <w:rFonts w:hint="default"/>
        <w:lang w:val="zh-CN" w:eastAsia="zh-CN" w:bidi="zh-CN"/>
      </w:rPr>
    </w:lvl>
    <w:lvl w:ilvl="6" w:tentative="0">
      <w:start w:val="0"/>
      <w:numFmt w:val="bullet"/>
      <w:lvlText w:val="•"/>
      <w:lvlJc w:val="left"/>
      <w:pPr>
        <w:ind w:left="6547" w:hanging="480"/>
      </w:pPr>
      <w:rPr>
        <w:rFonts w:hint="default"/>
        <w:lang w:val="zh-CN" w:eastAsia="zh-CN" w:bidi="zh-CN"/>
      </w:rPr>
    </w:lvl>
    <w:lvl w:ilvl="7" w:tentative="0">
      <w:start w:val="0"/>
      <w:numFmt w:val="bullet"/>
      <w:lvlText w:val="•"/>
      <w:lvlJc w:val="left"/>
      <w:pPr>
        <w:ind w:left="7537" w:hanging="480"/>
      </w:pPr>
      <w:rPr>
        <w:rFonts w:hint="default"/>
        <w:lang w:val="zh-CN" w:eastAsia="zh-CN" w:bidi="zh-CN"/>
      </w:rPr>
    </w:lvl>
    <w:lvl w:ilvl="8" w:tentative="0">
      <w:start w:val="0"/>
      <w:numFmt w:val="bullet"/>
      <w:lvlText w:val="•"/>
      <w:lvlJc w:val="left"/>
      <w:pPr>
        <w:ind w:left="8526" w:hanging="480"/>
      </w:pPr>
      <w:rPr>
        <w:rFonts w:hint="default"/>
        <w:lang w:val="zh-CN" w:eastAsia="zh-CN" w:bidi="zh-CN"/>
      </w:rPr>
    </w:lvl>
  </w:abstractNum>
  <w:abstractNum w:abstractNumId="27">
    <w:nsid w:val="0000001B"/>
    <w:multiLevelType w:val="multilevel"/>
    <w:tmpl w:val="0000001B"/>
    <w:lvl w:ilvl="0" w:tentative="0">
      <w:start w:val="22"/>
      <w:numFmt w:val="decimal"/>
      <w:lvlText w:val="%1."/>
      <w:lvlJc w:val="left"/>
      <w:pPr>
        <w:ind w:left="1598"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637" w:hanging="54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320" w:hanging="361"/>
        <w:jc w:val="left"/>
      </w:pPr>
      <w:rPr>
        <w:rFonts w:hint="default" w:ascii="宋体" w:hAnsi="宋体" w:eastAsia="宋体" w:cs="宋体"/>
        <w:spacing w:val="-17"/>
        <w:w w:val="100"/>
        <w:sz w:val="22"/>
        <w:szCs w:val="22"/>
        <w:lang w:val="zh-CN" w:eastAsia="zh-CN" w:bidi="zh-CN"/>
      </w:rPr>
    </w:lvl>
    <w:lvl w:ilvl="3" w:tentative="0">
      <w:start w:val="0"/>
      <w:numFmt w:val="bullet"/>
      <w:lvlText w:val="•"/>
      <w:lvlJc w:val="left"/>
      <w:pPr>
        <w:ind w:left="1600" w:hanging="361"/>
      </w:pPr>
      <w:rPr>
        <w:rFonts w:hint="default"/>
        <w:lang w:val="zh-CN" w:eastAsia="zh-CN" w:bidi="zh-CN"/>
      </w:rPr>
    </w:lvl>
    <w:lvl w:ilvl="4" w:tentative="0">
      <w:start w:val="0"/>
      <w:numFmt w:val="bullet"/>
      <w:lvlText w:val="•"/>
      <w:lvlJc w:val="left"/>
      <w:pPr>
        <w:ind w:left="2872" w:hanging="361"/>
      </w:pPr>
      <w:rPr>
        <w:rFonts w:hint="default"/>
        <w:lang w:val="zh-CN" w:eastAsia="zh-CN" w:bidi="zh-CN"/>
      </w:rPr>
    </w:lvl>
    <w:lvl w:ilvl="5" w:tentative="0">
      <w:start w:val="0"/>
      <w:numFmt w:val="bullet"/>
      <w:lvlText w:val="•"/>
      <w:lvlJc w:val="left"/>
      <w:pPr>
        <w:ind w:left="4144" w:hanging="361"/>
      </w:pPr>
      <w:rPr>
        <w:rFonts w:hint="default"/>
        <w:lang w:val="zh-CN" w:eastAsia="zh-CN" w:bidi="zh-CN"/>
      </w:rPr>
    </w:lvl>
    <w:lvl w:ilvl="6" w:tentative="0">
      <w:start w:val="0"/>
      <w:numFmt w:val="bullet"/>
      <w:lvlText w:val="•"/>
      <w:lvlJc w:val="left"/>
      <w:pPr>
        <w:ind w:left="5416" w:hanging="361"/>
      </w:pPr>
      <w:rPr>
        <w:rFonts w:hint="default"/>
        <w:lang w:val="zh-CN" w:eastAsia="zh-CN" w:bidi="zh-CN"/>
      </w:rPr>
    </w:lvl>
    <w:lvl w:ilvl="7" w:tentative="0">
      <w:start w:val="0"/>
      <w:numFmt w:val="bullet"/>
      <w:lvlText w:val="•"/>
      <w:lvlJc w:val="left"/>
      <w:pPr>
        <w:ind w:left="6689" w:hanging="361"/>
      </w:pPr>
      <w:rPr>
        <w:rFonts w:hint="default"/>
        <w:lang w:val="zh-CN" w:eastAsia="zh-CN" w:bidi="zh-CN"/>
      </w:rPr>
    </w:lvl>
    <w:lvl w:ilvl="8" w:tentative="0">
      <w:start w:val="0"/>
      <w:numFmt w:val="bullet"/>
      <w:lvlText w:val="•"/>
      <w:lvlJc w:val="left"/>
      <w:pPr>
        <w:ind w:left="7961" w:hanging="361"/>
      </w:pPr>
      <w:rPr>
        <w:rFonts w:hint="default"/>
        <w:lang w:val="zh-CN" w:eastAsia="zh-CN" w:bidi="zh-CN"/>
      </w:rPr>
    </w:lvl>
  </w:abstractNum>
  <w:abstractNum w:abstractNumId="28">
    <w:nsid w:val="0000001C"/>
    <w:multiLevelType w:val="multilevel"/>
    <w:tmpl w:val="0000001C"/>
    <w:lvl w:ilvl="0" w:tentative="0">
      <w:start w:val="14"/>
      <w:numFmt w:val="decimal"/>
      <w:lvlText w:val="%1."/>
      <w:lvlJc w:val="left"/>
      <w:pPr>
        <w:ind w:left="1598"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637"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60" w:hanging="540"/>
      </w:pPr>
      <w:rPr>
        <w:rFonts w:hint="default"/>
        <w:lang w:val="zh-CN" w:eastAsia="zh-CN" w:bidi="zh-CN"/>
      </w:rPr>
    </w:lvl>
    <w:lvl w:ilvl="3" w:tentative="0">
      <w:start w:val="0"/>
      <w:numFmt w:val="bullet"/>
      <w:lvlText w:val="•"/>
      <w:lvlJc w:val="left"/>
      <w:pPr>
        <w:ind w:left="2765" w:hanging="540"/>
      </w:pPr>
      <w:rPr>
        <w:rFonts w:hint="default"/>
        <w:lang w:val="zh-CN" w:eastAsia="zh-CN" w:bidi="zh-CN"/>
      </w:rPr>
    </w:lvl>
    <w:lvl w:ilvl="4" w:tentative="0">
      <w:start w:val="0"/>
      <w:numFmt w:val="bullet"/>
      <w:lvlText w:val="•"/>
      <w:lvlJc w:val="left"/>
      <w:pPr>
        <w:ind w:left="3871" w:hanging="540"/>
      </w:pPr>
      <w:rPr>
        <w:rFonts w:hint="default"/>
        <w:lang w:val="zh-CN" w:eastAsia="zh-CN" w:bidi="zh-CN"/>
      </w:rPr>
    </w:lvl>
    <w:lvl w:ilvl="5" w:tentative="0">
      <w:start w:val="0"/>
      <w:numFmt w:val="bullet"/>
      <w:lvlText w:val="•"/>
      <w:lvlJc w:val="left"/>
      <w:pPr>
        <w:ind w:left="4977" w:hanging="540"/>
      </w:pPr>
      <w:rPr>
        <w:rFonts w:hint="default"/>
        <w:lang w:val="zh-CN" w:eastAsia="zh-CN" w:bidi="zh-CN"/>
      </w:rPr>
    </w:lvl>
    <w:lvl w:ilvl="6" w:tentative="0">
      <w:start w:val="0"/>
      <w:numFmt w:val="bullet"/>
      <w:lvlText w:val="•"/>
      <w:lvlJc w:val="left"/>
      <w:pPr>
        <w:ind w:left="6083" w:hanging="540"/>
      </w:pPr>
      <w:rPr>
        <w:rFonts w:hint="default"/>
        <w:lang w:val="zh-CN" w:eastAsia="zh-CN" w:bidi="zh-CN"/>
      </w:rPr>
    </w:lvl>
    <w:lvl w:ilvl="7" w:tentative="0">
      <w:start w:val="0"/>
      <w:numFmt w:val="bullet"/>
      <w:lvlText w:val="•"/>
      <w:lvlJc w:val="left"/>
      <w:pPr>
        <w:ind w:left="7188" w:hanging="540"/>
      </w:pPr>
      <w:rPr>
        <w:rFonts w:hint="default"/>
        <w:lang w:val="zh-CN" w:eastAsia="zh-CN" w:bidi="zh-CN"/>
      </w:rPr>
    </w:lvl>
    <w:lvl w:ilvl="8" w:tentative="0">
      <w:start w:val="0"/>
      <w:numFmt w:val="bullet"/>
      <w:lvlText w:val="•"/>
      <w:lvlJc w:val="left"/>
      <w:pPr>
        <w:ind w:left="8294" w:hanging="540"/>
      </w:pPr>
      <w:rPr>
        <w:rFonts w:hint="default"/>
        <w:lang w:val="zh-CN" w:eastAsia="zh-CN" w:bidi="zh-CN"/>
      </w:rPr>
    </w:lvl>
  </w:abstractNum>
  <w:abstractNum w:abstractNumId="29">
    <w:nsid w:val="0000001D"/>
    <w:multiLevelType w:val="multilevel"/>
    <w:tmpl w:val="0000001D"/>
    <w:lvl w:ilvl="0" w:tentative="0">
      <w:start w:val="1"/>
      <w:numFmt w:val="decimal"/>
      <w:lvlText w:val="（%1）"/>
      <w:lvlJc w:val="left"/>
      <w:pPr>
        <w:ind w:left="1718" w:hanging="601"/>
        <w:jc w:val="left"/>
      </w:pPr>
      <w:rPr>
        <w:rFonts w:hint="default" w:ascii="宋体" w:hAnsi="宋体" w:eastAsia="宋体" w:cs="宋体"/>
        <w:spacing w:val="-10"/>
        <w:w w:val="100"/>
        <w:sz w:val="22"/>
        <w:szCs w:val="22"/>
        <w:lang w:val="zh-CN" w:eastAsia="zh-CN" w:bidi="zh-CN"/>
      </w:rPr>
    </w:lvl>
    <w:lvl w:ilvl="1" w:tentative="0">
      <w:start w:val="0"/>
      <w:numFmt w:val="bullet"/>
      <w:lvlText w:val="•"/>
      <w:lvlJc w:val="left"/>
      <w:pPr>
        <w:ind w:left="2598" w:hanging="601"/>
      </w:pPr>
      <w:rPr>
        <w:rFonts w:hint="default"/>
        <w:lang w:val="zh-CN" w:eastAsia="zh-CN" w:bidi="zh-CN"/>
      </w:rPr>
    </w:lvl>
    <w:lvl w:ilvl="2" w:tentative="0">
      <w:start w:val="0"/>
      <w:numFmt w:val="bullet"/>
      <w:lvlText w:val="•"/>
      <w:lvlJc w:val="left"/>
      <w:pPr>
        <w:ind w:left="3477" w:hanging="601"/>
      </w:pPr>
      <w:rPr>
        <w:rFonts w:hint="default"/>
        <w:lang w:val="zh-CN" w:eastAsia="zh-CN" w:bidi="zh-CN"/>
      </w:rPr>
    </w:lvl>
    <w:lvl w:ilvl="3" w:tentative="0">
      <w:start w:val="0"/>
      <w:numFmt w:val="bullet"/>
      <w:lvlText w:val="•"/>
      <w:lvlJc w:val="left"/>
      <w:pPr>
        <w:ind w:left="435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13" w:hanging="601"/>
      </w:pPr>
      <w:rPr>
        <w:rFonts w:hint="default"/>
        <w:lang w:val="zh-CN" w:eastAsia="zh-CN" w:bidi="zh-CN"/>
      </w:rPr>
    </w:lvl>
    <w:lvl w:ilvl="6" w:tentative="0">
      <w:start w:val="0"/>
      <w:numFmt w:val="bullet"/>
      <w:lvlText w:val="•"/>
      <w:lvlJc w:val="left"/>
      <w:pPr>
        <w:ind w:left="6991" w:hanging="601"/>
      </w:pPr>
      <w:rPr>
        <w:rFonts w:hint="default"/>
        <w:lang w:val="zh-CN" w:eastAsia="zh-CN" w:bidi="zh-CN"/>
      </w:rPr>
    </w:lvl>
    <w:lvl w:ilvl="7" w:tentative="0">
      <w:start w:val="0"/>
      <w:numFmt w:val="bullet"/>
      <w:lvlText w:val="•"/>
      <w:lvlJc w:val="left"/>
      <w:pPr>
        <w:ind w:left="7870" w:hanging="601"/>
      </w:pPr>
      <w:rPr>
        <w:rFonts w:hint="default"/>
        <w:lang w:val="zh-CN" w:eastAsia="zh-CN" w:bidi="zh-CN"/>
      </w:rPr>
    </w:lvl>
    <w:lvl w:ilvl="8" w:tentative="0">
      <w:start w:val="0"/>
      <w:numFmt w:val="bullet"/>
      <w:lvlText w:val="•"/>
      <w:lvlJc w:val="left"/>
      <w:pPr>
        <w:ind w:left="8748" w:hanging="601"/>
      </w:pPr>
      <w:rPr>
        <w:rFonts w:hint="default"/>
        <w:lang w:val="zh-CN" w:eastAsia="zh-CN" w:bidi="zh-CN"/>
      </w:rPr>
    </w:lvl>
  </w:abstractNum>
  <w:abstractNum w:abstractNumId="30">
    <w:nsid w:val="0000001E"/>
    <w:multiLevelType w:val="multilevel"/>
    <w:tmpl w:val="0000001E"/>
    <w:lvl w:ilvl="0" w:tentative="0">
      <w:start w:val="8"/>
      <w:numFmt w:val="decimal"/>
      <w:lvlText w:val="%1"/>
      <w:lvlJc w:val="left"/>
      <w:pPr>
        <w:ind w:left="637" w:hanging="480"/>
        <w:jc w:val="left"/>
      </w:pPr>
      <w:rPr>
        <w:rFonts w:hint="default"/>
        <w:lang w:val="zh-CN" w:eastAsia="zh-CN" w:bidi="zh-CN"/>
      </w:rPr>
    </w:lvl>
    <w:lvl w:ilvl="1" w:tentative="0">
      <w:start w:val="1"/>
      <w:numFmt w:val="decimal"/>
      <w:lvlText w:val="%1.%2"/>
      <w:lvlJc w:val="left"/>
      <w:pPr>
        <w:ind w:left="637" w:hanging="480"/>
        <w:jc w:val="left"/>
      </w:pPr>
      <w:rPr>
        <w:rFonts w:hint="default" w:ascii="宋体" w:hAnsi="宋体" w:eastAsia="宋体" w:cs="宋体"/>
        <w:spacing w:val="-24"/>
        <w:w w:val="100"/>
        <w:sz w:val="24"/>
        <w:szCs w:val="24"/>
        <w:lang w:val="zh-CN" w:eastAsia="zh-CN" w:bidi="zh-CN"/>
      </w:rPr>
    </w:lvl>
    <w:lvl w:ilvl="2" w:tentative="0">
      <w:start w:val="0"/>
      <w:numFmt w:val="bullet"/>
      <w:lvlText w:val="•"/>
      <w:lvlJc w:val="left"/>
      <w:pPr>
        <w:ind w:left="2613" w:hanging="480"/>
      </w:pPr>
      <w:rPr>
        <w:rFonts w:hint="default"/>
        <w:lang w:val="zh-CN" w:eastAsia="zh-CN" w:bidi="zh-CN"/>
      </w:rPr>
    </w:lvl>
    <w:lvl w:ilvl="3" w:tentative="0">
      <w:start w:val="0"/>
      <w:numFmt w:val="bullet"/>
      <w:lvlText w:val="•"/>
      <w:lvlJc w:val="left"/>
      <w:pPr>
        <w:ind w:left="3599" w:hanging="480"/>
      </w:pPr>
      <w:rPr>
        <w:rFonts w:hint="default"/>
        <w:lang w:val="zh-CN" w:eastAsia="zh-CN" w:bidi="zh-CN"/>
      </w:rPr>
    </w:lvl>
    <w:lvl w:ilvl="4" w:tentative="0">
      <w:start w:val="0"/>
      <w:numFmt w:val="bullet"/>
      <w:lvlText w:val="•"/>
      <w:lvlJc w:val="left"/>
      <w:pPr>
        <w:ind w:left="4586" w:hanging="480"/>
      </w:pPr>
      <w:rPr>
        <w:rFonts w:hint="default"/>
        <w:lang w:val="zh-CN" w:eastAsia="zh-CN" w:bidi="zh-CN"/>
      </w:rPr>
    </w:lvl>
    <w:lvl w:ilvl="5" w:tentative="0">
      <w:start w:val="0"/>
      <w:numFmt w:val="bullet"/>
      <w:lvlText w:val="•"/>
      <w:lvlJc w:val="left"/>
      <w:pPr>
        <w:ind w:left="5573" w:hanging="480"/>
      </w:pPr>
      <w:rPr>
        <w:rFonts w:hint="default"/>
        <w:lang w:val="zh-CN" w:eastAsia="zh-CN" w:bidi="zh-CN"/>
      </w:rPr>
    </w:lvl>
    <w:lvl w:ilvl="6" w:tentative="0">
      <w:start w:val="0"/>
      <w:numFmt w:val="bullet"/>
      <w:lvlText w:val="•"/>
      <w:lvlJc w:val="left"/>
      <w:pPr>
        <w:ind w:left="6559" w:hanging="480"/>
      </w:pPr>
      <w:rPr>
        <w:rFonts w:hint="default"/>
        <w:lang w:val="zh-CN" w:eastAsia="zh-CN" w:bidi="zh-CN"/>
      </w:rPr>
    </w:lvl>
    <w:lvl w:ilvl="7" w:tentative="0">
      <w:start w:val="0"/>
      <w:numFmt w:val="bullet"/>
      <w:lvlText w:val="•"/>
      <w:lvlJc w:val="left"/>
      <w:pPr>
        <w:ind w:left="7546" w:hanging="480"/>
      </w:pPr>
      <w:rPr>
        <w:rFonts w:hint="default"/>
        <w:lang w:val="zh-CN" w:eastAsia="zh-CN" w:bidi="zh-CN"/>
      </w:rPr>
    </w:lvl>
    <w:lvl w:ilvl="8" w:tentative="0">
      <w:start w:val="0"/>
      <w:numFmt w:val="bullet"/>
      <w:lvlText w:val="•"/>
      <w:lvlJc w:val="left"/>
      <w:pPr>
        <w:ind w:left="8532" w:hanging="480"/>
      </w:pPr>
      <w:rPr>
        <w:rFonts w:hint="default"/>
        <w:lang w:val="zh-CN" w:eastAsia="zh-CN" w:bidi="zh-CN"/>
      </w:rPr>
    </w:lvl>
  </w:abstractNum>
  <w:abstractNum w:abstractNumId="31">
    <w:nsid w:val="0000001F"/>
    <w:multiLevelType w:val="multilevel"/>
    <w:tmpl w:val="0000001F"/>
    <w:lvl w:ilvl="0" w:tentative="0">
      <w:start w:val="1"/>
      <w:numFmt w:val="decimal"/>
      <w:lvlText w:val="（%1）"/>
      <w:lvlJc w:val="left"/>
      <w:pPr>
        <w:ind w:left="1880" w:hanging="689"/>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742" w:hanging="689"/>
      </w:pPr>
      <w:rPr>
        <w:rFonts w:hint="default"/>
        <w:lang w:val="zh-CN" w:eastAsia="zh-CN" w:bidi="zh-CN"/>
      </w:rPr>
    </w:lvl>
    <w:lvl w:ilvl="2" w:tentative="0">
      <w:start w:val="0"/>
      <w:numFmt w:val="bullet"/>
      <w:lvlText w:val="•"/>
      <w:lvlJc w:val="left"/>
      <w:pPr>
        <w:ind w:left="3605" w:hanging="689"/>
      </w:pPr>
      <w:rPr>
        <w:rFonts w:hint="default"/>
        <w:lang w:val="zh-CN" w:eastAsia="zh-CN" w:bidi="zh-CN"/>
      </w:rPr>
    </w:lvl>
    <w:lvl w:ilvl="3" w:tentative="0">
      <w:start w:val="0"/>
      <w:numFmt w:val="bullet"/>
      <w:lvlText w:val="•"/>
      <w:lvlJc w:val="left"/>
      <w:pPr>
        <w:ind w:left="4467" w:hanging="689"/>
      </w:pPr>
      <w:rPr>
        <w:rFonts w:hint="default"/>
        <w:lang w:val="zh-CN" w:eastAsia="zh-CN" w:bidi="zh-CN"/>
      </w:rPr>
    </w:lvl>
    <w:lvl w:ilvl="4" w:tentative="0">
      <w:start w:val="0"/>
      <w:numFmt w:val="bullet"/>
      <w:lvlText w:val="•"/>
      <w:lvlJc w:val="left"/>
      <w:pPr>
        <w:ind w:left="5330" w:hanging="689"/>
      </w:pPr>
      <w:rPr>
        <w:rFonts w:hint="default"/>
        <w:lang w:val="zh-CN" w:eastAsia="zh-CN" w:bidi="zh-CN"/>
      </w:rPr>
    </w:lvl>
    <w:lvl w:ilvl="5" w:tentative="0">
      <w:start w:val="0"/>
      <w:numFmt w:val="bullet"/>
      <w:lvlText w:val="•"/>
      <w:lvlJc w:val="left"/>
      <w:pPr>
        <w:ind w:left="6193" w:hanging="689"/>
      </w:pPr>
      <w:rPr>
        <w:rFonts w:hint="default"/>
        <w:lang w:val="zh-CN" w:eastAsia="zh-CN" w:bidi="zh-CN"/>
      </w:rPr>
    </w:lvl>
    <w:lvl w:ilvl="6" w:tentative="0">
      <w:start w:val="0"/>
      <w:numFmt w:val="bullet"/>
      <w:lvlText w:val="•"/>
      <w:lvlJc w:val="left"/>
      <w:pPr>
        <w:ind w:left="7055" w:hanging="689"/>
      </w:pPr>
      <w:rPr>
        <w:rFonts w:hint="default"/>
        <w:lang w:val="zh-CN" w:eastAsia="zh-CN" w:bidi="zh-CN"/>
      </w:rPr>
    </w:lvl>
    <w:lvl w:ilvl="7" w:tentative="0">
      <w:start w:val="0"/>
      <w:numFmt w:val="bullet"/>
      <w:lvlText w:val="•"/>
      <w:lvlJc w:val="left"/>
      <w:pPr>
        <w:ind w:left="7918" w:hanging="689"/>
      </w:pPr>
      <w:rPr>
        <w:rFonts w:hint="default"/>
        <w:lang w:val="zh-CN" w:eastAsia="zh-CN" w:bidi="zh-CN"/>
      </w:rPr>
    </w:lvl>
    <w:lvl w:ilvl="8" w:tentative="0">
      <w:start w:val="0"/>
      <w:numFmt w:val="bullet"/>
      <w:lvlText w:val="•"/>
      <w:lvlJc w:val="left"/>
      <w:pPr>
        <w:ind w:left="8780" w:hanging="689"/>
      </w:pPr>
      <w:rPr>
        <w:rFonts w:hint="default"/>
        <w:lang w:val="zh-CN" w:eastAsia="zh-CN" w:bidi="zh-CN"/>
      </w:rPr>
    </w:lvl>
  </w:abstractNum>
  <w:abstractNum w:abstractNumId="32">
    <w:nsid w:val="00000020"/>
    <w:multiLevelType w:val="multilevel"/>
    <w:tmpl w:val="00000020"/>
    <w:lvl w:ilvl="0" w:tentative="0">
      <w:start w:val="16"/>
      <w:numFmt w:val="decimal"/>
      <w:lvlText w:val="%1."/>
      <w:lvlJc w:val="left"/>
      <w:pPr>
        <w:ind w:left="1600" w:hanging="483"/>
        <w:jc w:val="left"/>
      </w:pPr>
      <w:rPr>
        <w:rFonts w:hint="default"/>
        <w:b/>
        <w:bCs/>
        <w:spacing w:val="0"/>
        <w:w w:val="99"/>
        <w:lang w:val="zh-CN" w:eastAsia="zh-CN" w:bidi="zh-CN"/>
      </w:rPr>
    </w:lvl>
    <w:lvl w:ilvl="1" w:tentative="0">
      <w:start w:val="1"/>
      <w:numFmt w:val="decimal"/>
      <w:lvlText w:val="%1.%2"/>
      <w:lvlJc w:val="left"/>
      <w:pPr>
        <w:ind w:left="637" w:hanging="605"/>
        <w:jc w:val="left"/>
      </w:pPr>
      <w:rPr>
        <w:rFonts w:hint="default"/>
        <w:w w:val="100"/>
        <w:lang w:val="zh-CN" w:eastAsia="zh-CN" w:bidi="zh-CN"/>
      </w:rPr>
    </w:lvl>
    <w:lvl w:ilvl="2" w:tentative="0">
      <w:start w:val="1"/>
      <w:numFmt w:val="decimal"/>
      <w:lvlText w:val="%1.%2.%3"/>
      <w:lvlJc w:val="left"/>
      <w:pPr>
        <w:ind w:left="637" w:hanging="840"/>
        <w:jc w:val="left"/>
      </w:pPr>
      <w:rPr>
        <w:rFonts w:hint="default"/>
        <w:spacing w:val="-18"/>
        <w:w w:val="100"/>
        <w:lang w:val="zh-CN" w:eastAsia="zh-CN" w:bidi="zh-CN"/>
      </w:rPr>
    </w:lvl>
    <w:lvl w:ilvl="3" w:tentative="0">
      <w:start w:val="1"/>
      <w:numFmt w:val="decimal"/>
      <w:lvlText w:val="%1.%2.%3.%4"/>
      <w:lvlJc w:val="left"/>
      <w:pPr>
        <w:ind w:left="637" w:hanging="840"/>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3180" w:hanging="840"/>
      </w:pPr>
      <w:rPr>
        <w:rFonts w:hint="default"/>
        <w:lang w:val="zh-CN" w:eastAsia="zh-CN" w:bidi="zh-CN"/>
      </w:rPr>
    </w:lvl>
    <w:lvl w:ilvl="5" w:tentative="0">
      <w:start w:val="0"/>
      <w:numFmt w:val="bullet"/>
      <w:lvlText w:val="•"/>
      <w:lvlJc w:val="left"/>
      <w:pPr>
        <w:ind w:left="4401" w:hanging="840"/>
      </w:pPr>
      <w:rPr>
        <w:rFonts w:hint="default"/>
        <w:lang w:val="zh-CN" w:eastAsia="zh-CN" w:bidi="zh-CN"/>
      </w:rPr>
    </w:lvl>
    <w:lvl w:ilvl="6" w:tentative="0">
      <w:start w:val="0"/>
      <w:numFmt w:val="bullet"/>
      <w:lvlText w:val="•"/>
      <w:lvlJc w:val="left"/>
      <w:pPr>
        <w:ind w:left="5622" w:hanging="840"/>
      </w:pPr>
      <w:rPr>
        <w:rFonts w:hint="default"/>
        <w:lang w:val="zh-CN" w:eastAsia="zh-CN" w:bidi="zh-CN"/>
      </w:rPr>
    </w:lvl>
    <w:lvl w:ilvl="7" w:tentative="0">
      <w:start w:val="0"/>
      <w:numFmt w:val="bullet"/>
      <w:lvlText w:val="•"/>
      <w:lvlJc w:val="left"/>
      <w:pPr>
        <w:ind w:left="6843" w:hanging="840"/>
      </w:pPr>
      <w:rPr>
        <w:rFonts w:hint="default"/>
        <w:lang w:val="zh-CN" w:eastAsia="zh-CN" w:bidi="zh-CN"/>
      </w:rPr>
    </w:lvl>
    <w:lvl w:ilvl="8" w:tentative="0">
      <w:start w:val="0"/>
      <w:numFmt w:val="bullet"/>
      <w:lvlText w:val="•"/>
      <w:lvlJc w:val="left"/>
      <w:pPr>
        <w:ind w:left="8064" w:hanging="840"/>
      </w:pPr>
      <w:rPr>
        <w:rFonts w:hint="default"/>
        <w:lang w:val="zh-CN" w:eastAsia="zh-CN" w:bidi="zh-CN"/>
      </w:rPr>
    </w:lvl>
  </w:abstractNum>
  <w:abstractNum w:abstractNumId="33">
    <w:nsid w:val="00000021"/>
    <w:multiLevelType w:val="multilevel"/>
    <w:tmpl w:val="00000021"/>
    <w:lvl w:ilvl="0" w:tentative="0">
      <w:start w:val="1"/>
      <w:numFmt w:val="decimal"/>
      <w:lvlText w:val="(%1)"/>
      <w:lvlJc w:val="left"/>
      <w:pPr>
        <w:ind w:left="1478"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82" w:hanging="361"/>
      </w:pPr>
      <w:rPr>
        <w:rFonts w:hint="default"/>
        <w:lang w:val="zh-CN" w:eastAsia="zh-CN" w:bidi="zh-CN"/>
      </w:rPr>
    </w:lvl>
    <w:lvl w:ilvl="2" w:tentative="0">
      <w:start w:val="0"/>
      <w:numFmt w:val="bullet"/>
      <w:lvlText w:val="•"/>
      <w:lvlJc w:val="left"/>
      <w:pPr>
        <w:ind w:left="3285" w:hanging="361"/>
      </w:pPr>
      <w:rPr>
        <w:rFonts w:hint="default"/>
        <w:lang w:val="zh-CN" w:eastAsia="zh-CN" w:bidi="zh-CN"/>
      </w:rPr>
    </w:lvl>
    <w:lvl w:ilvl="3" w:tentative="0">
      <w:start w:val="0"/>
      <w:numFmt w:val="bullet"/>
      <w:lvlText w:val="•"/>
      <w:lvlJc w:val="left"/>
      <w:pPr>
        <w:ind w:left="4187" w:hanging="361"/>
      </w:pPr>
      <w:rPr>
        <w:rFonts w:hint="default"/>
        <w:lang w:val="zh-CN" w:eastAsia="zh-CN" w:bidi="zh-CN"/>
      </w:rPr>
    </w:lvl>
    <w:lvl w:ilvl="4" w:tentative="0">
      <w:start w:val="0"/>
      <w:numFmt w:val="bullet"/>
      <w:lvlText w:val="•"/>
      <w:lvlJc w:val="left"/>
      <w:pPr>
        <w:ind w:left="5090" w:hanging="361"/>
      </w:pPr>
      <w:rPr>
        <w:rFonts w:hint="default"/>
        <w:lang w:val="zh-CN" w:eastAsia="zh-CN" w:bidi="zh-CN"/>
      </w:rPr>
    </w:lvl>
    <w:lvl w:ilvl="5" w:tentative="0">
      <w:start w:val="0"/>
      <w:numFmt w:val="bullet"/>
      <w:lvlText w:val="•"/>
      <w:lvlJc w:val="left"/>
      <w:pPr>
        <w:ind w:left="5993" w:hanging="361"/>
      </w:pPr>
      <w:rPr>
        <w:rFonts w:hint="default"/>
        <w:lang w:val="zh-CN" w:eastAsia="zh-CN" w:bidi="zh-CN"/>
      </w:rPr>
    </w:lvl>
    <w:lvl w:ilvl="6" w:tentative="0">
      <w:start w:val="0"/>
      <w:numFmt w:val="bullet"/>
      <w:lvlText w:val="•"/>
      <w:lvlJc w:val="left"/>
      <w:pPr>
        <w:ind w:left="6895" w:hanging="361"/>
      </w:pPr>
      <w:rPr>
        <w:rFonts w:hint="default"/>
        <w:lang w:val="zh-CN" w:eastAsia="zh-CN" w:bidi="zh-CN"/>
      </w:rPr>
    </w:lvl>
    <w:lvl w:ilvl="7" w:tentative="0">
      <w:start w:val="0"/>
      <w:numFmt w:val="bullet"/>
      <w:lvlText w:val="•"/>
      <w:lvlJc w:val="left"/>
      <w:pPr>
        <w:ind w:left="7798" w:hanging="361"/>
      </w:pPr>
      <w:rPr>
        <w:rFonts w:hint="default"/>
        <w:lang w:val="zh-CN" w:eastAsia="zh-CN" w:bidi="zh-CN"/>
      </w:rPr>
    </w:lvl>
    <w:lvl w:ilvl="8" w:tentative="0">
      <w:start w:val="0"/>
      <w:numFmt w:val="bullet"/>
      <w:lvlText w:val="•"/>
      <w:lvlJc w:val="left"/>
      <w:pPr>
        <w:ind w:left="8700" w:hanging="361"/>
      </w:pPr>
      <w:rPr>
        <w:rFonts w:hint="default"/>
        <w:lang w:val="zh-CN" w:eastAsia="zh-CN" w:bidi="zh-CN"/>
      </w:rPr>
    </w:lvl>
  </w:abstractNum>
  <w:abstractNum w:abstractNumId="34">
    <w:nsid w:val="00000022"/>
    <w:multiLevelType w:val="singleLevel"/>
    <w:tmpl w:val="00000022"/>
    <w:lvl w:ilvl="0" w:tentative="0">
      <w:start w:val="3"/>
      <w:numFmt w:val="chineseCounting"/>
      <w:suff w:val="space"/>
      <w:lvlText w:val="第%1章"/>
      <w:lvlJc w:val="left"/>
      <w:rPr>
        <w:rFonts w:hint="eastAsia"/>
      </w:rPr>
    </w:lvl>
  </w:abstractNum>
  <w:abstractNum w:abstractNumId="35">
    <w:nsid w:val="00000023"/>
    <w:multiLevelType w:val="multilevel"/>
    <w:tmpl w:val="00000023"/>
    <w:lvl w:ilvl="0" w:tentative="0">
      <w:start w:val="2"/>
      <w:numFmt w:val="decimal"/>
      <w:lvlText w:val="%1."/>
      <w:lvlJc w:val="left"/>
      <w:pPr>
        <w:ind w:left="1481"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80"/>
        <w:jc w:val="left"/>
      </w:pPr>
      <w:rPr>
        <w:rFonts w:hint="default" w:ascii="宋体" w:hAnsi="宋体" w:eastAsia="宋体" w:cs="宋体"/>
        <w:spacing w:val="-22"/>
        <w:w w:val="100"/>
        <w:sz w:val="24"/>
        <w:szCs w:val="24"/>
        <w:lang w:val="zh-CN" w:eastAsia="zh-CN" w:bidi="zh-CN"/>
      </w:rPr>
    </w:lvl>
    <w:lvl w:ilvl="2" w:tentative="0">
      <w:start w:val="0"/>
      <w:numFmt w:val="bullet"/>
      <w:lvlText w:val="•"/>
      <w:lvlJc w:val="left"/>
      <w:pPr>
        <w:ind w:left="1600" w:hanging="480"/>
      </w:pPr>
      <w:rPr>
        <w:rFonts w:hint="default"/>
        <w:lang w:val="zh-CN" w:eastAsia="zh-CN" w:bidi="zh-CN"/>
      </w:rPr>
    </w:lvl>
    <w:lvl w:ilvl="3" w:tentative="0">
      <w:start w:val="0"/>
      <w:numFmt w:val="bullet"/>
      <w:lvlText w:val="•"/>
      <w:lvlJc w:val="left"/>
      <w:pPr>
        <w:ind w:left="2713" w:hanging="480"/>
      </w:pPr>
      <w:rPr>
        <w:rFonts w:hint="default"/>
        <w:lang w:val="zh-CN" w:eastAsia="zh-CN" w:bidi="zh-CN"/>
      </w:rPr>
    </w:lvl>
    <w:lvl w:ilvl="4" w:tentative="0">
      <w:start w:val="0"/>
      <w:numFmt w:val="bullet"/>
      <w:lvlText w:val="•"/>
      <w:lvlJc w:val="left"/>
      <w:pPr>
        <w:ind w:left="3826" w:hanging="480"/>
      </w:pPr>
      <w:rPr>
        <w:rFonts w:hint="default"/>
        <w:lang w:val="zh-CN" w:eastAsia="zh-CN" w:bidi="zh-CN"/>
      </w:rPr>
    </w:lvl>
    <w:lvl w:ilvl="5" w:tentative="0">
      <w:start w:val="0"/>
      <w:numFmt w:val="bullet"/>
      <w:lvlText w:val="•"/>
      <w:lvlJc w:val="left"/>
      <w:pPr>
        <w:ind w:left="4939" w:hanging="480"/>
      </w:pPr>
      <w:rPr>
        <w:rFonts w:hint="default"/>
        <w:lang w:val="zh-CN" w:eastAsia="zh-CN" w:bidi="zh-CN"/>
      </w:rPr>
    </w:lvl>
    <w:lvl w:ilvl="6" w:tentative="0">
      <w:start w:val="0"/>
      <w:numFmt w:val="bullet"/>
      <w:lvlText w:val="•"/>
      <w:lvlJc w:val="left"/>
      <w:pPr>
        <w:ind w:left="6053" w:hanging="480"/>
      </w:pPr>
      <w:rPr>
        <w:rFonts w:hint="default"/>
        <w:lang w:val="zh-CN" w:eastAsia="zh-CN" w:bidi="zh-CN"/>
      </w:rPr>
    </w:lvl>
    <w:lvl w:ilvl="7" w:tentative="0">
      <w:start w:val="0"/>
      <w:numFmt w:val="bullet"/>
      <w:lvlText w:val="•"/>
      <w:lvlJc w:val="left"/>
      <w:pPr>
        <w:ind w:left="7166" w:hanging="480"/>
      </w:pPr>
      <w:rPr>
        <w:rFonts w:hint="default"/>
        <w:lang w:val="zh-CN" w:eastAsia="zh-CN" w:bidi="zh-CN"/>
      </w:rPr>
    </w:lvl>
    <w:lvl w:ilvl="8" w:tentative="0">
      <w:start w:val="0"/>
      <w:numFmt w:val="bullet"/>
      <w:lvlText w:val="•"/>
      <w:lvlJc w:val="left"/>
      <w:pPr>
        <w:ind w:left="8279" w:hanging="480"/>
      </w:pPr>
      <w:rPr>
        <w:rFonts w:hint="default"/>
        <w:lang w:val="zh-CN" w:eastAsia="zh-CN" w:bidi="zh-CN"/>
      </w:rPr>
    </w:lvl>
  </w:abstractNum>
  <w:abstractNum w:abstractNumId="36">
    <w:nsid w:val="00000024"/>
    <w:multiLevelType w:val="multilevel"/>
    <w:tmpl w:val="00000024"/>
    <w:lvl w:ilvl="0" w:tentative="0">
      <w:start w:val="1"/>
      <w:numFmt w:val="decimal"/>
      <w:lvlText w:val="%1."/>
      <w:lvlJc w:val="left"/>
      <w:pPr>
        <w:ind w:left="1478"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7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473"/>
      </w:pPr>
      <w:rPr>
        <w:rFonts w:hint="default"/>
        <w:lang w:val="zh-CN" w:eastAsia="zh-CN" w:bidi="zh-CN"/>
      </w:rPr>
    </w:lvl>
    <w:lvl w:ilvl="3" w:tentative="0">
      <w:start w:val="0"/>
      <w:numFmt w:val="bullet"/>
      <w:lvlText w:val="•"/>
      <w:lvlJc w:val="left"/>
      <w:pPr>
        <w:ind w:left="2608" w:hanging="473"/>
      </w:pPr>
      <w:rPr>
        <w:rFonts w:hint="default"/>
        <w:lang w:val="zh-CN" w:eastAsia="zh-CN" w:bidi="zh-CN"/>
      </w:rPr>
    </w:lvl>
    <w:lvl w:ilvl="4" w:tentative="0">
      <w:start w:val="0"/>
      <w:numFmt w:val="bullet"/>
      <w:lvlText w:val="•"/>
      <w:lvlJc w:val="left"/>
      <w:pPr>
        <w:ind w:left="3736" w:hanging="473"/>
      </w:pPr>
      <w:rPr>
        <w:rFonts w:hint="default"/>
        <w:lang w:val="zh-CN" w:eastAsia="zh-CN" w:bidi="zh-CN"/>
      </w:rPr>
    </w:lvl>
    <w:lvl w:ilvl="5" w:tentative="0">
      <w:start w:val="0"/>
      <w:numFmt w:val="bullet"/>
      <w:lvlText w:val="•"/>
      <w:lvlJc w:val="left"/>
      <w:pPr>
        <w:ind w:left="4864" w:hanging="473"/>
      </w:pPr>
      <w:rPr>
        <w:rFonts w:hint="default"/>
        <w:lang w:val="zh-CN" w:eastAsia="zh-CN" w:bidi="zh-CN"/>
      </w:rPr>
    </w:lvl>
    <w:lvl w:ilvl="6" w:tentative="0">
      <w:start w:val="0"/>
      <w:numFmt w:val="bullet"/>
      <w:lvlText w:val="•"/>
      <w:lvlJc w:val="left"/>
      <w:pPr>
        <w:ind w:left="5993" w:hanging="473"/>
      </w:pPr>
      <w:rPr>
        <w:rFonts w:hint="default"/>
        <w:lang w:val="zh-CN" w:eastAsia="zh-CN" w:bidi="zh-CN"/>
      </w:rPr>
    </w:lvl>
    <w:lvl w:ilvl="7" w:tentative="0">
      <w:start w:val="0"/>
      <w:numFmt w:val="bullet"/>
      <w:lvlText w:val="•"/>
      <w:lvlJc w:val="left"/>
      <w:pPr>
        <w:ind w:left="7121" w:hanging="473"/>
      </w:pPr>
      <w:rPr>
        <w:rFonts w:hint="default"/>
        <w:lang w:val="zh-CN" w:eastAsia="zh-CN" w:bidi="zh-CN"/>
      </w:rPr>
    </w:lvl>
    <w:lvl w:ilvl="8" w:tentative="0">
      <w:start w:val="0"/>
      <w:numFmt w:val="bullet"/>
      <w:lvlText w:val="•"/>
      <w:lvlJc w:val="left"/>
      <w:pPr>
        <w:ind w:left="8249" w:hanging="473"/>
      </w:pPr>
      <w:rPr>
        <w:rFonts w:hint="default"/>
        <w:lang w:val="zh-CN" w:eastAsia="zh-CN" w:bidi="zh-CN"/>
      </w:rPr>
    </w:lvl>
  </w:abstractNum>
  <w:abstractNum w:abstractNumId="37">
    <w:nsid w:val="00000025"/>
    <w:multiLevelType w:val="multilevel"/>
    <w:tmpl w:val="00000025"/>
    <w:lvl w:ilvl="0" w:tentative="0">
      <w:start w:val="1"/>
      <w:numFmt w:val="decimal"/>
      <w:lvlText w:val="%1."/>
      <w:lvlJc w:val="left"/>
      <w:pPr>
        <w:ind w:left="1478"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637" w:hanging="480"/>
        <w:jc w:val="left"/>
      </w:pPr>
      <w:rPr>
        <w:rFonts w:hint="default" w:ascii="宋体" w:hAnsi="宋体" w:eastAsia="宋体" w:cs="宋体"/>
        <w:spacing w:val="-22"/>
        <w:w w:val="100"/>
        <w:sz w:val="24"/>
        <w:szCs w:val="24"/>
        <w:lang w:val="zh-CN" w:eastAsia="zh-CN" w:bidi="zh-CN"/>
      </w:rPr>
    </w:lvl>
    <w:lvl w:ilvl="2" w:tentative="0">
      <w:start w:val="0"/>
      <w:numFmt w:val="bullet"/>
      <w:lvlText w:val="•"/>
      <w:lvlJc w:val="left"/>
      <w:pPr>
        <w:ind w:left="2482" w:hanging="480"/>
      </w:pPr>
      <w:rPr>
        <w:rFonts w:hint="default"/>
        <w:lang w:val="zh-CN" w:eastAsia="zh-CN" w:bidi="zh-CN"/>
      </w:rPr>
    </w:lvl>
    <w:lvl w:ilvl="3" w:tentative="0">
      <w:start w:val="0"/>
      <w:numFmt w:val="bullet"/>
      <w:lvlText w:val="•"/>
      <w:lvlJc w:val="left"/>
      <w:pPr>
        <w:ind w:left="3485" w:hanging="480"/>
      </w:pPr>
      <w:rPr>
        <w:rFonts w:hint="default"/>
        <w:lang w:val="zh-CN" w:eastAsia="zh-CN" w:bidi="zh-CN"/>
      </w:rPr>
    </w:lvl>
    <w:lvl w:ilvl="4" w:tentative="0">
      <w:start w:val="0"/>
      <w:numFmt w:val="bullet"/>
      <w:lvlText w:val="•"/>
      <w:lvlJc w:val="left"/>
      <w:pPr>
        <w:ind w:left="4488" w:hanging="480"/>
      </w:pPr>
      <w:rPr>
        <w:rFonts w:hint="default"/>
        <w:lang w:val="zh-CN" w:eastAsia="zh-CN" w:bidi="zh-CN"/>
      </w:rPr>
    </w:lvl>
    <w:lvl w:ilvl="5" w:tentative="0">
      <w:start w:val="0"/>
      <w:numFmt w:val="bullet"/>
      <w:lvlText w:val="•"/>
      <w:lvlJc w:val="left"/>
      <w:pPr>
        <w:ind w:left="5491" w:hanging="480"/>
      </w:pPr>
      <w:rPr>
        <w:rFonts w:hint="default"/>
        <w:lang w:val="zh-CN" w:eastAsia="zh-CN" w:bidi="zh-CN"/>
      </w:rPr>
    </w:lvl>
    <w:lvl w:ilvl="6" w:tentative="0">
      <w:start w:val="0"/>
      <w:numFmt w:val="bullet"/>
      <w:lvlText w:val="•"/>
      <w:lvlJc w:val="left"/>
      <w:pPr>
        <w:ind w:left="6494" w:hanging="480"/>
      </w:pPr>
      <w:rPr>
        <w:rFonts w:hint="default"/>
        <w:lang w:val="zh-CN" w:eastAsia="zh-CN" w:bidi="zh-CN"/>
      </w:rPr>
    </w:lvl>
    <w:lvl w:ilvl="7" w:tentative="0">
      <w:start w:val="0"/>
      <w:numFmt w:val="bullet"/>
      <w:lvlText w:val="•"/>
      <w:lvlJc w:val="left"/>
      <w:pPr>
        <w:ind w:left="7497" w:hanging="480"/>
      </w:pPr>
      <w:rPr>
        <w:rFonts w:hint="default"/>
        <w:lang w:val="zh-CN" w:eastAsia="zh-CN" w:bidi="zh-CN"/>
      </w:rPr>
    </w:lvl>
    <w:lvl w:ilvl="8" w:tentative="0">
      <w:start w:val="0"/>
      <w:numFmt w:val="bullet"/>
      <w:lvlText w:val="•"/>
      <w:lvlJc w:val="left"/>
      <w:pPr>
        <w:ind w:left="8500" w:hanging="480"/>
      </w:pPr>
      <w:rPr>
        <w:rFonts w:hint="default"/>
        <w:lang w:val="zh-CN" w:eastAsia="zh-CN" w:bidi="zh-CN"/>
      </w:rPr>
    </w:lvl>
  </w:abstractNum>
  <w:abstractNum w:abstractNumId="38">
    <w:nsid w:val="00000026"/>
    <w:multiLevelType w:val="multilevel"/>
    <w:tmpl w:val="00000026"/>
    <w:lvl w:ilvl="0" w:tentative="0">
      <w:start w:val="24"/>
      <w:numFmt w:val="decimal"/>
      <w:lvlText w:val="%1"/>
      <w:lvlJc w:val="left"/>
      <w:pPr>
        <w:ind w:left="1962" w:hanging="845"/>
        <w:jc w:val="left"/>
      </w:pPr>
      <w:rPr>
        <w:rFonts w:hint="default"/>
        <w:lang w:val="zh-CN" w:eastAsia="zh-CN" w:bidi="zh-CN"/>
      </w:rPr>
    </w:lvl>
    <w:lvl w:ilvl="1" w:tentative="0">
      <w:start w:val="5"/>
      <w:numFmt w:val="decimal"/>
      <w:lvlText w:val="%1.%2"/>
      <w:lvlJc w:val="left"/>
      <w:pPr>
        <w:ind w:left="1962" w:hanging="845"/>
        <w:jc w:val="left"/>
      </w:pPr>
      <w:rPr>
        <w:rFonts w:hint="default"/>
        <w:lang w:val="zh-CN" w:eastAsia="zh-CN" w:bidi="zh-CN"/>
      </w:rPr>
    </w:lvl>
    <w:lvl w:ilvl="2" w:tentative="0">
      <w:start w:val="8"/>
      <w:numFmt w:val="decimal"/>
      <w:lvlText w:val="%1.%2.%3"/>
      <w:lvlJc w:val="left"/>
      <w:pPr>
        <w:ind w:left="1962" w:hanging="845"/>
        <w:jc w:val="left"/>
      </w:pPr>
      <w:rPr>
        <w:rFonts w:hint="default" w:ascii="宋体" w:hAnsi="宋体" w:eastAsia="宋体" w:cs="宋体"/>
        <w:b/>
        <w:bCs/>
        <w:spacing w:val="0"/>
        <w:w w:val="99"/>
        <w:sz w:val="24"/>
        <w:szCs w:val="24"/>
        <w:lang w:val="zh-CN" w:eastAsia="zh-CN" w:bidi="zh-CN"/>
      </w:rPr>
    </w:lvl>
    <w:lvl w:ilvl="3" w:tentative="0">
      <w:start w:val="1"/>
      <w:numFmt w:val="decimal"/>
      <w:lvlText w:val="%1.%2.%3.%4"/>
      <w:lvlJc w:val="left"/>
      <w:pPr>
        <w:ind w:left="637" w:hanging="1025"/>
        <w:jc w:val="left"/>
      </w:pPr>
      <w:rPr>
        <w:rFonts w:hint="default"/>
        <w:w w:val="100"/>
        <w:lang w:val="zh-CN" w:eastAsia="zh-CN" w:bidi="zh-CN"/>
      </w:rPr>
    </w:lvl>
    <w:lvl w:ilvl="4" w:tentative="0">
      <w:start w:val="0"/>
      <w:numFmt w:val="bullet"/>
      <w:lvlText w:val="•"/>
      <w:lvlJc w:val="left"/>
      <w:pPr>
        <w:ind w:left="4808" w:hanging="1025"/>
      </w:pPr>
      <w:rPr>
        <w:rFonts w:hint="default"/>
        <w:lang w:val="zh-CN" w:eastAsia="zh-CN" w:bidi="zh-CN"/>
      </w:rPr>
    </w:lvl>
    <w:lvl w:ilvl="5" w:tentative="0">
      <w:start w:val="0"/>
      <w:numFmt w:val="bullet"/>
      <w:lvlText w:val="•"/>
      <w:lvlJc w:val="left"/>
      <w:pPr>
        <w:ind w:left="5758" w:hanging="1025"/>
      </w:pPr>
      <w:rPr>
        <w:rFonts w:hint="default"/>
        <w:lang w:val="zh-CN" w:eastAsia="zh-CN" w:bidi="zh-CN"/>
      </w:rPr>
    </w:lvl>
    <w:lvl w:ilvl="6" w:tentative="0">
      <w:start w:val="0"/>
      <w:numFmt w:val="bullet"/>
      <w:lvlText w:val="•"/>
      <w:lvlJc w:val="left"/>
      <w:pPr>
        <w:ind w:left="6707" w:hanging="1025"/>
      </w:pPr>
      <w:rPr>
        <w:rFonts w:hint="default"/>
        <w:lang w:val="zh-CN" w:eastAsia="zh-CN" w:bidi="zh-CN"/>
      </w:rPr>
    </w:lvl>
    <w:lvl w:ilvl="7" w:tentative="0">
      <w:start w:val="0"/>
      <w:numFmt w:val="bullet"/>
      <w:lvlText w:val="•"/>
      <w:lvlJc w:val="left"/>
      <w:pPr>
        <w:ind w:left="7657" w:hanging="1025"/>
      </w:pPr>
      <w:rPr>
        <w:rFonts w:hint="default"/>
        <w:lang w:val="zh-CN" w:eastAsia="zh-CN" w:bidi="zh-CN"/>
      </w:rPr>
    </w:lvl>
    <w:lvl w:ilvl="8" w:tentative="0">
      <w:start w:val="0"/>
      <w:numFmt w:val="bullet"/>
      <w:lvlText w:val="•"/>
      <w:lvlJc w:val="left"/>
      <w:pPr>
        <w:ind w:left="8606" w:hanging="1025"/>
      </w:pPr>
      <w:rPr>
        <w:rFonts w:hint="default"/>
        <w:lang w:val="zh-CN" w:eastAsia="zh-CN" w:bidi="zh-CN"/>
      </w:rPr>
    </w:lvl>
  </w:abstractNum>
  <w:abstractNum w:abstractNumId="39">
    <w:nsid w:val="00000027"/>
    <w:multiLevelType w:val="multilevel"/>
    <w:tmpl w:val="00000027"/>
    <w:lvl w:ilvl="0" w:tentative="0">
      <w:start w:val="1"/>
      <w:numFmt w:val="decimal"/>
      <w:lvlText w:val="(%1)"/>
      <w:lvlJc w:val="left"/>
      <w:pPr>
        <w:ind w:left="637" w:hanging="488"/>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626" w:hanging="488"/>
      </w:pPr>
      <w:rPr>
        <w:rFonts w:hint="default"/>
        <w:lang w:val="zh-CN" w:eastAsia="zh-CN" w:bidi="zh-CN"/>
      </w:rPr>
    </w:lvl>
    <w:lvl w:ilvl="2" w:tentative="0">
      <w:start w:val="0"/>
      <w:numFmt w:val="bullet"/>
      <w:lvlText w:val="•"/>
      <w:lvlJc w:val="left"/>
      <w:pPr>
        <w:ind w:left="2613" w:hanging="488"/>
      </w:pPr>
      <w:rPr>
        <w:rFonts w:hint="default"/>
        <w:lang w:val="zh-CN" w:eastAsia="zh-CN" w:bidi="zh-CN"/>
      </w:rPr>
    </w:lvl>
    <w:lvl w:ilvl="3" w:tentative="0">
      <w:start w:val="0"/>
      <w:numFmt w:val="bullet"/>
      <w:lvlText w:val="•"/>
      <w:lvlJc w:val="left"/>
      <w:pPr>
        <w:ind w:left="3599" w:hanging="488"/>
      </w:pPr>
      <w:rPr>
        <w:rFonts w:hint="default"/>
        <w:lang w:val="zh-CN" w:eastAsia="zh-CN" w:bidi="zh-CN"/>
      </w:rPr>
    </w:lvl>
    <w:lvl w:ilvl="4" w:tentative="0">
      <w:start w:val="0"/>
      <w:numFmt w:val="bullet"/>
      <w:lvlText w:val="•"/>
      <w:lvlJc w:val="left"/>
      <w:pPr>
        <w:ind w:left="4586" w:hanging="488"/>
      </w:pPr>
      <w:rPr>
        <w:rFonts w:hint="default"/>
        <w:lang w:val="zh-CN" w:eastAsia="zh-CN" w:bidi="zh-CN"/>
      </w:rPr>
    </w:lvl>
    <w:lvl w:ilvl="5" w:tentative="0">
      <w:start w:val="0"/>
      <w:numFmt w:val="bullet"/>
      <w:lvlText w:val="•"/>
      <w:lvlJc w:val="left"/>
      <w:pPr>
        <w:ind w:left="5573" w:hanging="488"/>
      </w:pPr>
      <w:rPr>
        <w:rFonts w:hint="default"/>
        <w:lang w:val="zh-CN" w:eastAsia="zh-CN" w:bidi="zh-CN"/>
      </w:rPr>
    </w:lvl>
    <w:lvl w:ilvl="6" w:tentative="0">
      <w:start w:val="0"/>
      <w:numFmt w:val="bullet"/>
      <w:lvlText w:val="•"/>
      <w:lvlJc w:val="left"/>
      <w:pPr>
        <w:ind w:left="6559" w:hanging="488"/>
      </w:pPr>
      <w:rPr>
        <w:rFonts w:hint="default"/>
        <w:lang w:val="zh-CN" w:eastAsia="zh-CN" w:bidi="zh-CN"/>
      </w:rPr>
    </w:lvl>
    <w:lvl w:ilvl="7" w:tentative="0">
      <w:start w:val="0"/>
      <w:numFmt w:val="bullet"/>
      <w:lvlText w:val="•"/>
      <w:lvlJc w:val="left"/>
      <w:pPr>
        <w:ind w:left="7546" w:hanging="488"/>
      </w:pPr>
      <w:rPr>
        <w:rFonts w:hint="default"/>
        <w:lang w:val="zh-CN" w:eastAsia="zh-CN" w:bidi="zh-CN"/>
      </w:rPr>
    </w:lvl>
    <w:lvl w:ilvl="8" w:tentative="0">
      <w:start w:val="0"/>
      <w:numFmt w:val="bullet"/>
      <w:lvlText w:val="•"/>
      <w:lvlJc w:val="left"/>
      <w:pPr>
        <w:ind w:left="8532" w:hanging="488"/>
      </w:pPr>
      <w:rPr>
        <w:rFonts w:hint="default"/>
        <w:lang w:val="zh-CN" w:eastAsia="zh-CN" w:bidi="zh-CN"/>
      </w:rPr>
    </w:lvl>
  </w:abstractNum>
  <w:num w:numId="1">
    <w:abstractNumId w:val="10"/>
  </w:num>
  <w:num w:numId="2">
    <w:abstractNumId w:val="17"/>
  </w:num>
  <w:num w:numId="3">
    <w:abstractNumId w:val="29"/>
  </w:num>
  <w:num w:numId="4">
    <w:abstractNumId w:val="12"/>
  </w:num>
  <w:num w:numId="5">
    <w:abstractNumId w:val="7"/>
  </w:num>
  <w:num w:numId="6">
    <w:abstractNumId w:val="16"/>
  </w:num>
  <w:num w:numId="7">
    <w:abstractNumId w:val="35"/>
  </w:num>
  <w:num w:numId="8">
    <w:abstractNumId w:val="15"/>
  </w:num>
  <w:num w:numId="9">
    <w:abstractNumId w:val="4"/>
  </w:num>
  <w:num w:numId="10">
    <w:abstractNumId w:val="21"/>
  </w:num>
  <w:num w:numId="11">
    <w:abstractNumId w:val="30"/>
  </w:num>
  <w:num w:numId="12">
    <w:abstractNumId w:val="13"/>
  </w:num>
  <w:num w:numId="13">
    <w:abstractNumId w:val="26"/>
  </w:num>
  <w:num w:numId="14">
    <w:abstractNumId w:val="20"/>
  </w:num>
  <w:num w:numId="15">
    <w:abstractNumId w:val="34"/>
  </w:num>
  <w:num w:numId="16">
    <w:abstractNumId w:val="25"/>
  </w:num>
  <w:num w:numId="17">
    <w:abstractNumId w:val="32"/>
  </w:num>
  <w:num w:numId="18">
    <w:abstractNumId w:val="18"/>
  </w:num>
  <w:num w:numId="19">
    <w:abstractNumId w:val="24"/>
  </w:num>
  <w:num w:numId="20">
    <w:abstractNumId w:val="6"/>
  </w:num>
  <w:num w:numId="21">
    <w:abstractNumId w:val="38"/>
  </w:num>
  <w:num w:numId="22">
    <w:abstractNumId w:val="36"/>
  </w:num>
  <w:num w:numId="23">
    <w:abstractNumId w:val="11"/>
  </w:num>
  <w:num w:numId="24">
    <w:abstractNumId w:val="33"/>
  </w:num>
  <w:num w:numId="25">
    <w:abstractNumId w:val="5"/>
  </w:num>
  <w:num w:numId="26">
    <w:abstractNumId w:val="23"/>
  </w:num>
  <w:num w:numId="27">
    <w:abstractNumId w:val="2"/>
  </w:num>
  <w:num w:numId="28">
    <w:abstractNumId w:val="28"/>
  </w:num>
  <w:num w:numId="29">
    <w:abstractNumId w:val="39"/>
  </w:num>
  <w:num w:numId="30">
    <w:abstractNumId w:val="0"/>
  </w:num>
  <w:num w:numId="31">
    <w:abstractNumId w:val="19"/>
  </w:num>
  <w:num w:numId="32">
    <w:abstractNumId w:val="27"/>
  </w:num>
  <w:num w:numId="33">
    <w:abstractNumId w:val="14"/>
  </w:num>
  <w:num w:numId="34">
    <w:abstractNumId w:val="22"/>
  </w:num>
  <w:num w:numId="35">
    <w:abstractNumId w:val="37"/>
  </w:num>
  <w:num w:numId="36">
    <w:abstractNumId w:val="9"/>
  </w:num>
  <w:num w:numId="37">
    <w:abstractNumId w:val="3"/>
  </w:num>
  <w:num w:numId="38">
    <w:abstractNumId w:val="8"/>
  </w:num>
  <w:num w:numId="39">
    <w:abstractNumId w:val="3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YWE4YzQ4MTA0MjQxNjQ5YzdkMDQ1NTMwODNhYTYifQ=="/>
  </w:docVars>
  <w:rsids>
    <w:rsidRoot w:val="00000000"/>
    <w:rsid w:val="00EE02F2"/>
    <w:rsid w:val="0201252C"/>
    <w:rsid w:val="02580FFA"/>
    <w:rsid w:val="02B20F94"/>
    <w:rsid w:val="04112E64"/>
    <w:rsid w:val="04126601"/>
    <w:rsid w:val="04DF1DB9"/>
    <w:rsid w:val="0726664B"/>
    <w:rsid w:val="078D1495"/>
    <w:rsid w:val="08D31906"/>
    <w:rsid w:val="093E6BA4"/>
    <w:rsid w:val="0BA329A9"/>
    <w:rsid w:val="0C895E65"/>
    <w:rsid w:val="0C98445F"/>
    <w:rsid w:val="0CDC32F4"/>
    <w:rsid w:val="0D83465C"/>
    <w:rsid w:val="0E4F333A"/>
    <w:rsid w:val="0E7705ED"/>
    <w:rsid w:val="0ED82D11"/>
    <w:rsid w:val="0FE35145"/>
    <w:rsid w:val="1046700A"/>
    <w:rsid w:val="10C54C2A"/>
    <w:rsid w:val="11875983"/>
    <w:rsid w:val="13F07328"/>
    <w:rsid w:val="160550C9"/>
    <w:rsid w:val="165F6ECF"/>
    <w:rsid w:val="170D7D60"/>
    <w:rsid w:val="17521752"/>
    <w:rsid w:val="18807D10"/>
    <w:rsid w:val="19BA3865"/>
    <w:rsid w:val="19FC3DC7"/>
    <w:rsid w:val="1B2125BF"/>
    <w:rsid w:val="1BCC2910"/>
    <w:rsid w:val="1DE33F41"/>
    <w:rsid w:val="1E5732BE"/>
    <w:rsid w:val="1F021EE1"/>
    <w:rsid w:val="214D36F4"/>
    <w:rsid w:val="223304A3"/>
    <w:rsid w:val="239429FE"/>
    <w:rsid w:val="23B07B78"/>
    <w:rsid w:val="246C5351"/>
    <w:rsid w:val="249B0B09"/>
    <w:rsid w:val="24AF1021"/>
    <w:rsid w:val="24C57A20"/>
    <w:rsid w:val="2572006F"/>
    <w:rsid w:val="25C64874"/>
    <w:rsid w:val="26944989"/>
    <w:rsid w:val="279B1E5B"/>
    <w:rsid w:val="27C70CFD"/>
    <w:rsid w:val="2A4B5348"/>
    <w:rsid w:val="2D1C19F4"/>
    <w:rsid w:val="2D6329A9"/>
    <w:rsid w:val="2D855015"/>
    <w:rsid w:val="2D8868B3"/>
    <w:rsid w:val="2E7365D8"/>
    <w:rsid w:val="2F3D33A2"/>
    <w:rsid w:val="31FF38E8"/>
    <w:rsid w:val="32737CA5"/>
    <w:rsid w:val="32741BA1"/>
    <w:rsid w:val="338F7493"/>
    <w:rsid w:val="3781684D"/>
    <w:rsid w:val="39122414"/>
    <w:rsid w:val="39D20249"/>
    <w:rsid w:val="39E54F6C"/>
    <w:rsid w:val="3A736373"/>
    <w:rsid w:val="3B575E72"/>
    <w:rsid w:val="3BA12AAC"/>
    <w:rsid w:val="3D193084"/>
    <w:rsid w:val="41050761"/>
    <w:rsid w:val="42401E18"/>
    <w:rsid w:val="43073E3F"/>
    <w:rsid w:val="430F24DA"/>
    <w:rsid w:val="43A40AF2"/>
    <w:rsid w:val="43A778BD"/>
    <w:rsid w:val="45805F1B"/>
    <w:rsid w:val="46B11CD5"/>
    <w:rsid w:val="46C0600C"/>
    <w:rsid w:val="47264B58"/>
    <w:rsid w:val="48956EEB"/>
    <w:rsid w:val="49100A1B"/>
    <w:rsid w:val="498B2DA7"/>
    <w:rsid w:val="4A674BED"/>
    <w:rsid w:val="4EC23FF4"/>
    <w:rsid w:val="50085449"/>
    <w:rsid w:val="509E7FFD"/>
    <w:rsid w:val="513E39D8"/>
    <w:rsid w:val="516A3A56"/>
    <w:rsid w:val="53183440"/>
    <w:rsid w:val="53486019"/>
    <w:rsid w:val="54502B1B"/>
    <w:rsid w:val="546000A4"/>
    <w:rsid w:val="55801A9A"/>
    <w:rsid w:val="577E200A"/>
    <w:rsid w:val="57AC6B77"/>
    <w:rsid w:val="57DE1BCF"/>
    <w:rsid w:val="58D53764"/>
    <w:rsid w:val="5906709B"/>
    <w:rsid w:val="5DC068F9"/>
    <w:rsid w:val="5E551D41"/>
    <w:rsid w:val="5E9B4EDE"/>
    <w:rsid w:val="5EA93C63"/>
    <w:rsid w:val="606C6C81"/>
    <w:rsid w:val="617C185A"/>
    <w:rsid w:val="628A13AD"/>
    <w:rsid w:val="63E63410"/>
    <w:rsid w:val="641B5372"/>
    <w:rsid w:val="64921BDB"/>
    <w:rsid w:val="64E32012"/>
    <w:rsid w:val="6529191C"/>
    <w:rsid w:val="67B53825"/>
    <w:rsid w:val="6891330F"/>
    <w:rsid w:val="6A170D89"/>
    <w:rsid w:val="6A8F455E"/>
    <w:rsid w:val="6B80239C"/>
    <w:rsid w:val="6BB34520"/>
    <w:rsid w:val="6D2410B1"/>
    <w:rsid w:val="6D3D77DD"/>
    <w:rsid w:val="6E0C6169"/>
    <w:rsid w:val="6E0E4E1C"/>
    <w:rsid w:val="6E456BD5"/>
    <w:rsid w:val="7002396A"/>
    <w:rsid w:val="70505FF5"/>
    <w:rsid w:val="70ED33ED"/>
    <w:rsid w:val="72042F0F"/>
    <w:rsid w:val="72BE67E9"/>
    <w:rsid w:val="73234C0D"/>
    <w:rsid w:val="73A620A8"/>
    <w:rsid w:val="740823BE"/>
    <w:rsid w:val="7447614D"/>
    <w:rsid w:val="7544268D"/>
    <w:rsid w:val="7719556E"/>
    <w:rsid w:val="77660698"/>
    <w:rsid w:val="77F83B2D"/>
    <w:rsid w:val="78B37E38"/>
    <w:rsid w:val="7A0A0309"/>
    <w:rsid w:val="7E0B3D48"/>
    <w:rsid w:val="7E625558"/>
    <w:rsid w:val="7EE51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90"/>
      <w:ind w:right="608"/>
      <w:jc w:val="center"/>
      <w:outlineLvl w:val="1"/>
    </w:pPr>
    <w:rPr>
      <w:rFonts w:ascii="宋体" w:hAnsi="宋体" w:eastAsia="宋体" w:cs="宋体"/>
      <w:b/>
      <w:bCs/>
      <w:sz w:val="36"/>
      <w:szCs w:val="36"/>
      <w:lang w:val="zh-CN" w:eastAsia="zh-CN" w:bidi="zh-CN"/>
    </w:rPr>
  </w:style>
  <w:style w:type="paragraph" w:styleId="4">
    <w:name w:val="heading 2"/>
    <w:basedOn w:val="1"/>
    <w:next w:val="1"/>
    <w:qFormat/>
    <w:uiPriority w:val="1"/>
    <w:pPr>
      <w:ind w:right="610"/>
      <w:jc w:val="center"/>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
      <w:ind w:left="637"/>
      <w:outlineLvl w:val="3"/>
    </w:pPr>
    <w:rPr>
      <w:rFonts w:ascii="宋体" w:hAnsi="宋体" w:eastAsia="宋体" w:cs="宋体"/>
      <w:b/>
      <w:bCs/>
      <w:sz w:val="24"/>
      <w:szCs w:val="24"/>
      <w:lang w:val="zh-CN" w:eastAsia="zh-CN" w:bidi="zh-CN"/>
    </w:rPr>
  </w:style>
  <w:style w:type="character" w:default="1" w:styleId="19">
    <w:name w:val="Default Paragraph Font"/>
    <w:qFormat/>
    <w:uiPriority w:val="1"/>
  </w:style>
  <w:style w:type="table" w:default="1" w:styleId="18">
    <w:name w:val="Normal Table"/>
    <w:qFormat/>
    <w:uiPriority w:val="0"/>
    <w:tblPr>
      <w:tblCellMar>
        <w:top w:w="0" w:type="dxa"/>
        <w:left w:w="108" w:type="dxa"/>
        <w:bottom w:w="0" w:type="dxa"/>
        <w:right w:w="108" w:type="dxa"/>
      </w:tblCellMar>
    </w:tblPr>
  </w:style>
  <w:style w:type="paragraph" w:styleId="2">
    <w:name w:val="List Paragraph"/>
    <w:basedOn w:val="1"/>
    <w:qFormat/>
    <w:uiPriority w:val="1"/>
    <w:pPr>
      <w:spacing w:before="1"/>
      <w:ind w:left="637" w:firstLine="480"/>
    </w:pPr>
    <w:rPr>
      <w:rFonts w:ascii="宋体" w:hAnsi="宋体" w:eastAsia="宋体" w:cs="宋体"/>
      <w:lang w:val="zh-CN" w:eastAsia="zh-CN" w:bidi="zh-CN"/>
    </w:rPr>
  </w:style>
  <w:style w:type="paragraph" w:styleId="6">
    <w:name w:val="table of authorities"/>
    <w:basedOn w:val="1"/>
    <w:next w:val="1"/>
    <w:qFormat/>
    <w:uiPriority w:val="99"/>
    <w:pPr>
      <w:ind w:left="200" w:leftChars="200"/>
    </w:pPr>
  </w:style>
  <w:style w:type="paragraph" w:styleId="7">
    <w:name w:val="Normal Indent"/>
    <w:basedOn w:val="1"/>
    <w:next w:val="1"/>
    <w:qFormat/>
    <w:uiPriority w:val="0"/>
    <w:pPr>
      <w:ind w:firstLine="420"/>
    </w:pPr>
  </w:style>
  <w:style w:type="paragraph" w:styleId="8">
    <w:name w:val="toa heading"/>
    <w:basedOn w:val="1"/>
    <w:next w:val="1"/>
    <w:qFormat/>
    <w:uiPriority w:val="0"/>
    <w:pPr>
      <w:spacing w:before="120"/>
    </w:pPr>
    <w:rPr>
      <w:rFonts w:ascii="Arial" w:hAnsi="Arial"/>
      <w:sz w:val="24"/>
      <w:szCs w:val="21"/>
    </w:rPr>
  </w:style>
  <w:style w:type="paragraph" w:styleId="9">
    <w:name w:val="annotation text"/>
    <w:basedOn w:val="1"/>
    <w:qFormat/>
    <w:uiPriority w:val="0"/>
    <w:pPr>
      <w:jc w:val="left"/>
    </w:pPr>
  </w:style>
  <w:style w:type="paragraph" w:styleId="10">
    <w:name w:val="Body Text"/>
    <w:basedOn w:val="1"/>
    <w:next w:val="11"/>
    <w:qFormat/>
    <w:uiPriority w:val="1"/>
    <w:pPr>
      <w:spacing w:before="1"/>
      <w:ind w:left="637"/>
    </w:pPr>
    <w:rPr>
      <w:rFonts w:ascii="宋体" w:hAnsi="宋体" w:eastAsia="宋体" w:cs="宋体"/>
      <w:sz w:val="24"/>
      <w:szCs w:val="24"/>
      <w:lang w:val="zh-CN" w:eastAsia="zh-CN" w:bidi="zh-CN"/>
    </w:rPr>
  </w:style>
  <w:style w:type="paragraph" w:styleId="11">
    <w:name w:val="Body Text 2"/>
    <w:basedOn w:val="1"/>
    <w:qFormat/>
    <w:uiPriority w:val="0"/>
    <w:pPr>
      <w:spacing w:after="120" w:line="480" w:lineRule="auto"/>
    </w:pPr>
    <w:rPr>
      <w:rFonts w:ascii="Calibri" w:hAnsi="Calibri"/>
      <w:szCs w:val="22"/>
    </w:rPr>
  </w:style>
  <w:style w:type="paragraph" w:styleId="12">
    <w:name w:val="Body Text Indent"/>
    <w:basedOn w:val="1"/>
    <w:qFormat/>
    <w:uiPriority w:val="0"/>
    <w:pPr>
      <w:spacing w:after="120"/>
      <w:ind w:left="420" w:leftChars="200"/>
    </w:pPr>
  </w:style>
  <w:style w:type="paragraph" w:styleId="13">
    <w:name w:val="List"/>
    <w:basedOn w:val="1"/>
    <w:next w:val="14"/>
    <w:qFormat/>
    <w:uiPriority w:val="0"/>
    <w:pPr>
      <w:widowControl w:val="0"/>
      <w:autoSpaceDE/>
      <w:autoSpaceDN/>
      <w:spacing w:before="0" w:after="0" w:line="240" w:lineRule="auto"/>
      <w:ind w:left="200" w:hanging="200"/>
      <w:jc w:val="both"/>
    </w:pPr>
    <w:rPr>
      <w:rFonts w:ascii="Times New Roman" w:eastAsia="宋体"/>
      <w:sz w:val="21"/>
    </w:rPr>
  </w:style>
  <w:style w:type="paragraph" w:customStyle="1" w:styleId="14">
    <w:name w:val="正文缩进4"/>
    <w:basedOn w:val="1"/>
    <w:next w:val="1"/>
    <w:qFormat/>
    <w:uiPriority w:val="0"/>
    <w:pPr>
      <w:widowControl w:val="0"/>
      <w:autoSpaceDE/>
      <w:autoSpaceDN/>
      <w:spacing w:before="0" w:after="0" w:line="240" w:lineRule="auto"/>
      <w:ind w:left="0" w:firstLine="420"/>
      <w:jc w:val="both"/>
    </w:pPr>
    <w:rPr>
      <w:rFonts w:ascii="Times New Roman" w:eastAsia="宋体"/>
      <w:sz w:val="21"/>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10"/>
    <w:next w:val="17"/>
    <w:qFormat/>
    <w:uiPriority w:val="99"/>
    <w:pPr>
      <w:tabs>
        <w:tab w:val="left" w:pos="567"/>
      </w:tabs>
      <w:spacing w:before="0" w:after="120" w:line="240" w:lineRule="auto"/>
      <w:ind w:firstLine="420" w:firstLineChars="100"/>
    </w:pPr>
  </w:style>
  <w:style w:type="paragraph" w:styleId="17">
    <w:name w:val="Body Text First Indent 2"/>
    <w:basedOn w:val="12"/>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character" w:styleId="20">
    <w:name w:val="Strong"/>
    <w:basedOn w:val="19"/>
    <w:qFormat/>
    <w:uiPriority w:val="0"/>
    <w:rPr>
      <w:b/>
      <w:bCs/>
    </w:rPr>
  </w:style>
  <w:style w:type="paragraph" w:customStyle="1" w:styleId="21">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3">
    <w:name w:val="Table Normal"/>
    <w:qFormat/>
    <w:uiPriority w:val="2"/>
    <w:tblPr>
      <w:tblCellMar>
        <w:top w:w="0" w:type="dxa"/>
        <w:left w:w="0" w:type="dxa"/>
        <w:bottom w:w="0" w:type="dxa"/>
        <w:right w:w="0" w:type="dxa"/>
      </w:tblCellMar>
    </w:tbl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font21"/>
    <w:basedOn w:val="19"/>
    <w:qFormat/>
    <w:uiPriority w:val="0"/>
    <w:rPr>
      <w:rFonts w:hint="eastAsia" w:ascii="黑体" w:hAnsi="宋体" w:eastAsia="黑体" w:cs="黑体"/>
      <w:color w:val="000000"/>
      <w:sz w:val="16"/>
      <w:szCs w:val="16"/>
      <w:u w:val="none"/>
    </w:rPr>
  </w:style>
  <w:style w:type="character" w:customStyle="1" w:styleId="28">
    <w:name w:val="font41"/>
    <w:basedOn w:val="19"/>
    <w:qFormat/>
    <w:uiPriority w:val="0"/>
    <w:rPr>
      <w:rFonts w:ascii="宋体" w:hAnsi="宋体" w:eastAsia="宋体" w:cs="宋体"/>
      <w:color w:val="000000"/>
      <w:sz w:val="16"/>
      <w:szCs w:val="16"/>
      <w:u w:val="none"/>
    </w:rPr>
  </w:style>
  <w:style w:type="character" w:customStyle="1" w:styleId="29">
    <w:name w:val="font61"/>
    <w:basedOn w:val="19"/>
    <w:qFormat/>
    <w:uiPriority w:val="0"/>
    <w:rPr>
      <w:rFonts w:hint="eastAsia" w:ascii="黑体" w:hAnsi="宋体" w:eastAsia="黑体" w:cs="黑体"/>
      <w:color w:val="000000"/>
      <w:sz w:val="18"/>
      <w:szCs w:val="18"/>
      <w:u w:val="none"/>
    </w:rPr>
  </w:style>
  <w:style w:type="character" w:customStyle="1" w:styleId="30">
    <w:name w:val="font81"/>
    <w:basedOn w:val="19"/>
    <w:qFormat/>
    <w:uiPriority w:val="0"/>
    <w:rPr>
      <w:rFonts w:hint="eastAsia" w:ascii="黑体" w:hAnsi="宋体" w:eastAsia="黑体" w:cs="黑体"/>
      <w:color w:val="000000"/>
      <w:sz w:val="18"/>
      <w:szCs w:val="18"/>
      <w:u w:val="none"/>
    </w:rPr>
  </w:style>
  <w:style w:type="character" w:customStyle="1" w:styleId="31">
    <w:name w:val="font91"/>
    <w:basedOn w:val="19"/>
    <w:qFormat/>
    <w:uiPriority w:val="0"/>
    <w:rPr>
      <w:rFonts w:hint="eastAsia" w:ascii="黑体" w:hAnsi="宋体" w:eastAsia="黑体" w:cs="黑体"/>
      <w:color w:val="FF0000"/>
      <w:sz w:val="18"/>
      <w:szCs w:val="18"/>
      <w:u w:val="none"/>
    </w:rPr>
  </w:style>
  <w:style w:type="character" w:customStyle="1" w:styleId="32">
    <w:name w:val="font71"/>
    <w:basedOn w:val="19"/>
    <w:qFormat/>
    <w:uiPriority w:val="0"/>
    <w:rPr>
      <w:rFonts w:hint="eastAsia" w:ascii="宋体" w:hAnsi="宋体" w:eastAsia="宋体" w:cs="宋体"/>
      <w:color w:val="000000"/>
      <w:sz w:val="16"/>
      <w:szCs w:val="16"/>
      <w:u w:val="none"/>
    </w:rPr>
  </w:style>
  <w:style w:type="character" w:customStyle="1" w:styleId="33">
    <w:name w:val="font11"/>
    <w:basedOn w:val="19"/>
    <w:qFormat/>
    <w:uiPriority w:val="0"/>
    <w:rPr>
      <w:rFonts w:ascii="宋体" w:hAnsi="宋体" w:eastAsia="宋体" w:cs="宋体"/>
      <w:color w:val="000000"/>
      <w:sz w:val="16"/>
      <w:szCs w:val="16"/>
      <w:u w:val="none"/>
    </w:rPr>
  </w:style>
  <w:style w:type="character" w:customStyle="1" w:styleId="34">
    <w:name w:val="font112"/>
    <w:basedOn w:val="19"/>
    <w:qFormat/>
    <w:uiPriority w:val="0"/>
    <w:rPr>
      <w:rFonts w:ascii="宋体" w:hAnsi="宋体" w:eastAsia="宋体" w:cs="宋体"/>
      <w:color w:val="000000"/>
      <w:sz w:val="16"/>
      <w:szCs w:val="16"/>
      <w:u w:val="none"/>
    </w:rPr>
  </w:style>
  <w:style w:type="character" w:customStyle="1" w:styleId="35">
    <w:name w:val="font121"/>
    <w:basedOn w:val="19"/>
    <w:qFormat/>
    <w:uiPriority w:val="0"/>
    <w:rPr>
      <w:rFonts w:hint="eastAsia" w:ascii="宋体" w:hAnsi="宋体" w:eastAsia="宋体" w:cs="宋体"/>
      <w:color w:val="000000"/>
      <w:sz w:val="16"/>
      <w:szCs w:val="16"/>
      <w:u w:val="none"/>
    </w:rPr>
  </w:style>
  <w:style w:type="character" w:customStyle="1" w:styleId="36">
    <w:name w:val="font131"/>
    <w:basedOn w:val="19"/>
    <w:qFormat/>
    <w:uiPriority w:val="0"/>
    <w:rPr>
      <w:rFonts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47627</Words>
  <Characters>51018</Characters>
  <Paragraphs>1734</Paragraphs>
  <TotalTime>71</TotalTime>
  <ScaleCrop>false</ScaleCrop>
  <LinksUpToDate>false</LinksUpToDate>
  <CharactersWithSpaces>53135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2020-03-30T08:27:00Z</dcterms:created>
  <dc:creator>微软用户</dc:creator>
  <cp:lastModifiedBy>Administrator</cp:lastModifiedBy>
  <cp:lastPrinted>2020-11-30T01:22:00Z</cp:lastPrinted>
  <dcterms:modified xsi:type="dcterms:W3CDTF">2022-08-03T04:47:02Z</dcterms:modified>
  <dc:title>新疆巴音郭楞蒙古自治州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2019-05-11T00:00:00Z</vt:filetime>
  </property>
  <property fmtid="{D5CDD505-2E9C-101B-9397-08002B2CF9AE}" pid="3" name="Creator">
    <vt:lpwstr>WPS 文字</vt:lpwstr>
  </property>
  <property fmtid="{D5CDD505-2E9C-101B-9397-08002B2CF9AE}" pid="4" name="LastSaved">
    <vt:filetime>2020-03-30T00:00:00Z</vt:filetime>
  </property>
  <property fmtid="{D5CDD505-2E9C-101B-9397-08002B2CF9AE}" pid="5" name="KSOProductBuildVer">
    <vt:lpwstr>2052-11.1.0.11875</vt:lpwstr>
  </property>
  <property fmtid="{D5CDD505-2E9C-101B-9397-08002B2CF9AE}" pid="6" name="ICV">
    <vt:lpwstr>6FC28136883B42E2A599F027B85B61E5</vt:lpwstr>
  </property>
</Properties>
</file>