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3"/>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KSS(GK)2022-022</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喀什市教育系统班班通采购项目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pPr>
        <w:rPr>
          <w:rFonts w:ascii="Arial" w:hAnsi="Arial" w:cs="Arial"/>
          <w:b/>
          <w:sz w:val="24"/>
        </w:rPr>
      </w:pPr>
      <w:r>
        <w:rPr>
          <w:rFonts w:hint="eastAsia" w:ascii="Arial" w:hAnsi="Arial" w:cs="Arial"/>
          <w:b/>
          <w:sz w:val="24"/>
        </w:rPr>
        <w:t>价格部分（</w:t>
      </w:r>
      <w:r>
        <w:rPr>
          <w:rFonts w:hint="eastAsia" w:ascii="Arial" w:hAnsi="Arial" w:cs="Arial"/>
          <w:b/>
          <w:sz w:val="24"/>
          <w:lang w:val="en-US" w:eastAsia="zh-CN"/>
        </w:rPr>
        <w:t>4</w:t>
      </w:r>
      <w:r>
        <w:rPr>
          <w:rFonts w:hint="eastAsia" w:ascii="Arial" w:hAnsi="Arial" w:cs="Arial"/>
          <w:b/>
          <w:sz w:val="24"/>
        </w:rPr>
        <w:t>0分）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067"/>
        <w:gridCol w:w="783"/>
        <w:gridCol w:w="73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09" w:type="dxa"/>
            <w:noWrap w:val="0"/>
            <w:vAlign w:val="center"/>
          </w:tcPr>
          <w:p>
            <w:pPr>
              <w:spacing w:line="440" w:lineRule="exact"/>
              <w:jc w:val="left"/>
              <w:outlineLvl w:val="0"/>
              <w:rPr>
                <w:rFonts w:ascii="宋体" w:hAnsi="宋体"/>
                <w:bCs/>
                <w:szCs w:val="21"/>
              </w:rPr>
            </w:pPr>
            <w:r>
              <w:rPr>
                <w:rFonts w:hint="eastAsia" w:ascii="宋体" w:hAnsi="宋体"/>
                <w:bCs/>
                <w:szCs w:val="21"/>
              </w:rPr>
              <w:t>序号</w:t>
            </w:r>
          </w:p>
        </w:tc>
        <w:tc>
          <w:tcPr>
            <w:tcW w:w="1067" w:type="dxa"/>
            <w:noWrap w:val="0"/>
            <w:vAlign w:val="center"/>
          </w:tcPr>
          <w:p>
            <w:pPr>
              <w:spacing w:line="440" w:lineRule="exact"/>
              <w:jc w:val="left"/>
              <w:outlineLvl w:val="0"/>
              <w:rPr>
                <w:rFonts w:ascii="宋体" w:hAnsi="宋体"/>
                <w:bCs/>
                <w:szCs w:val="21"/>
              </w:rPr>
            </w:pPr>
            <w:r>
              <w:rPr>
                <w:rFonts w:hint="eastAsia" w:ascii="宋体" w:hAnsi="宋体"/>
                <w:bCs/>
                <w:szCs w:val="21"/>
              </w:rPr>
              <w:t>评审项目</w:t>
            </w:r>
          </w:p>
        </w:tc>
        <w:tc>
          <w:tcPr>
            <w:tcW w:w="783" w:type="dxa"/>
            <w:noWrap w:val="0"/>
            <w:vAlign w:val="center"/>
          </w:tcPr>
          <w:p>
            <w:pPr>
              <w:spacing w:line="440" w:lineRule="exact"/>
              <w:jc w:val="left"/>
              <w:outlineLvl w:val="0"/>
              <w:rPr>
                <w:rFonts w:ascii="宋体" w:hAnsi="宋体"/>
                <w:bCs/>
                <w:szCs w:val="21"/>
              </w:rPr>
            </w:pPr>
            <w:r>
              <w:rPr>
                <w:rFonts w:hint="eastAsia" w:ascii="宋体" w:hAnsi="宋体"/>
                <w:bCs/>
                <w:szCs w:val="21"/>
              </w:rPr>
              <w:t>分值</w:t>
            </w:r>
          </w:p>
        </w:tc>
        <w:tc>
          <w:tcPr>
            <w:tcW w:w="7301" w:type="dxa"/>
            <w:noWrap w:val="0"/>
            <w:vAlign w:val="center"/>
          </w:tcPr>
          <w:p>
            <w:pPr>
              <w:spacing w:line="440" w:lineRule="exact"/>
              <w:jc w:val="center"/>
              <w:outlineLvl w:val="0"/>
              <w:rPr>
                <w:rFonts w:ascii="宋体" w:hAnsi="宋体"/>
                <w:bCs/>
                <w:szCs w:val="21"/>
              </w:rPr>
            </w:pPr>
            <w:r>
              <w:rPr>
                <w:rFonts w:hint="eastAsia" w:ascii="宋体" w:hAnsi="宋体"/>
                <w:bCs/>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09" w:type="dxa"/>
            <w:noWrap w:val="0"/>
            <w:vAlign w:val="center"/>
          </w:tcPr>
          <w:p>
            <w:pPr>
              <w:spacing w:line="420" w:lineRule="exact"/>
              <w:jc w:val="left"/>
              <w:outlineLvl w:val="0"/>
              <w:rPr>
                <w:rFonts w:ascii="宋体" w:hAnsi="宋体"/>
                <w:bCs/>
                <w:szCs w:val="21"/>
              </w:rPr>
            </w:pPr>
            <w:r>
              <w:rPr>
                <w:rFonts w:hint="eastAsia" w:ascii="宋体" w:hAnsi="宋体"/>
                <w:bCs/>
                <w:szCs w:val="21"/>
              </w:rPr>
              <w:t>一</w:t>
            </w:r>
          </w:p>
        </w:tc>
        <w:tc>
          <w:tcPr>
            <w:tcW w:w="1067" w:type="dxa"/>
            <w:noWrap w:val="0"/>
            <w:vAlign w:val="center"/>
          </w:tcPr>
          <w:p>
            <w:pPr>
              <w:spacing w:line="420" w:lineRule="exact"/>
              <w:jc w:val="left"/>
              <w:outlineLvl w:val="0"/>
              <w:rPr>
                <w:rFonts w:ascii="宋体" w:hAnsi="宋体"/>
                <w:bCs/>
                <w:szCs w:val="21"/>
              </w:rPr>
            </w:pPr>
            <w:r>
              <w:rPr>
                <w:rFonts w:hint="eastAsia" w:ascii="宋体" w:hAnsi="宋体"/>
                <w:bCs/>
                <w:szCs w:val="21"/>
              </w:rPr>
              <w:t>价格部分</w:t>
            </w:r>
          </w:p>
        </w:tc>
        <w:tc>
          <w:tcPr>
            <w:tcW w:w="783" w:type="dxa"/>
            <w:noWrap w:val="0"/>
            <w:vAlign w:val="center"/>
          </w:tcPr>
          <w:p>
            <w:pPr>
              <w:spacing w:line="420" w:lineRule="exact"/>
              <w:jc w:val="left"/>
              <w:outlineLvl w:val="0"/>
              <w:rPr>
                <w:rFonts w:ascii="宋体" w:hAnsi="宋体"/>
                <w:bCs/>
                <w:szCs w:val="21"/>
              </w:rPr>
            </w:pPr>
            <w:r>
              <w:rPr>
                <w:rFonts w:hint="eastAsia" w:ascii="宋体" w:hAnsi="宋体"/>
                <w:bCs/>
                <w:szCs w:val="21"/>
                <w:lang w:val="en-US" w:eastAsia="zh-CN"/>
              </w:rPr>
              <w:t>4</w:t>
            </w:r>
            <w:r>
              <w:rPr>
                <w:rFonts w:hint="eastAsia" w:ascii="宋体" w:hAnsi="宋体"/>
                <w:bCs/>
                <w:szCs w:val="21"/>
              </w:rPr>
              <w:t>0分</w:t>
            </w:r>
          </w:p>
        </w:tc>
        <w:tc>
          <w:tcPr>
            <w:tcW w:w="7301" w:type="dxa"/>
            <w:noWrap w:val="0"/>
            <w:vAlign w:val="center"/>
          </w:tcPr>
          <w:p>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bCs/>
                <w:szCs w:val="21"/>
                <w:lang w:val="en-US" w:eastAsia="zh-CN"/>
              </w:rPr>
              <w:t>40</w:t>
            </w:r>
            <w:r>
              <w:rPr>
                <w:rFonts w:hint="eastAsia" w:ascii="宋体" w:hAnsi="宋体"/>
                <w:bCs/>
                <w:szCs w:val="21"/>
              </w:rPr>
              <w:t>分。</w:t>
            </w:r>
          </w:p>
          <w:p>
            <w:pPr>
              <w:spacing w:line="420" w:lineRule="exact"/>
              <w:jc w:val="left"/>
              <w:outlineLvl w:val="0"/>
              <w:rPr>
                <w:rFonts w:ascii="宋体" w:hAnsi="宋体"/>
                <w:bCs/>
                <w:szCs w:val="21"/>
              </w:rPr>
            </w:pPr>
            <w:r>
              <w:rPr>
                <w:rFonts w:hint="eastAsia" w:ascii="宋体" w:hAnsi="宋体"/>
                <w:bCs/>
                <w:szCs w:val="21"/>
              </w:rPr>
              <w:t>评标过程中，不得去掉报价中的最低和最高报价。因落实政府采购政策进行价格调整的，以调整后的价格计算评标基准价和投标报价。</w:t>
            </w:r>
          </w:p>
        </w:tc>
      </w:tr>
    </w:tbl>
    <w:p>
      <w:pPr>
        <w:spacing w:line="420" w:lineRule="exact"/>
        <w:rPr>
          <w:rFonts w:ascii="Arial" w:hAnsi="Arial" w:cs="Arial"/>
          <w:b/>
          <w:sz w:val="24"/>
        </w:rPr>
      </w:pPr>
      <w:r>
        <w:rPr>
          <w:rFonts w:ascii="Arial" w:hAnsi="Arial" w:cs="Arial"/>
          <w:b/>
          <w:sz w:val="24"/>
        </w:rPr>
        <w:t>技术部分（</w:t>
      </w:r>
      <w:r>
        <w:rPr>
          <w:rFonts w:hint="eastAsia" w:ascii="Arial" w:hAnsi="Arial" w:cs="Arial"/>
          <w:b/>
          <w:sz w:val="24"/>
          <w:lang w:val="en-US" w:eastAsia="zh-CN"/>
        </w:rPr>
        <w:t>35</w:t>
      </w:r>
      <w:r>
        <w:rPr>
          <w:rFonts w:hint="eastAsia" w:ascii="Arial" w:hAnsi="Arial" w:cs="Arial"/>
          <w:b/>
          <w:sz w:val="24"/>
        </w:rPr>
        <w:t>分</w:t>
      </w:r>
      <w:r>
        <w:rPr>
          <w:rFonts w:ascii="Arial" w:hAnsi="Arial" w:cs="Arial"/>
          <w:b/>
          <w:sz w:val="24"/>
        </w:rPr>
        <w:t>）</w:t>
      </w:r>
    </w:p>
    <w:tbl>
      <w:tblPr>
        <w:tblStyle w:val="1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54"/>
        <w:gridCol w:w="1145"/>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08" w:type="dxa"/>
            <w:noWrap w:val="0"/>
            <w:vAlign w:val="center"/>
          </w:tcPr>
          <w:p>
            <w:pPr>
              <w:pStyle w:val="30"/>
              <w:snapToGrid w:val="0"/>
              <w:spacing w:line="420" w:lineRule="exact"/>
              <w:ind w:firstLine="0" w:firstLineChars="0"/>
              <w:rPr>
                <w:rFonts w:ascii="宋体" w:hAnsi="宋体" w:eastAsia="宋体"/>
                <w:b w:val="0"/>
                <w:kern w:val="0"/>
                <w:sz w:val="21"/>
                <w:szCs w:val="21"/>
              </w:rPr>
            </w:pPr>
          </w:p>
        </w:tc>
        <w:tc>
          <w:tcPr>
            <w:tcW w:w="2154"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013"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08"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技术部分</w:t>
            </w:r>
          </w:p>
        </w:tc>
        <w:tc>
          <w:tcPr>
            <w:tcW w:w="2154" w:type="dxa"/>
            <w:noWrap w:val="0"/>
            <w:vAlign w:val="center"/>
          </w:tcPr>
          <w:p>
            <w:pPr>
              <w:pStyle w:val="30"/>
              <w:snapToGrid w:val="0"/>
              <w:spacing w:line="420" w:lineRule="exact"/>
              <w:ind w:firstLine="0" w:firstLineChars="0"/>
              <w:rPr>
                <w:rFonts w:ascii="宋体" w:hAnsi="宋体" w:eastAsia="宋体"/>
                <w:b w:val="0"/>
                <w:bCs/>
                <w:kern w:val="0"/>
                <w:sz w:val="21"/>
                <w:szCs w:val="21"/>
              </w:rPr>
            </w:pPr>
            <w:r>
              <w:rPr>
                <w:rFonts w:hint="eastAsia" w:ascii="宋体" w:hAnsi="宋体" w:eastAsia="宋体"/>
                <w:b w:val="0"/>
                <w:bCs/>
                <w:kern w:val="0"/>
                <w:sz w:val="21"/>
                <w:szCs w:val="21"/>
              </w:rPr>
              <w:t>投标产品、设备的参数符合程度</w:t>
            </w:r>
          </w:p>
        </w:tc>
        <w:tc>
          <w:tcPr>
            <w:tcW w:w="114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35</w:t>
            </w:r>
            <w:r>
              <w:rPr>
                <w:rFonts w:hint="eastAsia" w:ascii="宋体" w:hAnsi="宋体" w:eastAsia="宋体"/>
                <w:b w:val="0"/>
                <w:kern w:val="0"/>
                <w:sz w:val="21"/>
                <w:szCs w:val="21"/>
              </w:rPr>
              <w:t>分</w:t>
            </w:r>
          </w:p>
        </w:tc>
        <w:tc>
          <w:tcPr>
            <w:tcW w:w="6013" w:type="dxa"/>
            <w:noWrap w:val="0"/>
            <w:vAlign w:val="center"/>
          </w:tcPr>
          <w:p>
            <w:pPr>
              <w:spacing w:line="420" w:lineRule="exact"/>
              <w:jc w:val="left"/>
              <w:outlineLvl w:val="0"/>
              <w:rPr>
                <w:rFonts w:hint="eastAsia" w:ascii="宋体" w:hAnsi="宋体" w:eastAsia="宋体"/>
                <w:bCs/>
                <w:szCs w:val="21"/>
                <w:lang w:eastAsia="zh-CN"/>
              </w:rPr>
            </w:pPr>
            <w:r>
              <w:rPr>
                <w:rFonts w:hint="eastAsia" w:ascii="宋体" w:hAnsi="宋体"/>
                <w:bCs/>
                <w:color w:val="FF0000"/>
                <w:szCs w:val="21"/>
              </w:rPr>
              <w:t>具有完善的设计、生产技术、质量控制体系，有专业的设计、生产技术、设备先进、质检人员等服务体系，产品符合国家标准，产品的技术性能指标、技术参数阐述详细，满足招标文件技术参数基础分</w:t>
            </w:r>
            <w:r>
              <w:rPr>
                <w:rFonts w:hint="eastAsia" w:ascii="宋体" w:hAnsi="宋体"/>
                <w:bCs/>
                <w:color w:val="FF0000"/>
                <w:szCs w:val="21"/>
                <w:lang w:val="en-US" w:eastAsia="zh-CN"/>
              </w:rPr>
              <w:t>30</w:t>
            </w:r>
            <w:r>
              <w:rPr>
                <w:rFonts w:hint="eastAsia" w:ascii="宋体" w:hAnsi="宋体"/>
                <w:bCs/>
                <w:color w:val="FF0000"/>
                <w:szCs w:val="21"/>
              </w:rPr>
              <w:t>分，不得出现负偏离，出现负偏离</w:t>
            </w:r>
            <w:r>
              <w:rPr>
                <w:rFonts w:hint="eastAsia" w:ascii="宋体" w:hAnsi="宋体" w:eastAsia="宋体" w:cs="Times New Roman"/>
                <w:bCs/>
                <w:color w:val="FF0000"/>
                <w:szCs w:val="21"/>
              </w:rPr>
              <w:t>技术部分</w:t>
            </w:r>
            <w:r>
              <w:rPr>
                <w:rFonts w:hint="eastAsia" w:ascii="宋体" w:hAnsi="宋体"/>
                <w:bCs/>
                <w:color w:val="FF0000"/>
                <w:szCs w:val="21"/>
                <w:lang w:eastAsia="zh-CN"/>
              </w:rPr>
              <w:t>不得分；</w:t>
            </w:r>
            <w:r>
              <w:rPr>
                <w:rFonts w:hint="eastAsia" w:ascii="宋体" w:hAnsi="宋体"/>
                <w:bCs/>
                <w:color w:val="FF0000"/>
                <w:szCs w:val="21"/>
              </w:rPr>
              <w:t>正偏离一项加1分，最高</w:t>
            </w:r>
            <w:r>
              <w:rPr>
                <w:rFonts w:hint="eastAsia" w:ascii="宋体" w:hAnsi="宋体"/>
                <w:bCs/>
                <w:color w:val="FF0000"/>
                <w:szCs w:val="21"/>
                <w:lang w:val="en-US" w:eastAsia="zh-CN"/>
              </w:rPr>
              <w:t>35</w:t>
            </w:r>
            <w:r>
              <w:rPr>
                <w:rFonts w:hint="eastAsia" w:ascii="宋体" w:hAnsi="宋体"/>
                <w:bCs/>
                <w:color w:val="FF0000"/>
                <w:szCs w:val="21"/>
              </w:rPr>
              <w:t>分。</w:t>
            </w:r>
            <w:r>
              <w:rPr>
                <w:rFonts w:hint="eastAsia" w:ascii="宋体" w:hAnsi="宋体"/>
                <w:bCs/>
                <w:color w:val="FF0000"/>
                <w:szCs w:val="21"/>
                <w:lang w:eastAsia="zh-CN"/>
              </w:rPr>
              <w:t>（参数里的内容为基础参数，优于此参数均可视作属于正偏离）</w:t>
            </w:r>
          </w:p>
        </w:tc>
      </w:tr>
    </w:tbl>
    <w:p>
      <w:pPr>
        <w:spacing w:line="420" w:lineRule="exact"/>
        <w:rPr>
          <w:szCs w:val="21"/>
        </w:rPr>
      </w:pPr>
      <w:r>
        <w:rPr>
          <w:rFonts w:ascii="Arial" w:hAnsi="Arial" w:cs="Arial"/>
          <w:b/>
          <w:szCs w:val="21"/>
        </w:rPr>
        <w:t>商务部分（</w:t>
      </w:r>
      <w:r>
        <w:rPr>
          <w:rFonts w:hint="eastAsia" w:ascii="Arial" w:hAnsi="Arial" w:cs="Arial"/>
          <w:b/>
          <w:szCs w:val="21"/>
          <w:lang w:val="en-US" w:eastAsia="zh-CN"/>
        </w:rPr>
        <w:t>25</w:t>
      </w:r>
      <w:r>
        <w:rPr>
          <w:rFonts w:ascii="Arial" w:hAnsi="Arial" w:cs="Arial"/>
          <w:b/>
          <w:szCs w:val="21"/>
        </w:rPr>
        <w:t>分）</w:t>
      </w:r>
    </w:p>
    <w:tbl>
      <w:tblPr>
        <w:tblStyle w:val="18"/>
        <w:tblpPr w:leftFromText="180" w:rightFromText="180" w:vertAnchor="text" w:horzAnchor="page" w:tblpX="1088" w:tblpY="1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67"/>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675" w:type="dxa"/>
            <w:vMerge w:val="restart"/>
            <w:noWrap w:val="0"/>
            <w:vAlign w:val="top"/>
          </w:tcPr>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p>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商务部分</w:t>
            </w:r>
          </w:p>
        </w:tc>
        <w:tc>
          <w:tcPr>
            <w:tcW w:w="1805"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评审项目</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分值</w:t>
            </w:r>
          </w:p>
        </w:tc>
        <w:tc>
          <w:tcPr>
            <w:tcW w:w="6384"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售后服务；</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培训计划；</w:t>
            </w:r>
          </w:p>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质保要求；</w:t>
            </w:r>
          </w:p>
          <w:p>
            <w:pPr>
              <w:pStyle w:val="30"/>
              <w:snapToGrid w:val="0"/>
              <w:spacing w:line="420" w:lineRule="exact"/>
              <w:ind w:firstLine="0" w:firstLineChars="0"/>
              <w:rPr>
                <w:rFonts w:ascii="宋体" w:hAnsi="宋体" w:eastAsia="宋体"/>
                <w:b w:val="0"/>
                <w:kern w:val="0"/>
                <w:sz w:val="21"/>
                <w:szCs w:val="21"/>
              </w:rPr>
            </w:pP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15</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hint="eastAsia" w:ascii="宋体" w:hAnsi="宋体"/>
                <w:bCs/>
                <w:color w:val="FF0000"/>
                <w:szCs w:val="21"/>
              </w:rPr>
            </w:pPr>
            <w:r>
              <w:rPr>
                <w:rFonts w:hint="eastAsia" w:ascii="宋体" w:hAnsi="宋体"/>
                <w:bCs/>
                <w:color w:val="FF0000"/>
                <w:szCs w:val="21"/>
              </w:rPr>
              <w:t>1.根据投标人提供的售后服务承诺，及质保期满后的具体维保方案，本地售后情况、维护策略和服务体系、7*24小时内响应等综合评分，优得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6</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 xml:space="preserve">分，差得1分，不提供得0分。           </w:t>
            </w:r>
          </w:p>
          <w:p>
            <w:pPr>
              <w:spacing w:line="420" w:lineRule="exact"/>
              <w:jc w:val="left"/>
              <w:outlineLvl w:val="0"/>
              <w:rPr>
                <w:rFonts w:hint="eastAsia" w:ascii="宋体" w:hAnsi="宋体"/>
                <w:bCs/>
                <w:color w:val="FF0000"/>
                <w:szCs w:val="21"/>
              </w:rPr>
            </w:pPr>
            <w:r>
              <w:rPr>
                <w:rFonts w:hint="eastAsia" w:ascii="宋体" w:hAnsi="宋体"/>
                <w:bCs/>
                <w:color w:val="FF0000"/>
                <w:szCs w:val="21"/>
              </w:rPr>
              <w:t>2.根据投标人承诺提供的培训方式、培训人员、培训内容、日程、课程安排等打分，优得</w:t>
            </w:r>
            <w:r>
              <w:rPr>
                <w:rFonts w:hint="eastAsia" w:ascii="宋体" w:hAnsi="宋体"/>
                <w:bCs/>
                <w:color w:val="FF0000"/>
                <w:szCs w:val="21"/>
                <w:lang w:val="en-US" w:eastAsia="zh-CN"/>
              </w:rPr>
              <w:t>4</w:t>
            </w:r>
            <w:r>
              <w:rPr>
                <w:rFonts w:hint="eastAsia" w:ascii="宋体" w:hAnsi="宋体"/>
                <w:bCs/>
                <w:color w:val="FF0000"/>
                <w:szCs w:val="21"/>
              </w:rPr>
              <w:t>-</w:t>
            </w:r>
            <w:r>
              <w:rPr>
                <w:rFonts w:hint="eastAsia" w:ascii="宋体" w:hAnsi="宋体"/>
                <w:bCs/>
                <w:color w:val="FF0000"/>
                <w:szCs w:val="21"/>
                <w:lang w:val="en-US" w:eastAsia="zh-CN"/>
              </w:rPr>
              <w:t>5</w:t>
            </w:r>
            <w:r>
              <w:rPr>
                <w:rFonts w:hint="eastAsia" w:ascii="宋体" w:hAnsi="宋体"/>
                <w:bCs/>
                <w:color w:val="FF0000"/>
                <w:szCs w:val="21"/>
              </w:rPr>
              <w:t>分，良得</w:t>
            </w:r>
            <w:r>
              <w:rPr>
                <w:rFonts w:hint="eastAsia" w:ascii="宋体" w:hAnsi="宋体"/>
                <w:bCs/>
                <w:color w:val="FF0000"/>
                <w:szCs w:val="21"/>
                <w:lang w:val="en-US" w:eastAsia="zh-CN"/>
              </w:rPr>
              <w:t>2</w:t>
            </w:r>
            <w:r>
              <w:rPr>
                <w:rFonts w:hint="eastAsia" w:ascii="宋体" w:hAnsi="宋体"/>
                <w:bCs/>
                <w:color w:val="FF0000"/>
                <w:szCs w:val="21"/>
              </w:rPr>
              <w:t>-</w:t>
            </w:r>
            <w:r>
              <w:rPr>
                <w:rFonts w:hint="eastAsia" w:ascii="宋体" w:hAnsi="宋体"/>
                <w:bCs/>
                <w:color w:val="FF0000"/>
                <w:szCs w:val="21"/>
                <w:lang w:val="en-US" w:eastAsia="zh-CN"/>
              </w:rPr>
              <w:t>3</w:t>
            </w:r>
            <w:r>
              <w:rPr>
                <w:rFonts w:hint="eastAsia" w:ascii="宋体" w:hAnsi="宋体"/>
                <w:bCs/>
                <w:color w:val="FF0000"/>
                <w:szCs w:val="21"/>
              </w:rPr>
              <w:t>分，差得1分，不提供得0分。</w:t>
            </w:r>
          </w:p>
          <w:p>
            <w:pPr>
              <w:pStyle w:val="2"/>
              <w:rPr>
                <w:rFonts w:hint="eastAsia"/>
                <w:color w:val="FF0000"/>
                <w:lang w:val="en-US" w:eastAsia="zh-CN"/>
              </w:rPr>
            </w:pPr>
            <w:r>
              <w:rPr>
                <w:rFonts w:hint="eastAsia"/>
                <w:color w:val="FF0000"/>
                <w:lang w:val="en-US" w:eastAsia="zh-CN"/>
              </w:rPr>
              <w:t>3.满足招标文件要求质保1年的基础上，每延长1年得2分，最高得4分。</w:t>
            </w:r>
          </w:p>
          <w:p>
            <w:pPr>
              <w:spacing w:line="420" w:lineRule="exact"/>
              <w:jc w:val="left"/>
              <w:outlineLvl w:val="0"/>
              <w:rPr>
                <w:rFonts w:ascii="宋体" w:hAnsi="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75" w:type="dxa"/>
            <w:vMerge w:val="continue"/>
            <w:noWrap w:val="0"/>
            <w:vAlign w:val="top"/>
          </w:tcPr>
          <w:p>
            <w:pPr>
              <w:pStyle w:val="30"/>
              <w:snapToGrid w:val="0"/>
              <w:spacing w:line="420" w:lineRule="exact"/>
              <w:ind w:firstLine="0" w:firstLineChars="0"/>
              <w:rPr>
                <w:rFonts w:ascii="宋体" w:hAnsi="宋体" w:eastAsia="宋体"/>
                <w:b w:val="0"/>
                <w:kern w:val="0"/>
                <w:sz w:val="21"/>
                <w:szCs w:val="21"/>
              </w:rPr>
            </w:pPr>
          </w:p>
        </w:tc>
        <w:tc>
          <w:tcPr>
            <w:tcW w:w="1805" w:type="dxa"/>
            <w:noWrap w:val="0"/>
            <w:vAlign w:val="center"/>
          </w:tcPr>
          <w:p>
            <w:pPr>
              <w:pStyle w:val="30"/>
              <w:snapToGrid w:val="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rPr>
              <w:t>业绩</w:t>
            </w:r>
          </w:p>
        </w:tc>
        <w:tc>
          <w:tcPr>
            <w:tcW w:w="1167" w:type="dxa"/>
            <w:noWrap w:val="0"/>
            <w:vAlign w:val="center"/>
          </w:tcPr>
          <w:p>
            <w:pPr>
              <w:pStyle w:val="30"/>
              <w:spacing w:line="420" w:lineRule="exact"/>
              <w:ind w:firstLine="0" w:firstLineChars="0"/>
              <w:rPr>
                <w:rFonts w:ascii="宋体" w:hAnsi="宋体" w:eastAsia="宋体"/>
                <w:b w:val="0"/>
                <w:kern w:val="0"/>
                <w:sz w:val="21"/>
                <w:szCs w:val="21"/>
              </w:rPr>
            </w:pPr>
            <w:r>
              <w:rPr>
                <w:rFonts w:hint="eastAsia" w:ascii="宋体" w:hAnsi="宋体" w:eastAsia="宋体"/>
                <w:b w:val="0"/>
                <w:kern w:val="0"/>
                <w:sz w:val="21"/>
                <w:szCs w:val="21"/>
                <w:lang w:val="en-US" w:eastAsia="zh-CN"/>
              </w:rPr>
              <w:t>10</w:t>
            </w:r>
            <w:r>
              <w:rPr>
                <w:rFonts w:hint="eastAsia" w:ascii="宋体" w:hAnsi="宋体" w:eastAsia="宋体"/>
                <w:b w:val="0"/>
                <w:kern w:val="0"/>
                <w:sz w:val="21"/>
                <w:szCs w:val="21"/>
              </w:rPr>
              <w:t>分</w:t>
            </w:r>
          </w:p>
        </w:tc>
        <w:tc>
          <w:tcPr>
            <w:tcW w:w="6384" w:type="dxa"/>
            <w:noWrap w:val="0"/>
            <w:vAlign w:val="center"/>
          </w:tcPr>
          <w:p>
            <w:pPr>
              <w:spacing w:line="420" w:lineRule="exact"/>
              <w:jc w:val="left"/>
              <w:outlineLvl w:val="0"/>
              <w:rPr>
                <w:rFonts w:ascii="宋体" w:hAnsi="宋体"/>
                <w:bCs/>
                <w:color w:val="FF0000"/>
                <w:szCs w:val="21"/>
              </w:rPr>
            </w:pPr>
            <w:r>
              <w:rPr>
                <w:rFonts w:hint="eastAsia" w:ascii="宋体" w:hAnsi="宋体"/>
                <w:bCs/>
                <w:color w:val="FF0000"/>
                <w:szCs w:val="21"/>
                <w:lang w:val="en-US" w:eastAsia="zh-CN"/>
              </w:rPr>
              <w:t>2019以来</w:t>
            </w:r>
            <w:r>
              <w:rPr>
                <w:rFonts w:hint="eastAsia" w:ascii="宋体" w:hAnsi="宋体"/>
                <w:bCs/>
                <w:color w:val="FF0000"/>
                <w:szCs w:val="21"/>
              </w:rPr>
              <w:t>的类似供货业绩，提供中标通知书、合同等有效证明文件。提供1个类似业绩得</w:t>
            </w:r>
            <w:r>
              <w:rPr>
                <w:rFonts w:hint="eastAsia" w:ascii="宋体" w:hAnsi="宋体"/>
                <w:bCs/>
                <w:color w:val="FF0000"/>
                <w:szCs w:val="21"/>
                <w:lang w:val="en-US" w:eastAsia="zh-CN"/>
              </w:rPr>
              <w:t>2</w:t>
            </w:r>
            <w:r>
              <w:rPr>
                <w:rFonts w:hint="eastAsia" w:ascii="宋体" w:hAnsi="宋体"/>
                <w:bCs/>
                <w:color w:val="FF0000"/>
                <w:szCs w:val="21"/>
              </w:rPr>
              <w:t>分，满分</w:t>
            </w:r>
            <w:r>
              <w:rPr>
                <w:rFonts w:hint="eastAsia" w:ascii="宋体" w:hAnsi="宋体"/>
                <w:bCs/>
                <w:color w:val="FF0000"/>
                <w:szCs w:val="21"/>
                <w:lang w:val="en-US" w:eastAsia="zh-CN"/>
              </w:rPr>
              <w:t>10</w:t>
            </w:r>
            <w:r>
              <w:rPr>
                <w:rFonts w:hint="eastAsia" w:ascii="宋体" w:hAnsi="宋体"/>
                <w:bCs/>
                <w:color w:val="FF0000"/>
                <w:szCs w:val="21"/>
              </w:rPr>
              <w:t>分，不提供得0分。</w:t>
            </w:r>
          </w:p>
        </w:tc>
      </w:tr>
    </w:tbl>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pStyle w:val="2"/>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4</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pPr>
        <w:pStyle w:val="9"/>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bookmarkStart w:id="70" w:name="_GoBack"/>
      <w:bookmarkEnd w:id="70"/>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喀什市教育系统班班通采购项目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2420000.00元（贰佰肆拾贰万元整）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2022年9月30日至2022年10月21日11:00:00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2022年10月21日11:00:00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7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5"/>
        <w:gridCol w:w="1833"/>
        <w:gridCol w:w="1558"/>
        <w:gridCol w:w="1472"/>
        <w:gridCol w:w="800"/>
        <w:gridCol w:w="800"/>
        <w:gridCol w:w="188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8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95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2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喀什市教育系统班班通采购项目</w:t>
            </w:r>
          </w:p>
        </w:tc>
        <w:tc>
          <w:tcPr>
            <w:tcW w:w="78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20000（贰万元整）</w:t>
            </w:r>
          </w:p>
        </w:tc>
        <w:tc>
          <w:tcPr>
            <w:tcW w:w="74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喀什市教育局</w:t>
            </w:r>
          </w:p>
        </w:tc>
        <w:tc>
          <w:tcPr>
            <w:tcW w:w="405"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952"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8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73521635"/>
      <w:bookmarkStart w:id="5" w:name="_Toc73518117"/>
      <w:bookmarkStart w:id="6" w:name="_Toc101074876"/>
      <w:bookmarkStart w:id="7" w:name="_Toc100052364"/>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喀什市教育系统班班通采购项目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2420000.00元（贰佰肆拾贰万元整）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2420000.00元（贰佰肆拾贰万元整）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班班通</w:t>
      </w:r>
    </w:p>
    <w:p/>
    <w:p>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51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928"/>
        <w:gridCol w:w="457"/>
        <w:gridCol w:w="546"/>
        <w:gridCol w:w="5372"/>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kern w:val="0"/>
                <w:sz w:val="36"/>
                <w:szCs w:val="36"/>
                <w:u w:val="none"/>
                <w:lang w:val="en-US" w:eastAsia="zh-CN" w:bidi="ar"/>
              </w:rPr>
              <w:t xml:space="preserve"> 喀什市教育系统班班通采购项目清单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合计数量</w:t>
            </w:r>
          </w:p>
        </w:tc>
        <w:tc>
          <w:tcPr>
            <w:tcW w:w="3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班班通</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3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1.整机屏幕采用75英吋 LED 液晶屏,A规屏，分辨率3840×2160。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2.输入端子:≥1路VGA；≥1路PC Audio IN；≥1路AV；≥1路YPbPr；≥1路HDMI；≥1路TV RF。输出端子：≥1路耳机；≥1路音频同轴输出。有至少3路USB:3.0接口，其中至少2路为前置接口。有至少1路USB触摸端口。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3.采用红外触控技术，支持在Windows中进行十点触控及十点书写。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4.内置电脑：处理器：六核十二线程，主频≥2.4GHZ，内存：不低于4G 。硬盘：256G或以上SSD固态硬盘。内置双频WiFi。内置网卡：10M/100M/1000M，网口：RJ45*1。具有独立非外扩展的电脑USB接口：电脑上至少3个USB接口。具有独立非外扩展的视频输出接口：≥1路HDMI。具有标准PC防盗锁孔，确保电脑模块安全防盗。外接刻录光驱*1、无线键盘鼠标*1。安装WINDOWS正版操作系统（供货时需提供正版软件序列号和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5.内置安卓系统:安卓系统版本大于8.0。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6.自带白板软件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7.相关中小学本地资源不少于15GB。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组合黑板：1、两边推拉，四块组合设计，一体机镶入黑板中，置于轨道中间，尺寸与所配一体机吻合。书写板面：高档墨绿色金属烤漆书写板，表面细致光洁，书写流畅，抗撞击、磨损、刮擦、不褪色。黑板整体厚度不小于180mm，一体机四周均有档墙板，不能露墙。</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微软雅黑" w:cs="宋体"/>
                <w:sz w:val="22"/>
                <w:szCs w:val="21"/>
                <w:lang w:eastAsia="zh-CN"/>
              </w:rPr>
            </w:pPr>
            <w:r>
              <w:rPr>
                <w:rFonts w:ascii="微软雅黑" w:hAnsi="微软雅黑" w:eastAsia="微软雅黑" w:cs="微软雅黑"/>
                <w:i w:val="0"/>
                <w:iCs w:val="0"/>
                <w:caps w:val="0"/>
                <w:color w:val="333333"/>
                <w:spacing w:val="0"/>
                <w:sz w:val="21"/>
                <w:szCs w:val="21"/>
                <w:shd w:val="clear" w:fill="FFFFFF"/>
              </w:rPr>
              <w:t>30天</w:t>
            </w:r>
            <w:r>
              <w:rPr>
                <w:rFonts w:hint="eastAsia" w:ascii="微软雅黑" w:hAnsi="微软雅黑" w:eastAsia="微软雅黑" w:cs="微软雅黑"/>
                <w:i w:val="0"/>
                <w:iCs w:val="0"/>
                <w:caps w:val="0"/>
                <w:color w:val="333333"/>
                <w:spacing w:val="0"/>
                <w:sz w:val="21"/>
                <w:szCs w:val="21"/>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组织验收。验收时提供相关的检测报告及国产设备印证材料</w:t>
            </w:r>
            <w:r>
              <w:rPr>
                <w:rFonts w:hint="eastAsia" w:ascii="宋体" w:hAnsi="宋体" w:eastAsia="宋体" w:cs="仿宋_GB2312"/>
                <w:sz w:val="22"/>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tbl>
      <w:tblPr>
        <w:tblStyle w:val="18"/>
        <w:tblW w:w="51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928"/>
        <w:gridCol w:w="457"/>
        <w:gridCol w:w="546"/>
        <w:gridCol w:w="5372"/>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kern w:val="0"/>
                <w:sz w:val="36"/>
                <w:szCs w:val="36"/>
                <w:u w:val="none"/>
                <w:lang w:val="en-US" w:eastAsia="zh-CN" w:bidi="ar"/>
              </w:rPr>
              <w:t xml:space="preserve"> 喀什市教育系统班班通采购项目清单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合计数量</w:t>
            </w:r>
          </w:p>
        </w:tc>
        <w:tc>
          <w:tcPr>
            <w:tcW w:w="30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班班通</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3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1.整机屏幕采用75英吋 LED 液晶屏,A规屏，分辨率3840×2160。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2.输入端子:≥1路VGA；≥1路PC Audio IN；≥1路AV；≥1路YPbPr；≥1路HDMI；≥1路TV RF。输出端子：≥1路耳机；≥1路音频同轴输出。有至少3路USB:3.0接口，其中至少2路为前置接口。有至少1路USB触摸端口。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3.采用红外触控技术，支持在Windows中进行十点触控及十点书写。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4.内置电脑：处理器：六核十二线程，主频≥2.4GHZ，内存：不低于4G 。硬盘：256G或以上SSD固态硬盘。内置双频WiFi。内置网卡：10M/100M/1000M，网口：RJ45*1。具有独立非外扩展的电脑USB接口：电脑上至少3个USB接口。具有独立非外扩展的视频输出接口：≥1路HDMI。具有标准PC防盗锁孔，确保电脑模块安全防盗。外接刻录光驱*1、无线键盘鼠标*1。安装WINDOWS正版操作系统（供货时需提供正版软件序列号和相关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5.内置安卓系统:安卓系统版本大于8.0。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6.自带白板软件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7.相关中小学本地资源不少于15GB。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组合黑板：1、两边推拉，四块组合设计，一体机镶入黑板中，置于轨道中间，尺寸与所配一体机吻合。书写板面：高档墨绿色金属烤漆书写板，表面细致光洁，书写流畅，抗撞击、磨损、刮擦、不褪色。黑板整体厚度不小于180mm，一体机四周均有档墙板，不能露墙。</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宋体" w:hAnsi="宋体" w:eastAsia="宋体"/>
          <w:sz w:val="30"/>
          <w:szCs w:val="30"/>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法定代表人授权书</w:t>
      </w:r>
      <w:r>
        <w:rPr>
          <w:rFonts w:hint="eastAsia" w:ascii="宋体" w:hAnsi="宋体" w:eastAsia="宋体"/>
          <w:kern w:val="2"/>
          <w:sz w:val="30"/>
          <w:szCs w:val="30"/>
        </w:rPr>
        <w:t>（附有效身份证正反面扫描件）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5"/>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年度任意一年经会计师事务所出具的审计报告复印件扫描件或影印件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2"/>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rPr>
          <w:rFonts w:hint="default" w:eastAsia="宋体"/>
          <w:lang w:val="en-US" w:eastAsia="zh-CN"/>
        </w:rPr>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KSS(GK)2022-022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喀什市教育系统班班通采购项目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18151"/>
      <w:bookmarkStart w:id="36" w:name="_Toc73521581"/>
      <w:bookmarkStart w:id="37" w:name="_Toc73521669"/>
      <w:bookmarkStart w:id="38" w:name="_Toc73517673"/>
      <w:bookmarkStart w:id="39" w:name="_Toc100052400"/>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21674"/>
      <w:bookmarkStart w:id="48" w:name="_Toc73521586"/>
      <w:bookmarkStart w:id="49" w:name="_Toc100052408"/>
      <w:bookmarkStart w:id="50" w:name="_Toc73518157"/>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73521587"/>
      <w:bookmarkStart w:id="54" w:name="_Toc100052409"/>
      <w:bookmarkStart w:id="55" w:name="_Toc73521675"/>
      <w:bookmarkStart w:id="56" w:name="_Toc73517680"/>
      <w:bookmarkStart w:id="57" w:name="_Toc73518158"/>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7682"/>
      <w:bookmarkStart w:id="59" w:name="_Toc73518160"/>
      <w:bookmarkStart w:id="60" w:name="_Toc100052410"/>
      <w:bookmarkStart w:id="61" w:name="_Toc73521677"/>
      <w:bookmarkStart w:id="62" w:name="_Toc73521589"/>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706E70"/>
    <w:rsid w:val="00B50F6D"/>
    <w:rsid w:val="030750A8"/>
    <w:rsid w:val="038251E4"/>
    <w:rsid w:val="06796EB7"/>
    <w:rsid w:val="07E22A0A"/>
    <w:rsid w:val="0889017A"/>
    <w:rsid w:val="0A21662D"/>
    <w:rsid w:val="0ABC6AE6"/>
    <w:rsid w:val="0B800F13"/>
    <w:rsid w:val="0BD8443A"/>
    <w:rsid w:val="0D1F0DE7"/>
    <w:rsid w:val="0D3A744A"/>
    <w:rsid w:val="0DF57054"/>
    <w:rsid w:val="0F255064"/>
    <w:rsid w:val="10425CC2"/>
    <w:rsid w:val="1192589F"/>
    <w:rsid w:val="1A740C56"/>
    <w:rsid w:val="1CF5533A"/>
    <w:rsid w:val="20596F74"/>
    <w:rsid w:val="21C4062D"/>
    <w:rsid w:val="24F700FC"/>
    <w:rsid w:val="256646C4"/>
    <w:rsid w:val="267A507C"/>
    <w:rsid w:val="296C066D"/>
    <w:rsid w:val="2B803D16"/>
    <w:rsid w:val="2C366F69"/>
    <w:rsid w:val="2D847558"/>
    <w:rsid w:val="2EFA653D"/>
    <w:rsid w:val="308B7B00"/>
    <w:rsid w:val="3137687A"/>
    <w:rsid w:val="32265D43"/>
    <w:rsid w:val="323C629C"/>
    <w:rsid w:val="32C060FB"/>
    <w:rsid w:val="337C7542"/>
    <w:rsid w:val="358E30D3"/>
    <w:rsid w:val="3C795F8F"/>
    <w:rsid w:val="3CB971DE"/>
    <w:rsid w:val="3D224849"/>
    <w:rsid w:val="3D863DAC"/>
    <w:rsid w:val="3E9A489A"/>
    <w:rsid w:val="3EF93097"/>
    <w:rsid w:val="429750D7"/>
    <w:rsid w:val="4422077D"/>
    <w:rsid w:val="4A29520E"/>
    <w:rsid w:val="4D2C2FDF"/>
    <w:rsid w:val="4D6B7D2D"/>
    <w:rsid w:val="51680854"/>
    <w:rsid w:val="51B44C64"/>
    <w:rsid w:val="51F0678B"/>
    <w:rsid w:val="56606BE9"/>
    <w:rsid w:val="59D2767F"/>
    <w:rsid w:val="5F6D4019"/>
    <w:rsid w:val="604E7BD7"/>
    <w:rsid w:val="643D1580"/>
    <w:rsid w:val="643E619F"/>
    <w:rsid w:val="6594282D"/>
    <w:rsid w:val="67283F04"/>
    <w:rsid w:val="673F14F0"/>
    <w:rsid w:val="68653FE4"/>
    <w:rsid w:val="68A76B92"/>
    <w:rsid w:val="69A725C4"/>
    <w:rsid w:val="6BF502A5"/>
    <w:rsid w:val="6F421E56"/>
    <w:rsid w:val="705F4544"/>
    <w:rsid w:val="708B1138"/>
    <w:rsid w:val="72476B05"/>
    <w:rsid w:val="74421070"/>
    <w:rsid w:val="74EE29CE"/>
    <w:rsid w:val="752776A3"/>
    <w:rsid w:val="762C4BB0"/>
    <w:rsid w:val="779C1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Emphasis"/>
    <w:basedOn w:val="19"/>
    <w:qFormat/>
    <w:uiPriority w:val="0"/>
    <w:rPr>
      <w:i/>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Heading 1"/>
    <w:basedOn w:val="1"/>
    <w:next w:val="1"/>
    <w:link w:val="24"/>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qFormat/>
    <w:uiPriority w:val="0"/>
    <w:rPr>
      <w:rFonts w:ascii="Arial" w:hAnsi="Arial" w:eastAsia="宋体" w:cs="Times New Roman"/>
      <w:b/>
      <w:bCs/>
      <w:kern w:val="44"/>
      <w:sz w:val="44"/>
      <w:szCs w:val="44"/>
    </w:rPr>
  </w:style>
  <w:style w:type="paragraph" w:customStyle="1" w:styleId="25">
    <w:name w:val="表名称"/>
    <w:basedOn w:val="5"/>
    <w:qFormat/>
    <w:uiPriority w:val="0"/>
    <w:pPr>
      <w:numPr>
        <w:ilvl w:val="0"/>
        <w:numId w:val="1"/>
      </w:numPr>
      <w:ind w:firstLine="0" w:firstLineChars="0"/>
      <w:jc w:val="center"/>
    </w:pPr>
  </w:style>
  <w:style w:type="character" w:customStyle="1" w:styleId="26">
    <w:name w:val="标题 1 Char1"/>
    <w:link w:val="3"/>
    <w:qFormat/>
    <w:uiPriority w:val="0"/>
    <w:rPr>
      <w:b/>
      <w:kern w:val="44"/>
      <w:sz w:val="44"/>
    </w:rPr>
  </w:style>
  <w:style w:type="character" w:customStyle="1" w:styleId="27">
    <w:name w:val="标题 2 Char"/>
    <w:link w:val="4"/>
    <w:qFormat/>
    <w:uiPriority w:val="0"/>
    <w:rPr>
      <w:rFonts w:ascii="Arial" w:hAnsi="Arial" w:eastAsia="黑体"/>
      <w:b/>
      <w:kern w:val="0"/>
      <w:sz w:val="30"/>
      <w:szCs w:val="20"/>
    </w:rPr>
  </w:style>
  <w:style w:type="character" w:customStyle="1" w:styleId="28">
    <w:name w:val="标题 3 Char"/>
    <w:link w:val="6"/>
    <w:qFormat/>
    <w:uiPriority w:val="0"/>
    <w:rPr>
      <w:b/>
      <w:sz w:val="32"/>
    </w:rPr>
  </w:style>
  <w:style w:type="character" w:customStyle="1" w:styleId="29">
    <w:name w:val="标题 4 Char"/>
    <w:link w:val="7"/>
    <w:qFormat/>
    <w:uiPriority w:val="0"/>
    <w:rPr>
      <w:rFonts w:ascii="Arial" w:hAnsi="Arial" w:eastAsia="黑体"/>
      <w:b/>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2022-06-01T04:47:00Z</cp:lastPrinted>
  <dcterms:modified xsi:type="dcterms:W3CDTF">2022-09-30T11:52:46Z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