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900" w:lineRule="exact"/>
        <w:ind w:firstLine="0" w:firstLineChars="0"/>
        <w:jc w:val="center"/>
        <w:rPr>
          <w:rFonts w:hint="eastAsia" w:ascii="宋体" w:hAnsi="宋体" w:eastAsia="宋体" w:cs="宋体"/>
          <w:b/>
          <w:color w:val="auto"/>
          <w:sz w:val="48"/>
          <w:szCs w:val="48"/>
          <w:highlight w:val="none"/>
        </w:rPr>
      </w:pPr>
    </w:p>
    <w:p>
      <w:pPr>
        <w:spacing w:line="240" w:lineRule="atLeast"/>
        <w:jc w:val="center"/>
        <w:rPr>
          <w:rFonts w:hint="eastAsia" w:ascii="宋体" w:hAnsi="宋体" w:eastAsia="宋体" w:cs="宋体"/>
          <w:color w:val="auto"/>
          <w:sz w:val="44"/>
          <w:szCs w:val="44"/>
          <w:highlight w:val="none"/>
          <w:u w:val="none"/>
          <w:lang w:eastAsia="zh-CN"/>
        </w:rPr>
      </w:pPr>
      <w:r>
        <w:rPr>
          <w:rFonts w:hint="eastAsia" w:ascii="宋体" w:hAnsi="宋体" w:eastAsia="宋体" w:cs="宋体"/>
          <w:b/>
          <w:bCs/>
          <w:color w:val="auto"/>
          <w:sz w:val="44"/>
          <w:szCs w:val="44"/>
          <w:highlight w:val="none"/>
          <w:u w:val="none"/>
          <w:lang w:eastAsia="zh-CN"/>
        </w:rPr>
        <w:t>莎车县人民医院集成平台、数据中心、急救车指挥系统、数据标准机房及其他软硬件安装升级改造采购项目</w:t>
      </w:r>
    </w:p>
    <w:p>
      <w:pPr>
        <w:pStyle w:val="4"/>
        <w:rPr>
          <w:rFonts w:hint="eastAsia" w:ascii="宋体" w:hAnsi="宋体" w:eastAsia="宋体" w:cs="宋体"/>
          <w:color w:val="auto"/>
          <w:highlight w:val="none"/>
          <w:lang w:eastAsia="zh-CN"/>
        </w:rPr>
      </w:pPr>
    </w:p>
    <w:p>
      <w:pPr>
        <w:spacing w:line="240" w:lineRule="atLeast"/>
        <w:jc w:val="center"/>
        <w:rPr>
          <w:rFonts w:hint="eastAsia" w:ascii="宋体" w:hAnsi="宋体" w:eastAsia="宋体" w:cs="宋体"/>
          <w:b/>
          <w:color w:val="auto"/>
          <w:sz w:val="48"/>
          <w:szCs w:val="48"/>
          <w:highlight w:val="none"/>
        </w:rPr>
      </w:pPr>
    </w:p>
    <w:p>
      <w:pPr>
        <w:spacing w:line="240" w:lineRule="atLeast"/>
        <w:ind w:firstLine="2400" w:firstLineChars="500"/>
        <w:jc w:val="both"/>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招 标 文 件</w:t>
      </w:r>
    </w:p>
    <w:p>
      <w:pPr>
        <w:pStyle w:val="4"/>
        <w:ind w:left="0" w:leftChars="0" w:firstLine="640" w:firstLineChars="200"/>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(第六包：短信服务平台基础设备一批）</w:t>
      </w:r>
    </w:p>
    <w:p>
      <w:pPr>
        <w:pStyle w:val="4"/>
        <w:ind w:firstLine="2240" w:firstLineChars="700"/>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项目</w:t>
      </w:r>
      <w:r>
        <w:rPr>
          <w:rFonts w:hint="eastAsia" w:ascii="宋体" w:hAnsi="宋体" w:eastAsia="宋体" w:cs="宋体"/>
          <w:b/>
          <w:color w:val="auto"/>
          <w:sz w:val="32"/>
          <w:highlight w:val="none"/>
        </w:rPr>
        <w:t>编号：</w:t>
      </w:r>
      <w:r>
        <w:rPr>
          <w:rFonts w:hint="eastAsia" w:ascii="宋体" w:hAnsi="宋体" w:eastAsia="宋体" w:cs="宋体"/>
          <w:b/>
          <w:color w:val="auto"/>
          <w:sz w:val="32"/>
          <w:highlight w:val="none"/>
          <w:lang w:eastAsia="zh-CN"/>
        </w:rPr>
        <w:t>ZJ(GK)-220</w:t>
      </w:r>
      <w:r>
        <w:rPr>
          <w:rFonts w:hint="eastAsia" w:ascii="宋体" w:hAnsi="宋体" w:eastAsia="宋体" w:cs="宋体"/>
          <w:b/>
          <w:color w:val="auto"/>
          <w:sz w:val="32"/>
          <w:highlight w:val="none"/>
          <w:lang w:val="en-US" w:eastAsia="zh-CN"/>
        </w:rPr>
        <w:t>37</w:t>
      </w:r>
    </w:p>
    <w:p>
      <w:pPr>
        <w:spacing w:line="240" w:lineRule="atLeast"/>
        <w:jc w:val="center"/>
        <w:rPr>
          <w:rFonts w:hint="eastAsia" w:ascii="宋体" w:hAnsi="宋体" w:eastAsia="宋体" w:cs="宋体"/>
          <w:color w:val="auto"/>
          <w:highlight w:val="none"/>
        </w:rPr>
      </w:pPr>
      <w:r>
        <w:rPr>
          <w:rFonts w:hint="eastAsia" w:ascii="宋体" w:hAnsi="宋体" w:eastAsia="宋体" w:cs="宋体"/>
          <w:b/>
          <w:color w:val="auto"/>
          <w:sz w:val="32"/>
          <w:highlight w:val="none"/>
        </w:rPr>
        <w:t xml:space="preserve">  </w:t>
      </w:r>
    </w:p>
    <w:p>
      <w:pPr>
        <w:spacing w:line="240" w:lineRule="atLeast"/>
        <w:ind w:firstLine="560"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采购单位名称：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莎车县人民医院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ind w:firstLine="560" w:firstLineChars="2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 xml:space="preserve">联   系   人：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刘红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p>
    <w:p>
      <w:pPr>
        <w:spacing w:line="360" w:lineRule="auto"/>
        <w:ind w:firstLine="560" w:firstLineChars="200"/>
        <w:rPr>
          <w:rFonts w:hint="eastAsia" w:ascii="宋体" w:hAnsi="宋体" w:eastAsia="宋体" w:cs="宋体"/>
          <w:b/>
          <w:color w:val="auto"/>
          <w:sz w:val="28"/>
          <w:szCs w:val="28"/>
          <w:highlight w:val="none"/>
          <w:u w:val="single"/>
          <w:lang w:val="en-US"/>
        </w:rPr>
      </w:pPr>
      <w:r>
        <w:rPr>
          <w:rFonts w:hint="eastAsia" w:ascii="宋体" w:hAnsi="宋体" w:eastAsia="宋体" w:cs="宋体"/>
          <w:b/>
          <w:color w:val="auto"/>
          <w:sz w:val="28"/>
          <w:szCs w:val="28"/>
          <w:highlight w:val="none"/>
        </w:rPr>
        <w:t xml:space="preserve">联 系  电 话：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0998-8525130    </w:t>
      </w:r>
    </w:p>
    <w:p>
      <w:pPr>
        <w:spacing w:line="240" w:lineRule="atLeast"/>
        <w:jc w:val="center"/>
        <w:rPr>
          <w:rFonts w:hint="eastAsia" w:ascii="宋体" w:hAnsi="宋体" w:eastAsia="宋体" w:cs="宋体"/>
          <w:b/>
          <w:color w:val="auto"/>
          <w:sz w:val="28"/>
          <w:szCs w:val="28"/>
          <w:highlight w:val="none"/>
        </w:rPr>
      </w:pPr>
    </w:p>
    <w:p>
      <w:pPr>
        <w:spacing w:line="240" w:lineRule="atLeast"/>
        <w:rPr>
          <w:rFonts w:hint="eastAsia" w:ascii="宋体" w:hAnsi="宋体" w:eastAsia="宋体" w:cs="宋体"/>
          <w:b/>
          <w:color w:val="auto"/>
          <w:sz w:val="28"/>
          <w:szCs w:val="28"/>
          <w:highlight w:val="none"/>
        </w:rPr>
      </w:pPr>
    </w:p>
    <w:p>
      <w:pPr>
        <w:pStyle w:val="33"/>
        <w:rPr>
          <w:rFonts w:hint="eastAsia" w:ascii="宋体" w:hAnsi="宋体" w:eastAsia="宋体" w:cs="宋体"/>
          <w:b/>
          <w:color w:val="auto"/>
          <w:sz w:val="28"/>
          <w:szCs w:val="28"/>
          <w:highlight w:val="none"/>
        </w:rPr>
      </w:pPr>
    </w:p>
    <w:p>
      <w:pPr>
        <w:pStyle w:val="33"/>
        <w:rPr>
          <w:rFonts w:hint="eastAsia" w:ascii="宋体" w:hAnsi="宋体" w:eastAsia="宋体" w:cs="宋体"/>
          <w:b/>
          <w:color w:val="auto"/>
          <w:sz w:val="28"/>
          <w:szCs w:val="28"/>
          <w:highlight w:val="none"/>
        </w:rPr>
      </w:pPr>
    </w:p>
    <w:p>
      <w:pPr>
        <w:spacing w:line="240" w:lineRule="atLeast"/>
        <w:ind w:firstLine="560" w:firstLineChars="200"/>
        <w:rPr>
          <w:rFonts w:hint="eastAsia" w:ascii="宋体" w:hAnsi="宋体" w:eastAsia="宋体" w:cs="宋体"/>
          <w:b/>
          <w:color w:val="auto"/>
          <w:sz w:val="28"/>
          <w:szCs w:val="28"/>
          <w:highlight w:val="none"/>
          <w:u w:val="single"/>
          <w:lang w:val="en-US" w:eastAsia="zh-CN"/>
        </w:rPr>
      </w:pPr>
      <w:r>
        <w:rPr>
          <w:rFonts w:hint="eastAsia" w:ascii="宋体" w:hAnsi="宋体" w:eastAsia="宋体" w:cs="宋体"/>
          <w:b/>
          <w:color w:val="auto"/>
          <w:sz w:val="28"/>
          <w:szCs w:val="28"/>
          <w:highlight w:val="none"/>
        </w:rPr>
        <w:t>代理机构名称：</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eastAsia="zh-CN"/>
        </w:rPr>
        <w:t>中经国际招标集团有限公司</w:t>
      </w:r>
      <w:r>
        <w:rPr>
          <w:rFonts w:hint="eastAsia" w:ascii="宋体" w:hAnsi="宋体" w:eastAsia="宋体" w:cs="宋体"/>
          <w:b/>
          <w:color w:val="auto"/>
          <w:sz w:val="28"/>
          <w:szCs w:val="28"/>
          <w:highlight w:val="none"/>
          <w:u w:val="single"/>
          <w:lang w:val="en-US" w:eastAsia="zh-CN"/>
        </w:rPr>
        <w:t xml:space="preserve">  </w:t>
      </w:r>
    </w:p>
    <w:p>
      <w:pPr>
        <w:spacing w:line="240" w:lineRule="atLeast"/>
        <w:ind w:firstLine="560"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联   系   人：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eastAsia="zh-CN"/>
        </w:rPr>
        <w:t>王丽娟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spacing w:line="240" w:lineRule="atLeast"/>
        <w:ind w:firstLine="560"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联 系 电 话 ：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15099650569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28"/>
          <w:szCs w:val="28"/>
          <w:highlight w:val="none"/>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b/>
          <w:color w:val="auto"/>
          <w:sz w:val="28"/>
          <w:szCs w:val="28"/>
          <w:highlight w:val="none"/>
        </w:rPr>
        <w:t>日期：202</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lang w:val="en-US" w:eastAsia="zh-CN"/>
        </w:rPr>
        <w:t>9</w:t>
      </w:r>
      <w:r>
        <w:rPr>
          <w:rFonts w:hint="eastAsia" w:ascii="宋体" w:hAnsi="宋体" w:eastAsia="宋体" w:cs="宋体"/>
          <w:b/>
          <w:color w:val="auto"/>
          <w:sz w:val="28"/>
          <w:szCs w:val="28"/>
          <w:highlight w:val="none"/>
        </w:rPr>
        <w:t>月</w:t>
      </w:r>
    </w:p>
    <w:p>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目   录</w:t>
      </w:r>
    </w:p>
    <w:p>
      <w:pPr>
        <w:pStyle w:val="19"/>
        <w:tabs>
          <w:tab w:val="right" w:leader="dot" w:pos="8312"/>
        </w:tabs>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_Toc21077 </w:instrText>
      </w:r>
      <w:r>
        <w:rPr>
          <w:rFonts w:hint="eastAsia" w:ascii="宋体" w:hAnsi="宋体" w:eastAsia="宋体" w:cs="宋体"/>
          <w:highlight w:val="none"/>
        </w:rPr>
        <w:fldChar w:fldCharType="separate"/>
      </w:r>
      <w:r>
        <w:rPr>
          <w:rFonts w:hint="eastAsia" w:ascii="宋体" w:hAnsi="宋体" w:eastAsia="宋体" w:cs="宋体"/>
          <w:bCs/>
          <w:szCs w:val="21"/>
          <w:highlight w:val="none"/>
        </w:rPr>
        <w:t xml:space="preserve">第1章  </w:t>
      </w:r>
      <w:r>
        <w:rPr>
          <w:rFonts w:hint="eastAsia" w:ascii="宋体" w:hAnsi="宋体" w:eastAsia="宋体" w:cs="宋体"/>
          <w:bCs/>
          <w:szCs w:val="21"/>
          <w:highlight w:val="none"/>
          <w:lang w:eastAsia="zh-CN"/>
        </w:rPr>
        <w:t>供应商</w:t>
      </w:r>
      <w:r>
        <w:rPr>
          <w:rFonts w:hint="eastAsia" w:ascii="宋体" w:hAnsi="宋体" w:eastAsia="宋体" w:cs="宋体"/>
          <w:bCs/>
          <w:szCs w:val="21"/>
          <w:highlight w:val="none"/>
        </w:rPr>
        <w:t>须知</w:t>
      </w:r>
      <w:r>
        <w:tab/>
      </w:r>
      <w:r>
        <w:fldChar w:fldCharType="begin"/>
      </w:r>
      <w:r>
        <w:instrText xml:space="preserve"> PAGEREF _Toc21077 \h </w:instrText>
      </w:r>
      <w:r>
        <w:fldChar w:fldCharType="separate"/>
      </w:r>
      <w:r>
        <w:t>4</w:t>
      </w:r>
      <w:r>
        <w:fldChar w:fldCharType="end"/>
      </w:r>
      <w:r>
        <w:rPr>
          <w:rFonts w:hint="eastAsia" w:ascii="宋体" w:hAnsi="宋体" w:eastAsia="宋体" w:cs="宋体"/>
          <w:color w:val="auto"/>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_Toc25924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一   总 则</w:t>
      </w:r>
      <w:r>
        <w:tab/>
      </w:r>
      <w:r>
        <w:fldChar w:fldCharType="begin"/>
      </w:r>
      <w:r>
        <w:instrText xml:space="preserve"> PAGEREF _Toc25924 \h </w:instrText>
      </w:r>
      <w:r>
        <w:fldChar w:fldCharType="separate"/>
      </w:r>
      <w:r>
        <w:t>4</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_Toc17791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1.采购人、采购代理机构及</w:t>
      </w:r>
      <w:r>
        <w:rPr>
          <w:rFonts w:hint="eastAsia" w:ascii="宋体" w:hAnsi="宋体" w:eastAsia="宋体" w:cs="宋体"/>
          <w:highlight w:val="none"/>
          <w:lang w:eastAsia="zh-CN"/>
        </w:rPr>
        <w:t>投标供应商</w:t>
      </w:r>
      <w:r>
        <w:tab/>
      </w:r>
      <w:r>
        <w:fldChar w:fldCharType="begin"/>
      </w:r>
      <w:r>
        <w:instrText xml:space="preserve"> PAGEREF _Toc17791 \h </w:instrText>
      </w:r>
      <w:r>
        <w:fldChar w:fldCharType="separate"/>
      </w:r>
      <w:r>
        <w:t>4</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_Toc22443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2.资金来源</w:t>
      </w:r>
      <w:r>
        <w:tab/>
      </w:r>
      <w:r>
        <w:fldChar w:fldCharType="begin"/>
      </w:r>
      <w:r>
        <w:instrText xml:space="preserve"> PAGEREF _Toc22443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_Toc20163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3.投标费用</w:t>
      </w:r>
      <w:r>
        <w:tab/>
      </w:r>
      <w:r>
        <w:fldChar w:fldCharType="begin"/>
      </w:r>
      <w:r>
        <w:instrText xml:space="preserve"> PAGEREF _Toc20163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_Toc19989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4.适用法律</w:t>
      </w:r>
      <w:r>
        <w:tab/>
      </w:r>
      <w:r>
        <w:fldChar w:fldCharType="begin"/>
      </w:r>
      <w:r>
        <w:instrText xml:space="preserve"> PAGEREF _Toc19989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_Toc6657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二   招标文件</w:t>
      </w:r>
      <w:r>
        <w:tab/>
      </w:r>
      <w:r>
        <w:fldChar w:fldCharType="begin"/>
      </w:r>
      <w:r>
        <w:instrText xml:space="preserve"> PAGEREF _Toc6657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_Toc12679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5.招标文件构成</w:t>
      </w:r>
      <w:r>
        <w:tab/>
      </w:r>
      <w:r>
        <w:fldChar w:fldCharType="begin"/>
      </w:r>
      <w:r>
        <w:instrText xml:space="preserve"> PAGEREF _Toc12679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_Toc11842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6.招标文件的澄清与修改</w:t>
      </w:r>
      <w:r>
        <w:tab/>
      </w:r>
      <w:r>
        <w:fldChar w:fldCharType="begin"/>
      </w:r>
      <w:r>
        <w:instrText xml:space="preserve"> PAGEREF _Toc11842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_Toc3739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7.投标截止时间的顺延</w:t>
      </w:r>
      <w:r>
        <w:tab/>
      </w:r>
      <w:r>
        <w:fldChar w:fldCharType="begin"/>
      </w:r>
      <w:r>
        <w:instrText xml:space="preserve"> PAGEREF _Toc3739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_Toc18600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三   投标文件的编制</w:t>
      </w:r>
      <w:r>
        <w:tab/>
      </w:r>
      <w:r>
        <w:fldChar w:fldCharType="begin"/>
      </w:r>
      <w:r>
        <w:instrText xml:space="preserve"> PAGEREF _Toc18600 \h </w:instrText>
      </w:r>
      <w:r>
        <w:fldChar w:fldCharType="separate"/>
      </w:r>
      <w:r>
        <w:t>7</w:t>
      </w:r>
      <w:r>
        <w:fldChar w:fldCharType="end"/>
      </w:r>
      <w:r>
        <w:rPr>
          <w:rFonts w:hint="eastAsia" w:ascii="宋体" w:hAnsi="宋体" w:eastAsia="宋体" w:cs="宋体"/>
          <w:color w:val="auto"/>
          <w:kern w:val="2"/>
          <w:szCs w:val="24"/>
          <w:highlight w:val="none"/>
        </w:rPr>
        <w:fldChar w:fldCharType="end"/>
      </w:r>
    </w:p>
    <w:p>
      <w:pPr>
        <w:pStyle w:val="13"/>
        <w:tabs>
          <w:tab w:val="right" w:pos="3600"/>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_Toc11560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tab/>
      </w:r>
      <w:r>
        <w:rPr>
          <w:rFonts w:hint="eastAsia" w:ascii="宋体" w:hAnsi="宋体" w:eastAsia="宋体" w:cs="宋体"/>
          <w:highlight w:val="none"/>
        </w:rPr>
        <w:t>投标范围及投标文件中标准和计量单位的使用</w:t>
      </w:r>
      <w:r>
        <w:tab/>
      </w:r>
      <w:r>
        <w:fldChar w:fldCharType="begin"/>
      </w:r>
      <w:r>
        <w:instrText xml:space="preserve"> PAGEREF _Toc11560 \h </w:instrText>
      </w:r>
      <w:r>
        <w:fldChar w:fldCharType="separate"/>
      </w:r>
      <w:r>
        <w:t>7</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_Toc7138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9.投标文件构成</w:t>
      </w:r>
      <w:r>
        <w:tab/>
      </w:r>
      <w:r>
        <w:fldChar w:fldCharType="begin"/>
      </w:r>
      <w:r>
        <w:instrText xml:space="preserve"> PAGEREF _Toc7138 \h </w:instrText>
      </w:r>
      <w:r>
        <w:fldChar w:fldCharType="separate"/>
      </w:r>
      <w:r>
        <w:t>7</w:t>
      </w:r>
      <w:r>
        <w:fldChar w:fldCharType="end"/>
      </w:r>
      <w:r>
        <w:rPr>
          <w:rFonts w:hint="eastAsia" w:ascii="宋体" w:hAnsi="宋体" w:eastAsia="宋体" w:cs="宋体"/>
          <w:color w:val="auto"/>
          <w:kern w:val="2"/>
          <w:szCs w:val="24"/>
          <w:highlight w:val="none"/>
        </w:rPr>
        <w:fldChar w:fldCharType="end"/>
      </w:r>
    </w:p>
    <w:p>
      <w:pPr>
        <w:pStyle w:val="13"/>
        <w:tabs>
          <w:tab w:val="right" w:pos="3600"/>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_Toc15991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10.</w:t>
      </w:r>
      <w:r>
        <w:rPr>
          <w:rFonts w:hint="eastAsia" w:ascii="宋体" w:hAnsi="宋体" w:eastAsia="宋体" w:cs="宋体"/>
          <w:highlight w:val="none"/>
        </w:rPr>
        <w:tab/>
      </w:r>
      <w:r>
        <w:rPr>
          <w:rFonts w:hint="eastAsia" w:ascii="宋体" w:hAnsi="宋体" w:eastAsia="宋体" w:cs="宋体"/>
          <w:highlight w:val="none"/>
        </w:rPr>
        <w:t>证明投标的的合格性和符合招标文件规定的技术文件</w:t>
      </w:r>
      <w:r>
        <w:tab/>
      </w:r>
      <w:r>
        <w:fldChar w:fldCharType="begin"/>
      </w:r>
      <w:r>
        <w:instrText xml:space="preserve"> PAGEREF _Toc15991 \h </w:instrText>
      </w:r>
      <w:r>
        <w:fldChar w:fldCharType="separate"/>
      </w:r>
      <w:r>
        <w:t>7</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11.投标报价</w:t>
      </w:r>
      <w:r>
        <w:tab/>
      </w:r>
      <w:r>
        <w:fldChar w:fldCharType="begin"/>
      </w:r>
      <w:r>
        <w:instrText xml:space="preserve"> PAGEREF _Toc34 \h </w:instrText>
      </w:r>
      <w:r>
        <w:fldChar w:fldCharType="separate"/>
      </w:r>
      <w:r>
        <w:t>7</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_Toc7630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12.</w:t>
      </w:r>
      <w:r>
        <w:rPr>
          <w:rFonts w:hint="eastAsia" w:ascii="宋体" w:hAnsi="宋体" w:eastAsia="宋体" w:cs="宋体"/>
          <w:highlight w:val="none"/>
          <w:lang w:val="en-US" w:eastAsia="zh-CN"/>
        </w:rPr>
        <w:t xml:space="preserve"> </w:t>
      </w:r>
      <w:r>
        <w:rPr>
          <w:rFonts w:hint="eastAsia" w:ascii="宋体" w:hAnsi="宋体" w:eastAsia="宋体" w:cs="宋体"/>
          <w:highlight w:val="none"/>
        </w:rPr>
        <w:t>投标保证金</w:t>
      </w:r>
      <w:r>
        <w:tab/>
      </w:r>
      <w:r>
        <w:fldChar w:fldCharType="begin"/>
      </w:r>
      <w:r>
        <w:instrText xml:space="preserve"> PAGEREF _Toc7630 \h </w:instrText>
      </w:r>
      <w:r>
        <w:fldChar w:fldCharType="separate"/>
      </w:r>
      <w:r>
        <w:t>8</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_Toc16367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13.投标有效期</w:t>
      </w:r>
      <w:r>
        <w:tab/>
      </w:r>
      <w:r>
        <w:fldChar w:fldCharType="begin"/>
      </w:r>
      <w:r>
        <w:instrText xml:space="preserve"> PAGEREF _Toc16367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_Toc16019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14.投标文件的签署及规定</w:t>
      </w:r>
      <w:r>
        <w:rPr>
          <w:rFonts w:hint="eastAsia" w:ascii="宋体" w:hAnsi="宋体" w:eastAsia="宋体" w:cs="宋体"/>
          <w:i w:val="0"/>
          <w:caps w:val="0"/>
          <w:spacing w:val="0"/>
          <w:w w:val="100"/>
          <w:highlight w:val="none"/>
          <w:lang w:eastAsia="zh-CN"/>
        </w:rPr>
        <w:t>（</w:t>
      </w:r>
      <w:r>
        <w:rPr>
          <w:rFonts w:hint="eastAsia" w:ascii="宋体" w:hAnsi="宋体" w:eastAsia="宋体" w:cs="宋体"/>
          <w:i w:val="0"/>
          <w:caps w:val="0"/>
          <w:spacing w:val="0"/>
          <w:w w:val="100"/>
          <w:highlight w:val="none"/>
          <w:lang w:val="en-US" w:eastAsia="zh-CN"/>
        </w:rPr>
        <w:t>后期邮寄的投标文件</w:t>
      </w:r>
      <w:r>
        <w:rPr>
          <w:rFonts w:hint="eastAsia" w:ascii="宋体" w:hAnsi="宋体" w:eastAsia="宋体" w:cs="宋体"/>
          <w:i w:val="0"/>
          <w:caps w:val="0"/>
          <w:spacing w:val="0"/>
          <w:w w:val="100"/>
          <w:highlight w:val="none"/>
          <w:lang w:eastAsia="zh-CN"/>
        </w:rPr>
        <w:t>）</w:t>
      </w:r>
      <w:r>
        <w:tab/>
      </w:r>
      <w:r>
        <w:fldChar w:fldCharType="begin"/>
      </w:r>
      <w:r>
        <w:instrText xml:space="preserve"> PAGEREF _Toc16019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_Toc20543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四   投标文件的递交</w:t>
      </w:r>
      <w:r>
        <w:tab/>
      </w:r>
      <w:r>
        <w:fldChar w:fldCharType="begin"/>
      </w:r>
      <w:r>
        <w:instrText xml:space="preserve"> PAGEREF _Toc20543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_Toc31839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五   开标及评标</w:t>
      </w:r>
      <w:r>
        <w:tab/>
      </w:r>
      <w:r>
        <w:fldChar w:fldCharType="begin"/>
      </w:r>
      <w:r>
        <w:instrText xml:space="preserve"> PAGEREF _Toc31839 \h </w:instrText>
      </w:r>
      <w:r>
        <w:fldChar w:fldCharType="separate"/>
      </w:r>
      <w:r>
        <w:t>10</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_Toc30406 </w:instrText>
      </w:r>
      <w:r>
        <w:rPr>
          <w:rFonts w:hint="eastAsia" w:ascii="宋体" w:hAnsi="宋体" w:eastAsia="宋体" w:cs="宋体"/>
          <w:kern w:val="2"/>
          <w:szCs w:val="24"/>
          <w:highlight w:val="none"/>
        </w:rPr>
        <w:fldChar w:fldCharType="separate"/>
      </w:r>
      <w:r>
        <w:rPr>
          <w:rFonts w:hint="eastAsia" w:ascii="宋体" w:hAnsi="宋体" w:eastAsia="宋体" w:cs="宋体"/>
        </w:rPr>
        <w:t xml:space="preserve">18. </w:t>
      </w:r>
      <w:r>
        <w:rPr>
          <w:rFonts w:hint="eastAsia" w:ascii="宋体" w:hAnsi="宋体" w:eastAsia="宋体" w:cs="宋体"/>
          <w:highlight w:val="none"/>
        </w:rPr>
        <w:t>开标</w:t>
      </w:r>
      <w:r>
        <w:tab/>
      </w:r>
      <w:r>
        <w:fldChar w:fldCharType="begin"/>
      </w:r>
      <w:r>
        <w:instrText xml:space="preserve"> PAGEREF _Toc30406 \h </w:instrText>
      </w:r>
      <w:r>
        <w:fldChar w:fldCharType="separate"/>
      </w:r>
      <w:r>
        <w:t>10</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_Toc25772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19.资格审查及组建评标委员会</w:t>
      </w:r>
      <w:r>
        <w:tab/>
      </w:r>
      <w:r>
        <w:fldChar w:fldCharType="begin"/>
      </w:r>
      <w:r>
        <w:instrText xml:space="preserve"> PAGEREF _Toc25772 \h </w:instrText>
      </w:r>
      <w:r>
        <w:fldChar w:fldCharType="separate"/>
      </w:r>
      <w:r>
        <w:t>10</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_Toc14173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20.投标文件符合性审查与澄清</w:t>
      </w:r>
      <w:r>
        <w:tab/>
      </w:r>
      <w:r>
        <w:fldChar w:fldCharType="begin"/>
      </w:r>
      <w:r>
        <w:instrText xml:space="preserve"> PAGEREF _Toc14173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_Toc3852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21.投标偏离</w:t>
      </w:r>
      <w:r>
        <w:tab/>
      </w:r>
      <w:r>
        <w:fldChar w:fldCharType="begin"/>
      </w:r>
      <w:r>
        <w:instrText xml:space="preserve"> PAGEREF _Toc3852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_Toc27111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22.投标无效</w:t>
      </w:r>
      <w:r>
        <w:tab/>
      </w:r>
      <w:r>
        <w:fldChar w:fldCharType="begin"/>
      </w:r>
      <w:r>
        <w:instrText xml:space="preserve"> PAGEREF _Toc27111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23.比较与评价</w:t>
      </w:r>
      <w:r>
        <w:tab/>
      </w:r>
      <w:r>
        <w:fldChar w:fldCharType="begin"/>
      </w:r>
      <w:r>
        <w:instrText xml:space="preserve"> PAGEREF _Toc14 \h </w:instrText>
      </w:r>
      <w:r>
        <w:fldChar w:fldCharType="separate"/>
      </w:r>
      <w:r>
        <w:t>14</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_Toc9252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24.废标</w:t>
      </w:r>
      <w:r>
        <w:tab/>
      </w:r>
      <w:r>
        <w:fldChar w:fldCharType="begin"/>
      </w:r>
      <w:r>
        <w:instrText xml:space="preserve"> PAGEREF _Toc9252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_Toc13362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25.保密原则</w:t>
      </w:r>
      <w:r>
        <w:tab/>
      </w:r>
      <w:r>
        <w:fldChar w:fldCharType="begin"/>
      </w:r>
      <w:r>
        <w:instrText xml:space="preserve"> PAGEREF _Toc13362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_Toc16204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六   确定中标</w:t>
      </w:r>
      <w:r>
        <w:tab/>
      </w:r>
      <w:r>
        <w:fldChar w:fldCharType="begin"/>
      </w:r>
      <w:r>
        <w:instrText xml:space="preserve"> PAGEREF _Toc16204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_Toc7071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26.中标候选人的确定原则及标准</w:t>
      </w:r>
      <w:r>
        <w:tab/>
      </w:r>
      <w:r>
        <w:fldChar w:fldCharType="begin"/>
      </w:r>
      <w:r>
        <w:instrText xml:space="preserve"> PAGEREF _Toc7071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_Toc16243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27.确定</w:t>
      </w:r>
      <w:r>
        <w:rPr>
          <w:rFonts w:hint="eastAsia" w:ascii="宋体" w:hAnsi="宋体" w:eastAsia="宋体" w:cs="宋体"/>
          <w:highlight w:val="none"/>
          <w:lang w:val="en-US" w:eastAsia="zh-CN"/>
        </w:rPr>
        <w:t>中标</w:t>
      </w:r>
      <w:r>
        <w:rPr>
          <w:rFonts w:hint="eastAsia" w:ascii="宋体" w:hAnsi="宋体" w:eastAsia="宋体" w:cs="宋体"/>
          <w:highlight w:val="none"/>
        </w:rPr>
        <w:t>候选人和</w:t>
      </w:r>
      <w:r>
        <w:rPr>
          <w:rFonts w:hint="eastAsia" w:ascii="宋体" w:hAnsi="宋体" w:eastAsia="宋体" w:cs="宋体"/>
          <w:highlight w:val="none"/>
          <w:lang w:val="en-US" w:eastAsia="zh-CN"/>
        </w:rPr>
        <w:t>中标人</w:t>
      </w:r>
      <w:r>
        <w:tab/>
      </w:r>
      <w:r>
        <w:fldChar w:fldCharType="begin"/>
      </w:r>
      <w:r>
        <w:instrText xml:space="preserve"> PAGEREF _Toc16243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_Toc21630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27.确定中标候选人和中标人</w:t>
      </w:r>
      <w:r>
        <w:tab/>
      </w:r>
      <w:r>
        <w:fldChar w:fldCharType="begin"/>
      </w:r>
      <w:r>
        <w:instrText xml:space="preserve"> PAGEREF _Toc21630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_Toc21241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28.采购任务取消</w:t>
      </w:r>
      <w:r>
        <w:tab/>
      </w:r>
      <w:r>
        <w:fldChar w:fldCharType="begin"/>
      </w:r>
      <w:r>
        <w:instrText xml:space="preserve"> PAGEREF _Toc21241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_Toc8479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29.中标通知书和招标结果通知书</w:t>
      </w:r>
      <w:r>
        <w:tab/>
      </w:r>
      <w:r>
        <w:fldChar w:fldCharType="begin"/>
      </w:r>
      <w:r>
        <w:instrText xml:space="preserve"> PAGEREF _Toc8479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_Toc4761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30.签订合同</w:t>
      </w:r>
      <w:r>
        <w:tab/>
      </w:r>
      <w:r>
        <w:fldChar w:fldCharType="begin"/>
      </w:r>
      <w:r>
        <w:instrText xml:space="preserve"> PAGEREF _Toc4761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_Toc16469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31.履约保证金</w:t>
      </w:r>
      <w:r>
        <w:tab/>
      </w:r>
      <w:r>
        <w:fldChar w:fldCharType="begin"/>
      </w:r>
      <w:r>
        <w:instrText xml:space="preserve"> PAGEREF _Toc16469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_Toc11989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32.中标服务费</w:t>
      </w:r>
      <w:r>
        <w:tab/>
      </w:r>
      <w:r>
        <w:fldChar w:fldCharType="begin"/>
      </w:r>
      <w:r>
        <w:instrText xml:space="preserve"> PAGEREF _Toc11989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_Toc16814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33.政府采购信用担保</w:t>
      </w:r>
      <w:r>
        <w:tab/>
      </w:r>
      <w:r>
        <w:fldChar w:fldCharType="begin"/>
      </w:r>
      <w:r>
        <w:instrText xml:space="preserve"> PAGEREF _Toc16814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_Toc24009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34.廉洁自律规定</w:t>
      </w:r>
      <w:r>
        <w:tab/>
      </w:r>
      <w:r>
        <w:fldChar w:fldCharType="begin"/>
      </w:r>
      <w:r>
        <w:instrText xml:space="preserve"> PAGEREF _Toc24009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_Toc31859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35.人员回避</w:t>
      </w:r>
      <w:r>
        <w:tab/>
      </w:r>
      <w:r>
        <w:fldChar w:fldCharType="begin"/>
      </w:r>
      <w:r>
        <w:instrText xml:space="preserve"> PAGEREF _Toc31859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_Toc13496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36.质疑与接收</w:t>
      </w:r>
      <w:r>
        <w:tab/>
      </w:r>
      <w:r>
        <w:fldChar w:fldCharType="begin"/>
      </w:r>
      <w:r>
        <w:instrText xml:space="preserve"> PAGEREF _Toc13496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_Toc18319 </w:instrText>
      </w:r>
      <w:r>
        <w:rPr>
          <w:rFonts w:hint="eastAsia" w:ascii="宋体" w:hAnsi="宋体" w:eastAsia="宋体" w:cs="宋体"/>
          <w:kern w:val="2"/>
          <w:szCs w:val="24"/>
          <w:highlight w:val="none"/>
        </w:rPr>
        <w:fldChar w:fldCharType="separate"/>
      </w:r>
      <w:r>
        <w:rPr>
          <w:rFonts w:hint="eastAsia" w:ascii="宋体" w:hAnsi="宋体" w:eastAsia="宋体" w:cs="宋体"/>
          <w:bCs/>
          <w:highlight w:val="none"/>
        </w:rPr>
        <w:t>质疑函范本</w:t>
      </w:r>
      <w:r>
        <w:tab/>
      </w:r>
      <w:r>
        <w:fldChar w:fldCharType="begin"/>
      </w:r>
      <w:r>
        <w:instrText xml:space="preserve"> PAGEREF _Toc18319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_Toc13000 </w:instrText>
      </w:r>
      <w:r>
        <w:rPr>
          <w:rFonts w:hint="eastAsia" w:ascii="宋体" w:hAnsi="宋体" w:eastAsia="宋体" w:cs="宋体"/>
          <w:kern w:val="2"/>
          <w:szCs w:val="24"/>
          <w:highlight w:val="none"/>
        </w:rPr>
        <w:fldChar w:fldCharType="separate"/>
      </w:r>
      <w:r>
        <w:rPr>
          <w:rFonts w:hint="eastAsia" w:ascii="宋体" w:hAnsi="宋体" w:eastAsia="宋体" w:cs="宋体"/>
          <w:szCs w:val="32"/>
          <w:highlight w:val="none"/>
        </w:rPr>
        <w:t>第2章   投标文件格式</w:t>
      </w:r>
      <w:r>
        <w:tab/>
      </w:r>
      <w:r>
        <w:fldChar w:fldCharType="begin"/>
      </w:r>
      <w:r>
        <w:instrText xml:space="preserve"> PAGEREF _Toc13000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_Toc16850 </w:instrText>
      </w:r>
      <w:r>
        <w:rPr>
          <w:rFonts w:hint="eastAsia" w:ascii="宋体" w:hAnsi="宋体" w:eastAsia="宋体" w:cs="宋体"/>
          <w:kern w:val="2"/>
          <w:szCs w:val="24"/>
          <w:highlight w:val="none"/>
        </w:rPr>
        <w:fldChar w:fldCharType="separate"/>
      </w:r>
      <w:r>
        <w:rPr>
          <w:rFonts w:hint="eastAsia" w:ascii="宋体" w:hAnsi="宋体" w:eastAsia="宋体" w:cs="宋体"/>
          <w:szCs w:val="28"/>
          <w:highlight w:val="none"/>
        </w:rPr>
        <w:t>第一部分 开标一览表及资格证明文件</w:t>
      </w:r>
      <w:r>
        <w:tab/>
      </w:r>
      <w:r>
        <w:fldChar w:fldCharType="begin"/>
      </w:r>
      <w:r>
        <w:instrText xml:space="preserve"> PAGEREF _Toc16850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_Toc11973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1、开标一览表</w:t>
      </w:r>
      <w:r>
        <w:tab/>
      </w:r>
      <w:r>
        <w:fldChar w:fldCharType="begin"/>
      </w:r>
      <w:r>
        <w:instrText xml:space="preserve"> PAGEREF _Toc11973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_Toc13611 </w:instrText>
      </w:r>
      <w:r>
        <w:rPr>
          <w:rFonts w:hint="eastAsia" w:ascii="宋体" w:hAnsi="宋体" w:eastAsia="宋体" w:cs="宋体"/>
          <w:kern w:val="2"/>
          <w:szCs w:val="24"/>
          <w:highlight w:val="none"/>
        </w:rPr>
        <w:fldChar w:fldCharType="separate"/>
      </w:r>
      <w:r>
        <w:rPr>
          <w:rFonts w:hint="eastAsia" w:ascii="宋体" w:hAnsi="宋体" w:eastAsia="宋体" w:cs="宋体"/>
        </w:rPr>
        <w:t xml:space="preserve">2、 </w:t>
      </w:r>
      <w:r>
        <w:rPr>
          <w:rFonts w:hint="eastAsia" w:ascii="宋体" w:hAnsi="宋体" w:eastAsia="宋体" w:cs="宋体"/>
          <w:highlight w:val="none"/>
          <w:lang w:eastAsia="zh-CN"/>
        </w:rPr>
        <w:t>具有独立法人资格（三证合一的营业执照）</w:t>
      </w:r>
      <w:r>
        <w:tab/>
      </w:r>
      <w:r>
        <w:fldChar w:fldCharType="begin"/>
      </w:r>
      <w:r>
        <w:instrText xml:space="preserve"> PAGEREF _Toc13611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_Toc10217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w:t>
      </w:r>
      <w:r>
        <w:rPr>
          <w:rFonts w:hint="eastAsia" w:ascii="宋体" w:hAnsi="宋体" w:eastAsia="宋体" w:cs="宋体"/>
          <w:szCs w:val="20"/>
          <w:highlight w:val="none"/>
        </w:rPr>
        <w:t>、</w:t>
      </w:r>
      <w:r>
        <w:rPr>
          <w:rFonts w:hint="eastAsia" w:ascii="宋体" w:hAnsi="宋体" w:eastAsia="宋体" w:cs="宋体"/>
          <w:szCs w:val="20"/>
          <w:highlight w:val="none"/>
          <w:lang w:eastAsia="zh-CN"/>
        </w:rPr>
        <w:t>法定代表人（负责人）资格证明书及授权书、被授权人身份证；(法定代表人投标需提供法定代表人身份证及法定代表人代表资格证明书)</w:t>
      </w:r>
      <w:r>
        <w:tab/>
      </w:r>
      <w:r>
        <w:fldChar w:fldCharType="begin"/>
      </w:r>
      <w:r>
        <w:instrText xml:space="preserve"> PAGEREF _Toc10217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_Toc13517 </w:instrText>
      </w:r>
      <w:r>
        <w:rPr>
          <w:rFonts w:hint="eastAsia" w:ascii="宋体" w:hAnsi="宋体" w:eastAsia="宋体" w:cs="宋体"/>
          <w:kern w:val="2"/>
          <w:szCs w:val="24"/>
          <w:highlight w:val="none"/>
        </w:rPr>
        <w:fldChar w:fldCharType="separate"/>
      </w:r>
      <w:r>
        <w:rPr>
          <w:rFonts w:hint="eastAsia" w:ascii="宋体" w:hAnsi="宋体" w:eastAsia="宋体" w:cs="宋体"/>
          <w:kern w:val="0"/>
          <w:szCs w:val="20"/>
          <w:highlight w:val="none"/>
        </w:rPr>
        <w:t>4、</w:t>
      </w:r>
      <w:r>
        <w:rPr>
          <w:rFonts w:hint="eastAsia" w:ascii="宋体" w:hAnsi="宋体" w:eastAsia="宋体" w:cs="宋体"/>
          <w:kern w:val="0"/>
          <w:szCs w:val="20"/>
          <w:highlight w:val="none"/>
          <w:lang w:eastAsia="zh-CN"/>
        </w:rPr>
        <w:t>提供2020年或2021年经审计的财务审计报告（2022年成立的新公司出具近3个月任意一个月的银行资信证明）</w:t>
      </w:r>
      <w:r>
        <w:rPr>
          <w:rFonts w:hint="eastAsia" w:ascii="宋体" w:hAnsi="宋体" w:eastAsia="宋体" w:cs="宋体"/>
          <w:kern w:val="0"/>
          <w:szCs w:val="20"/>
          <w:highlight w:val="none"/>
        </w:rPr>
        <w:t>；</w:t>
      </w:r>
      <w:r>
        <w:tab/>
      </w:r>
      <w:r>
        <w:fldChar w:fldCharType="begin"/>
      </w:r>
      <w:r>
        <w:instrText xml:space="preserve"> PAGEREF _Toc13517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_Toc14842 </w:instrText>
      </w:r>
      <w:r>
        <w:rPr>
          <w:rFonts w:hint="eastAsia" w:ascii="宋体" w:hAnsi="宋体" w:eastAsia="宋体" w:cs="宋体"/>
          <w:kern w:val="2"/>
          <w:szCs w:val="24"/>
          <w:highlight w:val="none"/>
        </w:rPr>
        <w:fldChar w:fldCharType="separate"/>
      </w:r>
      <w:r>
        <w:rPr>
          <w:rFonts w:hint="eastAsia" w:ascii="宋体" w:hAnsi="宋体" w:eastAsia="宋体" w:cs="宋体"/>
          <w:kern w:val="0"/>
          <w:szCs w:val="20"/>
          <w:highlight w:val="none"/>
        </w:rPr>
        <w:t>5、</w:t>
      </w:r>
      <w:r>
        <w:rPr>
          <w:rFonts w:hint="eastAsia" w:ascii="宋体" w:hAnsi="宋体" w:eastAsia="宋体" w:cs="宋体"/>
          <w:kern w:val="0"/>
          <w:szCs w:val="20"/>
          <w:highlight w:val="none"/>
          <w:lang w:eastAsia="zh-CN"/>
        </w:rPr>
        <w:t>依法缴纳最近连续六个月的社会保险的凭据（授权人和单位员工缴纳明细凭据）</w:t>
      </w:r>
      <w:r>
        <w:rPr>
          <w:rFonts w:hint="eastAsia" w:ascii="宋体" w:hAnsi="宋体" w:eastAsia="宋体" w:cs="宋体"/>
          <w:kern w:val="0"/>
          <w:szCs w:val="20"/>
          <w:highlight w:val="none"/>
        </w:rPr>
        <w:t>；</w:t>
      </w:r>
      <w:r>
        <w:tab/>
      </w:r>
      <w:r>
        <w:fldChar w:fldCharType="begin"/>
      </w:r>
      <w:r>
        <w:instrText xml:space="preserve"> PAGEREF _Toc14842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_Toc21849 </w:instrText>
      </w:r>
      <w:r>
        <w:rPr>
          <w:rFonts w:hint="eastAsia" w:ascii="宋体" w:hAnsi="宋体" w:eastAsia="宋体" w:cs="宋体"/>
          <w:kern w:val="2"/>
          <w:szCs w:val="24"/>
          <w:highlight w:val="none"/>
        </w:rPr>
        <w:fldChar w:fldCharType="separate"/>
      </w:r>
      <w:r>
        <w:rPr>
          <w:rFonts w:hint="eastAsia" w:ascii="宋体" w:hAnsi="宋体" w:eastAsia="宋体" w:cs="宋体"/>
          <w:kern w:val="0"/>
          <w:highlight w:val="none"/>
        </w:rPr>
        <w:t>6、</w:t>
      </w:r>
      <w:r>
        <w:rPr>
          <w:rFonts w:hint="eastAsia" w:ascii="宋体" w:hAnsi="宋体" w:eastAsia="宋体" w:cs="宋体"/>
          <w:kern w:val="0"/>
          <w:highlight w:val="none"/>
          <w:lang w:eastAsia="zh-CN"/>
        </w:rPr>
        <w:t>提供税务部门出具的最近连续六个月的完税证明</w:t>
      </w:r>
      <w:r>
        <w:rPr>
          <w:rFonts w:hint="eastAsia" w:ascii="宋体" w:hAnsi="宋体" w:eastAsia="宋体" w:cs="宋体"/>
          <w:kern w:val="0"/>
          <w:highlight w:val="none"/>
        </w:rPr>
        <w:t>；</w:t>
      </w:r>
      <w:r>
        <w:tab/>
      </w:r>
      <w:r>
        <w:fldChar w:fldCharType="begin"/>
      </w:r>
      <w:r>
        <w:instrText xml:space="preserve"> PAGEREF _Toc21849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_Toc14139 </w:instrText>
      </w:r>
      <w:r>
        <w:rPr>
          <w:rFonts w:hint="eastAsia" w:ascii="宋体" w:hAnsi="宋体" w:eastAsia="宋体" w:cs="宋体"/>
          <w:kern w:val="2"/>
          <w:szCs w:val="24"/>
          <w:highlight w:val="none"/>
        </w:rPr>
        <w:fldChar w:fldCharType="separate"/>
      </w:r>
      <w:r>
        <w:rPr>
          <w:rFonts w:hint="eastAsia" w:ascii="宋体" w:hAnsi="宋体" w:eastAsia="宋体" w:cs="宋体"/>
          <w:kern w:val="0"/>
          <w:highlight w:val="none"/>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eastAsia="宋体" w:cs="宋体"/>
          <w:kern w:val="0"/>
          <w:highlight w:val="none"/>
          <w:lang w:eastAsia="zh-CN"/>
        </w:rPr>
        <w:t>信用服务-重点领域严重失信主体名单查询-搜索栏输入单位全称-截图</w:t>
      </w:r>
      <w:r>
        <w:rPr>
          <w:rFonts w:hint="eastAsia" w:ascii="宋体" w:hAnsi="宋体" w:eastAsia="宋体" w:cs="宋体"/>
          <w:kern w:val="0"/>
          <w:highlight w:val="none"/>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r>
        <w:tab/>
      </w:r>
      <w:r>
        <w:fldChar w:fldCharType="begin"/>
      </w:r>
      <w:r>
        <w:instrText xml:space="preserve"> PAGEREF _Toc14139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_Toc6021 </w:instrText>
      </w:r>
      <w:r>
        <w:rPr>
          <w:rFonts w:hint="eastAsia" w:ascii="宋体" w:hAnsi="宋体" w:eastAsia="宋体" w:cs="宋体"/>
          <w:kern w:val="2"/>
          <w:szCs w:val="24"/>
          <w:highlight w:val="none"/>
        </w:rPr>
        <w:fldChar w:fldCharType="separate"/>
      </w:r>
      <w:r>
        <w:rPr>
          <w:rFonts w:hint="eastAsia" w:ascii="宋体" w:hAnsi="宋体" w:eastAsia="宋体" w:cs="宋体"/>
          <w:kern w:val="0"/>
          <w:highlight w:val="none"/>
        </w:rPr>
        <w:t>8、参与政府采购活动前3年内未被列入失信、重大税收违法案件、财政部门禁止参加政府采购活动的承诺书；</w:t>
      </w:r>
      <w:r>
        <w:tab/>
      </w:r>
      <w:r>
        <w:fldChar w:fldCharType="begin"/>
      </w:r>
      <w:r>
        <w:instrText xml:space="preserve"> PAGEREF _Toc6021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_Toc16133 </w:instrText>
      </w:r>
      <w:r>
        <w:rPr>
          <w:rFonts w:hint="eastAsia" w:ascii="宋体" w:hAnsi="宋体" w:eastAsia="宋体" w:cs="宋体"/>
          <w:kern w:val="2"/>
          <w:szCs w:val="24"/>
          <w:highlight w:val="none"/>
        </w:rPr>
        <w:fldChar w:fldCharType="separate"/>
      </w:r>
      <w:r>
        <w:rPr>
          <w:rFonts w:hint="eastAsia" w:ascii="宋体" w:hAnsi="宋体" w:eastAsia="宋体" w:cs="宋体"/>
          <w:kern w:val="0"/>
          <w:highlight w:val="none"/>
        </w:rPr>
        <w:t>9、提供针对本次项目《反商业贿赂承诺书》；</w:t>
      </w:r>
      <w:r>
        <w:tab/>
      </w:r>
      <w:r>
        <w:fldChar w:fldCharType="begin"/>
      </w:r>
      <w:r>
        <w:instrText xml:space="preserve"> PAGEREF _Toc16133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_Toc8412 </w:instrText>
      </w:r>
      <w:r>
        <w:rPr>
          <w:rFonts w:hint="eastAsia" w:ascii="宋体" w:hAnsi="宋体" w:eastAsia="宋体" w:cs="宋体"/>
          <w:kern w:val="2"/>
          <w:szCs w:val="24"/>
          <w:highlight w:val="none"/>
        </w:rPr>
        <w:fldChar w:fldCharType="separate"/>
      </w:r>
      <w:r>
        <w:rPr>
          <w:rFonts w:hint="eastAsia" w:ascii="宋体" w:hAnsi="宋体" w:eastAsia="宋体" w:cs="宋体"/>
          <w:kern w:val="0"/>
          <w:szCs w:val="20"/>
          <w:highlight w:val="none"/>
          <w:lang w:val="en-US" w:eastAsia="zh-CN" w:bidi="ar-SA"/>
        </w:rPr>
        <w:t>10、缴纳投标保证金有效凭证；</w:t>
      </w:r>
      <w:r>
        <w:tab/>
      </w:r>
      <w:r>
        <w:fldChar w:fldCharType="begin"/>
      </w:r>
      <w:r>
        <w:instrText xml:space="preserve"> PAGEREF _Toc8412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_Toc7681 </w:instrText>
      </w:r>
      <w:r>
        <w:rPr>
          <w:rFonts w:hint="eastAsia" w:ascii="宋体" w:hAnsi="宋体" w:eastAsia="宋体" w:cs="宋体"/>
          <w:kern w:val="2"/>
          <w:szCs w:val="24"/>
          <w:highlight w:val="none"/>
        </w:rPr>
        <w:fldChar w:fldCharType="separate"/>
      </w:r>
      <w:r>
        <w:rPr>
          <w:rFonts w:hint="eastAsia" w:ascii="宋体" w:hAnsi="宋体" w:eastAsia="宋体" w:cs="宋体"/>
          <w:bCs/>
          <w:highlight w:val="none"/>
        </w:rPr>
        <w:t>11、</w:t>
      </w:r>
      <w:r>
        <w:rPr>
          <w:rFonts w:hint="eastAsia" w:ascii="宋体" w:hAnsi="宋体" w:eastAsia="宋体" w:cs="宋体"/>
          <w:kern w:val="0"/>
          <w:highlight w:val="none"/>
        </w:rPr>
        <w:t>银行开户许可证复印件或银行基本账户信息(包含：银行账号及开户行名称）</w:t>
      </w:r>
      <w:r>
        <w:tab/>
      </w:r>
      <w:r>
        <w:fldChar w:fldCharType="begin"/>
      </w:r>
      <w:r>
        <w:instrText xml:space="preserve"> PAGEREF _Toc7681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_Toc31620 </w:instrText>
      </w:r>
      <w:r>
        <w:rPr>
          <w:rFonts w:hint="eastAsia" w:ascii="宋体" w:hAnsi="宋体" w:eastAsia="宋体" w:cs="宋体"/>
          <w:kern w:val="2"/>
          <w:szCs w:val="24"/>
          <w:highlight w:val="none"/>
        </w:rPr>
        <w:fldChar w:fldCharType="separate"/>
      </w:r>
      <w:r>
        <w:rPr>
          <w:rFonts w:hint="eastAsia" w:ascii="宋体" w:hAnsi="宋体" w:eastAsia="宋体" w:cs="宋体"/>
          <w:bCs/>
          <w:highlight w:val="none"/>
        </w:rPr>
        <w:t>12、供应商可提供有利于投标的其他资格证明材料。</w:t>
      </w:r>
      <w:r>
        <w:rPr>
          <w:rFonts w:hint="eastAsia" w:ascii="宋体" w:hAnsi="宋体" w:eastAsia="宋体" w:cs="宋体"/>
          <w:bCs/>
          <w:kern w:val="0"/>
          <w:szCs w:val="20"/>
          <w:highlight w:val="none"/>
        </w:rPr>
        <w:t>（具体要求详见项目要求和</w:t>
      </w:r>
      <w:r>
        <w:rPr>
          <w:rFonts w:hint="eastAsia" w:ascii="宋体" w:hAnsi="宋体" w:eastAsia="宋体" w:cs="宋体"/>
          <w:bCs/>
          <w:highlight w:val="none"/>
        </w:rPr>
        <w:t>综合评分表中的商务部分）</w:t>
      </w:r>
      <w:r>
        <w:tab/>
      </w:r>
      <w:r>
        <w:fldChar w:fldCharType="begin"/>
      </w:r>
      <w:r>
        <w:instrText xml:space="preserve"> PAGEREF _Toc31620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_Toc27993 </w:instrText>
      </w:r>
      <w:r>
        <w:rPr>
          <w:rFonts w:hint="eastAsia" w:ascii="宋体" w:hAnsi="宋体" w:eastAsia="宋体" w:cs="宋体"/>
          <w:kern w:val="2"/>
          <w:szCs w:val="24"/>
          <w:highlight w:val="none"/>
        </w:rPr>
        <w:fldChar w:fldCharType="separate"/>
      </w:r>
      <w:r>
        <w:rPr>
          <w:rFonts w:hint="eastAsia" w:ascii="宋体" w:hAnsi="宋体" w:eastAsia="宋体" w:cs="宋体"/>
          <w:szCs w:val="24"/>
          <w:highlight w:val="none"/>
        </w:rPr>
        <w:t>第二部分  商务及技术文件</w:t>
      </w:r>
      <w:r>
        <w:tab/>
      </w:r>
      <w:r>
        <w:fldChar w:fldCharType="begin"/>
      </w:r>
      <w:r>
        <w:instrText xml:space="preserve"> PAGEREF _Toc27993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_Toc7469 </w:instrText>
      </w:r>
      <w:r>
        <w:rPr>
          <w:rFonts w:hint="eastAsia" w:ascii="宋体" w:hAnsi="宋体" w:eastAsia="宋体" w:cs="宋体"/>
          <w:kern w:val="2"/>
          <w:szCs w:val="24"/>
          <w:highlight w:val="none"/>
        </w:rPr>
        <w:fldChar w:fldCharType="separate"/>
      </w:r>
      <w:r>
        <w:rPr>
          <w:rFonts w:hint="eastAsia" w:ascii="宋体" w:hAnsi="宋体" w:eastAsia="宋体" w:cs="宋体"/>
          <w:bCs/>
          <w:szCs w:val="24"/>
          <w:highlight w:val="none"/>
        </w:rPr>
        <w:t>1、投标书</w:t>
      </w:r>
      <w:r>
        <w:tab/>
      </w:r>
      <w:r>
        <w:fldChar w:fldCharType="begin"/>
      </w:r>
      <w:r>
        <w:instrText xml:space="preserve"> PAGEREF _Toc7469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_Toc20578 </w:instrText>
      </w:r>
      <w:r>
        <w:rPr>
          <w:rFonts w:hint="eastAsia" w:ascii="宋体" w:hAnsi="宋体" w:eastAsia="宋体" w:cs="宋体"/>
          <w:kern w:val="2"/>
          <w:szCs w:val="24"/>
          <w:highlight w:val="none"/>
        </w:rPr>
        <w:fldChar w:fldCharType="separate"/>
      </w:r>
      <w:r>
        <w:rPr>
          <w:rFonts w:hint="eastAsia" w:ascii="宋体" w:hAnsi="宋体" w:eastAsia="宋体" w:cs="宋体"/>
          <w:bCs/>
          <w:szCs w:val="28"/>
          <w:highlight w:val="none"/>
        </w:rPr>
        <w:t>2、投标分项报价表（一）</w:t>
      </w:r>
      <w:r>
        <w:tab/>
      </w:r>
      <w:r>
        <w:fldChar w:fldCharType="begin"/>
      </w:r>
      <w:r>
        <w:instrText xml:space="preserve"> PAGEREF _Toc20578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_Toc13984 </w:instrText>
      </w:r>
      <w:r>
        <w:rPr>
          <w:rFonts w:hint="eastAsia" w:ascii="宋体" w:hAnsi="宋体" w:eastAsia="宋体" w:cs="宋体"/>
          <w:kern w:val="2"/>
          <w:szCs w:val="24"/>
          <w:highlight w:val="none"/>
        </w:rPr>
        <w:fldChar w:fldCharType="separate"/>
      </w:r>
      <w:r>
        <w:rPr>
          <w:rFonts w:hint="eastAsia" w:ascii="宋体" w:hAnsi="宋体" w:eastAsia="宋体" w:cs="宋体"/>
          <w:bCs/>
          <w:kern w:val="0"/>
          <w:highlight w:val="none"/>
        </w:rPr>
        <w:t>备品备件设备分项报价表（二）</w:t>
      </w:r>
      <w:r>
        <w:tab/>
      </w:r>
      <w:r>
        <w:fldChar w:fldCharType="begin"/>
      </w:r>
      <w:r>
        <w:instrText xml:space="preserve"> PAGEREF _Toc13984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_Toc27778 </w:instrText>
      </w:r>
      <w:r>
        <w:rPr>
          <w:rFonts w:hint="eastAsia" w:ascii="宋体" w:hAnsi="宋体" w:eastAsia="宋体" w:cs="宋体"/>
          <w:kern w:val="2"/>
          <w:szCs w:val="24"/>
          <w:highlight w:val="none"/>
        </w:rPr>
        <w:fldChar w:fldCharType="separate"/>
      </w:r>
      <w:r>
        <w:rPr>
          <w:rFonts w:hint="eastAsia" w:ascii="宋体" w:hAnsi="宋体" w:eastAsia="宋体" w:cs="宋体"/>
          <w:bCs/>
          <w:szCs w:val="28"/>
          <w:highlight w:val="none"/>
        </w:rPr>
        <w:t>3、服务说明一览表</w:t>
      </w:r>
      <w:r>
        <w:tab/>
      </w:r>
      <w:r>
        <w:fldChar w:fldCharType="begin"/>
      </w:r>
      <w:r>
        <w:instrText xml:space="preserve"> PAGEREF _Toc27778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_Toc6268 </w:instrText>
      </w:r>
      <w:r>
        <w:rPr>
          <w:rFonts w:hint="eastAsia" w:ascii="宋体" w:hAnsi="宋体" w:eastAsia="宋体" w:cs="宋体"/>
          <w:kern w:val="2"/>
          <w:szCs w:val="24"/>
          <w:highlight w:val="none"/>
        </w:rPr>
        <w:fldChar w:fldCharType="separate"/>
      </w:r>
      <w:r>
        <w:rPr>
          <w:rFonts w:hint="eastAsia" w:ascii="宋体" w:hAnsi="宋体" w:eastAsia="宋体" w:cs="宋体"/>
          <w:bCs/>
          <w:szCs w:val="28"/>
          <w:highlight w:val="none"/>
        </w:rPr>
        <w:t>4、服务规格偏离表</w:t>
      </w:r>
      <w:r>
        <w:tab/>
      </w:r>
      <w:r>
        <w:fldChar w:fldCharType="begin"/>
      </w:r>
      <w:r>
        <w:instrText xml:space="preserve"> PAGEREF _Toc6268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_Toc21858 </w:instrText>
      </w:r>
      <w:r>
        <w:rPr>
          <w:rFonts w:hint="eastAsia" w:ascii="宋体" w:hAnsi="宋体" w:eastAsia="宋体" w:cs="宋体"/>
          <w:kern w:val="2"/>
          <w:szCs w:val="24"/>
          <w:highlight w:val="none"/>
        </w:rPr>
        <w:fldChar w:fldCharType="separate"/>
      </w:r>
      <w:r>
        <w:rPr>
          <w:rFonts w:hint="eastAsia" w:ascii="宋体" w:hAnsi="宋体" w:eastAsia="宋体" w:cs="宋体"/>
          <w:szCs w:val="28"/>
          <w:highlight w:val="none"/>
        </w:rPr>
        <w:t>5、商务条款偏离表</w:t>
      </w:r>
      <w:r>
        <w:tab/>
      </w:r>
      <w:r>
        <w:fldChar w:fldCharType="begin"/>
      </w:r>
      <w:r>
        <w:instrText xml:space="preserve"> PAGEREF _Toc21858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_Toc7970 </w:instrText>
      </w:r>
      <w:r>
        <w:rPr>
          <w:rFonts w:hint="eastAsia" w:ascii="宋体" w:hAnsi="宋体" w:eastAsia="宋体" w:cs="宋体"/>
          <w:kern w:val="2"/>
          <w:szCs w:val="24"/>
          <w:highlight w:val="none"/>
        </w:rPr>
        <w:fldChar w:fldCharType="separate"/>
      </w:r>
      <w:r>
        <w:rPr>
          <w:rFonts w:hint="eastAsia" w:ascii="宋体" w:hAnsi="宋体" w:eastAsia="宋体" w:cs="宋体"/>
          <w:szCs w:val="24"/>
          <w:highlight w:val="none"/>
        </w:rPr>
        <w:t>6-1  中小企业声明函</w:t>
      </w:r>
      <w:r>
        <w:rPr>
          <w:rFonts w:hint="eastAsia" w:ascii="宋体" w:hAnsi="宋体" w:eastAsia="宋体" w:cs="宋体"/>
          <w:szCs w:val="24"/>
          <w:highlight w:val="none"/>
          <w:lang w:eastAsia="zh-CN"/>
        </w:rPr>
        <w:t>（服务）</w:t>
      </w:r>
      <w:r>
        <w:tab/>
      </w:r>
      <w:r>
        <w:fldChar w:fldCharType="begin"/>
      </w:r>
      <w:r>
        <w:instrText xml:space="preserve"> PAGEREF _Toc7970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_Toc14261 </w:instrText>
      </w:r>
      <w:r>
        <w:rPr>
          <w:rFonts w:hint="eastAsia" w:ascii="宋体" w:hAnsi="宋体" w:eastAsia="宋体" w:cs="宋体"/>
          <w:kern w:val="2"/>
          <w:szCs w:val="24"/>
          <w:highlight w:val="none"/>
        </w:rPr>
        <w:fldChar w:fldCharType="separate"/>
      </w:r>
      <w:r>
        <w:rPr>
          <w:rFonts w:hint="eastAsia" w:ascii="宋体" w:hAnsi="宋体" w:eastAsia="宋体" w:cs="宋体"/>
          <w:szCs w:val="24"/>
          <w:highlight w:val="none"/>
        </w:rPr>
        <w:t>6-2  残疾人福利性单位声明函</w:t>
      </w:r>
      <w:r>
        <w:tab/>
      </w:r>
      <w:r>
        <w:fldChar w:fldCharType="begin"/>
      </w:r>
      <w:r>
        <w:instrText xml:space="preserve"> PAGEREF _Toc14261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_Toc26353 </w:instrText>
      </w:r>
      <w:r>
        <w:rPr>
          <w:rFonts w:hint="eastAsia" w:ascii="宋体" w:hAnsi="宋体" w:eastAsia="宋体" w:cs="宋体"/>
          <w:kern w:val="2"/>
          <w:szCs w:val="24"/>
          <w:highlight w:val="none"/>
        </w:rPr>
        <w:fldChar w:fldCharType="separate"/>
      </w:r>
      <w:r>
        <w:rPr>
          <w:rFonts w:hint="eastAsia" w:ascii="宋体" w:hAnsi="宋体" w:eastAsia="宋体" w:cs="宋体"/>
          <w:szCs w:val="24"/>
          <w:highlight w:val="none"/>
        </w:rPr>
        <w:t>7、供应商关联单位的说明</w:t>
      </w:r>
      <w:r>
        <w:tab/>
      </w:r>
      <w:r>
        <w:fldChar w:fldCharType="begin"/>
      </w:r>
      <w:r>
        <w:instrText xml:space="preserve"> PAGEREF _Toc26353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_Toc7953 </w:instrText>
      </w:r>
      <w:r>
        <w:rPr>
          <w:rFonts w:hint="eastAsia" w:ascii="宋体" w:hAnsi="宋体" w:eastAsia="宋体" w:cs="宋体"/>
          <w:kern w:val="2"/>
          <w:szCs w:val="24"/>
          <w:highlight w:val="none"/>
        </w:rPr>
        <w:fldChar w:fldCharType="separate"/>
      </w:r>
      <w:r>
        <w:rPr>
          <w:rFonts w:hint="eastAsia" w:ascii="宋体" w:hAnsi="宋体" w:eastAsia="宋体" w:cs="宋体"/>
          <w:szCs w:val="24"/>
          <w:highlight w:val="none"/>
        </w:rPr>
        <w:t>8、供应商可提供有利于投标的其他资格证明材料</w:t>
      </w:r>
      <w:r>
        <w:tab/>
      </w:r>
      <w:r>
        <w:fldChar w:fldCharType="begin"/>
      </w:r>
      <w:r>
        <w:instrText xml:space="preserve"> PAGEREF _Toc7953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_Toc21288 </w:instrText>
      </w:r>
      <w:r>
        <w:rPr>
          <w:rFonts w:hint="eastAsia" w:ascii="宋体" w:hAnsi="宋体" w:eastAsia="宋体" w:cs="宋体"/>
          <w:kern w:val="2"/>
          <w:szCs w:val="24"/>
          <w:highlight w:val="none"/>
        </w:rPr>
        <w:fldChar w:fldCharType="separate"/>
      </w:r>
      <w:r>
        <w:rPr>
          <w:rFonts w:hint="eastAsia" w:ascii="宋体" w:hAnsi="宋体" w:eastAsia="宋体" w:cs="宋体"/>
          <w:kern w:val="0"/>
          <w:highlight w:val="none"/>
        </w:rPr>
        <w:t>9、投标文件格式范本</w:t>
      </w:r>
      <w:r>
        <w:tab/>
      </w:r>
      <w:r>
        <w:fldChar w:fldCharType="begin"/>
      </w:r>
      <w:r>
        <w:instrText xml:space="preserve"> PAGEREF _Toc21288 \h </w:instrText>
      </w:r>
      <w:r>
        <w:fldChar w:fldCharType="separate"/>
      </w:r>
      <w:r>
        <w:t>38</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_Toc22444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第3章  投标邀请</w:t>
      </w:r>
      <w:r>
        <w:tab/>
      </w:r>
      <w:r>
        <w:fldChar w:fldCharType="begin"/>
      </w:r>
      <w:r>
        <w:instrText xml:space="preserve"> PAGEREF _Toc22444 \h </w:instrText>
      </w:r>
      <w:r>
        <w:fldChar w:fldCharType="separate"/>
      </w:r>
      <w:r>
        <w:t>40</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_Toc1335 </w:instrText>
      </w:r>
      <w:r>
        <w:rPr>
          <w:rFonts w:hint="eastAsia" w:ascii="宋体" w:hAnsi="宋体" w:eastAsia="宋体" w:cs="宋体"/>
          <w:kern w:val="2"/>
          <w:szCs w:val="24"/>
          <w:highlight w:val="none"/>
        </w:rPr>
        <w:fldChar w:fldCharType="separate"/>
      </w:r>
      <w:r>
        <w:rPr>
          <w:rFonts w:hint="eastAsia" w:ascii="宋体" w:hAnsi="宋体" w:eastAsia="宋体" w:cs="宋体"/>
          <w:szCs w:val="30"/>
          <w:highlight w:val="none"/>
          <w:lang w:val="en-US" w:eastAsia="zh-CN"/>
        </w:rPr>
        <w:t>莎车县人民医院集成平台、数据中心、急救车指挥系统、数据标准机房及其他软硬件安装升级改造采购项目</w:t>
      </w:r>
      <w:r>
        <w:tab/>
      </w:r>
      <w:r>
        <w:fldChar w:fldCharType="begin"/>
      </w:r>
      <w:r>
        <w:instrText xml:space="preserve"> PAGEREF _Toc1335 \h </w:instrText>
      </w:r>
      <w:r>
        <w:fldChar w:fldCharType="separate"/>
      </w:r>
      <w:r>
        <w:t>40</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_Toc13058 </w:instrText>
      </w:r>
      <w:r>
        <w:rPr>
          <w:rFonts w:hint="eastAsia" w:ascii="宋体" w:hAnsi="宋体" w:eastAsia="宋体" w:cs="宋体"/>
          <w:kern w:val="2"/>
          <w:szCs w:val="24"/>
          <w:highlight w:val="none"/>
        </w:rPr>
        <w:fldChar w:fldCharType="separate"/>
      </w:r>
      <w:r>
        <w:rPr>
          <w:rFonts w:hint="eastAsia" w:ascii="宋体" w:hAnsi="宋体" w:eastAsia="宋体" w:cs="宋体"/>
          <w:szCs w:val="30"/>
          <w:highlight w:val="none"/>
          <w:lang w:val="en-US" w:eastAsia="zh-CN"/>
        </w:rPr>
        <w:t>公开招标</w:t>
      </w:r>
      <w:r>
        <w:rPr>
          <w:rFonts w:hint="eastAsia" w:ascii="宋体" w:hAnsi="宋体" w:eastAsia="宋体" w:cs="宋体"/>
          <w:szCs w:val="30"/>
          <w:highlight w:val="none"/>
        </w:rPr>
        <w:t>公告</w:t>
      </w:r>
      <w:r>
        <w:tab/>
      </w:r>
      <w:r>
        <w:fldChar w:fldCharType="begin"/>
      </w:r>
      <w:r>
        <w:instrText xml:space="preserve"> PAGEREF _Toc13058 \h </w:instrText>
      </w:r>
      <w:r>
        <w:fldChar w:fldCharType="separate"/>
      </w:r>
      <w:r>
        <w:t>40</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_Toc3912 </w:instrText>
      </w:r>
      <w:r>
        <w:rPr>
          <w:rFonts w:hint="eastAsia" w:ascii="宋体" w:hAnsi="宋体" w:eastAsia="宋体" w:cs="宋体"/>
          <w:kern w:val="2"/>
          <w:szCs w:val="24"/>
          <w:highlight w:val="none"/>
        </w:rPr>
        <w:fldChar w:fldCharType="separate"/>
      </w:r>
      <w:r>
        <w:rPr>
          <w:rFonts w:hint="eastAsia" w:ascii="宋体" w:hAnsi="宋体" w:eastAsia="宋体" w:cs="宋体"/>
          <w:bCs/>
          <w:szCs w:val="24"/>
          <w:highlight w:val="none"/>
        </w:rPr>
        <w:t>一、项目基本情况</w:t>
      </w:r>
      <w:r>
        <w:tab/>
      </w:r>
      <w:r>
        <w:fldChar w:fldCharType="begin"/>
      </w:r>
      <w:r>
        <w:instrText xml:space="preserve"> PAGEREF _Toc3912 \h </w:instrText>
      </w:r>
      <w:r>
        <w:fldChar w:fldCharType="separate"/>
      </w:r>
      <w:r>
        <w:t>40</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_Toc28337 </w:instrText>
      </w:r>
      <w:r>
        <w:rPr>
          <w:rFonts w:hint="eastAsia" w:ascii="宋体" w:hAnsi="宋体" w:eastAsia="宋体" w:cs="宋体"/>
          <w:kern w:val="2"/>
          <w:szCs w:val="24"/>
          <w:highlight w:val="none"/>
        </w:rPr>
        <w:fldChar w:fldCharType="separate"/>
      </w:r>
      <w:r>
        <w:rPr>
          <w:rFonts w:hint="eastAsia" w:ascii="宋体" w:hAnsi="宋体" w:eastAsia="宋体" w:cs="宋体"/>
          <w:kern w:val="0"/>
          <w:szCs w:val="24"/>
          <w:highlight w:val="none"/>
        </w:rPr>
        <w:t>二、</w:t>
      </w:r>
      <w:r>
        <w:rPr>
          <w:rFonts w:hint="eastAsia" w:ascii="宋体" w:hAnsi="宋体" w:eastAsia="宋体" w:cs="宋体"/>
          <w:kern w:val="0"/>
          <w:szCs w:val="24"/>
          <w:highlight w:val="none"/>
          <w:lang w:val="en-US" w:eastAsia="zh-CN"/>
        </w:rPr>
        <w:t>申请人</w:t>
      </w:r>
      <w:r>
        <w:rPr>
          <w:rFonts w:hint="eastAsia" w:ascii="宋体" w:hAnsi="宋体" w:eastAsia="宋体" w:cs="宋体"/>
          <w:kern w:val="0"/>
          <w:szCs w:val="24"/>
          <w:highlight w:val="none"/>
        </w:rPr>
        <w:t>的资格要求：</w:t>
      </w:r>
      <w:r>
        <w:tab/>
      </w:r>
      <w:r>
        <w:fldChar w:fldCharType="begin"/>
      </w:r>
      <w:r>
        <w:instrText xml:space="preserve"> PAGEREF _Toc28337 \h </w:instrText>
      </w:r>
      <w:r>
        <w:fldChar w:fldCharType="separate"/>
      </w:r>
      <w:r>
        <w:t>40</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_Toc17467 </w:instrText>
      </w:r>
      <w:r>
        <w:rPr>
          <w:rFonts w:hint="eastAsia" w:ascii="宋体" w:hAnsi="宋体" w:eastAsia="宋体" w:cs="宋体"/>
          <w:kern w:val="2"/>
          <w:szCs w:val="24"/>
          <w:highlight w:val="none"/>
        </w:rPr>
        <w:fldChar w:fldCharType="separate"/>
      </w:r>
      <w:r>
        <w:rPr>
          <w:rFonts w:hint="eastAsia" w:ascii="宋体" w:hAnsi="宋体" w:eastAsia="宋体" w:cs="宋体"/>
          <w:bCs/>
          <w:szCs w:val="24"/>
          <w:highlight w:val="none"/>
        </w:rPr>
        <w:t>三、获取</w:t>
      </w:r>
      <w:r>
        <w:rPr>
          <w:rFonts w:hint="eastAsia" w:ascii="宋体" w:hAnsi="宋体" w:eastAsia="宋体" w:cs="宋体"/>
          <w:bCs/>
          <w:szCs w:val="24"/>
          <w:highlight w:val="none"/>
          <w:lang w:val="en-US" w:eastAsia="zh-CN"/>
        </w:rPr>
        <w:t>招标</w:t>
      </w:r>
      <w:r>
        <w:rPr>
          <w:rFonts w:hint="eastAsia" w:ascii="宋体" w:hAnsi="宋体" w:eastAsia="宋体" w:cs="宋体"/>
          <w:bCs/>
          <w:szCs w:val="24"/>
          <w:highlight w:val="none"/>
        </w:rPr>
        <w:t>文件</w:t>
      </w:r>
      <w:r>
        <w:tab/>
      </w:r>
      <w:r>
        <w:fldChar w:fldCharType="begin"/>
      </w:r>
      <w:r>
        <w:instrText xml:space="preserve"> PAGEREF _Toc17467 \h </w:instrText>
      </w:r>
      <w:r>
        <w:fldChar w:fldCharType="separate"/>
      </w:r>
      <w:r>
        <w:t>41</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_Toc14079 </w:instrText>
      </w:r>
      <w:r>
        <w:rPr>
          <w:rFonts w:hint="eastAsia" w:ascii="宋体" w:hAnsi="宋体" w:eastAsia="宋体" w:cs="宋体"/>
          <w:kern w:val="2"/>
          <w:szCs w:val="24"/>
          <w:highlight w:val="none"/>
        </w:rPr>
        <w:fldChar w:fldCharType="separate"/>
      </w:r>
      <w:r>
        <w:rPr>
          <w:rFonts w:hint="eastAsia" w:ascii="宋体" w:hAnsi="宋体" w:eastAsia="宋体" w:cs="宋体"/>
          <w:bCs/>
          <w:kern w:val="0"/>
          <w:szCs w:val="24"/>
          <w:highlight w:val="none"/>
        </w:rPr>
        <w:t>四、提交投标文件截止时间、开标时间和地点</w:t>
      </w:r>
      <w:r>
        <w:tab/>
      </w:r>
      <w:r>
        <w:fldChar w:fldCharType="begin"/>
      </w:r>
      <w:r>
        <w:instrText xml:space="preserve"> PAGEREF _Toc14079 \h </w:instrText>
      </w:r>
      <w:r>
        <w:fldChar w:fldCharType="separate"/>
      </w:r>
      <w:r>
        <w:t>41</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_Toc22646 </w:instrText>
      </w:r>
      <w:r>
        <w:rPr>
          <w:rFonts w:hint="eastAsia" w:ascii="宋体" w:hAnsi="宋体" w:eastAsia="宋体" w:cs="宋体"/>
          <w:kern w:val="2"/>
          <w:szCs w:val="24"/>
          <w:highlight w:val="none"/>
        </w:rPr>
        <w:fldChar w:fldCharType="separate"/>
      </w:r>
      <w:r>
        <w:rPr>
          <w:rFonts w:hint="eastAsia" w:ascii="宋体" w:hAnsi="宋体" w:eastAsia="宋体" w:cs="宋体"/>
          <w:bCs/>
          <w:kern w:val="0"/>
          <w:szCs w:val="24"/>
          <w:highlight w:val="none"/>
          <w:lang w:val="en-US" w:eastAsia="zh-CN"/>
        </w:rPr>
        <w:t>五、公告期限</w:t>
      </w:r>
      <w:r>
        <w:tab/>
      </w:r>
      <w:r>
        <w:fldChar w:fldCharType="begin"/>
      </w:r>
      <w:r>
        <w:instrText xml:space="preserve"> PAGEREF _Toc22646 \h </w:instrText>
      </w:r>
      <w:r>
        <w:fldChar w:fldCharType="separate"/>
      </w:r>
      <w:r>
        <w:t>42</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_Toc19192 </w:instrText>
      </w:r>
      <w:r>
        <w:rPr>
          <w:rFonts w:hint="eastAsia" w:ascii="宋体" w:hAnsi="宋体" w:eastAsia="宋体" w:cs="宋体"/>
          <w:kern w:val="2"/>
          <w:szCs w:val="24"/>
          <w:highlight w:val="none"/>
        </w:rPr>
        <w:fldChar w:fldCharType="separate"/>
      </w:r>
      <w:r>
        <w:rPr>
          <w:rFonts w:hint="eastAsia" w:ascii="宋体" w:hAnsi="宋体" w:eastAsia="宋体" w:cs="宋体"/>
          <w:bCs/>
          <w:kern w:val="0"/>
          <w:szCs w:val="24"/>
          <w:lang w:val="en-US" w:eastAsia="zh-CN"/>
        </w:rPr>
        <w:t xml:space="preserve">六、 </w:t>
      </w:r>
      <w:r>
        <w:rPr>
          <w:rFonts w:hint="eastAsia" w:ascii="宋体" w:hAnsi="宋体" w:eastAsia="宋体" w:cs="宋体"/>
          <w:bCs/>
          <w:kern w:val="0"/>
          <w:szCs w:val="24"/>
          <w:highlight w:val="none"/>
          <w:lang w:val="en-US" w:eastAsia="zh-CN"/>
        </w:rPr>
        <w:t>其它补充事宜</w:t>
      </w:r>
      <w:r>
        <w:tab/>
      </w:r>
      <w:r>
        <w:fldChar w:fldCharType="begin"/>
      </w:r>
      <w:r>
        <w:instrText xml:space="preserve"> PAGEREF _Toc19192 \h </w:instrText>
      </w:r>
      <w:r>
        <w:fldChar w:fldCharType="separate"/>
      </w:r>
      <w:r>
        <w:t>42</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_Toc25137 </w:instrText>
      </w:r>
      <w:r>
        <w:rPr>
          <w:rFonts w:hint="eastAsia" w:ascii="宋体" w:hAnsi="宋体" w:eastAsia="宋体" w:cs="宋体"/>
          <w:kern w:val="2"/>
          <w:szCs w:val="24"/>
          <w:highlight w:val="none"/>
        </w:rPr>
        <w:fldChar w:fldCharType="separate"/>
      </w:r>
      <w:r>
        <w:rPr>
          <w:rFonts w:hint="eastAsia" w:ascii="宋体" w:hAnsi="宋体" w:eastAsia="宋体" w:cs="宋体"/>
          <w:bCs/>
          <w:kern w:val="0"/>
          <w:szCs w:val="24"/>
          <w:highlight w:val="none"/>
          <w:lang w:val="en-US" w:eastAsia="zh-CN"/>
        </w:rPr>
        <w:t>七、凡对本次采购提出询问，请按以下方式联系。</w:t>
      </w:r>
      <w:r>
        <w:tab/>
      </w:r>
      <w:r>
        <w:fldChar w:fldCharType="begin"/>
      </w:r>
      <w:r>
        <w:instrText xml:space="preserve"> PAGEREF _Toc25137 \h </w:instrText>
      </w:r>
      <w:r>
        <w:fldChar w:fldCharType="separate"/>
      </w:r>
      <w:r>
        <w:t>42</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_Toc13819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第4章  供应商须知资料表</w:t>
      </w:r>
      <w:r>
        <w:tab/>
      </w:r>
      <w:r>
        <w:fldChar w:fldCharType="begin"/>
      </w:r>
      <w:r>
        <w:instrText xml:space="preserve"> PAGEREF _Toc13819 \h </w:instrText>
      </w:r>
      <w:r>
        <w:fldChar w:fldCharType="separate"/>
      </w:r>
      <w:r>
        <w:t>43</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_Toc32040 </w:instrText>
      </w:r>
      <w:r>
        <w:rPr>
          <w:rFonts w:hint="eastAsia" w:ascii="宋体" w:hAnsi="宋体" w:eastAsia="宋体" w:cs="宋体"/>
          <w:kern w:val="2"/>
          <w:szCs w:val="24"/>
          <w:highlight w:val="none"/>
        </w:rPr>
        <w:fldChar w:fldCharType="separate"/>
      </w:r>
      <w:r>
        <w:rPr>
          <w:rFonts w:hint="eastAsia" w:ascii="宋体" w:hAnsi="宋体" w:cs="宋体"/>
          <w:highlight w:val="none"/>
          <w:lang w:val="en-US" w:eastAsia="zh-CN"/>
        </w:rPr>
        <w:t>第5章</w:t>
      </w:r>
      <w:r>
        <w:rPr>
          <w:rFonts w:hint="eastAsia" w:ascii="宋体" w:hAnsi="宋体" w:eastAsia="宋体" w:cs="宋体"/>
          <w:highlight w:val="none"/>
        </w:rPr>
        <w:t xml:space="preserve"> 服务内容及项目要求</w:t>
      </w:r>
      <w:r>
        <w:tab/>
      </w:r>
      <w:r>
        <w:fldChar w:fldCharType="begin"/>
      </w:r>
      <w:r>
        <w:instrText xml:space="preserve"> PAGEREF _Toc32040 \h </w:instrText>
      </w:r>
      <w:r>
        <w:fldChar w:fldCharType="separate"/>
      </w:r>
      <w:r>
        <w:t>49</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_Toc29489 </w:instrText>
      </w:r>
      <w:r>
        <w:rPr>
          <w:rFonts w:hint="eastAsia" w:ascii="宋体" w:hAnsi="宋体" w:eastAsia="宋体" w:cs="宋体"/>
          <w:kern w:val="2"/>
          <w:szCs w:val="24"/>
          <w:highlight w:val="none"/>
        </w:rPr>
        <w:fldChar w:fldCharType="separate"/>
      </w:r>
      <w:r>
        <w:rPr>
          <w:rFonts w:hint="eastAsia" w:ascii="宋体" w:hAnsi="宋体" w:cs="宋体"/>
          <w:highlight w:val="none"/>
          <w:lang w:eastAsia="zh-CN"/>
        </w:rPr>
        <w:t>第六包：短信服务平台基础设备</w:t>
      </w:r>
      <w:r>
        <w:tab/>
      </w:r>
      <w:r>
        <w:fldChar w:fldCharType="begin"/>
      </w:r>
      <w:r>
        <w:instrText xml:space="preserve"> PAGEREF _Toc29489 \h </w:instrText>
      </w:r>
      <w:r>
        <w:fldChar w:fldCharType="separate"/>
      </w:r>
      <w:r>
        <w:t>49</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_Toc13529 </w:instrText>
      </w:r>
      <w:r>
        <w:rPr>
          <w:rFonts w:hint="eastAsia" w:ascii="宋体" w:hAnsi="宋体" w:eastAsia="宋体" w:cs="宋体"/>
          <w:kern w:val="2"/>
          <w:szCs w:val="24"/>
          <w:highlight w:val="none"/>
        </w:rPr>
        <w:fldChar w:fldCharType="separate"/>
      </w:r>
      <w:r>
        <w:rPr>
          <w:rFonts w:hint="eastAsia"/>
        </w:rPr>
        <w:t>一、短信基础平台</w:t>
      </w:r>
      <w:r>
        <w:tab/>
      </w:r>
      <w:r>
        <w:fldChar w:fldCharType="begin"/>
      </w:r>
      <w:r>
        <w:instrText xml:space="preserve"> PAGEREF _Toc13529 \h </w:instrText>
      </w:r>
      <w:r>
        <w:fldChar w:fldCharType="separate"/>
      </w:r>
      <w:r>
        <w:t>49</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_Toc12616 </w:instrText>
      </w:r>
      <w:r>
        <w:rPr>
          <w:rFonts w:hint="eastAsia" w:ascii="宋体" w:hAnsi="宋体" w:eastAsia="宋体" w:cs="宋体"/>
          <w:kern w:val="2"/>
          <w:szCs w:val="24"/>
          <w:highlight w:val="none"/>
        </w:rPr>
        <w:fldChar w:fldCharType="separate"/>
      </w:r>
      <w:r>
        <w:rPr>
          <w:rFonts w:hint="eastAsia"/>
        </w:rPr>
        <w:t>二、短信平台主要功能（B/S）</w:t>
      </w:r>
      <w:r>
        <w:tab/>
      </w:r>
      <w:r>
        <w:fldChar w:fldCharType="begin"/>
      </w:r>
      <w:r>
        <w:instrText xml:space="preserve"> PAGEREF _Toc12616 \h </w:instrText>
      </w:r>
      <w:r>
        <w:fldChar w:fldCharType="separate"/>
      </w:r>
      <w:r>
        <w:t>49</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_Toc12728 </w:instrText>
      </w:r>
      <w:r>
        <w:rPr>
          <w:rFonts w:hint="eastAsia" w:ascii="宋体" w:hAnsi="宋体" w:eastAsia="宋体" w:cs="宋体"/>
          <w:kern w:val="2"/>
          <w:szCs w:val="24"/>
          <w:highlight w:val="none"/>
        </w:rPr>
        <w:fldChar w:fldCharType="separate"/>
      </w:r>
      <w:r>
        <w:rPr>
          <w:rFonts w:hint="eastAsia"/>
        </w:rPr>
        <w:t>三、短信网关程序</w:t>
      </w:r>
      <w:r>
        <w:tab/>
      </w:r>
      <w:r>
        <w:fldChar w:fldCharType="begin"/>
      </w:r>
      <w:r>
        <w:instrText xml:space="preserve"> PAGEREF _Toc12728 \h </w:instrText>
      </w:r>
      <w:r>
        <w:fldChar w:fldCharType="separate"/>
      </w:r>
      <w:r>
        <w:t>50</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_Toc24926 </w:instrText>
      </w:r>
      <w:r>
        <w:rPr>
          <w:rFonts w:hint="eastAsia" w:ascii="宋体" w:hAnsi="宋体" w:eastAsia="宋体" w:cs="宋体"/>
          <w:kern w:val="2"/>
          <w:szCs w:val="24"/>
          <w:highlight w:val="none"/>
        </w:rPr>
        <w:fldChar w:fldCharType="separate"/>
      </w:r>
      <w:r>
        <w:rPr>
          <w:rFonts w:hint="eastAsia"/>
        </w:rPr>
        <w:t>四、短信接口</w:t>
      </w:r>
      <w:r>
        <w:tab/>
      </w:r>
      <w:r>
        <w:fldChar w:fldCharType="begin"/>
      </w:r>
      <w:r>
        <w:instrText xml:space="preserve"> PAGEREF _Toc24926 \h </w:instrText>
      </w:r>
      <w:r>
        <w:fldChar w:fldCharType="separate"/>
      </w:r>
      <w:r>
        <w:t>50</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_Toc18688 </w:instrText>
      </w:r>
      <w:r>
        <w:rPr>
          <w:rFonts w:hint="eastAsia" w:ascii="宋体" w:hAnsi="宋体" w:eastAsia="宋体" w:cs="宋体"/>
          <w:kern w:val="2"/>
          <w:szCs w:val="24"/>
          <w:highlight w:val="none"/>
        </w:rPr>
        <w:fldChar w:fldCharType="separate"/>
      </w:r>
      <w:r>
        <w:t>五</w:t>
      </w:r>
      <w:r>
        <w:rPr>
          <w:rFonts w:hint="eastAsia"/>
        </w:rPr>
        <w:t>、</w:t>
      </w:r>
      <w:r>
        <w:t>短信性能</w:t>
      </w:r>
      <w:r>
        <w:rPr>
          <w:rFonts w:hint="eastAsia"/>
        </w:rPr>
        <w:t>要求</w:t>
      </w:r>
      <w:r>
        <w:tab/>
      </w:r>
      <w:r>
        <w:fldChar w:fldCharType="begin"/>
      </w:r>
      <w:r>
        <w:instrText xml:space="preserve"> PAGEREF _Toc18688 \h </w:instrText>
      </w:r>
      <w:r>
        <w:fldChar w:fldCharType="separate"/>
      </w:r>
      <w:r>
        <w:t>50</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_Toc21003 </w:instrText>
      </w:r>
      <w:r>
        <w:rPr>
          <w:rFonts w:hint="eastAsia" w:ascii="宋体" w:hAnsi="宋体" w:eastAsia="宋体" w:cs="宋体"/>
          <w:kern w:val="2"/>
          <w:szCs w:val="24"/>
          <w:highlight w:val="none"/>
        </w:rPr>
        <w:fldChar w:fldCharType="separate"/>
      </w:r>
      <w:r>
        <w:t>五</w:t>
      </w:r>
      <w:r>
        <w:rPr>
          <w:rFonts w:hint="eastAsia"/>
        </w:rPr>
        <w:t>、</w:t>
      </w:r>
      <w:r>
        <w:t>短信</w:t>
      </w:r>
      <w:r>
        <w:rPr>
          <w:rFonts w:hint="eastAsia"/>
        </w:rPr>
        <w:t>资费要求</w:t>
      </w:r>
      <w:r>
        <w:tab/>
      </w:r>
      <w:r>
        <w:fldChar w:fldCharType="begin"/>
      </w:r>
      <w:r>
        <w:instrText xml:space="preserve"> PAGEREF _Toc21003 \h </w:instrText>
      </w:r>
      <w:r>
        <w:fldChar w:fldCharType="separate"/>
      </w:r>
      <w:r>
        <w:t>50</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_Toc19465 </w:instrText>
      </w:r>
      <w:r>
        <w:rPr>
          <w:rFonts w:hint="eastAsia" w:ascii="宋体" w:hAnsi="宋体" w:eastAsia="宋体" w:cs="宋体"/>
          <w:kern w:val="2"/>
          <w:szCs w:val="24"/>
          <w:highlight w:val="none"/>
        </w:rPr>
        <w:fldChar w:fldCharType="separate"/>
      </w:r>
      <w:r>
        <w:rPr>
          <w:rFonts w:hint="eastAsia"/>
        </w:rPr>
        <w:t>六、售后</w:t>
      </w:r>
      <w:r>
        <w:t>服务</w:t>
      </w:r>
      <w:r>
        <w:rPr>
          <w:rFonts w:hint="eastAsia"/>
        </w:rPr>
        <w:t>及其他要求</w:t>
      </w:r>
      <w:r>
        <w:tab/>
      </w:r>
      <w:r>
        <w:fldChar w:fldCharType="begin"/>
      </w:r>
      <w:r>
        <w:instrText xml:space="preserve"> PAGEREF _Toc19465 \h </w:instrText>
      </w:r>
      <w:r>
        <w:fldChar w:fldCharType="separate"/>
      </w:r>
      <w:r>
        <w:t>50</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_Toc24546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第6章  评标方法和标准</w:t>
      </w:r>
      <w:r>
        <w:tab/>
      </w:r>
      <w:r>
        <w:fldChar w:fldCharType="begin"/>
      </w:r>
      <w:r>
        <w:instrText xml:space="preserve"> PAGEREF _Toc24546 \h </w:instrText>
      </w:r>
      <w:r>
        <w:fldChar w:fldCharType="separate"/>
      </w:r>
      <w:r>
        <w:t>51</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_Toc6985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初步评审—资格性审查表</w:t>
      </w:r>
      <w:r>
        <w:tab/>
      </w:r>
      <w:r>
        <w:fldChar w:fldCharType="begin"/>
      </w:r>
      <w:r>
        <w:instrText xml:space="preserve"> PAGEREF _Toc6985 \h </w:instrText>
      </w:r>
      <w:r>
        <w:fldChar w:fldCharType="separate"/>
      </w:r>
      <w:r>
        <w:t>58</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_Toc20204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初步评审—符合性审查表</w:t>
      </w:r>
      <w:r>
        <w:tab/>
      </w:r>
      <w:r>
        <w:fldChar w:fldCharType="begin"/>
      </w:r>
      <w:r>
        <w:instrText xml:space="preserve"> PAGEREF _Toc20204 \h </w:instrText>
      </w:r>
      <w:r>
        <w:fldChar w:fldCharType="separate"/>
      </w:r>
      <w:r>
        <w:t>59</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_Toc25197 </w:instrText>
      </w:r>
      <w:r>
        <w:rPr>
          <w:rFonts w:hint="eastAsia" w:ascii="宋体" w:hAnsi="宋体" w:eastAsia="宋体" w:cs="宋体"/>
          <w:kern w:val="2"/>
          <w:szCs w:val="24"/>
          <w:highlight w:val="none"/>
        </w:rPr>
        <w:fldChar w:fldCharType="separate"/>
      </w:r>
      <w:r>
        <w:rPr>
          <w:rFonts w:hint="eastAsia" w:ascii="宋体" w:hAnsi="宋体" w:cs="宋体"/>
          <w:bCs/>
          <w:szCs w:val="44"/>
          <w:highlight w:val="none"/>
          <w:lang w:val="en-US" w:eastAsia="zh-CN"/>
        </w:rPr>
        <w:t>第六包</w:t>
      </w:r>
      <w:r>
        <w:rPr>
          <w:rFonts w:hint="eastAsia" w:ascii="宋体" w:hAnsi="宋体" w:eastAsia="宋体" w:cs="宋体"/>
          <w:bCs/>
          <w:szCs w:val="44"/>
          <w:highlight w:val="none"/>
        </w:rPr>
        <w:t>综合评分表</w:t>
      </w:r>
      <w:r>
        <w:tab/>
      </w:r>
      <w:r>
        <w:fldChar w:fldCharType="begin"/>
      </w:r>
      <w:r>
        <w:instrText xml:space="preserve"> PAGEREF _Toc25197 \h </w:instrText>
      </w:r>
      <w:r>
        <w:fldChar w:fldCharType="separate"/>
      </w:r>
      <w:r>
        <w:t>62</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_Toc15579 </w:instrText>
      </w:r>
      <w:r>
        <w:rPr>
          <w:rFonts w:hint="eastAsia" w:ascii="宋体" w:hAnsi="宋体" w:eastAsia="宋体" w:cs="宋体"/>
          <w:kern w:val="2"/>
          <w:szCs w:val="24"/>
          <w:highlight w:val="none"/>
        </w:rPr>
        <w:fldChar w:fldCharType="separate"/>
      </w:r>
      <w:r>
        <w:rPr>
          <w:rFonts w:hint="eastAsia" w:hAnsi="宋体" w:eastAsia="宋体" w:cs="宋体"/>
          <w:highlight w:val="none"/>
          <w:lang w:val="en-US" w:eastAsia="zh-CN" w:bidi="ar-SA"/>
        </w:rPr>
        <w:t>第7章 政府采购合同</w:t>
      </w:r>
      <w:r>
        <w:tab/>
      </w:r>
      <w:r>
        <w:fldChar w:fldCharType="begin"/>
      </w:r>
      <w:r>
        <w:instrText xml:space="preserve"> PAGEREF _Toc15579 \h </w:instrText>
      </w:r>
      <w:r>
        <w:fldChar w:fldCharType="separate"/>
      </w:r>
      <w:r>
        <w:t>64</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_Toc20013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1.1 合同组成部分</w:t>
      </w:r>
      <w:r>
        <w:tab/>
      </w:r>
      <w:r>
        <w:fldChar w:fldCharType="begin"/>
      </w:r>
      <w:r>
        <w:instrText xml:space="preserve"> PAGEREF _Toc20013 \h </w:instrText>
      </w:r>
      <w:r>
        <w:fldChar w:fldCharType="separate"/>
      </w:r>
      <w:r>
        <w:t>66</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_Toc23058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1.2 标的</w:t>
      </w:r>
      <w:r>
        <w:tab/>
      </w:r>
      <w:r>
        <w:fldChar w:fldCharType="begin"/>
      </w:r>
      <w:r>
        <w:instrText xml:space="preserve"> PAGEREF _Toc23058 \h </w:instrText>
      </w:r>
      <w:r>
        <w:fldChar w:fldCharType="separate"/>
      </w:r>
      <w:r>
        <w:t>66</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_Toc20934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1.3 价款</w:t>
      </w:r>
      <w:r>
        <w:tab/>
      </w:r>
      <w:r>
        <w:fldChar w:fldCharType="begin"/>
      </w:r>
      <w:r>
        <w:instrText xml:space="preserve"> PAGEREF _Toc20934 \h </w:instrText>
      </w:r>
      <w:r>
        <w:fldChar w:fldCharType="separate"/>
      </w:r>
      <w:r>
        <w:t>66</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_Toc18354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1.4 付款方式和发票开具方式</w:t>
      </w:r>
      <w:r>
        <w:tab/>
      </w:r>
      <w:r>
        <w:fldChar w:fldCharType="begin"/>
      </w:r>
      <w:r>
        <w:instrText xml:space="preserve"> PAGEREF _Toc18354 \h </w:instrText>
      </w:r>
      <w:r>
        <w:fldChar w:fldCharType="separate"/>
      </w:r>
      <w:r>
        <w:t>66</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1.5 履行期限、地点和方式</w:t>
      </w:r>
      <w:r>
        <w:tab/>
      </w:r>
      <w:r>
        <w:fldChar w:fldCharType="begin"/>
      </w:r>
      <w:r>
        <w:instrText xml:space="preserve"> PAGEREF _Toc321 \h </w:instrText>
      </w:r>
      <w:r>
        <w:fldChar w:fldCharType="separate"/>
      </w:r>
      <w:r>
        <w:t>67</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_Toc11086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1.6 违约责任</w:t>
      </w:r>
      <w:r>
        <w:tab/>
      </w:r>
      <w:r>
        <w:fldChar w:fldCharType="begin"/>
      </w:r>
      <w:r>
        <w:instrText xml:space="preserve"> PAGEREF _Toc11086 \h </w:instrText>
      </w:r>
      <w:r>
        <w:fldChar w:fldCharType="separate"/>
      </w:r>
      <w:r>
        <w:t>67</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_Toc28396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1.7 合同争议的解决</w:t>
      </w:r>
      <w:r>
        <w:tab/>
      </w:r>
      <w:r>
        <w:fldChar w:fldCharType="begin"/>
      </w:r>
      <w:r>
        <w:instrText xml:space="preserve"> PAGEREF _Toc28396 \h </w:instrText>
      </w:r>
      <w:r>
        <w:fldChar w:fldCharType="separate"/>
      </w:r>
      <w:r>
        <w:t>68</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_Toc19697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1.8 合同生效</w:t>
      </w:r>
      <w:r>
        <w:tab/>
      </w:r>
      <w:r>
        <w:fldChar w:fldCharType="begin"/>
      </w:r>
      <w:r>
        <w:instrText xml:space="preserve"> PAGEREF _Toc19697 \h </w:instrText>
      </w:r>
      <w:r>
        <w:fldChar w:fldCharType="separate"/>
      </w:r>
      <w:r>
        <w:t>68</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_Toc11703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 定义</w:t>
      </w:r>
      <w:r>
        <w:tab/>
      </w:r>
      <w:r>
        <w:fldChar w:fldCharType="begin"/>
      </w:r>
      <w:r>
        <w:instrText xml:space="preserve"> PAGEREF _Toc11703 \h </w:instrText>
      </w:r>
      <w:r>
        <w:fldChar w:fldCharType="separate"/>
      </w:r>
      <w:r>
        <w:t>69</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_Toc31382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2.2 技术规范</w:t>
      </w:r>
      <w:r>
        <w:tab/>
      </w:r>
      <w:r>
        <w:fldChar w:fldCharType="begin"/>
      </w:r>
      <w:r>
        <w:instrText xml:space="preserve"> PAGEREF _Toc31382 \h </w:instrText>
      </w:r>
      <w:r>
        <w:fldChar w:fldCharType="separate"/>
      </w:r>
      <w:r>
        <w:t>69</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_Toc26447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2.3 知识产权</w:t>
      </w:r>
      <w:r>
        <w:tab/>
      </w:r>
      <w:r>
        <w:fldChar w:fldCharType="begin"/>
      </w:r>
      <w:r>
        <w:instrText xml:space="preserve"> PAGEREF _Toc26447 \h </w:instrText>
      </w:r>
      <w:r>
        <w:fldChar w:fldCharType="separate"/>
      </w:r>
      <w:r>
        <w:t>69</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_Toc1108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2.5 结算方式和付款条件</w:t>
      </w:r>
      <w:r>
        <w:tab/>
      </w:r>
      <w:r>
        <w:fldChar w:fldCharType="begin"/>
      </w:r>
      <w:r>
        <w:instrText xml:space="preserve"> PAGEREF _Toc1108 \h </w:instrText>
      </w:r>
      <w:r>
        <w:fldChar w:fldCharType="separate"/>
      </w:r>
      <w:r>
        <w:t>70</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_Toc11304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2.6 技术资料和保密义务</w:t>
      </w:r>
      <w:r>
        <w:tab/>
      </w:r>
      <w:r>
        <w:fldChar w:fldCharType="begin"/>
      </w:r>
      <w:r>
        <w:instrText xml:space="preserve"> PAGEREF _Toc11304 \h </w:instrText>
      </w:r>
      <w:r>
        <w:fldChar w:fldCharType="separate"/>
      </w:r>
      <w:r>
        <w:t>70</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_Toc32438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2.7 质量保证</w:t>
      </w:r>
      <w:r>
        <w:tab/>
      </w:r>
      <w:r>
        <w:fldChar w:fldCharType="begin"/>
      </w:r>
      <w:r>
        <w:instrText xml:space="preserve"> PAGEREF _Toc32438 \h </w:instrText>
      </w:r>
      <w:r>
        <w:fldChar w:fldCharType="separate"/>
      </w:r>
      <w:r>
        <w:t>70</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_Toc5342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2.8 延迟履行</w:t>
      </w:r>
      <w:r>
        <w:tab/>
      </w:r>
      <w:r>
        <w:fldChar w:fldCharType="begin"/>
      </w:r>
      <w:r>
        <w:instrText xml:space="preserve"> PAGEREF _Toc5342 \h </w:instrText>
      </w:r>
      <w:r>
        <w:fldChar w:fldCharType="separate"/>
      </w:r>
      <w:r>
        <w:t>70</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_Toc9506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2.9 合同变更</w:t>
      </w:r>
      <w:r>
        <w:tab/>
      </w:r>
      <w:r>
        <w:fldChar w:fldCharType="begin"/>
      </w:r>
      <w:r>
        <w:instrText xml:space="preserve"> PAGEREF _Toc9506 \h </w:instrText>
      </w:r>
      <w:r>
        <w:fldChar w:fldCharType="separate"/>
      </w:r>
      <w:r>
        <w:t>70</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_Toc18321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2.10 合同转让和分包</w:t>
      </w:r>
      <w:r>
        <w:tab/>
      </w:r>
      <w:r>
        <w:fldChar w:fldCharType="begin"/>
      </w:r>
      <w:r>
        <w:instrText xml:space="preserve"> PAGEREF _Toc18321 \h </w:instrText>
      </w:r>
      <w:r>
        <w:fldChar w:fldCharType="separate"/>
      </w:r>
      <w:r>
        <w:t>70</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_Toc17474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2.11 不可抗力</w:t>
      </w:r>
      <w:r>
        <w:tab/>
      </w:r>
      <w:r>
        <w:fldChar w:fldCharType="begin"/>
      </w:r>
      <w:r>
        <w:instrText xml:space="preserve"> PAGEREF _Toc17474 \h </w:instrText>
      </w:r>
      <w:r>
        <w:fldChar w:fldCharType="separate"/>
      </w:r>
      <w:r>
        <w:t>71</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_Toc18727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2.12 税费</w:t>
      </w:r>
      <w:r>
        <w:tab/>
      </w:r>
      <w:r>
        <w:fldChar w:fldCharType="begin"/>
      </w:r>
      <w:r>
        <w:instrText xml:space="preserve"> PAGEREF _Toc18727 \h </w:instrText>
      </w:r>
      <w:r>
        <w:fldChar w:fldCharType="separate"/>
      </w:r>
      <w:r>
        <w:t>71</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_Toc5309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2.13 乙方破产</w:t>
      </w:r>
      <w:r>
        <w:tab/>
      </w:r>
      <w:r>
        <w:fldChar w:fldCharType="begin"/>
      </w:r>
      <w:r>
        <w:instrText xml:space="preserve"> PAGEREF _Toc5309 \h </w:instrText>
      </w:r>
      <w:r>
        <w:fldChar w:fldCharType="separate"/>
      </w:r>
      <w:r>
        <w:t>71</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_Toc411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2.14 合同中止、终止</w:t>
      </w:r>
      <w:r>
        <w:tab/>
      </w:r>
      <w:r>
        <w:fldChar w:fldCharType="begin"/>
      </w:r>
      <w:r>
        <w:instrText xml:space="preserve"> PAGEREF _Toc411 \h </w:instrText>
      </w:r>
      <w:r>
        <w:fldChar w:fldCharType="separate"/>
      </w:r>
      <w:r>
        <w:t>71</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_Toc28879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2.15 检验和验收</w:t>
      </w:r>
      <w:r>
        <w:tab/>
      </w:r>
      <w:r>
        <w:fldChar w:fldCharType="begin"/>
      </w:r>
      <w:r>
        <w:instrText xml:space="preserve"> PAGEREF _Toc28879 \h </w:instrText>
      </w:r>
      <w:r>
        <w:fldChar w:fldCharType="separate"/>
      </w:r>
      <w:r>
        <w:t>71</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_Toc21439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2.16 通知和送达</w:t>
      </w:r>
      <w:r>
        <w:tab/>
      </w:r>
      <w:r>
        <w:fldChar w:fldCharType="begin"/>
      </w:r>
      <w:r>
        <w:instrText xml:space="preserve"> PAGEREF _Toc21439 \h </w:instrText>
      </w:r>
      <w:r>
        <w:fldChar w:fldCharType="separate"/>
      </w:r>
      <w:r>
        <w:t>71</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_Toc25464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2.17 合同使用的文字和适用的法律</w:t>
      </w:r>
      <w:r>
        <w:tab/>
      </w:r>
      <w:r>
        <w:fldChar w:fldCharType="begin"/>
      </w:r>
      <w:r>
        <w:instrText xml:space="preserve"> PAGEREF _Toc25464 \h </w:instrText>
      </w:r>
      <w:r>
        <w:fldChar w:fldCharType="separate"/>
      </w:r>
      <w:r>
        <w:t>72</w:t>
      </w:r>
      <w:r>
        <w:fldChar w:fldCharType="end"/>
      </w:r>
      <w:r>
        <w:rPr>
          <w:rFonts w:hint="eastAsia" w:ascii="宋体" w:hAnsi="宋体" w:eastAsia="宋体" w:cs="宋体"/>
          <w:color w:val="auto"/>
          <w:kern w:val="2"/>
          <w:szCs w:val="24"/>
          <w:highlight w:val="none"/>
        </w:rPr>
        <w:fldChar w:fldCharType="end"/>
      </w:r>
    </w:p>
    <w:p>
      <w:pPr>
        <w:pStyle w:val="19"/>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_Toc27679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2.18 履约保证金</w:t>
      </w:r>
      <w:r>
        <w:tab/>
      </w:r>
      <w:r>
        <w:fldChar w:fldCharType="begin"/>
      </w:r>
      <w:r>
        <w:instrText xml:space="preserve"> PAGEREF _Toc27679 \h </w:instrText>
      </w:r>
      <w:r>
        <w:fldChar w:fldCharType="separate"/>
      </w:r>
      <w:r>
        <w:t>72</w:t>
      </w:r>
      <w:r>
        <w:fldChar w:fldCharType="end"/>
      </w:r>
      <w:r>
        <w:rPr>
          <w:rFonts w:hint="eastAsia" w:ascii="宋体" w:hAnsi="宋体" w:eastAsia="宋体" w:cs="宋体"/>
          <w:color w:val="auto"/>
          <w:kern w:val="2"/>
          <w:szCs w:val="24"/>
          <w:highlight w:val="none"/>
        </w:rPr>
        <w:fldChar w:fldCharType="end"/>
      </w:r>
    </w:p>
    <w:p>
      <w:pPr>
        <w:pStyle w:val="4"/>
        <w:ind w:firstLine="0"/>
        <w:jc w:val="center"/>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fldChar w:fldCharType="end"/>
      </w:r>
      <w:bookmarkStart w:id="0" w:name="_Toc216582804"/>
      <w:bookmarkStart w:id="1" w:name="_Toc22782"/>
      <w:bookmarkStart w:id="2" w:name="_Toc8627"/>
      <w:bookmarkStart w:id="3" w:name="_Toc17230"/>
      <w:bookmarkStart w:id="4" w:name="_Toc25253"/>
      <w:bookmarkStart w:id="5" w:name="_Toc1148"/>
      <w:bookmarkStart w:id="6" w:name="_Toc16548"/>
      <w:bookmarkStart w:id="7" w:name="_Toc515647798"/>
      <w:bookmarkStart w:id="8" w:name="_Toc11115"/>
    </w:p>
    <w:p>
      <w:pPr>
        <w:pStyle w:val="4"/>
        <w:ind w:firstLine="0"/>
        <w:jc w:val="center"/>
        <w:rPr>
          <w:rFonts w:hint="eastAsia" w:ascii="宋体" w:hAnsi="宋体" w:eastAsia="宋体" w:cs="宋体"/>
          <w:color w:val="auto"/>
          <w:kern w:val="2"/>
          <w:szCs w:val="24"/>
          <w:highlight w:val="none"/>
        </w:rPr>
      </w:pPr>
    </w:p>
    <w:p>
      <w:pPr>
        <w:pStyle w:val="4"/>
        <w:ind w:firstLine="0"/>
        <w:jc w:val="center"/>
        <w:rPr>
          <w:rFonts w:hint="eastAsia" w:ascii="宋体" w:hAnsi="宋体" w:eastAsia="宋体" w:cs="宋体"/>
          <w:color w:val="auto"/>
          <w:kern w:val="2"/>
          <w:szCs w:val="24"/>
          <w:highlight w:val="none"/>
        </w:rPr>
      </w:pPr>
    </w:p>
    <w:p>
      <w:pPr>
        <w:pStyle w:val="4"/>
        <w:ind w:firstLine="0"/>
        <w:jc w:val="center"/>
        <w:rPr>
          <w:rFonts w:hint="eastAsia" w:ascii="宋体" w:hAnsi="宋体" w:eastAsia="宋体" w:cs="宋体"/>
          <w:color w:val="auto"/>
          <w:kern w:val="2"/>
          <w:szCs w:val="24"/>
          <w:highlight w:val="none"/>
        </w:rPr>
      </w:pPr>
    </w:p>
    <w:p>
      <w:pPr>
        <w:pStyle w:val="4"/>
        <w:ind w:firstLine="0"/>
        <w:jc w:val="center"/>
        <w:rPr>
          <w:rFonts w:hint="eastAsia" w:ascii="宋体" w:hAnsi="宋体" w:eastAsia="宋体" w:cs="宋体"/>
          <w:color w:val="auto"/>
          <w:kern w:val="2"/>
          <w:szCs w:val="24"/>
          <w:highlight w:val="none"/>
        </w:rPr>
      </w:pPr>
    </w:p>
    <w:p>
      <w:pPr>
        <w:pStyle w:val="4"/>
        <w:ind w:firstLine="0"/>
        <w:jc w:val="center"/>
        <w:rPr>
          <w:rFonts w:hint="eastAsia" w:ascii="宋体" w:hAnsi="宋体" w:eastAsia="宋体" w:cs="宋体"/>
          <w:color w:val="auto"/>
          <w:kern w:val="2"/>
          <w:szCs w:val="24"/>
          <w:highlight w:val="none"/>
        </w:rPr>
      </w:pPr>
    </w:p>
    <w:p>
      <w:pPr>
        <w:pStyle w:val="5"/>
        <w:rPr>
          <w:rFonts w:hint="eastAsia" w:ascii="宋体" w:hAnsi="宋体" w:eastAsia="宋体" w:cs="宋体"/>
          <w:color w:val="auto"/>
          <w:kern w:val="2"/>
          <w:szCs w:val="24"/>
          <w:highlight w:val="none"/>
        </w:rPr>
      </w:pPr>
    </w:p>
    <w:p>
      <w:pPr>
        <w:rPr>
          <w:rFonts w:hint="eastAsia" w:ascii="宋体" w:hAnsi="宋体" w:eastAsia="宋体" w:cs="宋体"/>
        </w:rPr>
      </w:pPr>
    </w:p>
    <w:p>
      <w:pPr>
        <w:pStyle w:val="4"/>
        <w:ind w:firstLine="0"/>
        <w:jc w:val="center"/>
        <w:rPr>
          <w:rFonts w:hint="eastAsia" w:ascii="宋体" w:hAnsi="宋体" w:eastAsia="宋体" w:cs="宋体"/>
          <w:color w:val="auto"/>
          <w:kern w:val="2"/>
          <w:szCs w:val="24"/>
          <w:highlight w:val="none"/>
        </w:rPr>
      </w:pPr>
    </w:p>
    <w:p>
      <w:pPr>
        <w:pStyle w:val="4"/>
        <w:ind w:firstLine="0"/>
        <w:jc w:val="center"/>
        <w:rPr>
          <w:rFonts w:hint="eastAsia" w:ascii="宋体" w:hAnsi="宋体" w:eastAsia="宋体" w:cs="宋体"/>
          <w:color w:val="auto"/>
          <w:kern w:val="2"/>
          <w:szCs w:val="24"/>
          <w:highlight w:val="none"/>
        </w:rPr>
      </w:pPr>
    </w:p>
    <w:p>
      <w:pPr>
        <w:pStyle w:val="4"/>
        <w:ind w:firstLine="0"/>
        <w:jc w:val="center"/>
        <w:rPr>
          <w:rFonts w:hint="eastAsia" w:ascii="宋体" w:hAnsi="宋体" w:eastAsia="宋体" w:cs="宋体"/>
          <w:color w:val="auto"/>
          <w:kern w:val="2"/>
          <w:szCs w:val="24"/>
          <w:highlight w:val="none"/>
        </w:rPr>
      </w:pPr>
    </w:p>
    <w:p>
      <w:pPr>
        <w:pStyle w:val="4"/>
        <w:ind w:firstLine="2249" w:firstLineChars="800"/>
        <w:jc w:val="both"/>
        <w:outlineLvl w:val="0"/>
        <w:rPr>
          <w:rFonts w:hint="eastAsia" w:ascii="宋体" w:hAnsi="宋体" w:eastAsia="宋体" w:cs="宋体"/>
          <w:color w:val="auto"/>
          <w:highlight w:val="none"/>
        </w:rPr>
      </w:pPr>
      <w:bookmarkStart w:id="9" w:name="_Toc21077"/>
      <w:r>
        <w:rPr>
          <w:rFonts w:hint="eastAsia" w:ascii="宋体" w:hAnsi="宋体" w:eastAsia="宋体" w:cs="宋体"/>
          <w:b/>
          <w:bCs/>
          <w:color w:val="auto"/>
          <w:sz w:val="28"/>
          <w:szCs w:val="21"/>
          <w:highlight w:val="none"/>
        </w:rPr>
        <w:t xml:space="preserve">第1章  </w:t>
      </w:r>
      <w:bookmarkStart w:id="10" w:name="_Toc515647756"/>
      <w:r>
        <w:rPr>
          <w:rFonts w:hint="eastAsia" w:ascii="宋体" w:hAnsi="宋体" w:eastAsia="宋体" w:cs="宋体"/>
          <w:b/>
          <w:bCs/>
          <w:color w:val="auto"/>
          <w:sz w:val="28"/>
          <w:szCs w:val="21"/>
          <w:highlight w:val="none"/>
          <w:lang w:eastAsia="zh-CN"/>
        </w:rPr>
        <w:t>供应商</w:t>
      </w:r>
      <w:r>
        <w:rPr>
          <w:rFonts w:hint="eastAsia" w:ascii="宋体" w:hAnsi="宋体" w:eastAsia="宋体" w:cs="宋体"/>
          <w:b/>
          <w:bCs/>
          <w:color w:val="auto"/>
          <w:sz w:val="28"/>
          <w:szCs w:val="21"/>
          <w:highlight w:val="none"/>
        </w:rPr>
        <w:t>须知</w:t>
      </w:r>
      <w:bookmarkEnd w:id="0"/>
      <w:bookmarkEnd w:id="1"/>
      <w:bookmarkEnd w:id="2"/>
      <w:bookmarkEnd w:id="3"/>
      <w:bookmarkEnd w:id="9"/>
      <w:bookmarkEnd w:id="10"/>
    </w:p>
    <w:p>
      <w:pPr>
        <w:pStyle w:val="7"/>
        <w:spacing w:before="0" w:line="240" w:lineRule="atLeast"/>
        <w:ind w:left="1080" w:leftChars="257" w:hanging="540"/>
        <w:rPr>
          <w:rFonts w:hint="eastAsia" w:ascii="宋体" w:hAnsi="宋体" w:eastAsia="宋体" w:cs="宋体"/>
          <w:color w:val="auto"/>
          <w:highlight w:val="none"/>
        </w:rPr>
      </w:pPr>
      <w:bookmarkStart w:id="11" w:name="_Toc515647757"/>
      <w:bookmarkStart w:id="12" w:name="_Toc216582805"/>
      <w:bookmarkStart w:id="13" w:name="_Toc520356143"/>
      <w:bookmarkStart w:id="14" w:name="_Toc21015"/>
      <w:bookmarkStart w:id="15" w:name="_Toc25924"/>
      <w:bookmarkStart w:id="16" w:name="_Toc11227"/>
      <w:bookmarkStart w:id="17" w:name="_Toc21215"/>
      <w:r>
        <w:rPr>
          <w:rFonts w:hint="eastAsia" w:ascii="宋体" w:hAnsi="宋体" w:eastAsia="宋体" w:cs="宋体"/>
          <w:color w:val="auto"/>
          <w:sz w:val="28"/>
          <w:highlight w:val="none"/>
        </w:rPr>
        <w:t xml:space="preserve">一   </w:t>
      </w:r>
      <w:bookmarkEnd w:id="11"/>
      <w:bookmarkEnd w:id="12"/>
      <w:bookmarkEnd w:id="13"/>
      <w:r>
        <w:rPr>
          <w:rFonts w:hint="eastAsia" w:ascii="宋体" w:hAnsi="宋体" w:eastAsia="宋体" w:cs="宋体"/>
          <w:color w:val="auto"/>
          <w:sz w:val="28"/>
          <w:highlight w:val="none"/>
        </w:rPr>
        <w:t>总 则</w:t>
      </w:r>
      <w:bookmarkEnd w:id="14"/>
      <w:bookmarkEnd w:id="15"/>
      <w:bookmarkEnd w:id="16"/>
      <w:bookmarkEnd w:id="17"/>
    </w:p>
    <w:p>
      <w:pPr>
        <w:pStyle w:val="8"/>
        <w:shd w:val="clear" w:color="auto" w:fill="auto"/>
        <w:spacing w:before="0" w:after="0" w:line="360" w:lineRule="exact"/>
        <w:rPr>
          <w:rFonts w:hint="eastAsia" w:ascii="宋体" w:hAnsi="宋体" w:eastAsia="宋体" w:cs="宋体"/>
          <w:color w:val="auto"/>
          <w:highlight w:val="none"/>
          <w:u w:val="none"/>
          <w:lang w:eastAsia="zh-CN"/>
        </w:rPr>
      </w:pPr>
      <w:bookmarkStart w:id="18" w:name="_Toc32623"/>
      <w:bookmarkStart w:id="19" w:name="_Toc6666"/>
      <w:bookmarkStart w:id="20" w:name="_Toc32189"/>
      <w:bookmarkStart w:id="21" w:name="_Toc29554"/>
      <w:bookmarkStart w:id="22" w:name="_Toc28967"/>
      <w:bookmarkStart w:id="23" w:name="_Toc520356144"/>
      <w:bookmarkStart w:id="24" w:name="_Toc29817"/>
      <w:bookmarkStart w:id="25" w:name="_Toc5199"/>
      <w:bookmarkStart w:id="26" w:name="_Toc8405"/>
      <w:bookmarkStart w:id="27" w:name="_Toc12861"/>
      <w:bookmarkStart w:id="28" w:name="_Toc31685"/>
      <w:bookmarkStart w:id="29" w:name="_Toc515647758"/>
      <w:bookmarkStart w:id="30" w:name="_Toc333"/>
      <w:bookmarkStart w:id="31" w:name="_Toc13879"/>
      <w:bookmarkStart w:id="32" w:name="_Toc22650"/>
      <w:bookmarkStart w:id="33" w:name="_Toc881"/>
      <w:bookmarkStart w:id="34" w:name="_Toc21286"/>
      <w:bookmarkStart w:id="35" w:name="_Toc1279"/>
      <w:bookmarkStart w:id="36" w:name="_Toc16535"/>
      <w:bookmarkStart w:id="37" w:name="_Toc17791"/>
      <w:bookmarkStart w:id="38" w:name="_Toc520356165"/>
      <w:bookmarkStart w:id="39" w:name="_Toc515647780"/>
      <w:bookmarkStart w:id="40" w:name="_Toc21667"/>
      <w:bookmarkStart w:id="41" w:name="_Toc5231"/>
      <w:bookmarkStart w:id="42" w:name="_Toc19296"/>
      <w:bookmarkStart w:id="43" w:name="_Toc5052"/>
      <w:bookmarkStart w:id="44" w:name="_Toc28586"/>
      <w:bookmarkStart w:id="45" w:name="_Toc32415"/>
      <w:bookmarkStart w:id="46" w:name="_Toc18233"/>
      <w:bookmarkStart w:id="47" w:name="_Toc10550"/>
      <w:bookmarkStart w:id="48" w:name="_Toc21372"/>
      <w:bookmarkStart w:id="49" w:name="_Toc18228"/>
      <w:bookmarkStart w:id="50" w:name="_Toc27495"/>
      <w:bookmarkStart w:id="51" w:name="_Toc378"/>
      <w:r>
        <w:rPr>
          <w:rFonts w:hint="eastAsia" w:ascii="宋体" w:hAnsi="宋体" w:eastAsia="宋体" w:cs="宋体"/>
          <w:color w:val="auto"/>
          <w:highlight w:val="none"/>
          <w:u w:val="none"/>
        </w:rPr>
        <w:t>1.采购人、采购代理机构及</w:t>
      </w:r>
      <w:bookmarkEnd w:id="18"/>
      <w:bookmarkEnd w:id="19"/>
      <w:bookmarkEnd w:id="20"/>
      <w:bookmarkEnd w:id="21"/>
      <w:bookmarkEnd w:id="22"/>
      <w:bookmarkEnd w:id="23"/>
      <w:bookmarkEnd w:id="24"/>
      <w:bookmarkEnd w:id="25"/>
      <w:bookmarkEnd w:id="26"/>
      <w:bookmarkEnd w:id="27"/>
      <w:bookmarkEnd w:id="28"/>
      <w:bookmarkEnd w:id="29"/>
      <w:bookmarkEnd w:id="30"/>
      <w:r>
        <w:rPr>
          <w:rFonts w:hint="eastAsia" w:ascii="宋体" w:hAnsi="宋体" w:eastAsia="宋体" w:cs="宋体"/>
          <w:color w:val="auto"/>
          <w:highlight w:val="none"/>
          <w:u w:val="none"/>
          <w:lang w:eastAsia="zh-CN"/>
        </w:rPr>
        <w:t>投标供应商</w:t>
      </w:r>
      <w:bookmarkEnd w:id="31"/>
      <w:bookmarkEnd w:id="32"/>
      <w:bookmarkEnd w:id="33"/>
      <w:bookmarkEnd w:id="34"/>
      <w:bookmarkEnd w:id="35"/>
      <w:bookmarkEnd w:id="36"/>
      <w:bookmarkEnd w:id="37"/>
    </w:p>
    <w:p>
      <w:pPr>
        <w:shd w:val="clear" w:color="auto" w:fill="auto"/>
        <w:tabs>
          <w:tab w:val="left" w:pos="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1.1采购人：是指依法开展政府采购活动的国家机关、事业单位、团体组织。</w:t>
      </w:r>
    </w:p>
    <w:p>
      <w:pPr>
        <w:shd w:val="clear" w:color="auto" w:fill="auto"/>
        <w:tabs>
          <w:tab w:val="left" w:pos="0"/>
        </w:tabs>
        <w:spacing w:line="360" w:lineRule="exact"/>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本项目的采购人见</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shd w:val="clear" w:color="auto" w:fill="auto"/>
        <w:tabs>
          <w:tab w:val="left" w:pos="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1.2采购代理机构：是指在集中采购机构或从事采购代理业务的社会中介机构。本项目的采购代理机构见</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shd w:val="clear" w:color="auto" w:fill="auto"/>
        <w:spacing w:line="360" w:lineRule="exact"/>
        <w:ind w:left="63" w:leftChars="30"/>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：是指向采购人提供货物、工程或者服务的</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、非</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组织或者自然人。本项目的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及其投标货物须满足以下条件：</w:t>
      </w:r>
    </w:p>
    <w:p>
      <w:pPr>
        <w:shd w:val="clear" w:color="auto" w:fill="auto"/>
        <w:spacing w:line="360" w:lineRule="exact"/>
        <w:ind w:left="850" w:hanging="849" w:hangingChars="354"/>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在中华人民共和国境内注册，能够独立承担民事责任，有生产或供应能力的本国供应商。</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1.3.2  具备《中华人民共和国政府采购法》第二十二条关于供应商条件的规定，遵守本项目采购人本级和上级财政部门政府采购的有关规定。</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1.3.3   以采购代理机构认可的方式获得了本项目的招标文件。</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1.3.4   符合</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中规定的其他要求。</w:t>
      </w:r>
    </w:p>
    <w:p>
      <w:pPr>
        <w:shd w:val="clear" w:color="auto" w:fill="auto"/>
        <w:spacing w:line="360" w:lineRule="exact"/>
        <w:ind w:left="840" w:hanging="840" w:hanging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1.3.5    若</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中写明专门面向中小企业采购的，如</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为非中小企业且所投产品为非中小企业产品，其投标将被认定为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    如</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中允许联合体投标，对联合体规定如下：</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1.4.1   两个以上供应商可以组成一个投标联合体，以一个</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的身份投标。</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1.4.2   联合体各方均应符合《中华人民共和国政府采购法》第二十二条规定的条件。</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1.4.3   采购人根据采购项目对</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的特殊要求，联合体中至少应当有一方符合相关规定。</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1.4.4   联合体各方应签订共同投标协议，明确约定联合体各方承担的工作和相应的责任，并将共同投标协议连同作为投标文件第一部分的内容提交。</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1.4.5   大中型企业、其他自然人、</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或者非</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组织与小型、微型企业组成联合体共同参加投标，共同投标协议中应写明小型、微型企业的协议合同金额占到共同投标协议投标总金额的比例。</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1.4.6  联合体中有同类资质的供应商按照联合体分工承担相同工作的，按照较低的资质等级确定联合体的资质等级。</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1.4.7  以联合体形式参加政府采购活动的，联合体各方不得再单独参加或者与其他供应商另外组成联合体参加本项目投标，否则相关投标将被认定为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1.4.8   对联合体投标的其他资格要求见</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1.5    单位负责人为同一人或者存在直接控股、管理关系的不同供应商，其相关投标将被认定为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在投标过程中不得向采购人提供、给予任何有价值的物品，影响其正常决策行为。一经发现，其将被认定为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8"/>
        <w:shd w:val="clear" w:color="auto" w:fill="auto"/>
        <w:spacing w:before="0" w:after="0" w:line="360" w:lineRule="exact"/>
        <w:rPr>
          <w:rFonts w:hint="eastAsia" w:ascii="宋体" w:hAnsi="宋体" w:eastAsia="宋体" w:cs="宋体"/>
          <w:color w:val="auto"/>
          <w:highlight w:val="none"/>
          <w:u w:val="none"/>
        </w:rPr>
      </w:pPr>
      <w:bookmarkStart w:id="52" w:name="_Toc6151"/>
      <w:bookmarkStart w:id="53" w:name="_Toc515647759"/>
      <w:bookmarkStart w:id="54" w:name="_Toc7800"/>
      <w:bookmarkStart w:id="55" w:name="_Toc22380"/>
      <w:bookmarkStart w:id="56" w:name="_Toc5286"/>
      <w:bookmarkStart w:id="57" w:name="_Toc29088"/>
      <w:bookmarkStart w:id="58" w:name="_Toc17915"/>
      <w:bookmarkStart w:id="59" w:name="_Toc28511"/>
      <w:bookmarkStart w:id="60" w:name="_Toc17595"/>
      <w:bookmarkStart w:id="61" w:name="_Toc30314"/>
      <w:bookmarkStart w:id="62" w:name="_Toc12139"/>
      <w:bookmarkStart w:id="63" w:name="_Toc27814"/>
      <w:bookmarkStart w:id="64" w:name="_Toc3281"/>
      <w:bookmarkStart w:id="65" w:name="_Toc14630"/>
      <w:bookmarkStart w:id="66" w:name="_Toc1403"/>
      <w:bookmarkStart w:id="67" w:name="_Toc7964"/>
      <w:bookmarkStart w:id="68" w:name="_Toc1760"/>
      <w:bookmarkStart w:id="69" w:name="_Toc14195"/>
      <w:bookmarkStart w:id="70" w:name="_Toc22443"/>
      <w:r>
        <w:rPr>
          <w:rFonts w:hint="eastAsia" w:ascii="宋体" w:hAnsi="宋体" w:eastAsia="宋体" w:cs="宋体"/>
          <w:color w:val="auto"/>
          <w:highlight w:val="none"/>
          <w:u w:val="none"/>
        </w:rPr>
        <w:t>2.资金来源</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本项目的采购人已获得足以支付本次招标后所签订的合同项下的资金（包括财政性资金和本项目采购中无法与财政性资金分割的非财政性资金）。</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2.2    项目预算金额和分项或分包最高限价</w:t>
      </w:r>
      <w:r>
        <w:rPr>
          <w:rFonts w:hint="eastAsia" w:ascii="宋体" w:hAnsi="宋体" w:eastAsia="宋体" w:cs="宋体"/>
          <w:color w:val="auto"/>
          <w:sz w:val="24"/>
          <w:highlight w:val="none"/>
          <w:u w:val="single"/>
        </w:rPr>
        <w:t>见</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报价超过招标文件规定的预算金额或者分项、分包最高限价的，其投标将被认定为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8"/>
        <w:shd w:val="clear" w:color="auto" w:fill="auto"/>
        <w:spacing w:before="0" w:after="0" w:line="360" w:lineRule="exact"/>
        <w:rPr>
          <w:rFonts w:hint="eastAsia" w:ascii="宋体" w:hAnsi="宋体" w:eastAsia="宋体" w:cs="宋体"/>
          <w:color w:val="auto"/>
          <w:highlight w:val="none"/>
          <w:u w:val="none"/>
        </w:rPr>
      </w:pPr>
      <w:bookmarkStart w:id="71" w:name="_Toc20526"/>
      <w:bookmarkStart w:id="72" w:name="_Toc19062"/>
      <w:bookmarkStart w:id="73" w:name="_Toc22731"/>
      <w:bookmarkStart w:id="74" w:name="_Toc515647760"/>
      <w:bookmarkStart w:id="75" w:name="_Toc6740"/>
      <w:bookmarkStart w:id="76" w:name="_Toc530"/>
      <w:bookmarkStart w:id="77" w:name="_Toc15936"/>
      <w:bookmarkStart w:id="78" w:name="_Toc28188"/>
      <w:bookmarkStart w:id="79" w:name="_Toc520356145"/>
      <w:bookmarkStart w:id="80" w:name="_Toc5207"/>
      <w:bookmarkStart w:id="81" w:name="_Toc29481"/>
      <w:bookmarkStart w:id="82" w:name="_Toc15244"/>
      <w:bookmarkStart w:id="83" w:name="_Toc29681"/>
      <w:bookmarkStart w:id="84" w:name="_Toc5647"/>
      <w:bookmarkStart w:id="85" w:name="_Toc30650"/>
      <w:bookmarkStart w:id="86" w:name="_Toc15181"/>
      <w:bookmarkStart w:id="87" w:name="_Toc20163"/>
      <w:bookmarkStart w:id="88" w:name="_Toc20799"/>
      <w:bookmarkStart w:id="89" w:name="_Toc25814"/>
      <w:r>
        <w:rPr>
          <w:rFonts w:hint="eastAsia" w:ascii="宋体" w:hAnsi="宋体" w:eastAsia="宋体" w:cs="宋体"/>
          <w:color w:val="auto"/>
          <w:highlight w:val="none"/>
          <w:u w:val="none"/>
        </w:rPr>
        <w:t>3.投标费用</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不论投标的结果如何，</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应承担所有与准备和参加投标有关的费用。</w:t>
      </w:r>
    </w:p>
    <w:p>
      <w:pPr>
        <w:pStyle w:val="8"/>
        <w:shd w:val="clear" w:color="auto" w:fill="auto"/>
        <w:spacing w:before="0" w:after="0" w:line="360" w:lineRule="exact"/>
        <w:rPr>
          <w:rFonts w:hint="eastAsia" w:ascii="宋体" w:hAnsi="宋体" w:eastAsia="宋体" w:cs="宋体"/>
          <w:color w:val="auto"/>
          <w:highlight w:val="none"/>
          <w:u w:val="none"/>
        </w:rPr>
      </w:pPr>
      <w:bookmarkStart w:id="90" w:name="_Toc16328"/>
      <w:bookmarkStart w:id="91" w:name="_Toc4463"/>
      <w:bookmarkStart w:id="92" w:name="_Toc16096"/>
      <w:bookmarkStart w:id="93" w:name="_Toc1198"/>
      <w:bookmarkStart w:id="94" w:name="_Toc4922"/>
      <w:bookmarkStart w:id="95" w:name="_Toc16086"/>
      <w:bookmarkStart w:id="96" w:name="_Toc19989"/>
      <w:bookmarkStart w:id="97" w:name="_Toc6116"/>
      <w:bookmarkStart w:id="98" w:name="_Toc8843"/>
      <w:bookmarkStart w:id="99" w:name="_Toc7418"/>
      <w:bookmarkStart w:id="100" w:name="_Toc12920"/>
      <w:bookmarkStart w:id="101" w:name="_Toc28275"/>
      <w:bookmarkStart w:id="102" w:name="_Toc8245"/>
      <w:bookmarkStart w:id="103" w:name="_Toc515647761"/>
      <w:bookmarkStart w:id="104" w:name="_Toc5853"/>
      <w:bookmarkStart w:id="105" w:name="_Toc20221"/>
      <w:bookmarkStart w:id="106" w:name="_Toc8661"/>
      <w:bookmarkStart w:id="107" w:name="_Toc24665"/>
      <w:bookmarkStart w:id="108" w:name="_Toc27687"/>
      <w:r>
        <w:rPr>
          <w:rFonts w:hint="eastAsia" w:ascii="宋体" w:hAnsi="宋体" w:eastAsia="宋体" w:cs="宋体"/>
          <w:color w:val="auto"/>
          <w:highlight w:val="none"/>
          <w:u w:val="none"/>
        </w:rPr>
        <w:t>4.适用法律</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项目采购人、采购代理机构、投标供应商、评标委员会的相关行为均受《中华人民共和国政府采购法》、《中华人民共和国政府采购法实施条例》、《中华人民共和国财政部令第87号--政府采购货物和货物招标投标管理办法》及本项目本级和上级财政部门政府采购有关规定的约束，其权利受到上述法律法规的保护。</w:t>
      </w:r>
    </w:p>
    <w:p>
      <w:pPr>
        <w:shd w:val="clear" w:color="auto" w:fill="auto"/>
        <w:spacing w:line="360" w:lineRule="exact"/>
        <w:rPr>
          <w:rFonts w:hint="eastAsia" w:ascii="宋体" w:hAnsi="宋体" w:eastAsia="宋体" w:cs="宋体"/>
          <w:color w:val="auto"/>
          <w:sz w:val="24"/>
          <w:highlight w:val="none"/>
        </w:rPr>
      </w:pPr>
    </w:p>
    <w:p>
      <w:pPr>
        <w:pStyle w:val="7"/>
        <w:shd w:val="clear" w:color="auto" w:fill="auto"/>
        <w:spacing w:before="0" w:line="360" w:lineRule="exact"/>
        <w:rPr>
          <w:rFonts w:hint="eastAsia" w:ascii="宋体" w:hAnsi="宋体" w:eastAsia="宋体" w:cs="宋体"/>
          <w:color w:val="auto"/>
          <w:highlight w:val="none"/>
        </w:rPr>
      </w:pPr>
      <w:bookmarkStart w:id="109" w:name="_Toc216582806"/>
      <w:bookmarkStart w:id="110" w:name="_Toc6657"/>
      <w:bookmarkStart w:id="111" w:name="_Toc21566"/>
      <w:bookmarkStart w:id="112" w:name="_Toc6385"/>
      <w:bookmarkStart w:id="113" w:name="_Toc4365"/>
      <w:bookmarkStart w:id="114" w:name="_Toc515647762"/>
      <w:bookmarkStart w:id="115" w:name="_Toc520356146"/>
      <w:bookmarkStart w:id="116" w:name="_Toc11490"/>
      <w:r>
        <w:rPr>
          <w:rFonts w:hint="eastAsia" w:ascii="宋体" w:hAnsi="宋体" w:eastAsia="宋体" w:cs="宋体"/>
          <w:color w:val="auto"/>
          <w:sz w:val="28"/>
          <w:highlight w:val="none"/>
        </w:rPr>
        <w:t>二   招标文件</w:t>
      </w:r>
      <w:bookmarkEnd w:id="109"/>
      <w:bookmarkEnd w:id="110"/>
      <w:bookmarkEnd w:id="111"/>
      <w:bookmarkEnd w:id="112"/>
      <w:bookmarkEnd w:id="113"/>
      <w:bookmarkEnd w:id="114"/>
      <w:bookmarkEnd w:id="115"/>
      <w:bookmarkEnd w:id="116"/>
    </w:p>
    <w:p>
      <w:pPr>
        <w:pStyle w:val="8"/>
        <w:shd w:val="clear" w:color="auto" w:fill="auto"/>
        <w:spacing w:before="0" w:after="0" w:line="360" w:lineRule="exact"/>
        <w:rPr>
          <w:rFonts w:hint="eastAsia" w:ascii="宋体" w:hAnsi="宋体" w:eastAsia="宋体" w:cs="宋体"/>
          <w:color w:val="auto"/>
          <w:highlight w:val="none"/>
          <w:u w:val="none"/>
        </w:rPr>
      </w:pPr>
      <w:bookmarkStart w:id="117" w:name="_Toc15203"/>
      <w:bookmarkStart w:id="118" w:name="_Toc14901"/>
      <w:bookmarkStart w:id="119" w:name="_Toc520356147"/>
      <w:bookmarkStart w:id="120" w:name="_Toc30347"/>
      <w:bookmarkStart w:id="121" w:name="_Toc25967"/>
      <w:bookmarkStart w:id="122" w:name="_Toc17011"/>
      <w:bookmarkStart w:id="123" w:name="_Toc25743"/>
      <w:bookmarkStart w:id="124" w:name="_Toc24971"/>
      <w:bookmarkStart w:id="125" w:name="_Toc14084"/>
      <w:bookmarkStart w:id="126" w:name="_Toc515647763"/>
      <w:bookmarkStart w:id="127" w:name="_Toc13081"/>
      <w:bookmarkStart w:id="128" w:name="_Toc30280"/>
      <w:bookmarkStart w:id="129" w:name="_Toc12003"/>
      <w:bookmarkStart w:id="130" w:name="_Toc27309"/>
      <w:bookmarkStart w:id="131" w:name="_Toc20135"/>
      <w:bookmarkStart w:id="132" w:name="_Toc30797"/>
      <w:bookmarkStart w:id="133" w:name="_Toc12679"/>
      <w:bookmarkStart w:id="134" w:name="_Toc29550"/>
      <w:bookmarkStart w:id="135" w:name="_Toc18213"/>
      <w:bookmarkStart w:id="136" w:name="_Toc8757"/>
      <w:r>
        <w:rPr>
          <w:rFonts w:hint="eastAsia" w:ascii="宋体" w:hAnsi="宋体" w:eastAsia="宋体" w:cs="宋体"/>
          <w:color w:val="auto"/>
          <w:highlight w:val="none"/>
          <w:u w:val="none"/>
        </w:rPr>
        <w:t>5.招标文件构成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招标文件分为三册共7章，内容如下：</w:t>
      </w:r>
    </w:p>
    <w:p>
      <w:pPr>
        <w:shd w:val="clear" w:color="auto" w:fill="auto"/>
        <w:spacing w:line="360" w:lineRule="exact"/>
        <w:ind w:firstLine="60" w:firstLineChars="25"/>
        <w:rPr>
          <w:rFonts w:hint="eastAsia" w:ascii="宋体" w:hAnsi="宋体" w:eastAsia="宋体" w:cs="宋体"/>
          <w:color w:val="auto"/>
          <w:sz w:val="24"/>
          <w:highlight w:val="none"/>
        </w:rPr>
      </w:pPr>
      <w:r>
        <w:rPr>
          <w:rFonts w:hint="eastAsia" w:ascii="宋体" w:hAnsi="宋体" w:eastAsia="宋体" w:cs="宋体"/>
          <w:color w:val="auto"/>
          <w:sz w:val="24"/>
          <w:highlight w:val="none"/>
        </w:rPr>
        <w:t>第一册</w:t>
      </w:r>
    </w:p>
    <w:p>
      <w:pPr>
        <w:shd w:val="clear" w:color="auto" w:fill="auto"/>
        <w:tabs>
          <w:tab w:val="left" w:pos="0"/>
        </w:tabs>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须知</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2投标文件格式</w:t>
      </w:r>
    </w:p>
    <w:p>
      <w:pPr>
        <w:shd w:val="clear" w:color="auto" w:fill="auto"/>
        <w:spacing w:line="360" w:lineRule="exact"/>
        <w:ind w:firstLine="33" w:firstLineChars="14"/>
        <w:rPr>
          <w:rFonts w:hint="eastAsia" w:ascii="宋体" w:hAnsi="宋体" w:eastAsia="宋体" w:cs="宋体"/>
          <w:color w:val="auto"/>
          <w:sz w:val="24"/>
          <w:highlight w:val="none"/>
        </w:rPr>
      </w:pPr>
      <w:r>
        <w:rPr>
          <w:rFonts w:hint="eastAsia" w:ascii="宋体" w:hAnsi="宋体" w:eastAsia="宋体" w:cs="宋体"/>
          <w:color w:val="auto"/>
          <w:sz w:val="24"/>
          <w:highlight w:val="none"/>
        </w:rPr>
        <w:t>第二册</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 投标邀请</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须知资料表</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 xml:space="preserve">内容及项目要求 </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6 评标方法和标准</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第三册</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7政府采购合同格式</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如本文件的前后内容不一致，以最后描述为准。</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5.3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应认真阅读招标文件所有的事项、格式、条款和技术规范等。如</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没有按照招标文件要求提交全部资料，或者投标文件没有对招标文件在各方面都做出实质性响应，可能导致其投标将被认定为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8"/>
        <w:shd w:val="clear" w:color="auto" w:fill="auto"/>
        <w:spacing w:before="0" w:after="0" w:line="360" w:lineRule="exact"/>
        <w:rPr>
          <w:rFonts w:hint="eastAsia" w:ascii="宋体" w:hAnsi="宋体" w:eastAsia="宋体" w:cs="宋体"/>
          <w:color w:val="auto"/>
          <w:highlight w:val="none"/>
          <w:u w:val="none"/>
        </w:rPr>
      </w:pPr>
      <w:bookmarkStart w:id="137" w:name="_Toc520356148"/>
      <w:bookmarkStart w:id="138" w:name="_Toc515904805"/>
      <w:bookmarkStart w:id="139" w:name="_Toc20202"/>
      <w:bookmarkStart w:id="140" w:name="_Toc29335"/>
      <w:bookmarkStart w:id="141" w:name="_Toc18890"/>
      <w:bookmarkStart w:id="142" w:name="_Toc1117"/>
      <w:bookmarkStart w:id="143" w:name="_Toc10537"/>
      <w:bookmarkStart w:id="144" w:name="_Toc10034"/>
      <w:bookmarkStart w:id="145" w:name="_Toc13818"/>
      <w:bookmarkStart w:id="146" w:name="_Toc4550"/>
      <w:bookmarkStart w:id="147" w:name="_Toc19275"/>
      <w:bookmarkStart w:id="148" w:name="_Toc17776"/>
      <w:bookmarkStart w:id="149" w:name="_Toc24646"/>
      <w:bookmarkStart w:id="150" w:name="_Toc28731"/>
      <w:bookmarkStart w:id="151" w:name="_Toc15785"/>
      <w:bookmarkStart w:id="152" w:name="_Toc26044"/>
      <w:bookmarkStart w:id="153" w:name="_Toc11842"/>
      <w:bookmarkStart w:id="154" w:name="_Toc31251"/>
      <w:bookmarkStart w:id="155" w:name="_Toc9232"/>
      <w:r>
        <w:rPr>
          <w:rFonts w:hint="eastAsia" w:ascii="宋体" w:hAnsi="宋体" w:eastAsia="宋体" w:cs="宋体"/>
          <w:color w:val="auto"/>
          <w:highlight w:val="none"/>
          <w:u w:val="none"/>
        </w:rPr>
        <w:t>6.招标文件的澄清</w:t>
      </w:r>
      <w:bookmarkEnd w:id="137"/>
      <w:bookmarkEnd w:id="138"/>
      <w:r>
        <w:rPr>
          <w:rFonts w:hint="eastAsia" w:ascii="宋体" w:hAnsi="宋体" w:eastAsia="宋体" w:cs="宋体"/>
          <w:color w:val="auto"/>
          <w:highlight w:val="none"/>
          <w:u w:val="none"/>
        </w:rPr>
        <w:t>与修改</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pStyle w:val="4"/>
        <w:shd w:val="clear" w:color="auto" w:fill="auto"/>
        <w:spacing w:line="360" w:lineRule="exact"/>
        <w:ind w:left="840" w:hanging="840" w:hangingChars="35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    为了保证对招标文件的澄清和修改满足法律的时限要求，任何要求对招标文件进行澄清的</w:t>
      </w:r>
      <w:r>
        <w:rPr>
          <w:rFonts w:hint="eastAsia" w:ascii="宋体" w:hAnsi="宋体" w:eastAsia="宋体" w:cs="宋体"/>
          <w:color w:val="auto"/>
          <w:szCs w:val="24"/>
          <w:highlight w:val="none"/>
          <w:lang w:eastAsia="zh-CN"/>
        </w:rPr>
        <w:t>投标供应商</w:t>
      </w:r>
      <w:r>
        <w:rPr>
          <w:rFonts w:hint="eastAsia" w:ascii="宋体" w:hAnsi="宋体" w:eastAsia="宋体" w:cs="宋体"/>
          <w:color w:val="auto"/>
          <w:szCs w:val="24"/>
          <w:highlight w:val="none"/>
        </w:rPr>
        <w:t>，均应在投标截止期十五日前，以书面形式将澄清要求通知采购人或采购代理机构。</w:t>
      </w:r>
    </w:p>
    <w:p>
      <w:pPr>
        <w:pStyle w:val="4"/>
        <w:shd w:val="clear" w:color="auto" w:fill="auto"/>
        <w:spacing w:line="360" w:lineRule="exact"/>
        <w:ind w:left="840" w:hanging="840" w:hangingChars="350"/>
        <w:rPr>
          <w:rFonts w:hint="eastAsia" w:ascii="宋体" w:hAnsi="宋体" w:eastAsia="宋体" w:cs="宋体"/>
          <w:color w:val="auto"/>
          <w:szCs w:val="24"/>
          <w:highlight w:val="none"/>
        </w:rPr>
      </w:pPr>
      <w:bookmarkStart w:id="156" w:name="_Ref467378678"/>
      <w:bookmarkStart w:id="157" w:name="_Toc515904806"/>
      <w:bookmarkStart w:id="158" w:name="_Toc520356149"/>
      <w:r>
        <w:rPr>
          <w:rFonts w:hint="eastAsia" w:ascii="宋体" w:hAnsi="宋体" w:eastAsia="宋体" w:cs="宋体"/>
          <w:color w:val="auto"/>
          <w:szCs w:val="24"/>
          <w:highlight w:val="none"/>
        </w:rPr>
        <w:t>6.2</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采购人可主动地或在解答</w:t>
      </w:r>
      <w:r>
        <w:rPr>
          <w:rFonts w:hint="eastAsia" w:ascii="宋体" w:hAnsi="宋体" w:eastAsia="宋体" w:cs="宋体"/>
          <w:color w:val="auto"/>
          <w:szCs w:val="24"/>
          <w:highlight w:val="none"/>
          <w:lang w:eastAsia="zh-CN"/>
        </w:rPr>
        <w:t>投标供应商</w:t>
      </w:r>
      <w:r>
        <w:rPr>
          <w:rFonts w:hint="eastAsia" w:ascii="宋体" w:hAnsi="宋体" w:eastAsia="宋体" w:cs="宋体"/>
          <w:color w:val="auto"/>
          <w:szCs w:val="24"/>
          <w:highlight w:val="none"/>
        </w:rPr>
        <w:t>提出的澄清问题时对招标文件进行澄清或修改。采购代理机构将以发布澄清（更正）公告的方式，澄清或修改招标文件，澄清或修改内容作为招标文件的组成部分。</w:t>
      </w:r>
    </w:p>
    <w:p>
      <w:pPr>
        <w:pStyle w:val="4"/>
        <w:shd w:val="clear" w:color="auto" w:fill="auto"/>
        <w:spacing w:line="360" w:lineRule="exact"/>
        <w:ind w:left="840" w:hanging="840" w:hangingChars="350"/>
        <w:rPr>
          <w:rFonts w:hint="eastAsia" w:ascii="宋体" w:hAnsi="宋体" w:eastAsia="宋体" w:cs="宋体"/>
          <w:color w:val="auto"/>
          <w:szCs w:val="24"/>
          <w:highlight w:val="none"/>
        </w:rPr>
      </w:pPr>
      <w:r>
        <w:rPr>
          <w:rFonts w:hint="eastAsia" w:ascii="宋体" w:hAnsi="宋体" w:eastAsia="宋体" w:cs="宋体"/>
          <w:color w:val="auto"/>
          <w:szCs w:val="24"/>
          <w:highlight w:val="none"/>
        </w:rPr>
        <w:t>6.3</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澄清或者修改的内容可能影响投标文件编制的，采购代理机构将以书面形式通知所有购买招标文件的潜在</w:t>
      </w:r>
      <w:r>
        <w:rPr>
          <w:rFonts w:hint="eastAsia" w:ascii="宋体" w:hAnsi="宋体" w:eastAsia="宋体" w:cs="宋体"/>
          <w:color w:val="auto"/>
          <w:szCs w:val="24"/>
          <w:highlight w:val="none"/>
          <w:lang w:eastAsia="zh-CN"/>
        </w:rPr>
        <w:t>投标供应商</w:t>
      </w:r>
      <w:r>
        <w:rPr>
          <w:rFonts w:hint="eastAsia" w:ascii="宋体" w:hAnsi="宋体" w:eastAsia="宋体" w:cs="宋体"/>
          <w:color w:val="auto"/>
          <w:szCs w:val="24"/>
          <w:highlight w:val="none"/>
        </w:rPr>
        <w:t>，并对其具有约束力。</w:t>
      </w:r>
      <w:r>
        <w:rPr>
          <w:rFonts w:hint="eastAsia" w:ascii="宋体" w:hAnsi="宋体" w:eastAsia="宋体" w:cs="宋体"/>
          <w:color w:val="auto"/>
          <w:szCs w:val="24"/>
          <w:highlight w:val="none"/>
          <w:lang w:eastAsia="zh-CN"/>
        </w:rPr>
        <w:t>投标供应商</w:t>
      </w:r>
      <w:r>
        <w:rPr>
          <w:rFonts w:hint="eastAsia" w:ascii="宋体" w:hAnsi="宋体" w:eastAsia="宋体" w:cs="宋体"/>
          <w:color w:val="auto"/>
          <w:szCs w:val="24"/>
          <w:highlight w:val="none"/>
        </w:rPr>
        <w:t>在收到上述通知后，应及时向采购代理机构回函确认。</w:t>
      </w:r>
    </w:p>
    <w:p>
      <w:pPr>
        <w:pStyle w:val="8"/>
        <w:shd w:val="clear" w:color="auto" w:fill="auto"/>
        <w:tabs>
          <w:tab w:val="left" w:pos="900"/>
        </w:tabs>
        <w:spacing w:before="0" w:after="0" w:line="360" w:lineRule="exact"/>
        <w:rPr>
          <w:rFonts w:hint="eastAsia" w:ascii="宋体" w:hAnsi="宋体" w:eastAsia="宋体" w:cs="宋体"/>
          <w:color w:val="auto"/>
          <w:highlight w:val="none"/>
          <w:u w:val="none"/>
        </w:rPr>
      </w:pPr>
      <w:bookmarkStart w:id="159" w:name="_Toc25635"/>
      <w:bookmarkStart w:id="160" w:name="_Toc32742"/>
      <w:bookmarkStart w:id="161" w:name="_Toc24078"/>
      <w:bookmarkStart w:id="162" w:name="_Toc31080"/>
      <w:bookmarkStart w:id="163" w:name="_Toc22107"/>
      <w:bookmarkStart w:id="164" w:name="_Toc32351"/>
      <w:bookmarkStart w:id="165" w:name="_Toc9663"/>
      <w:bookmarkStart w:id="166" w:name="_Toc5103"/>
      <w:bookmarkStart w:id="167" w:name="_Toc517"/>
      <w:bookmarkStart w:id="168" w:name="_Toc28340"/>
      <w:bookmarkStart w:id="169" w:name="_Toc19637"/>
      <w:bookmarkStart w:id="170" w:name="_Toc978"/>
      <w:bookmarkStart w:id="171" w:name="_Toc1073"/>
      <w:bookmarkStart w:id="172" w:name="_Toc12968"/>
      <w:bookmarkStart w:id="173" w:name="_Toc7836"/>
      <w:bookmarkStart w:id="174" w:name="_Toc3739"/>
      <w:bookmarkStart w:id="175" w:name="_Toc14569"/>
      <w:bookmarkStart w:id="176" w:name="_Toc3631"/>
      <w:r>
        <w:rPr>
          <w:rFonts w:hint="eastAsia" w:ascii="宋体" w:hAnsi="宋体" w:eastAsia="宋体" w:cs="宋体"/>
          <w:color w:val="auto"/>
          <w:highlight w:val="none"/>
          <w:u w:val="none"/>
        </w:rPr>
        <w:t>7</w:t>
      </w:r>
      <w:bookmarkEnd w:id="156"/>
      <w:bookmarkEnd w:id="157"/>
      <w:bookmarkEnd w:id="158"/>
      <w:r>
        <w:rPr>
          <w:rFonts w:hint="eastAsia" w:ascii="宋体" w:hAnsi="宋体" w:eastAsia="宋体" w:cs="宋体"/>
          <w:color w:val="auto"/>
          <w:highlight w:val="none"/>
          <w:u w:val="none"/>
        </w:rPr>
        <w:t>.投标截止时间的顺延</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shd w:val="clear" w:color="auto" w:fill="auto"/>
        <w:spacing w:line="360" w:lineRule="exact"/>
        <w:ind w:left="900" w:hanging="900" w:hangingChars="375"/>
        <w:rPr>
          <w:rFonts w:hint="eastAsia" w:ascii="宋体" w:hAnsi="宋体" w:eastAsia="宋体" w:cs="宋体"/>
          <w:color w:val="auto"/>
          <w:sz w:val="28"/>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为使</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准备投标时有足够的时间对招标文件的澄清或者修改部分进行研究，采购人将依法决定是否顺延投标截止时间。</w:t>
      </w:r>
      <w:bookmarkStart w:id="177" w:name="_Toc516367020"/>
      <w:bookmarkStart w:id="178" w:name="_Toc520356150"/>
      <w:bookmarkStart w:id="179" w:name="_Toc7636"/>
      <w:bookmarkStart w:id="180" w:name="_Toc216582807"/>
      <w:bookmarkStart w:id="181" w:name="_Toc30808"/>
      <w:bookmarkStart w:id="182" w:name="_Toc515647766"/>
    </w:p>
    <w:p>
      <w:pPr>
        <w:shd w:val="clear" w:color="auto" w:fill="auto"/>
        <w:tabs>
          <w:tab w:val="left" w:pos="900"/>
        </w:tabs>
        <w:spacing w:line="360" w:lineRule="exact"/>
        <w:ind w:hanging="540"/>
        <w:rPr>
          <w:rFonts w:hint="eastAsia" w:ascii="宋体" w:hAnsi="宋体" w:eastAsia="宋体" w:cs="宋体"/>
          <w:color w:val="auto"/>
          <w:sz w:val="28"/>
          <w:highlight w:val="none"/>
        </w:rPr>
      </w:pPr>
    </w:p>
    <w:p>
      <w:pPr>
        <w:pStyle w:val="7"/>
        <w:shd w:val="clear" w:color="auto" w:fill="auto"/>
        <w:tabs>
          <w:tab w:val="left" w:pos="900"/>
        </w:tabs>
        <w:spacing w:before="0" w:line="360" w:lineRule="exact"/>
        <w:ind w:hanging="540"/>
        <w:rPr>
          <w:rFonts w:hint="eastAsia" w:ascii="宋体" w:hAnsi="宋体" w:eastAsia="宋体" w:cs="宋体"/>
          <w:color w:val="auto"/>
          <w:sz w:val="28"/>
          <w:highlight w:val="none"/>
        </w:rPr>
      </w:pPr>
      <w:bookmarkStart w:id="183" w:name="_Toc18600"/>
      <w:bookmarkStart w:id="184" w:name="_Toc29522"/>
      <w:r>
        <w:rPr>
          <w:rFonts w:hint="eastAsia" w:ascii="宋体" w:hAnsi="宋体" w:eastAsia="宋体" w:cs="宋体"/>
          <w:color w:val="auto"/>
          <w:sz w:val="28"/>
          <w:highlight w:val="none"/>
        </w:rPr>
        <w:t>三   投标文件</w:t>
      </w:r>
      <w:bookmarkEnd w:id="177"/>
      <w:r>
        <w:rPr>
          <w:rFonts w:hint="eastAsia" w:ascii="宋体" w:hAnsi="宋体" w:eastAsia="宋体" w:cs="宋体"/>
          <w:color w:val="auto"/>
          <w:sz w:val="28"/>
          <w:highlight w:val="none"/>
        </w:rPr>
        <w:t>的编制</w:t>
      </w:r>
      <w:bookmarkEnd w:id="178"/>
      <w:bookmarkEnd w:id="179"/>
      <w:bookmarkEnd w:id="180"/>
      <w:bookmarkEnd w:id="181"/>
      <w:bookmarkEnd w:id="182"/>
      <w:bookmarkEnd w:id="183"/>
      <w:bookmarkEnd w:id="184"/>
    </w:p>
    <w:p>
      <w:pPr>
        <w:pStyle w:val="4"/>
        <w:shd w:val="clear" w:color="auto" w:fill="auto"/>
        <w:spacing w:line="360" w:lineRule="exact"/>
        <w:rPr>
          <w:rFonts w:hint="eastAsia" w:ascii="宋体" w:hAnsi="宋体" w:eastAsia="宋体" w:cs="宋体"/>
          <w:color w:val="auto"/>
          <w:highlight w:val="none"/>
        </w:rPr>
      </w:pPr>
    </w:p>
    <w:p>
      <w:pPr>
        <w:pStyle w:val="8"/>
        <w:shd w:val="clear" w:color="auto" w:fill="auto"/>
        <w:tabs>
          <w:tab w:val="left" w:pos="900"/>
        </w:tabs>
        <w:spacing w:before="0" w:after="0" w:line="360" w:lineRule="exact"/>
        <w:rPr>
          <w:rFonts w:hint="eastAsia" w:ascii="宋体" w:hAnsi="宋体" w:eastAsia="宋体" w:cs="宋体"/>
          <w:color w:val="auto"/>
          <w:highlight w:val="none"/>
          <w:u w:val="none"/>
        </w:rPr>
      </w:pPr>
      <w:bookmarkStart w:id="185" w:name="_Toc12233"/>
      <w:bookmarkStart w:id="186" w:name="_Toc515647767"/>
      <w:bookmarkStart w:id="187" w:name="_Toc15642"/>
      <w:bookmarkStart w:id="188" w:name="_Toc10240"/>
      <w:bookmarkStart w:id="189" w:name="_Toc19600"/>
      <w:bookmarkStart w:id="190" w:name="_Toc3553"/>
      <w:bookmarkStart w:id="191" w:name="_Toc11560"/>
      <w:bookmarkStart w:id="192" w:name="_Toc13336"/>
      <w:bookmarkStart w:id="193" w:name="_Toc13345"/>
      <w:bookmarkStart w:id="194" w:name="_Toc14490"/>
      <w:bookmarkStart w:id="195" w:name="_Toc4315"/>
      <w:bookmarkStart w:id="196" w:name="_Toc5025"/>
      <w:bookmarkStart w:id="197" w:name="_Toc2539"/>
      <w:bookmarkStart w:id="198" w:name="_Toc7786"/>
      <w:bookmarkStart w:id="199" w:name="_Toc26413"/>
      <w:bookmarkStart w:id="200" w:name="_Toc20486"/>
      <w:bookmarkStart w:id="201" w:name="_Toc516367021"/>
      <w:bookmarkStart w:id="202" w:name="_Toc2129"/>
      <w:bookmarkStart w:id="203" w:name="_Toc14344"/>
      <w:bookmarkStart w:id="204" w:name="_Toc2383"/>
      <w:bookmarkStart w:id="205" w:name="_Toc520356151"/>
      <w:r>
        <w:rPr>
          <w:rFonts w:hint="eastAsia" w:ascii="宋体" w:hAnsi="宋体" w:eastAsia="宋体" w:cs="宋体"/>
          <w:color w:val="auto"/>
          <w:highlight w:val="none"/>
          <w:u w:val="none"/>
        </w:rPr>
        <w:t>8.</w:t>
      </w:r>
      <w:r>
        <w:rPr>
          <w:rFonts w:hint="eastAsia" w:ascii="宋体" w:hAnsi="宋体" w:eastAsia="宋体" w:cs="宋体"/>
          <w:color w:val="auto"/>
          <w:highlight w:val="none"/>
          <w:u w:val="none"/>
        </w:rPr>
        <w:tab/>
      </w:r>
      <w:r>
        <w:rPr>
          <w:rFonts w:hint="eastAsia" w:ascii="宋体" w:hAnsi="宋体" w:eastAsia="宋体" w:cs="宋体"/>
          <w:color w:val="auto"/>
          <w:highlight w:val="none"/>
          <w:u w:val="none"/>
        </w:rPr>
        <w:t>投标范围及投标文件中标准和计量单位的使用</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项目有分包的，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可对招标文件其中某一个或几个分包服务进行投标，除非在</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中另有规定。</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8.2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应当对所投分包招标文件中“</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内容及项目要求”所列的所有内容进行投标，如仅响应某一包中的部分内容，其该包投标将被认定为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8.3     除招标文件中有特殊要求外，投标文件中所使用的计量单位，应采用中华人民共和国法定计量单位。</w:t>
      </w:r>
    </w:p>
    <w:p>
      <w:pPr>
        <w:pStyle w:val="8"/>
        <w:shd w:val="clear" w:color="auto" w:fill="auto"/>
        <w:tabs>
          <w:tab w:val="left" w:pos="900"/>
        </w:tabs>
        <w:spacing w:before="0" w:after="0" w:line="360" w:lineRule="exact"/>
        <w:rPr>
          <w:rFonts w:hint="eastAsia" w:ascii="宋体" w:hAnsi="宋体" w:eastAsia="宋体" w:cs="宋体"/>
          <w:color w:val="auto"/>
          <w:highlight w:val="none"/>
          <w:u w:val="none"/>
        </w:rPr>
      </w:pPr>
      <w:bookmarkStart w:id="206" w:name="_Toc516367022"/>
      <w:bookmarkStart w:id="207" w:name="_Ref467306676"/>
      <w:bookmarkStart w:id="208" w:name="_Ref467306195"/>
      <w:bookmarkStart w:id="209" w:name="_Toc258"/>
      <w:bookmarkStart w:id="210" w:name="_Toc8640"/>
      <w:bookmarkStart w:id="211" w:name="_Toc7159"/>
      <w:bookmarkStart w:id="212" w:name="_Toc28307"/>
      <w:bookmarkStart w:id="213" w:name="_Toc16016"/>
      <w:bookmarkStart w:id="214" w:name="_Toc7138"/>
      <w:bookmarkStart w:id="215" w:name="_Toc515647768"/>
      <w:bookmarkStart w:id="216" w:name="_Toc5460"/>
      <w:bookmarkStart w:id="217" w:name="_Toc23575"/>
      <w:bookmarkStart w:id="218" w:name="_Toc4034"/>
      <w:bookmarkStart w:id="219" w:name="_Toc10364"/>
      <w:bookmarkStart w:id="220" w:name="_Toc16310"/>
      <w:bookmarkStart w:id="221" w:name="_Toc520356152"/>
      <w:bookmarkStart w:id="222" w:name="_Toc20770"/>
      <w:bookmarkStart w:id="223" w:name="_Toc11619"/>
      <w:bookmarkStart w:id="224" w:name="_Toc505"/>
      <w:bookmarkStart w:id="225" w:name="_Toc20426"/>
      <w:bookmarkStart w:id="226" w:name="_Toc22897"/>
      <w:bookmarkStart w:id="227" w:name="_Toc15740"/>
      <w:bookmarkStart w:id="228" w:name="_Toc22417"/>
      <w:r>
        <w:rPr>
          <w:rFonts w:hint="eastAsia" w:ascii="宋体" w:hAnsi="宋体" w:eastAsia="宋体" w:cs="宋体"/>
          <w:color w:val="auto"/>
          <w:highlight w:val="none"/>
          <w:u w:val="none"/>
        </w:rPr>
        <w:t>9.投标文件</w:t>
      </w:r>
      <w:bookmarkEnd w:id="206"/>
      <w:bookmarkEnd w:id="207"/>
      <w:bookmarkEnd w:id="208"/>
      <w:r>
        <w:rPr>
          <w:rFonts w:hint="eastAsia" w:ascii="宋体" w:hAnsi="宋体" w:eastAsia="宋体" w:cs="宋体"/>
          <w:color w:val="auto"/>
          <w:highlight w:val="none"/>
          <w:u w:val="none"/>
        </w:rPr>
        <w:t>构成</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shd w:val="clear" w:color="auto" w:fill="auto"/>
        <w:tabs>
          <w:tab w:val="left" w:pos="900"/>
          <w:tab w:val="left" w:pos="5580"/>
        </w:tabs>
        <w:spacing w:line="360" w:lineRule="exact"/>
        <w:ind w:left="960" w:hanging="960" w:hangingChars="400"/>
        <w:jc w:val="left"/>
        <w:rPr>
          <w:rFonts w:hint="eastAsia" w:ascii="宋体" w:hAnsi="宋体" w:eastAsia="宋体" w:cs="宋体"/>
          <w:color w:val="auto"/>
          <w:sz w:val="24"/>
          <w:highlight w:val="none"/>
          <w:u w:val="single"/>
        </w:rPr>
      </w:pPr>
      <w:bookmarkStart w:id="229" w:name="_Ref467052588"/>
      <w:r>
        <w:rPr>
          <w:rFonts w:hint="eastAsia" w:ascii="宋体" w:hAnsi="宋体" w:eastAsia="宋体" w:cs="宋体"/>
          <w:color w:val="auto"/>
          <w:sz w:val="24"/>
          <w:highlight w:val="none"/>
        </w:rPr>
        <w:t xml:space="preserve">9.1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应完整地按招标文件提供的投标文件格式及要求</w:t>
      </w:r>
      <w:r>
        <w:rPr>
          <w:rFonts w:hint="eastAsia" w:ascii="宋体" w:hAnsi="宋体" w:eastAsia="宋体" w:cs="宋体"/>
          <w:color w:val="auto"/>
          <w:sz w:val="24"/>
          <w:highlight w:val="none"/>
          <w:u w:val="single"/>
          <w:lang w:val="en-US" w:eastAsia="zh-CN"/>
        </w:rPr>
        <w:t>编</w:t>
      </w:r>
      <w:r>
        <w:rPr>
          <w:rFonts w:hint="eastAsia" w:ascii="宋体" w:hAnsi="宋体" w:eastAsia="宋体" w:cs="宋体"/>
          <w:color w:val="auto"/>
          <w:sz w:val="24"/>
          <w:highlight w:val="none"/>
          <w:u w:val="single"/>
        </w:rPr>
        <w:t>写投标文件，投标文件应包括“开标一览表及资格证明文件”和“商务及技术文件”两部分，两部分合订成一册，</w:t>
      </w:r>
      <w:r>
        <w:rPr>
          <w:rFonts w:hint="eastAsia" w:ascii="宋体" w:hAnsi="宋体" w:eastAsia="宋体" w:cs="宋体"/>
          <w:b w:val="0"/>
          <w:i w:val="0"/>
          <w:caps w:val="0"/>
          <w:color w:val="auto"/>
          <w:spacing w:val="0"/>
          <w:w w:val="100"/>
          <w:sz w:val="24"/>
          <w:highlight w:val="none"/>
          <w:u w:val="single" w:color="000000"/>
          <w:lang w:val="en-US" w:eastAsia="zh-CN"/>
        </w:rPr>
        <w:t>上传至政采云平台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应承担</w:t>
      </w:r>
      <w:r>
        <w:rPr>
          <w:rFonts w:hint="eastAsia" w:ascii="宋体" w:hAnsi="宋体" w:eastAsia="宋体" w:cs="宋体"/>
          <w:color w:val="auto"/>
          <w:sz w:val="24"/>
          <w:highlight w:val="none"/>
          <w:u w:val="single"/>
          <w:lang w:val="en-US" w:eastAsia="zh-CN"/>
        </w:rPr>
        <w:t>上传</w:t>
      </w:r>
      <w:r>
        <w:rPr>
          <w:rFonts w:hint="eastAsia" w:ascii="宋体" w:hAnsi="宋体" w:eastAsia="宋体" w:cs="宋体"/>
          <w:color w:val="auto"/>
          <w:sz w:val="24"/>
          <w:highlight w:val="none"/>
          <w:u w:val="single"/>
        </w:rPr>
        <w:t>失误产生的任何后果。</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9.2    上述文件应按照招标文件规定的格式填写、签署和盖章。</w:t>
      </w:r>
      <w:bookmarkEnd w:id="229"/>
    </w:p>
    <w:p>
      <w:pPr>
        <w:pStyle w:val="8"/>
        <w:shd w:val="clear" w:color="auto" w:fill="auto"/>
        <w:tabs>
          <w:tab w:val="left" w:pos="900"/>
        </w:tabs>
        <w:spacing w:before="0" w:after="0" w:line="360" w:lineRule="exact"/>
        <w:rPr>
          <w:rFonts w:hint="eastAsia" w:ascii="宋体" w:hAnsi="宋体" w:eastAsia="宋体" w:cs="宋体"/>
          <w:color w:val="auto"/>
          <w:highlight w:val="none"/>
          <w:u w:val="none"/>
        </w:rPr>
      </w:pPr>
      <w:bookmarkStart w:id="230" w:name="_Toc15991"/>
      <w:bookmarkStart w:id="231" w:name="_Toc15151"/>
      <w:bookmarkStart w:id="232" w:name="_Toc10379"/>
      <w:bookmarkStart w:id="233" w:name="_Toc516367023"/>
      <w:bookmarkStart w:id="234" w:name="_Toc6761"/>
      <w:bookmarkStart w:id="235" w:name="_Toc2056"/>
      <w:bookmarkStart w:id="236" w:name="_Toc4601"/>
      <w:bookmarkStart w:id="237" w:name="_Toc32007"/>
      <w:bookmarkStart w:id="238" w:name="_Toc12283"/>
      <w:bookmarkStart w:id="239" w:name="_Toc21106"/>
      <w:bookmarkStart w:id="240" w:name="_Toc24893"/>
      <w:bookmarkStart w:id="241" w:name="_Toc520356153"/>
      <w:bookmarkStart w:id="242" w:name="_Toc30354"/>
      <w:bookmarkStart w:id="243" w:name="_Toc515647769"/>
      <w:bookmarkStart w:id="244" w:name="_Toc7179"/>
      <w:bookmarkStart w:id="245" w:name="_Toc25008"/>
      <w:bookmarkStart w:id="246" w:name="_Toc10584"/>
      <w:bookmarkStart w:id="247" w:name="_Toc32034"/>
      <w:bookmarkStart w:id="248" w:name="_Toc6978"/>
      <w:bookmarkStart w:id="249" w:name="_Toc20916"/>
      <w:bookmarkStart w:id="250" w:name="_Toc18801"/>
      <w:r>
        <w:rPr>
          <w:rFonts w:hint="eastAsia" w:ascii="宋体" w:hAnsi="宋体" w:eastAsia="宋体" w:cs="宋体"/>
          <w:color w:val="auto"/>
          <w:highlight w:val="none"/>
          <w:u w:val="none"/>
        </w:rPr>
        <w:t>10.</w:t>
      </w:r>
      <w:r>
        <w:rPr>
          <w:rFonts w:hint="eastAsia" w:ascii="宋体" w:hAnsi="宋体" w:eastAsia="宋体" w:cs="宋体"/>
          <w:color w:val="auto"/>
          <w:highlight w:val="none"/>
          <w:u w:val="none"/>
        </w:rPr>
        <w:tab/>
      </w:r>
      <w:r>
        <w:rPr>
          <w:rFonts w:hint="eastAsia" w:ascii="宋体" w:hAnsi="宋体" w:eastAsia="宋体" w:cs="宋体"/>
          <w:color w:val="auto"/>
          <w:highlight w:val="none"/>
          <w:u w:val="none"/>
        </w:rPr>
        <w:t>证明投标的的合格性和符合招标文件规定的技术文件</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应提交证明文件，证明其投标内容符合招标文件规定。该证明文件是投标文件的一部分。</w:t>
      </w:r>
    </w:p>
    <w:p>
      <w:pPr>
        <w:shd w:val="clear" w:color="auto" w:fill="auto"/>
        <w:spacing w:line="360" w:lineRule="exact"/>
        <w:ind w:left="900" w:hanging="900" w:hangingChars="375"/>
        <w:rPr>
          <w:rFonts w:hint="eastAsia" w:ascii="宋体" w:hAnsi="宋体" w:eastAsia="宋体" w:cs="宋体"/>
          <w:color w:val="auto"/>
          <w:sz w:val="24"/>
          <w:highlight w:val="none"/>
        </w:rPr>
      </w:pPr>
      <w:bookmarkStart w:id="251" w:name="_Ref467306244"/>
      <w:r>
        <w:rPr>
          <w:rFonts w:hint="eastAsia" w:ascii="宋体" w:hAnsi="宋体" w:eastAsia="宋体" w:cs="宋体"/>
          <w:color w:val="auto"/>
          <w:sz w:val="24"/>
          <w:highlight w:val="none"/>
        </w:rPr>
        <w:t>10.2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上款所述的证明文件，可以是文字资料、图纸和数据，</w:t>
      </w:r>
      <w:bookmarkEnd w:id="251"/>
      <w:r>
        <w:rPr>
          <w:rFonts w:hint="eastAsia" w:ascii="宋体" w:hAnsi="宋体" w:eastAsia="宋体" w:cs="宋体"/>
          <w:color w:val="auto"/>
          <w:sz w:val="24"/>
          <w:highlight w:val="none"/>
        </w:rPr>
        <w:t>它包括：</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10.2.1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内容的详细说明</w:t>
      </w:r>
      <w:r>
        <w:rPr>
          <w:rFonts w:hint="eastAsia" w:ascii="宋体" w:hAnsi="宋体" w:eastAsia="宋体" w:cs="宋体"/>
          <w:color w:val="auto"/>
          <w:sz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10.2.2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从采购单位开始使用至招标文件规定的</w:t>
      </w:r>
      <w:r>
        <w:rPr>
          <w:rFonts w:hint="eastAsia" w:ascii="宋体" w:hAnsi="宋体" w:eastAsia="宋体" w:cs="宋体"/>
          <w:color w:val="auto"/>
          <w:sz w:val="24"/>
          <w:highlight w:val="none"/>
          <w:lang w:val="en-US" w:eastAsia="zh-CN"/>
        </w:rPr>
        <w:t>服务期</w:t>
      </w:r>
      <w:r>
        <w:rPr>
          <w:rFonts w:hint="eastAsia" w:ascii="宋体" w:hAnsi="宋体" w:eastAsia="宋体" w:cs="宋体"/>
          <w:color w:val="auto"/>
          <w:sz w:val="24"/>
          <w:highlight w:val="none"/>
        </w:rPr>
        <w:t>内正常、连续地使用所必须的备</w:t>
      </w:r>
      <w:r>
        <w:rPr>
          <w:rFonts w:hint="eastAsia" w:ascii="宋体" w:hAnsi="宋体" w:eastAsia="宋体" w:cs="宋体"/>
          <w:color w:val="auto"/>
          <w:sz w:val="24"/>
          <w:highlight w:val="none"/>
          <w:lang w:val="en-US" w:eastAsia="zh-CN"/>
        </w:rPr>
        <w:t>品库</w:t>
      </w:r>
      <w:r>
        <w:rPr>
          <w:rFonts w:hint="eastAsia" w:ascii="宋体" w:hAnsi="宋体" w:eastAsia="宋体" w:cs="宋体"/>
          <w:color w:val="auto"/>
          <w:sz w:val="24"/>
          <w:highlight w:val="none"/>
          <w:lang w:eastAsia="zh-CN"/>
        </w:rPr>
        <w:t>。</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textAlignment w:val="auto"/>
        <w:rPr>
          <w:rFonts w:hint="eastAsia" w:ascii="宋体" w:hAnsi="宋体" w:eastAsia="宋体" w:cs="宋体"/>
          <w:color w:val="auto"/>
          <w:highlight w:val="none"/>
          <w:u w:val="none"/>
        </w:rPr>
      </w:pPr>
      <w:bookmarkStart w:id="252" w:name="_Toc10339"/>
      <w:bookmarkStart w:id="253" w:name="_Toc4834"/>
      <w:bookmarkStart w:id="254" w:name="_Toc16707"/>
      <w:bookmarkStart w:id="255" w:name="_Toc25641"/>
      <w:bookmarkStart w:id="256" w:name="_Toc34"/>
      <w:bookmarkStart w:id="257" w:name="_Toc26145"/>
      <w:bookmarkStart w:id="258" w:name="_Toc520356155"/>
      <w:bookmarkStart w:id="259" w:name="_Toc515647770"/>
      <w:bookmarkStart w:id="260" w:name="_Toc6000"/>
      <w:bookmarkStart w:id="261" w:name="_Toc14852"/>
      <w:bookmarkStart w:id="262" w:name="_Toc23231"/>
      <w:bookmarkStart w:id="263" w:name="_Toc29220"/>
      <w:bookmarkStart w:id="264" w:name="_Toc12102"/>
      <w:bookmarkStart w:id="265" w:name="_Toc2248"/>
      <w:bookmarkStart w:id="266" w:name="_Toc17561"/>
      <w:bookmarkStart w:id="267" w:name="_Toc5144"/>
      <w:bookmarkStart w:id="268" w:name="_Toc301"/>
      <w:bookmarkStart w:id="269" w:name="_Toc114"/>
      <w:bookmarkStart w:id="270" w:name="_Toc18539"/>
      <w:bookmarkStart w:id="271" w:name="_Toc14830"/>
      <w:r>
        <w:rPr>
          <w:rFonts w:hint="eastAsia" w:ascii="宋体" w:hAnsi="宋体" w:eastAsia="宋体" w:cs="宋体"/>
          <w:color w:val="auto"/>
          <w:highlight w:val="none"/>
          <w:u w:val="none"/>
        </w:rPr>
        <w:t>11.投标报价</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所有投标均以人民币报价。</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的投标报价应遵守《中华人民共和国价格法》。同时，根据《中华人民共和国政府采购法》第二条的规定，为保证公平竞争，如有主体部分的赠与行为，其投标将被认定为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应在投标分项报价表上标明投标相关</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的单价（如适用）和总价，并由法定代表人或其授权代表签署。</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投标分项报价表上的价格应按下列方式填写；</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11.4</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所报的各分项投标单价在合同履行过程中是固定不变的，不得以任何理由予以变更。任何包含价格调整要求的投标，其投标将被认定为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11.5</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每种</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只能有一个投标报价。采购人不接受具有附加条件的报价。</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textAlignment w:val="auto"/>
        <w:rPr>
          <w:rFonts w:hint="eastAsia" w:ascii="宋体" w:hAnsi="宋体" w:eastAsia="宋体" w:cs="宋体"/>
          <w:color w:val="auto"/>
          <w:highlight w:val="none"/>
          <w:u w:val="none"/>
        </w:rPr>
      </w:pPr>
      <w:bookmarkStart w:id="272" w:name="_Toc520356156"/>
      <w:bookmarkStart w:id="273" w:name="_Toc14082"/>
      <w:bookmarkStart w:id="274" w:name="_Toc5785"/>
      <w:bookmarkStart w:id="275" w:name="_Toc26303"/>
      <w:bookmarkStart w:id="276" w:name="_Toc30245"/>
      <w:bookmarkStart w:id="277" w:name="_Toc515647771"/>
      <w:bookmarkStart w:id="278" w:name="_Toc6006"/>
      <w:bookmarkStart w:id="279" w:name="_Toc21122"/>
      <w:bookmarkStart w:id="280" w:name="_Toc27772"/>
      <w:bookmarkStart w:id="281" w:name="_Toc14161"/>
      <w:bookmarkStart w:id="282" w:name="_Toc21719"/>
      <w:bookmarkStart w:id="283" w:name="_Toc17236"/>
      <w:bookmarkStart w:id="284" w:name="_Toc11514"/>
      <w:bookmarkStart w:id="285" w:name="_Ref467306513"/>
      <w:bookmarkStart w:id="286" w:name="_Toc7630"/>
      <w:bookmarkStart w:id="287" w:name="_Toc1683"/>
      <w:bookmarkStart w:id="288" w:name="_Toc18556"/>
      <w:bookmarkStart w:id="289" w:name="_Toc17788"/>
      <w:bookmarkStart w:id="290" w:name="_Toc4584"/>
      <w:bookmarkStart w:id="291" w:name="_Toc7715"/>
      <w:bookmarkStart w:id="292" w:name="_Toc5648"/>
      <w:r>
        <w:rPr>
          <w:rFonts w:hint="eastAsia" w:ascii="宋体" w:hAnsi="宋体" w:eastAsia="宋体" w:cs="宋体"/>
          <w:color w:val="auto"/>
          <w:highlight w:val="none"/>
          <w:u w:val="none"/>
        </w:rPr>
        <w:t>12.</w:t>
      </w:r>
      <w:r>
        <w:rPr>
          <w:rFonts w:hint="eastAsia" w:ascii="宋体" w:hAnsi="宋体" w:eastAsia="宋体" w:cs="宋体"/>
          <w:color w:val="auto"/>
          <w:highlight w:val="none"/>
          <w:u w:val="none"/>
          <w:lang w:val="en-US" w:eastAsia="zh-CN"/>
        </w:rPr>
        <w:t xml:space="preserve"> </w:t>
      </w:r>
      <w:r>
        <w:rPr>
          <w:rFonts w:hint="eastAsia" w:ascii="宋体" w:hAnsi="宋体" w:eastAsia="宋体" w:cs="宋体"/>
          <w:color w:val="auto"/>
          <w:highlight w:val="none"/>
          <w:u w:val="none"/>
        </w:rPr>
        <w:t>投标保证金</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bookmarkStart w:id="293" w:name="_Ref467306302"/>
      <w:r>
        <w:rPr>
          <w:rFonts w:hint="eastAsia" w:ascii="宋体" w:hAnsi="宋体" w:eastAsia="宋体" w:cs="宋体"/>
          <w:color w:val="auto"/>
          <w:sz w:val="24"/>
          <w:highlight w:val="none"/>
        </w:rPr>
        <w:t>12.1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应提交</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中规定的投标保证金</w:t>
      </w:r>
      <w:bookmarkEnd w:id="293"/>
      <w:r>
        <w:rPr>
          <w:rFonts w:hint="eastAsia" w:ascii="宋体" w:hAnsi="宋体" w:eastAsia="宋体" w:cs="宋体"/>
          <w:color w:val="auto"/>
          <w:sz w:val="24"/>
          <w:highlight w:val="none"/>
        </w:rPr>
        <w:t>，并作为其投标的一部分。</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存在下列情形的，投标保证金不予退还：</w:t>
      </w:r>
    </w:p>
    <w:p>
      <w:pPr>
        <w:pStyle w:val="14"/>
        <w:keepNext w:val="0"/>
        <w:keepLines w:val="0"/>
        <w:pageBreakBefore w:val="0"/>
        <w:widowControl w:val="0"/>
        <w:shd w:val="clear" w:color="auto" w:fill="auto"/>
        <w:tabs>
          <w:tab w:val="left" w:pos="2240"/>
        </w:tabs>
        <w:kinsoku/>
        <w:wordWrap/>
        <w:overflowPunct/>
        <w:topLinePunct w:val="0"/>
        <w:autoSpaceDE/>
        <w:autoSpaceDN/>
        <w:bidi w:val="0"/>
        <w:adjustRightInd/>
        <w:snapToGrid/>
        <w:spacing w:line="460" w:lineRule="exact"/>
        <w:ind w:left="300" w:hanging="300" w:hangingChars="1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（1）在投标有效期内，撤销投标的；</w:t>
      </w:r>
    </w:p>
    <w:p>
      <w:pPr>
        <w:pStyle w:val="14"/>
        <w:keepNext w:val="0"/>
        <w:keepLines w:val="0"/>
        <w:pageBreakBefore w:val="0"/>
        <w:widowControl w:val="0"/>
        <w:shd w:val="clear" w:color="auto" w:fill="auto"/>
        <w:tabs>
          <w:tab w:val="left" w:pos="2240"/>
        </w:tabs>
        <w:kinsoku/>
        <w:wordWrap/>
        <w:overflowPunct/>
        <w:topLinePunct w:val="0"/>
        <w:autoSpaceDE/>
        <w:autoSpaceDN/>
        <w:bidi w:val="0"/>
        <w:adjustRightInd/>
        <w:snapToGrid/>
        <w:spacing w:line="460" w:lineRule="exact"/>
        <w:ind w:left="300" w:hanging="300" w:hangingChars="1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（2）中标后不按本须知第30条的规定与采购人签订合同的；</w:t>
      </w:r>
    </w:p>
    <w:p>
      <w:pPr>
        <w:pStyle w:val="14"/>
        <w:keepNext w:val="0"/>
        <w:keepLines w:val="0"/>
        <w:pageBreakBefore w:val="0"/>
        <w:widowControl w:val="0"/>
        <w:shd w:val="clear" w:color="auto" w:fill="auto"/>
        <w:tabs>
          <w:tab w:val="left" w:pos="2240"/>
        </w:tabs>
        <w:kinsoku/>
        <w:wordWrap/>
        <w:overflowPunct/>
        <w:topLinePunct w:val="0"/>
        <w:autoSpaceDE/>
        <w:autoSpaceDN/>
        <w:bidi w:val="0"/>
        <w:adjustRightInd/>
        <w:snapToGrid/>
        <w:spacing w:line="460" w:lineRule="exact"/>
        <w:ind w:left="300" w:hanging="300" w:hangingChars="1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（3）中标后不按本须知第31条的规定提交履约保证金的；</w:t>
      </w:r>
    </w:p>
    <w:p>
      <w:pPr>
        <w:pStyle w:val="14"/>
        <w:keepNext w:val="0"/>
        <w:keepLines w:val="0"/>
        <w:pageBreakBefore w:val="0"/>
        <w:widowControl w:val="0"/>
        <w:shd w:val="clear" w:color="auto" w:fill="auto"/>
        <w:tabs>
          <w:tab w:val="left" w:pos="2240"/>
        </w:tabs>
        <w:kinsoku/>
        <w:wordWrap/>
        <w:overflowPunct/>
        <w:topLinePunct w:val="0"/>
        <w:autoSpaceDE/>
        <w:autoSpaceDN/>
        <w:bidi w:val="0"/>
        <w:adjustRightInd/>
        <w:snapToGrid/>
        <w:spacing w:line="460" w:lineRule="exact"/>
        <w:ind w:left="300" w:hanging="300" w:hangingChars="1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（4）中标后不按本须知第32条的规定缴纳中标服务费的；</w:t>
      </w:r>
    </w:p>
    <w:p>
      <w:pPr>
        <w:pStyle w:val="14"/>
        <w:keepNext w:val="0"/>
        <w:keepLines w:val="0"/>
        <w:pageBreakBefore w:val="0"/>
        <w:widowControl w:val="0"/>
        <w:shd w:val="clear" w:color="auto" w:fill="auto"/>
        <w:tabs>
          <w:tab w:val="left" w:pos="2240"/>
        </w:tabs>
        <w:kinsoku/>
        <w:wordWrap/>
        <w:overflowPunct/>
        <w:topLinePunct w:val="0"/>
        <w:autoSpaceDE/>
        <w:autoSpaceDN/>
        <w:bidi w:val="0"/>
        <w:adjustRightInd/>
        <w:snapToGrid/>
        <w:spacing w:line="460" w:lineRule="exact"/>
        <w:ind w:left="300" w:hanging="300" w:hangingChars="1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（5）存在其他违法违规行为的。</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bookmarkStart w:id="294" w:name="_Ref467306336"/>
      <w:r>
        <w:rPr>
          <w:rFonts w:hint="eastAsia" w:ascii="宋体" w:hAnsi="宋体" w:eastAsia="宋体" w:cs="宋体"/>
          <w:color w:val="auto"/>
          <w:sz w:val="24"/>
          <w:highlight w:val="none"/>
        </w:rPr>
        <w:t>12.3</w:t>
      </w:r>
      <w:r>
        <w:rPr>
          <w:rFonts w:hint="eastAsia" w:ascii="宋体" w:hAnsi="宋体" w:eastAsia="宋体" w:cs="宋体"/>
          <w:color w:val="auto"/>
          <w:sz w:val="24"/>
          <w:highlight w:val="none"/>
        </w:rPr>
        <w:tab/>
      </w:r>
      <w:bookmarkEnd w:id="294"/>
      <w:r>
        <w:rPr>
          <w:rFonts w:hint="eastAsia" w:ascii="宋体" w:hAnsi="宋体" w:eastAsia="宋体" w:cs="宋体"/>
          <w:color w:val="auto"/>
          <w:sz w:val="24"/>
          <w:highlight w:val="none"/>
        </w:rPr>
        <w:t>政府采购信用担保试点范围内的项目，接受符合财政部门规定的政府采购投标担保函原件。</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未按本须知第12.1和12.3条规定</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提交投标保证金的，其投标将被认定为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12.4.1  采用电汇形式的，一般可以实时入账。</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60" w:hanging="960" w:hangingChars="4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12.4.2  采用支票形式的，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则应充分考虑支票入账时间，以确保投标保证金能按时进入指定账户。根据银行信息交换和付款时间，支票从递交至实际入账一般需要4-5个工作日。如</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未及时提交支票或支票不符合银行委托收款要求（如污损、折叠、胶装等），导致投标保证金不能按时进入指定账户的，将按照招标文件的第22.2条相关规定处理。</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12.5   联合体投标的，可以由联合体中的一方或者共同提交投标保证金。以一方名义提交投标保证金的，对联合体各方均具有约束力。</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投标保证金的退还</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12.6.1  中标人应在与采购人签订合同之日起5个工作日内，及时联系保证金收受机构办理投标保证金无息退还手续。</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12.6.2  未中标</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的投标保证金将在中标通知书发出之日暨中标结果公告公布之日起5个工作日内无息退还。</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应及时联系保证金收受机构办理退还投标保证金手续。</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12.6.3  政府采购投标担保函不予退回。</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12.7    因</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自身原因导致无法及时退还的，采购人或采购代理机构将不承担相应责任。</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textAlignment w:val="auto"/>
        <w:rPr>
          <w:rFonts w:hint="eastAsia" w:ascii="宋体" w:hAnsi="宋体" w:eastAsia="宋体" w:cs="宋体"/>
          <w:color w:val="auto"/>
          <w:highlight w:val="none"/>
          <w:u w:val="none"/>
        </w:rPr>
      </w:pPr>
      <w:bookmarkStart w:id="295" w:name="_Toc26050"/>
      <w:bookmarkStart w:id="296" w:name="_Toc16367"/>
      <w:bookmarkStart w:id="297" w:name="_Toc4650"/>
      <w:bookmarkStart w:id="298" w:name="_Toc2878"/>
      <w:bookmarkStart w:id="299" w:name="_Toc23590"/>
      <w:bookmarkStart w:id="300" w:name="_Toc28542"/>
      <w:bookmarkStart w:id="301" w:name="_Toc31306"/>
      <w:bookmarkStart w:id="302" w:name="_Toc12947"/>
      <w:bookmarkStart w:id="303" w:name="_Toc19152"/>
      <w:bookmarkStart w:id="304" w:name="_Toc19543"/>
      <w:bookmarkStart w:id="305" w:name="_Toc27999"/>
      <w:bookmarkStart w:id="306" w:name="_Toc515647772"/>
      <w:bookmarkStart w:id="307" w:name="_Toc32569"/>
      <w:bookmarkStart w:id="308" w:name="_Toc30519"/>
      <w:bookmarkStart w:id="309" w:name="_Toc520356157"/>
      <w:bookmarkStart w:id="310" w:name="_Toc1977"/>
      <w:bookmarkStart w:id="311" w:name="_Toc32370"/>
      <w:bookmarkStart w:id="312" w:name="_Toc7472"/>
      <w:bookmarkStart w:id="313" w:name="_Toc10784"/>
      <w:bookmarkStart w:id="314" w:name="_Toc17842"/>
      <w:r>
        <w:rPr>
          <w:rFonts w:hint="eastAsia" w:ascii="宋体" w:hAnsi="宋体" w:eastAsia="宋体" w:cs="宋体"/>
          <w:color w:val="auto"/>
          <w:highlight w:val="none"/>
          <w:u w:val="none"/>
        </w:rPr>
        <w:t>13.投标有效期</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投标应在</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中规定时间内保持有效。投标有效期不满足要求的投标，其投标将被认定为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为保证有充分时间签订合同，采购人或采购代理机构可根据实际情况，在原投标有效期截止之前，要求</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延长投标文件的有效期。接受该要求的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将不会被要求和允许修正其投标，且本须知中有关投标保证金的要求须在延长的有效期内继续有效。</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可以拒绝延长投标有效期的要求，其投标保证金将及时无息退还。上述要求和答复都应以书面形式提交。</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textAlignment w:val="auto"/>
        <w:rPr>
          <w:rFonts w:hint="eastAsia" w:ascii="宋体" w:hAnsi="宋体" w:eastAsia="宋体" w:cs="宋体"/>
          <w:color w:val="auto"/>
          <w:highlight w:val="none"/>
          <w:u w:val="none"/>
        </w:rPr>
      </w:pPr>
      <w:bookmarkStart w:id="315" w:name="_Toc520356158"/>
      <w:bookmarkStart w:id="316" w:name="_Toc30127"/>
      <w:bookmarkStart w:id="317" w:name="_Toc4425"/>
      <w:bookmarkStart w:id="318" w:name="_Toc16503"/>
      <w:bookmarkStart w:id="319" w:name="_Toc493"/>
      <w:bookmarkStart w:id="320" w:name="_Toc9672"/>
      <w:bookmarkStart w:id="321" w:name="_Toc3558"/>
      <w:bookmarkStart w:id="322" w:name="_Toc6286"/>
      <w:bookmarkStart w:id="323" w:name="_Toc515647773"/>
      <w:bookmarkStart w:id="324" w:name="_Toc17074"/>
      <w:bookmarkStart w:id="325" w:name="_Toc29619"/>
      <w:bookmarkStart w:id="326" w:name="_Toc10391"/>
      <w:bookmarkStart w:id="327" w:name="_Toc24787"/>
      <w:bookmarkStart w:id="328" w:name="_Toc24981"/>
      <w:bookmarkStart w:id="329" w:name="_Toc14798"/>
      <w:bookmarkStart w:id="330" w:name="_Toc12582"/>
      <w:bookmarkStart w:id="331" w:name="_Toc15911"/>
      <w:bookmarkStart w:id="332" w:name="_Toc11669"/>
      <w:bookmarkStart w:id="333" w:name="_Toc16019"/>
      <w:bookmarkStart w:id="334" w:name="_Toc25504"/>
      <w:r>
        <w:rPr>
          <w:rFonts w:hint="eastAsia" w:ascii="宋体" w:hAnsi="宋体" w:eastAsia="宋体" w:cs="宋体"/>
          <w:color w:val="auto"/>
          <w:highlight w:val="none"/>
          <w:u w:val="none"/>
        </w:rPr>
        <w:t>14.投标文件的签署</w:t>
      </w:r>
      <w:bookmarkEnd w:id="315"/>
      <w:r>
        <w:rPr>
          <w:rFonts w:hint="eastAsia" w:ascii="宋体" w:hAnsi="宋体" w:eastAsia="宋体" w:cs="宋体"/>
          <w:color w:val="auto"/>
          <w:highlight w:val="none"/>
          <w:u w:val="none"/>
        </w:rPr>
        <w:t>及规定</w:t>
      </w:r>
      <w:bookmarkEnd w:id="316"/>
      <w:bookmarkEnd w:id="317"/>
      <w:bookmarkEnd w:id="318"/>
      <w:bookmarkEnd w:id="319"/>
      <w:bookmarkEnd w:id="320"/>
      <w:bookmarkEnd w:id="321"/>
      <w:bookmarkEnd w:id="322"/>
      <w:bookmarkEnd w:id="323"/>
      <w:bookmarkEnd w:id="324"/>
      <w:bookmarkEnd w:id="325"/>
      <w:bookmarkEnd w:id="326"/>
      <w:bookmarkEnd w:id="327"/>
      <w:r>
        <w:rPr>
          <w:rFonts w:hint="eastAsia" w:ascii="宋体" w:hAnsi="宋体" w:eastAsia="宋体" w:cs="宋体"/>
          <w:b/>
          <w:i w:val="0"/>
          <w:caps w:val="0"/>
          <w:color w:val="auto"/>
          <w:spacing w:val="0"/>
          <w:w w:val="100"/>
          <w:sz w:val="24"/>
          <w:highlight w:val="none"/>
          <w:u w:val="single" w:color="000000"/>
          <w:lang w:eastAsia="zh-CN"/>
        </w:rPr>
        <w:t>（</w:t>
      </w:r>
      <w:r>
        <w:rPr>
          <w:rFonts w:hint="eastAsia" w:ascii="宋体" w:hAnsi="宋体" w:eastAsia="宋体" w:cs="宋体"/>
          <w:b/>
          <w:i w:val="0"/>
          <w:caps w:val="0"/>
          <w:color w:val="auto"/>
          <w:spacing w:val="0"/>
          <w:w w:val="100"/>
          <w:sz w:val="24"/>
          <w:highlight w:val="none"/>
          <w:u w:val="single" w:color="000000"/>
          <w:lang w:val="en-US" w:eastAsia="zh-CN"/>
        </w:rPr>
        <w:t>后期邮寄的投标文件</w:t>
      </w:r>
      <w:r>
        <w:rPr>
          <w:rFonts w:hint="eastAsia" w:ascii="宋体" w:hAnsi="宋体" w:eastAsia="宋体" w:cs="宋体"/>
          <w:b/>
          <w:i w:val="0"/>
          <w:caps w:val="0"/>
          <w:color w:val="auto"/>
          <w:spacing w:val="0"/>
          <w:w w:val="100"/>
          <w:sz w:val="24"/>
          <w:highlight w:val="none"/>
          <w:u w:val="single" w:color="000000"/>
          <w:lang w:eastAsia="zh-CN"/>
        </w:rPr>
        <w:t>）</w:t>
      </w:r>
      <w:bookmarkEnd w:id="328"/>
      <w:bookmarkEnd w:id="329"/>
      <w:bookmarkEnd w:id="330"/>
      <w:bookmarkEnd w:id="331"/>
      <w:bookmarkEnd w:id="332"/>
      <w:bookmarkEnd w:id="333"/>
      <w:bookmarkEnd w:id="334"/>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供应商应按供应商须知资料表中的规定，准备和递交</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开标</w:t>
      </w:r>
      <w:r>
        <w:rPr>
          <w:rFonts w:hint="eastAsia" w:ascii="宋体" w:hAnsi="宋体" w:eastAsia="宋体" w:cs="宋体"/>
          <w:color w:val="auto"/>
          <w:sz w:val="24"/>
          <w:highlight w:val="none"/>
        </w:rPr>
        <w:t>一览表”。</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的正本需打印或用不褪色墨水书写，并由供应商的法定代表人或经其正式委托代理人按</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规定在</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上签字或盖章并加盖单位印章。委托代理人须持有书面的“法定代表人授权委托书”，并将其附在</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中。如对</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进行了修改，则应由供应商的法定代表人或其委托代理人在每一修改处签字。</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的副本可采用正本的复印件。</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14.3   </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因字迹潦草、表达不清或装订不当所引起的后果由供应商负责。</w:t>
      </w:r>
      <w:bookmarkStart w:id="335" w:name="_Toc16865"/>
      <w:bookmarkStart w:id="336" w:name="_Toc216582808"/>
      <w:bookmarkStart w:id="337" w:name="_Toc11179"/>
      <w:bookmarkStart w:id="338" w:name="_Toc520356159"/>
      <w:bookmarkStart w:id="339" w:name="_Toc515647774"/>
    </w:p>
    <w:p>
      <w:pPr>
        <w:pStyle w:val="20"/>
        <w:rPr>
          <w:rFonts w:hint="eastAsia" w:ascii="宋体" w:hAnsi="宋体" w:eastAsia="宋体" w:cs="宋体"/>
          <w:color w:val="auto"/>
          <w:sz w:val="24"/>
          <w:highlight w:val="none"/>
        </w:rPr>
      </w:pPr>
    </w:p>
    <w:p>
      <w:pPr>
        <w:pStyle w:val="7"/>
        <w:shd w:val="clear" w:color="auto" w:fill="auto"/>
        <w:spacing w:before="0" w:line="360" w:lineRule="exact"/>
        <w:ind w:hanging="540"/>
        <w:rPr>
          <w:rFonts w:hint="eastAsia" w:ascii="宋体" w:hAnsi="宋体" w:eastAsia="宋体" w:cs="宋体"/>
          <w:color w:val="auto"/>
          <w:sz w:val="24"/>
          <w:highlight w:val="none"/>
        </w:rPr>
      </w:pPr>
      <w:bookmarkStart w:id="340" w:name="_Toc30935"/>
      <w:bookmarkStart w:id="341" w:name="_Toc20543"/>
      <w:bookmarkStart w:id="342" w:name="_Toc25125"/>
      <w:r>
        <w:rPr>
          <w:rFonts w:hint="eastAsia" w:ascii="宋体" w:hAnsi="宋体" w:eastAsia="宋体" w:cs="宋体"/>
          <w:color w:val="auto"/>
          <w:sz w:val="24"/>
          <w:highlight w:val="none"/>
        </w:rPr>
        <w:t>四   投标文件的递交</w:t>
      </w:r>
      <w:bookmarkEnd w:id="335"/>
      <w:bookmarkEnd w:id="336"/>
      <w:bookmarkEnd w:id="337"/>
      <w:bookmarkEnd w:id="338"/>
      <w:bookmarkEnd w:id="339"/>
      <w:bookmarkEnd w:id="340"/>
      <w:bookmarkEnd w:id="341"/>
      <w:bookmarkEnd w:id="342"/>
    </w:p>
    <w:p>
      <w:pPr>
        <w:rPr>
          <w:rFonts w:hint="eastAsia" w:ascii="宋体" w:hAnsi="宋体" w:eastAsia="宋体" w:cs="宋体"/>
          <w:color w:val="auto"/>
          <w:highlight w:val="none"/>
        </w:rPr>
      </w:pPr>
    </w:p>
    <w:p>
      <w:pPr>
        <w:numPr>
          <w:ilvl w:val="0"/>
          <w:numId w:val="1"/>
        </w:num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的密封和标记</w:t>
      </w:r>
      <w:r>
        <w:rPr>
          <w:rFonts w:hint="eastAsia" w:ascii="宋体" w:hAnsi="宋体" w:eastAsia="宋体" w:cs="宋体"/>
          <w:b/>
          <w:i w:val="0"/>
          <w:caps w:val="0"/>
          <w:color w:val="auto"/>
          <w:spacing w:val="0"/>
          <w:w w:val="100"/>
          <w:sz w:val="24"/>
          <w:highlight w:val="none"/>
          <w:u w:val="single" w:color="000000"/>
          <w:lang w:eastAsia="zh-CN"/>
        </w:rPr>
        <w:t>（</w:t>
      </w:r>
      <w:r>
        <w:rPr>
          <w:rFonts w:hint="eastAsia" w:ascii="宋体" w:hAnsi="宋体" w:eastAsia="宋体" w:cs="宋体"/>
          <w:b/>
          <w:i w:val="0"/>
          <w:caps w:val="0"/>
          <w:color w:val="auto"/>
          <w:spacing w:val="0"/>
          <w:w w:val="100"/>
          <w:sz w:val="24"/>
          <w:highlight w:val="none"/>
          <w:u w:val="single" w:color="000000"/>
          <w:lang w:val="en-US" w:eastAsia="zh-CN"/>
        </w:rPr>
        <w:t>后期邮寄的投标文件</w:t>
      </w:r>
      <w:r>
        <w:rPr>
          <w:rFonts w:hint="eastAsia" w:ascii="宋体" w:hAnsi="宋体" w:eastAsia="宋体" w:cs="宋体"/>
          <w:b/>
          <w:i w:val="0"/>
          <w:caps w:val="0"/>
          <w:color w:val="auto"/>
          <w:spacing w:val="0"/>
          <w:w w:val="100"/>
          <w:sz w:val="24"/>
          <w:highlight w:val="none"/>
          <w:u w:val="single" w:color="000000"/>
          <w:lang w:eastAsia="zh-CN"/>
        </w:rPr>
        <w:t>）</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15.1  为方便开启，供应商应将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第一部分和第二部分的内容合并装订成一册，密封提交，并在封皮正面标明“</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”字样。</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15.2   如果供应商未按上述要求标记的，将承担相应的后果。</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16.</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供应商应在供应商须知资料表中规定的</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截止时间前，将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上传到</w:t>
      </w:r>
      <w:r>
        <w:rPr>
          <w:rFonts w:hint="eastAsia" w:ascii="宋体" w:hAnsi="宋体" w:eastAsia="宋体" w:cs="宋体"/>
          <w:color w:val="auto"/>
          <w:sz w:val="24"/>
          <w:highlight w:val="none"/>
          <w:lang w:val="en-US" w:eastAsia="zh-CN"/>
        </w:rPr>
        <w:t>公开招标</w:t>
      </w:r>
      <w:r>
        <w:rPr>
          <w:rFonts w:hint="eastAsia" w:ascii="宋体" w:hAnsi="宋体" w:eastAsia="宋体" w:cs="宋体"/>
          <w:color w:val="auto"/>
          <w:sz w:val="24"/>
          <w:highlight w:val="none"/>
        </w:rPr>
        <w:t>公告中规定的地点。</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采购人和采购代理机构有权按本须知的规定，延迟</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截止时间。在此情况下，采购人、采购代理机构和供应商受</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截止时间制约的所有权利和义务均应延长至新的截止时间。</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16.3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采购人和采购代理机构将拒绝接收在</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截止时间后上传的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的接收、修改与撤回</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17.1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截止时间后上传的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的，采购人和采购代理机构将拒绝接收。</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17.2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上传</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以后，如果供应商要进行修改或撤回</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，供应商对</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的修改或撤回通知应按本须知规定编制、标记。采购人和采购代理机构将予以接收，并视为</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的组成部分。</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173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截止期之后，采购人和采购代理机构不接受供应商主动对其</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做任何修改。</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17.4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采购人和采购代理机构对所接收</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概不退回。</w:t>
      </w:r>
    </w:p>
    <w:p>
      <w:pPr>
        <w:pStyle w:val="20"/>
        <w:rPr>
          <w:rFonts w:hint="eastAsia" w:ascii="宋体" w:hAnsi="宋体" w:eastAsia="宋体" w:cs="宋体"/>
          <w:color w:val="auto"/>
          <w:highlight w:val="none"/>
        </w:rPr>
      </w:pPr>
    </w:p>
    <w:p>
      <w:pPr>
        <w:pStyle w:val="7"/>
        <w:shd w:val="clear" w:color="auto" w:fill="auto"/>
        <w:spacing w:before="0" w:line="360" w:lineRule="exact"/>
        <w:ind w:hanging="540"/>
        <w:rPr>
          <w:rFonts w:hint="eastAsia" w:ascii="宋体" w:hAnsi="宋体" w:eastAsia="宋体" w:cs="宋体"/>
          <w:color w:val="auto"/>
          <w:highlight w:val="none"/>
        </w:rPr>
      </w:pPr>
      <w:bookmarkStart w:id="343" w:name="_Toc216582809"/>
      <w:bookmarkStart w:id="344" w:name="_Toc7470"/>
      <w:bookmarkStart w:id="345" w:name="_Toc12436"/>
      <w:bookmarkStart w:id="346" w:name="_Toc520356163"/>
      <w:bookmarkStart w:id="347" w:name="_Toc28398"/>
      <w:bookmarkStart w:id="348" w:name="_Toc15934"/>
      <w:bookmarkStart w:id="349" w:name="_Toc31839"/>
      <w:bookmarkStart w:id="350" w:name="_Toc515647778"/>
      <w:r>
        <w:rPr>
          <w:rFonts w:hint="eastAsia" w:ascii="宋体" w:hAnsi="宋体" w:eastAsia="宋体" w:cs="宋体"/>
          <w:color w:val="auto"/>
          <w:sz w:val="24"/>
          <w:highlight w:val="none"/>
        </w:rPr>
        <w:t>五   开标及评标</w:t>
      </w:r>
      <w:bookmarkEnd w:id="343"/>
      <w:bookmarkEnd w:id="344"/>
      <w:bookmarkEnd w:id="345"/>
      <w:bookmarkEnd w:id="346"/>
      <w:bookmarkEnd w:id="347"/>
      <w:bookmarkEnd w:id="348"/>
      <w:bookmarkEnd w:id="349"/>
      <w:bookmarkEnd w:id="350"/>
    </w:p>
    <w:p>
      <w:pPr>
        <w:pStyle w:val="8"/>
        <w:numPr>
          <w:ilvl w:val="0"/>
          <w:numId w:val="2"/>
        </w:numPr>
        <w:shd w:val="clear" w:color="auto" w:fill="auto"/>
        <w:spacing w:before="0" w:line="360" w:lineRule="exact"/>
        <w:rPr>
          <w:rFonts w:hint="eastAsia" w:ascii="宋体" w:hAnsi="宋体" w:eastAsia="宋体" w:cs="宋体"/>
          <w:color w:val="auto"/>
          <w:highlight w:val="none"/>
        </w:rPr>
      </w:pPr>
      <w:bookmarkStart w:id="351" w:name="_Toc2886"/>
      <w:bookmarkStart w:id="352" w:name="_Toc23772"/>
      <w:bookmarkStart w:id="353" w:name="_Toc25345"/>
      <w:bookmarkStart w:id="354" w:name="_Toc6064"/>
      <w:bookmarkStart w:id="355" w:name="_Toc11726"/>
      <w:bookmarkStart w:id="356" w:name="_Toc21418"/>
      <w:bookmarkStart w:id="357" w:name="_Toc23987"/>
      <w:bookmarkStart w:id="358" w:name="_Toc7186"/>
      <w:bookmarkStart w:id="359" w:name="_Toc1738"/>
      <w:bookmarkStart w:id="360" w:name="_Toc63"/>
      <w:bookmarkStart w:id="361" w:name="_Toc515647779"/>
      <w:bookmarkStart w:id="362" w:name="_Toc24922"/>
      <w:bookmarkStart w:id="363" w:name="_Toc520356164"/>
      <w:bookmarkStart w:id="364" w:name="_Toc4771"/>
      <w:bookmarkStart w:id="365" w:name="_Toc9432"/>
      <w:bookmarkStart w:id="366" w:name="_Toc19943"/>
      <w:bookmarkStart w:id="367" w:name="_Toc30406"/>
      <w:bookmarkStart w:id="368" w:name="_Toc32409"/>
      <w:bookmarkStart w:id="369" w:name="_Toc10415"/>
      <w:bookmarkStart w:id="370" w:name="_Toc28057"/>
      <w:r>
        <w:rPr>
          <w:rFonts w:hint="eastAsia" w:ascii="宋体" w:hAnsi="宋体" w:eastAsia="宋体" w:cs="宋体"/>
          <w:color w:val="auto"/>
          <w:highlight w:val="none"/>
          <w:u w:val="none"/>
        </w:rPr>
        <w:t>开标</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pPr>
        <w:keepNext w:val="0"/>
        <w:keepLines w:val="0"/>
        <w:pageBreakBefore w:val="0"/>
        <w:widowControl w:val="0"/>
        <w:shd w:val="clear" w:color="auto" w:fill="auto"/>
        <w:kinsoku/>
        <w:wordWrap/>
        <w:overflowPunct/>
        <w:topLinePunct w:val="0"/>
        <w:bidi w:val="0"/>
        <w:snapToGrid/>
        <w:spacing w:line="387"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18.1</w:t>
      </w:r>
      <w:r>
        <w:rPr>
          <w:rFonts w:hint="eastAsia" w:ascii="宋体" w:hAnsi="宋体" w:eastAsia="宋体" w:cs="宋体"/>
          <w:color w:val="auto"/>
          <w:sz w:val="24"/>
          <w:highlight w:val="none"/>
        </w:rPr>
        <w:t>采购人和采购代理机构将按</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须知资料表中规定的开标时间和地点组织公开开标并邀请所有</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代表参加。</w:t>
      </w:r>
    </w:p>
    <w:p>
      <w:pPr>
        <w:keepNext w:val="0"/>
        <w:keepLines w:val="0"/>
        <w:pageBreakBefore w:val="0"/>
        <w:widowControl w:val="0"/>
        <w:shd w:val="clear" w:color="auto" w:fill="auto"/>
        <w:kinsoku/>
        <w:wordWrap/>
        <w:overflowPunct/>
        <w:topLinePunct w:val="0"/>
        <w:bidi w:val="0"/>
        <w:snapToGrid/>
        <w:spacing w:line="387" w:lineRule="exact"/>
        <w:ind w:left="958"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不足3家的，不得开标。</w:t>
      </w:r>
    </w:p>
    <w:p>
      <w:pPr>
        <w:keepNext w:val="0"/>
        <w:keepLines w:val="0"/>
        <w:pageBreakBefore w:val="0"/>
        <w:widowControl w:val="0"/>
        <w:shd w:val="clear" w:color="auto" w:fill="auto"/>
        <w:kinsoku/>
        <w:wordWrap/>
        <w:overflowPunct/>
        <w:topLinePunct w:val="0"/>
        <w:bidi w:val="0"/>
        <w:snapToGrid/>
        <w:spacing w:line="387"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18.2   </w:t>
      </w:r>
      <w:r>
        <w:rPr>
          <w:rFonts w:hint="eastAsia" w:ascii="宋体" w:hAnsi="宋体" w:eastAsia="宋体" w:cs="宋体"/>
          <w:color w:val="auto"/>
          <w:sz w:val="24"/>
          <w:highlight w:val="none"/>
          <w:lang w:val="en-US" w:eastAsia="zh-CN"/>
        </w:rPr>
        <w:t>供应商按照</w:t>
      </w:r>
      <w:r>
        <w:rPr>
          <w:rFonts w:hint="eastAsia" w:ascii="宋体" w:hAnsi="宋体" w:eastAsia="宋体" w:cs="宋体"/>
          <w:color w:val="auto"/>
          <w:sz w:val="24"/>
          <w:highlight w:val="none"/>
        </w:rPr>
        <w:t>须知资料表中规定的开标时间和地点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在规定时间内上传投标文件</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bidi w:val="0"/>
        <w:snapToGrid/>
        <w:spacing w:line="387" w:lineRule="exact"/>
        <w:ind w:left="960" w:hanging="960" w:hangingChars="4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18.3   </w:t>
      </w: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val="en-US" w:eastAsia="zh-CN"/>
        </w:rPr>
        <w:t>在规定时间内度投标文件进行解密，时长为30分钟。</w:t>
      </w:r>
    </w:p>
    <w:p>
      <w:pPr>
        <w:keepNext w:val="0"/>
        <w:keepLines w:val="0"/>
        <w:pageBreakBefore w:val="0"/>
        <w:widowControl w:val="0"/>
        <w:shd w:val="clear" w:color="auto" w:fill="auto"/>
        <w:kinsoku/>
        <w:wordWrap/>
        <w:overflowPunct/>
        <w:topLinePunct w:val="0"/>
        <w:bidi w:val="0"/>
        <w:snapToGrid/>
        <w:spacing w:line="387"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18.4   由</w:t>
      </w: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val="en-US" w:eastAsia="zh-CN"/>
        </w:rPr>
        <w:t>开启开标记录</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须</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lang w:val="en-US" w:eastAsia="zh-CN"/>
        </w:rPr>
        <w:t>在政采云平台对报价进行签字确认</w:t>
      </w:r>
      <w:r>
        <w:rPr>
          <w:rFonts w:hint="eastAsia" w:ascii="宋体" w:hAnsi="宋体" w:eastAsia="宋体" w:cs="宋体"/>
          <w:color w:val="auto"/>
          <w:sz w:val="24"/>
          <w:highlight w:val="none"/>
        </w:rPr>
        <w:t>。</w:t>
      </w:r>
    </w:p>
    <w:p>
      <w:pPr>
        <w:pStyle w:val="8"/>
        <w:spacing w:before="0" w:after="0" w:line="360" w:lineRule="exact"/>
        <w:rPr>
          <w:rFonts w:hint="eastAsia" w:ascii="宋体" w:hAnsi="宋体" w:eastAsia="宋体" w:cs="宋体"/>
          <w:color w:val="auto"/>
          <w:highlight w:val="none"/>
          <w:u w:val="none"/>
        </w:rPr>
      </w:pPr>
      <w:bookmarkStart w:id="371" w:name="_Toc7886"/>
      <w:bookmarkStart w:id="372" w:name="_Toc4112"/>
      <w:bookmarkStart w:id="373" w:name="_Toc11400"/>
      <w:bookmarkStart w:id="374" w:name="_Toc22349"/>
      <w:bookmarkStart w:id="375" w:name="_Toc24590"/>
      <w:bookmarkStart w:id="376" w:name="_Toc25772"/>
      <w:r>
        <w:rPr>
          <w:rFonts w:hint="eastAsia" w:ascii="宋体" w:hAnsi="宋体" w:eastAsia="宋体" w:cs="宋体"/>
          <w:color w:val="auto"/>
          <w:highlight w:val="none"/>
          <w:u w:val="none"/>
        </w:rPr>
        <w:t>19.</w:t>
      </w:r>
      <w:bookmarkEnd w:id="38"/>
      <w:r>
        <w:rPr>
          <w:rFonts w:hint="eastAsia" w:ascii="宋体" w:hAnsi="宋体" w:eastAsia="宋体" w:cs="宋体"/>
          <w:color w:val="auto"/>
          <w:highlight w:val="none"/>
          <w:u w:val="none"/>
        </w:rPr>
        <w:t>资格审查及组建评标委员会</w:t>
      </w:r>
      <w:bookmarkEnd w:id="39"/>
      <w:bookmarkEnd w:id="40"/>
      <w:bookmarkEnd w:id="41"/>
      <w:bookmarkEnd w:id="42"/>
      <w:bookmarkEnd w:id="43"/>
      <w:bookmarkEnd w:id="44"/>
      <w:bookmarkEnd w:id="45"/>
      <w:bookmarkEnd w:id="46"/>
      <w:bookmarkEnd w:id="47"/>
      <w:bookmarkEnd w:id="48"/>
      <w:bookmarkEnd w:id="49"/>
      <w:bookmarkEnd w:id="50"/>
      <w:bookmarkEnd w:id="51"/>
      <w:bookmarkEnd w:id="371"/>
      <w:bookmarkEnd w:id="372"/>
      <w:bookmarkEnd w:id="373"/>
      <w:bookmarkEnd w:id="374"/>
      <w:bookmarkEnd w:id="375"/>
      <w:bookmarkEnd w:id="376"/>
    </w:p>
    <w:p>
      <w:pPr>
        <w:keepNext w:val="0"/>
        <w:keepLines w:val="0"/>
        <w:pageBreakBefore w:val="0"/>
        <w:kinsoku/>
        <w:wordWrap/>
        <w:overflowPunct/>
        <w:topLinePunct w:val="0"/>
        <w:autoSpaceDE/>
        <w:autoSpaceDN/>
        <w:bidi w:val="0"/>
        <w:adjustRightInd/>
        <w:spacing w:line="400" w:lineRule="exact"/>
        <w:ind w:left="960" w:hanging="960" w:hangingChars="4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19.1    采购人或采购代理机构依据法律法规和招标文件中规定的内容，对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及其服务的资格进行审查，</w:t>
      </w:r>
      <w:r>
        <w:rPr>
          <w:rFonts w:hint="eastAsia" w:ascii="宋体" w:hAnsi="宋体" w:eastAsia="宋体" w:cs="宋体"/>
          <w:b/>
          <w:bCs/>
          <w:color w:val="auto"/>
          <w:sz w:val="24"/>
          <w:highlight w:val="none"/>
        </w:rPr>
        <w:t>本项目审查内容如下：</w:t>
      </w:r>
    </w:p>
    <w:p>
      <w:pPr>
        <w:keepNext w:val="0"/>
        <w:keepLines w:val="0"/>
        <w:pageBreakBefore w:val="0"/>
        <w:kinsoku/>
        <w:wordWrap/>
        <w:overflowPunct/>
        <w:topLinePunct w:val="0"/>
        <w:autoSpaceDE/>
        <w:autoSpaceDN/>
        <w:bidi w:val="0"/>
        <w:adjustRightInd/>
        <w:spacing w:line="400" w:lineRule="exact"/>
        <w:ind w:firstLine="964" w:firstLineChars="4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本项目资格审查资料须附在投标文件中：</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具有独立法人资格（三证合一的营业执照）</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2.法定代表人资格证明及授权书、被授权人身份证；(法定代表人投标需提供法定代表人身份证)；</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eastAsia="zh-CN"/>
        </w:rPr>
        <w:t>提供2020年或2021年经审计的财务审计报告（2022年成立的新公司出具近3个月任意一个月的银行资信证明）</w:t>
      </w:r>
      <w:r>
        <w:rPr>
          <w:rFonts w:hint="eastAsia" w:ascii="宋体" w:hAnsi="宋体" w:eastAsia="宋体" w:cs="宋体"/>
          <w:b/>
          <w:bCs/>
          <w:color w:val="auto"/>
          <w:sz w:val="24"/>
          <w:highlight w:val="none"/>
        </w:rPr>
        <w:t>；</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w:t>
      </w:r>
      <w:r>
        <w:rPr>
          <w:rFonts w:hint="eastAsia" w:ascii="宋体" w:hAnsi="宋体" w:eastAsia="宋体" w:cs="宋体"/>
          <w:b/>
          <w:bCs/>
          <w:color w:val="auto"/>
          <w:sz w:val="24"/>
          <w:highlight w:val="none"/>
          <w:lang w:eastAsia="zh-CN"/>
        </w:rPr>
        <w:t>依法缴纳最近连续六个月的社会保险的凭据（授权人和单位员工缴纳明细凭据）</w:t>
      </w:r>
      <w:r>
        <w:rPr>
          <w:rFonts w:hint="eastAsia" w:ascii="宋体" w:hAnsi="宋体" w:eastAsia="宋体" w:cs="宋体"/>
          <w:b/>
          <w:bCs/>
          <w:color w:val="auto"/>
          <w:sz w:val="24"/>
          <w:highlight w:val="none"/>
        </w:rPr>
        <w:t>；</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w:t>
      </w:r>
      <w:r>
        <w:rPr>
          <w:rFonts w:hint="eastAsia" w:ascii="宋体" w:hAnsi="宋体" w:eastAsia="宋体" w:cs="宋体"/>
          <w:b/>
          <w:bCs/>
          <w:color w:val="auto"/>
          <w:sz w:val="24"/>
          <w:highlight w:val="none"/>
          <w:lang w:eastAsia="zh-CN"/>
        </w:rPr>
        <w:t>提供税务部门出具的最近连续六个月的完税证明</w:t>
      </w:r>
      <w:r>
        <w:rPr>
          <w:rFonts w:hint="eastAsia" w:ascii="宋体" w:hAnsi="宋体" w:eastAsia="宋体" w:cs="宋体"/>
          <w:b/>
          <w:bCs/>
          <w:color w:val="auto"/>
          <w:sz w:val="24"/>
          <w:highlight w:val="none"/>
        </w:rPr>
        <w:t>；</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eastAsia="宋体" w:cs="宋体"/>
          <w:b/>
          <w:bCs/>
          <w:color w:val="auto"/>
          <w:sz w:val="24"/>
          <w:highlight w:val="none"/>
          <w:lang w:eastAsia="zh-CN"/>
        </w:rPr>
        <w:t>信用服务-重点领域严重失信主体名单查询-搜索栏输入单位全称-截图</w:t>
      </w:r>
      <w:r>
        <w:rPr>
          <w:rFonts w:hint="eastAsia" w:ascii="宋体" w:hAnsi="宋体" w:eastAsia="宋体" w:cs="宋体"/>
          <w:b/>
          <w:bCs/>
          <w:color w:val="auto"/>
          <w:sz w:val="24"/>
          <w:highlight w:val="none"/>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7.参与政府采购活动前3年内未被列入失信、重大税收违法案件、财政部门禁止参加政府采购活动的承诺书；</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8.提供针对本次项目《反商业贿赂承诺书》；</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9.缴纳投标保证金的有效凭证。</w:t>
      </w:r>
    </w:p>
    <w:p>
      <w:pPr>
        <w:keepNext w:val="0"/>
        <w:keepLines w:val="0"/>
        <w:pageBreakBefore w:val="0"/>
        <w:widowControl/>
        <w:kinsoku/>
        <w:wordWrap/>
        <w:overflowPunct/>
        <w:topLinePunct w:val="0"/>
        <w:autoSpaceDE/>
        <w:autoSpaceDN/>
        <w:bidi w:val="0"/>
        <w:adjustRightInd/>
        <w:snapToGrid w:val="0"/>
        <w:spacing w:line="400" w:lineRule="exact"/>
        <w:jc w:val="left"/>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b/>
          <w:bCs/>
          <w:color w:val="auto"/>
          <w:sz w:val="24"/>
          <w:highlight w:val="none"/>
          <w:lang w:eastAsia="zh-CN"/>
        </w:rPr>
        <w:t>提供税务部门出具的最近连续六个月的完税证明</w:t>
      </w:r>
      <w:r>
        <w:rPr>
          <w:rFonts w:hint="eastAsia" w:ascii="宋体" w:hAnsi="宋体" w:eastAsia="宋体" w:cs="宋体"/>
          <w:b/>
          <w:bCs/>
          <w:color w:val="auto"/>
          <w:sz w:val="24"/>
          <w:highlight w:val="none"/>
        </w:rPr>
        <w:t>”：完税证明中“税种”非养老保险、医疗保险、失业保险、工伤保险和生育保险。请各投标供应商注意！</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提示：上述资质能够通过官方网络查证的，均视为合格供应商。</w:t>
      </w:r>
    </w:p>
    <w:p>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未通过资格审查的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不进入评标；通过资格审查的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少于不足三家的，不得评标。</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hanging="900" w:hangingChars="375"/>
        <w:textAlignment w:val="auto"/>
        <w:rPr>
          <w:rFonts w:hint="eastAsia" w:ascii="宋体" w:hAnsi="宋体" w:eastAsia="宋体" w:cs="宋体"/>
          <w:color w:val="auto"/>
          <w:sz w:val="24"/>
          <w:highlight w:val="none"/>
        </w:rPr>
      </w:pPr>
      <w:bookmarkStart w:id="377" w:name="_Toc520356171"/>
      <w:bookmarkStart w:id="378" w:name="_Toc515647789"/>
      <w:r>
        <w:rPr>
          <w:rFonts w:hint="eastAsia" w:ascii="宋体" w:hAnsi="宋体" w:eastAsia="宋体" w:cs="宋体"/>
          <w:color w:val="auto"/>
          <w:sz w:val="24"/>
          <w:highlight w:val="none"/>
        </w:rPr>
        <w:t>19.2   采购人或采购代理机构将在开标前1个工作日至投标截止后1小时的期间内查询</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的信用记录。</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存在不良信用记录的，其投标将被认定为投标无效。</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19.2.1 不良信用记录指：</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在“信用中国”网站（ www.creditchina.gov.cn） 被列入失信被执行人、重大税收违法案件当事人名单(</w:t>
      </w:r>
      <w:r>
        <w:rPr>
          <w:rFonts w:hint="eastAsia" w:ascii="宋体" w:hAnsi="宋体" w:eastAsia="宋体" w:cs="宋体"/>
          <w:color w:val="auto"/>
          <w:sz w:val="24"/>
          <w:highlight w:val="none"/>
          <w:lang w:eastAsia="zh-CN"/>
        </w:rPr>
        <w:t>信用服务-重点领域严重失信主体名单查询-搜索栏输入单位全称-截图</w:t>
      </w:r>
      <w:r>
        <w:rPr>
          <w:rFonts w:hint="eastAsia" w:ascii="宋体" w:hAnsi="宋体" w:eastAsia="宋体" w:cs="宋体"/>
          <w:color w:val="auto"/>
          <w:sz w:val="24"/>
          <w:highlight w:val="none"/>
        </w:rPr>
        <w:t>)、中国政府采购网（http://www.ccgp.gov.cn/search/cr/）严重违法失信行为记录名单的（尚在处罚期内的），“国家企业信用信息公示系统（http://www.gsxt.gov.cn）”列入严重违法失信企业名单（黑名单）信息及企业信用信息公示报告。</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以联合体形式参加投标的，联合体任何成员存在以上不良信用记录的，联合体投标将被认定为投标无效。</w:t>
      </w:r>
    </w:p>
    <w:p>
      <w:pPr>
        <w:pStyle w:val="4"/>
        <w:keepNext w:val="0"/>
        <w:keepLines w:val="0"/>
        <w:pageBreakBefore w:val="0"/>
        <w:widowControl w:val="0"/>
        <w:shd w:val="clear" w:color="auto" w:fill="auto"/>
        <w:kinsoku/>
        <w:wordWrap/>
        <w:overflowPunct/>
        <w:topLinePunct w:val="0"/>
        <w:bidi w:val="0"/>
        <w:snapToGrid/>
        <w:spacing w:line="387" w:lineRule="exact"/>
        <w:ind w:left="850" w:hanging="849" w:hangingChars="354"/>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19.2.2 查询及记录方式：采购人或采购代理机构经办人将查询网页打印、签字并存档备查。</w:t>
      </w:r>
      <w:r>
        <w:rPr>
          <w:rFonts w:hint="eastAsia" w:ascii="宋体" w:hAnsi="宋体" w:eastAsia="宋体" w:cs="宋体"/>
          <w:color w:val="auto"/>
          <w:highlight w:val="none"/>
          <w:lang w:eastAsia="zh-CN"/>
        </w:rPr>
        <w:t>投标供应商</w:t>
      </w:r>
      <w:r>
        <w:rPr>
          <w:rFonts w:hint="eastAsia" w:ascii="宋体" w:hAnsi="宋体" w:eastAsia="宋体" w:cs="宋体"/>
          <w:color w:val="auto"/>
          <w:highlight w:val="none"/>
        </w:rPr>
        <w:t>不良信用记录以采购人或采购代理机构查询结果为准。</w:t>
      </w:r>
    </w:p>
    <w:p>
      <w:pPr>
        <w:pStyle w:val="4"/>
        <w:keepNext w:val="0"/>
        <w:keepLines w:val="0"/>
        <w:pageBreakBefore w:val="0"/>
        <w:widowControl w:val="0"/>
        <w:shd w:val="clear" w:color="auto" w:fill="auto"/>
        <w:kinsoku/>
        <w:wordWrap/>
        <w:overflowPunct/>
        <w:topLinePunct w:val="0"/>
        <w:bidi w:val="0"/>
        <w:snapToGrid/>
        <w:spacing w:line="387" w:lineRule="exact"/>
        <w:ind w:left="0" w:leftChars="0" w:firstLine="0" w:firstLineChars="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在本招标文件规定的查询时间之后，网站信息发生的任何变更均不再作为评标依据。</w:t>
      </w:r>
    </w:p>
    <w:p>
      <w:pPr>
        <w:pStyle w:val="4"/>
        <w:keepNext w:val="0"/>
        <w:keepLines w:val="0"/>
        <w:pageBreakBefore w:val="0"/>
        <w:widowControl w:val="0"/>
        <w:shd w:val="clear" w:color="auto" w:fill="auto"/>
        <w:kinsoku/>
        <w:wordWrap/>
        <w:overflowPunct/>
        <w:topLinePunct w:val="0"/>
        <w:bidi w:val="0"/>
        <w:snapToGrid/>
        <w:spacing w:line="387" w:lineRule="exact"/>
        <w:ind w:left="0" w:leftChars="0" w:firstLine="0" w:firstLineChars="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投标供应商</w:t>
      </w:r>
      <w:r>
        <w:rPr>
          <w:rFonts w:hint="eastAsia" w:ascii="宋体" w:hAnsi="宋体" w:eastAsia="宋体" w:cs="宋体"/>
          <w:b/>
          <w:bCs/>
          <w:color w:val="auto"/>
          <w:highlight w:val="none"/>
        </w:rPr>
        <w:t>自行提供的与网站信息不一致的其他证明材料亦不作为资格审查依据。</w:t>
      </w:r>
    </w:p>
    <w:p>
      <w:pPr>
        <w:keepNext w:val="0"/>
        <w:keepLines w:val="0"/>
        <w:pageBreakBefore w:val="0"/>
        <w:widowControl w:val="0"/>
        <w:shd w:val="clear" w:color="auto" w:fill="auto"/>
        <w:kinsoku/>
        <w:wordWrap/>
        <w:overflowPunct/>
        <w:topLinePunct w:val="0"/>
        <w:bidi w:val="0"/>
        <w:snapToGrid/>
        <w:spacing w:line="387" w:lineRule="exact"/>
        <w:ind w:left="850" w:hanging="849" w:hangingChars="354"/>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19.3   按照《中华人民共和国政府采购法》、《中华人民共和国政府采购法实施条例》、《政府采购货物和服务招标投标管理办法》财政部令第87号及本项目本级和上级财政部门的有关规定依法在政采云平台上</w:t>
      </w:r>
      <w:r>
        <w:rPr>
          <w:rFonts w:hint="eastAsia" w:ascii="宋体" w:hAnsi="宋体" w:eastAsia="宋体" w:cs="宋体"/>
          <w:color w:val="auto"/>
          <w:sz w:val="24"/>
          <w:highlight w:val="none"/>
          <w:lang w:eastAsia="zh-CN"/>
        </w:rPr>
        <w:t>随机</w:t>
      </w:r>
      <w:r>
        <w:rPr>
          <w:rFonts w:hint="eastAsia" w:ascii="宋体" w:hAnsi="宋体" w:eastAsia="宋体" w:cs="宋体"/>
          <w:color w:val="auto"/>
          <w:sz w:val="24"/>
          <w:highlight w:val="none"/>
        </w:rPr>
        <w:t>抽取</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名评标委员会</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1名业主专家，共计5名评标专家</w:t>
      </w:r>
      <w:r>
        <w:rPr>
          <w:rFonts w:hint="eastAsia" w:ascii="宋体" w:hAnsi="宋体" w:eastAsia="宋体" w:cs="宋体"/>
          <w:color w:val="auto"/>
          <w:sz w:val="24"/>
          <w:highlight w:val="none"/>
        </w:rPr>
        <w:t>负责评标工作。</w:t>
      </w:r>
      <w:bookmarkStart w:id="379" w:name="_Toc520356166"/>
    </w:p>
    <w:p>
      <w:pPr>
        <w:pStyle w:val="8"/>
        <w:keepNext w:val="0"/>
        <w:keepLines w:val="0"/>
        <w:pageBreakBefore w:val="0"/>
        <w:widowControl w:val="0"/>
        <w:shd w:val="clear" w:color="auto" w:fill="auto"/>
        <w:kinsoku/>
        <w:wordWrap/>
        <w:overflowPunct/>
        <w:topLinePunct w:val="0"/>
        <w:bidi w:val="0"/>
        <w:snapToGrid/>
        <w:spacing w:before="0" w:after="0" w:line="387" w:lineRule="exact"/>
        <w:textAlignment w:val="auto"/>
        <w:rPr>
          <w:rFonts w:hint="eastAsia" w:ascii="宋体" w:hAnsi="宋体" w:eastAsia="宋体" w:cs="宋体"/>
          <w:bCs/>
          <w:color w:val="auto"/>
          <w:highlight w:val="none"/>
          <w:bdr w:val="single" w:color="auto" w:sz="4" w:space="0"/>
        </w:rPr>
      </w:pPr>
      <w:bookmarkStart w:id="380" w:name="_Toc22736"/>
      <w:bookmarkStart w:id="381" w:name="_Toc22021"/>
      <w:bookmarkStart w:id="382" w:name="_Toc19949"/>
      <w:bookmarkStart w:id="383" w:name="_Toc13892"/>
      <w:bookmarkStart w:id="384" w:name="_Toc14221"/>
      <w:bookmarkStart w:id="385" w:name="_Toc8432"/>
      <w:bookmarkStart w:id="386" w:name="_Toc14028"/>
      <w:bookmarkStart w:id="387" w:name="_Toc22833"/>
      <w:bookmarkStart w:id="388" w:name="_Toc5726"/>
      <w:bookmarkStart w:id="389" w:name="_Toc10659"/>
      <w:bookmarkStart w:id="390" w:name="_Toc28479"/>
      <w:bookmarkStart w:id="391" w:name="_Toc28438"/>
      <w:bookmarkStart w:id="392" w:name="_Toc515647781"/>
      <w:bookmarkStart w:id="393" w:name="_Toc23424"/>
      <w:bookmarkStart w:id="394" w:name="_Toc14967"/>
      <w:bookmarkStart w:id="395" w:name="_Toc14022"/>
      <w:bookmarkStart w:id="396" w:name="_Toc14173"/>
      <w:bookmarkStart w:id="397" w:name="_Toc30698"/>
      <w:bookmarkStart w:id="398" w:name="_Toc24431"/>
      <w:r>
        <w:rPr>
          <w:rFonts w:hint="eastAsia" w:ascii="宋体" w:hAnsi="宋体" w:eastAsia="宋体" w:cs="宋体"/>
          <w:color w:val="auto"/>
          <w:highlight w:val="none"/>
          <w:u w:val="none"/>
        </w:rPr>
        <w:t>20.投标文件</w:t>
      </w:r>
      <w:bookmarkEnd w:id="379"/>
      <w:r>
        <w:rPr>
          <w:rFonts w:hint="eastAsia" w:ascii="宋体" w:hAnsi="宋体" w:eastAsia="宋体" w:cs="宋体"/>
          <w:color w:val="auto"/>
          <w:highlight w:val="none"/>
          <w:u w:val="none"/>
        </w:rPr>
        <w:t>符合性审查与澄清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符合性审查是指依据招标文件的规定，从投标文件的有效性和完整性对招标文件的响应程度进行审查，以确定是否对招标文件的实质性要求做出响应。</w:t>
      </w:r>
      <w:bookmarkStart w:id="399" w:name="_Hlt522424701"/>
      <w:bookmarkEnd w:id="399"/>
      <w:bookmarkStart w:id="400" w:name="_Toc520356167"/>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投标文件的澄清</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20.2.1  在评标期间，评标委员会将以书面方式要求</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对其投标文件中含义不明确、对同类问题表述不一致或者有明显文字和计算错误的内容，以及评标委员会认为</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的报价明显低于其他通过符合性检查</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的报价，有可能影响履约的情况作必要的澄清、说明或补正。</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的澄清、说明或补正应在评标委员会规定的时间内以书面方式进行，并不得超出投标文件范围或者改变投标文件的实质性内容。</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20.2.2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的的澄清、说明或补正将作为投标文件的一部分。</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20.3  投标文件报价出现前后不一致的，按照下列规定修正：</w:t>
      </w:r>
    </w:p>
    <w:p>
      <w:pPr>
        <w:keepNext w:val="0"/>
        <w:keepLines w:val="0"/>
        <w:pageBreakBefore w:val="0"/>
        <w:widowControl w:val="0"/>
        <w:shd w:val="clear" w:color="auto" w:fill="auto"/>
        <w:kinsoku/>
        <w:wordWrap/>
        <w:overflowPunct/>
        <w:topLinePunct w:val="0"/>
        <w:bidi w:val="0"/>
        <w:snapToGrid/>
        <w:spacing w:line="387" w:lineRule="exact"/>
        <w:ind w:left="1020" w:hanging="1020" w:hangingChars="4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（一）投标文件中开标一览表（报价表）内容与投标文件中相应内容不一致的，以开标一览表（报价表）为准；</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（二）大写金额和小写金额不一致的，以大写金额为准；</w:t>
      </w:r>
    </w:p>
    <w:p>
      <w:pPr>
        <w:pStyle w:val="20"/>
        <w:rPr>
          <w:rFonts w:hint="eastAsia" w:ascii="宋体" w:hAnsi="宋体" w:eastAsia="宋体" w:cs="宋体"/>
          <w:color w:val="auto"/>
          <w:highlight w:val="none"/>
        </w:rPr>
      </w:pPr>
    </w:p>
    <w:p>
      <w:pPr>
        <w:keepNext w:val="0"/>
        <w:keepLines w:val="0"/>
        <w:pageBreakBefore w:val="0"/>
        <w:widowControl w:val="0"/>
        <w:shd w:val="clear" w:color="auto" w:fill="auto"/>
        <w:kinsoku/>
        <w:wordWrap/>
        <w:overflowPunct/>
        <w:topLinePunct w:val="0"/>
        <w:bidi w:val="0"/>
        <w:snapToGrid/>
        <w:spacing w:line="387" w:lineRule="exact"/>
        <w:ind w:left="1020" w:hanging="1020" w:hangingChars="4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（三）单价金额小数点或者百分比有明显错位的，以开标一览表的总价为准，并修改单价；</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（四）总价金额与按单价汇总金额不一致的，以单价金额计算结果为准。</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同时出现两种以上不一致的，按照前款规定的顺序修正。修正后的报价按照第20.2条的规定经</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确认后产生约束力，</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不确认的，其投标将被认定为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bidi w:val="0"/>
        <w:snapToGrid/>
        <w:spacing w:line="387" w:lineRule="exact"/>
        <w:ind w:firstLine="120" w:firstLineChars="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   如一个分包内只有一种产品，不同</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所投产品为同一品牌的，按如下方式处理：</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20.4.1  如本项目使用最低评标价法，提供相同品牌产品的不同</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以其中通过资格审查、符合性审查且报价最低的参加评标；报价相同的，由采购人或者采购人委托评标委员会按照招标文件中评标办法规定的方式确定一个参加评标的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；未规定的采取随机抽取方式确定，其他投标将被认定为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20.4.2  如本项目使用综合评分法，提供相同品牌产品且通过资格审查、符合性审查的不同</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，按一家</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计算，评审后得分最高的同品牌</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获得中标人推荐资格；评审得分相同的，由采购人或者采购人委托评标委员会按照招标文件中评标办法规定的方式确定一个</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获得中标人推荐资格；未规定的采取随机抽取方式确定，其他同品牌</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不作为中标候选人。</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20.5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所投产品如被列入财政部与国家主管部门颁发的节能产品目录或环境标志产品目录或无线局域网产品目录，应提供相关证明，在评标时予以优先采购，具体优先采购办法见第六章评标方法和标准。</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如采购人所采购产品为政府强制采购的节能产品，</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所投产品的品牌及型号必须为清单中有效期内产品并提供证明文件，否则其投标将被认定为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8"/>
        <w:keepNext w:val="0"/>
        <w:keepLines w:val="0"/>
        <w:pageBreakBefore w:val="0"/>
        <w:widowControl w:val="0"/>
        <w:shd w:val="clear" w:color="auto" w:fill="auto"/>
        <w:kinsoku/>
        <w:wordWrap/>
        <w:overflowPunct/>
        <w:topLinePunct w:val="0"/>
        <w:bidi w:val="0"/>
        <w:snapToGrid/>
        <w:spacing w:before="0" w:after="0" w:line="387" w:lineRule="exact"/>
        <w:textAlignment w:val="auto"/>
        <w:rPr>
          <w:rFonts w:hint="eastAsia" w:ascii="宋体" w:hAnsi="宋体" w:eastAsia="宋体" w:cs="宋体"/>
          <w:color w:val="auto"/>
          <w:highlight w:val="none"/>
          <w:u w:val="none"/>
        </w:rPr>
      </w:pPr>
      <w:bookmarkStart w:id="401" w:name="_Toc18331"/>
      <w:bookmarkStart w:id="402" w:name="_Toc7973"/>
      <w:bookmarkStart w:id="403" w:name="_Toc20375"/>
      <w:bookmarkStart w:id="404" w:name="_Toc11608"/>
      <w:bookmarkStart w:id="405" w:name="_Toc6364"/>
      <w:bookmarkStart w:id="406" w:name="_Toc24698"/>
      <w:bookmarkStart w:id="407" w:name="_Toc5375"/>
      <w:bookmarkStart w:id="408" w:name="_Toc12161"/>
      <w:bookmarkStart w:id="409" w:name="_Toc25193"/>
      <w:bookmarkStart w:id="410" w:name="_Toc2506"/>
      <w:bookmarkStart w:id="411" w:name="_Toc6936"/>
      <w:bookmarkStart w:id="412" w:name="_Toc1981"/>
      <w:bookmarkStart w:id="413" w:name="_Toc9469"/>
      <w:bookmarkStart w:id="414" w:name="_Toc6538"/>
      <w:bookmarkStart w:id="415" w:name="_Toc29157"/>
      <w:bookmarkStart w:id="416" w:name="_Toc3852"/>
      <w:bookmarkStart w:id="417" w:name="_Toc29292"/>
      <w:bookmarkStart w:id="418" w:name="_Toc515647782"/>
      <w:bookmarkStart w:id="419" w:name="_Toc17928"/>
      <w:r>
        <w:rPr>
          <w:rFonts w:hint="eastAsia" w:ascii="宋体" w:hAnsi="宋体" w:eastAsia="宋体" w:cs="宋体"/>
          <w:color w:val="auto"/>
          <w:highlight w:val="none"/>
          <w:u w:val="none"/>
        </w:rPr>
        <w:t>21.投标偏离</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pPr>
        <w:keepNext w:val="0"/>
        <w:keepLines w:val="0"/>
        <w:pageBreakBefore w:val="0"/>
        <w:widowControl w:val="0"/>
        <w:shd w:val="clear" w:color="auto" w:fill="auto"/>
        <w:kinsoku/>
        <w:wordWrap/>
        <w:overflowPunct/>
        <w:topLinePunct w:val="0"/>
        <w:bidi w:val="0"/>
        <w:snapToGrid/>
        <w:spacing w:line="387" w:lineRule="exact"/>
        <w:ind w:left="641" w:hanging="640" w:hangingChars="267"/>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评标委员会可以接受投标文件中不构成实质性偏离的不正规或不一致。</w:t>
      </w:r>
      <w:bookmarkStart w:id="420" w:name="_Toc515647783"/>
      <w:bookmarkStart w:id="421" w:name="_Toc4950"/>
      <w:bookmarkStart w:id="422" w:name="_Toc6092"/>
    </w:p>
    <w:p>
      <w:pPr>
        <w:pStyle w:val="8"/>
        <w:keepNext w:val="0"/>
        <w:keepLines w:val="0"/>
        <w:pageBreakBefore w:val="0"/>
        <w:widowControl w:val="0"/>
        <w:shd w:val="clear" w:color="auto" w:fill="auto"/>
        <w:kinsoku/>
        <w:wordWrap/>
        <w:overflowPunct/>
        <w:topLinePunct w:val="0"/>
        <w:bidi w:val="0"/>
        <w:snapToGrid/>
        <w:spacing w:before="0" w:after="0" w:line="387" w:lineRule="exact"/>
        <w:textAlignment w:val="auto"/>
        <w:rPr>
          <w:rFonts w:hint="eastAsia" w:ascii="宋体" w:hAnsi="宋体" w:eastAsia="宋体" w:cs="宋体"/>
          <w:color w:val="auto"/>
          <w:highlight w:val="none"/>
          <w:u w:val="none"/>
        </w:rPr>
      </w:pPr>
      <w:bookmarkStart w:id="423" w:name="_Toc1222"/>
      <w:bookmarkStart w:id="424" w:name="_Toc8629"/>
      <w:bookmarkStart w:id="425" w:name="_Toc25919"/>
      <w:bookmarkStart w:id="426" w:name="_Toc22686"/>
      <w:bookmarkStart w:id="427" w:name="_Toc2595"/>
      <w:bookmarkStart w:id="428" w:name="_Toc23335"/>
      <w:bookmarkStart w:id="429" w:name="_Toc28742"/>
      <w:bookmarkStart w:id="430" w:name="_Toc29566"/>
      <w:bookmarkStart w:id="431" w:name="_Toc23789"/>
      <w:bookmarkStart w:id="432" w:name="_Toc27111"/>
      <w:bookmarkStart w:id="433" w:name="_Toc1190"/>
      <w:bookmarkStart w:id="434" w:name="_Toc8372"/>
      <w:bookmarkStart w:id="435" w:name="_Toc8973"/>
      <w:bookmarkStart w:id="436" w:name="_Toc20109"/>
      <w:bookmarkStart w:id="437" w:name="_Toc8254"/>
      <w:bookmarkStart w:id="438" w:name="_Toc8313"/>
      <w:r>
        <w:rPr>
          <w:rFonts w:hint="eastAsia" w:ascii="宋体" w:hAnsi="宋体" w:eastAsia="宋体" w:cs="宋体"/>
          <w:color w:val="auto"/>
          <w:highlight w:val="none"/>
          <w:u w:val="none"/>
        </w:rPr>
        <w:t>22.投标</w:t>
      </w:r>
      <w:bookmarkEnd w:id="420"/>
      <w:r>
        <w:rPr>
          <w:rFonts w:hint="eastAsia" w:ascii="宋体" w:hAnsi="宋体" w:eastAsia="宋体" w:cs="宋体"/>
          <w:color w:val="auto"/>
          <w:highlight w:val="none"/>
          <w:u w:val="none"/>
        </w:rPr>
        <w:t>无效</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   评标委员会决定投标的响应性只根据招标文件要求、投标文件内容及财政主管部门指定相关信息发布媒体。</w:t>
      </w:r>
    </w:p>
    <w:p>
      <w:pPr>
        <w:keepNext w:val="0"/>
        <w:keepLines w:val="0"/>
        <w:pageBreakBefore w:val="0"/>
        <w:widowControl w:val="0"/>
        <w:shd w:val="clear" w:color="auto" w:fill="auto"/>
        <w:kinsoku/>
        <w:wordWrap/>
        <w:overflowPunct/>
        <w:topLinePunct w:val="0"/>
        <w:bidi w:val="0"/>
        <w:snapToGrid/>
        <w:spacing w:line="387" w:lineRule="exact"/>
        <w:ind w:left="900" w:hanging="904" w:hangingChars="375"/>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22.2</w:t>
      </w:r>
      <w:r>
        <w:rPr>
          <w:rFonts w:hint="eastAsia" w:ascii="宋体" w:hAnsi="宋体" w:eastAsia="宋体" w:cs="宋体"/>
          <w:b/>
          <w:bCs/>
          <w:color w:val="auto"/>
          <w:sz w:val="24"/>
          <w:highlight w:val="none"/>
        </w:rPr>
        <w:tab/>
      </w:r>
      <w:r>
        <w:rPr>
          <w:rFonts w:hint="eastAsia" w:ascii="宋体" w:hAnsi="宋体" w:eastAsia="宋体" w:cs="宋体"/>
          <w:b/>
          <w:bCs/>
          <w:color w:val="auto"/>
          <w:sz w:val="24"/>
          <w:highlight w:val="none"/>
        </w:rPr>
        <w:t>如发现下列情况之一的，其投标将被认定为投标无效：</w:t>
      </w:r>
    </w:p>
    <w:p>
      <w:pPr>
        <w:pStyle w:val="69"/>
        <w:keepNext w:val="0"/>
        <w:keepLines w:val="0"/>
        <w:pageBreakBefore w:val="0"/>
        <w:widowControl w:val="0"/>
        <w:numPr>
          <w:ilvl w:val="0"/>
          <w:numId w:val="3"/>
        </w:numPr>
        <w:shd w:val="clear" w:color="auto" w:fill="auto"/>
        <w:kinsoku/>
        <w:wordWrap/>
        <w:overflowPunct/>
        <w:topLinePunct w:val="0"/>
        <w:bidi w:val="0"/>
        <w:snapToGrid/>
        <w:spacing w:line="387" w:lineRule="exact"/>
        <w:ind w:firstLineChars="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未按招标文件规定的形式和金额提交投标保证金的；</w:t>
      </w:r>
    </w:p>
    <w:p>
      <w:pPr>
        <w:pStyle w:val="69"/>
        <w:keepNext w:val="0"/>
        <w:keepLines w:val="0"/>
        <w:pageBreakBefore w:val="0"/>
        <w:widowControl w:val="0"/>
        <w:numPr>
          <w:ilvl w:val="0"/>
          <w:numId w:val="3"/>
        </w:numPr>
        <w:shd w:val="clear" w:color="auto" w:fill="auto"/>
        <w:kinsoku/>
        <w:wordWrap/>
        <w:overflowPunct/>
        <w:topLinePunct w:val="0"/>
        <w:bidi w:val="0"/>
        <w:snapToGrid/>
        <w:spacing w:line="387" w:lineRule="exact"/>
        <w:ind w:firstLineChars="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未按照招标文件规定要求签署、盖章的；</w:t>
      </w:r>
    </w:p>
    <w:p>
      <w:pPr>
        <w:pStyle w:val="69"/>
        <w:keepNext w:val="0"/>
        <w:keepLines w:val="0"/>
        <w:pageBreakBefore w:val="0"/>
        <w:widowControl w:val="0"/>
        <w:numPr>
          <w:ilvl w:val="0"/>
          <w:numId w:val="3"/>
        </w:numPr>
        <w:shd w:val="clear" w:color="auto" w:fill="auto"/>
        <w:kinsoku/>
        <w:wordWrap/>
        <w:overflowPunct/>
        <w:topLinePunct w:val="0"/>
        <w:bidi w:val="0"/>
        <w:snapToGrid/>
        <w:spacing w:line="387" w:lineRule="exact"/>
        <w:ind w:firstLineChars="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与其他</w:t>
      </w:r>
      <w:r>
        <w:rPr>
          <w:rFonts w:hint="eastAsia" w:ascii="宋体" w:hAnsi="宋体" w:eastAsia="宋体" w:cs="宋体"/>
          <w:b/>
          <w:bCs/>
          <w:color w:val="auto"/>
          <w:sz w:val="24"/>
          <w:highlight w:val="none"/>
          <w:lang w:eastAsia="zh-CN"/>
        </w:rPr>
        <w:t>投标供应商</w:t>
      </w:r>
      <w:r>
        <w:rPr>
          <w:rFonts w:hint="eastAsia" w:ascii="宋体" w:hAnsi="宋体" w:eastAsia="宋体" w:cs="宋体"/>
          <w:b/>
          <w:bCs/>
          <w:color w:val="auto"/>
          <w:sz w:val="24"/>
          <w:highlight w:val="none"/>
        </w:rPr>
        <w:t>串通投标，或者与招标人串通投标；</w:t>
      </w:r>
    </w:p>
    <w:p>
      <w:pPr>
        <w:pStyle w:val="69"/>
        <w:numPr>
          <w:ilvl w:val="0"/>
          <w:numId w:val="3"/>
        </w:numPr>
        <w:shd w:val="clear" w:color="auto" w:fill="auto"/>
        <w:ind w:firstLineChars="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属于招标文件规定的其他投标无效情形；</w:t>
      </w:r>
    </w:p>
    <w:p>
      <w:pPr>
        <w:pStyle w:val="69"/>
        <w:numPr>
          <w:ilvl w:val="0"/>
          <w:numId w:val="3"/>
        </w:numPr>
        <w:shd w:val="clear" w:color="auto" w:fill="auto"/>
        <w:ind w:firstLineChars="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评标委员会认为</w:t>
      </w:r>
      <w:r>
        <w:rPr>
          <w:rFonts w:hint="eastAsia" w:ascii="宋体" w:hAnsi="宋体" w:eastAsia="宋体" w:cs="宋体"/>
          <w:b/>
          <w:bCs/>
          <w:color w:val="auto"/>
          <w:sz w:val="24"/>
          <w:highlight w:val="none"/>
          <w:lang w:eastAsia="zh-CN"/>
        </w:rPr>
        <w:t>投标供应商</w:t>
      </w:r>
      <w:r>
        <w:rPr>
          <w:rFonts w:hint="eastAsia" w:ascii="宋体" w:hAnsi="宋体" w:eastAsia="宋体" w:cs="宋体"/>
          <w:b/>
          <w:bCs/>
          <w:color w:val="auto"/>
          <w:sz w:val="24"/>
          <w:highlight w:val="none"/>
        </w:rPr>
        <w:t>的报价明显低于其他通过符合性检查</w:t>
      </w:r>
      <w:r>
        <w:rPr>
          <w:rFonts w:hint="eastAsia" w:ascii="宋体" w:hAnsi="宋体" w:eastAsia="宋体" w:cs="宋体"/>
          <w:b/>
          <w:bCs/>
          <w:color w:val="auto"/>
          <w:sz w:val="24"/>
          <w:highlight w:val="none"/>
          <w:lang w:eastAsia="zh-CN"/>
        </w:rPr>
        <w:t>投标供应商</w:t>
      </w:r>
      <w:r>
        <w:rPr>
          <w:rFonts w:hint="eastAsia" w:ascii="宋体" w:hAnsi="宋体" w:eastAsia="宋体" w:cs="宋体"/>
          <w:b/>
          <w:bCs/>
          <w:color w:val="auto"/>
          <w:sz w:val="24"/>
          <w:highlight w:val="none"/>
        </w:rPr>
        <w:t>的报价，有可能影响履约的，且</w:t>
      </w:r>
      <w:r>
        <w:rPr>
          <w:rFonts w:hint="eastAsia" w:ascii="宋体" w:hAnsi="宋体" w:eastAsia="宋体" w:cs="宋体"/>
          <w:b/>
          <w:bCs/>
          <w:color w:val="auto"/>
          <w:sz w:val="24"/>
          <w:highlight w:val="none"/>
          <w:lang w:eastAsia="zh-CN"/>
        </w:rPr>
        <w:t>投标供应商</w:t>
      </w:r>
      <w:r>
        <w:rPr>
          <w:rFonts w:hint="eastAsia" w:ascii="宋体" w:hAnsi="宋体" w:eastAsia="宋体" w:cs="宋体"/>
          <w:b/>
          <w:bCs/>
          <w:color w:val="auto"/>
          <w:sz w:val="24"/>
          <w:highlight w:val="none"/>
        </w:rPr>
        <w:t>未按照规定证明其报价合理性的；</w:t>
      </w:r>
    </w:p>
    <w:p>
      <w:pPr>
        <w:pStyle w:val="69"/>
        <w:numPr>
          <w:ilvl w:val="0"/>
          <w:numId w:val="3"/>
        </w:numPr>
        <w:shd w:val="clear" w:color="auto" w:fill="auto"/>
        <w:ind w:firstLineChars="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投标文件含有采购人不能接受的附加条件的；</w:t>
      </w:r>
    </w:p>
    <w:p>
      <w:pPr>
        <w:pStyle w:val="69"/>
        <w:numPr>
          <w:ilvl w:val="0"/>
          <w:numId w:val="3"/>
        </w:numPr>
        <w:shd w:val="clear" w:color="auto" w:fill="auto"/>
        <w:ind w:firstLineChars="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不符合法规和招标文件中规定的其他实质性要求的。</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22.3   有下列情形之一的，属于恶意串通，对供应商依照政府采购法第七十七条第一款的规定追究法律责任，对采购人、采购代理机构及其工作人员依照政府采购法第七十二条的规定追究法律责任：</w:t>
      </w:r>
    </w:p>
    <w:p>
      <w:pPr>
        <w:shd w:val="clear" w:color="auto" w:fill="auto"/>
        <w:spacing w:line="360" w:lineRule="exact"/>
        <w:ind w:left="900" w:hanging="900" w:hangingChars="3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（1）供应商直接或者间接从采购人或者采购代理机构处获得其他供应商的相关情况并修改其投标文件或者投标文件；</w:t>
      </w:r>
    </w:p>
    <w:p>
      <w:pPr>
        <w:shd w:val="clear" w:color="auto" w:fill="auto"/>
        <w:spacing w:line="360" w:lineRule="exact"/>
        <w:ind w:left="900" w:hanging="900" w:hangingChars="3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（2）供应商按照采购人或者采购代理机构的授意撤换、修改投标文件或者投标文件；</w:t>
      </w:r>
    </w:p>
    <w:p>
      <w:pPr>
        <w:shd w:val="clear" w:color="auto" w:fill="auto"/>
        <w:spacing w:line="360" w:lineRule="exact"/>
        <w:ind w:left="900" w:hanging="900" w:hangingChars="3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（3）供应商之间协商报价、技术方案等投标文件或者投标文件的实质性内容；</w:t>
      </w:r>
    </w:p>
    <w:p>
      <w:pPr>
        <w:shd w:val="clear" w:color="auto" w:fill="auto"/>
        <w:spacing w:line="360" w:lineRule="exact"/>
        <w:ind w:left="900" w:hanging="900" w:hangingChars="3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（4）属于同一集团、协会、商会等组织成员的供应商按照该组织要求协同参加政府采购活动；</w:t>
      </w:r>
    </w:p>
    <w:p>
      <w:pPr>
        <w:shd w:val="clear" w:color="auto" w:fill="auto"/>
        <w:spacing w:line="360" w:lineRule="exact"/>
        <w:ind w:left="900" w:hanging="900" w:hangingChars="3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（5）供应商之间事先约定由某一特定供应商中标、成交；</w:t>
      </w:r>
    </w:p>
    <w:p>
      <w:pPr>
        <w:shd w:val="clear" w:color="auto" w:fill="auto"/>
        <w:spacing w:line="360" w:lineRule="exact"/>
        <w:ind w:left="900" w:hanging="900" w:hangingChars="3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（6）供应商之间商定部分供应商放弃参加政府采购活动或者放弃中标、成交；</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（7）供应商与采购人或者采购代理机构之间、供应商相互之间，为谋求特定供应商中标、成交或者排斥其他供应商的其他串通行为。</w:t>
      </w:r>
    </w:p>
    <w:p>
      <w:pPr>
        <w:pStyle w:val="8"/>
        <w:shd w:val="clear" w:color="auto" w:fill="auto"/>
        <w:spacing w:before="0" w:after="0" w:line="360" w:lineRule="exact"/>
        <w:rPr>
          <w:rFonts w:hint="eastAsia" w:ascii="宋体" w:hAnsi="宋体" w:eastAsia="宋体" w:cs="宋体"/>
          <w:color w:val="auto"/>
          <w:highlight w:val="none"/>
          <w:u w:val="none"/>
        </w:rPr>
      </w:pPr>
      <w:bookmarkStart w:id="439" w:name="_Toc515647784"/>
      <w:bookmarkStart w:id="440" w:name="_Toc16445"/>
      <w:bookmarkStart w:id="441" w:name="_Toc6664"/>
      <w:bookmarkStart w:id="442" w:name="_Toc14"/>
      <w:bookmarkStart w:id="443" w:name="_Toc3195"/>
      <w:bookmarkStart w:id="444" w:name="_Toc20498"/>
      <w:bookmarkStart w:id="445" w:name="_Toc14711"/>
      <w:bookmarkStart w:id="446" w:name="_Toc29624"/>
      <w:bookmarkStart w:id="447" w:name="_Toc24711"/>
      <w:bookmarkStart w:id="448" w:name="_Toc13652"/>
      <w:bookmarkStart w:id="449" w:name="_Toc20639"/>
      <w:bookmarkStart w:id="450" w:name="_Toc14159"/>
      <w:bookmarkStart w:id="451" w:name="_Toc9121"/>
      <w:bookmarkStart w:id="452" w:name="_Toc9861"/>
      <w:bookmarkStart w:id="453" w:name="_Toc6473"/>
      <w:bookmarkStart w:id="454" w:name="_Toc22941"/>
      <w:r>
        <w:rPr>
          <w:rFonts w:hint="eastAsia" w:ascii="宋体" w:hAnsi="宋体" w:eastAsia="宋体" w:cs="宋体"/>
          <w:color w:val="auto"/>
          <w:highlight w:val="none"/>
          <w:u w:val="none"/>
        </w:rPr>
        <w:t>23.</w:t>
      </w:r>
      <w:bookmarkEnd w:id="400"/>
      <w:r>
        <w:rPr>
          <w:rFonts w:hint="eastAsia" w:ascii="宋体" w:hAnsi="宋体" w:eastAsia="宋体" w:cs="宋体"/>
          <w:color w:val="auto"/>
          <w:highlight w:val="none"/>
          <w:u w:val="none"/>
        </w:rPr>
        <w:t>比较与评价</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经符合性审查合格的投标文件，评标委员会将根据招标文件确定的评标方法和标准，对其技术部分和商务部分作进一步的比较和评价。</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23.2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评标严格按照招标文件的要求和条件进行。根据实际情况，在</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中规定采用下列一种评标方法：</w:t>
      </w:r>
    </w:p>
    <w:p>
      <w:pPr>
        <w:pStyle w:val="14"/>
        <w:shd w:val="clear" w:color="auto" w:fill="auto"/>
        <w:spacing w:line="360" w:lineRule="exact"/>
        <w:ind w:left="239" w:leftChars="114" w:firstLine="506" w:firstLineChars="2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（1）最低评标价法，是指投标文件满足招标文件全部实质性要求，且投标报价最低的</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为中标候选人的评标方法。</w:t>
      </w:r>
    </w:p>
    <w:p>
      <w:pPr>
        <w:pStyle w:val="14"/>
        <w:shd w:val="clear" w:color="auto" w:fill="auto"/>
        <w:spacing w:line="360" w:lineRule="exact"/>
        <w:ind w:left="239" w:leftChars="114" w:firstLine="511" w:firstLineChars="2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（2）综合评分法，是指投标文件满足招标文件全部实质性要求，且按照评审因素的量化指标评审得分最高的</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为中标候选人的评标方法。</w:t>
      </w:r>
    </w:p>
    <w:p>
      <w:pPr>
        <w:pStyle w:val="14"/>
        <w:shd w:val="clear" w:color="auto" w:fill="auto"/>
        <w:spacing w:line="360" w:lineRule="exact"/>
        <w:ind w:left="239" w:leftChars="114" w:firstLine="513" w:firstLineChars="21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本项目采用综合评分法。</w:t>
      </w:r>
    </w:p>
    <w:p>
      <w:pPr>
        <w:pStyle w:val="14"/>
        <w:shd w:val="clear" w:color="auto" w:fill="auto"/>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   根据《政府采购促进中小企业发展管理办法》（财库[2020]46号）、《财政部 司法部关于政府采购支持监狱企业发展有关问题的通知》（财库〔2014〕68号）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《三部门联合发布关于促进残疾人就业政府采购政策的通知》（</w:t>
      </w:r>
      <w:bookmarkStart w:id="455" w:name="sendNo"/>
      <w:r>
        <w:rPr>
          <w:rFonts w:hint="eastAsia" w:ascii="宋体" w:hAnsi="宋体" w:eastAsia="宋体" w:cs="宋体"/>
          <w:bCs/>
          <w:color w:val="auto"/>
          <w:sz w:val="24"/>
          <w:szCs w:val="24"/>
          <w:highlight w:val="none"/>
        </w:rPr>
        <w:t>财库〔</w:t>
      </w:r>
      <w:bookmarkEnd w:id="455"/>
      <w:r>
        <w:rPr>
          <w:rFonts w:hint="eastAsia" w:ascii="宋体" w:hAnsi="宋体" w:eastAsia="宋体" w:cs="宋体"/>
          <w:bCs/>
          <w:color w:val="auto"/>
          <w:sz w:val="24"/>
          <w:szCs w:val="24"/>
          <w:highlight w:val="none"/>
        </w:rPr>
        <w:t>2017〕141号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和《财政部关于进一步加大政府采购支持中小企业力度的通知》财库〔2022〕19号</w:t>
      </w:r>
      <w:r>
        <w:rPr>
          <w:rFonts w:hint="eastAsia" w:ascii="宋体" w:hAnsi="宋体" w:eastAsia="宋体" w:cs="宋体"/>
          <w:color w:val="auto"/>
          <w:sz w:val="24"/>
          <w:szCs w:val="24"/>
          <w:highlight w:val="none"/>
        </w:rPr>
        <w:t>的规定，对满足价格扣除条件且在投标文件中提交了《</w:t>
      </w:r>
      <w:r>
        <w:rPr>
          <w:rFonts w:hint="eastAsia" w:ascii="宋体" w:hAnsi="宋体" w:eastAsia="宋体" w:cs="宋体"/>
          <w:color w:val="auto"/>
          <w:sz w:val="24"/>
          <w:szCs w:val="24"/>
          <w:highlight w:val="none"/>
          <w:lang w:eastAsia="zh-CN"/>
        </w:rPr>
        <w:t>中小企业声明函</w:t>
      </w:r>
      <w:r>
        <w:rPr>
          <w:rFonts w:hint="eastAsia" w:ascii="宋体" w:hAnsi="宋体" w:eastAsia="宋体" w:cs="宋体"/>
          <w:color w:val="auto"/>
          <w:sz w:val="24"/>
          <w:szCs w:val="24"/>
          <w:highlight w:val="none"/>
        </w:rPr>
        <w:t>》或省级以上监狱管理局、戒毒管理局（含新疆生产建设兵团）出具的属于监狱企业的证明文件的</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，其投标报价扣除</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后参与评审。</w:t>
      </w:r>
    </w:p>
    <w:p>
      <w:pPr>
        <w:pStyle w:val="8"/>
        <w:shd w:val="clear" w:color="auto" w:fill="auto"/>
        <w:spacing w:before="0" w:after="0" w:line="360" w:lineRule="exact"/>
        <w:rPr>
          <w:rFonts w:hint="eastAsia" w:ascii="宋体" w:hAnsi="宋体" w:eastAsia="宋体" w:cs="宋体"/>
          <w:color w:val="auto"/>
          <w:highlight w:val="none"/>
          <w:u w:val="none"/>
        </w:rPr>
      </w:pPr>
      <w:bookmarkStart w:id="456" w:name="_Toc520356168"/>
      <w:bookmarkStart w:id="457" w:name="_Toc9252"/>
      <w:bookmarkStart w:id="458" w:name="_Toc31697"/>
      <w:bookmarkStart w:id="459" w:name="_Toc27067"/>
      <w:bookmarkStart w:id="460" w:name="_Toc11579"/>
      <w:bookmarkStart w:id="461" w:name="_Toc31706"/>
      <w:bookmarkStart w:id="462" w:name="_Toc19218"/>
      <w:bookmarkStart w:id="463" w:name="_Toc9378"/>
      <w:bookmarkStart w:id="464" w:name="_Toc23302"/>
      <w:bookmarkStart w:id="465" w:name="_Toc11700"/>
      <w:bookmarkStart w:id="466" w:name="_Toc23840"/>
      <w:bookmarkStart w:id="467" w:name="_Toc20227"/>
      <w:bookmarkStart w:id="468" w:name="_Toc31084"/>
      <w:bookmarkStart w:id="469" w:name="_Toc24093"/>
      <w:bookmarkStart w:id="470" w:name="_Toc3653"/>
      <w:bookmarkStart w:id="471" w:name="_Toc28791"/>
      <w:bookmarkStart w:id="472" w:name="_Toc515647785"/>
      <w:bookmarkStart w:id="473" w:name="_Toc320"/>
      <w:bookmarkStart w:id="474" w:name="_Toc7770"/>
      <w:bookmarkStart w:id="475" w:name="_Toc10413"/>
      <w:r>
        <w:rPr>
          <w:rFonts w:hint="eastAsia" w:ascii="宋体" w:hAnsi="宋体" w:eastAsia="宋体" w:cs="宋体"/>
          <w:color w:val="auto"/>
          <w:highlight w:val="none"/>
          <w:u w:val="none"/>
        </w:rPr>
        <w:t>24</w:t>
      </w:r>
      <w:bookmarkEnd w:id="456"/>
      <w:r>
        <w:rPr>
          <w:rFonts w:hint="eastAsia" w:ascii="宋体" w:hAnsi="宋体" w:eastAsia="宋体" w:cs="宋体"/>
          <w:color w:val="auto"/>
          <w:highlight w:val="none"/>
          <w:u w:val="none"/>
        </w:rPr>
        <w:t>.废标</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pPr>
        <w:shd w:val="clear" w:color="auto" w:fill="auto"/>
        <w:spacing w:line="360" w:lineRule="exact"/>
        <w:ind w:left="60" w:hanging="60" w:hangingChars="2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24.1出现下列情形之一，将导致项目废标：</w:t>
      </w:r>
      <w:r>
        <w:rPr>
          <w:rFonts w:hint="eastAsia" w:ascii="宋体" w:hAnsi="宋体" w:eastAsia="宋体" w:cs="宋体"/>
          <w:color w:val="auto"/>
          <w:sz w:val="24"/>
          <w:highlight w:val="none"/>
        </w:rPr>
        <w:t xml:space="preserve"> </w:t>
      </w:r>
    </w:p>
    <w:p>
      <w:pPr>
        <w:shd w:val="clear" w:color="auto" w:fill="auto"/>
        <w:spacing w:line="360" w:lineRule="exact"/>
        <w:ind w:left="900" w:hanging="900" w:hangingChars="375"/>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b/>
          <w:bCs/>
          <w:color w:val="auto"/>
          <w:sz w:val="24"/>
          <w:highlight w:val="none"/>
        </w:rPr>
        <w:t>（1）符合专业条件的供应商或者对招标文件做实质性响应的供应商不足三家；</w:t>
      </w:r>
    </w:p>
    <w:p>
      <w:pPr>
        <w:shd w:val="clear" w:color="auto" w:fill="auto"/>
        <w:spacing w:line="360" w:lineRule="exact"/>
        <w:ind w:left="900" w:hanging="904" w:hangingChars="37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ab/>
      </w:r>
      <w:r>
        <w:rPr>
          <w:rFonts w:hint="eastAsia" w:ascii="宋体" w:hAnsi="宋体" w:eastAsia="宋体" w:cs="宋体"/>
          <w:b/>
          <w:bCs/>
          <w:color w:val="auto"/>
          <w:sz w:val="24"/>
          <w:highlight w:val="none"/>
        </w:rPr>
        <w:t>（2）出现影响采购公正的违法、违规行为的；</w:t>
      </w:r>
    </w:p>
    <w:p>
      <w:pPr>
        <w:shd w:val="clear" w:color="auto" w:fill="auto"/>
        <w:spacing w:line="360" w:lineRule="exact"/>
        <w:ind w:firstLine="843" w:firstLineChars="35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eastAsia="zh-CN"/>
        </w:rPr>
        <w:t>投标供应商</w:t>
      </w:r>
      <w:r>
        <w:rPr>
          <w:rFonts w:hint="eastAsia" w:ascii="宋体" w:hAnsi="宋体" w:eastAsia="宋体" w:cs="宋体"/>
          <w:b/>
          <w:bCs/>
          <w:color w:val="auto"/>
          <w:sz w:val="24"/>
          <w:highlight w:val="none"/>
        </w:rPr>
        <w:t>的报价均超过了采购预算，采购人不能支付的；</w:t>
      </w:r>
    </w:p>
    <w:p>
      <w:pPr>
        <w:shd w:val="clear" w:color="auto" w:fill="auto"/>
        <w:spacing w:line="360" w:lineRule="exact"/>
        <w:ind w:firstLine="843" w:firstLineChars="35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（4）因重大变故，采购任务取消的。  </w:t>
      </w:r>
      <w:r>
        <w:rPr>
          <w:rFonts w:hint="eastAsia" w:ascii="宋体" w:hAnsi="宋体" w:eastAsia="宋体" w:cs="宋体"/>
          <w:color w:val="auto"/>
          <w:sz w:val="24"/>
          <w:highlight w:val="none"/>
        </w:rPr>
        <w:t xml:space="preserve"> </w:t>
      </w:r>
    </w:p>
    <w:p>
      <w:pPr>
        <w:pStyle w:val="8"/>
        <w:shd w:val="clear" w:color="auto" w:fill="auto"/>
        <w:spacing w:before="0" w:after="0" w:line="360" w:lineRule="exact"/>
        <w:rPr>
          <w:rFonts w:hint="eastAsia" w:ascii="宋体" w:hAnsi="宋体" w:eastAsia="宋体" w:cs="宋体"/>
          <w:color w:val="auto"/>
          <w:highlight w:val="none"/>
          <w:u w:val="none"/>
        </w:rPr>
      </w:pPr>
      <w:bookmarkStart w:id="476" w:name="_Toc23725"/>
      <w:bookmarkStart w:id="477" w:name="_Toc515647786"/>
      <w:bookmarkStart w:id="478" w:name="_Toc13362"/>
      <w:bookmarkStart w:id="479" w:name="_Toc7975"/>
      <w:bookmarkStart w:id="480" w:name="_Toc3628"/>
      <w:bookmarkStart w:id="481" w:name="_Toc29649"/>
      <w:bookmarkStart w:id="482" w:name="_Toc24972"/>
      <w:bookmarkStart w:id="483" w:name="_Toc11998"/>
      <w:bookmarkStart w:id="484" w:name="_Toc3517"/>
      <w:bookmarkStart w:id="485" w:name="_Toc25259"/>
      <w:bookmarkStart w:id="486" w:name="_Toc31289"/>
      <w:bookmarkStart w:id="487" w:name="_Toc4156"/>
      <w:bookmarkStart w:id="488" w:name="_Toc28153"/>
      <w:bookmarkStart w:id="489" w:name="_Toc26654"/>
      <w:bookmarkStart w:id="490" w:name="_Toc22818"/>
      <w:bookmarkStart w:id="491" w:name="_Toc21697"/>
      <w:bookmarkStart w:id="492" w:name="_Toc3793"/>
      <w:bookmarkStart w:id="493" w:name="_Toc21380"/>
      <w:bookmarkStart w:id="494" w:name="_Toc10657"/>
      <w:bookmarkStart w:id="495" w:name="_Toc520356169"/>
      <w:r>
        <w:rPr>
          <w:rFonts w:hint="eastAsia" w:ascii="宋体" w:hAnsi="宋体" w:eastAsia="宋体" w:cs="宋体"/>
          <w:color w:val="auto"/>
          <w:highlight w:val="none"/>
          <w:u w:val="none"/>
        </w:rPr>
        <w:t>25.保密原则</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25.1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评标将在严格保密的情况下进行。</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政府采购评审专家应当遵守评审工作纪律，不得泄露评审文件、评审情况和评审中获悉的商业秘密。</w:t>
      </w:r>
    </w:p>
    <w:p>
      <w:pPr>
        <w:shd w:val="clear" w:color="auto" w:fill="auto"/>
        <w:spacing w:line="360" w:lineRule="exact"/>
        <w:ind w:hanging="540"/>
        <w:rPr>
          <w:rFonts w:hint="eastAsia" w:ascii="宋体" w:hAnsi="宋体" w:eastAsia="宋体" w:cs="宋体"/>
          <w:color w:val="auto"/>
          <w:sz w:val="24"/>
          <w:highlight w:val="none"/>
        </w:rPr>
      </w:pPr>
    </w:p>
    <w:p>
      <w:pPr>
        <w:pStyle w:val="7"/>
        <w:shd w:val="clear" w:color="auto" w:fill="auto"/>
        <w:spacing w:before="0" w:line="360" w:lineRule="exact"/>
        <w:ind w:hanging="540"/>
        <w:rPr>
          <w:rFonts w:hint="eastAsia" w:ascii="宋体" w:hAnsi="宋体" w:eastAsia="宋体" w:cs="宋体"/>
          <w:color w:val="auto"/>
          <w:highlight w:val="none"/>
        </w:rPr>
      </w:pPr>
      <w:bookmarkStart w:id="496" w:name="_Toc216582810"/>
      <w:bookmarkStart w:id="497" w:name="_Toc515647787"/>
      <w:bookmarkStart w:id="498" w:name="_Toc16204"/>
      <w:bookmarkStart w:id="499" w:name="_Toc12143"/>
      <w:bookmarkStart w:id="500" w:name="_Toc31410"/>
      <w:bookmarkStart w:id="501" w:name="_Toc23904"/>
      <w:bookmarkStart w:id="502" w:name="_Toc19238"/>
      <w:r>
        <w:rPr>
          <w:rFonts w:hint="eastAsia" w:ascii="宋体" w:hAnsi="宋体" w:eastAsia="宋体" w:cs="宋体"/>
          <w:color w:val="auto"/>
          <w:sz w:val="24"/>
          <w:highlight w:val="none"/>
        </w:rPr>
        <w:t xml:space="preserve">六   </w:t>
      </w:r>
      <w:bookmarkEnd w:id="495"/>
      <w:r>
        <w:rPr>
          <w:rFonts w:hint="eastAsia" w:ascii="宋体" w:hAnsi="宋体" w:eastAsia="宋体" w:cs="宋体"/>
          <w:color w:val="auto"/>
          <w:sz w:val="24"/>
          <w:highlight w:val="none"/>
        </w:rPr>
        <w:t>确定中标</w:t>
      </w:r>
      <w:bookmarkEnd w:id="496"/>
      <w:bookmarkEnd w:id="497"/>
      <w:bookmarkEnd w:id="498"/>
      <w:bookmarkEnd w:id="499"/>
      <w:bookmarkEnd w:id="500"/>
      <w:bookmarkEnd w:id="501"/>
      <w:bookmarkEnd w:id="502"/>
    </w:p>
    <w:p>
      <w:pPr>
        <w:pStyle w:val="8"/>
        <w:shd w:val="clear" w:color="auto" w:fill="auto"/>
        <w:spacing w:before="0" w:after="0" w:line="360" w:lineRule="exact"/>
        <w:rPr>
          <w:rFonts w:hint="eastAsia" w:ascii="宋体" w:hAnsi="宋体" w:eastAsia="宋体" w:cs="宋体"/>
          <w:color w:val="auto"/>
          <w:highlight w:val="none"/>
          <w:u w:val="none"/>
        </w:rPr>
      </w:pPr>
      <w:bookmarkStart w:id="503" w:name="_Toc515647788"/>
      <w:bookmarkStart w:id="504" w:name="_Ref467307010"/>
      <w:bookmarkStart w:id="505" w:name="_Toc24421"/>
      <w:bookmarkStart w:id="506" w:name="_Toc32546"/>
      <w:bookmarkStart w:id="507" w:name="_Toc24508"/>
      <w:bookmarkStart w:id="508" w:name="_Toc21292"/>
      <w:bookmarkStart w:id="509" w:name="_Toc7071"/>
      <w:bookmarkStart w:id="510" w:name="_Toc10036"/>
      <w:bookmarkStart w:id="511" w:name="_Toc23610"/>
      <w:bookmarkStart w:id="512" w:name="_Toc15691"/>
      <w:bookmarkStart w:id="513" w:name="_Toc31710"/>
      <w:bookmarkStart w:id="514" w:name="_Toc13771"/>
      <w:bookmarkStart w:id="515" w:name="_Toc23762"/>
      <w:bookmarkStart w:id="516" w:name="_Toc30510"/>
      <w:bookmarkStart w:id="517" w:name="_Toc26724"/>
      <w:bookmarkStart w:id="518" w:name="_Toc13936"/>
      <w:bookmarkStart w:id="519" w:name="_Toc520356170"/>
      <w:bookmarkStart w:id="520" w:name="_Toc25666"/>
      <w:bookmarkStart w:id="521" w:name="_Toc20061"/>
      <w:bookmarkStart w:id="522" w:name="_Toc23617"/>
      <w:r>
        <w:rPr>
          <w:rFonts w:hint="eastAsia" w:ascii="宋体" w:hAnsi="宋体" w:eastAsia="宋体" w:cs="宋体"/>
          <w:color w:val="auto"/>
          <w:highlight w:val="none"/>
          <w:u w:val="none"/>
        </w:rPr>
        <w:t>26.中标候选人的确定原则及标准</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pPr>
        <w:shd w:val="clear" w:color="auto" w:fill="auto"/>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对实质上响应招标文件的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按下列方法进行排序，确定投标候选人：</w:t>
      </w:r>
    </w:p>
    <w:p>
      <w:pPr>
        <w:shd w:val="clear" w:color="auto" w:fill="auto"/>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的投标价格进行任何调整。评标结果按修正和扣除后的投标报价由低到高顺序排列。报价相同的处理方式详见招标文件第6章。</w:t>
      </w:r>
    </w:p>
    <w:p>
      <w:pPr>
        <w:shd w:val="clear" w:color="auto" w:fill="auto"/>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（2）采用综合评分法的，评标结果按评审后得分由高到低顺序排列。得分相同的，按修正和扣除后的投标报价由低到高顺序排列。得分与投标报价均相同的处理方式详见招标文件第6章。</w:t>
      </w:r>
    </w:p>
    <w:p>
      <w:pPr>
        <w:snapToGrid w:val="0"/>
        <w:spacing w:line="360" w:lineRule="exact"/>
        <w:ind w:firstLine="482" w:firstLineChars="200"/>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本项目采用综合评分法，其中价格占2</w:t>
      </w:r>
      <w:r>
        <w:rPr>
          <w:rFonts w:hint="eastAsia" w:ascii="宋体" w:hAnsi="宋体" w:eastAsia="宋体" w:cs="宋体"/>
          <w:b/>
          <w:bCs/>
          <w:color w:val="auto"/>
          <w:sz w:val="24"/>
          <w:highlight w:val="none"/>
          <w:lang w:val="en-US"/>
        </w:rPr>
        <w:t>0</w:t>
      </w:r>
      <w:r>
        <w:rPr>
          <w:rFonts w:hint="eastAsia" w:ascii="宋体" w:hAnsi="宋体" w:eastAsia="宋体" w:cs="宋体"/>
          <w:b/>
          <w:bCs/>
          <w:color w:val="auto"/>
          <w:sz w:val="24"/>
          <w:highlight w:val="none"/>
        </w:rPr>
        <w:t>%，商务占</w:t>
      </w:r>
      <w:r>
        <w:rPr>
          <w:rFonts w:hint="eastAsia" w:ascii="宋体" w:hAnsi="宋体" w:cs="宋体"/>
          <w:b/>
          <w:bCs/>
          <w:color w:val="auto"/>
          <w:sz w:val="24"/>
          <w:highlight w:val="none"/>
          <w:lang w:val="en-US" w:eastAsia="zh-CN"/>
        </w:rPr>
        <w:t>45</w:t>
      </w:r>
      <w:r>
        <w:rPr>
          <w:rFonts w:hint="eastAsia" w:ascii="宋体" w:hAnsi="宋体" w:eastAsia="宋体" w:cs="宋体"/>
          <w:b/>
          <w:bCs/>
          <w:color w:val="auto"/>
          <w:sz w:val="24"/>
          <w:highlight w:val="none"/>
        </w:rPr>
        <w:t>%，技术占</w:t>
      </w:r>
      <w:r>
        <w:rPr>
          <w:rFonts w:hint="eastAsia" w:ascii="宋体" w:hAnsi="宋体" w:cs="宋体"/>
          <w:b/>
          <w:bCs/>
          <w:color w:val="auto"/>
          <w:sz w:val="24"/>
          <w:highlight w:val="none"/>
          <w:lang w:val="en-US" w:eastAsia="zh-CN"/>
        </w:rPr>
        <w:t>35</w:t>
      </w:r>
      <w:r>
        <w:rPr>
          <w:rFonts w:hint="eastAsia" w:ascii="宋体" w:hAnsi="宋体" w:eastAsia="宋体" w:cs="宋体"/>
          <w:b/>
          <w:bCs/>
          <w:color w:val="auto"/>
          <w:sz w:val="24"/>
          <w:highlight w:val="none"/>
        </w:rPr>
        <w:t>%。</w:t>
      </w:r>
    </w:p>
    <w:bookmarkEnd w:id="4"/>
    <w:bookmarkEnd w:id="5"/>
    <w:bookmarkEnd w:id="6"/>
    <w:bookmarkEnd w:id="7"/>
    <w:bookmarkEnd w:id="8"/>
    <w:bookmarkEnd w:id="377"/>
    <w:bookmarkEnd w:id="378"/>
    <w:p>
      <w:pPr>
        <w:pStyle w:val="8"/>
        <w:shd w:val="clear" w:color="auto" w:fill="auto"/>
        <w:tabs>
          <w:tab w:val="left" w:pos="900"/>
        </w:tabs>
        <w:snapToGrid w:val="0"/>
        <w:spacing w:before="0" w:after="0" w:line="360" w:lineRule="exact"/>
        <w:textAlignment w:val="baseline"/>
        <w:rPr>
          <w:rFonts w:hint="eastAsia" w:ascii="宋体" w:hAnsi="宋体" w:eastAsia="宋体" w:cs="宋体"/>
          <w:color w:val="auto"/>
          <w:highlight w:val="none"/>
          <w:lang w:val="en-US" w:eastAsia="zh-CN"/>
        </w:rPr>
      </w:pPr>
      <w:bookmarkStart w:id="523" w:name="_Toc16846"/>
      <w:bookmarkStart w:id="524" w:name="_Toc29819"/>
      <w:bookmarkStart w:id="525" w:name="_Toc24948"/>
      <w:bookmarkStart w:id="526" w:name="_Toc17933"/>
      <w:bookmarkStart w:id="527" w:name="_Toc2514"/>
      <w:bookmarkStart w:id="528" w:name="_Toc24394"/>
      <w:bookmarkStart w:id="529" w:name="_Toc3720"/>
      <w:bookmarkStart w:id="530" w:name="_Toc17164"/>
      <w:bookmarkStart w:id="531" w:name="_Toc1644"/>
      <w:bookmarkStart w:id="532" w:name="_Toc14558"/>
      <w:bookmarkStart w:id="533" w:name="_Toc21913"/>
      <w:bookmarkStart w:id="534" w:name="_Toc9066"/>
      <w:bookmarkStart w:id="535" w:name="_Toc15218"/>
      <w:bookmarkStart w:id="536" w:name="_Toc3328"/>
      <w:bookmarkStart w:id="537" w:name="_Toc16243"/>
      <w:bookmarkStart w:id="538" w:name="_Toc20245"/>
      <w:bookmarkStart w:id="539" w:name="_Toc25141"/>
      <w:bookmarkStart w:id="540" w:name="_Toc7089"/>
      <w:r>
        <w:rPr>
          <w:rFonts w:hint="eastAsia" w:ascii="宋体" w:hAnsi="宋体" w:eastAsia="宋体" w:cs="宋体"/>
          <w:b/>
          <w:color w:val="auto"/>
          <w:highlight w:val="none"/>
          <w:u w:color="000000"/>
        </w:rPr>
        <w:t>27.确定</w:t>
      </w:r>
      <w:r>
        <w:rPr>
          <w:rFonts w:hint="eastAsia" w:ascii="宋体" w:hAnsi="宋体" w:eastAsia="宋体" w:cs="宋体"/>
          <w:b/>
          <w:color w:val="auto"/>
          <w:highlight w:val="none"/>
          <w:u w:color="000000"/>
          <w:lang w:val="en-US" w:eastAsia="zh-CN"/>
        </w:rPr>
        <w:t>中标</w:t>
      </w:r>
      <w:r>
        <w:rPr>
          <w:rFonts w:hint="eastAsia" w:ascii="宋体" w:hAnsi="宋体" w:eastAsia="宋体" w:cs="宋体"/>
          <w:b/>
          <w:color w:val="auto"/>
          <w:highlight w:val="none"/>
          <w:u w:color="000000"/>
        </w:rPr>
        <w:t>候选人和</w:t>
      </w:r>
      <w:bookmarkEnd w:id="523"/>
      <w:bookmarkEnd w:id="524"/>
      <w:bookmarkEnd w:id="525"/>
      <w:bookmarkEnd w:id="526"/>
      <w:bookmarkEnd w:id="527"/>
      <w:bookmarkEnd w:id="528"/>
      <w:bookmarkEnd w:id="529"/>
      <w:bookmarkEnd w:id="530"/>
      <w:bookmarkEnd w:id="531"/>
      <w:bookmarkEnd w:id="532"/>
      <w:bookmarkEnd w:id="533"/>
      <w:bookmarkEnd w:id="534"/>
      <w:r>
        <w:rPr>
          <w:rFonts w:hint="eastAsia" w:ascii="宋体" w:hAnsi="宋体" w:eastAsia="宋体" w:cs="宋体"/>
          <w:b/>
          <w:color w:val="auto"/>
          <w:highlight w:val="none"/>
          <w:u w:color="000000"/>
          <w:lang w:val="en-US" w:eastAsia="zh-CN"/>
        </w:rPr>
        <w:t>中标人</w:t>
      </w:r>
      <w:bookmarkEnd w:id="535"/>
      <w:bookmarkEnd w:id="536"/>
      <w:bookmarkEnd w:id="537"/>
      <w:bookmarkEnd w:id="538"/>
      <w:bookmarkEnd w:id="539"/>
      <w:bookmarkEnd w:id="540"/>
    </w:p>
    <w:p>
      <w:pPr>
        <w:pStyle w:val="8"/>
        <w:shd w:val="clear" w:color="auto" w:fill="auto"/>
        <w:tabs>
          <w:tab w:val="left" w:pos="900"/>
        </w:tabs>
        <w:spacing w:before="0" w:after="0" w:line="360" w:lineRule="exact"/>
        <w:rPr>
          <w:rFonts w:hint="eastAsia" w:ascii="宋体" w:hAnsi="宋体" w:eastAsia="宋体" w:cs="宋体"/>
          <w:color w:val="auto"/>
          <w:highlight w:val="none"/>
          <w:u w:val="none"/>
        </w:rPr>
      </w:pPr>
      <w:bookmarkStart w:id="541" w:name="_Toc15739"/>
      <w:bookmarkStart w:id="542" w:name="_Toc30072"/>
      <w:bookmarkStart w:id="543" w:name="_Toc23951"/>
      <w:bookmarkStart w:id="544" w:name="_Toc18361"/>
      <w:bookmarkStart w:id="545" w:name="_Toc29111"/>
      <w:bookmarkStart w:id="546" w:name="_Toc6310"/>
      <w:bookmarkStart w:id="547" w:name="_Toc20688"/>
      <w:bookmarkStart w:id="548" w:name="_Toc460"/>
      <w:bookmarkStart w:id="549" w:name="_Toc21630"/>
      <w:bookmarkStart w:id="550" w:name="_Toc31800"/>
      <w:bookmarkStart w:id="551" w:name="_Toc20691"/>
      <w:bookmarkStart w:id="552" w:name="_Toc7864"/>
      <w:bookmarkStart w:id="553" w:name="_Toc31025"/>
      <w:bookmarkStart w:id="554" w:name="_Toc18497"/>
      <w:bookmarkStart w:id="555" w:name="_Toc24480"/>
      <w:bookmarkStart w:id="556" w:name="_Toc10700"/>
      <w:bookmarkStart w:id="557" w:name="_Toc24945"/>
      <w:bookmarkStart w:id="558" w:name="_Toc9653"/>
      <w:r>
        <w:rPr>
          <w:rFonts w:hint="eastAsia" w:ascii="宋体" w:hAnsi="宋体" w:eastAsia="宋体" w:cs="宋体"/>
          <w:color w:val="auto"/>
          <w:highlight w:val="none"/>
          <w:u w:val="none"/>
        </w:rPr>
        <w:t>27.确定中标候选人和中标人</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pPr>
        <w:shd w:val="clear" w:color="auto" w:fill="auto"/>
        <w:spacing w:line="360" w:lineRule="exact"/>
        <w:ind w:left="479" w:leftChars="228" w:firstLine="60" w:firstLineChars="2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评标委员会将根据评标标准，按</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须知资料表中</w:t>
      </w:r>
      <w:r>
        <w:rPr>
          <w:rFonts w:hint="eastAsia" w:ascii="宋体" w:hAnsi="宋体" w:eastAsia="宋体" w:cs="宋体"/>
          <w:color w:val="auto"/>
          <w:sz w:val="24"/>
          <w:highlight w:val="none"/>
        </w:rPr>
        <w:t>规定数量推荐中标候选人；或根据采购人的委托，直接确定中标人。</w:t>
      </w:r>
    </w:p>
    <w:p>
      <w:pPr>
        <w:pStyle w:val="8"/>
        <w:shd w:val="clear" w:color="auto" w:fill="auto"/>
        <w:tabs>
          <w:tab w:val="left" w:pos="900"/>
        </w:tabs>
        <w:spacing w:before="0" w:after="0" w:line="360" w:lineRule="exact"/>
        <w:rPr>
          <w:rFonts w:hint="eastAsia" w:ascii="宋体" w:hAnsi="宋体" w:eastAsia="宋体" w:cs="宋体"/>
          <w:color w:val="auto"/>
          <w:highlight w:val="none"/>
          <w:u w:val="none"/>
        </w:rPr>
      </w:pPr>
      <w:bookmarkStart w:id="559" w:name="_Ref467306874"/>
      <w:bookmarkStart w:id="560" w:name="_Toc520356173"/>
      <w:bookmarkStart w:id="561" w:name="_Toc26328"/>
      <w:bookmarkStart w:id="562" w:name="_Toc7156"/>
      <w:bookmarkStart w:id="563" w:name="_Toc7652"/>
      <w:bookmarkStart w:id="564" w:name="_Toc28513"/>
      <w:bookmarkStart w:id="565" w:name="_Toc20705"/>
      <w:bookmarkStart w:id="566" w:name="_Toc20001"/>
      <w:bookmarkStart w:id="567" w:name="_Toc10897"/>
      <w:bookmarkStart w:id="568" w:name="_Toc31925"/>
      <w:bookmarkStart w:id="569" w:name="_Toc18923"/>
      <w:bookmarkStart w:id="570" w:name="_Toc4516"/>
      <w:bookmarkStart w:id="571" w:name="_Toc9887"/>
      <w:bookmarkStart w:id="572" w:name="_Toc515647790"/>
      <w:bookmarkStart w:id="573" w:name="_Toc32455"/>
      <w:bookmarkStart w:id="574" w:name="_Toc31043"/>
      <w:bookmarkStart w:id="575" w:name="_Toc20151"/>
      <w:bookmarkStart w:id="576" w:name="_Toc21241"/>
      <w:bookmarkStart w:id="577" w:name="_Toc28562"/>
      <w:bookmarkStart w:id="578" w:name="_Toc1015"/>
      <w:bookmarkStart w:id="579" w:name="_Toc8389"/>
      <w:r>
        <w:rPr>
          <w:rFonts w:hint="eastAsia" w:ascii="宋体" w:hAnsi="宋体" w:eastAsia="宋体" w:cs="宋体"/>
          <w:color w:val="auto"/>
          <w:highlight w:val="none"/>
          <w:u w:val="none"/>
        </w:rPr>
        <w:t>28.</w:t>
      </w:r>
      <w:bookmarkEnd w:id="559"/>
      <w:bookmarkEnd w:id="560"/>
      <w:r>
        <w:rPr>
          <w:rFonts w:hint="eastAsia" w:ascii="宋体" w:hAnsi="宋体" w:eastAsia="宋体" w:cs="宋体"/>
          <w:color w:val="auto"/>
          <w:highlight w:val="none"/>
          <w:u w:val="none"/>
        </w:rPr>
        <w:t>采购任务取消</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因重大变故采购任务取消时，采购人有权拒绝任何</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中标，且对受影响的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不承担任何责任。</w:t>
      </w:r>
      <w:bookmarkStart w:id="580" w:name="_Toc520356174"/>
    </w:p>
    <w:p>
      <w:pPr>
        <w:pStyle w:val="8"/>
        <w:shd w:val="clear" w:color="auto" w:fill="auto"/>
        <w:spacing w:before="0" w:after="0" w:line="360" w:lineRule="exact"/>
        <w:rPr>
          <w:rFonts w:hint="eastAsia" w:ascii="宋体" w:hAnsi="宋体" w:eastAsia="宋体" w:cs="宋体"/>
          <w:color w:val="auto"/>
          <w:highlight w:val="none"/>
          <w:u w:val="none"/>
        </w:rPr>
      </w:pPr>
      <w:bookmarkStart w:id="581" w:name="_Toc26207"/>
      <w:bookmarkStart w:id="582" w:name="_Toc20430"/>
      <w:bookmarkStart w:id="583" w:name="_Toc30170"/>
      <w:bookmarkStart w:id="584" w:name="_Toc5348"/>
      <w:bookmarkStart w:id="585" w:name="_Toc31099"/>
      <w:bookmarkStart w:id="586" w:name="_Toc27996"/>
      <w:bookmarkStart w:id="587" w:name="_Toc24285"/>
      <w:bookmarkStart w:id="588" w:name="_Toc515647791"/>
      <w:bookmarkStart w:id="589" w:name="_Toc21042"/>
      <w:bookmarkStart w:id="590" w:name="_Toc22313"/>
      <w:bookmarkStart w:id="591" w:name="_Toc8834"/>
      <w:bookmarkStart w:id="592" w:name="_Toc32101"/>
      <w:bookmarkStart w:id="593" w:name="_Toc21583"/>
      <w:bookmarkStart w:id="594" w:name="_Toc23433"/>
      <w:bookmarkStart w:id="595" w:name="_Toc30149"/>
      <w:bookmarkStart w:id="596" w:name="_Toc30931"/>
      <w:bookmarkStart w:id="597" w:name="_Toc28285"/>
      <w:bookmarkStart w:id="598" w:name="_Toc17600"/>
      <w:bookmarkStart w:id="599" w:name="_Toc8479"/>
      <w:r>
        <w:rPr>
          <w:rFonts w:hint="eastAsia" w:ascii="宋体" w:hAnsi="宋体" w:eastAsia="宋体" w:cs="宋体"/>
          <w:color w:val="auto"/>
          <w:highlight w:val="none"/>
          <w:u w:val="none"/>
        </w:rPr>
        <w:t>29.中标通知书</w:t>
      </w:r>
      <w:bookmarkEnd w:id="580"/>
      <w:r>
        <w:rPr>
          <w:rFonts w:hint="eastAsia" w:ascii="宋体" w:hAnsi="宋体" w:eastAsia="宋体" w:cs="宋体"/>
          <w:color w:val="auto"/>
          <w:highlight w:val="none"/>
          <w:u w:val="none"/>
        </w:rPr>
        <w:t>和招标结果通知书</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29.1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在投标有效期内，中标人确定后，采购人或者采购代理机构发布中标公告，同时以书面形式向中标人发出中标通知书。</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29.2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中标通知书是合同的组成部分。</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29.3    招标结果通知书和中标通知书同时发出。招标结果通知书中将告知未通过资格审查的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未通过的原因；采用综合评分法评审的，还将告知未中标人本人的评审得分和排序。</w:t>
      </w:r>
    </w:p>
    <w:p>
      <w:pPr>
        <w:pStyle w:val="8"/>
        <w:shd w:val="clear" w:color="auto" w:fill="auto"/>
        <w:spacing w:before="0" w:after="0" w:line="360" w:lineRule="exact"/>
        <w:rPr>
          <w:rFonts w:hint="eastAsia" w:ascii="宋体" w:hAnsi="宋体" w:eastAsia="宋体" w:cs="宋体"/>
          <w:color w:val="auto"/>
          <w:highlight w:val="none"/>
          <w:u w:val="none"/>
        </w:rPr>
      </w:pPr>
      <w:bookmarkStart w:id="600" w:name="_Toc515647792"/>
      <w:bookmarkStart w:id="601" w:name="_Toc29299"/>
      <w:bookmarkStart w:id="602" w:name="_Toc31017"/>
      <w:bookmarkStart w:id="603" w:name="_Toc7779"/>
      <w:bookmarkStart w:id="604" w:name="_Ref467307204"/>
      <w:bookmarkStart w:id="605" w:name="_Toc15018"/>
      <w:bookmarkStart w:id="606" w:name="_Toc2746"/>
      <w:bookmarkStart w:id="607" w:name="_Toc32182"/>
      <w:bookmarkStart w:id="608" w:name="_Toc4761"/>
      <w:bookmarkStart w:id="609" w:name="_Toc24203"/>
      <w:bookmarkStart w:id="610" w:name="_Toc520356175"/>
      <w:bookmarkStart w:id="611" w:name="_Toc790"/>
      <w:bookmarkStart w:id="612" w:name="_Toc8845"/>
      <w:bookmarkStart w:id="613" w:name="_Toc25212"/>
      <w:bookmarkStart w:id="614" w:name="_Toc14551"/>
      <w:bookmarkStart w:id="615" w:name="_Toc9171"/>
      <w:bookmarkStart w:id="616" w:name="_Ref467307062"/>
      <w:bookmarkStart w:id="617" w:name="_Toc25945"/>
      <w:bookmarkStart w:id="618" w:name="_Toc32051"/>
      <w:bookmarkStart w:id="619" w:name="_Toc14106"/>
      <w:bookmarkStart w:id="620" w:name="_Toc4521"/>
      <w:bookmarkStart w:id="621" w:name="_Toc24666"/>
      <w:bookmarkStart w:id="622" w:name="_Ref467306377"/>
      <w:bookmarkStart w:id="623" w:name="_Ref467306978"/>
      <w:r>
        <w:rPr>
          <w:rFonts w:hint="eastAsia" w:ascii="宋体" w:hAnsi="宋体" w:eastAsia="宋体" w:cs="宋体"/>
          <w:color w:val="auto"/>
          <w:highlight w:val="none"/>
          <w:u w:val="none"/>
        </w:rPr>
        <w:t>30.签订合同</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中标人应当自发出中标通知书之日起30日内，与采购人签订合同。</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30.2</w:t>
      </w:r>
      <w:r>
        <w:rPr>
          <w:rFonts w:hint="eastAsia" w:ascii="宋体" w:hAnsi="宋体" w:eastAsia="宋体" w:cs="宋体"/>
          <w:color w:val="auto"/>
          <w:sz w:val="24"/>
          <w:highlight w:val="none"/>
        </w:rPr>
        <w:tab/>
      </w:r>
      <w:bookmarkStart w:id="624" w:name="_Ref467307090"/>
      <w:bookmarkStart w:id="625" w:name="_Ref467306425"/>
      <w:bookmarkStart w:id="626" w:name="_Toc520356176"/>
      <w:r>
        <w:rPr>
          <w:rFonts w:hint="eastAsia" w:ascii="宋体" w:hAnsi="宋体" w:eastAsia="宋体" w:cs="宋体"/>
          <w:color w:val="auto"/>
          <w:sz w:val="24"/>
          <w:highlight w:val="none"/>
        </w:rPr>
        <w:t>招标文件、中标人的投标文件及其澄清文件等，均为签订合同的依据。</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30.3   中标人拒绝与采购人签订合同的，采购人可以按照评审报告推荐的中标候选人名单排序，确定下一中标候选人为中标人，也可以重新开展政府采购活动。</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30.4   当出现法规规定的</w:t>
      </w:r>
      <w:r>
        <w:rPr>
          <w:rFonts w:hint="eastAsia" w:ascii="宋体" w:hAnsi="宋体" w:eastAsia="宋体" w:cs="宋体"/>
          <w:b/>
          <w:color w:val="auto"/>
          <w:sz w:val="24"/>
          <w:highlight w:val="none"/>
        </w:rPr>
        <w:t>中标无效或中标结果无效</w:t>
      </w:r>
      <w:r>
        <w:rPr>
          <w:rFonts w:hint="eastAsia" w:ascii="宋体" w:hAnsi="宋体" w:eastAsia="宋体" w:cs="宋体"/>
          <w:color w:val="auto"/>
          <w:sz w:val="24"/>
          <w:highlight w:val="none"/>
        </w:rPr>
        <w:t>情形时，采购人可与排名下一位的中标候选人另行签订合同，或依法重新开展采购活动。</w:t>
      </w:r>
    </w:p>
    <w:p>
      <w:pPr>
        <w:pStyle w:val="8"/>
        <w:shd w:val="clear" w:color="auto" w:fill="auto"/>
        <w:spacing w:before="0" w:after="0" w:line="360" w:lineRule="exact"/>
        <w:rPr>
          <w:rFonts w:hint="eastAsia" w:ascii="宋体" w:hAnsi="宋体" w:eastAsia="宋体" w:cs="宋体"/>
          <w:color w:val="auto"/>
          <w:highlight w:val="none"/>
          <w:u w:val="none"/>
        </w:rPr>
      </w:pPr>
      <w:bookmarkStart w:id="627" w:name="_Toc12165"/>
      <w:bookmarkStart w:id="628" w:name="_Toc1314"/>
      <w:bookmarkStart w:id="629" w:name="_Toc22555"/>
      <w:bookmarkStart w:id="630" w:name="_Toc4849"/>
      <w:bookmarkStart w:id="631" w:name="_Toc16469"/>
      <w:bookmarkStart w:id="632" w:name="_Toc8189"/>
      <w:bookmarkStart w:id="633" w:name="_Toc14080"/>
      <w:bookmarkStart w:id="634" w:name="_Toc515647793"/>
      <w:bookmarkStart w:id="635" w:name="_Toc10991"/>
      <w:bookmarkStart w:id="636" w:name="_Toc16165"/>
      <w:bookmarkStart w:id="637" w:name="_Toc22724"/>
      <w:bookmarkStart w:id="638" w:name="_Toc4766"/>
      <w:bookmarkStart w:id="639" w:name="_Toc29524"/>
      <w:bookmarkStart w:id="640" w:name="_Toc32557"/>
      <w:bookmarkStart w:id="641" w:name="_Toc11467"/>
      <w:bookmarkStart w:id="642" w:name="_Toc13370"/>
      <w:bookmarkStart w:id="643" w:name="_Toc28788"/>
      <w:bookmarkStart w:id="644" w:name="_Toc28451"/>
      <w:bookmarkStart w:id="645" w:name="_Toc23929"/>
      <w:r>
        <w:rPr>
          <w:rFonts w:hint="eastAsia" w:ascii="宋体" w:hAnsi="宋体" w:eastAsia="宋体" w:cs="宋体"/>
          <w:color w:val="auto"/>
          <w:highlight w:val="none"/>
          <w:u w:val="none"/>
        </w:rPr>
        <w:t>31.履约保证金</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中标人应按照</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规定向采购人缴纳履约保证金（如采用保函形式，格式见本章附件1）。</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政府采购利用担保试点范围内的项目，除31.1规定的情形外，中标人也可以按照财政部门的规定，向采购人提供合格的履约担保函（格式见本章附件2）。</w:t>
      </w:r>
    </w:p>
    <w:p>
      <w:pPr>
        <w:pStyle w:val="8"/>
        <w:shd w:val="clear" w:color="auto" w:fill="auto"/>
        <w:spacing w:before="0" w:after="0" w:line="360" w:lineRule="exact"/>
        <w:rPr>
          <w:rFonts w:hint="eastAsia" w:ascii="宋体" w:hAnsi="宋体" w:eastAsia="宋体" w:cs="宋体"/>
          <w:color w:val="auto"/>
          <w:highlight w:val="none"/>
          <w:u w:val="none"/>
        </w:rPr>
      </w:pPr>
      <w:bookmarkStart w:id="646" w:name="_Toc11529"/>
      <w:bookmarkStart w:id="647" w:name="_Toc29408"/>
      <w:bookmarkStart w:id="648" w:name="_Toc21246"/>
      <w:bookmarkStart w:id="649" w:name="_Toc14892"/>
      <w:bookmarkStart w:id="650" w:name="_Toc21835"/>
      <w:bookmarkStart w:id="651" w:name="_Toc16406"/>
      <w:bookmarkStart w:id="652" w:name="_Toc3090"/>
      <w:bookmarkStart w:id="653" w:name="_Toc3935"/>
      <w:bookmarkStart w:id="654" w:name="_Toc8630"/>
      <w:bookmarkStart w:id="655" w:name="_Toc4044"/>
      <w:bookmarkStart w:id="656" w:name="_Toc26497"/>
      <w:bookmarkStart w:id="657" w:name="_Toc11989"/>
      <w:bookmarkStart w:id="658" w:name="_Toc6216"/>
      <w:bookmarkStart w:id="659" w:name="_Toc515647794"/>
      <w:bookmarkStart w:id="660" w:name="_Toc14673"/>
      <w:bookmarkStart w:id="661" w:name="_Toc25487"/>
      <w:bookmarkStart w:id="662" w:name="_Toc9967"/>
      <w:bookmarkStart w:id="663" w:name="_Toc32604"/>
      <w:bookmarkStart w:id="664" w:name="_Toc10985"/>
      <w:r>
        <w:rPr>
          <w:rFonts w:hint="eastAsia" w:ascii="宋体" w:hAnsi="宋体" w:eastAsia="宋体" w:cs="宋体"/>
          <w:color w:val="auto"/>
          <w:highlight w:val="none"/>
          <w:u w:val="none"/>
        </w:rPr>
        <w:t>32.中标服务费</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pPr>
        <w:shd w:val="clear" w:color="auto" w:fill="auto"/>
        <w:spacing w:line="360" w:lineRule="exact"/>
        <w:ind w:left="420" w:hanging="420" w:hanging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中标人须按照</w:t>
      </w:r>
      <w:r>
        <w:rPr>
          <w:rFonts w:hint="eastAsia" w:ascii="宋体" w:hAnsi="宋体" w:eastAsia="宋体" w:cs="宋体"/>
          <w:color w:val="auto"/>
          <w:sz w:val="24"/>
          <w:highlight w:val="none"/>
          <w:u w:val="single"/>
        </w:rPr>
        <w:t>投标须知资料表</w:t>
      </w:r>
      <w:r>
        <w:rPr>
          <w:rFonts w:hint="eastAsia" w:ascii="宋体" w:hAnsi="宋体" w:eastAsia="宋体" w:cs="宋体"/>
          <w:color w:val="auto"/>
          <w:sz w:val="24"/>
          <w:highlight w:val="none"/>
        </w:rPr>
        <w:t>规定，向采购代理机构支付中标服务费。</w:t>
      </w:r>
    </w:p>
    <w:p>
      <w:pPr>
        <w:pStyle w:val="8"/>
        <w:shd w:val="clear" w:color="auto" w:fill="auto"/>
        <w:spacing w:before="0" w:after="0" w:line="360" w:lineRule="exact"/>
        <w:rPr>
          <w:rFonts w:hint="eastAsia" w:ascii="宋体" w:hAnsi="宋体" w:eastAsia="宋体" w:cs="宋体"/>
          <w:color w:val="auto"/>
          <w:highlight w:val="none"/>
          <w:u w:val="none"/>
        </w:rPr>
      </w:pPr>
      <w:bookmarkStart w:id="665" w:name="_Toc3053"/>
      <w:bookmarkStart w:id="666" w:name="_Toc26874"/>
      <w:bookmarkStart w:id="667" w:name="_Toc7188"/>
      <w:bookmarkStart w:id="668" w:name="_Toc8382"/>
      <w:bookmarkStart w:id="669" w:name="_Toc30735"/>
      <w:bookmarkStart w:id="670" w:name="_Toc16176"/>
      <w:bookmarkStart w:id="671" w:name="_Toc4947"/>
      <w:bookmarkStart w:id="672" w:name="_Toc7049"/>
      <w:bookmarkStart w:id="673" w:name="_Toc515647795"/>
      <w:bookmarkStart w:id="674" w:name="_Toc24977"/>
      <w:bookmarkStart w:id="675" w:name="_Toc14110"/>
      <w:bookmarkStart w:id="676" w:name="_Toc24525"/>
      <w:bookmarkStart w:id="677" w:name="_Toc16814"/>
      <w:bookmarkStart w:id="678" w:name="_Toc23330"/>
      <w:bookmarkStart w:id="679" w:name="_Toc18561"/>
      <w:bookmarkStart w:id="680" w:name="_Toc16900"/>
      <w:bookmarkStart w:id="681" w:name="_Toc23921"/>
      <w:bookmarkStart w:id="682" w:name="_Toc6923"/>
      <w:bookmarkStart w:id="683" w:name="_Toc3846"/>
      <w:r>
        <w:rPr>
          <w:rFonts w:hint="eastAsia" w:ascii="宋体" w:hAnsi="宋体" w:eastAsia="宋体" w:cs="宋体"/>
          <w:color w:val="auto"/>
          <w:highlight w:val="none"/>
          <w:u w:val="none"/>
        </w:rPr>
        <w:t>33.政府采购信用担保</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33.1   本项目是否属于信用担保试点范围见</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shd w:val="clear" w:color="auto" w:fill="auto"/>
        <w:spacing w:line="360" w:lineRule="exact"/>
        <w:ind w:left="850" w:hanging="849" w:hangingChars="354"/>
        <w:rPr>
          <w:rFonts w:hint="eastAsia" w:ascii="宋体" w:hAnsi="宋体" w:eastAsia="宋体" w:cs="宋体"/>
          <w:color w:val="auto"/>
          <w:sz w:val="24"/>
          <w:highlight w:val="none"/>
        </w:rPr>
      </w:pPr>
      <w:r>
        <w:rPr>
          <w:rFonts w:hint="eastAsia" w:ascii="宋体" w:hAnsi="宋体" w:eastAsia="宋体" w:cs="宋体"/>
          <w:color w:val="auto"/>
          <w:sz w:val="24"/>
          <w:highlight w:val="none"/>
        </w:rPr>
        <w:t>33.2   如属于政府采购信用担保试点范围内，中小型企业</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可以自由按照财政部门的规定，采用投标担保、履约担保和融资担保。</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33.2.1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递交的投标担保函和履约担保函应符合本招标文件的规定。</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33.2.2 中标人可以采取融资担保的形式为政府采购项目履约进行融资。</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33.2.3 合格的政府采购专业信用担保机构名单见</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pStyle w:val="8"/>
        <w:shd w:val="clear" w:color="auto" w:fill="auto"/>
        <w:spacing w:before="0" w:after="0" w:line="360" w:lineRule="exact"/>
        <w:rPr>
          <w:rFonts w:hint="eastAsia" w:ascii="宋体" w:hAnsi="宋体" w:eastAsia="宋体" w:cs="宋体"/>
          <w:color w:val="auto"/>
          <w:highlight w:val="none"/>
          <w:u w:val="none"/>
        </w:rPr>
      </w:pPr>
      <w:bookmarkStart w:id="684" w:name="_Toc23161"/>
      <w:bookmarkStart w:id="685" w:name="_Toc30431"/>
      <w:bookmarkStart w:id="686" w:name="_Toc24009"/>
      <w:bookmarkStart w:id="687" w:name="_Toc23999"/>
      <w:bookmarkStart w:id="688" w:name="_Toc19776"/>
      <w:bookmarkStart w:id="689" w:name="_Toc27009"/>
      <w:bookmarkStart w:id="690" w:name="_Toc4580"/>
      <w:bookmarkStart w:id="691" w:name="_Toc22190"/>
      <w:bookmarkStart w:id="692" w:name="_Toc15703"/>
      <w:bookmarkStart w:id="693" w:name="_Toc3656"/>
      <w:bookmarkStart w:id="694" w:name="_Toc2133"/>
      <w:bookmarkStart w:id="695" w:name="_Toc515647796"/>
      <w:bookmarkStart w:id="696" w:name="_Toc24020"/>
      <w:bookmarkStart w:id="697" w:name="_Toc31178"/>
      <w:bookmarkStart w:id="698" w:name="_Toc3551"/>
      <w:bookmarkStart w:id="699" w:name="_Toc16267"/>
      <w:bookmarkStart w:id="700" w:name="_Toc19328"/>
      <w:bookmarkStart w:id="701" w:name="_Toc29108"/>
      <w:bookmarkStart w:id="702" w:name="_Toc24308"/>
      <w:r>
        <w:rPr>
          <w:rFonts w:hint="eastAsia" w:ascii="宋体" w:hAnsi="宋体" w:eastAsia="宋体" w:cs="宋体"/>
          <w:color w:val="auto"/>
          <w:highlight w:val="none"/>
          <w:u w:val="none"/>
        </w:rPr>
        <w:t>34.廉洁自律规定</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34.1   采购代理机构工作人员不得以不正当手段获取政府采购代理业务，不得与采购人、供应商恶意串通操纵政府采购活动。</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34.2   采购代理机构工作人员不得接受采购人或者供应商组织的宴请、旅游、娱乐，不得收受礼品、现金、有价证券等，不得向采购人或者供应商报销应当由个人承担的费用。</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34.3   为强化采购代理机构内部监督机制，供应商可按</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须知资料表中的</w:t>
      </w:r>
      <w:r>
        <w:rPr>
          <w:rFonts w:hint="eastAsia" w:ascii="宋体" w:hAnsi="宋体" w:eastAsia="宋体" w:cs="宋体"/>
          <w:color w:val="auto"/>
          <w:sz w:val="24"/>
          <w:highlight w:val="none"/>
        </w:rPr>
        <w:t>监督电话和邮箱，反映采购代理机构的廉洁自律等问题。</w:t>
      </w:r>
    </w:p>
    <w:p>
      <w:pPr>
        <w:pStyle w:val="8"/>
        <w:shd w:val="clear" w:color="auto" w:fill="auto"/>
        <w:spacing w:before="0" w:after="0" w:line="360" w:lineRule="exact"/>
        <w:rPr>
          <w:rFonts w:hint="eastAsia" w:ascii="宋体" w:hAnsi="宋体" w:eastAsia="宋体" w:cs="宋体"/>
          <w:color w:val="auto"/>
          <w:highlight w:val="none"/>
          <w:u w:val="none"/>
        </w:rPr>
      </w:pPr>
      <w:bookmarkStart w:id="703" w:name="_Toc31859"/>
      <w:bookmarkStart w:id="704" w:name="_Toc13633"/>
      <w:bookmarkStart w:id="705" w:name="_Toc4645"/>
      <w:bookmarkStart w:id="706" w:name="_Toc23276"/>
      <w:bookmarkStart w:id="707" w:name="_Toc515647797"/>
      <w:bookmarkStart w:id="708" w:name="_Toc5448"/>
      <w:bookmarkStart w:id="709" w:name="_Toc3661"/>
      <w:bookmarkStart w:id="710" w:name="_Toc2538"/>
      <w:bookmarkStart w:id="711" w:name="_Toc17829"/>
      <w:bookmarkStart w:id="712" w:name="_Toc11586"/>
      <w:bookmarkStart w:id="713" w:name="_Toc30009"/>
      <w:bookmarkStart w:id="714" w:name="_Toc17079"/>
      <w:bookmarkStart w:id="715" w:name="_Toc5069"/>
      <w:bookmarkStart w:id="716" w:name="_Toc26147"/>
      <w:bookmarkStart w:id="717" w:name="_Toc20767"/>
      <w:bookmarkStart w:id="718" w:name="_Toc25480"/>
      <w:bookmarkStart w:id="719" w:name="_Toc3587"/>
      <w:bookmarkStart w:id="720" w:name="_Toc29018"/>
      <w:bookmarkStart w:id="721" w:name="_Toc28697"/>
      <w:r>
        <w:rPr>
          <w:rFonts w:hint="eastAsia" w:ascii="宋体" w:hAnsi="宋体" w:eastAsia="宋体" w:cs="宋体"/>
          <w:color w:val="auto"/>
          <w:highlight w:val="none"/>
          <w:u w:val="none"/>
        </w:rPr>
        <w:t>35.人员回避</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认为采购人员及其相关人员有法律法规所列与其他供应商有利害关系的，可以向采购人或采购代理机构书面提出回避申请，并说明理由。</w:t>
      </w:r>
    </w:p>
    <w:p>
      <w:pPr>
        <w:pStyle w:val="8"/>
        <w:shd w:val="clear" w:color="auto" w:fill="auto"/>
        <w:spacing w:before="0" w:after="0" w:line="360" w:lineRule="exact"/>
        <w:rPr>
          <w:rFonts w:hint="eastAsia" w:ascii="宋体" w:hAnsi="宋体" w:eastAsia="宋体" w:cs="宋体"/>
          <w:color w:val="auto"/>
          <w:highlight w:val="none"/>
          <w:u w:val="none"/>
        </w:rPr>
      </w:pPr>
      <w:bookmarkStart w:id="722" w:name="_Toc31362"/>
      <w:bookmarkStart w:id="723" w:name="_Toc21536"/>
      <w:bookmarkStart w:id="724" w:name="_Toc13988"/>
      <w:bookmarkStart w:id="725" w:name="_Toc6387"/>
      <w:bookmarkStart w:id="726" w:name="_Toc30943"/>
      <w:bookmarkStart w:id="727" w:name="_Toc9305"/>
      <w:bookmarkStart w:id="728" w:name="_Toc29186"/>
      <w:bookmarkStart w:id="729" w:name="_Toc15979"/>
      <w:bookmarkStart w:id="730" w:name="_Toc11728"/>
      <w:bookmarkStart w:id="731" w:name="_Toc7227"/>
      <w:bookmarkStart w:id="732" w:name="_Toc13496"/>
      <w:bookmarkStart w:id="733" w:name="_Toc1640"/>
      <w:bookmarkStart w:id="734" w:name="_Toc10066"/>
      <w:bookmarkStart w:id="735" w:name="_Toc19513"/>
      <w:bookmarkStart w:id="736" w:name="_Toc12880"/>
      <w:bookmarkStart w:id="737" w:name="_Toc7870"/>
      <w:r>
        <w:rPr>
          <w:rFonts w:hint="eastAsia" w:ascii="宋体" w:hAnsi="宋体" w:eastAsia="宋体" w:cs="宋体"/>
          <w:color w:val="auto"/>
          <w:highlight w:val="none"/>
          <w:u w:val="none"/>
        </w:rPr>
        <w:t>36.</w:t>
      </w:r>
      <w:bookmarkEnd w:id="722"/>
      <w:r>
        <w:rPr>
          <w:rFonts w:hint="eastAsia" w:ascii="宋体" w:hAnsi="宋体" w:eastAsia="宋体" w:cs="宋体"/>
          <w:color w:val="auto"/>
          <w:highlight w:val="none"/>
          <w:u w:val="none"/>
        </w:rPr>
        <w:t>质疑与接收</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pPr>
        <w:shd w:val="clear" w:color="auto" w:fill="auto"/>
        <w:spacing w:line="360"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12"/>
        <w:shd w:val="clear" w:color="auto" w:fill="auto"/>
        <w:spacing w:line="360" w:lineRule="exact"/>
        <w:ind w:left="720" w:hanging="720" w:hangingChars="300"/>
        <w:rPr>
          <w:rFonts w:hint="eastAsia" w:ascii="宋体" w:hAnsi="宋体" w:eastAsia="宋体" w:cs="宋体"/>
          <w:color w:val="auto"/>
          <w:highlight w:val="none"/>
        </w:rPr>
      </w:pPr>
      <w:r>
        <w:rPr>
          <w:rFonts w:hint="eastAsia" w:ascii="宋体" w:hAnsi="宋体" w:eastAsia="宋体" w:cs="宋体"/>
          <w:color w:val="auto"/>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pPr>
        <w:pStyle w:val="12"/>
        <w:shd w:val="clear" w:color="auto" w:fill="auto"/>
        <w:spacing w:line="360" w:lineRule="exact"/>
        <w:ind w:left="720" w:hanging="720" w:hangingChars="300"/>
        <w:rPr>
          <w:rFonts w:hint="eastAsia" w:ascii="宋体" w:hAnsi="宋体" w:eastAsia="宋体" w:cs="宋体"/>
          <w:color w:val="auto"/>
          <w:highlight w:val="none"/>
        </w:rPr>
      </w:pPr>
      <w:r>
        <w:rPr>
          <w:rFonts w:hint="eastAsia" w:ascii="宋体" w:hAnsi="宋体" w:eastAsia="宋体" w:cs="宋体"/>
          <w:color w:val="auto"/>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shd w:val="clear" w:color="auto" w:fill="auto"/>
        <w:spacing w:line="360"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shd w:val="clear" w:color="auto" w:fill="auto"/>
        <w:spacing w:line="360"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36.5  采购代理机构质疑函接收部门、联系电话和通讯地址, 见</w:t>
      </w:r>
      <w:r>
        <w:rPr>
          <w:rFonts w:hint="eastAsia" w:ascii="宋体" w:hAnsi="宋体" w:eastAsia="宋体" w:cs="宋体"/>
          <w:color w:val="auto"/>
          <w:sz w:val="24"/>
          <w:highlight w:val="none"/>
          <w:u w:val="single"/>
        </w:rPr>
        <w:t>供应商须知资料表。</w:t>
      </w:r>
    </w:p>
    <w:p>
      <w:pPr>
        <w:shd w:val="clear" w:color="auto" w:fill="auto"/>
        <w:spacing w:line="360" w:lineRule="exact"/>
        <w:ind w:left="720" w:hanging="720" w:hanging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36.6   供应商认为采购文件、采购过程和中标结果使自己的权益受到损害的，可以在知道或者应知其权益受到损害之日起7个工作日内，以书面形式向采购方提出质疑。供应商应知其权益受到损害之日，是指：</w:t>
      </w:r>
    </w:p>
    <w:p>
      <w:pPr>
        <w:shd w:val="clear" w:color="auto" w:fill="auto"/>
        <w:spacing w:line="360" w:lineRule="exact"/>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（一）对可以质疑的采购文件提出质疑的，为收到采购文件之日或者采购文件公告期限届满之日；</w:t>
      </w:r>
    </w:p>
    <w:p>
      <w:pPr>
        <w:shd w:val="clear" w:color="auto" w:fill="auto"/>
        <w:spacing w:line="360" w:lineRule="exact"/>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（二）对采购过程提出质疑的，为各采购程序环节结束之日；</w:t>
      </w:r>
    </w:p>
    <w:p>
      <w:pPr>
        <w:shd w:val="clear" w:color="auto" w:fill="auto"/>
        <w:spacing w:line="360" w:lineRule="exact"/>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（三）对中标结果提出质疑的，为中标结果公告期限届满之日。</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36.7   供应商有权提出一次质疑，不能多次提出。</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36.8   对可以质疑的采购文件提出质疑的，质疑人为参与本项目的报价方或潜在报价方。可质疑的文件为采购公告以及采购文件（包括属于其组成部分的澄清、修改、补充文件和评审标准、合同文本等）。</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36.9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36.10  提出质疑应当符合下列条件：</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（一）质疑主体应当符合有关规定；</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（二）在质疑法定期限内提出；</w:t>
      </w:r>
    </w:p>
    <w:p>
      <w:pPr>
        <w:shd w:val="clear" w:color="auto" w:fill="auto"/>
        <w:spacing w:line="360" w:lineRule="exact"/>
        <w:ind w:left="1199" w:leftChars="228" w:hanging="720" w:hanging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（三）属于可以提出质疑的政府采购事项受理范围和本项目采购人的管辖权范围；</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（四）政府采购法律、法规、规章规定的其他条件。</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36.11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36.12  质疑人所提供的证明材料应当具有真实性、合法性以及与质疑事项的关联性和证明力，否则不能作为认定该质疑事项成立的依据。</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36.13 质疑人提出质疑时应当提交质疑函。质疑函包括下列内容：</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（一）提出质疑的质疑人的名称、地址、邮编、联系人及联系电话等；</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（二）质疑项目的名称、编号；</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（三）质疑事项；</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（四）事实依据和证明材料；</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（五）法律依据；</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（六）提出质疑的日期。</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质疑函采用实名制。质疑人为自然人的应当由本人签字，并附有效身份证明文件；质疑人为</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或者非</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组织的应当由法定代表人或者负责人签字并加盖公章，并附有效身份证明文件。</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36.14  质疑人可以委托代理人进行质疑。代理人应当提交授权委托书。授权委托书应当载明委托代理的具体权限、期限和相关事项。</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36.15  质疑的审查和受理</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采购方在收到质疑函后应当及时审查是否符合质疑受理条件，对符合质疑受理条件的，及时予以受理。</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36.16  对不符合质疑受理条件的，分别按照下列不同情形予以处理：</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（一）质疑函内容不符合规定的，告知质疑人进行修改并重新提出质疑。修改后质疑事项仍不具体、不明确或者最终递交质疑函的时间超过质疑法定期限的，不予受理；</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（二）质疑主体不符合有关规定的，告知质疑人不予受理；</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（三）超过质疑法定期限提出质疑的，告知质疑人不予受理；</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（四）对不属于可以提出质疑的政府采购事项提出质疑的，告知质疑人不予受理；</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（五）质疑不属于本项目采购方管辖的，告知质疑人向有管辖权的采购人提出质疑；</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（六）质疑不符合其他条件的，告知质疑人不予受理。</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36.17  质疑的处理和答复</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36.18  采购方受理质疑后，将及时把质疑函发送给被质疑人，并要求其在一定限期内提交书面答复，同时提供有关证据、依据和相关材料。</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36.19  对于质疑事项中涉及的问题较多、情况比较复杂的，为了全面查清事实、取得充分的证据，采购方认为有必要时，可以进行调查取证或者组织质证。</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36.20  对评审过程、中标结果提出质疑的，采购方可以组织原评审委员会协助答复质疑。</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36.21  质疑处理过程中，质疑人书面申请撤回质疑的，将终止质疑处理程序。</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36.22  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36.23  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360" w:lineRule="exact"/>
        <w:jc w:val="left"/>
        <w:rPr>
          <w:rFonts w:hint="eastAsia" w:ascii="宋体" w:hAnsi="宋体" w:eastAsia="宋体" w:cs="宋体"/>
          <w:b/>
          <w:bCs/>
          <w:color w:val="auto"/>
          <w:highlight w:val="none"/>
        </w:rPr>
      </w:pPr>
      <w:r>
        <w:rPr>
          <w:rFonts w:hint="eastAsia" w:ascii="宋体" w:hAnsi="宋体" w:eastAsia="宋体" w:cs="宋体"/>
          <w:color w:val="auto"/>
          <w:sz w:val="24"/>
          <w:highlight w:val="none"/>
        </w:rPr>
        <w:t xml:space="preserve">36.24  采购方将在正式受理质疑后7个工作日内作出答复。 </w:t>
      </w:r>
    </w:p>
    <w:p>
      <w:pPr>
        <w:pStyle w:val="12"/>
        <w:shd w:val="clear" w:color="auto" w:fill="auto"/>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36.25 质疑答复应当包括下列内容：</w:t>
      </w:r>
    </w:p>
    <w:p>
      <w:pPr>
        <w:pStyle w:val="12"/>
        <w:shd w:val="clear" w:color="auto" w:fill="auto"/>
        <w:spacing w:line="3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（一）质疑人的姓名或者名称；</w:t>
      </w:r>
    </w:p>
    <w:p>
      <w:pPr>
        <w:pStyle w:val="12"/>
        <w:shd w:val="clear" w:color="auto" w:fill="auto"/>
        <w:spacing w:line="3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（二）收到质疑函的日期、质疑项目名称及编号；</w:t>
      </w:r>
    </w:p>
    <w:p>
      <w:pPr>
        <w:pStyle w:val="12"/>
        <w:shd w:val="clear" w:color="auto" w:fill="auto"/>
        <w:spacing w:line="3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（三）质疑事项、质疑答复的具体内容、事实依据和法律依据；</w:t>
      </w:r>
    </w:p>
    <w:p>
      <w:pPr>
        <w:pStyle w:val="12"/>
        <w:shd w:val="clear" w:color="auto" w:fill="auto"/>
        <w:spacing w:line="3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（四）告知质疑供应商依法投诉的权利；</w:t>
      </w:r>
    </w:p>
    <w:p>
      <w:pPr>
        <w:pStyle w:val="12"/>
        <w:shd w:val="clear" w:color="auto" w:fill="auto"/>
        <w:spacing w:line="3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（五）质疑答复人名称；</w:t>
      </w:r>
    </w:p>
    <w:p>
      <w:pPr>
        <w:pStyle w:val="12"/>
        <w:shd w:val="clear" w:color="auto" w:fill="auto"/>
        <w:spacing w:line="360" w:lineRule="exact"/>
        <w:ind w:firstLine="480" w:firstLineChars="200"/>
        <w:rPr>
          <w:rFonts w:hint="eastAsia" w:ascii="宋体" w:hAnsi="宋体" w:eastAsia="宋体" w:cs="宋体"/>
          <w:b/>
          <w:bCs/>
          <w:color w:val="auto"/>
          <w:highlight w:val="none"/>
        </w:rPr>
      </w:pPr>
      <w:r>
        <w:rPr>
          <w:rFonts w:hint="eastAsia" w:ascii="宋体" w:hAnsi="宋体" w:eastAsia="宋体" w:cs="宋体"/>
          <w:color w:val="auto"/>
          <w:highlight w:val="none"/>
        </w:rPr>
        <w:t>（六）答复质疑的日期。</w:t>
      </w:r>
    </w:p>
    <w:p>
      <w:pPr>
        <w:shd w:val="clear" w:color="auto" w:fill="auto"/>
        <w:spacing w:line="360" w:lineRule="exact"/>
        <w:jc w:val="center"/>
        <w:outlineLvl w:val="2"/>
        <w:rPr>
          <w:rFonts w:hint="eastAsia" w:ascii="宋体" w:hAnsi="宋体" w:eastAsia="宋体" w:cs="宋体"/>
          <w:b/>
          <w:bCs/>
          <w:color w:val="auto"/>
          <w:sz w:val="24"/>
          <w:highlight w:val="none"/>
        </w:rPr>
      </w:pPr>
      <w:bookmarkStart w:id="738" w:name="_Toc8353"/>
      <w:bookmarkStart w:id="739" w:name="_Toc12088"/>
      <w:bookmarkStart w:id="740" w:name="_Toc16553"/>
      <w:bookmarkStart w:id="741" w:name="_Toc9437"/>
      <w:bookmarkStart w:id="742" w:name="_Toc27601"/>
      <w:bookmarkStart w:id="743" w:name="_Toc29320"/>
      <w:bookmarkStart w:id="744" w:name="_Toc14893"/>
      <w:bookmarkStart w:id="745" w:name="_Toc25636"/>
      <w:bookmarkStart w:id="746" w:name="_Toc11297"/>
      <w:bookmarkStart w:id="747" w:name="_Toc14412"/>
      <w:bookmarkStart w:id="748" w:name="_Toc12693"/>
      <w:bookmarkStart w:id="749" w:name="_Toc13698"/>
      <w:bookmarkStart w:id="750" w:name="_Toc32049"/>
      <w:bookmarkStart w:id="751" w:name="_Toc23411"/>
      <w:bookmarkStart w:id="752" w:name="_Toc30093"/>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shd w:val="clear" w:color="auto" w:fill="auto"/>
        <w:spacing w:line="360" w:lineRule="exact"/>
        <w:jc w:val="center"/>
        <w:outlineLvl w:val="2"/>
        <w:rPr>
          <w:rFonts w:hint="eastAsia" w:ascii="宋体" w:hAnsi="宋体" w:eastAsia="宋体" w:cs="宋体"/>
          <w:b/>
          <w:bCs/>
          <w:color w:val="auto"/>
          <w:sz w:val="24"/>
          <w:highlight w:val="none"/>
        </w:rPr>
      </w:pPr>
      <w:bookmarkStart w:id="753" w:name="_Toc22674"/>
      <w:bookmarkStart w:id="754" w:name="_Toc18319"/>
      <w:bookmarkStart w:id="755" w:name="_Toc20590"/>
      <w:bookmarkStart w:id="756" w:name="_Toc14462"/>
      <w:bookmarkStart w:id="757" w:name="_Toc30232"/>
      <w:r>
        <w:rPr>
          <w:rFonts w:hint="eastAsia" w:ascii="宋体" w:hAnsi="宋体" w:eastAsia="宋体" w:cs="宋体"/>
          <w:b/>
          <w:bCs/>
          <w:color w:val="auto"/>
          <w:sz w:val="24"/>
          <w:highlight w:val="none"/>
        </w:rPr>
        <w:t>质疑函范本</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pPr>
        <w:shd w:val="clear" w:color="auto" w:fill="auto"/>
        <w:adjustRightInd w:val="0"/>
        <w:snapToGrid w:val="0"/>
        <w:spacing w:line="36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一、质疑供应商基本信息</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质疑供应商：</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pPr>
        <w:pStyle w:val="2"/>
        <w:shd w:val="clear" w:color="auto" w:fill="auto"/>
        <w:rPr>
          <w:rFonts w:hint="eastAsia" w:ascii="宋体" w:hAnsi="宋体" w:eastAsia="宋体" w:cs="宋体"/>
          <w:color w:val="auto"/>
          <w:highlight w:val="none"/>
        </w:rPr>
      </w:pP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shd w:val="clear" w:color="auto" w:fill="auto"/>
        <w:adjustRightInd w:val="0"/>
        <w:snapToGrid w:val="0"/>
        <w:spacing w:line="36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pPr>
        <w:shd w:val="clear" w:color="auto" w:fill="auto"/>
        <w:spacing w:line="360" w:lineRule="exact"/>
        <w:rPr>
          <w:rFonts w:hint="eastAsia" w:ascii="宋体" w:hAnsi="宋体" w:eastAsia="宋体" w:cs="宋体"/>
          <w:b/>
          <w:color w:val="auto"/>
          <w:sz w:val="24"/>
          <w:highlight w:val="none"/>
        </w:rPr>
      </w:pPr>
    </w:p>
    <w:p>
      <w:pPr>
        <w:shd w:val="clear" w:color="auto" w:fill="auto"/>
        <w:spacing w:line="36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pPr>
        <w:widowControl/>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pPr>
        <w:widowControl/>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highlight w:val="none"/>
        </w:rPr>
        <w:t>供应商签署的授权委托书。授权委托书应载明代理人的姓名或者名称、代理事项、具体权限、期限和相关事项。</w:t>
      </w:r>
    </w:p>
    <w:p>
      <w:pPr>
        <w:widowControl/>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pPr>
        <w:widowControl/>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pPr>
        <w:widowControl/>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pPr>
        <w:widowControl/>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或者其他组织的，质疑函应由法定代表人、主要负责人，或者其授权代表签字或者盖章，并加盖公章。</w:t>
      </w:r>
    </w:p>
    <w:p>
      <w:pPr>
        <w:pStyle w:val="4"/>
        <w:spacing w:line="400" w:lineRule="exact"/>
        <w:ind w:firstLine="0"/>
        <w:rPr>
          <w:rFonts w:hint="eastAsia" w:ascii="宋体" w:hAnsi="宋体" w:eastAsia="宋体" w:cs="宋体"/>
          <w:color w:val="auto"/>
          <w:kern w:val="2"/>
          <w:sz w:val="21"/>
          <w:szCs w:val="21"/>
          <w:highlight w:val="none"/>
        </w:rPr>
      </w:pPr>
      <w:r>
        <w:rPr>
          <w:rFonts w:hint="eastAsia" w:ascii="宋体" w:hAnsi="宋体" w:eastAsia="宋体" w:cs="宋体"/>
          <w:b/>
          <w:color w:val="auto"/>
          <w:szCs w:val="24"/>
          <w:highlight w:val="none"/>
        </w:rPr>
        <w:br w:type="page"/>
      </w:r>
    </w:p>
    <w:p>
      <w:pPr>
        <w:pStyle w:val="6"/>
        <w:spacing w:before="0" w:after="0" w:line="240" w:lineRule="atLeast"/>
        <w:rPr>
          <w:rFonts w:hint="eastAsia" w:ascii="宋体" w:hAnsi="宋体" w:eastAsia="宋体" w:cs="宋体"/>
          <w:color w:val="auto"/>
          <w:szCs w:val="21"/>
          <w:highlight w:val="none"/>
        </w:rPr>
      </w:pPr>
      <w:bookmarkStart w:id="758" w:name="_Toc3574"/>
      <w:bookmarkStart w:id="759" w:name="_Toc216582812"/>
      <w:bookmarkStart w:id="760" w:name="_Toc515647802"/>
      <w:bookmarkStart w:id="761" w:name="_Toc29770"/>
      <w:bookmarkStart w:id="762" w:name="_Toc728"/>
      <w:bookmarkStart w:id="763" w:name="_Toc13000"/>
      <w:bookmarkStart w:id="764" w:name="_Toc702"/>
      <w:r>
        <w:rPr>
          <w:rFonts w:hint="eastAsia" w:ascii="宋体" w:hAnsi="宋体" w:eastAsia="宋体" w:cs="宋体"/>
          <w:color w:val="auto"/>
          <w:szCs w:val="32"/>
          <w:highlight w:val="none"/>
        </w:rPr>
        <w:t>第2章   投标文件格式</w:t>
      </w:r>
      <w:bookmarkEnd w:id="758"/>
      <w:bookmarkEnd w:id="759"/>
      <w:bookmarkEnd w:id="760"/>
      <w:bookmarkEnd w:id="761"/>
      <w:bookmarkEnd w:id="762"/>
      <w:bookmarkEnd w:id="763"/>
      <w:bookmarkEnd w:id="764"/>
    </w:p>
    <w:p>
      <w:pPr>
        <w:pStyle w:val="7"/>
        <w:spacing w:before="0" w:line="240" w:lineRule="atLeast"/>
        <w:rPr>
          <w:rFonts w:hint="eastAsia" w:ascii="宋体" w:hAnsi="宋体" w:eastAsia="宋体" w:cs="宋体"/>
          <w:color w:val="auto"/>
          <w:szCs w:val="21"/>
          <w:highlight w:val="none"/>
        </w:rPr>
      </w:pPr>
      <w:bookmarkStart w:id="765" w:name="_Toc32123"/>
      <w:bookmarkStart w:id="766" w:name="_Toc22572"/>
      <w:bookmarkStart w:id="767" w:name="_Toc16850"/>
      <w:bookmarkStart w:id="768" w:name="_Toc18694"/>
      <w:bookmarkStart w:id="769" w:name="_Toc32079"/>
      <w:bookmarkStart w:id="770" w:name="_Toc515647803"/>
      <w:bookmarkStart w:id="771" w:name="_Toc18974"/>
      <w:bookmarkStart w:id="772" w:name="_Toc16750"/>
      <w:bookmarkStart w:id="773" w:name="_Toc29091"/>
      <w:bookmarkStart w:id="774" w:name="_Toc14118"/>
      <w:bookmarkStart w:id="775" w:name="_Toc30630"/>
      <w:bookmarkStart w:id="776" w:name="_Toc3620"/>
      <w:bookmarkStart w:id="777" w:name="_Toc11138"/>
      <w:bookmarkStart w:id="778" w:name="_Toc16568"/>
      <w:bookmarkStart w:id="779" w:name="_Toc13595"/>
      <w:bookmarkStart w:id="780" w:name="_Toc522"/>
      <w:bookmarkStart w:id="781" w:name="_Toc515647804"/>
      <w:bookmarkStart w:id="782" w:name="_Toc21614"/>
      <w:bookmarkStart w:id="783" w:name="_Toc30524"/>
      <w:bookmarkStart w:id="784" w:name="_Toc216582813"/>
      <w:bookmarkStart w:id="785" w:name="_Ref467988698"/>
      <w:bookmarkStart w:id="786" w:name="_Toc520356217"/>
      <w:bookmarkStart w:id="787" w:name="_Toc480942349"/>
      <w:r>
        <w:rPr>
          <w:rFonts w:hint="eastAsia" w:ascii="宋体" w:hAnsi="宋体" w:eastAsia="宋体" w:cs="宋体"/>
          <w:color w:val="auto"/>
          <w:sz w:val="28"/>
          <w:szCs w:val="28"/>
          <w:highlight w:val="none"/>
        </w:rPr>
        <w:t>第一部分 开标一览表及资格证明文件</w:t>
      </w:r>
      <w:bookmarkEnd w:id="765"/>
      <w:bookmarkEnd w:id="766"/>
      <w:bookmarkEnd w:id="767"/>
      <w:bookmarkEnd w:id="768"/>
      <w:bookmarkEnd w:id="769"/>
      <w:bookmarkEnd w:id="770"/>
      <w:bookmarkEnd w:id="771"/>
    </w:p>
    <w:p>
      <w:pPr>
        <w:keepNext w:val="0"/>
        <w:keepLines w:val="0"/>
        <w:pageBreakBefore w:val="0"/>
        <w:widowControl w:val="0"/>
        <w:tabs>
          <w:tab w:val="left" w:pos="5580"/>
        </w:tabs>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开标一览表</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具有独立法人资格（三证合一的营业执照）；</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3、法定代表人（负责人）资格证明及授权书、被授权人身份证；(法定代表人投标需提供法定代表人身份证)；</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4、提供2020年或2021年经审计的财务审计报告（2022年成立的新公司出具近3个月任意一个月的银行资信证明）；</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5、依法缴纳最近连续六个月的社会保险的凭据（授权人和单位员工缴纳明细凭据）；</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6、提供税务部门出具的最近连续六个月的完税证明；</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8、参与政府采购活动前3年内未被列入失信、重大税收违法案件、财政部门禁止参加政府采购活动的承诺书；</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9、提供针对本次项目《反商业贿赂承诺书》；</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10、</w:t>
      </w:r>
      <w:r>
        <w:rPr>
          <w:rFonts w:hint="eastAsia" w:ascii="宋体" w:hAnsi="宋体" w:eastAsia="宋体" w:cs="宋体"/>
          <w:color w:val="auto"/>
          <w:kern w:val="0"/>
          <w:sz w:val="24"/>
          <w:highlight w:val="none"/>
        </w:rPr>
        <w:t>银行开户许可证复印件或银行基本账户信息(包含：银行账号及开户行名称）；</w:t>
      </w:r>
    </w:p>
    <w:p>
      <w:pPr>
        <w:keepNext w:val="0"/>
        <w:keepLines w:val="0"/>
        <w:pageBreakBefore w:val="0"/>
        <w:widowControl w:val="0"/>
        <w:tabs>
          <w:tab w:val="left" w:pos="5580"/>
        </w:tabs>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缴纳投标保证金有效凭证</w:t>
      </w:r>
      <w:r>
        <w:rPr>
          <w:rFonts w:hint="eastAsia" w:ascii="宋体" w:hAnsi="宋体" w:eastAsia="宋体" w:cs="宋体"/>
          <w:color w:val="auto"/>
          <w:sz w:val="24"/>
          <w:highlight w:val="none"/>
        </w:rPr>
        <w:t>；</w:t>
      </w:r>
    </w:p>
    <w:p>
      <w:pPr>
        <w:keepNext w:val="0"/>
        <w:keepLines w:val="0"/>
        <w:pageBreakBefore w:val="0"/>
        <w:widowControl w:val="0"/>
        <w:tabs>
          <w:tab w:val="left" w:pos="5580"/>
        </w:tabs>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12、供应商可提供有利于投标的其他资格证明材料。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color w:val="auto"/>
          <w:sz w:val="22"/>
          <w:szCs w:val="21"/>
          <w:highlight w:val="none"/>
        </w:rPr>
      </w:pPr>
      <w:r>
        <w:rPr>
          <w:rFonts w:hint="eastAsia" w:ascii="宋体" w:hAnsi="宋体" w:eastAsia="宋体" w:cs="宋体"/>
          <w:b/>
          <w:bCs/>
          <w:color w:val="auto"/>
          <w:sz w:val="22"/>
          <w:szCs w:val="21"/>
          <w:highlight w:val="none"/>
        </w:rPr>
        <w:t>注：1、“</w:t>
      </w:r>
      <w:r>
        <w:rPr>
          <w:rFonts w:hint="eastAsia" w:ascii="宋体" w:hAnsi="宋体" w:eastAsia="宋体" w:cs="宋体"/>
          <w:b/>
          <w:bCs/>
          <w:color w:val="auto"/>
          <w:sz w:val="21"/>
          <w:szCs w:val="21"/>
          <w:highlight w:val="none"/>
        </w:rPr>
        <w:t>税务部门出具的</w:t>
      </w:r>
      <w:r>
        <w:rPr>
          <w:rFonts w:hint="eastAsia" w:ascii="宋体" w:hAnsi="宋体" w:eastAsia="宋体" w:cs="宋体"/>
          <w:b/>
          <w:bCs/>
          <w:color w:val="auto"/>
          <w:sz w:val="21"/>
          <w:szCs w:val="21"/>
          <w:highlight w:val="none"/>
          <w:lang w:eastAsia="zh-CN"/>
        </w:rPr>
        <w:t>最</w:t>
      </w:r>
      <w:r>
        <w:rPr>
          <w:rFonts w:hint="eastAsia" w:ascii="宋体" w:hAnsi="宋体" w:eastAsia="宋体" w:cs="宋体"/>
          <w:b/>
          <w:bCs/>
          <w:color w:val="auto"/>
          <w:sz w:val="21"/>
          <w:szCs w:val="21"/>
          <w:highlight w:val="none"/>
        </w:rPr>
        <w:t>近</w:t>
      </w:r>
      <w:r>
        <w:rPr>
          <w:rFonts w:hint="eastAsia" w:ascii="宋体" w:hAnsi="宋体" w:eastAsia="宋体" w:cs="宋体"/>
          <w:b/>
          <w:bCs/>
          <w:color w:val="auto"/>
          <w:sz w:val="21"/>
          <w:szCs w:val="21"/>
          <w:highlight w:val="none"/>
          <w:lang w:eastAsia="zh-CN"/>
        </w:rPr>
        <w:t>连续</w:t>
      </w:r>
      <w:r>
        <w:rPr>
          <w:rFonts w:hint="eastAsia" w:ascii="宋体" w:hAnsi="宋体" w:eastAsia="宋体" w:cs="宋体"/>
          <w:b/>
          <w:bCs/>
          <w:color w:val="auto"/>
          <w:sz w:val="21"/>
          <w:szCs w:val="21"/>
          <w:highlight w:val="none"/>
        </w:rPr>
        <w:t>六个月的完税证明”</w:t>
      </w:r>
      <w:r>
        <w:rPr>
          <w:rFonts w:hint="eastAsia" w:ascii="宋体" w:hAnsi="宋体" w:eastAsia="宋体" w:cs="宋体"/>
          <w:b/>
          <w:bCs/>
          <w:color w:val="auto"/>
          <w:sz w:val="22"/>
          <w:szCs w:val="21"/>
          <w:highlight w:val="none"/>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pPr>
        <w:widowControl/>
        <w:snapToGrid w:val="0"/>
        <w:spacing w:line="470" w:lineRule="exact"/>
        <w:jc w:val="left"/>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b/>
          <w:bCs/>
          <w:color w:val="auto"/>
          <w:sz w:val="24"/>
          <w:highlight w:val="none"/>
          <w:lang w:eastAsia="zh-CN"/>
        </w:rPr>
        <w:t>提供税务部门出具的最近连续六个月的完税证明</w:t>
      </w:r>
      <w:r>
        <w:rPr>
          <w:rFonts w:hint="eastAsia" w:ascii="宋体" w:hAnsi="宋体" w:eastAsia="宋体" w:cs="宋体"/>
          <w:b/>
          <w:bCs/>
          <w:color w:val="auto"/>
          <w:sz w:val="24"/>
          <w:highlight w:val="none"/>
        </w:rPr>
        <w:t>”：完税证明中“税种”非养老保险、医疗保险、失业保险、工伤保险和生育保险。请各投标供应商注意！</w:t>
      </w:r>
    </w:p>
    <w:p>
      <w:pPr>
        <w:pStyle w:val="7"/>
        <w:spacing w:before="0" w:line="400" w:lineRule="exact"/>
        <w:ind w:left="1080" w:leftChars="257" w:hanging="540"/>
        <w:rPr>
          <w:rFonts w:hint="eastAsia" w:ascii="宋体" w:hAnsi="宋体" w:eastAsia="宋体" w:cs="宋体"/>
          <w:color w:val="auto"/>
          <w:sz w:val="24"/>
          <w:highlight w:val="none"/>
        </w:rPr>
      </w:pPr>
      <w:bookmarkStart w:id="788" w:name="_Toc11973"/>
      <w:r>
        <w:rPr>
          <w:rFonts w:hint="eastAsia" w:ascii="宋体" w:hAnsi="宋体" w:eastAsia="宋体" w:cs="宋体"/>
          <w:color w:val="auto"/>
          <w:sz w:val="24"/>
          <w:highlight w:val="none"/>
        </w:rPr>
        <w:t>1、开标一览表</w:t>
      </w:r>
      <w:bookmarkEnd w:id="772"/>
      <w:bookmarkEnd w:id="773"/>
      <w:bookmarkEnd w:id="774"/>
      <w:bookmarkEnd w:id="775"/>
      <w:bookmarkEnd w:id="776"/>
      <w:bookmarkEnd w:id="777"/>
      <w:bookmarkEnd w:id="778"/>
      <w:bookmarkEnd w:id="779"/>
      <w:bookmarkEnd w:id="780"/>
      <w:bookmarkEnd w:id="781"/>
      <w:bookmarkEnd w:id="782"/>
      <w:bookmarkEnd w:id="783"/>
      <w:bookmarkEnd w:id="788"/>
    </w:p>
    <w:p>
      <w:pPr>
        <w:tabs>
          <w:tab w:val="left" w:pos="1800"/>
          <w:tab w:val="left" w:pos="5580"/>
        </w:tabs>
        <w:spacing w:line="400" w:lineRule="exact"/>
        <w:ind w:left="1080" w:leftChars="257" w:right="-867" w:rightChars="-413" w:hanging="540"/>
        <w:rPr>
          <w:rFonts w:hint="eastAsia" w:ascii="宋体" w:hAnsi="宋体" w:eastAsia="宋体" w:cs="宋体"/>
          <w:color w:val="auto"/>
          <w:sz w:val="24"/>
          <w:highlight w:val="none"/>
        </w:rPr>
      </w:pPr>
      <w:bookmarkStart w:id="789" w:name="_Hlt520356241"/>
      <w:bookmarkEnd w:id="789"/>
      <w:r>
        <w:rPr>
          <w:rFonts w:hint="eastAsia" w:ascii="宋体" w:hAnsi="宋体" w:eastAsia="宋体" w:cs="宋体"/>
          <w:color w:val="auto"/>
          <w:sz w:val="24"/>
          <w:highlight w:val="none"/>
        </w:rPr>
        <w:t xml:space="preserve">项目名称：　                  项目编号：                        </w:t>
      </w:r>
    </w:p>
    <w:p>
      <w:pPr>
        <w:tabs>
          <w:tab w:val="left" w:pos="1800"/>
          <w:tab w:val="left" w:pos="5580"/>
        </w:tabs>
        <w:spacing w:line="400" w:lineRule="exact"/>
        <w:ind w:left="1080" w:leftChars="257" w:right="-867" w:rightChars="-413"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报价单位：人民币  </w:t>
      </w:r>
      <w:r>
        <w:rPr>
          <w:rFonts w:hint="eastAsia" w:ascii="宋体" w:hAnsi="宋体" w:eastAsia="宋体" w:cs="宋体"/>
          <w:b/>
          <w:color w:val="auto"/>
          <w:sz w:val="24"/>
          <w:highlight w:val="none"/>
        </w:rPr>
        <w:t>元</w:t>
      </w:r>
    </w:p>
    <w:tbl>
      <w:tblPr>
        <w:tblStyle w:val="26"/>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400" w:lineRule="exact"/>
              <w:ind w:right="-199"/>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p>
          <w:p>
            <w:pPr>
              <w:tabs>
                <w:tab w:val="left" w:pos="5580"/>
              </w:tabs>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400" w:lineRule="exact"/>
              <w:ind w:left="539" w:hanging="539"/>
              <w:jc w:val="center"/>
              <w:rPr>
                <w:rFonts w:hint="eastAsia" w:ascii="宋体" w:hAnsi="宋体" w:eastAsia="宋体" w:cs="宋体"/>
                <w:color w:val="auto"/>
                <w:sz w:val="24"/>
                <w:highlight w:val="none"/>
              </w:rPr>
            </w:pPr>
          </w:p>
        </w:tc>
      </w:tr>
    </w:tbl>
    <w:p>
      <w:pPr>
        <w:pStyle w:val="14"/>
        <w:tabs>
          <w:tab w:val="left" w:pos="5580"/>
        </w:tabs>
        <w:spacing w:line="400" w:lineRule="exact"/>
        <w:ind w:left="1080" w:leftChars="257" w:hanging="540"/>
        <w:rPr>
          <w:rFonts w:hint="eastAsia" w:ascii="宋体" w:hAnsi="宋体" w:eastAsia="宋体" w:cs="宋体"/>
          <w:color w:val="auto"/>
          <w:sz w:val="24"/>
          <w:highlight w:val="none"/>
        </w:rPr>
      </w:pPr>
    </w:p>
    <w:p>
      <w:pPr>
        <w:pStyle w:val="14"/>
        <w:tabs>
          <w:tab w:val="left" w:pos="5580"/>
        </w:tabs>
        <w:spacing w:line="400" w:lineRule="exact"/>
        <w:ind w:left="1080" w:leftChars="257" w:hanging="540"/>
        <w:rPr>
          <w:rFonts w:hint="eastAsia" w:ascii="宋体" w:hAnsi="宋体" w:eastAsia="宋体" w:cs="宋体"/>
          <w:color w:val="auto"/>
          <w:sz w:val="24"/>
          <w:highlight w:val="none"/>
          <w:u w:val="single"/>
        </w:rPr>
      </w:pPr>
    </w:p>
    <w:p>
      <w:pPr>
        <w:pStyle w:val="14"/>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single"/>
        </w:rPr>
        <w:t xml:space="preserve">                       </w:t>
      </w:r>
    </w:p>
    <w:p>
      <w:pPr>
        <w:pStyle w:val="14"/>
        <w:tabs>
          <w:tab w:val="left" w:pos="5580"/>
        </w:tabs>
        <w:spacing w:line="400" w:lineRule="exac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法定代表人或委托代理(签字):</w:t>
      </w:r>
      <w:r>
        <w:rPr>
          <w:rFonts w:hint="eastAsia" w:ascii="宋体" w:hAnsi="宋体" w:eastAsia="宋体" w:cs="宋体"/>
          <w:color w:val="auto"/>
          <w:sz w:val="24"/>
          <w:highlight w:val="none"/>
          <w:u w:val="single"/>
        </w:rPr>
        <w:tab/>
      </w:r>
    </w:p>
    <w:p>
      <w:pPr>
        <w:pStyle w:val="14"/>
        <w:tabs>
          <w:tab w:val="left" w:pos="5580"/>
        </w:tabs>
        <w:spacing w:line="400" w:lineRule="exact"/>
        <w:ind w:left="1080" w:leftChars="257" w:hanging="540"/>
        <w:rPr>
          <w:rFonts w:hint="eastAsia" w:ascii="宋体" w:hAnsi="宋体" w:eastAsia="宋体" w:cs="宋体"/>
          <w:color w:val="auto"/>
          <w:sz w:val="24"/>
          <w:highlight w:val="none"/>
        </w:rPr>
      </w:pPr>
    </w:p>
    <w:p>
      <w:pPr>
        <w:pStyle w:val="14"/>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注:1、此表应按供应商须知的规定装订密封。</w:t>
      </w:r>
    </w:p>
    <w:p>
      <w:pPr>
        <w:pStyle w:val="14"/>
        <w:tabs>
          <w:tab w:val="left" w:pos="5580"/>
        </w:tabs>
        <w:spacing w:line="400" w:lineRule="exact"/>
        <w:ind w:left="741" w:leftChars="353"/>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2、此表中，投标总价应和投标分项报价表的总价相一致。</w:t>
      </w:r>
    </w:p>
    <w:p>
      <w:pPr>
        <w:pStyle w:val="14"/>
        <w:tabs>
          <w:tab w:val="left" w:pos="5580"/>
        </w:tabs>
        <w:spacing w:line="400" w:lineRule="exact"/>
        <w:ind w:left="741" w:leftChars="353"/>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、投标商报价时包含税费等一切与本次项目相关的费用。</w:t>
      </w:r>
    </w:p>
    <w:p>
      <w:pPr>
        <w:pStyle w:val="14"/>
        <w:tabs>
          <w:tab w:val="left" w:pos="5580"/>
        </w:tabs>
        <w:spacing w:line="240" w:lineRule="atLeast"/>
        <w:rPr>
          <w:rFonts w:hint="eastAsia" w:ascii="宋体" w:hAnsi="宋体" w:eastAsia="宋体" w:cs="宋体"/>
          <w:b/>
          <w:color w:val="auto"/>
          <w:sz w:val="24"/>
          <w:highlight w:val="none"/>
        </w:rPr>
      </w:pPr>
    </w:p>
    <w:p>
      <w:pPr>
        <w:pStyle w:val="14"/>
        <w:tabs>
          <w:tab w:val="left" w:pos="5580"/>
        </w:tabs>
        <w:spacing w:line="240" w:lineRule="atLeast"/>
        <w:rPr>
          <w:rFonts w:hint="eastAsia" w:ascii="宋体" w:hAnsi="宋体" w:eastAsia="宋体" w:cs="宋体"/>
          <w:b/>
          <w:color w:val="auto"/>
          <w:sz w:val="24"/>
          <w:highlight w:val="none"/>
        </w:rPr>
      </w:pPr>
    </w:p>
    <w:p>
      <w:pPr>
        <w:pStyle w:val="14"/>
        <w:tabs>
          <w:tab w:val="left" w:pos="5580"/>
        </w:tabs>
        <w:spacing w:line="240" w:lineRule="atLeast"/>
        <w:rPr>
          <w:rFonts w:hint="eastAsia" w:ascii="宋体" w:hAnsi="宋体" w:eastAsia="宋体" w:cs="宋体"/>
          <w:b/>
          <w:color w:val="auto"/>
          <w:sz w:val="24"/>
          <w:highlight w:val="none"/>
        </w:rPr>
      </w:pPr>
    </w:p>
    <w:p>
      <w:pPr>
        <w:pStyle w:val="14"/>
        <w:tabs>
          <w:tab w:val="left" w:pos="5580"/>
        </w:tabs>
        <w:spacing w:line="240" w:lineRule="atLeast"/>
        <w:rPr>
          <w:rFonts w:hint="eastAsia" w:ascii="宋体" w:hAnsi="宋体" w:eastAsia="宋体" w:cs="宋体"/>
          <w:b/>
          <w:color w:val="auto"/>
          <w:sz w:val="24"/>
          <w:highlight w:val="none"/>
        </w:rPr>
      </w:pPr>
    </w:p>
    <w:p>
      <w:pPr>
        <w:pStyle w:val="14"/>
        <w:tabs>
          <w:tab w:val="left" w:pos="5580"/>
        </w:tabs>
        <w:spacing w:line="240" w:lineRule="atLeast"/>
        <w:rPr>
          <w:rFonts w:hint="eastAsia" w:ascii="宋体" w:hAnsi="宋体" w:eastAsia="宋体" w:cs="宋体"/>
          <w:b/>
          <w:color w:val="auto"/>
          <w:sz w:val="24"/>
          <w:highlight w:val="none"/>
        </w:rPr>
      </w:pPr>
    </w:p>
    <w:p>
      <w:pPr>
        <w:pStyle w:val="14"/>
        <w:numPr>
          <w:ilvl w:val="0"/>
          <w:numId w:val="4"/>
        </w:numPr>
        <w:tabs>
          <w:tab w:val="left" w:pos="5580"/>
        </w:tabs>
        <w:spacing w:line="400" w:lineRule="exact"/>
        <w:jc w:val="left"/>
        <w:outlineLvl w:val="1"/>
        <w:rPr>
          <w:rFonts w:hint="eastAsia" w:ascii="宋体" w:hAnsi="宋体" w:eastAsia="宋体" w:cs="宋体"/>
          <w:b/>
          <w:color w:val="auto"/>
          <w:sz w:val="24"/>
          <w:highlight w:val="none"/>
        </w:rPr>
      </w:pPr>
      <w:bookmarkStart w:id="790" w:name="_Toc13611"/>
      <w:r>
        <w:rPr>
          <w:rFonts w:hint="eastAsia" w:ascii="宋体" w:hAnsi="宋体" w:eastAsia="宋体" w:cs="宋体"/>
          <w:b/>
          <w:color w:val="auto"/>
          <w:sz w:val="24"/>
          <w:highlight w:val="none"/>
          <w:lang w:eastAsia="zh-CN"/>
        </w:rPr>
        <w:t>具有独立法人资格（三证合一的营业执照）</w:t>
      </w:r>
      <w:bookmarkEnd w:id="790"/>
    </w:p>
    <w:p>
      <w:pPr>
        <w:pStyle w:val="14"/>
        <w:tabs>
          <w:tab w:val="left" w:pos="5580"/>
        </w:tabs>
        <w:spacing w:line="240" w:lineRule="atLeast"/>
        <w:jc w:val="center"/>
        <w:rPr>
          <w:rFonts w:hint="eastAsia" w:ascii="宋体" w:hAnsi="宋体" w:eastAsia="宋体" w:cs="宋体"/>
          <w:b/>
          <w:color w:val="auto"/>
          <w:sz w:val="24"/>
          <w:highlight w:val="none"/>
        </w:rPr>
      </w:pPr>
    </w:p>
    <w:p>
      <w:pPr>
        <w:pStyle w:val="14"/>
        <w:tabs>
          <w:tab w:val="left" w:pos="5580"/>
        </w:tabs>
        <w:spacing w:line="240" w:lineRule="atLeast"/>
        <w:jc w:val="center"/>
        <w:rPr>
          <w:rFonts w:hint="eastAsia" w:ascii="宋体" w:hAnsi="宋体" w:eastAsia="宋体" w:cs="宋体"/>
          <w:b/>
          <w:color w:val="auto"/>
          <w:sz w:val="24"/>
          <w:highlight w:val="none"/>
        </w:rPr>
      </w:pPr>
    </w:p>
    <w:p>
      <w:pPr>
        <w:pStyle w:val="14"/>
        <w:tabs>
          <w:tab w:val="left" w:pos="5580"/>
        </w:tabs>
        <w:spacing w:line="240" w:lineRule="atLeast"/>
        <w:rPr>
          <w:rFonts w:hint="eastAsia" w:ascii="宋体" w:hAnsi="宋体" w:eastAsia="宋体" w:cs="宋体"/>
          <w:b/>
          <w:color w:val="auto"/>
          <w:sz w:val="24"/>
          <w:highlight w:val="none"/>
        </w:rPr>
      </w:pPr>
    </w:p>
    <w:p>
      <w:pPr>
        <w:pStyle w:val="14"/>
        <w:tabs>
          <w:tab w:val="left" w:pos="5580"/>
        </w:tabs>
        <w:spacing w:line="240" w:lineRule="atLeast"/>
        <w:rPr>
          <w:rFonts w:hint="eastAsia" w:ascii="宋体" w:hAnsi="宋体" w:eastAsia="宋体" w:cs="宋体"/>
          <w:b/>
          <w:color w:val="auto"/>
          <w:sz w:val="24"/>
          <w:highlight w:val="none"/>
        </w:rPr>
      </w:pPr>
    </w:p>
    <w:p>
      <w:pPr>
        <w:pStyle w:val="14"/>
        <w:tabs>
          <w:tab w:val="left" w:pos="5580"/>
        </w:tabs>
        <w:spacing w:line="240" w:lineRule="atLeast"/>
        <w:rPr>
          <w:rFonts w:hint="eastAsia" w:ascii="宋体" w:hAnsi="宋体" w:eastAsia="宋体" w:cs="宋体"/>
          <w:b/>
          <w:color w:val="auto"/>
          <w:sz w:val="24"/>
          <w:highlight w:val="none"/>
        </w:rPr>
      </w:pPr>
    </w:p>
    <w:p>
      <w:pPr>
        <w:pStyle w:val="14"/>
        <w:tabs>
          <w:tab w:val="left" w:pos="5580"/>
        </w:tabs>
        <w:spacing w:line="240" w:lineRule="atLeast"/>
        <w:rPr>
          <w:rFonts w:hint="eastAsia" w:ascii="宋体" w:hAnsi="宋体" w:eastAsia="宋体" w:cs="宋体"/>
          <w:b/>
          <w:color w:val="auto"/>
          <w:sz w:val="24"/>
          <w:highlight w:val="none"/>
        </w:rPr>
      </w:pPr>
    </w:p>
    <w:p>
      <w:pPr>
        <w:pStyle w:val="14"/>
        <w:tabs>
          <w:tab w:val="left" w:pos="5580"/>
        </w:tabs>
        <w:spacing w:line="240" w:lineRule="atLeast"/>
        <w:rPr>
          <w:rFonts w:hint="eastAsia" w:ascii="宋体" w:hAnsi="宋体" w:eastAsia="宋体" w:cs="宋体"/>
          <w:b/>
          <w:color w:val="auto"/>
          <w:sz w:val="24"/>
          <w:highlight w:val="none"/>
        </w:rPr>
      </w:pPr>
    </w:p>
    <w:p>
      <w:pPr>
        <w:pStyle w:val="14"/>
        <w:tabs>
          <w:tab w:val="left" w:pos="5580"/>
        </w:tabs>
        <w:spacing w:line="240" w:lineRule="atLeast"/>
        <w:rPr>
          <w:rFonts w:hint="eastAsia" w:ascii="宋体" w:hAnsi="宋体" w:eastAsia="宋体" w:cs="宋体"/>
          <w:b/>
          <w:color w:val="auto"/>
          <w:sz w:val="24"/>
          <w:highlight w:val="none"/>
        </w:rPr>
      </w:pPr>
    </w:p>
    <w:p>
      <w:pPr>
        <w:pStyle w:val="14"/>
        <w:tabs>
          <w:tab w:val="left" w:pos="5580"/>
        </w:tabs>
        <w:spacing w:line="240" w:lineRule="atLeast"/>
        <w:rPr>
          <w:rFonts w:hint="eastAsia" w:ascii="宋体" w:hAnsi="宋体" w:eastAsia="宋体" w:cs="宋体"/>
          <w:b/>
          <w:color w:val="auto"/>
          <w:sz w:val="24"/>
          <w:highlight w:val="none"/>
        </w:rPr>
      </w:pPr>
    </w:p>
    <w:p>
      <w:pPr>
        <w:numPr>
          <w:ilvl w:val="0"/>
          <w:numId w:val="4"/>
        </w:numPr>
        <w:adjustRightInd w:val="0"/>
        <w:snapToGrid w:val="0"/>
        <w:spacing w:beforeLines="100" w:afterLines="100" w:line="400" w:lineRule="exact"/>
        <w:ind w:left="0" w:leftChars="0" w:firstLine="0" w:firstLineChars="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法定代表人资格证明及授权书、被授权人身份证；(法定代表人投标需提供法定代表人身份证)；</w:t>
      </w:r>
    </w:p>
    <w:p>
      <w:pPr>
        <w:numPr>
          <w:ilvl w:val="0"/>
          <w:numId w:val="4"/>
        </w:numPr>
        <w:adjustRightInd w:val="0"/>
        <w:snapToGrid w:val="0"/>
        <w:spacing w:beforeLines="100" w:afterLines="100" w:line="400" w:lineRule="exact"/>
        <w:ind w:left="0" w:leftChars="0" w:firstLine="0" w:firstLineChars="0"/>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法定代表人身份证明</w:t>
      </w:r>
    </w:p>
    <w:p>
      <w:pPr>
        <w:spacing w:line="400" w:lineRule="exact"/>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同志，现任我单位</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职务，为法定代表人，特此证明。</w:t>
      </w:r>
    </w:p>
    <w:p>
      <w:pPr>
        <w:spacing w:line="400" w:lineRule="exact"/>
        <w:ind w:firstLine="240" w:firstLineChars="100"/>
        <w:rPr>
          <w:rFonts w:hint="eastAsia"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签发日期：</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  单位：</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u w:val="single"/>
        </w:rPr>
        <w:t xml:space="preserve">   </w:t>
      </w:r>
    </w:p>
    <w:p>
      <w:pPr>
        <w:spacing w:line="400" w:lineRule="exact"/>
        <w:ind w:firstLine="240" w:firstLineChars="100"/>
        <w:rPr>
          <w:rFonts w:hint="eastAsia" w:ascii="宋体" w:hAnsi="宋体" w:eastAsia="宋体" w:cs="宋体"/>
          <w:color w:val="auto"/>
          <w:sz w:val="24"/>
          <w:szCs w:val="20"/>
          <w:highlight w:val="none"/>
          <w:u w:val="single"/>
          <w:lang w:val="en-US" w:eastAsia="zh-CN"/>
        </w:rPr>
      </w:pPr>
      <w:r>
        <w:rPr>
          <w:rFonts w:hint="eastAsia" w:ascii="宋体" w:hAnsi="宋体" w:eastAsia="宋体" w:cs="宋体"/>
          <w:color w:val="auto"/>
          <w:sz w:val="24"/>
          <w:szCs w:val="20"/>
          <w:highlight w:val="none"/>
        </w:rPr>
        <w:t>附：代表人性别：</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  身份证号码：</w:t>
      </w:r>
      <w:r>
        <w:rPr>
          <w:rFonts w:hint="eastAsia" w:ascii="宋体" w:hAnsi="宋体" w:eastAsia="宋体" w:cs="宋体"/>
          <w:color w:val="auto"/>
          <w:sz w:val="24"/>
          <w:szCs w:val="20"/>
          <w:highlight w:val="none"/>
          <w:u w:val="single"/>
          <w:lang w:val="en-US" w:eastAsia="zh-CN"/>
        </w:rPr>
        <w:t xml:space="preserve">                          </w:t>
      </w:r>
    </w:p>
    <w:p>
      <w:pPr>
        <w:spacing w:line="400" w:lineRule="exact"/>
        <w:ind w:firstLine="240" w:firstLineChars="1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rPr>
        <w:t>年龄：</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联系电话：</w:t>
      </w:r>
      <w:r>
        <w:rPr>
          <w:rFonts w:hint="eastAsia" w:ascii="宋体" w:hAnsi="宋体" w:eastAsia="宋体" w:cs="宋体"/>
          <w:color w:val="auto"/>
          <w:sz w:val="24"/>
          <w:szCs w:val="20"/>
          <w:highlight w:val="none"/>
          <w:u w:val="single"/>
          <w:lang w:val="en-US" w:eastAsia="zh-CN"/>
        </w:rPr>
        <w:t xml:space="preserve">                            </w:t>
      </w:r>
    </w:p>
    <w:p>
      <w:pPr>
        <w:spacing w:line="400" w:lineRule="exact"/>
        <w:ind w:firstLine="240" w:firstLineChars="100"/>
        <w:rPr>
          <w:rFonts w:hint="eastAsia" w:ascii="宋体" w:hAnsi="宋体" w:eastAsia="宋体" w:cs="宋体"/>
          <w:color w:val="auto"/>
          <w:sz w:val="24"/>
          <w:szCs w:val="20"/>
          <w:highlight w:val="none"/>
          <w:u w:val="single"/>
          <w:lang w:val="en-US" w:eastAsia="zh-CN"/>
        </w:rPr>
      </w:pPr>
      <w:r>
        <w:rPr>
          <w:rFonts w:hint="eastAsia" w:ascii="宋体" w:hAnsi="宋体" w:eastAsia="宋体" w:cs="宋体"/>
          <w:color w:val="auto"/>
          <w:sz w:val="24"/>
          <w:szCs w:val="20"/>
          <w:highlight w:val="none"/>
        </w:rPr>
        <w:t>营业执照号码：</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none"/>
          <w:lang w:val="en-US" w:eastAsia="zh-CN"/>
        </w:rPr>
        <w:t xml:space="preserve"> </w:t>
      </w:r>
      <w:r>
        <w:rPr>
          <w:rFonts w:hint="eastAsia" w:ascii="宋体" w:hAnsi="宋体" w:eastAsia="宋体" w:cs="宋体"/>
          <w:color w:val="auto"/>
          <w:sz w:val="24"/>
          <w:szCs w:val="20"/>
          <w:highlight w:val="none"/>
          <w:u w:val="none"/>
        </w:rPr>
        <w:t xml:space="preserve"> </w:t>
      </w:r>
      <w:r>
        <w:rPr>
          <w:rFonts w:hint="eastAsia" w:ascii="宋体" w:hAnsi="宋体" w:eastAsia="宋体" w:cs="宋体"/>
          <w:color w:val="auto"/>
          <w:sz w:val="24"/>
          <w:szCs w:val="20"/>
          <w:highlight w:val="none"/>
        </w:rPr>
        <w:t>经济性质：</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u w:val="single"/>
          <w:lang w:val="en-US" w:eastAsia="zh-CN"/>
        </w:rPr>
        <w:t xml:space="preserve">                           </w:t>
      </w:r>
    </w:p>
    <w:p>
      <w:pPr>
        <w:spacing w:line="40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p>
      <w:pPr>
        <w:spacing w:line="400" w:lineRule="exact"/>
        <w:ind w:firstLine="240" w:firstLineChars="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1、法定代表人为企业事业单位、国家机关、社会团体的主要行政负责人。</w:t>
      </w:r>
    </w:p>
    <w:p>
      <w:pPr>
        <w:spacing w:line="40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2、内容必须填写真实、清楚、涂改无效，不得转让。</w:t>
      </w:r>
    </w:p>
    <w:p>
      <w:pPr>
        <w:spacing w:line="400" w:lineRule="exact"/>
        <w:ind w:firstLine="240" w:firstLineChars="100"/>
        <w:rPr>
          <w:rFonts w:hint="eastAsia" w:ascii="宋体" w:hAnsi="宋体" w:eastAsia="宋体" w:cs="宋体"/>
          <w:b/>
          <w:bCs/>
          <w:color w:val="auto"/>
          <w:sz w:val="24"/>
          <w:szCs w:val="20"/>
          <w:highlight w:val="none"/>
          <w:lang w:eastAsia="zh-CN"/>
        </w:rPr>
      </w:pPr>
      <w:r>
        <w:rPr>
          <w:rFonts w:hint="eastAsia" w:ascii="宋体" w:hAnsi="宋体" w:eastAsia="宋体" w:cs="宋体"/>
          <w:color w:val="auto"/>
          <w:sz w:val="24"/>
          <w:szCs w:val="20"/>
          <w:highlight w:val="none"/>
        </w:rPr>
        <w:t>3、请供应商务必提供</w:t>
      </w:r>
      <w:r>
        <w:rPr>
          <w:rFonts w:hint="eastAsia" w:ascii="宋体" w:hAnsi="宋体" w:eastAsia="宋体" w:cs="宋体"/>
          <w:b/>
          <w:bCs/>
          <w:color w:val="auto"/>
          <w:sz w:val="24"/>
          <w:szCs w:val="20"/>
          <w:highlight w:val="none"/>
        </w:rPr>
        <w:t>身份证</w:t>
      </w:r>
      <w:r>
        <w:rPr>
          <w:rFonts w:hint="eastAsia" w:ascii="宋体" w:hAnsi="宋体" w:eastAsia="宋体" w:cs="宋体"/>
          <w:b/>
          <w:bCs/>
          <w:color w:val="auto"/>
          <w:sz w:val="24"/>
          <w:szCs w:val="20"/>
          <w:highlight w:val="none"/>
          <w:lang w:val="en-US" w:eastAsia="zh-CN"/>
        </w:rPr>
        <w:t>正反面</w:t>
      </w:r>
      <w:r>
        <w:rPr>
          <w:rFonts w:hint="eastAsia" w:ascii="宋体" w:hAnsi="宋体" w:eastAsia="宋体" w:cs="宋体"/>
          <w:b/>
          <w:bCs/>
          <w:color w:val="auto"/>
          <w:sz w:val="24"/>
          <w:szCs w:val="20"/>
          <w:highlight w:val="none"/>
        </w:rPr>
        <w:t>复印件</w:t>
      </w:r>
      <w:r>
        <w:rPr>
          <w:rFonts w:hint="eastAsia" w:ascii="宋体" w:hAnsi="宋体" w:eastAsia="宋体" w:cs="宋体"/>
          <w:b/>
          <w:bCs/>
          <w:color w:val="auto"/>
          <w:sz w:val="24"/>
          <w:szCs w:val="20"/>
          <w:highlight w:val="none"/>
          <w:lang w:eastAsia="zh-CN"/>
        </w:rPr>
        <w:t>。</w:t>
      </w:r>
    </w:p>
    <w:p>
      <w:pPr>
        <w:pStyle w:val="20"/>
        <w:rPr>
          <w:rFonts w:hint="eastAsia" w:ascii="宋体" w:hAnsi="宋体" w:eastAsia="宋体" w:cs="宋体"/>
          <w:color w:val="auto"/>
          <w:highlight w:val="none"/>
          <w:lang w:eastAsia="zh-CN"/>
        </w:rPr>
      </w:pPr>
    </w:p>
    <w:p>
      <w:pP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mc:AlternateContent>
          <mc:Choice Requires="wps">
            <w:drawing>
              <wp:anchor distT="0" distB="0" distL="0" distR="0" simplePos="0" relativeHeight="251659264" behindDoc="0" locked="0" layoutInCell="1" allowOverlap="1">
                <wp:simplePos x="0" y="0"/>
                <wp:positionH relativeFrom="column">
                  <wp:posOffset>154305</wp:posOffset>
                </wp:positionH>
                <wp:positionV relativeFrom="paragraph">
                  <wp:posOffset>10795</wp:posOffset>
                </wp:positionV>
                <wp:extent cx="2114550" cy="1375410"/>
                <wp:effectExtent l="4445" t="4445" r="14605" b="10795"/>
                <wp:wrapNone/>
                <wp:docPr id="1026" name="1026"/>
                <wp:cNvGraphicFramePr/>
                <a:graphic xmlns:a="http://schemas.openxmlformats.org/drawingml/2006/main">
                  <a:graphicData uri="http://schemas.microsoft.com/office/word/2010/wordprocessingShape">
                    <wps:wsp>
                      <wps:cNvSpPr/>
                      <wps:spPr>
                        <a:xfrm>
                          <a:off x="0" y="0"/>
                          <a:ext cx="211455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1026" o:spid="_x0000_s1026" o:spt="176" type="#_x0000_t176" style="position:absolute;left:0pt;margin-left:12.15pt;margin-top:0.85pt;height:108.3pt;width:166.5pt;z-index:251659264;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nXif1QAAAAgBAAAPAAAAAAAAAAEAIAAAACIAAABkcnMvZG93&#10;bnJldi54bWxQSwECFAAUAAAACACHTuJAI9EnHQMCAAA+BAAADgAAAAAAAAABACAAAAAkAQAAZHJz&#10;L2Uyb0RvYy54bWxQSwUGAAAAAAYABgBZAQAAm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宋体" w:hAnsi="宋体" w:eastAsia="宋体" w:cs="宋体"/>
          <w:color w:val="auto"/>
          <w:sz w:val="24"/>
          <w:szCs w:val="20"/>
          <w:highlight w:val="none"/>
        </w:rPr>
        <mc:AlternateContent>
          <mc:Choice Requires="wps">
            <w:drawing>
              <wp:anchor distT="0" distB="0" distL="0" distR="0" simplePos="0" relativeHeight="251659264" behindDoc="0" locked="0" layoutInCell="1" allowOverlap="1">
                <wp:simplePos x="0" y="0"/>
                <wp:positionH relativeFrom="column">
                  <wp:posOffset>2918460</wp:posOffset>
                </wp:positionH>
                <wp:positionV relativeFrom="paragraph">
                  <wp:posOffset>28575</wp:posOffset>
                </wp:positionV>
                <wp:extent cx="2077085" cy="1385570"/>
                <wp:effectExtent l="7620" t="7620" r="10795" b="16510"/>
                <wp:wrapNone/>
                <wp:docPr id="1027" name="1027"/>
                <wp:cNvGraphicFramePr/>
                <a:graphic xmlns:a="http://schemas.openxmlformats.org/drawingml/2006/main">
                  <a:graphicData uri="http://schemas.microsoft.com/office/word/2010/wordprocessingShape">
                    <wps:wsp>
                      <wps:cNvSpPr/>
                      <wps:spPr>
                        <a:xfrm>
                          <a:off x="0" y="0"/>
                          <a:ext cx="2077084" cy="1385570"/>
                        </a:xfrm>
                        <a:prstGeom prst="roundRect">
                          <a:avLst>
                            <a:gd name="adj" fmla="val 0"/>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r>
                              <w:rPr>
                                <w:rFonts w:hint="eastAsia"/>
                              </w:rPr>
                              <w:t>法定代表人身份证复印件</w:t>
                            </w:r>
                          </w:p>
                          <w:p>
                            <w:pPr>
                              <w:pStyle w:val="4"/>
                            </w:pPr>
                          </w:p>
                          <w:p>
                            <w:pPr>
                              <w:pStyle w:val="4"/>
                            </w:pPr>
                          </w:p>
                          <w:p>
                            <w:pPr>
                              <w:pStyle w:val="4"/>
                            </w:pPr>
                          </w:p>
                          <w:p>
                            <w:pPr>
                              <w:pStyle w:val="4"/>
                            </w:pPr>
                          </w:p>
                        </w:txbxContent>
                      </wps:txbx>
                      <wps:bodyPr upright="1"/>
                    </wps:wsp>
                  </a:graphicData>
                </a:graphic>
              </wp:anchor>
            </w:drawing>
          </mc:Choice>
          <mc:Fallback>
            <w:pict>
              <v:roundrect id="1027" o:spid="_x0000_s1026" o:spt="2" style="position:absolute;left:0pt;margin-left:229.8pt;margin-top:2.25pt;height:109.1pt;width:163.55pt;z-index:251659264;mso-width-relative:page;mso-height-relative:page;" fillcolor="#FFFFFF" filled="t" stroked="t" coordsize="21600,21600" arcsize="0"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z9yTZ2gAAAAkBAAAPAAAAAAAAAAEAIAAA&#10;ACIAAABkcnMvZG93bnJldi54bWxQSwECFAAUAAAACACHTuJABru/pQoCAABXBAAADgAAAAAAAAAB&#10;ACAAAAApAQAAZHJzL2Uyb0RvYy54bWxQSwUGAAAAAAYABgBZAQAApQU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r>
                        <w:rPr>
                          <w:rFonts w:hint="eastAsia"/>
                        </w:rPr>
                        <w:t>法定代表人身份证复印件</w:t>
                      </w:r>
                    </w:p>
                    <w:p>
                      <w:pPr>
                        <w:pStyle w:val="4"/>
                      </w:pPr>
                    </w:p>
                    <w:p>
                      <w:pPr>
                        <w:pStyle w:val="4"/>
                      </w:pPr>
                    </w:p>
                    <w:p>
                      <w:pPr>
                        <w:pStyle w:val="4"/>
                      </w:pPr>
                    </w:p>
                    <w:p>
                      <w:pPr>
                        <w:pStyle w:val="4"/>
                      </w:pPr>
                    </w:p>
                  </w:txbxContent>
                </v:textbox>
              </v:roundrect>
            </w:pict>
          </mc:Fallback>
        </mc:AlternateContent>
      </w:r>
    </w:p>
    <w:p>
      <w:pPr>
        <w:rPr>
          <w:rFonts w:hint="eastAsia" w:ascii="宋体" w:hAnsi="宋体" w:eastAsia="宋体" w:cs="宋体"/>
          <w:color w:val="auto"/>
          <w:sz w:val="24"/>
          <w:szCs w:val="20"/>
          <w:highlight w:val="none"/>
        </w:rPr>
      </w:pPr>
    </w:p>
    <w:p>
      <w:pPr>
        <w:pStyle w:val="20"/>
        <w:rPr>
          <w:rFonts w:hint="eastAsia" w:ascii="宋体" w:hAnsi="宋体" w:eastAsia="宋体" w:cs="宋体"/>
          <w:color w:val="auto"/>
          <w:sz w:val="24"/>
          <w:szCs w:val="20"/>
          <w:highlight w:val="none"/>
        </w:rPr>
      </w:pPr>
    </w:p>
    <w:p>
      <w:pPr>
        <w:pStyle w:val="20"/>
        <w:rPr>
          <w:rFonts w:hint="eastAsia" w:ascii="宋体" w:hAnsi="宋体" w:eastAsia="宋体" w:cs="宋体"/>
          <w:color w:val="auto"/>
          <w:sz w:val="24"/>
          <w:szCs w:val="20"/>
          <w:highlight w:val="none"/>
        </w:rPr>
      </w:pPr>
    </w:p>
    <w:p>
      <w:pPr>
        <w:pStyle w:val="20"/>
        <w:rPr>
          <w:rFonts w:hint="eastAsia" w:ascii="宋体" w:hAnsi="宋体" w:eastAsia="宋体" w:cs="宋体"/>
          <w:color w:val="auto"/>
          <w:sz w:val="24"/>
          <w:szCs w:val="20"/>
          <w:highlight w:val="none"/>
        </w:rPr>
      </w:pPr>
    </w:p>
    <w:p>
      <w:pPr>
        <w:autoSpaceDE w:val="0"/>
        <w:autoSpaceDN w:val="0"/>
        <w:adjustRightInd w:val="0"/>
        <w:ind w:right="246"/>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pPr>
        <w:pStyle w:val="14"/>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single"/>
        </w:rPr>
        <w:t xml:space="preserve">                       </w:t>
      </w:r>
    </w:p>
    <w:p>
      <w:pPr>
        <w:adjustRightInd w:val="0"/>
        <w:snapToGrid w:val="0"/>
        <w:spacing w:line="400" w:lineRule="exact"/>
        <w:ind w:firstLine="784" w:firstLineChars="327"/>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法定代表人签字或</w:t>
      </w:r>
      <w:r>
        <w:rPr>
          <w:rFonts w:hint="eastAsia" w:ascii="宋体" w:hAnsi="宋体" w:eastAsia="宋体" w:cs="宋体"/>
          <w:color w:val="auto"/>
          <w:sz w:val="24"/>
          <w:highlight w:val="none"/>
        </w:rPr>
        <w:t>（签/章）</w:t>
      </w:r>
      <w:r>
        <w:rPr>
          <w:rFonts w:hint="eastAsia" w:ascii="宋体" w:hAnsi="宋体" w:eastAsia="宋体" w:cs="宋体"/>
          <w:color w:val="auto"/>
          <w:sz w:val="24"/>
          <w:szCs w:val="20"/>
          <w:highlight w:val="none"/>
        </w:rPr>
        <w:t xml:space="preserve">：                    </w:t>
      </w:r>
    </w:p>
    <w:p>
      <w:pPr>
        <w:adjustRightInd w:val="0"/>
        <w:snapToGrid w:val="0"/>
        <w:spacing w:line="400" w:lineRule="exact"/>
        <w:ind w:firstLine="784" w:firstLineChars="327"/>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                                       </w:t>
      </w:r>
    </w:p>
    <w:p>
      <w:pPr>
        <w:pStyle w:val="14"/>
        <w:tabs>
          <w:tab w:val="left" w:pos="5580"/>
        </w:tabs>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说明：1.提供有效的营业执照等证明文件复印件，复印件上应加盖本单位章。</w:t>
      </w:r>
    </w:p>
    <w:p>
      <w:pPr>
        <w:pStyle w:val="14"/>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 供应商为自然人的，应提供身份证明的复印件。</w:t>
      </w:r>
    </w:p>
    <w:p>
      <w:pPr>
        <w:pStyle w:val="14"/>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3.联合体投标应提供联合体各方满足以上要求的证明文件。</w:t>
      </w:r>
      <w:bookmarkStart w:id="791" w:name="_Toc515647807"/>
      <w:bookmarkStart w:id="792" w:name="_Toc16640"/>
      <w:bookmarkStart w:id="793" w:name="_Toc6829"/>
      <w:bookmarkStart w:id="794" w:name="_Toc22472"/>
      <w:bookmarkStart w:id="795" w:name="_Toc21867"/>
      <w:bookmarkStart w:id="796" w:name="_Toc5436"/>
      <w:bookmarkStart w:id="797" w:name="_Toc1083"/>
      <w:bookmarkStart w:id="798" w:name="_Toc13107"/>
    </w:p>
    <w:p>
      <w:pPr>
        <w:pStyle w:val="14"/>
        <w:tabs>
          <w:tab w:val="left" w:pos="5580"/>
        </w:tabs>
        <w:spacing w:line="400" w:lineRule="exact"/>
        <w:ind w:left="1080" w:leftChars="257" w:hanging="540"/>
        <w:rPr>
          <w:rFonts w:hint="eastAsia" w:ascii="宋体" w:hAnsi="宋体" w:eastAsia="宋体" w:cs="宋体"/>
          <w:color w:val="auto"/>
          <w:sz w:val="24"/>
          <w:highlight w:val="none"/>
        </w:rPr>
      </w:pPr>
    </w:p>
    <w:p>
      <w:pPr>
        <w:pStyle w:val="14"/>
        <w:tabs>
          <w:tab w:val="left" w:pos="5580"/>
        </w:tabs>
        <w:spacing w:line="400" w:lineRule="exact"/>
        <w:ind w:left="1080" w:leftChars="257" w:hanging="540"/>
        <w:rPr>
          <w:rFonts w:hint="eastAsia" w:ascii="宋体" w:hAnsi="宋体" w:eastAsia="宋体" w:cs="宋体"/>
          <w:color w:val="auto"/>
          <w:sz w:val="24"/>
          <w:highlight w:val="none"/>
        </w:rPr>
      </w:pPr>
    </w:p>
    <w:p>
      <w:pPr>
        <w:pStyle w:val="14"/>
        <w:tabs>
          <w:tab w:val="left" w:pos="5580"/>
        </w:tabs>
        <w:spacing w:line="400" w:lineRule="exact"/>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4"/>
        <w:rPr>
          <w:rFonts w:hint="eastAsia" w:ascii="宋体" w:hAnsi="宋体" w:eastAsia="宋体" w:cs="宋体"/>
          <w:color w:val="auto"/>
          <w:highlight w:val="none"/>
        </w:rPr>
      </w:pPr>
    </w:p>
    <w:p>
      <w:pPr>
        <w:spacing w:line="400" w:lineRule="exact"/>
        <w:ind w:left="1080" w:leftChars="257" w:hanging="540"/>
        <w:jc w:val="center"/>
        <w:rPr>
          <w:rFonts w:hint="eastAsia" w:ascii="宋体" w:hAnsi="宋体" w:eastAsia="宋体" w:cs="宋体"/>
          <w:b/>
          <w:bCs/>
          <w:color w:val="auto"/>
          <w:sz w:val="24"/>
          <w:highlight w:val="none"/>
        </w:rPr>
      </w:pPr>
      <w:bookmarkStart w:id="799" w:name="_Toc6179"/>
      <w:bookmarkStart w:id="800" w:name="_Toc32380"/>
      <w:bookmarkStart w:id="801" w:name="_Toc24769"/>
      <w:r>
        <w:rPr>
          <w:rFonts w:hint="eastAsia" w:ascii="宋体" w:hAnsi="宋体" w:eastAsia="宋体" w:cs="宋体"/>
          <w:b/>
          <w:bCs/>
          <w:color w:val="auto"/>
          <w:sz w:val="24"/>
          <w:highlight w:val="none"/>
        </w:rPr>
        <w:t>法定代表人授权委托书</w:t>
      </w:r>
      <w:bookmarkEnd w:id="791"/>
      <w:bookmarkEnd w:id="792"/>
      <w:bookmarkEnd w:id="793"/>
      <w:bookmarkEnd w:id="794"/>
      <w:bookmarkEnd w:id="795"/>
      <w:bookmarkEnd w:id="796"/>
      <w:bookmarkEnd w:id="797"/>
      <w:bookmarkEnd w:id="798"/>
      <w:bookmarkEnd w:id="799"/>
      <w:bookmarkEnd w:id="800"/>
      <w:bookmarkEnd w:id="801"/>
      <w:bookmarkStart w:id="802" w:name="_Toc515647808"/>
      <w:bookmarkStart w:id="803" w:name="_Toc7039"/>
      <w:bookmarkStart w:id="804" w:name="_Toc32520"/>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本授权书声明：注册于</w:t>
      </w:r>
      <w:r>
        <w:rPr>
          <w:rFonts w:hint="eastAsia" w:ascii="宋体" w:hAnsi="宋体" w:eastAsia="宋体" w:cs="宋体"/>
          <w:color w:val="auto"/>
          <w:sz w:val="24"/>
          <w:highlight w:val="none"/>
          <w:u w:val="single"/>
        </w:rPr>
        <w:t>（国家或地区的名称）的（供应商）</w:t>
      </w:r>
      <w:r>
        <w:rPr>
          <w:rFonts w:hint="eastAsia" w:ascii="宋体" w:hAnsi="宋体" w:eastAsia="宋体" w:cs="宋体"/>
          <w:color w:val="auto"/>
          <w:sz w:val="24"/>
          <w:highlight w:val="none"/>
        </w:rPr>
        <w:t>的在下面签字的</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法定代表人</w:t>
      </w:r>
      <w:r>
        <w:rPr>
          <w:rFonts w:hint="eastAsia" w:ascii="宋体" w:hAnsi="宋体" w:eastAsia="宋体" w:cs="宋体"/>
          <w:color w:val="auto"/>
          <w:sz w:val="24"/>
          <w:highlight w:val="none"/>
          <w:u w:val="single"/>
        </w:rPr>
        <w:t>代表姓名、职务）</w:t>
      </w:r>
      <w:r>
        <w:rPr>
          <w:rFonts w:hint="eastAsia" w:ascii="宋体" w:hAnsi="宋体" w:eastAsia="宋体" w:cs="宋体"/>
          <w:color w:val="auto"/>
          <w:sz w:val="24"/>
          <w:highlight w:val="none"/>
        </w:rPr>
        <w:t>代表我单位授权</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的在下面签字的</w:t>
      </w:r>
      <w:r>
        <w:rPr>
          <w:rFonts w:hint="eastAsia" w:ascii="宋体" w:hAnsi="宋体" w:eastAsia="宋体" w:cs="宋体"/>
          <w:color w:val="auto"/>
          <w:sz w:val="24"/>
          <w:highlight w:val="none"/>
          <w:u w:val="single"/>
        </w:rPr>
        <w:t>（被授权人的姓名、职务）</w:t>
      </w:r>
      <w:r>
        <w:rPr>
          <w:rFonts w:hint="eastAsia" w:ascii="宋体" w:hAnsi="宋体" w:eastAsia="宋体" w:cs="宋体"/>
          <w:color w:val="auto"/>
          <w:sz w:val="24"/>
          <w:highlight w:val="none"/>
        </w:rPr>
        <w:t>为我单位的合法代理人，就</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的投标，以我单位名义处理一切与之有关的事务。　　</w:t>
      </w:r>
    </w:p>
    <w:p>
      <w:pPr>
        <w:pStyle w:val="14"/>
        <w:keepNext w:val="0"/>
        <w:keepLines w:val="0"/>
        <w:pageBreakBefore w:val="0"/>
        <w:widowControl w:val="0"/>
        <w:tabs>
          <w:tab w:val="left" w:pos="5580"/>
        </w:tabs>
        <w:kinsoku/>
        <w:wordWrap/>
        <w:overflowPunct/>
        <w:topLinePunct w:val="0"/>
        <w:autoSpaceDE/>
        <w:autoSpaceDN/>
        <w:bidi w:val="0"/>
        <w:adjustRightInd/>
        <w:snapToGrid/>
        <w:spacing w:line="400" w:lineRule="exact"/>
        <w:ind w:left="0" w:leftChars="0" w:firstLine="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本授权书于</w:t>
      </w:r>
      <w:r>
        <w:rPr>
          <w:rFonts w:hint="eastAsia" w:ascii="宋体" w:hAnsi="宋体" w:eastAsia="宋体" w:cs="宋体"/>
          <w:color w:val="auto"/>
          <w:sz w:val="24"/>
          <w:highlight w:val="none"/>
          <w:u w:val="single"/>
        </w:rPr>
        <w:t xml:space="preserve">           年     月     日</w:t>
      </w:r>
      <w:r>
        <w:rPr>
          <w:rFonts w:hint="eastAsia" w:ascii="宋体" w:hAnsi="宋体" w:eastAsia="宋体" w:cs="宋体"/>
          <w:color w:val="auto"/>
          <w:sz w:val="24"/>
          <w:highlight w:val="none"/>
        </w:rPr>
        <w:t>签字生效,特此声明。</w:t>
      </w:r>
    </w:p>
    <w:p>
      <w:pPr>
        <w:pStyle w:val="14"/>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60288" behindDoc="0" locked="0" layoutInCell="1" allowOverlap="1">
                <wp:simplePos x="0" y="0"/>
                <wp:positionH relativeFrom="column">
                  <wp:posOffset>2728595</wp:posOffset>
                </wp:positionH>
                <wp:positionV relativeFrom="paragraph">
                  <wp:posOffset>169545</wp:posOffset>
                </wp:positionV>
                <wp:extent cx="2507615" cy="1405890"/>
                <wp:effectExtent l="4445" t="4445" r="21590" b="18415"/>
                <wp:wrapNone/>
                <wp:docPr id="3" name="102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1029" o:spid="_x0000_s1026" o:spt="176" type="#_x0000_t176" style="position:absolute;left:0pt;margin-left:214.85pt;margin-top:13.35pt;height:110.7pt;width:197.45pt;z-index:251660288;mso-width-relative:page;mso-height-relative:page;" fillcolor="#FFFFFF" filled="t" stroked="t" coordsize="21600,21600" o:gfxdata="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A2yQ/XAAAACgEAAA8AAAAAAAAAAQAgAAAAIgAAAGRycy9k&#10;b3ducmV2LnhtbFBLAQIUABQAAAAIAIdO4kDRky3gAwIAADsEAAAOAAAAAAAAAAEAIAAAACYBAABk&#10;cnMvZTJvRG9jLnhtbFBLBQYAAAAABgAGAFkBAACb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20955</wp:posOffset>
                </wp:positionH>
                <wp:positionV relativeFrom="paragraph">
                  <wp:posOffset>135890</wp:posOffset>
                </wp:positionV>
                <wp:extent cx="2507615" cy="1405890"/>
                <wp:effectExtent l="4445" t="4445" r="21590" b="18415"/>
                <wp:wrapNone/>
                <wp:docPr id="1029" name="102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1029" o:spid="_x0000_s1026" o:spt="176" type="#_x0000_t176" style="position:absolute;left:0pt;margin-left:1.65pt;margin-top:10.7pt;height:110.7pt;width:197.45pt;z-index:251659264;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5Lq23XAAAACAEAAA8AAAAAAAAAAQAgAAAAIgAAAGRycy9k&#10;b3ducmV2LnhtbFBLAQIUABQAAAAIAIdO4kAMpnBdAwIAAD4EAAAOAAAAAAAAAAEAIAAAACYBAABk&#10;cnMvZTJvRG9jLnhtbFBLBQYAAAAABgAGAFkBAACb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4"/>
        <w:tabs>
          <w:tab w:val="left" w:pos="5580"/>
        </w:tabs>
        <w:spacing w:line="240" w:lineRule="atLeast"/>
        <w:ind w:left="1080" w:leftChars="257" w:hanging="540"/>
        <w:rPr>
          <w:rFonts w:hint="eastAsia" w:ascii="宋体" w:hAnsi="宋体" w:eastAsia="宋体" w:cs="宋体"/>
          <w:color w:val="auto"/>
          <w:sz w:val="24"/>
          <w:highlight w:val="none"/>
        </w:rPr>
      </w:pPr>
    </w:p>
    <w:p>
      <w:pPr>
        <w:pStyle w:val="14"/>
        <w:tabs>
          <w:tab w:val="left" w:pos="5580"/>
        </w:tabs>
        <w:spacing w:line="240" w:lineRule="atLeast"/>
        <w:rPr>
          <w:rFonts w:hint="eastAsia" w:ascii="宋体" w:hAnsi="宋体" w:eastAsia="宋体" w:cs="宋体"/>
          <w:color w:val="auto"/>
          <w:sz w:val="24"/>
          <w:highlight w:val="none"/>
        </w:rPr>
      </w:pPr>
    </w:p>
    <w:p>
      <w:pPr>
        <w:pStyle w:val="14"/>
        <w:tabs>
          <w:tab w:val="left" w:pos="5580"/>
        </w:tabs>
        <w:spacing w:line="240" w:lineRule="atLeast"/>
        <w:rPr>
          <w:rFonts w:hint="eastAsia" w:ascii="宋体" w:hAnsi="宋体" w:eastAsia="宋体" w:cs="宋体"/>
          <w:color w:val="auto"/>
          <w:sz w:val="24"/>
          <w:highlight w:val="none"/>
        </w:rPr>
      </w:pPr>
    </w:p>
    <w:p>
      <w:pPr>
        <w:pStyle w:val="14"/>
        <w:tabs>
          <w:tab w:val="left" w:pos="5580"/>
        </w:tabs>
        <w:spacing w:line="240" w:lineRule="atLeast"/>
        <w:ind w:left="1080" w:leftChars="257" w:hanging="540"/>
        <w:rPr>
          <w:rFonts w:hint="eastAsia" w:ascii="宋体" w:hAnsi="宋体" w:eastAsia="宋体" w:cs="宋体"/>
          <w:color w:val="auto"/>
          <w:sz w:val="24"/>
          <w:highlight w:val="none"/>
        </w:rPr>
      </w:pPr>
    </w:p>
    <w:p>
      <w:pPr>
        <w:pStyle w:val="14"/>
        <w:tabs>
          <w:tab w:val="left" w:pos="5580"/>
        </w:tabs>
        <w:spacing w:line="240" w:lineRule="atLeast"/>
        <w:ind w:left="1080" w:leftChars="257" w:hanging="540"/>
        <w:rPr>
          <w:rFonts w:hint="eastAsia" w:ascii="宋体" w:hAnsi="宋体" w:eastAsia="宋体" w:cs="宋体"/>
          <w:color w:val="auto"/>
          <w:sz w:val="24"/>
          <w:highlight w:val="none"/>
        </w:rPr>
      </w:pPr>
    </w:p>
    <w:p>
      <w:pPr>
        <w:pStyle w:val="14"/>
        <w:tabs>
          <w:tab w:val="left" w:pos="5580"/>
        </w:tabs>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62336" behindDoc="0" locked="0" layoutInCell="1" allowOverlap="1">
                <wp:simplePos x="0" y="0"/>
                <wp:positionH relativeFrom="column">
                  <wp:posOffset>96520</wp:posOffset>
                </wp:positionH>
                <wp:positionV relativeFrom="paragraph">
                  <wp:posOffset>191135</wp:posOffset>
                </wp:positionV>
                <wp:extent cx="2507615" cy="1405890"/>
                <wp:effectExtent l="4445" t="4445" r="21590" b="18415"/>
                <wp:wrapNone/>
                <wp:docPr id="5" name="102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pPr>
                              <w:jc w:val="center"/>
                            </w:pPr>
                          </w:p>
                        </w:txbxContent>
                      </wps:txbx>
                      <wps:bodyPr upright="1"/>
                    </wps:wsp>
                  </a:graphicData>
                </a:graphic>
              </wp:anchor>
            </w:drawing>
          </mc:Choice>
          <mc:Fallback>
            <w:pict>
              <v:shape id="1029" o:spid="_x0000_s1026" o:spt="176" type="#_x0000_t176" style="position:absolute;left:0pt;margin-left:7.6pt;margin-top:15.05pt;height:110.7pt;width:197.45pt;z-index:251662336;mso-width-relative:page;mso-height-relative:page;" fillcolor="#FFFFFF" filled="t" stroked="t" coordsize="21600,21600" o:gfxdata="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abc31wAAAAkBAAAPAAAAAAAAAAEAIAAAACIAAABkcnMvZG93&#10;bnJldi54bWxQSwECFAAUAAAACACHTuJAOIWcCQECAAA7BAAADgAAAAAAAAABACAAAAAmAQAAZHJz&#10;L2Uyb0RvYy54bWxQSwUGAAAAAAYABgBZAQAAmQ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pPr>
                        <w:jc w:val="center"/>
                      </w:pPr>
                    </w:p>
                  </w:txbxContent>
                </v:textbox>
              </v:shape>
            </w:pict>
          </mc:Fallback>
        </mc:AlternateContent>
      </w:r>
      <w:r>
        <w:rPr>
          <w:rFonts w:hint="eastAsia" w:ascii="宋体" w:hAnsi="宋体" w:eastAsia="宋体" w:cs="宋体"/>
          <w:color w:val="auto"/>
          <w:sz w:val="24"/>
          <w:highlight w:val="none"/>
        </w:rPr>
        <mc:AlternateContent>
          <mc:Choice Requires="wps">
            <w:drawing>
              <wp:anchor distT="0" distB="0" distL="0" distR="0" simplePos="0" relativeHeight="251661312" behindDoc="0" locked="0" layoutInCell="1" allowOverlap="1">
                <wp:simplePos x="0" y="0"/>
                <wp:positionH relativeFrom="column">
                  <wp:posOffset>2820035</wp:posOffset>
                </wp:positionH>
                <wp:positionV relativeFrom="paragraph">
                  <wp:posOffset>167005</wp:posOffset>
                </wp:positionV>
                <wp:extent cx="2507615" cy="1405890"/>
                <wp:effectExtent l="4445" t="4445" r="21590" b="18415"/>
                <wp:wrapNone/>
                <wp:docPr id="4" name="102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pPr>
                              <w:jc w:val="center"/>
                            </w:pPr>
                          </w:p>
                        </w:txbxContent>
                      </wps:txbx>
                      <wps:bodyPr upright="1"/>
                    </wps:wsp>
                  </a:graphicData>
                </a:graphic>
              </wp:anchor>
            </w:drawing>
          </mc:Choice>
          <mc:Fallback>
            <w:pict>
              <v:shape id="1029" o:spid="_x0000_s1026" o:spt="176" type="#_x0000_t176" style="position:absolute;left:0pt;margin-left:222.05pt;margin-top:13.15pt;height:110.7pt;width:197.45pt;z-index:251661312;mso-width-relative:page;mso-height-relative:page;" fillcolor="#FFFFFF" filled="t" stroked="t" coordsize="21600,21600" o:gfxdata="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1rcePYAAAACgEAAA8AAAAAAAAAAQAgAAAAIgAAAGRycy9k&#10;b3ducmV2LnhtbFBLAQIUABQAAAAIAIdO4kD0grx+AgIAADsEAAAOAAAAAAAAAAEAIAAAACcBAABk&#10;cnMvZTJvRG9jLnhtbFBLBQYAAAAABgAGAFkBAACb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pPr>
                        <w:jc w:val="center"/>
                      </w:pPr>
                    </w:p>
                  </w:txbxContent>
                </v:textbox>
              </v:shape>
            </w:pict>
          </mc:Fallback>
        </mc:AlternateContent>
      </w:r>
    </w:p>
    <w:p>
      <w:pPr>
        <w:pStyle w:val="14"/>
        <w:tabs>
          <w:tab w:val="left" w:pos="5580"/>
        </w:tabs>
        <w:spacing w:line="240" w:lineRule="atLeast"/>
        <w:rPr>
          <w:rFonts w:hint="eastAsia" w:ascii="宋体" w:hAnsi="宋体" w:eastAsia="宋体" w:cs="宋体"/>
          <w:color w:val="auto"/>
          <w:sz w:val="24"/>
          <w:highlight w:val="none"/>
        </w:rPr>
      </w:pPr>
    </w:p>
    <w:p>
      <w:pPr>
        <w:pStyle w:val="14"/>
        <w:tabs>
          <w:tab w:val="left" w:pos="5580"/>
        </w:tabs>
        <w:spacing w:line="240" w:lineRule="atLeast"/>
        <w:rPr>
          <w:rFonts w:hint="eastAsia" w:ascii="宋体" w:hAnsi="宋体" w:eastAsia="宋体" w:cs="宋体"/>
          <w:color w:val="auto"/>
          <w:sz w:val="24"/>
          <w:highlight w:val="none"/>
        </w:rPr>
      </w:pPr>
    </w:p>
    <w:p>
      <w:pPr>
        <w:pStyle w:val="14"/>
        <w:tabs>
          <w:tab w:val="left" w:pos="5580"/>
        </w:tabs>
        <w:spacing w:line="240" w:lineRule="atLeast"/>
        <w:rPr>
          <w:rFonts w:hint="eastAsia" w:ascii="宋体" w:hAnsi="宋体" w:eastAsia="宋体" w:cs="宋体"/>
          <w:color w:val="auto"/>
          <w:sz w:val="24"/>
          <w:highlight w:val="none"/>
        </w:rPr>
      </w:pPr>
    </w:p>
    <w:p>
      <w:pPr>
        <w:pStyle w:val="14"/>
        <w:tabs>
          <w:tab w:val="left" w:pos="5580"/>
        </w:tabs>
        <w:spacing w:line="240" w:lineRule="atLeast"/>
        <w:ind w:left="1080" w:leftChars="257" w:hanging="540"/>
        <w:rPr>
          <w:rFonts w:hint="eastAsia" w:ascii="宋体" w:hAnsi="宋体" w:eastAsia="宋体" w:cs="宋体"/>
          <w:color w:val="auto"/>
          <w:sz w:val="24"/>
          <w:highlight w:val="none"/>
        </w:rPr>
      </w:pPr>
    </w:p>
    <w:p>
      <w:pPr>
        <w:pStyle w:val="14"/>
        <w:tabs>
          <w:tab w:val="left" w:pos="5580"/>
        </w:tabs>
        <w:spacing w:line="240" w:lineRule="atLeast"/>
        <w:ind w:left="1080" w:leftChars="257" w:hanging="540"/>
        <w:rPr>
          <w:rFonts w:hint="eastAsia" w:ascii="宋体" w:hAnsi="宋体" w:eastAsia="宋体" w:cs="宋体"/>
          <w:color w:val="auto"/>
          <w:sz w:val="24"/>
          <w:highlight w:val="none"/>
        </w:rPr>
      </w:pPr>
    </w:p>
    <w:p>
      <w:pPr>
        <w:pStyle w:val="14"/>
        <w:tabs>
          <w:tab w:val="left" w:pos="5580"/>
        </w:tabs>
        <w:spacing w:line="240" w:lineRule="atLeast"/>
        <w:ind w:left="1080" w:leftChars="257" w:hanging="540"/>
        <w:rPr>
          <w:rFonts w:hint="eastAsia" w:ascii="宋体" w:hAnsi="宋体" w:eastAsia="宋体" w:cs="宋体"/>
          <w:color w:val="auto"/>
          <w:sz w:val="24"/>
          <w:highlight w:val="none"/>
        </w:rPr>
      </w:pPr>
    </w:p>
    <w:p>
      <w:pPr>
        <w:pStyle w:val="14"/>
        <w:tabs>
          <w:tab w:val="left" w:pos="5580"/>
        </w:tabs>
        <w:spacing w:line="240" w:lineRule="atLeast"/>
        <w:ind w:left="1080" w:leftChars="257" w:hanging="54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注：须提供身份证正反面。</w:t>
      </w:r>
    </w:p>
    <w:p>
      <w:pPr>
        <w:pStyle w:val="14"/>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single"/>
        </w:rPr>
        <w:t xml:space="preserve">                       </w:t>
      </w:r>
    </w:p>
    <w:p>
      <w:pPr>
        <w:pStyle w:val="14"/>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szCs w:val="24"/>
          <w:highlight w:val="none"/>
        </w:rPr>
        <w:t>（签/章）</w:t>
      </w:r>
      <w:r>
        <w:rPr>
          <w:rFonts w:hint="eastAsia" w:ascii="宋体" w:hAnsi="宋体" w:eastAsia="宋体" w:cs="宋体"/>
          <w:color w:val="auto"/>
          <w:sz w:val="24"/>
          <w:highlight w:val="none"/>
        </w:rPr>
        <w:t xml:space="preserve">：                     </w:t>
      </w:r>
    </w:p>
    <w:p>
      <w:pPr>
        <w:pStyle w:val="14"/>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身份证号码： </w:t>
      </w:r>
    </w:p>
    <w:p>
      <w:pPr>
        <w:pStyle w:val="14"/>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szCs w:val="24"/>
          <w:highlight w:val="none"/>
        </w:rPr>
        <w:t>（签/章）</w:t>
      </w:r>
      <w:r>
        <w:rPr>
          <w:rFonts w:hint="eastAsia" w:ascii="宋体" w:hAnsi="宋体" w:eastAsia="宋体" w:cs="宋体"/>
          <w:color w:val="auto"/>
          <w:sz w:val="24"/>
          <w:highlight w:val="none"/>
        </w:rPr>
        <w:t xml:space="preserve">：                                   </w:t>
      </w:r>
    </w:p>
    <w:p>
      <w:pPr>
        <w:pStyle w:val="14"/>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身份证号码：                                   </w:t>
      </w:r>
    </w:p>
    <w:p>
      <w:pPr>
        <w:pStyle w:val="14"/>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详细通讯地址：                                 </w:t>
      </w:r>
    </w:p>
    <w:p>
      <w:pPr>
        <w:pStyle w:val="14"/>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邮 政 编 码 ：                                 </w:t>
      </w:r>
    </w:p>
    <w:p>
      <w:pPr>
        <w:pStyle w:val="14"/>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传　　　　真：                                 </w:t>
      </w:r>
    </w:p>
    <w:p>
      <w:pPr>
        <w:pStyle w:val="14"/>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　　　　话：       </w:t>
      </w:r>
      <w:bookmarkEnd w:id="802"/>
      <w:bookmarkEnd w:id="803"/>
      <w:bookmarkEnd w:id="804"/>
    </w:p>
    <w:p>
      <w:pPr>
        <w:pStyle w:val="14"/>
        <w:tabs>
          <w:tab w:val="left" w:pos="5580"/>
        </w:tabs>
        <w:spacing w:line="400" w:lineRule="exact"/>
        <w:ind w:left="1079" w:leftChars="257" w:hanging="539"/>
        <w:rPr>
          <w:rFonts w:hint="eastAsia" w:ascii="宋体" w:hAnsi="宋体" w:eastAsia="宋体" w:cs="宋体"/>
          <w:color w:val="auto"/>
          <w:sz w:val="24"/>
          <w:highlight w:val="none"/>
        </w:rPr>
      </w:pPr>
    </w:p>
    <w:p>
      <w:pPr>
        <w:pStyle w:val="14"/>
        <w:tabs>
          <w:tab w:val="left" w:pos="5580"/>
        </w:tabs>
        <w:spacing w:line="400" w:lineRule="exact"/>
        <w:ind w:left="1079" w:leftChars="257" w:hanging="539"/>
        <w:rPr>
          <w:rFonts w:hint="eastAsia" w:ascii="宋体" w:hAnsi="宋体" w:eastAsia="宋体" w:cs="宋体"/>
          <w:color w:val="auto"/>
          <w:sz w:val="24"/>
          <w:highlight w:val="none"/>
        </w:rPr>
      </w:pPr>
    </w:p>
    <w:p>
      <w:pPr>
        <w:pStyle w:val="2"/>
        <w:spacing w:line="400" w:lineRule="exact"/>
        <w:ind w:firstLine="0" w:firstLineChars="0"/>
        <w:outlineLvl w:val="1"/>
        <w:rPr>
          <w:rFonts w:hint="eastAsia" w:ascii="宋体" w:hAnsi="宋体" w:eastAsia="宋体" w:cs="宋体"/>
          <w:b/>
          <w:color w:val="auto"/>
          <w:kern w:val="0"/>
          <w:szCs w:val="20"/>
          <w:highlight w:val="none"/>
        </w:rPr>
      </w:pPr>
      <w:bookmarkStart w:id="805" w:name="_Toc13517"/>
      <w:r>
        <w:rPr>
          <w:rFonts w:hint="eastAsia" w:ascii="宋体" w:hAnsi="宋体" w:eastAsia="宋体" w:cs="宋体"/>
          <w:b/>
          <w:color w:val="auto"/>
          <w:kern w:val="0"/>
          <w:szCs w:val="20"/>
          <w:highlight w:val="none"/>
        </w:rPr>
        <w:t>4、</w:t>
      </w:r>
      <w:r>
        <w:rPr>
          <w:rFonts w:hint="eastAsia" w:ascii="宋体" w:hAnsi="宋体" w:eastAsia="宋体" w:cs="宋体"/>
          <w:b/>
          <w:color w:val="auto"/>
          <w:kern w:val="0"/>
          <w:szCs w:val="20"/>
          <w:highlight w:val="none"/>
          <w:lang w:eastAsia="zh-CN"/>
        </w:rPr>
        <w:t>提供2020年或2021年经审计的财务审计报告（2022年成立的新公司出具近3个月任意一个月的银行资信证明）</w:t>
      </w:r>
      <w:r>
        <w:rPr>
          <w:rFonts w:hint="eastAsia" w:ascii="宋体" w:hAnsi="宋体" w:eastAsia="宋体" w:cs="宋体"/>
          <w:b/>
          <w:color w:val="auto"/>
          <w:kern w:val="0"/>
          <w:szCs w:val="20"/>
          <w:highlight w:val="none"/>
        </w:rPr>
        <w:t>；</w:t>
      </w:r>
      <w:bookmarkEnd w:id="805"/>
    </w:p>
    <w:p>
      <w:pPr>
        <w:pStyle w:val="2"/>
        <w:spacing w:line="400" w:lineRule="exact"/>
        <w:ind w:firstLine="0" w:firstLineChars="0"/>
        <w:outlineLvl w:val="9"/>
        <w:rPr>
          <w:rFonts w:hint="eastAsia" w:ascii="宋体" w:hAnsi="宋体" w:eastAsia="宋体" w:cs="宋体"/>
          <w:b/>
          <w:color w:val="auto"/>
          <w:kern w:val="0"/>
          <w:szCs w:val="20"/>
          <w:highlight w:val="none"/>
        </w:rPr>
      </w:pPr>
    </w:p>
    <w:p>
      <w:pPr>
        <w:pStyle w:val="2"/>
        <w:spacing w:line="400" w:lineRule="exact"/>
        <w:ind w:firstLine="0" w:firstLineChars="0"/>
        <w:outlineLvl w:val="9"/>
        <w:rPr>
          <w:rFonts w:hint="eastAsia" w:ascii="宋体" w:hAnsi="宋体" w:eastAsia="宋体" w:cs="宋体"/>
          <w:b/>
          <w:color w:val="auto"/>
          <w:kern w:val="0"/>
          <w:szCs w:val="20"/>
          <w:highlight w:val="none"/>
        </w:rPr>
      </w:pPr>
    </w:p>
    <w:p>
      <w:pPr>
        <w:pStyle w:val="2"/>
        <w:spacing w:line="400" w:lineRule="exact"/>
        <w:ind w:firstLine="0" w:firstLineChars="0"/>
        <w:outlineLvl w:val="9"/>
        <w:rPr>
          <w:rFonts w:hint="eastAsia" w:ascii="宋体" w:hAnsi="宋体" w:eastAsia="宋体" w:cs="宋体"/>
          <w:b/>
          <w:color w:val="auto"/>
          <w:kern w:val="0"/>
          <w:szCs w:val="20"/>
          <w:highlight w:val="none"/>
        </w:rPr>
      </w:pPr>
    </w:p>
    <w:p>
      <w:pPr>
        <w:pStyle w:val="2"/>
        <w:spacing w:line="400" w:lineRule="exact"/>
        <w:ind w:firstLine="0" w:firstLineChars="0"/>
        <w:outlineLvl w:val="1"/>
        <w:rPr>
          <w:rFonts w:hint="eastAsia" w:ascii="宋体" w:hAnsi="宋体" w:eastAsia="宋体" w:cs="宋体"/>
          <w:color w:val="auto"/>
          <w:highlight w:val="none"/>
        </w:rPr>
      </w:pPr>
      <w:bookmarkStart w:id="806" w:name="_Toc14842"/>
      <w:r>
        <w:rPr>
          <w:rFonts w:hint="eastAsia" w:ascii="宋体" w:hAnsi="宋体" w:eastAsia="宋体" w:cs="宋体"/>
          <w:b/>
          <w:color w:val="auto"/>
          <w:kern w:val="0"/>
          <w:szCs w:val="20"/>
          <w:highlight w:val="none"/>
        </w:rPr>
        <w:t>5、</w:t>
      </w:r>
      <w:r>
        <w:rPr>
          <w:rFonts w:hint="eastAsia" w:ascii="宋体" w:hAnsi="宋体" w:eastAsia="宋体" w:cs="宋体"/>
          <w:b/>
          <w:color w:val="auto"/>
          <w:kern w:val="0"/>
          <w:szCs w:val="20"/>
          <w:highlight w:val="none"/>
          <w:lang w:eastAsia="zh-CN"/>
        </w:rPr>
        <w:t>依法缴纳最近连续六个月的社会保险的凭据（授权人和单位员工缴纳明细凭据）</w:t>
      </w:r>
      <w:r>
        <w:rPr>
          <w:rFonts w:hint="eastAsia" w:ascii="宋体" w:hAnsi="宋体" w:eastAsia="宋体" w:cs="宋体"/>
          <w:b/>
          <w:color w:val="auto"/>
          <w:kern w:val="0"/>
          <w:szCs w:val="20"/>
          <w:highlight w:val="none"/>
        </w:rPr>
        <w:t>；</w:t>
      </w:r>
      <w:bookmarkEnd w:id="806"/>
    </w:p>
    <w:p>
      <w:pPr>
        <w:pStyle w:val="14"/>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4"/>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4"/>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4"/>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4"/>
        <w:tabs>
          <w:tab w:val="left" w:pos="5580"/>
        </w:tabs>
        <w:spacing w:line="400" w:lineRule="exact"/>
        <w:outlineLvl w:val="1"/>
        <w:rPr>
          <w:rFonts w:hint="eastAsia" w:ascii="宋体" w:hAnsi="宋体" w:eastAsia="宋体" w:cs="宋体"/>
          <w:b/>
          <w:color w:val="auto"/>
          <w:kern w:val="0"/>
          <w:sz w:val="24"/>
          <w:highlight w:val="none"/>
        </w:rPr>
      </w:pPr>
      <w:bookmarkStart w:id="807" w:name="_Toc21849"/>
      <w:r>
        <w:rPr>
          <w:rFonts w:hint="eastAsia" w:ascii="宋体" w:hAnsi="宋体" w:eastAsia="宋体" w:cs="宋体"/>
          <w:b/>
          <w:color w:val="auto"/>
          <w:kern w:val="0"/>
          <w:sz w:val="24"/>
          <w:highlight w:val="none"/>
        </w:rPr>
        <w:t>6、</w:t>
      </w:r>
      <w:r>
        <w:rPr>
          <w:rFonts w:hint="eastAsia" w:ascii="宋体" w:hAnsi="宋体" w:eastAsia="宋体" w:cs="宋体"/>
          <w:b/>
          <w:color w:val="auto"/>
          <w:kern w:val="0"/>
          <w:sz w:val="24"/>
          <w:highlight w:val="none"/>
          <w:lang w:eastAsia="zh-CN"/>
        </w:rPr>
        <w:t>提供税务部门出具的最近连续六个月的完税证明</w:t>
      </w:r>
      <w:r>
        <w:rPr>
          <w:rFonts w:hint="eastAsia" w:ascii="宋体" w:hAnsi="宋体" w:eastAsia="宋体" w:cs="宋体"/>
          <w:b/>
          <w:color w:val="auto"/>
          <w:kern w:val="0"/>
          <w:sz w:val="24"/>
          <w:highlight w:val="none"/>
        </w:rPr>
        <w:t>；</w:t>
      </w:r>
      <w:bookmarkEnd w:id="807"/>
    </w:p>
    <w:p>
      <w:pPr>
        <w:pStyle w:val="14"/>
        <w:tabs>
          <w:tab w:val="left" w:pos="5580"/>
        </w:tabs>
        <w:spacing w:line="400" w:lineRule="exact"/>
        <w:rPr>
          <w:rFonts w:hint="eastAsia" w:ascii="宋体" w:hAnsi="宋体" w:eastAsia="宋体" w:cs="宋体"/>
          <w:b/>
          <w:color w:val="auto"/>
          <w:kern w:val="0"/>
          <w:sz w:val="24"/>
          <w:highlight w:val="none"/>
        </w:rPr>
      </w:pPr>
    </w:p>
    <w:p>
      <w:pPr>
        <w:pStyle w:val="14"/>
        <w:tabs>
          <w:tab w:val="left" w:pos="5580"/>
        </w:tabs>
        <w:spacing w:line="400" w:lineRule="exact"/>
        <w:rPr>
          <w:rFonts w:hint="eastAsia" w:ascii="宋体" w:hAnsi="宋体" w:eastAsia="宋体" w:cs="宋体"/>
          <w:b/>
          <w:color w:val="auto"/>
          <w:kern w:val="0"/>
          <w:sz w:val="24"/>
          <w:highlight w:val="none"/>
        </w:rPr>
      </w:pPr>
    </w:p>
    <w:p>
      <w:pPr>
        <w:pStyle w:val="14"/>
        <w:tabs>
          <w:tab w:val="left" w:pos="5580"/>
        </w:tabs>
        <w:spacing w:line="400" w:lineRule="exact"/>
        <w:rPr>
          <w:rFonts w:hint="eastAsia" w:ascii="宋体" w:hAnsi="宋体" w:eastAsia="宋体" w:cs="宋体"/>
          <w:b/>
          <w:color w:val="auto"/>
          <w:kern w:val="0"/>
          <w:sz w:val="24"/>
          <w:highlight w:val="none"/>
        </w:rPr>
      </w:pPr>
    </w:p>
    <w:p>
      <w:pPr>
        <w:pStyle w:val="14"/>
        <w:tabs>
          <w:tab w:val="left" w:pos="5580"/>
        </w:tabs>
        <w:spacing w:line="400" w:lineRule="exact"/>
        <w:ind w:left="1080" w:leftChars="257" w:hanging="540"/>
        <w:rPr>
          <w:rFonts w:hint="eastAsia" w:ascii="宋体" w:hAnsi="宋体" w:eastAsia="宋体" w:cs="宋体"/>
          <w:b/>
          <w:color w:val="auto"/>
          <w:kern w:val="0"/>
          <w:sz w:val="24"/>
          <w:highlight w:val="none"/>
        </w:rPr>
      </w:pPr>
    </w:p>
    <w:p>
      <w:pPr>
        <w:spacing w:line="400" w:lineRule="exact"/>
        <w:outlineLvl w:val="1"/>
        <w:rPr>
          <w:rFonts w:hint="eastAsia" w:ascii="宋体" w:hAnsi="宋体" w:eastAsia="宋体" w:cs="宋体"/>
          <w:b/>
          <w:color w:val="auto"/>
          <w:kern w:val="0"/>
          <w:sz w:val="24"/>
          <w:highlight w:val="none"/>
        </w:rPr>
      </w:pPr>
      <w:bookmarkStart w:id="808" w:name="_Toc14139"/>
      <w:r>
        <w:rPr>
          <w:rFonts w:hint="eastAsia" w:ascii="宋体" w:hAnsi="宋体" w:eastAsia="宋体" w:cs="宋体"/>
          <w:b/>
          <w:color w:val="auto"/>
          <w:kern w:val="0"/>
          <w:sz w:val="24"/>
          <w:highlight w:val="none"/>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eastAsia="宋体" w:cs="宋体"/>
          <w:b/>
          <w:color w:val="auto"/>
          <w:kern w:val="0"/>
          <w:sz w:val="24"/>
          <w:highlight w:val="none"/>
          <w:lang w:eastAsia="zh-CN"/>
        </w:rPr>
        <w:t>信用服务-重点领域严重失信主体名单查询-搜索栏输入单位全称-截图</w:t>
      </w:r>
      <w:r>
        <w:rPr>
          <w:rFonts w:hint="eastAsia" w:ascii="宋体" w:hAnsi="宋体" w:eastAsia="宋体" w:cs="宋体"/>
          <w:b/>
          <w:color w:val="auto"/>
          <w:kern w:val="0"/>
          <w:sz w:val="24"/>
          <w:highlight w:val="none"/>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bookmarkEnd w:id="808"/>
    </w:p>
    <w:p>
      <w:pPr>
        <w:pStyle w:val="14"/>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4"/>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4"/>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4"/>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4"/>
        <w:tabs>
          <w:tab w:val="left" w:pos="5580"/>
        </w:tabs>
        <w:spacing w:line="400" w:lineRule="exact"/>
        <w:outlineLvl w:val="1"/>
        <w:rPr>
          <w:rFonts w:hint="eastAsia" w:ascii="宋体" w:hAnsi="宋体" w:eastAsia="宋体" w:cs="宋体"/>
          <w:b/>
          <w:color w:val="auto"/>
          <w:kern w:val="0"/>
          <w:sz w:val="24"/>
          <w:highlight w:val="none"/>
        </w:rPr>
      </w:pPr>
      <w:bookmarkStart w:id="809" w:name="_Toc6021"/>
      <w:r>
        <w:rPr>
          <w:rFonts w:hint="eastAsia" w:ascii="宋体" w:hAnsi="宋体" w:eastAsia="宋体" w:cs="宋体"/>
          <w:b/>
          <w:color w:val="auto"/>
          <w:kern w:val="0"/>
          <w:sz w:val="24"/>
          <w:highlight w:val="none"/>
        </w:rPr>
        <w:t>8、参与政府采购活动前3年内未被列入失信、重大税收违法案件、财政部门禁止参加政府采购活动的承诺书；</w:t>
      </w:r>
      <w:bookmarkEnd w:id="809"/>
    </w:p>
    <w:p>
      <w:pPr>
        <w:pStyle w:val="14"/>
        <w:tabs>
          <w:tab w:val="left" w:pos="5580"/>
        </w:tabs>
        <w:spacing w:line="400" w:lineRule="exact"/>
        <w:rPr>
          <w:rFonts w:hint="eastAsia" w:ascii="宋体" w:hAnsi="宋体" w:eastAsia="宋体" w:cs="宋体"/>
          <w:b/>
          <w:color w:val="auto"/>
          <w:kern w:val="0"/>
          <w:sz w:val="24"/>
          <w:highlight w:val="none"/>
        </w:rPr>
      </w:pPr>
    </w:p>
    <w:p>
      <w:pPr>
        <w:pStyle w:val="14"/>
        <w:tabs>
          <w:tab w:val="left" w:pos="5580"/>
        </w:tabs>
        <w:spacing w:line="400" w:lineRule="exact"/>
        <w:rPr>
          <w:rFonts w:hint="eastAsia" w:ascii="宋体" w:hAnsi="宋体" w:eastAsia="宋体" w:cs="宋体"/>
          <w:b/>
          <w:color w:val="auto"/>
          <w:kern w:val="0"/>
          <w:sz w:val="24"/>
          <w:highlight w:val="none"/>
        </w:rPr>
      </w:pPr>
    </w:p>
    <w:p>
      <w:pPr>
        <w:pStyle w:val="14"/>
        <w:tabs>
          <w:tab w:val="left" w:pos="5580"/>
        </w:tabs>
        <w:spacing w:line="400" w:lineRule="exact"/>
        <w:rPr>
          <w:rFonts w:hint="eastAsia" w:ascii="宋体" w:hAnsi="宋体" w:eastAsia="宋体" w:cs="宋体"/>
          <w:b/>
          <w:color w:val="auto"/>
          <w:kern w:val="0"/>
          <w:sz w:val="24"/>
          <w:highlight w:val="none"/>
        </w:rPr>
      </w:pPr>
    </w:p>
    <w:p>
      <w:pPr>
        <w:pStyle w:val="14"/>
        <w:tabs>
          <w:tab w:val="left" w:pos="5580"/>
        </w:tabs>
        <w:spacing w:line="400" w:lineRule="exact"/>
        <w:rPr>
          <w:rFonts w:hint="eastAsia" w:ascii="宋体" w:hAnsi="宋体" w:eastAsia="宋体" w:cs="宋体"/>
          <w:b/>
          <w:color w:val="auto"/>
          <w:kern w:val="0"/>
          <w:sz w:val="24"/>
          <w:highlight w:val="none"/>
        </w:rPr>
      </w:pPr>
    </w:p>
    <w:p>
      <w:pPr>
        <w:pStyle w:val="14"/>
        <w:tabs>
          <w:tab w:val="left" w:pos="5580"/>
        </w:tabs>
        <w:spacing w:line="400" w:lineRule="exact"/>
        <w:ind w:firstLine="482" w:firstLineChars="200"/>
        <w:outlineLvl w:val="1"/>
        <w:rPr>
          <w:rFonts w:hint="eastAsia" w:ascii="宋体" w:hAnsi="宋体" w:eastAsia="宋体" w:cs="宋体"/>
          <w:b/>
          <w:color w:val="auto"/>
          <w:kern w:val="0"/>
          <w:sz w:val="24"/>
          <w:highlight w:val="none"/>
        </w:rPr>
      </w:pPr>
      <w:bookmarkStart w:id="810" w:name="_Toc16133"/>
      <w:r>
        <w:rPr>
          <w:rFonts w:hint="eastAsia" w:ascii="宋体" w:hAnsi="宋体" w:eastAsia="宋体" w:cs="宋体"/>
          <w:b/>
          <w:color w:val="auto"/>
          <w:kern w:val="0"/>
          <w:sz w:val="24"/>
          <w:highlight w:val="none"/>
        </w:rPr>
        <w:t>9、提供针对本次项目《反商业贿赂承诺书》；</w:t>
      </w:r>
      <w:bookmarkEnd w:id="810"/>
    </w:p>
    <w:p>
      <w:pPr>
        <w:pStyle w:val="14"/>
        <w:tabs>
          <w:tab w:val="left" w:pos="5580"/>
        </w:tabs>
        <w:spacing w:line="400" w:lineRule="exact"/>
        <w:rPr>
          <w:rFonts w:hint="eastAsia" w:ascii="宋体" w:hAnsi="宋体" w:eastAsia="宋体" w:cs="宋体"/>
          <w:b/>
          <w:color w:val="auto"/>
          <w:kern w:val="0"/>
          <w:sz w:val="24"/>
          <w:highlight w:val="none"/>
        </w:rPr>
      </w:pPr>
    </w:p>
    <w:p>
      <w:pPr>
        <w:pStyle w:val="14"/>
        <w:tabs>
          <w:tab w:val="left" w:pos="5580"/>
        </w:tabs>
        <w:spacing w:line="400" w:lineRule="exact"/>
        <w:rPr>
          <w:rFonts w:hint="eastAsia" w:ascii="宋体" w:hAnsi="宋体" w:eastAsia="宋体" w:cs="宋体"/>
          <w:b/>
          <w:color w:val="auto"/>
          <w:kern w:val="0"/>
          <w:sz w:val="24"/>
          <w:highlight w:val="none"/>
        </w:rPr>
      </w:pPr>
    </w:p>
    <w:p>
      <w:pPr>
        <w:pStyle w:val="14"/>
        <w:tabs>
          <w:tab w:val="left" w:pos="5580"/>
        </w:tabs>
        <w:spacing w:line="400" w:lineRule="exact"/>
        <w:rPr>
          <w:rFonts w:hint="eastAsia" w:ascii="宋体" w:hAnsi="宋体" w:eastAsia="宋体" w:cs="宋体"/>
          <w:b/>
          <w:color w:val="auto"/>
          <w:kern w:val="0"/>
          <w:sz w:val="24"/>
          <w:highlight w:val="none"/>
        </w:rPr>
      </w:pPr>
    </w:p>
    <w:p>
      <w:pPr>
        <w:numPr>
          <w:ilvl w:val="0"/>
          <w:numId w:val="0"/>
        </w:numPr>
        <w:ind w:firstLine="482" w:firstLineChars="200"/>
        <w:outlineLvl w:val="1"/>
        <w:rPr>
          <w:rFonts w:hint="eastAsia" w:ascii="宋体" w:hAnsi="宋体" w:eastAsia="宋体" w:cs="宋体"/>
          <w:b/>
          <w:color w:val="auto"/>
          <w:kern w:val="0"/>
          <w:sz w:val="24"/>
          <w:szCs w:val="20"/>
          <w:highlight w:val="none"/>
          <w:lang w:val="en-US" w:eastAsia="zh-CN" w:bidi="ar-SA"/>
        </w:rPr>
      </w:pPr>
      <w:bookmarkStart w:id="811" w:name="_Toc4712"/>
      <w:bookmarkStart w:id="812" w:name="_Toc8412"/>
      <w:r>
        <w:rPr>
          <w:rFonts w:hint="eastAsia" w:ascii="宋体" w:hAnsi="宋体" w:eastAsia="宋体" w:cs="宋体"/>
          <w:b/>
          <w:color w:val="auto"/>
          <w:kern w:val="0"/>
          <w:sz w:val="24"/>
          <w:szCs w:val="20"/>
          <w:highlight w:val="none"/>
          <w:lang w:val="en-US" w:eastAsia="zh-CN" w:bidi="ar-SA"/>
        </w:rPr>
        <w:t>10、缴纳投标保证金有效凭证；</w:t>
      </w:r>
      <w:bookmarkEnd w:id="811"/>
      <w:bookmarkEnd w:id="812"/>
    </w:p>
    <w:tbl>
      <w:tblPr>
        <w:tblStyle w:val="26"/>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879" w:type="dxa"/>
          </w:tcPr>
          <w:p>
            <w:pPr>
              <w:shd w:val="clear" w:color="auto" w:fill="auto"/>
              <w:snapToGrid w:val="0"/>
              <w:spacing w:before="0" w:beforeAutospacing="0" w:after="0" w:afterAutospacing="0" w:line="360" w:lineRule="exact"/>
              <w:jc w:val="both"/>
              <w:textAlignment w:val="baseline"/>
              <w:rPr>
                <w:rFonts w:hint="eastAsia" w:ascii="宋体" w:hAnsi="宋体" w:eastAsia="宋体" w:cs="宋体"/>
                <w:b w:val="0"/>
                <w:i w:val="0"/>
                <w:caps w:val="0"/>
                <w:color w:val="auto"/>
                <w:spacing w:val="0"/>
                <w:w w:val="100"/>
                <w:sz w:val="24"/>
                <w:highlight w:val="none"/>
              </w:rPr>
            </w:pPr>
          </w:p>
          <w:p>
            <w:pPr>
              <w:shd w:val="clear" w:color="auto" w:fill="auto"/>
              <w:snapToGrid w:val="0"/>
              <w:spacing w:before="0" w:beforeAutospacing="0" w:after="0" w:afterAutospacing="0" w:line="360" w:lineRule="exact"/>
              <w:jc w:val="both"/>
              <w:textAlignment w:val="baseline"/>
              <w:rPr>
                <w:rFonts w:hint="eastAsia" w:ascii="宋体" w:hAnsi="宋体" w:eastAsia="宋体" w:cs="宋体"/>
                <w:b w:val="0"/>
                <w:i w:val="0"/>
                <w:caps w:val="0"/>
                <w:color w:val="auto"/>
                <w:spacing w:val="0"/>
                <w:w w:val="100"/>
                <w:sz w:val="24"/>
                <w:highlight w:val="none"/>
              </w:rPr>
            </w:pPr>
          </w:p>
          <w:p>
            <w:pPr>
              <w:shd w:val="clear" w:color="auto" w:fill="auto"/>
              <w:snapToGrid w:val="0"/>
              <w:spacing w:before="0" w:beforeAutospacing="0" w:after="0" w:afterAutospacing="0" w:line="360" w:lineRule="exact"/>
              <w:jc w:val="center"/>
              <w:textAlignment w:val="baseline"/>
              <w:rPr>
                <w:rFonts w:hint="eastAsia" w:ascii="宋体" w:hAnsi="宋体" w:eastAsia="宋体" w:cs="宋体"/>
                <w:b w:val="0"/>
                <w:i w:val="0"/>
                <w:caps w:val="0"/>
                <w:color w:val="auto"/>
                <w:spacing w:val="0"/>
                <w:w w:val="100"/>
                <w:sz w:val="24"/>
                <w:highlight w:val="none"/>
                <w:lang w:eastAsia="zh-CN"/>
              </w:rPr>
            </w:pPr>
            <w:r>
              <w:rPr>
                <w:rFonts w:hint="eastAsia" w:ascii="宋体" w:hAnsi="宋体" w:eastAsia="宋体" w:cs="宋体"/>
                <w:color w:val="auto"/>
                <w:sz w:val="24"/>
                <w:highlight w:val="none"/>
              </w:rPr>
              <w:t>缴纳</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保证金的</w:t>
            </w:r>
            <w:r>
              <w:rPr>
                <w:rFonts w:hint="eastAsia" w:ascii="宋体" w:hAnsi="宋体" w:eastAsia="宋体" w:cs="宋体"/>
                <w:b/>
                <w:color w:val="auto"/>
                <w:kern w:val="0"/>
                <w:sz w:val="24"/>
                <w:highlight w:val="none"/>
              </w:rPr>
              <w:t>银行转账回执单</w:t>
            </w:r>
            <w:r>
              <w:rPr>
                <w:rFonts w:hint="eastAsia" w:ascii="宋体" w:hAnsi="宋体" w:eastAsia="宋体" w:cs="宋体"/>
                <w:b w:val="0"/>
                <w:i w:val="0"/>
                <w:caps w:val="0"/>
                <w:color w:val="auto"/>
                <w:spacing w:val="0"/>
                <w:w w:val="100"/>
                <w:kern w:val="0"/>
                <w:sz w:val="24"/>
                <w:highlight w:val="none"/>
                <w:lang w:val="en-US" w:eastAsia="zh-CN"/>
              </w:rPr>
              <w:t>或开户行银行保函</w:t>
            </w:r>
          </w:p>
        </w:tc>
      </w:tr>
    </w:tbl>
    <w:p>
      <w:pPr>
        <w:pStyle w:val="20"/>
        <w:ind w:firstLine="482" w:firstLineChars="200"/>
        <w:rPr>
          <w:rFonts w:hint="eastAsia" w:ascii="宋体" w:hAnsi="宋体" w:eastAsia="宋体" w:cs="宋体"/>
          <w:b/>
          <w:bCs/>
          <w:i w:val="0"/>
          <w:caps w:val="0"/>
          <w:color w:val="auto"/>
          <w:spacing w:val="0"/>
          <w:w w:val="100"/>
          <w:sz w:val="24"/>
          <w:szCs w:val="24"/>
          <w:highlight w:val="none"/>
        </w:rPr>
      </w:pPr>
    </w:p>
    <w:p>
      <w:pPr>
        <w:pStyle w:val="20"/>
        <w:rPr>
          <w:rFonts w:hint="eastAsia" w:ascii="宋体" w:hAnsi="宋体" w:eastAsia="宋体" w:cs="宋体"/>
          <w:color w:val="auto"/>
          <w:highlight w:val="none"/>
        </w:rPr>
      </w:pPr>
      <w:r>
        <w:rPr>
          <w:rFonts w:hint="eastAsia" w:ascii="宋体" w:hAnsi="宋体" w:eastAsia="宋体" w:cs="宋体"/>
          <w:b/>
          <w:bCs/>
          <w:i w:val="0"/>
          <w:caps w:val="0"/>
          <w:color w:val="auto"/>
          <w:spacing w:val="0"/>
          <w:w w:val="100"/>
          <w:sz w:val="24"/>
          <w:szCs w:val="24"/>
          <w:highlight w:val="none"/>
        </w:rPr>
        <w:t>注：本项目以缴纳</w:t>
      </w:r>
      <w:r>
        <w:rPr>
          <w:rFonts w:hint="eastAsia" w:ascii="宋体" w:hAnsi="宋体" w:eastAsia="宋体" w:cs="宋体"/>
          <w:b/>
          <w:bCs/>
          <w:i w:val="0"/>
          <w:caps w:val="0"/>
          <w:color w:val="auto"/>
          <w:spacing w:val="0"/>
          <w:w w:val="100"/>
          <w:sz w:val="24"/>
          <w:szCs w:val="24"/>
          <w:highlight w:val="none"/>
          <w:lang w:eastAsia="zh-CN"/>
        </w:rPr>
        <w:t>投标</w:t>
      </w:r>
      <w:r>
        <w:rPr>
          <w:rFonts w:hint="eastAsia" w:ascii="宋体" w:hAnsi="宋体" w:eastAsia="宋体" w:cs="宋体"/>
          <w:b/>
          <w:bCs/>
          <w:i w:val="0"/>
          <w:caps w:val="0"/>
          <w:color w:val="auto"/>
          <w:spacing w:val="0"/>
          <w:w w:val="100"/>
          <w:sz w:val="24"/>
          <w:szCs w:val="24"/>
          <w:highlight w:val="none"/>
        </w:rPr>
        <w:t>保证金的银行转账回执单或开户行银行保函复印件盖公章为准。</w:t>
      </w:r>
    </w:p>
    <w:p>
      <w:pPr>
        <w:pStyle w:val="14"/>
        <w:tabs>
          <w:tab w:val="left" w:pos="5580"/>
        </w:tabs>
        <w:spacing w:line="400" w:lineRule="exact"/>
        <w:ind w:left="540" w:leftChars="257"/>
        <w:rPr>
          <w:rFonts w:hint="eastAsia" w:ascii="宋体" w:hAnsi="宋体" w:eastAsia="宋体" w:cs="宋体"/>
          <w:b/>
          <w:color w:val="auto"/>
          <w:kern w:val="0"/>
          <w:sz w:val="24"/>
          <w:highlight w:val="none"/>
        </w:rPr>
      </w:pPr>
    </w:p>
    <w:p>
      <w:pPr>
        <w:pStyle w:val="14"/>
        <w:tabs>
          <w:tab w:val="left" w:pos="5580"/>
        </w:tabs>
        <w:spacing w:line="400" w:lineRule="exact"/>
        <w:ind w:left="540" w:leftChars="257"/>
        <w:rPr>
          <w:rFonts w:hint="eastAsia" w:ascii="宋体" w:hAnsi="宋体" w:eastAsia="宋体" w:cs="宋体"/>
          <w:b/>
          <w:color w:val="auto"/>
          <w:kern w:val="0"/>
          <w:sz w:val="24"/>
          <w:highlight w:val="none"/>
        </w:rPr>
      </w:pPr>
    </w:p>
    <w:p>
      <w:pPr>
        <w:pStyle w:val="14"/>
        <w:tabs>
          <w:tab w:val="left" w:pos="5580"/>
        </w:tabs>
        <w:spacing w:line="400" w:lineRule="exact"/>
        <w:rPr>
          <w:rFonts w:hint="eastAsia" w:ascii="宋体" w:hAnsi="宋体" w:eastAsia="宋体" w:cs="宋体"/>
          <w:b/>
          <w:color w:val="auto"/>
          <w:kern w:val="0"/>
          <w:sz w:val="24"/>
          <w:highlight w:val="none"/>
        </w:rPr>
      </w:pPr>
    </w:p>
    <w:p>
      <w:pPr>
        <w:pStyle w:val="14"/>
        <w:tabs>
          <w:tab w:val="left" w:pos="5580"/>
        </w:tabs>
        <w:spacing w:line="400" w:lineRule="exact"/>
        <w:ind w:left="540" w:leftChars="257"/>
        <w:outlineLvl w:val="1"/>
        <w:rPr>
          <w:rFonts w:hint="eastAsia" w:ascii="宋体" w:hAnsi="宋体" w:eastAsia="宋体" w:cs="宋体"/>
          <w:b/>
          <w:color w:val="auto"/>
          <w:kern w:val="0"/>
          <w:sz w:val="24"/>
          <w:highlight w:val="none"/>
        </w:rPr>
      </w:pPr>
      <w:bookmarkStart w:id="813" w:name="_Toc7681"/>
      <w:bookmarkStart w:id="814" w:name="_Toc515647816"/>
      <w:bookmarkStart w:id="815" w:name="_Toc22967"/>
      <w:bookmarkStart w:id="816" w:name="_Toc15346"/>
      <w:bookmarkStart w:id="817" w:name="_Toc18263"/>
      <w:bookmarkStart w:id="818" w:name="_Toc30653"/>
      <w:bookmarkStart w:id="819" w:name="_Toc11180"/>
      <w:r>
        <w:rPr>
          <w:rFonts w:hint="eastAsia" w:ascii="宋体" w:hAnsi="宋体" w:eastAsia="宋体" w:cs="宋体"/>
          <w:b/>
          <w:bCs/>
          <w:color w:val="auto"/>
          <w:sz w:val="24"/>
          <w:highlight w:val="none"/>
        </w:rPr>
        <w:t>11、</w:t>
      </w:r>
      <w:r>
        <w:rPr>
          <w:rFonts w:hint="eastAsia" w:ascii="宋体" w:hAnsi="宋体" w:eastAsia="宋体" w:cs="宋体"/>
          <w:b/>
          <w:color w:val="auto"/>
          <w:kern w:val="0"/>
          <w:sz w:val="24"/>
          <w:highlight w:val="none"/>
        </w:rPr>
        <w:t>银行开户许可证复印件或银行基本账户信息(包含：银行账号及开户行名称）</w:t>
      </w:r>
      <w:bookmarkEnd w:id="813"/>
    </w:p>
    <w:p>
      <w:pPr>
        <w:spacing w:line="400" w:lineRule="exact"/>
        <w:ind w:left="630"/>
        <w:rPr>
          <w:rFonts w:hint="eastAsia" w:ascii="宋体" w:hAnsi="宋体" w:eastAsia="宋体" w:cs="宋体"/>
          <w:color w:val="auto"/>
          <w:sz w:val="24"/>
          <w:highlight w:val="none"/>
        </w:rPr>
      </w:pPr>
    </w:p>
    <w:p>
      <w:pPr>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outlineLvl w:val="1"/>
        <w:rPr>
          <w:rFonts w:hint="eastAsia" w:ascii="宋体" w:hAnsi="宋体" w:eastAsia="宋体" w:cs="宋体"/>
          <w:b/>
          <w:bCs/>
          <w:color w:val="auto"/>
          <w:sz w:val="24"/>
          <w:highlight w:val="none"/>
        </w:rPr>
      </w:pPr>
      <w:bookmarkStart w:id="820" w:name="_Toc31620"/>
      <w:r>
        <w:rPr>
          <w:rFonts w:hint="eastAsia" w:ascii="宋体" w:hAnsi="宋体" w:eastAsia="宋体" w:cs="宋体"/>
          <w:b/>
          <w:bCs/>
          <w:color w:val="auto"/>
          <w:sz w:val="24"/>
          <w:highlight w:val="none"/>
        </w:rPr>
        <w:t>12、供应商可提供有利于投标的其他资格证明材料。</w:t>
      </w:r>
      <w:r>
        <w:rPr>
          <w:rFonts w:hint="eastAsia" w:ascii="宋体" w:hAnsi="宋体" w:eastAsia="宋体" w:cs="宋体"/>
          <w:b/>
          <w:bCs/>
          <w:color w:val="auto"/>
          <w:kern w:val="0"/>
          <w:sz w:val="24"/>
          <w:szCs w:val="20"/>
          <w:highlight w:val="none"/>
        </w:rPr>
        <w:t>（具体要求详见项目要求和</w:t>
      </w:r>
      <w:r>
        <w:rPr>
          <w:rFonts w:hint="eastAsia" w:ascii="宋体" w:hAnsi="宋体" w:eastAsia="宋体" w:cs="宋体"/>
          <w:b/>
          <w:bCs/>
          <w:color w:val="auto"/>
          <w:sz w:val="24"/>
          <w:highlight w:val="none"/>
        </w:rPr>
        <w:t>综合评分表中的商务部分）</w:t>
      </w:r>
      <w:bookmarkEnd w:id="820"/>
    </w:p>
    <w:p>
      <w:pPr>
        <w:rPr>
          <w:rFonts w:hint="eastAsia" w:ascii="宋体" w:hAnsi="宋体" w:eastAsia="宋体" w:cs="宋体"/>
          <w:color w:val="auto"/>
          <w:highlight w:val="none"/>
        </w:rPr>
      </w:pPr>
    </w:p>
    <w:p>
      <w:pPr>
        <w:rPr>
          <w:rFonts w:hint="eastAsia" w:ascii="宋体" w:hAnsi="宋体" w:eastAsia="宋体" w:cs="宋体"/>
          <w:b/>
          <w:color w:val="auto"/>
          <w:kern w:val="0"/>
          <w:sz w:val="24"/>
          <w:szCs w:val="20"/>
          <w:highlight w:val="none"/>
        </w:rPr>
      </w:pPr>
    </w:p>
    <w:p>
      <w:pPr>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5"/>
        <w:ind w:firstLine="0"/>
        <w:rPr>
          <w:rFonts w:hint="eastAsia" w:ascii="宋体" w:hAnsi="宋体" w:eastAsia="宋体" w:cs="宋体"/>
          <w:color w:val="auto"/>
          <w:highlight w:val="none"/>
        </w:rPr>
      </w:pPr>
    </w:p>
    <w:p>
      <w:pPr>
        <w:pStyle w:val="7"/>
        <w:spacing w:before="0" w:line="400" w:lineRule="exact"/>
        <w:ind w:left="540" w:leftChars="257"/>
        <w:jc w:val="both"/>
        <w:rPr>
          <w:rFonts w:hint="eastAsia" w:ascii="宋体" w:hAnsi="宋体" w:eastAsia="宋体" w:cs="宋体"/>
          <w:color w:val="auto"/>
          <w:sz w:val="24"/>
          <w:szCs w:val="24"/>
          <w:highlight w:val="none"/>
        </w:rPr>
      </w:pPr>
      <w:bookmarkStart w:id="821" w:name="_Toc27993"/>
      <w:r>
        <w:rPr>
          <w:rFonts w:hint="eastAsia" w:ascii="宋体" w:hAnsi="宋体" w:eastAsia="宋体" w:cs="宋体"/>
          <w:color w:val="auto"/>
          <w:sz w:val="24"/>
          <w:szCs w:val="24"/>
          <w:highlight w:val="none"/>
        </w:rPr>
        <w:t>第二部分  商务及技术文件</w:t>
      </w:r>
      <w:bookmarkEnd w:id="821"/>
    </w:p>
    <w:p>
      <w:pPr>
        <w:pStyle w:val="14"/>
        <w:spacing w:line="400" w:lineRule="exact"/>
        <w:ind w:left="1079" w:leftChars="257" w:hanging="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1、投标书</w:t>
      </w:r>
    </w:p>
    <w:p>
      <w:pPr>
        <w:pStyle w:val="14"/>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szCs w:val="24"/>
          <w:highlight w:val="none"/>
        </w:rPr>
        <w:t>投标分项报价表（一）</w:t>
      </w:r>
    </w:p>
    <w:p>
      <w:pPr>
        <w:pStyle w:val="14"/>
        <w:spacing w:line="400" w:lineRule="exact"/>
        <w:ind w:left="1154" w:leftChars="485" w:hanging="136" w:hangingChars="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备品备件设备分项报价表（二）</w:t>
      </w:r>
    </w:p>
    <w:p>
      <w:pPr>
        <w:pStyle w:val="14"/>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3、服务说明一览表</w:t>
      </w:r>
    </w:p>
    <w:p>
      <w:pPr>
        <w:pStyle w:val="14"/>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4、技术规格偏离表</w:t>
      </w:r>
    </w:p>
    <w:p>
      <w:pPr>
        <w:pStyle w:val="14"/>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5、商务条款偏离表</w:t>
      </w:r>
    </w:p>
    <w:p>
      <w:pPr>
        <w:pStyle w:val="14"/>
        <w:spacing w:line="400" w:lineRule="exact"/>
        <w:ind w:left="311" w:leftChars="148" w:firstLine="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6-1中小企业声明函</w:t>
      </w:r>
    </w:p>
    <w:p>
      <w:pPr>
        <w:pStyle w:val="14"/>
        <w:spacing w:line="400" w:lineRule="exact"/>
        <w:ind w:left="311" w:leftChars="148" w:firstLine="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6-2《残疾人福利性单位声明函》</w:t>
      </w:r>
    </w:p>
    <w:p>
      <w:pPr>
        <w:pStyle w:val="14"/>
        <w:spacing w:line="400" w:lineRule="exact"/>
        <w:ind w:left="311" w:leftChars="148" w:firstLine="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7、供应商关联单位的说明（格式自拟）</w:t>
      </w:r>
    </w:p>
    <w:p>
      <w:pPr>
        <w:pStyle w:val="14"/>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8、供应商可提供有利于投标的其他资格证明材料</w:t>
      </w:r>
    </w:p>
    <w:p>
      <w:pPr>
        <w:pStyle w:val="14"/>
        <w:spacing w:line="400" w:lineRule="exact"/>
        <w:ind w:left="1080" w:leftChars="257" w:hanging="540"/>
        <w:rPr>
          <w:rFonts w:hint="eastAsia" w:ascii="宋体" w:hAnsi="宋体" w:eastAsia="宋体" w:cs="宋体"/>
          <w:color w:val="auto"/>
          <w:sz w:val="24"/>
          <w:szCs w:val="24"/>
          <w:highlight w:val="none"/>
        </w:rPr>
      </w:pPr>
      <w:bookmarkStart w:id="822" w:name="_Toc515647817"/>
      <w:bookmarkStart w:id="823" w:name="_Toc14915"/>
      <w:bookmarkStart w:id="824" w:name="_Toc2041"/>
      <w:r>
        <w:rPr>
          <w:rFonts w:hint="eastAsia" w:ascii="宋体" w:hAnsi="宋体" w:eastAsia="宋体" w:cs="宋体"/>
          <w:color w:val="auto"/>
          <w:sz w:val="24"/>
          <w:szCs w:val="24"/>
          <w:highlight w:val="none"/>
        </w:rPr>
        <w:t>9、投标文件格式范本</w:t>
      </w:r>
    </w:p>
    <w:p>
      <w:pPr>
        <w:spacing w:line="360" w:lineRule="auto"/>
        <w:rPr>
          <w:rFonts w:hint="eastAsia" w:ascii="宋体" w:hAnsi="宋体" w:eastAsia="宋体" w:cs="宋体"/>
          <w:b/>
          <w:bCs/>
          <w:color w:val="auto"/>
          <w:highlight w:val="none"/>
        </w:rPr>
      </w:pPr>
    </w:p>
    <w:p>
      <w:pPr>
        <w:pStyle w:val="4"/>
        <w:rPr>
          <w:rFonts w:hint="eastAsia" w:ascii="宋体" w:hAnsi="宋体" w:eastAsia="宋体" w:cs="宋体"/>
          <w:b/>
          <w:bCs/>
          <w:color w:val="auto"/>
          <w:highlight w:val="none"/>
        </w:rPr>
      </w:pPr>
    </w:p>
    <w:p>
      <w:pPr>
        <w:pStyle w:val="4"/>
        <w:rPr>
          <w:rFonts w:hint="eastAsia" w:ascii="宋体" w:hAnsi="宋体" w:eastAsia="宋体" w:cs="宋体"/>
          <w:b/>
          <w:bCs/>
          <w:color w:val="auto"/>
          <w:highlight w:val="none"/>
        </w:rPr>
      </w:pPr>
    </w:p>
    <w:p>
      <w:pPr>
        <w:pStyle w:val="4"/>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color w:val="auto"/>
          <w:highlight w:val="none"/>
        </w:rPr>
      </w:pPr>
    </w:p>
    <w:p>
      <w:pPr>
        <w:pStyle w:val="4"/>
        <w:rPr>
          <w:rFonts w:hint="eastAsia" w:ascii="宋体" w:hAnsi="宋体" w:eastAsia="宋体" w:cs="宋体"/>
          <w:b/>
          <w:bCs/>
          <w:color w:val="auto"/>
          <w:highlight w:val="none"/>
        </w:rPr>
      </w:pPr>
    </w:p>
    <w:p>
      <w:pPr>
        <w:pStyle w:val="4"/>
        <w:rPr>
          <w:rFonts w:hint="eastAsia" w:ascii="宋体" w:hAnsi="宋体" w:eastAsia="宋体" w:cs="宋体"/>
          <w:b/>
          <w:bCs/>
          <w:color w:val="auto"/>
          <w:highlight w:val="none"/>
        </w:rPr>
      </w:pPr>
    </w:p>
    <w:p>
      <w:pPr>
        <w:pStyle w:val="4"/>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4"/>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4"/>
        <w:rPr>
          <w:rFonts w:hint="eastAsia" w:ascii="宋体" w:hAnsi="宋体" w:eastAsia="宋体" w:cs="宋体"/>
          <w:b/>
          <w:bCs/>
          <w:color w:val="auto"/>
          <w:highlight w:val="none"/>
        </w:rPr>
      </w:pPr>
    </w:p>
    <w:p>
      <w:pPr>
        <w:rPr>
          <w:rFonts w:hint="eastAsia" w:ascii="宋体" w:hAnsi="宋体" w:eastAsia="宋体" w:cs="宋体"/>
          <w:color w:val="auto"/>
          <w:highlight w:val="none"/>
        </w:rPr>
      </w:pPr>
    </w:p>
    <w:p>
      <w:pPr>
        <w:spacing w:line="360" w:lineRule="auto"/>
        <w:rPr>
          <w:rFonts w:hint="eastAsia" w:ascii="宋体" w:hAnsi="宋体" w:eastAsia="宋体" w:cs="宋体"/>
          <w:color w:val="auto"/>
          <w:sz w:val="24"/>
          <w:highlight w:val="none"/>
        </w:rPr>
      </w:pPr>
    </w:p>
    <w:p>
      <w:pPr>
        <w:pStyle w:val="14"/>
        <w:tabs>
          <w:tab w:val="left" w:pos="5580"/>
        </w:tabs>
        <w:spacing w:line="240" w:lineRule="atLeast"/>
        <w:rPr>
          <w:rFonts w:hint="eastAsia" w:ascii="宋体" w:hAnsi="宋体" w:eastAsia="宋体" w:cs="宋体"/>
          <w:color w:val="auto"/>
          <w:szCs w:val="21"/>
          <w:highlight w:val="none"/>
        </w:rPr>
      </w:pPr>
    </w:p>
    <w:p>
      <w:pPr>
        <w:pStyle w:val="14"/>
        <w:tabs>
          <w:tab w:val="left" w:pos="5580"/>
        </w:tabs>
        <w:spacing w:line="240" w:lineRule="atLeast"/>
        <w:rPr>
          <w:rFonts w:hint="eastAsia" w:ascii="宋体" w:hAnsi="宋体" w:eastAsia="宋体" w:cs="宋体"/>
          <w:color w:val="auto"/>
          <w:szCs w:val="21"/>
          <w:highlight w:val="none"/>
        </w:rPr>
      </w:pPr>
    </w:p>
    <w:p>
      <w:pPr>
        <w:pStyle w:val="14"/>
        <w:tabs>
          <w:tab w:val="left" w:pos="5580"/>
        </w:tabs>
        <w:spacing w:line="240" w:lineRule="atLeast"/>
        <w:rPr>
          <w:rFonts w:hint="eastAsia" w:ascii="宋体" w:hAnsi="宋体" w:eastAsia="宋体" w:cs="宋体"/>
          <w:color w:val="auto"/>
          <w:szCs w:val="21"/>
          <w:highlight w:val="none"/>
        </w:rPr>
      </w:pPr>
    </w:p>
    <w:p>
      <w:pPr>
        <w:pStyle w:val="14"/>
        <w:tabs>
          <w:tab w:val="left" w:pos="5580"/>
        </w:tabs>
        <w:spacing w:line="240" w:lineRule="atLeast"/>
        <w:rPr>
          <w:rFonts w:hint="eastAsia" w:ascii="宋体" w:hAnsi="宋体" w:eastAsia="宋体" w:cs="宋体"/>
          <w:color w:val="auto"/>
          <w:szCs w:val="21"/>
          <w:highlight w:val="none"/>
        </w:rPr>
      </w:pPr>
    </w:p>
    <w:p>
      <w:pPr>
        <w:pStyle w:val="14"/>
        <w:tabs>
          <w:tab w:val="left" w:pos="5580"/>
        </w:tabs>
        <w:spacing w:line="240" w:lineRule="atLeast"/>
        <w:rPr>
          <w:rFonts w:hint="eastAsia" w:ascii="宋体" w:hAnsi="宋体" w:eastAsia="宋体" w:cs="宋体"/>
          <w:color w:val="auto"/>
          <w:szCs w:val="21"/>
          <w:highlight w:val="none"/>
        </w:rPr>
      </w:pPr>
    </w:p>
    <w:p>
      <w:pPr>
        <w:pStyle w:val="14"/>
        <w:tabs>
          <w:tab w:val="left" w:pos="5580"/>
        </w:tabs>
        <w:spacing w:line="400" w:lineRule="exact"/>
        <w:jc w:val="both"/>
        <w:outlineLvl w:val="9"/>
        <w:rPr>
          <w:rFonts w:hint="eastAsia" w:ascii="宋体" w:hAnsi="宋体" w:eastAsia="宋体" w:cs="宋体"/>
          <w:b/>
          <w:bCs/>
          <w:color w:val="auto"/>
          <w:sz w:val="24"/>
          <w:szCs w:val="24"/>
          <w:highlight w:val="none"/>
        </w:rPr>
      </w:pPr>
      <w:bookmarkStart w:id="825" w:name="_Toc21772"/>
      <w:bookmarkStart w:id="826" w:name="_Toc25918"/>
      <w:bookmarkStart w:id="827" w:name="_Toc29625"/>
      <w:bookmarkStart w:id="828" w:name="_Toc30408"/>
    </w:p>
    <w:p>
      <w:pPr>
        <w:pStyle w:val="14"/>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4"/>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4"/>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4"/>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4"/>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4"/>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4"/>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4"/>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4"/>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4"/>
        <w:tabs>
          <w:tab w:val="left" w:pos="5580"/>
        </w:tabs>
        <w:spacing w:line="400" w:lineRule="exact"/>
        <w:jc w:val="center"/>
        <w:outlineLvl w:val="1"/>
        <w:rPr>
          <w:rFonts w:hint="eastAsia" w:ascii="宋体" w:hAnsi="宋体" w:eastAsia="宋体" w:cs="宋体"/>
          <w:color w:val="auto"/>
          <w:sz w:val="24"/>
          <w:szCs w:val="24"/>
          <w:highlight w:val="none"/>
        </w:rPr>
      </w:pPr>
      <w:bookmarkStart w:id="829" w:name="_Toc7469"/>
      <w:r>
        <w:rPr>
          <w:rFonts w:hint="eastAsia" w:ascii="宋体" w:hAnsi="宋体" w:eastAsia="宋体" w:cs="宋体"/>
          <w:b/>
          <w:bCs/>
          <w:color w:val="auto"/>
          <w:sz w:val="24"/>
          <w:szCs w:val="24"/>
          <w:highlight w:val="none"/>
        </w:rPr>
        <w:t>1、投标书</w:t>
      </w:r>
      <w:bookmarkEnd w:id="822"/>
      <w:bookmarkEnd w:id="823"/>
      <w:bookmarkEnd w:id="824"/>
      <w:bookmarkEnd w:id="825"/>
      <w:bookmarkEnd w:id="826"/>
      <w:bookmarkEnd w:id="827"/>
      <w:bookmarkEnd w:id="828"/>
      <w:bookmarkEnd w:id="829"/>
    </w:p>
    <w:p>
      <w:pPr>
        <w:tabs>
          <w:tab w:val="left" w:pos="5580"/>
        </w:tabs>
        <w:spacing w:line="400" w:lineRule="exact"/>
        <w:ind w:left="1080" w:hanging="108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p>
    <w:p>
      <w:pPr>
        <w:pStyle w:val="14"/>
        <w:tabs>
          <w:tab w:val="left" w:pos="5580"/>
        </w:tabs>
        <w:spacing w:line="400" w:lineRule="exact"/>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)项目的投标邀请(</w:t>
      </w:r>
      <w:r>
        <w:rPr>
          <w:rFonts w:hint="eastAsia" w:ascii="宋体" w:hAnsi="宋体" w:eastAsia="宋体" w:cs="宋体"/>
          <w:i/>
          <w:color w:val="auto"/>
          <w:sz w:val="24"/>
          <w:szCs w:val="24"/>
          <w:highlight w:val="none"/>
          <w:u w:val="single"/>
        </w:rPr>
        <w:t>项目编号</w:t>
      </w:r>
      <w:r>
        <w:rPr>
          <w:rFonts w:hint="eastAsia" w:ascii="宋体" w:hAnsi="宋体" w:eastAsia="宋体" w:cs="宋体"/>
          <w:color w:val="auto"/>
          <w:sz w:val="24"/>
          <w:szCs w:val="24"/>
          <w:highlight w:val="none"/>
        </w:rPr>
        <w:t>),签字代表(</w:t>
      </w:r>
      <w:r>
        <w:rPr>
          <w:rFonts w:hint="eastAsia" w:ascii="宋体" w:hAnsi="宋体" w:eastAsia="宋体" w:cs="宋体"/>
          <w:i/>
          <w:color w:val="auto"/>
          <w:sz w:val="24"/>
          <w:szCs w:val="24"/>
          <w:highlight w:val="none"/>
          <w:u w:val="single"/>
        </w:rPr>
        <w:t>姓名、职务</w:t>
      </w:r>
      <w:r>
        <w:rPr>
          <w:rFonts w:hint="eastAsia" w:ascii="宋体" w:hAnsi="宋体" w:eastAsia="宋体" w:cs="宋体"/>
          <w:color w:val="auto"/>
          <w:sz w:val="24"/>
          <w:szCs w:val="24"/>
          <w:highlight w:val="none"/>
        </w:rPr>
        <w:t>)经正式授权并代表供应商（</w:t>
      </w:r>
      <w:r>
        <w:rPr>
          <w:rFonts w:hint="eastAsia" w:ascii="宋体" w:hAnsi="宋体" w:eastAsia="宋体" w:cs="宋体"/>
          <w:i/>
          <w:color w:val="auto"/>
          <w:sz w:val="24"/>
          <w:szCs w:val="24"/>
          <w:highlight w:val="none"/>
          <w:u w:val="single"/>
        </w:rPr>
        <w:t>名称、地址</w:t>
      </w:r>
      <w:r>
        <w:rPr>
          <w:rFonts w:hint="eastAsia" w:ascii="宋体" w:hAnsi="宋体" w:eastAsia="宋体" w:cs="宋体"/>
          <w:color w:val="auto"/>
          <w:sz w:val="24"/>
          <w:szCs w:val="24"/>
          <w:highlight w:val="none"/>
        </w:rPr>
        <w:t>）提交下述文件正本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份及电子文档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份，并以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形式出具的金额为人民币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元的投标保证金。</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据此，签字代表宣布同意如下：</w:t>
      </w:r>
    </w:p>
    <w:p>
      <w:pPr>
        <w:pStyle w:val="14"/>
        <w:tabs>
          <w:tab w:val="left" w:pos="720"/>
          <w:tab w:val="left" w:pos="900"/>
        </w:tabs>
        <w:spacing w:line="400" w:lineRule="exact"/>
        <w:ind w:left="769" w:leftChars="257" w:hanging="22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（1）附投标价格表中规定的应提供服务的投标总价详见开标一览表，</w:t>
      </w:r>
      <w:r>
        <w:rPr>
          <w:rFonts w:hint="eastAsia" w:ascii="宋体" w:hAnsi="宋体" w:eastAsia="宋体" w:cs="宋体"/>
          <w:color w:val="auto"/>
          <w:sz w:val="24"/>
          <w:szCs w:val="24"/>
          <w:highlight w:val="none"/>
          <w:u w:val="single"/>
        </w:rPr>
        <w:t>其中由小型和</w:t>
      </w:r>
      <w:r>
        <w:rPr>
          <w:rFonts w:hint="eastAsia" w:ascii="宋体" w:hAnsi="宋体" w:eastAsia="宋体" w:cs="宋体"/>
          <w:color w:val="auto"/>
          <w:sz w:val="24"/>
          <w:szCs w:val="24"/>
          <w:highlight w:val="none"/>
        </w:rPr>
        <w:t>微型企业制造产品的价格为</w:t>
      </w:r>
      <w:r>
        <w:rPr>
          <w:rFonts w:hint="eastAsia" w:ascii="宋体" w:hAnsi="宋体" w:eastAsia="宋体" w:cs="宋体"/>
          <w:color w:val="auto"/>
          <w:sz w:val="24"/>
          <w:szCs w:val="24"/>
          <w:highlight w:val="none"/>
          <w:u w:val="single"/>
        </w:rPr>
        <w:t>　　  （用文字和数字表示），占投标总价   %</w:t>
      </w:r>
      <w:r>
        <w:rPr>
          <w:rFonts w:hint="eastAsia" w:ascii="宋体" w:hAnsi="宋体" w:eastAsia="宋体" w:cs="宋体"/>
          <w:color w:val="auto"/>
          <w:sz w:val="24"/>
          <w:szCs w:val="24"/>
          <w:highlight w:val="none"/>
        </w:rPr>
        <w:t>。</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（2）本投标有效期为自投标截止之日起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个日历日。</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（3）联合体中的大中型企业和其他自然人、</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或者非</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组织，与联合体中的小型、微型企业之间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存在、不存在）投资关系（如果是联合体的话）。</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（4）已详细审查全部招标文件，包括所有补充通知（如果有的话），完全理解并同意放弃对这方面有不明、误解和质疑的权力。</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（5）在规定的开标时间后，遵守招标文件中有关保证金的规定。</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（6）我方不是为本项目提供整体设计、规范编制或者项目管理、监理、检测等服务的供应商，我方不是采购代理机构的附属机构。</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（7）在领取中标通知书的同时按招标文件规定的形式，向贵方一次性支付中标服务费。</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（8）按照贵方可能要求，提供与其投标有关的一切数据或资料，完全理解贵方不一定接受最低价的投标或收到的任何投标。</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（9）按照招标文件的规定履行合同责任和义务。</w:t>
      </w:r>
    </w:p>
    <w:p>
      <w:pPr>
        <w:pStyle w:val="14"/>
        <w:tabs>
          <w:tab w:val="left" w:pos="5580"/>
        </w:tabs>
        <w:spacing w:line="400" w:lineRule="exact"/>
        <w:ind w:left="359" w:leftChars="68" w:hanging="216" w:hangingChars="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与本投标有关的一切正式往来信函请寄：</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供应商开户银行（全称）</w:t>
      </w:r>
      <w:r>
        <w:rPr>
          <w:rFonts w:hint="eastAsia" w:ascii="宋体" w:hAnsi="宋体" w:eastAsia="宋体" w:cs="宋体"/>
          <w:color w:val="auto"/>
          <w:sz w:val="24"/>
          <w:szCs w:val="24"/>
          <w:highlight w:val="none"/>
          <w:u w:val="single"/>
        </w:rPr>
        <w:t xml:space="preserve">　　　　　　 </w:t>
      </w:r>
    </w:p>
    <w:p>
      <w:pPr>
        <w:pStyle w:val="14"/>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供应商银行帐号</w:t>
      </w:r>
      <w:r>
        <w:rPr>
          <w:rFonts w:hint="eastAsia" w:ascii="宋体" w:hAnsi="宋体" w:eastAsia="宋体" w:cs="宋体"/>
          <w:color w:val="auto"/>
          <w:sz w:val="24"/>
          <w:szCs w:val="24"/>
          <w:highlight w:val="none"/>
          <w:u w:val="single"/>
        </w:rPr>
        <w:t>　　　　　　　　 　　</w:t>
      </w:r>
    </w:p>
    <w:p>
      <w:pPr>
        <w:pStyle w:val="14"/>
        <w:tabs>
          <w:tab w:val="left" w:pos="5580"/>
        </w:tabs>
        <w:spacing w:line="400" w:lineRule="exact"/>
        <w:ind w:left="1080" w:leftChars="257" w:hanging="540"/>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bookmarkStart w:id="830" w:name="_Toc19819"/>
      <w:bookmarkStart w:id="831" w:name="_Toc1266"/>
      <w:bookmarkStart w:id="832" w:name="_Toc23473"/>
      <w:bookmarkStart w:id="833" w:name="_Toc6738"/>
      <w:bookmarkStart w:id="834" w:name="_Toc14219"/>
      <w:bookmarkStart w:id="835" w:name="_Toc30947"/>
    </w:p>
    <w:p>
      <w:pPr>
        <w:pStyle w:val="14"/>
        <w:spacing w:line="240" w:lineRule="atLeast"/>
        <w:ind w:left="1080" w:leftChars="257" w:hanging="540"/>
        <w:jc w:val="center"/>
        <w:outlineLvl w:val="1"/>
        <w:rPr>
          <w:rFonts w:hint="eastAsia" w:ascii="宋体" w:hAnsi="宋体" w:eastAsia="宋体" w:cs="宋体"/>
          <w:color w:val="auto"/>
          <w:sz w:val="24"/>
          <w:szCs w:val="24"/>
          <w:highlight w:val="none"/>
        </w:rPr>
      </w:pPr>
      <w:bookmarkStart w:id="836" w:name="_Toc20578"/>
      <w:r>
        <w:rPr>
          <w:rFonts w:hint="eastAsia" w:ascii="宋体" w:hAnsi="宋体" w:eastAsia="宋体" w:cs="宋体"/>
          <w:b/>
          <w:bCs/>
          <w:color w:val="auto"/>
          <w:sz w:val="28"/>
          <w:szCs w:val="28"/>
          <w:highlight w:val="none"/>
        </w:rPr>
        <w:t>2</w:t>
      </w:r>
      <w:bookmarkEnd w:id="830"/>
      <w:bookmarkEnd w:id="831"/>
      <w:bookmarkEnd w:id="832"/>
      <w:bookmarkEnd w:id="833"/>
      <w:bookmarkEnd w:id="834"/>
      <w:bookmarkEnd w:id="835"/>
      <w:bookmarkStart w:id="837" w:name="_Toc22563"/>
      <w:bookmarkStart w:id="838" w:name="_Toc216582817"/>
      <w:bookmarkStart w:id="839" w:name="_Toc28959"/>
      <w:bookmarkStart w:id="840" w:name="_Toc515647820"/>
      <w:r>
        <w:rPr>
          <w:rFonts w:hint="eastAsia" w:ascii="宋体" w:hAnsi="宋体" w:eastAsia="宋体" w:cs="宋体"/>
          <w:b/>
          <w:bCs/>
          <w:color w:val="auto"/>
          <w:sz w:val="28"/>
          <w:szCs w:val="28"/>
          <w:highlight w:val="none"/>
        </w:rPr>
        <w:t>、投标分项报价表（一）</w:t>
      </w:r>
      <w:bookmarkEnd w:id="836"/>
    </w:p>
    <w:p>
      <w:pPr>
        <w:pStyle w:val="14"/>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项目编号:                 　 　         报价单位：       人民币</w:t>
      </w:r>
      <w:r>
        <w:rPr>
          <w:rFonts w:hint="eastAsia" w:ascii="宋体" w:hAnsi="宋体" w:eastAsia="宋体" w:cs="宋体"/>
          <w:b/>
          <w:bCs/>
          <w:color w:val="auto"/>
          <w:sz w:val="24"/>
          <w:szCs w:val="24"/>
          <w:highlight w:val="none"/>
        </w:rPr>
        <w:t>元</w:t>
      </w:r>
    </w:p>
    <w:tbl>
      <w:tblPr>
        <w:tblStyle w:val="26"/>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884"/>
        <w:gridCol w:w="1931"/>
        <w:gridCol w:w="1380"/>
        <w:gridCol w:w="1410"/>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10" w:type="dxa"/>
            <w:noWrap/>
            <w:vAlign w:val="center"/>
          </w:tcPr>
          <w:p>
            <w:pPr>
              <w:pStyle w:val="14"/>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884" w:type="dxa"/>
            <w:noWrap/>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名称</w:t>
            </w:r>
          </w:p>
        </w:tc>
        <w:tc>
          <w:tcPr>
            <w:tcW w:w="1931" w:type="dxa"/>
            <w:noWrap/>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380" w:type="dxa"/>
            <w:noWrap/>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410" w:type="dxa"/>
            <w:noWrap/>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975" w:type="dxa"/>
            <w:noWrap/>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10" w:type="dxa"/>
            <w:noWrap/>
            <w:vAlign w:val="center"/>
          </w:tcPr>
          <w:p>
            <w:pPr>
              <w:pStyle w:val="14"/>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884" w:type="dxa"/>
            <w:noWrap/>
            <w:vAlign w:val="center"/>
          </w:tcPr>
          <w:p>
            <w:pPr>
              <w:pStyle w:val="14"/>
              <w:spacing w:line="400" w:lineRule="exact"/>
              <w:jc w:val="center"/>
              <w:rPr>
                <w:rFonts w:hint="eastAsia" w:ascii="宋体" w:hAnsi="宋体" w:eastAsia="宋体" w:cs="宋体"/>
                <w:color w:val="auto"/>
                <w:sz w:val="24"/>
                <w:szCs w:val="24"/>
                <w:highlight w:val="none"/>
              </w:rPr>
            </w:pPr>
          </w:p>
        </w:tc>
        <w:tc>
          <w:tcPr>
            <w:tcW w:w="1931" w:type="dxa"/>
            <w:noWrap/>
            <w:vAlign w:val="center"/>
          </w:tcPr>
          <w:p>
            <w:pPr>
              <w:pStyle w:val="14"/>
              <w:spacing w:line="400" w:lineRule="exact"/>
              <w:ind w:left="1080" w:leftChars="257" w:hanging="540"/>
              <w:jc w:val="center"/>
              <w:rPr>
                <w:rFonts w:hint="eastAsia" w:ascii="宋体" w:hAnsi="宋体" w:eastAsia="宋体" w:cs="宋体"/>
                <w:color w:val="auto"/>
                <w:sz w:val="24"/>
                <w:szCs w:val="24"/>
                <w:highlight w:val="none"/>
              </w:rPr>
            </w:pPr>
          </w:p>
        </w:tc>
        <w:tc>
          <w:tcPr>
            <w:tcW w:w="1380" w:type="dxa"/>
            <w:noWrap/>
            <w:vAlign w:val="center"/>
          </w:tcPr>
          <w:p>
            <w:pPr>
              <w:pStyle w:val="14"/>
              <w:spacing w:line="400" w:lineRule="exact"/>
              <w:ind w:left="1080" w:leftChars="257" w:hanging="540"/>
              <w:jc w:val="center"/>
              <w:rPr>
                <w:rFonts w:hint="eastAsia" w:ascii="宋体" w:hAnsi="宋体" w:eastAsia="宋体" w:cs="宋体"/>
                <w:color w:val="auto"/>
                <w:sz w:val="24"/>
                <w:szCs w:val="24"/>
                <w:highlight w:val="none"/>
              </w:rPr>
            </w:pPr>
          </w:p>
        </w:tc>
        <w:tc>
          <w:tcPr>
            <w:tcW w:w="1410" w:type="dxa"/>
            <w:noWrap/>
            <w:vAlign w:val="center"/>
          </w:tcPr>
          <w:p>
            <w:pPr>
              <w:pStyle w:val="14"/>
              <w:spacing w:line="400" w:lineRule="exact"/>
              <w:ind w:left="1080" w:leftChars="257" w:hanging="540"/>
              <w:jc w:val="center"/>
              <w:rPr>
                <w:rFonts w:hint="eastAsia" w:ascii="宋体" w:hAnsi="宋体" w:eastAsia="宋体" w:cs="宋体"/>
                <w:color w:val="auto"/>
                <w:sz w:val="24"/>
                <w:szCs w:val="24"/>
                <w:highlight w:val="none"/>
              </w:rPr>
            </w:pPr>
          </w:p>
        </w:tc>
        <w:tc>
          <w:tcPr>
            <w:tcW w:w="975" w:type="dxa"/>
            <w:noWrap/>
            <w:vAlign w:val="center"/>
          </w:tcPr>
          <w:p>
            <w:pPr>
              <w:pStyle w:val="14"/>
              <w:spacing w:line="400" w:lineRule="exact"/>
              <w:ind w:left="1080" w:leftChars="257" w:hanging="54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10" w:type="dxa"/>
            <w:noWrap/>
            <w:vAlign w:val="center"/>
          </w:tcPr>
          <w:p>
            <w:pPr>
              <w:pStyle w:val="14"/>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884" w:type="dxa"/>
            <w:noWrap/>
            <w:vAlign w:val="center"/>
          </w:tcPr>
          <w:p>
            <w:pPr>
              <w:pStyle w:val="14"/>
              <w:spacing w:line="400" w:lineRule="exact"/>
              <w:jc w:val="center"/>
              <w:rPr>
                <w:rFonts w:hint="eastAsia" w:ascii="宋体" w:hAnsi="宋体" w:eastAsia="宋体" w:cs="宋体"/>
                <w:color w:val="auto"/>
                <w:sz w:val="24"/>
                <w:szCs w:val="24"/>
                <w:highlight w:val="none"/>
              </w:rPr>
            </w:pPr>
          </w:p>
        </w:tc>
        <w:tc>
          <w:tcPr>
            <w:tcW w:w="1931" w:type="dxa"/>
            <w:noWrap/>
            <w:vAlign w:val="center"/>
          </w:tcPr>
          <w:p>
            <w:pPr>
              <w:pStyle w:val="14"/>
              <w:spacing w:line="400" w:lineRule="exact"/>
              <w:ind w:left="1080" w:leftChars="257" w:hanging="540"/>
              <w:jc w:val="center"/>
              <w:rPr>
                <w:rFonts w:hint="eastAsia" w:ascii="宋体" w:hAnsi="宋体" w:eastAsia="宋体" w:cs="宋体"/>
                <w:color w:val="auto"/>
                <w:sz w:val="24"/>
                <w:szCs w:val="24"/>
                <w:highlight w:val="none"/>
              </w:rPr>
            </w:pPr>
          </w:p>
        </w:tc>
        <w:tc>
          <w:tcPr>
            <w:tcW w:w="1380" w:type="dxa"/>
            <w:noWrap/>
            <w:vAlign w:val="center"/>
          </w:tcPr>
          <w:p>
            <w:pPr>
              <w:pStyle w:val="14"/>
              <w:spacing w:line="400" w:lineRule="exact"/>
              <w:ind w:left="1080" w:leftChars="257" w:hanging="540"/>
              <w:jc w:val="center"/>
              <w:rPr>
                <w:rFonts w:hint="eastAsia" w:ascii="宋体" w:hAnsi="宋体" w:eastAsia="宋体" w:cs="宋体"/>
                <w:color w:val="auto"/>
                <w:sz w:val="24"/>
                <w:szCs w:val="24"/>
                <w:highlight w:val="none"/>
              </w:rPr>
            </w:pPr>
          </w:p>
        </w:tc>
        <w:tc>
          <w:tcPr>
            <w:tcW w:w="1410" w:type="dxa"/>
            <w:noWrap/>
            <w:vAlign w:val="center"/>
          </w:tcPr>
          <w:p>
            <w:pPr>
              <w:pStyle w:val="14"/>
              <w:spacing w:line="400" w:lineRule="exact"/>
              <w:ind w:left="1080" w:leftChars="257" w:hanging="540"/>
              <w:jc w:val="center"/>
              <w:rPr>
                <w:rFonts w:hint="eastAsia" w:ascii="宋体" w:hAnsi="宋体" w:eastAsia="宋体" w:cs="宋体"/>
                <w:color w:val="auto"/>
                <w:sz w:val="24"/>
                <w:szCs w:val="24"/>
                <w:highlight w:val="none"/>
              </w:rPr>
            </w:pPr>
          </w:p>
        </w:tc>
        <w:tc>
          <w:tcPr>
            <w:tcW w:w="975" w:type="dxa"/>
            <w:noWrap/>
            <w:vAlign w:val="center"/>
          </w:tcPr>
          <w:p>
            <w:pPr>
              <w:pStyle w:val="14"/>
              <w:spacing w:line="400" w:lineRule="exact"/>
              <w:ind w:left="1080" w:leftChars="257" w:hanging="54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0" w:type="dxa"/>
            <w:noWrap/>
            <w:vAlign w:val="center"/>
          </w:tcPr>
          <w:p>
            <w:pPr>
              <w:pStyle w:val="14"/>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884" w:type="dxa"/>
            <w:noWrap/>
            <w:vAlign w:val="center"/>
          </w:tcPr>
          <w:p>
            <w:pPr>
              <w:pStyle w:val="14"/>
              <w:spacing w:line="400" w:lineRule="exact"/>
              <w:jc w:val="center"/>
              <w:rPr>
                <w:rFonts w:hint="eastAsia" w:ascii="宋体" w:hAnsi="宋体" w:eastAsia="宋体" w:cs="宋体"/>
                <w:color w:val="auto"/>
                <w:sz w:val="24"/>
                <w:szCs w:val="24"/>
                <w:highlight w:val="none"/>
              </w:rPr>
            </w:pPr>
          </w:p>
        </w:tc>
        <w:tc>
          <w:tcPr>
            <w:tcW w:w="1931" w:type="dxa"/>
            <w:noWrap/>
            <w:vAlign w:val="center"/>
          </w:tcPr>
          <w:p>
            <w:pPr>
              <w:pStyle w:val="14"/>
              <w:spacing w:line="400" w:lineRule="exact"/>
              <w:ind w:left="1080" w:leftChars="257" w:hanging="540"/>
              <w:jc w:val="center"/>
              <w:rPr>
                <w:rFonts w:hint="eastAsia" w:ascii="宋体" w:hAnsi="宋体" w:eastAsia="宋体" w:cs="宋体"/>
                <w:color w:val="auto"/>
                <w:sz w:val="24"/>
                <w:szCs w:val="24"/>
                <w:highlight w:val="none"/>
              </w:rPr>
            </w:pPr>
          </w:p>
        </w:tc>
        <w:tc>
          <w:tcPr>
            <w:tcW w:w="1380" w:type="dxa"/>
            <w:noWrap/>
            <w:vAlign w:val="center"/>
          </w:tcPr>
          <w:p>
            <w:pPr>
              <w:pStyle w:val="14"/>
              <w:spacing w:line="400" w:lineRule="exact"/>
              <w:ind w:left="1080" w:leftChars="257" w:hanging="540"/>
              <w:jc w:val="center"/>
              <w:rPr>
                <w:rFonts w:hint="eastAsia" w:ascii="宋体" w:hAnsi="宋体" w:eastAsia="宋体" w:cs="宋体"/>
                <w:color w:val="auto"/>
                <w:sz w:val="24"/>
                <w:szCs w:val="24"/>
                <w:highlight w:val="none"/>
              </w:rPr>
            </w:pPr>
          </w:p>
        </w:tc>
        <w:tc>
          <w:tcPr>
            <w:tcW w:w="1410" w:type="dxa"/>
            <w:noWrap/>
            <w:vAlign w:val="center"/>
          </w:tcPr>
          <w:p>
            <w:pPr>
              <w:pStyle w:val="14"/>
              <w:spacing w:line="400" w:lineRule="exact"/>
              <w:ind w:left="1080" w:leftChars="257" w:hanging="540"/>
              <w:jc w:val="center"/>
              <w:rPr>
                <w:rFonts w:hint="eastAsia" w:ascii="宋体" w:hAnsi="宋体" w:eastAsia="宋体" w:cs="宋体"/>
                <w:color w:val="auto"/>
                <w:sz w:val="24"/>
                <w:szCs w:val="24"/>
                <w:highlight w:val="none"/>
              </w:rPr>
            </w:pPr>
          </w:p>
        </w:tc>
        <w:tc>
          <w:tcPr>
            <w:tcW w:w="975" w:type="dxa"/>
            <w:noWrap/>
            <w:vAlign w:val="center"/>
          </w:tcPr>
          <w:p>
            <w:pPr>
              <w:pStyle w:val="14"/>
              <w:spacing w:line="400" w:lineRule="exact"/>
              <w:ind w:left="1080" w:leftChars="257" w:hanging="54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10" w:type="dxa"/>
            <w:noWrap/>
            <w:vAlign w:val="center"/>
          </w:tcPr>
          <w:p>
            <w:pPr>
              <w:pStyle w:val="14"/>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884" w:type="dxa"/>
            <w:noWrap/>
            <w:vAlign w:val="center"/>
          </w:tcPr>
          <w:p>
            <w:pPr>
              <w:pStyle w:val="14"/>
              <w:spacing w:line="400" w:lineRule="exact"/>
              <w:jc w:val="center"/>
              <w:rPr>
                <w:rFonts w:hint="eastAsia" w:ascii="宋体" w:hAnsi="宋体" w:eastAsia="宋体" w:cs="宋体"/>
                <w:color w:val="auto"/>
                <w:sz w:val="24"/>
                <w:szCs w:val="24"/>
                <w:highlight w:val="none"/>
              </w:rPr>
            </w:pPr>
          </w:p>
        </w:tc>
        <w:tc>
          <w:tcPr>
            <w:tcW w:w="1931" w:type="dxa"/>
            <w:noWrap/>
            <w:vAlign w:val="center"/>
          </w:tcPr>
          <w:p>
            <w:pPr>
              <w:pStyle w:val="14"/>
              <w:spacing w:line="400" w:lineRule="exact"/>
              <w:ind w:left="1080" w:leftChars="257" w:hanging="540"/>
              <w:jc w:val="center"/>
              <w:rPr>
                <w:rFonts w:hint="eastAsia" w:ascii="宋体" w:hAnsi="宋体" w:eastAsia="宋体" w:cs="宋体"/>
                <w:color w:val="auto"/>
                <w:sz w:val="24"/>
                <w:szCs w:val="24"/>
                <w:highlight w:val="none"/>
              </w:rPr>
            </w:pPr>
          </w:p>
        </w:tc>
        <w:tc>
          <w:tcPr>
            <w:tcW w:w="1380" w:type="dxa"/>
            <w:noWrap/>
            <w:vAlign w:val="center"/>
          </w:tcPr>
          <w:p>
            <w:pPr>
              <w:pStyle w:val="14"/>
              <w:spacing w:line="400" w:lineRule="exact"/>
              <w:ind w:left="1080" w:leftChars="257" w:hanging="540"/>
              <w:jc w:val="center"/>
              <w:rPr>
                <w:rFonts w:hint="eastAsia" w:ascii="宋体" w:hAnsi="宋体" w:eastAsia="宋体" w:cs="宋体"/>
                <w:color w:val="auto"/>
                <w:sz w:val="24"/>
                <w:szCs w:val="24"/>
                <w:highlight w:val="none"/>
              </w:rPr>
            </w:pPr>
          </w:p>
        </w:tc>
        <w:tc>
          <w:tcPr>
            <w:tcW w:w="1410" w:type="dxa"/>
            <w:noWrap/>
            <w:vAlign w:val="center"/>
          </w:tcPr>
          <w:p>
            <w:pPr>
              <w:pStyle w:val="14"/>
              <w:spacing w:line="400" w:lineRule="exact"/>
              <w:ind w:left="1080" w:leftChars="257" w:hanging="540"/>
              <w:jc w:val="center"/>
              <w:rPr>
                <w:rFonts w:hint="eastAsia" w:ascii="宋体" w:hAnsi="宋体" w:eastAsia="宋体" w:cs="宋体"/>
                <w:color w:val="auto"/>
                <w:sz w:val="24"/>
                <w:szCs w:val="24"/>
                <w:highlight w:val="none"/>
              </w:rPr>
            </w:pPr>
          </w:p>
        </w:tc>
        <w:tc>
          <w:tcPr>
            <w:tcW w:w="975" w:type="dxa"/>
            <w:noWrap/>
            <w:vAlign w:val="center"/>
          </w:tcPr>
          <w:p>
            <w:pPr>
              <w:pStyle w:val="14"/>
              <w:spacing w:line="400" w:lineRule="exact"/>
              <w:ind w:left="1080" w:leftChars="257" w:hanging="54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10" w:type="dxa"/>
            <w:noWrap/>
            <w:vAlign w:val="center"/>
          </w:tcPr>
          <w:p>
            <w:pPr>
              <w:pStyle w:val="14"/>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884" w:type="dxa"/>
            <w:noWrap/>
            <w:vAlign w:val="center"/>
          </w:tcPr>
          <w:p>
            <w:pPr>
              <w:pStyle w:val="14"/>
              <w:spacing w:line="400" w:lineRule="exact"/>
              <w:jc w:val="center"/>
              <w:rPr>
                <w:rFonts w:hint="eastAsia" w:ascii="宋体" w:hAnsi="宋体" w:eastAsia="宋体" w:cs="宋体"/>
                <w:color w:val="auto"/>
                <w:sz w:val="24"/>
                <w:szCs w:val="24"/>
                <w:highlight w:val="none"/>
              </w:rPr>
            </w:pPr>
          </w:p>
        </w:tc>
        <w:tc>
          <w:tcPr>
            <w:tcW w:w="1931" w:type="dxa"/>
            <w:noWrap/>
            <w:vAlign w:val="center"/>
          </w:tcPr>
          <w:p>
            <w:pPr>
              <w:pStyle w:val="14"/>
              <w:spacing w:line="400" w:lineRule="exact"/>
              <w:ind w:left="1080" w:leftChars="257" w:hanging="540"/>
              <w:jc w:val="center"/>
              <w:rPr>
                <w:rFonts w:hint="eastAsia" w:ascii="宋体" w:hAnsi="宋体" w:eastAsia="宋体" w:cs="宋体"/>
                <w:color w:val="auto"/>
                <w:sz w:val="24"/>
                <w:szCs w:val="24"/>
                <w:highlight w:val="none"/>
              </w:rPr>
            </w:pPr>
          </w:p>
        </w:tc>
        <w:tc>
          <w:tcPr>
            <w:tcW w:w="1380" w:type="dxa"/>
            <w:noWrap/>
            <w:vAlign w:val="center"/>
          </w:tcPr>
          <w:p>
            <w:pPr>
              <w:pStyle w:val="14"/>
              <w:spacing w:line="400" w:lineRule="exact"/>
              <w:ind w:left="1080" w:leftChars="257" w:hanging="540"/>
              <w:jc w:val="center"/>
              <w:rPr>
                <w:rFonts w:hint="eastAsia" w:ascii="宋体" w:hAnsi="宋体" w:eastAsia="宋体" w:cs="宋体"/>
                <w:color w:val="auto"/>
                <w:sz w:val="24"/>
                <w:szCs w:val="24"/>
                <w:highlight w:val="none"/>
              </w:rPr>
            </w:pPr>
          </w:p>
        </w:tc>
        <w:tc>
          <w:tcPr>
            <w:tcW w:w="1410" w:type="dxa"/>
            <w:noWrap/>
            <w:vAlign w:val="center"/>
          </w:tcPr>
          <w:p>
            <w:pPr>
              <w:pStyle w:val="14"/>
              <w:spacing w:line="400" w:lineRule="exact"/>
              <w:ind w:left="1080" w:leftChars="257" w:hanging="540"/>
              <w:jc w:val="center"/>
              <w:rPr>
                <w:rFonts w:hint="eastAsia" w:ascii="宋体" w:hAnsi="宋体" w:eastAsia="宋体" w:cs="宋体"/>
                <w:color w:val="auto"/>
                <w:sz w:val="24"/>
                <w:szCs w:val="24"/>
                <w:highlight w:val="none"/>
              </w:rPr>
            </w:pPr>
          </w:p>
        </w:tc>
        <w:tc>
          <w:tcPr>
            <w:tcW w:w="975" w:type="dxa"/>
            <w:noWrap/>
            <w:vAlign w:val="center"/>
          </w:tcPr>
          <w:p>
            <w:pPr>
              <w:pStyle w:val="14"/>
              <w:spacing w:line="400" w:lineRule="exact"/>
              <w:ind w:left="1080" w:leftChars="257" w:hanging="54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005" w:type="dxa"/>
            <w:gridSpan w:val="4"/>
            <w:noWrap/>
            <w:vAlign w:val="center"/>
          </w:tcPr>
          <w:p>
            <w:pPr>
              <w:pStyle w:val="14"/>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r>
              <w:rPr>
                <w:rFonts w:hint="eastAsia" w:ascii="宋体" w:hAnsi="宋体" w:eastAsia="宋体" w:cs="宋体"/>
                <w:color w:val="auto"/>
                <w:sz w:val="24"/>
                <w:szCs w:val="24"/>
                <w:highlight w:val="none"/>
                <w:lang w:eastAsia="zh-CN"/>
              </w:rPr>
              <w:t>（元）</w:t>
            </w:r>
            <w:r>
              <w:rPr>
                <w:rFonts w:hint="eastAsia" w:ascii="宋体" w:hAnsi="宋体" w:eastAsia="宋体" w:cs="宋体"/>
                <w:color w:val="auto"/>
                <w:sz w:val="24"/>
                <w:szCs w:val="24"/>
                <w:highlight w:val="none"/>
              </w:rPr>
              <w:t>：</w:t>
            </w:r>
          </w:p>
        </w:tc>
        <w:tc>
          <w:tcPr>
            <w:tcW w:w="2385" w:type="dxa"/>
            <w:gridSpan w:val="2"/>
            <w:noWrap/>
            <w:vAlign w:val="center"/>
          </w:tcPr>
          <w:p>
            <w:pPr>
              <w:pStyle w:val="14"/>
              <w:spacing w:line="400" w:lineRule="exact"/>
              <w:ind w:left="1080" w:leftChars="257" w:hanging="540"/>
              <w:jc w:val="center"/>
              <w:rPr>
                <w:rFonts w:hint="eastAsia" w:ascii="宋体" w:hAnsi="宋体" w:eastAsia="宋体" w:cs="宋体"/>
                <w:color w:val="auto"/>
                <w:sz w:val="24"/>
                <w:szCs w:val="24"/>
                <w:highlight w:val="none"/>
              </w:rPr>
            </w:pPr>
          </w:p>
        </w:tc>
      </w:tr>
    </w:tbl>
    <w:p>
      <w:pPr>
        <w:pStyle w:val="14"/>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4"/>
        <w:tabs>
          <w:tab w:val="left" w:pos="537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ab/>
      </w:r>
    </w:p>
    <w:p>
      <w:pPr>
        <w:pStyle w:val="14"/>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注:1.如果供应商认为需要，每种服务填写一份该表。</w:t>
      </w:r>
    </w:p>
    <w:p>
      <w:pPr>
        <w:pStyle w:val="14"/>
        <w:spacing w:line="400" w:lineRule="exact"/>
        <w:ind w:left="1079" w:leftChars="428" w:hanging="180" w:hangingChars="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2.如果按单价计算的结果与总价不一致,以单价为准修正总价。</w:t>
      </w:r>
    </w:p>
    <w:p>
      <w:pPr>
        <w:pStyle w:val="14"/>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3.如果不提供详细分项报价将视为没有实质性响应招标文件。</w:t>
      </w:r>
    </w:p>
    <w:p>
      <w:pPr>
        <w:pStyle w:val="14"/>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4.上述各项的详细分项报价，应另页描述。</w:t>
      </w:r>
    </w:p>
    <w:p>
      <w:pPr>
        <w:pStyle w:val="14"/>
        <w:spacing w:line="400" w:lineRule="exact"/>
        <w:ind w:left="1080" w:leftChars="257" w:hanging="540"/>
        <w:rPr>
          <w:rFonts w:hint="eastAsia" w:ascii="宋体" w:hAnsi="宋体" w:eastAsia="宋体" w:cs="宋体"/>
          <w:b/>
          <w:color w:val="auto"/>
          <w:kern w:val="0"/>
          <w:szCs w:val="21"/>
          <w:highlight w:val="none"/>
        </w:rPr>
      </w:pPr>
      <w:r>
        <w:rPr>
          <w:rFonts w:hint="eastAsia" w:ascii="宋体" w:hAnsi="宋体" w:eastAsia="宋体" w:cs="宋体"/>
          <w:color w:val="auto"/>
          <w:sz w:val="24"/>
          <w:szCs w:val="24"/>
          <w:highlight w:val="none"/>
        </w:rPr>
        <w:t xml:space="preserve">   5.如果开标一览表（报价表）内容与投标文件中明细表内容不一致的，以开标一览表（报价表）内容为准。</w:t>
      </w:r>
    </w:p>
    <w:p>
      <w:pPr>
        <w:pStyle w:val="14"/>
        <w:spacing w:line="240" w:lineRule="atLeast"/>
        <w:ind w:left="1080" w:leftChars="257" w:hanging="540"/>
        <w:jc w:val="center"/>
        <w:rPr>
          <w:rFonts w:hint="eastAsia" w:ascii="宋体" w:hAnsi="宋体" w:eastAsia="宋体" w:cs="宋体"/>
          <w:b/>
          <w:bCs/>
          <w:color w:val="auto"/>
          <w:sz w:val="28"/>
          <w:szCs w:val="28"/>
          <w:highlight w:val="none"/>
        </w:rPr>
      </w:pPr>
      <w:bookmarkStart w:id="841" w:name="_Toc3096"/>
      <w:bookmarkStart w:id="842" w:name="_Toc32439"/>
      <w:bookmarkStart w:id="843" w:name="_Toc26185"/>
    </w:p>
    <w:p>
      <w:pPr>
        <w:pStyle w:val="14"/>
        <w:spacing w:line="240" w:lineRule="atLeast"/>
        <w:ind w:left="1080" w:leftChars="257" w:hanging="540"/>
        <w:jc w:val="center"/>
        <w:rPr>
          <w:rFonts w:hint="eastAsia" w:ascii="宋体" w:hAnsi="宋体" w:eastAsia="宋体" w:cs="宋体"/>
          <w:b/>
          <w:bCs/>
          <w:color w:val="auto"/>
          <w:sz w:val="28"/>
          <w:szCs w:val="28"/>
          <w:highlight w:val="none"/>
        </w:rPr>
      </w:pPr>
    </w:p>
    <w:p>
      <w:pPr>
        <w:pStyle w:val="14"/>
        <w:spacing w:line="240" w:lineRule="atLeast"/>
        <w:ind w:left="1080" w:leftChars="257" w:hanging="540"/>
        <w:jc w:val="center"/>
        <w:rPr>
          <w:rFonts w:hint="eastAsia" w:ascii="宋体" w:hAnsi="宋体" w:eastAsia="宋体" w:cs="宋体"/>
          <w:b/>
          <w:bCs/>
          <w:color w:val="auto"/>
          <w:sz w:val="28"/>
          <w:szCs w:val="28"/>
          <w:highlight w:val="none"/>
        </w:rPr>
      </w:pPr>
    </w:p>
    <w:p>
      <w:pPr>
        <w:pStyle w:val="14"/>
        <w:spacing w:line="240" w:lineRule="atLeast"/>
        <w:ind w:left="1080" w:leftChars="257" w:hanging="540"/>
        <w:jc w:val="center"/>
        <w:rPr>
          <w:rFonts w:hint="eastAsia" w:ascii="宋体" w:hAnsi="宋体" w:eastAsia="宋体" w:cs="宋体"/>
          <w:b/>
          <w:bCs/>
          <w:color w:val="auto"/>
          <w:sz w:val="28"/>
          <w:szCs w:val="28"/>
          <w:highlight w:val="none"/>
        </w:rPr>
      </w:pPr>
    </w:p>
    <w:p>
      <w:pPr>
        <w:pStyle w:val="14"/>
        <w:spacing w:line="240" w:lineRule="atLeast"/>
        <w:ind w:left="1080" w:leftChars="257" w:hanging="540"/>
        <w:jc w:val="center"/>
        <w:rPr>
          <w:rFonts w:hint="eastAsia" w:ascii="宋体" w:hAnsi="宋体" w:eastAsia="宋体" w:cs="宋体"/>
          <w:b/>
          <w:bCs/>
          <w:color w:val="auto"/>
          <w:sz w:val="28"/>
          <w:szCs w:val="28"/>
          <w:highlight w:val="none"/>
        </w:rPr>
      </w:pPr>
    </w:p>
    <w:p>
      <w:pPr>
        <w:pStyle w:val="14"/>
        <w:spacing w:line="240" w:lineRule="atLeast"/>
        <w:rPr>
          <w:rFonts w:hint="eastAsia" w:ascii="宋体" w:hAnsi="宋体" w:eastAsia="宋体" w:cs="宋体"/>
          <w:b/>
          <w:bCs/>
          <w:color w:val="auto"/>
          <w:sz w:val="28"/>
          <w:szCs w:val="28"/>
          <w:highlight w:val="none"/>
        </w:rPr>
      </w:pPr>
    </w:p>
    <w:p>
      <w:pPr>
        <w:pStyle w:val="14"/>
        <w:spacing w:line="240" w:lineRule="atLeast"/>
        <w:rPr>
          <w:rFonts w:hint="eastAsia" w:ascii="宋体" w:hAnsi="宋体" w:eastAsia="宋体" w:cs="宋体"/>
          <w:b/>
          <w:bCs/>
          <w:color w:val="auto"/>
          <w:sz w:val="28"/>
          <w:szCs w:val="28"/>
          <w:highlight w:val="none"/>
        </w:rPr>
      </w:pPr>
    </w:p>
    <w:p>
      <w:pPr>
        <w:spacing w:line="360" w:lineRule="auto"/>
        <w:jc w:val="center"/>
        <w:outlineLvl w:val="1"/>
        <w:rPr>
          <w:rFonts w:hint="eastAsia" w:ascii="宋体" w:hAnsi="宋体" w:eastAsia="宋体" w:cs="宋体"/>
          <w:b/>
          <w:bCs/>
          <w:color w:val="auto"/>
          <w:kern w:val="0"/>
          <w:sz w:val="24"/>
          <w:highlight w:val="none"/>
        </w:rPr>
      </w:pPr>
      <w:bookmarkStart w:id="844" w:name="_Toc10486"/>
      <w:bookmarkStart w:id="845" w:name="_Toc16798"/>
      <w:bookmarkStart w:id="846" w:name="_Toc27721"/>
      <w:bookmarkStart w:id="847" w:name="_Toc13950"/>
      <w:bookmarkStart w:id="848" w:name="_Toc13812"/>
      <w:bookmarkStart w:id="849" w:name="_Toc6480"/>
      <w:bookmarkStart w:id="850" w:name="_Toc12483"/>
      <w:bookmarkStart w:id="851" w:name="_Toc16166"/>
      <w:bookmarkStart w:id="852" w:name="_Toc28199"/>
      <w:bookmarkStart w:id="853" w:name="_Toc30209"/>
    </w:p>
    <w:p>
      <w:pPr>
        <w:spacing w:line="360" w:lineRule="auto"/>
        <w:jc w:val="center"/>
        <w:outlineLvl w:val="1"/>
        <w:rPr>
          <w:rFonts w:hint="eastAsia" w:ascii="宋体" w:hAnsi="宋体" w:eastAsia="宋体" w:cs="宋体"/>
          <w:b/>
          <w:color w:val="auto"/>
          <w:sz w:val="30"/>
          <w:szCs w:val="30"/>
          <w:highlight w:val="none"/>
        </w:rPr>
      </w:pPr>
      <w:bookmarkStart w:id="854" w:name="_Toc13984"/>
      <w:r>
        <w:rPr>
          <w:rFonts w:hint="eastAsia" w:ascii="宋体" w:hAnsi="宋体" w:eastAsia="宋体" w:cs="宋体"/>
          <w:b/>
          <w:bCs/>
          <w:color w:val="auto"/>
          <w:kern w:val="0"/>
          <w:sz w:val="24"/>
          <w:highlight w:val="none"/>
        </w:rPr>
        <w:t>备品备件设备分项报价表（二）</w:t>
      </w:r>
      <w:bookmarkEnd w:id="844"/>
      <w:bookmarkEnd w:id="845"/>
      <w:bookmarkEnd w:id="846"/>
      <w:bookmarkEnd w:id="847"/>
      <w:bookmarkEnd w:id="848"/>
      <w:bookmarkEnd w:id="849"/>
      <w:bookmarkEnd w:id="850"/>
      <w:bookmarkEnd w:id="851"/>
      <w:bookmarkEnd w:id="852"/>
      <w:bookmarkEnd w:id="853"/>
      <w:bookmarkEnd w:id="854"/>
    </w:p>
    <w:tbl>
      <w:tblPr>
        <w:tblStyle w:val="26"/>
        <w:tblW w:w="915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573"/>
        <w:gridCol w:w="808"/>
        <w:gridCol w:w="573"/>
        <w:gridCol w:w="808"/>
        <w:gridCol w:w="1043"/>
        <w:gridCol w:w="573"/>
        <w:gridCol w:w="706"/>
        <w:gridCol w:w="643"/>
        <w:gridCol w:w="676"/>
        <w:gridCol w:w="677"/>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27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tc>
        <w:tc>
          <w:tcPr>
            <w:tcW w:w="808"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808"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04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供货厂商名称</w:t>
            </w: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产地</w:t>
            </w:r>
          </w:p>
        </w:tc>
        <w:tc>
          <w:tcPr>
            <w:tcW w:w="706"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64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676"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677"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合价</w:t>
            </w:r>
          </w:p>
        </w:tc>
        <w:tc>
          <w:tcPr>
            <w:tcW w:w="796"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restart"/>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设备报价</w:t>
            </w: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Align w:val="center"/>
          </w:tcPr>
          <w:p>
            <w:pPr>
              <w:spacing w:line="400" w:lineRule="exact"/>
              <w:jc w:val="center"/>
              <w:rPr>
                <w:rFonts w:hint="eastAsia" w:ascii="宋体" w:hAnsi="宋体" w:eastAsia="宋体" w:cs="宋体"/>
                <w:color w:val="auto"/>
                <w:sz w:val="24"/>
                <w:highlight w:val="none"/>
              </w:rPr>
            </w:pPr>
          </w:p>
        </w:tc>
        <w:tc>
          <w:tcPr>
            <w:tcW w:w="7876" w:type="dxa"/>
            <w:gridSpan w:val="11"/>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restart"/>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免费设备报价</w:t>
            </w: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Merge w:val="restart"/>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Merge w:val="continue"/>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Merge w:val="continue"/>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358" w:type="dxa"/>
            <w:gridSpan w:val="11"/>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总    价（元）：</w:t>
            </w:r>
          </w:p>
        </w:tc>
        <w:tc>
          <w:tcPr>
            <w:tcW w:w="796" w:type="dxa"/>
            <w:vAlign w:val="center"/>
          </w:tcPr>
          <w:p>
            <w:pPr>
              <w:spacing w:line="400" w:lineRule="exact"/>
              <w:rPr>
                <w:rFonts w:hint="eastAsia" w:ascii="宋体" w:hAnsi="宋体" w:eastAsia="宋体" w:cs="宋体"/>
                <w:color w:val="auto"/>
                <w:sz w:val="24"/>
                <w:highlight w:val="none"/>
              </w:rPr>
            </w:pPr>
          </w:p>
        </w:tc>
      </w:tr>
    </w:tbl>
    <w:p>
      <w:pPr>
        <w:spacing w:line="400" w:lineRule="exact"/>
        <w:rPr>
          <w:rFonts w:hint="eastAsia" w:ascii="宋体" w:hAnsi="宋体" w:eastAsia="宋体" w:cs="宋体"/>
          <w:b/>
          <w:color w:val="auto"/>
          <w:sz w:val="24"/>
          <w:highlight w:val="none"/>
        </w:rPr>
      </w:pP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 xml:space="preserve">或授权代表（签/章）：                    </w:t>
      </w:r>
    </w:p>
    <w:p>
      <w:pPr>
        <w:pStyle w:val="4"/>
        <w:spacing w:line="400" w:lineRule="exact"/>
        <w:ind w:firstLine="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日       期 ：   </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注：1.表格长度方向可做扩展根据需求可补充相关资料，但不可减少。</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2.备品备件设备分项报价仅供采购人在设备发生故障情况下采用此报价，填写此表时请谨慎。备品备件分为两部分（1、免费的备品备件、2、备品备件报价）                 </w:t>
      </w:r>
    </w:p>
    <w:p>
      <w:pPr>
        <w:pStyle w:val="4"/>
        <w:spacing w:line="400" w:lineRule="exact"/>
        <w:ind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3.备品备件设备分项报价不合计于开标一览表总价，单独名列即可。</w:t>
      </w:r>
    </w:p>
    <w:p>
      <w:pPr>
        <w:pStyle w:val="4"/>
        <w:spacing w:line="400" w:lineRule="exact"/>
        <w:ind w:firstLine="480" w:firstLineChars="200"/>
        <w:rPr>
          <w:rFonts w:hint="eastAsia" w:ascii="宋体" w:hAnsi="宋体" w:eastAsia="宋体" w:cs="宋体"/>
          <w:b/>
          <w:bCs/>
          <w:color w:val="auto"/>
          <w:sz w:val="28"/>
          <w:szCs w:val="28"/>
          <w:highlight w:val="none"/>
        </w:rPr>
      </w:pPr>
      <w:r>
        <w:rPr>
          <w:rFonts w:hint="eastAsia" w:ascii="宋体" w:hAnsi="宋体" w:eastAsia="宋体" w:cs="宋体"/>
          <w:color w:val="auto"/>
          <w:kern w:val="2"/>
          <w:szCs w:val="24"/>
          <w:highlight w:val="none"/>
        </w:rPr>
        <w:t>4.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p>
      <w:pPr>
        <w:pStyle w:val="14"/>
        <w:spacing w:line="240" w:lineRule="atLeast"/>
        <w:ind w:left="1080" w:leftChars="257" w:hanging="540"/>
        <w:jc w:val="center"/>
        <w:outlineLvl w:val="1"/>
        <w:rPr>
          <w:rFonts w:hint="eastAsia" w:ascii="宋体" w:hAnsi="宋体" w:eastAsia="宋体" w:cs="宋体"/>
          <w:b/>
          <w:bCs/>
          <w:color w:val="auto"/>
          <w:sz w:val="28"/>
          <w:szCs w:val="28"/>
          <w:highlight w:val="none"/>
        </w:rPr>
      </w:pPr>
    </w:p>
    <w:p>
      <w:pPr>
        <w:pStyle w:val="14"/>
        <w:spacing w:line="240" w:lineRule="atLeast"/>
        <w:ind w:left="1080" w:leftChars="257" w:hanging="540"/>
        <w:jc w:val="center"/>
        <w:outlineLvl w:val="1"/>
        <w:rPr>
          <w:rFonts w:hint="eastAsia" w:ascii="宋体" w:hAnsi="宋体" w:eastAsia="宋体" w:cs="宋体"/>
          <w:b/>
          <w:bCs/>
          <w:color w:val="auto"/>
          <w:sz w:val="28"/>
          <w:szCs w:val="28"/>
          <w:highlight w:val="none"/>
        </w:rPr>
      </w:pPr>
      <w:bookmarkStart w:id="855" w:name="_Toc27778"/>
      <w:r>
        <w:rPr>
          <w:rFonts w:hint="eastAsia" w:ascii="宋体" w:hAnsi="宋体" w:eastAsia="宋体" w:cs="宋体"/>
          <w:b/>
          <w:bCs/>
          <w:color w:val="auto"/>
          <w:sz w:val="28"/>
          <w:szCs w:val="28"/>
          <w:highlight w:val="none"/>
        </w:rPr>
        <w:t>3</w:t>
      </w:r>
      <w:bookmarkEnd w:id="841"/>
      <w:bookmarkEnd w:id="842"/>
      <w:bookmarkEnd w:id="843"/>
      <w:r>
        <w:rPr>
          <w:rFonts w:hint="eastAsia" w:ascii="宋体" w:hAnsi="宋体" w:eastAsia="宋体" w:cs="宋体"/>
          <w:b/>
          <w:bCs/>
          <w:color w:val="auto"/>
          <w:sz w:val="28"/>
          <w:szCs w:val="28"/>
          <w:highlight w:val="none"/>
        </w:rPr>
        <w:t>、服务说明一览表</w:t>
      </w:r>
      <w:bookmarkEnd w:id="855"/>
    </w:p>
    <w:p>
      <w:pPr>
        <w:pStyle w:val="14"/>
        <w:spacing w:line="360" w:lineRule="exact"/>
        <w:ind w:left="1080" w:leftChars="257" w:hanging="540"/>
        <w:rPr>
          <w:rFonts w:hint="eastAsia" w:ascii="宋体" w:hAnsi="宋体" w:eastAsia="宋体" w:cs="宋体"/>
          <w:color w:val="auto"/>
          <w:sz w:val="24"/>
          <w:highlight w:val="none"/>
        </w:rPr>
      </w:pPr>
    </w:p>
    <w:p>
      <w:pPr>
        <w:pStyle w:val="14"/>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pPr>
        <w:pStyle w:val="14"/>
        <w:spacing w:line="360" w:lineRule="exact"/>
        <w:ind w:left="1080" w:leftChars="257" w:hanging="54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tbl>
      <w:tblPr>
        <w:tblStyle w:val="2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749"/>
        <w:gridCol w:w="1461"/>
        <w:gridCol w:w="1545"/>
        <w:gridCol w:w="1152"/>
        <w:gridCol w:w="1194"/>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56" w:type="dxa"/>
          </w:tcPr>
          <w:p>
            <w:pPr>
              <w:pStyle w:val="14"/>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49" w:type="dxa"/>
          </w:tcPr>
          <w:p>
            <w:pPr>
              <w:pStyle w:val="14"/>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1461" w:type="dxa"/>
          </w:tcPr>
          <w:p>
            <w:pPr>
              <w:pStyle w:val="14"/>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主要规格</w:t>
            </w:r>
          </w:p>
        </w:tc>
        <w:tc>
          <w:tcPr>
            <w:tcW w:w="1545" w:type="dxa"/>
          </w:tcPr>
          <w:p>
            <w:pPr>
              <w:pStyle w:val="14"/>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152" w:type="dxa"/>
          </w:tcPr>
          <w:p>
            <w:pPr>
              <w:pStyle w:val="14"/>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w:t>
            </w:r>
          </w:p>
        </w:tc>
        <w:tc>
          <w:tcPr>
            <w:tcW w:w="1194" w:type="dxa"/>
          </w:tcPr>
          <w:p>
            <w:pPr>
              <w:pStyle w:val="14"/>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971" w:type="dxa"/>
          </w:tcPr>
          <w:p>
            <w:pPr>
              <w:pStyle w:val="14"/>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4"/>
              <w:spacing w:line="360" w:lineRule="exact"/>
              <w:ind w:left="1080" w:leftChars="257" w:hanging="540"/>
              <w:rPr>
                <w:rFonts w:hint="eastAsia" w:ascii="宋体" w:hAnsi="宋体" w:eastAsia="宋体" w:cs="宋体"/>
                <w:color w:val="auto"/>
                <w:sz w:val="24"/>
                <w:highlight w:val="none"/>
              </w:rPr>
            </w:pPr>
          </w:p>
        </w:tc>
        <w:tc>
          <w:tcPr>
            <w:tcW w:w="1749" w:type="dxa"/>
          </w:tcPr>
          <w:p>
            <w:pPr>
              <w:pStyle w:val="14"/>
              <w:spacing w:line="360" w:lineRule="exact"/>
              <w:ind w:left="1080" w:leftChars="257" w:hanging="540"/>
              <w:rPr>
                <w:rFonts w:hint="eastAsia" w:ascii="宋体" w:hAnsi="宋体" w:eastAsia="宋体" w:cs="宋体"/>
                <w:color w:val="auto"/>
                <w:sz w:val="24"/>
                <w:highlight w:val="none"/>
              </w:rPr>
            </w:pPr>
          </w:p>
        </w:tc>
        <w:tc>
          <w:tcPr>
            <w:tcW w:w="1461" w:type="dxa"/>
          </w:tcPr>
          <w:p>
            <w:pPr>
              <w:pStyle w:val="14"/>
              <w:spacing w:line="360" w:lineRule="exact"/>
              <w:ind w:left="1080" w:leftChars="257" w:hanging="540"/>
              <w:rPr>
                <w:rFonts w:hint="eastAsia" w:ascii="宋体" w:hAnsi="宋体" w:eastAsia="宋体" w:cs="宋体"/>
                <w:color w:val="auto"/>
                <w:sz w:val="24"/>
                <w:highlight w:val="none"/>
              </w:rPr>
            </w:pPr>
          </w:p>
        </w:tc>
        <w:tc>
          <w:tcPr>
            <w:tcW w:w="1545" w:type="dxa"/>
          </w:tcPr>
          <w:p>
            <w:pPr>
              <w:pStyle w:val="14"/>
              <w:spacing w:line="360" w:lineRule="exact"/>
              <w:ind w:left="1080" w:leftChars="257" w:hanging="540"/>
              <w:rPr>
                <w:rFonts w:hint="eastAsia" w:ascii="宋体" w:hAnsi="宋体" w:eastAsia="宋体" w:cs="宋体"/>
                <w:color w:val="auto"/>
                <w:sz w:val="24"/>
                <w:highlight w:val="none"/>
              </w:rPr>
            </w:pPr>
          </w:p>
        </w:tc>
        <w:tc>
          <w:tcPr>
            <w:tcW w:w="1152" w:type="dxa"/>
          </w:tcPr>
          <w:p>
            <w:pPr>
              <w:pStyle w:val="14"/>
              <w:spacing w:line="360" w:lineRule="exact"/>
              <w:ind w:left="1080" w:leftChars="257" w:hanging="540"/>
              <w:rPr>
                <w:rFonts w:hint="eastAsia" w:ascii="宋体" w:hAnsi="宋体" w:eastAsia="宋体" w:cs="宋体"/>
                <w:color w:val="auto"/>
                <w:sz w:val="24"/>
                <w:highlight w:val="none"/>
              </w:rPr>
            </w:pPr>
          </w:p>
        </w:tc>
        <w:tc>
          <w:tcPr>
            <w:tcW w:w="1194" w:type="dxa"/>
          </w:tcPr>
          <w:p>
            <w:pPr>
              <w:pStyle w:val="14"/>
              <w:spacing w:line="360" w:lineRule="exact"/>
              <w:ind w:left="1080" w:leftChars="257" w:hanging="540"/>
              <w:rPr>
                <w:rFonts w:hint="eastAsia" w:ascii="宋体" w:hAnsi="宋体" w:eastAsia="宋体" w:cs="宋体"/>
                <w:color w:val="auto"/>
                <w:sz w:val="24"/>
                <w:highlight w:val="none"/>
              </w:rPr>
            </w:pPr>
          </w:p>
        </w:tc>
        <w:tc>
          <w:tcPr>
            <w:tcW w:w="971" w:type="dxa"/>
          </w:tcPr>
          <w:p>
            <w:pPr>
              <w:pStyle w:val="14"/>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4"/>
              <w:spacing w:line="360" w:lineRule="exact"/>
              <w:ind w:left="1080" w:leftChars="257" w:hanging="540"/>
              <w:rPr>
                <w:rFonts w:hint="eastAsia" w:ascii="宋体" w:hAnsi="宋体" w:eastAsia="宋体" w:cs="宋体"/>
                <w:color w:val="auto"/>
                <w:sz w:val="24"/>
                <w:highlight w:val="none"/>
              </w:rPr>
            </w:pPr>
          </w:p>
        </w:tc>
        <w:tc>
          <w:tcPr>
            <w:tcW w:w="1749" w:type="dxa"/>
          </w:tcPr>
          <w:p>
            <w:pPr>
              <w:pStyle w:val="14"/>
              <w:spacing w:line="360" w:lineRule="exact"/>
              <w:ind w:left="1080" w:leftChars="257" w:hanging="540"/>
              <w:rPr>
                <w:rFonts w:hint="eastAsia" w:ascii="宋体" w:hAnsi="宋体" w:eastAsia="宋体" w:cs="宋体"/>
                <w:color w:val="auto"/>
                <w:sz w:val="24"/>
                <w:highlight w:val="none"/>
              </w:rPr>
            </w:pPr>
          </w:p>
        </w:tc>
        <w:tc>
          <w:tcPr>
            <w:tcW w:w="1461" w:type="dxa"/>
          </w:tcPr>
          <w:p>
            <w:pPr>
              <w:pStyle w:val="14"/>
              <w:spacing w:line="360" w:lineRule="exact"/>
              <w:ind w:left="1080" w:leftChars="257" w:hanging="540"/>
              <w:rPr>
                <w:rFonts w:hint="eastAsia" w:ascii="宋体" w:hAnsi="宋体" w:eastAsia="宋体" w:cs="宋体"/>
                <w:color w:val="auto"/>
                <w:sz w:val="24"/>
                <w:highlight w:val="none"/>
              </w:rPr>
            </w:pPr>
          </w:p>
        </w:tc>
        <w:tc>
          <w:tcPr>
            <w:tcW w:w="1545" w:type="dxa"/>
          </w:tcPr>
          <w:p>
            <w:pPr>
              <w:pStyle w:val="14"/>
              <w:spacing w:line="360" w:lineRule="exact"/>
              <w:ind w:left="1080" w:leftChars="257" w:hanging="540"/>
              <w:rPr>
                <w:rFonts w:hint="eastAsia" w:ascii="宋体" w:hAnsi="宋体" w:eastAsia="宋体" w:cs="宋体"/>
                <w:color w:val="auto"/>
                <w:sz w:val="24"/>
                <w:highlight w:val="none"/>
              </w:rPr>
            </w:pPr>
          </w:p>
        </w:tc>
        <w:tc>
          <w:tcPr>
            <w:tcW w:w="1152" w:type="dxa"/>
          </w:tcPr>
          <w:p>
            <w:pPr>
              <w:pStyle w:val="14"/>
              <w:spacing w:line="360" w:lineRule="exact"/>
              <w:ind w:left="1080" w:leftChars="257" w:hanging="540"/>
              <w:rPr>
                <w:rFonts w:hint="eastAsia" w:ascii="宋体" w:hAnsi="宋体" w:eastAsia="宋体" w:cs="宋体"/>
                <w:color w:val="auto"/>
                <w:sz w:val="24"/>
                <w:highlight w:val="none"/>
              </w:rPr>
            </w:pPr>
          </w:p>
        </w:tc>
        <w:tc>
          <w:tcPr>
            <w:tcW w:w="1194" w:type="dxa"/>
          </w:tcPr>
          <w:p>
            <w:pPr>
              <w:pStyle w:val="14"/>
              <w:spacing w:line="360" w:lineRule="exact"/>
              <w:ind w:left="1080" w:leftChars="257" w:hanging="540"/>
              <w:rPr>
                <w:rFonts w:hint="eastAsia" w:ascii="宋体" w:hAnsi="宋体" w:eastAsia="宋体" w:cs="宋体"/>
                <w:color w:val="auto"/>
                <w:sz w:val="24"/>
                <w:highlight w:val="none"/>
              </w:rPr>
            </w:pPr>
          </w:p>
        </w:tc>
        <w:tc>
          <w:tcPr>
            <w:tcW w:w="971" w:type="dxa"/>
          </w:tcPr>
          <w:p>
            <w:pPr>
              <w:pStyle w:val="14"/>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4"/>
              <w:spacing w:line="360" w:lineRule="exact"/>
              <w:ind w:left="1080" w:leftChars="257" w:hanging="540"/>
              <w:rPr>
                <w:rFonts w:hint="eastAsia" w:ascii="宋体" w:hAnsi="宋体" w:eastAsia="宋体" w:cs="宋体"/>
                <w:color w:val="auto"/>
                <w:sz w:val="24"/>
                <w:highlight w:val="none"/>
              </w:rPr>
            </w:pPr>
          </w:p>
        </w:tc>
        <w:tc>
          <w:tcPr>
            <w:tcW w:w="1749" w:type="dxa"/>
          </w:tcPr>
          <w:p>
            <w:pPr>
              <w:pStyle w:val="14"/>
              <w:spacing w:line="360" w:lineRule="exact"/>
              <w:ind w:left="1080" w:leftChars="257" w:hanging="540"/>
              <w:rPr>
                <w:rFonts w:hint="eastAsia" w:ascii="宋体" w:hAnsi="宋体" w:eastAsia="宋体" w:cs="宋体"/>
                <w:color w:val="auto"/>
                <w:sz w:val="24"/>
                <w:highlight w:val="none"/>
              </w:rPr>
            </w:pPr>
          </w:p>
        </w:tc>
        <w:tc>
          <w:tcPr>
            <w:tcW w:w="1461" w:type="dxa"/>
          </w:tcPr>
          <w:p>
            <w:pPr>
              <w:pStyle w:val="14"/>
              <w:spacing w:line="360" w:lineRule="exact"/>
              <w:ind w:left="1080" w:leftChars="257" w:hanging="540"/>
              <w:rPr>
                <w:rFonts w:hint="eastAsia" w:ascii="宋体" w:hAnsi="宋体" w:eastAsia="宋体" w:cs="宋体"/>
                <w:color w:val="auto"/>
                <w:sz w:val="24"/>
                <w:highlight w:val="none"/>
              </w:rPr>
            </w:pPr>
          </w:p>
        </w:tc>
        <w:tc>
          <w:tcPr>
            <w:tcW w:w="1545" w:type="dxa"/>
          </w:tcPr>
          <w:p>
            <w:pPr>
              <w:pStyle w:val="14"/>
              <w:spacing w:line="360" w:lineRule="exact"/>
              <w:ind w:left="1080" w:leftChars="257" w:hanging="540"/>
              <w:rPr>
                <w:rFonts w:hint="eastAsia" w:ascii="宋体" w:hAnsi="宋体" w:eastAsia="宋体" w:cs="宋体"/>
                <w:color w:val="auto"/>
                <w:sz w:val="24"/>
                <w:highlight w:val="none"/>
              </w:rPr>
            </w:pPr>
          </w:p>
        </w:tc>
        <w:tc>
          <w:tcPr>
            <w:tcW w:w="1152" w:type="dxa"/>
          </w:tcPr>
          <w:p>
            <w:pPr>
              <w:pStyle w:val="14"/>
              <w:spacing w:line="360" w:lineRule="exact"/>
              <w:ind w:left="1080" w:leftChars="257" w:hanging="540"/>
              <w:rPr>
                <w:rFonts w:hint="eastAsia" w:ascii="宋体" w:hAnsi="宋体" w:eastAsia="宋体" w:cs="宋体"/>
                <w:color w:val="auto"/>
                <w:sz w:val="24"/>
                <w:highlight w:val="none"/>
              </w:rPr>
            </w:pPr>
          </w:p>
        </w:tc>
        <w:tc>
          <w:tcPr>
            <w:tcW w:w="1194" w:type="dxa"/>
          </w:tcPr>
          <w:p>
            <w:pPr>
              <w:pStyle w:val="14"/>
              <w:spacing w:line="360" w:lineRule="exact"/>
              <w:ind w:left="1080" w:leftChars="257" w:hanging="540"/>
              <w:rPr>
                <w:rFonts w:hint="eastAsia" w:ascii="宋体" w:hAnsi="宋体" w:eastAsia="宋体" w:cs="宋体"/>
                <w:color w:val="auto"/>
                <w:sz w:val="24"/>
                <w:highlight w:val="none"/>
              </w:rPr>
            </w:pPr>
          </w:p>
        </w:tc>
        <w:tc>
          <w:tcPr>
            <w:tcW w:w="971" w:type="dxa"/>
          </w:tcPr>
          <w:p>
            <w:pPr>
              <w:pStyle w:val="14"/>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4"/>
              <w:spacing w:line="360" w:lineRule="exact"/>
              <w:ind w:left="1080" w:leftChars="257" w:hanging="540"/>
              <w:rPr>
                <w:rFonts w:hint="eastAsia" w:ascii="宋体" w:hAnsi="宋体" w:eastAsia="宋体" w:cs="宋体"/>
                <w:color w:val="auto"/>
                <w:sz w:val="24"/>
                <w:highlight w:val="none"/>
              </w:rPr>
            </w:pPr>
          </w:p>
        </w:tc>
        <w:tc>
          <w:tcPr>
            <w:tcW w:w="1749" w:type="dxa"/>
          </w:tcPr>
          <w:p>
            <w:pPr>
              <w:pStyle w:val="14"/>
              <w:spacing w:line="360" w:lineRule="exact"/>
              <w:ind w:left="1080" w:leftChars="257" w:hanging="540"/>
              <w:rPr>
                <w:rFonts w:hint="eastAsia" w:ascii="宋体" w:hAnsi="宋体" w:eastAsia="宋体" w:cs="宋体"/>
                <w:color w:val="auto"/>
                <w:sz w:val="24"/>
                <w:highlight w:val="none"/>
              </w:rPr>
            </w:pPr>
          </w:p>
        </w:tc>
        <w:tc>
          <w:tcPr>
            <w:tcW w:w="1461" w:type="dxa"/>
          </w:tcPr>
          <w:p>
            <w:pPr>
              <w:pStyle w:val="14"/>
              <w:spacing w:line="360" w:lineRule="exact"/>
              <w:ind w:left="1080" w:leftChars="257" w:hanging="540"/>
              <w:rPr>
                <w:rFonts w:hint="eastAsia" w:ascii="宋体" w:hAnsi="宋体" w:eastAsia="宋体" w:cs="宋体"/>
                <w:color w:val="auto"/>
                <w:sz w:val="24"/>
                <w:highlight w:val="none"/>
              </w:rPr>
            </w:pPr>
          </w:p>
        </w:tc>
        <w:tc>
          <w:tcPr>
            <w:tcW w:w="1545" w:type="dxa"/>
          </w:tcPr>
          <w:p>
            <w:pPr>
              <w:pStyle w:val="14"/>
              <w:spacing w:line="360" w:lineRule="exact"/>
              <w:ind w:left="1080" w:leftChars="257" w:hanging="540"/>
              <w:rPr>
                <w:rFonts w:hint="eastAsia" w:ascii="宋体" w:hAnsi="宋体" w:eastAsia="宋体" w:cs="宋体"/>
                <w:color w:val="auto"/>
                <w:sz w:val="24"/>
                <w:highlight w:val="none"/>
              </w:rPr>
            </w:pPr>
          </w:p>
        </w:tc>
        <w:tc>
          <w:tcPr>
            <w:tcW w:w="1152" w:type="dxa"/>
          </w:tcPr>
          <w:p>
            <w:pPr>
              <w:pStyle w:val="14"/>
              <w:spacing w:line="360" w:lineRule="exact"/>
              <w:ind w:left="1080" w:leftChars="257" w:hanging="540"/>
              <w:rPr>
                <w:rFonts w:hint="eastAsia" w:ascii="宋体" w:hAnsi="宋体" w:eastAsia="宋体" w:cs="宋体"/>
                <w:color w:val="auto"/>
                <w:sz w:val="24"/>
                <w:highlight w:val="none"/>
              </w:rPr>
            </w:pPr>
          </w:p>
        </w:tc>
        <w:tc>
          <w:tcPr>
            <w:tcW w:w="1194" w:type="dxa"/>
          </w:tcPr>
          <w:p>
            <w:pPr>
              <w:pStyle w:val="14"/>
              <w:spacing w:line="360" w:lineRule="exact"/>
              <w:ind w:left="1080" w:leftChars="257" w:hanging="540"/>
              <w:rPr>
                <w:rFonts w:hint="eastAsia" w:ascii="宋体" w:hAnsi="宋体" w:eastAsia="宋体" w:cs="宋体"/>
                <w:color w:val="auto"/>
                <w:sz w:val="24"/>
                <w:highlight w:val="none"/>
              </w:rPr>
            </w:pPr>
          </w:p>
        </w:tc>
        <w:tc>
          <w:tcPr>
            <w:tcW w:w="971" w:type="dxa"/>
          </w:tcPr>
          <w:p>
            <w:pPr>
              <w:pStyle w:val="14"/>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4"/>
              <w:spacing w:line="360" w:lineRule="exact"/>
              <w:ind w:left="1080" w:leftChars="257" w:hanging="540"/>
              <w:rPr>
                <w:rFonts w:hint="eastAsia" w:ascii="宋体" w:hAnsi="宋体" w:eastAsia="宋体" w:cs="宋体"/>
                <w:color w:val="auto"/>
                <w:sz w:val="24"/>
                <w:highlight w:val="none"/>
              </w:rPr>
            </w:pPr>
          </w:p>
        </w:tc>
        <w:tc>
          <w:tcPr>
            <w:tcW w:w="1749" w:type="dxa"/>
          </w:tcPr>
          <w:p>
            <w:pPr>
              <w:pStyle w:val="14"/>
              <w:spacing w:line="360" w:lineRule="exact"/>
              <w:ind w:left="1080" w:leftChars="257" w:hanging="540"/>
              <w:rPr>
                <w:rFonts w:hint="eastAsia" w:ascii="宋体" w:hAnsi="宋体" w:eastAsia="宋体" w:cs="宋体"/>
                <w:color w:val="auto"/>
                <w:sz w:val="24"/>
                <w:highlight w:val="none"/>
              </w:rPr>
            </w:pPr>
          </w:p>
        </w:tc>
        <w:tc>
          <w:tcPr>
            <w:tcW w:w="1461" w:type="dxa"/>
          </w:tcPr>
          <w:p>
            <w:pPr>
              <w:pStyle w:val="14"/>
              <w:spacing w:line="360" w:lineRule="exact"/>
              <w:ind w:left="1080" w:leftChars="257" w:hanging="540"/>
              <w:rPr>
                <w:rFonts w:hint="eastAsia" w:ascii="宋体" w:hAnsi="宋体" w:eastAsia="宋体" w:cs="宋体"/>
                <w:color w:val="auto"/>
                <w:sz w:val="24"/>
                <w:highlight w:val="none"/>
              </w:rPr>
            </w:pPr>
          </w:p>
        </w:tc>
        <w:tc>
          <w:tcPr>
            <w:tcW w:w="1545" w:type="dxa"/>
          </w:tcPr>
          <w:p>
            <w:pPr>
              <w:pStyle w:val="14"/>
              <w:spacing w:line="360" w:lineRule="exact"/>
              <w:ind w:left="1080" w:leftChars="257" w:hanging="540"/>
              <w:rPr>
                <w:rFonts w:hint="eastAsia" w:ascii="宋体" w:hAnsi="宋体" w:eastAsia="宋体" w:cs="宋体"/>
                <w:color w:val="auto"/>
                <w:sz w:val="24"/>
                <w:highlight w:val="none"/>
              </w:rPr>
            </w:pPr>
          </w:p>
        </w:tc>
        <w:tc>
          <w:tcPr>
            <w:tcW w:w="1152" w:type="dxa"/>
          </w:tcPr>
          <w:p>
            <w:pPr>
              <w:pStyle w:val="14"/>
              <w:spacing w:line="360" w:lineRule="exact"/>
              <w:ind w:left="1080" w:leftChars="257" w:hanging="540"/>
              <w:rPr>
                <w:rFonts w:hint="eastAsia" w:ascii="宋体" w:hAnsi="宋体" w:eastAsia="宋体" w:cs="宋体"/>
                <w:color w:val="auto"/>
                <w:sz w:val="24"/>
                <w:highlight w:val="none"/>
              </w:rPr>
            </w:pPr>
          </w:p>
        </w:tc>
        <w:tc>
          <w:tcPr>
            <w:tcW w:w="1194" w:type="dxa"/>
          </w:tcPr>
          <w:p>
            <w:pPr>
              <w:pStyle w:val="14"/>
              <w:spacing w:line="360" w:lineRule="exact"/>
              <w:ind w:left="1080" w:leftChars="257" w:hanging="540"/>
              <w:rPr>
                <w:rFonts w:hint="eastAsia" w:ascii="宋体" w:hAnsi="宋体" w:eastAsia="宋体" w:cs="宋体"/>
                <w:color w:val="auto"/>
                <w:sz w:val="24"/>
                <w:highlight w:val="none"/>
              </w:rPr>
            </w:pPr>
          </w:p>
        </w:tc>
        <w:tc>
          <w:tcPr>
            <w:tcW w:w="971" w:type="dxa"/>
          </w:tcPr>
          <w:p>
            <w:pPr>
              <w:pStyle w:val="14"/>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4"/>
              <w:spacing w:line="360" w:lineRule="exact"/>
              <w:ind w:left="1080" w:leftChars="257" w:hanging="540"/>
              <w:rPr>
                <w:rFonts w:hint="eastAsia" w:ascii="宋体" w:hAnsi="宋体" w:eastAsia="宋体" w:cs="宋体"/>
                <w:color w:val="auto"/>
                <w:sz w:val="24"/>
                <w:highlight w:val="none"/>
              </w:rPr>
            </w:pPr>
          </w:p>
        </w:tc>
        <w:tc>
          <w:tcPr>
            <w:tcW w:w="1749" w:type="dxa"/>
          </w:tcPr>
          <w:p>
            <w:pPr>
              <w:pStyle w:val="14"/>
              <w:spacing w:line="360" w:lineRule="exact"/>
              <w:ind w:left="1080" w:leftChars="257" w:hanging="540"/>
              <w:rPr>
                <w:rFonts w:hint="eastAsia" w:ascii="宋体" w:hAnsi="宋体" w:eastAsia="宋体" w:cs="宋体"/>
                <w:color w:val="auto"/>
                <w:sz w:val="24"/>
                <w:highlight w:val="none"/>
              </w:rPr>
            </w:pPr>
          </w:p>
        </w:tc>
        <w:tc>
          <w:tcPr>
            <w:tcW w:w="1461" w:type="dxa"/>
          </w:tcPr>
          <w:p>
            <w:pPr>
              <w:pStyle w:val="14"/>
              <w:spacing w:line="360" w:lineRule="exact"/>
              <w:ind w:left="1080" w:leftChars="257" w:hanging="540"/>
              <w:rPr>
                <w:rFonts w:hint="eastAsia" w:ascii="宋体" w:hAnsi="宋体" w:eastAsia="宋体" w:cs="宋体"/>
                <w:color w:val="auto"/>
                <w:sz w:val="24"/>
                <w:highlight w:val="none"/>
              </w:rPr>
            </w:pPr>
          </w:p>
        </w:tc>
        <w:tc>
          <w:tcPr>
            <w:tcW w:w="1545" w:type="dxa"/>
          </w:tcPr>
          <w:p>
            <w:pPr>
              <w:pStyle w:val="14"/>
              <w:spacing w:line="360" w:lineRule="exact"/>
              <w:ind w:left="1080" w:leftChars="257" w:hanging="540"/>
              <w:rPr>
                <w:rFonts w:hint="eastAsia" w:ascii="宋体" w:hAnsi="宋体" w:eastAsia="宋体" w:cs="宋体"/>
                <w:color w:val="auto"/>
                <w:sz w:val="24"/>
                <w:highlight w:val="none"/>
              </w:rPr>
            </w:pPr>
          </w:p>
        </w:tc>
        <w:tc>
          <w:tcPr>
            <w:tcW w:w="1152" w:type="dxa"/>
          </w:tcPr>
          <w:p>
            <w:pPr>
              <w:pStyle w:val="14"/>
              <w:spacing w:line="360" w:lineRule="exact"/>
              <w:ind w:left="1080" w:leftChars="257" w:hanging="540"/>
              <w:rPr>
                <w:rFonts w:hint="eastAsia" w:ascii="宋体" w:hAnsi="宋体" w:eastAsia="宋体" w:cs="宋体"/>
                <w:color w:val="auto"/>
                <w:sz w:val="24"/>
                <w:highlight w:val="none"/>
              </w:rPr>
            </w:pPr>
          </w:p>
        </w:tc>
        <w:tc>
          <w:tcPr>
            <w:tcW w:w="1194" w:type="dxa"/>
          </w:tcPr>
          <w:p>
            <w:pPr>
              <w:pStyle w:val="14"/>
              <w:spacing w:line="360" w:lineRule="exact"/>
              <w:ind w:left="1080" w:leftChars="257" w:hanging="540"/>
              <w:rPr>
                <w:rFonts w:hint="eastAsia" w:ascii="宋体" w:hAnsi="宋体" w:eastAsia="宋体" w:cs="宋体"/>
                <w:color w:val="auto"/>
                <w:sz w:val="24"/>
                <w:highlight w:val="none"/>
              </w:rPr>
            </w:pPr>
          </w:p>
        </w:tc>
        <w:tc>
          <w:tcPr>
            <w:tcW w:w="971" w:type="dxa"/>
          </w:tcPr>
          <w:p>
            <w:pPr>
              <w:pStyle w:val="14"/>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4"/>
              <w:spacing w:line="360" w:lineRule="exact"/>
              <w:ind w:left="1080" w:leftChars="257" w:hanging="540"/>
              <w:rPr>
                <w:rFonts w:hint="eastAsia" w:ascii="宋体" w:hAnsi="宋体" w:eastAsia="宋体" w:cs="宋体"/>
                <w:color w:val="auto"/>
                <w:sz w:val="24"/>
                <w:highlight w:val="none"/>
              </w:rPr>
            </w:pPr>
          </w:p>
        </w:tc>
        <w:tc>
          <w:tcPr>
            <w:tcW w:w="1749" w:type="dxa"/>
          </w:tcPr>
          <w:p>
            <w:pPr>
              <w:pStyle w:val="14"/>
              <w:spacing w:line="360" w:lineRule="exact"/>
              <w:ind w:left="1080" w:leftChars="257" w:hanging="540"/>
              <w:rPr>
                <w:rFonts w:hint="eastAsia" w:ascii="宋体" w:hAnsi="宋体" w:eastAsia="宋体" w:cs="宋体"/>
                <w:color w:val="auto"/>
                <w:sz w:val="24"/>
                <w:highlight w:val="none"/>
              </w:rPr>
            </w:pPr>
          </w:p>
        </w:tc>
        <w:tc>
          <w:tcPr>
            <w:tcW w:w="1461" w:type="dxa"/>
          </w:tcPr>
          <w:p>
            <w:pPr>
              <w:pStyle w:val="14"/>
              <w:spacing w:line="360" w:lineRule="exact"/>
              <w:ind w:left="1080" w:leftChars="257" w:hanging="540"/>
              <w:rPr>
                <w:rFonts w:hint="eastAsia" w:ascii="宋体" w:hAnsi="宋体" w:eastAsia="宋体" w:cs="宋体"/>
                <w:color w:val="auto"/>
                <w:sz w:val="24"/>
                <w:highlight w:val="none"/>
              </w:rPr>
            </w:pPr>
          </w:p>
        </w:tc>
        <w:tc>
          <w:tcPr>
            <w:tcW w:w="1545" w:type="dxa"/>
          </w:tcPr>
          <w:p>
            <w:pPr>
              <w:pStyle w:val="14"/>
              <w:spacing w:line="360" w:lineRule="exact"/>
              <w:ind w:left="1080" w:leftChars="257" w:hanging="540"/>
              <w:rPr>
                <w:rFonts w:hint="eastAsia" w:ascii="宋体" w:hAnsi="宋体" w:eastAsia="宋体" w:cs="宋体"/>
                <w:color w:val="auto"/>
                <w:sz w:val="24"/>
                <w:highlight w:val="none"/>
              </w:rPr>
            </w:pPr>
          </w:p>
        </w:tc>
        <w:tc>
          <w:tcPr>
            <w:tcW w:w="1152" w:type="dxa"/>
          </w:tcPr>
          <w:p>
            <w:pPr>
              <w:pStyle w:val="14"/>
              <w:spacing w:line="360" w:lineRule="exact"/>
              <w:ind w:left="1080" w:leftChars="257" w:hanging="540"/>
              <w:rPr>
                <w:rFonts w:hint="eastAsia" w:ascii="宋体" w:hAnsi="宋体" w:eastAsia="宋体" w:cs="宋体"/>
                <w:color w:val="auto"/>
                <w:sz w:val="24"/>
                <w:highlight w:val="none"/>
              </w:rPr>
            </w:pPr>
          </w:p>
        </w:tc>
        <w:tc>
          <w:tcPr>
            <w:tcW w:w="1194" w:type="dxa"/>
          </w:tcPr>
          <w:p>
            <w:pPr>
              <w:pStyle w:val="14"/>
              <w:spacing w:line="360" w:lineRule="exact"/>
              <w:ind w:left="1080" w:leftChars="257" w:hanging="540"/>
              <w:rPr>
                <w:rFonts w:hint="eastAsia" w:ascii="宋体" w:hAnsi="宋体" w:eastAsia="宋体" w:cs="宋体"/>
                <w:color w:val="auto"/>
                <w:sz w:val="24"/>
                <w:highlight w:val="none"/>
              </w:rPr>
            </w:pPr>
          </w:p>
        </w:tc>
        <w:tc>
          <w:tcPr>
            <w:tcW w:w="971" w:type="dxa"/>
          </w:tcPr>
          <w:p>
            <w:pPr>
              <w:pStyle w:val="14"/>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dxa"/>
          </w:tcPr>
          <w:p>
            <w:pPr>
              <w:pStyle w:val="14"/>
              <w:spacing w:line="360" w:lineRule="exact"/>
              <w:ind w:left="1080" w:leftChars="257" w:hanging="540"/>
              <w:rPr>
                <w:rFonts w:hint="eastAsia" w:ascii="宋体" w:hAnsi="宋体" w:eastAsia="宋体" w:cs="宋体"/>
                <w:color w:val="auto"/>
                <w:sz w:val="24"/>
                <w:highlight w:val="none"/>
              </w:rPr>
            </w:pPr>
          </w:p>
        </w:tc>
        <w:tc>
          <w:tcPr>
            <w:tcW w:w="1749" w:type="dxa"/>
          </w:tcPr>
          <w:p>
            <w:pPr>
              <w:pStyle w:val="14"/>
              <w:spacing w:line="360" w:lineRule="exact"/>
              <w:ind w:left="1080" w:leftChars="257" w:hanging="540"/>
              <w:rPr>
                <w:rFonts w:hint="eastAsia" w:ascii="宋体" w:hAnsi="宋体" w:eastAsia="宋体" w:cs="宋体"/>
                <w:color w:val="auto"/>
                <w:sz w:val="24"/>
                <w:highlight w:val="none"/>
              </w:rPr>
            </w:pPr>
          </w:p>
        </w:tc>
        <w:tc>
          <w:tcPr>
            <w:tcW w:w="1461" w:type="dxa"/>
          </w:tcPr>
          <w:p>
            <w:pPr>
              <w:pStyle w:val="14"/>
              <w:spacing w:line="360" w:lineRule="exact"/>
              <w:ind w:left="1080" w:leftChars="257" w:hanging="540"/>
              <w:rPr>
                <w:rFonts w:hint="eastAsia" w:ascii="宋体" w:hAnsi="宋体" w:eastAsia="宋体" w:cs="宋体"/>
                <w:color w:val="auto"/>
                <w:sz w:val="24"/>
                <w:highlight w:val="none"/>
              </w:rPr>
            </w:pPr>
          </w:p>
        </w:tc>
        <w:tc>
          <w:tcPr>
            <w:tcW w:w="1545" w:type="dxa"/>
          </w:tcPr>
          <w:p>
            <w:pPr>
              <w:pStyle w:val="14"/>
              <w:spacing w:line="360" w:lineRule="exact"/>
              <w:ind w:left="1080" w:leftChars="257" w:hanging="540"/>
              <w:rPr>
                <w:rFonts w:hint="eastAsia" w:ascii="宋体" w:hAnsi="宋体" w:eastAsia="宋体" w:cs="宋体"/>
                <w:color w:val="auto"/>
                <w:sz w:val="24"/>
                <w:highlight w:val="none"/>
              </w:rPr>
            </w:pPr>
          </w:p>
        </w:tc>
        <w:tc>
          <w:tcPr>
            <w:tcW w:w="1152" w:type="dxa"/>
          </w:tcPr>
          <w:p>
            <w:pPr>
              <w:pStyle w:val="14"/>
              <w:spacing w:line="360" w:lineRule="exact"/>
              <w:ind w:left="1080" w:leftChars="257" w:hanging="540"/>
              <w:rPr>
                <w:rFonts w:hint="eastAsia" w:ascii="宋体" w:hAnsi="宋体" w:eastAsia="宋体" w:cs="宋体"/>
                <w:color w:val="auto"/>
                <w:sz w:val="24"/>
                <w:highlight w:val="none"/>
              </w:rPr>
            </w:pPr>
          </w:p>
        </w:tc>
        <w:tc>
          <w:tcPr>
            <w:tcW w:w="1194" w:type="dxa"/>
          </w:tcPr>
          <w:p>
            <w:pPr>
              <w:pStyle w:val="14"/>
              <w:spacing w:line="360" w:lineRule="exact"/>
              <w:ind w:left="1080" w:leftChars="257" w:hanging="540"/>
              <w:rPr>
                <w:rFonts w:hint="eastAsia" w:ascii="宋体" w:hAnsi="宋体" w:eastAsia="宋体" w:cs="宋体"/>
                <w:color w:val="auto"/>
                <w:sz w:val="24"/>
                <w:highlight w:val="none"/>
              </w:rPr>
            </w:pPr>
          </w:p>
        </w:tc>
        <w:tc>
          <w:tcPr>
            <w:tcW w:w="971" w:type="dxa"/>
          </w:tcPr>
          <w:p>
            <w:pPr>
              <w:pStyle w:val="14"/>
              <w:spacing w:line="360" w:lineRule="exact"/>
              <w:ind w:left="1080" w:leftChars="257" w:hanging="540"/>
              <w:rPr>
                <w:rFonts w:hint="eastAsia" w:ascii="宋体" w:hAnsi="宋体" w:eastAsia="宋体" w:cs="宋体"/>
                <w:color w:val="auto"/>
                <w:sz w:val="24"/>
                <w:highlight w:val="none"/>
              </w:rPr>
            </w:pPr>
          </w:p>
        </w:tc>
      </w:tr>
    </w:tbl>
    <w:p>
      <w:pPr>
        <w:pStyle w:val="14"/>
        <w:spacing w:line="360" w:lineRule="exact"/>
        <w:ind w:left="1080" w:leftChars="257" w:hanging="540"/>
        <w:rPr>
          <w:rFonts w:hint="eastAsia" w:ascii="宋体" w:hAnsi="宋体" w:eastAsia="宋体" w:cs="宋体"/>
          <w:color w:val="auto"/>
          <w:sz w:val="24"/>
          <w:highlight w:val="none"/>
        </w:rPr>
      </w:pPr>
    </w:p>
    <w:p>
      <w:pPr>
        <w:pStyle w:val="14"/>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4"/>
        <w:tabs>
          <w:tab w:val="left" w:pos="537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ab/>
      </w:r>
    </w:p>
    <w:p>
      <w:pPr>
        <w:pStyle w:val="14"/>
        <w:spacing w:line="400" w:lineRule="exact"/>
        <w:ind w:left="1080" w:leftChars="257" w:hanging="540"/>
        <w:rPr>
          <w:rFonts w:hint="eastAsia" w:ascii="宋体" w:hAnsi="宋体" w:eastAsia="宋体" w:cs="宋体"/>
          <w:b/>
          <w:bCs/>
          <w:color w:val="auto"/>
          <w:sz w:val="22"/>
          <w:szCs w:val="22"/>
          <w:highlight w:val="none"/>
        </w:rPr>
      </w:pPr>
      <w:r>
        <w:rPr>
          <w:rFonts w:hint="eastAsia" w:ascii="宋体" w:hAnsi="宋体" w:eastAsia="宋体" w:cs="宋体"/>
          <w:color w:val="auto"/>
          <w:sz w:val="24"/>
          <w:szCs w:val="24"/>
          <w:highlight w:val="none"/>
        </w:rPr>
        <w:t>注: 各项服务详细技术性能应另页描述。</w:t>
      </w: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rPr>
          <w:rFonts w:hint="eastAsia" w:ascii="宋体" w:hAnsi="宋体" w:eastAsia="宋体" w:cs="宋体"/>
          <w:b/>
          <w:bCs/>
          <w:color w:val="auto"/>
          <w:sz w:val="22"/>
          <w:szCs w:val="22"/>
          <w:highlight w:val="none"/>
        </w:rPr>
      </w:pPr>
    </w:p>
    <w:p>
      <w:pPr>
        <w:pStyle w:val="14"/>
        <w:spacing w:line="240" w:lineRule="atLeast"/>
        <w:ind w:left="1080" w:leftChars="257" w:hanging="540"/>
        <w:jc w:val="center"/>
        <w:outlineLvl w:val="1"/>
        <w:rPr>
          <w:rFonts w:hint="eastAsia" w:ascii="宋体" w:hAnsi="宋体" w:eastAsia="宋体" w:cs="宋体"/>
          <w:color w:val="auto"/>
          <w:szCs w:val="21"/>
          <w:highlight w:val="none"/>
        </w:rPr>
      </w:pPr>
      <w:bookmarkStart w:id="856" w:name="_Toc6268"/>
      <w:r>
        <w:rPr>
          <w:rFonts w:hint="eastAsia" w:ascii="宋体" w:hAnsi="宋体" w:eastAsia="宋体" w:cs="宋体"/>
          <w:b/>
          <w:bCs/>
          <w:color w:val="auto"/>
          <w:sz w:val="28"/>
          <w:szCs w:val="28"/>
          <w:highlight w:val="none"/>
        </w:rPr>
        <w:t>4、服务规格偏离表</w:t>
      </w:r>
      <w:bookmarkEnd w:id="856"/>
    </w:p>
    <w:p>
      <w:pPr>
        <w:pStyle w:val="14"/>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p>
    <w:p>
      <w:pPr>
        <w:pStyle w:val="14"/>
        <w:spacing w:line="400" w:lineRule="exact"/>
        <w:ind w:left="1080" w:leftChars="257" w:hanging="540"/>
        <w:rPr>
          <w:rFonts w:hint="eastAsia" w:ascii="宋体" w:hAnsi="宋体" w:eastAsia="宋体" w:cs="宋体"/>
          <w:color w:val="auto"/>
          <w:sz w:val="24"/>
          <w:szCs w:val="24"/>
          <w:highlight w:val="none"/>
        </w:rPr>
      </w:pPr>
    </w:p>
    <w:tbl>
      <w:tblPr>
        <w:tblStyle w:val="26"/>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30" w:type="dxa"/>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服务</w:t>
            </w:r>
            <w:r>
              <w:rPr>
                <w:rFonts w:hint="eastAsia" w:ascii="宋体" w:hAnsi="宋体" w:eastAsia="宋体" w:cs="宋体"/>
                <w:color w:val="auto"/>
                <w:sz w:val="24"/>
                <w:szCs w:val="24"/>
                <w:highlight w:val="none"/>
              </w:rPr>
              <w:t>名称</w:t>
            </w:r>
          </w:p>
        </w:tc>
        <w:tc>
          <w:tcPr>
            <w:tcW w:w="2472" w:type="dxa"/>
            <w:vAlign w:val="center"/>
          </w:tcPr>
          <w:p>
            <w:pPr>
              <w:pStyle w:val="14"/>
              <w:spacing w:line="400" w:lineRule="exact"/>
              <w:ind w:left="269" w:leftChars="1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1331" w:type="dxa"/>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招标规格</w:t>
            </w:r>
          </w:p>
        </w:tc>
        <w:tc>
          <w:tcPr>
            <w:tcW w:w="1331" w:type="dxa"/>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投标规格</w:t>
            </w:r>
          </w:p>
        </w:tc>
        <w:tc>
          <w:tcPr>
            <w:tcW w:w="950" w:type="dxa"/>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951" w:type="dxa"/>
            <w:vAlign w:val="center"/>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75"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4"/>
              <w:spacing w:line="400" w:lineRule="exact"/>
              <w:ind w:left="1080" w:leftChars="257" w:hanging="540"/>
              <w:rPr>
                <w:rFonts w:hint="eastAsia" w:ascii="宋体" w:hAnsi="宋体" w:eastAsia="宋体" w:cs="宋体"/>
                <w:color w:val="auto"/>
                <w:sz w:val="24"/>
                <w:szCs w:val="24"/>
                <w:highlight w:val="none"/>
              </w:rPr>
            </w:pPr>
          </w:p>
        </w:tc>
      </w:tr>
    </w:tbl>
    <w:p>
      <w:pPr>
        <w:pStyle w:val="14"/>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4"/>
        <w:tabs>
          <w:tab w:val="left" w:pos="5370"/>
        </w:tabs>
        <w:spacing w:line="400" w:lineRule="exact"/>
        <w:ind w:left="1080" w:leftChars="257" w:hanging="54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ab/>
      </w:r>
      <w:bookmarkEnd w:id="837"/>
      <w:bookmarkEnd w:id="838"/>
      <w:bookmarkEnd w:id="839"/>
      <w:bookmarkEnd w:id="840"/>
      <w:bookmarkStart w:id="857" w:name="_Toc23"/>
      <w:bookmarkStart w:id="858" w:name="_Toc216582818"/>
      <w:bookmarkStart w:id="859" w:name="_Toc1980"/>
      <w:bookmarkStart w:id="860" w:name="_Toc515647821"/>
      <w:bookmarkStart w:id="861" w:name="_Toc31439"/>
    </w:p>
    <w:p>
      <w:pPr>
        <w:spacing w:line="240" w:lineRule="atLeast"/>
        <w:ind w:firstLine="3080" w:firstLineChars="1100"/>
        <w:rPr>
          <w:rFonts w:hint="eastAsia" w:ascii="宋体" w:hAnsi="宋体" w:eastAsia="宋体" w:cs="宋体"/>
          <w:color w:val="auto"/>
          <w:sz w:val="28"/>
          <w:szCs w:val="28"/>
          <w:highlight w:val="none"/>
        </w:rPr>
      </w:pPr>
      <w:bookmarkStart w:id="862" w:name="_Toc22109"/>
      <w:bookmarkStart w:id="863" w:name="_Toc14887"/>
      <w:bookmarkStart w:id="864" w:name="_Toc12914"/>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rPr>
          <w:rFonts w:hint="eastAsia" w:ascii="宋体" w:hAnsi="宋体" w:eastAsia="宋体" w:cs="宋体"/>
          <w:color w:val="auto"/>
          <w:sz w:val="28"/>
          <w:szCs w:val="28"/>
          <w:highlight w:val="none"/>
        </w:rPr>
      </w:pPr>
    </w:p>
    <w:p>
      <w:pPr>
        <w:pStyle w:val="33"/>
        <w:rPr>
          <w:rFonts w:hint="eastAsia" w:ascii="宋体" w:hAnsi="宋体" w:eastAsia="宋体" w:cs="宋体"/>
          <w:color w:val="auto"/>
          <w:sz w:val="28"/>
          <w:szCs w:val="28"/>
          <w:highlight w:val="none"/>
        </w:rPr>
      </w:pPr>
    </w:p>
    <w:p>
      <w:pPr>
        <w:pStyle w:val="33"/>
        <w:rPr>
          <w:rFonts w:hint="eastAsia" w:ascii="宋体" w:hAnsi="宋体" w:eastAsia="宋体" w:cs="宋体"/>
          <w:color w:val="auto"/>
          <w:sz w:val="28"/>
          <w:szCs w:val="28"/>
          <w:highlight w:val="none"/>
        </w:rPr>
      </w:pPr>
    </w:p>
    <w:p>
      <w:pPr>
        <w:pStyle w:val="33"/>
        <w:rPr>
          <w:rFonts w:hint="eastAsia" w:ascii="宋体" w:hAnsi="宋体" w:eastAsia="宋体" w:cs="宋体"/>
          <w:color w:val="auto"/>
          <w:sz w:val="28"/>
          <w:szCs w:val="28"/>
          <w:highlight w:val="none"/>
        </w:rPr>
      </w:pPr>
    </w:p>
    <w:p>
      <w:pPr>
        <w:pStyle w:val="33"/>
        <w:rPr>
          <w:rFonts w:hint="eastAsia" w:ascii="宋体" w:hAnsi="宋体" w:eastAsia="宋体" w:cs="宋体"/>
          <w:color w:val="auto"/>
          <w:sz w:val="28"/>
          <w:szCs w:val="28"/>
          <w:highlight w:val="none"/>
        </w:rPr>
      </w:pPr>
    </w:p>
    <w:p>
      <w:pPr>
        <w:pStyle w:val="33"/>
        <w:rPr>
          <w:rFonts w:hint="eastAsia" w:ascii="宋体" w:hAnsi="宋体" w:eastAsia="宋体" w:cs="宋体"/>
          <w:color w:val="auto"/>
          <w:sz w:val="28"/>
          <w:szCs w:val="28"/>
          <w:highlight w:val="none"/>
        </w:rPr>
      </w:pPr>
    </w:p>
    <w:p>
      <w:pPr>
        <w:pStyle w:val="7"/>
        <w:spacing w:before="0" w:line="240" w:lineRule="atLeast"/>
        <w:ind w:firstLine="3092" w:firstLineChars="1100"/>
        <w:jc w:val="both"/>
        <w:rPr>
          <w:rFonts w:hint="eastAsia" w:ascii="宋体" w:hAnsi="宋体" w:eastAsia="宋体" w:cs="宋体"/>
          <w:color w:val="auto"/>
          <w:szCs w:val="21"/>
          <w:highlight w:val="none"/>
        </w:rPr>
      </w:pPr>
      <w:bookmarkStart w:id="865" w:name="_Toc21858"/>
      <w:r>
        <w:rPr>
          <w:rFonts w:hint="eastAsia" w:ascii="宋体" w:hAnsi="宋体" w:eastAsia="宋体" w:cs="宋体"/>
          <w:color w:val="auto"/>
          <w:sz w:val="28"/>
          <w:szCs w:val="28"/>
          <w:highlight w:val="none"/>
        </w:rPr>
        <w:t>5、商务条款偏离表</w:t>
      </w:r>
      <w:bookmarkEnd w:id="857"/>
      <w:bookmarkEnd w:id="858"/>
      <w:bookmarkEnd w:id="859"/>
      <w:bookmarkEnd w:id="860"/>
      <w:bookmarkEnd w:id="861"/>
      <w:bookmarkEnd w:id="862"/>
      <w:bookmarkEnd w:id="863"/>
      <w:bookmarkEnd w:id="864"/>
      <w:bookmarkEnd w:id="865"/>
    </w:p>
    <w:p>
      <w:pPr>
        <w:pStyle w:val="14"/>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p>
    <w:tbl>
      <w:tblPr>
        <w:tblStyle w:val="26"/>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40" w:type="dxa"/>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2520" w:type="dxa"/>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2520" w:type="dxa"/>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1014" w:type="dxa"/>
          </w:tcPr>
          <w:p>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jc w:val="center"/>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jc w:val="center"/>
              <w:rPr>
                <w:rFonts w:hint="eastAsia" w:ascii="宋体" w:hAnsi="宋体" w:eastAsia="宋体" w:cs="宋体"/>
                <w:color w:val="auto"/>
                <w:sz w:val="24"/>
                <w:szCs w:val="24"/>
                <w:highlight w:val="none"/>
              </w:rPr>
            </w:pPr>
          </w:p>
        </w:tc>
        <w:tc>
          <w:tcPr>
            <w:tcW w:w="1014"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4"/>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4"/>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4"/>
              <w:spacing w:line="400" w:lineRule="exact"/>
              <w:ind w:left="1080" w:leftChars="257" w:hanging="540"/>
              <w:rPr>
                <w:rFonts w:hint="eastAsia" w:ascii="宋体" w:hAnsi="宋体" w:eastAsia="宋体" w:cs="宋体"/>
                <w:color w:val="auto"/>
                <w:sz w:val="24"/>
                <w:szCs w:val="24"/>
                <w:highlight w:val="none"/>
              </w:rPr>
            </w:pPr>
          </w:p>
        </w:tc>
      </w:tr>
    </w:tbl>
    <w:p>
      <w:pPr>
        <w:pStyle w:val="14"/>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4"/>
        <w:tabs>
          <w:tab w:val="left" w:pos="5370"/>
        </w:tabs>
        <w:spacing w:line="400" w:lineRule="exac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ab/>
      </w:r>
    </w:p>
    <w:p>
      <w:pPr>
        <w:rPr>
          <w:rFonts w:hint="eastAsia" w:ascii="宋体" w:hAnsi="宋体" w:eastAsia="宋体" w:cs="宋体"/>
          <w:color w:val="auto"/>
          <w:highlight w:val="none"/>
        </w:rPr>
      </w:pPr>
      <w:bookmarkStart w:id="866" w:name="_Hlt520343392"/>
      <w:bookmarkEnd w:id="866"/>
      <w:bookmarkStart w:id="867" w:name="_Hlt520273711"/>
      <w:bookmarkEnd w:id="867"/>
      <w:bookmarkStart w:id="868" w:name="_Hlt520350957"/>
      <w:bookmarkEnd w:id="868"/>
      <w:bookmarkStart w:id="869" w:name="_Hlt520274393"/>
      <w:bookmarkEnd w:id="869"/>
      <w:bookmarkStart w:id="870" w:name="_Hlt520350918"/>
      <w:bookmarkEnd w:id="870"/>
      <w:bookmarkStart w:id="871" w:name="_Hlt520271212"/>
      <w:bookmarkEnd w:id="871"/>
      <w:bookmarkStart w:id="872" w:name="_Hlt520274407"/>
      <w:bookmarkEnd w:id="872"/>
      <w:bookmarkStart w:id="873" w:name="_Hlt520273973"/>
      <w:bookmarkEnd w:id="873"/>
      <w:bookmarkStart w:id="874" w:name="_Hlt520343000"/>
      <w:bookmarkEnd w:id="874"/>
      <w:bookmarkStart w:id="875" w:name="_Hlt520274911"/>
      <w:bookmarkEnd w:id="875"/>
      <w:bookmarkStart w:id="876" w:name="_Hlt520274065"/>
      <w:bookmarkEnd w:id="876"/>
      <w:bookmarkStart w:id="877" w:name="_Toc10725"/>
      <w:bookmarkStart w:id="878" w:name="_Toc27043"/>
      <w:bookmarkStart w:id="879" w:name="_Toc21312"/>
      <w:bookmarkStart w:id="880" w:name="_Toc25797"/>
      <w:bookmarkStart w:id="881" w:name="_Toc515647823"/>
      <w:bookmarkStart w:id="882" w:name="_Toc31694"/>
      <w:bookmarkStart w:id="883" w:name="_Toc17820"/>
    </w:p>
    <w:p>
      <w:pPr>
        <w:spacing w:line="400" w:lineRule="exact"/>
        <w:jc w:val="center"/>
        <w:rPr>
          <w:rFonts w:hint="eastAsia" w:ascii="宋体" w:hAnsi="宋体" w:eastAsia="宋体" w:cs="宋体"/>
          <w:color w:val="auto"/>
          <w:sz w:val="24"/>
          <w:highlight w:val="none"/>
        </w:rPr>
      </w:pPr>
    </w:p>
    <w:p>
      <w:pPr>
        <w:spacing w:line="400" w:lineRule="exact"/>
        <w:jc w:val="center"/>
        <w:rPr>
          <w:rFonts w:hint="eastAsia" w:ascii="宋体" w:hAnsi="宋体" w:eastAsia="宋体" w:cs="宋体"/>
          <w:color w:val="auto"/>
          <w:sz w:val="24"/>
          <w:highlight w:val="none"/>
        </w:rPr>
      </w:pPr>
    </w:p>
    <w:p>
      <w:pPr>
        <w:pStyle w:val="20"/>
        <w:rPr>
          <w:rFonts w:hint="eastAsia" w:ascii="宋体" w:hAnsi="宋体" w:eastAsia="宋体" w:cs="宋体"/>
          <w:color w:val="auto"/>
          <w:sz w:val="24"/>
          <w:highlight w:val="none"/>
        </w:rPr>
      </w:pPr>
    </w:p>
    <w:p>
      <w:pPr>
        <w:pStyle w:val="20"/>
        <w:rPr>
          <w:rFonts w:hint="eastAsia" w:ascii="宋体" w:hAnsi="宋体" w:eastAsia="宋体" w:cs="宋体"/>
          <w:color w:val="auto"/>
          <w:sz w:val="24"/>
          <w:highlight w:val="none"/>
        </w:rPr>
      </w:pPr>
    </w:p>
    <w:p>
      <w:pPr>
        <w:pStyle w:val="20"/>
        <w:rPr>
          <w:rFonts w:hint="eastAsia" w:ascii="宋体" w:hAnsi="宋体" w:eastAsia="宋体" w:cs="宋体"/>
          <w:color w:val="auto"/>
          <w:sz w:val="24"/>
          <w:highlight w:val="none"/>
        </w:rPr>
      </w:pPr>
    </w:p>
    <w:p>
      <w:pPr>
        <w:pStyle w:val="20"/>
        <w:rPr>
          <w:rFonts w:hint="eastAsia" w:ascii="宋体" w:hAnsi="宋体" w:eastAsia="宋体" w:cs="宋体"/>
          <w:color w:val="auto"/>
          <w:sz w:val="24"/>
          <w:highlight w:val="none"/>
        </w:rPr>
      </w:pPr>
    </w:p>
    <w:p>
      <w:pPr>
        <w:pStyle w:val="20"/>
        <w:rPr>
          <w:rFonts w:hint="eastAsia" w:ascii="宋体" w:hAnsi="宋体" w:eastAsia="宋体" w:cs="宋体"/>
          <w:color w:val="auto"/>
          <w:sz w:val="24"/>
          <w:highlight w:val="none"/>
        </w:rPr>
      </w:pPr>
    </w:p>
    <w:p>
      <w:pPr>
        <w:pStyle w:val="20"/>
        <w:rPr>
          <w:rFonts w:hint="eastAsia" w:ascii="宋体" w:hAnsi="宋体" w:eastAsia="宋体" w:cs="宋体"/>
          <w:color w:val="auto"/>
          <w:sz w:val="24"/>
          <w:highlight w:val="none"/>
        </w:rPr>
      </w:pPr>
    </w:p>
    <w:p>
      <w:pPr>
        <w:pStyle w:val="20"/>
        <w:rPr>
          <w:rFonts w:hint="eastAsia" w:ascii="宋体" w:hAnsi="宋体" w:eastAsia="宋体" w:cs="宋体"/>
          <w:color w:val="auto"/>
          <w:sz w:val="24"/>
          <w:highlight w:val="none"/>
        </w:rPr>
      </w:pPr>
    </w:p>
    <w:p>
      <w:pPr>
        <w:spacing w:line="400" w:lineRule="exact"/>
        <w:jc w:val="center"/>
        <w:rPr>
          <w:rFonts w:hint="eastAsia" w:ascii="宋体" w:hAnsi="宋体" w:eastAsia="宋体" w:cs="宋体"/>
          <w:color w:val="auto"/>
          <w:sz w:val="24"/>
          <w:highlight w:val="none"/>
        </w:rPr>
      </w:pPr>
    </w:p>
    <w:p>
      <w:pPr>
        <w:pStyle w:val="7"/>
        <w:spacing w:before="0" w:line="400" w:lineRule="exact"/>
        <w:rPr>
          <w:rFonts w:hint="eastAsia" w:ascii="宋体" w:hAnsi="宋体" w:eastAsia="宋体" w:cs="宋体"/>
          <w:color w:val="auto"/>
          <w:highlight w:val="none"/>
          <w:lang w:eastAsia="zh-CN"/>
        </w:rPr>
      </w:pPr>
      <w:bookmarkStart w:id="884" w:name="_Toc7970"/>
      <w:r>
        <w:rPr>
          <w:rFonts w:hint="eastAsia" w:ascii="宋体" w:hAnsi="宋体" w:eastAsia="宋体" w:cs="宋体"/>
          <w:color w:val="auto"/>
          <w:sz w:val="24"/>
          <w:szCs w:val="24"/>
          <w:highlight w:val="none"/>
        </w:rPr>
        <w:t xml:space="preserve">6-1  </w:t>
      </w:r>
      <w:bookmarkEnd w:id="877"/>
      <w:bookmarkEnd w:id="878"/>
      <w:bookmarkEnd w:id="879"/>
      <w:bookmarkEnd w:id="880"/>
      <w:bookmarkEnd w:id="881"/>
      <w:bookmarkEnd w:id="882"/>
      <w:bookmarkEnd w:id="883"/>
      <w:r>
        <w:rPr>
          <w:rFonts w:hint="eastAsia" w:ascii="宋体" w:hAnsi="宋体" w:eastAsia="宋体" w:cs="宋体"/>
          <w:color w:val="auto"/>
          <w:sz w:val="24"/>
          <w:szCs w:val="24"/>
          <w:highlight w:val="none"/>
        </w:rPr>
        <w:t>中小企业声明函</w:t>
      </w:r>
      <w:r>
        <w:rPr>
          <w:rFonts w:hint="eastAsia" w:ascii="宋体" w:hAnsi="宋体" w:eastAsia="宋体" w:cs="宋体"/>
          <w:color w:val="auto"/>
          <w:sz w:val="24"/>
          <w:szCs w:val="24"/>
          <w:highlight w:val="none"/>
          <w:lang w:eastAsia="zh-CN"/>
        </w:rPr>
        <w:t>（服务）</w:t>
      </w:r>
      <w:bookmarkEnd w:id="884"/>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bookmarkStart w:id="885" w:name="_Toc11189"/>
      <w:r>
        <w:rPr>
          <w:rFonts w:hint="eastAsia" w:ascii="宋体" w:hAnsi="宋体" w:eastAsia="宋体" w:cs="宋体"/>
          <w:color w:val="auto"/>
          <w:kern w:val="0"/>
          <w:sz w:val="24"/>
          <w:highlight w:val="none"/>
        </w:rPr>
        <w:t>本公司（联合体）郑重声明，根据《政府采购促进中小企业发展管理办法》（财库﹝2020﹞46 号）的规定，本公司（联合体）参加 </w:t>
      </w:r>
      <w:r>
        <w:rPr>
          <w:rFonts w:hint="eastAsia" w:ascii="宋体" w:hAnsi="宋体" w:eastAsia="宋体" w:cs="宋体"/>
          <w:color w:val="auto"/>
          <w:kern w:val="0"/>
          <w:sz w:val="24"/>
          <w:highlight w:val="none"/>
          <w:u w:val="single"/>
        </w:rPr>
        <w:t>   （单位名称）</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（项目名称）</w:t>
      </w:r>
      <w:r>
        <w:rPr>
          <w:rFonts w:hint="eastAsia" w:ascii="宋体" w:hAnsi="宋体" w:eastAsia="宋体" w:cs="宋体"/>
          <w:color w:val="auto"/>
          <w:kern w:val="0"/>
          <w:sz w:val="24"/>
          <w:highlight w:val="none"/>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   （标的名称）</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    （采购文件中明确的所属行业）</w:t>
      </w:r>
      <w:r>
        <w:rPr>
          <w:rFonts w:hint="eastAsia" w:ascii="宋体" w:hAnsi="宋体" w:eastAsia="宋体" w:cs="宋体"/>
          <w:color w:val="auto"/>
          <w:kern w:val="0"/>
          <w:sz w:val="24"/>
          <w:highlight w:val="none"/>
        </w:rPr>
        <w:t>；承接企业为</w:t>
      </w:r>
      <w:r>
        <w:rPr>
          <w:rFonts w:hint="eastAsia" w:ascii="宋体" w:hAnsi="宋体" w:eastAsia="宋体" w:cs="宋体"/>
          <w:color w:val="auto"/>
          <w:kern w:val="0"/>
          <w:sz w:val="24"/>
          <w:highlight w:val="none"/>
          <w:u w:val="single"/>
        </w:rPr>
        <w:t>    （企业名称）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万元，属于</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（中型企业、小型企业、微型企业）；</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2. </w:t>
      </w:r>
      <w:r>
        <w:rPr>
          <w:rFonts w:hint="eastAsia" w:ascii="宋体" w:hAnsi="宋体" w:eastAsia="宋体" w:cs="宋体"/>
          <w:color w:val="auto"/>
          <w:kern w:val="0"/>
          <w:sz w:val="24"/>
          <w:highlight w:val="none"/>
          <w:u w:val="single"/>
        </w:rPr>
        <w:t>  （标的名称）</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    （采购文件中明确的所属行业）</w:t>
      </w:r>
      <w:r>
        <w:rPr>
          <w:rFonts w:hint="eastAsia" w:ascii="宋体" w:hAnsi="宋体" w:eastAsia="宋体" w:cs="宋体"/>
          <w:color w:val="auto"/>
          <w:kern w:val="0"/>
          <w:sz w:val="24"/>
          <w:highlight w:val="none"/>
        </w:rPr>
        <w:t>；承接企业为</w:t>
      </w:r>
      <w:r>
        <w:rPr>
          <w:rFonts w:hint="eastAsia" w:ascii="宋体" w:hAnsi="宋体" w:eastAsia="宋体" w:cs="宋体"/>
          <w:color w:val="auto"/>
          <w:kern w:val="0"/>
          <w:sz w:val="24"/>
          <w:highlight w:val="none"/>
          <w:u w:val="single"/>
        </w:rPr>
        <w:t>    （企业名称）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万元，属于</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（中型企业、小型企业、微型企业）；</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keepNext w:val="0"/>
        <w:keepLines w:val="0"/>
        <w:pageBreakBefore w:val="0"/>
        <w:widowControl w:val="0"/>
        <w:kinsoku/>
        <w:wordWrap/>
        <w:overflowPunct/>
        <w:topLinePunct w:val="0"/>
        <w:autoSpaceDE/>
        <w:autoSpaceDN/>
        <w:bidi w:val="0"/>
        <w:adjustRightInd/>
        <w:snapToGrid/>
        <w:spacing w:line="500" w:lineRule="exact"/>
        <w:ind w:firstLine="567"/>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企业名称（盖章）：</w:t>
      </w:r>
    </w:p>
    <w:p>
      <w:pPr>
        <w:keepNext w:val="0"/>
        <w:keepLines w:val="0"/>
        <w:pageBreakBefore w:val="0"/>
        <w:widowControl w:val="0"/>
        <w:kinsoku/>
        <w:wordWrap/>
        <w:overflowPunct/>
        <w:topLinePunct w:val="0"/>
        <w:autoSpaceDE/>
        <w:autoSpaceDN/>
        <w:bidi w:val="0"/>
        <w:adjustRightInd/>
        <w:snapToGrid/>
        <w:spacing w:line="500" w:lineRule="exact"/>
        <w:ind w:firstLine="4723" w:firstLineChars="1968"/>
        <w:jc w:val="both"/>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日期：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24"/>
          <w:szCs w:val="24"/>
          <w:highlight w:val="none"/>
        </w:rPr>
        <w:t>注：</w:t>
      </w:r>
      <w:bookmarkEnd w:id="885"/>
      <w:bookmarkStart w:id="886" w:name="_Toc11803"/>
      <w:bookmarkStart w:id="887" w:name="_Toc2709"/>
      <w:bookmarkStart w:id="888" w:name="_Toc9687"/>
      <w:bookmarkStart w:id="889" w:name="_Toc515647824"/>
      <w:bookmarkStart w:id="890" w:name="_Toc10977"/>
      <w:bookmarkStart w:id="891" w:name="_Toc11343"/>
      <w:bookmarkStart w:id="892" w:name="_Toc21610"/>
      <w:r>
        <w:rPr>
          <w:rFonts w:hint="eastAsia" w:ascii="宋体" w:hAnsi="宋体" w:eastAsia="宋体" w:cs="宋体"/>
          <w:b/>
          <w:bCs/>
          <w:color w:val="auto"/>
          <w:kern w:val="0"/>
          <w:sz w:val="24"/>
          <w:szCs w:val="24"/>
          <w:highlight w:val="none"/>
        </w:rPr>
        <w:t xml:space="preserve">潜在投标企业属于中小微企业的，请在投标文件中提供“中小企业声明函”，如果未提供或提供虚假的“中小企业声明函”，投标企业将承担由此造成的一切不利后果。  </w:t>
      </w:r>
      <w:r>
        <w:rPr>
          <w:rFonts w:hint="eastAsia" w:ascii="宋体" w:hAnsi="宋体" w:eastAsia="宋体" w:cs="宋体"/>
          <w:b/>
          <w:bCs/>
          <w:color w:val="auto"/>
          <w:kern w:val="0"/>
          <w:szCs w:val="21"/>
          <w:highlight w:val="none"/>
        </w:rPr>
        <w:t xml:space="preserve">                    </w:t>
      </w:r>
    </w:p>
    <w:p>
      <w:pPr>
        <w:spacing w:line="400" w:lineRule="exact"/>
        <w:rPr>
          <w:rFonts w:hint="eastAsia" w:ascii="宋体" w:hAnsi="宋体" w:eastAsia="宋体" w:cs="宋体"/>
          <w:color w:val="auto"/>
          <w:sz w:val="24"/>
          <w:highlight w:val="none"/>
        </w:rPr>
      </w:pPr>
    </w:p>
    <w:p>
      <w:pPr>
        <w:spacing w:line="400" w:lineRule="exact"/>
        <w:rPr>
          <w:rFonts w:hint="eastAsia" w:ascii="宋体" w:hAnsi="宋体" w:eastAsia="宋体" w:cs="宋体"/>
          <w:color w:val="auto"/>
          <w:sz w:val="24"/>
          <w:highlight w:val="none"/>
        </w:rPr>
      </w:pPr>
    </w:p>
    <w:p>
      <w:pPr>
        <w:spacing w:line="400" w:lineRule="exact"/>
        <w:rPr>
          <w:rFonts w:hint="eastAsia" w:ascii="宋体" w:hAnsi="宋体" w:eastAsia="宋体" w:cs="宋体"/>
          <w:color w:val="auto"/>
          <w:sz w:val="24"/>
          <w:highlight w:val="none"/>
        </w:rPr>
      </w:pPr>
    </w:p>
    <w:p>
      <w:pPr>
        <w:pStyle w:val="7"/>
        <w:spacing w:before="0" w:line="400" w:lineRule="exact"/>
        <w:jc w:val="both"/>
        <w:rPr>
          <w:rFonts w:hint="eastAsia" w:ascii="宋体" w:hAnsi="宋体" w:eastAsia="宋体" w:cs="宋体"/>
          <w:color w:val="auto"/>
          <w:sz w:val="24"/>
          <w:szCs w:val="24"/>
          <w:highlight w:val="none"/>
        </w:rPr>
      </w:pPr>
      <w:bookmarkStart w:id="893" w:name="_Toc14261"/>
      <w:r>
        <w:rPr>
          <w:rFonts w:hint="eastAsia" w:ascii="宋体" w:hAnsi="宋体" w:eastAsia="宋体" w:cs="宋体"/>
          <w:color w:val="auto"/>
          <w:sz w:val="24"/>
          <w:szCs w:val="24"/>
          <w:highlight w:val="none"/>
        </w:rPr>
        <w:t xml:space="preserve">6-2  </w:t>
      </w:r>
      <w:bookmarkEnd w:id="886"/>
      <w:bookmarkEnd w:id="887"/>
      <w:bookmarkEnd w:id="888"/>
      <w:bookmarkEnd w:id="889"/>
      <w:bookmarkEnd w:id="890"/>
      <w:bookmarkEnd w:id="891"/>
      <w:bookmarkEnd w:id="892"/>
      <w:bookmarkStart w:id="894" w:name="_Toc19312"/>
      <w:bookmarkStart w:id="895" w:name="_Toc15294"/>
      <w:bookmarkStart w:id="896" w:name="OLE_LINK13"/>
      <w:bookmarkStart w:id="897" w:name="_Toc23068"/>
      <w:bookmarkStart w:id="898" w:name="OLE_LINK14"/>
      <w:bookmarkStart w:id="899" w:name="_Toc11516"/>
      <w:bookmarkStart w:id="900" w:name="_Toc31700"/>
      <w:bookmarkStart w:id="901" w:name="_Toc515647825"/>
      <w:bookmarkStart w:id="902" w:name="_Toc19284"/>
      <w:r>
        <w:rPr>
          <w:rFonts w:hint="eastAsia" w:ascii="宋体" w:hAnsi="宋体" w:eastAsia="宋体" w:cs="宋体"/>
          <w:color w:val="auto"/>
          <w:sz w:val="24"/>
          <w:szCs w:val="24"/>
          <w:highlight w:val="none"/>
        </w:rPr>
        <w:t>残疾人福利性单位声明函</w:t>
      </w:r>
      <w:bookmarkEnd w:id="893"/>
      <w:bookmarkEnd w:id="894"/>
      <w:bookmarkEnd w:id="895"/>
      <w:bookmarkEnd w:id="896"/>
      <w:bookmarkEnd w:id="897"/>
      <w:bookmarkEnd w:id="898"/>
      <w:bookmarkEnd w:id="899"/>
      <w:bookmarkEnd w:id="900"/>
      <w:bookmarkEnd w:id="901"/>
      <w:bookmarkEnd w:id="902"/>
    </w:p>
    <w:p>
      <w:pPr>
        <w:spacing w:line="400" w:lineRule="exact"/>
        <w:ind w:left="1080" w:leftChars="257" w:hanging="540"/>
        <w:jc w:val="center"/>
        <w:rPr>
          <w:rFonts w:hint="eastAsia" w:ascii="宋体" w:hAnsi="宋体" w:eastAsia="宋体" w:cs="宋体"/>
          <w:color w:val="auto"/>
          <w:kern w:val="0"/>
          <w:sz w:val="24"/>
          <w:highlight w:val="none"/>
        </w:rPr>
      </w:pPr>
    </w:p>
    <w:p>
      <w:pPr>
        <w:spacing w:line="400" w:lineRule="exact"/>
        <w:ind w:firstLine="56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400" w:lineRule="exact"/>
        <w:ind w:left="1080" w:leftChars="257" w:hanging="54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本单位对上述声明的真实性负责。如有虚假，将依法承担相应责任。</w:t>
      </w:r>
    </w:p>
    <w:p>
      <w:pPr>
        <w:spacing w:line="400" w:lineRule="exact"/>
        <w:ind w:left="1080" w:leftChars="257" w:hanging="54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残疾人福利性单位名称（公章）：______________</w:t>
      </w:r>
    </w:p>
    <w:p>
      <w:pPr>
        <w:spacing w:line="400" w:lineRule="exact"/>
        <w:ind w:left="1080" w:leftChars="257" w:hanging="540"/>
        <w:jc w:val="center"/>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color="FFFFFF"/>
        </w:rPr>
        <w:t xml:space="preserve">       </w:t>
      </w:r>
      <w:r>
        <w:rPr>
          <w:rFonts w:hint="eastAsia" w:ascii="宋体" w:hAnsi="宋体" w:eastAsia="宋体" w:cs="宋体"/>
          <w:color w:val="auto"/>
          <w:kern w:val="0"/>
          <w:sz w:val="24"/>
          <w:highlight w:val="none"/>
        </w:rPr>
        <w:t>日  期：_____________________________________________</w:t>
      </w:r>
    </w:p>
    <w:p>
      <w:pPr>
        <w:pStyle w:val="2"/>
        <w:spacing w:line="400" w:lineRule="exact"/>
        <w:ind w:firstLine="480"/>
        <w:rPr>
          <w:rFonts w:hint="eastAsia" w:ascii="宋体" w:hAnsi="宋体" w:eastAsia="宋体" w:cs="宋体"/>
          <w:color w:val="auto"/>
          <w:highlight w:val="none"/>
        </w:rPr>
      </w:pPr>
    </w:p>
    <w:p>
      <w:pPr>
        <w:spacing w:line="400" w:lineRule="exact"/>
        <w:ind w:left="1080" w:leftChars="257" w:hanging="540"/>
        <w:jc w:val="center"/>
        <w:rPr>
          <w:rFonts w:hint="eastAsia" w:ascii="宋体" w:hAnsi="宋体" w:eastAsia="宋体" w:cs="宋体"/>
          <w:b/>
          <w:color w:val="auto"/>
          <w:kern w:val="0"/>
          <w:sz w:val="24"/>
          <w:highlight w:val="none"/>
        </w:rPr>
      </w:pPr>
    </w:p>
    <w:p>
      <w:pPr>
        <w:pStyle w:val="7"/>
        <w:spacing w:before="0" w:line="400" w:lineRule="exact"/>
        <w:ind w:firstLine="241" w:firstLineChars="100"/>
        <w:jc w:val="both"/>
        <w:rPr>
          <w:rFonts w:hint="eastAsia" w:ascii="宋体" w:hAnsi="宋体" w:eastAsia="宋体" w:cs="宋体"/>
          <w:color w:val="auto"/>
          <w:sz w:val="24"/>
          <w:szCs w:val="24"/>
          <w:highlight w:val="none"/>
        </w:rPr>
      </w:pPr>
      <w:bookmarkStart w:id="903" w:name="_Toc17401"/>
      <w:bookmarkStart w:id="904" w:name="_Toc515647827"/>
      <w:bookmarkStart w:id="905" w:name="_Toc26353"/>
      <w:bookmarkStart w:id="906" w:name="_Toc23926"/>
      <w:bookmarkStart w:id="907" w:name="_Toc28099"/>
      <w:bookmarkStart w:id="908" w:name="_Toc22102"/>
      <w:bookmarkStart w:id="909" w:name="_Toc6004"/>
      <w:bookmarkStart w:id="910" w:name="_Toc30795"/>
      <w:r>
        <w:rPr>
          <w:rFonts w:hint="eastAsia" w:ascii="宋体" w:hAnsi="宋体" w:eastAsia="宋体" w:cs="宋体"/>
          <w:color w:val="auto"/>
          <w:sz w:val="24"/>
          <w:szCs w:val="24"/>
          <w:highlight w:val="none"/>
        </w:rPr>
        <w:t>7、供应商关联单位的说明</w:t>
      </w:r>
      <w:bookmarkEnd w:id="903"/>
      <w:bookmarkEnd w:id="904"/>
      <w:bookmarkEnd w:id="905"/>
      <w:bookmarkEnd w:id="906"/>
      <w:bookmarkEnd w:id="907"/>
      <w:bookmarkEnd w:id="908"/>
      <w:bookmarkEnd w:id="909"/>
      <w:bookmarkEnd w:id="910"/>
    </w:p>
    <w:p>
      <w:pPr>
        <w:pStyle w:val="4"/>
        <w:spacing w:line="400" w:lineRule="exact"/>
        <w:jc w:val="center"/>
        <w:rPr>
          <w:rFonts w:hint="eastAsia" w:ascii="宋体" w:hAnsi="宋体" w:eastAsia="宋体" w:cs="宋体"/>
          <w:color w:val="auto"/>
          <w:szCs w:val="24"/>
          <w:highlight w:val="none"/>
        </w:rPr>
      </w:pPr>
    </w:p>
    <w:p>
      <w:pPr>
        <w:pStyle w:val="4"/>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说明：供应商应当如实披露与本单位存在下列关联关系的单位名称：</w:t>
      </w:r>
    </w:p>
    <w:p>
      <w:pPr>
        <w:pStyle w:val="4"/>
        <w:spacing w:line="40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（1）与供应商单位负责人为同一人的其他单位；</w:t>
      </w:r>
    </w:p>
    <w:p>
      <w:pPr>
        <w:pStyle w:val="4"/>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 xml:space="preserve">    （2）与供应商存在直接控股、管理关系的其他单位。</w:t>
      </w:r>
    </w:p>
    <w:p>
      <w:pPr>
        <w:pStyle w:val="20"/>
        <w:rPr>
          <w:rFonts w:hint="eastAsia" w:ascii="宋体" w:hAnsi="宋体" w:eastAsia="宋体" w:cs="宋体"/>
          <w:b/>
          <w:color w:val="auto"/>
          <w:kern w:val="0"/>
          <w:sz w:val="24"/>
          <w:highlight w:val="none"/>
        </w:rPr>
      </w:pPr>
    </w:p>
    <w:p>
      <w:pPr>
        <w:pStyle w:val="4"/>
        <w:rPr>
          <w:rFonts w:hint="eastAsia" w:ascii="宋体" w:hAnsi="宋体" w:eastAsia="宋体" w:cs="宋体"/>
          <w:color w:val="auto"/>
          <w:highlight w:val="none"/>
        </w:rPr>
      </w:pPr>
    </w:p>
    <w:p>
      <w:pPr>
        <w:pStyle w:val="4"/>
        <w:ind w:firstLine="0"/>
        <w:rPr>
          <w:rFonts w:hint="eastAsia" w:ascii="宋体" w:hAnsi="宋体" w:eastAsia="宋体" w:cs="宋体"/>
          <w:color w:val="auto"/>
          <w:highlight w:val="none"/>
        </w:rPr>
      </w:pPr>
    </w:p>
    <w:p>
      <w:pPr>
        <w:pStyle w:val="7"/>
        <w:spacing w:before="0" w:line="400" w:lineRule="exact"/>
        <w:ind w:firstLine="241" w:firstLineChars="100"/>
        <w:jc w:val="both"/>
        <w:rPr>
          <w:rFonts w:hint="eastAsia" w:ascii="宋体" w:hAnsi="宋体" w:eastAsia="宋体" w:cs="宋体"/>
          <w:color w:val="auto"/>
          <w:sz w:val="24"/>
          <w:szCs w:val="24"/>
          <w:highlight w:val="none"/>
        </w:rPr>
      </w:pPr>
      <w:bookmarkStart w:id="911" w:name="_Toc7953"/>
      <w:r>
        <w:rPr>
          <w:rFonts w:hint="eastAsia" w:ascii="宋体" w:hAnsi="宋体" w:eastAsia="宋体" w:cs="宋体"/>
          <w:color w:val="auto"/>
          <w:sz w:val="24"/>
          <w:szCs w:val="24"/>
          <w:highlight w:val="none"/>
        </w:rPr>
        <w:t>8、供应商可提供有利于投标的其他资格证明材料</w:t>
      </w:r>
      <w:bookmarkEnd w:id="911"/>
    </w:p>
    <w:p>
      <w:pPr>
        <w:rPr>
          <w:rFonts w:hint="eastAsia" w:ascii="宋体" w:hAnsi="宋体" w:eastAsia="宋体" w:cs="宋体"/>
          <w:color w:val="auto"/>
          <w:highlight w:val="none"/>
        </w:rPr>
      </w:pPr>
    </w:p>
    <w:tbl>
      <w:tblPr>
        <w:tblStyle w:val="26"/>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11"/>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（正本和副本）</w:t>
            </w:r>
          </w:p>
          <w:p>
            <w:pPr>
              <w:pStyle w:val="11"/>
              <w:ind w:firstLine="4216" w:firstLineChars="1500"/>
              <w:rPr>
                <w:rFonts w:hint="eastAsia" w:ascii="宋体" w:hAnsi="宋体" w:eastAsia="宋体" w:cs="宋体"/>
                <w:b/>
                <w:bCs/>
                <w:color w:val="auto"/>
                <w:sz w:val="28"/>
                <w:szCs w:val="28"/>
                <w:highlight w:val="none"/>
              </w:rPr>
            </w:pPr>
          </w:p>
          <w:p>
            <w:pPr>
              <w:pStyle w:val="11"/>
              <w:ind w:firstLine="4216" w:firstLineChars="1500"/>
              <w:rPr>
                <w:rFonts w:hint="eastAsia" w:ascii="宋体" w:hAnsi="宋体" w:eastAsia="宋体" w:cs="宋体"/>
                <w:b/>
                <w:bCs/>
                <w:color w:val="auto"/>
                <w:sz w:val="28"/>
                <w:szCs w:val="28"/>
                <w:highlight w:val="none"/>
              </w:rPr>
            </w:pPr>
          </w:p>
          <w:p>
            <w:pPr>
              <w:pStyle w:val="11"/>
              <w:rPr>
                <w:rFonts w:hint="eastAsia" w:ascii="宋体" w:hAnsi="宋体" w:eastAsia="宋体" w:cs="宋体"/>
                <w:b/>
                <w:bCs/>
                <w:color w:val="auto"/>
                <w:sz w:val="28"/>
                <w:szCs w:val="28"/>
                <w:highlight w:val="none"/>
              </w:rPr>
            </w:pPr>
          </w:p>
          <w:p>
            <w:pPr>
              <w:pStyle w:val="11"/>
              <w:ind w:firstLine="2530" w:firstLineChars="9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 *** *** ***   项目</w:t>
            </w:r>
          </w:p>
          <w:p>
            <w:pPr>
              <w:pStyle w:val="11"/>
              <w:jc w:val="center"/>
              <w:rPr>
                <w:rFonts w:hint="eastAsia" w:ascii="宋体" w:hAnsi="宋体" w:eastAsia="宋体" w:cs="宋体"/>
                <w:b/>
                <w:bCs/>
                <w:color w:val="auto"/>
                <w:sz w:val="21"/>
                <w:szCs w:val="21"/>
                <w:highlight w:val="none"/>
              </w:rPr>
            </w:pPr>
          </w:p>
          <w:p>
            <w:pPr>
              <w:pStyle w:val="11"/>
              <w:ind w:firstLine="3795" w:firstLineChars="18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编号 ＊＊＊      </w:t>
            </w:r>
          </w:p>
          <w:p>
            <w:pPr>
              <w:pStyle w:val="11"/>
              <w:jc w:val="center"/>
              <w:rPr>
                <w:rFonts w:hint="eastAsia" w:ascii="宋体" w:hAnsi="宋体" w:eastAsia="宋体" w:cs="宋体"/>
                <w:b/>
                <w:bCs/>
                <w:color w:val="auto"/>
                <w:sz w:val="48"/>
                <w:highlight w:val="none"/>
              </w:rPr>
            </w:pPr>
          </w:p>
          <w:p>
            <w:pPr>
              <w:pStyle w:val="11"/>
              <w:jc w:val="center"/>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rPr>
              <w:t>投 标 文 件</w:t>
            </w:r>
          </w:p>
          <w:p>
            <w:pPr>
              <w:pStyle w:val="4"/>
              <w:ind w:firstLine="0"/>
              <w:rPr>
                <w:rFonts w:hint="eastAsia" w:ascii="宋体" w:hAnsi="宋体" w:eastAsia="宋体" w:cs="宋体"/>
                <w:b/>
                <w:color w:val="auto"/>
                <w:sz w:val="32"/>
                <w:highlight w:val="none"/>
              </w:rPr>
            </w:pPr>
          </w:p>
          <w:p>
            <w:pPr>
              <w:pStyle w:val="4"/>
              <w:rPr>
                <w:rFonts w:hint="eastAsia" w:ascii="宋体" w:hAnsi="宋体" w:eastAsia="宋体" w:cs="宋体"/>
                <w:b/>
                <w:color w:val="auto"/>
                <w:sz w:val="32"/>
                <w:highlight w:val="none"/>
              </w:rPr>
            </w:pPr>
          </w:p>
          <w:p>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spacing w:line="360" w:lineRule="auto"/>
              <w:ind w:left="176" w:leftChars="84" w:firstLine="840" w:firstLineChars="400"/>
              <w:rPr>
                <w:rFonts w:hint="eastAsia" w:ascii="宋体" w:hAnsi="宋体" w:eastAsia="宋体" w:cs="宋体"/>
                <w:b/>
                <w:bCs/>
                <w:color w:val="auto"/>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jc w:val="center"/>
              <w:rPr>
                <w:rFonts w:hint="eastAsia" w:ascii="宋体" w:hAnsi="宋体" w:eastAsia="宋体" w:cs="宋体"/>
                <w:b/>
                <w:bCs/>
                <w:color w:val="auto"/>
                <w:highlight w:val="none"/>
              </w:rPr>
            </w:pPr>
          </w:p>
          <w:p>
            <w:pPr>
              <w:pStyle w:val="4"/>
              <w:rPr>
                <w:rFonts w:hint="eastAsia" w:ascii="宋体" w:hAnsi="宋体" w:eastAsia="宋体" w:cs="宋体"/>
                <w:color w:val="auto"/>
                <w:highlight w:val="none"/>
              </w:rPr>
            </w:pPr>
          </w:p>
          <w:p>
            <w:pPr>
              <w:jc w:val="center"/>
              <w:rPr>
                <w:rFonts w:hint="eastAsia" w:ascii="宋体" w:hAnsi="宋体" w:eastAsia="宋体" w:cs="宋体"/>
                <w:b/>
                <w:bCs/>
                <w:color w:val="auto"/>
                <w:highlight w:val="none"/>
              </w:rPr>
            </w:pPr>
          </w:p>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注：   在202</w:t>
            </w:r>
            <w:r>
              <w:rPr>
                <w:rFonts w:hint="eastAsia" w:ascii="宋体" w:hAnsi="宋体" w:eastAsia="宋体" w:cs="宋体"/>
                <w:b/>
                <w:bCs/>
                <w:color w:val="auto"/>
                <w:highlight w:val="none"/>
                <w:lang w:val="en-US"/>
              </w:rPr>
              <w:t>2</w:t>
            </w:r>
            <w:r>
              <w:rPr>
                <w:rFonts w:hint="eastAsia" w:ascii="宋体" w:hAnsi="宋体" w:eastAsia="宋体" w:cs="宋体"/>
                <w:b/>
                <w:bCs/>
                <w:color w:val="auto"/>
                <w:highlight w:val="none"/>
              </w:rPr>
              <w:t>年   月  日 *午</w:t>
            </w:r>
            <w:r>
              <w:rPr>
                <w:rFonts w:hint="eastAsia" w:ascii="宋体" w:hAnsi="宋体" w:eastAsia="宋体" w:cs="宋体"/>
                <w:color w:val="auto"/>
                <w:kern w:val="0"/>
                <w:szCs w:val="21"/>
                <w:highlight w:val="none"/>
              </w:rPr>
              <w:t>XX</w:t>
            </w:r>
            <w:r>
              <w:rPr>
                <w:rFonts w:hint="eastAsia" w:ascii="宋体" w:hAnsi="宋体" w:eastAsia="宋体" w:cs="宋体"/>
                <w:b/>
                <w:bCs/>
                <w:color w:val="auto"/>
                <w:highlight w:val="none"/>
              </w:rPr>
              <w:t>之前不得启封</w:t>
            </w:r>
          </w:p>
          <w:p>
            <w:pPr>
              <w:jc w:val="center"/>
              <w:rPr>
                <w:rFonts w:hint="eastAsia" w:ascii="宋体" w:hAnsi="宋体" w:eastAsia="宋体" w:cs="宋体"/>
                <w:b/>
                <w:bCs/>
                <w:color w:val="auto"/>
                <w:highlight w:val="none"/>
              </w:rPr>
            </w:pPr>
          </w:p>
        </w:tc>
      </w:tr>
    </w:tbl>
    <w:p>
      <w:pPr>
        <w:spacing w:line="240" w:lineRule="atLeast"/>
        <w:ind w:firstLine="241" w:firstLineChars="100"/>
        <w:outlineLvl w:val="1"/>
        <w:rPr>
          <w:rFonts w:hint="eastAsia" w:ascii="宋体" w:hAnsi="宋体" w:eastAsia="宋体" w:cs="宋体"/>
          <w:b/>
          <w:color w:val="auto"/>
          <w:kern w:val="0"/>
          <w:sz w:val="24"/>
          <w:highlight w:val="none"/>
        </w:rPr>
      </w:pPr>
      <w:bookmarkStart w:id="912" w:name="_Toc21288"/>
      <w:r>
        <w:rPr>
          <w:rFonts w:hint="eastAsia" w:ascii="宋体" w:hAnsi="宋体" w:eastAsia="宋体" w:cs="宋体"/>
          <w:b/>
          <w:color w:val="auto"/>
          <w:kern w:val="0"/>
          <w:sz w:val="24"/>
          <w:highlight w:val="none"/>
        </w:rPr>
        <w:t>9、投标文件格式范本</w:t>
      </w:r>
      <w:bookmarkEnd w:id="912"/>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rPr>
          <w:rFonts w:hint="eastAsia" w:ascii="宋体" w:hAnsi="宋体" w:eastAsia="宋体" w:cs="宋体"/>
          <w:b/>
          <w:color w:val="auto"/>
          <w:sz w:val="44"/>
          <w:szCs w:val="44"/>
          <w:highlight w:val="none"/>
        </w:rPr>
      </w:pPr>
    </w:p>
    <w:p>
      <w:pPr>
        <w:pStyle w:val="33"/>
        <w:rPr>
          <w:rFonts w:hint="eastAsia" w:ascii="宋体" w:hAnsi="宋体" w:eastAsia="宋体" w:cs="宋体"/>
          <w:b/>
          <w:color w:val="auto"/>
          <w:sz w:val="44"/>
          <w:szCs w:val="44"/>
          <w:highlight w:val="none"/>
        </w:rPr>
      </w:pPr>
    </w:p>
    <w:p>
      <w:pPr>
        <w:pStyle w:val="33"/>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pPr>
        <w:spacing w:line="360" w:lineRule="auto"/>
        <w:rPr>
          <w:rFonts w:hint="eastAsia" w:ascii="宋体" w:hAnsi="宋体" w:eastAsia="宋体" w:cs="宋体"/>
          <w:b/>
          <w:color w:val="auto"/>
          <w:sz w:val="40"/>
          <w:szCs w:val="40"/>
          <w:highlight w:val="none"/>
        </w:rPr>
      </w:pPr>
      <w:bookmarkStart w:id="913" w:name="_Toc24900_WPSOffice_Level2"/>
    </w:p>
    <w:p>
      <w:pPr>
        <w:spacing w:line="240" w:lineRule="atLeast"/>
        <w:jc w:val="center"/>
        <w:rPr>
          <w:rFonts w:hint="eastAsia" w:ascii="宋体" w:hAnsi="宋体" w:eastAsia="宋体" w:cs="宋体"/>
          <w:b/>
          <w:color w:val="auto"/>
          <w:sz w:val="32"/>
          <w:highlight w:val="none"/>
        </w:rPr>
      </w:pPr>
      <w:r>
        <w:rPr>
          <w:rFonts w:hint="eastAsia" w:ascii="宋体" w:hAnsi="宋体" w:eastAsia="宋体" w:cs="宋体"/>
          <w:b/>
          <w:color w:val="auto"/>
          <w:sz w:val="40"/>
          <w:szCs w:val="40"/>
          <w:highlight w:val="none"/>
        </w:rPr>
        <w:t xml:space="preserve">项目编号： </w:t>
      </w:r>
      <w:bookmarkEnd w:id="913"/>
      <w:r>
        <w:rPr>
          <w:rFonts w:hint="eastAsia" w:ascii="宋体" w:hAnsi="宋体" w:eastAsia="宋体" w:cs="宋体"/>
          <w:b/>
          <w:color w:val="auto"/>
          <w:sz w:val="40"/>
          <w:szCs w:val="40"/>
          <w:highlight w:val="none"/>
        </w:rPr>
        <w:t>ZJ（GK）-22037</w:t>
      </w: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t>第 二 册</w:t>
      </w:r>
    </w:p>
    <w:p>
      <w:pPr>
        <w:rPr>
          <w:rFonts w:hint="eastAsia" w:ascii="宋体" w:hAnsi="宋体" w:eastAsia="宋体" w:cs="宋体"/>
          <w:color w:val="auto"/>
          <w:sz w:val="44"/>
          <w:szCs w:val="36"/>
          <w:highlight w:val="none"/>
        </w:rPr>
      </w:pPr>
    </w:p>
    <w:p>
      <w:pPr>
        <w:pStyle w:val="4"/>
        <w:rPr>
          <w:rFonts w:hint="eastAsia" w:ascii="宋体" w:hAnsi="宋体" w:eastAsia="宋体" w:cs="宋体"/>
          <w:b/>
          <w:color w:val="auto"/>
          <w:sz w:val="44"/>
          <w:szCs w:val="36"/>
          <w:highlight w:val="none"/>
        </w:rPr>
      </w:pPr>
    </w:p>
    <w:p>
      <w:pPr>
        <w:pStyle w:val="5"/>
        <w:rPr>
          <w:rFonts w:hint="eastAsia" w:ascii="宋体" w:hAnsi="宋体" w:eastAsia="宋体" w:cs="宋体"/>
          <w:b/>
          <w:color w:val="auto"/>
          <w:sz w:val="44"/>
          <w:szCs w:val="36"/>
          <w:highlight w:val="none"/>
        </w:rPr>
      </w:pPr>
    </w:p>
    <w:p>
      <w:pPr>
        <w:rPr>
          <w:rFonts w:hint="eastAsia" w:ascii="宋体" w:hAnsi="宋体" w:eastAsia="宋体" w:cs="宋体"/>
          <w:color w:val="auto"/>
          <w:highlight w:val="none"/>
        </w:rPr>
      </w:pPr>
    </w:p>
    <w:p>
      <w:pPr>
        <w:pStyle w:val="33"/>
        <w:rPr>
          <w:rFonts w:hint="eastAsia" w:ascii="宋体" w:hAnsi="宋体" w:eastAsia="宋体" w:cs="宋体"/>
          <w:color w:val="auto"/>
          <w:highlight w:val="none"/>
        </w:rPr>
      </w:pPr>
    </w:p>
    <w:p>
      <w:pPr>
        <w:pStyle w:val="33"/>
        <w:rPr>
          <w:rFonts w:hint="eastAsia" w:ascii="宋体" w:hAnsi="宋体" w:eastAsia="宋体" w:cs="宋体"/>
          <w:color w:val="auto"/>
          <w:highlight w:val="none"/>
        </w:rPr>
      </w:pPr>
    </w:p>
    <w:p>
      <w:pPr>
        <w:pStyle w:val="33"/>
        <w:rPr>
          <w:rFonts w:hint="eastAsia" w:ascii="宋体" w:hAnsi="宋体" w:eastAsia="宋体" w:cs="宋体"/>
          <w:color w:val="auto"/>
          <w:highlight w:val="none"/>
        </w:rPr>
      </w:pPr>
    </w:p>
    <w:p>
      <w:pPr>
        <w:pStyle w:val="33"/>
        <w:rPr>
          <w:rFonts w:hint="eastAsia" w:ascii="宋体" w:hAnsi="宋体" w:eastAsia="宋体" w:cs="宋体"/>
          <w:color w:val="auto"/>
          <w:highlight w:val="none"/>
        </w:rPr>
      </w:pPr>
    </w:p>
    <w:p>
      <w:pPr>
        <w:pStyle w:val="33"/>
        <w:rPr>
          <w:rFonts w:hint="eastAsia" w:ascii="宋体" w:hAnsi="宋体" w:eastAsia="宋体" w:cs="宋体"/>
          <w:color w:val="auto"/>
          <w:highlight w:val="none"/>
        </w:rPr>
      </w:pPr>
    </w:p>
    <w:p>
      <w:pPr>
        <w:pStyle w:val="33"/>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32"/>
          <w:highlight w:val="none"/>
        </w:rPr>
      </w:pPr>
    </w:p>
    <w:p>
      <w:pPr>
        <w:pStyle w:val="4"/>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p>
    <w:p>
      <w:pPr>
        <w:pStyle w:val="4"/>
        <w:rPr>
          <w:rFonts w:hint="eastAsia" w:ascii="宋体" w:hAnsi="宋体" w:eastAsia="宋体" w:cs="宋体"/>
          <w:color w:val="auto"/>
          <w:highlight w:val="none"/>
        </w:rPr>
      </w:pPr>
    </w:p>
    <w:bookmarkEnd w:id="784"/>
    <w:bookmarkEnd w:id="785"/>
    <w:bookmarkEnd w:id="786"/>
    <w:bookmarkEnd w:id="787"/>
    <w:bookmarkEnd w:id="814"/>
    <w:bookmarkEnd w:id="815"/>
    <w:bookmarkEnd w:id="816"/>
    <w:bookmarkEnd w:id="817"/>
    <w:bookmarkEnd w:id="818"/>
    <w:bookmarkEnd w:id="819"/>
    <w:p>
      <w:pPr>
        <w:pStyle w:val="20"/>
        <w:rPr>
          <w:rFonts w:hint="eastAsia" w:ascii="宋体" w:hAnsi="宋体" w:eastAsia="宋体" w:cs="宋体"/>
          <w:color w:val="auto"/>
          <w:highlight w:val="none"/>
        </w:rPr>
      </w:pPr>
    </w:p>
    <w:p>
      <w:pPr>
        <w:widowControl/>
        <w:spacing w:line="440" w:lineRule="exact"/>
        <w:jc w:val="center"/>
        <w:outlineLvl w:val="0"/>
        <w:rPr>
          <w:rStyle w:val="35"/>
          <w:rFonts w:hint="eastAsia" w:ascii="宋体" w:hAnsi="宋体" w:eastAsia="宋体" w:cs="宋体"/>
          <w:color w:val="auto"/>
          <w:highlight w:val="none"/>
        </w:rPr>
      </w:pPr>
      <w:bookmarkStart w:id="914" w:name="_Toc22081"/>
      <w:bookmarkStart w:id="915" w:name="_Toc218935350"/>
      <w:bookmarkStart w:id="916" w:name="_Toc219175634"/>
      <w:bookmarkStart w:id="917" w:name="_Toc22444"/>
      <w:bookmarkStart w:id="918" w:name="_Toc16370"/>
      <w:bookmarkStart w:id="919" w:name="_Toc507399902"/>
      <w:bookmarkStart w:id="920" w:name="_Toc216582822"/>
      <w:bookmarkStart w:id="921" w:name="_Toc28765"/>
      <w:bookmarkStart w:id="922" w:name="_Toc29715"/>
      <w:bookmarkStart w:id="923" w:name="_Toc515647829"/>
      <w:r>
        <w:rPr>
          <w:rStyle w:val="35"/>
          <w:rFonts w:hint="eastAsia" w:ascii="宋体" w:hAnsi="宋体" w:eastAsia="宋体" w:cs="宋体"/>
          <w:color w:val="auto"/>
          <w:highlight w:val="none"/>
        </w:rPr>
        <w:t>第3章  投标邀请</w:t>
      </w:r>
      <w:bookmarkEnd w:id="914"/>
      <w:bookmarkEnd w:id="915"/>
      <w:bookmarkEnd w:id="916"/>
      <w:bookmarkEnd w:id="917"/>
      <w:bookmarkEnd w:id="918"/>
      <w:bookmarkEnd w:id="919"/>
      <w:bookmarkEnd w:id="920"/>
      <w:bookmarkEnd w:id="921"/>
      <w:bookmarkEnd w:id="922"/>
      <w:bookmarkEnd w:id="923"/>
      <w:bookmarkStart w:id="924" w:name="_Toc31583"/>
      <w:bookmarkStart w:id="925" w:name="_Toc10488"/>
      <w:bookmarkStart w:id="926" w:name="_Toc5272"/>
      <w:bookmarkStart w:id="927" w:name="_Toc512937850"/>
      <w:bookmarkStart w:id="928" w:name="_Toc216582823"/>
      <w:bookmarkStart w:id="929" w:name="_Toc515647830"/>
      <w:bookmarkStart w:id="930" w:name="_Toc507399903"/>
    </w:p>
    <w:p>
      <w:pPr>
        <w:pStyle w:val="6"/>
        <w:keepNext/>
        <w:keepLines/>
        <w:pageBreakBefore w:val="0"/>
        <w:widowControl w:val="0"/>
        <w:tabs>
          <w:tab w:val="left" w:pos="0"/>
        </w:tabs>
        <w:kinsoku/>
        <w:wordWrap/>
        <w:overflowPunct/>
        <w:topLinePunct w:val="0"/>
        <w:autoSpaceDE w:val="0"/>
        <w:autoSpaceDN w:val="0"/>
        <w:bidi w:val="0"/>
        <w:adjustRightInd w:val="0"/>
        <w:snapToGrid/>
        <w:spacing w:before="0" w:after="0" w:line="400" w:lineRule="exact"/>
        <w:jc w:val="center"/>
        <w:textAlignment w:val="auto"/>
        <w:rPr>
          <w:rFonts w:hint="eastAsia" w:ascii="宋体" w:hAnsi="宋体" w:eastAsia="宋体" w:cs="宋体"/>
          <w:color w:val="auto"/>
          <w:sz w:val="30"/>
          <w:szCs w:val="30"/>
          <w:highlight w:val="none"/>
          <w:lang w:val="en-US" w:eastAsia="zh-CN"/>
        </w:rPr>
      </w:pPr>
      <w:bookmarkStart w:id="931" w:name="_Toc31912"/>
      <w:bookmarkStart w:id="932" w:name="_Toc1335"/>
      <w:bookmarkStart w:id="933" w:name="_Toc8815"/>
      <w:bookmarkStart w:id="934" w:name="_Toc29132"/>
      <w:r>
        <w:rPr>
          <w:rFonts w:hint="eastAsia" w:ascii="宋体" w:hAnsi="宋体" w:eastAsia="宋体" w:cs="宋体"/>
          <w:color w:val="auto"/>
          <w:sz w:val="30"/>
          <w:szCs w:val="30"/>
          <w:highlight w:val="none"/>
          <w:lang w:val="en-US" w:eastAsia="zh-CN"/>
        </w:rPr>
        <w:t>莎车县人民医院集成平台、数据中心、急救车指挥系统、数据标准机房及其他软硬件安装升级改造采购项目</w:t>
      </w:r>
      <w:bookmarkEnd w:id="931"/>
      <w:bookmarkEnd w:id="932"/>
    </w:p>
    <w:p>
      <w:pPr>
        <w:pStyle w:val="6"/>
        <w:keepNext/>
        <w:keepLines/>
        <w:pageBreakBefore w:val="0"/>
        <w:widowControl w:val="0"/>
        <w:tabs>
          <w:tab w:val="left" w:pos="0"/>
        </w:tabs>
        <w:kinsoku/>
        <w:wordWrap/>
        <w:overflowPunct/>
        <w:topLinePunct w:val="0"/>
        <w:autoSpaceDE w:val="0"/>
        <w:autoSpaceDN w:val="0"/>
        <w:bidi w:val="0"/>
        <w:adjustRightInd w:val="0"/>
        <w:snapToGrid/>
        <w:spacing w:before="0" w:after="0" w:line="400" w:lineRule="exact"/>
        <w:jc w:val="center"/>
        <w:textAlignment w:val="auto"/>
        <w:rPr>
          <w:rFonts w:hint="eastAsia" w:ascii="宋体" w:hAnsi="宋体" w:eastAsia="宋体" w:cs="宋体"/>
          <w:color w:val="auto"/>
          <w:sz w:val="30"/>
          <w:szCs w:val="30"/>
          <w:highlight w:val="none"/>
        </w:rPr>
      </w:pPr>
      <w:bookmarkStart w:id="935" w:name="_Toc13058"/>
      <w:bookmarkStart w:id="936" w:name="_Toc18911"/>
      <w:bookmarkStart w:id="937" w:name="_Toc18518"/>
      <w:r>
        <w:rPr>
          <w:rFonts w:hint="eastAsia" w:ascii="宋体" w:hAnsi="宋体" w:eastAsia="宋体" w:cs="宋体"/>
          <w:color w:val="auto"/>
          <w:sz w:val="30"/>
          <w:szCs w:val="30"/>
          <w:highlight w:val="none"/>
          <w:lang w:val="en-US" w:eastAsia="zh-CN"/>
        </w:rPr>
        <w:t>公开招标</w:t>
      </w:r>
      <w:r>
        <w:rPr>
          <w:rFonts w:hint="eastAsia" w:ascii="宋体" w:hAnsi="宋体" w:eastAsia="宋体" w:cs="宋体"/>
          <w:color w:val="auto"/>
          <w:sz w:val="30"/>
          <w:szCs w:val="30"/>
          <w:highlight w:val="none"/>
        </w:rPr>
        <w:t>公告</w:t>
      </w:r>
      <w:bookmarkEnd w:id="933"/>
      <w:bookmarkEnd w:id="935"/>
      <w:bookmarkEnd w:id="936"/>
      <w:bookmarkEnd w:id="937"/>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FF0000"/>
          <w:sz w:val="24"/>
          <w:szCs w:val="24"/>
          <w:highlight w:val="none"/>
        </w:rPr>
      </w:pPr>
      <w:bookmarkStart w:id="938" w:name="_Toc35393798"/>
      <w:bookmarkStart w:id="939" w:name="_Toc8264"/>
      <w:bookmarkStart w:id="940" w:name="_Toc35393629"/>
      <w:bookmarkStart w:id="941" w:name="_Toc28359012"/>
      <w:bookmarkStart w:id="942" w:name="_Toc28359089"/>
      <w:bookmarkStart w:id="943" w:name="_Toc29182"/>
      <w:r>
        <w:rPr>
          <w:rFonts w:hint="eastAsia" w:ascii="宋体" w:hAnsi="宋体" w:eastAsia="宋体" w:cs="宋体"/>
          <w:color w:val="auto"/>
          <w:sz w:val="24"/>
          <w:highlight w:val="none"/>
          <w:u w:val="single"/>
          <w:lang w:eastAsia="zh-CN"/>
        </w:rPr>
        <w:t>莎车县人民医院集成平台、数据中心、急救车指挥系统、数据标准机房及其他软硬件安装升级改造采购项目</w:t>
      </w:r>
      <w:r>
        <w:rPr>
          <w:rFonts w:hint="eastAsia" w:ascii="宋体" w:hAnsi="宋体" w:eastAsia="宋体" w:cs="宋体"/>
          <w:color w:val="auto"/>
          <w:sz w:val="24"/>
          <w:highlight w:val="none"/>
        </w:rPr>
        <w:t>的潜在供应商应在</w:t>
      </w:r>
      <w:r>
        <w:rPr>
          <w:rFonts w:hint="eastAsia" w:ascii="宋体" w:hAnsi="宋体" w:eastAsia="宋体" w:cs="宋体"/>
          <w:color w:val="auto"/>
          <w:sz w:val="24"/>
          <w:highlight w:val="none"/>
          <w:u w:val="single"/>
        </w:rPr>
        <w:t>政采云平台</w:t>
      </w:r>
      <w:r>
        <w:rPr>
          <w:rFonts w:hint="eastAsia" w:ascii="宋体" w:hAnsi="宋体" w:eastAsia="宋体" w:cs="宋体"/>
          <w:color w:val="auto"/>
          <w:sz w:val="24"/>
          <w:highlight w:val="none"/>
        </w:rPr>
        <w:t>获取招标文件，</w:t>
      </w:r>
      <w:r>
        <w:rPr>
          <w:rFonts w:hint="eastAsia" w:ascii="宋体" w:hAnsi="宋体" w:eastAsia="宋体" w:cs="宋体"/>
          <w:color w:val="FF0000"/>
          <w:sz w:val="24"/>
          <w:highlight w:val="none"/>
        </w:rPr>
        <w:t>并于</w:t>
      </w:r>
      <w:r>
        <w:rPr>
          <w:rFonts w:hint="eastAsia" w:ascii="宋体" w:hAnsi="宋体" w:eastAsia="宋体" w:cs="宋体"/>
          <w:color w:val="FF0000"/>
          <w:sz w:val="24"/>
          <w:szCs w:val="24"/>
          <w:highlight w:val="none"/>
          <w:u w:val="single"/>
          <w:lang w:val="en-US" w:eastAsia="zh-CN"/>
        </w:rPr>
        <w:t>2022年10月 21日上午11点00分</w:t>
      </w:r>
      <w:r>
        <w:rPr>
          <w:rFonts w:hint="eastAsia" w:ascii="宋体" w:hAnsi="宋体" w:eastAsia="宋体" w:cs="宋体"/>
          <w:color w:val="FF0000"/>
          <w:sz w:val="24"/>
          <w:highlight w:val="none"/>
          <w:u w:val="single"/>
        </w:rPr>
        <w:t>（北京时间）</w:t>
      </w:r>
      <w:r>
        <w:rPr>
          <w:rFonts w:hint="eastAsia" w:ascii="宋体" w:hAnsi="宋体" w:eastAsia="宋体" w:cs="宋体"/>
          <w:bCs/>
          <w:color w:val="FF0000"/>
          <w:sz w:val="24"/>
          <w:highlight w:val="none"/>
        </w:rPr>
        <w:t>前</w:t>
      </w:r>
      <w:r>
        <w:rPr>
          <w:rFonts w:hint="eastAsia" w:ascii="宋体" w:hAnsi="宋体" w:eastAsia="宋体" w:cs="宋体"/>
          <w:bCs/>
          <w:color w:val="FF0000"/>
          <w:sz w:val="24"/>
          <w:highlight w:val="none"/>
          <w:lang w:eastAsia="zh-CN"/>
        </w:rPr>
        <w:t>上传</w:t>
      </w:r>
      <w:r>
        <w:rPr>
          <w:rFonts w:hint="eastAsia" w:ascii="宋体" w:hAnsi="宋体" w:eastAsia="宋体" w:cs="宋体"/>
          <w:bCs/>
          <w:color w:val="FF0000"/>
          <w:sz w:val="24"/>
          <w:highlight w:val="none"/>
        </w:rPr>
        <w:t>投标文件</w:t>
      </w:r>
      <w:r>
        <w:rPr>
          <w:rFonts w:hint="eastAsia" w:ascii="宋体" w:hAnsi="宋体" w:eastAsia="宋体" w:cs="宋体"/>
          <w:color w:val="FF0000"/>
          <w:sz w:val="24"/>
          <w:highlight w:val="none"/>
        </w:rPr>
        <w:t>。</w:t>
      </w:r>
    </w:p>
    <w:p>
      <w:pPr>
        <w:pStyle w:val="7"/>
        <w:pageBreakBefore w:val="0"/>
        <w:widowControl w:val="0"/>
        <w:kinsoku/>
        <w:wordWrap/>
        <w:overflowPunct/>
        <w:topLinePunct w:val="0"/>
        <w:bidi w:val="0"/>
        <w:snapToGrid/>
        <w:spacing w:before="0" w:line="440" w:lineRule="exact"/>
        <w:jc w:val="both"/>
        <w:textAlignment w:val="auto"/>
        <w:rPr>
          <w:rFonts w:hint="eastAsia" w:ascii="宋体" w:hAnsi="宋体" w:eastAsia="宋体" w:cs="宋体"/>
          <w:b/>
          <w:bCs/>
          <w:color w:val="auto"/>
          <w:sz w:val="24"/>
          <w:szCs w:val="24"/>
          <w:highlight w:val="none"/>
        </w:rPr>
      </w:pPr>
      <w:bookmarkStart w:id="944" w:name="_Toc9986"/>
      <w:bookmarkStart w:id="945" w:name="_Toc3912"/>
      <w:r>
        <w:rPr>
          <w:rFonts w:hint="eastAsia" w:ascii="宋体" w:hAnsi="宋体" w:eastAsia="宋体" w:cs="宋体"/>
          <w:b/>
          <w:bCs/>
          <w:color w:val="auto"/>
          <w:sz w:val="24"/>
          <w:szCs w:val="24"/>
          <w:highlight w:val="none"/>
        </w:rPr>
        <w:t>一、项目基本情况</w:t>
      </w:r>
      <w:bookmarkEnd w:id="938"/>
      <w:bookmarkEnd w:id="939"/>
      <w:bookmarkEnd w:id="940"/>
      <w:bookmarkEnd w:id="941"/>
      <w:bookmarkEnd w:id="942"/>
      <w:bookmarkEnd w:id="943"/>
      <w:bookmarkEnd w:id="944"/>
      <w:bookmarkEnd w:id="945"/>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eastAsia="宋体" w:cs="宋体"/>
          <w:sz w:val="28"/>
          <w:szCs w:val="28"/>
        </w:rPr>
        <w:t>ZJ</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GK</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-22037</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.项目名称：莎车县人民医院集成平台、数据中心、急救车指挥系统、数据标准机房及其他软硬件安装升级改造采购项目</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采购方式：</w:t>
      </w:r>
      <w:r>
        <w:rPr>
          <w:rFonts w:hint="eastAsia" w:ascii="宋体" w:hAnsi="宋体" w:eastAsia="宋体" w:cs="宋体"/>
          <w:color w:val="auto"/>
          <w:sz w:val="24"/>
          <w:szCs w:val="24"/>
          <w:highlight w:val="none"/>
          <w:u w:val="none"/>
          <w:lang w:val="en-US" w:eastAsia="zh-CN"/>
        </w:rPr>
        <w:t>公开招标</w:t>
      </w:r>
      <w:r>
        <w:rPr>
          <w:rFonts w:hint="eastAsia" w:ascii="宋体" w:hAnsi="宋体" w:eastAsia="宋体" w:cs="宋体"/>
          <w:color w:val="auto"/>
          <w:sz w:val="24"/>
          <w:szCs w:val="24"/>
          <w:highlight w:val="none"/>
          <w:u w:val="none"/>
        </w:rPr>
        <w:t xml:space="preserve"> </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总</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：957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万</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最高限价（元）：</w:t>
      </w:r>
      <w:r>
        <w:rPr>
          <w:rFonts w:hint="eastAsia" w:ascii="宋体" w:hAnsi="宋体" w:eastAsia="宋体" w:cs="宋体"/>
          <w:color w:val="auto"/>
          <w:sz w:val="24"/>
          <w:szCs w:val="24"/>
          <w:highlight w:val="none"/>
        </w:rPr>
        <w:t>957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万</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采购需求：</w:t>
      </w:r>
    </w:p>
    <w:p>
      <w:pPr>
        <w:pageBreakBefore w:val="0"/>
        <w:widowControl w:val="0"/>
        <w:kinsoku/>
        <w:wordWrap/>
        <w:overflowPunct/>
        <w:topLinePunct w:val="0"/>
        <w:bidi w:val="0"/>
        <w:snapToGrid/>
        <w:spacing w:line="440" w:lineRule="exact"/>
        <w:ind w:left="479" w:leftChars="228"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第一包：集成平台互联互通一批、数据中心信息平台一批、三级理论考试系统一批；</w:t>
      </w:r>
      <w:r>
        <w:rPr>
          <w:rFonts w:hint="eastAsia" w:ascii="宋体" w:hAnsi="宋体" w:eastAsia="宋体" w:cs="宋体"/>
          <w:color w:val="auto"/>
          <w:sz w:val="24"/>
          <w:highlight w:val="none"/>
          <w:lang w:val="en-US" w:eastAsia="zh-CN"/>
        </w:rPr>
        <w:t>预算金额：520.7</w:t>
      </w:r>
      <w:r>
        <w:rPr>
          <w:rFonts w:hint="eastAsia" w:ascii="宋体" w:hAnsi="宋体" w:eastAsia="宋体" w:cs="宋体"/>
          <w:color w:val="auto"/>
          <w:sz w:val="24"/>
          <w:szCs w:val="24"/>
          <w:highlight w:val="none"/>
          <w:lang w:val="en-US" w:eastAsia="zh-CN"/>
        </w:rPr>
        <w:t>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第二包：120急救车调度指挥系统一批；</w:t>
      </w:r>
      <w:r>
        <w:rPr>
          <w:rFonts w:hint="eastAsia" w:ascii="宋体" w:hAnsi="宋体" w:eastAsia="宋体" w:cs="宋体"/>
          <w:color w:val="auto"/>
          <w:sz w:val="24"/>
          <w:highlight w:val="none"/>
          <w:lang w:val="en-US" w:eastAsia="zh-CN"/>
        </w:rPr>
        <w:t>预算金额：</w:t>
      </w:r>
      <w:r>
        <w:rPr>
          <w:rFonts w:hint="eastAsia" w:ascii="宋体" w:hAnsi="宋体" w:eastAsia="宋体" w:cs="宋体"/>
          <w:color w:val="auto"/>
          <w:sz w:val="24"/>
          <w:szCs w:val="24"/>
          <w:highlight w:val="none"/>
          <w:lang w:val="en-US" w:eastAsia="zh-CN"/>
        </w:rPr>
        <w:t>200万元；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第三包：数据共享中心标准机房一批；</w:t>
      </w:r>
      <w:r>
        <w:rPr>
          <w:rFonts w:hint="eastAsia" w:ascii="宋体" w:hAnsi="宋体" w:eastAsia="宋体" w:cs="宋体"/>
          <w:color w:val="auto"/>
          <w:sz w:val="24"/>
          <w:highlight w:val="none"/>
          <w:lang w:val="en-US" w:eastAsia="zh-CN"/>
        </w:rPr>
        <w:t>预算金额：</w:t>
      </w:r>
      <w:r>
        <w:rPr>
          <w:rFonts w:hint="eastAsia" w:ascii="宋体" w:hAnsi="宋体" w:eastAsia="宋体" w:cs="宋体"/>
          <w:color w:val="auto"/>
          <w:sz w:val="24"/>
          <w:szCs w:val="24"/>
          <w:highlight w:val="none"/>
          <w:lang w:val="en-US" w:eastAsia="zh-CN"/>
        </w:rPr>
        <w:t>165万元；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第四包：体检中心体检管理软件升级改造一批；</w:t>
      </w:r>
      <w:r>
        <w:rPr>
          <w:rFonts w:hint="eastAsia" w:ascii="宋体" w:hAnsi="宋体" w:eastAsia="宋体" w:cs="宋体"/>
          <w:color w:val="auto"/>
          <w:sz w:val="24"/>
          <w:highlight w:val="none"/>
          <w:lang w:val="en-US" w:eastAsia="zh-CN"/>
        </w:rPr>
        <w:t>预算金额：</w:t>
      </w:r>
      <w:r>
        <w:rPr>
          <w:rFonts w:hint="eastAsia" w:ascii="宋体" w:hAnsi="宋体" w:eastAsia="宋体" w:cs="宋体"/>
          <w:color w:val="auto"/>
          <w:sz w:val="24"/>
          <w:szCs w:val="24"/>
          <w:highlight w:val="none"/>
          <w:lang w:val="en-US" w:eastAsia="zh-CN"/>
        </w:rPr>
        <w:t>22万元；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第五包：信息安全三级等保测评一批；</w:t>
      </w:r>
      <w:r>
        <w:rPr>
          <w:rFonts w:hint="eastAsia" w:ascii="宋体" w:hAnsi="宋体" w:eastAsia="宋体" w:cs="宋体"/>
          <w:color w:val="auto"/>
          <w:sz w:val="24"/>
          <w:highlight w:val="none"/>
          <w:lang w:val="en-US" w:eastAsia="zh-CN"/>
        </w:rPr>
        <w:t>预算金额：</w:t>
      </w:r>
      <w:r>
        <w:rPr>
          <w:rFonts w:hint="eastAsia" w:ascii="宋体" w:hAnsi="宋体" w:eastAsia="宋体" w:cs="宋体"/>
          <w:color w:val="auto"/>
          <w:sz w:val="24"/>
          <w:szCs w:val="24"/>
          <w:highlight w:val="none"/>
          <w:lang w:val="en-US" w:eastAsia="zh-CN"/>
        </w:rPr>
        <w:t>28万元；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第六包：短信服务平台基础设备一批；</w:t>
      </w:r>
      <w:r>
        <w:rPr>
          <w:rFonts w:hint="eastAsia" w:ascii="宋体" w:hAnsi="宋体" w:eastAsia="宋体" w:cs="宋体"/>
          <w:color w:val="auto"/>
          <w:sz w:val="24"/>
          <w:highlight w:val="none"/>
          <w:lang w:val="en-US" w:eastAsia="zh-CN"/>
        </w:rPr>
        <w:t>预算金额：</w:t>
      </w:r>
      <w:r>
        <w:rPr>
          <w:rFonts w:hint="eastAsia" w:ascii="宋体" w:hAnsi="宋体" w:eastAsia="宋体" w:cs="宋体"/>
          <w:color w:val="auto"/>
          <w:sz w:val="24"/>
          <w:szCs w:val="24"/>
          <w:highlight w:val="none"/>
          <w:lang w:val="en-US" w:eastAsia="zh-CN"/>
        </w:rPr>
        <w:t>21.7万元。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（数量规格参数详见招标文件）</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.本项目（否）接受联合体。</w:t>
      </w:r>
    </w:p>
    <w:p>
      <w:pPr>
        <w:pStyle w:val="7"/>
        <w:pageBreakBefore w:val="0"/>
        <w:widowControl w:val="0"/>
        <w:shd w:val="clear"/>
        <w:kinsoku/>
        <w:wordWrap/>
        <w:overflowPunct/>
        <w:topLinePunct w:val="0"/>
        <w:bidi w:val="0"/>
        <w:snapToGrid/>
        <w:spacing w:before="0" w:after="0" w:line="440" w:lineRule="exact"/>
        <w:jc w:val="left"/>
        <w:textAlignment w:val="auto"/>
        <w:rPr>
          <w:rFonts w:hint="eastAsia" w:ascii="宋体" w:hAnsi="宋体" w:eastAsia="宋体" w:cs="宋体"/>
          <w:color w:val="auto"/>
          <w:kern w:val="0"/>
          <w:sz w:val="24"/>
          <w:szCs w:val="24"/>
          <w:highlight w:val="none"/>
        </w:rPr>
      </w:pPr>
      <w:bookmarkStart w:id="946" w:name="_Toc28359013"/>
      <w:bookmarkStart w:id="947" w:name="_Toc6039"/>
      <w:bookmarkStart w:id="948" w:name="_Toc28359090"/>
      <w:bookmarkStart w:id="949" w:name="_Toc12963"/>
      <w:bookmarkStart w:id="950" w:name="_Toc28337"/>
      <w:bookmarkStart w:id="951" w:name="_Toc35393630"/>
      <w:bookmarkStart w:id="952" w:name="_Toc13080"/>
      <w:bookmarkStart w:id="953" w:name="_Toc35393799"/>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val="en-US" w:eastAsia="zh-CN"/>
        </w:rPr>
        <w:t>申请人</w:t>
      </w:r>
      <w:r>
        <w:rPr>
          <w:rFonts w:hint="eastAsia" w:ascii="宋体" w:hAnsi="宋体" w:eastAsia="宋体" w:cs="宋体"/>
          <w:color w:val="auto"/>
          <w:kern w:val="0"/>
          <w:sz w:val="24"/>
          <w:szCs w:val="24"/>
          <w:highlight w:val="none"/>
        </w:rPr>
        <w:t>的资格要求：</w:t>
      </w:r>
      <w:bookmarkEnd w:id="946"/>
      <w:bookmarkEnd w:id="947"/>
      <w:bookmarkEnd w:id="948"/>
      <w:bookmarkEnd w:id="949"/>
      <w:bookmarkEnd w:id="950"/>
      <w:bookmarkEnd w:id="951"/>
      <w:bookmarkEnd w:id="952"/>
      <w:bookmarkEnd w:id="953"/>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bookmarkStart w:id="954" w:name="_Toc28359014"/>
      <w:bookmarkStart w:id="955" w:name="_Toc35393631"/>
      <w:bookmarkStart w:id="956" w:name="_Toc28359091"/>
      <w:bookmarkStart w:id="957" w:name="_Toc35393800"/>
      <w:r>
        <w:rPr>
          <w:rFonts w:hint="eastAsia" w:ascii="宋体" w:hAnsi="宋体" w:eastAsia="宋体" w:cs="宋体"/>
          <w:color w:val="auto"/>
          <w:sz w:val="24"/>
          <w:szCs w:val="24"/>
          <w:highlight w:val="none"/>
        </w:rPr>
        <w:t>1.满足《中华人民共和国政府采购法》第二十二条规定；</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lang w:eastAsia="zh-CN"/>
        </w:rPr>
        <w:t>无；</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）具有独立法人资格（三证合一的营业执照）</w:t>
      </w:r>
      <w:r>
        <w:rPr>
          <w:rFonts w:hint="eastAsia" w:ascii="宋体" w:hAnsi="宋体" w:eastAsia="宋体" w:cs="宋体"/>
          <w:color w:val="auto"/>
          <w:sz w:val="24"/>
          <w:szCs w:val="24"/>
          <w:highlight w:val="none"/>
          <w:lang w:val="en-US" w:eastAsia="zh-CN"/>
        </w:rPr>
        <w:t>；</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（2）法定代表人资格证明及授权书、被授权人身份证；(法定代表人投标需提供法定代表人身份证)；</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（3）依法缴纳最近连续六个月的社会保险的凭据（授权人和单位员工缴纳明细凭据）；</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（4）提供税务部门出具的最近连续六个月的完税证明；</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（5）提供2020年或2021年经审计的财务审计报告（2022年成立的新公司出具近3个月任意一个月的银行资信证明）；</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截图)、中国政府采购网（http://www.ccgp.gov.cn/search/cr/）严重违法失信行为信息记录名单的（尚在处罚期内的），“国家企业信用信息公示系统（http://www.gsxt.gov.cn）”列入严重违法失信名单（黑名单）信息及企业信用信息公示报告；将拒绝其参加本次招标活动；（以采购代理机构或采购人查询为准）；</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（7）参与政府采购活动前3年内未被列入失信、重大税收违法案件、财政部门禁止参加政府采购活动的承诺书；</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（8）提供针对本次项目的《反商业贿赂承诺书》。</w:t>
      </w:r>
    </w:p>
    <w:p>
      <w:pPr>
        <w:pStyle w:val="7"/>
        <w:pageBreakBefore w:val="0"/>
        <w:widowControl w:val="0"/>
        <w:kinsoku/>
        <w:wordWrap/>
        <w:overflowPunct/>
        <w:topLinePunct w:val="0"/>
        <w:bidi w:val="0"/>
        <w:snapToGrid/>
        <w:spacing w:before="0" w:line="440" w:lineRule="exact"/>
        <w:jc w:val="both"/>
        <w:textAlignment w:val="auto"/>
        <w:rPr>
          <w:rFonts w:hint="eastAsia" w:ascii="宋体" w:hAnsi="宋体" w:eastAsia="宋体" w:cs="宋体"/>
          <w:b/>
          <w:bCs/>
          <w:color w:val="auto"/>
          <w:sz w:val="24"/>
          <w:szCs w:val="24"/>
          <w:highlight w:val="none"/>
        </w:rPr>
      </w:pPr>
      <w:bookmarkStart w:id="958" w:name="_Toc17467"/>
      <w:bookmarkStart w:id="959" w:name="_Toc21437"/>
      <w:r>
        <w:rPr>
          <w:rFonts w:hint="eastAsia" w:ascii="宋体" w:hAnsi="宋体" w:eastAsia="宋体" w:cs="宋体"/>
          <w:b/>
          <w:bCs/>
          <w:color w:val="auto"/>
          <w:sz w:val="24"/>
          <w:szCs w:val="24"/>
          <w:highlight w:val="none"/>
        </w:rPr>
        <w:t>三、获取</w:t>
      </w:r>
      <w:r>
        <w:rPr>
          <w:rFonts w:hint="eastAsia" w:ascii="宋体" w:hAnsi="宋体" w:eastAsia="宋体" w:cs="宋体"/>
          <w:b/>
          <w:bCs/>
          <w:color w:val="auto"/>
          <w:sz w:val="24"/>
          <w:szCs w:val="24"/>
          <w:highlight w:val="none"/>
          <w:lang w:val="en-US" w:eastAsia="zh-CN"/>
        </w:rPr>
        <w:t>招标</w:t>
      </w:r>
      <w:r>
        <w:rPr>
          <w:rFonts w:hint="eastAsia" w:ascii="宋体" w:hAnsi="宋体" w:eastAsia="宋体" w:cs="宋体"/>
          <w:b/>
          <w:bCs/>
          <w:color w:val="auto"/>
          <w:sz w:val="24"/>
          <w:szCs w:val="24"/>
          <w:highlight w:val="none"/>
        </w:rPr>
        <w:t>文件</w:t>
      </w:r>
      <w:bookmarkEnd w:id="958"/>
      <w:bookmarkEnd w:id="959"/>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时间：2022年09月 30日至2022年10月 12 日，每天上午10:00至14:00，下午16:00至20:00（北京时间，法定节假日除外）</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地点：线上获取</w:t>
      </w:r>
    </w:p>
    <w:p>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highlight w:val="none"/>
        </w:rPr>
        <w:t>政采云平台</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lang w:val="en-US" w:eastAsia="zh-CN"/>
        </w:rPr>
        <w:t>http://www.zcygov.cn/</w:t>
      </w:r>
      <w:r>
        <w:rPr>
          <w:rFonts w:hint="eastAsia" w:ascii="宋体" w:hAnsi="宋体" w:eastAsia="宋体" w:cs="宋体"/>
          <w:color w:val="auto"/>
          <w:sz w:val="24"/>
          <w:highlight w:val="none"/>
          <w:lang w:eastAsia="zh-CN"/>
        </w:rPr>
        <w:t>）</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售价（元）：0</w:t>
      </w:r>
    </w:p>
    <w:bookmarkEnd w:id="954"/>
    <w:bookmarkEnd w:id="955"/>
    <w:bookmarkEnd w:id="956"/>
    <w:bookmarkEnd w:id="957"/>
    <w:p>
      <w:pPr>
        <w:pStyle w:val="7"/>
        <w:pageBreakBefore w:val="0"/>
        <w:widowControl w:val="0"/>
        <w:shd w:val="clear"/>
        <w:kinsoku/>
        <w:wordWrap/>
        <w:overflowPunct/>
        <w:topLinePunct w:val="0"/>
        <w:bidi w:val="0"/>
        <w:snapToGrid/>
        <w:spacing w:before="0" w:after="0" w:line="440" w:lineRule="exact"/>
        <w:jc w:val="left"/>
        <w:textAlignment w:val="auto"/>
        <w:rPr>
          <w:rFonts w:hint="eastAsia" w:ascii="宋体" w:hAnsi="宋体" w:eastAsia="宋体" w:cs="宋体"/>
          <w:b/>
          <w:bCs/>
          <w:color w:val="auto"/>
          <w:kern w:val="0"/>
          <w:sz w:val="24"/>
          <w:szCs w:val="24"/>
          <w:highlight w:val="none"/>
        </w:rPr>
      </w:pPr>
      <w:bookmarkStart w:id="960" w:name="_Toc6797"/>
      <w:bookmarkStart w:id="961" w:name="_Toc14079"/>
      <w:bookmarkStart w:id="962" w:name="_Toc28359093"/>
      <w:bookmarkStart w:id="963" w:name="_Toc35393802"/>
      <w:bookmarkStart w:id="964" w:name="_Toc35393633"/>
      <w:bookmarkStart w:id="965" w:name="_Toc28593"/>
      <w:bookmarkStart w:id="966" w:name="_Toc28359016"/>
      <w:bookmarkStart w:id="967" w:name="_Toc21935"/>
      <w:r>
        <w:rPr>
          <w:rFonts w:hint="eastAsia" w:ascii="宋体" w:hAnsi="宋体" w:eastAsia="宋体" w:cs="宋体"/>
          <w:b/>
          <w:bCs/>
          <w:color w:val="auto"/>
          <w:kern w:val="0"/>
          <w:sz w:val="24"/>
          <w:szCs w:val="24"/>
          <w:highlight w:val="none"/>
        </w:rPr>
        <w:t>四、提交投标文件截止时间、开标时间和地点</w:t>
      </w:r>
      <w:bookmarkEnd w:id="960"/>
      <w:bookmarkEnd w:id="961"/>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提交投标文件截止时间：</w:t>
      </w:r>
      <w:r>
        <w:rPr>
          <w:rFonts w:hint="eastAsia" w:ascii="宋体" w:hAnsi="宋体" w:eastAsia="宋体" w:cs="宋体"/>
          <w:color w:val="FF0000"/>
          <w:sz w:val="24"/>
          <w:szCs w:val="24"/>
          <w:highlight w:val="none"/>
          <w:lang w:val="en-US" w:eastAsia="zh-CN"/>
        </w:rPr>
        <w:t>2022年10月 21日上午11点00分（北京时间）</w:t>
      </w:r>
    </w:p>
    <w:p>
      <w:pPr>
        <w:pageBreakBefore w:val="0"/>
        <w:widowControl w:val="0"/>
        <w:kinsoku/>
        <w:wordWrap/>
        <w:overflowPunct/>
        <w:topLinePunct w:val="0"/>
        <w:bidi w:val="0"/>
        <w:snapToGrid/>
        <w:spacing w:line="440" w:lineRule="exact"/>
        <w:ind w:left="479" w:leftChars="228"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投标地点：莎车县莎车宾馆会议中心</w:t>
      </w:r>
    </w:p>
    <w:p>
      <w:pPr>
        <w:pageBreakBefore w:val="0"/>
        <w:widowControl w:val="0"/>
        <w:kinsoku/>
        <w:wordWrap/>
        <w:overflowPunct/>
        <w:topLinePunct w:val="0"/>
        <w:bidi w:val="0"/>
        <w:snapToGrid/>
        <w:spacing w:line="440" w:lineRule="exact"/>
        <w:ind w:left="479" w:leftChars="228" w:firstLine="0" w:firstLineChars="0"/>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开标时间：</w:t>
      </w:r>
      <w:r>
        <w:rPr>
          <w:rFonts w:hint="eastAsia" w:ascii="宋体" w:hAnsi="宋体" w:eastAsia="宋体" w:cs="宋体"/>
          <w:color w:val="FF0000"/>
          <w:sz w:val="24"/>
          <w:szCs w:val="24"/>
          <w:highlight w:val="none"/>
          <w:lang w:val="en-US" w:eastAsia="zh-CN"/>
        </w:rPr>
        <w:t>2022年10月 21 日上午11点00分（北京时间）</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开标地点：莎车县莎车宾馆会议中心</w:t>
      </w:r>
    </w:p>
    <w:p>
      <w:pPr>
        <w:pStyle w:val="7"/>
        <w:pageBreakBefore w:val="0"/>
        <w:widowControl w:val="0"/>
        <w:shd w:val="clear"/>
        <w:kinsoku/>
        <w:wordWrap/>
        <w:overflowPunct/>
        <w:topLinePunct w:val="0"/>
        <w:bidi w:val="0"/>
        <w:snapToGrid/>
        <w:spacing w:before="0" w:after="0" w:line="440" w:lineRule="exact"/>
        <w:jc w:val="left"/>
        <w:textAlignment w:val="auto"/>
        <w:rPr>
          <w:rFonts w:hint="eastAsia" w:ascii="宋体" w:hAnsi="宋体" w:eastAsia="宋体" w:cs="宋体"/>
          <w:b/>
          <w:bCs/>
          <w:color w:val="auto"/>
          <w:kern w:val="0"/>
          <w:sz w:val="24"/>
          <w:szCs w:val="24"/>
          <w:highlight w:val="none"/>
          <w:lang w:val="en-US" w:eastAsia="zh-CN"/>
        </w:rPr>
      </w:pPr>
      <w:bookmarkStart w:id="968" w:name="_Toc22646"/>
      <w:bookmarkStart w:id="969" w:name="_Toc9604"/>
      <w:r>
        <w:rPr>
          <w:rFonts w:hint="eastAsia" w:ascii="宋体" w:hAnsi="宋体" w:eastAsia="宋体" w:cs="宋体"/>
          <w:b/>
          <w:bCs/>
          <w:color w:val="auto"/>
          <w:kern w:val="0"/>
          <w:sz w:val="24"/>
          <w:szCs w:val="24"/>
          <w:highlight w:val="none"/>
          <w:lang w:val="en-US" w:eastAsia="zh-CN"/>
        </w:rPr>
        <w:t>五、公告期限</w:t>
      </w:r>
      <w:bookmarkEnd w:id="968"/>
      <w:bookmarkEnd w:id="969"/>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自本公告发布之日起5个工作日。</w:t>
      </w:r>
    </w:p>
    <w:bookmarkEnd w:id="962"/>
    <w:bookmarkEnd w:id="963"/>
    <w:bookmarkEnd w:id="964"/>
    <w:bookmarkEnd w:id="965"/>
    <w:bookmarkEnd w:id="966"/>
    <w:bookmarkEnd w:id="967"/>
    <w:p>
      <w:pPr>
        <w:pStyle w:val="7"/>
        <w:pageBreakBefore w:val="0"/>
        <w:widowControl w:val="0"/>
        <w:numPr>
          <w:ilvl w:val="0"/>
          <w:numId w:val="5"/>
        </w:numPr>
        <w:shd w:val="clear"/>
        <w:kinsoku/>
        <w:wordWrap/>
        <w:overflowPunct/>
        <w:topLinePunct w:val="0"/>
        <w:bidi w:val="0"/>
        <w:snapToGrid/>
        <w:spacing w:before="0" w:after="0" w:line="440" w:lineRule="exact"/>
        <w:jc w:val="left"/>
        <w:textAlignment w:val="auto"/>
        <w:rPr>
          <w:rFonts w:hint="eastAsia" w:ascii="宋体" w:hAnsi="宋体" w:eastAsia="宋体" w:cs="宋体"/>
          <w:b/>
          <w:bCs/>
          <w:color w:val="auto"/>
          <w:kern w:val="0"/>
          <w:sz w:val="24"/>
          <w:szCs w:val="24"/>
          <w:highlight w:val="none"/>
          <w:lang w:val="en-US" w:eastAsia="zh-CN"/>
        </w:rPr>
      </w:pPr>
      <w:bookmarkStart w:id="970" w:name="_Toc19192"/>
      <w:bookmarkStart w:id="971" w:name="_Toc13016"/>
      <w:r>
        <w:rPr>
          <w:rFonts w:hint="eastAsia" w:ascii="宋体" w:hAnsi="宋体" w:eastAsia="宋体" w:cs="宋体"/>
          <w:b/>
          <w:bCs/>
          <w:color w:val="auto"/>
          <w:kern w:val="0"/>
          <w:sz w:val="24"/>
          <w:szCs w:val="24"/>
          <w:highlight w:val="none"/>
          <w:lang w:val="en-US" w:eastAsia="zh-CN"/>
        </w:rPr>
        <w:t>其它补充事宜</w:t>
      </w:r>
      <w:bookmarkEnd w:id="970"/>
      <w:bookmarkEnd w:id="971"/>
    </w:p>
    <w:p>
      <w:pPr>
        <w:pStyle w:val="4"/>
        <w:numPr>
          <w:ilvl w:val="0"/>
          <w:numId w:val="0"/>
        </w:numPr>
        <w:ind w:firstLine="1200" w:firstLineChars="500"/>
        <w:rPr>
          <w:rFonts w:hint="eastAsia" w:ascii="宋体" w:hAnsi="宋体" w:eastAsia="宋体" w:cs="宋体"/>
          <w:lang w:val="en-US" w:eastAsia="zh-CN"/>
        </w:rPr>
      </w:pPr>
      <w:r>
        <w:rPr>
          <w:rFonts w:hint="eastAsia" w:ascii="宋体" w:hAnsi="宋体" w:eastAsia="宋体" w:cs="宋体"/>
          <w:lang w:val="en-US" w:eastAsia="zh-CN"/>
        </w:rPr>
        <w:t>无</w:t>
      </w:r>
    </w:p>
    <w:p>
      <w:pPr>
        <w:pStyle w:val="7"/>
        <w:pageBreakBefore w:val="0"/>
        <w:widowControl w:val="0"/>
        <w:shd w:val="clear"/>
        <w:kinsoku/>
        <w:wordWrap/>
        <w:overflowPunct/>
        <w:topLinePunct w:val="0"/>
        <w:bidi w:val="0"/>
        <w:snapToGrid/>
        <w:spacing w:before="0" w:after="0" w:line="440" w:lineRule="exact"/>
        <w:jc w:val="left"/>
        <w:textAlignment w:val="auto"/>
        <w:rPr>
          <w:rFonts w:hint="eastAsia" w:ascii="宋体" w:hAnsi="宋体" w:eastAsia="宋体" w:cs="宋体"/>
          <w:b/>
          <w:bCs/>
          <w:color w:val="auto"/>
          <w:kern w:val="0"/>
          <w:sz w:val="24"/>
          <w:szCs w:val="24"/>
          <w:highlight w:val="none"/>
          <w:lang w:val="en-US" w:eastAsia="zh-CN"/>
        </w:rPr>
      </w:pPr>
      <w:bookmarkStart w:id="972" w:name="_Toc23272"/>
      <w:bookmarkStart w:id="973" w:name="_Toc25137"/>
      <w:r>
        <w:rPr>
          <w:rFonts w:hint="eastAsia" w:ascii="宋体" w:hAnsi="宋体" w:eastAsia="宋体" w:cs="宋体"/>
          <w:b/>
          <w:bCs/>
          <w:color w:val="auto"/>
          <w:kern w:val="0"/>
          <w:sz w:val="24"/>
          <w:szCs w:val="24"/>
          <w:highlight w:val="none"/>
          <w:lang w:val="en-US" w:eastAsia="zh-CN"/>
        </w:rPr>
        <w:t>七、</w:t>
      </w:r>
      <w:bookmarkStart w:id="974" w:name="_Toc5483"/>
      <w:bookmarkStart w:id="975" w:name="_Toc28359095"/>
      <w:bookmarkStart w:id="976" w:name="_Toc21330"/>
      <w:bookmarkStart w:id="977" w:name="_Toc28359018"/>
      <w:bookmarkStart w:id="978" w:name="_Toc35393636"/>
      <w:bookmarkStart w:id="979" w:name="_Toc18510"/>
      <w:bookmarkStart w:id="980" w:name="_Toc35393805"/>
      <w:bookmarkStart w:id="981" w:name="_Toc23916"/>
      <w:r>
        <w:rPr>
          <w:rFonts w:hint="eastAsia" w:ascii="宋体" w:hAnsi="宋体" w:eastAsia="宋体" w:cs="宋体"/>
          <w:b/>
          <w:bCs/>
          <w:color w:val="auto"/>
          <w:kern w:val="0"/>
          <w:sz w:val="24"/>
          <w:szCs w:val="24"/>
          <w:highlight w:val="none"/>
          <w:lang w:val="en-US" w:eastAsia="zh-CN"/>
        </w:rPr>
        <w:t>凡对本次采购提出询问，请按以下方式联系。</w:t>
      </w:r>
      <w:bookmarkEnd w:id="972"/>
      <w:bookmarkEnd w:id="973"/>
      <w:bookmarkEnd w:id="974"/>
      <w:bookmarkEnd w:id="975"/>
      <w:bookmarkEnd w:id="976"/>
      <w:bookmarkEnd w:id="977"/>
      <w:bookmarkEnd w:id="978"/>
      <w:bookmarkEnd w:id="979"/>
      <w:bookmarkEnd w:id="980"/>
      <w:bookmarkEnd w:id="981"/>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bookmarkStart w:id="982" w:name="_Toc28359096"/>
      <w:bookmarkStart w:id="983" w:name="_Toc28359019"/>
      <w:bookmarkStart w:id="984" w:name="_Toc35393637"/>
      <w:bookmarkStart w:id="985" w:name="_Toc35393806"/>
      <w:bookmarkStart w:id="986" w:name="_Toc35393807"/>
      <w:bookmarkStart w:id="987" w:name="_Toc35393638"/>
      <w:bookmarkStart w:id="988" w:name="_Toc28359097"/>
      <w:bookmarkStart w:id="989" w:name="_Toc28359020"/>
      <w:r>
        <w:rPr>
          <w:rFonts w:hint="eastAsia" w:ascii="宋体" w:hAnsi="宋体" w:eastAsia="宋体" w:cs="宋体"/>
          <w:color w:val="auto"/>
          <w:sz w:val="24"/>
          <w:szCs w:val="24"/>
          <w:highlight w:val="none"/>
        </w:rPr>
        <w:t>1.采购人信息</w:t>
      </w:r>
      <w:bookmarkEnd w:id="982"/>
      <w:bookmarkEnd w:id="983"/>
      <w:bookmarkEnd w:id="984"/>
      <w:bookmarkEnd w:id="985"/>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莎车</w:t>
      </w:r>
      <w:r>
        <w:rPr>
          <w:rFonts w:hint="eastAsia" w:ascii="宋体" w:hAnsi="宋体" w:eastAsia="宋体" w:cs="宋体"/>
          <w:color w:val="auto"/>
          <w:sz w:val="24"/>
          <w:szCs w:val="24"/>
          <w:highlight w:val="none"/>
        </w:rPr>
        <w:t>县人民医院</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莎车</w:t>
      </w:r>
      <w:r>
        <w:rPr>
          <w:rFonts w:hint="eastAsia" w:ascii="宋体" w:hAnsi="宋体" w:eastAsia="宋体" w:cs="宋体"/>
          <w:color w:val="auto"/>
          <w:sz w:val="24"/>
          <w:szCs w:val="24"/>
          <w:highlight w:val="none"/>
        </w:rPr>
        <w:t>县人民医院</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人：刘红</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联系电话：0998-85251302</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代理机构信息</w:t>
      </w:r>
      <w:bookmarkEnd w:id="986"/>
      <w:bookmarkEnd w:id="987"/>
      <w:bookmarkEnd w:id="988"/>
      <w:bookmarkEnd w:id="989"/>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称：中经国际招标集团有限公司　</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址：喀什经济开发区深圳城3号楼12层1204  </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 系 人：王丽娟        </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联系电话：15099650569</w:t>
      </w:r>
      <w:r>
        <w:rPr>
          <w:rFonts w:hint="eastAsia" w:ascii="宋体" w:hAnsi="宋体" w:eastAsia="宋体" w:cs="宋体"/>
          <w:b w:val="0"/>
          <w:i w:val="0"/>
          <w:caps w:val="0"/>
          <w:color w:val="auto"/>
          <w:spacing w:val="0"/>
          <w:w w:val="100"/>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outlineLvl w:val="9"/>
        <w:rPr>
          <w:rFonts w:hint="eastAsia" w:ascii="宋体" w:hAnsi="宋体" w:eastAsia="宋体" w:cs="宋体"/>
          <w:color w:val="auto"/>
          <w:sz w:val="24"/>
          <w:szCs w:val="24"/>
          <w:highlight w:val="none"/>
        </w:rPr>
      </w:pPr>
    </w:p>
    <w:p>
      <w:pPr>
        <w:pStyle w:val="4"/>
        <w:outlineLvl w:val="9"/>
        <w:rPr>
          <w:rFonts w:hint="eastAsia" w:ascii="宋体" w:hAnsi="宋体" w:eastAsia="宋体" w:cs="宋体"/>
          <w:color w:val="auto"/>
          <w:sz w:val="24"/>
          <w:szCs w:val="24"/>
          <w:highlight w:val="none"/>
        </w:rPr>
      </w:pPr>
    </w:p>
    <w:p>
      <w:pPr>
        <w:pStyle w:val="5"/>
        <w:outlineLvl w:val="9"/>
        <w:rPr>
          <w:rFonts w:hint="eastAsia" w:ascii="宋体" w:hAnsi="宋体" w:eastAsia="宋体" w:cs="宋体"/>
        </w:rPr>
      </w:pPr>
    </w:p>
    <w:p>
      <w:pPr>
        <w:pageBreakBefore w:val="0"/>
        <w:widowControl w:val="0"/>
        <w:shd w:val="clear"/>
        <w:kinsoku/>
        <w:wordWrap/>
        <w:overflowPunct/>
        <w:topLinePunct w:val="0"/>
        <w:bidi w:val="0"/>
        <w:snapToGrid/>
        <w:spacing w:line="440" w:lineRule="exact"/>
        <w:ind w:firstLine="480" w:firstLineChars="200"/>
        <w:jc w:val="right"/>
        <w:textAlignment w:val="auto"/>
        <w:rPr>
          <w:rFonts w:hint="eastAsia" w:ascii="宋体" w:hAnsi="宋体" w:eastAsia="宋体" w:cs="宋体"/>
          <w:color w:val="auto"/>
          <w:kern w:val="0"/>
          <w:sz w:val="24"/>
          <w:szCs w:val="24"/>
          <w:highlight w:val="none"/>
        </w:rPr>
      </w:pPr>
    </w:p>
    <w:p>
      <w:pPr>
        <w:pageBreakBefore w:val="0"/>
        <w:widowControl w:val="0"/>
        <w:kinsoku/>
        <w:wordWrap/>
        <w:overflowPunct/>
        <w:topLinePunct w:val="0"/>
        <w:bidi w:val="0"/>
        <w:snapToGrid/>
        <w:spacing w:line="440" w:lineRule="exact"/>
        <w:ind w:left="0" w:leftChars="0" w:firstLine="480" w:firstLineChars="200"/>
        <w:jc w:val="righ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中经国际招标集团有限公司</w:t>
      </w:r>
    </w:p>
    <w:p>
      <w:pPr>
        <w:pageBreakBefore w:val="0"/>
        <w:widowControl w:val="0"/>
        <w:kinsoku/>
        <w:wordWrap/>
        <w:overflowPunct/>
        <w:topLinePunct w:val="0"/>
        <w:bidi w:val="0"/>
        <w:snapToGrid/>
        <w:spacing w:line="440" w:lineRule="exact"/>
        <w:ind w:left="0" w:leftChars="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rPr>
      </w:pPr>
    </w:p>
    <w:p>
      <w:pPr>
        <w:pageBreakBefore w:val="0"/>
        <w:widowControl w:val="0"/>
        <w:shd w:val="clear" w:color="auto" w:fill="auto"/>
        <w:kinsoku/>
        <w:wordWrap/>
        <w:overflowPunct/>
        <w:topLinePunct w:val="0"/>
        <w:bidi w:val="0"/>
        <w:snapToGrid/>
        <w:spacing w:line="380" w:lineRule="exact"/>
        <w:jc w:val="right"/>
        <w:textAlignment w:val="auto"/>
        <w:rPr>
          <w:rFonts w:hint="eastAsia" w:ascii="宋体" w:hAnsi="宋体" w:eastAsia="宋体" w:cs="宋体"/>
          <w:color w:val="auto"/>
          <w:highlight w:val="none"/>
        </w:rPr>
      </w:pPr>
    </w:p>
    <w:p>
      <w:pPr>
        <w:pStyle w:val="20"/>
        <w:keepNext w:val="0"/>
        <w:keepLines w:val="0"/>
        <w:pageBreakBefore w:val="0"/>
        <w:kinsoku/>
        <w:wordWrap/>
        <w:overflowPunct/>
        <w:topLinePunct w:val="0"/>
        <w:autoSpaceDE/>
        <w:autoSpaceDN/>
        <w:bidi w:val="0"/>
        <w:adjustRightInd/>
        <w:spacing w:line="320" w:lineRule="exact"/>
        <w:jc w:val="right"/>
        <w:rPr>
          <w:rFonts w:hint="eastAsia" w:ascii="宋体" w:hAnsi="宋体" w:eastAsia="宋体" w:cs="宋体"/>
          <w:color w:val="auto"/>
          <w:kern w:val="0"/>
          <w:sz w:val="24"/>
          <w:szCs w:val="24"/>
          <w:highlight w:val="none"/>
          <w:lang w:val="en-US" w:eastAsia="zh-CN"/>
        </w:rPr>
      </w:pPr>
    </w:p>
    <w:p>
      <w:pPr>
        <w:pStyle w:val="6"/>
        <w:tabs>
          <w:tab w:val="left" w:pos="0"/>
        </w:tabs>
        <w:spacing w:before="0" w:after="0" w:line="240" w:lineRule="atLeast"/>
        <w:rPr>
          <w:rFonts w:hint="eastAsia" w:ascii="宋体" w:hAnsi="宋体" w:eastAsia="宋体" w:cs="宋体"/>
          <w:color w:val="auto"/>
          <w:highlight w:val="none"/>
        </w:rPr>
      </w:pPr>
    </w:p>
    <w:p>
      <w:pPr>
        <w:pStyle w:val="6"/>
        <w:tabs>
          <w:tab w:val="left" w:pos="0"/>
        </w:tabs>
        <w:spacing w:before="0" w:after="0" w:line="240" w:lineRule="atLeast"/>
        <w:rPr>
          <w:rFonts w:hint="eastAsia" w:ascii="宋体" w:hAnsi="宋体" w:eastAsia="宋体" w:cs="宋体"/>
          <w:color w:val="auto"/>
          <w:highlight w:val="none"/>
        </w:rPr>
      </w:pPr>
    </w:p>
    <w:bookmarkEnd w:id="924"/>
    <w:bookmarkEnd w:id="925"/>
    <w:bookmarkEnd w:id="926"/>
    <w:bookmarkEnd w:id="927"/>
    <w:bookmarkEnd w:id="928"/>
    <w:bookmarkEnd w:id="929"/>
    <w:bookmarkEnd w:id="930"/>
    <w:bookmarkEnd w:id="934"/>
    <w:p>
      <w:pPr>
        <w:pStyle w:val="6"/>
        <w:tabs>
          <w:tab w:val="left" w:pos="0"/>
        </w:tabs>
        <w:spacing w:before="0" w:after="0" w:line="240" w:lineRule="atLeast"/>
        <w:jc w:val="center"/>
        <w:rPr>
          <w:rFonts w:hint="eastAsia" w:ascii="宋体" w:hAnsi="宋体" w:eastAsia="宋体" w:cs="宋体"/>
          <w:b/>
          <w:bCs/>
          <w:color w:val="auto"/>
          <w:highlight w:val="none"/>
        </w:rPr>
      </w:pPr>
      <w:bookmarkStart w:id="990" w:name="_Toc3106"/>
    </w:p>
    <w:p>
      <w:pPr>
        <w:rPr>
          <w:rFonts w:hint="eastAsia" w:ascii="宋体" w:hAnsi="宋体" w:eastAsia="宋体" w:cs="宋体"/>
          <w:b/>
          <w:bCs/>
          <w:color w:val="auto"/>
          <w:highlight w:val="none"/>
        </w:rPr>
      </w:pPr>
    </w:p>
    <w:p>
      <w:pPr>
        <w:pStyle w:val="33"/>
        <w:rPr>
          <w:rFonts w:hint="eastAsia" w:ascii="宋体" w:hAnsi="宋体" w:eastAsia="宋体" w:cs="宋体"/>
          <w:b/>
          <w:bCs/>
          <w:color w:val="auto"/>
          <w:highlight w:val="none"/>
        </w:rPr>
      </w:pPr>
    </w:p>
    <w:p>
      <w:pPr>
        <w:pStyle w:val="33"/>
        <w:rPr>
          <w:rFonts w:hint="eastAsia" w:ascii="宋体" w:hAnsi="宋体" w:eastAsia="宋体" w:cs="宋体"/>
          <w:b/>
          <w:bCs/>
          <w:color w:val="auto"/>
          <w:highlight w:val="none"/>
        </w:rPr>
      </w:pPr>
    </w:p>
    <w:p>
      <w:pPr>
        <w:pStyle w:val="33"/>
        <w:rPr>
          <w:rFonts w:hint="eastAsia" w:ascii="宋体" w:hAnsi="宋体" w:eastAsia="宋体" w:cs="宋体"/>
          <w:b/>
          <w:bCs/>
          <w:color w:val="auto"/>
          <w:highlight w:val="none"/>
        </w:rPr>
      </w:pPr>
    </w:p>
    <w:p>
      <w:pPr>
        <w:pStyle w:val="33"/>
        <w:rPr>
          <w:rFonts w:hint="eastAsia" w:ascii="宋体" w:hAnsi="宋体" w:eastAsia="宋体" w:cs="宋体"/>
          <w:b/>
          <w:bCs/>
          <w:color w:val="auto"/>
          <w:highlight w:val="none"/>
        </w:rPr>
      </w:pPr>
    </w:p>
    <w:p>
      <w:pPr>
        <w:pStyle w:val="33"/>
        <w:rPr>
          <w:rFonts w:hint="eastAsia" w:ascii="宋体" w:hAnsi="宋体" w:eastAsia="宋体" w:cs="宋体"/>
          <w:b/>
          <w:bCs/>
          <w:color w:val="auto"/>
          <w:highlight w:val="none"/>
        </w:rPr>
      </w:pPr>
    </w:p>
    <w:p>
      <w:pPr>
        <w:pStyle w:val="33"/>
        <w:rPr>
          <w:rFonts w:hint="eastAsia" w:ascii="宋体" w:hAnsi="宋体" w:eastAsia="宋体" w:cs="宋体"/>
          <w:b/>
          <w:bCs/>
          <w:color w:val="auto"/>
          <w:highlight w:val="none"/>
        </w:rPr>
      </w:pPr>
    </w:p>
    <w:p>
      <w:pPr>
        <w:pStyle w:val="33"/>
        <w:rPr>
          <w:rFonts w:hint="eastAsia" w:ascii="宋体" w:hAnsi="宋体" w:eastAsia="宋体" w:cs="宋体"/>
          <w:b/>
          <w:bCs/>
          <w:color w:val="auto"/>
          <w:highlight w:val="none"/>
        </w:rPr>
      </w:pPr>
    </w:p>
    <w:p>
      <w:pPr>
        <w:pStyle w:val="33"/>
        <w:rPr>
          <w:rFonts w:hint="eastAsia" w:ascii="宋体" w:hAnsi="宋体" w:eastAsia="宋体" w:cs="宋体"/>
          <w:b/>
          <w:bCs/>
          <w:color w:val="auto"/>
          <w:highlight w:val="none"/>
        </w:rPr>
      </w:pPr>
    </w:p>
    <w:p>
      <w:pPr>
        <w:pStyle w:val="33"/>
        <w:rPr>
          <w:rFonts w:hint="eastAsia" w:ascii="宋体" w:hAnsi="宋体" w:eastAsia="宋体" w:cs="宋体"/>
          <w:b/>
          <w:bCs/>
          <w:color w:val="auto"/>
          <w:highlight w:val="none"/>
        </w:rPr>
      </w:pPr>
    </w:p>
    <w:p>
      <w:pPr>
        <w:pStyle w:val="6"/>
        <w:tabs>
          <w:tab w:val="left" w:pos="0"/>
        </w:tabs>
        <w:spacing w:before="0" w:after="0" w:line="240" w:lineRule="atLeast"/>
        <w:jc w:val="center"/>
        <w:rPr>
          <w:rFonts w:hint="eastAsia" w:ascii="宋体" w:hAnsi="宋体" w:eastAsia="宋体" w:cs="宋体"/>
          <w:b/>
          <w:bCs/>
          <w:color w:val="auto"/>
          <w:highlight w:val="none"/>
        </w:rPr>
      </w:pPr>
    </w:p>
    <w:p>
      <w:pPr>
        <w:pStyle w:val="6"/>
        <w:tabs>
          <w:tab w:val="left" w:pos="0"/>
        </w:tabs>
        <w:spacing w:before="0" w:after="0" w:line="240" w:lineRule="atLeast"/>
        <w:jc w:val="center"/>
        <w:rPr>
          <w:rFonts w:hint="eastAsia" w:ascii="宋体" w:hAnsi="宋体" w:eastAsia="宋体" w:cs="宋体"/>
          <w:b/>
          <w:bCs/>
          <w:color w:val="auto"/>
          <w:highlight w:val="none"/>
        </w:rPr>
      </w:pPr>
    </w:p>
    <w:p>
      <w:pPr>
        <w:widowControl/>
        <w:spacing w:line="440" w:lineRule="exact"/>
        <w:jc w:val="center"/>
        <w:outlineLvl w:val="0"/>
        <w:rPr>
          <w:rStyle w:val="35"/>
          <w:rFonts w:hint="eastAsia" w:ascii="宋体" w:hAnsi="宋体" w:eastAsia="宋体" w:cs="宋体"/>
          <w:color w:val="auto"/>
          <w:highlight w:val="none"/>
        </w:rPr>
      </w:pPr>
      <w:bookmarkStart w:id="991" w:name="_Toc13819"/>
      <w:r>
        <w:rPr>
          <w:rStyle w:val="35"/>
          <w:rFonts w:hint="eastAsia" w:ascii="宋体" w:hAnsi="宋体" w:eastAsia="宋体" w:cs="宋体"/>
          <w:color w:val="auto"/>
          <w:highlight w:val="none"/>
        </w:rPr>
        <w:t>第4章  供应商须知资料表</w:t>
      </w:r>
      <w:bookmarkEnd w:id="990"/>
      <w:bookmarkEnd w:id="991"/>
    </w:p>
    <w:p>
      <w:pPr>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本表是本招标项目的具体资料，是对供应商须知的具体补充和修改，如有矛盾，应以本资料表为准。</w:t>
      </w:r>
    </w:p>
    <w:tbl>
      <w:tblPr>
        <w:tblStyle w:val="26"/>
        <w:tblW w:w="9260" w:type="dxa"/>
        <w:tblInd w:w="-3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78"/>
        <w:gridCol w:w="78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采购人：</w:t>
            </w:r>
            <w:r>
              <w:rPr>
                <w:rFonts w:hint="eastAsia" w:ascii="宋体" w:hAnsi="宋体" w:eastAsia="宋体" w:cs="宋体"/>
                <w:color w:val="auto"/>
                <w:sz w:val="24"/>
                <w:highlight w:val="none"/>
                <w:u w:val="single"/>
                <w:lang w:val="en-US" w:eastAsia="zh-CN"/>
              </w:rPr>
              <w:t xml:space="preserve">莎车县人民医院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刘红</w:t>
            </w:r>
            <w:r>
              <w:rPr>
                <w:rFonts w:hint="eastAsia" w:ascii="宋体" w:hAnsi="宋体" w:eastAsia="宋体" w:cs="宋体"/>
                <w:color w:val="auto"/>
                <w:sz w:val="24"/>
                <w:highlight w:val="none"/>
              </w:rPr>
              <w:t xml:space="preserve">       联系电话：</w:t>
            </w:r>
            <w:r>
              <w:rPr>
                <w:rFonts w:hint="eastAsia" w:ascii="宋体" w:hAnsi="宋体" w:eastAsia="宋体" w:cs="宋体"/>
                <w:color w:val="auto"/>
                <w:sz w:val="24"/>
                <w:highlight w:val="none"/>
                <w:u w:val="single"/>
              </w:rPr>
              <w:t>0998-85251302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u w:val="single"/>
                <w:lang w:eastAsia="zh-CN"/>
              </w:rPr>
              <w:t xml:space="preserve">中经国际招标集团有限公司 </w:t>
            </w:r>
            <w:r>
              <w:rPr>
                <w:rFonts w:hint="eastAsia" w:ascii="宋体" w:hAnsi="宋体" w:eastAsia="宋体" w:cs="宋体"/>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喀什经济开发区深圳城3号楼</w:t>
            </w:r>
            <w:r>
              <w:rPr>
                <w:rFonts w:hint="eastAsia" w:ascii="宋体" w:hAnsi="宋体" w:eastAsia="宋体" w:cs="宋体"/>
                <w:color w:val="auto"/>
                <w:sz w:val="24"/>
                <w:highlight w:val="none"/>
                <w:u w:val="single"/>
                <w:lang w:val="en-US" w:eastAsia="zh-CN"/>
              </w:rPr>
              <w:t>12</w:t>
            </w:r>
            <w:r>
              <w:rPr>
                <w:rFonts w:hint="eastAsia" w:ascii="宋体" w:hAnsi="宋体" w:eastAsia="宋体" w:cs="宋体"/>
                <w:color w:val="auto"/>
                <w:sz w:val="24"/>
                <w:highlight w:val="none"/>
                <w:u w:val="single"/>
              </w:rPr>
              <w:t>层</w:t>
            </w:r>
            <w:r>
              <w:rPr>
                <w:rFonts w:hint="eastAsia" w:ascii="宋体" w:hAnsi="宋体" w:eastAsia="宋体" w:cs="宋体"/>
                <w:color w:val="auto"/>
                <w:sz w:val="24"/>
                <w:highlight w:val="none"/>
                <w:u w:val="single"/>
                <w:lang w:val="en-US" w:eastAsia="zh-CN"/>
              </w:rPr>
              <w:t>1204</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业务联系人：</w:t>
            </w:r>
            <w:r>
              <w:rPr>
                <w:rFonts w:hint="eastAsia" w:ascii="宋体" w:hAnsi="宋体" w:eastAsia="宋体" w:cs="宋体"/>
                <w:color w:val="auto"/>
                <w:sz w:val="24"/>
                <w:highlight w:val="none"/>
                <w:u w:val="single"/>
              </w:rPr>
              <w:t xml:space="preserve">王丽娟 </w:t>
            </w:r>
            <w:r>
              <w:rPr>
                <w:rFonts w:hint="eastAsia" w:ascii="宋体" w:hAnsi="宋体" w:eastAsia="宋体" w:cs="宋体"/>
                <w:color w:val="auto"/>
                <w:sz w:val="24"/>
                <w:highlight w:val="none"/>
              </w:rPr>
              <w:t xml:space="preserve">　   联系电话： </w:t>
            </w:r>
            <w:r>
              <w:rPr>
                <w:rFonts w:hint="eastAsia" w:ascii="宋体" w:hAnsi="宋体" w:eastAsia="宋体" w:cs="宋体"/>
                <w:color w:val="auto"/>
                <w:sz w:val="24"/>
                <w:highlight w:val="none"/>
                <w:u w:val="single"/>
              </w:rPr>
              <w:t>15099650569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1.3.4</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合格供应商的其他资格要求：</w:t>
            </w:r>
            <w:r>
              <w:rPr>
                <w:rFonts w:hint="eastAsia" w:ascii="宋体" w:hAnsi="宋体" w:eastAsia="宋体" w:cs="宋体"/>
                <w:b/>
                <w:bCs/>
                <w:color w:val="auto"/>
                <w:sz w:val="24"/>
                <w:highlight w:val="none"/>
              </w:rPr>
              <w:t>（本项目资格审查资料须附在投标文件中）</w:t>
            </w:r>
          </w:p>
          <w:p>
            <w:pPr>
              <w:pStyle w:val="2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（1）具有独立法人资格（三证合一的营业执照）；</w:t>
            </w:r>
          </w:p>
          <w:p>
            <w:pPr>
              <w:pStyle w:val="2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（2）法定代表人（负责人）资格证明及授权书、被授权人身份证；(法定代表人投标需提供法定代表人身份证)；</w:t>
            </w:r>
          </w:p>
          <w:p>
            <w:pPr>
              <w:pStyle w:val="2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（3）提供2020年或2021年经审计的财务审计报告（2022年成立的新公司出具近3个月任意一个月的银行资信证明）；</w:t>
            </w:r>
          </w:p>
          <w:p>
            <w:pPr>
              <w:pStyle w:val="2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（4）依法缴纳最近连续六个月的社会保险的凭据（授权人和单位员工缴纳明细凭据）；</w:t>
            </w:r>
          </w:p>
          <w:p>
            <w:pPr>
              <w:pStyle w:val="2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（5）提供税务部门出具的最近连续六个月的完税证明；</w:t>
            </w:r>
          </w:p>
          <w:p>
            <w:pPr>
              <w:pStyle w:val="2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pStyle w:val="2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（7）参与政府采购活动前3年内未被列入失信、重大税收违法案件、财政部门禁止参加政府采购活动的承诺书；</w:t>
            </w:r>
          </w:p>
          <w:p>
            <w:pPr>
              <w:pStyle w:val="2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（8）提供针对本次项目《反商业贿赂承诺书》；</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注：1、“</w:t>
            </w:r>
            <w:r>
              <w:rPr>
                <w:rFonts w:hint="eastAsia" w:ascii="宋体" w:hAnsi="宋体" w:eastAsia="宋体" w:cs="宋体"/>
                <w:b/>
                <w:bCs/>
                <w:i w:val="0"/>
                <w:caps w:val="0"/>
                <w:color w:val="auto"/>
                <w:spacing w:val="0"/>
                <w:w w:val="100"/>
                <w:sz w:val="24"/>
                <w:highlight w:val="none"/>
                <w:lang w:eastAsia="zh-CN"/>
              </w:rPr>
              <w:t>提供税务部门出具的最近连续六个月的完税证明</w:t>
            </w:r>
            <w:r>
              <w:rPr>
                <w:rFonts w:hint="eastAsia" w:ascii="宋体" w:hAnsi="宋体" w:eastAsia="宋体" w:cs="宋体"/>
                <w:b/>
                <w:bCs/>
                <w:i w:val="0"/>
                <w:caps w:val="0"/>
                <w:color w:val="auto"/>
                <w:spacing w:val="0"/>
                <w:w w:val="100"/>
                <w:sz w:val="24"/>
                <w:highlight w:val="none"/>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b/>
                <w:bCs/>
                <w:i w:val="0"/>
                <w:caps w:val="0"/>
                <w:color w:val="auto"/>
                <w:spacing w:val="0"/>
                <w:w w:val="100"/>
                <w:sz w:val="24"/>
                <w:highlight w:val="none"/>
                <w:lang w:val="en-US" w:eastAsia="zh-CN"/>
              </w:rPr>
              <w:t>2、</w:t>
            </w:r>
            <w:r>
              <w:rPr>
                <w:rFonts w:hint="eastAsia" w:ascii="宋体" w:hAnsi="宋体" w:eastAsia="宋体" w:cs="宋体"/>
                <w:b/>
                <w:bCs/>
                <w:i w:val="0"/>
                <w:caps w:val="0"/>
                <w:color w:val="auto"/>
                <w:spacing w:val="0"/>
                <w:w w:val="100"/>
                <w:sz w:val="24"/>
                <w:highlight w:val="none"/>
              </w:rPr>
              <w:t>上述资质开标现场能够通过官方网络查证的，均视为合格供应商。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firstLineChars="0"/>
              <w:textAlignment w:val="auto"/>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rPr>
              <w:t xml:space="preserve">1.3.5   </w:t>
            </w:r>
          </w:p>
        </w:tc>
        <w:tc>
          <w:tcPr>
            <w:tcW w:w="7882" w:type="dxa"/>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b w:val="0"/>
                <w:bCs w:val="0"/>
                <w:color w:val="auto"/>
                <w:sz w:val="24"/>
                <w:highlight w:val="none"/>
              </w:rPr>
              <w:t>是否允许采购进口产品：</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u w:val="single"/>
                <w:lang w:eastAsia="zh-CN"/>
              </w:rPr>
              <w:t>否</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1.3.6</w:t>
            </w:r>
          </w:p>
        </w:tc>
        <w:tc>
          <w:tcPr>
            <w:tcW w:w="7882" w:type="dxa"/>
            <w:vAlign w:val="center"/>
          </w:tcPr>
          <w:p>
            <w:pPr>
              <w:pStyle w:val="20"/>
              <w:keepNext w:val="0"/>
              <w:keepLines w:val="0"/>
              <w:pageBreakBefore w:val="0"/>
              <w:kinsoku/>
              <w:wordWrap/>
              <w:overflowPunct/>
              <w:topLinePunct w:val="0"/>
              <w:autoSpaceDE/>
              <w:autoSpaceDN/>
              <w:bidi w:val="0"/>
              <w:adjustRightInd/>
              <w:spacing w:line="340" w:lineRule="exact"/>
              <w:textAlignment w:val="auto"/>
              <w:rPr>
                <w:rFonts w:hint="eastAsia" w:ascii="宋体" w:hAnsi="宋体" w:eastAsia="宋体" w:cs="宋体"/>
                <w:color w:val="FF0000"/>
                <w:highlight w:val="yellow"/>
                <w:lang w:eastAsia="zh-CN"/>
              </w:rPr>
            </w:pPr>
            <w:r>
              <w:rPr>
                <w:rFonts w:hint="eastAsia" w:ascii="宋体" w:hAnsi="宋体" w:eastAsia="宋体" w:cs="宋体"/>
                <w:b/>
                <w:bCs/>
                <w:color w:val="FF0000"/>
                <w:sz w:val="24"/>
                <w:szCs w:val="32"/>
                <w:highlight w:val="none"/>
              </w:rPr>
              <w:t>是否</w:t>
            </w:r>
            <w:r>
              <w:rPr>
                <w:rFonts w:hint="eastAsia" w:ascii="宋体" w:hAnsi="宋体" w:eastAsia="宋体" w:cs="宋体"/>
                <w:b/>
                <w:bCs/>
                <w:color w:val="FF0000"/>
                <w:sz w:val="24"/>
                <w:szCs w:val="32"/>
                <w:highlight w:val="none"/>
                <w:lang w:eastAsia="zh-CN"/>
              </w:rPr>
              <w:t>为专门</w:t>
            </w:r>
            <w:r>
              <w:rPr>
                <w:rFonts w:hint="eastAsia" w:ascii="宋体" w:hAnsi="宋体" w:eastAsia="宋体" w:cs="宋体"/>
                <w:b/>
                <w:bCs/>
                <w:color w:val="FF0000"/>
                <w:sz w:val="24"/>
                <w:szCs w:val="32"/>
                <w:highlight w:val="none"/>
              </w:rPr>
              <w:t>面向中小企业采购：</w:t>
            </w:r>
            <w:r>
              <w:rPr>
                <w:rFonts w:hint="eastAsia" w:ascii="宋体" w:hAnsi="宋体" w:eastAsia="宋体" w:cs="宋体"/>
                <w:b/>
                <w:bCs/>
                <w:color w:val="FF0000"/>
                <w:sz w:val="24"/>
                <w:szCs w:val="32"/>
                <w:highlight w:val="none"/>
                <w:u w:val="single"/>
                <w:lang w:val="en-US" w:eastAsia="zh-CN"/>
              </w:rPr>
              <w:t xml:space="preserve"> 否</w:t>
            </w:r>
            <w:r>
              <w:rPr>
                <w:rFonts w:hint="eastAsia" w:ascii="宋体" w:hAnsi="宋体" w:eastAsia="宋体" w:cs="宋体"/>
                <w:b/>
                <w:bCs/>
                <w:color w:val="FF0000"/>
                <w:sz w:val="24"/>
                <w:szCs w:val="32"/>
                <w:highlight w:val="none"/>
                <w:lang w:eastAsia="zh-CN"/>
              </w:rPr>
              <w:t>（是、否）（注：</w:t>
            </w:r>
            <w:r>
              <w:rPr>
                <w:rFonts w:hint="eastAsia" w:ascii="宋体" w:hAnsi="宋体" w:eastAsia="宋体" w:cs="宋体"/>
                <w:b/>
                <w:bCs/>
                <w:color w:val="FF0000"/>
                <w:kern w:val="0"/>
                <w:sz w:val="24"/>
                <w:szCs w:val="24"/>
                <w:highlight w:val="none"/>
                <w:lang w:val="en-US" w:eastAsia="zh-CN"/>
              </w:rPr>
              <w:t>潜在投标企业属于中小微企业的，请在投标文件中提供“中小企业声明函”，如果未提供或提供虚假的“中小企业声明函”，投标企业将承担由此造成的一切不利后果。）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7882" w:type="dxa"/>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是否允许联合体投标：</w:t>
            </w:r>
            <w:r>
              <w:rPr>
                <w:rFonts w:hint="eastAsia" w:ascii="宋体" w:hAnsi="宋体" w:eastAsia="宋体" w:cs="宋体"/>
                <w:color w:val="auto"/>
                <w:sz w:val="24"/>
                <w:highlight w:val="none"/>
                <w:u w:val="single"/>
              </w:rPr>
              <w:t xml:space="preserve">  否  </w:t>
            </w:r>
            <w:r>
              <w:rPr>
                <w:rFonts w:hint="eastAsia" w:ascii="宋体" w:hAnsi="宋体" w:eastAsia="宋体" w:cs="宋体"/>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1.4.8</w:t>
            </w:r>
          </w:p>
        </w:tc>
        <w:tc>
          <w:tcPr>
            <w:tcW w:w="7882" w:type="dxa"/>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7882" w:type="dxa"/>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rPr>
              <w:t>项目</w:t>
            </w:r>
            <w:r>
              <w:rPr>
                <w:rFonts w:hint="eastAsia" w:ascii="宋体" w:hAnsi="宋体" w:eastAsia="宋体" w:cs="宋体"/>
                <w:b/>
                <w:bCs/>
                <w:i w:val="0"/>
                <w:caps w:val="0"/>
                <w:color w:val="auto"/>
                <w:spacing w:val="0"/>
                <w:w w:val="100"/>
                <w:sz w:val="24"/>
                <w:highlight w:val="none"/>
                <w:lang w:val="en-US" w:eastAsia="zh-CN"/>
              </w:rPr>
              <w:t>总</w:t>
            </w:r>
            <w:r>
              <w:rPr>
                <w:rFonts w:hint="eastAsia" w:ascii="宋体" w:hAnsi="宋体" w:eastAsia="宋体" w:cs="宋体"/>
                <w:b/>
                <w:bCs/>
                <w:i w:val="0"/>
                <w:caps w:val="0"/>
                <w:color w:val="auto"/>
                <w:spacing w:val="0"/>
                <w:w w:val="100"/>
                <w:sz w:val="24"/>
                <w:highlight w:val="none"/>
              </w:rPr>
              <w:t>预算金额：957.4万元</w:t>
            </w:r>
            <w:r>
              <w:rPr>
                <w:rFonts w:hint="eastAsia" w:ascii="宋体" w:hAnsi="宋体" w:eastAsia="宋体" w:cs="宋体"/>
                <w:b/>
                <w:bCs/>
                <w:i w:val="0"/>
                <w:caps w:val="0"/>
                <w:color w:val="auto"/>
                <w:spacing w:val="0"/>
                <w:w w:val="100"/>
                <w:sz w:val="24"/>
                <w:highlight w:val="none"/>
                <w:lang w:val="en-US" w:eastAsia="zh-CN"/>
              </w:rPr>
              <w:t xml:space="preserve"> ；</w:t>
            </w:r>
          </w:p>
          <w:p>
            <w:pPr>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第</w:t>
            </w:r>
            <w:r>
              <w:rPr>
                <w:rFonts w:hint="eastAsia" w:ascii="宋体" w:hAnsi="宋体" w:cs="宋体"/>
                <w:b/>
                <w:bCs/>
                <w:i w:val="0"/>
                <w:caps w:val="0"/>
                <w:color w:val="auto"/>
                <w:spacing w:val="0"/>
                <w:w w:val="100"/>
                <w:sz w:val="24"/>
                <w:highlight w:val="none"/>
                <w:lang w:val="en-US" w:eastAsia="zh-CN"/>
              </w:rPr>
              <w:t>六</w:t>
            </w:r>
            <w:r>
              <w:rPr>
                <w:rFonts w:hint="eastAsia" w:ascii="宋体" w:hAnsi="宋体" w:eastAsia="宋体" w:cs="宋体"/>
                <w:b/>
                <w:bCs/>
                <w:i w:val="0"/>
                <w:caps w:val="0"/>
                <w:color w:val="auto"/>
                <w:spacing w:val="0"/>
                <w:w w:val="100"/>
                <w:sz w:val="24"/>
                <w:highlight w:val="none"/>
                <w:lang w:val="en-US" w:eastAsia="zh-CN"/>
              </w:rPr>
              <w:t>包：</w:t>
            </w:r>
            <w:r>
              <w:rPr>
                <w:rFonts w:hint="eastAsia" w:ascii="宋体" w:hAnsi="宋体" w:eastAsia="宋体" w:cs="宋体"/>
                <w:color w:val="auto"/>
                <w:sz w:val="24"/>
                <w:highlight w:val="none"/>
                <w:lang w:val="en-US" w:eastAsia="zh-CN"/>
              </w:rPr>
              <w:t>预算金额：</w:t>
            </w:r>
            <w:r>
              <w:rPr>
                <w:rFonts w:hint="eastAsia" w:ascii="宋体" w:hAnsi="宋体" w:cs="宋体"/>
                <w:color w:val="auto"/>
                <w:sz w:val="24"/>
                <w:szCs w:val="24"/>
                <w:highlight w:val="none"/>
                <w:lang w:val="en-US" w:eastAsia="zh-CN"/>
              </w:rPr>
              <w:t>21.7万元</w:t>
            </w:r>
            <w:r>
              <w:rPr>
                <w:rFonts w:hint="eastAsia" w:ascii="宋体" w:hAnsi="宋体" w:eastAsia="宋体" w:cs="宋体"/>
                <w:b/>
                <w:bCs/>
                <w:i w:val="0"/>
                <w:caps w:val="0"/>
                <w:color w:val="auto"/>
                <w:spacing w:val="0"/>
                <w:w w:val="100"/>
                <w:sz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w:t>
            </w:r>
          </w:p>
        </w:tc>
        <w:tc>
          <w:tcPr>
            <w:tcW w:w="7882" w:type="dxa"/>
            <w:vAlign w:val="center"/>
          </w:tcPr>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color w:val="auto"/>
                <w:sz w:val="24"/>
                <w:szCs w:val="24"/>
                <w:highlight w:val="none"/>
                <w:lang w:val="en-US" w:eastAsia="zh-CN"/>
              </w:rPr>
              <w:t>采购需求：</w:t>
            </w:r>
            <w:r>
              <w:rPr>
                <w:rFonts w:hint="eastAsia" w:ascii="宋体" w:hAnsi="宋体" w:cs="宋体"/>
                <w:color w:val="auto"/>
                <w:sz w:val="24"/>
                <w:szCs w:val="24"/>
                <w:highlight w:val="none"/>
                <w:lang w:val="en-US" w:eastAsia="zh-CN"/>
              </w:rPr>
              <w:t>第六包：</w:t>
            </w:r>
            <w:r>
              <w:rPr>
                <w:rFonts w:hint="eastAsia" w:ascii="宋体" w:hAnsi="宋体" w:eastAsia="宋体" w:cs="宋体"/>
                <w:color w:val="auto"/>
                <w:sz w:val="24"/>
                <w:szCs w:val="24"/>
                <w:highlight w:val="none"/>
                <w:lang w:val="en-US" w:eastAsia="zh-CN"/>
              </w:rPr>
              <w:t>短信服务平台基础设备</w:t>
            </w:r>
            <w:r>
              <w:rPr>
                <w:rFonts w:hint="eastAsia" w:ascii="宋体" w:hAnsi="宋体" w:cs="宋体"/>
                <w:color w:val="auto"/>
                <w:sz w:val="24"/>
                <w:szCs w:val="24"/>
                <w:highlight w:val="none"/>
                <w:lang w:val="en-US" w:eastAsia="zh-CN"/>
              </w:rPr>
              <w:t>一批</w:t>
            </w:r>
            <w:r>
              <w:rPr>
                <w:rFonts w:hint="eastAsia" w:ascii="宋体" w:hAnsi="宋体" w:eastAsia="宋体" w:cs="宋体"/>
                <w:color w:val="auto"/>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12.1</w:t>
            </w:r>
          </w:p>
        </w:tc>
        <w:tc>
          <w:tcPr>
            <w:tcW w:w="788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投标保证金</w:t>
            </w:r>
            <w:r>
              <w:rPr>
                <w:rFonts w:hint="eastAsia" w:ascii="宋体" w:hAnsi="宋体" w:eastAsia="宋体" w:cs="宋体"/>
                <w:b w:val="0"/>
                <w:bCs w:val="0"/>
                <w:color w:val="auto"/>
                <w:sz w:val="24"/>
                <w:highlight w:val="none"/>
                <w:lang w:val="en-US" w:eastAsia="zh-CN"/>
              </w:rPr>
              <w:t>形式</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☑保函</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电汇  □支票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对公转账  </w:t>
            </w:r>
            <w:r>
              <w:rPr>
                <w:rFonts w:hint="eastAsia" w:ascii="宋体" w:hAnsi="宋体" w:eastAsia="宋体" w:cs="宋体"/>
                <w:b/>
                <w:bCs/>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（以“保函”形式提交投标保证金的，投标文件须同时放保函。否则按无效投标保证金处理）  </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color w:val="auto"/>
                <w:sz w:val="24"/>
                <w:highlight w:val="none"/>
              </w:rPr>
              <w:t>投标保证金数额：</w:t>
            </w:r>
            <w:r>
              <w:rPr>
                <w:rFonts w:hint="eastAsia" w:ascii="宋体" w:hAnsi="宋体" w:eastAsia="宋体" w:cs="宋体"/>
                <w:b/>
                <w:bCs/>
                <w:color w:val="auto"/>
                <w:sz w:val="24"/>
                <w:highlight w:val="none"/>
                <w:u w:val="single"/>
                <w:lang w:val="en-US" w:eastAsia="zh-CN"/>
              </w:rPr>
              <w:t>第六包：</w:t>
            </w:r>
            <w:r>
              <w:rPr>
                <w:rFonts w:hint="eastAsia" w:ascii="宋体" w:hAnsi="宋体" w:eastAsia="宋体" w:cs="宋体"/>
                <w:b/>
                <w:bCs/>
                <w:color w:val="auto"/>
                <w:sz w:val="24"/>
                <w:highlight w:val="none"/>
                <w:u w:val="single"/>
              </w:rPr>
              <w:t>¥</w:t>
            </w:r>
            <w:r>
              <w:rPr>
                <w:rFonts w:hint="eastAsia" w:ascii="宋体" w:hAnsi="宋体" w:eastAsia="宋体" w:cs="宋体"/>
                <w:b/>
                <w:bCs/>
                <w:color w:val="auto"/>
                <w:sz w:val="24"/>
                <w:highlight w:val="none"/>
                <w:u w:val="single"/>
                <w:lang w:val="en-US" w:eastAsia="zh-CN"/>
              </w:rPr>
              <w:t>4300</w:t>
            </w:r>
            <w:r>
              <w:rPr>
                <w:rFonts w:hint="eastAsia" w:ascii="宋体" w:hAnsi="宋体" w:eastAsia="宋体" w:cs="宋体"/>
                <w:b/>
                <w:bCs/>
                <w:color w:val="auto"/>
                <w:sz w:val="24"/>
                <w:highlight w:val="none"/>
                <w:u w:val="single"/>
              </w:rPr>
              <w:t>元（人民币</w:t>
            </w:r>
            <w:r>
              <w:rPr>
                <w:rFonts w:hint="eastAsia" w:ascii="宋体" w:hAnsi="宋体" w:eastAsia="宋体" w:cs="宋体"/>
                <w:b/>
                <w:bCs/>
                <w:color w:val="auto"/>
                <w:sz w:val="24"/>
                <w:highlight w:val="none"/>
                <w:u w:val="single"/>
                <w:lang w:eastAsia="zh-CN"/>
              </w:rPr>
              <w:t>肆仟叁佰</w:t>
            </w:r>
            <w:r>
              <w:rPr>
                <w:rFonts w:hint="eastAsia" w:ascii="宋体" w:hAnsi="宋体" w:eastAsia="宋体" w:cs="宋体"/>
                <w:b/>
                <w:bCs/>
                <w:color w:val="auto"/>
                <w:sz w:val="24"/>
                <w:highlight w:val="none"/>
                <w:u w:val="single"/>
                <w:lang w:val="en-US" w:eastAsia="zh-CN"/>
              </w:rPr>
              <w:t>元整</w:t>
            </w:r>
            <w:r>
              <w:rPr>
                <w:rFonts w:hint="eastAsia" w:ascii="宋体" w:hAnsi="宋体" w:eastAsia="宋体" w:cs="宋体"/>
                <w:b/>
                <w:bCs/>
                <w:color w:val="auto"/>
                <w:sz w:val="24"/>
                <w:highlight w:val="none"/>
                <w:u w:val="single"/>
              </w:rPr>
              <w:t>）</w:t>
            </w:r>
            <w:r>
              <w:rPr>
                <w:rFonts w:hint="eastAsia" w:ascii="宋体" w:hAnsi="宋体" w:eastAsia="宋体" w:cs="宋体"/>
                <w:b/>
                <w:bCs/>
                <w:color w:val="auto"/>
                <w:sz w:val="24"/>
                <w:highlight w:val="none"/>
                <w:u w:val="single"/>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（按照</w:t>
            </w:r>
            <w:r>
              <w:rPr>
                <w:rFonts w:hint="eastAsia" w:ascii="宋体" w:hAnsi="宋体" w:eastAsia="宋体" w:cs="宋体"/>
                <w:color w:val="auto"/>
                <w:sz w:val="24"/>
                <w:highlight w:val="none"/>
                <w:lang w:val="en-US" w:eastAsia="zh-CN"/>
              </w:rPr>
              <w:t>预算</w:t>
            </w:r>
            <w:r>
              <w:rPr>
                <w:rFonts w:hint="eastAsia" w:ascii="宋体" w:hAnsi="宋体" w:eastAsia="宋体" w:cs="宋体"/>
                <w:color w:val="auto"/>
                <w:sz w:val="24"/>
                <w:highlight w:val="none"/>
              </w:rPr>
              <w:t>金额2%以内的整数计算）</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保证金收款人：</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单位名称：中经国际招标集团有限公司喀什分公司</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开 户 行：乌鲁木齐银行喀什分行营业部</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账    号：0000020070110051349823（电汇时请在汇款备注栏注明项目名称及包号（如有），并注明是投标保证金）     </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行     号：313894000405</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财务室联系人及联系方式：15099650569</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注意事项：</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A:缴纳保证金要求</w:t>
            </w:r>
            <w:r>
              <w:rPr>
                <w:rFonts w:hint="eastAsia" w:ascii="宋体" w:hAnsi="宋体" w:eastAsia="宋体" w:cs="宋体"/>
                <w:color w:val="auto"/>
                <w:sz w:val="24"/>
                <w:highlight w:val="none"/>
              </w:rPr>
              <w:t>：供应商向银行办理保证金汇（转）款时，应在用途栏（备注栏）注明项目名称及包号（如有），并注明是投标保证金字样，如填写字数有要求可简写项目名称与包号（如有），由于未按要求注明信息而导致的一切后果由供应商自行承担。</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B：退保证金</w:t>
            </w:r>
            <w:r>
              <w:rPr>
                <w:rFonts w:hint="eastAsia" w:ascii="宋体" w:hAnsi="宋体" w:eastAsia="宋体" w:cs="宋体"/>
                <w:bCs/>
                <w:color w:val="auto"/>
                <w:sz w:val="24"/>
                <w:highlight w:val="none"/>
              </w:rPr>
              <w:t>：</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根据《中华人民共和国财政部令第87号--政府采购货物和货物招标投标管理办法》第三十八条投标人在投标截止时间前撤回已提交的投标文件的，采购人或者采购代理机构应当自收到投标人书面撤回通知之日起５个工作日内，退还已收取的投标保证金，但因投标人自身原因导致无法及时退还的除外。采购人或者采购代理机构应当自中标通知书发出之日起5个工作日内退还未中标人的投标保证金，自采购合同签订之日起5个工作日内退还中标人的投标保证金。</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lang w:eastAsia="zh-CN"/>
              </w:rPr>
              <w:t>）中标</w:t>
            </w:r>
            <w:r>
              <w:rPr>
                <w:rFonts w:hint="eastAsia" w:ascii="宋体" w:hAnsi="宋体" w:eastAsia="宋体" w:cs="宋体"/>
                <w:b/>
                <w:color w:val="auto"/>
                <w:sz w:val="24"/>
                <w:highlight w:val="none"/>
                <w:lang w:val="en-US" w:eastAsia="zh-CN"/>
              </w:rPr>
              <w:t>供应商的</w:t>
            </w:r>
            <w:r>
              <w:rPr>
                <w:rFonts w:hint="eastAsia" w:ascii="宋体" w:hAnsi="宋体" w:eastAsia="宋体" w:cs="宋体"/>
                <w:b/>
                <w:color w:val="auto"/>
                <w:sz w:val="24"/>
                <w:highlight w:val="none"/>
                <w:lang w:eastAsia="zh-CN"/>
              </w:rPr>
              <w:t>投标保证金在与采购单位签订合同后，把合同扫描件发</w:t>
            </w:r>
            <w:r>
              <w:rPr>
                <w:rFonts w:hint="eastAsia" w:ascii="宋体" w:hAnsi="宋体" w:eastAsia="宋体" w:cs="宋体"/>
                <w:b/>
                <w:color w:val="auto"/>
                <w:sz w:val="24"/>
                <w:highlight w:val="none"/>
                <w:lang w:val="en-US" w:eastAsia="zh-CN"/>
              </w:rPr>
              <w:t>送至邮箱2783389030@qq.com</w:t>
            </w:r>
            <w:r>
              <w:rPr>
                <w:rFonts w:hint="eastAsia" w:ascii="宋体" w:hAnsi="宋体" w:eastAsia="宋体" w:cs="宋体"/>
                <w:b/>
                <w:color w:val="auto"/>
                <w:sz w:val="24"/>
                <w:highlight w:val="none"/>
                <w:lang w:eastAsia="zh-CN"/>
              </w:rPr>
              <w:t>后，当日或次日即原账户退回。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投标有效期：</w:t>
            </w:r>
            <w:r>
              <w:rPr>
                <w:rFonts w:hint="eastAsia" w:ascii="宋体" w:hAnsi="宋体" w:eastAsia="宋体" w:cs="宋体"/>
                <w:color w:val="auto"/>
                <w:sz w:val="24"/>
                <w:highlight w:val="none"/>
                <w:u w:val="single"/>
              </w:rPr>
              <w:t>　60　</w:t>
            </w:r>
            <w:r>
              <w:rPr>
                <w:rFonts w:hint="eastAsia" w:ascii="宋体" w:hAnsi="宋体" w:eastAsia="宋体" w:cs="宋体"/>
                <w:color w:val="auto"/>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14.1</w:t>
            </w:r>
          </w:p>
        </w:tc>
        <w:tc>
          <w:tcPr>
            <w:tcW w:w="7882" w:type="dxa"/>
            <w:vAlign w:val="center"/>
          </w:tcPr>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投标文件包括“开标一览表及资格证明文件”和“商务及技术文件”两部分，两部分合订成一册密封递交。</w:t>
            </w:r>
          </w:p>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投标文件：</w:t>
            </w:r>
            <w:r>
              <w:rPr>
                <w:rFonts w:hint="eastAsia" w:ascii="宋体" w:hAnsi="宋体" w:eastAsia="宋体" w:cs="宋体"/>
                <w:b/>
                <w:bCs/>
                <w:sz w:val="24"/>
                <w:szCs w:val="24"/>
                <w:u w:val="none"/>
              </w:rPr>
              <w:t>正本：壹份、副本</w:t>
            </w:r>
            <w:r>
              <w:rPr>
                <w:rFonts w:hint="eastAsia" w:ascii="宋体" w:hAnsi="宋体" w:eastAsia="宋体" w:cs="宋体"/>
                <w:b/>
                <w:bCs/>
                <w:sz w:val="24"/>
                <w:szCs w:val="24"/>
                <w:u w:val="none"/>
                <w:lang w:val="en-US" w:eastAsia="zh-CN"/>
              </w:rPr>
              <w:t>:肆</w:t>
            </w:r>
            <w:r>
              <w:rPr>
                <w:rFonts w:hint="eastAsia" w:ascii="宋体" w:hAnsi="宋体" w:eastAsia="宋体" w:cs="宋体"/>
                <w:b/>
                <w:bCs/>
                <w:sz w:val="24"/>
                <w:szCs w:val="24"/>
                <w:u w:val="none"/>
              </w:rPr>
              <w:t>份</w:t>
            </w:r>
            <w:r>
              <w:rPr>
                <w:rFonts w:hint="eastAsia" w:ascii="宋体" w:hAnsi="宋体" w:eastAsia="宋体" w:cs="宋体"/>
                <w:sz w:val="24"/>
                <w:szCs w:val="24"/>
                <w:u w:val="none"/>
              </w:rPr>
              <w:t>；（正、副本密封在同一个密封袋中提交，密封袋封面右上角标明“正本和副本”字样）</w:t>
            </w:r>
          </w:p>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供应商必须制作“开标一览表”并单独密封提交，并在密封袋上标明“开标一览表”的字样。不按要求标注或不单独提交开标一览表，其投标将被拒绝。</w:t>
            </w:r>
          </w:p>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除上述文件外，还须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投标文件使用A4，胶装，每册装订应牢固、不易拆散和换页，不得采用活页装订。</w:t>
            </w:r>
          </w:p>
          <w:p>
            <w:pPr>
              <w:spacing w:line="400" w:lineRule="exact"/>
              <w:rPr>
                <w:rFonts w:hint="eastAsia" w:ascii="宋体" w:hAnsi="宋体" w:eastAsia="宋体" w:cs="宋体"/>
                <w:b/>
                <w:bCs/>
                <w:sz w:val="24"/>
                <w:szCs w:val="24"/>
                <w:u w:val="none"/>
              </w:rPr>
            </w:pPr>
            <w:bookmarkStart w:id="992" w:name="_Toc28116"/>
            <w:bookmarkStart w:id="993" w:name="_Toc7078"/>
            <w:r>
              <w:rPr>
                <w:rFonts w:hint="eastAsia" w:ascii="宋体" w:hAnsi="宋体" w:eastAsia="宋体" w:cs="宋体"/>
                <w:b/>
                <w:bCs/>
                <w:sz w:val="24"/>
                <w:szCs w:val="24"/>
                <w:u w:val="none"/>
              </w:rPr>
              <w:t>投标文件的签署及规定：</w:t>
            </w:r>
            <w:bookmarkEnd w:id="992"/>
            <w:bookmarkEnd w:id="993"/>
          </w:p>
          <w:p>
            <w:pPr>
              <w:spacing w:line="40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供应商应按供应商须知资料表中的规定，准备和递交投标文件正本、副本、开标一览表和电子U盘，</w:t>
            </w:r>
            <w:r>
              <w:rPr>
                <w:rFonts w:hint="eastAsia" w:ascii="宋体" w:hAnsi="宋体" w:eastAsia="宋体" w:cs="宋体"/>
                <w:b/>
                <w:bCs/>
                <w:sz w:val="24"/>
                <w:szCs w:val="24"/>
                <w:u w:val="none"/>
              </w:rPr>
              <w:t>每份投标文件封皮须清楚地标明“正本”或“副本”</w:t>
            </w:r>
            <w:r>
              <w:rPr>
                <w:rFonts w:hint="eastAsia" w:ascii="宋体" w:hAnsi="宋体" w:eastAsia="宋体" w:cs="宋体"/>
                <w:sz w:val="24"/>
                <w:szCs w:val="24"/>
                <w:u w:val="none"/>
              </w:rPr>
              <w:t>。若正本和副本不符，以正本为准。</w:t>
            </w:r>
          </w:p>
          <w:p>
            <w:pPr>
              <w:spacing w:line="40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投标文件的正本需打印或用不褪色墨水书写，并由供应商的法定代表人或经其正式委托代理人按招标文件规定在投标文件上签字或盖章</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并加盖单位</w:t>
            </w:r>
            <w:r>
              <w:rPr>
                <w:rFonts w:hint="eastAsia" w:ascii="宋体" w:hAnsi="宋体" w:eastAsia="宋体" w:cs="宋体"/>
                <w:sz w:val="24"/>
                <w:szCs w:val="24"/>
                <w:u w:val="none"/>
                <w:lang w:val="en-US" w:eastAsia="zh-CN"/>
              </w:rPr>
              <w:t>鲜</w:t>
            </w:r>
            <w:r>
              <w:rPr>
                <w:rFonts w:hint="eastAsia" w:ascii="宋体" w:hAnsi="宋体" w:eastAsia="宋体" w:cs="宋体"/>
                <w:sz w:val="24"/>
                <w:szCs w:val="24"/>
                <w:u w:val="none"/>
              </w:rPr>
              <w:t>印章。委托代理人须持有书面的“法定代表人授权委托书”，并将其附在投标文件中。如对投标文件进行了修改，则应由供应商的法定代表人或其委托代理人在每一修改处签字。投标文件的副本可采用正本的复印件。</w:t>
            </w:r>
          </w:p>
          <w:p>
            <w:pPr>
              <w:spacing w:line="400" w:lineRule="exact"/>
              <w:rPr>
                <w:rFonts w:hint="eastAsia" w:ascii="宋体" w:hAnsi="宋体" w:eastAsia="宋体" w:cs="宋体"/>
                <w:b/>
                <w:bCs/>
                <w:sz w:val="24"/>
                <w:szCs w:val="24"/>
                <w:u w:val="none"/>
              </w:rPr>
            </w:pPr>
            <w:r>
              <w:rPr>
                <w:rFonts w:hint="eastAsia" w:ascii="宋体" w:hAnsi="宋体" w:eastAsia="宋体" w:cs="宋体"/>
                <w:b/>
                <w:bCs/>
                <w:sz w:val="24"/>
                <w:szCs w:val="24"/>
                <w:u w:val="none"/>
              </w:rPr>
              <w:t>所有包装封皮和信封上均应：</w:t>
            </w:r>
          </w:p>
          <w:p>
            <w:pPr>
              <w:spacing w:line="40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注明招标公告或投标邀请书中指明的项目名称、项目编号、供应商名称和“在（开标时间）之前不得启封”的字样。</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sz w:val="24"/>
                <w:szCs w:val="24"/>
                <w:u w:val="none"/>
              </w:rPr>
              <w:t>在封口处加盖供应商单位章。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FF0000"/>
                <w:sz w:val="24"/>
                <w:highlight w:val="yellow"/>
              </w:rPr>
            </w:pPr>
            <w:r>
              <w:rPr>
                <w:rFonts w:hint="eastAsia" w:ascii="宋体" w:hAnsi="宋体" w:eastAsia="宋体" w:cs="宋体"/>
                <w:color w:val="FF0000"/>
                <w:sz w:val="24"/>
                <w:highlight w:val="yellow"/>
              </w:rPr>
              <w:t>投标截止时间：</w:t>
            </w:r>
            <w:r>
              <w:rPr>
                <w:rFonts w:hint="eastAsia" w:ascii="宋体" w:hAnsi="宋体" w:eastAsia="宋体" w:cs="宋体"/>
                <w:b/>
                <w:bCs/>
                <w:color w:val="FF0000"/>
                <w:sz w:val="24"/>
                <w:highlight w:val="yellow"/>
                <w:u w:val="single"/>
              </w:rPr>
              <w:t>2022年10月 21日上午11点00分（北京时间）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FF0000"/>
                <w:sz w:val="24"/>
                <w:highlight w:val="yellow"/>
                <w:u w:val="single"/>
              </w:rPr>
            </w:pPr>
            <w:r>
              <w:rPr>
                <w:rFonts w:hint="eastAsia" w:ascii="宋体" w:hAnsi="宋体" w:eastAsia="宋体" w:cs="宋体"/>
                <w:color w:val="FF0000"/>
                <w:sz w:val="24"/>
                <w:highlight w:val="yellow"/>
              </w:rPr>
              <w:t>开标时间：</w:t>
            </w:r>
            <w:r>
              <w:rPr>
                <w:rFonts w:hint="eastAsia" w:ascii="宋体" w:hAnsi="宋体" w:eastAsia="宋体" w:cs="宋体"/>
                <w:b/>
                <w:bCs/>
                <w:color w:val="FF0000"/>
                <w:sz w:val="24"/>
                <w:highlight w:val="yellow"/>
                <w:u w:val="single"/>
              </w:rPr>
              <w:t>2022年10月 21日上午11点00分（北京时间）</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FF0000"/>
                <w:sz w:val="24"/>
                <w:highlight w:val="yellow"/>
              </w:rPr>
            </w:pPr>
            <w:r>
              <w:rPr>
                <w:rFonts w:hint="eastAsia" w:ascii="宋体" w:hAnsi="宋体" w:eastAsia="宋体" w:cs="宋体"/>
                <w:color w:val="FF0000"/>
                <w:sz w:val="24"/>
                <w:highlight w:val="yellow"/>
              </w:rPr>
              <w:t>开标地点：莎车县莎车宾馆会议中心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i/>
                <w:color w:val="auto"/>
                <w:sz w:val="24"/>
                <w:highlight w:val="none"/>
              </w:rPr>
            </w:pPr>
            <w:r>
              <w:rPr>
                <w:rFonts w:hint="eastAsia" w:ascii="宋体" w:hAnsi="宋体" w:eastAsia="宋体" w:cs="宋体"/>
                <w:color w:val="auto"/>
                <w:sz w:val="24"/>
                <w:highlight w:val="none"/>
              </w:rPr>
              <w:t>评标方法：适用</w:t>
            </w:r>
            <w:r>
              <w:rPr>
                <w:rFonts w:hint="eastAsia" w:ascii="宋体" w:hAnsi="宋体" w:eastAsia="宋体" w:cs="宋体"/>
                <w:color w:val="auto"/>
                <w:sz w:val="24"/>
                <w:highlight w:val="none"/>
                <w:u w:val="single"/>
              </w:rPr>
              <w:t>　综合评分法　</w:t>
            </w:r>
            <w:r>
              <w:rPr>
                <w:rFonts w:hint="eastAsia" w:ascii="宋体" w:hAnsi="宋体" w:eastAsia="宋体" w:cs="宋体"/>
                <w:color w:val="auto"/>
                <w:sz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推荐中标候选供应商的数量：</w:t>
            </w:r>
            <w:r>
              <w:rPr>
                <w:rFonts w:hint="eastAsia" w:ascii="宋体" w:hAnsi="宋体" w:eastAsia="宋体" w:cs="宋体"/>
                <w:color w:val="auto"/>
                <w:sz w:val="24"/>
                <w:highlight w:val="none"/>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是否委托评标委员会直接确定中标人：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否</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i/>
                <w:color w:val="auto"/>
                <w:sz w:val="24"/>
                <w:highlight w:val="none"/>
              </w:rPr>
            </w:pPr>
            <w:r>
              <w:rPr>
                <w:rFonts w:hint="eastAsia" w:ascii="宋体" w:hAnsi="宋体" w:eastAsia="宋体" w:cs="宋体"/>
                <w:color w:val="auto"/>
                <w:sz w:val="24"/>
                <w:highlight w:val="none"/>
              </w:rPr>
              <w:t>履约保证金金额：合同总价的</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　</w:t>
            </w:r>
            <w:r>
              <w:rPr>
                <w:rFonts w:hint="eastAsia" w:ascii="宋体" w:hAnsi="宋体" w:eastAsia="宋体" w:cs="宋体"/>
                <w:i/>
                <w:color w:val="auto"/>
                <w:sz w:val="24"/>
                <w:highlight w:val="none"/>
              </w:rPr>
              <w:t>（不得超过政府采购合同金额的10%）</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履约保证金形式：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☑保函</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电汇  □支票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对公转账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提交履约保证金的时间：签订合同前打入甲方指定账户（注：双方可以通过协商另行约定其他退还时间和方式及用途）</w:t>
            </w:r>
            <w:r>
              <w:rPr>
                <w:rFonts w:hint="eastAsia" w:ascii="宋体" w:hAnsi="宋体" w:eastAsia="宋体" w:cs="宋体"/>
                <w:color w:val="auto"/>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中标服务费：50万元—100万按1.50%收取；100万—300万按1.10%收取；300万元—500万元，按1.00%收取；500万元—1000万元按0.80%收取；1000万元—5000万元按0.50%收取；5000万元以上的项目，按0.25%收取（由中标方缴纳）。</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支付时间：领取中标通知书时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本项目是否属于信用担保试点范围：</w:t>
            </w:r>
            <w:r>
              <w:rPr>
                <w:rFonts w:hint="eastAsia" w:ascii="宋体" w:hAnsi="宋体" w:eastAsia="宋体" w:cs="宋体"/>
                <w:color w:val="auto"/>
                <w:sz w:val="24"/>
                <w:highlight w:val="none"/>
                <w:u w:val="single"/>
              </w:rPr>
              <w:t xml:space="preserve">  否  </w:t>
            </w:r>
            <w:r>
              <w:rPr>
                <w:rFonts w:hint="eastAsia" w:ascii="宋体" w:hAnsi="宋体" w:eastAsia="宋体" w:cs="宋体"/>
                <w:color w:val="auto"/>
                <w:sz w:val="24"/>
                <w:highlight w:val="none"/>
              </w:rPr>
              <w:t xml:space="preserve"> </w:t>
            </w:r>
            <w:r>
              <w:rPr>
                <w:rFonts w:hint="eastAsia" w:ascii="宋体" w:hAnsi="宋体" w:eastAsia="宋体" w:cs="宋体"/>
                <w:i/>
                <w:color w:val="auto"/>
                <w:sz w:val="24"/>
                <w:highlight w:val="none"/>
              </w:rPr>
              <w:t>（是、否）</w:t>
            </w:r>
          </w:p>
        </w:tc>
      </w:tr>
    </w:tbl>
    <w:p>
      <w:pPr>
        <w:spacing w:line="240" w:lineRule="atLeast"/>
        <w:rPr>
          <w:rFonts w:hint="eastAsia" w:ascii="宋体" w:hAnsi="宋体" w:eastAsia="宋体" w:cs="宋体"/>
          <w:color w:val="auto"/>
          <w:sz w:val="24"/>
          <w:highlight w:val="none"/>
        </w:rPr>
      </w:pPr>
    </w:p>
    <w:p>
      <w:pPr>
        <w:pStyle w:val="33"/>
        <w:rPr>
          <w:rFonts w:hint="eastAsia" w:ascii="宋体" w:hAnsi="宋体" w:eastAsia="宋体" w:cs="宋体"/>
          <w:color w:val="auto"/>
          <w:sz w:val="24"/>
          <w:highlight w:val="none"/>
        </w:rPr>
      </w:pPr>
    </w:p>
    <w:p>
      <w:pPr>
        <w:pStyle w:val="33"/>
        <w:rPr>
          <w:rFonts w:hint="eastAsia" w:ascii="宋体" w:hAnsi="宋体" w:eastAsia="宋体" w:cs="宋体"/>
          <w:color w:val="auto"/>
          <w:sz w:val="24"/>
          <w:highlight w:val="none"/>
        </w:rPr>
      </w:pPr>
    </w:p>
    <w:p>
      <w:pPr>
        <w:pStyle w:val="33"/>
        <w:rPr>
          <w:rFonts w:hint="eastAsia" w:ascii="宋体" w:hAnsi="宋体" w:eastAsia="宋体" w:cs="宋体"/>
          <w:color w:val="auto"/>
          <w:sz w:val="24"/>
          <w:highlight w:val="none"/>
        </w:rPr>
      </w:pPr>
    </w:p>
    <w:p>
      <w:pPr>
        <w:pStyle w:val="33"/>
        <w:rPr>
          <w:rFonts w:hint="eastAsia" w:ascii="宋体" w:hAnsi="宋体" w:eastAsia="宋体" w:cs="宋体"/>
          <w:color w:val="auto"/>
          <w:sz w:val="24"/>
          <w:highlight w:val="none"/>
        </w:rPr>
      </w:pPr>
    </w:p>
    <w:p>
      <w:pPr>
        <w:pStyle w:val="33"/>
        <w:rPr>
          <w:rFonts w:hint="eastAsia" w:ascii="宋体" w:hAnsi="宋体" w:eastAsia="宋体" w:cs="宋体"/>
          <w:color w:val="auto"/>
          <w:sz w:val="24"/>
          <w:highlight w:val="none"/>
        </w:rPr>
      </w:pPr>
    </w:p>
    <w:p>
      <w:pPr>
        <w:pStyle w:val="33"/>
        <w:rPr>
          <w:rFonts w:hint="eastAsia" w:ascii="宋体" w:hAnsi="宋体" w:eastAsia="宋体" w:cs="宋体"/>
          <w:color w:val="auto"/>
          <w:sz w:val="24"/>
          <w:highlight w:val="none"/>
        </w:rPr>
      </w:pPr>
    </w:p>
    <w:p>
      <w:pPr>
        <w:pStyle w:val="33"/>
        <w:rPr>
          <w:rFonts w:hint="eastAsia" w:ascii="宋体" w:hAnsi="宋体" w:eastAsia="宋体" w:cs="宋体"/>
          <w:color w:val="auto"/>
          <w:sz w:val="24"/>
          <w:highlight w:val="none"/>
        </w:rPr>
      </w:pPr>
    </w:p>
    <w:p>
      <w:pPr>
        <w:pStyle w:val="33"/>
        <w:rPr>
          <w:rFonts w:hint="eastAsia" w:ascii="宋体" w:hAnsi="宋体" w:eastAsia="宋体" w:cs="宋体"/>
          <w:color w:val="auto"/>
          <w:sz w:val="24"/>
          <w:highlight w:val="none"/>
        </w:rPr>
      </w:pPr>
    </w:p>
    <w:p>
      <w:pPr>
        <w:pStyle w:val="33"/>
        <w:rPr>
          <w:rFonts w:hint="eastAsia" w:ascii="宋体" w:hAnsi="宋体" w:eastAsia="宋体" w:cs="宋体"/>
          <w:color w:val="auto"/>
          <w:sz w:val="24"/>
          <w:highlight w:val="none"/>
        </w:rPr>
      </w:pPr>
    </w:p>
    <w:p>
      <w:pPr>
        <w:pStyle w:val="33"/>
        <w:rPr>
          <w:rFonts w:hint="eastAsia" w:ascii="宋体" w:hAnsi="宋体" w:eastAsia="宋体" w:cs="宋体"/>
          <w:color w:val="auto"/>
          <w:sz w:val="24"/>
          <w:highlight w:val="none"/>
        </w:rPr>
      </w:pPr>
    </w:p>
    <w:p>
      <w:pPr>
        <w:pStyle w:val="33"/>
        <w:rPr>
          <w:rFonts w:hint="eastAsia" w:ascii="宋体" w:hAnsi="宋体" w:eastAsia="宋体" w:cs="宋体"/>
          <w:color w:val="auto"/>
          <w:sz w:val="24"/>
          <w:highlight w:val="none"/>
        </w:rPr>
      </w:pPr>
    </w:p>
    <w:p>
      <w:pPr>
        <w:pStyle w:val="33"/>
        <w:rPr>
          <w:rFonts w:hint="eastAsia" w:ascii="宋体" w:hAnsi="宋体" w:eastAsia="宋体" w:cs="宋体"/>
          <w:color w:val="auto"/>
          <w:sz w:val="24"/>
          <w:highlight w:val="none"/>
        </w:rPr>
      </w:pPr>
    </w:p>
    <w:p>
      <w:pPr>
        <w:pStyle w:val="33"/>
        <w:rPr>
          <w:rFonts w:hint="eastAsia" w:ascii="宋体" w:hAnsi="宋体" w:eastAsia="宋体" w:cs="宋体"/>
          <w:color w:val="auto"/>
          <w:sz w:val="24"/>
          <w:highlight w:val="none"/>
        </w:rPr>
      </w:pPr>
    </w:p>
    <w:p>
      <w:pPr>
        <w:pStyle w:val="33"/>
        <w:rPr>
          <w:rFonts w:hint="eastAsia" w:ascii="宋体" w:hAnsi="宋体" w:eastAsia="宋体" w:cs="宋体"/>
          <w:color w:val="auto"/>
          <w:sz w:val="24"/>
          <w:highlight w:val="none"/>
        </w:rPr>
      </w:pPr>
    </w:p>
    <w:tbl>
      <w:tblPr>
        <w:tblStyle w:val="26"/>
        <w:tblpPr w:leftFromText="180" w:rightFromText="180" w:vertAnchor="text" w:horzAnchor="page" w:tblpX="694" w:tblpY="491"/>
        <w:tblOverlap w:val="never"/>
        <w:tblW w:w="6529" w:type="pct"/>
        <w:tblInd w:w="0" w:type="dxa"/>
        <w:tblLayout w:type="autofit"/>
        <w:tblCellMar>
          <w:top w:w="0" w:type="dxa"/>
          <w:left w:w="108" w:type="dxa"/>
          <w:bottom w:w="0" w:type="dxa"/>
          <w:right w:w="108" w:type="dxa"/>
        </w:tblCellMar>
      </w:tblPr>
      <w:tblGrid>
        <w:gridCol w:w="366"/>
        <w:gridCol w:w="666"/>
        <w:gridCol w:w="773"/>
        <w:gridCol w:w="715"/>
        <w:gridCol w:w="764"/>
        <w:gridCol w:w="655"/>
        <w:gridCol w:w="3359"/>
        <w:gridCol w:w="940"/>
        <w:gridCol w:w="1214"/>
        <w:gridCol w:w="940"/>
        <w:gridCol w:w="744"/>
      </w:tblGrid>
      <w:tr>
        <w:tblPrEx>
          <w:tblCellMar>
            <w:top w:w="0" w:type="dxa"/>
            <w:left w:w="108" w:type="dxa"/>
            <w:bottom w:w="0" w:type="dxa"/>
            <w:right w:w="108" w:type="dxa"/>
          </w:tblCellMar>
        </w:tblPrEx>
        <w:trPr>
          <w:trHeight w:val="620" w:hRule="atLeast"/>
        </w:trPr>
        <w:tc>
          <w:tcPr>
            <w:tcW w:w="164" w:type="pct"/>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bookmarkStart w:id="994" w:name="_Toc216513787"/>
            <w:bookmarkStart w:id="995" w:name="_Toc218935351"/>
            <w:bookmarkStart w:id="996" w:name="_Toc219175635"/>
            <w:bookmarkStart w:id="997" w:name="_Toc216582811"/>
            <w:r>
              <w:rPr>
                <w:rFonts w:hint="eastAsia" w:ascii="宋体" w:hAnsi="宋体" w:eastAsia="宋体" w:cs="宋体"/>
                <w:color w:val="auto"/>
                <w:sz w:val="15"/>
                <w:szCs w:val="15"/>
                <w:highlight w:val="none"/>
              </w:rPr>
              <w:t>供应商名称</w:t>
            </w:r>
          </w:p>
        </w:tc>
        <w:tc>
          <w:tcPr>
            <w:tcW w:w="4079" w:type="pct"/>
            <w:gridSpan w:val="8"/>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napToGrid w:val="0"/>
              <w:spacing w:before="0" w:beforeAutospacing="0" w:after="0" w:afterAutospacing="0" w:line="470" w:lineRule="exact"/>
              <w:ind w:left="0" w:leftChars="0"/>
              <w:jc w:val="center"/>
              <w:textAlignment w:val="baseline"/>
              <w:rPr>
                <w:rFonts w:hint="eastAsia" w:ascii="宋体" w:hAnsi="宋体" w:eastAsia="宋体" w:cs="宋体"/>
                <w:b/>
                <w:bCs/>
                <w:i w:val="0"/>
                <w:caps w:val="0"/>
                <w:color w:val="auto"/>
                <w:spacing w:val="0"/>
                <w:w w:val="100"/>
                <w:sz w:val="20"/>
                <w:szCs w:val="20"/>
                <w:highlight w:val="none"/>
              </w:rPr>
            </w:pPr>
            <w:r>
              <w:rPr>
                <w:rFonts w:hint="eastAsia" w:ascii="宋体" w:hAnsi="宋体" w:eastAsia="宋体" w:cs="宋体"/>
                <w:b/>
                <w:bCs/>
                <w:i w:val="0"/>
                <w:caps w:val="0"/>
                <w:color w:val="auto"/>
                <w:spacing w:val="0"/>
                <w:w w:val="100"/>
                <w:sz w:val="20"/>
                <w:szCs w:val="20"/>
                <w:highlight w:val="none"/>
              </w:rPr>
              <w:t>审查项目</w:t>
            </w:r>
          </w:p>
        </w:tc>
        <w:tc>
          <w:tcPr>
            <w:tcW w:w="422" w:type="pct"/>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结论</w:t>
            </w:r>
          </w:p>
        </w:tc>
        <w:tc>
          <w:tcPr>
            <w:tcW w:w="334" w:type="pct"/>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供应商签字确认</w:t>
            </w:r>
          </w:p>
        </w:tc>
      </w:tr>
      <w:tr>
        <w:tblPrEx>
          <w:tblCellMar>
            <w:top w:w="0" w:type="dxa"/>
            <w:left w:w="108" w:type="dxa"/>
            <w:bottom w:w="0" w:type="dxa"/>
            <w:right w:w="108" w:type="dxa"/>
          </w:tblCellMar>
        </w:tblPrEx>
        <w:trPr>
          <w:trHeight w:val="8016" w:hRule="atLeast"/>
        </w:trPr>
        <w:tc>
          <w:tcPr>
            <w:tcW w:w="164" w:type="pct"/>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p>
        </w:tc>
        <w:tc>
          <w:tcPr>
            <w:tcW w:w="299" w:type="pct"/>
            <w:tcBorders>
              <w:top w:val="nil"/>
              <w:left w:val="nil"/>
              <w:bottom w:val="single" w:color="auto" w:sz="4" w:space="0"/>
              <w:right w:val="single" w:color="auto" w:sz="4" w:space="0"/>
            </w:tcBorders>
            <w:vAlign w:val="center"/>
          </w:tcPr>
          <w:p>
            <w:pPr>
              <w:tabs>
                <w:tab w:val="left" w:pos="5580"/>
              </w:tabs>
              <w:spacing w:line="400" w:lineRule="exact"/>
              <w:rPr>
                <w:rFonts w:hint="eastAsia"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具有独立法人资格（三证合一的营业执照）；</w:t>
            </w:r>
          </w:p>
          <w:p>
            <w:pPr>
              <w:tabs>
                <w:tab w:val="left" w:pos="5580"/>
              </w:tabs>
              <w:spacing w:line="400" w:lineRule="exact"/>
              <w:rPr>
                <w:rFonts w:hint="eastAsia" w:ascii="宋体" w:hAnsi="宋体" w:eastAsia="宋体" w:cs="宋体"/>
                <w:color w:val="auto"/>
                <w:sz w:val="15"/>
                <w:szCs w:val="15"/>
                <w:highlight w:val="none"/>
              </w:rPr>
            </w:pPr>
          </w:p>
        </w:tc>
        <w:tc>
          <w:tcPr>
            <w:tcW w:w="347" w:type="pct"/>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法定代表人资格证明及授权书、被授权人身份证；(法定代表人投标需提供法定代表人身份证)；</w:t>
            </w:r>
          </w:p>
        </w:tc>
        <w:tc>
          <w:tcPr>
            <w:tcW w:w="321" w:type="pct"/>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提供2020年或2021年经审计的财务审计报告</w:t>
            </w:r>
            <w:r>
              <w:rPr>
                <w:rFonts w:hint="eastAsia" w:ascii="宋体" w:hAnsi="宋体" w:eastAsia="宋体" w:cs="宋体"/>
                <w:color w:val="auto"/>
                <w:sz w:val="15"/>
                <w:szCs w:val="15"/>
                <w:highlight w:val="none"/>
                <w:lang w:val="en-US" w:eastAsia="zh-CN"/>
              </w:rPr>
              <w:t>（</w:t>
            </w:r>
            <w:r>
              <w:rPr>
                <w:rFonts w:hint="eastAsia" w:ascii="宋体" w:hAnsi="宋体" w:cs="宋体"/>
                <w:color w:val="auto"/>
                <w:sz w:val="15"/>
                <w:szCs w:val="15"/>
                <w:highlight w:val="none"/>
                <w:lang w:val="en-US" w:eastAsia="zh-CN"/>
              </w:rPr>
              <w:t>2022年成立的新公司出具近3个月任意一个月的银行资信证明</w:t>
            </w:r>
            <w:r>
              <w:rPr>
                <w:rFonts w:hint="eastAsia" w:ascii="宋体" w:hAnsi="宋体" w:eastAsia="宋体" w:cs="宋体"/>
                <w:color w:val="auto"/>
                <w:sz w:val="15"/>
                <w:szCs w:val="15"/>
                <w:highlight w:val="none"/>
                <w:lang w:val="en-US" w:eastAsia="zh-CN"/>
              </w:rPr>
              <w:t>）；</w:t>
            </w:r>
          </w:p>
          <w:p>
            <w:pPr>
              <w:spacing w:line="400" w:lineRule="exact"/>
              <w:rPr>
                <w:rFonts w:hint="eastAsia" w:ascii="宋体" w:hAnsi="宋体" w:eastAsia="宋体" w:cs="宋体"/>
                <w:color w:val="auto"/>
                <w:sz w:val="15"/>
                <w:szCs w:val="15"/>
                <w:highlight w:val="none"/>
                <w:lang w:eastAsia="zh-CN"/>
              </w:rPr>
            </w:pPr>
          </w:p>
        </w:tc>
        <w:tc>
          <w:tcPr>
            <w:tcW w:w="343" w:type="pct"/>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r>
              <w:rPr>
                <w:rFonts w:hint="eastAsia" w:ascii="宋体" w:hAnsi="宋体" w:cs="宋体"/>
                <w:color w:val="auto"/>
                <w:sz w:val="15"/>
                <w:szCs w:val="15"/>
                <w:highlight w:val="none"/>
                <w:lang w:val="en-US" w:eastAsia="zh-CN"/>
              </w:rPr>
              <w:t>依法缴纳最近连续六个月的社会保险的凭据（授权人和单位员工缴纳明细凭据）</w:t>
            </w:r>
            <w:r>
              <w:rPr>
                <w:rFonts w:hint="eastAsia" w:ascii="宋体" w:hAnsi="宋体" w:eastAsia="宋体" w:cs="宋体"/>
                <w:color w:val="auto"/>
                <w:sz w:val="15"/>
                <w:szCs w:val="15"/>
                <w:highlight w:val="none"/>
                <w:lang w:val="en-US" w:eastAsia="zh-CN"/>
              </w:rPr>
              <w:t>；</w:t>
            </w:r>
          </w:p>
        </w:tc>
        <w:tc>
          <w:tcPr>
            <w:tcW w:w="294" w:type="pc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提供税务部门出具的最近连续六个月的完税证明</w:t>
            </w:r>
            <w:r>
              <w:rPr>
                <w:rFonts w:hint="eastAsia" w:ascii="宋体" w:hAnsi="宋体" w:eastAsia="宋体" w:cs="宋体"/>
                <w:color w:val="auto"/>
                <w:sz w:val="15"/>
                <w:szCs w:val="15"/>
                <w:highlight w:val="none"/>
                <w:lang w:val="en-US" w:eastAsia="zh-CN"/>
              </w:rPr>
              <w:t>；</w:t>
            </w:r>
          </w:p>
          <w:p>
            <w:pPr>
              <w:spacing w:line="400" w:lineRule="exact"/>
              <w:rPr>
                <w:rFonts w:hint="eastAsia" w:ascii="宋体" w:hAnsi="宋体" w:eastAsia="宋体" w:cs="宋体"/>
                <w:color w:val="auto"/>
                <w:sz w:val="15"/>
                <w:szCs w:val="15"/>
                <w:highlight w:val="none"/>
              </w:rPr>
            </w:pPr>
          </w:p>
        </w:tc>
        <w:tc>
          <w:tcPr>
            <w:tcW w:w="1508" w:type="pct"/>
            <w:tcBorders>
              <w:top w:val="single" w:color="auto" w:sz="4" w:space="0"/>
              <w:left w:val="single" w:color="auto" w:sz="4" w:space="0"/>
              <w:bottom w:val="single" w:color="auto" w:sz="4" w:space="0"/>
              <w:right w:val="single" w:color="auto" w:sz="4" w:space="0"/>
            </w:tcBorders>
            <w:vAlign w:val="center"/>
          </w:tcPr>
          <w:p>
            <w:pPr>
              <w:tabs>
                <w:tab w:val="left" w:pos="5580"/>
              </w:tabs>
              <w:spacing w:line="400" w:lineRule="exact"/>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cs="宋体"/>
                <w:color w:val="auto"/>
                <w:sz w:val="15"/>
                <w:szCs w:val="15"/>
                <w:highlight w:val="none"/>
                <w:lang w:val="en-US" w:eastAsia="zh-CN"/>
              </w:rPr>
              <w:t>信用服务-重点领域严重失信主体名单查询-搜索栏输入单位全称-截图</w:t>
            </w:r>
            <w:r>
              <w:rPr>
                <w:rFonts w:hint="eastAsia" w:ascii="宋体" w:hAnsi="宋体" w:eastAsia="宋体" w:cs="宋体"/>
                <w:color w:val="auto"/>
                <w:sz w:val="15"/>
                <w:szCs w:val="15"/>
                <w:highlight w:val="none"/>
                <w:lang w:val="en-US" w:eastAsia="zh-CN"/>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tabs>
                <w:tab w:val="left" w:pos="5580"/>
              </w:tabs>
              <w:spacing w:line="400" w:lineRule="exact"/>
              <w:rPr>
                <w:rFonts w:hint="eastAsia" w:ascii="宋体" w:hAnsi="宋体" w:eastAsia="宋体" w:cs="宋体"/>
                <w:color w:val="auto"/>
                <w:sz w:val="15"/>
                <w:szCs w:val="15"/>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pPr>
              <w:tabs>
                <w:tab w:val="left" w:pos="5580"/>
              </w:tabs>
              <w:spacing w:line="400" w:lineRule="exact"/>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参与政府采购活动前3年内未被列入失信、重大税收违法案件、财政部门禁止参加政府采购活动的承诺书；</w:t>
            </w:r>
          </w:p>
          <w:p>
            <w:pPr>
              <w:tabs>
                <w:tab w:val="left" w:pos="5580"/>
              </w:tabs>
              <w:spacing w:line="400" w:lineRule="exact"/>
              <w:rPr>
                <w:rFonts w:hint="eastAsia" w:ascii="宋体" w:hAnsi="宋体" w:eastAsia="宋体" w:cs="宋体"/>
                <w:color w:val="auto"/>
                <w:sz w:val="15"/>
                <w:szCs w:val="15"/>
                <w:highlight w:val="none"/>
              </w:rPr>
            </w:pPr>
          </w:p>
        </w:tc>
        <w:tc>
          <w:tcPr>
            <w:tcW w:w="545" w:type="pc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lang w:val="en-US" w:eastAsia="zh-CN"/>
              </w:rPr>
              <w:t>提供针对本次项目《反商业贿赂承诺书》；</w:t>
            </w:r>
          </w:p>
        </w:tc>
        <w:tc>
          <w:tcPr>
            <w:tcW w:w="422" w:type="pc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p>
        </w:tc>
        <w:tc>
          <w:tcPr>
            <w:tcW w:w="334" w:type="pc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p>
        </w:tc>
      </w:tr>
      <w:tr>
        <w:tblPrEx>
          <w:tblCellMar>
            <w:top w:w="0" w:type="dxa"/>
            <w:left w:w="108" w:type="dxa"/>
            <w:bottom w:w="0" w:type="dxa"/>
            <w:right w:w="108" w:type="dxa"/>
          </w:tblCellMar>
        </w:tblPrEx>
        <w:trPr>
          <w:trHeight w:val="297" w:hRule="atLeast"/>
        </w:trPr>
        <w:tc>
          <w:tcPr>
            <w:tcW w:w="164" w:type="pct"/>
            <w:tcBorders>
              <w:top w:val="nil"/>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tc>
        <w:tc>
          <w:tcPr>
            <w:tcW w:w="299" w:type="pct"/>
            <w:tcBorders>
              <w:top w:val="nil"/>
              <w:left w:val="nil"/>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tc>
        <w:tc>
          <w:tcPr>
            <w:tcW w:w="347" w:type="pct"/>
            <w:tcBorders>
              <w:top w:val="nil"/>
              <w:left w:val="nil"/>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tc>
        <w:tc>
          <w:tcPr>
            <w:tcW w:w="321" w:type="pct"/>
            <w:tcBorders>
              <w:top w:val="nil"/>
              <w:left w:val="nil"/>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tc>
        <w:tc>
          <w:tcPr>
            <w:tcW w:w="343" w:type="pct"/>
            <w:tcBorders>
              <w:top w:val="nil"/>
              <w:left w:val="nil"/>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294"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1508"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545"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334"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r>
      <w:tr>
        <w:tblPrEx>
          <w:tblCellMar>
            <w:top w:w="0" w:type="dxa"/>
            <w:left w:w="108" w:type="dxa"/>
            <w:bottom w:w="0" w:type="dxa"/>
            <w:right w:w="108" w:type="dxa"/>
          </w:tblCellMar>
        </w:tblPrEx>
        <w:trPr>
          <w:trHeight w:val="439" w:hRule="atLeast"/>
        </w:trPr>
        <w:tc>
          <w:tcPr>
            <w:tcW w:w="164"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299"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321"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343"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294"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1508"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545"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334"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r>
      <w:bookmarkEnd w:id="994"/>
      <w:bookmarkEnd w:id="995"/>
      <w:bookmarkEnd w:id="996"/>
      <w:bookmarkEnd w:id="997"/>
    </w:tbl>
    <w:p>
      <w:pPr>
        <w:pStyle w:val="33"/>
        <w:rPr>
          <w:rFonts w:hint="eastAsia" w:ascii="宋体" w:hAnsi="宋体" w:eastAsia="宋体" w:cs="宋体"/>
          <w:color w:val="auto"/>
          <w:sz w:val="24"/>
          <w:highlight w:val="none"/>
        </w:rPr>
        <w:sectPr>
          <w:headerReference r:id="rId5" w:type="default"/>
          <w:footerReference r:id="rId6" w:type="default"/>
          <w:pgSz w:w="11906" w:h="16838"/>
          <w:pgMar w:top="1440" w:right="1797" w:bottom="1440" w:left="1797" w:header="851" w:footer="992" w:gutter="0"/>
          <w:pgNumType w:fmt="decimal" w:start="1"/>
          <w:cols w:space="720" w:num="1"/>
          <w:docGrid w:linePitch="312" w:charSpace="0"/>
        </w:sectPr>
      </w:pPr>
    </w:p>
    <w:p>
      <w:pPr>
        <w:widowControl/>
        <w:spacing w:line="440" w:lineRule="exact"/>
        <w:jc w:val="center"/>
        <w:outlineLvl w:val="0"/>
        <w:rPr>
          <w:rStyle w:val="35"/>
          <w:rFonts w:hint="eastAsia" w:ascii="宋体" w:hAnsi="宋体" w:eastAsia="宋体" w:cs="宋体"/>
          <w:color w:val="auto"/>
          <w:highlight w:val="none"/>
        </w:rPr>
      </w:pPr>
      <w:bookmarkStart w:id="998" w:name="_Toc15092"/>
      <w:bookmarkStart w:id="999" w:name="_Toc27053"/>
      <w:bookmarkStart w:id="1000" w:name="_Toc32040"/>
      <w:bookmarkStart w:id="1001" w:name="_Toc512937852"/>
      <w:r>
        <w:rPr>
          <w:rStyle w:val="35"/>
          <w:rFonts w:hint="eastAsia" w:ascii="宋体" w:hAnsi="宋体" w:cs="宋体"/>
          <w:color w:val="auto"/>
          <w:highlight w:val="none"/>
          <w:lang w:val="en-US" w:eastAsia="zh-CN"/>
        </w:rPr>
        <w:t>第5章</w:t>
      </w:r>
      <w:r>
        <w:rPr>
          <w:rStyle w:val="35"/>
          <w:rFonts w:hint="eastAsia" w:ascii="宋体" w:hAnsi="宋体" w:eastAsia="宋体" w:cs="宋体"/>
          <w:color w:val="auto"/>
          <w:highlight w:val="none"/>
        </w:rPr>
        <w:t xml:space="preserve"> 服务内容及项目要求</w:t>
      </w:r>
      <w:bookmarkEnd w:id="998"/>
      <w:bookmarkEnd w:id="999"/>
      <w:bookmarkEnd w:id="1000"/>
    </w:p>
    <w:bookmarkEnd w:id="1001"/>
    <w:p>
      <w:pPr>
        <w:jc w:val="center"/>
        <w:outlineLvl w:val="0"/>
        <w:rPr>
          <w:rStyle w:val="35"/>
          <w:rFonts w:hint="eastAsia" w:ascii="宋体" w:hAnsi="宋体" w:cs="宋体"/>
          <w:color w:val="auto"/>
          <w:highlight w:val="none"/>
          <w:lang w:eastAsia="zh-CN"/>
        </w:rPr>
      </w:pPr>
      <w:bookmarkStart w:id="1002" w:name="_Toc29489"/>
      <w:bookmarkStart w:id="1003" w:name="_Toc30238"/>
      <w:r>
        <w:rPr>
          <w:rStyle w:val="35"/>
          <w:rFonts w:hint="eastAsia" w:ascii="宋体" w:hAnsi="宋体" w:cs="宋体"/>
          <w:color w:val="auto"/>
          <w:highlight w:val="none"/>
          <w:lang w:eastAsia="zh-CN"/>
        </w:rPr>
        <w:t>第六包：短信服务平台基础设备</w:t>
      </w:r>
      <w:bookmarkEnd w:id="1002"/>
      <w:bookmarkEnd w:id="1003"/>
    </w:p>
    <w:p>
      <w:pPr>
        <w:jc w:val="center"/>
        <w:rPr>
          <w:rFonts w:ascii="方正小标宋简体" w:hAnsi="方正小标宋简体" w:eastAsia="方正小标宋简体"/>
          <w:sz w:val="40"/>
          <w:szCs w:val="40"/>
        </w:rPr>
      </w:pPr>
      <w:r>
        <w:rPr>
          <w:rFonts w:hint="eastAsia" w:ascii="方正小标宋简体" w:hAnsi="方正小标宋简体" w:eastAsia="方正小标宋简体"/>
          <w:sz w:val="40"/>
          <w:szCs w:val="40"/>
        </w:rPr>
        <w:t>莎车县人民医院</w:t>
      </w:r>
    </w:p>
    <w:p>
      <w:pPr>
        <w:jc w:val="center"/>
        <w:rPr>
          <w:rFonts w:hint="eastAsia" w:ascii="方正小标宋简体" w:hAnsi="方正小标宋简体" w:eastAsia="方正小标宋简体"/>
          <w:sz w:val="40"/>
          <w:szCs w:val="40"/>
        </w:rPr>
      </w:pPr>
      <w:r>
        <w:rPr>
          <w:rFonts w:hint="eastAsia" w:ascii="方正小标宋简体" w:hAnsi="方正小标宋简体" w:eastAsia="方正小标宋简体"/>
          <w:sz w:val="40"/>
          <w:szCs w:val="40"/>
        </w:rPr>
        <w:t>短信平台采购需求</w:t>
      </w:r>
    </w:p>
    <w:p>
      <w:pPr>
        <w:ind w:firstLine="880" w:firstLineChars="200"/>
        <w:jc w:val="center"/>
        <w:rPr>
          <w:rFonts w:hint="eastAsia" w:ascii="仿宋" w:hAnsi="仿宋" w:eastAsia="仿宋"/>
          <w:sz w:val="44"/>
          <w:szCs w:val="30"/>
        </w:rPr>
      </w:pPr>
    </w:p>
    <w:p>
      <w:pPr>
        <w:ind w:firstLine="560" w:firstLineChars="200"/>
        <w:rPr>
          <w:rFonts w:hint="eastAsia" w:ascii="仿宋" w:hAnsi="仿宋" w:eastAsia="仿宋"/>
          <w:sz w:val="28"/>
          <w:szCs w:val="21"/>
        </w:rPr>
      </w:pPr>
      <w:r>
        <w:rPr>
          <w:rFonts w:hint="eastAsia" w:ascii="仿宋" w:hAnsi="仿宋" w:eastAsia="仿宋"/>
          <w:sz w:val="28"/>
          <w:szCs w:val="21"/>
        </w:rPr>
        <w:t>本次采购用于医院局域网内网本地部署的</w:t>
      </w:r>
      <w:r>
        <w:rPr>
          <w:rFonts w:hint="eastAsia" w:ascii="仿宋" w:hAnsi="仿宋" w:eastAsia="仿宋"/>
          <w:sz w:val="28"/>
          <w:szCs w:val="21"/>
          <w:u w:val="single"/>
        </w:rPr>
        <w:t>短信平台和配套的短信包</w:t>
      </w:r>
    </w:p>
    <w:p>
      <w:pPr>
        <w:ind w:firstLine="560" w:firstLineChars="200"/>
        <w:rPr>
          <w:rFonts w:hint="eastAsia" w:ascii="仿宋" w:hAnsi="仿宋" w:eastAsia="仿宋"/>
          <w:sz w:val="28"/>
          <w:szCs w:val="21"/>
        </w:rPr>
      </w:pPr>
      <w:r>
        <w:rPr>
          <w:rFonts w:hint="eastAsia" w:ascii="仿宋" w:hAnsi="仿宋" w:eastAsia="仿宋"/>
          <w:sz w:val="28"/>
          <w:szCs w:val="21"/>
        </w:rPr>
        <w:t>1.短信包是指包含若干短信条数打包总报价。</w:t>
      </w:r>
    </w:p>
    <w:p>
      <w:pPr>
        <w:ind w:firstLine="560" w:firstLineChars="200"/>
        <w:rPr>
          <w:rFonts w:ascii="仿宋" w:hAnsi="仿宋" w:eastAsia="仿宋"/>
          <w:sz w:val="28"/>
          <w:szCs w:val="21"/>
        </w:rPr>
      </w:pPr>
      <w:r>
        <w:rPr>
          <w:rFonts w:hint="eastAsia" w:ascii="仿宋" w:hAnsi="仿宋" w:eastAsia="仿宋"/>
          <w:sz w:val="28"/>
          <w:szCs w:val="21"/>
        </w:rPr>
        <w:t>2.本地私有化部署短信平台的需求如下：</w:t>
      </w:r>
    </w:p>
    <w:p>
      <w:pPr>
        <w:ind w:firstLine="1325" w:firstLineChars="300"/>
        <w:jc w:val="both"/>
        <w:rPr>
          <w:rFonts w:hint="eastAsia" w:ascii="仿宋" w:hAnsi="仿宋" w:eastAsia="仿宋"/>
          <w:b/>
          <w:bCs/>
          <w:sz w:val="44"/>
          <w:szCs w:val="30"/>
        </w:rPr>
      </w:pPr>
      <w:r>
        <w:rPr>
          <w:rFonts w:hint="eastAsia" w:ascii="仿宋" w:hAnsi="仿宋" w:eastAsia="仿宋"/>
          <w:b/>
          <w:bCs/>
          <w:sz w:val="44"/>
          <w:szCs w:val="30"/>
        </w:rPr>
        <w:t>短信平台功能需求</w:t>
      </w:r>
    </w:p>
    <w:p>
      <w:pPr>
        <w:pStyle w:val="6"/>
        <w:jc w:val="both"/>
        <w:rPr>
          <w:rFonts w:hint="eastAsia"/>
        </w:rPr>
      </w:pPr>
      <w:bookmarkStart w:id="1004" w:name="_Toc1751"/>
      <w:bookmarkStart w:id="1005" w:name="_Toc13529"/>
      <w:r>
        <w:rPr>
          <w:rFonts w:hint="eastAsia"/>
        </w:rPr>
        <w:t>一、短信基础平台</w:t>
      </w:r>
      <w:bookmarkEnd w:id="1004"/>
      <w:bookmarkEnd w:id="1005"/>
    </w:p>
    <w:p>
      <w:pPr>
        <w:ind w:firstLine="560" w:firstLineChars="200"/>
        <w:rPr>
          <w:rFonts w:ascii="仿宋" w:hAnsi="仿宋" w:eastAsia="仿宋"/>
          <w:sz w:val="28"/>
          <w:szCs w:val="28"/>
        </w:rPr>
      </w:pPr>
      <w:r>
        <w:rPr>
          <w:rFonts w:hint="eastAsia" w:ascii="仿宋" w:hAnsi="仿宋" w:eastAsia="仿宋"/>
          <w:sz w:val="28"/>
          <w:szCs w:val="28"/>
        </w:rPr>
        <w:t>短信平台将集成</w:t>
      </w:r>
      <w:r>
        <w:rPr>
          <w:rFonts w:ascii="仿宋" w:hAnsi="仿宋" w:eastAsia="仿宋"/>
          <w:sz w:val="28"/>
          <w:szCs w:val="28"/>
        </w:rPr>
        <w:t>OA</w:t>
      </w:r>
      <w:r>
        <w:rPr>
          <w:rFonts w:hint="eastAsia" w:ascii="仿宋" w:hAnsi="仿宋" w:eastAsia="仿宋"/>
          <w:sz w:val="28"/>
          <w:szCs w:val="28"/>
        </w:rPr>
        <w:t>系统、his平台、lis平台、机房监测平台会议通知、随访系统，互联网医院，微信等短信推送。提高行业服务水平、节省办公成本、加强医院信息化管理水平。</w:t>
      </w:r>
    </w:p>
    <w:p>
      <w:pPr>
        <w:pStyle w:val="6"/>
        <w:jc w:val="both"/>
        <w:rPr>
          <w:rFonts w:hint="eastAsia"/>
        </w:rPr>
      </w:pPr>
      <w:bookmarkStart w:id="1006" w:name="_Toc12616"/>
      <w:bookmarkStart w:id="1007" w:name="_Toc1084"/>
      <w:r>
        <w:rPr>
          <w:rFonts w:hint="eastAsia"/>
        </w:rPr>
        <w:t>二、短信平台主要功能（B/S）</w:t>
      </w:r>
      <w:bookmarkEnd w:id="1006"/>
      <w:bookmarkEnd w:id="1007"/>
    </w:p>
    <w:p>
      <w:pPr>
        <w:ind w:firstLine="560" w:firstLineChars="200"/>
        <w:rPr>
          <w:rFonts w:hint="eastAsia" w:ascii="仿宋" w:hAnsi="仿宋" w:eastAsia="仿宋"/>
          <w:sz w:val="28"/>
          <w:szCs w:val="28"/>
        </w:rPr>
      </w:pPr>
      <w:r>
        <w:rPr>
          <w:rFonts w:hint="eastAsia" w:ascii="仿宋" w:hAnsi="仿宋" w:eastAsia="仿宋"/>
          <w:bCs/>
          <w:sz w:val="28"/>
          <w:szCs w:val="28"/>
        </w:rPr>
        <w:t>用户管理模块</w:t>
      </w:r>
      <w:r>
        <w:rPr>
          <w:rFonts w:ascii="仿宋" w:hAnsi="仿宋" w:eastAsia="仿宋"/>
          <w:bCs/>
          <w:sz w:val="28"/>
          <w:szCs w:val="28"/>
        </w:rPr>
        <w:t xml:space="preserve"> </w:t>
      </w:r>
      <w:r>
        <w:rPr>
          <w:rFonts w:hint="eastAsia" w:ascii="仿宋" w:hAnsi="仿宋" w:eastAsia="仿宋"/>
          <w:bCs/>
          <w:sz w:val="28"/>
          <w:szCs w:val="28"/>
        </w:rPr>
        <w:t>：</w:t>
      </w:r>
      <w:r>
        <w:rPr>
          <w:rFonts w:hint="eastAsia" w:ascii="仿宋" w:hAnsi="仿宋" w:eastAsia="仿宋"/>
          <w:sz w:val="28"/>
          <w:szCs w:val="28"/>
        </w:rPr>
        <w:t>用户录入、权限控制；</w:t>
      </w:r>
    </w:p>
    <w:p>
      <w:pPr>
        <w:ind w:firstLine="560" w:firstLineChars="200"/>
        <w:rPr>
          <w:rFonts w:hint="eastAsia" w:ascii="仿宋" w:hAnsi="仿宋" w:eastAsia="仿宋"/>
          <w:sz w:val="28"/>
          <w:szCs w:val="28"/>
        </w:rPr>
      </w:pPr>
      <w:r>
        <w:rPr>
          <w:rFonts w:hint="eastAsia" w:ascii="仿宋" w:hAnsi="仿宋" w:eastAsia="仿宋"/>
          <w:sz w:val="28"/>
          <w:szCs w:val="28"/>
        </w:rPr>
        <w:t>短信发送模块：短信发送，短信状态查看，已发送记录查询，支持长短信，长短信拆分。</w:t>
      </w:r>
    </w:p>
    <w:p>
      <w:pPr>
        <w:ind w:firstLine="560" w:firstLineChars="200"/>
        <w:rPr>
          <w:rFonts w:ascii="仿宋" w:hAnsi="仿宋" w:eastAsia="仿宋"/>
          <w:sz w:val="28"/>
          <w:szCs w:val="28"/>
        </w:rPr>
      </w:pPr>
      <w:r>
        <w:rPr>
          <w:rFonts w:hint="eastAsia" w:ascii="仿宋" w:hAnsi="仿宋" w:eastAsia="仿宋"/>
          <w:sz w:val="28"/>
          <w:szCs w:val="28"/>
        </w:rPr>
        <w:t>生日祝福短信：录入职工信息，系统定时自动发送。</w:t>
      </w:r>
    </w:p>
    <w:p>
      <w:pPr>
        <w:ind w:firstLine="560" w:firstLineChars="200"/>
        <w:rPr>
          <w:rFonts w:hint="eastAsia" w:ascii="仿宋" w:hAnsi="仿宋" w:eastAsia="仿宋"/>
          <w:sz w:val="28"/>
          <w:szCs w:val="28"/>
        </w:rPr>
      </w:pPr>
      <w:r>
        <w:rPr>
          <w:rFonts w:hint="eastAsia" w:ascii="仿宋" w:hAnsi="仿宋" w:eastAsia="仿宋"/>
          <w:sz w:val="28"/>
          <w:szCs w:val="28"/>
        </w:rPr>
        <w:t>会议通知：发送会议通知等信息。</w:t>
      </w:r>
    </w:p>
    <w:p>
      <w:pPr>
        <w:ind w:firstLine="560" w:firstLineChars="200"/>
        <w:rPr>
          <w:rFonts w:hint="eastAsia" w:ascii="仿宋" w:hAnsi="仿宋" w:eastAsia="仿宋"/>
          <w:sz w:val="28"/>
          <w:szCs w:val="28"/>
        </w:rPr>
      </w:pPr>
      <w:r>
        <w:rPr>
          <w:rFonts w:hint="eastAsia" w:ascii="仿宋" w:hAnsi="仿宋" w:eastAsia="仿宋"/>
          <w:sz w:val="28"/>
          <w:szCs w:val="28"/>
        </w:rPr>
        <w:t>定时短信：发送设定时间的短信消息。</w:t>
      </w:r>
    </w:p>
    <w:p>
      <w:pPr>
        <w:ind w:right="-693" w:rightChars="-330" w:firstLine="560" w:firstLineChars="200"/>
        <w:rPr>
          <w:rFonts w:ascii="仿宋" w:hAnsi="仿宋" w:eastAsia="仿宋"/>
          <w:sz w:val="28"/>
          <w:szCs w:val="28"/>
        </w:rPr>
      </w:pPr>
      <w:r>
        <w:rPr>
          <w:rFonts w:hint="eastAsia" w:ascii="仿宋" w:hAnsi="仿宋" w:eastAsia="仿宋"/>
          <w:bCs/>
          <w:sz w:val="28"/>
          <w:szCs w:val="28"/>
        </w:rPr>
        <w:t>数据管理</w:t>
      </w:r>
      <w:r>
        <w:rPr>
          <w:rFonts w:ascii="仿宋" w:hAnsi="仿宋" w:eastAsia="仿宋"/>
          <w:bCs/>
          <w:sz w:val="28"/>
          <w:szCs w:val="28"/>
        </w:rPr>
        <w:t xml:space="preserve"> </w:t>
      </w:r>
      <w:r>
        <w:rPr>
          <w:rFonts w:hint="eastAsia" w:ascii="仿宋" w:hAnsi="仿宋" w:eastAsia="仿宋"/>
          <w:bCs/>
          <w:sz w:val="28"/>
          <w:szCs w:val="28"/>
        </w:rPr>
        <w:t>：</w:t>
      </w:r>
      <w:r>
        <w:rPr>
          <w:rFonts w:hint="eastAsia" w:ascii="仿宋" w:hAnsi="仿宋" w:eastAsia="仿宋"/>
          <w:sz w:val="28"/>
          <w:szCs w:val="28"/>
        </w:rPr>
        <w:t>历史数据维护</w:t>
      </w:r>
      <w:r>
        <w:rPr>
          <w:rFonts w:ascii="仿宋" w:hAnsi="仿宋" w:eastAsia="仿宋"/>
          <w:sz w:val="28"/>
          <w:szCs w:val="28"/>
        </w:rPr>
        <w:t>,</w:t>
      </w:r>
      <w:r>
        <w:rPr>
          <w:rFonts w:hint="eastAsia" w:ascii="仿宋" w:hAnsi="仿宋" w:eastAsia="仿宋"/>
          <w:sz w:val="28"/>
          <w:szCs w:val="28"/>
        </w:rPr>
        <w:t>历史数据查询、历史数据删除、日志管理。</w:t>
      </w:r>
    </w:p>
    <w:p>
      <w:pPr>
        <w:ind w:right="-693" w:rightChars="-330" w:firstLine="560" w:firstLineChars="200"/>
        <w:rPr>
          <w:rFonts w:ascii="仿宋" w:hAnsi="仿宋" w:eastAsia="仿宋"/>
          <w:sz w:val="28"/>
          <w:szCs w:val="28"/>
        </w:rPr>
      </w:pPr>
      <w:r>
        <w:rPr>
          <w:rFonts w:hint="eastAsia" w:ascii="仿宋" w:hAnsi="仿宋" w:eastAsia="仿宋"/>
          <w:bCs/>
          <w:sz w:val="28"/>
          <w:szCs w:val="28"/>
        </w:rPr>
        <w:t>通讯录管理</w:t>
      </w:r>
      <w:r>
        <w:rPr>
          <w:rFonts w:ascii="仿宋" w:hAnsi="仿宋" w:eastAsia="仿宋"/>
          <w:bCs/>
          <w:sz w:val="28"/>
          <w:szCs w:val="28"/>
        </w:rPr>
        <w:t xml:space="preserve"> </w:t>
      </w:r>
      <w:r>
        <w:rPr>
          <w:rFonts w:hint="eastAsia" w:ascii="仿宋" w:hAnsi="仿宋" w:eastAsia="仿宋"/>
          <w:bCs/>
          <w:sz w:val="28"/>
          <w:szCs w:val="28"/>
        </w:rPr>
        <w:t>：</w:t>
      </w:r>
      <w:r>
        <w:rPr>
          <w:rFonts w:hint="eastAsia" w:ascii="仿宋" w:hAnsi="仿宋" w:eastAsia="仿宋"/>
          <w:sz w:val="28"/>
          <w:szCs w:val="28"/>
        </w:rPr>
        <w:t>单位通讯录（建立管理层节点）、个人通讯录、通讯录权限</w:t>
      </w:r>
      <w:r>
        <w:rPr>
          <w:rFonts w:ascii="仿宋" w:hAnsi="仿宋" w:eastAsia="仿宋"/>
          <w:sz w:val="28"/>
          <w:szCs w:val="28"/>
        </w:rPr>
        <w:t xml:space="preserve"> </w:t>
      </w:r>
      <w:r>
        <w:rPr>
          <w:rFonts w:hint="eastAsia" w:ascii="仿宋" w:hAnsi="仿宋" w:eastAsia="仿宋"/>
          <w:sz w:val="28"/>
          <w:szCs w:val="28"/>
        </w:rPr>
        <w:t>、</w:t>
      </w:r>
    </w:p>
    <w:p>
      <w:pPr>
        <w:ind w:right="-693" w:rightChars="-330" w:firstLine="560" w:firstLineChars="200"/>
        <w:rPr>
          <w:rFonts w:ascii="仿宋" w:hAnsi="仿宋" w:eastAsia="仿宋"/>
          <w:sz w:val="28"/>
          <w:szCs w:val="28"/>
        </w:rPr>
      </w:pPr>
      <w:r>
        <w:rPr>
          <w:rFonts w:hint="eastAsia" w:ascii="仿宋" w:hAnsi="仿宋" w:eastAsia="仿宋"/>
          <w:bCs/>
          <w:sz w:val="28"/>
          <w:szCs w:val="28"/>
        </w:rPr>
        <w:t>系统管理：</w:t>
      </w:r>
      <w:r>
        <w:rPr>
          <w:rFonts w:ascii="仿宋" w:hAnsi="仿宋" w:eastAsia="仿宋"/>
          <w:sz w:val="28"/>
          <w:szCs w:val="28"/>
        </w:rPr>
        <w:t xml:space="preserve"> </w:t>
      </w:r>
      <w:r>
        <w:rPr>
          <w:rFonts w:hint="eastAsia" w:ascii="仿宋" w:hAnsi="仿宋" w:eastAsia="仿宋"/>
          <w:sz w:val="28"/>
          <w:szCs w:val="28"/>
        </w:rPr>
        <w:t>用户管理、角色管理、个人设置、修改密码、常用短语管理。</w:t>
      </w:r>
    </w:p>
    <w:p>
      <w:pPr>
        <w:ind w:right="-693" w:rightChars="-330" w:firstLine="560" w:firstLineChars="200"/>
        <w:rPr>
          <w:rFonts w:ascii="仿宋" w:hAnsi="仿宋" w:eastAsia="仿宋"/>
        </w:rPr>
      </w:pPr>
      <w:r>
        <w:rPr>
          <w:rFonts w:hint="eastAsia" w:ascii="仿宋" w:hAnsi="仿宋" w:eastAsia="仿宋"/>
          <w:bCs/>
          <w:sz w:val="28"/>
          <w:szCs w:val="28"/>
        </w:rPr>
        <w:t>查询统计：</w:t>
      </w:r>
      <w:r>
        <w:rPr>
          <w:rFonts w:ascii="仿宋" w:hAnsi="仿宋" w:eastAsia="仿宋"/>
          <w:sz w:val="28"/>
          <w:szCs w:val="28"/>
        </w:rPr>
        <w:t xml:space="preserve"> </w:t>
      </w:r>
      <w:r>
        <w:rPr>
          <w:rFonts w:hint="eastAsia" w:ascii="仿宋" w:hAnsi="仿宋" w:eastAsia="仿宋"/>
          <w:sz w:val="28"/>
          <w:szCs w:val="28"/>
        </w:rPr>
        <w:t>查询历史数据、短信发送记录、短信查询记录、系统日志</w:t>
      </w:r>
      <w:r>
        <w:rPr>
          <w:rFonts w:hint="eastAsia" w:ascii="仿宋" w:hAnsi="仿宋" w:eastAsia="仿宋"/>
        </w:rPr>
        <w:t>。</w:t>
      </w:r>
    </w:p>
    <w:p>
      <w:pPr>
        <w:ind w:right="-693" w:rightChars="-330" w:firstLine="560" w:firstLineChars="200"/>
        <w:rPr>
          <w:rFonts w:hint="eastAsia" w:ascii="仿宋" w:hAnsi="仿宋" w:eastAsia="仿宋"/>
          <w:sz w:val="28"/>
          <w:szCs w:val="28"/>
        </w:rPr>
      </w:pPr>
      <w:r>
        <w:rPr>
          <w:rFonts w:ascii="仿宋" w:hAnsi="仿宋" w:eastAsia="仿宋"/>
          <w:sz w:val="28"/>
          <w:szCs w:val="28"/>
        </w:rPr>
        <w:t>业务系统</w:t>
      </w:r>
      <w:r>
        <w:rPr>
          <w:rFonts w:hint="eastAsia" w:ascii="仿宋" w:hAnsi="仿宋" w:eastAsia="仿宋"/>
          <w:sz w:val="28"/>
          <w:szCs w:val="28"/>
        </w:rPr>
        <w:t>接口</w:t>
      </w:r>
      <w:r>
        <w:rPr>
          <w:rFonts w:ascii="仿宋" w:hAnsi="仿宋" w:eastAsia="仿宋"/>
          <w:sz w:val="28"/>
          <w:szCs w:val="28"/>
        </w:rPr>
        <w:t>开发</w:t>
      </w:r>
      <w:r>
        <w:rPr>
          <w:rFonts w:hint="eastAsia" w:ascii="仿宋" w:hAnsi="仿宋" w:eastAsia="仿宋"/>
          <w:sz w:val="28"/>
          <w:szCs w:val="28"/>
        </w:rPr>
        <w:t>：负责对接随访系统，以及医院其他业务系统接入短信做开发对接。</w:t>
      </w:r>
    </w:p>
    <w:p>
      <w:pPr>
        <w:pStyle w:val="6"/>
        <w:jc w:val="both"/>
        <w:rPr>
          <w:rFonts w:hint="eastAsia"/>
        </w:rPr>
      </w:pPr>
      <w:bookmarkStart w:id="1008" w:name="_Toc21069"/>
      <w:bookmarkStart w:id="1009" w:name="_Toc12728"/>
      <w:r>
        <w:rPr>
          <w:rFonts w:hint="eastAsia"/>
        </w:rPr>
        <w:t>三、短信网关程序</w:t>
      </w:r>
      <w:bookmarkEnd w:id="1008"/>
      <w:bookmarkEnd w:id="1009"/>
    </w:p>
    <w:p>
      <w:pPr>
        <w:ind w:left="360" w:firstLine="560" w:firstLineChars="200"/>
        <w:rPr>
          <w:rFonts w:hint="eastAsia" w:ascii="仿宋" w:hAnsi="仿宋" w:eastAsia="仿宋"/>
          <w:bCs/>
          <w:sz w:val="28"/>
          <w:szCs w:val="28"/>
        </w:rPr>
      </w:pPr>
      <w:r>
        <w:rPr>
          <w:rFonts w:hint="eastAsia" w:ascii="仿宋" w:hAnsi="仿宋" w:eastAsia="仿宋"/>
          <w:bCs/>
          <w:sz w:val="28"/>
          <w:szCs w:val="28"/>
        </w:rPr>
        <w:t>联通短信接口开发：联通短信发送。</w:t>
      </w:r>
    </w:p>
    <w:p>
      <w:pPr>
        <w:ind w:left="360" w:firstLine="560" w:firstLineChars="200"/>
        <w:rPr>
          <w:rFonts w:hint="eastAsia" w:ascii="仿宋" w:hAnsi="仿宋" w:eastAsia="仿宋"/>
          <w:bCs/>
          <w:sz w:val="28"/>
          <w:szCs w:val="28"/>
        </w:rPr>
      </w:pPr>
      <w:r>
        <w:rPr>
          <w:rFonts w:hint="eastAsia" w:ascii="仿宋" w:hAnsi="仿宋" w:eastAsia="仿宋"/>
          <w:bCs/>
          <w:sz w:val="28"/>
          <w:szCs w:val="28"/>
        </w:rPr>
        <w:t>电信短信接口开发：电信短信发送。</w:t>
      </w:r>
    </w:p>
    <w:p>
      <w:pPr>
        <w:ind w:left="360" w:firstLine="560" w:firstLineChars="200"/>
        <w:rPr>
          <w:rFonts w:hint="eastAsia" w:ascii="仿宋" w:hAnsi="仿宋" w:eastAsia="仿宋"/>
          <w:bCs/>
          <w:sz w:val="28"/>
          <w:szCs w:val="28"/>
        </w:rPr>
      </w:pPr>
      <w:r>
        <w:rPr>
          <w:rFonts w:hint="eastAsia" w:ascii="仿宋" w:hAnsi="仿宋" w:eastAsia="仿宋"/>
          <w:bCs/>
          <w:sz w:val="28"/>
          <w:szCs w:val="28"/>
        </w:rPr>
        <w:t>移动短信接口开发：移动短信发送。</w:t>
      </w:r>
    </w:p>
    <w:p>
      <w:pPr>
        <w:pStyle w:val="6"/>
        <w:jc w:val="both"/>
      </w:pPr>
      <w:bookmarkStart w:id="1010" w:name="_Toc22158"/>
      <w:bookmarkStart w:id="1011" w:name="_Toc24926"/>
      <w:r>
        <w:rPr>
          <w:rFonts w:hint="eastAsia"/>
        </w:rPr>
        <w:t>四、短信接口</w:t>
      </w:r>
      <w:bookmarkEnd w:id="1010"/>
      <w:bookmarkEnd w:id="1011"/>
    </w:p>
    <w:p>
      <w:pPr>
        <w:ind w:firstLine="560" w:firstLineChars="200"/>
        <w:rPr>
          <w:rFonts w:hint="eastAsia" w:ascii="仿宋" w:hAnsi="仿宋" w:eastAsia="仿宋"/>
          <w:bCs/>
          <w:sz w:val="28"/>
          <w:szCs w:val="28"/>
        </w:rPr>
      </w:pPr>
      <w:r>
        <w:rPr>
          <w:rFonts w:ascii="仿宋" w:hAnsi="仿宋" w:eastAsia="仿宋"/>
          <w:bCs/>
          <w:sz w:val="28"/>
          <w:szCs w:val="28"/>
        </w:rPr>
        <w:t>1</w:t>
      </w:r>
      <w:r>
        <w:rPr>
          <w:rFonts w:hint="eastAsia" w:ascii="仿宋" w:hAnsi="仿宋" w:eastAsia="仿宋"/>
          <w:bCs/>
          <w:sz w:val="28"/>
          <w:szCs w:val="28"/>
        </w:rPr>
        <w:t>、</w:t>
      </w:r>
      <w:r>
        <w:rPr>
          <w:rFonts w:ascii="仿宋" w:hAnsi="仿宋" w:eastAsia="仿宋"/>
          <w:bCs/>
          <w:sz w:val="28"/>
          <w:szCs w:val="28"/>
        </w:rPr>
        <w:t>Restful接口，数据采用JSON格式</w:t>
      </w:r>
      <w:r>
        <w:rPr>
          <w:rFonts w:hint="eastAsia" w:ascii="仿宋" w:hAnsi="仿宋" w:eastAsia="仿宋"/>
          <w:bCs/>
          <w:sz w:val="28"/>
          <w:szCs w:val="28"/>
        </w:rPr>
        <w:t>。</w:t>
      </w:r>
    </w:p>
    <w:p>
      <w:pPr>
        <w:ind w:firstLine="560" w:firstLineChars="200"/>
        <w:rPr>
          <w:rFonts w:ascii="仿宋" w:hAnsi="仿宋" w:eastAsia="仿宋"/>
          <w:bCs/>
          <w:sz w:val="28"/>
          <w:szCs w:val="28"/>
        </w:rPr>
      </w:pPr>
      <w:r>
        <w:rPr>
          <w:rFonts w:ascii="仿宋" w:hAnsi="仿宋" w:eastAsia="仿宋"/>
          <w:bCs/>
          <w:sz w:val="28"/>
          <w:szCs w:val="28"/>
        </w:rPr>
        <w:t>2</w:t>
      </w:r>
      <w:r>
        <w:rPr>
          <w:rFonts w:hint="eastAsia" w:ascii="仿宋" w:hAnsi="仿宋" w:eastAsia="仿宋"/>
          <w:bCs/>
          <w:sz w:val="28"/>
          <w:szCs w:val="28"/>
        </w:rPr>
        <w:t>、DB接口：开发DB接口服务。</w:t>
      </w:r>
    </w:p>
    <w:p>
      <w:pPr>
        <w:pStyle w:val="6"/>
        <w:jc w:val="both"/>
        <w:rPr>
          <w:rFonts w:hint="eastAsia"/>
        </w:rPr>
      </w:pPr>
      <w:bookmarkStart w:id="1012" w:name="_Toc18688"/>
      <w:bookmarkStart w:id="1013" w:name="_Toc31453"/>
      <w:r>
        <w:t>五</w:t>
      </w:r>
      <w:r>
        <w:rPr>
          <w:rFonts w:hint="eastAsia"/>
        </w:rPr>
        <w:t>、</w:t>
      </w:r>
      <w:r>
        <w:t>短信性能</w:t>
      </w:r>
      <w:r>
        <w:rPr>
          <w:rFonts w:hint="eastAsia"/>
        </w:rPr>
        <w:t>要求</w:t>
      </w:r>
      <w:bookmarkEnd w:id="1012"/>
      <w:bookmarkEnd w:id="1013"/>
    </w:p>
    <w:p>
      <w:pPr>
        <w:ind w:firstLine="560" w:firstLineChars="200"/>
        <w:rPr>
          <w:rFonts w:ascii="仿宋" w:hAnsi="仿宋" w:eastAsia="仿宋"/>
          <w:bCs/>
          <w:sz w:val="28"/>
          <w:szCs w:val="28"/>
        </w:rPr>
      </w:pPr>
      <w:r>
        <w:rPr>
          <w:rFonts w:hint="eastAsia" w:ascii="仿宋" w:hAnsi="仿宋" w:eastAsia="仿宋"/>
          <w:bCs/>
          <w:sz w:val="28"/>
          <w:szCs w:val="28"/>
        </w:rPr>
        <w:t xml:space="preserve"> </w:t>
      </w:r>
      <w:r>
        <w:rPr>
          <w:rFonts w:ascii="仿宋" w:hAnsi="仿宋" w:eastAsia="仿宋"/>
          <w:bCs/>
          <w:sz w:val="28"/>
          <w:szCs w:val="28"/>
        </w:rPr>
        <w:t xml:space="preserve">  </w:t>
      </w:r>
      <w:r>
        <w:rPr>
          <w:rFonts w:hint="eastAsia" w:ascii="仿宋" w:hAnsi="仿宋" w:eastAsia="仿宋"/>
          <w:bCs/>
          <w:sz w:val="28"/>
          <w:szCs w:val="28"/>
        </w:rPr>
        <w:t>发送</w:t>
      </w:r>
      <w:r>
        <w:rPr>
          <w:rFonts w:ascii="仿宋" w:hAnsi="仿宋" w:eastAsia="仿宋"/>
          <w:bCs/>
          <w:sz w:val="28"/>
          <w:szCs w:val="28"/>
        </w:rPr>
        <w:t>速度</w:t>
      </w:r>
      <w:r>
        <w:rPr>
          <w:rFonts w:hint="eastAsia" w:ascii="仿宋" w:hAnsi="仿宋" w:eastAsia="仿宋"/>
          <w:bCs/>
          <w:sz w:val="28"/>
          <w:szCs w:val="28"/>
        </w:rPr>
        <w:t>：</w:t>
      </w:r>
      <w:r>
        <w:rPr>
          <w:rFonts w:ascii="仿宋" w:hAnsi="仿宋" w:eastAsia="仿宋"/>
          <w:bCs/>
          <w:sz w:val="28"/>
          <w:szCs w:val="28"/>
        </w:rPr>
        <w:t>10000条</w:t>
      </w:r>
      <w:r>
        <w:rPr>
          <w:rFonts w:hint="eastAsia" w:ascii="仿宋" w:hAnsi="仿宋" w:eastAsia="仿宋"/>
          <w:bCs/>
          <w:sz w:val="28"/>
          <w:szCs w:val="28"/>
        </w:rPr>
        <w:t>/小</w:t>
      </w:r>
      <w:r>
        <w:rPr>
          <w:rFonts w:ascii="仿宋" w:hAnsi="仿宋" w:eastAsia="仿宋"/>
          <w:bCs/>
          <w:sz w:val="28"/>
          <w:szCs w:val="28"/>
        </w:rPr>
        <w:t>时以上</w:t>
      </w:r>
      <w:r>
        <w:rPr>
          <w:rFonts w:hint="eastAsia" w:ascii="仿宋" w:hAnsi="仿宋" w:eastAsia="仿宋"/>
          <w:bCs/>
          <w:sz w:val="28"/>
          <w:szCs w:val="28"/>
        </w:rPr>
        <w:t>。</w:t>
      </w:r>
    </w:p>
    <w:p>
      <w:pPr>
        <w:ind w:firstLine="560" w:firstLineChars="200"/>
        <w:rPr>
          <w:rFonts w:ascii="仿宋" w:hAnsi="仿宋" w:eastAsia="仿宋"/>
          <w:bCs/>
          <w:sz w:val="28"/>
          <w:szCs w:val="28"/>
        </w:rPr>
      </w:pPr>
      <w:r>
        <w:rPr>
          <w:rFonts w:hint="eastAsia" w:ascii="仿宋" w:hAnsi="仿宋" w:eastAsia="仿宋"/>
          <w:bCs/>
          <w:sz w:val="28"/>
          <w:szCs w:val="28"/>
        </w:rPr>
        <w:t xml:space="preserve"> </w:t>
      </w:r>
      <w:r>
        <w:rPr>
          <w:rFonts w:ascii="仿宋" w:hAnsi="仿宋" w:eastAsia="仿宋"/>
          <w:bCs/>
          <w:sz w:val="28"/>
          <w:szCs w:val="28"/>
        </w:rPr>
        <w:t xml:space="preserve">  短信验证码</w:t>
      </w:r>
      <w:r>
        <w:rPr>
          <w:rFonts w:hint="eastAsia" w:ascii="仿宋" w:hAnsi="仿宋" w:eastAsia="仿宋"/>
          <w:bCs/>
          <w:sz w:val="28"/>
          <w:szCs w:val="28"/>
        </w:rPr>
        <w:t>：要求</w:t>
      </w:r>
      <w:r>
        <w:rPr>
          <w:rFonts w:ascii="仿宋" w:hAnsi="仿宋" w:eastAsia="仿宋"/>
          <w:bCs/>
          <w:sz w:val="28"/>
          <w:szCs w:val="28"/>
        </w:rPr>
        <w:t>30秒内99</w:t>
      </w:r>
      <w:r>
        <w:rPr>
          <w:rFonts w:hint="eastAsia" w:ascii="仿宋" w:hAnsi="仿宋" w:eastAsia="仿宋"/>
          <w:bCs/>
          <w:sz w:val="28"/>
          <w:szCs w:val="28"/>
        </w:rPr>
        <w:t>%</w:t>
      </w:r>
      <w:r>
        <w:rPr>
          <w:rFonts w:ascii="仿宋" w:hAnsi="仿宋" w:eastAsia="仿宋"/>
          <w:bCs/>
          <w:sz w:val="28"/>
          <w:szCs w:val="28"/>
        </w:rPr>
        <w:t>必达</w:t>
      </w:r>
      <w:r>
        <w:rPr>
          <w:rFonts w:hint="eastAsia" w:ascii="仿宋" w:hAnsi="仿宋" w:eastAsia="仿宋"/>
          <w:bCs/>
          <w:sz w:val="28"/>
          <w:szCs w:val="28"/>
        </w:rPr>
        <w:t>。</w:t>
      </w:r>
    </w:p>
    <w:p>
      <w:pPr>
        <w:ind w:firstLine="560" w:firstLineChars="200"/>
        <w:rPr>
          <w:rFonts w:ascii="仿宋" w:hAnsi="仿宋" w:eastAsia="仿宋"/>
          <w:bCs/>
          <w:sz w:val="28"/>
          <w:szCs w:val="28"/>
        </w:rPr>
      </w:pPr>
      <w:r>
        <w:rPr>
          <w:rFonts w:hint="eastAsia" w:ascii="仿宋" w:hAnsi="仿宋" w:eastAsia="仿宋"/>
          <w:bCs/>
          <w:sz w:val="28"/>
          <w:szCs w:val="28"/>
        </w:rPr>
        <w:t xml:space="preserve"> </w:t>
      </w:r>
      <w:r>
        <w:rPr>
          <w:rFonts w:ascii="仿宋" w:hAnsi="仿宋" w:eastAsia="仿宋"/>
          <w:bCs/>
          <w:sz w:val="28"/>
          <w:szCs w:val="28"/>
        </w:rPr>
        <w:t xml:space="preserve">  短信到达率</w:t>
      </w:r>
      <w:r>
        <w:rPr>
          <w:rFonts w:hint="eastAsia" w:ascii="仿宋" w:hAnsi="仿宋" w:eastAsia="仿宋"/>
          <w:bCs/>
          <w:sz w:val="28"/>
          <w:szCs w:val="28"/>
        </w:rPr>
        <w:t>：</w:t>
      </w:r>
      <w:r>
        <w:rPr>
          <w:rFonts w:ascii="仿宋" w:hAnsi="仿宋" w:eastAsia="仿宋"/>
          <w:bCs/>
          <w:sz w:val="28"/>
          <w:szCs w:val="28"/>
        </w:rPr>
        <w:t>95</w:t>
      </w:r>
      <w:r>
        <w:rPr>
          <w:rFonts w:hint="eastAsia" w:ascii="仿宋" w:hAnsi="仿宋" w:eastAsia="仿宋"/>
          <w:bCs/>
          <w:sz w:val="28"/>
          <w:szCs w:val="28"/>
        </w:rPr>
        <w:t>%</w:t>
      </w:r>
      <w:r>
        <w:rPr>
          <w:rFonts w:ascii="仿宋" w:hAnsi="仿宋" w:eastAsia="仿宋"/>
          <w:bCs/>
          <w:sz w:val="28"/>
          <w:szCs w:val="28"/>
        </w:rPr>
        <w:t>以上</w:t>
      </w:r>
    </w:p>
    <w:p>
      <w:pPr>
        <w:pStyle w:val="6"/>
        <w:jc w:val="both"/>
      </w:pPr>
      <w:bookmarkStart w:id="1014" w:name="_Toc21003"/>
      <w:bookmarkStart w:id="1015" w:name="_Toc17768"/>
      <w:r>
        <w:t>五</w:t>
      </w:r>
      <w:r>
        <w:rPr>
          <w:rFonts w:hint="eastAsia"/>
        </w:rPr>
        <w:t>、</w:t>
      </w:r>
      <w:r>
        <w:t>短信</w:t>
      </w:r>
      <w:r>
        <w:rPr>
          <w:rFonts w:hint="eastAsia"/>
        </w:rPr>
        <w:t>资费要求</w:t>
      </w:r>
      <w:bookmarkEnd w:id="1014"/>
      <w:bookmarkEnd w:id="1015"/>
    </w:p>
    <w:p>
      <w:pPr>
        <w:ind w:firstLine="420" w:firstLineChars="200"/>
        <w:rPr>
          <w:rFonts w:hint="eastAsia" w:ascii="仿宋" w:hAnsi="仿宋" w:eastAsia="仿宋"/>
          <w:bCs/>
          <w:sz w:val="28"/>
          <w:szCs w:val="28"/>
        </w:rPr>
      </w:pPr>
      <w:r>
        <w:rPr>
          <w:rFonts w:hint="eastAsia"/>
        </w:rPr>
        <w:t xml:space="preserve"> </w:t>
      </w:r>
      <w:r>
        <w:t xml:space="preserve">     </w:t>
      </w:r>
      <w:r>
        <w:rPr>
          <w:rFonts w:hint="eastAsia" w:ascii="仿宋" w:hAnsi="仿宋" w:eastAsia="仿宋"/>
          <w:bCs/>
          <w:sz w:val="28"/>
          <w:szCs w:val="28"/>
        </w:rPr>
        <w:t>短信资费≤0</w:t>
      </w:r>
      <w:r>
        <w:rPr>
          <w:rFonts w:ascii="仿宋" w:hAnsi="仿宋" w:eastAsia="仿宋"/>
          <w:bCs/>
          <w:sz w:val="28"/>
          <w:szCs w:val="28"/>
        </w:rPr>
        <w:t>.065</w:t>
      </w:r>
      <w:r>
        <w:rPr>
          <w:rFonts w:hint="eastAsia" w:ascii="仿宋" w:hAnsi="仿宋" w:eastAsia="仿宋"/>
          <w:bCs/>
          <w:sz w:val="28"/>
          <w:szCs w:val="28"/>
        </w:rPr>
        <w:t>元/条。</w:t>
      </w:r>
    </w:p>
    <w:p>
      <w:pPr>
        <w:pStyle w:val="6"/>
        <w:jc w:val="both"/>
      </w:pPr>
      <w:bookmarkStart w:id="1016" w:name="_Toc8016"/>
      <w:bookmarkStart w:id="1017" w:name="_Toc19465"/>
      <w:r>
        <w:rPr>
          <w:rFonts w:hint="eastAsia"/>
        </w:rPr>
        <w:t>六、售后</w:t>
      </w:r>
      <w:r>
        <w:t>服务</w:t>
      </w:r>
      <w:r>
        <w:rPr>
          <w:rFonts w:hint="eastAsia"/>
        </w:rPr>
        <w:t>及其他要求</w:t>
      </w:r>
      <w:bookmarkEnd w:id="1016"/>
      <w:bookmarkEnd w:id="1017"/>
    </w:p>
    <w:p>
      <w:pPr>
        <w:pStyle w:val="71"/>
        <w:tabs>
          <w:tab w:val="left" w:pos="1440"/>
        </w:tabs>
        <w:spacing w:line="360" w:lineRule="auto"/>
        <w:ind w:firstLine="560"/>
        <w:jc w:val="left"/>
        <w:rPr>
          <w:rFonts w:ascii="仿宋" w:hAnsi="仿宋" w:eastAsia="仿宋"/>
          <w:bCs/>
          <w:sz w:val="28"/>
          <w:szCs w:val="28"/>
        </w:rPr>
      </w:pPr>
      <w:r>
        <w:rPr>
          <w:rFonts w:hint="eastAsia" w:ascii="仿宋" w:hAnsi="仿宋" w:eastAsia="仿宋"/>
          <w:bCs/>
          <w:sz w:val="28"/>
          <w:szCs w:val="28"/>
        </w:rPr>
        <w:t>1、对一般问题，技术支持工程师须在收到用户电话后</w:t>
      </w:r>
      <w:r>
        <w:rPr>
          <w:rFonts w:ascii="仿宋" w:hAnsi="仿宋" w:eastAsia="仿宋"/>
          <w:bCs/>
          <w:sz w:val="28"/>
          <w:szCs w:val="28"/>
        </w:rPr>
        <w:t>30</w:t>
      </w:r>
      <w:r>
        <w:rPr>
          <w:rFonts w:hint="eastAsia" w:ascii="仿宋" w:hAnsi="仿宋" w:eastAsia="仿宋"/>
          <w:bCs/>
          <w:sz w:val="28"/>
          <w:szCs w:val="28"/>
        </w:rPr>
        <w:t xml:space="preserve">分钟之内做出响应。 </w:t>
      </w:r>
    </w:p>
    <w:p>
      <w:pPr>
        <w:spacing w:line="360" w:lineRule="auto"/>
        <w:ind w:firstLine="560" w:firstLineChars="200"/>
        <w:jc w:val="left"/>
        <w:rPr>
          <w:rFonts w:ascii="仿宋" w:hAnsi="仿宋" w:eastAsia="仿宋"/>
          <w:bCs/>
          <w:sz w:val="28"/>
          <w:szCs w:val="28"/>
        </w:rPr>
      </w:pPr>
      <w:r>
        <w:rPr>
          <w:rFonts w:ascii="仿宋" w:hAnsi="仿宋" w:eastAsia="仿宋"/>
          <w:bCs/>
          <w:sz w:val="28"/>
          <w:szCs w:val="28"/>
        </w:rPr>
        <w:t>2</w:t>
      </w:r>
      <w:r>
        <w:rPr>
          <w:rFonts w:hint="eastAsia" w:ascii="仿宋" w:hAnsi="仿宋" w:eastAsia="仿宋"/>
          <w:bCs/>
          <w:sz w:val="28"/>
          <w:szCs w:val="28"/>
        </w:rPr>
        <w:t>、提供详细的故障分析报告，日常响应时间为</w:t>
      </w:r>
      <w:r>
        <w:rPr>
          <w:rFonts w:ascii="仿宋" w:hAnsi="仿宋" w:eastAsia="仿宋"/>
          <w:bCs/>
          <w:sz w:val="28"/>
          <w:szCs w:val="28"/>
        </w:rPr>
        <w:t>7</w:t>
      </w:r>
      <w:r>
        <w:rPr>
          <w:rFonts w:hint="eastAsia" w:ascii="仿宋" w:hAnsi="仿宋" w:eastAsia="仿宋"/>
          <w:bCs/>
          <w:sz w:val="28"/>
          <w:szCs w:val="28"/>
        </w:rPr>
        <w:t>×</w:t>
      </w:r>
      <w:r>
        <w:rPr>
          <w:rFonts w:ascii="仿宋" w:hAnsi="仿宋" w:eastAsia="仿宋"/>
          <w:bCs/>
          <w:sz w:val="28"/>
          <w:szCs w:val="28"/>
        </w:rPr>
        <w:t>24</w:t>
      </w:r>
      <w:r>
        <w:rPr>
          <w:rFonts w:hint="eastAsia" w:ascii="仿宋" w:hAnsi="仿宋" w:eastAsia="仿宋"/>
          <w:bCs/>
          <w:sz w:val="28"/>
          <w:szCs w:val="28"/>
        </w:rPr>
        <w:t>小时，并在1小时内解决问题，另外，保证节假日2小时响应服务，并解决问题.</w:t>
      </w:r>
    </w:p>
    <w:p>
      <w:pPr>
        <w:spacing w:line="360" w:lineRule="auto"/>
        <w:ind w:firstLine="560" w:firstLineChars="200"/>
        <w:jc w:val="left"/>
        <w:rPr>
          <w:rFonts w:hint="eastAsia" w:ascii="仿宋" w:hAnsi="仿宋" w:eastAsia="仿宋"/>
          <w:bCs/>
          <w:sz w:val="28"/>
          <w:szCs w:val="28"/>
        </w:rPr>
      </w:pPr>
      <w:r>
        <w:rPr>
          <w:rFonts w:ascii="仿宋" w:hAnsi="仿宋" w:eastAsia="仿宋"/>
          <w:bCs/>
          <w:sz w:val="28"/>
          <w:szCs w:val="28"/>
        </w:rPr>
        <w:t>3</w:t>
      </w:r>
      <w:r>
        <w:rPr>
          <w:rFonts w:hint="eastAsia" w:ascii="仿宋" w:hAnsi="仿宋" w:eastAsia="仿宋"/>
          <w:bCs/>
          <w:sz w:val="28"/>
          <w:szCs w:val="28"/>
        </w:rPr>
        <w:t>、付款方式：以短信实际使用数量，按年结算。</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p>
      <w:pPr>
        <w:pStyle w:val="33"/>
        <w:rPr>
          <w:rFonts w:hint="eastAsia"/>
          <w:lang w:eastAsia="zh-CN"/>
        </w:rPr>
      </w:pPr>
    </w:p>
    <w:p>
      <w:pPr>
        <w:jc w:val="center"/>
        <w:outlineLvl w:val="0"/>
        <w:rPr>
          <w:rStyle w:val="35"/>
          <w:rFonts w:hint="eastAsia" w:ascii="宋体" w:hAnsi="宋体" w:eastAsia="宋体" w:cs="宋体"/>
          <w:color w:val="auto"/>
          <w:highlight w:val="none"/>
        </w:rPr>
      </w:pPr>
    </w:p>
    <w:p>
      <w:pPr>
        <w:spacing w:line="300" w:lineRule="exact"/>
        <w:rPr>
          <w:rFonts w:ascii="宋体" w:hAnsi="宋体" w:cs="宋体"/>
          <w:szCs w:val="21"/>
        </w:rPr>
      </w:pPr>
    </w:p>
    <w:p>
      <w:pPr>
        <w:spacing w:line="480" w:lineRule="exact"/>
        <w:ind w:firstLine="420" w:firstLineChars="200"/>
        <w:rPr>
          <w:rFonts w:ascii="宋体" w:hAnsi="宋体" w:cs="Arial"/>
          <w:bCs/>
          <w:szCs w:val="21"/>
        </w:rPr>
      </w:pPr>
    </w:p>
    <w:p>
      <w:pPr>
        <w:pStyle w:val="33"/>
        <w:rPr>
          <w:rFonts w:hint="eastAsia"/>
          <w:lang w:eastAsia="zh-CN"/>
        </w:rPr>
      </w:pPr>
    </w:p>
    <w:p>
      <w:pPr>
        <w:widowControl/>
        <w:spacing w:line="440" w:lineRule="exact"/>
        <w:jc w:val="center"/>
        <w:outlineLvl w:val="0"/>
        <w:rPr>
          <w:rStyle w:val="35"/>
          <w:rFonts w:hint="eastAsia" w:ascii="宋体" w:hAnsi="宋体" w:eastAsia="宋体" w:cs="宋体"/>
          <w:color w:val="auto"/>
          <w:highlight w:val="none"/>
        </w:rPr>
      </w:pPr>
    </w:p>
    <w:p>
      <w:pPr>
        <w:widowControl/>
        <w:spacing w:line="440" w:lineRule="exact"/>
        <w:jc w:val="center"/>
        <w:outlineLvl w:val="0"/>
        <w:rPr>
          <w:rStyle w:val="35"/>
          <w:rFonts w:hint="eastAsia" w:ascii="宋体" w:hAnsi="宋体" w:eastAsia="宋体" w:cs="宋体"/>
          <w:color w:val="auto"/>
          <w:highlight w:val="none"/>
        </w:rPr>
      </w:pPr>
    </w:p>
    <w:p>
      <w:pPr>
        <w:widowControl/>
        <w:spacing w:line="440" w:lineRule="exact"/>
        <w:jc w:val="center"/>
        <w:outlineLvl w:val="0"/>
        <w:rPr>
          <w:rStyle w:val="35"/>
          <w:rFonts w:hint="eastAsia" w:ascii="宋体" w:hAnsi="宋体" w:eastAsia="宋体" w:cs="宋体"/>
          <w:color w:val="auto"/>
          <w:highlight w:val="none"/>
        </w:rPr>
      </w:pPr>
      <w:bookmarkStart w:id="1018" w:name="_Toc24546"/>
      <w:r>
        <w:rPr>
          <w:rStyle w:val="35"/>
          <w:rFonts w:hint="eastAsia" w:ascii="宋体" w:hAnsi="宋体" w:eastAsia="宋体" w:cs="宋体"/>
          <w:color w:val="auto"/>
          <w:highlight w:val="none"/>
        </w:rPr>
        <w:t>第6章  评标方法和标准</w:t>
      </w:r>
      <w:bookmarkEnd w:id="1018"/>
    </w:p>
    <w:p>
      <w:pPr>
        <w:pStyle w:val="11"/>
        <w:tabs>
          <w:tab w:val="clear" w:pos="567"/>
        </w:tabs>
        <w:spacing w:before="0" w:line="400" w:lineRule="exact"/>
        <w:ind w:firstLine="540" w:firstLineChars="225"/>
        <w:rPr>
          <w:rFonts w:hint="eastAsia" w:ascii="宋体" w:hAnsi="宋体" w:eastAsia="宋体" w:cs="宋体"/>
          <w:b/>
          <w:bCs/>
          <w:color w:val="auto"/>
          <w:sz w:val="24"/>
          <w:highlight w:val="none"/>
        </w:rPr>
      </w:pPr>
      <w:r>
        <w:rPr>
          <w:rFonts w:hint="eastAsia" w:ascii="宋体" w:hAnsi="宋体" w:eastAsia="宋体" w:cs="宋体"/>
          <w:color w:val="auto"/>
          <w:highlight w:val="none"/>
        </w:rPr>
        <w:t>本项目将按照招标文件第一章供应商须知中“五 开标及评标”、“六 确定中标”及本章的规定评标。</w:t>
      </w:r>
    </w:p>
    <w:p>
      <w:pPr>
        <w:widowControl/>
        <w:shd w:val="clear" w:color="auto" w:fill="auto"/>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1.投标无效的情形：</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单位负责人为同一人或者存在直接控股、管理关系的不同供应商，其相关投标将被认定为投标无效。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报价超过招标文件规定的预算金额或者分项、分包最高限价的，其投标将被认定为投标无效。</w:t>
      </w:r>
    </w:p>
    <w:p>
      <w:pPr>
        <w:widowControl/>
        <w:shd w:val="clear" w:color="auto" w:fill="auto"/>
        <w:spacing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应认真阅读招标文件所有的事项、格式、条款和技术规范等。如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没有按照招标文件要求提交全部资料，或者投标文件没有对招标文件在各方面都做出实质性响应，可能导致其投标将被认定为投标无效</w:t>
      </w:r>
      <w:r>
        <w:rPr>
          <w:rFonts w:hint="eastAsia" w:ascii="宋体" w:hAnsi="宋体" w:eastAsia="宋体" w:cs="宋体"/>
          <w:color w:val="auto"/>
          <w:sz w:val="24"/>
          <w:highlight w:val="none"/>
          <w:lang w:val="en-US" w:eastAsia="zh-CN"/>
        </w:rPr>
        <w:t>.</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所有投标均以人民币报价。</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的投标报价应遵守《中华人民共和国价格法》。同时，根据《中华人民共和国政府采购法》第二条的规定，为保证公平竞争，如有主体部分的赠与行为，其投标将被认定为投标无效。</w:t>
      </w:r>
    </w:p>
    <w:p>
      <w:pPr>
        <w:widowControl/>
        <w:shd w:val="clear" w:color="auto" w:fill="auto"/>
        <w:spacing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所报的各分项投标单价在合同履行过程中是固定不变的，不得以任何理由予以变更。任何包含价格调整要求的投标，其投标将被认定为投标无效。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未按本须知第12.1和12.3条规定提交投标保证金的，其投标将被认定为投标无效。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投标应在</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须知资料表中规定时间内保持有效。投标有效期不满足要求的投标，其投标将被认定为投标无效。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所有投标文件采用不可拆装的胶订方式装订，否则其投标将被认定为投标无效。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采购人或采购代理机构将在开标前1个工作日至投标截止后1小时的期间内查询</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的信用记录。</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存在不良信用记录的，其投标将被认定为投标无效。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投标文件报价出现前后不一致的，按照下列规定修正：</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①</w:t>
      </w:r>
      <w:r>
        <w:rPr>
          <w:rFonts w:hint="eastAsia" w:ascii="宋体" w:hAnsi="宋体" w:eastAsia="宋体" w:cs="宋体"/>
          <w:color w:val="auto"/>
          <w:sz w:val="24"/>
          <w:highlight w:val="none"/>
        </w:rPr>
        <w:t>投标文件中开标一览表（报价表）内容与投标文件中相应内容不一致的，以开标一览表（报价表）为准；</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②大写金额和小写金额不一致的，以大写金额为准；</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③单价金额小数点或者百分比有明显错位的，以开标一览表的总价为准，并修改单价；</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④总价金额与按单价汇总金额不一致的，以单价金额计算结果为准。</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⑤同时出现两种以上不一致的，按照前款规定的顺序修正。修正后的报价按照第20.2条的规定经</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确认后产生约束力，</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不确认的，其投标将被认定为投标无效。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评标委员会决定投标的响应性只根据招标文件要求、投标文件内容及财政主管部门指定相关信息发布媒体。</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如发现下列情况之一的，其投标将被认定为投标无效：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①未按招标文件规定的形式和金额提交投标保证金的；</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②未按照招标文件规定要求签署、盖章的；</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③与其他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串通投标，或者与招标人串通投标；</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④属于招标文件规定的其他投标无效情形；</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⑤评标委员会认为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的报价明显低于其他通过符合性检查</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的报价，有可能影响履约的，且</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未按照规定证明其报价合理性的；</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⑥投标文件含有采购人不能接受的附加条件的；</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⑦不符合法规和招标文件中规定的其他实质性要求的。</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有下列情形之一的，属于恶意串通，对供应商依照政府采购法第七十七条第一款的规定追究法律责任，对采购人、采购代理机构及其工作人员依照政府采购法第七十二条的规定追究法律责任：</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①供应商直接或者间接从采购人或者采购代理机构处获得其他供应商的相关情况并修改其投标文件或者</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②供应商按照采购人或者采购代理机构的授意撤换、修改投标文件或者</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③供应商之间协商报价、技术方案等投标文件或者</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的实质性内容；</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④属于同一集团、协会、商会等组织成员的供应商按照该组织要求协同参加政府采购活动；</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⑤供应商之间事先约定由某一特定供应商中标、成交；</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⑥供应商之间商定部分供应商放弃参加政府采购活动或者放弃中标、成交；</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⑦供应商与采购人或者采购代理机构之间、供应商相互之间，为谋求特定供应商中标、成交或者排斥其他供应商的其他串通行为。</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2.根据《政府采购促进中小企业发展管理办法》（财库[2020]46号）、《财政部司法部关于政府采购支持监狱企业发展有关问 题 的通知》（财库〔2014〕68号）</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《三部门联合发布关于促进残疾人就业政府采购政策的通知》（财库〔2017〕141号）</w:t>
      </w:r>
      <w:r>
        <w:rPr>
          <w:rFonts w:hint="eastAsia" w:ascii="宋体" w:hAnsi="宋体" w:eastAsia="宋体" w:cs="宋体"/>
          <w:b/>
          <w:bCs/>
          <w:color w:val="auto"/>
          <w:sz w:val="24"/>
          <w:highlight w:val="none"/>
          <w:lang w:eastAsia="zh-CN"/>
        </w:rPr>
        <w:t>和《财政部关于进一步加大政府采购支持中小企业力度的通知》财库〔2022〕19号</w:t>
      </w:r>
      <w:r>
        <w:rPr>
          <w:rFonts w:hint="eastAsia" w:ascii="宋体" w:hAnsi="宋体" w:eastAsia="宋体" w:cs="宋体"/>
          <w:b/>
          <w:bCs/>
          <w:color w:val="auto"/>
          <w:sz w:val="24"/>
          <w:highlight w:val="none"/>
        </w:rPr>
        <w:t>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宋体" w:hAnsi="宋体" w:eastAsia="宋体" w:cs="宋体"/>
          <w:b/>
          <w:bCs/>
          <w:color w:val="auto"/>
          <w:sz w:val="24"/>
          <w:highlight w:val="none"/>
          <w:u w:val="single"/>
        </w:rPr>
        <w:t xml:space="preserve">  10  %</w:t>
      </w:r>
      <w:r>
        <w:rPr>
          <w:rFonts w:hint="eastAsia" w:ascii="宋体" w:hAnsi="宋体" w:eastAsia="宋体" w:cs="宋体"/>
          <w:b/>
          <w:bCs/>
          <w:color w:val="auto"/>
          <w:sz w:val="24"/>
          <w:highlight w:val="none"/>
        </w:rPr>
        <w:t>后参与评审。对于同时属于小型、微型及小微企业、监狱企业或残疾人福利性单位的，不重复进行报价扣除。</w:t>
      </w:r>
    </w:p>
    <w:p>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3.联合协议中约定，</w:t>
      </w:r>
      <w:r>
        <w:rPr>
          <w:rFonts w:hint="eastAsia" w:ascii="宋体" w:hAnsi="宋体" w:eastAsia="宋体" w:cs="宋体"/>
          <w:color w:val="auto"/>
          <w:sz w:val="24"/>
          <w:highlight w:val="none"/>
        </w:rPr>
        <w:t>小型、微型企业和监狱企业的协议合同金额占到联合体协议合同总金额30%以上的，可给予联合体</w:t>
      </w:r>
      <w:r>
        <w:rPr>
          <w:rFonts w:hint="eastAsia" w:ascii="宋体" w:hAnsi="宋体" w:eastAsia="宋体" w:cs="宋体"/>
          <w:color w:val="auto"/>
          <w:sz w:val="24"/>
          <w:highlight w:val="none"/>
          <w:u w:val="single"/>
        </w:rPr>
        <w:t xml:space="preserve"> 2%-3</w:t>
      </w:r>
      <w:r>
        <w:rPr>
          <w:rFonts w:hint="eastAsia" w:ascii="宋体" w:hAnsi="宋体" w:eastAsia="宋体" w:cs="宋体"/>
          <w:color w:val="auto"/>
          <w:sz w:val="24"/>
          <w:highlight w:val="none"/>
        </w:rPr>
        <w:t>%的价格扣除。</w:t>
      </w:r>
      <w:r>
        <w:rPr>
          <w:rFonts w:hint="eastAsia" w:ascii="宋体" w:hAnsi="宋体" w:eastAsia="宋体" w:cs="宋体"/>
          <w:b/>
          <w:bCs/>
          <w:color w:val="auto"/>
          <w:sz w:val="24"/>
          <w:highlight w:val="none"/>
        </w:rPr>
        <w:t>（本项目不适用）</w:t>
      </w:r>
    </w:p>
    <w:p>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联合体各方均为小型、微型企业和监狱企业的，联合体视同为小型、微型企业和监狱企业。</w:t>
      </w:r>
    </w:p>
    <w:p>
      <w:pPr>
        <w:pStyle w:val="11"/>
        <w:tabs>
          <w:tab w:val="clear" w:pos="567"/>
        </w:tabs>
        <w:spacing w:before="0" w:line="400" w:lineRule="exact"/>
        <w:rPr>
          <w:rFonts w:hint="eastAsia" w:ascii="宋体" w:hAnsi="宋体" w:eastAsia="宋体" w:cs="宋体"/>
          <w:color w:val="auto"/>
          <w:highlight w:val="none"/>
        </w:rPr>
      </w:pPr>
      <w:r>
        <w:rPr>
          <w:rFonts w:hint="eastAsia" w:ascii="宋体" w:hAnsi="宋体" w:eastAsia="宋体" w:cs="宋体"/>
          <w:b/>
          <w:bCs/>
          <w:color w:val="auto"/>
          <w:highlight w:val="none"/>
        </w:rPr>
        <w:t>4.供应商</w:t>
      </w:r>
      <w:r>
        <w:rPr>
          <w:rFonts w:hint="eastAsia" w:ascii="宋体" w:hAnsi="宋体" w:eastAsia="宋体" w:cs="宋体"/>
          <w:color w:val="auto"/>
          <w:highlight w:val="none"/>
        </w:rPr>
        <w:t>为提供服务需求在投标中伴随投标的产品如被列入财政部与国家主管部门颁发的节能产品目录或环境标志产品目录或无线局域网产品目录，应提供相关证明，在评标时予以优先采购，具体优惠措施为：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color w:val="auto"/>
          <w:highlight w:val="none"/>
          <w:u w:val="single"/>
        </w:rPr>
        <w:t>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r>
        <w:rPr>
          <w:rFonts w:hint="eastAsia" w:ascii="宋体" w:hAnsi="宋体" w:eastAsia="宋体" w:cs="宋体"/>
          <w:color w:val="auto"/>
          <w:highlight w:val="none"/>
        </w:rPr>
        <w:t>。</w:t>
      </w:r>
    </w:p>
    <w:p>
      <w:pPr>
        <w:pStyle w:val="11"/>
        <w:tabs>
          <w:tab w:val="clear" w:pos="567"/>
        </w:tabs>
        <w:spacing w:before="0" w:line="400" w:lineRule="exact"/>
        <w:rPr>
          <w:rFonts w:hint="eastAsia" w:ascii="宋体" w:hAnsi="宋体" w:eastAsia="宋体" w:cs="宋体"/>
          <w:color w:val="auto"/>
          <w:highlight w:val="none"/>
          <w:u w:val="single"/>
        </w:rPr>
      </w:pPr>
      <w:r>
        <w:rPr>
          <w:rFonts w:hint="eastAsia" w:ascii="宋体" w:hAnsi="宋体" w:eastAsia="宋体" w:cs="宋体"/>
          <w:b/>
          <w:bCs/>
          <w:color w:val="auto"/>
          <w:highlight w:val="none"/>
        </w:rPr>
        <w:t>5.对创新产品</w:t>
      </w:r>
      <w:r>
        <w:rPr>
          <w:rFonts w:hint="eastAsia" w:ascii="宋体" w:hAnsi="宋体" w:eastAsia="宋体" w:cs="宋体"/>
          <w:color w:val="auto"/>
          <w:highlight w:val="none"/>
        </w:rPr>
        <w:t>或创新性企业的优惠措施为：</w:t>
      </w:r>
      <w:r>
        <w:rPr>
          <w:rFonts w:hint="eastAsia" w:ascii="宋体" w:hAnsi="宋体" w:eastAsia="宋体" w:cs="宋体"/>
          <w:color w:val="auto"/>
          <w:highlight w:val="none"/>
          <w:u w:val="single"/>
        </w:rPr>
        <w:t xml:space="preserve">     /      </w:t>
      </w:r>
    </w:p>
    <w:p>
      <w:pPr>
        <w:widowControl/>
        <w:numPr>
          <w:ilvl w:val="0"/>
          <w:numId w:val="0"/>
        </w:numPr>
        <w:shd w:val="clear" w:color="auto" w:fill="auto"/>
        <w:snapToGrid w:val="0"/>
        <w:spacing w:line="400" w:lineRule="exact"/>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6.开标：</w:t>
      </w:r>
    </w:p>
    <w:p>
      <w:pPr>
        <w:widowControl/>
        <w:snapToGrid w:val="0"/>
        <w:spacing w:line="40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供应商按照</w:t>
      </w:r>
      <w:r>
        <w:rPr>
          <w:rFonts w:hint="eastAsia" w:ascii="宋体" w:hAnsi="宋体" w:eastAsia="宋体" w:cs="宋体"/>
          <w:color w:val="auto"/>
          <w:sz w:val="24"/>
          <w:highlight w:val="none"/>
        </w:rPr>
        <w:t>须知资料表中规定的开标时间和地点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在规定时间内参加开标并上传投标文件</w:t>
      </w:r>
      <w:r>
        <w:rPr>
          <w:rFonts w:hint="eastAsia" w:ascii="宋体" w:hAnsi="宋体" w:eastAsia="宋体" w:cs="宋体"/>
          <w:color w:val="auto"/>
          <w:sz w:val="24"/>
          <w:highlight w:val="none"/>
        </w:rPr>
        <w:t>。</w:t>
      </w:r>
    </w:p>
    <w:p>
      <w:pPr>
        <w:widowControl/>
        <w:snapToGrid w:val="0"/>
        <w:spacing w:line="400"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在开标前，工作人员收取所有参会人员的手机，参与投标的供应商，须把手机调至静音，主持人宣读开标纪律。</w:t>
      </w:r>
    </w:p>
    <w:p>
      <w:pPr>
        <w:widowControl/>
        <w:snapToGrid w:val="0"/>
        <w:spacing w:line="400"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（3）由</w:t>
      </w: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val="en-US" w:eastAsia="zh-CN"/>
        </w:rPr>
        <w:t>在规定时间内度投标文件进行解密，时长为30分钟。</w:t>
      </w:r>
    </w:p>
    <w:p>
      <w:pPr>
        <w:widowControl/>
        <w:snapToGrid w:val="0"/>
        <w:spacing w:line="400"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（4）由</w:t>
      </w: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val="en-US" w:eastAsia="zh-CN"/>
        </w:rPr>
        <w:t>开启标书。</w:t>
      </w:r>
    </w:p>
    <w:p>
      <w:pPr>
        <w:pStyle w:val="20"/>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（5）由评标委员会成员推选一名组长，负责组织评标。</w:t>
      </w:r>
    </w:p>
    <w:p>
      <w:pPr>
        <w:widowControl/>
        <w:snapToGrid w:val="0"/>
        <w:spacing w:line="40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由采购人或采购代理机构当众拆封投标文件第一部分，宣读</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名称、投标价格及招标文件规定的内容。对于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在投标截止期前递交的投标声明，在开标时当众宣读，评标时有效。</w:t>
      </w:r>
    </w:p>
    <w:p>
      <w:pPr>
        <w:widowControl/>
        <w:snapToGrid w:val="0"/>
        <w:spacing w:line="40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）未宣读投标价格、价格折扣等实质内容，评标时不予承认。</w:t>
      </w:r>
    </w:p>
    <w:p>
      <w:pPr>
        <w:widowControl/>
        <w:snapToGrid w:val="0"/>
        <w:spacing w:line="40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）采购人或采购代理机构将对开标过程进行记录，由参加开标的各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代表</w:t>
      </w:r>
      <w:r>
        <w:rPr>
          <w:rFonts w:hint="eastAsia" w:ascii="宋体" w:hAnsi="宋体" w:eastAsia="宋体" w:cs="宋体"/>
          <w:color w:val="auto"/>
          <w:sz w:val="24"/>
          <w:highlight w:val="none"/>
          <w:lang w:val="en-US" w:eastAsia="zh-CN"/>
        </w:rPr>
        <w:t>在系统上签字确认，</w:t>
      </w:r>
      <w:r>
        <w:rPr>
          <w:rFonts w:hint="eastAsia" w:ascii="宋体" w:hAnsi="宋体" w:eastAsia="宋体" w:cs="宋体"/>
          <w:color w:val="auto"/>
          <w:sz w:val="24"/>
          <w:highlight w:val="none"/>
        </w:rPr>
        <w:t>工作人员</w:t>
      </w:r>
      <w:r>
        <w:rPr>
          <w:rFonts w:hint="eastAsia" w:ascii="宋体" w:hAnsi="宋体" w:eastAsia="宋体" w:cs="宋体"/>
          <w:color w:val="auto"/>
          <w:sz w:val="24"/>
          <w:highlight w:val="none"/>
          <w:lang w:val="en-US" w:eastAsia="zh-CN"/>
        </w:rPr>
        <w:t>打印并</w:t>
      </w:r>
      <w:r>
        <w:rPr>
          <w:rFonts w:hint="eastAsia" w:ascii="宋体" w:hAnsi="宋体" w:eastAsia="宋体" w:cs="宋体"/>
          <w:color w:val="auto"/>
          <w:sz w:val="24"/>
          <w:highlight w:val="none"/>
        </w:rPr>
        <w:t>签字，存档备查。</w:t>
      </w:r>
    </w:p>
    <w:p>
      <w:pPr>
        <w:widowControl/>
        <w:snapToGrid w:val="0"/>
        <w:spacing w:line="400" w:lineRule="exact"/>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代表对开标过程和开标记录有疑义，以及认为采购人、采购代理机构相关工作人员有需要回避的情形的，应当场提出询问或者回避申请。</w:t>
      </w:r>
    </w:p>
    <w:p>
      <w:pPr>
        <w:pStyle w:val="20"/>
        <w:shd w:val="clear" w:color="auto" w:fil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.评标：</w:t>
      </w:r>
    </w:p>
    <w:p>
      <w:pPr>
        <w:widowControl/>
        <w:shd w:val="clear" w:color="auto" w:fill="auto"/>
        <w:snapToGrid w:val="0"/>
        <w:spacing w:line="40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在政采云平台上</w:t>
      </w:r>
      <w:r>
        <w:rPr>
          <w:rFonts w:hint="eastAsia" w:ascii="宋体" w:hAnsi="宋体" w:eastAsia="宋体" w:cs="宋体"/>
          <w:b/>
          <w:bCs/>
          <w:color w:val="auto"/>
          <w:sz w:val="24"/>
          <w:highlight w:val="none"/>
          <w:lang w:val="en-US" w:eastAsia="zh-CN"/>
        </w:rPr>
        <w:t>随机抽取4名专家；采购单位委托1名业主专家，共计5名评标委员会成员</w:t>
      </w:r>
      <w:r>
        <w:rPr>
          <w:rFonts w:hint="eastAsia" w:ascii="宋体" w:hAnsi="宋体" w:eastAsia="宋体" w:cs="宋体"/>
          <w:color w:val="auto"/>
          <w:sz w:val="24"/>
          <w:highlight w:val="none"/>
        </w:rPr>
        <w:t>负责评标工作。</w:t>
      </w:r>
    </w:p>
    <w:p>
      <w:pPr>
        <w:widowControl/>
        <w:shd w:val="clear" w:color="auto" w:fill="auto"/>
        <w:snapToGrid w:val="0"/>
        <w:spacing w:line="400"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评标委员会应当按照招标文件中规定的评标方法和标准，对所有投标文件进行资格性审查，再对符合资格要求的投标供应商的投标文件进行符合性审查，以确定其是否满足招标文件的实质性要求。</w:t>
      </w:r>
    </w:p>
    <w:p>
      <w:pPr>
        <w:widowControl/>
        <w:shd w:val="clear" w:color="auto" w:fill="auto"/>
        <w:snapToGrid w:val="0"/>
        <w:spacing w:line="400"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若对于投标文件中含义不明确、同类问题表述不一致或者有明显文字和计算错误的内容，评标委员会应当以书面形式要求投标供应商作出必要的澄清、说明或者补正。投标供应商的澄清、说明或者补正应当采用书面形式，并加盖公章，或者由法定代表人或其授权的代表签字。投标供应商的澄清、说明或者补正不得超出投标文件的范围或者改变投标文件的实质性内容。</w:t>
      </w:r>
    </w:p>
    <w:p>
      <w:pPr>
        <w:pStyle w:val="20"/>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投标供应商为中标候选人的评标方法。</w:t>
      </w:r>
    </w:p>
    <w:p>
      <w:pPr>
        <w:pStyle w:val="20"/>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评标委员会成员对需要共同认定的事项存在争议的，应当按照少数服从多数的原则作出结论。持不同意见的评标委员会成员应当在评标报告上签署不同意见及理由，否则视为同意评标报告。</w:t>
      </w:r>
    </w:p>
    <w:p>
      <w:pPr>
        <w:pStyle w:val="20"/>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8.答疑澄清：</w:t>
      </w:r>
    </w:p>
    <w:p>
      <w:pPr>
        <w:pStyle w:val="20"/>
        <w:keepNext w:val="0"/>
        <w:keepLines w:val="0"/>
        <w:pageBreakBefore w:val="0"/>
        <w:numPr>
          <w:ilvl w:val="0"/>
          <w:numId w:val="0"/>
        </w:numPr>
        <w:kinsoku/>
        <w:wordWrap/>
        <w:overflowPunct/>
        <w:topLinePunct w:val="0"/>
        <w:autoSpaceDE/>
        <w:autoSpaceDN/>
        <w:bidi w:val="0"/>
        <w:adjustRightInd/>
        <w:spacing w:line="500"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（1）评标委员会对于投标文件中含义不明确、同类问题表述不一致或者有明显文字和计算错误的内容，要求投标人以书面形式现场作出必要的澄清、说明或者补正。</w:t>
      </w:r>
    </w:p>
    <w:p>
      <w:pPr>
        <w:pStyle w:val="20"/>
        <w:keepNext w:val="0"/>
        <w:keepLines w:val="0"/>
        <w:pageBreakBefore w:val="0"/>
        <w:numPr>
          <w:ilvl w:val="0"/>
          <w:numId w:val="0"/>
        </w:numPr>
        <w:kinsoku/>
        <w:wordWrap/>
        <w:overflowPunct/>
        <w:topLinePunct w:val="0"/>
        <w:autoSpaceDE/>
        <w:autoSpaceDN/>
        <w:bidi w:val="0"/>
        <w:adjustRightInd/>
        <w:spacing w:line="500"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（2）投标人的澄清、说明或者补正应当采用书面形式，并加盖公章，或者由法定代表人或其授权的代表签字。投标人的澄清、说明或者补正不得超出投标文件的范围或者改变投标文件的实质性内容。</w:t>
      </w:r>
    </w:p>
    <w:p>
      <w:pPr>
        <w:pStyle w:val="20"/>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.定标：</w:t>
      </w:r>
    </w:p>
    <w:p>
      <w:pPr>
        <w:pStyle w:val="20"/>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 xml:space="preserve">中标候选人并列式时的处理方式：如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  </w:t>
      </w:r>
    </w:p>
    <w:p>
      <w:pPr>
        <w:pStyle w:val="20"/>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（2）采购代理机构应当在评标结束后2个工作日内将评标报告送采购人。</w:t>
      </w:r>
    </w:p>
    <w:p>
      <w:pPr>
        <w:pStyle w:val="20"/>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应当自收到评标报告之日起５个工作日内，在评标报告确定的中标候选人名单中按顺序确定中标人。中标候选人并列的，由采购人按照招标文件规定的方式确定中标人。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pPr>
        <w:pStyle w:val="20"/>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）采购人在收到评标报告5个工作日内未按评标报告推荐的中标候选人顺序确定中标人，又不能说明合法理由的，视同按评标报告推荐的顺序确定排名第一的中标候选人为中标人。</w:t>
      </w:r>
    </w:p>
    <w:p>
      <w:pPr>
        <w:keepNext w:val="0"/>
        <w:keepLines w:val="0"/>
        <w:pageBreakBefore w:val="0"/>
        <w:widowControl/>
        <w:kinsoku/>
        <w:wordWrap/>
        <w:overflowPunct/>
        <w:topLinePunct w:val="0"/>
        <w:autoSpaceDE/>
        <w:autoSpaceDN/>
        <w:bidi w:val="0"/>
        <w:adjustRightInd/>
        <w:snapToGrid w:val="0"/>
        <w:spacing w:line="500" w:lineRule="exact"/>
        <w:textAlignment w:val="baseline"/>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rPr>
        <w:t>.评标标准：</w:t>
      </w:r>
      <w:r>
        <w:rPr>
          <w:rFonts w:hint="eastAsia" w:ascii="宋体" w:hAnsi="宋体" w:eastAsia="宋体" w:cs="宋体"/>
          <w:color w:val="auto"/>
          <w:sz w:val="24"/>
          <w:highlight w:val="none"/>
        </w:rPr>
        <w:t>（具体详见综合评分表）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98" w:lineRule="exact"/>
        <w:jc w:val="both"/>
        <w:textAlignment w:val="baseline"/>
        <w:rPr>
          <w:rFonts w:hint="eastAsia" w:ascii="宋体" w:hAnsi="宋体" w:eastAsia="宋体" w:cs="宋体"/>
          <w:b/>
          <w:bCs/>
          <w:i w:val="0"/>
          <w:caps w:val="0"/>
          <w:color w:val="FF0000"/>
          <w:spacing w:val="0"/>
          <w:w w:val="100"/>
          <w:sz w:val="24"/>
          <w:highlight w:val="none"/>
          <w:lang w:val="en-US" w:eastAsia="zh-CN"/>
        </w:rPr>
      </w:pPr>
      <w:bookmarkStart w:id="1019" w:name="_Toc5578"/>
      <w:bookmarkStart w:id="1020" w:name="_Toc18245"/>
      <w:bookmarkStart w:id="1021" w:name="_Toc23103"/>
      <w:bookmarkStart w:id="1022" w:name="_Toc9116"/>
      <w:bookmarkStart w:id="1023" w:name="_Toc28782"/>
      <w:bookmarkStart w:id="1024" w:name="_Toc9835"/>
      <w:bookmarkStart w:id="1025" w:name="_Toc25901"/>
      <w:bookmarkStart w:id="1026" w:name="_Toc21578"/>
      <w:bookmarkStart w:id="1027" w:name="_Toc7467"/>
      <w:bookmarkStart w:id="1028" w:name="_Toc21866"/>
      <w:bookmarkStart w:id="1029" w:name="_Toc6128"/>
      <w:bookmarkStart w:id="1030" w:name="_Toc2724"/>
      <w:bookmarkStart w:id="1031" w:name="_Toc971"/>
      <w:bookmarkStart w:id="1032" w:name="_Toc5478"/>
      <w:bookmarkStart w:id="1033" w:name="_Toc5986"/>
      <w:bookmarkStart w:id="1034" w:name="_Toc5776"/>
      <w:bookmarkStart w:id="1035" w:name="_Toc19412"/>
      <w:bookmarkStart w:id="1036" w:name="_Toc24236"/>
      <w:bookmarkStart w:id="1037" w:name="_Toc31300"/>
      <w:bookmarkStart w:id="1038" w:name="_Toc10419"/>
      <w:r>
        <w:rPr>
          <w:rFonts w:hint="eastAsia" w:ascii="宋体" w:hAnsi="宋体" w:cs="宋体"/>
          <w:b/>
          <w:bCs/>
          <w:i w:val="0"/>
          <w:caps w:val="0"/>
          <w:color w:val="FF0000"/>
          <w:spacing w:val="0"/>
          <w:w w:val="100"/>
          <w:sz w:val="24"/>
          <w:highlight w:val="none"/>
          <w:lang w:val="en-US" w:eastAsia="zh-CN"/>
        </w:rPr>
        <w:t>第六包</w:t>
      </w:r>
      <w:r>
        <w:rPr>
          <w:rFonts w:hint="eastAsia" w:ascii="宋体" w:hAnsi="宋体" w:eastAsia="宋体" w:cs="宋体"/>
          <w:b/>
          <w:bCs/>
          <w:i w:val="0"/>
          <w:caps w:val="0"/>
          <w:color w:val="FF0000"/>
          <w:spacing w:val="0"/>
          <w:w w:val="100"/>
          <w:sz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jc w:val="both"/>
        <w:textAlignment w:val="baseline"/>
        <w:rPr>
          <w:rFonts w:hint="eastAsia" w:ascii="宋体" w:hAnsi="宋体" w:eastAsia="宋体" w:cs="宋体"/>
          <w:b w:val="0"/>
          <w:i w:val="0"/>
          <w:caps w:val="0"/>
          <w:color w:val="FF0000"/>
          <w:spacing w:val="0"/>
          <w:w w:val="100"/>
          <w:sz w:val="24"/>
          <w:highlight w:val="none"/>
          <w:lang w:val="en-US" w:eastAsia="zh-CN"/>
        </w:rPr>
      </w:pPr>
      <w:r>
        <w:rPr>
          <w:rFonts w:hint="eastAsia" w:ascii="宋体" w:hAnsi="宋体" w:eastAsia="宋体" w:cs="宋体"/>
          <w:b w:val="0"/>
          <w:i w:val="0"/>
          <w:caps w:val="0"/>
          <w:color w:val="FF0000"/>
          <w:spacing w:val="0"/>
          <w:w w:val="100"/>
          <w:sz w:val="24"/>
          <w:highlight w:val="none"/>
          <w:lang w:val="en-US" w:eastAsia="zh-CN"/>
        </w:rPr>
        <w:t>（1）价格评分占</w:t>
      </w:r>
      <w:r>
        <w:rPr>
          <w:rFonts w:hint="eastAsia" w:ascii="宋体" w:hAnsi="宋体" w:cs="宋体"/>
          <w:b w:val="0"/>
          <w:i w:val="0"/>
          <w:caps w:val="0"/>
          <w:color w:val="FF0000"/>
          <w:spacing w:val="0"/>
          <w:w w:val="100"/>
          <w:sz w:val="24"/>
          <w:highlight w:val="none"/>
          <w:lang w:val="en-US" w:eastAsia="zh-CN"/>
        </w:rPr>
        <w:t>20</w:t>
      </w:r>
      <w:r>
        <w:rPr>
          <w:rFonts w:hint="eastAsia" w:ascii="宋体" w:hAnsi="宋体" w:eastAsia="宋体" w:cs="宋体"/>
          <w:b w:val="0"/>
          <w:i w:val="0"/>
          <w:caps w:val="0"/>
          <w:color w:val="FF0000"/>
          <w:spacing w:val="0"/>
          <w:w w:val="100"/>
          <w:sz w:val="24"/>
          <w:highlight w:val="none"/>
          <w:lang w:val="en-US" w:eastAsia="zh-CN"/>
        </w:rPr>
        <w:t>%，完全满足招标文件参数的投标报价中的最低价为评标基准价，按照下列公式计算每个供应商的投标价格得分。投标报价得分＝（基准价/投标报价）×价格权重×100。</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jc w:val="both"/>
        <w:textAlignment w:val="baseline"/>
        <w:rPr>
          <w:rFonts w:hint="default" w:ascii="宋体" w:hAnsi="宋体" w:eastAsia="宋体" w:cs="宋体"/>
          <w:b w:val="0"/>
          <w:i w:val="0"/>
          <w:caps w:val="0"/>
          <w:color w:val="FF0000"/>
          <w:spacing w:val="0"/>
          <w:w w:val="100"/>
          <w:sz w:val="24"/>
          <w:highlight w:val="none"/>
          <w:lang w:val="en-US" w:eastAsia="zh-CN"/>
        </w:rPr>
      </w:pPr>
      <w:r>
        <w:rPr>
          <w:rFonts w:hint="eastAsia" w:ascii="宋体" w:hAnsi="宋体" w:eastAsia="宋体" w:cs="宋体"/>
          <w:b w:val="0"/>
          <w:i w:val="0"/>
          <w:caps w:val="0"/>
          <w:color w:val="FF0000"/>
          <w:spacing w:val="0"/>
          <w:w w:val="100"/>
          <w:sz w:val="24"/>
          <w:highlight w:val="none"/>
          <w:lang w:val="en-US" w:eastAsia="zh-CN"/>
        </w:rPr>
        <w:t>（2）商务评分占</w:t>
      </w:r>
      <w:r>
        <w:rPr>
          <w:rFonts w:hint="eastAsia" w:ascii="宋体" w:hAnsi="宋体" w:cs="宋体"/>
          <w:b w:val="0"/>
          <w:i w:val="0"/>
          <w:caps w:val="0"/>
          <w:color w:val="FF0000"/>
          <w:spacing w:val="0"/>
          <w:w w:val="100"/>
          <w:sz w:val="24"/>
          <w:highlight w:val="none"/>
          <w:lang w:val="en-US" w:eastAsia="zh-CN"/>
        </w:rPr>
        <w:t>45</w:t>
      </w:r>
      <w:r>
        <w:rPr>
          <w:rFonts w:hint="eastAsia" w:ascii="宋体" w:hAnsi="宋体" w:eastAsia="宋体" w:cs="宋体"/>
          <w:b w:val="0"/>
          <w:i w:val="0"/>
          <w:caps w:val="0"/>
          <w:color w:val="FF0000"/>
          <w:spacing w:val="0"/>
          <w:w w:val="100"/>
          <w:sz w:val="24"/>
          <w:highlight w:val="none"/>
          <w:lang w:val="en-US" w:eastAsia="zh-CN"/>
        </w:rPr>
        <w:t>%，包含公司业绩</w:t>
      </w:r>
      <w:r>
        <w:rPr>
          <w:rFonts w:hint="eastAsia" w:ascii="宋体" w:hAnsi="宋体" w:cs="宋体"/>
          <w:b w:val="0"/>
          <w:i w:val="0"/>
          <w:caps w:val="0"/>
          <w:color w:val="FF0000"/>
          <w:spacing w:val="0"/>
          <w:w w:val="100"/>
          <w:sz w:val="24"/>
          <w:highlight w:val="none"/>
          <w:lang w:val="en-US" w:eastAsia="zh-CN"/>
        </w:rPr>
        <w:t>、</w:t>
      </w:r>
      <w:r>
        <w:rPr>
          <w:rFonts w:hint="eastAsia" w:ascii="宋体" w:hAnsi="宋体" w:eastAsia="宋体" w:cs="宋体"/>
          <w:b w:val="0"/>
          <w:i w:val="0"/>
          <w:caps w:val="0"/>
          <w:color w:val="FF0000"/>
          <w:spacing w:val="0"/>
          <w:w w:val="100"/>
          <w:sz w:val="24"/>
          <w:highlight w:val="none"/>
          <w:lang w:val="en-US" w:eastAsia="zh-CN"/>
        </w:rPr>
        <w:t>著作权</w:t>
      </w:r>
      <w:r>
        <w:rPr>
          <w:rFonts w:hint="eastAsia" w:ascii="宋体" w:hAnsi="宋体" w:cs="宋体"/>
          <w:b w:val="0"/>
          <w:i w:val="0"/>
          <w:caps w:val="0"/>
          <w:color w:val="FF0000"/>
          <w:spacing w:val="0"/>
          <w:w w:val="100"/>
          <w:sz w:val="24"/>
          <w:highlight w:val="none"/>
          <w:lang w:val="en-US" w:eastAsia="zh-CN"/>
        </w:rPr>
        <w:t>、</w:t>
      </w:r>
      <w:r>
        <w:rPr>
          <w:rFonts w:hint="eastAsia" w:ascii="宋体" w:hAnsi="宋体" w:eastAsia="宋体" w:cs="宋体"/>
          <w:b w:val="0"/>
          <w:i w:val="0"/>
          <w:caps w:val="0"/>
          <w:color w:val="FF0000"/>
          <w:spacing w:val="0"/>
          <w:w w:val="100"/>
          <w:sz w:val="24"/>
          <w:highlight w:val="none"/>
          <w:lang w:val="en-US" w:eastAsia="zh-CN"/>
        </w:rPr>
        <w:t>文件制作。</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jc w:val="both"/>
        <w:textAlignment w:val="baseline"/>
        <w:rPr>
          <w:rFonts w:hint="eastAsia" w:ascii="宋体" w:hAnsi="宋体" w:eastAsia="宋体" w:cs="宋体"/>
          <w:b w:val="0"/>
          <w:i w:val="0"/>
          <w:caps w:val="0"/>
          <w:color w:val="FF0000"/>
          <w:spacing w:val="0"/>
          <w:w w:val="100"/>
          <w:sz w:val="24"/>
          <w:highlight w:val="none"/>
          <w:lang w:val="en-US" w:eastAsia="zh-CN"/>
        </w:rPr>
      </w:pPr>
      <w:r>
        <w:rPr>
          <w:rFonts w:hint="eastAsia" w:ascii="宋体" w:hAnsi="宋体" w:eastAsia="宋体" w:cs="宋体"/>
          <w:b w:val="0"/>
          <w:i w:val="0"/>
          <w:caps w:val="0"/>
          <w:color w:val="FF0000"/>
          <w:spacing w:val="0"/>
          <w:w w:val="100"/>
          <w:sz w:val="24"/>
          <w:highlight w:val="none"/>
          <w:lang w:val="en-US" w:eastAsia="zh-CN"/>
        </w:rPr>
        <w:t>（3）技术评分占</w:t>
      </w:r>
      <w:r>
        <w:rPr>
          <w:rFonts w:hint="eastAsia" w:ascii="宋体" w:hAnsi="宋体" w:cs="宋体"/>
          <w:b w:val="0"/>
          <w:i w:val="0"/>
          <w:caps w:val="0"/>
          <w:color w:val="FF0000"/>
          <w:spacing w:val="0"/>
          <w:w w:val="100"/>
          <w:sz w:val="24"/>
          <w:highlight w:val="none"/>
          <w:lang w:val="en-US" w:eastAsia="zh-CN"/>
        </w:rPr>
        <w:t>35</w:t>
      </w:r>
      <w:r>
        <w:rPr>
          <w:rFonts w:hint="eastAsia" w:ascii="宋体" w:hAnsi="宋体" w:eastAsia="宋体" w:cs="宋体"/>
          <w:b w:val="0"/>
          <w:i w:val="0"/>
          <w:caps w:val="0"/>
          <w:color w:val="FF0000"/>
          <w:spacing w:val="0"/>
          <w:w w:val="100"/>
          <w:sz w:val="24"/>
          <w:highlight w:val="none"/>
          <w:lang w:val="en-US" w:eastAsia="zh-CN"/>
        </w:rPr>
        <w:t>%，包含总体设计方案</w:t>
      </w:r>
      <w:r>
        <w:rPr>
          <w:rFonts w:hint="eastAsia" w:ascii="宋体" w:hAnsi="宋体" w:cs="宋体"/>
          <w:b w:val="0"/>
          <w:i w:val="0"/>
          <w:caps w:val="0"/>
          <w:color w:val="FF0000"/>
          <w:spacing w:val="0"/>
          <w:w w:val="100"/>
          <w:sz w:val="24"/>
          <w:highlight w:val="none"/>
          <w:lang w:val="en-US" w:eastAsia="zh-CN"/>
        </w:rPr>
        <w:t>、</w:t>
      </w:r>
      <w:r>
        <w:rPr>
          <w:rFonts w:hint="eastAsia" w:ascii="宋体" w:hAnsi="宋体" w:eastAsia="宋体" w:cs="宋体"/>
          <w:b w:val="0"/>
          <w:i w:val="0"/>
          <w:caps w:val="0"/>
          <w:color w:val="FF0000"/>
          <w:spacing w:val="0"/>
          <w:w w:val="100"/>
          <w:sz w:val="24"/>
          <w:highlight w:val="none"/>
          <w:lang w:val="en-US" w:eastAsia="zh-CN"/>
        </w:rPr>
        <w:t>系统功能设计方案</w:t>
      </w:r>
      <w:r>
        <w:rPr>
          <w:rFonts w:hint="eastAsia" w:ascii="宋体" w:hAnsi="宋体" w:cs="宋体"/>
          <w:b w:val="0"/>
          <w:i w:val="0"/>
          <w:caps w:val="0"/>
          <w:color w:val="FF0000"/>
          <w:spacing w:val="0"/>
          <w:w w:val="100"/>
          <w:sz w:val="24"/>
          <w:highlight w:val="none"/>
          <w:lang w:val="en-US" w:eastAsia="zh-CN"/>
        </w:rPr>
        <w:t>、</w:t>
      </w:r>
      <w:r>
        <w:rPr>
          <w:rFonts w:hint="eastAsia" w:ascii="宋体" w:hAnsi="宋体" w:eastAsia="宋体" w:cs="宋体"/>
          <w:b w:val="0"/>
          <w:i w:val="0"/>
          <w:caps w:val="0"/>
          <w:color w:val="FF0000"/>
          <w:spacing w:val="0"/>
          <w:w w:val="100"/>
          <w:sz w:val="24"/>
          <w:highlight w:val="none"/>
          <w:lang w:val="en-US" w:eastAsia="zh-CN"/>
        </w:rPr>
        <w:t>项目实施方案</w:t>
      </w:r>
      <w:r>
        <w:rPr>
          <w:rFonts w:hint="eastAsia" w:ascii="宋体" w:hAnsi="宋体" w:cs="宋体"/>
          <w:b w:val="0"/>
          <w:i w:val="0"/>
          <w:caps w:val="0"/>
          <w:color w:val="FF0000"/>
          <w:spacing w:val="0"/>
          <w:w w:val="100"/>
          <w:sz w:val="24"/>
          <w:highlight w:val="none"/>
          <w:lang w:val="en-US" w:eastAsia="zh-CN"/>
        </w:rPr>
        <w:t>、</w:t>
      </w:r>
      <w:r>
        <w:rPr>
          <w:rFonts w:hint="eastAsia" w:ascii="宋体" w:hAnsi="宋体" w:eastAsia="宋体" w:cs="宋体"/>
          <w:b w:val="0"/>
          <w:i w:val="0"/>
          <w:caps w:val="0"/>
          <w:color w:val="FF0000"/>
          <w:spacing w:val="0"/>
          <w:w w:val="100"/>
          <w:sz w:val="24"/>
          <w:highlight w:val="none"/>
          <w:lang w:val="en-US" w:eastAsia="zh-CN"/>
        </w:rPr>
        <w:t>系统接口体系</w:t>
      </w:r>
      <w:r>
        <w:rPr>
          <w:rFonts w:hint="eastAsia" w:ascii="宋体" w:hAnsi="宋体" w:cs="宋体"/>
          <w:b w:val="0"/>
          <w:i w:val="0"/>
          <w:caps w:val="0"/>
          <w:color w:val="FF0000"/>
          <w:spacing w:val="0"/>
          <w:w w:val="100"/>
          <w:sz w:val="24"/>
          <w:highlight w:val="none"/>
          <w:lang w:val="en-US" w:eastAsia="zh-CN"/>
        </w:rPr>
        <w:t>、</w:t>
      </w:r>
      <w:r>
        <w:rPr>
          <w:rFonts w:hint="eastAsia" w:ascii="宋体" w:hAnsi="宋体" w:eastAsia="宋体" w:cs="宋体"/>
          <w:b w:val="0"/>
          <w:i w:val="0"/>
          <w:caps w:val="0"/>
          <w:color w:val="FF0000"/>
          <w:spacing w:val="0"/>
          <w:w w:val="100"/>
          <w:sz w:val="24"/>
          <w:highlight w:val="none"/>
          <w:lang w:val="en-US" w:eastAsia="zh-CN"/>
        </w:rPr>
        <w:t>培训方案、培训实力及培训计划</w:t>
      </w:r>
      <w:r>
        <w:rPr>
          <w:rFonts w:hint="eastAsia" w:ascii="宋体" w:hAnsi="宋体" w:cs="宋体"/>
          <w:b w:val="0"/>
          <w:i w:val="0"/>
          <w:caps w:val="0"/>
          <w:color w:val="FF0000"/>
          <w:spacing w:val="0"/>
          <w:w w:val="100"/>
          <w:sz w:val="24"/>
          <w:highlight w:val="none"/>
          <w:lang w:val="en-US" w:eastAsia="zh-CN"/>
        </w:rPr>
        <w:t>、</w:t>
      </w:r>
      <w:r>
        <w:rPr>
          <w:rFonts w:hint="eastAsia" w:ascii="宋体" w:hAnsi="宋体" w:eastAsia="宋体" w:cs="宋体"/>
          <w:b w:val="0"/>
          <w:i w:val="0"/>
          <w:caps w:val="0"/>
          <w:color w:val="FF0000"/>
          <w:spacing w:val="0"/>
          <w:w w:val="100"/>
          <w:sz w:val="24"/>
          <w:highlight w:val="none"/>
          <w:lang w:val="en-US" w:eastAsia="zh-CN"/>
        </w:rPr>
        <w:t>服务承诺。</w:t>
      </w:r>
    </w:p>
    <w:p>
      <w:pPr>
        <w:pStyle w:val="2"/>
        <w:rPr>
          <w:rFonts w:hint="eastAsia"/>
          <w:color w:val="FF0000"/>
          <w:lang w:val="en-US" w:eastAsia="zh-CN"/>
        </w:rPr>
      </w:pPr>
    </w:p>
    <w:p>
      <w:pPr>
        <w:pStyle w:val="4"/>
        <w:rPr>
          <w:rFonts w:hint="eastAsia" w:ascii="宋体" w:hAnsi="宋体" w:eastAsia="宋体" w:cs="宋体"/>
        </w:rPr>
      </w:pPr>
    </w:p>
    <w:p>
      <w:pPr>
        <w:keepNext w:val="0"/>
        <w:keepLines w:val="0"/>
        <w:pageBreakBefore w:val="0"/>
        <w:kinsoku/>
        <w:wordWrap/>
        <w:overflowPunct/>
        <w:topLinePunct w:val="0"/>
        <w:autoSpaceDE/>
        <w:autoSpaceDN/>
        <w:bidi w:val="0"/>
        <w:adjustRightInd/>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7"/>
        <w:rPr>
          <w:rFonts w:hint="eastAsia" w:ascii="宋体" w:hAnsi="宋体" w:eastAsia="宋体" w:cs="宋体"/>
          <w:color w:val="auto"/>
          <w:highlight w:val="none"/>
        </w:rPr>
      </w:pPr>
      <w:bookmarkStart w:id="1039" w:name="_Toc6985"/>
      <w:r>
        <w:rPr>
          <w:rFonts w:hint="eastAsia" w:ascii="宋体" w:hAnsi="宋体" w:eastAsia="宋体" w:cs="宋体"/>
          <w:color w:val="auto"/>
          <w:highlight w:val="none"/>
        </w:rPr>
        <w:t>初步评审—资格性审查表</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p>
    <w:tbl>
      <w:tblPr>
        <w:tblStyle w:val="26"/>
        <w:tblpPr w:leftFromText="180" w:rightFromText="180" w:vertAnchor="text" w:horzAnchor="page" w:tblpXSpec="center" w:tblpY="234"/>
        <w:tblOverlap w:val="never"/>
        <w:tblW w:w="10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316"/>
        <w:gridCol w:w="949"/>
        <w:gridCol w:w="753"/>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655" w:type="dxa"/>
            <w:vMerge w:val="restart"/>
            <w:vAlign w:val="center"/>
          </w:tcPr>
          <w:p>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7316" w:type="dxa"/>
            <w:vMerge w:val="restart"/>
            <w:vAlign w:val="center"/>
          </w:tcPr>
          <w:p>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评审内容</w:t>
            </w:r>
          </w:p>
        </w:tc>
        <w:tc>
          <w:tcPr>
            <w:tcW w:w="2419" w:type="dxa"/>
            <w:gridSpan w:val="3"/>
            <w:vAlign w:val="center"/>
          </w:tcPr>
          <w:p>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55" w:type="dxa"/>
            <w:vMerge w:val="continue"/>
            <w:vAlign w:val="center"/>
          </w:tcPr>
          <w:p>
            <w:pPr>
              <w:spacing w:line="400" w:lineRule="exact"/>
              <w:jc w:val="center"/>
              <w:rPr>
                <w:rFonts w:hint="eastAsia" w:ascii="宋体" w:hAnsi="宋体" w:eastAsia="宋体" w:cs="宋体"/>
                <w:b/>
                <w:bCs/>
                <w:color w:val="auto"/>
                <w:szCs w:val="21"/>
                <w:highlight w:val="none"/>
              </w:rPr>
            </w:pPr>
          </w:p>
        </w:tc>
        <w:tc>
          <w:tcPr>
            <w:tcW w:w="7316" w:type="dxa"/>
            <w:vMerge w:val="continue"/>
            <w:vAlign w:val="center"/>
          </w:tcPr>
          <w:p>
            <w:pPr>
              <w:spacing w:line="400" w:lineRule="exact"/>
              <w:jc w:val="center"/>
              <w:rPr>
                <w:rFonts w:hint="eastAsia" w:ascii="宋体" w:hAnsi="宋体" w:eastAsia="宋体" w:cs="宋体"/>
                <w:b/>
                <w:bCs/>
                <w:color w:val="auto"/>
                <w:szCs w:val="21"/>
                <w:highlight w:val="none"/>
              </w:rPr>
            </w:pPr>
          </w:p>
        </w:tc>
        <w:tc>
          <w:tcPr>
            <w:tcW w:w="949" w:type="dxa"/>
            <w:vAlign w:val="center"/>
          </w:tcPr>
          <w:p>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是否合格</w:t>
            </w:r>
          </w:p>
        </w:tc>
        <w:tc>
          <w:tcPr>
            <w:tcW w:w="753" w:type="dxa"/>
            <w:vAlign w:val="center"/>
          </w:tcPr>
          <w:p>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是否合格</w:t>
            </w:r>
          </w:p>
        </w:tc>
        <w:tc>
          <w:tcPr>
            <w:tcW w:w="717" w:type="dxa"/>
            <w:vAlign w:val="center"/>
          </w:tcPr>
          <w:p>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具有独立法人资格（三证合一的营业执照）</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法定代表人资格证明及授权书、被授权人身份证；(法定代表人投标需提供法定代表人身份证)；</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提供2020年或2021年经审计的财务审计报告（2022年成立的新公司出具近3个月任意一个月的</w:t>
            </w:r>
            <w:bookmarkStart w:id="1672" w:name="_GoBack"/>
            <w:bookmarkEnd w:id="1672"/>
            <w:r>
              <w:rPr>
                <w:rFonts w:hint="eastAsia" w:ascii="宋体" w:hAnsi="宋体" w:eastAsia="宋体" w:cs="宋体"/>
                <w:color w:val="auto"/>
                <w:szCs w:val="21"/>
                <w:highlight w:val="none"/>
                <w:lang w:eastAsia="zh-CN"/>
              </w:rPr>
              <w:t>银行资信证明）</w:t>
            </w:r>
            <w:r>
              <w:rPr>
                <w:rFonts w:hint="eastAsia" w:ascii="宋体" w:hAnsi="宋体" w:eastAsia="宋体" w:cs="宋体"/>
                <w:color w:val="auto"/>
                <w:szCs w:val="21"/>
                <w:highlight w:val="none"/>
              </w:rPr>
              <w:t>；</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依法缴纳最近连续六个月的社会保险的凭据（授权人和单位员工缴纳明细凭据）</w:t>
            </w:r>
            <w:r>
              <w:rPr>
                <w:rFonts w:hint="eastAsia" w:ascii="宋体" w:hAnsi="宋体" w:eastAsia="宋体" w:cs="宋体"/>
                <w:color w:val="auto"/>
                <w:szCs w:val="21"/>
                <w:highlight w:val="none"/>
              </w:rPr>
              <w:t>；</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提供税务部门出具的最近连续六个月的完税证明</w:t>
            </w:r>
            <w:r>
              <w:rPr>
                <w:rFonts w:hint="eastAsia" w:ascii="宋体" w:hAnsi="宋体" w:eastAsia="宋体" w:cs="宋体"/>
                <w:color w:val="auto"/>
                <w:szCs w:val="21"/>
                <w:highlight w:val="none"/>
              </w:rPr>
              <w:t>；</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eastAsia="宋体" w:cs="宋体"/>
                <w:color w:val="auto"/>
                <w:szCs w:val="21"/>
                <w:highlight w:val="none"/>
                <w:lang w:eastAsia="zh-CN"/>
              </w:rPr>
              <w:t>信用服务-重点领域严重失信主体名单查询-搜索栏输入单位全称-截图</w:t>
            </w:r>
            <w:r>
              <w:rPr>
                <w:rFonts w:hint="eastAsia" w:ascii="宋体" w:hAnsi="宋体" w:eastAsia="宋体" w:cs="宋体"/>
                <w:color w:val="auto"/>
                <w:szCs w:val="21"/>
                <w:highlight w:val="none"/>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参与政府采购活动前3年内未被列入失信、重大税收违法案件、财政部门禁止参加政府采购活动的承诺书；</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提供针对本次项目《反商业贿赂承诺书》；</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55" w:type="dxa"/>
            <w:vAlign w:val="center"/>
          </w:tcPr>
          <w:p>
            <w:pPr>
              <w:spacing w:line="400" w:lineRule="exact"/>
              <w:jc w:val="left"/>
              <w:rPr>
                <w:rFonts w:hint="eastAsia" w:ascii="宋体" w:hAnsi="宋体" w:eastAsia="宋体" w:cs="宋体"/>
                <w:color w:val="auto"/>
                <w:spacing w:val="-2"/>
                <w:szCs w:val="21"/>
                <w:highlight w:val="none"/>
              </w:rPr>
            </w:pPr>
          </w:p>
        </w:tc>
        <w:tc>
          <w:tcPr>
            <w:tcW w:w="7316" w:type="dxa"/>
            <w:vAlign w:val="center"/>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结论</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bl>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说明：（1）上述各项中用“√”表示通过，“×”表示不通过；</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（2）上述各项中如有一项为“×”，则结论为“×”，表示该投标文件中存在重大偏差，不能通过初步评审；评委对某一分项评审认为不合格时，必须要写明原因。</w:t>
      </w:r>
    </w:p>
    <w:p>
      <w:pPr>
        <w:spacing w:line="360" w:lineRule="exact"/>
        <w:ind w:left="6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（3）投标文件最终合格与否，以所有评委的评审意见中少数服从多数为原则定论。</w:t>
      </w:r>
    </w:p>
    <w:p>
      <w:pPr>
        <w:spacing w:line="3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未通过资格审查的供应商不进入评标；通过资格审查的供应商少于不足三家的，不得评标。</w:t>
      </w:r>
    </w:p>
    <w:p>
      <w:pPr>
        <w:rPr>
          <w:rFonts w:hint="eastAsia" w:ascii="宋体" w:hAnsi="宋体" w:eastAsia="宋体" w:cs="宋体"/>
          <w:color w:val="auto"/>
          <w:highlight w:val="none"/>
        </w:rPr>
      </w:pPr>
      <w:bookmarkStart w:id="1040" w:name="_Toc13854"/>
      <w:bookmarkStart w:id="1041" w:name="_Toc3062"/>
      <w:bookmarkStart w:id="1042" w:name="_Toc8255"/>
      <w:bookmarkStart w:id="1043" w:name="_Toc21850"/>
      <w:bookmarkStart w:id="1044" w:name="_Toc14007"/>
      <w:bookmarkStart w:id="1045" w:name="_Toc28858"/>
      <w:bookmarkStart w:id="1046" w:name="_Toc15993"/>
      <w:bookmarkStart w:id="1047" w:name="_Toc12108"/>
      <w:bookmarkStart w:id="1048" w:name="_Toc31983"/>
      <w:bookmarkStart w:id="1049" w:name="_Toc18094"/>
      <w:bookmarkStart w:id="1050" w:name="_Toc273"/>
      <w:bookmarkStart w:id="1051" w:name="_Toc16022"/>
      <w:bookmarkStart w:id="1052" w:name="_Toc25694"/>
      <w:bookmarkStart w:id="1053" w:name="_Toc30395"/>
      <w:bookmarkStart w:id="1054" w:name="_Toc26642"/>
      <w:bookmarkStart w:id="1055" w:name="_Toc10492"/>
      <w:bookmarkStart w:id="1056" w:name="_Toc27246"/>
    </w:p>
    <w:p>
      <w:pPr>
        <w:pStyle w:val="7"/>
        <w:rPr>
          <w:rFonts w:hint="eastAsia" w:ascii="宋体" w:hAnsi="宋体" w:eastAsia="宋体" w:cs="宋体"/>
          <w:color w:val="auto"/>
          <w:highlight w:val="none"/>
        </w:rPr>
      </w:pPr>
      <w:bookmarkStart w:id="1057" w:name="_Toc37"/>
      <w:bookmarkStart w:id="1058" w:name="_Toc8702"/>
      <w:bookmarkStart w:id="1059" w:name="_Toc21927"/>
    </w:p>
    <w:p>
      <w:pPr>
        <w:pStyle w:val="7"/>
        <w:rPr>
          <w:rFonts w:hint="eastAsia" w:ascii="宋体" w:hAnsi="宋体" w:eastAsia="宋体" w:cs="宋体"/>
          <w:color w:val="auto"/>
          <w:highlight w:val="none"/>
        </w:rPr>
      </w:pPr>
      <w:bookmarkStart w:id="1060" w:name="_Toc20204"/>
      <w:r>
        <w:rPr>
          <w:rFonts w:hint="eastAsia" w:ascii="宋体" w:hAnsi="宋体" w:eastAsia="宋体" w:cs="宋体"/>
          <w:color w:val="auto"/>
          <w:highlight w:val="none"/>
        </w:rPr>
        <w:t>初步评审—符合性审查表</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p>
    <w:tbl>
      <w:tblPr>
        <w:tblStyle w:val="26"/>
        <w:tblpPr w:leftFromText="180" w:rightFromText="180" w:vertAnchor="text" w:horzAnchor="page" w:tblpXSpec="center" w:tblpY="262"/>
        <w:tblOverlap w:val="never"/>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7527"/>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375" w:type="dxa"/>
            <w:gridSpan w:val="2"/>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评审内容</w:t>
            </w:r>
          </w:p>
        </w:tc>
        <w:tc>
          <w:tcPr>
            <w:tcW w:w="115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b/>
                <w:color w:val="auto"/>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7527" w:type="dxa"/>
            <w:vAlign w:val="center"/>
          </w:tcPr>
          <w:p>
            <w:pPr>
              <w:spacing w:line="400" w:lineRule="exact"/>
              <w:rPr>
                <w:rFonts w:hint="eastAsia" w:ascii="宋体" w:hAnsi="宋体" w:eastAsia="宋体" w:cs="宋体"/>
                <w:color w:val="auto"/>
                <w:spacing w:val="-2"/>
                <w:szCs w:val="21"/>
                <w:highlight w:val="none"/>
              </w:rPr>
            </w:pPr>
          </w:p>
        </w:tc>
        <w:tc>
          <w:tcPr>
            <w:tcW w:w="115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各供应商投标报价未高于预算金额；</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评标委员会认为供应商的报价无明显低于其他通过符合性审查供应商的报价的，供应商的报价不存在异常一致并成规律性的，其报价合理；</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3</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投标文件按照招标文件的规定编制、标记及签署盖章的，法定代表人或其授权代表签字（章）和加盖供应商公章的（投标文件正本的印章和签字不能为复印件）；</w:t>
            </w:r>
          </w:p>
        </w:tc>
        <w:tc>
          <w:tcPr>
            <w:tcW w:w="1158" w:type="dxa"/>
            <w:vAlign w:val="center"/>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4</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按招标文件规定的格式填写，内容全的；</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5</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符合招标文件中规定的其他实质性要求</w:t>
            </w:r>
            <w:r>
              <w:rPr>
                <w:rFonts w:hint="eastAsia" w:ascii="宋体" w:hAnsi="宋体" w:eastAsia="宋体" w:cs="宋体"/>
                <w:b/>
                <w:bCs/>
                <w:color w:val="auto"/>
                <w:spacing w:val="-2"/>
                <w:szCs w:val="21"/>
                <w:highlight w:val="none"/>
              </w:rPr>
              <w:t>（服务期等）</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6</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没有采购人不能接受的附加条件的；</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7</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不同供应商的投标文件没有错漏一致的情况；</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8</w:t>
            </w:r>
          </w:p>
        </w:tc>
        <w:tc>
          <w:tcPr>
            <w:tcW w:w="7527" w:type="dxa"/>
            <w:vAlign w:val="bottom"/>
          </w:tcPr>
          <w:p>
            <w:pPr>
              <w:spacing w:line="400" w:lineRule="exact"/>
              <w:jc w:val="left"/>
              <w:rPr>
                <w:rFonts w:hint="eastAsia" w:ascii="宋体" w:hAnsi="宋体" w:eastAsia="宋体" w:cs="宋体"/>
                <w:color w:val="auto"/>
                <w:spacing w:val="-2"/>
                <w:szCs w:val="21"/>
                <w:highlight w:val="none"/>
                <w:lang w:eastAsia="zh-CN"/>
              </w:rPr>
            </w:pPr>
            <w:r>
              <w:rPr>
                <w:rFonts w:hint="eastAsia" w:ascii="宋体" w:hAnsi="宋体" w:eastAsia="宋体" w:cs="宋体"/>
                <w:color w:val="auto"/>
                <w:spacing w:val="-2"/>
                <w:szCs w:val="21"/>
                <w:highlight w:val="none"/>
              </w:rPr>
              <w:t>供应商附有详细地址、联系人、电话标明的</w:t>
            </w:r>
            <w:r>
              <w:rPr>
                <w:rFonts w:hint="eastAsia" w:ascii="宋体" w:hAnsi="宋体" w:eastAsia="宋体" w:cs="宋体"/>
                <w:color w:val="auto"/>
                <w:spacing w:val="-2"/>
                <w:szCs w:val="21"/>
                <w:highlight w:val="none"/>
                <w:lang w:eastAsia="zh-CN"/>
              </w:rPr>
              <w:t>。</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lang w:val="en-US" w:eastAsia="zh-CN"/>
              </w:rPr>
            </w:pPr>
            <w:r>
              <w:rPr>
                <w:rFonts w:hint="eastAsia" w:ascii="宋体" w:hAnsi="宋体" w:eastAsia="宋体" w:cs="宋体"/>
                <w:color w:val="auto"/>
                <w:spacing w:val="-2"/>
                <w:szCs w:val="21"/>
                <w:highlight w:val="none"/>
                <w:lang w:val="en-US" w:eastAsia="zh-CN"/>
              </w:rPr>
              <w:t>9</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zCs w:val="21"/>
                <w:highlight w:val="none"/>
              </w:rPr>
              <w:t>缴纳投标保证金的有效凭证。</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375" w:type="dxa"/>
            <w:gridSpan w:val="2"/>
            <w:vAlign w:val="center"/>
          </w:tcPr>
          <w:p>
            <w:pPr>
              <w:spacing w:line="400" w:lineRule="exact"/>
              <w:ind w:firstLine="370" w:firstLineChars="180"/>
              <w:rPr>
                <w:rFonts w:hint="eastAsia" w:ascii="宋体" w:hAnsi="宋体" w:eastAsia="宋体" w:cs="宋体"/>
                <w:color w:val="auto"/>
                <w:spacing w:val="-2"/>
                <w:sz w:val="24"/>
                <w:highlight w:val="none"/>
              </w:rPr>
            </w:pPr>
            <w:r>
              <w:rPr>
                <w:rFonts w:hint="eastAsia" w:ascii="宋体" w:hAnsi="宋体" w:eastAsia="宋体" w:cs="宋体"/>
                <w:color w:val="auto"/>
                <w:spacing w:val="-2"/>
                <w:szCs w:val="21"/>
                <w:highlight w:val="none"/>
              </w:rPr>
              <w:t>结论：通过评审打“√”，未通过评审打“×”</w:t>
            </w:r>
          </w:p>
        </w:tc>
        <w:tc>
          <w:tcPr>
            <w:tcW w:w="1158" w:type="dxa"/>
            <w:vAlign w:val="center"/>
          </w:tcPr>
          <w:p>
            <w:pPr>
              <w:spacing w:line="400" w:lineRule="exact"/>
              <w:ind w:firstLine="370" w:firstLineChars="180"/>
              <w:rPr>
                <w:rFonts w:hint="eastAsia" w:ascii="宋体" w:hAnsi="宋体" w:eastAsia="宋体" w:cs="宋体"/>
                <w:color w:val="auto"/>
                <w:spacing w:val="-2"/>
                <w:szCs w:val="21"/>
                <w:highlight w:val="none"/>
              </w:rPr>
            </w:pPr>
          </w:p>
        </w:tc>
      </w:tr>
    </w:tbl>
    <w:p>
      <w:pPr>
        <w:spacing w:line="400" w:lineRule="exact"/>
        <w:ind w:left="6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spacing w:line="400" w:lineRule="exact"/>
        <w:ind w:left="6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（1）上述各项中用“√”表示合格，“×”表示不合格；</w:t>
      </w:r>
    </w:p>
    <w:p>
      <w:pPr>
        <w:spacing w:line="400" w:lineRule="exact"/>
        <w:ind w:left="689" w:leftChars="28"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（2）上述各项中如有一项为“×”，则结论为“×”，表示该投标文件中存在重大偏差，不能通过初步评审；评委对某一分项评审认为不合格时，必须要写明原因。</w:t>
      </w:r>
    </w:p>
    <w:p>
      <w:pPr>
        <w:pStyle w:val="4"/>
        <w:spacing w:line="400" w:lineRule="exact"/>
        <w:ind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（3）投标文件最终合格与否，以所有评委的评审意见中少数服从多数为原则定论。</w:t>
      </w:r>
    </w:p>
    <w:p>
      <w:pPr>
        <w:spacing w:line="40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未通过资格审查的供应商不进入评标；通过资格审查的供应商少于不足三家的，不得评标。</w:t>
      </w:r>
    </w:p>
    <w:p>
      <w:pPr>
        <w:pStyle w:val="5"/>
        <w:ind w:firstLine="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p>
      <w:pPr>
        <w:pStyle w:val="20"/>
        <w:rPr>
          <w:rFonts w:hint="eastAsia" w:ascii="宋体" w:hAnsi="宋体" w:eastAsia="宋体" w:cs="宋体"/>
          <w:color w:val="auto"/>
          <w:highlight w:val="none"/>
        </w:rPr>
      </w:pPr>
    </w:p>
    <w:tbl>
      <w:tblPr>
        <w:tblStyle w:val="26"/>
        <w:tblW w:w="10233" w:type="dxa"/>
        <w:tblInd w:w="-430" w:type="dxa"/>
        <w:tblLayout w:type="fixed"/>
        <w:tblCellMar>
          <w:top w:w="0" w:type="dxa"/>
          <w:left w:w="108" w:type="dxa"/>
          <w:bottom w:w="0" w:type="dxa"/>
          <w:right w:w="108" w:type="dxa"/>
        </w:tblCellMar>
      </w:tblPr>
      <w:tblGrid>
        <w:gridCol w:w="3087"/>
        <w:gridCol w:w="5651"/>
        <w:gridCol w:w="545"/>
        <w:gridCol w:w="459"/>
        <w:gridCol w:w="491"/>
      </w:tblGrid>
      <w:tr>
        <w:tblPrEx>
          <w:tblCellMar>
            <w:top w:w="0" w:type="dxa"/>
            <w:left w:w="108" w:type="dxa"/>
            <w:bottom w:w="0" w:type="dxa"/>
            <w:right w:w="108" w:type="dxa"/>
          </w:tblCellMar>
        </w:tblPrEx>
        <w:trPr>
          <w:trHeight w:val="585" w:hRule="atLeast"/>
        </w:trPr>
        <w:tc>
          <w:tcPr>
            <w:tcW w:w="10233" w:type="dxa"/>
            <w:gridSpan w:val="5"/>
            <w:tcBorders>
              <w:top w:val="nil"/>
              <w:left w:val="nil"/>
              <w:bottom w:val="single" w:color="auto" w:sz="4" w:space="0"/>
              <w:right w:val="nil"/>
            </w:tcBorders>
            <w:vAlign w:val="center"/>
          </w:tcPr>
          <w:p>
            <w:pPr>
              <w:widowControl/>
              <w:spacing w:line="360" w:lineRule="exact"/>
              <w:ind w:firstLine="1606" w:firstLineChars="500"/>
              <w:jc w:val="both"/>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一、商务符合性审查表</w:t>
            </w:r>
          </w:p>
        </w:tc>
      </w:tr>
      <w:tr>
        <w:tblPrEx>
          <w:tblCellMar>
            <w:top w:w="0" w:type="dxa"/>
            <w:left w:w="108" w:type="dxa"/>
            <w:bottom w:w="0" w:type="dxa"/>
            <w:right w:w="108" w:type="dxa"/>
          </w:tblCellMar>
        </w:tblPrEx>
        <w:trPr>
          <w:trHeight w:val="754" w:hRule="atLeast"/>
        </w:trPr>
        <w:tc>
          <w:tcPr>
            <w:tcW w:w="8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审查事项</w:t>
            </w:r>
          </w:p>
        </w:tc>
        <w:tc>
          <w:tcPr>
            <w:tcW w:w="1495"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供应商名称及审查情况</w:t>
            </w:r>
          </w:p>
        </w:tc>
      </w:tr>
      <w:tr>
        <w:tblPrEx>
          <w:tblCellMar>
            <w:top w:w="0" w:type="dxa"/>
            <w:left w:w="108" w:type="dxa"/>
            <w:bottom w:w="0" w:type="dxa"/>
            <w:right w:w="108" w:type="dxa"/>
          </w:tblCellMar>
        </w:tblPrEx>
        <w:trPr>
          <w:trHeight w:val="666"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招标文件条款（供应商须知、供应商须知资料表条款号）</w:t>
            </w:r>
          </w:p>
        </w:tc>
        <w:tc>
          <w:tcPr>
            <w:tcW w:w="565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本项目要求</w:t>
            </w:r>
          </w:p>
        </w:tc>
        <w:tc>
          <w:tcPr>
            <w:tcW w:w="5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285"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中小企业投标要求（1.3.6）</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w:t>
            </w:r>
            <w:r>
              <w:rPr>
                <w:rFonts w:hint="eastAsia" w:ascii="宋体" w:hAnsi="宋体" w:eastAsia="宋体" w:cs="宋体"/>
                <w:i/>
                <w:iCs/>
                <w:color w:val="auto"/>
                <w:kern w:val="0"/>
                <w:szCs w:val="21"/>
                <w:highlight w:val="none"/>
                <w:u w:val="single"/>
              </w:rPr>
              <w:t>适用</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503"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联合体投标规（1.4）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w:t>
            </w:r>
            <w:r>
              <w:rPr>
                <w:rFonts w:hint="eastAsia" w:ascii="宋体" w:hAnsi="宋体" w:eastAsia="宋体" w:cs="宋体"/>
                <w:i/>
                <w:iCs/>
                <w:color w:val="auto"/>
                <w:kern w:val="0"/>
                <w:szCs w:val="21"/>
                <w:highlight w:val="none"/>
                <w:u w:val="single"/>
              </w:rPr>
              <w:t>不接受</w:t>
            </w:r>
            <w:r>
              <w:rPr>
                <w:rFonts w:hint="eastAsia" w:ascii="宋体" w:hAnsi="宋体" w:eastAsia="宋体" w:cs="宋体"/>
                <w:color w:val="auto"/>
                <w:kern w:val="0"/>
                <w:szCs w:val="21"/>
                <w:highlight w:val="none"/>
              </w:rPr>
              <w:t>联合体投标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供应商的关联（1.5）</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在同一标包内，单位负责人为非同一人或者不存在直接控股、管理关系的不同供应商。</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未发现影响采购人决策行为（1.5）</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供应商在投标过程中未向采购人提供、给予任何有价值的物品，影响其正常决策行为。</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121"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满足投标范围的完整性要求（8.1）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供应商对所投分包招标文件中所列的所有内容进行投标。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557"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未包含价格调整要求（11.4）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供应商所报的各分项投标报价在合同履行过程中是固定不变的，不得以任何理由予以变更。</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456"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投标保证金（12.1）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符合招标文件要求</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投标有效期满足要求（13.1）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自提交投标文件截止之日起</w:t>
            </w:r>
            <w:r>
              <w:rPr>
                <w:rFonts w:hint="eastAsia" w:ascii="宋体" w:hAnsi="宋体" w:eastAsia="宋体" w:cs="宋体"/>
                <w:color w:val="auto"/>
                <w:szCs w:val="21"/>
                <w:highlight w:val="none"/>
                <w:u w:val="single"/>
              </w:rPr>
              <w:t xml:space="preserve"> 60 日</w:t>
            </w:r>
            <w:r>
              <w:rPr>
                <w:rFonts w:hint="eastAsia" w:ascii="宋体" w:hAnsi="宋体" w:eastAsia="宋体" w:cs="宋体"/>
                <w:color w:val="auto"/>
                <w:szCs w:val="21"/>
                <w:highlight w:val="none"/>
              </w:rPr>
              <w:t>历日</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投标文件的装订方式（14.3）</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所有投标文件采用不可拆装的胶订方式装订</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投标文件的签署和盖章符合要求</w:t>
            </w:r>
          </w:p>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（14.2、14.4）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按照招标文件规定要求签署、盖章。</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接受价格的算术修正（20.3）</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投标文件报价出现前后不一致的，应按照招标文件规定的顺序修正。修正后的报价经供应商确认后产生约束力。</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符合强制采购节能产品要求（20.6）</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w:t>
            </w:r>
            <w:r>
              <w:rPr>
                <w:rFonts w:hint="eastAsia" w:ascii="宋体" w:hAnsi="宋体" w:eastAsia="宋体" w:cs="宋体"/>
                <w:i/>
                <w:iCs/>
                <w:color w:val="auto"/>
                <w:kern w:val="0"/>
                <w:szCs w:val="21"/>
                <w:highlight w:val="none"/>
                <w:u w:val="single"/>
              </w:rPr>
              <w:t>适用</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未发现串通投标（22.2）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未与其他供应商串通投标，或者与招标人串通投标。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报价说明可以接受（22.2）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供应商的报价明显低于其他通过符合性检查供应商的报价，有可能影响履约的，供应商能按照规定证明其报价合理性。</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无采购人不能接受的附加条件（22.2）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投标文件未含有采购人不能接受的附加条件。</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152" w:hRule="atLeast"/>
        </w:trPr>
        <w:tc>
          <w:tcPr>
            <w:tcW w:w="8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kern w:val="0"/>
                <w:sz w:val="22"/>
                <w:szCs w:val="22"/>
                <w:highlight w:val="none"/>
              </w:rPr>
              <w:t>结论</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r>
    </w:tbl>
    <w:p>
      <w:pPr>
        <w:pStyle w:val="11"/>
        <w:tabs>
          <w:tab w:val="clear" w:pos="567"/>
        </w:tabs>
        <w:spacing w:before="0" w:line="360" w:lineRule="exact"/>
        <w:ind w:left="-181" w:leftChars="-86" w:firstLine="660" w:firstLineChars="275"/>
        <w:rPr>
          <w:rFonts w:hint="eastAsia" w:ascii="宋体" w:hAnsi="宋体" w:eastAsia="宋体" w:cs="宋体"/>
          <w:color w:val="auto"/>
          <w:highlight w:val="none"/>
        </w:rPr>
      </w:pPr>
      <w:r>
        <w:rPr>
          <w:rFonts w:hint="eastAsia" w:ascii="宋体" w:hAnsi="宋体" w:eastAsia="宋体" w:cs="宋体"/>
          <w:color w:val="auto"/>
          <w:highlight w:val="none"/>
        </w:rPr>
        <w:br w:type="page"/>
      </w:r>
    </w:p>
    <w:tbl>
      <w:tblPr>
        <w:tblStyle w:val="26"/>
        <w:tblW w:w="8700" w:type="dxa"/>
        <w:tblInd w:w="108" w:type="dxa"/>
        <w:tblLayout w:type="fixed"/>
        <w:tblCellMar>
          <w:top w:w="0" w:type="dxa"/>
          <w:left w:w="108" w:type="dxa"/>
          <w:bottom w:w="0" w:type="dxa"/>
          <w:right w:w="108" w:type="dxa"/>
        </w:tblCellMar>
      </w:tblPr>
      <w:tblGrid>
        <w:gridCol w:w="2820"/>
        <w:gridCol w:w="920"/>
        <w:gridCol w:w="1505"/>
        <w:gridCol w:w="1843"/>
        <w:gridCol w:w="1612"/>
      </w:tblGrid>
      <w:tr>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vAlign w:val="center"/>
          </w:tcPr>
          <w:p>
            <w:pPr>
              <w:widowControl/>
              <w:spacing w:line="3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技术符合性审查表</w:t>
            </w:r>
          </w:p>
        </w:tc>
      </w:tr>
      <w:tr>
        <w:tblPrEx>
          <w:tblCellMar>
            <w:top w:w="0" w:type="dxa"/>
            <w:left w:w="108" w:type="dxa"/>
            <w:bottom w:w="0" w:type="dxa"/>
            <w:right w:w="108" w:type="dxa"/>
          </w:tblCellMar>
        </w:tblPrEx>
        <w:trPr>
          <w:trHeight w:val="390" w:hRule="atLeast"/>
        </w:trPr>
        <w:tc>
          <w:tcPr>
            <w:tcW w:w="3740"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审查事项</w:t>
            </w:r>
          </w:p>
        </w:tc>
        <w:tc>
          <w:tcPr>
            <w:tcW w:w="1505"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供应商名称</w:t>
            </w:r>
          </w:p>
        </w:tc>
        <w:tc>
          <w:tcPr>
            <w:tcW w:w="1843"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供应商名称</w:t>
            </w:r>
          </w:p>
        </w:tc>
        <w:tc>
          <w:tcPr>
            <w:tcW w:w="1612"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供应商名称</w:t>
            </w:r>
          </w:p>
        </w:tc>
      </w:tr>
      <w:tr>
        <w:tblPrEx>
          <w:tblCellMar>
            <w:top w:w="0" w:type="dxa"/>
            <w:left w:w="108" w:type="dxa"/>
            <w:bottom w:w="0" w:type="dxa"/>
            <w:right w:w="108" w:type="dxa"/>
          </w:tblCellMar>
        </w:tblPrEx>
        <w:trPr>
          <w:trHeight w:val="570" w:hRule="atLeast"/>
        </w:trPr>
        <w:tc>
          <w:tcPr>
            <w:tcW w:w="37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招标文件要求</w:t>
            </w: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条款号</w:t>
            </w: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服务内容</w:t>
            </w: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第5章</w:t>
            </w: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nil"/>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nil"/>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nil"/>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nil"/>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nil"/>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374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结论</w:t>
            </w:r>
          </w:p>
        </w:tc>
        <w:tc>
          <w:tcPr>
            <w:tcW w:w="1505"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465" w:hRule="atLeast"/>
        </w:trPr>
        <w:tc>
          <w:tcPr>
            <w:tcW w:w="2820" w:type="dxa"/>
            <w:tcBorders>
              <w:top w:val="nil"/>
              <w:left w:val="nil"/>
              <w:bottom w:val="nil"/>
              <w:right w:val="nil"/>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nil"/>
              <w:right w:val="nil"/>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nil"/>
              <w:right w:val="nil"/>
            </w:tcBorders>
            <w:vAlign w:val="center"/>
          </w:tcPr>
          <w:p>
            <w:pPr>
              <w:widowControl/>
              <w:spacing w:line="360" w:lineRule="exact"/>
              <w:jc w:val="center"/>
              <w:rPr>
                <w:rFonts w:hint="eastAsia" w:ascii="宋体" w:hAnsi="宋体" w:eastAsia="宋体" w:cs="宋体"/>
                <w:color w:val="auto"/>
                <w:kern w:val="0"/>
                <w:sz w:val="20"/>
                <w:szCs w:val="20"/>
                <w:highlight w:val="none"/>
              </w:rPr>
            </w:pPr>
          </w:p>
        </w:tc>
        <w:tc>
          <w:tcPr>
            <w:tcW w:w="1843" w:type="dxa"/>
            <w:tcBorders>
              <w:top w:val="nil"/>
              <w:left w:val="nil"/>
              <w:bottom w:val="nil"/>
              <w:right w:val="nil"/>
            </w:tcBorders>
            <w:vAlign w:val="center"/>
          </w:tcPr>
          <w:p>
            <w:pPr>
              <w:widowControl/>
              <w:spacing w:line="360" w:lineRule="exact"/>
              <w:jc w:val="left"/>
              <w:rPr>
                <w:rFonts w:hint="eastAsia" w:ascii="宋体" w:hAnsi="宋体" w:eastAsia="宋体" w:cs="宋体"/>
                <w:color w:val="auto"/>
                <w:kern w:val="0"/>
                <w:sz w:val="20"/>
                <w:szCs w:val="20"/>
                <w:highlight w:val="none"/>
              </w:rPr>
            </w:pPr>
          </w:p>
        </w:tc>
        <w:tc>
          <w:tcPr>
            <w:tcW w:w="1612" w:type="dxa"/>
            <w:tcBorders>
              <w:top w:val="nil"/>
              <w:left w:val="nil"/>
              <w:bottom w:val="nil"/>
              <w:right w:val="nil"/>
            </w:tcBorders>
            <w:vAlign w:val="center"/>
          </w:tcPr>
          <w:p>
            <w:pPr>
              <w:widowControl/>
              <w:spacing w:line="360" w:lineRule="exact"/>
              <w:jc w:val="left"/>
              <w:rPr>
                <w:rFonts w:hint="eastAsia" w:ascii="宋体" w:hAnsi="宋体" w:eastAsia="宋体" w:cs="宋体"/>
                <w:color w:val="auto"/>
                <w:kern w:val="0"/>
                <w:sz w:val="22"/>
                <w:szCs w:val="22"/>
                <w:highlight w:val="none"/>
              </w:rPr>
            </w:pPr>
          </w:p>
        </w:tc>
      </w:tr>
    </w:tbl>
    <w:p>
      <w:pPr>
        <w:rPr>
          <w:rFonts w:hint="eastAsia" w:ascii="宋体" w:hAnsi="宋体" w:eastAsia="宋体" w:cs="宋体"/>
          <w:color w:val="auto"/>
          <w:highlight w:val="none"/>
        </w:rPr>
        <w:sectPr>
          <w:headerReference r:id="rId7" w:type="default"/>
          <w:footerReference r:id="rId8" w:type="default"/>
          <w:pgSz w:w="11906" w:h="16838"/>
          <w:pgMar w:top="1418" w:right="946" w:bottom="567" w:left="1500" w:header="851" w:footer="992" w:gutter="0"/>
          <w:pgNumType w:fmt="decimal"/>
          <w:cols w:space="720" w:num="1"/>
          <w:docGrid w:type="lines" w:linePitch="312" w:charSpace="0"/>
        </w:sectPr>
      </w:pPr>
    </w:p>
    <w:p>
      <w:pPr>
        <w:pStyle w:val="20"/>
        <w:jc w:val="center"/>
        <w:outlineLvl w:val="1"/>
        <w:rPr>
          <w:rFonts w:hint="eastAsia" w:ascii="宋体" w:hAnsi="宋体" w:eastAsia="宋体" w:cs="宋体"/>
          <w:b/>
          <w:bCs/>
          <w:color w:val="auto"/>
          <w:sz w:val="44"/>
          <w:szCs w:val="44"/>
          <w:highlight w:val="none"/>
        </w:rPr>
      </w:pPr>
      <w:bookmarkStart w:id="1061" w:name="_Toc27444"/>
      <w:bookmarkStart w:id="1062" w:name="_Toc1985"/>
      <w:bookmarkStart w:id="1063" w:name="_Toc25197"/>
      <w:bookmarkStart w:id="1064" w:name="_Toc507399904"/>
      <w:r>
        <w:rPr>
          <w:rFonts w:hint="eastAsia" w:ascii="宋体" w:hAnsi="宋体" w:cs="宋体"/>
          <w:b/>
          <w:bCs/>
          <w:color w:val="auto"/>
          <w:sz w:val="44"/>
          <w:szCs w:val="44"/>
          <w:highlight w:val="none"/>
          <w:lang w:val="en-US" w:eastAsia="zh-CN"/>
        </w:rPr>
        <w:t>第六包</w:t>
      </w:r>
      <w:r>
        <w:rPr>
          <w:rFonts w:hint="eastAsia" w:ascii="宋体" w:hAnsi="宋体" w:eastAsia="宋体" w:cs="宋体"/>
          <w:b/>
          <w:bCs/>
          <w:color w:val="auto"/>
          <w:sz w:val="44"/>
          <w:szCs w:val="44"/>
          <w:highlight w:val="none"/>
        </w:rPr>
        <w:t>综合评分表</w:t>
      </w:r>
      <w:bookmarkEnd w:id="1061"/>
      <w:bookmarkEnd w:id="1062"/>
      <w:bookmarkEnd w:id="1063"/>
    </w:p>
    <w:p>
      <w:pPr>
        <w:pStyle w:val="20"/>
        <w:jc w:val="center"/>
        <w:outlineLvl w:val="1"/>
        <w:rPr>
          <w:rFonts w:hint="eastAsia" w:ascii="宋体" w:hAnsi="宋体" w:eastAsia="宋体" w:cs="宋体"/>
          <w:b/>
          <w:bCs/>
          <w:color w:val="auto"/>
          <w:sz w:val="24"/>
          <w:szCs w:val="24"/>
          <w:highlight w:val="none"/>
        </w:rPr>
      </w:pPr>
    </w:p>
    <w:tbl>
      <w:tblPr>
        <w:tblStyle w:val="26"/>
        <w:tblpPr w:leftFromText="180" w:rightFromText="180" w:vertAnchor="text" w:horzAnchor="margin" w:tblpX="-799" w:tblpY="459"/>
        <w:tblW w:w="61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664"/>
        <w:gridCol w:w="1101"/>
        <w:gridCol w:w="6211"/>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96" w:type="pct"/>
            <w:tcBorders>
              <w:top w:val="single" w:color="auto" w:sz="4" w:space="0"/>
              <w:left w:val="single" w:color="auto" w:sz="4" w:space="0"/>
              <w:bottom w:val="single" w:color="auto" w:sz="4" w:space="0"/>
              <w:right w:val="single" w:color="auto" w:sz="4" w:space="0"/>
            </w:tcBorders>
            <w:vAlign w:val="center"/>
          </w:tcPr>
          <w:p>
            <w:pPr>
              <w:widowControl/>
              <w:ind w:left="0" w:leftChars="0" w:firstLine="0" w:firstLineChars="0"/>
              <w:rPr>
                <w:rFonts w:hint="eastAsia" w:ascii="宋体" w:hAnsi="宋体" w:cs="宋体"/>
                <w:b/>
                <w:color w:val="auto"/>
                <w:kern w:val="0"/>
                <w:highlight w:val="none"/>
              </w:rPr>
            </w:pPr>
            <w:r>
              <w:rPr>
                <w:rFonts w:hint="eastAsia" w:ascii="宋体" w:hAnsi="宋体" w:cs="宋体"/>
                <w:b/>
                <w:color w:val="auto"/>
                <w:kern w:val="0"/>
                <w:highlight w:val="none"/>
              </w:rPr>
              <w:t>评分项目</w:t>
            </w:r>
          </w:p>
        </w:tc>
        <w:tc>
          <w:tcPr>
            <w:tcW w:w="315" w:type="pct"/>
            <w:tcBorders>
              <w:top w:val="single" w:color="auto" w:sz="4" w:space="0"/>
              <w:left w:val="single" w:color="auto" w:sz="4" w:space="0"/>
              <w:bottom w:val="single" w:color="auto" w:sz="4" w:space="0"/>
              <w:right w:val="single" w:color="auto" w:sz="4" w:space="0"/>
            </w:tcBorders>
            <w:vAlign w:val="center"/>
          </w:tcPr>
          <w:p>
            <w:pPr>
              <w:tabs>
                <w:tab w:val="left" w:pos="0"/>
              </w:tabs>
              <w:ind w:left="0" w:leftChars="0" w:firstLine="0" w:firstLineChars="0"/>
              <w:jc w:val="both"/>
              <w:rPr>
                <w:rFonts w:hint="eastAsia" w:ascii="宋体" w:hAnsi="宋体" w:eastAsia="宋体" w:cs="宋体"/>
                <w:b/>
                <w:color w:val="auto"/>
                <w:kern w:val="0"/>
                <w:sz w:val="24"/>
                <w:szCs w:val="21"/>
                <w:highlight w:val="none"/>
                <w:lang w:val="en-US" w:eastAsia="zh-CN" w:bidi="ar-SA"/>
              </w:rPr>
            </w:pPr>
            <w:r>
              <w:rPr>
                <w:rFonts w:hint="eastAsia" w:ascii="宋体" w:hAnsi="宋体" w:cs="宋体"/>
                <w:b/>
                <w:color w:val="auto"/>
                <w:kern w:val="0"/>
                <w:highlight w:val="none"/>
              </w:rPr>
              <w:t>分值</w:t>
            </w:r>
          </w:p>
        </w:tc>
        <w:tc>
          <w:tcPr>
            <w:tcW w:w="523" w:type="pct"/>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rFonts w:hint="eastAsia" w:ascii="宋体" w:hAnsi="宋体" w:cs="宋体"/>
                <w:b/>
                <w:color w:val="auto"/>
                <w:kern w:val="0"/>
                <w:highlight w:val="none"/>
              </w:rPr>
            </w:pPr>
            <w:r>
              <w:rPr>
                <w:rFonts w:hint="eastAsia" w:ascii="宋体" w:hAnsi="宋体" w:cs="宋体"/>
                <w:b/>
                <w:color w:val="auto"/>
                <w:kern w:val="0"/>
                <w:highlight w:val="none"/>
              </w:rPr>
              <w:t>评审因素</w:t>
            </w:r>
          </w:p>
        </w:tc>
        <w:tc>
          <w:tcPr>
            <w:tcW w:w="2952"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firstLine="0" w:firstLineChars="0"/>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评分标准</w:t>
            </w:r>
          </w:p>
          <w:p>
            <w:pPr>
              <w:tabs>
                <w:tab w:val="left" w:pos="0"/>
              </w:tabs>
              <w:ind w:left="0" w:leftChars="0" w:firstLine="0" w:firstLineChars="0"/>
              <w:jc w:val="both"/>
              <w:rPr>
                <w:rFonts w:hint="eastAsia" w:ascii="宋体" w:hAnsi="宋体" w:cs="宋体"/>
                <w:b/>
                <w:color w:val="auto"/>
                <w:kern w:val="0"/>
                <w:highlight w:val="none"/>
              </w:rPr>
            </w:pPr>
            <w:r>
              <w:rPr>
                <w:rFonts w:hint="eastAsia" w:ascii="宋体" w:hAnsi="宋体" w:eastAsia="宋体" w:cs="宋体"/>
                <w:b/>
                <w:bCs/>
                <w:color w:val="auto"/>
                <w:sz w:val="22"/>
                <w:szCs w:val="22"/>
                <w:highlight w:val="none"/>
                <w:lang w:val="en-US" w:eastAsia="zh-CN"/>
              </w:rPr>
              <w:t>价格：</w:t>
            </w:r>
            <w:r>
              <w:rPr>
                <w:rFonts w:hint="eastAsia" w:ascii="宋体" w:hAnsi="宋体" w:cs="宋体"/>
                <w:b/>
                <w:bCs/>
                <w:color w:val="auto"/>
                <w:sz w:val="22"/>
                <w:szCs w:val="22"/>
                <w:highlight w:val="none"/>
                <w:lang w:val="en-US" w:eastAsia="zh-CN"/>
              </w:rPr>
              <w:t>20</w:t>
            </w:r>
            <w:r>
              <w:rPr>
                <w:rFonts w:hint="eastAsia" w:ascii="宋体" w:hAnsi="宋体" w:eastAsia="宋体" w:cs="宋体"/>
                <w:b/>
                <w:bCs/>
                <w:color w:val="auto"/>
                <w:sz w:val="22"/>
                <w:szCs w:val="22"/>
                <w:highlight w:val="none"/>
                <w:lang w:val="en-US" w:eastAsia="zh-CN"/>
              </w:rPr>
              <w:t>分  商务：</w:t>
            </w:r>
            <w:r>
              <w:rPr>
                <w:rFonts w:hint="eastAsia" w:ascii="宋体" w:hAnsi="宋体" w:cs="宋体"/>
                <w:b/>
                <w:bCs/>
                <w:color w:val="auto"/>
                <w:sz w:val="22"/>
                <w:szCs w:val="22"/>
                <w:highlight w:val="none"/>
                <w:lang w:val="en-US" w:eastAsia="zh-CN"/>
              </w:rPr>
              <w:t>45</w:t>
            </w:r>
            <w:r>
              <w:rPr>
                <w:rFonts w:hint="eastAsia" w:ascii="宋体" w:hAnsi="宋体" w:eastAsia="宋体" w:cs="宋体"/>
                <w:b/>
                <w:bCs/>
                <w:color w:val="auto"/>
                <w:sz w:val="22"/>
                <w:szCs w:val="22"/>
                <w:highlight w:val="none"/>
                <w:lang w:val="en-US" w:eastAsia="zh-CN"/>
              </w:rPr>
              <w:t>分   技术：</w:t>
            </w:r>
            <w:r>
              <w:rPr>
                <w:rFonts w:hint="eastAsia" w:ascii="宋体" w:hAnsi="宋体" w:cs="宋体"/>
                <w:b/>
                <w:bCs/>
                <w:color w:val="auto"/>
                <w:sz w:val="22"/>
                <w:szCs w:val="22"/>
                <w:highlight w:val="none"/>
                <w:lang w:val="en-US" w:eastAsia="zh-CN"/>
              </w:rPr>
              <w:t>35</w:t>
            </w:r>
            <w:r>
              <w:rPr>
                <w:rFonts w:hint="eastAsia" w:ascii="宋体" w:hAnsi="宋体" w:eastAsia="宋体" w:cs="宋体"/>
                <w:b/>
                <w:bCs/>
                <w:color w:val="auto"/>
                <w:sz w:val="22"/>
                <w:szCs w:val="22"/>
                <w:highlight w:val="none"/>
                <w:lang w:val="en-US" w:eastAsia="zh-CN"/>
              </w:rPr>
              <w:t>分</w:t>
            </w:r>
          </w:p>
        </w:tc>
        <w:tc>
          <w:tcPr>
            <w:tcW w:w="812" w:type="pct"/>
            <w:tcBorders>
              <w:top w:val="single" w:color="auto" w:sz="4" w:space="0"/>
              <w:left w:val="single" w:color="auto" w:sz="4" w:space="0"/>
              <w:bottom w:val="single" w:color="auto" w:sz="4" w:space="0"/>
              <w:right w:val="single" w:color="auto" w:sz="4" w:space="0"/>
            </w:tcBorders>
            <w:vAlign w:val="center"/>
          </w:tcPr>
          <w:p>
            <w:pPr>
              <w:tabs>
                <w:tab w:val="left" w:pos="0"/>
              </w:tabs>
              <w:jc w:val="center"/>
              <w:rPr>
                <w:rFonts w:hint="eastAsia" w:ascii="宋体" w:hAnsi="宋体" w:cs="宋体"/>
                <w:b/>
                <w:color w:val="auto"/>
                <w:kern w:val="0"/>
                <w:highlight w:val="none"/>
              </w:rPr>
            </w:pPr>
            <w:r>
              <w:rPr>
                <w:rFonts w:hint="eastAsia" w:ascii="宋体" w:hAnsi="宋体" w:eastAsia="宋体" w:cs="宋体"/>
                <w:b/>
                <w:bCs/>
                <w:color w:val="auto"/>
                <w:sz w:val="22"/>
                <w:szCs w:val="22"/>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396"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报价部分（</w:t>
            </w:r>
            <w:r>
              <w:rPr>
                <w:rFonts w:hint="eastAsia" w:ascii="宋体" w:hAnsi="宋体" w:cs="宋体"/>
                <w:color w:val="auto"/>
                <w:sz w:val="22"/>
                <w:szCs w:val="22"/>
                <w:highlight w:val="none"/>
                <w:lang w:val="en-US" w:eastAsia="zh-CN"/>
              </w:rPr>
              <w:t>20</w:t>
            </w:r>
            <w:r>
              <w:rPr>
                <w:rFonts w:hint="eastAsia" w:ascii="宋体" w:hAnsi="宋体" w:eastAsia="宋体" w:cs="宋体"/>
                <w:color w:val="auto"/>
                <w:sz w:val="22"/>
                <w:szCs w:val="22"/>
                <w:highlight w:val="none"/>
                <w:lang w:val="en-US" w:eastAsia="zh-CN"/>
              </w:rPr>
              <w:t>分）</w:t>
            </w:r>
          </w:p>
        </w:tc>
        <w:tc>
          <w:tcPr>
            <w:tcW w:w="315"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w:t>
            </w:r>
            <w:r>
              <w:rPr>
                <w:rFonts w:hint="eastAsia" w:ascii="宋体" w:hAnsi="宋体" w:eastAsia="宋体" w:cs="宋体"/>
                <w:color w:val="auto"/>
                <w:sz w:val="22"/>
                <w:szCs w:val="22"/>
                <w:highlight w:val="none"/>
                <w:lang w:val="en-US" w:eastAsia="zh-CN"/>
              </w:rPr>
              <w:t>分</w:t>
            </w:r>
          </w:p>
        </w:tc>
        <w:tc>
          <w:tcPr>
            <w:tcW w:w="523"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w:t>
            </w:r>
          </w:p>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报价</w:t>
            </w:r>
          </w:p>
        </w:tc>
        <w:tc>
          <w:tcPr>
            <w:tcW w:w="2952" w:type="pct"/>
            <w:tcBorders>
              <w:top w:val="single" w:color="auto" w:sz="4" w:space="0"/>
              <w:left w:val="single" w:color="auto" w:sz="4" w:space="0"/>
              <w:bottom w:val="single" w:color="auto" w:sz="4" w:space="0"/>
              <w:right w:val="single" w:color="auto" w:sz="4" w:space="0"/>
            </w:tcBorders>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完全满足招标文件参数的投标报价中的最低价为评标基准价，按照下列公式计算每个供应商的投标价格得分。投标报价得分＝（基准价/投标报价）×价格权重×100。</w:t>
            </w:r>
          </w:p>
        </w:tc>
        <w:tc>
          <w:tcPr>
            <w:tcW w:w="812" w:type="pct"/>
            <w:tcBorders>
              <w:top w:val="single" w:color="auto" w:sz="4" w:space="0"/>
              <w:left w:val="single" w:color="auto" w:sz="4" w:space="0"/>
              <w:bottom w:val="single" w:color="auto" w:sz="4" w:space="0"/>
              <w:right w:val="single" w:color="auto" w:sz="4" w:space="0"/>
            </w:tcBorders>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96" w:type="pct"/>
            <w:vMerge w:val="restar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商务部分（</w:t>
            </w:r>
            <w:r>
              <w:rPr>
                <w:rFonts w:hint="eastAsia" w:ascii="宋体" w:hAnsi="宋体" w:cs="宋体"/>
                <w:color w:val="auto"/>
                <w:sz w:val="22"/>
                <w:szCs w:val="22"/>
                <w:highlight w:val="none"/>
                <w:lang w:val="en-US" w:eastAsia="zh-CN"/>
              </w:rPr>
              <w:t>45</w:t>
            </w:r>
            <w:r>
              <w:rPr>
                <w:rFonts w:hint="eastAsia" w:ascii="宋体" w:hAnsi="宋体" w:eastAsia="宋体" w:cs="宋体"/>
                <w:color w:val="auto"/>
                <w:sz w:val="22"/>
                <w:szCs w:val="22"/>
                <w:highlight w:val="none"/>
                <w:lang w:val="en-US" w:eastAsia="zh-CN"/>
              </w:rPr>
              <w:t>）</w:t>
            </w:r>
          </w:p>
        </w:tc>
        <w:tc>
          <w:tcPr>
            <w:tcW w:w="315"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FF0000"/>
                <w:sz w:val="22"/>
                <w:szCs w:val="22"/>
                <w:highlight w:val="none"/>
                <w:lang w:val="en-US" w:eastAsia="zh-CN"/>
              </w:rPr>
            </w:pPr>
            <w:r>
              <w:rPr>
                <w:rFonts w:hint="eastAsia" w:ascii="宋体" w:hAnsi="宋体" w:eastAsia="宋体" w:cs="宋体"/>
                <w:color w:val="FF0000"/>
                <w:sz w:val="22"/>
                <w:szCs w:val="22"/>
                <w:highlight w:val="none"/>
                <w:lang w:val="en-US" w:eastAsia="zh-CN"/>
              </w:rPr>
              <w:t>2</w:t>
            </w:r>
            <w:r>
              <w:rPr>
                <w:rFonts w:hint="eastAsia" w:ascii="宋体" w:hAnsi="宋体" w:cs="宋体"/>
                <w:color w:val="FF0000"/>
                <w:sz w:val="22"/>
                <w:szCs w:val="22"/>
                <w:highlight w:val="none"/>
                <w:lang w:val="en-US" w:eastAsia="zh-CN"/>
              </w:rPr>
              <w:t>5</w:t>
            </w:r>
            <w:r>
              <w:rPr>
                <w:rFonts w:hint="eastAsia" w:ascii="宋体" w:hAnsi="宋体" w:eastAsia="宋体" w:cs="宋体"/>
                <w:color w:val="FF0000"/>
                <w:sz w:val="22"/>
                <w:szCs w:val="22"/>
                <w:highlight w:val="none"/>
                <w:lang w:val="en-US" w:eastAsia="zh-CN"/>
              </w:rPr>
              <w:t>分</w:t>
            </w:r>
          </w:p>
        </w:tc>
        <w:tc>
          <w:tcPr>
            <w:tcW w:w="523"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FF0000"/>
                <w:sz w:val="22"/>
                <w:szCs w:val="22"/>
                <w:highlight w:val="none"/>
                <w:lang w:val="en-US" w:eastAsia="zh-CN"/>
              </w:rPr>
            </w:pPr>
            <w:r>
              <w:rPr>
                <w:rFonts w:hint="eastAsia" w:ascii="宋体" w:hAnsi="宋体" w:eastAsia="宋体" w:cs="宋体"/>
                <w:color w:val="FF0000"/>
                <w:sz w:val="22"/>
                <w:szCs w:val="22"/>
                <w:highlight w:val="none"/>
                <w:lang w:val="en-US" w:eastAsia="zh-CN"/>
              </w:rPr>
              <w:t>公司业绩</w:t>
            </w:r>
          </w:p>
        </w:tc>
        <w:tc>
          <w:tcPr>
            <w:tcW w:w="2952"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FF0000"/>
                <w:sz w:val="22"/>
                <w:szCs w:val="22"/>
                <w:highlight w:val="none"/>
                <w:lang w:val="en-US" w:eastAsia="zh-CN"/>
              </w:rPr>
            </w:pPr>
            <w:r>
              <w:rPr>
                <w:rFonts w:hint="eastAsia" w:ascii="宋体" w:hAnsi="宋体" w:eastAsia="宋体" w:cs="宋体"/>
                <w:color w:val="FF0000"/>
                <w:sz w:val="22"/>
                <w:szCs w:val="22"/>
                <w:highlight w:val="yellow"/>
                <w:lang w:val="en-US" w:eastAsia="zh-CN"/>
              </w:rPr>
              <w:t>采用的短信管理平台及相关产品应用软件相关自治区三甲医院案例，每个5分，最多得20分；其他案列一个1分，最多5分。两项合计最多不超过25分（须提供案例客户详细名称及相关合同页证明）。</w:t>
            </w:r>
          </w:p>
        </w:tc>
        <w:tc>
          <w:tcPr>
            <w:tcW w:w="812"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default" w:ascii="宋体" w:hAnsi="宋体" w:eastAsia="宋体" w:cs="宋体"/>
                <w:b/>
                <w:bCs/>
                <w:color w:val="auto"/>
                <w:sz w:val="22"/>
                <w:szCs w:val="22"/>
                <w:highlight w:val="none"/>
                <w:lang w:val="en-US" w:eastAsia="zh-CN"/>
              </w:rPr>
              <w:t>根据需求提供</w:t>
            </w:r>
            <w:r>
              <w:rPr>
                <w:rFonts w:hint="eastAsia" w:ascii="宋体" w:hAnsi="宋体" w:cs="宋体"/>
                <w:b/>
                <w:bCs/>
                <w:color w:val="auto"/>
                <w:sz w:val="22"/>
                <w:szCs w:val="22"/>
                <w:highlight w:val="none"/>
                <w:lang w:val="en-US" w:eastAsia="zh-CN"/>
              </w:rPr>
              <w:t>业绩原件单独密封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396"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315"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18</w:t>
            </w:r>
            <w:r>
              <w:rPr>
                <w:rFonts w:hint="eastAsia" w:ascii="宋体" w:hAnsi="宋体" w:eastAsia="宋体" w:cs="宋体"/>
                <w:color w:val="auto"/>
                <w:sz w:val="22"/>
                <w:szCs w:val="22"/>
                <w:highlight w:val="none"/>
                <w:lang w:val="en-US" w:eastAsia="zh-CN"/>
              </w:rPr>
              <w:t>分</w:t>
            </w:r>
          </w:p>
        </w:tc>
        <w:tc>
          <w:tcPr>
            <w:tcW w:w="523"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著作权</w:t>
            </w:r>
          </w:p>
        </w:tc>
        <w:tc>
          <w:tcPr>
            <w:tcW w:w="2952"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000000"/>
                <w:sz w:val="24"/>
                <w:szCs w:val="24"/>
              </w:rPr>
              <w:t>具有相关国家认定的软件著作权登记证书</w:t>
            </w:r>
            <w:r>
              <w:rPr>
                <w:rFonts w:hint="eastAsia"/>
                <w:color w:val="000000"/>
                <w:szCs w:val="21"/>
              </w:rPr>
              <w:t>，要求证书名称必须含有“短信”字样，证书属于投标人拥有的，满足的</w:t>
            </w:r>
            <w:r>
              <w:rPr>
                <w:rFonts w:hint="eastAsia"/>
                <w:color w:val="000000"/>
                <w:szCs w:val="21"/>
                <w:lang w:val="en-US" w:eastAsia="zh-CN"/>
              </w:rPr>
              <w:t>18</w:t>
            </w:r>
            <w:r>
              <w:rPr>
                <w:rFonts w:hint="eastAsia"/>
                <w:color w:val="000000"/>
                <w:szCs w:val="21"/>
              </w:rPr>
              <w:t>分，否则得0分；</w:t>
            </w:r>
          </w:p>
        </w:tc>
        <w:tc>
          <w:tcPr>
            <w:tcW w:w="812" w:type="pct"/>
            <w:vMerge w:val="restart"/>
            <w:tcBorders>
              <w:left w:val="single" w:color="auto" w:sz="4" w:space="0"/>
              <w:right w:val="single" w:color="auto" w:sz="4" w:space="0"/>
            </w:tcBorders>
            <w:vAlign w:val="center"/>
          </w:tcPr>
          <w:p>
            <w:pPr>
              <w:widowControl/>
              <w:spacing w:line="280" w:lineRule="exact"/>
              <w:ind w:firstLine="0" w:firstLineChars="0"/>
              <w:jc w:val="left"/>
              <w:rPr>
                <w:rFonts w:hint="default" w:ascii="宋体" w:hAnsi="宋体" w:eastAsia="宋体" w:cs="宋体"/>
                <w:b/>
                <w:bCs/>
                <w:color w:val="auto"/>
                <w:sz w:val="22"/>
                <w:szCs w:val="22"/>
                <w:highlight w:val="none"/>
                <w:lang w:val="en-US" w:eastAsia="zh-CN"/>
              </w:rPr>
            </w:pPr>
            <w:r>
              <w:rPr>
                <w:rFonts w:hint="default" w:ascii="宋体" w:hAnsi="宋体" w:eastAsia="宋体" w:cs="宋体"/>
                <w:b/>
                <w:bCs/>
                <w:color w:val="auto"/>
                <w:sz w:val="22"/>
                <w:szCs w:val="22"/>
                <w:highlight w:val="none"/>
                <w:lang w:val="en-US" w:eastAsia="zh-CN"/>
              </w:rPr>
              <w:t>根据需求提供必要的证明资</w:t>
            </w:r>
          </w:p>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default" w:ascii="宋体" w:hAnsi="宋体" w:eastAsia="宋体" w:cs="宋体"/>
                <w:b/>
                <w:bCs/>
                <w:color w:val="auto"/>
                <w:sz w:val="22"/>
                <w:szCs w:val="22"/>
                <w:highlight w:val="none"/>
                <w:lang w:val="en-US" w:eastAsia="zh-CN"/>
              </w:rPr>
              <w:t>根据需求提供必要的证明资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96"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315" w:type="pct"/>
            <w:tcBorders>
              <w:left w:val="single" w:color="auto" w:sz="4" w:space="0"/>
              <w:right w:val="single" w:color="auto" w:sz="4" w:space="0"/>
            </w:tcBorders>
            <w:vAlign w:val="center"/>
          </w:tcPr>
          <w:p>
            <w:pPr>
              <w:widowControl/>
              <w:spacing w:line="280" w:lineRule="exact"/>
              <w:ind w:firstLine="0" w:firstLineChars="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2分</w:t>
            </w:r>
          </w:p>
        </w:tc>
        <w:tc>
          <w:tcPr>
            <w:tcW w:w="523" w:type="pct"/>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文件制作</w:t>
            </w:r>
          </w:p>
        </w:tc>
        <w:tc>
          <w:tcPr>
            <w:tcW w:w="2952"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根据投标文件标函编制内容完整、齐全、叙述严谨；投标文件无涂改、错页、漏页现象；投标文件内容不得重复性、反复性出现资料，投标文件无错字、漏字等 具体由评委视具体情况给分，分值</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分。</w:t>
            </w:r>
          </w:p>
        </w:tc>
        <w:tc>
          <w:tcPr>
            <w:tcW w:w="812"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396" w:type="pct"/>
            <w:vMerge w:val="restart"/>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技术部分（</w:t>
            </w:r>
            <w:r>
              <w:rPr>
                <w:rFonts w:hint="eastAsia" w:ascii="宋体" w:hAnsi="宋体" w:cs="宋体"/>
                <w:color w:val="auto"/>
                <w:sz w:val="22"/>
                <w:szCs w:val="22"/>
                <w:highlight w:val="none"/>
                <w:lang w:val="en-US" w:eastAsia="zh-CN"/>
              </w:rPr>
              <w:t>35</w:t>
            </w:r>
            <w:r>
              <w:rPr>
                <w:rFonts w:hint="eastAsia" w:ascii="宋体" w:hAnsi="宋体" w:eastAsia="宋体" w:cs="宋体"/>
                <w:color w:val="auto"/>
                <w:sz w:val="22"/>
                <w:szCs w:val="22"/>
                <w:highlight w:val="none"/>
                <w:lang w:val="en-US" w:eastAsia="zh-CN"/>
              </w:rPr>
              <w:t>分）</w:t>
            </w:r>
          </w:p>
        </w:tc>
        <w:tc>
          <w:tcPr>
            <w:tcW w:w="315" w:type="pct"/>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分</w:t>
            </w:r>
          </w:p>
        </w:tc>
        <w:tc>
          <w:tcPr>
            <w:tcW w:w="523" w:type="pct"/>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总体设计方案</w:t>
            </w:r>
          </w:p>
        </w:tc>
        <w:tc>
          <w:tcPr>
            <w:tcW w:w="2952"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1、平台技术规格、参数完全响应招标文件要求，甚至更为优越，完全满足招标人使用要求；最多得5分；</w:t>
            </w:r>
          </w:p>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平台部署操作系统为Linux的服务器或者虚拟机。得5分</w:t>
            </w:r>
          </w:p>
        </w:tc>
        <w:tc>
          <w:tcPr>
            <w:tcW w:w="812"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96"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315" w:type="pct"/>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5分</w:t>
            </w:r>
          </w:p>
        </w:tc>
        <w:tc>
          <w:tcPr>
            <w:tcW w:w="523" w:type="pct"/>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系统功能设计方案</w:t>
            </w:r>
          </w:p>
        </w:tc>
        <w:tc>
          <w:tcPr>
            <w:tcW w:w="2952"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短信平台与电信、移动、联通三家运营商短信网关对接，短信的收、发情况可根据用户的需求统计分析，满足条件的得5分；</w:t>
            </w:r>
          </w:p>
        </w:tc>
        <w:tc>
          <w:tcPr>
            <w:tcW w:w="812"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96"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315" w:type="pct"/>
            <w:tcBorders>
              <w:left w:val="single" w:color="auto" w:sz="4" w:space="0"/>
              <w:right w:val="single" w:color="auto" w:sz="4" w:space="0"/>
            </w:tcBorders>
            <w:vAlign w:val="center"/>
          </w:tcPr>
          <w:p>
            <w:pPr>
              <w:widowControl/>
              <w:adjustRightInd w:val="0"/>
              <w:jc w:val="center"/>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5分</w:t>
            </w:r>
          </w:p>
        </w:tc>
        <w:tc>
          <w:tcPr>
            <w:tcW w:w="523" w:type="pct"/>
            <w:tcBorders>
              <w:left w:val="single" w:color="auto" w:sz="4" w:space="0"/>
              <w:right w:val="single" w:color="auto" w:sz="4" w:space="0"/>
            </w:tcBorders>
            <w:vAlign w:val="center"/>
          </w:tcPr>
          <w:p>
            <w:pPr>
              <w:widowControl/>
              <w:adjustRightInd w:val="0"/>
              <w:jc w:val="center"/>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项目实施方案</w:t>
            </w:r>
          </w:p>
        </w:tc>
        <w:tc>
          <w:tcPr>
            <w:tcW w:w="2952"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有完善合理实施方案得3分；</w:t>
            </w:r>
          </w:p>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实施交付所需工作日10日以内得2分、超出不得分。</w:t>
            </w:r>
          </w:p>
        </w:tc>
        <w:tc>
          <w:tcPr>
            <w:tcW w:w="812"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96"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315"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5分</w:t>
            </w:r>
          </w:p>
        </w:tc>
        <w:tc>
          <w:tcPr>
            <w:tcW w:w="523"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系统接口体系</w:t>
            </w:r>
          </w:p>
        </w:tc>
        <w:tc>
          <w:tcPr>
            <w:tcW w:w="2952"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1、短信平台接口要有预留，根据用户需求方便提供接口与其他应用平台进行对接。满足条件的得2分；</w:t>
            </w:r>
          </w:p>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2、是否符合招标文件中用户要求。满足条件的得3分。</w:t>
            </w:r>
          </w:p>
        </w:tc>
        <w:tc>
          <w:tcPr>
            <w:tcW w:w="812"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396"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315" w:type="pct"/>
            <w:tcBorders>
              <w:left w:val="single" w:color="auto" w:sz="4" w:space="0"/>
              <w:right w:val="single" w:color="auto" w:sz="4" w:space="0"/>
            </w:tcBorders>
            <w:vAlign w:val="center"/>
          </w:tcPr>
          <w:p>
            <w:pPr>
              <w:widowControl/>
              <w:adjustRightInd w:val="0"/>
              <w:jc w:val="center"/>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5分</w:t>
            </w:r>
          </w:p>
        </w:tc>
        <w:tc>
          <w:tcPr>
            <w:tcW w:w="523" w:type="pct"/>
            <w:tcBorders>
              <w:left w:val="single" w:color="auto" w:sz="4" w:space="0"/>
              <w:right w:val="single" w:color="auto" w:sz="4" w:space="0"/>
            </w:tcBorders>
            <w:vAlign w:val="center"/>
          </w:tcPr>
          <w:p>
            <w:pPr>
              <w:widowControl/>
              <w:adjustRightInd w:val="0"/>
              <w:jc w:val="center"/>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培训方案、培训实力及培训计划</w:t>
            </w:r>
          </w:p>
        </w:tc>
        <w:tc>
          <w:tcPr>
            <w:tcW w:w="2952" w:type="pc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hint="eastAsia" w:ascii="宋体" w:hAnsi="宋体" w:eastAsia="宋体" w:cs="宋体"/>
                <w:color w:val="auto"/>
                <w:sz w:val="22"/>
                <w:szCs w:val="22"/>
                <w:highlight w:val="none"/>
                <w:lang w:val="en-US" w:eastAsia="zh-CN"/>
              </w:rPr>
            </w:pPr>
            <w:r>
              <w:rPr>
                <w:rFonts w:hint="eastAsia"/>
                <w:color w:val="000000"/>
                <w:szCs w:val="21"/>
              </w:rPr>
              <w:t>有完整、全面的培训方案得3分；有随着设备及技术的升级产生的新内容培训计划得2分。</w:t>
            </w:r>
          </w:p>
        </w:tc>
        <w:tc>
          <w:tcPr>
            <w:tcW w:w="812"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396"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315" w:type="pct"/>
            <w:tcBorders>
              <w:left w:val="single" w:color="auto" w:sz="4" w:space="0"/>
              <w:right w:val="single" w:color="auto" w:sz="4" w:space="0"/>
            </w:tcBorders>
            <w:vAlign w:val="center"/>
          </w:tcPr>
          <w:p>
            <w:pPr>
              <w:widowControl/>
              <w:adjustRightInd w:val="0"/>
              <w:jc w:val="center"/>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5分</w:t>
            </w:r>
          </w:p>
        </w:tc>
        <w:tc>
          <w:tcPr>
            <w:tcW w:w="523" w:type="pct"/>
            <w:tcBorders>
              <w:left w:val="single" w:color="auto" w:sz="4" w:space="0"/>
              <w:right w:val="single" w:color="auto" w:sz="4" w:space="0"/>
            </w:tcBorders>
            <w:vAlign w:val="center"/>
          </w:tcPr>
          <w:p>
            <w:pPr>
              <w:widowControl/>
              <w:adjustRightInd w:val="0"/>
              <w:jc w:val="center"/>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服务承诺</w:t>
            </w:r>
          </w:p>
        </w:tc>
        <w:tc>
          <w:tcPr>
            <w:tcW w:w="2952" w:type="pct"/>
            <w:tcBorders>
              <w:top w:val="single" w:color="auto" w:sz="4" w:space="0"/>
              <w:left w:val="single" w:color="auto" w:sz="4" w:space="0"/>
              <w:right w:val="single" w:color="auto" w:sz="4" w:space="0"/>
            </w:tcBorders>
            <w:vAlign w:val="center"/>
          </w:tcPr>
          <w:p>
            <w:pPr>
              <w:spacing w:line="340" w:lineRule="exact"/>
              <w:jc w:val="left"/>
              <w:rPr>
                <w:rFonts w:hint="eastAsia" w:ascii="宋体" w:hAnsi="宋体" w:eastAsia="宋体" w:cs="宋体"/>
                <w:color w:val="auto"/>
                <w:sz w:val="22"/>
                <w:szCs w:val="22"/>
                <w:highlight w:val="none"/>
                <w:lang w:val="en-US" w:eastAsia="zh-CN"/>
              </w:rPr>
            </w:pPr>
            <w:r>
              <w:rPr>
                <w:rFonts w:hint="eastAsia" w:ascii="宋体" w:hAnsi="宋体" w:cs="宋体"/>
                <w:color w:val="000000"/>
                <w:sz w:val="24"/>
                <w:szCs w:val="24"/>
              </w:rPr>
              <w:t>投标人能结合本项目特点，提出完善的培训方案和售后技术服务方案；方案完善，针对性及实用性强；</w:t>
            </w:r>
            <w:r>
              <w:rPr>
                <w:rFonts w:hint="eastAsia"/>
                <w:color w:val="000000"/>
                <w:szCs w:val="21"/>
              </w:rPr>
              <w:t>响应时间为7×24小时，并在1小时内解决问题得5分；</w:t>
            </w:r>
          </w:p>
        </w:tc>
        <w:tc>
          <w:tcPr>
            <w:tcW w:w="812"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tbl>
    <w:p>
      <w:pPr>
        <w:pStyle w:val="2"/>
        <w:rPr>
          <w:rFonts w:hint="eastAsia"/>
        </w:rPr>
      </w:pPr>
    </w:p>
    <w:p>
      <w:pPr>
        <w:pStyle w:val="20"/>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pStyle w:val="11"/>
        <w:rPr>
          <w:rFonts w:hint="eastAsia" w:ascii="宋体" w:hAnsi="宋体" w:eastAsia="宋体" w:cs="宋体"/>
          <w:b/>
          <w:color w:val="auto"/>
          <w:sz w:val="44"/>
          <w:szCs w:val="44"/>
          <w:highlight w:val="none"/>
        </w:rPr>
      </w:pPr>
    </w:p>
    <w:p>
      <w:pPr>
        <w:pStyle w:val="21"/>
        <w:rPr>
          <w:rFonts w:hint="eastAsia" w:ascii="宋体" w:hAnsi="宋体" w:eastAsia="宋体" w:cs="宋体"/>
          <w:b/>
          <w:color w:val="auto"/>
          <w:sz w:val="44"/>
          <w:szCs w:val="44"/>
          <w:highlight w:val="none"/>
        </w:rPr>
      </w:pPr>
    </w:p>
    <w:p>
      <w:pPr>
        <w:pStyle w:val="20"/>
        <w:rPr>
          <w:rFonts w:hint="eastAsia" w:ascii="宋体" w:hAnsi="宋体" w:eastAsia="宋体" w:cs="宋体"/>
          <w:b/>
          <w:bCs/>
          <w:color w:val="auto"/>
          <w:highlight w:val="none"/>
        </w:rPr>
      </w:pPr>
    </w:p>
    <w:p>
      <w:pPr>
        <w:pStyle w:val="11"/>
        <w:rPr>
          <w:rFonts w:hint="eastAsia" w:ascii="宋体" w:hAnsi="宋体" w:eastAsia="宋体" w:cs="宋体"/>
          <w:b/>
          <w:color w:val="auto"/>
          <w:sz w:val="44"/>
          <w:szCs w:val="44"/>
          <w:highlight w:val="none"/>
        </w:rPr>
      </w:pPr>
    </w:p>
    <w:p>
      <w:pPr>
        <w:pStyle w:val="2"/>
        <w:ind w:left="0" w:leftChars="0" w:firstLine="0" w:firstLineChars="0"/>
        <w:rPr>
          <w:rFonts w:hint="eastAsia" w:ascii="宋体" w:hAnsi="宋体" w:eastAsia="宋体" w:cs="宋体"/>
          <w:b/>
          <w:color w:val="auto"/>
          <w:sz w:val="32"/>
          <w:highlight w:val="none"/>
        </w:rPr>
      </w:pPr>
    </w:p>
    <w:p>
      <w:pPr>
        <w:pStyle w:val="2"/>
        <w:ind w:firstLine="640"/>
        <w:rPr>
          <w:rFonts w:hint="eastAsia" w:ascii="宋体" w:hAnsi="宋体" w:eastAsia="宋体" w:cs="宋体"/>
          <w:b/>
          <w:color w:val="auto"/>
          <w:sz w:val="32"/>
          <w:highlight w:val="none"/>
        </w:rPr>
      </w:pPr>
    </w:p>
    <w:p>
      <w:pPr>
        <w:pStyle w:val="2"/>
        <w:ind w:firstLine="640"/>
        <w:rPr>
          <w:rFonts w:hint="eastAsia" w:ascii="宋体" w:hAnsi="宋体" w:eastAsia="宋体" w:cs="宋体"/>
          <w:b/>
          <w:color w:val="auto"/>
          <w:sz w:val="32"/>
          <w:highlight w:val="none"/>
        </w:rPr>
      </w:pPr>
    </w:p>
    <w:p>
      <w:pPr>
        <w:pStyle w:val="2"/>
        <w:ind w:firstLine="640"/>
        <w:rPr>
          <w:rFonts w:hint="eastAsia" w:ascii="宋体" w:hAnsi="宋体" w:eastAsia="宋体" w:cs="宋体"/>
          <w:b/>
          <w:color w:val="auto"/>
          <w:sz w:val="32"/>
          <w:highlight w:val="none"/>
        </w:rPr>
      </w:pPr>
    </w:p>
    <w:p>
      <w:pPr>
        <w:pStyle w:val="2"/>
        <w:ind w:firstLine="640"/>
        <w:rPr>
          <w:rFonts w:hint="eastAsia" w:ascii="宋体" w:hAnsi="宋体" w:eastAsia="宋体" w:cs="宋体"/>
          <w:b/>
          <w:color w:val="auto"/>
          <w:sz w:val="32"/>
          <w:highlight w:val="none"/>
        </w:rPr>
      </w:pPr>
    </w:p>
    <w:p>
      <w:pPr>
        <w:pStyle w:val="2"/>
        <w:ind w:firstLine="640"/>
        <w:rPr>
          <w:rFonts w:hint="eastAsia" w:ascii="宋体" w:hAnsi="宋体" w:eastAsia="宋体" w:cs="宋体"/>
          <w:b/>
          <w:color w:val="auto"/>
          <w:sz w:val="32"/>
          <w:highlight w:val="none"/>
        </w:rPr>
      </w:pPr>
    </w:p>
    <w:p>
      <w:pPr>
        <w:pStyle w:val="2"/>
        <w:ind w:firstLine="640"/>
        <w:rPr>
          <w:rFonts w:hint="eastAsia" w:ascii="宋体" w:hAnsi="宋体" w:eastAsia="宋体" w:cs="宋体"/>
          <w:b/>
          <w:color w:val="auto"/>
          <w:sz w:val="32"/>
          <w:highlight w:val="none"/>
        </w:rPr>
      </w:pPr>
    </w:p>
    <w:p>
      <w:pPr>
        <w:pStyle w:val="2"/>
        <w:ind w:firstLine="640"/>
        <w:rPr>
          <w:rFonts w:hint="eastAsia" w:ascii="宋体" w:hAnsi="宋体" w:eastAsia="宋体" w:cs="宋体"/>
          <w:b/>
          <w:color w:val="auto"/>
          <w:sz w:val="32"/>
          <w:highlight w:val="none"/>
        </w:rPr>
      </w:pPr>
    </w:p>
    <w:p>
      <w:pPr>
        <w:spacing w:line="240" w:lineRule="atLeast"/>
        <w:ind w:firstLine="3092" w:firstLineChars="700"/>
        <w:jc w:val="both"/>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pPr>
        <w:spacing w:line="240" w:lineRule="atLeast"/>
        <w:jc w:val="center"/>
        <w:rPr>
          <w:rFonts w:hint="eastAsia" w:ascii="宋体" w:hAnsi="宋体" w:eastAsia="宋体" w:cs="宋体"/>
          <w:b/>
          <w:color w:val="auto"/>
          <w:sz w:val="40"/>
          <w:szCs w:val="40"/>
          <w:highlight w:val="none"/>
        </w:rPr>
      </w:pPr>
    </w:p>
    <w:p>
      <w:pPr>
        <w:spacing w:line="240" w:lineRule="atLeast"/>
        <w:jc w:val="center"/>
        <w:rPr>
          <w:rFonts w:hint="eastAsia" w:ascii="宋体" w:hAnsi="宋体" w:eastAsia="宋体" w:cs="宋体"/>
          <w:b/>
          <w:color w:val="auto"/>
          <w:sz w:val="40"/>
          <w:szCs w:val="40"/>
          <w:highlight w:val="none"/>
          <w:lang w:eastAsia="zh-CN"/>
        </w:rPr>
      </w:pPr>
      <w:bookmarkStart w:id="1065" w:name="_Toc13284_WPSOffice_Level2"/>
      <w:r>
        <w:rPr>
          <w:rFonts w:hint="eastAsia" w:ascii="宋体" w:hAnsi="宋体" w:eastAsia="宋体" w:cs="宋体"/>
          <w:b/>
          <w:color w:val="auto"/>
          <w:sz w:val="40"/>
          <w:szCs w:val="40"/>
          <w:highlight w:val="none"/>
        </w:rPr>
        <w:t>项目编号：</w:t>
      </w:r>
      <w:bookmarkEnd w:id="1065"/>
      <w:r>
        <w:rPr>
          <w:rFonts w:hint="eastAsia" w:ascii="宋体" w:hAnsi="宋体" w:eastAsia="宋体" w:cs="宋体"/>
          <w:b/>
          <w:color w:val="auto"/>
          <w:sz w:val="40"/>
          <w:szCs w:val="40"/>
          <w:highlight w:val="none"/>
        </w:rPr>
        <w:t>ZJ（GK）-22037</w:t>
      </w:r>
    </w:p>
    <w:p>
      <w:pPr>
        <w:spacing w:line="240" w:lineRule="atLeast"/>
        <w:jc w:val="center"/>
        <w:rPr>
          <w:rFonts w:hint="eastAsia" w:ascii="宋体" w:hAnsi="宋体" w:eastAsia="宋体" w:cs="宋体"/>
          <w:b/>
          <w:color w:val="auto"/>
          <w:sz w:val="40"/>
          <w:szCs w:val="40"/>
          <w:highlight w:val="none"/>
        </w:rPr>
      </w:pPr>
    </w:p>
    <w:p>
      <w:pPr>
        <w:pStyle w:val="2"/>
        <w:ind w:firstLine="480"/>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第 三 册</w:t>
      </w:r>
    </w:p>
    <w:p>
      <w:pPr>
        <w:spacing w:line="240" w:lineRule="atLeast"/>
        <w:jc w:val="center"/>
        <w:rPr>
          <w:rFonts w:hint="eastAsia" w:ascii="宋体" w:hAnsi="宋体" w:eastAsia="宋体" w:cs="宋体"/>
          <w:b/>
          <w:color w:val="auto"/>
          <w:sz w:val="32"/>
          <w:highlight w:val="none"/>
        </w:rPr>
      </w:pPr>
    </w:p>
    <w:p>
      <w:pPr>
        <w:spacing w:line="240" w:lineRule="atLeast"/>
        <w:ind w:left="1080" w:leftChars="257" w:hanging="540"/>
        <w:jc w:val="center"/>
        <w:rPr>
          <w:rFonts w:hint="eastAsia" w:ascii="宋体" w:hAnsi="宋体" w:eastAsia="宋体" w:cs="宋体"/>
          <w:b/>
          <w:color w:val="auto"/>
          <w:sz w:val="52"/>
          <w:highlight w:val="none"/>
        </w:rPr>
      </w:pPr>
    </w:p>
    <w:p>
      <w:pPr>
        <w:pStyle w:val="2"/>
        <w:ind w:firstLine="1040"/>
        <w:rPr>
          <w:rFonts w:hint="eastAsia" w:ascii="宋体" w:hAnsi="宋体" w:eastAsia="宋体" w:cs="宋体"/>
          <w:b/>
          <w:color w:val="auto"/>
          <w:sz w:val="52"/>
          <w:highlight w:val="none"/>
        </w:rPr>
      </w:pPr>
    </w:p>
    <w:p>
      <w:pPr>
        <w:pStyle w:val="2"/>
        <w:ind w:firstLine="1040"/>
        <w:rPr>
          <w:rFonts w:hint="eastAsia" w:ascii="宋体" w:hAnsi="宋体" w:eastAsia="宋体" w:cs="宋体"/>
          <w:b/>
          <w:color w:val="auto"/>
          <w:sz w:val="52"/>
          <w:highlight w:val="none"/>
        </w:rPr>
      </w:pPr>
    </w:p>
    <w:p>
      <w:pPr>
        <w:pStyle w:val="2"/>
        <w:ind w:firstLine="1040"/>
        <w:rPr>
          <w:rFonts w:hint="eastAsia" w:ascii="宋体" w:hAnsi="宋体" w:eastAsia="宋体" w:cs="宋体"/>
          <w:b/>
          <w:color w:val="auto"/>
          <w:sz w:val="52"/>
          <w:highlight w:val="none"/>
        </w:rPr>
      </w:pPr>
    </w:p>
    <w:p>
      <w:pPr>
        <w:pStyle w:val="2"/>
        <w:ind w:firstLine="0" w:firstLineChars="0"/>
        <w:rPr>
          <w:rFonts w:hint="eastAsia" w:ascii="宋体" w:hAnsi="宋体" w:eastAsia="宋体" w:cs="宋体"/>
          <w:color w:val="auto"/>
          <w:highlight w:val="none"/>
        </w:rPr>
      </w:pPr>
      <w:bookmarkStart w:id="1066" w:name="_Toc4796"/>
      <w:bookmarkStart w:id="1067" w:name="_Toc23920"/>
      <w:bookmarkStart w:id="1068" w:name="_Toc28085"/>
      <w:bookmarkStart w:id="1069" w:name="_Toc6865"/>
      <w:bookmarkStart w:id="1070" w:name="_Toc515647833"/>
    </w:p>
    <w:p>
      <w:pPr>
        <w:pStyle w:val="4"/>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rPr>
          <w:rFonts w:hint="eastAsia"/>
        </w:rPr>
      </w:pPr>
    </w:p>
    <w:p>
      <w:pPr>
        <w:pStyle w:val="6"/>
        <w:tabs>
          <w:tab w:val="left" w:pos="0"/>
        </w:tabs>
        <w:spacing w:before="0" w:after="0" w:line="240" w:lineRule="atLeast"/>
        <w:ind w:left="-15"/>
        <w:jc w:val="center"/>
        <w:rPr>
          <w:rFonts w:hint="eastAsia" w:ascii="宋体" w:hAnsi="宋体" w:eastAsia="宋体" w:cs="宋体"/>
          <w:color w:val="auto"/>
          <w:sz w:val="22"/>
          <w:szCs w:val="21"/>
          <w:highlight w:val="none"/>
        </w:rPr>
      </w:pPr>
      <w:bookmarkStart w:id="1071" w:name="_Toc15579"/>
      <w:r>
        <w:rPr>
          <w:rStyle w:val="35"/>
          <w:rFonts w:hint="eastAsia" w:hAnsi="宋体" w:eastAsia="宋体" w:cs="宋体"/>
          <w:color w:val="auto"/>
          <w:highlight w:val="none"/>
          <w:lang w:val="en-US" w:eastAsia="zh-CN" w:bidi="ar-SA"/>
        </w:rPr>
        <w:t>第7章 政府采购合同</w:t>
      </w:r>
      <w:bookmarkEnd w:id="1064"/>
      <w:bookmarkEnd w:id="1066"/>
      <w:bookmarkEnd w:id="1067"/>
      <w:bookmarkEnd w:id="1068"/>
      <w:bookmarkEnd w:id="1069"/>
      <w:bookmarkEnd w:id="1070"/>
      <w:bookmarkEnd w:id="1071"/>
      <w:bookmarkStart w:id="1072" w:name="_Toc216513788"/>
      <w:bookmarkEnd w:id="1072"/>
      <w:bookmarkStart w:id="1073" w:name="_Toc487900382"/>
      <w:bookmarkEnd w:id="1073"/>
      <w:bookmarkStart w:id="1074" w:name="_Hlt487972895"/>
      <w:bookmarkEnd w:id="1074"/>
    </w:p>
    <w:p>
      <w:pPr>
        <w:spacing w:line="4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p>
    <w:p>
      <w:pPr>
        <w:spacing w:line="400" w:lineRule="exact"/>
        <w:jc w:val="center"/>
        <w:rPr>
          <w:rFonts w:hint="eastAsia" w:ascii="宋体" w:hAnsi="宋体" w:eastAsia="宋体" w:cs="宋体"/>
          <w:b/>
          <w:color w:val="auto"/>
          <w:sz w:val="28"/>
          <w:szCs w:val="28"/>
          <w:highlight w:val="none"/>
        </w:rPr>
      </w:pPr>
    </w:p>
    <w:p>
      <w:pPr>
        <w:spacing w:line="400" w:lineRule="exact"/>
        <w:jc w:val="center"/>
        <w:rPr>
          <w:rFonts w:hint="eastAsia" w:ascii="宋体" w:hAnsi="宋体" w:eastAsia="宋体" w:cs="宋体"/>
          <w:b/>
          <w:color w:val="auto"/>
          <w:sz w:val="28"/>
          <w:szCs w:val="28"/>
          <w:highlight w:val="none"/>
        </w:rPr>
      </w:pPr>
    </w:p>
    <w:p>
      <w:pPr>
        <w:spacing w:line="500" w:lineRule="exact"/>
        <w:jc w:val="center"/>
        <w:rPr>
          <w:rFonts w:hint="eastAsia" w:ascii="宋体" w:hAnsi="宋体" w:eastAsia="宋体" w:cs="宋体"/>
          <w:b/>
          <w:color w:val="auto"/>
          <w:sz w:val="28"/>
          <w:szCs w:val="28"/>
          <w:highlight w:val="none"/>
        </w:rPr>
      </w:pPr>
    </w:p>
    <w:p>
      <w:pPr>
        <w:spacing w:line="50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政府采购合同参考范本</w:t>
      </w:r>
    </w:p>
    <w:p>
      <w:pPr>
        <w:spacing w:line="5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（服务类）</w:t>
      </w:r>
    </w:p>
    <w:p>
      <w:pPr>
        <w:pStyle w:val="54"/>
        <w:spacing w:line="400" w:lineRule="exact"/>
        <w:ind w:firstLine="0"/>
        <w:rPr>
          <w:rFonts w:hint="eastAsia" w:ascii="宋体" w:hAnsi="宋体" w:eastAsia="宋体" w:cs="宋体"/>
          <w:color w:val="auto"/>
          <w:szCs w:val="24"/>
          <w:highlight w:val="none"/>
        </w:rPr>
      </w:pPr>
    </w:p>
    <w:p>
      <w:pPr>
        <w:pStyle w:val="54"/>
        <w:spacing w:line="400" w:lineRule="exact"/>
        <w:ind w:firstLine="0"/>
        <w:rPr>
          <w:rFonts w:hint="eastAsia" w:ascii="宋体" w:hAnsi="宋体" w:eastAsia="宋体" w:cs="宋体"/>
          <w:color w:val="auto"/>
          <w:szCs w:val="24"/>
          <w:highlight w:val="none"/>
        </w:rPr>
      </w:pPr>
    </w:p>
    <w:p>
      <w:pPr>
        <w:pStyle w:val="54"/>
        <w:spacing w:line="400" w:lineRule="exact"/>
        <w:ind w:firstLine="0"/>
        <w:rPr>
          <w:rFonts w:hint="eastAsia" w:ascii="宋体" w:hAnsi="宋体" w:eastAsia="宋体" w:cs="宋体"/>
          <w:color w:val="auto"/>
          <w:szCs w:val="24"/>
          <w:highlight w:val="none"/>
        </w:rPr>
      </w:pPr>
    </w:p>
    <w:p>
      <w:pPr>
        <w:pStyle w:val="54"/>
        <w:spacing w:line="400" w:lineRule="exact"/>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第一部分 合同书</w:t>
      </w:r>
    </w:p>
    <w:p>
      <w:pPr>
        <w:pStyle w:val="54"/>
        <w:spacing w:line="400" w:lineRule="exact"/>
        <w:ind w:firstLine="0"/>
        <w:rPr>
          <w:rFonts w:hint="eastAsia" w:ascii="宋体" w:hAnsi="宋体" w:eastAsia="宋体" w:cs="宋体"/>
          <w:color w:val="auto"/>
          <w:szCs w:val="24"/>
          <w:highlight w:val="none"/>
        </w:rPr>
      </w:pPr>
    </w:p>
    <w:p>
      <w:pPr>
        <w:pStyle w:val="54"/>
        <w:spacing w:line="400" w:lineRule="exact"/>
        <w:ind w:firstLine="0"/>
        <w:rPr>
          <w:rFonts w:hint="eastAsia" w:ascii="宋体" w:hAnsi="宋体" w:eastAsia="宋体" w:cs="宋体"/>
          <w:color w:val="auto"/>
          <w:szCs w:val="24"/>
          <w:highlight w:val="none"/>
        </w:rPr>
      </w:pPr>
    </w:p>
    <w:p>
      <w:pPr>
        <w:spacing w:before="120" w:line="400" w:lineRule="exact"/>
        <w:rPr>
          <w:rFonts w:hint="eastAsia" w:ascii="宋体" w:hAnsi="宋体" w:eastAsia="宋体" w:cs="宋体"/>
          <w:color w:val="auto"/>
          <w:sz w:val="24"/>
          <w:highlight w:val="none"/>
        </w:rPr>
      </w:pPr>
    </w:p>
    <w:p>
      <w:pPr>
        <w:spacing w:before="120" w:line="400" w:lineRule="exac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pStyle w:val="55"/>
        <w:spacing w:before="120" w:line="400" w:lineRule="exact"/>
        <w:rPr>
          <w:rFonts w:hint="eastAsia" w:ascii="宋体" w:hAnsi="宋体" w:eastAsia="宋体" w:cs="宋体"/>
          <w:color w:val="auto"/>
          <w:szCs w:val="24"/>
          <w:highlight w:val="none"/>
        </w:rPr>
      </w:pPr>
    </w:p>
    <w:p>
      <w:pPr>
        <w:spacing w:line="400" w:lineRule="exact"/>
        <w:rPr>
          <w:rFonts w:hint="eastAsia" w:ascii="宋体" w:hAnsi="宋体" w:eastAsia="宋体" w:cs="宋体"/>
          <w:color w:val="auto"/>
          <w:highlight w:val="none"/>
        </w:rPr>
      </w:pPr>
    </w:p>
    <w:p>
      <w:pPr>
        <w:spacing w:before="120" w:line="400" w:lineRule="exac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p>
    <w:p>
      <w:pPr>
        <w:spacing w:before="120" w:line="400" w:lineRule="exact"/>
        <w:rPr>
          <w:rFonts w:hint="eastAsia" w:ascii="宋体" w:hAnsi="宋体" w:eastAsia="宋体" w:cs="宋体"/>
          <w:color w:val="auto"/>
          <w:sz w:val="24"/>
          <w:highlight w:val="none"/>
        </w:rPr>
      </w:pPr>
    </w:p>
    <w:p>
      <w:pPr>
        <w:spacing w:before="120" w:line="400" w:lineRule="exac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p>
    <w:p>
      <w:pPr>
        <w:spacing w:before="120" w:line="400" w:lineRule="exact"/>
        <w:rPr>
          <w:rFonts w:hint="eastAsia" w:ascii="宋体" w:hAnsi="宋体" w:eastAsia="宋体" w:cs="宋体"/>
          <w:color w:val="auto"/>
          <w:sz w:val="24"/>
          <w:highlight w:val="none"/>
        </w:rPr>
      </w:pPr>
    </w:p>
    <w:p>
      <w:pPr>
        <w:spacing w:before="120" w:line="400" w:lineRule="exac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pPr>
        <w:spacing w:before="120" w:line="400" w:lineRule="exact"/>
        <w:rPr>
          <w:rFonts w:hint="eastAsia" w:ascii="宋体" w:hAnsi="宋体" w:eastAsia="宋体" w:cs="宋体"/>
          <w:color w:val="auto"/>
          <w:sz w:val="24"/>
          <w:highlight w:val="none"/>
        </w:rPr>
      </w:pPr>
    </w:p>
    <w:p>
      <w:pPr>
        <w:spacing w:before="120" w:line="400" w:lineRule="exac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autoSpaceDE w:val="0"/>
        <w:autoSpaceDN w:val="0"/>
        <w:adjustRightInd w:val="0"/>
        <w:spacing w:line="400" w:lineRule="exact"/>
        <w:ind w:firstLine="640"/>
        <w:jc w:val="center"/>
        <w:rPr>
          <w:rFonts w:hint="eastAsia" w:ascii="宋体" w:hAnsi="宋体" w:eastAsia="宋体" w:cs="宋体"/>
          <w:color w:val="auto"/>
          <w:sz w:val="24"/>
          <w:highlight w:val="none"/>
        </w:rPr>
        <w:sectPr>
          <w:headerReference r:id="rId10" w:type="first"/>
          <w:footerReference r:id="rId13" w:type="first"/>
          <w:footerReference r:id="rId11" w:type="default"/>
          <w:headerReference r:id="rId9" w:type="even"/>
          <w:footerReference r:id="rId12" w:type="even"/>
          <w:pgSz w:w="11907" w:h="16840"/>
          <w:pgMar w:top="1474" w:right="1814" w:bottom="1474" w:left="1814" w:header="851" w:footer="851" w:gutter="0"/>
          <w:pgNumType w:fmt="decimal"/>
          <w:cols w:space="720" w:num="1"/>
          <w:docGrid w:linePitch="462" w:charSpace="0"/>
        </w:sectPr>
      </w:pP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（政府采购方式）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（同前页项目名称）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（成交供应商名称） </w:t>
      </w:r>
      <w:r>
        <w:rPr>
          <w:rFonts w:hint="eastAsia" w:ascii="宋体" w:hAnsi="宋体" w:eastAsia="宋体" w:cs="宋体"/>
          <w:color w:val="auto"/>
          <w:sz w:val="24"/>
          <w:highlight w:val="none"/>
        </w:rPr>
        <w:t>为该项目成交供应商。现于成交通知书发出之日起三十日内，按照采购文件确定的事项签订本合同。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（成交供应商名称）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pPr>
        <w:spacing w:line="400" w:lineRule="exact"/>
        <w:ind w:firstLine="482" w:firstLineChars="200"/>
        <w:outlineLvl w:val="0"/>
        <w:rPr>
          <w:rFonts w:hint="eastAsia" w:ascii="宋体" w:hAnsi="宋体" w:eastAsia="宋体" w:cs="宋体"/>
          <w:color w:val="auto"/>
          <w:sz w:val="24"/>
          <w:highlight w:val="none"/>
        </w:rPr>
      </w:pPr>
      <w:bookmarkStart w:id="1075" w:name="_Toc19273"/>
      <w:bookmarkStart w:id="1076" w:name="_Toc25829"/>
      <w:bookmarkStart w:id="1077" w:name="_Toc20421"/>
      <w:bookmarkStart w:id="1078" w:name="_Toc5753"/>
      <w:bookmarkStart w:id="1079" w:name="_Toc20041"/>
      <w:bookmarkStart w:id="1080" w:name="_Toc369"/>
      <w:bookmarkStart w:id="1081" w:name="_Toc1880"/>
      <w:bookmarkStart w:id="1082" w:name="_Toc32571"/>
      <w:bookmarkStart w:id="1083" w:name="_Toc18383"/>
      <w:bookmarkStart w:id="1084" w:name="_Toc3665"/>
      <w:bookmarkStart w:id="1085" w:name="_Toc13594"/>
      <w:bookmarkStart w:id="1086" w:name="_Toc15838"/>
      <w:bookmarkStart w:id="1087" w:name="_Toc11864"/>
      <w:bookmarkStart w:id="1088" w:name="_Toc20013"/>
      <w:bookmarkStart w:id="1089" w:name="_Toc1256"/>
      <w:bookmarkStart w:id="1090" w:name="_Toc15367"/>
      <w:bookmarkStart w:id="1091" w:name="_Toc28855"/>
      <w:bookmarkStart w:id="1092" w:name="_Toc23100"/>
      <w:bookmarkStart w:id="1093" w:name="_Toc20566"/>
      <w:bookmarkStart w:id="1094" w:name="_Toc8106"/>
      <w:bookmarkStart w:id="1095" w:name="_Toc27523"/>
      <w:r>
        <w:rPr>
          <w:rFonts w:hint="eastAsia" w:ascii="宋体" w:hAnsi="宋体" w:eastAsia="宋体" w:cs="宋体"/>
          <w:b/>
          <w:color w:val="auto"/>
          <w:sz w:val="24"/>
          <w:highlight w:val="none"/>
        </w:rPr>
        <w:t>1.1 合同组成部分</w:t>
      </w:r>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lang w:val="en-US" w:eastAsia="zh-CN"/>
        </w:rPr>
        <w:t>中标</w:t>
      </w:r>
      <w:r>
        <w:rPr>
          <w:rFonts w:hint="eastAsia" w:ascii="宋体" w:hAnsi="宋体" w:eastAsia="宋体" w:cs="宋体"/>
          <w:color w:val="auto"/>
          <w:sz w:val="24"/>
          <w:highlight w:val="none"/>
        </w:rPr>
        <w:t>通知书；</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1.1.3 </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文件（含澄清或者说明文件）；</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1.1.4 </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文件（含澄清或者修改文件）；</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pPr>
        <w:spacing w:line="400" w:lineRule="exact"/>
        <w:ind w:firstLine="482" w:firstLineChars="200"/>
        <w:outlineLvl w:val="0"/>
        <w:rPr>
          <w:rFonts w:hint="eastAsia" w:ascii="宋体" w:hAnsi="宋体" w:eastAsia="宋体" w:cs="宋体"/>
          <w:b/>
          <w:color w:val="auto"/>
          <w:sz w:val="24"/>
          <w:highlight w:val="none"/>
        </w:rPr>
      </w:pPr>
      <w:bookmarkStart w:id="1096" w:name="_Toc6311"/>
      <w:bookmarkStart w:id="1097" w:name="_Toc538"/>
      <w:bookmarkStart w:id="1098" w:name="_Toc2918"/>
      <w:bookmarkStart w:id="1099" w:name="_Toc22185"/>
      <w:bookmarkStart w:id="1100" w:name="_Toc18571"/>
      <w:bookmarkStart w:id="1101" w:name="_Toc31498"/>
      <w:bookmarkStart w:id="1102" w:name="_Toc18585"/>
      <w:bookmarkStart w:id="1103" w:name="_Toc27911"/>
      <w:bookmarkStart w:id="1104" w:name="_Toc30602"/>
      <w:bookmarkStart w:id="1105" w:name="_Toc15369"/>
      <w:bookmarkStart w:id="1106" w:name="_Toc5955"/>
      <w:bookmarkStart w:id="1107" w:name="_Toc23058"/>
      <w:bookmarkStart w:id="1108" w:name="_Toc1090"/>
      <w:bookmarkStart w:id="1109" w:name="_Toc22828"/>
      <w:bookmarkStart w:id="1110" w:name="_Toc25426"/>
      <w:bookmarkStart w:id="1111" w:name="_Toc6773"/>
      <w:bookmarkStart w:id="1112" w:name="_Toc23275"/>
      <w:bookmarkStart w:id="1113" w:name="_Toc12685"/>
      <w:bookmarkStart w:id="1114" w:name="_Toc15104"/>
      <w:bookmarkStart w:id="1115" w:name="_Toc24493"/>
      <w:bookmarkStart w:id="1116" w:name="_Toc6313"/>
      <w:bookmarkStart w:id="1117" w:name="_Toc1944"/>
      <w:r>
        <w:rPr>
          <w:rFonts w:hint="eastAsia" w:ascii="宋体" w:hAnsi="宋体" w:eastAsia="宋体" w:cs="宋体"/>
          <w:b/>
          <w:color w:val="auto"/>
          <w:sz w:val="24"/>
          <w:highlight w:val="none"/>
        </w:rPr>
        <w:t>1.2 标的</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p>
    <w:p>
      <w:pPr>
        <w:spacing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 标的名称：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 标的数量：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 标的质量：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2" w:firstLineChars="200"/>
        <w:outlineLvl w:val="0"/>
        <w:rPr>
          <w:rFonts w:hint="eastAsia" w:ascii="宋体" w:hAnsi="宋体" w:eastAsia="宋体" w:cs="宋体"/>
          <w:b/>
          <w:color w:val="auto"/>
          <w:sz w:val="24"/>
          <w:highlight w:val="none"/>
        </w:rPr>
      </w:pPr>
      <w:bookmarkStart w:id="1118" w:name="_Toc23906"/>
      <w:bookmarkStart w:id="1119" w:name="_Toc30626"/>
      <w:bookmarkStart w:id="1120" w:name="_Toc13554"/>
      <w:bookmarkStart w:id="1121" w:name="_Toc5635"/>
      <w:bookmarkStart w:id="1122" w:name="_Toc23026"/>
      <w:bookmarkStart w:id="1123" w:name="_Toc13512"/>
      <w:bookmarkStart w:id="1124" w:name="_Toc10671"/>
      <w:bookmarkStart w:id="1125" w:name="_Toc4932"/>
      <w:bookmarkStart w:id="1126" w:name="_Toc23519"/>
      <w:bookmarkStart w:id="1127" w:name="_Toc27077"/>
      <w:bookmarkStart w:id="1128" w:name="_Toc26191"/>
      <w:bookmarkStart w:id="1129" w:name="_Toc32314"/>
      <w:bookmarkStart w:id="1130" w:name="_Toc1386"/>
      <w:bookmarkStart w:id="1131" w:name="_Toc17541"/>
      <w:bookmarkStart w:id="1132" w:name="_Toc14890"/>
      <w:bookmarkStart w:id="1133" w:name="_Toc4687"/>
      <w:bookmarkStart w:id="1134" w:name="_Toc13918"/>
      <w:bookmarkStart w:id="1135" w:name="_Toc28143"/>
      <w:bookmarkStart w:id="1136" w:name="_Toc2888"/>
      <w:bookmarkStart w:id="1137" w:name="_Toc4929"/>
      <w:bookmarkStart w:id="1138" w:name="_Toc21124"/>
      <w:bookmarkStart w:id="1139" w:name="_Toc20934"/>
      <w:r>
        <w:rPr>
          <w:rFonts w:hint="eastAsia" w:ascii="宋体" w:hAnsi="宋体" w:eastAsia="宋体" w:cs="宋体"/>
          <w:b/>
          <w:color w:val="auto"/>
          <w:sz w:val="24"/>
          <w:highlight w:val="none"/>
        </w:rPr>
        <w:t>1.3 价款</w:t>
      </w:r>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pPr>
        <w:spacing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26"/>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6"/>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340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分项名称</w:t>
            </w:r>
          </w:p>
        </w:tc>
        <w:tc>
          <w:tcPr>
            <w:tcW w:w="2552" w:type="dxa"/>
            <w:vAlign w:val="center"/>
          </w:tcPr>
          <w:p>
            <w:pPr>
              <w:pStyle w:val="56"/>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c>
          <w:tcPr>
            <w:tcW w:w="340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c>
          <w:tcPr>
            <w:tcW w:w="255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c>
          <w:tcPr>
            <w:tcW w:w="340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c>
          <w:tcPr>
            <w:tcW w:w="255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c>
          <w:tcPr>
            <w:tcW w:w="340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c>
          <w:tcPr>
            <w:tcW w:w="255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c>
          <w:tcPr>
            <w:tcW w:w="340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c>
          <w:tcPr>
            <w:tcW w:w="255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56"/>
              <w:spacing w:line="40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总价</w:t>
            </w:r>
          </w:p>
        </w:tc>
        <w:tc>
          <w:tcPr>
            <w:tcW w:w="255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r>
    </w:tbl>
    <w:p>
      <w:pPr>
        <w:spacing w:line="400" w:lineRule="exact"/>
        <w:ind w:firstLine="482" w:firstLineChars="200"/>
        <w:outlineLvl w:val="0"/>
        <w:rPr>
          <w:rFonts w:hint="eastAsia" w:ascii="宋体" w:hAnsi="宋体" w:eastAsia="宋体" w:cs="宋体"/>
          <w:b/>
          <w:color w:val="auto"/>
          <w:sz w:val="24"/>
          <w:highlight w:val="none"/>
        </w:rPr>
      </w:pPr>
      <w:bookmarkStart w:id="1140" w:name="_Toc20462"/>
      <w:bookmarkStart w:id="1141" w:name="_Toc32305"/>
      <w:bookmarkStart w:id="1142" w:name="_Toc19221"/>
      <w:bookmarkStart w:id="1143" w:name="_Toc30158"/>
      <w:bookmarkStart w:id="1144" w:name="_Toc7832"/>
      <w:bookmarkStart w:id="1145" w:name="_Toc25910"/>
      <w:bookmarkStart w:id="1146" w:name="_Toc21059"/>
      <w:bookmarkStart w:id="1147" w:name="_Toc29059"/>
      <w:bookmarkStart w:id="1148" w:name="_Toc28219"/>
      <w:bookmarkStart w:id="1149" w:name="_Toc30506"/>
      <w:bookmarkStart w:id="1150" w:name="_Toc2559"/>
      <w:bookmarkStart w:id="1151" w:name="_Toc19143"/>
      <w:bookmarkStart w:id="1152" w:name="_Toc17855"/>
      <w:bookmarkStart w:id="1153" w:name="_Toc29083"/>
      <w:bookmarkStart w:id="1154" w:name="_Toc14493"/>
      <w:bookmarkStart w:id="1155" w:name="_Toc14993"/>
      <w:bookmarkStart w:id="1156" w:name="_Toc3654"/>
      <w:bookmarkStart w:id="1157" w:name="_Toc8041"/>
      <w:bookmarkStart w:id="1158" w:name="_Toc23173"/>
      <w:bookmarkStart w:id="1159" w:name="_Toc6998"/>
      <w:bookmarkStart w:id="1160" w:name="_Toc26916"/>
      <w:bookmarkStart w:id="1161" w:name="_Toc18354"/>
      <w:r>
        <w:rPr>
          <w:rFonts w:hint="eastAsia" w:ascii="宋体" w:hAnsi="宋体" w:eastAsia="宋体" w:cs="宋体"/>
          <w:b/>
          <w:color w:val="auto"/>
          <w:sz w:val="24"/>
          <w:highlight w:val="none"/>
        </w:rPr>
        <w:t>1.4 付款方式和发票开具方式</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2" w:firstLineChars="200"/>
        <w:outlineLvl w:val="0"/>
        <w:rPr>
          <w:rFonts w:hint="eastAsia" w:ascii="宋体" w:hAnsi="宋体" w:eastAsia="宋体" w:cs="宋体"/>
          <w:b/>
          <w:color w:val="auto"/>
          <w:sz w:val="24"/>
          <w:highlight w:val="none"/>
        </w:rPr>
      </w:pPr>
      <w:bookmarkStart w:id="1162" w:name="_Toc3625"/>
      <w:bookmarkStart w:id="1163" w:name="_Toc19186"/>
      <w:bookmarkStart w:id="1164" w:name="_Toc3007"/>
      <w:bookmarkStart w:id="1165" w:name="_Toc28212"/>
      <w:bookmarkStart w:id="1166" w:name="_Toc6280"/>
      <w:bookmarkStart w:id="1167" w:name="_Toc4760"/>
      <w:bookmarkStart w:id="1168" w:name="_Toc20514"/>
      <w:bookmarkStart w:id="1169" w:name="_Toc23903"/>
      <w:bookmarkStart w:id="1170" w:name="_Toc24233"/>
      <w:bookmarkStart w:id="1171" w:name="_Toc32135"/>
      <w:bookmarkStart w:id="1172" w:name="_Toc4301"/>
      <w:bookmarkStart w:id="1173" w:name="_Toc103"/>
      <w:bookmarkStart w:id="1174" w:name="_Toc11108"/>
      <w:bookmarkStart w:id="1175" w:name="_Toc25762"/>
      <w:bookmarkStart w:id="1176" w:name="_Toc21606"/>
      <w:bookmarkStart w:id="1177" w:name="_Toc17889"/>
      <w:bookmarkStart w:id="1178" w:name="_Toc3251"/>
      <w:bookmarkStart w:id="1179" w:name="_Toc25174"/>
      <w:bookmarkStart w:id="1180" w:name="_Toc12261"/>
      <w:bookmarkStart w:id="1181" w:name="_Toc31421"/>
      <w:bookmarkStart w:id="1182" w:name="_Toc8772"/>
      <w:bookmarkStart w:id="1183" w:name="_Toc321"/>
      <w:r>
        <w:rPr>
          <w:rFonts w:hint="eastAsia" w:ascii="宋体" w:hAnsi="宋体" w:eastAsia="宋体" w:cs="宋体"/>
          <w:b/>
          <w:color w:val="auto"/>
          <w:sz w:val="24"/>
          <w:highlight w:val="none"/>
        </w:rPr>
        <w:t>1.5 履行期限、地点和方式</w:t>
      </w:r>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p>
    <w:p>
      <w:pPr>
        <w:spacing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 履行期限：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履行地点：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履行方式：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2" w:firstLineChars="200"/>
        <w:outlineLvl w:val="0"/>
        <w:rPr>
          <w:rFonts w:hint="eastAsia" w:ascii="宋体" w:hAnsi="宋体" w:eastAsia="宋体" w:cs="宋体"/>
          <w:color w:val="auto"/>
          <w:sz w:val="24"/>
          <w:highlight w:val="none"/>
          <w:u w:val="single"/>
        </w:rPr>
      </w:pPr>
      <w:bookmarkStart w:id="1184" w:name="_Toc22963"/>
      <w:bookmarkStart w:id="1185" w:name="_Toc30025"/>
      <w:bookmarkStart w:id="1186" w:name="_Toc18326"/>
      <w:bookmarkStart w:id="1187" w:name="_Toc25461"/>
      <w:bookmarkStart w:id="1188" w:name="_Toc10490"/>
      <w:bookmarkStart w:id="1189" w:name="_Toc27990"/>
      <w:bookmarkStart w:id="1190" w:name="_Toc3079"/>
      <w:bookmarkStart w:id="1191" w:name="_Toc16708"/>
      <w:bookmarkStart w:id="1192" w:name="_Toc18474"/>
      <w:bookmarkStart w:id="1193" w:name="_Toc5698"/>
      <w:bookmarkStart w:id="1194" w:name="_Toc15275"/>
      <w:bookmarkStart w:id="1195" w:name="_Toc3290"/>
      <w:bookmarkStart w:id="1196" w:name="_Toc5418"/>
      <w:bookmarkStart w:id="1197" w:name="_Toc24662"/>
      <w:bookmarkStart w:id="1198" w:name="_Toc25242"/>
      <w:bookmarkStart w:id="1199" w:name="_Toc12514"/>
      <w:bookmarkStart w:id="1200" w:name="_Toc5863"/>
      <w:bookmarkStart w:id="1201" w:name="_Toc8586"/>
      <w:bookmarkStart w:id="1202" w:name="_Toc4642"/>
      <w:bookmarkStart w:id="1203" w:name="_Toc2375"/>
      <w:bookmarkStart w:id="1204" w:name="_Toc11086"/>
      <w:r>
        <w:rPr>
          <w:rFonts w:hint="eastAsia" w:ascii="宋体" w:hAnsi="宋体" w:eastAsia="宋体" w:cs="宋体"/>
          <w:b/>
          <w:color w:val="auto"/>
          <w:sz w:val="24"/>
          <w:highlight w:val="none"/>
        </w:rPr>
        <w:t>1.6 违约责任</w:t>
      </w:r>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%；迟延履行的违约金计算数额达到前述最高限额之日起，甲方有权在要求乙方支付违约金的同时，书面通知乙方解除本合同；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如果出现政府采购监督管理部门在处理投诉事项期间，书面通知甲方暂停采购活动的情形，或者询问或质疑事项可能影响成交结果的，导致甲方中止履行合同的情形，均不视为甲方违约。</w:t>
      </w:r>
    </w:p>
    <w:p>
      <w:pPr>
        <w:spacing w:line="400" w:lineRule="exact"/>
        <w:ind w:firstLine="482" w:firstLineChars="200"/>
        <w:outlineLvl w:val="0"/>
        <w:rPr>
          <w:rFonts w:hint="eastAsia" w:ascii="宋体" w:hAnsi="宋体" w:eastAsia="宋体" w:cs="宋体"/>
          <w:b/>
          <w:color w:val="auto"/>
          <w:sz w:val="24"/>
          <w:highlight w:val="none"/>
        </w:rPr>
      </w:pPr>
      <w:bookmarkStart w:id="1205" w:name="_Toc3964"/>
      <w:bookmarkStart w:id="1206" w:name="_Toc16127"/>
      <w:bookmarkStart w:id="1207" w:name="_Toc26807"/>
      <w:bookmarkStart w:id="1208" w:name="_Toc21818"/>
      <w:bookmarkStart w:id="1209" w:name="_Toc24165"/>
      <w:bookmarkStart w:id="1210" w:name="_Toc10575"/>
      <w:bookmarkStart w:id="1211" w:name="_Toc13358"/>
      <w:bookmarkStart w:id="1212" w:name="_Toc32454"/>
      <w:bookmarkStart w:id="1213" w:name="_Toc14940"/>
      <w:bookmarkStart w:id="1214" w:name="_Toc4563"/>
      <w:bookmarkStart w:id="1215" w:name="_Toc9782"/>
      <w:bookmarkStart w:id="1216" w:name="_Toc23069"/>
      <w:bookmarkStart w:id="1217" w:name="_Toc13634"/>
      <w:bookmarkStart w:id="1218" w:name="_Toc4448"/>
      <w:bookmarkStart w:id="1219" w:name="_Toc12954"/>
      <w:bookmarkStart w:id="1220" w:name="_Toc9497"/>
      <w:bookmarkStart w:id="1221" w:name="_Toc5695"/>
      <w:bookmarkStart w:id="1222" w:name="_Toc30329"/>
      <w:bookmarkStart w:id="1223" w:name="_Toc18683"/>
      <w:bookmarkStart w:id="1224" w:name="_Toc22280"/>
      <w:bookmarkStart w:id="1225" w:name="_Toc774"/>
      <w:bookmarkStart w:id="1226" w:name="_Toc28396"/>
      <w:r>
        <w:rPr>
          <w:rFonts w:hint="eastAsia" w:ascii="宋体" w:hAnsi="宋体" w:eastAsia="宋体" w:cs="宋体"/>
          <w:b/>
          <w:color w:val="auto"/>
          <w:sz w:val="24"/>
          <w:highlight w:val="none"/>
        </w:rPr>
        <w:t>1.7 合同争议的解决</w:t>
      </w:r>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仲裁委员会依申请仲裁时其现行有效的仲裁规则裁决；</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highlight w:val="none"/>
        </w:rPr>
        <w:t>人民法院起诉。</w:t>
      </w:r>
    </w:p>
    <w:p>
      <w:pPr>
        <w:spacing w:line="400" w:lineRule="exact"/>
        <w:ind w:firstLine="482" w:firstLineChars="200"/>
        <w:outlineLvl w:val="0"/>
        <w:rPr>
          <w:rFonts w:hint="eastAsia" w:ascii="宋体" w:hAnsi="宋体" w:eastAsia="宋体" w:cs="宋体"/>
          <w:b/>
          <w:color w:val="auto"/>
          <w:sz w:val="24"/>
          <w:highlight w:val="none"/>
        </w:rPr>
      </w:pPr>
      <w:bookmarkStart w:id="1227" w:name="_Toc14204"/>
      <w:bookmarkStart w:id="1228" w:name="_Toc16417"/>
      <w:bookmarkStart w:id="1229" w:name="_Toc1472"/>
      <w:bookmarkStart w:id="1230" w:name="_Toc18071"/>
      <w:bookmarkStart w:id="1231" w:name="_Toc10526"/>
      <w:bookmarkStart w:id="1232" w:name="_Toc20156"/>
      <w:bookmarkStart w:id="1233" w:name="_Toc23784"/>
      <w:bookmarkStart w:id="1234" w:name="_Toc1048"/>
      <w:bookmarkStart w:id="1235" w:name="_Toc12273"/>
      <w:bookmarkStart w:id="1236" w:name="_Toc32664"/>
      <w:bookmarkStart w:id="1237" w:name="_Toc17508"/>
      <w:bookmarkStart w:id="1238" w:name="_Toc6048"/>
      <w:bookmarkStart w:id="1239" w:name="_Toc8068"/>
      <w:bookmarkStart w:id="1240" w:name="_Toc15827"/>
      <w:bookmarkStart w:id="1241" w:name="_Toc13173"/>
      <w:bookmarkStart w:id="1242" w:name="_Toc13186"/>
      <w:bookmarkStart w:id="1243" w:name="_Toc26227"/>
      <w:bookmarkStart w:id="1244" w:name="_Toc6707"/>
      <w:bookmarkStart w:id="1245" w:name="_Toc24988"/>
      <w:bookmarkStart w:id="1246" w:name="_Toc4542"/>
      <w:bookmarkStart w:id="1247" w:name="_Toc5677"/>
      <w:bookmarkStart w:id="1248" w:name="_Toc19697"/>
      <w:r>
        <w:rPr>
          <w:rFonts w:hint="eastAsia" w:ascii="宋体" w:hAnsi="宋体" w:eastAsia="宋体" w:cs="宋体"/>
          <w:b/>
          <w:color w:val="auto"/>
          <w:sz w:val="24"/>
          <w:highlight w:val="none"/>
        </w:rPr>
        <w:t>1.8 合同生效</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p>
    <w:p>
      <w:pPr>
        <w:spacing w:line="40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本合同自双方当事人盖章或者签字时生效。</w:t>
      </w:r>
    </w:p>
    <w:p>
      <w:pPr>
        <w:autoSpaceDE w:val="0"/>
        <w:autoSpaceDN w:val="0"/>
        <w:adjustRightInd w:val="0"/>
        <w:spacing w:line="400" w:lineRule="exact"/>
        <w:rPr>
          <w:rFonts w:hint="eastAsia" w:ascii="宋体" w:hAnsi="宋体" w:eastAsia="宋体" w:cs="宋体"/>
          <w:color w:val="auto"/>
          <w:sz w:val="24"/>
          <w:highlight w:val="none"/>
          <w:lang w:val="zh-CN"/>
        </w:rPr>
      </w:pP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甲方</w:t>
      </w:r>
      <w:r>
        <w:rPr>
          <w:rFonts w:hint="eastAsia" w:ascii="宋体" w:hAnsi="宋体" w:eastAsia="宋体" w:cs="宋体"/>
          <w:color w:val="auto"/>
          <w:sz w:val="24"/>
          <w:highlight w:val="none"/>
          <w:lang w:val="zh-CN"/>
        </w:rPr>
        <w:t xml:space="preserve">：                             </w:t>
      </w:r>
      <w:r>
        <w:rPr>
          <w:rFonts w:hint="eastAsia" w:ascii="宋体" w:hAnsi="宋体" w:eastAsia="宋体" w:cs="宋体"/>
          <w:b/>
          <w:color w:val="auto"/>
          <w:sz w:val="24"/>
          <w:highlight w:val="none"/>
          <w:lang w:val="zh-CN"/>
        </w:rPr>
        <w:t xml:space="preserve">      乙方</w:t>
      </w:r>
      <w:r>
        <w:rPr>
          <w:rFonts w:hint="eastAsia" w:ascii="宋体" w:hAnsi="宋体" w:eastAsia="宋体" w:cs="宋体"/>
          <w:color w:val="auto"/>
          <w:sz w:val="24"/>
          <w:highlight w:val="none"/>
          <w:lang w:val="zh-CN"/>
        </w:rPr>
        <w:t>：</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pPr>
        <w:autoSpaceDE w:val="0"/>
        <w:autoSpaceDN w:val="0"/>
        <w:adjustRightInd w:val="0"/>
        <w:spacing w:line="400" w:lineRule="exact"/>
        <w:rPr>
          <w:rFonts w:hint="eastAsia" w:ascii="宋体" w:hAnsi="宋体" w:eastAsia="宋体" w:cs="宋体"/>
          <w:color w:val="auto"/>
          <w:sz w:val="24"/>
          <w:highlight w:val="none"/>
          <w:lang w:val="zh-CN"/>
        </w:rPr>
      </w:pP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                        或授权代表（签字）: </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pPr>
        <w:autoSpaceDE w:val="0"/>
        <w:autoSpaceDN w:val="0"/>
        <w:adjustRightIn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pPr>
        <w:autoSpaceDE w:val="0"/>
        <w:autoSpaceDN w:val="0"/>
        <w:adjustRightIn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pPr>
        <w:autoSpaceDE w:val="0"/>
        <w:autoSpaceDN w:val="0"/>
        <w:adjustRightIn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pPr>
        <w:autoSpaceDE w:val="0"/>
        <w:autoSpaceDN w:val="0"/>
        <w:adjustRightIn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pPr>
        <w:widowControl/>
        <w:spacing w:line="400" w:lineRule="exact"/>
        <w:jc w:val="left"/>
        <w:rPr>
          <w:rFonts w:hint="eastAsia" w:ascii="宋体" w:hAnsi="宋体" w:eastAsia="宋体" w:cs="宋体"/>
          <w:b/>
          <w:color w:val="auto"/>
          <w:highlight w:val="none"/>
        </w:rPr>
      </w:pPr>
      <w:bookmarkStart w:id="1249" w:name="_Toc331685783"/>
    </w:p>
    <w:p>
      <w:pPr>
        <w:widowControl/>
        <w:spacing w:line="400" w:lineRule="exact"/>
        <w:jc w:val="left"/>
        <w:rPr>
          <w:rFonts w:hint="eastAsia" w:ascii="宋体" w:hAnsi="宋体" w:eastAsia="宋体" w:cs="宋体"/>
          <w:b/>
          <w:color w:val="auto"/>
          <w:highlight w:val="none"/>
        </w:rPr>
      </w:pPr>
    </w:p>
    <w:p>
      <w:pPr>
        <w:widowControl/>
        <w:spacing w:line="400" w:lineRule="exact"/>
        <w:jc w:val="left"/>
        <w:rPr>
          <w:rFonts w:hint="eastAsia" w:ascii="宋体" w:hAnsi="宋体" w:eastAsia="宋体" w:cs="宋体"/>
          <w:b/>
          <w:color w:val="auto"/>
          <w:kern w:val="0"/>
          <w:sz w:val="24"/>
          <w:highlight w:val="none"/>
        </w:rPr>
      </w:pPr>
    </w:p>
    <w:p>
      <w:pPr>
        <w:widowControl/>
        <w:spacing w:line="400" w:lineRule="exact"/>
        <w:jc w:val="left"/>
        <w:rPr>
          <w:rFonts w:hint="eastAsia" w:ascii="宋体" w:hAnsi="宋体" w:eastAsia="宋体" w:cs="宋体"/>
          <w:b/>
          <w:color w:val="auto"/>
          <w:kern w:val="0"/>
          <w:sz w:val="24"/>
          <w:highlight w:val="none"/>
        </w:rPr>
      </w:pPr>
    </w:p>
    <w:p>
      <w:pPr>
        <w:pStyle w:val="54"/>
        <w:spacing w:line="400" w:lineRule="exact"/>
        <w:ind w:firstLine="0"/>
        <w:jc w:val="both"/>
        <w:rPr>
          <w:rFonts w:hint="eastAsia" w:ascii="宋体" w:hAnsi="宋体" w:eastAsia="宋体" w:cs="宋体"/>
          <w:b/>
          <w:color w:val="auto"/>
          <w:szCs w:val="24"/>
          <w:highlight w:val="none"/>
        </w:rPr>
      </w:pPr>
    </w:p>
    <w:p>
      <w:pPr>
        <w:pStyle w:val="54"/>
        <w:spacing w:line="400" w:lineRule="exact"/>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第二部分 合同一般条款</w:t>
      </w:r>
      <w:bookmarkEnd w:id="1249"/>
    </w:p>
    <w:p>
      <w:pPr>
        <w:spacing w:line="400" w:lineRule="exact"/>
        <w:ind w:firstLine="482" w:firstLineChars="200"/>
        <w:outlineLvl w:val="0"/>
        <w:rPr>
          <w:rFonts w:hint="eastAsia" w:ascii="宋体" w:hAnsi="宋体" w:eastAsia="宋体" w:cs="宋体"/>
          <w:b/>
          <w:color w:val="auto"/>
          <w:sz w:val="24"/>
          <w:highlight w:val="none"/>
        </w:rPr>
      </w:pPr>
      <w:bookmarkStart w:id="1250" w:name="_Ref467379205"/>
      <w:bookmarkStart w:id="1251" w:name="_Toc3141"/>
      <w:bookmarkStart w:id="1252" w:name="_Toc279701240"/>
      <w:bookmarkStart w:id="1253" w:name="_Ref467379195"/>
      <w:bookmarkStart w:id="1254" w:name="_Toc17704"/>
      <w:bookmarkStart w:id="1255" w:name="_Ref467378404"/>
      <w:bookmarkStart w:id="1256" w:name="_Toc25079"/>
      <w:bookmarkStart w:id="1257" w:name="_Ref467379094"/>
      <w:bookmarkStart w:id="1258" w:name="_Toc21058"/>
      <w:bookmarkStart w:id="1259" w:name="_Toc13941"/>
      <w:bookmarkStart w:id="1260" w:name="_Ref467379225"/>
      <w:bookmarkStart w:id="1261" w:name="_Toc24354"/>
      <w:bookmarkStart w:id="1262" w:name="_Ref467379101"/>
      <w:bookmarkStart w:id="1263" w:name="_Toc487900349"/>
      <w:bookmarkStart w:id="1264" w:name="_Toc29074"/>
      <w:bookmarkStart w:id="1265" w:name="_Ref467379109"/>
      <w:bookmarkStart w:id="1266" w:name="_Toc28701"/>
      <w:bookmarkStart w:id="1267" w:name="_Ref467378463"/>
      <w:bookmarkStart w:id="1268" w:name="_Toc14021"/>
      <w:bookmarkStart w:id="1269" w:name="_Ref467379214"/>
      <w:bookmarkStart w:id="1270" w:name="_Ref467378499"/>
      <w:bookmarkStart w:id="1271" w:name="_Toc9585"/>
      <w:bookmarkStart w:id="1272" w:name="_Toc28840"/>
      <w:bookmarkStart w:id="1273" w:name="_Toc259093669"/>
      <w:bookmarkStart w:id="1274" w:name="_Toc5117"/>
      <w:bookmarkStart w:id="1275" w:name="_Toc29321"/>
      <w:bookmarkStart w:id="1276" w:name="_Toc5228"/>
      <w:bookmarkStart w:id="1277" w:name="_Toc19680"/>
      <w:bookmarkStart w:id="1278" w:name="_Toc29024"/>
      <w:bookmarkStart w:id="1279" w:name="_Toc16934"/>
      <w:bookmarkStart w:id="1280" w:name="_Toc10827"/>
      <w:bookmarkStart w:id="1281" w:name="_Toc25610"/>
      <w:bookmarkStart w:id="1282" w:name="_Toc31103"/>
      <w:bookmarkStart w:id="1283" w:name="_Toc31297"/>
      <w:bookmarkStart w:id="1284" w:name="_Toc11703"/>
      <w:r>
        <w:rPr>
          <w:rFonts w:hint="eastAsia" w:ascii="宋体" w:hAnsi="宋体" w:eastAsia="宋体" w:cs="宋体"/>
          <w:b/>
          <w:color w:val="auto"/>
          <w:sz w:val="24"/>
          <w:highlight w:val="none"/>
        </w:rPr>
        <w:t>2.1 定义</w:t>
      </w:r>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“合同”系指采购人和成交供应商签订的载明双方当事人所达成的协议，并包括所有的附件、附录和构成合同的其他文件。</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“合同价”系指根据合同约定，成交供应商在完全履行合同义务后，采购人应支付给成交供应商的价格。</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“服务”系指成交供应商根据合同约定应向采购人履行的除货物和工程以外的其他政府采购对象，包括采购人自身需要的服务和向社会公众提供的公共服务。</w:t>
      </w:r>
    </w:p>
    <w:p>
      <w:pPr>
        <w:spacing w:line="400" w:lineRule="exact"/>
        <w:ind w:firstLine="480" w:firstLineChars="200"/>
        <w:rPr>
          <w:rFonts w:hint="eastAsia" w:ascii="宋体" w:hAnsi="宋体" w:eastAsia="宋体" w:cs="宋体"/>
          <w:color w:val="auto"/>
          <w:sz w:val="24"/>
          <w:highlight w:val="none"/>
        </w:rPr>
      </w:pPr>
      <w:bookmarkStart w:id="1285" w:name="_Ref467378840"/>
      <w:r>
        <w:rPr>
          <w:rFonts w:hint="eastAsia" w:ascii="宋体" w:hAnsi="宋体" w:eastAsia="宋体" w:cs="宋体"/>
          <w:color w:val="auto"/>
          <w:sz w:val="24"/>
          <w:highlight w:val="none"/>
        </w:rPr>
        <w:t>2.1.4 “甲方”系指与成交供应商签署合同的采购人</w:t>
      </w:r>
      <w:bookmarkEnd w:id="1285"/>
      <w:r>
        <w:rPr>
          <w:rFonts w:hint="eastAsia" w:ascii="宋体" w:hAnsi="宋体" w:eastAsia="宋体" w:cs="宋体"/>
          <w:color w:val="auto"/>
          <w:sz w:val="24"/>
          <w:highlight w:val="none"/>
        </w:rPr>
        <w:t>；采购人委托采购代理机构代表其与乙方签订合同的，采购人的授权委托书作为合同附件。</w:t>
      </w:r>
    </w:p>
    <w:p>
      <w:pPr>
        <w:spacing w:line="400" w:lineRule="exact"/>
        <w:ind w:firstLine="480" w:firstLineChars="200"/>
        <w:rPr>
          <w:rFonts w:hint="eastAsia" w:ascii="宋体" w:hAnsi="宋体" w:eastAsia="宋体" w:cs="宋体"/>
          <w:color w:val="auto"/>
          <w:sz w:val="24"/>
          <w:highlight w:val="none"/>
        </w:rPr>
      </w:pPr>
      <w:bookmarkStart w:id="1286" w:name="_Ref467379400"/>
      <w:r>
        <w:rPr>
          <w:rFonts w:hint="eastAsia" w:ascii="宋体" w:hAnsi="宋体" w:eastAsia="宋体" w:cs="宋体"/>
          <w:color w:val="auto"/>
          <w:sz w:val="24"/>
          <w:highlight w:val="none"/>
        </w:rPr>
        <w:t>2.1.5 “乙方”系指根据合同约定提供服务的成交供应商</w:t>
      </w:r>
      <w:bookmarkEnd w:id="1286"/>
      <w:r>
        <w:rPr>
          <w:rFonts w:hint="eastAsia" w:ascii="宋体" w:hAnsi="宋体" w:eastAsia="宋体" w:cs="宋体"/>
          <w:color w:val="auto"/>
          <w:sz w:val="24"/>
          <w:highlight w:val="none"/>
        </w:rPr>
        <w:t>；两个以上的自然人、</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或者其他组织组成一个联合体，以一个供应商的身份共同参加政府采购的，联合体各方均应为乙方或者与乙方相同地位的合同当事人，并就合同约定的事项对甲方承担连带责任。</w:t>
      </w:r>
    </w:p>
    <w:p>
      <w:pPr>
        <w:spacing w:line="400" w:lineRule="exact"/>
        <w:ind w:firstLine="480" w:firstLineChars="200"/>
        <w:rPr>
          <w:rFonts w:hint="eastAsia" w:ascii="宋体" w:hAnsi="宋体" w:eastAsia="宋体" w:cs="宋体"/>
          <w:color w:val="auto"/>
          <w:sz w:val="24"/>
          <w:highlight w:val="none"/>
        </w:rPr>
      </w:pPr>
      <w:bookmarkStart w:id="1287" w:name="_Ref467379436"/>
      <w:r>
        <w:rPr>
          <w:rFonts w:hint="eastAsia" w:ascii="宋体" w:hAnsi="宋体" w:eastAsia="宋体" w:cs="宋体"/>
          <w:color w:val="auto"/>
          <w:sz w:val="24"/>
          <w:highlight w:val="none"/>
        </w:rPr>
        <w:t>2.1.6 “现场”系指合同约定提供服务的地点。</w:t>
      </w:r>
      <w:bookmarkEnd w:id="1287"/>
    </w:p>
    <w:p>
      <w:pPr>
        <w:spacing w:line="400" w:lineRule="exact"/>
        <w:ind w:firstLine="482" w:firstLineChars="200"/>
        <w:outlineLvl w:val="0"/>
        <w:rPr>
          <w:rFonts w:hint="eastAsia" w:ascii="宋体" w:hAnsi="宋体" w:eastAsia="宋体" w:cs="宋体"/>
          <w:b/>
          <w:color w:val="auto"/>
          <w:sz w:val="24"/>
          <w:highlight w:val="none"/>
        </w:rPr>
      </w:pPr>
      <w:bookmarkStart w:id="1288" w:name="_Toc279701241"/>
      <w:bookmarkStart w:id="1289" w:name="_Toc21140"/>
      <w:bookmarkStart w:id="1290" w:name="_Toc19539"/>
      <w:bookmarkStart w:id="1291" w:name="_Toc25980"/>
      <w:bookmarkStart w:id="1292" w:name="_Toc31402"/>
      <w:bookmarkStart w:id="1293" w:name="_Toc28811"/>
      <w:bookmarkStart w:id="1294" w:name="_Toc10249"/>
      <w:bookmarkStart w:id="1295" w:name="_Toc24501"/>
      <w:bookmarkStart w:id="1296" w:name="_Toc8861"/>
      <w:bookmarkStart w:id="1297" w:name="_Toc21068"/>
      <w:bookmarkStart w:id="1298" w:name="_Toc13884"/>
      <w:bookmarkStart w:id="1299" w:name="_Toc22493"/>
      <w:bookmarkStart w:id="1300" w:name="_Toc259093670"/>
      <w:bookmarkStart w:id="1301" w:name="_Toc3769"/>
      <w:bookmarkStart w:id="1302" w:name="_Toc15686"/>
      <w:bookmarkStart w:id="1303" w:name="_Toc16752"/>
      <w:bookmarkStart w:id="1304" w:name="_Toc21436"/>
      <w:bookmarkStart w:id="1305" w:name="_Toc487900350"/>
      <w:bookmarkStart w:id="1306" w:name="_Toc13639"/>
      <w:bookmarkStart w:id="1307" w:name="_Toc23289"/>
      <w:bookmarkStart w:id="1308" w:name="_Toc12973"/>
      <w:bookmarkStart w:id="1309" w:name="_Toc6001"/>
      <w:bookmarkStart w:id="1310" w:name="_Toc7411"/>
      <w:bookmarkStart w:id="1311" w:name="_Toc716"/>
      <w:bookmarkStart w:id="1312" w:name="_Toc31382"/>
      <w:r>
        <w:rPr>
          <w:rFonts w:hint="eastAsia" w:ascii="宋体" w:hAnsi="宋体" w:eastAsia="宋体" w:cs="宋体"/>
          <w:b/>
          <w:color w:val="auto"/>
          <w:sz w:val="24"/>
          <w:highlight w:val="none"/>
        </w:rPr>
        <w:t>2.2 技术规范</w:t>
      </w:r>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400" w:lineRule="exact"/>
        <w:ind w:firstLine="482" w:firstLineChars="200"/>
        <w:outlineLvl w:val="0"/>
        <w:rPr>
          <w:rFonts w:hint="eastAsia" w:ascii="宋体" w:hAnsi="宋体" w:eastAsia="宋体" w:cs="宋体"/>
          <w:b/>
          <w:color w:val="auto"/>
          <w:sz w:val="24"/>
          <w:highlight w:val="none"/>
        </w:rPr>
      </w:pPr>
      <w:bookmarkStart w:id="1313" w:name="_Toc12881"/>
      <w:bookmarkStart w:id="1314" w:name="_Toc27945"/>
      <w:bookmarkStart w:id="1315" w:name="_Toc20195"/>
      <w:bookmarkStart w:id="1316" w:name="_Toc22279"/>
      <w:bookmarkStart w:id="1317" w:name="_Toc12412"/>
      <w:bookmarkStart w:id="1318" w:name="_Toc19356"/>
      <w:bookmarkStart w:id="1319" w:name="_Toc7669"/>
      <w:bookmarkStart w:id="1320" w:name="_Toc1059"/>
      <w:bookmarkStart w:id="1321" w:name="_Toc28131"/>
      <w:bookmarkStart w:id="1322" w:name="_Toc32402"/>
      <w:bookmarkStart w:id="1323" w:name="_Toc22416"/>
      <w:bookmarkStart w:id="1324" w:name="_Toc259093671"/>
      <w:bookmarkStart w:id="1325" w:name="_Toc12727"/>
      <w:bookmarkStart w:id="1326" w:name="_Toc31472"/>
      <w:bookmarkStart w:id="1327" w:name="_Toc13673"/>
      <w:bookmarkStart w:id="1328" w:name="_Toc279701242"/>
      <w:bookmarkStart w:id="1329" w:name="_Toc487900351"/>
      <w:bookmarkStart w:id="1330" w:name="_Toc8378"/>
      <w:bookmarkStart w:id="1331" w:name="_Toc7280"/>
      <w:bookmarkStart w:id="1332" w:name="_Toc9161"/>
      <w:bookmarkStart w:id="1333" w:name="_Toc30138"/>
      <w:bookmarkStart w:id="1334" w:name="_Toc24660"/>
      <w:bookmarkStart w:id="1335" w:name="_Toc9578"/>
      <w:bookmarkStart w:id="1336" w:name="_Toc26447"/>
      <w:r>
        <w:rPr>
          <w:rFonts w:hint="eastAsia" w:ascii="宋体" w:hAnsi="宋体" w:eastAsia="宋体" w:cs="宋体"/>
          <w:b/>
          <w:color w:val="auto"/>
          <w:sz w:val="24"/>
          <w:highlight w:val="none"/>
        </w:rPr>
        <w:t>2.3 知识产权</w:t>
      </w:r>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 合同涉及技术成果的归属和收益的分成办法的，详见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pPr>
        <w:spacing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 履约检查和问题反馈</w:t>
      </w:r>
    </w:p>
    <w:p>
      <w:pPr>
        <w:spacing w:line="400" w:lineRule="exact"/>
        <w:ind w:firstLine="480" w:firstLineChars="200"/>
        <w:rPr>
          <w:rFonts w:hint="eastAsia" w:ascii="宋体" w:hAnsi="宋体" w:eastAsia="宋体" w:cs="宋体"/>
          <w:color w:val="auto"/>
          <w:sz w:val="24"/>
          <w:highlight w:val="none"/>
        </w:rPr>
      </w:pPr>
      <w:bookmarkStart w:id="1337" w:name="_Ref467379657"/>
      <w:r>
        <w:rPr>
          <w:rFonts w:hint="eastAsia" w:ascii="宋体" w:hAnsi="宋体" w:eastAsia="宋体" w:cs="宋体"/>
          <w:color w:val="auto"/>
          <w:sz w:val="24"/>
          <w:highlight w:val="none"/>
        </w:rPr>
        <w:t>2.4.1</w:t>
      </w:r>
      <w:bookmarkEnd w:id="1337"/>
      <w:bookmarkStart w:id="1338" w:name="_Toc186431854"/>
      <w:bookmarkStart w:id="1339" w:name="_Ref467379793"/>
      <w:bookmarkStart w:id="1340" w:name="_Toc279701247"/>
      <w:bookmarkStart w:id="1341" w:name="_Toc259093676"/>
      <w:bookmarkStart w:id="1342" w:name="_Toc487900357"/>
      <w:bookmarkStart w:id="1343" w:name="_Ref467379807"/>
      <w:r>
        <w:rPr>
          <w:rFonts w:hint="eastAsia" w:ascii="宋体" w:hAnsi="宋体" w:eastAsia="宋体" w:cs="宋体"/>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合同履行期间，甲方有权将履行过程中出现的问题反馈给乙方，双方当事人应以书面形式约定需要完善和改进的内容</w:t>
      </w:r>
      <w:bookmarkEnd w:id="1338"/>
      <w:bookmarkStart w:id="1344" w:name="_Toc186431855"/>
      <w:r>
        <w:rPr>
          <w:rFonts w:hint="eastAsia" w:ascii="宋体" w:hAnsi="宋体" w:eastAsia="宋体" w:cs="宋体"/>
          <w:color w:val="auto"/>
          <w:sz w:val="24"/>
          <w:highlight w:val="none"/>
        </w:rPr>
        <w:t>。</w:t>
      </w:r>
    </w:p>
    <w:bookmarkEnd w:id="1344"/>
    <w:p>
      <w:pPr>
        <w:spacing w:line="400" w:lineRule="exact"/>
        <w:ind w:firstLine="482" w:firstLineChars="200"/>
        <w:outlineLvl w:val="0"/>
        <w:rPr>
          <w:rFonts w:hint="eastAsia" w:ascii="宋体" w:hAnsi="宋体" w:eastAsia="宋体" w:cs="宋体"/>
          <w:b/>
          <w:color w:val="auto"/>
          <w:sz w:val="24"/>
          <w:highlight w:val="none"/>
        </w:rPr>
      </w:pPr>
      <w:bookmarkStart w:id="1345" w:name="_Toc21474"/>
      <w:bookmarkStart w:id="1346" w:name="_Toc24593"/>
      <w:bookmarkStart w:id="1347" w:name="_Toc26555"/>
      <w:bookmarkStart w:id="1348" w:name="_Toc11053"/>
      <w:bookmarkStart w:id="1349" w:name="_Toc32670"/>
      <w:bookmarkStart w:id="1350" w:name="_Toc32043"/>
      <w:bookmarkStart w:id="1351" w:name="_Toc12450"/>
      <w:bookmarkStart w:id="1352" w:name="_Toc30027"/>
      <w:bookmarkStart w:id="1353" w:name="_Toc29627"/>
      <w:bookmarkStart w:id="1354" w:name="_Toc15447"/>
      <w:bookmarkStart w:id="1355" w:name="_Toc6504"/>
      <w:bookmarkStart w:id="1356" w:name="_Toc28361"/>
      <w:bookmarkStart w:id="1357" w:name="_Toc15567"/>
      <w:bookmarkStart w:id="1358" w:name="_Toc14498"/>
      <w:bookmarkStart w:id="1359" w:name="_Toc4237"/>
      <w:bookmarkStart w:id="1360" w:name="_Toc16045"/>
      <w:bookmarkStart w:id="1361" w:name="_Toc8411"/>
      <w:bookmarkStart w:id="1362" w:name="_Toc31494"/>
      <w:bookmarkStart w:id="1363" w:name="_Toc31233"/>
      <w:bookmarkStart w:id="1364" w:name="_Toc22011"/>
      <w:bookmarkStart w:id="1365" w:name="_Toc1108"/>
      <w:r>
        <w:rPr>
          <w:rFonts w:hint="eastAsia" w:ascii="宋体" w:hAnsi="宋体" w:eastAsia="宋体" w:cs="宋体"/>
          <w:b/>
          <w:color w:val="auto"/>
          <w:sz w:val="24"/>
          <w:highlight w:val="none"/>
        </w:rPr>
        <w:t>2.5 结算方式和付款条件</w:t>
      </w:r>
      <w:bookmarkEnd w:id="1339"/>
      <w:bookmarkEnd w:id="1340"/>
      <w:bookmarkEnd w:id="1341"/>
      <w:bookmarkEnd w:id="1342"/>
      <w:bookmarkEnd w:id="1343"/>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pPr>
        <w:spacing w:line="400" w:lineRule="exact"/>
        <w:ind w:firstLine="482" w:firstLineChars="200"/>
        <w:outlineLvl w:val="0"/>
        <w:rPr>
          <w:rFonts w:hint="eastAsia" w:ascii="宋体" w:hAnsi="宋体" w:eastAsia="宋体" w:cs="宋体"/>
          <w:b/>
          <w:color w:val="auto"/>
          <w:sz w:val="24"/>
          <w:highlight w:val="none"/>
        </w:rPr>
      </w:pPr>
      <w:bookmarkStart w:id="1366" w:name="_Toc259093677"/>
      <w:bookmarkStart w:id="1367" w:name="_Ref467379852"/>
      <w:bookmarkStart w:id="1368" w:name="_Ref467379923"/>
      <w:bookmarkStart w:id="1369" w:name="_Toc487900358"/>
      <w:bookmarkStart w:id="1370" w:name="_Ref467379863"/>
      <w:bookmarkStart w:id="1371" w:name="_Toc279701248"/>
      <w:bookmarkStart w:id="1372" w:name="_Toc20627"/>
      <w:bookmarkStart w:id="1373" w:name="_Toc31145"/>
      <w:bookmarkStart w:id="1374" w:name="_Toc23122"/>
      <w:bookmarkStart w:id="1375" w:name="_Toc26023"/>
      <w:bookmarkStart w:id="1376" w:name="_Toc25657"/>
      <w:bookmarkStart w:id="1377" w:name="_Toc29402"/>
      <w:bookmarkStart w:id="1378" w:name="_Toc12925"/>
      <w:bookmarkStart w:id="1379" w:name="_Toc18990"/>
      <w:bookmarkStart w:id="1380" w:name="_Toc25982"/>
      <w:bookmarkStart w:id="1381" w:name="_Toc19435"/>
      <w:bookmarkStart w:id="1382" w:name="_Toc16163"/>
      <w:bookmarkStart w:id="1383" w:name="_Toc3982"/>
      <w:bookmarkStart w:id="1384" w:name="_Toc5430"/>
      <w:bookmarkStart w:id="1385" w:name="_Toc9514"/>
      <w:bookmarkStart w:id="1386" w:name="_Toc4632"/>
      <w:bookmarkStart w:id="1387" w:name="_Toc13154"/>
      <w:bookmarkStart w:id="1388" w:name="_Toc13467"/>
      <w:bookmarkStart w:id="1389" w:name="_Toc18186"/>
      <w:bookmarkStart w:id="1390" w:name="_Toc23530"/>
      <w:bookmarkStart w:id="1391" w:name="_Toc30507"/>
      <w:bookmarkStart w:id="1392" w:name="_Toc11009"/>
      <w:bookmarkStart w:id="1393" w:name="_Toc11304"/>
      <w:r>
        <w:rPr>
          <w:rFonts w:hint="eastAsia" w:ascii="宋体" w:hAnsi="宋体" w:eastAsia="宋体" w:cs="宋体"/>
          <w:b/>
          <w:color w:val="auto"/>
          <w:sz w:val="24"/>
          <w:highlight w:val="none"/>
        </w:rPr>
        <w:t>2.6 技术资料</w:t>
      </w:r>
      <w:bookmarkEnd w:id="1366"/>
      <w:bookmarkEnd w:id="1367"/>
      <w:bookmarkEnd w:id="1368"/>
      <w:bookmarkEnd w:id="1369"/>
      <w:bookmarkEnd w:id="1370"/>
      <w:bookmarkEnd w:id="1371"/>
      <w:r>
        <w:rPr>
          <w:rFonts w:hint="eastAsia" w:ascii="宋体" w:hAnsi="宋体" w:eastAsia="宋体" w:cs="宋体"/>
          <w:b/>
          <w:color w:val="auto"/>
          <w:sz w:val="24"/>
          <w:highlight w:val="none"/>
        </w:rPr>
        <w:t>和保密义务</w:t>
      </w:r>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 乙方有权依据合同约定和项目需要，向甲方了解有关情况，调阅有关资料等，甲方应予积极配合；</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 乙方有义务妥善保管和保护由甲方提供的前款信息和资料等；</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00" w:lineRule="exact"/>
        <w:ind w:firstLine="482" w:firstLineChars="200"/>
        <w:outlineLvl w:val="0"/>
        <w:rPr>
          <w:rFonts w:hint="eastAsia" w:ascii="宋体" w:hAnsi="宋体" w:eastAsia="宋体" w:cs="宋体"/>
          <w:b/>
          <w:color w:val="auto"/>
          <w:sz w:val="24"/>
          <w:highlight w:val="none"/>
        </w:rPr>
      </w:pPr>
      <w:bookmarkStart w:id="1394" w:name="_Toc18372"/>
      <w:bookmarkStart w:id="1395" w:name="_Toc19069"/>
      <w:bookmarkStart w:id="1396" w:name="_Toc15010"/>
      <w:bookmarkStart w:id="1397" w:name="_Toc22614"/>
      <w:bookmarkStart w:id="1398" w:name="_Toc2664"/>
      <w:bookmarkStart w:id="1399" w:name="_Toc24552"/>
      <w:bookmarkStart w:id="1400" w:name="_Toc10862"/>
      <w:bookmarkStart w:id="1401" w:name="_Toc32354"/>
      <w:bookmarkStart w:id="1402" w:name="_Toc339"/>
      <w:bookmarkStart w:id="1403" w:name="_Toc13112"/>
      <w:bookmarkStart w:id="1404" w:name="_Toc20114"/>
      <w:bookmarkStart w:id="1405" w:name="_Toc1948"/>
      <w:bookmarkStart w:id="1406" w:name="_Toc16738"/>
      <w:bookmarkStart w:id="1407" w:name="_Toc30162"/>
      <w:bookmarkStart w:id="1408" w:name="_Toc9533"/>
      <w:bookmarkStart w:id="1409" w:name="_Toc1851"/>
      <w:bookmarkStart w:id="1410" w:name="_Toc29615"/>
      <w:bookmarkStart w:id="1411" w:name="_Toc32438"/>
      <w:bookmarkStart w:id="1412" w:name="_Toc487900362"/>
      <w:bookmarkStart w:id="1413" w:name="_Toc259093681"/>
      <w:bookmarkStart w:id="1414" w:name="_Toc279701252"/>
      <w:r>
        <w:rPr>
          <w:rFonts w:hint="eastAsia" w:ascii="宋体" w:hAnsi="宋体" w:eastAsia="宋体" w:cs="宋体"/>
          <w:b/>
          <w:color w:val="auto"/>
          <w:sz w:val="24"/>
          <w:highlight w:val="none"/>
        </w:rPr>
        <w:t>2.7 质量保证</w:t>
      </w:r>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乙方应建立和完善履行合同的内部质量保证体系，并提供相关内部规章制度给甲方，以便甲方进行监督检查；</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乙方应保证履行合同的人员数量和素质、软件和硬件设备的配置、场地、环境和设施等满足全面履行合同的要求，并应接受甲方的监督检查。</w:t>
      </w:r>
    </w:p>
    <w:p>
      <w:pPr>
        <w:spacing w:line="400" w:lineRule="exact"/>
        <w:ind w:firstLine="482" w:firstLineChars="200"/>
        <w:outlineLvl w:val="0"/>
        <w:rPr>
          <w:rFonts w:hint="eastAsia" w:ascii="宋体" w:hAnsi="宋体" w:eastAsia="宋体" w:cs="宋体"/>
          <w:b/>
          <w:color w:val="auto"/>
          <w:sz w:val="24"/>
          <w:highlight w:val="none"/>
        </w:rPr>
      </w:pPr>
      <w:bookmarkStart w:id="1415" w:name="_Toc8481"/>
      <w:bookmarkStart w:id="1416" w:name="_Toc27100"/>
      <w:bookmarkStart w:id="1417" w:name="_Toc30394"/>
      <w:bookmarkStart w:id="1418" w:name="_Toc32424"/>
      <w:bookmarkStart w:id="1419" w:name="_Toc10485"/>
      <w:bookmarkStart w:id="1420" w:name="_Toc11034"/>
      <w:bookmarkStart w:id="1421" w:name="_Toc28170"/>
      <w:bookmarkStart w:id="1422" w:name="_Toc30597"/>
      <w:bookmarkStart w:id="1423" w:name="_Toc22198"/>
      <w:bookmarkStart w:id="1424" w:name="_Toc11272"/>
      <w:bookmarkStart w:id="1425" w:name="_Toc10063"/>
      <w:bookmarkStart w:id="1426" w:name="_Toc7710"/>
      <w:bookmarkStart w:id="1427" w:name="_Toc15967"/>
      <w:bookmarkStart w:id="1428" w:name="_Toc32399"/>
      <w:bookmarkStart w:id="1429" w:name="_Toc1263"/>
      <w:bookmarkStart w:id="1430" w:name="_Toc22267"/>
      <w:bookmarkStart w:id="1431" w:name="_Toc22448"/>
      <w:bookmarkStart w:id="1432" w:name="_Toc5342"/>
      <w:r>
        <w:rPr>
          <w:rFonts w:hint="eastAsia" w:ascii="宋体" w:hAnsi="宋体" w:eastAsia="宋体" w:cs="宋体"/>
          <w:b/>
          <w:color w:val="auto"/>
          <w:sz w:val="24"/>
          <w:highlight w:val="none"/>
        </w:rPr>
        <w:t>2.8 延迟</w:t>
      </w:r>
      <w:bookmarkEnd w:id="1412"/>
      <w:bookmarkEnd w:id="1413"/>
      <w:bookmarkEnd w:id="1414"/>
      <w:r>
        <w:rPr>
          <w:rFonts w:hint="eastAsia" w:ascii="宋体" w:hAnsi="宋体" w:eastAsia="宋体" w:cs="宋体"/>
          <w:b/>
          <w:color w:val="auto"/>
          <w:sz w:val="24"/>
          <w:highlight w:val="none"/>
        </w:rPr>
        <w:t>履行</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400" w:lineRule="exact"/>
        <w:ind w:firstLine="482" w:firstLineChars="200"/>
        <w:outlineLvl w:val="0"/>
        <w:rPr>
          <w:rFonts w:hint="eastAsia" w:ascii="宋体" w:hAnsi="宋体" w:eastAsia="宋体" w:cs="宋体"/>
          <w:b/>
          <w:color w:val="auto"/>
          <w:sz w:val="24"/>
          <w:highlight w:val="none"/>
        </w:rPr>
      </w:pPr>
      <w:bookmarkStart w:id="1433" w:name="_Toc28758"/>
      <w:bookmarkStart w:id="1434" w:name="_Toc2469"/>
      <w:bookmarkStart w:id="1435" w:name="_Toc3758"/>
      <w:bookmarkStart w:id="1436" w:name="_Toc3810"/>
      <w:bookmarkStart w:id="1437" w:name="_Toc30296"/>
      <w:bookmarkStart w:id="1438" w:name="_Toc20254"/>
      <w:bookmarkStart w:id="1439" w:name="_Toc27101"/>
      <w:bookmarkStart w:id="1440" w:name="_Toc10750"/>
      <w:bookmarkStart w:id="1441" w:name="_Toc13769"/>
      <w:bookmarkStart w:id="1442" w:name="_Toc12112"/>
      <w:bookmarkStart w:id="1443" w:name="_Toc10611"/>
      <w:bookmarkStart w:id="1444" w:name="_Toc25613"/>
      <w:bookmarkStart w:id="1445" w:name="_Toc12190"/>
      <w:bookmarkStart w:id="1446" w:name="_Toc2244"/>
      <w:bookmarkStart w:id="1447" w:name="_Toc1930"/>
      <w:bookmarkStart w:id="1448" w:name="_Toc26385"/>
      <w:bookmarkStart w:id="1449" w:name="_Toc2459"/>
      <w:bookmarkStart w:id="1450" w:name="_Toc9506"/>
      <w:bookmarkStart w:id="1451" w:name="_Toc487900364"/>
      <w:bookmarkStart w:id="1452" w:name="_Ref467378121"/>
      <w:bookmarkStart w:id="1453" w:name="_Toc259093683"/>
      <w:bookmarkStart w:id="1454" w:name="_Toc279701254"/>
      <w:r>
        <w:rPr>
          <w:rFonts w:hint="eastAsia" w:ascii="宋体" w:hAnsi="宋体" w:eastAsia="宋体" w:cs="宋体"/>
          <w:b/>
          <w:color w:val="auto"/>
          <w:sz w:val="24"/>
          <w:highlight w:val="none"/>
        </w:rPr>
        <w:t>2.9 合同变更</w:t>
      </w:r>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 合同继续履行将损害国家利益和社会公共利益的，双方当事人应当以书面形式变更合同。有过错的一方应当承担赔偿责任，双方当事人都有过错的，各自承担相应的责任。</w:t>
      </w:r>
      <w:bookmarkStart w:id="1455" w:name="_Toc487900369"/>
      <w:bookmarkStart w:id="1456" w:name="_Toc279701259"/>
      <w:bookmarkStart w:id="1457" w:name="_Toc259093688"/>
    </w:p>
    <w:p>
      <w:pPr>
        <w:spacing w:line="400" w:lineRule="exact"/>
        <w:ind w:firstLine="482" w:firstLineChars="200"/>
        <w:outlineLvl w:val="0"/>
        <w:rPr>
          <w:rFonts w:hint="eastAsia" w:ascii="宋体" w:hAnsi="宋体" w:eastAsia="宋体" w:cs="宋体"/>
          <w:b/>
          <w:color w:val="auto"/>
          <w:sz w:val="24"/>
          <w:highlight w:val="none"/>
        </w:rPr>
      </w:pPr>
      <w:bookmarkStart w:id="1458" w:name="_Toc30446"/>
      <w:bookmarkStart w:id="1459" w:name="_Toc42"/>
      <w:bookmarkStart w:id="1460" w:name="_Toc14972"/>
      <w:bookmarkStart w:id="1461" w:name="_Toc6143"/>
      <w:bookmarkStart w:id="1462" w:name="_Toc17116"/>
      <w:bookmarkStart w:id="1463" w:name="_Toc18298"/>
      <w:bookmarkStart w:id="1464" w:name="_Toc28640"/>
      <w:bookmarkStart w:id="1465" w:name="_Toc10663"/>
      <w:bookmarkStart w:id="1466" w:name="_Toc4033"/>
      <w:bookmarkStart w:id="1467" w:name="_Toc6424"/>
      <w:bookmarkStart w:id="1468" w:name="_Toc19151"/>
      <w:bookmarkStart w:id="1469" w:name="_Toc24271"/>
      <w:bookmarkStart w:id="1470" w:name="_Toc22130"/>
      <w:bookmarkStart w:id="1471" w:name="_Toc26852"/>
      <w:bookmarkStart w:id="1472" w:name="_Toc8222"/>
      <w:bookmarkStart w:id="1473" w:name="_Toc23368"/>
      <w:bookmarkStart w:id="1474" w:name="_Toc12838"/>
      <w:bookmarkStart w:id="1475" w:name="_Toc26689"/>
      <w:bookmarkStart w:id="1476" w:name="_Toc27242"/>
      <w:bookmarkStart w:id="1477" w:name="_Toc4195"/>
      <w:bookmarkStart w:id="1478" w:name="_Toc21830"/>
      <w:bookmarkStart w:id="1479" w:name="_Toc18321"/>
      <w:r>
        <w:rPr>
          <w:rFonts w:hint="eastAsia" w:ascii="宋体" w:hAnsi="宋体" w:eastAsia="宋体" w:cs="宋体"/>
          <w:b/>
          <w:color w:val="auto"/>
          <w:sz w:val="24"/>
          <w:highlight w:val="none"/>
        </w:rPr>
        <w:t>2.10 合同转让</w:t>
      </w:r>
      <w:bookmarkEnd w:id="1455"/>
      <w:bookmarkEnd w:id="1456"/>
      <w:bookmarkEnd w:id="1457"/>
      <w:r>
        <w:rPr>
          <w:rFonts w:hint="eastAsia" w:ascii="宋体" w:hAnsi="宋体" w:eastAsia="宋体" w:cs="宋体"/>
          <w:b/>
          <w:color w:val="auto"/>
          <w:sz w:val="24"/>
          <w:highlight w:val="none"/>
        </w:rPr>
        <w:t>和分包</w:t>
      </w:r>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400" w:lineRule="exact"/>
        <w:ind w:firstLine="482" w:firstLineChars="200"/>
        <w:outlineLvl w:val="0"/>
        <w:rPr>
          <w:rFonts w:hint="eastAsia" w:ascii="宋体" w:hAnsi="宋体" w:eastAsia="宋体" w:cs="宋体"/>
          <w:b/>
          <w:color w:val="auto"/>
          <w:sz w:val="24"/>
          <w:highlight w:val="none"/>
        </w:rPr>
      </w:pPr>
      <w:bookmarkStart w:id="1480" w:name="_Toc20290"/>
      <w:bookmarkStart w:id="1481" w:name="_Toc4720"/>
      <w:bookmarkStart w:id="1482" w:name="_Toc26602"/>
      <w:bookmarkStart w:id="1483" w:name="_Toc8431"/>
      <w:bookmarkStart w:id="1484" w:name="_Toc15171"/>
      <w:bookmarkStart w:id="1485" w:name="_Toc30847"/>
      <w:bookmarkStart w:id="1486" w:name="_Toc26633"/>
      <w:bookmarkStart w:id="1487" w:name="_Toc24708"/>
      <w:bookmarkStart w:id="1488" w:name="_Toc14371"/>
      <w:bookmarkStart w:id="1489" w:name="_Toc32494"/>
      <w:bookmarkStart w:id="1490" w:name="_Toc9462"/>
      <w:bookmarkStart w:id="1491" w:name="_Toc26920"/>
      <w:bookmarkStart w:id="1492" w:name="_Toc4684"/>
      <w:bookmarkStart w:id="1493" w:name="_Toc32622"/>
      <w:bookmarkStart w:id="1494" w:name="_Toc23855"/>
      <w:bookmarkStart w:id="1495" w:name="_Toc17450"/>
      <w:bookmarkStart w:id="1496" w:name="_Toc10203"/>
      <w:bookmarkStart w:id="1497" w:name="_Toc9705"/>
      <w:bookmarkStart w:id="1498" w:name="_Toc25571"/>
      <w:bookmarkStart w:id="1499" w:name="_Toc31065"/>
      <w:bookmarkStart w:id="1500" w:name="_Toc2937"/>
      <w:bookmarkStart w:id="1501" w:name="_Toc17474"/>
      <w:r>
        <w:rPr>
          <w:rFonts w:hint="eastAsia" w:ascii="宋体" w:hAnsi="宋体" w:eastAsia="宋体" w:cs="宋体"/>
          <w:b/>
          <w:color w:val="auto"/>
          <w:sz w:val="24"/>
          <w:highlight w:val="none"/>
        </w:rPr>
        <w:t>2.11 不可抗力</w:t>
      </w:r>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因不可抗力致使不能实现合同目的的，当事人可以解除合同；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2.11.3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pPr>
        <w:spacing w:line="400" w:lineRule="exact"/>
        <w:ind w:firstLine="482" w:firstLineChars="200"/>
        <w:outlineLvl w:val="0"/>
        <w:rPr>
          <w:rFonts w:hint="eastAsia" w:ascii="宋体" w:hAnsi="宋体" w:eastAsia="宋体" w:cs="宋体"/>
          <w:b/>
          <w:color w:val="auto"/>
          <w:sz w:val="24"/>
          <w:highlight w:val="none"/>
        </w:rPr>
      </w:pPr>
      <w:bookmarkStart w:id="1502" w:name="_Toc24465"/>
      <w:bookmarkStart w:id="1503" w:name="_Toc6465"/>
      <w:bookmarkStart w:id="1504" w:name="_Toc6743"/>
      <w:bookmarkStart w:id="1505" w:name="_Toc279701255"/>
      <w:bookmarkStart w:id="1506" w:name="_Toc23602"/>
      <w:bookmarkStart w:id="1507" w:name="_Toc1959"/>
      <w:bookmarkStart w:id="1508" w:name="_Toc14115"/>
      <w:bookmarkStart w:id="1509" w:name="_Toc23373"/>
      <w:bookmarkStart w:id="1510" w:name="_Toc259093684"/>
      <w:bookmarkStart w:id="1511" w:name="_Toc219"/>
      <w:bookmarkStart w:id="1512" w:name="_Toc32181"/>
      <w:bookmarkStart w:id="1513" w:name="_Toc11275"/>
      <w:bookmarkStart w:id="1514" w:name="_Toc487900365"/>
      <w:bookmarkStart w:id="1515" w:name="_Toc17127"/>
      <w:bookmarkStart w:id="1516" w:name="_Toc7981"/>
      <w:bookmarkStart w:id="1517" w:name="_Toc25783"/>
      <w:bookmarkStart w:id="1518" w:name="_Toc12690"/>
      <w:bookmarkStart w:id="1519" w:name="_Toc11667"/>
      <w:bookmarkStart w:id="1520" w:name="_Toc3156"/>
      <w:bookmarkStart w:id="1521" w:name="_Toc3638"/>
      <w:bookmarkStart w:id="1522" w:name="_Toc23854"/>
      <w:bookmarkStart w:id="1523" w:name="_Toc2834"/>
      <w:bookmarkStart w:id="1524" w:name="_Toc14370"/>
      <w:bookmarkStart w:id="1525" w:name="_Toc27546"/>
      <w:bookmarkStart w:id="1526" w:name="_Toc18727"/>
      <w:r>
        <w:rPr>
          <w:rFonts w:hint="eastAsia" w:ascii="宋体" w:hAnsi="宋体" w:eastAsia="宋体" w:cs="宋体"/>
          <w:b/>
          <w:color w:val="auto"/>
          <w:sz w:val="24"/>
          <w:highlight w:val="none"/>
        </w:rPr>
        <w:t>2.12 税费</w:t>
      </w:r>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pPr>
        <w:spacing w:line="400" w:lineRule="exact"/>
        <w:ind w:firstLine="482" w:firstLineChars="200"/>
        <w:outlineLvl w:val="0"/>
        <w:rPr>
          <w:rFonts w:hint="eastAsia" w:ascii="宋体" w:hAnsi="宋体" w:eastAsia="宋体" w:cs="宋体"/>
          <w:b/>
          <w:color w:val="auto"/>
          <w:sz w:val="24"/>
          <w:highlight w:val="none"/>
        </w:rPr>
      </w:pPr>
      <w:bookmarkStart w:id="1527" w:name="_Toc10398"/>
      <w:bookmarkStart w:id="1528" w:name="_Toc3775"/>
      <w:bookmarkStart w:id="1529" w:name="_Toc26883"/>
      <w:bookmarkStart w:id="1530" w:name="_Toc3759"/>
      <w:bookmarkStart w:id="1531" w:name="_Toc17461"/>
      <w:bookmarkStart w:id="1532" w:name="_Toc24809"/>
      <w:bookmarkStart w:id="1533" w:name="_Toc25525"/>
      <w:bookmarkStart w:id="1534" w:name="_Toc4896"/>
      <w:bookmarkStart w:id="1535" w:name="_Toc15966"/>
      <w:bookmarkStart w:id="1536" w:name="_Toc259093687"/>
      <w:bookmarkStart w:id="1537" w:name="_Toc27492"/>
      <w:bookmarkStart w:id="1538" w:name="_Toc5156"/>
      <w:bookmarkStart w:id="1539" w:name="_Toc279701258"/>
      <w:bookmarkStart w:id="1540" w:name="_Toc31237"/>
      <w:bookmarkStart w:id="1541" w:name="_Toc426"/>
      <w:bookmarkStart w:id="1542" w:name="_Toc19880"/>
      <w:bookmarkStart w:id="1543" w:name="_Toc12415"/>
      <w:bookmarkStart w:id="1544" w:name="_Toc30105"/>
      <w:bookmarkStart w:id="1545" w:name="_Toc14494"/>
      <w:bookmarkStart w:id="1546" w:name="_Toc3161"/>
      <w:bookmarkStart w:id="1547" w:name="_Toc7315"/>
      <w:bookmarkStart w:id="1548" w:name="_Toc14814"/>
      <w:bookmarkStart w:id="1549" w:name="_Toc487900368"/>
      <w:bookmarkStart w:id="1550" w:name="_Toc6155"/>
      <w:bookmarkStart w:id="1551" w:name="_Toc5309"/>
      <w:r>
        <w:rPr>
          <w:rFonts w:hint="eastAsia" w:ascii="宋体" w:hAnsi="宋体" w:eastAsia="宋体" w:cs="宋体"/>
          <w:b/>
          <w:color w:val="auto"/>
          <w:sz w:val="24"/>
          <w:highlight w:val="none"/>
        </w:rPr>
        <w:t>2.13 乙方破产</w:t>
      </w:r>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00" w:lineRule="exact"/>
        <w:ind w:firstLine="482" w:firstLineChars="200"/>
        <w:outlineLvl w:val="0"/>
        <w:rPr>
          <w:rFonts w:hint="eastAsia" w:ascii="宋体" w:hAnsi="宋体" w:eastAsia="宋体" w:cs="宋体"/>
          <w:b/>
          <w:color w:val="auto"/>
          <w:sz w:val="24"/>
          <w:highlight w:val="none"/>
        </w:rPr>
      </w:pPr>
      <w:bookmarkStart w:id="1552" w:name="_Toc23323"/>
      <w:bookmarkStart w:id="1553" w:name="_Toc1123"/>
      <w:bookmarkStart w:id="1554" w:name="_Toc1675"/>
      <w:bookmarkStart w:id="1555" w:name="_Toc4845"/>
      <w:bookmarkStart w:id="1556" w:name="_Toc25092"/>
      <w:bookmarkStart w:id="1557" w:name="_Toc3274"/>
      <w:bookmarkStart w:id="1558" w:name="_Toc4472"/>
      <w:bookmarkStart w:id="1559" w:name="_Toc30682"/>
      <w:bookmarkStart w:id="1560" w:name="_Toc18650"/>
      <w:bookmarkStart w:id="1561" w:name="_Toc26320"/>
      <w:bookmarkStart w:id="1562" w:name="_Toc13023"/>
      <w:bookmarkStart w:id="1563" w:name="_Toc26987"/>
      <w:bookmarkStart w:id="1564" w:name="_Toc2016"/>
      <w:bookmarkStart w:id="1565" w:name="_Toc8069"/>
      <w:bookmarkStart w:id="1566" w:name="_Toc6032"/>
      <w:bookmarkStart w:id="1567" w:name="_Toc8066"/>
      <w:bookmarkStart w:id="1568" w:name="_Toc15650"/>
      <w:bookmarkStart w:id="1569" w:name="_Toc31298"/>
      <w:bookmarkStart w:id="1570" w:name="_Toc32490"/>
      <w:bookmarkStart w:id="1571" w:name="_Toc411"/>
      <w:r>
        <w:rPr>
          <w:rFonts w:hint="eastAsia" w:ascii="宋体" w:hAnsi="宋体" w:eastAsia="宋体" w:cs="宋体"/>
          <w:b/>
          <w:color w:val="auto"/>
          <w:sz w:val="24"/>
          <w:highlight w:val="none"/>
        </w:rPr>
        <w:t>2.14 合同中止、终止</w:t>
      </w:r>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2.14.1 双方当事人不得擅自中止或者终止合同；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400" w:lineRule="exact"/>
        <w:ind w:firstLine="482" w:firstLineChars="200"/>
        <w:outlineLvl w:val="0"/>
        <w:rPr>
          <w:rFonts w:hint="eastAsia" w:ascii="宋体" w:hAnsi="宋体" w:eastAsia="宋体" w:cs="宋体"/>
          <w:b/>
          <w:color w:val="auto"/>
          <w:sz w:val="24"/>
          <w:highlight w:val="none"/>
        </w:rPr>
      </w:pPr>
      <w:bookmarkStart w:id="1572" w:name="_Toc25753"/>
      <w:bookmarkStart w:id="1573" w:name="_Toc22355"/>
      <w:bookmarkStart w:id="1574" w:name="_Toc17363"/>
      <w:bookmarkStart w:id="1575" w:name="_Toc22475"/>
      <w:bookmarkStart w:id="1576" w:name="_Toc12981"/>
      <w:bookmarkStart w:id="1577" w:name="_Toc5120"/>
      <w:bookmarkStart w:id="1578" w:name="_Toc1969"/>
      <w:bookmarkStart w:id="1579" w:name="_Toc10291"/>
      <w:bookmarkStart w:id="1580" w:name="_Toc31348"/>
      <w:bookmarkStart w:id="1581" w:name="_Toc30002"/>
      <w:bookmarkStart w:id="1582" w:name="_Toc9488"/>
      <w:bookmarkStart w:id="1583" w:name="_Toc295"/>
      <w:bookmarkStart w:id="1584" w:name="_Toc22366"/>
      <w:bookmarkStart w:id="1585" w:name="_Toc12473"/>
      <w:bookmarkStart w:id="1586" w:name="_Toc25815"/>
      <w:bookmarkStart w:id="1587" w:name="_Toc14653"/>
      <w:bookmarkStart w:id="1588" w:name="_Toc16250"/>
      <w:bookmarkStart w:id="1589" w:name="_Toc22271"/>
      <w:bookmarkStart w:id="1590" w:name="_Toc28879"/>
      <w:r>
        <w:rPr>
          <w:rFonts w:hint="eastAsia" w:ascii="宋体" w:hAnsi="宋体" w:eastAsia="宋体" w:cs="宋体"/>
          <w:b/>
          <w:color w:val="auto"/>
          <w:sz w:val="24"/>
          <w:highlight w:val="none"/>
        </w:rPr>
        <w:t>2.15 检验和验收</w:t>
      </w:r>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p>
    <w:p>
      <w:pPr>
        <w:tabs>
          <w:tab w:val="left" w:pos="360"/>
          <w:tab w:val="left" w:pos="540"/>
          <w:tab w:val="left" w:pos="1080"/>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2.15.1 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pPr>
        <w:tabs>
          <w:tab w:val="left" w:pos="360"/>
          <w:tab w:val="left" w:pos="540"/>
          <w:tab w:val="left" w:pos="1080"/>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451"/>
    <w:bookmarkEnd w:id="1452"/>
    <w:bookmarkEnd w:id="1453"/>
    <w:bookmarkEnd w:id="1454"/>
    <w:p>
      <w:pPr>
        <w:spacing w:line="400" w:lineRule="exact"/>
        <w:ind w:firstLine="482" w:firstLineChars="200"/>
        <w:outlineLvl w:val="0"/>
        <w:rPr>
          <w:rFonts w:hint="eastAsia" w:ascii="宋体" w:hAnsi="宋体" w:eastAsia="宋体" w:cs="宋体"/>
          <w:b/>
          <w:color w:val="auto"/>
          <w:sz w:val="24"/>
          <w:highlight w:val="none"/>
        </w:rPr>
      </w:pPr>
      <w:bookmarkStart w:id="1591" w:name="_Toc279701261"/>
      <w:bookmarkStart w:id="1592" w:name="_Toc259093690"/>
      <w:bookmarkStart w:id="1593" w:name="_Toc487900371"/>
      <w:bookmarkStart w:id="1594" w:name="_Toc22987"/>
      <w:bookmarkStart w:id="1595" w:name="_Toc31892"/>
      <w:bookmarkStart w:id="1596" w:name="_Toc26095"/>
      <w:bookmarkStart w:id="1597" w:name="_Toc26232"/>
      <w:bookmarkStart w:id="1598" w:name="_Toc13486"/>
      <w:bookmarkStart w:id="1599" w:name="_Toc1691"/>
      <w:bookmarkStart w:id="1600" w:name="_Toc9808"/>
      <w:bookmarkStart w:id="1601" w:name="_Toc12666"/>
      <w:bookmarkStart w:id="1602" w:name="_Toc13544"/>
      <w:bookmarkStart w:id="1603" w:name="_Toc10819"/>
      <w:bookmarkStart w:id="1604" w:name="_Toc12970"/>
      <w:bookmarkStart w:id="1605" w:name="_Toc29667"/>
      <w:bookmarkStart w:id="1606" w:name="_Toc2308"/>
      <w:bookmarkStart w:id="1607" w:name="_Toc3309"/>
      <w:bookmarkStart w:id="1608" w:name="_Toc19041"/>
      <w:bookmarkStart w:id="1609" w:name="_Toc10525"/>
      <w:bookmarkStart w:id="1610" w:name="_Toc6307"/>
      <w:bookmarkStart w:id="1611" w:name="_Toc25198"/>
      <w:bookmarkStart w:id="1612" w:name="_Toc13224"/>
      <w:bookmarkStart w:id="1613" w:name="_Toc27995"/>
      <w:bookmarkStart w:id="1614" w:name="_Toc29431"/>
      <w:bookmarkStart w:id="1615" w:name="_Toc21439"/>
      <w:r>
        <w:rPr>
          <w:rFonts w:hint="eastAsia" w:ascii="宋体" w:hAnsi="宋体" w:eastAsia="宋体" w:cs="宋体"/>
          <w:b/>
          <w:color w:val="auto"/>
          <w:sz w:val="24"/>
          <w:highlight w:val="none"/>
        </w:rPr>
        <w:t>2.16 通知</w:t>
      </w:r>
      <w:bookmarkEnd w:id="1591"/>
      <w:bookmarkEnd w:id="1592"/>
      <w:bookmarkEnd w:id="1593"/>
      <w:r>
        <w:rPr>
          <w:rFonts w:hint="eastAsia" w:ascii="宋体" w:hAnsi="宋体" w:eastAsia="宋体" w:cs="宋体"/>
          <w:b/>
          <w:color w:val="auto"/>
          <w:sz w:val="24"/>
          <w:highlight w:val="none"/>
        </w:rPr>
        <w:t>和送达</w:t>
      </w:r>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p>
    <w:p>
      <w:pPr>
        <w:spacing w:line="400" w:lineRule="exact"/>
        <w:ind w:firstLine="480" w:firstLineChars="200"/>
        <w:rPr>
          <w:rFonts w:hint="eastAsia" w:ascii="宋体" w:hAnsi="宋体" w:eastAsia="宋体" w:cs="宋体"/>
          <w:color w:val="auto"/>
          <w:sz w:val="24"/>
          <w:highlight w:val="none"/>
        </w:rPr>
      </w:pPr>
      <w:bookmarkStart w:id="1616" w:name="_Toc7073"/>
      <w:bookmarkStart w:id="1617" w:name="_Toc487900372"/>
      <w:bookmarkStart w:id="1618" w:name="_Toc279701262"/>
      <w:bookmarkStart w:id="1619" w:name="_Toc259093691"/>
      <w:r>
        <w:rPr>
          <w:rFonts w:hint="eastAsia" w:ascii="宋体" w:hAnsi="宋体" w:eastAsia="宋体" w:cs="宋体"/>
          <w:color w:val="auto"/>
          <w:sz w:val="24"/>
          <w:highlight w:val="none"/>
        </w:rPr>
        <w:t>2.16.1 任何一方因履行合同而以合同第一部分尾部所列明的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发出的所有通知、文件、材料，均视为已向对方当事人送达；任何一方变更上述送达方式或者地址的，应于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bookmarkEnd w:id="1616"/>
    </w:p>
    <w:p>
      <w:pPr>
        <w:spacing w:line="400" w:lineRule="exact"/>
        <w:ind w:firstLine="480" w:firstLineChars="200"/>
        <w:rPr>
          <w:rFonts w:hint="eastAsia" w:ascii="宋体" w:hAnsi="宋体" w:eastAsia="宋体" w:cs="宋体"/>
          <w:color w:val="auto"/>
          <w:sz w:val="24"/>
          <w:highlight w:val="none"/>
        </w:rPr>
      </w:pPr>
      <w:bookmarkStart w:id="1620" w:name="_Toc27674"/>
      <w:bookmarkStart w:id="1621" w:name="_Toc18401"/>
      <w:r>
        <w:rPr>
          <w:rFonts w:hint="eastAsia" w:ascii="宋体" w:hAnsi="宋体" w:eastAsia="宋体" w:cs="宋体"/>
          <w:color w:val="auto"/>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620"/>
      <w:bookmarkEnd w:id="1621"/>
    </w:p>
    <w:bookmarkEnd w:id="1617"/>
    <w:bookmarkEnd w:id="1618"/>
    <w:bookmarkEnd w:id="1619"/>
    <w:p>
      <w:pPr>
        <w:spacing w:line="400" w:lineRule="exact"/>
        <w:ind w:firstLine="482" w:firstLineChars="200"/>
        <w:outlineLvl w:val="0"/>
        <w:rPr>
          <w:rFonts w:hint="eastAsia" w:ascii="宋体" w:hAnsi="宋体" w:eastAsia="宋体" w:cs="宋体"/>
          <w:b/>
          <w:color w:val="auto"/>
          <w:sz w:val="24"/>
          <w:highlight w:val="none"/>
        </w:rPr>
      </w:pPr>
      <w:bookmarkStart w:id="1622" w:name="_Toc259093692"/>
      <w:bookmarkStart w:id="1623" w:name="_Toc10141"/>
      <w:bookmarkStart w:id="1624" w:name="_Toc5063"/>
      <w:bookmarkStart w:id="1625" w:name="_Toc4407"/>
      <w:bookmarkStart w:id="1626" w:name="_Toc16009"/>
      <w:bookmarkStart w:id="1627" w:name="_Toc10103"/>
      <w:bookmarkStart w:id="1628" w:name="_Toc31615"/>
      <w:bookmarkStart w:id="1629" w:name="_Toc18906"/>
      <w:bookmarkStart w:id="1630" w:name="_Toc19439"/>
      <w:bookmarkStart w:id="1631" w:name="_Toc20808"/>
      <w:bookmarkStart w:id="1632" w:name="_Toc556"/>
      <w:bookmarkStart w:id="1633" w:name="_Toc487900373"/>
      <w:bookmarkStart w:id="1634" w:name="_Toc28906"/>
      <w:bookmarkStart w:id="1635" w:name="_Toc12254"/>
      <w:bookmarkStart w:id="1636" w:name="_Toc27644"/>
      <w:bookmarkStart w:id="1637" w:name="_Toc18929"/>
      <w:bookmarkStart w:id="1638" w:name="_Toc279701263"/>
      <w:bookmarkStart w:id="1639" w:name="_Toc28590"/>
      <w:bookmarkStart w:id="1640" w:name="_Toc18708"/>
      <w:bookmarkStart w:id="1641" w:name="_Toc1846"/>
      <w:bookmarkStart w:id="1642" w:name="_Toc3962"/>
      <w:bookmarkStart w:id="1643" w:name="_Toc32231"/>
      <w:bookmarkStart w:id="1644" w:name="_Toc13433"/>
      <w:bookmarkStart w:id="1645" w:name="_Toc15108"/>
      <w:bookmarkStart w:id="1646" w:name="_Toc25464"/>
      <w:r>
        <w:rPr>
          <w:rFonts w:hint="eastAsia" w:ascii="宋体" w:hAnsi="宋体" w:eastAsia="宋体" w:cs="宋体"/>
          <w:b/>
          <w:color w:val="auto"/>
          <w:sz w:val="24"/>
          <w:highlight w:val="none"/>
        </w:rPr>
        <w:t>2.17 合同使用的文字和适用的法律</w:t>
      </w:r>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 合同使用汉语书就、变更和解释；</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 合同适用中华人民共和国法律。</w:t>
      </w:r>
    </w:p>
    <w:p>
      <w:pPr>
        <w:spacing w:line="400" w:lineRule="exact"/>
        <w:ind w:firstLine="482" w:firstLineChars="200"/>
        <w:outlineLvl w:val="0"/>
        <w:rPr>
          <w:rFonts w:hint="eastAsia" w:ascii="宋体" w:hAnsi="宋体" w:eastAsia="宋体" w:cs="宋体"/>
          <w:b/>
          <w:color w:val="auto"/>
          <w:sz w:val="24"/>
          <w:highlight w:val="none"/>
        </w:rPr>
      </w:pPr>
      <w:bookmarkStart w:id="1647" w:name="_Toc30312"/>
      <w:bookmarkStart w:id="1648" w:name="_Toc18902"/>
      <w:bookmarkStart w:id="1649" w:name="_Toc259093693"/>
      <w:bookmarkStart w:id="1650" w:name="_Toc15033"/>
      <w:bookmarkStart w:id="1651" w:name="_Toc27127"/>
      <w:bookmarkStart w:id="1652" w:name="_Toc5719"/>
      <w:bookmarkStart w:id="1653" w:name="_Toc7323"/>
      <w:bookmarkStart w:id="1654" w:name="_Toc1492"/>
      <w:bookmarkStart w:id="1655" w:name="_Toc20271"/>
      <w:bookmarkStart w:id="1656" w:name="_Toc1356"/>
      <w:bookmarkStart w:id="1657" w:name="_Toc26691"/>
      <w:bookmarkStart w:id="1658" w:name="_Toc27718"/>
      <w:bookmarkStart w:id="1659" w:name="_Toc279701264"/>
      <w:bookmarkStart w:id="1660" w:name="_Toc30096"/>
      <w:bookmarkStart w:id="1661" w:name="_Toc32512"/>
      <w:bookmarkStart w:id="1662" w:name="_Toc31884"/>
      <w:bookmarkStart w:id="1663" w:name="_Toc32540"/>
      <w:bookmarkStart w:id="1664" w:name="_Toc20559"/>
      <w:bookmarkStart w:id="1665" w:name="_Toc31142"/>
      <w:bookmarkStart w:id="1666" w:name="_Toc25528"/>
      <w:bookmarkStart w:id="1667" w:name="_Toc27403"/>
      <w:bookmarkStart w:id="1668" w:name="_Toc1583"/>
      <w:bookmarkStart w:id="1669" w:name="_Toc27679"/>
      <w:bookmarkStart w:id="1670" w:name="_Toc487900374"/>
      <w:r>
        <w:rPr>
          <w:rFonts w:hint="eastAsia" w:ascii="宋体" w:hAnsi="宋体" w:eastAsia="宋体" w:cs="宋体"/>
          <w:b/>
          <w:color w:val="auto"/>
          <w:sz w:val="24"/>
          <w:highlight w:val="none"/>
        </w:rPr>
        <w:t>2.18 履约保证金</w:t>
      </w:r>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2.18.1 采购文件要求乙方提交履约保证金的，乙方应按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约定的方式，以支票、汇票、本票或者金融机构、担保机构出具的保函等非现金形式，提交不超过合同价10%的履约保证金；</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2.18.2 履约保证金在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约定期间内不予退还或者应完全有效，前述约定期间届满之日起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670"/>
    <w:p>
      <w:pPr>
        <w:spacing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2.19 合同份数</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bookmarkStart w:id="1671" w:name="_Toc331685784"/>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第三部分  合同专用条款</w:t>
      </w:r>
      <w:bookmarkEnd w:id="1671"/>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6"/>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7633" w:type="dxa"/>
            <w:vAlign w:val="center"/>
          </w:tcPr>
          <w:p>
            <w:pPr>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bl>
    <w:p>
      <w:pPr>
        <w:spacing w:after="156" w:line="400" w:lineRule="exact"/>
        <w:ind w:firstLine="480"/>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sectPr>
      <w:headerReference r:id="rId14" w:type="default"/>
      <w:footerReference r:id="rId15" w:type="default"/>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SimSun;宋体">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altName w:val="Arial"/>
    <w:panose1 w:val="020B0604020000020204"/>
    <w:charset w:val="00"/>
    <w:family w:val="roman"/>
    <w:pitch w:val="default"/>
    <w:sig w:usb0="00000000" w:usb1="00000000" w:usb2="00000000" w:usb3="00000000" w:csb0="00000001" w:csb1="00000000"/>
  </w:font>
  <w:font w:name="pingfang sc">
    <w:altName w:val="宋体"/>
    <w:panose1 w:val="00000000000000000000"/>
    <w:charset w:val="86"/>
    <w:family w:val="auto"/>
    <w:pitch w:val="default"/>
    <w:sig w:usb0="00000000" w:usb1="00000000" w:usb2="00000017" w:usb3="00000000" w:csb0="00040001"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color w:val="800000"/>
      </w:rPr>
      <w:t>Add</w:t>
    </w:r>
    <w:r>
      <w:rPr>
        <w:rFonts w:hint="eastAsia" w:cs="宋体"/>
        <w:color w:val="800000"/>
      </w:rPr>
      <w:t>：喀什经济开发区深圳城3号楼12层1204</w:t>
    </w:r>
    <w:r>
      <w:rPr>
        <w:color w:val="800000"/>
      </w:rPr>
      <w:t xml:space="preserve"> </w:t>
    </w:r>
    <w:r>
      <w:rPr>
        <w:rFonts w:hint="eastAsia"/>
        <w:color w:val="FF0000"/>
      </w:rPr>
      <w:t xml:space="preserve">   </w:t>
    </w:r>
    <w:r>
      <w:rPr>
        <w:rFonts w:hint="eastAsia"/>
        <w:color w:val="FF0000"/>
        <w:lang w:val="en-US" w:eastAsia="zh-CN"/>
      </w:rPr>
      <w:t xml:space="preserve">             </w:t>
    </w:r>
    <w:r>
      <w:rPr>
        <w:color w:val="800000"/>
      </w:rPr>
      <w:t xml:space="preserve"> Tel</w:t>
    </w:r>
    <w:r>
      <w:rPr>
        <w:rFonts w:hint="eastAsia" w:cs="宋体"/>
        <w:color w:val="800000"/>
      </w:rPr>
      <w:t>：15099650569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ind w:right="360"/>
      <w:jc w:val="center"/>
    </w:pPr>
    <w:r>
      <w:rPr>
        <w:rFonts w:hint="eastAsia"/>
        <w:color w:val="FF0000"/>
      </w:rPr>
      <w:tab/>
    </w:r>
    <w:r>
      <w:rPr>
        <w:color w:val="800000"/>
      </w:rPr>
      <w:t>Add</w:t>
    </w:r>
    <w:r>
      <w:rPr>
        <w:rFonts w:hint="eastAsia" w:cs="宋体"/>
        <w:color w:val="800000"/>
      </w:rPr>
      <w:t>：喀什经济开发区深圳城3号楼12层1204</w:t>
    </w:r>
    <w:r>
      <w:rPr>
        <w:color w:val="800000"/>
      </w:rPr>
      <w:t xml:space="preserve"> </w:t>
    </w:r>
    <w:r>
      <w:rPr>
        <w:rFonts w:hint="eastAsia"/>
        <w:color w:val="FF0000"/>
      </w:rPr>
      <w:t xml:space="preserve">   </w:t>
    </w:r>
    <w:r>
      <w:rPr>
        <w:rFonts w:hint="eastAsia"/>
        <w:color w:val="FF0000"/>
        <w:lang w:val="en-US" w:eastAsia="zh-CN"/>
      </w:rPr>
      <w:t xml:space="preserve">             </w:t>
    </w:r>
    <w:r>
      <w:rPr>
        <w:color w:val="800000"/>
      </w:rPr>
      <w:t xml:space="preserve"> Tel</w:t>
    </w:r>
    <w:r>
      <w:rPr>
        <w:rFonts w:hint="eastAsia" w:cs="宋体"/>
        <w:color w:val="800000"/>
      </w:rPr>
      <w:t>：15099650569</w:t>
    </w:r>
  </w:p>
  <w:p>
    <w:pPr>
      <w:pStyle w:val="16"/>
      <w:tabs>
        <w:tab w:val="clear" w:pos="8306"/>
      </w:tabs>
      <w:ind w:right="360"/>
    </w:pPr>
    <w:r>
      <w:rPr>
        <w:rFonts w:hint="eastAsia"/>
        <w:color w:val="FF0000"/>
      </w:rPr>
      <w:tab/>
    </w:r>
  </w:p>
  <w:p>
    <w:pPr>
      <w:pStyle w:val="16"/>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036"/>
        <w:tab w:val="center" w:pos="4355"/>
        <w:tab w:val="right" w:pos="8312"/>
        <w:tab w:val="right" w:pos="8950"/>
      </w:tabs>
      <w:ind w:right="360"/>
      <w:jc w:val="center"/>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46</w:t>
                    </w:r>
                    <w:r>
                      <w:fldChar w:fldCharType="end"/>
                    </w:r>
                  </w:p>
                </w:txbxContent>
              </v:textbox>
            </v:shape>
          </w:pict>
        </mc:Fallback>
      </mc:AlternateContent>
    </w:r>
    <w:r>
      <w:rPr>
        <w:color w:val="800000"/>
      </w:rPr>
      <w:t>Add</w:t>
    </w:r>
    <w:r>
      <w:rPr>
        <w:rFonts w:hint="eastAsia" w:cs="宋体"/>
        <w:color w:val="800000"/>
      </w:rPr>
      <w:t>：喀什经济开发区深圳城3号楼12层1204</w:t>
    </w:r>
    <w:r>
      <w:rPr>
        <w:color w:val="800000"/>
      </w:rPr>
      <w:t xml:space="preserve">   </w:t>
    </w:r>
    <w:r>
      <w:rPr>
        <w:rFonts w:hint="eastAsia"/>
        <w:color w:val="800000"/>
        <w:lang w:val="en-US" w:eastAsia="zh-CN"/>
      </w:rPr>
      <w:t xml:space="preserve">          </w:t>
    </w:r>
    <w:r>
      <w:rPr>
        <w:color w:val="800000"/>
      </w:rPr>
      <w:t xml:space="preserve"> Tel</w:t>
    </w:r>
    <w:r>
      <w:rPr>
        <w:rFonts w:hint="eastAsia" w:cs="宋体"/>
        <w:color w:val="800000"/>
      </w:rPr>
      <w:t>：15099650569</w:t>
    </w:r>
  </w:p>
  <w:p>
    <w:pPr>
      <w:pStyle w:val="16"/>
    </w:pP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59</w:t>
                    </w:r>
                    <w:r>
                      <w:fldChar w:fldCharType="end"/>
                    </w:r>
                  </w:p>
                </w:txbxContent>
              </v:textbox>
            </v:shape>
          </w:pict>
        </mc:Fallback>
      </mc:AlternateContent>
    </w:r>
  </w:p>
  <w:p>
    <w:pPr>
      <w:pStyle w:val="16"/>
      <w:tabs>
        <w:tab w:val="center" w:pos="4036"/>
        <w:tab w:val="center" w:pos="4355"/>
        <w:tab w:val="right" w:pos="8312"/>
        <w:tab w:val="right" w:pos="8950"/>
      </w:tabs>
      <w:ind w:right="360"/>
      <w:jc w:val="center"/>
    </w:pPr>
    <w:r>
      <w:rPr>
        <w:color w:val="800000"/>
      </w:rPr>
      <w:t>Add</w:t>
    </w:r>
    <w:r>
      <w:rPr>
        <w:rFonts w:hint="eastAsia" w:cs="宋体"/>
        <w:color w:val="800000"/>
      </w:rPr>
      <w:t>：喀什经济开发区深圳城3号楼12层1204</w:t>
    </w:r>
    <w:r>
      <w:rPr>
        <w:color w:val="800000"/>
      </w:rPr>
      <w:t xml:space="preserve">   </w:t>
    </w:r>
    <w:r>
      <w:rPr>
        <w:rFonts w:hint="eastAsia"/>
        <w:color w:val="800000"/>
        <w:lang w:val="en-US" w:eastAsia="zh-CN"/>
      </w:rPr>
      <w:t xml:space="preserve">          </w:t>
    </w:r>
    <w:r>
      <w:rPr>
        <w:color w:val="800000"/>
      </w:rPr>
      <w:t xml:space="preserve"> Tel</w:t>
    </w:r>
    <w:r>
      <w:rPr>
        <w:rFonts w:hint="eastAsia" w:cs="宋体"/>
        <w:color w:val="800000"/>
      </w:rPr>
      <w:t>：15099650569</w:t>
    </w:r>
  </w:p>
  <w:p>
    <w:pPr>
      <w:pStyle w:val="1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036"/>
        <w:tab w:val="center" w:pos="4355"/>
        <w:tab w:val="right" w:pos="8312"/>
        <w:tab w:val="right" w:pos="8950"/>
      </w:tabs>
      <w:ind w:right="360"/>
      <w:jc w:val="center"/>
    </w:pPr>
    <w:r>
      <w:rPr>
        <w:sz w:val="18"/>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63</w:t>
                    </w:r>
                    <w:r>
                      <w:fldChar w:fldCharType="end"/>
                    </w:r>
                  </w:p>
                </w:txbxContent>
              </v:textbox>
            </v:shape>
          </w:pict>
        </mc:Fallback>
      </mc:AlternateContent>
    </w:r>
    <w:r>
      <w:rPr>
        <w:color w:val="800000"/>
      </w:rPr>
      <w:t>Add</w:t>
    </w:r>
    <w:r>
      <w:rPr>
        <w:rFonts w:hint="eastAsia" w:cs="宋体"/>
        <w:color w:val="800000"/>
      </w:rPr>
      <w:t>：喀什经济开发区深圳城3号楼12层1204</w:t>
    </w:r>
    <w:r>
      <w:rPr>
        <w:color w:val="800000"/>
      </w:rPr>
      <w:t xml:space="preserve">   </w:t>
    </w:r>
    <w:r>
      <w:rPr>
        <w:rFonts w:hint="eastAsia"/>
        <w:color w:val="800000"/>
        <w:lang w:val="en-US" w:eastAsia="zh-CN"/>
      </w:rPr>
      <w:t xml:space="preserve">          </w:t>
    </w:r>
    <w:r>
      <w:rPr>
        <w:color w:val="800000"/>
      </w:rPr>
      <w:t xml:space="preserve"> Tel</w:t>
    </w:r>
    <w:r>
      <w:rPr>
        <w:rFonts w:hint="eastAsia" w:cs="宋体"/>
        <w:color w:val="800000"/>
      </w:rPr>
      <w:t>：15099650569</w:t>
    </w:r>
  </w:p>
  <w:p>
    <w:pPr>
      <w:pStyle w:val="16"/>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double" w:color="auto" w:sz="8" w:space="0"/>
      </w:pBdr>
      <w:jc w:val="left"/>
    </w:pPr>
    <w:r>
      <w:drawing>
        <wp:inline distT="0" distB="0" distL="114300" distR="114300">
          <wp:extent cx="991235" cy="633095"/>
          <wp:effectExtent l="0" t="0" r="14605" b="698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r>
      <w:pict>
        <v:shape id="_x0000_s2051" o:spid="_x0000_s2051" o:spt="136" type="#_x0000_t136" style="position:absolute;left:0pt;margin-left:67.2pt;margin-top:32.95pt;height:15.6pt;width:152.25pt;z-index:251663360;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double" w:color="auto" w:sz="8" w:space="0"/>
      </w:pBdr>
      <w:jc w:val="left"/>
    </w:pPr>
    <w:r>
      <w:pict>
        <v:shape id="_x0000_s2050" o:spid="_x0000_s2050" o:spt="136" type="#_x0000_t136" style="position:absolute;left:0pt;margin-left:69.35pt;margin-top:31.85pt;height:15.6pt;width:152.25pt;z-index:251664384;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r>
      <w:drawing>
        <wp:inline distT="0" distB="0" distL="114300" distR="114300">
          <wp:extent cx="991235" cy="633095"/>
          <wp:effectExtent l="0" t="0" r="14605"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double" w:color="auto" w:sz="8" w:space="0"/>
      </w:pBdr>
      <w:jc w:val="left"/>
    </w:pPr>
    <w:r>
      <w:pict>
        <v:shape id="_x0000_s2055" o:spid="_x0000_s2055" o:spt="136" type="#_x0000_t136" style="position:absolute;left:0pt;margin-left:69.35pt;margin-top:31.85pt;height:15.6pt;width:152.25pt;z-index:251666432;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r>
      <w:drawing>
        <wp:inline distT="0" distB="0" distL="114300" distR="114300">
          <wp:extent cx="991235" cy="633095"/>
          <wp:effectExtent l="0" t="0" r="1460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double" w:color="auto" w:sz="8" w:space="0"/>
      </w:pBdr>
      <w:jc w:val="left"/>
    </w:pPr>
    <w:r>
      <w:pict>
        <v:shape id="_x0000_s2054" o:spid="_x0000_s2054" o:spt="136" type="#_x0000_t136" style="position:absolute;left:0pt;margin-left:72.3pt;margin-top:33pt;height:15.6pt;width:152.25pt;z-index:251665408;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r>
      <w:drawing>
        <wp:inline distT="0" distB="0" distL="114300" distR="114300">
          <wp:extent cx="991235" cy="633095"/>
          <wp:effectExtent l="0" t="0" r="14605" b="698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p>
  <w:p>
    <w:pPr>
      <w:pStyle w:val="18"/>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00000004"/>
    <w:multiLevelType w:val="singleLevel"/>
    <w:tmpl w:val="00000004"/>
    <w:lvl w:ilvl="0" w:tentative="0">
      <w:start w:val="2"/>
      <w:numFmt w:val="decimal"/>
      <w:suff w:val="nothing"/>
      <w:lvlText w:val="%1、"/>
      <w:lvlJc w:val="left"/>
    </w:lvl>
  </w:abstractNum>
  <w:abstractNum w:abstractNumId="2">
    <w:nsid w:val="00000005"/>
    <w:multiLevelType w:val="multilevel"/>
    <w:tmpl w:val="0000000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7"/>
    <w:multiLevelType w:val="singleLevel"/>
    <w:tmpl w:val="00000007"/>
    <w:lvl w:ilvl="0" w:tentative="0">
      <w:start w:val="15"/>
      <w:numFmt w:val="decimal"/>
      <w:suff w:val="space"/>
      <w:lvlText w:val="%1."/>
      <w:lvlJc w:val="left"/>
    </w:lvl>
  </w:abstractNum>
  <w:abstractNum w:abstractNumId="4">
    <w:nsid w:val="66631E7A"/>
    <w:multiLevelType w:val="singleLevel"/>
    <w:tmpl w:val="66631E7A"/>
    <w:lvl w:ilvl="0" w:tentative="0">
      <w:start w:val="6"/>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MzU5YzU4OGExZTFmMjk5NTg0OWI1YzdjZjA1MTUifQ=="/>
  </w:docVars>
  <w:rsids>
    <w:rsidRoot w:val="00000000"/>
    <w:rsid w:val="02AC5585"/>
    <w:rsid w:val="03332F3B"/>
    <w:rsid w:val="03824AAC"/>
    <w:rsid w:val="06850BC6"/>
    <w:rsid w:val="068E19BA"/>
    <w:rsid w:val="08123B23"/>
    <w:rsid w:val="08AC2CAF"/>
    <w:rsid w:val="0A690774"/>
    <w:rsid w:val="0D5D20E6"/>
    <w:rsid w:val="0DB53CD0"/>
    <w:rsid w:val="10044A9B"/>
    <w:rsid w:val="10D168C6"/>
    <w:rsid w:val="11C36762"/>
    <w:rsid w:val="13514207"/>
    <w:rsid w:val="14F334FC"/>
    <w:rsid w:val="16A7036B"/>
    <w:rsid w:val="191D7F9E"/>
    <w:rsid w:val="19811F98"/>
    <w:rsid w:val="19E25E4D"/>
    <w:rsid w:val="1A3A7A37"/>
    <w:rsid w:val="1AC619D4"/>
    <w:rsid w:val="1B057C9A"/>
    <w:rsid w:val="1BBE51E0"/>
    <w:rsid w:val="1C4B58BF"/>
    <w:rsid w:val="1CB4669B"/>
    <w:rsid w:val="1CBC0BD7"/>
    <w:rsid w:val="1CCC4B92"/>
    <w:rsid w:val="1D672743"/>
    <w:rsid w:val="1D6B43AB"/>
    <w:rsid w:val="20D364EF"/>
    <w:rsid w:val="232C1EE7"/>
    <w:rsid w:val="233149C3"/>
    <w:rsid w:val="266D2F42"/>
    <w:rsid w:val="29142ECF"/>
    <w:rsid w:val="2BBA09D7"/>
    <w:rsid w:val="2EC038A1"/>
    <w:rsid w:val="2ECB049F"/>
    <w:rsid w:val="31B45EC9"/>
    <w:rsid w:val="340652B3"/>
    <w:rsid w:val="37F4490E"/>
    <w:rsid w:val="3A0E3EC6"/>
    <w:rsid w:val="3C4340D1"/>
    <w:rsid w:val="3C4C398F"/>
    <w:rsid w:val="3ECB7E00"/>
    <w:rsid w:val="3FBE29B5"/>
    <w:rsid w:val="3FF66E37"/>
    <w:rsid w:val="402677EF"/>
    <w:rsid w:val="404843AC"/>
    <w:rsid w:val="40FD2609"/>
    <w:rsid w:val="417210ED"/>
    <w:rsid w:val="42ED5ADA"/>
    <w:rsid w:val="45C16896"/>
    <w:rsid w:val="45EB2A31"/>
    <w:rsid w:val="478E3EDC"/>
    <w:rsid w:val="483B48D8"/>
    <w:rsid w:val="4A577626"/>
    <w:rsid w:val="4AFA2747"/>
    <w:rsid w:val="4DD73AB2"/>
    <w:rsid w:val="4E125FF9"/>
    <w:rsid w:val="4E1316E2"/>
    <w:rsid w:val="4E391F25"/>
    <w:rsid w:val="4F9C1488"/>
    <w:rsid w:val="50FB0FC7"/>
    <w:rsid w:val="52A23254"/>
    <w:rsid w:val="53B12664"/>
    <w:rsid w:val="54316F55"/>
    <w:rsid w:val="57E0014D"/>
    <w:rsid w:val="593073A9"/>
    <w:rsid w:val="5C9D73D6"/>
    <w:rsid w:val="5E46190D"/>
    <w:rsid w:val="5F1F0576"/>
    <w:rsid w:val="61BA7AB1"/>
    <w:rsid w:val="62657B3B"/>
    <w:rsid w:val="66422BD0"/>
    <w:rsid w:val="66926B4D"/>
    <w:rsid w:val="66E5284E"/>
    <w:rsid w:val="6A674B7F"/>
    <w:rsid w:val="6B862427"/>
    <w:rsid w:val="708C16A6"/>
    <w:rsid w:val="70957697"/>
    <w:rsid w:val="70AA5BDC"/>
    <w:rsid w:val="717007BD"/>
    <w:rsid w:val="72174425"/>
    <w:rsid w:val="72A66B8C"/>
    <w:rsid w:val="72FC3FBF"/>
    <w:rsid w:val="740F0761"/>
    <w:rsid w:val="742B4F07"/>
    <w:rsid w:val="74C32927"/>
    <w:rsid w:val="75426333"/>
    <w:rsid w:val="76AF0578"/>
    <w:rsid w:val="76BB24DB"/>
    <w:rsid w:val="78687EFB"/>
    <w:rsid w:val="7ADB01AE"/>
    <w:rsid w:val="7C204D78"/>
    <w:rsid w:val="7DBB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link w:val="35"/>
    <w:qFormat/>
    <w:uiPriority w:val="0"/>
    <w:pPr>
      <w:keepNext/>
      <w:keepLines/>
      <w:autoSpaceDE w:val="0"/>
      <w:autoSpaceDN w:val="0"/>
      <w:adjustRightInd w:val="0"/>
      <w:spacing w:after="120" w:line="300" w:lineRule="auto"/>
    </w:pPr>
    <w:rPr>
      <w:rFonts w:ascii="宋体"/>
      <w:kern w:val="44"/>
      <w:szCs w:val="20"/>
    </w:rPr>
  </w:style>
  <w:style w:type="paragraph" w:styleId="7">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8">
    <w:name w:val="heading 3"/>
    <w:basedOn w:val="1"/>
    <w:next w:val="1"/>
    <w:qFormat/>
    <w:uiPriority w:val="0"/>
    <w:pPr>
      <w:spacing w:before="360" w:after="120"/>
      <w:jc w:val="left"/>
      <w:outlineLvl w:val="2"/>
    </w:pPr>
    <w:rPr>
      <w:rFonts w:ascii="宋体" w:hAnsi="Times New Roman"/>
      <w:sz w:val="24"/>
      <w:u w:val="single"/>
    </w:rPr>
  </w:style>
  <w:style w:type="character" w:default="1" w:styleId="28">
    <w:name w:val="Default Paragraph Font"/>
    <w:qFormat/>
    <w:uiPriority w:val="1"/>
  </w:style>
  <w:style w:type="table" w:default="1" w:styleId="26">
    <w:name w:val="Normal Table"/>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2"/>
    <w:qFormat/>
    <w:uiPriority w:val="0"/>
    <w:pPr>
      <w:spacing w:line="360" w:lineRule="auto"/>
      <w:ind w:firstLine="570"/>
    </w:pPr>
    <w:rPr>
      <w:rFonts w:ascii="Times New Roman" w:hAnsi="Times New Roman"/>
      <w:sz w:val="24"/>
    </w:rPr>
  </w:style>
  <w:style w:type="paragraph" w:styleId="4">
    <w:name w:val="Normal Indent"/>
    <w:basedOn w:val="1"/>
    <w:next w:val="5"/>
    <w:qFormat/>
    <w:uiPriority w:val="0"/>
    <w:pPr>
      <w:autoSpaceDE w:val="0"/>
      <w:autoSpaceDN w:val="0"/>
      <w:adjustRightInd w:val="0"/>
      <w:ind w:firstLine="420"/>
      <w:jc w:val="left"/>
    </w:pPr>
    <w:rPr>
      <w:rFonts w:ascii="宋体" w:hAnsi="Times New Roman"/>
      <w:kern w:val="0"/>
      <w:sz w:val="24"/>
      <w:szCs w:val="20"/>
    </w:rPr>
  </w:style>
  <w:style w:type="paragraph" w:styleId="5">
    <w:name w:val="toa heading"/>
    <w:basedOn w:val="1"/>
    <w:next w:val="1"/>
    <w:qFormat/>
    <w:uiPriority w:val="0"/>
    <w:pPr>
      <w:widowControl/>
      <w:spacing w:before="120"/>
      <w:ind w:firstLine="3584"/>
    </w:pPr>
  </w:style>
  <w:style w:type="paragraph" w:styleId="9">
    <w:name w:val="Document Map"/>
    <w:basedOn w:val="1"/>
    <w:link w:val="67"/>
    <w:qFormat/>
    <w:uiPriority w:val="0"/>
    <w:rPr>
      <w:rFonts w:ascii="宋体"/>
      <w:sz w:val="18"/>
      <w:szCs w:val="18"/>
    </w:rPr>
  </w:style>
  <w:style w:type="paragraph" w:styleId="10">
    <w:name w:val="annotation text"/>
    <w:basedOn w:val="1"/>
    <w:link w:val="60"/>
    <w:qFormat/>
    <w:uiPriority w:val="0"/>
    <w:pPr>
      <w:jc w:val="left"/>
    </w:pPr>
  </w:style>
  <w:style w:type="paragraph" w:styleId="11">
    <w:name w:val="Body Text"/>
    <w:basedOn w:val="1"/>
    <w:next w:val="12"/>
    <w:qFormat/>
    <w:uiPriority w:val="0"/>
    <w:pPr>
      <w:tabs>
        <w:tab w:val="left" w:pos="567"/>
      </w:tabs>
      <w:spacing w:before="120" w:line="22" w:lineRule="atLeast"/>
    </w:pPr>
    <w:rPr>
      <w:rFonts w:ascii="宋体" w:hAnsi="宋体"/>
      <w:sz w:val="24"/>
    </w:rPr>
  </w:style>
  <w:style w:type="paragraph" w:customStyle="1" w:styleId="12">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szCs w:val="20"/>
    </w:rPr>
  </w:style>
  <w:style w:type="paragraph" w:styleId="15">
    <w:name w:val="Balloon Text"/>
    <w:basedOn w:val="1"/>
    <w:link w:val="59"/>
    <w:qFormat/>
    <w:uiPriority w:val="0"/>
    <w:rPr>
      <w:sz w:val="18"/>
      <w:szCs w:val="18"/>
    </w:rPr>
  </w:style>
  <w:style w:type="paragraph" w:styleId="16">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17">
    <w:name w:val="envelope return"/>
    <w:basedOn w:val="1"/>
    <w:qFormat/>
    <w:uiPriority w:val="0"/>
    <w:pPr>
      <w:snapToGrid w:val="0"/>
    </w:pPr>
    <w:rPr>
      <w:rFonts w:ascii="Arial" w:hAnsi="Arial" w:cs="Arial"/>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9">
    <w:name w:val="toc 1"/>
    <w:basedOn w:val="1"/>
    <w:next w:val="1"/>
    <w:qFormat/>
    <w:uiPriority w:val="0"/>
    <w:rPr>
      <w:rFonts w:ascii="Times New Roman" w:hAnsi="Times New Roman"/>
    </w:rPr>
  </w:style>
  <w:style w:type="paragraph" w:styleId="20">
    <w:name w:val="footnote text"/>
    <w:basedOn w:val="1"/>
    <w:qFormat/>
    <w:uiPriority w:val="0"/>
    <w:pPr>
      <w:snapToGrid w:val="0"/>
      <w:jc w:val="left"/>
    </w:pPr>
    <w:rPr>
      <w:rFonts w:ascii="Times New Roman" w:hAnsi="Times New Roman"/>
      <w:sz w:val="18"/>
    </w:rPr>
  </w:style>
  <w:style w:type="paragraph" w:styleId="21">
    <w:name w:val="toc 2"/>
    <w:basedOn w:val="1"/>
    <w:next w:val="1"/>
    <w:qFormat/>
    <w:uiPriority w:val="0"/>
    <w:pPr>
      <w:ind w:left="420" w:leftChars="200"/>
    </w:pPr>
    <w:rPr>
      <w:rFonts w:ascii="Times New Roman" w:hAnsi="Times New Roman"/>
    </w:rPr>
  </w:style>
  <w:style w:type="paragraph" w:styleId="22">
    <w:name w:val="Normal (Web)"/>
    <w:basedOn w:val="1"/>
    <w:qFormat/>
    <w:uiPriority w:val="0"/>
    <w:pPr>
      <w:spacing w:beforeAutospacing="1" w:afterAutospacing="1"/>
      <w:jc w:val="left"/>
    </w:pPr>
    <w:rPr>
      <w:kern w:val="0"/>
      <w:sz w:val="24"/>
    </w:rPr>
  </w:style>
  <w:style w:type="paragraph" w:styleId="23">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24">
    <w:name w:val="annotation subject"/>
    <w:basedOn w:val="10"/>
    <w:next w:val="10"/>
    <w:link w:val="61"/>
    <w:qFormat/>
    <w:uiPriority w:val="0"/>
    <w:rPr>
      <w:b/>
      <w:bCs/>
    </w:rPr>
  </w:style>
  <w:style w:type="paragraph" w:styleId="25">
    <w:name w:val="Body Text First Indent"/>
    <w:basedOn w:val="11"/>
    <w:next w:val="1"/>
    <w:qFormat/>
    <w:uiPriority w:val="0"/>
    <w:pPr>
      <w:spacing w:after="120" w:line="240" w:lineRule="auto"/>
      <w:ind w:firstLine="420" w:firstLineChars="100"/>
    </w:pPr>
    <w:rPr>
      <w:rFonts w:ascii="Calibri" w:hAnsi="Calibri"/>
      <w:sz w:val="18"/>
      <w:szCs w:val="18"/>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basedOn w:val="28"/>
    <w:qFormat/>
    <w:uiPriority w:val="0"/>
    <w:rPr>
      <w:rFonts w:ascii="Times New Roman" w:hAnsi="Times New Roman" w:eastAsia="宋体" w:cs="Times New Roman"/>
    </w:rPr>
  </w:style>
  <w:style w:type="character" w:styleId="31">
    <w:name w:val="Hyperlink"/>
    <w:basedOn w:val="28"/>
    <w:qFormat/>
    <w:uiPriority w:val="0"/>
    <w:rPr>
      <w:color w:val="0000FF"/>
      <w:u w:val="single"/>
    </w:rPr>
  </w:style>
  <w:style w:type="character" w:styleId="32">
    <w:name w:val="annotation reference"/>
    <w:basedOn w:val="28"/>
    <w:qFormat/>
    <w:uiPriority w:val="0"/>
    <w:rPr>
      <w:sz w:val="21"/>
      <w:szCs w:val="21"/>
    </w:rPr>
  </w:style>
  <w:style w:type="paragraph" w:customStyle="1" w:styleId="33">
    <w:name w:val="正文1"/>
    <w:basedOn w:val="25"/>
    <w:qFormat/>
    <w:uiPriority w:val="0"/>
    <w:pPr>
      <w:overflowPunct w:val="0"/>
      <w:textAlignment w:val="baseline"/>
    </w:pPr>
    <w:rPr>
      <w:rFonts w:ascii="Times New Roman" w:hAnsi="Times New Roman" w:eastAsia="SimSun;宋体" w:cs="Times New Roman"/>
      <w:lang w:val="en-GB" w:eastAsia="zh-CN" w:bidi="ar-SA"/>
    </w:rPr>
  </w:style>
  <w:style w:type="paragraph" w:customStyle="1" w:styleId="34">
    <w:name w:val="BodyText"/>
    <w:basedOn w:val="1"/>
    <w:qFormat/>
    <w:uiPriority w:val="0"/>
    <w:pPr>
      <w:spacing w:after="120"/>
    </w:pPr>
  </w:style>
  <w:style w:type="character" w:customStyle="1" w:styleId="35">
    <w:name w:val="标题 1 Char"/>
    <w:link w:val="6"/>
    <w:qFormat/>
    <w:uiPriority w:val="0"/>
    <w:rPr>
      <w:rFonts w:ascii="宋体"/>
      <w:b/>
      <w:kern w:val="44"/>
      <w:sz w:val="32"/>
      <w:szCs w:val="20"/>
    </w:rPr>
  </w:style>
  <w:style w:type="paragraph" w:customStyle="1" w:styleId="36">
    <w:name w:val="无间隔1"/>
    <w:link w:val="53"/>
    <w:qFormat/>
    <w:uiPriority w:val="1"/>
    <w:pPr>
      <w:widowControl w:val="0"/>
      <w:jc w:val="both"/>
    </w:pPr>
    <w:rPr>
      <w:rFonts w:ascii="Calibri" w:hAnsi="Calibri" w:eastAsia="宋体" w:cs="Times New Roman"/>
      <w:kern w:val="2"/>
      <w:sz w:val="21"/>
      <w:szCs w:val="24"/>
      <w:lang w:val="en-US" w:eastAsia="zh-CN" w:bidi="ar-SA"/>
    </w:rPr>
  </w:style>
  <w:style w:type="character" w:customStyle="1" w:styleId="37">
    <w:name w:val="NormalCharacter"/>
    <w:qFormat/>
    <w:uiPriority w:val="0"/>
    <w:rPr>
      <w:rFonts w:ascii="Calibri" w:hAnsi="Calibri" w:eastAsia="宋体" w:cs="Times New Roman"/>
      <w:kern w:val="2"/>
      <w:sz w:val="21"/>
      <w:szCs w:val="24"/>
      <w:lang w:val="en-US" w:eastAsia="zh-CN" w:bidi="ar-SA"/>
    </w:rPr>
  </w:style>
  <w:style w:type="paragraph" w:customStyle="1" w:styleId="38">
    <w:name w:val="图例"/>
    <w:basedOn w:val="1"/>
    <w:qFormat/>
    <w:uiPriority w:val="0"/>
    <w:pPr>
      <w:spacing w:before="120" w:after="120" w:line="360" w:lineRule="auto"/>
      <w:jc w:val="center"/>
    </w:pPr>
    <w:rPr>
      <w:rFonts w:eastAsia="仿宋_GB2312"/>
      <w:b/>
      <w:sz w:val="24"/>
    </w:rPr>
  </w:style>
  <w:style w:type="paragraph" w:customStyle="1" w:styleId="39">
    <w:name w:val="列出段落1"/>
    <w:basedOn w:val="1"/>
    <w:qFormat/>
    <w:uiPriority w:val="0"/>
    <w:pPr>
      <w:ind w:firstLine="420" w:firstLineChars="200"/>
    </w:pPr>
  </w:style>
  <w:style w:type="paragraph" w:customStyle="1" w:styleId="40">
    <w:name w:val="列出段落2"/>
    <w:basedOn w:val="1"/>
    <w:qFormat/>
    <w:uiPriority w:val="34"/>
    <w:pPr>
      <w:ind w:firstLine="420" w:firstLineChars="200"/>
    </w:pPr>
  </w:style>
  <w:style w:type="paragraph" w:customStyle="1" w:styleId="41">
    <w:name w:val="正文-manu"/>
    <w:basedOn w:val="1"/>
    <w:qFormat/>
    <w:uiPriority w:val="0"/>
    <w:pPr>
      <w:spacing w:line="300" w:lineRule="auto"/>
    </w:pPr>
    <w:rPr>
      <w:b/>
      <w:snapToGrid w:val="0"/>
      <w:kern w:val="0"/>
      <w:sz w:val="24"/>
      <w:szCs w:val="20"/>
    </w:rPr>
  </w:style>
  <w:style w:type="character" w:customStyle="1" w:styleId="42">
    <w:name w:val="font01"/>
    <w:basedOn w:val="28"/>
    <w:qFormat/>
    <w:uiPriority w:val="0"/>
    <w:rPr>
      <w:rFonts w:hint="default" w:ascii="Arial" w:hAnsi="Arial" w:cs="Arial"/>
      <w:color w:val="000000"/>
      <w:sz w:val="22"/>
      <w:szCs w:val="22"/>
      <w:u w:val="none"/>
    </w:rPr>
  </w:style>
  <w:style w:type="character" w:customStyle="1" w:styleId="43">
    <w:name w:val="font41"/>
    <w:basedOn w:val="28"/>
    <w:qFormat/>
    <w:uiPriority w:val="0"/>
    <w:rPr>
      <w:rFonts w:hint="eastAsia" w:ascii="宋体" w:hAnsi="宋体" w:eastAsia="宋体" w:cs="宋体"/>
      <w:color w:val="000000"/>
      <w:sz w:val="22"/>
      <w:szCs w:val="22"/>
      <w:u w:val="none"/>
    </w:rPr>
  </w:style>
  <w:style w:type="character" w:customStyle="1" w:styleId="44">
    <w:name w:val="font51"/>
    <w:basedOn w:val="28"/>
    <w:qFormat/>
    <w:uiPriority w:val="0"/>
    <w:rPr>
      <w:rFonts w:hint="eastAsia" w:ascii="宋体" w:hAnsi="宋体" w:eastAsia="宋体" w:cs="宋体"/>
      <w:color w:val="000000"/>
      <w:sz w:val="22"/>
      <w:szCs w:val="22"/>
      <w:u w:val="none"/>
    </w:rPr>
  </w:style>
  <w:style w:type="character" w:customStyle="1" w:styleId="45">
    <w:name w:val="font31"/>
    <w:basedOn w:val="28"/>
    <w:qFormat/>
    <w:uiPriority w:val="0"/>
    <w:rPr>
      <w:rFonts w:hint="default" w:ascii="Arial" w:hAnsi="Arial" w:cs="Arial"/>
      <w:b/>
      <w:color w:val="000000"/>
      <w:sz w:val="22"/>
      <w:szCs w:val="22"/>
      <w:u w:val="none"/>
    </w:rPr>
  </w:style>
  <w:style w:type="character" w:customStyle="1" w:styleId="46">
    <w:name w:val="font91"/>
    <w:basedOn w:val="28"/>
    <w:qFormat/>
    <w:uiPriority w:val="0"/>
    <w:rPr>
      <w:rFonts w:hint="default" w:ascii="Arial" w:hAnsi="Arial" w:cs="Arial"/>
      <w:color w:val="000000"/>
      <w:sz w:val="22"/>
      <w:szCs w:val="22"/>
      <w:u w:val="none"/>
    </w:rPr>
  </w:style>
  <w:style w:type="character" w:customStyle="1" w:styleId="47">
    <w:name w:val="font81"/>
    <w:basedOn w:val="28"/>
    <w:qFormat/>
    <w:uiPriority w:val="0"/>
    <w:rPr>
      <w:rFonts w:hint="eastAsia" w:ascii="宋体" w:hAnsi="宋体" w:eastAsia="宋体" w:cs="宋体"/>
      <w:color w:val="000000"/>
      <w:sz w:val="22"/>
      <w:szCs w:val="22"/>
      <w:u w:val="none"/>
    </w:rPr>
  </w:style>
  <w:style w:type="character" w:customStyle="1" w:styleId="48">
    <w:name w:val="font21"/>
    <w:basedOn w:val="28"/>
    <w:qFormat/>
    <w:uiPriority w:val="0"/>
    <w:rPr>
      <w:rFonts w:ascii="微软雅黑" w:hAnsi="微软雅黑" w:eastAsia="微软雅黑" w:cs="微软雅黑"/>
      <w:b/>
      <w:color w:val="000000"/>
      <w:sz w:val="24"/>
      <w:szCs w:val="24"/>
      <w:u w:val="none"/>
    </w:rPr>
  </w:style>
  <w:style w:type="character" w:customStyle="1" w:styleId="49">
    <w:name w:val="font61"/>
    <w:basedOn w:val="28"/>
    <w:qFormat/>
    <w:uiPriority w:val="0"/>
    <w:rPr>
      <w:rFonts w:hint="default" w:ascii="Times New Roman" w:hAnsi="Times New Roman" w:cs="Times New Roman"/>
      <w:b/>
      <w:color w:val="000000"/>
      <w:sz w:val="24"/>
      <w:szCs w:val="24"/>
      <w:u w:val="none"/>
    </w:rPr>
  </w:style>
  <w:style w:type="character" w:customStyle="1" w:styleId="50">
    <w:name w:val="font71"/>
    <w:basedOn w:val="28"/>
    <w:qFormat/>
    <w:uiPriority w:val="0"/>
    <w:rPr>
      <w:rFonts w:hint="eastAsia" w:ascii="微软雅黑" w:hAnsi="微软雅黑" w:eastAsia="微软雅黑" w:cs="微软雅黑"/>
      <w:color w:val="000000"/>
      <w:sz w:val="24"/>
      <w:szCs w:val="24"/>
      <w:u w:val="none"/>
    </w:rPr>
  </w:style>
  <w:style w:type="character" w:customStyle="1" w:styleId="51">
    <w:name w:val="font101"/>
    <w:basedOn w:val="28"/>
    <w:qFormat/>
    <w:uiPriority w:val="0"/>
    <w:rPr>
      <w:rFonts w:hint="default" w:ascii="Times New Roman" w:hAnsi="Times New Roman" w:cs="Times New Roman"/>
      <w:color w:val="000000"/>
      <w:sz w:val="24"/>
      <w:szCs w:val="24"/>
      <w:u w:val="none"/>
    </w:rPr>
  </w:style>
  <w:style w:type="paragraph" w:customStyle="1" w:styleId="52">
    <w:name w:val="_Style 1"/>
    <w:basedOn w:val="1"/>
    <w:qFormat/>
    <w:uiPriority w:val="34"/>
    <w:pPr>
      <w:ind w:firstLine="420" w:firstLineChars="200"/>
    </w:pPr>
  </w:style>
  <w:style w:type="character" w:customStyle="1" w:styleId="53">
    <w:name w:val="无间隔 Char"/>
    <w:link w:val="36"/>
    <w:qFormat/>
    <w:uiPriority w:val="1"/>
    <w:rPr>
      <w:rFonts w:ascii="Calibri" w:hAnsi="Calibri" w:eastAsia="宋体" w:cs="Times New Roman"/>
      <w:kern w:val="2"/>
      <w:sz w:val="21"/>
      <w:szCs w:val="24"/>
      <w:lang w:val="en-US" w:eastAsia="zh-CN" w:bidi="ar-SA"/>
    </w:rPr>
  </w:style>
  <w:style w:type="paragraph" w:customStyle="1" w:styleId="54">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55">
    <w:name w:val="索引 11"/>
    <w:basedOn w:val="1"/>
    <w:next w:val="1"/>
    <w:qFormat/>
    <w:uiPriority w:val="0"/>
    <w:pPr>
      <w:spacing w:line="360" w:lineRule="auto"/>
    </w:pPr>
    <w:rPr>
      <w:rFonts w:ascii="仿宋_GB2312" w:eastAsia="仿宋_GB2312"/>
      <w:sz w:val="24"/>
      <w:szCs w:val="20"/>
    </w:rPr>
  </w:style>
  <w:style w:type="paragraph" w:customStyle="1" w:styleId="56">
    <w:name w:val="纯文本1"/>
    <w:basedOn w:val="1"/>
    <w:qFormat/>
    <w:uiPriority w:val="0"/>
    <w:rPr>
      <w:rFonts w:ascii="宋体" w:hAnsi="Courier New"/>
      <w:kern w:val="0"/>
      <w:sz w:val="20"/>
      <w:szCs w:val="20"/>
    </w:rPr>
  </w:style>
  <w:style w:type="paragraph" w:customStyle="1" w:styleId="57">
    <w:name w:val="段"/>
    <w:next w:val="1"/>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58">
    <w:name w:val="石墨文档正文"/>
    <w:qFormat/>
    <w:uiPriority w:val="0"/>
    <w:rPr>
      <w:rFonts w:ascii="微软雅黑" w:hAnsi="微软雅黑" w:eastAsia="微软雅黑" w:cs="微软雅黑"/>
      <w:sz w:val="24"/>
      <w:szCs w:val="24"/>
      <w:lang w:val="en-US" w:eastAsia="zh-CN" w:bidi="ar-SA"/>
    </w:rPr>
  </w:style>
  <w:style w:type="character" w:customStyle="1" w:styleId="59">
    <w:name w:val="批注框文本 Char"/>
    <w:basedOn w:val="28"/>
    <w:link w:val="15"/>
    <w:qFormat/>
    <w:uiPriority w:val="0"/>
    <w:rPr>
      <w:kern w:val="2"/>
      <w:sz w:val="18"/>
      <w:szCs w:val="18"/>
    </w:rPr>
  </w:style>
  <w:style w:type="character" w:customStyle="1" w:styleId="60">
    <w:name w:val="批注文字 Char"/>
    <w:basedOn w:val="28"/>
    <w:link w:val="10"/>
    <w:qFormat/>
    <w:uiPriority w:val="0"/>
    <w:rPr>
      <w:kern w:val="2"/>
      <w:sz w:val="21"/>
      <w:szCs w:val="24"/>
    </w:rPr>
  </w:style>
  <w:style w:type="character" w:customStyle="1" w:styleId="61">
    <w:name w:val="批注主题 Char"/>
    <w:basedOn w:val="60"/>
    <w:link w:val="24"/>
    <w:qFormat/>
    <w:uiPriority w:val="0"/>
    <w:rPr>
      <w:b/>
      <w:bCs/>
      <w:kern w:val="2"/>
      <w:sz w:val="21"/>
      <w:szCs w:val="24"/>
    </w:rPr>
  </w:style>
  <w:style w:type="paragraph" w:customStyle="1" w:styleId="62">
    <w:name w:val="CL标准正文首行缩进2字"/>
    <w:qFormat/>
    <w:uiPriority w:val="0"/>
    <w:pPr>
      <w:widowControl w:val="0"/>
      <w:spacing w:line="360" w:lineRule="auto"/>
      <w:ind w:firstLine="200"/>
      <w:jc w:val="both"/>
    </w:pPr>
    <w:rPr>
      <w:rFonts w:ascii="Arial" w:hAnsi="Arial" w:eastAsia="宋体" w:cs="Arial Unicode MS"/>
      <w:color w:val="000000"/>
      <w:kern w:val="2"/>
      <w:sz w:val="21"/>
      <w:szCs w:val="21"/>
      <w:u w:color="000000"/>
      <w:lang w:val="en-US" w:eastAsia="zh-CN" w:bidi="ar-SA"/>
    </w:rPr>
  </w:style>
  <w:style w:type="table" w:customStyle="1" w:styleId="63">
    <w:name w:val="Table Normal1"/>
    <w:qFormat/>
    <w:uiPriority w:val="0"/>
    <w:tblPr>
      <w:tblCellMar>
        <w:top w:w="0" w:type="dxa"/>
        <w:left w:w="0" w:type="dxa"/>
        <w:bottom w:w="0" w:type="dxa"/>
        <w:right w:w="0" w:type="dxa"/>
      </w:tblCellMar>
    </w:tblPr>
  </w:style>
  <w:style w:type="paragraph" w:customStyle="1" w:styleId="64">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65">
    <w:name w:val="p1"/>
    <w:basedOn w:val="1"/>
    <w:qFormat/>
    <w:uiPriority w:val="0"/>
    <w:pPr>
      <w:jc w:val="left"/>
    </w:pPr>
    <w:rPr>
      <w:rFonts w:ascii="pingfang sc" w:hAnsi="pingfang sc" w:eastAsia="pingfang sc"/>
      <w:kern w:val="0"/>
      <w:sz w:val="26"/>
      <w:szCs w:val="26"/>
    </w:rPr>
  </w:style>
  <w:style w:type="character" w:customStyle="1" w:styleId="66">
    <w:name w:val="s1"/>
    <w:basedOn w:val="28"/>
    <w:qFormat/>
    <w:uiPriority w:val="0"/>
    <w:rPr>
      <w:rFonts w:ascii="pingfang sc" w:hAnsi="pingfang sc" w:eastAsia="pingfang sc" w:cs="pingfang sc"/>
      <w:sz w:val="40"/>
      <w:szCs w:val="40"/>
    </w:rPr>
  </w:style>
  <w:style w:type="character" w:customStyle="1" w:styleId="67">
    <w:name w:val="文档结构图 Char"/>
    <w:basedOn w:val="28"/>
    <w:link w:val="9"/>
    <w:qFormat/>
    <w:uiPriority w:val="0"/>
    <w:rPr>
      <w:rFonts w:ascii="宋体" w:hAnsi="Calibri"/>
      <w:kern w:val="2"/>
      <w:sz w:val="18"/>
      <w:szCs w:val="18"/>
    </w:rPr>
  </w:style>
  <w:style w:type="character" w:customStyle="1" w:styleId="68">
    <w:name w:val="font112"/>
    <w:basedOn w:val="28"/>
    <w:qFormat/>
    <w:uiPriority w:val="0"/>
    <w:rPr>
      <w:rFonts w:ascii="宋体" w:hAnsi="宋体" w:eastAsia="宋体" w:cs="宋体"/>
      <w:color w:val="000000"/>
      <w:sz w:val="18"/>
      <w:szCs w:val="18"/>
      <w:u w:val="none"/>
    </w:rPr>
  </w:style>
  <w:style w:type="paragraph" w:styleId="69">
    <w:name w:val="List Paragraph"/>
    <w:basedOn w:val="1"/>
    <w:qFormat/>
    <w:uiPriority w:val="99"/>
    <w:pPr>
      <w:ind w:firstLine="420" w:firstLineChars="200"/>
    </w:pPr>
  </w:style>
  <w:style w:type="paragraph" w:customStyle="1" w:styleId="70">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customStyle="1" w:styleId="71">
    <w:name w:val="样式 首行缩进:  0 厘米"/>
    <w:basedOn w:val="1"/>
    <w:qFormat/>
    <w:uiPriority w:val="0"/>
    <w:pPr>
      <w:spacing w:line="300" w:lineRule="auto"/>
      <w:ind w:firstLine="200" w:firstLineChars="200"/>
    </w:pPr>
    <w:rPr>
      <w:rFonts w:ascii="Book Antiqua" w:hAnsi="Book Antiqua"/>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Info spid="_x0000_s1026" textRotate="1"/>
    <customShpInfo spid="_x0000_s2050"/>
    <customShpInfo spid="_x0000_s2055"/>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35169</Words>
  <Characters>37857</Characters>
  <Paragraphs>2449</Paragraphs>
  <TotalTime>0</TotalTime>
  <ScaleCrop>false</ScaleCrop>
  <LinksUpToDate>false</LinksUpToDate>
  <CharactersWithSpaces>42583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2021-06-23T11:44:00Z</dcterms:created>
  <dc:creator>WPS_1542621076</dc:creator>
  <cp:lastModifiedBy>Administrator</cp:lastModifiedBy>
  <cp:lastPrinted>2022-02-17T08:07:00Z</cp:lastPrinted>
  <dcterms:modified xsi:type="dcterms:W3CDTF">2022-09-30T11:40:22Z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D6744C891C604ACCB44007341F37E8E1</vt:lpwstr>
  </property>
</Properties>
</file>