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900" w:lineRule="exact"/>
        <w:ind w:firstLine="0" w:firstLineChars="0"/>
        <w:jc w:val="center"/>
        <w:rPr>
          <w:rFonts w:hint="eastAsia" w:ascii="宋体" w:hAnsi="宋体" w:eastAsia="宋体" w:cs="宋体"/>
          <w:b/>
          <w:color w:val="auto"/>
          <w:sz w:val="48"/>
          <w:szCs w:val="48"/>
          <w:highlight w:val="none"/>
        </w:rPr>
      </w:pPr>
    </w:p>
    <w:p>
      <w:pPr>
        <w:spacing w:line="240" w:lineRule="atLeast"/>
        <w:jc w:val="center"/>
        <w:rPr>
          <w:rFonts w:hint="eastAsia" w:ascii="宋体" w:hAnsi="宋体" w:eastAsia="宋体" w:cs="宋体"/>
          <w:color w:val="auto"/>
          <w:sz w:val="44"/>
          <w:szCs w:val="44"/>
          <w:highlight w:val="none"/>
          <w:u w:val="none"/>
          <w:lang w:eastAsia="zh-CN"/>
        </w:rPr>
      </w:pPr>
      <w:r>
        <w:rPr>
          <w:rFonts w:hint="eastAsia" w:ascii="宋体" w:hAnsi="宋体" w:eastAsia="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8"/>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8"/>
        <w:ind w:firstLine="960" w:firstLineChars="300"/>
        <w:jc w:val="left"/>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(第四包：体检中心体检管理软件升级改造一批）</w:t>
      </w:r>
    </w:p>
    <w:p>
      <w:pPr>
        <w:pStyle w:val="8"/>
        <w:ind w:firstLine="2240" w:firstLineChars="7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37</w:t>
      </w:r>
    </w:p>
    <w:p>
      <w:pPr>
        <w:spacing w:line="240" w:lineRule="atLeas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莎车县人民医院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刘红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eastAsia"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0998-8525130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21"/>
        <w:tabs>
          <w:tab w:val="right" w:leader="dot" w:pos="8312"/>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_Toc6646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_Toc6646 \h </w:instrText>
      </w:r>
      <w:r>
        <w:fldChar w:fldCharType="separate"/>
      </w:r>
      <w:r>
        <w:t>3</w:t>
      </w:r>
      <w:r>
        <w:fldChar w:fldCharType="end"/>
      </w:r>
      <w:r>
        <w:rPr>
          <w:rFonts w:hint="eastAsia" w:ascii="宋体" w:hAnsi="宋体" w:eastAsia="宋体" w:cs="宋体"/>
          <w:color w:val="auto"/>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_Toc8597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一   总 则</w:t>
      </w:r>
      <w:r>
        <w:tab/>
      </w:r>
      <w:r>
        <w:fldChar w:fldCharType="begin"/>
      </w:r>
      <w:r>
        <w:instrText xml:space="preserve"> PAGEREF _Toc8597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_Toc20996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二   招标文件</w:t>
      </w:r>
      <w:r>
        <w:tab/>
      </w:r>
      <w:r>
        <w:fldChar w:fldCharType="begin"/>
      </w:r>
      <w:r>
        <w:instrText xml:space="preserve"> PAGEREF _Toc20996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_Toc17736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_Toc17736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_Toc189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_Toc22812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_Toc22812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_Toc4493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六   确定中标</w:t>
      </w:r>
      <w:r>
        <w:tab/>
      </w:r>
      <w:r>
        <w:fldChar w:fldCharType="begin"/>
      </w:r>
      <w:r>
        <w:instrText xml:space="preserve"> PAGEREF _Toc4493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_Toc30483 </w:instrText>
      </w:r>
      <w:r>
        <w:rPr>
          <w:rFonts w:hint="eastAsia" w:ascii="宋体" w:hAnsi="宋体" w:eastAsia="宋体" w:cs="宋体"/>
          <w:kern w:val="2"/>
          <w:szCs w:val="24"/>
          <w:highlight w:val="none"/>
        </w:rPr>
        <w:fldChar w:fldCharType="separate"/>
      </w:r>
      <w:r>
        <w:rPr>
          <w:rFonts w:hint="eastAsia" w:ascii="宋体" w:hAnsi="宋体" w:eastAsia="宋体" w:cs="宋体"/>
          <w:szCs w:val="32"/>
          <w:highlight w:val="none"/>
        </w:rPr>
        <w:t>第2章   投标文件格式</w:t>
      </w:r>
      <w:r>
        <w:tab/>
      </w:r>
      <w:r>
        <w:fldChar w:fldCharType="begin"/>
      </w:r>
      <w:r>
        <w:instrText xml:space="preserve"> PAGEREF _Toc30483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_Toc11368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_Toc11368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_Toc21084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1、开标一览表</w:t>
      </w:r>
      <w:r>
        <w:tab/>
      </w:r>
      <w:r>
        <w:fldChar w:fldCharType="begin"/>
      </w:r>
      <w:r>
        <w:instrText xml:space="preserve"> PAGEREF _Toc21084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_Toc793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2、 </w:t>
      </w:r>
      <w:r>
        <w:rPr>
          <w:rFonts w:hint="eastAsia" w:ascii="宋体" w:hAnsi="宋体" w:eastAsia="宋体" w:cs="宋体"/>
          <w:highlight w:val="none"/>
          <w:lang w:eastAsia="zh-CN"/>
        </w:rPr>
        <w:t>具有独立法人资格（三证合一的营业执照）</w:t>
      </w:r>
      <w:r>
        <w:tab/>
      </w:r>
      <w:r>
        <w:fldChar w:fldCharType="begin"/>
      </w:r>
      <w:r>
        <w:instrText xml:space="preserve"> PAGEREF _Toc793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_Toc27592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w:t>
      </w:r>
      <w:r>
        <w:rPr>
          <w:rFonts w:hint="eastAsia" w:ascii="宋体" w:hAnsi="宋体" w:eastAsia="宋体" w:cs="宋体"/>
          <w:szCs w:val="20"/>
          <w:highlight w:val="none"/>
        </w:rPr>
        <w:t>、法定代表人资格证明及授权书、被授权人身份证；(法定代表人投标需提供法定代表人身份证)；</w:t>
      </w:r>
      <w:r>
        <w:tab/>
      </w:r>
      <w:r>
        <w:fldChar w:fldCharType="begin"/>
      </w:r>
      <w:r>
        <w:instrText xml:space="preserve"> PAGEREF _Toc27592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_Toc22778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4、</w:t>
      </w:r>
      <w:r>
        <w:rPr>
          <w:rFonts w:hint="eastAsia" w:ascii="宋体" w:hAnsi="宋体" w:eastAsia="宋体" w:cs="宋体"/>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kern w:val="0"/>
          <w:szCs w:val="20"/>
          <w:highlight w:val="none"/>
        </w:rPr>
        <w:t>；</w:t>
      </w:r>
      <w:r>
        <w:tab/>
      </w:r>
      <w:r>
        <w:fldChar w:fldCharType="begin"/>
      </w:r>
      <w:r>
        <w:instrText xml:space="preserve"> PAGEREF _Toc22778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_Toc5075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5、</w:t>
      </w:r>
      <w:r>
        <w:rPr>
          <w:rFonts w:hint="eastAsia" w:ascii="宋体" w:hAnsi="宋体" w:eastAsia="宋体" w:cs="宋体"/>
          <w:kern w:val="0"/>
          <w:szCs w:val="20"/>
          <w:highlight w:val="none"/>
          <w:lang w:eastAsia="zh-CN"/>
        </w:rPr>
        <w:t>依法缴纳最近连续六个月的社会保险的凭据（授权人和单位员工缴纳明细凭据）</w:t>
      </w:r>
      <w:r>
        <w:rPr>
          <w:rFonts w:hint="eastAsia" w:ascii="宋体" w:hAnsi="宋体" w:eastAsia="宋体" w:cs="宋体"/>
          <w:kern w:val="0"/>
          <w:szCs w:val="20"/>
          <w:highlight w:val="none"/>
        </w:rPr>
        <w:t>；</w:t>
      </w:r>
      <w:r>
        <w:tab/>
      </w:r>
      <w:r>
        <w:fldChar w:fldCharType="begin"/>
      </w:r>
      <w:r>
        <w:instrText xml:space="preserve"> PAGEREF _Toc5075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_Toc13164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6、</w:t>
      </w:r>
      <w:r>
        <w:rPr>
          <w:rFonts w:hint="eastAsia" w:ascii="宋体" w:hAnsi="宋体" w:eastAsia="宋体" w:cs="宋体"/>
          <w:kern w:val="0"/>
          <w:highlight w:val="none"/>
          <w:lang w:eastAsia="zh-CN"/>
        </w:rPr>
        <w:t>提供税务部门出具的最近连续六个月的完税证明</w:t>
      </w:r>
      <w:r>
        <w:rPr>
          <w:rFonts w:hint="eastAsia" w:ascii="宋体" w:hAnsi="宋体" w:eastAsia="宋体" w:cs="宋体"/>
          <w:kern w:val="0"/>
          <w:highlight w:val="none"/>
        </w:rPr>
        <w:t>；</w:t>
      </w:r>
      <w:r>
        <w:tab/>
      </w:r>
      <w:r>
        <w:fldChar w:fldCharType="begin"/>
      </w:r>
      <w:r>
        <w:instrText xml:space="preserve"> PAGEREF _Toc13164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_Toc7656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kern w:val="0"/>
          <w:highlight w:val="none"/>
          <w:lang w:eastAsia="zh-CN"/>
        </w:rPr>
        <w:t>信用服务-重点领域严重失信主体名单查询-搜索栏输入单位全称-截图</w:t>
      </w:r>
      <w:r>
        <w:rPr>
          <w:rFonts w:hint="eastAsia" w:ascii="宋体" w:hAnsi="宋体" w:eastAsia="宋体" w:cs="宋体"/>
          <w:kern w:val="0"/>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_Toc7656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_Toc5516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8、参与政府采购活动前3年内未被列入失信、重大税收违法案件、财政部门禁止参加政府采购活动的承诺书；</w:t>
      </w:r>
      <w:r>
        <w:tab/>
      </w:r>
      <w:r>
        <w:fldChar w:fldCharType="begin"/>
      </w:r>
      <w:r>
        <w:instrText xml:space="preserve"> PAGEREF _Toc5516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_Toc4231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9、提供针对本次项目《反商业贿赂承诺书》；</w:t>
      </w:r>
      <w:r>
        <w:tab/>
      </w:r>
      <w:r>
        <w:fldChar w:fldCharType="begin"/>
      </w:r>
      <w:r>
        <w:instrText xml:space="preserve"> PAGEREF _Toc4231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_Toc9294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lang w:val="en-US" w:eastAsia="zh-CN" w:bidi="ar-SA"/>
        </w:rPr>
        <w:t>10、缴纳投标保证金有效凭证；</w:t>
      </w:r>
      <w:r>
        <w:tab/>
      </w:r>
      <w:r>
        <w:fldChar w:fldCharType="begin"/>
      </w:r>
      <w:r>
        <w:instrText xml:space="preserve"> PAGEREF _Toc9294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_Toc7040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11、</w:t>
      </w:r>
      <w:r>
        <w:rPr>
          <w:rFonts w:hint="eastAsia" w:ascii="宋体" w:hAnsi="宋体" w:eastAsia="宋体" w:cs="宋体"/>
          <w:kern w:val="0"/>
          <w:highlight w:val="none"/>
        </w:rPr>
        <w:t>银行开户许可证复印件或银行基本账户信息(包含：银行账号及开户行名称）</w:t>
      </w:r>
      <w:r>
        <w:tab/>
      </w:r>
      <w:r>
        <w:fldChar w:fldCharType="begin"/>
      </w:r>
      <w:r>
        <w:instrText xml:space="preserve"> PAGEREF _Toc7040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_Toc7239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12、供应商可提供有利于投标的其他资格证明材料。</w:t>
      </w:r>
      <w:r>
        <w:rPr>
          <w:rFonts w:hint="eastAsia" w:ascii="宋体" w:hAnsi="宋体" w:eastAsia="宋体" w:cs="宋体"/>
          <w:bCs/>
          <w:kern w:val="0"/>
          <w:szCs w:val="20"/>
          <w:highlight w:val="none"/>
        </w:rPr>
        <w:t>（具体要求详见项目要求和</w:t>
      </w:r>
      <w:r>
        <w:rPr>
          <w:rFonts w:hint="eastAsia" w:ascii="宋体" w:hAnsi="宋体" w:eastAsia="宋体" w:cs="宋体"/>
          <w:bCs/>
          <w:highlight w:val="none"/>
        </w:rPr>
        <w:t>综合评分表中的商务部分）</w:t>
      </w:r>
      <w:r>
        <w:tab/>
      </w:r>
      <w:r>
        <w:fldChar w:fldCharType="begin"/>
      </w:r>
      <w:r>
        <w:instrText xml:space="preserve"> PAGEREF _Toc7239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_Toc11533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_Toc11533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_Toc11989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1、投标书</w:t>
      </w:r>
      <w:r>
        <w:tab/>
      </w:r>
      <w:r>
        <w:fldChar w:fldCharType="begin"/>
      </w:r>
      <w:r>
        <w:instrText xml:space="preserve"> PAGEREF _Toc11989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_Toc1247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2、投标分项报价表（一）</w:t>
      </w:r>
      <w:r>
        <w:tab/>
      </w:r>
      <w:r>
        <w:fldChar w:fldCharType="begin"/>
      </w:r>
      <w:r>
        <w:instrText xml:space="preserve"> PAGEREF _Toc1247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_Toc18830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highlight w:val="none"/>
        </w:rPr>
        <w:t>备品备件设备分项报价表（二）</w:t>
      </w:r>
      <w:r>
        <w:tab/>
      </w:r>
      <w:r>
        <w:fldChar w:fldCharType="begin"/>
      </w:r>
      <w:r>
        <w:instrText xml:space="preserve"> PAGEREF _Toc18830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_Toc23629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3、服务说明一览表</w:t>
      </w:r>
      <w:r>
        <w:tab/>
      </w:r>
      <w:r>
        <w:fldChar w:fldCharType="begin"/>
      </w:r>
      <w:r>
        <w:instrText xml:space="preserve"> PAGEREF _Toc23629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_Toc8730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4、服务规格偏离表</w:t>
      </w:r>
      <w:r>
        <w:tab/>
      </w:r>
      <w:r>
        <w:fldChar w:fldCharType="begin"/>
      </w:r>
      <w:r>
        <w:instrText xml:space="preserve"> PAGEREF _Toc8730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_Toc13642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5、商务条款偏离表</w:t>
      </w:r>
      <w:r>
        <w:tab/>
      </w:r>
      <w:r>
        <w:fldChar w:fldCharType="begin"/>
      </w:r>
      <w:r>
        <w:instrText xml:space="preserve"> PAGEREF _Toc13642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_Toc29153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6-1  中小企业声明函</w:t>
      </w:r>
      <w:r>
        <w:rPr>
          <w:rFonts w:hint="eastAsia" w:ascii="宋体" w:hAnsi="宋体" w:eastAsia="宋体" w:cs="宋体"/>
          <w:szCs w:val="24"/>
          <w:highlight w:val="none"/>
          <w:lang w:eastAsia="zh-CN"/>
        </w:rPr>
        <w:t>（服务）</w:t>
      </w:r>
      <w:r>
        <w:tab/>
      </w:r>
      <w:r>
        <w:fldChar w:fldCharType="begin"/>
      </w:r>
      <w:r>
        <w:instrText xml:space="preserve"> PAGEREF _Toc29153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_Toc11733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_Toc11733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_Toc26684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7、供应商关联单位的说明</w:t>
      </w:r>
      <w:r>
        <w:tab/>
      </w:r>
      <w:r>
        <w:fldChar w:fldCharType="begin"/>
      </w:r>
      <w:r>
        <w:instrText xml:space="preserve"> PAGEREF _Toc26684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_Toc25585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8、供应商可提供有利于投标的其他资格证明材料</w:t>
      </w:r>
      <w:r>
        <w:tab/>
      </w:r>
      <w:r>
        <w:fldChar w:fldCharType="begin"/>
      </w:r>
      <w:r>
        <w:instrText xml:space="preserve"> PAGEREF _Toc25585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_Toc20226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9、投标文件格式范本</w:t>
      </w:r>
      <w:r>
        <w:tab/>
      </w:r>
      <w:r>
        <w:fldChar w:fldCharType="begin"/>
      </w:r>
      <w:r>
        <w:instrText xml:space="preserve"> PAGEREF _Toc20226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_Toc5747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_Toc5747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_Toc8838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第4章  供应商须知资料表</w:t>
      </w:r>
      <w:r>
        <w:tab/>
      </w:r>
      <w:r>
        <w:fldChar w:fldCharType="begin"/>
      </w:r>
      <w:r>
        <w:instrText xml:space="preserve"> PAGEREF _Toc8838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_Toc15473 </w:instrText>
      </w:r>
      <w:r>
        <w:rPr>
          <w:rFonts w:hint="eastAsia" w:ascii="宋体" w:hAnsi="宋体" w:eastAsia="宋体" w:cs="宋体"/>
          <w:kern w:val="2"/>
          <w:szCs w:val="24"/>
          <w:highlight w:val="none"/>
        </w:rPr>
        <w:fldChar w:fldCharType="separate"/>
      </w:r>
      <w:r>
        <w:rPr>
          <w:rFonts w:hint="eastAsia" w:ascii="宋体" w:hAnsi="宋体" w:cs="宋体"/>
          <w:highlight w:val="none"/>
          <w:lang w:val="en-US" w:eastAsia="zh-CN"/>
        </w:rPr>
        <w:t>第5章</w:t>
      </w:r>
      <w:r>
        <w:rPr>
          <w:rFonts w:hint="eastAsia" w:ascii="宋体" w:hAnsi="宋体" w:eastAsia="宋体" w:cs="宋体"/>
          <w:highlight w:val="none"/>
        </w:rPr>
        <w:t xml:space="preserve"> 服务内容及项目要求</w:t>
      </w:r>
      <w:r>
        <w:tab/>
      </w:r>
      <w:r>
        <w:fldChar w:fldCharType="begin"/>
      </w:r>
      <w:r>
        <w:instrText xml:space="preserve"> PAGEREF _Toc15473 \h </w:instrText>
      </w:r>
      <w:r>
        <w:fldChar w:fldCharType="separate"/>
      </w:r>
      <w:r>
        <w:t>45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_Toc19407 </w:instrText>
      </w:r>
      <w:r>
        <w:rPr>
          <w:rFonts w:hint="eastAsia" w:ascii="宋体" w:hAnsi="宋体" w:eastAsia="宋体" w:cs="宋体"/>
          <w:kern w:val="2"/>
          <w:szCs w:val="24"/>
          <w:highlight w:val="none"/>
        </w:rPr>
        <w:fldChar w:fldCharType="separate"/>
      </w:r>
      <w:r>
        <w:rPr>
          <w:rFonts w:hint="eastAsia" w:ascii="宋体" w:hAnsi="宋体" w:eastAsia="宋体" w:cs="宋体"/>
          <w:bCs/>
          <w:szCs w:val="32"/>
        </w:rPr>
        <w:t xml:space="preserve">一、 </w:t>
      </w:r>
      <w:r>
        <w:rPr>
          <w:rFonts w:hint="eastAsia" w:ascii="宋体" w:hAnsi="宋体" w:eastAsia="宋体" w:cs="宋体"/>
          <w:bCs/>
          <w:szCs w:val="32"/>
          <w:highlight w:val="none"/>
        </w:rPr>
        <w:t>服务需求：</w:t>
      </w:r>
      <w:r>
        <w:tab/>
      </w:r>
      <w:r>
        <w:fldChar w:fldCharType="begin"/>
      </w:r>
      <w:r>
        <w:instrText xml:space="preserve"> PAGEREF _Toc19407 \h </w:instrText>
      </w:r>
      <w:r>
        <w:fldChar w:fldCharType="separate"/>
      </w:r>
      <w:r>
        <w:t>45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_Toc14339 </w:instrText>
      </w:r>
      <w:r>
        <w:rPr>
          <w:rFonts w:hint="eastAsia" w:ascii="宋体" w:hAnsi="宋体" w:eastAsia="宋体" w:cs="宋体"/>
          <w:kern w:val="2"/>
          <w:szCs w:val="24"/>
          <w:highlight w:val="none"/>
        </w:rPr>
        <w:fldChar w:fldCharType="separate"/>
      </w:r>
      <w:r>
        <w:rPr>
          <w:rFonts w:hint="eastAsia" w:ascii="宋体" w:hAnsi="宋体" w:eastAsia="宋体" w:cs="宋体"/>
          <w:szCs w:val="28"/>
        </w:rPr>
        <w:t>一、 项目建设要求</w:t>
      </w:r>
      <w:r>
        <w:tab/>
      </w:r>
      <w:r>
        <w:fldChar w:fldCharType="begin"/>
      </w:r>
      <w:r>
        <w:instrText xml:space="preserve"> PAGEREF _Toc14339 \h </w:instrText>
      </w:r>
      <w:r>
        <w:fldChar w:fldCharType="separate"/>
      </w:r>
      <w:r>
        <w:t>45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_Toc20332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_Toc20332 \h </w:instrText>
      </w:r>
      <w:r>
        <w:fldChar w:fldCharType="separate"/>
      </w:r>
      <w:r>
        <w:t>55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_Toc13391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_Toc13391 \h </w:instrText>
      </w:r>
      <w:r>
        <w:fldChar w:fldCharType="separate"/>
      </w:r>
      <w:r>
        <w:t>60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_Toc1726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_Toc1726 \h </w:instrText>
      </w:r>
      <w:r>
        <w:fldChar w:fldCharType="separate"/>
      </w:r>
      <w:r>
        <w:t>61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_Toc17631 </w:instrText>
      </w:r>
      <w:r>
        <w:rPr>
          <w:rFonts w:hint="eastAsia" w:ascii="宋体" w:hAnsi="宋体" w:eastAsia="宋体" w:cs="宋体"/>
          <w:kern w:val="2"/>
          <w:szCs w:val="24"/>
          <w:highlight w:val="none"/>
        </w:rPr>
        <w:fldChar w:fldCharType="separate"/>
      </w:r>
      <w:r>
        <w:rPr>
          <w:rFonts w:hint="eastAsia" w:ascii="宋体" w:hAnsi="宋体" w:eastAsia="宋体" w:cs="宋体"/>
          <w:bCs/>
          <w:szCs w:val="44"/>
          <w:highlight w:val="none"/>
          <w:lang w:val="en-US" w:eastAsia="zh-CN"/>
        </w:rPr>
        <w:t>第四包</w:t>
      </w:r>
      <w:r>
        <w:rPr>
          <w:rFonts w:hint="eastAsia" w:ascii="宋体" w:hAnsi="宋体" w:eastAsia="宋体" w:cs="宋体"/>
          <w:bCs/>
          <w:szCs w:val="44"/>
          <w:highlight w:val="none"/>
        </w:rPr>
        <w:t>综合评分表</w:t>
      </w:r>
      <w:r>
        <w:tab/>
      </w:r>
      <w:r>
        <w:fldChar w:fldCharType="begin"/>
      </w:r>
      <w:r>
        <w:instrText xml:space="preserve"> PAGEREF _Toc17631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_Toc38 </w:instrText>
      </w:r>
      <w:r>
        <w:rPr>
          <w:rFonts w:hint="eastAsia" w:ascii="宋体" w:hAnsi="宋体" w:eastAsia="宋体" w:cs="宋体"/>
          <w:kern w:val="2"/>
          <w:szCs w:val="24"/>
          <w:highlight w:val="none"/>
        </w:rPr>
        <w:fldChar w:fldCharType="separate"/>
      </w:r>
      <w:r>
        <w:rPr>
          <w:rFonts w:hint="eastAsia" w:hAnsi="宋体" w:eastAsia="宋体" w:cs="宋体"/>
          <w:highlight w:val="none"/>
          <w:lang w:val="en-US" w:eastAsia="zh-CN" w:bidi="ar-SA"/>
        </w:rPr>
        <w:t>第7章 政府采购合同</w:t>
      </w:r>
      <w:r>
        <w:tab/>
      </w:r>
      <w:r>
        <w:fldChar w:fldCharType="begin"/>
      </w:r>
      <w:r>
        <w:instrText xml:space="preserve"> PAGEREF _Toc38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p>
    <w:p>
      <w:pPr>
        <w:pStyle w:val="8"/>
        <w:ind w:firstLine="0"/>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end"/>
      </w:r>
      <w:bookmarkStart w:id="0" w:name="_Toc8627"/>
      <w:bookmarkStart w:id="1" w:name="_Toc216582804"/>
      <w:bookmarkStart w:id="2" w:name="_Toc22782"/>
      <w:bookmarkStart w:id="3" w:name="_Toc17230"/>
      <w:bookmarkStart w:id="4" w:name="_Toc1148"/>
      <w:bookmarkStart w:id="5" w:name="_Toc25253"/>
      <w:bookmarkStart w:id="6" w:name="_Toc11115"/>
      <w:bookmarkStart w:id="7" w:name="_Toc16548"/>
      <w:bookmarkStart w:id="8" w:name="_Toc515647798"/>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9"/>
        <w:rPr>
          <w:rFonts w:hint="eastAsia" w:ascii="宋体" w:hAnsi="宋体" w:eastAsia="宋体" w:cs="宋体"/>
          <w:color w:val="auto"/>
          <w:kern w:val="2"/>
          <w:szCs w:val="24"/>
          <w:highlight w:val="none"/>
        </w:rPr>
      </w:pPr>
    </w:p>
    <w:p>
      <w:pPr>
        <w:rPr>
          <w:rFonts w:hint="eastAsia" w:ascii="宋体" w:hAnsi="宋体" w:eastAsia="宋体" w:cs="宋体"/>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rPr>
          <w:rFonts w:hint="eastAsia" w:ascii="宋体" w:hAnsi="宋体" w:eastAsia="宋体" w:cs="宋体"/>
          <w:color w:val="auto"/>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outlineLvl w:val="0"/>
        <w:rPr>
          <w:rFonts w:hint="eastAsia" w:ascii="宋体" w:hAnsi="宋体" w:eastAsia="宋体" w:cs="宋体"/>
          <w:b/>
          <w:bCs/>
          <w:color w:val="auto"/>
          <w:sz w:val="28"/>
          <w:szCs w:val="21"/>
          <w:highlight w:val="none"/>
        </w:rPr>
      </w:pPr>
    </w:p>
    <w:p>
      <w:pPr>
        <w:pStyle w:val="9"/>
        <w:rPr>
          <w:rFonts w:hint="eastAsia" w:ascii="宋体" w:hAnsi="宋体" w:eastAsia="宋体" w:cs="宋体"/>
          <w:b/>
          <w:bCs/>
          <w:color w:val="auto"/>
          <w:sz w:val="28"/>
          <w:szCs w:val="21"/>
          <w:highlight w:val="none"/>
        </w:rPr>
      </w:pPr>
    </w:p>
    <w:p>
      <w:pPr>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2"/>
        <w:rPr>
          <w:rFonts w:hint="eastAsia" w:ascii="宋体" w:hAnsi="宋体" w:eastAsia="宋体" w:cs="宋体"/>
          <w:b/>
          <w:bCs/>
          <w:color w:val="auto"/>
          <w:sz w:val="28"/>
          <w:szCs w:val="21"/>
          <w:highlight w:val="none"/>
        </w:rPr>
      </w:pPr>
    </w:p>
    <w:p>
      <w:pPr>
        <w:pStyle w:val="8"/>
        <w:ind w:firstLine="0"/>
        <w:jc w:val="center"/>
        <w:outlineLvl w:val="0"/>
        <w:rPr>
          <w:rFonts w:hint="eastAsia" w:ascii="宋体" w:hAnsi="宋体" w:eastAsia="宋体" w:cs="宋体"/>
          <w:b/>
          <w:bCs/>
          <w:color w:val="auto"/>
          <w:sz w:val="28"/>
          <w:szCs w:val="21"/>
          <w:highlight w:val="none"/>
        </w:rPr>
      </w:pPr>
    </w:p>
    <w:p>
      <w:pPr>
        <w:pStyle w:val="8"/>
        <w:ind w:firstLine="0"/>
        <w:jc w:val="center"/>
        <w:outlineLvl w:val="0"/>
        <w:rPr>
          <w:rFonts w:hint="eastAsia" w:ascii="宋体" w:hAnsi="宋体" w:eastAsia="宋体" w:cs="宋体"/>
          <w:b/>
          <w:bCs/>
          <w:color w:val="auto"/>
          <w:sz w:val="28"/>
          <w:szCs w:val="21"/>
          <w:highlight w:val="none"/>
        </w:rPr>
      </w:pPr>
    </w:p>
    <w:p>
      <w:pPr>
        <w:pStyle w:val="8"/>
        <w:ind w:firstLine="0"/>
        <w:jc w:val="center"/>
        <w:outlineLvl w:val="0"/>
        <w:rPr>
          <w:rFonts w:hint="eastAsia" w:ascii="宋体" w:hAnsi="宋体" w:eastAsia="宋体" w:cs="宋体"/>
          <w:b/>
          <w:bCs/>
          <w:color w:val="auto"/>
          <w:sz w:val="28"/>
          <w:szCs w:val="21"/>
          <w:highlight w:val="none"/>
        </w:rPr>
      </w:pPr>
    </w:p>
    <w:p>
      <w:pPr>
        <w:pStyle w:val="8"/>
        <w:ind w:firstLine="0"/>
        <w:jc w:val="center"/>
        <w:outlineLvl w:val="0"/>
        <w:rPr>
          <w:rFonts w:hint="eastAsia" w:ascii="宋体" w:hAnsi="宋体" w:eastAsia="宋体" w:cs="宋体"/>
          <w:color w:val="auto"/>
          <w:highlight w:val="none"/>
        </w:rPr>
      </w:pPr>
      <w:bookmarkStart w:id="9" w:name="_Toc6646"/>
      <w:r>
        <w:rPr>
          <w:rFonts w:hint="eastAsia" w:ascii="宋体" w:hAnsi="宋体" w:eastAsia="宋体" w:cs="宋体"/>
          <w:b/>
          <w:bCs/>
          <w:color w:val="auto"/>
          <w:sz w:val="28"/>
          <w:szCs w:val="21"/>
          <w:highlight w:val="none"/>
        </w:rPr>
        <w:t xml:space="preserve">第1章  </w:t>
      </w:r>
      <w:bookmarkStart w:id="10"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p>
    <w:p>
      <w:pPr>
        <w:pStyle w:val="7"/>
        <w:spacing w:before="0" w:line="240" w:lineRule="atLeast"/>
        <w:ind w:left="1080" w:leftChars="257" w:hanging="540"/>
        <w:rPr>
          <w:rFonts w:hint="eastAsia" w:ascii="宋体" w:hAnsi="宋体" w:eastAsia="宋体" w:cs="宋体"/>
          <w:color w:val="auto"/>
          <w:highlight w:val="none"/>
        </w:rPr>
      </w:pPr>
      <w:bookmarkStart w:id="11" w:name="_Toc520356143"/>
      <w:bookmarkStart w:id="12" w:name="_Toc515647757"/>
      <w:bookmarkStart w:id="13" w:name="_Toc216582805"/>
      <w:bookmarkStart w:id="14" w:name="_Toc8597"/>
      <w:bookmarkStart w:id="15" w:name="_Toc11227"/>
      <w:bookmarkStart w:id="16" w:name="_Toc21015"/>
      <w:bookmarkStart w:id="17" w:name="_Toc21215"/>
      <w:r>
        <w:rPr>
          <w:rFonts w:hint="eastAsia" w:ascii="宋体" w:hAnsi="宋体" w:eastAsia="宋体" w:cs="宋体"/>
          <w:color w:val="auto"/>
          <w:sz w:val="28"/>
          <w:highlight w:val="none"/>
        </w:rPr>
        <w:t xml:space="preserve">一   </w:t>
      </w:r>
      <w:bookmarkEnd w:id="11"/>
      <w:bookmarkEnd w:id="12"/>
      <w:bookmarkEnd w:id="13"/>
      <w:r>
        <w:rPr>
          <w:rFonts w:hint="eastAsia" w:ascii="宋体" w:hAnsi="宋体" w:eastAsia="宋体" w:cs="宋体"/>
          <w:color w:val="auto"/>
          <w:sz w:val="28"/>
          <w:highlight w:val="none"/>
        </w:rPr>
        <w:t>总 则</w:t>
      </w:r>
      <w:bookmarkEnd w:id="14"/>
      <w:bookmarkEnd w:id="15"/>
      <w:bookmarkEnd w:id="16"/>
      <w:bookmarkEnd w:id="17"/>
    </w:p>
    <w:p>
      <w:pPr>
        <w:pStyle w:val="10"/>
        <w:shd w:val="clear" w:color="auto" w:fill="auto"/>
        <w:spacing w:before="0" w:after="0" w:line="360" w:lineRule="exact"/>
        <w:rPr>
          <w:rFonts w:hint="eastAsia" w:ascii="宋体" w:hAnsi="宋体" w:eastAsia="宋体" w:cs="宋体"/>
          <w:color w:val="auto"/>
          <w:highlight w:val="none"/>
          <w:u w:val="none"/>
          <w:lang w:eastAsia="zh-CN"/>
        </w:rPr>
      </w:pPr>
      <w:bookmarkStart w:id="18" w:name="_Toc333"/>
      <w:bookmarkStart w:id="19" w:name="_Toc520356144"/>
      <w:bookmarkStart w:id="20" w:name="_Toc6666"/>
      <w:bookmarkStart w:id="21" w:name="_Toc32189"/>
      <w:bookmarkStart w:id="22" w:name="_Toc8405"/>
      <w:bookmarkStart w:id="23" w:name="_Toc12861"/>
      <w:bookmarkStart w:id="24" w:name="_Toc32623"/>
      <w:bookmarkStart w:id="25" w:name="_Toc515647758"/>
      <w:bookmarkStart w:id="26" w:name="_Toc29554"/>
      <w:bookmarkStart w:id="27" w:name="_Toc31685"/>
      <w:bookmarkStart w:id="28" w:name="_Toc29817"/>
      <w:bookmarkStart w:id="29" w:name="_Toc5199"/>
      <w:bookmarkStart w:id="30" w:name="_Toc28967"/>
      <w:bookmarkStart w:id="31" w:name="_Toc22650"/>
      <w:bookmarkStart w:id="32" w:name="_Toc1279"/>
      <w:bookmarkStart w:id="33" w:name="_Toc881"/>
      <w:bookmarkStart w:id="34" w:name="_Toc13879"/>
      <w:bookmarkStart w:id="35" w:name="_Toc16535"/>
      <w:bookmarkStart w:id="36" w:name="_Toc21286"/>
      <w:bookmarkStart w:id="37" w:name="_Toc520356165"/>
      <w:bookmarkStart w:id="38" w:name="_Toc10550"/>
      <w:bookmarkStart w:id="39" w:name="_Toc18228"/>
      <w:bookmarkStart w:id="40" w:name="_Toc21667"/>
      <w:bookmarkStart w:id="41" w:name="_Toc27495"/>
      <w:bookmarkStart w:id="42" w:name="_Toc21372"/>
      <w:bookmarkStart w:id="43" w:name="_Toc18233"/>
      <w:bookmarkStart w:id="44" w:name="_Toc515647780"/>
      <w:bookmarkStart w:id="45" w:name="_Toc378"/>
      <w:bookmarkStart w:id="46" w:name="_Toc28586"/>
      <w:bookmarkStart w:id="47" w:name="_Toc32415"/>
      <w:bookmarkStart w:id="48" w:name="_Toc5231"/>
      <w:bookmarkStart w:id="49" w:name="_Toc5052"/>
      <w:bookmarkStart w:id="50" w:name="_Toc19296"/>
      <w:r>
        <w:rPr>
          <w:rFonts w:hint="eastAsia" w:ascii="宋体" w:hAnsi="宋体" w:eastAsia="宋体" w:cs="宋体"/>
          <w:color w:val="auto"/>
          <w:highlight w:val="none"/>
          <w:u w:val="none"/>
        </w:rPr>
        <w:t>1.采购人、采购代理机构及</w:t>
      </w:r>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highlight w:val="none"/>
          <w:u w:val="none"/>
          <w:lang w:eastAsia="zh-CN"/>
        </w:rPr>
        <w:t>投标供应商</w:t>
      </w:r>
      <w:bookmarkEnd w:id="31"/>
      <w:bookmarkEnd w:id="32"/>
      <w:bookmarkEnd w:id="33"/>
      <w:bookmarkEnd w:id="34"/>
      <w:bookmarkEnd w:id="35"/>
      <w:bookmarkEnd w:id="36"/>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hd w:val="clear" w:color="auto" w:fill="auto"/>
        <w:tabs>
          <w:tab w:val="left" w:pos="0"/>
        </w:tabs>
        <w:spacing w:line="3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63" w:leftChars="3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及其投标货物须满足以下条件：</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shd w:val="clear" w:color="auto" w:fill="auto"/>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的身份投标。</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的特殊要求，联合体中至少应当有一方符合相关规定。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10"/>
        <w:shd w:val="clear" w:color="auto" w:fill="auto"/>
        <w:spacing w:before="0" w:after="0" w:line="360" w:lineRule="exact"/>
        <w:rPr>
          <w:rFonts w:hint="eastAsia" w:ascii="宋体" w:hAnsi="宋体" w:eastAsia="宋体" w:cs="宋体"/>
          <w:color w:val="auto"/>
          <w:highlight w:val="none"/>
          <w:u w:val="none"/>
        </w:rPr>
      </w:pPr>
      <w:bookmarkStart w:id="51" w:name="_Toc22380"/>
      <w:bookmarkStart w:id="52" w:name="_Toc7964"/>
      <w:bookmarkStart w:id="53" w:name="_Toc30314"/>
      <w:bookmarkStart w:id="54" w:name="_Toc3281"/>
      <w:bookmarkStart w:id="55" w:name="_Toc515647759"/>
      <w:bookmarkStart w:id="56" w:name="_Toc27814"/>
      <w:bookmarkStart w:id="57" w:name="_Toc5286"/>
      <w:bookmarkStart w:id="58" w:name="_Toc17915"/>
      <w:bookmarkStart w:id="59" w:name="_Toc12139"/>
      <w:bookmarkStart w:id="60" w:name="_Toc29088"/>
      <w:bookmarkStart w:id="61" w:name="_Toc14195"/>
      <w:bookmarkStart w:id="62" w:name="_Toc1760"/>
      <w:bookmarkStart w:id="63" w:name="_Toc17595"/>
      <w:bookmarkStart w:id="64" w:name="_Toc14630"/>
      <w:bookmarkStart w:id="65" w:name="_Toc7800"/>
      <w:bookmarkStart w:id="66" w:name="_Toc28511"/>
      <w:bookmarkStart w:id="67" w:name="_Toc6151"/>
      <w:bookmarkStart w:id="68" w:name="_Toc1403"/>
      <w:r>
        <w:rPr>
          <w:rFonts w:hint="eastAsia" w:ascii="宋体" w:hAnsi="宋体" w:eastAsia="宋体" w:cs="宋体"/>
          <w:color w:val="auto"/>
          <w:highlight w:val="none"/>
          <w:u w:val="none"/>
        </w:rPr>
        <w:t>2.资金来源</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10"/>
        <w:shd w:val="clear" w:color="auto" w:fill="auto"/>
        <w:spacing w:before="0" w:after="0" w:line="360" w:lineRule="exact"/>
        <w:rPr>
          <w:rFonts w:hint="eastAsia" w:ascii="宋体" w:hAnsi="宋体" w:eastAsia="宋体" w:cs="宋体"/>
          <w:color w:val="auto"/>
          <w:highlight w:val="none"/>
          <w:u w:val="none"/>
        </w:rPr>
      </w:pPr>
      <w:bookmarkStart w:id="69" w:name="_Toc520356145"/>
      <w:bookmarkStart w:id="70" w:name="_Toc29481"/>
      <w:bookmarkStart w:id="71" w:name="_Toc20799"/>
      <w:bookmarkStart w:id="72" w:name="_Toc20526"/>
      <w:bookmarkStart w:id="73" w:name="_Toc28188"/>
      <w:bookmarkStart w:id="74" w:name="_Toc6740"/>
      <w:bookmarkStart w:id="75" w:name="_Toc15936"/>
      <w:bookmarkStart w:id="76" w:name="_Toc15181"/>
      <w:bookmarkStart w:id="77" w:name="_Toc25814"/>
      <w:bookmarkStart w:id="78" w:name="_Toc5207"/>
      <w:bookmarkStart w:id="79" w:name="_Toc5647"/>
      <w:bookmarkStart w:id="80" w:name="_Toc29681"/>
      <w:bookmarkStart w:id="81" w:name="_Toc515647760"/>
      <w:bookmarkStart w:id="82" w:name="_Toc22731"/>
      <w:bookmarkStart w:id="83" w:name="_Toc15244"/>
      <w:bookmarkStart w:id="84" w:name="_Toc19062"/>
      <w:bookmarkStart w:id="85" w:name="_Toc30650"/>
      <w:bookmarkStart w:id="86" w:name="_Toc530"/>
      <w:r>
        <w:rPr>
          <w:rFonts w:hint="eastAsia" w:ascii="宋体" w:hAnsi="宋体" w:eastAsia="宋体" w:cs="宋体"/>
          <w:color w:val="auto"/>
          <w:highlight w:val="none"/>
          <w:u w:val="none"/>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应承担所有与准备和参加投标有关的费用。</w:t>
      </w:r>
    </w:p>
    <w:p>
      <w:pPr>
        <w:pStyle w:val="10"/>
        <w:shd w:val="clear" w:color="auto" w:fill="auto"/>
        <w:spacing w:before="0" w:after="0" w:line="360" w:lineRule="exact"/>
        <w:rPr>
          <w:rFonts w:hint="eastAsia" w:ascii="宋体" w:hAnsi="宋体" w:eastAsia="宋体" w:cs="宋体"/>
          <w:color w:val="auto"/>
          <w:highlight w:val="none"/>
          <w:u w:val="none"/>
        </w:rPr>
      </w:pPr>
      <w:bookmarkStart w:id="87" w:name="_Toc16096"/>
      <w:bookmarkStart w:id="88" w:name="_Toc8843"/>
      <w:bookmarkStart w:id="89" w:name="_Toc16086"/>
      <w:bookmarkStart w:id="90" w:name="_Toc8661"/>
      <w:bookmarkStart w:id="91" w:name="_Toc27687"/>
      <w:bookmarkStart w:id="92" w:name="_Toc1198"/>
      <w:bookmarkStart w:id="93" w:name="_Toc5853"/>
      <w:bookmarkStart w:id="94" w:name="_Toc12920"/>
      <w:bookmarkStart w:id="95" w:name="_Toc4922"/>
      <w:bookmarkStart w:id="96" w:name="_Toc24665"/>
      <w:bookmarkStart w:id="97" w:name="_Toc20221"/>
      <w:bookmarkStart w:id="98" w:name="_Toc4463"/>
      <w:bookmarkStart w:id="99" w:name="_Toc6116"/>
      <w:bookmarkStart w:id="100" w:name="_Toc8245"/>
      <w:bookmarkStart w:id="101" w:name="_Toc28275"/>
      <w:bookmarkStart w:id="102" w:name="_Toc515647761"/>
      <w:bookmarkStart w:id="103" w:name="_Toc16328"/>
      <w:bookmarkStart w:id="104" w:name="_Toc7418"/>
      <w:r>
        <w:rPr>
          <w:rFonts w:hint="eastAsia" w:ascii="宋体" w:hAnsi="宋体" w:eastAsia="宋体" w:cs="宋体"/>
          <w:color w:val="auto"/>
          <w:highlight w:val="none"/>
          <w:u w:val="none"/>
        </w:rPr>
        <w:t>4.适用法律</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hd w:val="clear" w:color="auto" w:fill="auto"/>
        <w:spacing w:line="360" w:lineRule="exact"/>
        <w:rPr>
          <w:rFonts w:hint="eastAsia" w:ascii="宋体" w:hAnsi="宋体" w:eastAsia="宋体" w:cs="宋体"/>
          <w:color w:val="auto"/>
          <w:sz w:val="24"/>
          <w:highlight w:val="none"/>
        </w:rPr>
      </w:pPr>
    </w:p>
    <w:p>
      <w:pPr>
        <w:pStyle w:val="7"/>
        <w:shd w:val="clear" w:color="auto" w:fill="auto"/>
        <w:spacing w:before="0" w:line="360" w:lineRule="exact"/>
        <w:rPr>
          <w:rFonts w:hint="eastAsia" w:ascii="宋体" w:hAnsi="宋体" w:eastAsia="宋体" w:cs="宋体"/>
          <w:color w:val="auto"/>
          <w:highlight w:val="none"/>
        </w:rPr>
      </w:pPr>
      <w:bookmarkStart w:id="105" w:name="_Toc20996"/>
      <w:bookmarkStart w:id="106" w:name="_Toc21566"/>
      <w:bookmarkStart w:id="107" w:name="_Toc216582806"/>
      <w:bookmarkStart w:id="108" w:name="_Toc4365"/>
      <w:bookmarkStart w:id="109" w:name="_Toc515647762"/>
      <w:bookmarkStart w:id="110" w:name="_Toc520356146"/>
      <w:bookmarkStart w:id="111" w:name="_Toc6385"/>
      <w:bookmarkStart w:id="112" w:name="_Toc11490"/>
      <w:r>
        <w:rPr>
          <w:rFonts w:hint="eastAsia" w:ascii="宋体" w:hAnsi="宋体" w:eastAsia="宋体" w:cs="宋体"/>
          <w:color w:val="auto"/>
          <w:sz w:val="28"/>
          <w:highlight w:val="none"/>
        </w:rPr>
        <w:t>二   招标文件</w:t>
      </w:r>
      <w:bookmarkEnd w:id="105"/>
      <w:bookmarkEnd w:id="106"/>
      <w:bookmarkEnd w:id="107"/>
      <w:bookmarkEnd w:id="108"/>
      <w:bookmarkEnd w:id="109"/>
      <w:bookmarkEnd w:id="110"/>
      <w:bookmarkEnd w:id="111"/>
      <w:bookmarkEnd w:id="112"/>
    </w:p>
    <w:p>
      <w:pPr>
        <w:pStyle w:val="10"/>
        <w:shd w:val="clear" w:color="auto" w:fill="auto"/>
        <w:spacing w:before="0" w:after="0" w:line="360" w:lineRule="exact"/>
        <w:rPr>
          <w:rFonts w:hint="eastAsia" w:ascii="宋体" w:hAnsi="宋体" w:eastAsia="宋体" w:cs="宋体"/>
          <w:color w:val="auto"/>
          <w:highlight w:val="none"/>
          <w:u w:val="none"/>
        </w:rPr>
      </w:pPr>
      <w:bookmarkStart w:id="113" w:name="_Toc25743"/>
      <w:bookmarkStart w:id="114" w:name="_Toc17011"/>
      <w:bookmarkStart w:id="115" w:name="_Toc13081"/>
      <w:bookmarkStart w:id="116" w:name="_Toc520356147"/>
      <w:bookmarkStart w:id="117" w:name="_Toc515647763"/>
      <w:bookmarkStart w:id="118" w:name="_Toc27309"/>
      <w:bookmarkStart w:id="119" w:name="_Toc30347"/>
      <w:bookmarkStart w:id="120" w:name="_Toc20135"/>
      <w:bookmarkStart w:id="121" w:name="_Toc14901"/>
      <w:bookmarkStart w:id="122" w:name="_Toc30797"/>
      <w:bookmarkStart w:id="123" w:name="_Toc24971"/>
      <w:bookmarkStart w:id="124" w:name="_Toc14084"/>
      <w:bookmarkStart w:id="125" w:name="_Toc30280"/>
      <w:bookmarkStart w:id="126" w:name="_Toc15203"/>
      <w:bookmarkStart w:id="127" w:name="_Toc25967"/>
      <w:bookmarkStart w:id="128" w:name="_Toc8757"/>
      <w:bookmarkStart w:id="129" w:name="_Toc12003"/>
      <w:bookmarkStart w:id="130" w:name="_Toc18213"/>
      <w:bookmarkStart w:id="131" w:name="_Toc29550"/>
      <w:r>
        <w:rPr>
          <w:rFonts w:hint="eastAsia" w:ascii="宋体" w:hAnsi="宋体" w:eastAsia="宋体" w:cs="宋体"/>
          <w:color w:val="auto"/>
          <w:highlight w:val="none"/>
          <w:u w:val="none"/>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shd w:val="clear" w:color="auto" w:fill="auto"/>
        <w:spacing w:line="360" w:lineRule="exact"/>
        <w:ind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shd w:val="clear" w:color="auto" w:fill="auto"/>
        <w:tabs>
          <w:tab w:val="left" w:pos="0"/>
        </w:tabs>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shd w:val="clear" w:color="auto" w:fill="auto"/>
        <w:spacing w:line="360" w:lineRule="exact"/>
        <w:ind w:firstLine="33" w:firstLineChars="14"/>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 xml:space="preserve">内容及项目要求 </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10"/>
        <w:shd w:val="clear" w:color="auto" w:fill="auto"/>
        <w:spacing w:before="0" w:after="0" w:line="360" w:lineRule="exact"/>
        <w:rPr>
          <w:rFonts w:hint="eastAsia" w:ascii="宋体" w:hAnsi="宋体" w:eastAsia="宋体" w:cs="宋体"/>
          <w:color w:val="auto"/>
          <w:highlight w:val="none"/>
          <w:u w:val="none"/>
        </w:rPr>
      </w:pPr>
      <w:bookmarkStart w:id="132" w:name="_Toc520356148"/>
      <w:bookmarkStart w:id="133" w:name="_Toc515904805"/>
      <w:bookmarkStart w:id="134" w:name="_Toc20202"/>
      <w:bookmarkStart w:id="135" w:name="_Toc10034"/>
      <w:bookmarkStart w:id="136" w:name="_Toc26044"/>
      <w:bookmarkStart w:id="137" w:name="_Toc31251"/>
      <w:bookmarkStart w:id="138" w:name="_Toc4550"/>
      <w:bookmarkStart w:id="139" w:name="_Toc1117"/>
      <w:bookmarkStart w:id="140" w:name="_Toc17776"/>
      <w:bookmarkStart w:id="141" w:name="_Toc28731"/>
      <w:bookmarkStart w:id="142" w:name="_Toc18890"/>
      <w:bookmarkStart w:id="143" w:name="_Toc24646"/>
      <w:bookmarkStart w:id="144" w:name="_Toc15785"/>
      <w:bookmarkStart w:id="145" w:name="_Toc13818"/>
      <w:bookmarkStart w:id="146" w:name="_Toc19275"/>
      <w:bookmarkStart w:id="147" w:name="_Toc9232"/>
      <w:bookmarkStart w:id="148" w:name="_Toc29335"/>
      <w:bookmarkStart w:id="149" w:name="_Toc10537"/>
      <w:r>
        <w:rPr>
          <w:rFonts w:hint="eastAsia" w:ascii="宋体" w:hAnsi="宋体" w:eastAsia="宋体" w:cs="宋体"/>
          <w:color w:val="auto"/>
          <w:highlight w:val="none"/>
          <w:u w:val="none"/>
        </w:rPr>
        <w:t>6.招标文件的澄清</w:t>
      </w:r>
      <w:bookmarkEnd w:id="132"/>
      <w:bookmarkEnd w:id="133"/>
      <w:r>
        <w:rPr>
          <w:rFonts w:hint="eastAsia" w:ascii="宋体" w:hAnsi="宋体" w:eastAsia="宋体" w:cs="宋体"/>
          <w:color w:val="auto"/>
          <w:highlight w:val="none"/>
          <w:u w:val="none"/>
        </w:rPr>
        <w:t>与修改</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bookmarkStart w:id="150" w:name="_Ref467378678"/>
      <w:bookmarkStart w:id="151" w:name="_Toc515904806"/>
      <w:bookmarkStart w:id="152"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在收到上述通知后，应及时向采购代理机构回函确认。</w:t>
      </w:r>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153" w:name="_Toc1073"/>
      <w:bookmarkStart w:id="154" w:name="_Toc32742"/>
      <w:bookmarkStart w:id="155" w:name="_Toc517"/>
      <w:bookmarkStart w:id="156" w:name="_Toc3631"/>
      <w:bookmarkStart w:id="157" w:name="_Toc31080"/>
      <w:bookmarkStart w:id="158" w:name="_Toc9663"/>
      <w:bookmarkStart w:id="159" w:name="_Toc28340"/>
      <w:bookmarkStart w:id="160" w:name="_Toc978"/>
      <w:bookmarkStart w:id="161" w:name="_Toc5103"/>
      <w:bookmarkStart w:id="162" w:name="_Toc24078"/>
      <w:bookmarkStart w:id="163" w:name="_Toc12968"/>
      <w:bookmarkStart w:id="164" w:name="_Toc25635"/>
      <w:bookmarkStart w:id="165" w:name="_Toc19637"/>
      <w:bookmarkStart w:id="166" w:name="_Toc32351"/>
      <w:bookmarkStart w:id="167" w:name="_Toc7836"/>
      <w:bookmarkStart w:id="168" w:name="_Toc22107"/>
      <w:bookmarkStart w:id="169" w:name="_Toc14569"/>
      <w:r>
        <w:rPr>
          <w:rFonts w:hint="eastAsia" w:ascii="宋体" w:hAnsi="宋体" w:eastAsia="宋体" w:cs="宋体"/>
          <w:color w:val="auto"/>
          <w:highlight w:val="none"/>
          <w:u w:val="none"/>
        </w:rPr>
        <w:t>7</w:t>
      </w:r>
      <w:bookmarkEnd w:id="150"/>
      <w:bookmarkEnd w:id="151"/>
      <w:bookmarkEnd w:id="152"/>
      <w:r>
        <w:rPr>
          <w:rFonts w:hint="eastAsia" w:ascii="宋体" w:hAnsi="宋体" w:eastAsia="宋体" w:cs="宋体"/>
          <w:color w:val="auto"/>
          <w:highlight w:val="none"/>
          <w:u w:val="none"/>
        </w:rPr>
        <w:t>.投标截止时间的顺延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shd w:val="clear" w:color="auto" w:fill="auto"/>
        <w:spacing w:line="360" w:lineRule="exact"/>
        <w:ind w:left="900" w:hanging="900" w:hangingChars="375"/>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70" w:name="_Toc516367020"/>
      <w:bookmarkStart w:id="171" w:name="_Toc515647766"/>
      <w:bookmarkStart w:id="172" w:name="_Toc520356150"/>
      <w:bookmarkStart w:id="173" w:name="_Toc30808"/>
      <w:bookmarkStart w:id="174" w:name="_Toc216582807"/>
      <w:bookmarkStart w:id="175" w:name="_Toc7636"/>
    </w:p>
    <w:p>
      <w:pPr>
        <w:shd w:val="clear" w:color="auto" w:fill="auto"/>
        <w:tabs>
          <w:tab w:val="left" w:pos="900"/>
        </w:tabs>
        <w:spacing w:line="360" w:lineRule="exact"/>
        <w:ind w:hanging="540"/>
        <w:rPr>
          <w:rFonts w:hint="eastAsia" w:ascii="宋体" w:hAnsi="宋体" w:eastAsia="宋体" w:cs="宋体"/>
          <w:color w:val="auto"/>
          <w:sz w:val="28"/>
          <w:highlight w:val="none"/>
        </w:rPr>
      </w:pPr>
    </w:p>
    <w:p>
      <w:pPr>
        <w:pStyle w:val="7"/>
        <w:shd w:val="clear" w:color="auto" w:fill="auto"/>
        <w:tabs>
          <w:tab w:val="left" w:pos="900"/>
        </w:tabs>
        <w:spacing w:before="0" w:line="360" w:lineRule="exact"/>
        <w:ind w:hanging="540"/>
        <w:rPr>
          <w:rFonts w:hint="eastAsia" w:ascii="宋体" w:hAnsi="宋体" w:eastAsia="宋体" w:cs="宋体"/>
          <w:color w:val="auto"/>
          <w:sz w:val="28"/>
          <w:highlight w:val="none"/>
        </w:rPr>
      </w:pPr>
      <w:bookmarkStart w:id="176" w:name="_Toc29522"/>
      <w:bookmarkStart w:id="177" w:name="_Toc17736"/>
      <w:r>
        <w:rPr>
          <w:rFonts w:hint="eastAsia" w:ascii="宋体" w:hAnsi="宋体" w:eastAsia="宋体" w:cs="宋体"/>
          <w:color w:val="auto"/>
          <w:sz w:val="28"/>
          <w:highlight w:val="none"/>
        </w:rPr>
        <w:t>三   投标文件</w:t>
      </w:r>
      <w:bookmarkEnd w:id="170"/>
      <w:r>
        <w:rPr>
          <w:rFonts w:hint="eastAsia" w:ascii="宋体" w:hAnsi="宋体" w:eastAsia="宋体" w:cs="宋体"/>
          <w:color w:val="auto"/>
          <w:sz w:val="28"/>
          <w:highlight w:val="none"/>
        </w:rPr>
        <w:t>的编制</w:t>
      </w:r>
      <w:bookmarkEnd w:id="171"/>
      <w:bookmarkEnd w:id="172"/>
      <w:bookmarkEnd w:id="173"/>
      <w:bookmarkEnd w:id="174"/>
      <w:bookmarkEnd w:id="175"/>
      <w:bookmarkEnd w:id="176"/>
      <w:bookmarkEnd w:id="177"/>
    </w:p>
    <w:p>
      <w:pPr>
        <w:pStyle w:val="8"/>
        <w:shd w:val="clear" w:color="auto" w:fill="auto"/>
        <w:spacing w:line="360" w:lineRule="exact"/>
        <w:rPr>
          <w:rFonts w:hint="eastAsia" w:ascii="宋体" w:hAnsi="宋体" w:eastAsia="宋体" w:cs="宋体"/>
          <w:color w:val="auto"/>
          <w:highlight w:val="none"/>
        </w:rPr>
      </w:pPr>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178" w:name="_Toc5025"/>
      <w:bookmarkStart w:id="179" w:name="_Toc516367021"/>
      <w:bookmarkStart w:id="180" w:name="_Toc13336"/>
      <w:bookmarkStart w:id="181" w:name="_Toc20486"/>
      <w:bookmarkStart w:id="182" w:name="_Toc515647767"/>
      <w:bookmarkStart w:id="183" w:name="_Toc15642"/>
      <w:bookmarkStart w:id="184" w:name="_Toc2383"/>
      <w:bookmarkStart w:id="185" w:name="_Toc14490"/>
      <w:bookmarkStart w:id="186" w:name="_Toc13345"/>
      <w:bookmarkStart w:id="187" w:name="_Toc3553"/>
      <w:bookmarkStart w:id="188" w:name="_Toc520356151"/>
      <w:bookmarkStart w:id="189" w:name="_Toc19600"/>
      <w:bookmarkStart w:id="190" w:name="_Toc4315"/>
      <w:bookmarkStart w:id="191" w:name="_Toc12233"/>
      <w:bookmarkStart w:id="192" w:name="_Toc10240"/>
      <w:bookmarkStart w:id="193" w:name="_Toc7786"/>
      <w:bookmarkStart w:id="194" w:name="_Toc2129"/>
      <w:bookmarkStart w:id="195" w:name="_Toc14344"/>
      <w:bookmarkStart w:id="196" w:name="_Toc2539"/>
      <w:bookmarkStart w:id="197" w:name="_Toc26413"/>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198" w:name="_Ref467306195"/>
      <w:bookmarkStart w:id="199" w:name="_Toc516367022"/>
      <w:bookmarkStart w:id="200" w:name="_Ref467306676"/>
      <w:bookmarkStart w:id="201" w:name="_Toc520356152"/>
      <w:bookmarkStart w:id="202" w:name="_Toc23575"/>
      <w:bookmarkStart w:id="203" w:name="_Toc505"/>
      <w:bookmarkStart w:id="204" w:name="_Toc10364"/>
      <w:bookmarkStart w:id="205" w:name="_Toc8640"/>
      <w:bookmarkStart w:id="206" w:name="_Toc7159"/>
      <w:bookmarkStart w:id="207" w:name="_Toc16016"/>
      <w:bookmarkStart w:id="208" w:name="_Toc22417"/>
      <w:bookmarkStart w:id="209" w:name="_Toc4034"/>
      <w:bookmarkStart w:id="210" w:name="_Toc22897"/>
      <w:bookmarkStart w:id="211" w:name="_Toc5460"/>
      <w:bookmarkStart w:id="212" w:name="_Toc11619"/>
      <w:bookmarkStart w:id="213" w:name="_Toc16310"/>
      <w:bookmarkStart w:id="214" w:name="_Toc20770"/>
      <w:bookmarkStart w:id="215" w:name="_Toc258"/>
      <w:bookmarkStart w:id="216" w:name="_Toc28307"/>
      <w:bookmarkStart w:id="217" w:name="_Toc20426"/>
      <w:bookmarkStart w:id="218" w:name="_Toc515647768"/>
      <w:bookmarkStart w:id="219" w:name="_Toc15740"/>
      <w:r>
        <w:rPr>
          <w:rFonts w:hint="eastAsia" w:ascii="宋体" w:hAnsi="宋体" w:eastAsia="宋体" w:cs="宋体"/>
          <w:color w:val="auto"/>
          <w:highlight w:val="none"/>
          <w:u w:val="none"/>
        </w:rPr>
        <w:t>9.投标文件</w:t>
      </w:r>
      <w:bookmarkEnd w:id="198"/>
      <w:bookmarkEnd w:id="199"/>
      <w:bookmarkEnd w:id="200"/>
      <w:r>
        <w:rPr>
          <w:rFonts w:hint="eastAsia" w:ascii="宋体" w:hAnsi="宋体" w:eastAsia="宋体" w:cs="宋体"/>
          <w:color w:val="auto"/>
          <w:highlight w:val="none"/>
          <w:u w:val="none"/>
        </w:rPr>
        <w:t>构成</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hd w:val="clear" w:color="auto" w:fill="auto"/>
        <w:tabs>
          <w:tab w:val="left" w:pos="900"/>
          <w:tab w:val="left" w:pos="5580"/>
        </w:tabs>
        <w:spacing w:line="360" w:lineRule="exact"/>
        <w:ind w:left="960" w:hanging="960" w:hangingChars="400"/>
        <w:jc w:val="left"/>
        <w:rPr>
          <w:rFonts w:hint="eastAsia" w:ascii="宋体" w:hAnsi="宋体" w:eastAsia="宋体" w:cs="宋体"/>
          <w:color w:val="auto"/>
          <w:sz w:val="24"/>
          <w:highlight w:val="none"/>
          <w:u w:val="single"/>
        </w:rPr>
      </w:pPr>
      <w:bookmarkStart w:id="220"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lang w:val="en-US" w:eastAsia="zh-CN"/>
        </w:rPr>
        <w:t>上传至政采云平台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0"/>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221" w:name="_Toc18801"/>
      <w:bookmarkStart w:id="222" w:name="_Toc24893"/>
      <w:bookmarkStart w:id="223" w:name="_Toc32034"/>
      <w:bookmarkStart w:id="224" w:name="_Toc516367023"/>
      <w:bookmarkStart w:id="225" w:name="_Toc10379"/>
      <w:bookmarkStart w:id="226" w:name="_Toc10584"/>
      <w:bookmarkStart w:id="227" w:name="_Toc4601"/>
      <w:bookmarkStart w:id="228" w:name="_Toc520356153"/>
      <w:bookmarkStart w:id="229" w:name="_Toc25008"/>
      <w:bookmarkStart w:id="230" w:name="_Toc20916"/>
      <w:bookmarkStart w:id="231" w:name="_Toc15151"/>
      <w:bookmarkStart w:id="232" w:name="_Toc515647769"/>
      <w:bookmarkStart w:id="233" w:name="_Toc6978"/>
      <w:bookmarkStart w:id="234" w:name="_Toc12283"/>
      <w:bookmarkStart w:id="235" w:name="_Toc30354"/>
      <w:bookmarkStart w:id="236" w:name="_Toc2056"/>
      <w:bookmarkStart w:id="237" w:name="_Toc7179"/>
      <w:bookmarkStart w:id="238" w:name="_Toc21106"/>
      <w:bookmarkStart w:id="239" w:name="_Toc6761"/>
      <w:bookmarkStart w:id="240" w:name="_Toc32007"/>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shd w:val="clear" w:color="auto" w:fill="auto"/>
        <w:spacing w:line="360" w:lineRule="exact"/>
        <w:ind w:left="900" w:hanging="900" w:hangingChars="375"/>
        <w:rPr>
          <w:rFonts w:hint="eastAsia" w:ascii="宋体" w:hAnsi="宋体" w:eastAsia="宋体" w:cs="宋体"/>
          <w:color w:val="auto"/>
          <w:sz w:val="24"/>
          <w:highlight w:val="none"/>
        </w:rPr>
      </w:pPr>
      <w:bookmarkStart w:id="24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41"/>
      <w:r>
        <w:rPr>
          <w:rFonts w:hint="eastAsia" w:ascii="宋体" w:hAnsi="宋体" w:eastAsia="宋体" w:cs="宋体"/>
          <w:color w:val="auto"/>
          <w:sz w:val="24"/>
          <w:highlight w:val="none"/>
        </w:rPr>
        <w:t>它包括：</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内容的详细说明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从采购单位开始使用至招标文件规定的</w:t>
      </w:r>
      <w:r>
        <w:rPr>
          <w:rFonts w:hint="eastAsia" w:ascii="宋体" w:hAnsi="宋体" w:eastAsia="宋体" w:cs="宋体"/>
          <w:color w:val="auto"/>
          <w:sz w:val="24"/>
          <w:highlight w:val="none"/>
          <w:lang w:val="en-US" w:eastAsia="zh-CN"/>
        </w:rPr>
        <w:t>服务期</w:t>
      </w:r>
      <w:r>
        <w:rPr>
          <w:rFonts w:hint="eastAsia" w:ascii="宋体" w:hAnsi="宋体" w:eastAsia="宋体" w:cs="宋体"/>
          <w:color w:val="auto"/>
          <w:sz w:val="24"/>
          <w:highlight w:val="none"/>
        </w:rPr>
        <w:t>内正常、连续地使用所必须的备</w:t>
      </w:r>
      <w:r>
        <w:rPr>
          <w:rFonts w:hint="eastAsia" w:ascii="宋体" w:hAnsi="宋体" w:eastAsia="宋体" w:cs="宋体"/>
          <w:color w:val="auto"/>
          <w:sz w:val="24"/>
          <w:highlight w:val="none"/>
          <w:lang w:val="en-US" w:eastAsia="zh-CN"/>
        </w:rPr>
        <w:t>品库</w:t>
      </w:r>
      <w:r>
        <w:rPr>
          <w:rFonts w:hint="eastAsia" w:ascii="宋体" w:hAnsi="宋体" w:eastAsia="宋体" w:cs="宋体"/>
          <w:color w:val="auto"/>
          <w:sz w:val="24"/>
          <w:highlight w:val="none"/>
          <w:lang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42" w:name="_Toc4834"/>
      <w:bookmarkStart w:id="243" w:name="_Toc114"/>
      <w:bookmarkStart w:id="244" w:name="_Toc17561"/>
      <w:bookmarkStart w:id="245" w:name="_Toc14830"/>
      <w:bookmarkStart w:id="246" w:name="_Toc16707"/>
      <w:bookmarkStart w:id="247" w:name="_Toc520356155"/>
      <w:bookmarkStart w:id="248" w:name="_Toc12102"/>
      <w:bookmarkStart w:id="249" w:name="_Toc2248"/>
      <w:bookmarkStart w:id="250" w:name="_Toc515647770"/>
      <w:bookmarkStart w:id="251" w:name="_Toc18539"/>
      <w:bookmarkStart w:id="252" w:name="_Toc14852"/>
      <w:bookmarkStart w:id="253" w:name="_Toc5144"/>
      <w:bookmarkStart w:id="254" w:name="_Toc25641"/>
      <w:bookmarkStart w:id="255" w:name="_Toc6000"/>
      <w:bookmarkStart w:id="256" w:name="_Toc23231"/>
      <w:bookmarkStart w:id="257" w:name="_Toc26145"/>
      <w:bookmarkStart w:id="258" w:name="_Toc301"/>
      <w:bookmarkStart w:id="259" w:name="_Toc10339"/>
      <w:bookmarkStart w:id="260" w:name="_Toc29220"/>
      <w:r>
        <w:rPr>
          <w:rFonts w:hint="eastAsia" w:ascii="宋体" w:hAnsi="宋体" w:eastAsia="宋体" w:cs="宋体"/>
          <w:color w:val="auto"/>
          <w:highlight w:val="none"/>
          <w:u w:val="none"/>
        </w:rPr>
        <w:t>11.投标报价</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只能有一个投标报价。采购人不接受具有附加条件的报价。</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61" w:name="_Toc14082"/>
      <w:bookmarkStart w:id="262" w:name="_Toc21719"/>
      <w:bookmarkStart w:id="263" w:name="_Toc515647771"/>
      <w:bookmarkStart w:id="264" w:name="_Toc11514"/>
      <w:bookmarkStart w:id="265" w:name="_Toc26303"/>
      <w:bookmarkStart w:id="266" w:name="_Toc18556"/>
      <w:bookmarkStart w:id="267" w:name="_Toc520356156"/>
      <w:bookmarkStart w:id="268" w:name="_Toc17236"/>
      <w:bookmarkStart w:id="269" w:name="_Toc30245"/>
      <w:bookmarkStart w:id="270" w:name="_Toc21122"/>
      <w:bookmarkStart w:id="271" w:name="_Toc17788"/>
      <w:bookmarkStart w:id="272" w:name="_Toc7715"/>
      <w:bookmarkStart w:id="273" w:name="_Toc27772"/>
      <w:bookmarkStart w:id="274" w:name="_Toc1683"/>
      <w:bookmarkStart w:id="275" w:name="_Toc4584"/>
      <w:bookmarkStart w:id="276" w:name="_Toc5648"/>
      <w:bookmarkStart w:id="277" w:name="_Toc5785"/>
      <w:bookmarkStart w:id="278" w:name="_Toc6006"/>
      <w:bookmarkStart w:id="279" w:name="_Toc14161"/>
      <w:bookmarkStart w:id="280" w:name="_Ref467306513"/>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8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81"/>
      <w:r>
        <w:rPr>
          <w:rFonts w:hint="eastAsia" w:ascii="宋体" w:hAnsi="宋体" w:eastAsia="宋体" w:cs="宋体"/>
          <w:color w:val="auto"/>
          <w:sz w:val="24"/>
          <w:highlight w:val="none"/>
        </w:rPr>
        <w:t>，并作为其投标的一部分。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8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82"/>
      <w:r>
        <w:rPr>
          <w:rFonts w:hint="eastAsia" w:ascii="宋体" w:hAnsi="宋体" w:eastAsia="宋体" w:cs="宋体"/>
          <w:color w:val="auto"/>
          <w:sz w:val="24"/>
          <w:highlight w:val="none"/>
        </w:rPr>
        <w:t>政府采购信用担保试点范围内的项目，接受符合财政部门规定的政府采购投标担保函原件。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283" w:name="_Toc27999"/>
      <w:bookmarkStart w:id="284" w:name="_Toc23590"/>
      <w:bookmarkStart w:id="285" w:name="_Toc1977"/>
      <w:bookmarkStart w:id="286" w:name="_Toc520356157"/>
      <w:bookmarkStart w:id="287" w:name="_Toc32370"/>
      <w:bookmarkStart w:id="288" w:name="_Toc32569"/>
      <w:bookmarkStart w:id="289" w:name="_Toc19152"/>
      <w:bookmarkStart w:id="290" w:name="_Toc7472"/>
      <w:bookmarkStart w:id="291" w:name="_Toc17842"/>
      <w:bookmarkStart w:id="292" w:name="_Toc31306"/>
      <w:bookmarkStart w:id="293" w:name="_Toc30519"/>
      <w:bookmarkStart w:id="294" w:name="_Toc12947"/>
      <w:bookmarkStart w:id="295" w:name="_Toc10784"/>
      <w:bookmarkStart w:id="296" w:name="_Toc28542"/>
      <w:bookmarkStart w:id="297" w:name="_Toc2878"/>
      <w:bookmarkStart w:id="298" w:name="_Toc515647772"/>
      <w:bookmarkStart w:id="299" w:name="_Toc26050"/>
      <w:bookmarkStart w:id="300" w:name="_Toc4650"/>
      <w:bookmarkStart w:id="301" w:name="_Toc19543"/>
      <w:r>
        <w:rPr>
          <w:rFonts w:hint="eastAsia" w:ascii="宋体" w:hAnsi="宋体" w:eastAsia="宋体" w:cs="宋体"/>
          <w:color w:val="auto"/>
          <w:highlight w:val="none"/>
          <w:u w:val="none"/>
        </w:rPr>
        <w:t>13.投标有效期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302" w:name="_Toc520356158"/>
      <w:bookmarkStart w:id="303" w:name="_Toc6286"/>
      <w:bookmarkStart w:id="304" w:name="_Toc493"/>
      <w:bookmarkStart w:id="305" w:name="_Toc24787"/>
      <w:bookmarkStart w:id="306" w:name="_Toc29619"/>
      <w:bookmarkStart w:id="307" w:name="_Toc3558"/>
      <w:bookmarkStart w:id="308" w:name="_Toc9672"/>
      <w:bookmarkStart w:id="309" w:name="_Toc4425"/>
      <w:bookmarkStart w:id="310" w:name="_Toc10391"/>
      <w:bookmarkStart w:id="311" w:name="_Toc16503"/>
      <w:bookmarkStart w:id="312" w:name="_Toc515647773"/>
      <w:bookmarkStart w:id="313" w:name="_Toc30127"/>
      <w:bookmarkStart w:id="314" w:name="_Toc17074"/>
      <w:bookmarkStart w:id="315" w:name="_Toc11669"/>
      <w:bookmarkStart w:id="316" w:name="_Toc25504"/>
      <w:bookmarkStart w:id="317" w:name="_Toc24981"/>
      <w:bookmarkStart w:id="318" w:name="_Toc14798"/>
      <w:bookmarkStart w:id="319" w:name="_Toc12582"/>
      <w:bookmarkStart w:id="320" w:name="_Toc15911"/>
      <w:r>
        <w:rPr>
          <w:rFonts w:hint="eastAsia" w:ascii="宋体" w:hAnsi="宋体" w:eastAsia="宋体" w:cs="宋体"/>
          <w:color w:val="auto"/>
          <w:highlight w:val="none"/>
          <w:u w:val="none"/>
        </w:rPr>
        <w:t>14.投标文件的签署</w:t>
      </w:r>
      <w:bookmarkEnd w:id="302"/>
      <w:r>
        <w:rPr>
          <w:rFonts w:hint="eastAsia" w:ascii="宋体" w:hAnsi="宋体" w:eastAsia="宋体" w:cs="宋体"/>
          <w:color w:val="auto"/>
          <w:highlight w:val="none"/>
          <w:u w:val="none"/>
        </w:rPr>
        <w:t>及规定</w:t>
      </w:r>
      <w:bookmarkEnd w:id="303"/>
      <w:bookmarkEnd w:id="304"/>
      <w:bookmarkEnd w:id="305"/>
      <w:bookmarkEnd w:id="306"/>
      <w:bookmarkEnd w:id="307"/>
      <w:bookmarkEnd w:id="308"/>
      <w:bookmarkEnd w:id="309"/>
      <w:bookmarkEnd w:id="310"/>
      <w:bookmarkEnd w:id="311"/>
      <w:bookmarkEnd w:id="312"/>
      <w:bookmarkEnd w:id="313"/>
      <w:bookmarkEnd w:id="314"/>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15"/>
      <w:bookmarkEnd w:id="316"/>
      <w:bookmarkEnd w:id="317"/>
      <w:bookmarkEnd w:id="318"/>
      <w:bookmarkEnd w:id="319"/>
      <w:bookmarkEnd w:id="320"/>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一览表”。</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21" w:name="_Toc216582808"/>
      <w:bookmarkStart w:id="322" w:name="_Toc16865"/>
      <w:bookmarkStart w:id="323" w:name="_Toc11179"/>
      <w:bookmarkStart w:id="324" w:name="_Toc520356159"/>
      <w:bookmarkStart w:id="325" w:name="_Toc515647774"/>
    </w:p>
    <w:p>
      <w:pPr>
        <w:pStyle w:val="22"/>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sz w:val="24"/>
          <w:highlight w:val="none"/>
        </w:rPr>
      </w:pPr>
      <w:bookmarkStart w:id="326" w:name="_Toc25125"/>
      <w:bookmarkStart w:id="327" w:name="_Toc30935"/>
      <w:bookmarkStart w:id="328" w:name="_Toc189"/>
      <w:r>
        <w:rPr>
          <w:rFonts w:hint="eastAsia" w:ascii="宋体" w:hAnsi="宋体" w:eastAsia="宋体" w:cs="宋体"/>
          <w:color w:val="auto"/>
          <w:sz w:val="24"/>
          <w:highlight w:val="none"/>
        </w:rPr>
        <w:t>四   投标文件的递交</w:t>
      </w:r>
      <w:bookmarkEnd w:id="321"/>
      <w:bookmarkEnd w:id="322"/>
      <w:bookmarkEnd w:id="323"/>
      <w:bookmarkEnd w:id="324"/>
      <w:bookmarkEnd w:id="325"/>
      <w:bookmarkEnd w:id="326"/>
      <w:bookmarkEnd w:id="327"/>
      <w:bookmarkEnd w:id="328"/>
    </w:p>
    <w:p>
      <w:pPr>
        <w:rPr>
          <w:rFonts w:hint="eastAsia" w:ascii="宋体" w:hAnsi="宋体" w:eastAsia="宋体" w:cs="宋体"/>
          <w:color w:val="auto"/>
          <w:highlight w:val="none"/>
        </w:rPr>
      </w:pPr>
    </w:p>
    <w:p>
      <w:pPr>
        <w:numPr>
          <w:ilvl w:val="0"/>
          <w:numId w:val="1"/>
        </w:num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做任何修改。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Style w:val="22"/>
        <w:rPr>
          <w:rFonts w:hint="eastAsia" w:ascii="宋体" w:hAnsi="宋体" w:eastAsia="宋体" w:cs="宋体"/>
          <w:color w:val="auto"/>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329" w:name="_Toc15934"/>
      <w:bookmarkStart w:id="330" w:name="_Toc28398"/>
      <w:bookmarkStart w:id="331" w:name="_Toc216582809"/>
      <w:bookmarkStart w:id="332" w:name="_Toc7470"/>
      <w:bookmarkStart w:id="333" w:name="_Toc515647778"/>
      <w:bookmarkStart w:id="334" w:name="_Toc22812"/>
      <w:bookmarkStart w:id="335" w:name="_Toc520356163"/>
      <w:bookmarkStart w:id="336" w:name="_Toc12436"/>
      <w:r>
        <w:rPr>
          <w:rFonts w:hint="eastAsia" w:ascii="宋体" w:hAnsi="宋体" w:eastAsia="宋体" w:cs="宋体"/>
          <w:color w:val="auto"/>
          <w:sz w:val="24"/>
          <w:highlight w:val="none"/>
        </w:rPr>
        <w:t>五   开标及评标</w:t>
      </w:r>
      <w:bookmarkEnd w:id="329"/>
      <w:bookmarkEnd w:id="330"/>
      <w:bookmarkEnd w:id="331"/>
      <w:bookmarkEnd w:id="332"/>
      <w:bookmarkEnd w:id="333"/>
      <w:bookmarkEnd w:id="334"/>
      <w:bookmarkEnd w:id="335"/>
      <w:bookmarkEnd w:id="336"/>
    </w:p>
    <w:p>
      <w:pPr>
        <w:pStyle w:val="10"/>
        <w:numPr>
          <w:ilvl w:val="0"/>
          <w:numId w:val="2"/>
        </w:numPr>
        <w:shd w:val="clear" w:color="auto" w:fill="auto"/>
        <w:spacing w:before="0" w:line="360" w:lineRule="exact"/>
        <w:rPr>
          <w:rFonts w:hint="eastAsia" w:ascii="宋体" w:hAnsi="宋体" w:eastAsia="宋体" w:cs="宋体"/>
          <w:color w:val="auto"/>
          <w:highlight w:val="none"/>
        </w:rPr>
      </w:pPr>
      <w:bookmarkStart w:id="337" w:name="_Toc63"/>
      <w:bookmarkStart w:id="338" w:name="_Toc10415"/>
      <w:bookmarkStart w:id="339" w:name="_Toc23987"/>
      <w:bookmarkStart w:id="340" w:name="_Toc32409"/>
      <w:bookmarkStart w:id="341" w:name="_Toc28057"/>
      <w:bookmarkStart w:id="342" w:name="_Toc7186"/>
      <w:bookmarkStart w:id="343" w:name="_Toc515647779"/>
      <w:bookmarkStart w:id="344" w:name="_Toc4771"/>
      <w:bookmarkStart w:id="345" w:name="_Toc25345"/>
      <w:bookmarkStart w:id="346" w:name="_Toc11726"/>
      <w:bookmarkStart w:id="347" w:name="_Toc21418"/>
      <w:bookmarkStart w:id="348" w:name="_Toc6064"/>
      <w:bookmarkStart w:id="349" w:name="_Toc520356164"/>
      <w:bookmarkStart w:id="350" w:name="_Toc2886"/>
      <w:bookmarkStart w:id="351" w:name="_Toc24922"/>
      <w:bookmarkStart w:id="352" w:name="_Toc23772"/>
      <w:bookmarkStart w:id="353" w:name="_Toc19943"/>
      <w:bookmarkStart w:id="354" w:name="_Toc1738"/>
      <w:bookmarkStart w:id="355" w:name="_Toc9432"/>
      <w:r>
        <w:rPr>
          <w:rFonts w:hint="eastAsia" w:ascii="宋体" w:hAnsi="宋体" w:eastAsia="宋体" w:cs="宋体"/>
          <w:color w:val="auto"/>
          <w:highlight w:val="none"/>
          <w:u w:val="none"/>
        </w:rPr>
        <w:t>开标</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须知资料表中规定的开标时间和地点组织公开开标并邀请所有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18.2   </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在规定时间内上传投标文件</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18.4   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开启开标记录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在政采云平台对报价进行签字确认</w:t>
      </w:r>
      <w:r>
        <w:rPr>
          <w:rFonts w:hint="eastAsia" w:ascii="宋体" w:hAnsi="宋体" w:eastAsia="宋体" w:cs="宋体"/>
          <w:color w:val="auto"/>
          <w:sz w:val="24"/>
          <w:highlight w:val="none"/>
        </w:rPr>
        <w:t>。</w:t>
      </w:r>
    </w:p>
    <w:p>
      <w:pPr>
        <w:pStyle w:val="10"/>
        <w:spacing w:before="0" w:after="0" w:line="360" w:lineRule="exact"/>
        <w:rPr>
          <w:rFonts w:hint="eastAsia" w:ascii="宋体" w:hAnsi="宋体" w:eastAsia="宋体" w:cs="宋体"/>
          <w:color w:val="auto"/>
          <w:highlight w:val="none"/>
          <w:u w:val="none"/>
        </w:rPr>
      </w:pPr>
      <w:bookmarkStart w:id="356" w:name="_Toc4112"/>
      <w:bookmarkStart w:id="357" w:name="_Toc11400"/>
      <w:bookmarkStart w:id="358" w:name="_Toc24590"/>
      <w:bookmarkStart w:id="359" w:name="_Toc7886"/>
      <w:bookmarkStart w:id="360" w:name="_Toc22349"/>
      <w:r>
        <w:rPr>
          <w:rFonts w:hint="eastAsia" w:ascii="宋体" w:hAnsi="宋体" w:eastAsia="宋体" w:cs="宋体"/>
          <w:color w:val="auto"/>
          <w:highlight w:val="none"/>
          <w:u w:val="none"/>
        </w:rPr>
        <w:t>19.</w:t>
      </w:r>
      <w:bookmarkEnd w:id="37"/>
      <w:r>
        <w:rPr>
          <w:rFonts w:hint="eastAsia" w:ascii="宋体" w:hAnsi="宋体" w:eastAsia="宋体" w:cs="宋体"/>
          <w:color w:val="auto"/>
          <w:highlight w:val="none"/>
          <w:u w:val="none"/>
        </w:rPr>
        <w:t>资格审查及组建评标委员会</w:t>
      </w:r>
      <w:bookmarkEnd w:id="38"/>
      <w:bookmarkEnd w:id="39"/>
      <w:bookmarkEnd w:id="40"/>
      <w:bookmarkEnd w:id="41"/>
      <w:bookmarkEnd w:id="42"/>
      <w:bookmarkEnd w:id="43"/>
      <w:bookmarkEnd w:id="44"/>
      <w:bookmarkEnd w:id="45"/>
      <w:bookmarkEnd w:id="46"/>
      <w:bookmarkEnd w:id="47"/>
      <w:bookmarkEnd w:id="48"/>
      <w:bookmarkEnd w:id="49"/>
      <w:bookmarkEnd w:id="50"/>
      <w:bookmarkEnd w:id="356"/>
      <w:bookmarkEnd w:id="357"/>
      <w:bookmarkEnd w:id="358"/>
      <w:bookmarkEnd w:id="359"/>
      <w:bookmarkEnd w:id="360"/>
    </w:p>
    <w:p>
      <w:pPr>
        <w:keepNext w:val="0"/>
        <w:keepLines w:val="0"/>
        <w:pageBreakBefore w:val="0"/>
        <w:kinsoku/>
        <w:wordWrap/>
        <w:overflowPunct/>
        <w:topLinePunct w:val="0"/>
        <w:autoSpaceDE/>
        <w:autoSpaceDN/>
        <w:bidi w:val="0"/>
        <w:adjustRightInd/>
        <w:spacing w:line="400" w:lineRule="exact"/>
        <w:ind w:left="960" w:hanging="960" w:hangingChars="4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keepNext w:val="0"/>
        <w:keepLines w:val="0"/>
        <w:pageBreakBefore w:val="0"/>
        <w:kinsoku/>
        <w:wordWrap/>
        <w:overflowPunct/>
        <w:topLinePunct w:val="0"/>
        <w:autoSpaceDE/>
        <w:autoSpaceDN/>
        <w:bidi w:val="0"/>
        <w:adjustRightInd/>
        <w:spacing w:line="400" w:lineRule="exact"/>
        <w:ind w:firstLine="964" w:firstLineChars="4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具有独立法人资格（三证合一的营业执照）</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2.法定代表人资格证明及授权书、被授权人身份证；(法定代表人投标需提供法定代表人身份证)；</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提供2020年或2021年经审计的财务审计报告（2022年成立的新公司出具近3个月任意一个月的银行资信证明）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依法缴纳最近连续六个月的社会保险的凭据（授权人和单位员工缴纳明细凭据）</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bCs/>
          <w:color w:val="auto"/>
          <w:sz w:val="24"/>
          <w:highlight w:val="none"/>
          <w:lang w:eastAsia="zh-CN"/>
        </w:rPr>
        <w:t>信用服务-重点领域严重失信主体名单查询-搜索栏输入单位全称-截图</w:t>
      </w:r>
      <w:r>
        <w:rPr>
          <w:rFonts w:hint="eastAsia" w:ascii="宋体" w:hAnsi="宋体" w:eastAsia="宋体" w:cs="宋体"/>
          <w:b/>
          <w:bCs/>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7.参与政府采购活动前3年内未被列入失信、重大税收违法案件、财政部门禁止参加政府采购活动的承诺书；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8.提供针对本次项目《反商业贿赂承诺书》；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9.缴纳投标保证金的有效凭证。</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提示：上述资质能够通过官方网络查证的，均视为合格供应商。</w:t>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hanging="900" w:hangingChars="375"/>
        <w:textAlignment w:val="auto"/>
        <w:rPr>
          <w:rFonts w:hint="eastAsia" w:ascii="宋体" w:hAnsi="宋体" w:eastAsia="宋体" w:cs="宋体"/>
          <w:color w:val="auto"/>
          <w:sz w:val="24"/>
          <w:highlight w:val="none"/>
        </w:rPr>
      </w:pPr>
      <w:bookmarkStart w:id="361" w:name="_Toc515647789"/>
      <w:bookmarkStart w:id="362" w:name="_Toc520356171"/>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存在不良信用记录的，其投标将被认定为投标无效。</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19.2.1 不良信用记录指：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在“信用中国”网站（ www.creditchina.gov.cn） 被列入失信被执行人、重大税收违法案件当事人名单(</w:t>
      </w:r>
      <w:r>
        <w:rPr>
          <w:rFonts w:hint="eastAsia" w:ascii="宋体" w:hAnsi="宋体" w:eastAsia="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8"/>
        <w:keepNext w:val="0"/>
        <w:keepLines w:val="0"/>
        <w:pageBreakBefore w:val="0"/>
        <w:widowControl w:val="0"/>
        <w:shd w:val="clear" w:color="auto" w:fill="auto"/>
        <w:kinsoku/>
        <w:wordWrap/>
        <w:overflowPunct/>
        <w:topLinePunct w:val="0"/>
        <w:bidi w:val="0"/>
        <w:snapToGrid/>
        <w:spacing w:line="387" w:lineRule="exact"/>
        <w:ind w:left="85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不良信用记录以采购人或采购代理机构查询结果为准。</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在本招标文件规定的查询时间之后，网站信息发生的任何变更均不再作为评标依据。</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投标供应商</w:t>
      </w:r>
      <w:r>
        <w:rPr>
          <w:rFonts w:hint="eastAsia" w:ascii="宋体" w:hAnsi="宋体" w:eastAsia="宋体" w:cs="宋体"/>
          <w:b/>
          <w:bCs/>
          <w:color w:val="auto"/>
          <w:highlight w:val="none"/>
        </w:rPr>
        <w:t>自行提供的与网站信息不一致的其他证明材料亦不作为资格审查依据。</w:t>
      </w:r>
    </w:p>
    <w:p>
      <w:pPr>
        <w:keepNext w:val="0"/>
        <w:keepLines w:val="0"/>
        <w:pageBreakBefore w:val="0"/>
        <w:widowControl w:val="0"/>
        <w:shd w:val="clear" w:color="auto" w:fill="auto"/>
        <w:kinsoku/>
        <w:wordWrap/>
        <w:overflowPunct/>
        <w:topLinePunct w:val="0"/>
        <w:bidi w:val="0"/>
        <w:snapToGrid/>
        <w:spacing w:line="387" w:lineRule="exact"/>
        <w:ind w:left="85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宋体" w:hAnsi="宋体" w:eastAsia="宋体" w:cs="宋体"/>
          <w:color w:val="auto"/>
          <w:sz w:val="24"/>
          <w:highlight w:val="none"/>
          <w:lang w:eastAsia="zh-CN"/>
        </w:rPr>
        <w:t>随机</w:t>
      </w:r>
      <w:r>
        <w:rPr>
          <w:rFonts w:hint="eastAsia" w:ascii="宋体" w:hAnsi="宋体" w:eastAsia="宋体" w:cs="宋体"/>
          <w:color w:val="auto"/>
          <w:sz w:val="24"/>
          <w:highlight w:val="none"/>
        </w:rPr>
        <w:t>抽取</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名评标委员会</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1名业主专家，共计5名评标专家</w:t>
      </w:r>
      <w:r>
        <w:rPr>
          <w:rFonts w:hint="eastAsia" w:ascii="宋体" w:hAnsi="宋体" w:eastAsia="宋体" w:cs="宋体"/>
          <w:color w:val="auto"/>
          <w:sz w:val="24"/>
          <w:highlight w:val="none"/>
        </w:rPr>
        <w:t>负责评标工作。</w:t>
      </w:r>
      <w:bookmarkStart w:id="363" w:name="_Toc520356166"/>
    </w:p>
    <w:p>
      <w:pPr>
        <w:pStyle w:val="10"/>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bCs/>
          <w:color w:val="auto"/>
          <w:highlight w:val="none"/>
          <w:bdr w:val="single" w:color="auto" w:sz="4" w:space="0"/>
        </w:rPr>
      </w:pPr>
      <w:bookmarkStart w:id="364" w:name="_Toc22736"/>
      <w:bookmarkStart w:id="365" w:name="_Toc19949"/>
      <w:bookmarkStart w:id="366" w:name="_Toc10659"/>
      <w:bookmarkStart w:id="367" w:name="_Toc30698"/>
      <w:bookmarkStart w:id="368" w:name="_Toc14028"/>
      <w:bookmarkStart w:id="369" w:name="_Toc23424"/>
      <w:bookmarkStart w:id="370" w:name="_Toc22021"/>
      <w:bookmarkStart w:id="371" w:name="_Toc14221"/>
      <w:bookmarkStart w:id="372" w:name="_Toc28479"/>
      <w:bookmarkStart w:id="373" w:name="_Toc5726"/>
      <w:bookmarkStart w:id="374" w:name="_Toc13892"/>
      <w:bookmarkStart w:id="375" w:name="_Toc515647781"/>
      <w:bookmarkStart w:id="376" w:name="_Toc14022"/>
      <w:bookmarkStart w:id="377" w:name="_Toc8432"/>
      <w:bookmarkStart w:id="378" w:name="_Toc22833"/>
      <w:bookmarkStart w:id="379" w:name="_Toc28438"/>
      <w:bookmarkStart w:id="380" w:name="_Toc24431"/>
      <w:bookmarkStart w:id="381" w:name="_Toc14967"/>
      <w:r>
        <w:rPr>
          <w:rFonts w:hint="eastAsia" w:ascii="宋体" w:hAnsi="宋体" w:eastAsia="宋体" w:cs="宋体"/>
          <w:color w:val="auto"/>
          <w:highlight w:val="none"/>
          <w:u w:val="none"/>
        </w:rPr>
        <w:t>20.投标文件</w:t>
      </w:r>
      <w:bookmarkEnd w:id="363"/>
      <w:r>
        <w:rPr>
          <w:rFonts w:hint="eastAsia" w:ascii="宋体" w:hAnsi="宋体" w:eastAsia="宋体" w:cs="宋体"/>
          <w:color w:val="auto"/>
          <w:highlight w:val="none"/>
          <w:u w:val="none"/>
        </w:rPr>
        <w:t>符合性审查与澄清</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382" w:name="_Hlt522424701"/>
      <w:bookmarkEnd w:id="382"/>
      <w:bookmarkStart w:id="383" w:name="_Toc520356167"/>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的的澄清、说明或补正将作为投标文件的一部分。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Style w:val="22"/>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所投产品为同一品牌的，按如下方式处理：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不作为中标候选人。</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10"/>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384" w:name="_Toc12161"/>
      <w:bookmarkStart w:id="385" w:name="_Toc515647782"/>
      <w:bookmarkStart w:id="386" w:name="_Toc1981"/>
      <w:bookmarkStart w:id="387" w:name="_Toc6936"/>
      <w:bookmarkStart w:id="388" w:name="_Toc6538"/>
      <w:bookmarkStart w:id="389" w:name="_Toc9469"/>
      <w:bookmarkStart w:id="390" w:name="_Toc24698"/>
      <w:bookmarkStart w:id="391" w:name="_Toc2506"/>
      <w:bookmarkStart w:id="392" w:name="_Toc25193"/>
      <w:bookmarkStart w:id="393" w:name="_Toc7973"/>
      <w:bookmarkStart w:id="394" w:name="_Toc6364"/>
      <w:bookmarkStart w:id="395" w:name="_Toc20375"/>
      <w:bookmarkStart w:id="396" w:name="_Toc11608"/>
      <w:bookmarkStart w:id="397" w:name="_Toc17928"/>
      <w:bookmarkStart w:id="398" w:name="_Toc5375"/>
      <w:bookmarkStart w:id="399" w:name="_Toc29157"/>
      <w:bookmarkStart w:id="400" w:name="_Toc29292"/>
      <w:bookmarkStart w:id="401" w:name="_Toc18331"/>
      <w:r>
        <w:rPr>
          <w:rFonts w:hint="eastAsia" w:ascii="宋体" w:hAnsi="宋体" w:eastAsia="宋体" w:cs="宋体"/>
          <w:color w:val="auto"/>
          <w:highlight w:val="none"/>
          <w:u w:val="none"/>
        </w:rPr>
        <w:t>21.投标偏离</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keepNext w:val="0"/>
        <w:keepLines w:val="0"/>
        <w:pageBreakBefore w:val="0"/>
        <w:widowControl w:val="0"/>
        <w:shd w:val="clear" w:color="auto" w:fill="auto"/>
        <w:kinsoku/>
        <w:wordWrap/>
        <w:overflowPunct/>
        <w:topLinePunct w:val="0"/>
        <w:bidi w:val="0"/>
        <w:snapToGrid/>
        <w:spacing w:line="387" w:lineRule="exact"/>
        <w:ind w:left="641"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02" w:name="_Toc515647783"/>
      <w:bookmarkStart w:id="403" w:name="_Toc4950"/>
      <w:bookmarkStart w:id="404" w:name="_Toc6092"/>
    </w:p>
    <w:p>
      <w:pPr>
        <w:pStyle w:val="10"/>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05" w:name="_Toc2595"/>
      <w:bookmarkStart w:id="406" w:name="_Toc20109"/>
      <w:bookmarkStart w:id="407" w:name="_Toc8629"/>
      <w:bookmarkStart w:id="408" w:name="_Toc8313"/>
      <w:bookmarkStart w:id="409" w:name="_Toc8372"/>
      <w:bookmarkStart w:id="410" w:name="_Toc1190"/>
      <w:bookmarkStart w:id="411" w:name="_Toc29566"/>
      <w:bookmarkStart w:id="412" w:name="_Toc8973"/>
      <w:bookmarkStart w:id="413" w:name="_Toc23335"/>
      <w:bookmarkStart w:id="414" w:name="_Toc8254"/>
      <w:bookmarkStart w:id="415" w:name="_Toc1222"/>
      <w:bookmarkStart w:id="416" w:name="_Toc25919"/>
      <w:bookmarkStart w:id="417" w:name="_Toc23789"/>
      <w:bookmarkStart w:id="418" w:name="_Toc22686"/>
      <w:bookmarkStart w:id="419" w:name="_Toc28742"/>
      <w:r>
        <w:rPr>
          <w:rFonts w:hint="eastAsia" w:ascii="宋体" w:hAnsi="宋体" w:eastAsia="宋体" w:cs="宋体"/>
          <w:color w:val="auto"/>
          <w:highlight w:val="none"/>
          <w:u w:val="none"/>
        </w:rPr>
        <w:t>22.投标</w:t>
      </w:r>
      <w:bookmarkEnd w:id="402"/>
      <w:r>
        <w:rPr>
          <w:rFonts w:hint="eastAsia" w:ascii="宋体" w:hAnsi="宋体" w:eastAsia="宋体" w:cs="宋体"/>
          <w:color w:val="auto"/>
          <w:highlight w:val="none"/>
          <w:u w:val="none"/>
        </w:rPr>
        <w:t>无效</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评标委员会决定投标的响应性只根据招标文件要求、投标文件内容及财政主管部门指定相关信息发布媒体。</w:t>
      </w:r>
    </w:p>
    <w:p>
      <w:pPr>
        <w:keepNext w:val="0"/>
        <w:keepLines w:val="0"/>
        <w:pageBreakBefore w:val="0"/>
        <w:widowControl w:val="0"/>
        <w:shd w:val="clear" w:color="auto" w:fill="auto"/>
        <w:kinsoku/>
        <w:wordWrap/>
        <w:overflowPunct/>
        <w:topLinePunct w:val="0"/>
        <w:bidi w:val="0"/>
        <w:snapToGrid/>
        <w:spacing w:line="387" w:lineRule="exact"/>
        <w:ind w:left="90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22.2</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如发现下列情况之一的，其投标将被认定为投标无效：</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串通投标，或者与招标人串通投标；</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未按照规定证明其报价合理性的；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（1）供应商直接或者间接从采购人或者采购代理机构处获得其他供应商的相关情况并修改其投标文件或者投标文件；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（2）供应商按照采购人或者采购代理机构的授意撤换、修改投标文件或者投标文件；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（3）供应商之间协商报价、技术方案等投标文件或者投标文件的实质性内容；</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（4）属于同一集团、协会、商会等组织成员的供应商按照该组织要求协同参加政府采购活动；</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（5）供应商之间事先约定由某一特定供应商中标、成交；</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（6）供应商之间商定部分供应商放弃参加政府采购活动或者放弃中标、成交；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（7）供应商与采购人或者采购代理机构之间、供应商相互之间，为谋求特定供应商中标、成交或者排斥其他供应商的其他串通行为。</w:t>
      </w:r>
    </w:p>
    <w:p>
      <w:pPr>
        <w:pStyle w:val="10"/>
        <w:shd w:val="clear" w:color="auto" w:fill="auto"/>
        <w:spacing w:before="0" w:after="0" w:line="360" w:lineRule="exact"/>
        <w:rPr>
          <w:rFonts w:hint="eastAsia" w:ascii="宋体" w:hAnsi="宋体" w:eastAsia="宋体" w:cs="宋体"/>
          <w:color w:val="auto"/>
          <w:highlight w:val="none"/>
          <w:u w:val="none"/>
        </w:rPr>
      </w:pPr>
      <w:bookmarkStart w:id="420" w:name="_Toc24711"/>
      <w:bookmarkStart w:id="421" w:name="_Toc13652"/>
      <w:bookmarkStart w:id="422" w:name="_Toc20639"/>
      <w:bookmarkStart w:id="423" w:name="_Toc20498"/>
      <w:bookmarkStart w:id="424" w:name="_Toc3195"/>
      <w:bookmarkStart w:id="425" w:name="_Toc9121"/>
      <w:bookmarkStart w:id="426" w:name="_Toc22941"/>
      <w:bookmarkStart w:id="427" w:name="_Toc6664"/>
      <w:bookmarkStart w:id="428" w:name="_Toc14159"/>
      <w:bookmarkStart w:id="429" w:name="_Toc515647784"/>
      <w:bookmarkStart w:id="430" w:name="_Toc16445"/>
      <w:bookmarkStart w:id="431" w:name="_Toc6473"/>
      <w:bookmarkStart w:id="432" w:name="_Toc14711"/>
      <w:bookmarkStart w:id="433" w:name="_Toc9861"/>
      <w:bookmarkStart w:id="434" w:name="_Toc29624"/>
      <w:r>
        <w:rPr>
          <w:rFonts w:hint="eastAsia" w:ascii="宋体" w:hAnsi="宋体" w:eastAsia="宋体" w:cs="宋体"/>
          <w:color w:val="auto"/>
          <w:highlight w:val="none"/>
          <w:u w:val="none"/>
        </w:rPr>
        <w:t>23.</w:t>
      </w:r>
      <w:bookmarkEnd w:id="383"/>
      <w:r>
        <w:rPr>
          <w:rFonts w:hint="eastAsia" w:ascii="宋体" w:hAnsi="宋体" w:eastAsia="宋体" w:cs="宋体"/>
          <w:color w:val="auto"/>
          <w:highlight w:val="none"/>
          <w:u w:val="none"/>
        </w:rPr>
        <w:t>比较与评价</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p>
    <w:p>
      <w:pPr>
        <w:pStyle w:val="16"/>
        <w:shd w:val="clear" w:color="auto" w:fill="auto"/>
        <w:spacing w:line="360" w:lineRule="exact"/>
        <w:ind w:left="239" w:leftChars="114"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6"/>
        <w:shd w:val="clear" w:color="auto" w:fill="auto"/>
        <w:spacing w:line="360" w:lineRule="exact"/>
        <w:ind w:left="239" w:leftChars="114"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6"/>
        <w:shd w:val="clear" w:color="auto" w:fill="auto"/>
        <w:spacing w:line="360" w:lineRule="exact"/>
        <w:ind w:left="239" w:leftChars="114" w:firstLine="513" w:firstLineChars="21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本项目采用综合评分法。</w:t>
      </w:r>
    </w:p>
    <w:p>
      <w:pPr>
        <w:pStyle w:val="16"/>
        <w:shd w:val="clear" w:color="auto" w:fill="auto"/>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根据《政府采购促进中小企业发展管理办法》（财库[2020]46号）、《财政部 司法部关于政府采购支持监狱企业发展有关问题的通知》（财库〔2014〕68号）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《三部门联合发布关于促进残疾人就业政府采购政策的通知》（</w:t>
      </w:r>
      <w:bookmarkStart w:id="435" w:name="sendNo"/>
      <w:r>
        <w:rPr>
          <w:rFonts w:hint="eastAsia" w:ascii="宋体" w:hAnsi="宋体" w:eastAsia="宋体" w:cs="宋体"/>
          <w:bCs/>
          <w:color w:val="auto"/>
          <w:sz w:val="24"/>
          <w:szCs w:val="24"/>
          <w:highlight w:val="none"/>
        </w:rPr>
        <w:t>财库〔</w:t>
      </w:r>
      <w:bookmarkEnd w:id="435"/>
      <w:r>
        <w:rPr>
          <w:rFonts w:hint="eastAsia" w:ascii="宋体" w:hAnsi="宋体" w:eastAsia="宋体" w:cs="宋体"/>
          <w:bCs/>
          <w:color w:val="auto"/>
          <w:sz w:val="24"/>
          <w:szCs w:val="24"/>
          <w:highlight w:val="none"/>
        </w:rPr>
        <w:t>2017〕141号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和《财政部关于进一步加大政府采购支持中小企业力度的通知》财库〔2022〕19号</w:t>
      </w:r>
      <w:r>
        <w:rPr>
          <w:rFonts w:hint="eastAsia" w:ascii="宋体" w:hAnsi="宋体" w:eastAsia="宋体" w:cs="宋体"/>
          <w:color w:val="auto"/>
          <w:sz w:val="24"/>
          <w:szCs w:val="24"/>
          <w:highlight w:val="none"/>
        </w:rPr>
        <w:t>的规定，对满足价格扣除条件且在投标文件中提交了《</w:t>
      </w:r>
      <w:r>
        <w:rPr>
          <w:rFonts w:hint="eastAsia" w:ascii="宋体" w:hAnsi="宋体" w:eastAsia="宋体" w:cs="宋体"/>
          <w:color w:val="auto"/>
          <w:sz w:val="24"/>
          <w:szCs w:val="24"/>
          <w:highlight w:val="none"/>
          <w:lang w:eastAsia="zh-CN"/>
        </w:rPr>
        <w:t>中小企业声明函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后参与评审。</w:t>
      </w:r>
    </w:p>
    <w:p>
      <w:pPr>
        <w:pStyle w:val="10"/>
        <w:shd w:val="clear" w:color="auto" w:fill="auto"/>
        <w:spacing w:before="0" w:after="0" w:line="360" w:lineRule="exact"/>
        <w:rPr>
          <w:rFonts w:hint="eastAsia" w:ascii="宋体" w:hAnsi="宋体" w:eastAsia="宋体" w:cs="宋体"/>
          <w:color w:val="auto"/>
          <w:highlight w:val="none"/>
          <w:u w:val="none"/>
        </w:rPr>
      </w:pPr>
      <w:bookmarkStart w:id="436" w:name="_Toc520356168"/>
      <w:bookmarkStart w:id="437" w:name="_Toc31697"/>
      <w:bookmarkStart w:id="438" w:name="_Toc7770"/>
      <w:bookmarkStart w:id="439" w:name="_Toc3653"/>
      <w:bookmarkStart w:id="440" w:name="_Toc515647785"/>
      <w:bookmarkStart w:id="441" w:name="_Toc11579"/>
      <w:bookmarkStart w:id="442" w:name="_Toc24093"/>
      <w:bookmarkStart w:id="443" w:name="_Toc9378"/>
      <w:bookmarkStart w:id="444" w:name="_Toc31706"/>
      <w:bookmarkStart w:id="445" w:name="_Toc23302"/>
      <w:bookmarkStart w:id="446" w:name="_Toc10413"/>
      <w:bookmarkStart w:id="447" w:name="_Toc320"/>
      <w:bookmarkStart w:id="448" w:name="_Toc11700"/>
      <w:bookmarkStart w:id="449" w:name="_Toc28791"/>
      <w:bookmarkStart w:id="450" w:name="_Toc27067"/>
      <w:bookmarkStart w:id="451" w:name="_Toc20227"/>
      <w:bookmarkStart w:id="452" w:name="_Toc31084"/>
      <w:bookmarkStart w:id="453" w:name="_Toc19218"/>
      <w:bookmarkStart w:id="454" w:name="_Toc23840"/>
      <w:r>
        <w:rPr>
          <w:rFonts w:hint="eastAsia" w:ascii="宋体" w:hAnsi="宋体" w:eastAsia="宋体" w:cs="宋体"/>
          <w:color w:val="auto"/>
          <w:highlight w:val="none"/>
          <w:u w:val="none"/>
        </w:rPr>
        <w:t>24</w:t>
      </w:r>
      <w:bookmarkEnd w:id="436"/>
      <w:r>
        <w:rPr>
          <w:rFonts w:hint="eastAsia" w:ascii="宋体" w:hAnsi="宋体" w:eastAsia="宋体" w:cs="宋体"/>
          <w:color w:val="auto"/>
          <w:highlight w:val="none"/>
          <w:u w:val="none"/>
        </w:rPr>
        <w:t>.废标</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hd w:val="clear" w:color="auto" w:fill="auto"/>
        <w:spacing w:line="360" w:lineRule="exact"/>
        <w:ind w:left="60" w:hanging="60" w:hangingChars="2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24.1出现下列情形之一，将导致项目废标：</w:t>
      </w:r>
      <w:r>
        <w:rPr>
          <w:rFonts w:hint="eastAsia" w:ascii="宋体" w:hAnsi="宋体" w:eastAsia="宋体" w:cs="宋体"/>
          <w:color w:val="auto"/>
          <w:sz w:val="24"/>
          <w:highlight w:val="none"/>
        </w:rPr>
        <w:t xml:space="preserve"> </w:t>
      </w:r>
    </w:p>
    <w:p>
      <w:pPr>
        <w:shd w:val="clear" w:color="auto" w:fill="auto"/>
        <w:spacing w:line="360" w:lineRule="exact"/>
        <w:ind w:left="900" w:hanging="900" w:hangingChars="3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shd w:val="clear" w:color="auto" w:fill="auto"/>
        <w:spacing w:line="360" w:lineRule="exact"/>
        <w:ind w:left="900" w:hanging="904" w:hangingChars="3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shd w:val="clear" w:color="auto" w:fill="auto"/>
        <w:spacing w:line="360" w:lineRule="exact"/>
        <w:ind w:firstLine="843" w:firstLineChars="3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的报价均超过了采购预算，采购人不能支付的；</w:t>
      </w:r>
    </w:p>
    <w:p>
      <w:pPr>
        <w:shd w:val="clear" w:color="auto" w:fill="auto"/>
        <w:spacing w:line="360" w:lineRule="exact"/>
        <w:ind w:firstLine="843" w:firstLineChars="35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10"/>
        <w:shd w:val="clear" w:color="auto" w:fill="auto"/>
        <w:spacing w:before="0" w:after="0" w:line="360" w:lineRule="exact"/>
        <w:rPr>
          <w:rFonts w:hint="eastAsia" w:ascii="宋体" w:hAnsi="宋体" w:eastAsia="宋体" w:cs="宋体"/>
          <w:color w:val="auto"/>
          <w:highlight w:val="none"/>
          <w:u w:val="none"/>
        </w:rPr>
      </w:pPr>
      <w:bookmarkStart w:id="455" w:name="_Toc25259"/>
      <w:bookmarkStart w:id="456" w:name="_Toc10657"/>
      <w:bookmarkStart w:id="457" w:name="_Toc29649"/>
      <w:bookmarkStart w:id="458" w:name="_Toc515647786"/>
      <w:bookmarkStart w:id="459" w:name="_Toc26654"/>
      <w:bookmarkStart w:id="460" w:name="_Toc22818"/>
      <w:bookmarkStart w:id="461" w:name="_Toc21380"/>
      <w:bookmarkStart w:id="462" w:name="_Toc24972"/>
      <w:bookmarkStart w:id="463" w:name="_Toc7975"/>
      <w:bookmarkStart w:id="464" w:name="_Toc11998"/>
      <w:bookmarkStart w:id="465" w:name="_Toc31289"/>
      <w:bookmarkStart w:id="466" w:name="_Toc28153"/>
      <w:bookmarkStart w:id="467" w:name="_Toc3517"/>
      <w:bookmarkStart w:id="468" w:name="_Toc3628"/>
      <w:bookmarkStart w:id="469" w:name="_Toc21697"/>
      <w:bookmarkStart w:id="470" w:name="_Toc23725"/>
      <w:bookmarkStart w:id="471" w:name="_Toc3793"/>
      <w:bookmarkStart w:id="472" w:name="_Toc4156"/>
      <w:bookmarkStart w:id="473" w:name="_Toc520356169"/>
      <w:r>
        <w:rPr>
          <w:rFonts w:hint="eastAsia" w:ascii="宋体" w:hAnsi="宋体" w:eastAsia="宋体" w:cs="宋体"/>
          <w:color w:val="auto"/>
          <w:highlight w:val="none"/>
          <w:u w:val="none"/>
        </w:rPr>
        <w:t>25.保密原则</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shd w:val="clear" w:color="auto" w:fill="auto"/>
        <w:spacing w:line="360" w:lineRule="exact"/>
        <w:ind w:hanging="540"/>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474" w:name="_Toc4493"/>
      <w:bookmarkStart w:id="475" w:name="_Toc31410"/>
      <w:bookmarkStart w:id="476" w:name="_Toc515647787"/>
      <w:bookmarkStart w:id="477" w:name="_Toc12143"/>
      <w:bookmarkStart w:id="478" w:name="_Toc19238"/>
      <w:bookmarkStart w:id="479" w:name="_Toc23904"/>
      <w:bookmarkStart w:id="480" w:name="_Toc216582810"/>
      <w:r>
        <w:rPr>
          <w:rFonts w:hint="eastAsia" w:ascii="宋体" w:hAnsi="宋体" w:eastAsia="宋体" w:cs="宋体"/>
          <w:color w:val="auto"/>
          <w:sz w:val="24"/>
          <w:highlight w:val="none"/>
        </w:rPr>
        <w:t xml:space="preserve">六   </w:t>
      </w:r>
      <w:bookmarkEnd w:id="473"/>
      <w:r>
        <w:rPr>
          <w:rFonts w:hint="eastAsia" w:ascii="宋体" w:hAnsi="宋体" w:eastAsia="宋体" w:cs="宋体"/>
          <w:color w:val="auto"/>
          <w:sz w:val="24"/>
          <w:highlight w:val="none"/>
        </w:rPr>
        <w:t>确定中标</w:t>
      </w:r>
      <w:bookmarkEnd w:id="474"/>
      <w:bookmarkEnd w:id="475"/>
      <w:bookmarkEnd w:id="476"/>
      <w:bookmarkEnd w:id="477"/>
      <w:bookmarkEnd w:id="478"/>
      <w:bookmarkEnd w:id="479"/>
      <w:bookmarkEnd w:id="480"/>
    </w:p>
    <w:p>
      <w:pPr>
        <w:pStyle w:val="10"/>
        <w:shd w:val="clear" w:color="auto" w:fill="auto"/>
        <w:spacing w:before="0" w:after="0" w:line="360" w:lineRule="exact"/>
        <w:rPr>
          <w:rFonts w:hint="eastAsia" w:ascii="宋体" w:hAnsi="宋体" w:eastAsia="宋体" w:cs="宋体"/>
          <w:color w:val="auto"/>
          <w:highlight w:val="none"/>
          <w:u w:val="none"/>
        </w:rPr>
      </w:pPr>
      <w:bookmarkStart w:id="481" w:name="_Toc20061"/>
      <w:bookmarkStart w:id="482" w:name="_Toc515647788"/>
      <w:bookmarkStart w:id="483" w:name="_Toc13936"/>
      <w:bookmarkStart w:id="484" w:name="_Toc520356170"/>
      <w:bookmarkStart w:id="485" w:name="_Toc23617"/>
      <w:bookmarkStart w:id="486" w:name="_Toc21292"/>
      <w:bookmarkStart w:id="487" w:name="_Toc30510"/>
      <w:bookmarkStart w:id="488" w:name="_Toc25666"/>
      <w:bookmarkStart w:id="489" w:name="_Toc15691"/>
      <w:bookmarkStart w:id="490" w:name="_Toc13771"/>
      <w:bookmarkStart w:id="491" w:name="_Toc26724"/>
      <w:bookmarkStart w:id="492" w:name="_Toc23762"/>
      <w:bookmarkStart w:id="493" w:name="_Toc23610"/>
      <w:bookmarkStart w:id="494" w:name="_Toc24421"/>
      <w:bookmarkStart w:id="495" w:name="_Ref467307010"/>
      <w:bookmarkStart w:id="496" w:name="_Toc10036"/>
      <w:bookmarkStart w:id="497" w:name="_Toc31710"/>
      <w:bookmarkStart w:id="498" w:name="_Toc24508"/>
      <w:bookmarkStart w:id="499" w:name="_Toc32546"/>
      <w:r>
        <w:rPr>
          <w:rFonts w:hint="eastAsia" w:ascii="宋体" w:hAnsi="宋体" w:eastAsia="宋体" w:cs="宋体"/>
          <w:color w:val="auto"/>
          <w:highlight w:val="none"/>
          <w:u w:val="none"/>
        </w:rPr>
        <w:t>26.中标候选人的确定原则及标准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按下列方法进行排序，确定投标候选人：</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snapToGrid w:val="0"/>
        <w:spacing w:line="360" w:lineRule="exact"/>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本项目采用综合评分法，其中价格占2</w:t>
      </w:r>
      <w:r>
        <w:rPr>
          <w:rFonts w:hint="eastAsia" w:ascii="宋体" w:hAnsi="宋体" w:eastAsia="宋体" w:cs="宋体"/>
          <w:b/>
          <w:bCs/>
          <w:color w:val="auto"/>
          <w:sz w:val="24"/>
          <w:highlight w:val="none"/>
          <w:lang w:val="en-US"/>
        </w:rPr>
        <w:t>0</w:t>
      </w:r>
      <w:r>
        <w:rPr>
          <w:rFonts w:hint="eastAsia" w:ascii="宋体" w:hAnsi="宋体" w:eastAsia="宋体" w:cs="宋体"/>
          <w:b/>
          <w:bCs/>
          <w:color w:val="auto"/>
          <w:sz w:val="24"/>
          <w:highlight w:val="none"/>
        </w:rPr>
        <w:t>%，商务占</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%，技术占</w:t>
      </w:r>
      <w:r>
        <w:rPr>
          <w:rFonts w:hint="eastAsia" w:ascii="宋体" w:hAnsi="宋体" w:eastAsia="宋体" w:cs="宋体"/>
          <w:b/>
          <w:bCs/>
          <w:color w:val="auto"/>
          <w:sz w:val="24"/>
          <w:highlight w:val="none"/>
          <w:lang w:val="en-US" w:eastAsia="zh-CN"/>
        </w:rPr>
        <w:t>72</w:t>
      </w:r>
      <w:r>
        <w:rPr>
          <w:rFonts w:hint="eastAsia" w:ascii="宋体" w:hAnsi="宋体" w:eastAsia="宋体" w:cs="宋体"/>
          <w:b/>
          <w:bCs/>
          <w:color w:val="auto"/>
          <w:sz w:val="24"/>
          <w:highlight w:val="none"/>
        </w:rPr>
        <w:t>%。</w:t>
      </w:r>
    </w:p>
    <w:bookmarkEnd w:id="4"/>
    <w:bookmarkEnd w:id="5"/>
    <w:bookmarkEnd w:id="6"/>
    <w:bookmarkEnd w:id="7"/>
    <w:bookmarkEnd w:id="8"/>
    <w:bookmarkEnd w:id="361"/>
    <w:bookmarkEnd w:id="362"/>
    <w:p>
      <w:pPr>
        <w:pStyle w:val="10"/>
        <w:shd w:val="clear" w:color="auto" w:fill="auto"/>
        <w:tabs>
          <w:tab w:val="left" w:pos="900"/>
        </w:tabs>
        <w:snapToGrid w:val="0"/>
        <w:spacing w:before="0" w:after="0" w:line="360" w:lineRule="exact"/>
        <w:textAlignment w:val="baseline"/>
        <w:rPr>
          <w:rFonts w:hint="eastAsia" w:ascii="宋体" w:hAnsi="宋体" w:eastAsia="宋体" w:cs="宋体"/>
          <w:color w:val="auto"/>
          <w:highlight w:val="none"/>
          <w:lang w:val="en-US" w:eastAsia="zh-CN"/>
        </w:rPr>
      </w:pPr>
      <w:bookmarkStart w:id="500" w:name="_Toc17933"/>
      <w:bookmarkStart w:id="501" w:name="_Toc16846"/>
      <w:bookmarkStart w:id="502" w:name="_Toc2514"/>
      <w:bookmarkStart w:id="503" w:name="_Toc29819"/>
      <w:bookmarkStart w:id="504" w:name="_Toc21913"/>
      <w:bookmarkStart w:id="505" w:name="_Toc17164"/>
      <w:bookmarkStart w:id="506" w:name="_Toc24394"/>
      <w:bookmarkStart w:id="507" w:name="_Toc1644"/>
      <w:bookmarkStart w:id="508" w:name="_Toc24948"/>
      <w:bookmarkStart w:id="509" w:name="_Toc9066"/>
      <w:bookmarkStart w:id="510" w:name="_Toc3720"/>
      <w:bookmarkStart w:id="511" w:name="_Toc14558"/>
      <w:bookmarkStart w:id="512" w:name="_Toc15218"/>
      <w:bookmarkStart w:id="513" w:name="_Toc20245"/>
      <w:bookmarkStart w:id="514" w:name="_Toc25141"/>
      <w:bookmarkStart w:id="515" w:name="_Toc7089"/>
      <w:bookmarkStart w:id="516" w:name="_Toc3328"/>
      <w:r>
        <w:rPr>
          <w:rFonts w:hint="eastAsia" w:ascii="宋体" w:hAnsi="宋体" w:eastAsia="宋体" w:cs="宋体"/>
          <w:b/>
          <w:color w:val="auto"/>
          <w:highlight w:val="none"/>
          <w:u w:color="000000"/>
        </w:rPr>
        <w:t>27.确定</w:t>
      </w:r>
      <w:r>
        <w:rPr>
          <w:rFonts w:hint="eastAsia" w:ascii="宋体" w:hAnsi="宋体" w:eastAsia="宋体" w:cs="宋体"/>
          <w:b/>
          <w:color w:val="auto"/>
          <w:highlight w:val="none"/>
          <w:u w:color="000000"/>
          <w:lang w:val="en-US" w:eastAsia="zh-CN"/>
        </w:rPr>
        <w:t>中标</w:t>
      </w:r>
      <w:r>
        <w:rPr>
          <w:rFonts w:hint="eastAsia" w:ascii="宋体" w:hAnsi="宋体" w:eastAsia="宋体" w:cs="宋体"/>
          <w:b/>
          <w:color w:val="auto"/>
          <w:highlight w:val="none"/>
          <w:u w:color="000000"/>
        </w:rPr>
        <w:t>候选人和</w:t>
      </w:r>
      <w:bookmarkEnd w:id="500"/>
      <w:bookmarkEnd w:id="501"/>
      <w:bookmarkEnd w:id="502"/>
      <w:bookmarkEnd w:id="503"/>
      <w:bookmarkEnd w:id="504"/>
      <w:bookmarkEnd w:id="505"/>
      <w:bookmarkEnd w:id="506"/>
      <w:bookmarkEnd w:id="507"/>
      <w:bookmarkEnd w:id="508"/>
      <w:bookmarkEnd w:id="509"/>
      <w:bookmarkEnd w:id="510"/>
      <w:bookmarkEnd w:id="511"/>
      <w:r>
        <w:rPr>
          <w:rFonts w:hint="eastAsia" w:ascii="宋体" w:hAnsi="宋体" w:eastAsia="宋体" w:cs="宋体"/>
          <w:b/>
          <w:color w:val="auto"/>
          <w:highlight w:val="none"/>
          <w:u w:color="000000"/>
          <w:lang w:val="en-US" w:eastAsia="zh-CN"/>
        </w:rPr>
        <w:t>中标人</w:t>
      </w:r>
      <w:bookmarkEnd w:id="512"/>
      <w:bookmarkEnd w:id="513"/>
      <w:bookmarkEnd w:id="514"/>
      <w:bookmarkEnd w:id="515"/>
      <w:bookmarkEnd w:id="516"/>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517" w:name="_Toc31025"/>
      <w:bookmarkStart w:id="518" w:name="_Toc9653"/>
      <w:bookmarkStart w:id="519" w:name="_Toc24945"/>
      <w:bookmarkStart w:id="520" w:name="_Toc23951"/>
      <w:bookmarkStart w:id="521" w:name="_Toc20688"/>
      <w:bookmarkStart w:id="522" w:name="_Toc20691"/>
      <w:bookmarkStart w:id="523" w:name="_Toc24480"/>
      <w:bookmarkStart w:id="524" w:name="_Toc6310"/>
      <w:bookmarkStart w:id="525" w:name="_Toc15739"/>
      <w:bookmarkStart w:id="526" w:name="_Toc18361"/>
      <w:bookmarkStart w:id="527" w:name="_Toc460"/>
      <w:bookmarkStart w:id="528" w:name="_Toc29111"/>
      <w:bookmarkStart w:id="529" w:name="_Toc10700"/>
      <w:bookmarkStart w:id="530" w:name="_Toc18497"/>
      <w:bookmarkStart w:id="531" w:name="_Toc31800"/>
      <w:bookmarkStart w:id="532" w:name="_Toc30072"/>
      <w:bookmarkStart w:id="533" w:name="_Toc7864"/>
      <w:r>
        <w:rPr>
          <w:rFonts w:hint="eastAsia" w:ascii="宋体" w:hAnsi="宋体" w:eastAsia="宋体" w:cs="宋体"/>
          <w:color w:val="auto"/>
          <w:highlight w:val="none"/>
          <w:u w:val="none"/>
        </w:rPr>
        <w:t>27.确定中标候选人和中标人</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shd w:val="clear" w:color="auto" w:fill="auto"/>
        <w:spacing w:line="360" w:lineRule="exact"/>
        <w:ind w:left="479" w:leftChars="228"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规定数量推荐中标候选人；或根据采购人的委托，直接确定中标人。</w:t>
      </w:r>
    </w:p>
    <w:p>
      <w:pPr>
        <w:pStyle w:val="10"/>
        <w:shd w:val="clear" w:color="auto" w:fill="auto"/>
        <w:tabs>
          <w:tab w:val="left" w:pos="900"/>
        </w:tabs>
        <w:spacing w:before="0" w:after="0" w:line="360" w:lineRule="exact"/>
        <w:rPr>
          <w:rFonts w:hint="eastAsia" w:ascii="宋体" w:hAnsi="宋体" w:eastAsia="宋体" w:cs="宋体"/>
          <w:color w:val="auto"/>
          <w:highlight w:val="none"/>
          <w:u w:val="none"/>
        </w:rPr>
      </w:pPr>
      <w:bookmarkStart w:id="534" w:name="_Toc520356173"/>
      <w:bookmarkStart w:id="535" w:name="_Ref467306874"/>
      <w:bookmarkStart w:id="536" w:name="_Toc20001"/>
      <w:bookmarkStart w:id="537" w:name="_Toc515647790"/>
      <w:bookmarkStart w:id="538" w:name="_Toc20705"/>
      <w:bookmarkStart w:id="539" w:name="_Toc10897"/>
      <w:bookmarkStart w:id="540" w:name="_Toc20151"/>
      <w:bookmarkStart w:id="541" w:name="_Toc32455"/>
      <w:bookmarkStart w:id="542" w:name="_Toc8389"/>
      <w:bookmarkStart w:id="543" w:name="_Toc18923"/>
      <w:bookmarkStart w:id="544" w:name="_Toc28562"/>
      <w:bookmarkStart w:id="545" w:name="_Toc7156"/>
      <w:bookmarkStart w:id="546" w:name="_Toc31925"/>
      <w:bookmarkStart w:id="547" w:name="_Toc26328"/>
      <w:bookmarkStart w:id="548" w:name="_Toc7652"/>
      <w:bookmarkStart w:id="549" w:name="_Toc31043"/>
      <w:bookmarkStart w:id="550" w:name="_Toc4516"/>
      <w:bookmarkStart w:id="551" w:name="_Toc1015"/>
      <w:bookmarkStart w:id="552" w:name="_Toc28513"/>
      <w:bookmarkStart w:id="553" w:name="_Toc9887"/>
      <w:r>
        <w:rPr>
          <w:rFonts w:hint="eastAsia" w:ascii="宋体" w:hAnsi="宋体" w:eastAsia="宋体" w:cs="宋体"/>
          <w:color w:val="auto"/>
          <w:highlight w:val="none"/>
          <w:u w:val="none"/>
        </w:rPr>
        <w:t>28.</w:t>
      </w:r>
      <w:bookmarkEnd w:id="534"/>
      <w:bookmarkEnd w:id="535"/>
      <w:r>
        <w:rPr>
          <w:rFonts w:hint="eastAsia" w:ascii="宋体" w:hAnsi="宋体" w:eastAsia="宋体" w:cs="宋体"/>
          <w:color w:val="auto"/>
          <w:highlight w:val="none"/>
          <w:u w:val="none"/>
        </w:rPr>
        <w:t>采购任务取消</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不承担任何责任。</w:t>
      </w:r>
      <w:bookmarkStart w:id="554" w:name="_Toc520356174"/>
    </w:p>
    <w:p>
      <w:pPr>
        <w:pStyle w:val="10"/>
        <w:shd w:val="clear" w:color="auto" w:fill="auto"/>
        <w:spacing w:before="0" w:after="0" w:line="360" w:lineRule="exact"/>
        <w:rPr>
          <w:rFonts w:hint="eastAsia" w:ascii="宋体" w:hAnsi="宋体" w:eastAsia="宋体" w:cs="宋体"/>
          <w:color w:val="auto"/>
          <w:highlight w:val="none"/>
          <w:u w:val="none"/>
        </w:rPr>
      </w:pPr>
      <w:bookmarkStart w:id="555" w:name="_Toc24285"/>
      <w:bookmarkStart w:id="556" w:name="_Toc515647791"/>
      <w:bookmarkStart w:id="557" w:name="_Toc27996"/>
      <w:bookmarkStart w:id="558" w:name="_Toc22313"/>
      <w:bookmarkStart w:id="559" w:name="_Toc31099"/>
      <w:bookmarkStart w:id="560" w:name="_Toc21583"/>
      <w:bookmarkStart w:id="561" w:name="_Toc30170"/>
      <w:bookmarkStart w:id="562" w:name="_Toc21042"/>
      <w:bookmarkStart w:id="563" w:name="_Toc8834"/>
      <w:bookmarkStart w:id="564" w:name="_Toc30149"/>
      <w:bookmarkStart w:id="565" w:name="_Toc23433"/>
      <w:bookmarkStart w:id="566" w:name="_Toc32101"/>
      <w:bookmarkStart w:id="567" w:name="_Toc26207"/>
      <w:bookmarkStart w:id="568" w:name="_Toc17600"/>
      <w:bookmarkStart w:id="569" w:name="_Toc5348"/>
      <w:bookmarkStart w:id="570" w:name="_Toc20430"/>
      <w:bookmarkStart w:id="571" w:name="_Toc28285"/>
      <w:bookmarkStart w:id="572" w:name="_Toc30931"/>
      <w:r>
        <w:rPr>
          <w:rFonts w:hint="eastAsia" w:ascii="宋体" w:hAnsi="宋体" w:eastAsia="宋体" w:cs="宋体"/>
          <w:color w:val="auto"/>
          <w:highlight w:val="none"/>
          <w:u w:val="none"/>
        </w:rPr>
        <w:t>29.中标通知书</w:t>
      </w:r>
      <w:bookmarkEnd w:id="554"/>
      <w:r>
        <w:rPr>
          <w:rFonts w:hint="eastAsia" w:ascii="宋体" w:hAnsi="宋体" w:eastAsia="宋体" w:cs="宋体"/>
          <w:color w:val="auto"/>
          <w:highlight w:val="none"/>
          <w:u w:val="none"/>
        </w:rPr>
        <w:t>和招标结果通知书</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10"/>
        <w:shd w:val="clear" w:color="auto" w:fill="auto"/>
        <w:spacing w:before="0" w:after="0" w:line="360" w:lineRule="exact"/>
        <w:rPr>
          <w:rFonts w:hint="eastAsia" w:ascii="宋体" w:hAnsi="宋体" w:eastAsia="宋体" w:cs="宋体"/>
          <w:color w:val="auto"/>
          <w:highlight w:val="none"/>
          <w:u w:val="none"/>
        </w:rPr>
      </w:pPr>
      <w:bookmarkStart w:id="573" w:name="_Toc515647792"/>
      <w:bookmarkStart w:id="574" w:name="_Toc9171"/>
      <w:bookmarkStart w:id="575" w:name="_Toc15018"/>
      <w:bookmarkStart w:id="576" w:name="_Toc7779"/>
      <w:bookmarkStart w:id="577" w:name="_Toc790"/>
      <w:bookmarkStart w:id="578" w:name="_Toc31017"/>
      <w:bookmarkStart w:id="579" w:name="_Toc24666"/>
      <w:bookmarkStart w:id="580" w:name="_Toc4521"/>
      <w:bookmarkStart w:id="581" w:name="_Toc32182"/>
      <w:bookmarkStart w:id="582" w:name="_Toc29299"/>
      <w:bookmarkStart w:id="583" w:name="_Toc8845"/>
      <w:bookmarkStart w:id="584" w:name="_Toc14551"/>
      <w:bookmarkStart w:id="585" w:name="_Ref467306377"/>
      <w:bookmarkStart w:id="586" w:name="_Ref467306978"/>
      <w:bookmarkStart w:id="587" w:name="_Toc14106"/>
      <w:bookmarkStart w:id="588" w:name="_Toc25945"/>
      <w:bookmarkStart w:id="589" w:name="_Toc25212"/>
      <w:bookmarkStart w:id="590" w:name="_Toc520356175"/>
      <w:bookmarkStart w:id="591" w:name="_Toc32051"/>
      <w:bookmarkStart w:id="592" w:name="_Ref467307204"/>
      <w:bookmarkStart w:id="593" w:name="_Toc24203"/>
      <w:bookmarkStart w:id="594" w:name="_Ref467307062"/>
      <w:bookmarkStart w:id="595" w:name="_Toc2746"/>
      <w:r>
        <w:rPr>
          <w:rFonts w:hint="eastAsia" w:ascii="宋体" w:hAnsi="宋体" w:eastAsia="宋体" w:cs="宋体"/>
          <w:color w:val="auto"/>
          <w:highlight w:val="none"/>
          <w:u w:val="none"/>
        </w:rPr>
        <w:t>30.签订合同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596" w:name="_Toc520356176"/>
      <w:bookmarkStart w:id="597" w:name="_Ref467307090"/>
      <w:bookmarkStart w:id="598" w:name="_Ref467306425"/>
      <w:r>
        <w:rPr>
          <w:rFonts w:hint="eastAsia" w:ascii="宋体" w:hAnsi="宋体" w:eastAsia="宋体" w:cs="宋体"/>
          <w:color w:val="auto"/>
          <w:sz w:val="24"/>
          <w:highlight w:val="none"/>
        </w:rPr>
        <w:t>招标文件、中标人的投标文件及其澄清文件等，均为签订合同的依据。</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10"/>
        <w:shd w:val="clear" w:color="auto" w:fill="auto"/>
        <w:spacing w:before="0" w:after="0" w:line="360" w:lineRule="exact"/>
        <w:rPr>
          <w:rFonts w:hint="eastAsia" w:ascii="宋体" w:hAnsi="宋体" w:eastAsia="宋体" w:cs="宋体"/>
          <w:color w:val="auto"/>
          <w:highlight w:val="none"/>
          <w:u w:val="none"/>
        </w:rPr>
      </w:pPr>
      <w:bookmarkStart w:id="599" w:name="_Toc515647793"/>
      <w:bookmarkStart w:id="600" w:name="_Toc28788"/>
      <w:bookmarkStart w:id="601" w:name="_Toc14080"/>
      <w:bookmarkStart w:id="602" w:name="_Toc22555"/>
      <w:bookmarkStart w:id="603" w:name="_Toc12165"/>
      <w:bookmarkStart w:id="604" w:name="_Toc22724"/>
      <w:bookmarkStart w:id="605" w:name="_Toc4849"/>
      <w:bookmarkStart w:id="606" w:name="_Toc4766"/>
      <w:bookmarkStart w:id="607" w:name="_Toc8189"/>
      <w:bookmarkStart w:id="608" w:name="_Toc16165"/>
      <w:bookmarkStart w:id="609" w:name="_Toc13370"/>
      <w:bookmarkStart w:id="610" w:name="_Toc28451"/>
      <w:bookmarkStart w:id="611" w:name="_Toc1314"/>
      <w:bookmarkStart w:id="612" w:name="_Toc11467"/>
      <w:bookmarkStart w:id="613" w:name="_Toc32557"/>
      <w:bookmarkStart w:id="614" w:name="_Toc23929"/>
      <w:bookmarkStart w:id="615" w:name="_Toc29524"/>
      <w:bookmarkStart w:id="616" w:name="_Toc10991"/>
      <w:r>
        <w:rPr>
          <w:rFonts w:hint="eastAsia" w:ascii="宋体" w:hAnsi="宋体" w:eastAsia="宋体" w:cs="宋体"/>
          <w:color w:val="auto"/>
          <w:highlight w:val="none"/>
          <w:u w:val="none"/>
        </w:rPr>
        <w:t>31.履约保证金</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规定向采购人缴纳履约保证金（如采用保函形式，格式见本章附件1）。</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pPr>
        <w:pStyle w:val="10"/>
        <w:shd w:val="clear" w:color="auto" w:fill="auto"/>
        <w:spacing w:before="0" w:after="0" w:line="360" w:lineRule="exact"/>
        <w:rPr>
          <w:rFonts w:hint="eastAsia" w:ascii="宋体" w:hAnsi="宋体" w:eastAsia="宋体" w:cs="宋体"/>
          <w:color w:val="auto"/>
          <w:highlight w:val="none"/>
          <w:u w:val="none"/>
        </w:rPr>
      </w:pPr>
      <w:bookmarkStart w:id="617" w:name="_Toc32604"/>
      <w:bookmarkStart w:id="618" w:name="_Toc8630"/>
      <w:bookmarkStart w:id="619" w:name="_Toc515647794"/>
      <w:bookmarkStart w:id="620" w:name="_Toc11529"/>
      <w:bookmarkStart w:id="621" w:name="_Toc14673"/>
      <w:bookmarkStart w:id="622" w:name="_Toc6216"/>
      <w:bookmarkStart w:id="623" w:name="_Toc4044"/>
      <w:bookmarkStart w:id="624" w:name="_Toc16406"/>
      <w:bookmarkStart w:id="625" w:name="_Toc3090"/>
      <w:bookmarkStart w:id="626" w:name="_Toc14892"/>
      <w:bookmarkStart w:id="627" w:name="_Toc21246"/>
      <w:bookmarkStart w:id="628" w:name="_Toc21835"/>
      <w:bookmarkStart w:id="629" w:name="_Toc9967"/>
      <w:bookmarkStart w:id="630" w:name="_Toc25487"/>
      <w:bookmarkStart w:id="631" w:name="_Toc10985"/>
      <w:bookmarkStart w:id="632" w:name="_Toc3935"/>
      <w:bookmarkStart w:id="633" w:name="_Toc26497"/>
      <w:bookmarkStart w:id="634" w:name="_Toc29408"/>
      <w:r>
        <w:rPr>
          <w:rFonts w:hint="eastAsia" w:ascii="宋体" w:hAnsi="宋体" w:eastAsia="宋体" w:cs="宋体"/>
          <w:color w:val="auto"/>
          <w:highlight w:val="none"/>
          <w:u w:val="none"/>
        </w:rPr>
        <w:t>32.中标服务费</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shd w:val="clear" w:color="auto" w:fill="auto"/>
        <w:spacing w:line="360" w:lineRule="exact"/>
        <w:ind w:left="420"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10"/>
        <w:shd w:val="clear" w:color="auto" w:fill="auto"/>
        <w:spacing w:before="0" w:after="0" w:line="360" w:lineRule="exact"/>
        <w:rPr>
          <w:rFonts w:hint="eastAsia" w:ascii="宋体" w:hAnsi="宋体" w:eastAsia="宋体" w:cs="宋体"/>
          <w:color w:val="auto"/>
          <w:highlight w:val="none"/>
          <w:u w:val="none"/>
        </w:rPr>
      </w:pPr>
      <w:bookmarkStart w:id="635" w:name="_Toc7188"/>
      <w:bookmarkStart w:id="636" w:name="_Toc515647795"/>
      <w:bookmarkStart w:id="637" w:name="_Toc14110"/>
      <w:bookmarkStart w:id="638" w:name="_Toc24977"/>
      <w:bookmarkStart w:id="639" w:name="_Toc30735"/>
      <w:bookmarkStart w:id="640" w:name="_Toc3053"/>
      <w:bookmarkStart w:id="641" w:name="_Toc18561"/>
      <w:bookmarkStart w:id="642" w:name="_Toc24525"/>
      <w:bookmarkStart w:id="643" w:name="_Toc23330"/>
      <w:bookmarkStart w:id="644" w:name="_Toc23921"/>
      <w:bookmarkStart w:id="645" w:name="_Toc6923"/>
      <w:bookmarkStart w:id="646" w:name="_Toc16176"/>
      <w:bookmarkStart w:id="647" w:name="_Toc26874"/>
      <w:bookmarkStart w:id="648" w:name="_Toc16900"/>
      <w:bookmarkStart w:id="649" w:name="_Toc3846"/>
      <w:bookmarkStart w:id="650" w:name="_Toc4947"/>
      <w:bookmarkStart w:id="651" w:name="_Toc7049"/>
      <w:bookmarkStart w:id="652" w:name="_Toc8382"/>
      <w:r>
        <w:rPr>
          <w:rFonts w:hint="eastAsia" w:ascii="宋体" w:hAnsi="宋体" w:eastAsia="宋体" w:cs="宋体"/>
          <w:color w:val="auto"/>
          <w:highlight w:val="none"/>
          <w:u w:val="none"/>
        </w:rPr>
        <w:t>33.政府采购信用担保</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可以自由按照财政部门的规定，采用投标担保、履约担保和融资担保。</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递交的投标担保函和履约担保函应符合本招标文件的规定。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10"/>
        <w:shd w:val="clear" w:color="auto" w:fill="auto"/>
        <w:spacing w:before="0" w:after="0" w:line="360" w:lineRule="exact"/>
        <w:rPr>
          <w:rFonts w:hint="eastAsia" w:ascii="宋体" w:hAnsi="宋体" w:eastAsia="宋体" w:cs="宋体"/>
          <w:color w:val="auto"/>
          <w:highlight w:val="none"/>
          <w:u w:val="none"/>
        </w:rPr>
      </w:pPr>
      <w:bookmarkStart w:id="653" w:name="_Toc515647796"/>
      <w:bookmarkStart w:id="654" w:name="_Toc4580"/>
      <w:bookmarkStart w:id="655" w:name="_Toc24308"/>
      <w:bookmarkStart w:id="656" w:name="_Toc31178"/>
      <w:bookmarkStart w:id="657" w:name="_Toc23161"/>
      <w:bookmarkStart w:id="658" w:name="_Toc27009"/>
      <w:bookmarkStart w:id="659" w:name="_Toc15703"/>
      <w:bookmarkStart w:id="660" w:name="_Toc24020"/>
      <w:bookmarkStart w:id="661" w:name="_Toc30431"/>
      <w:bookmarkStart w:id="662" w:name="_Toc19328"/>
      <w:bookmarkStart w:id="663" w:name="_Toc3656"/>
      <w:bookmarkStart w:id="664" w:name="_Toc3551"/>
      <w:bookmarkStart w:id="665" w:name="_Toc16267"/>
      <w:bookmarkStart w:id="666" w:name="_Toc23999"/>
      <w:bookmarkStart w:id="667" w:name="_Toc29108"/>
      <w:bookmarkStart w:id="668" w:name="_Toc19776"/>
      <w:bookmarkStart w:id="669" w:name="_Toc22190"/>
      <w:bookmarkStart w:id="670" w:name="_Toc2133"/>
      <w:r>
        <w:rPr>
          <w:rFonts w:hint="eastAsia" w:ascii="宋体" w:hAnsi="宋体" w:eastAsia="宋体" w:cs="宋体"/>
          <w:color w:val="auto"/>
          <w:highlight w:val="none"/>
          <w:u w:val="none"/>
        </w:rPr>
        <w:t>34.廉洁自律规定</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10"/>
        <w:shd w:val="clear" w:color="auto" w:fill="auto"/>
        <w:spacing w:before="0" w:after="0" w:line="360" w:lineRule="exact"/>
        <w:rPr>
          <w:rFonts w:hint="eastAsia" w:ascii="宋体" w:hAnsi="宋体" w:eastAsia="宋体" w:cs="宋体"/>
          <w:color w:val="auto"/>
          <w:highlight w:val="none"/>
          <w:u w:val="none"/>
        </w:rPr>
      </w:pPr>
      <w:bookmarkStart w:id="671" w:name="_Toc20767"/>
      <w:bookmarkStart w:id="672" w:name="_Toc3587"/>
      <w:bookmarkStart w:id="673" w:name="_Toc17079"/>
      <w:bookmarkStart w:id="674" w:name="_Toc23276"/>
      <w:bookmarkStart w:id="675" w:name="_Toc25480"/>
      <w:bookmarkStart w:id="676" w:name="_Toc26147"/>
      <w:bookmarkStart w:id="677" w:name="_Toc29018"/>
      <w:bookmarkStart w:id="678" w:name="_Toc28697"/>
      <w:bookmarkStart w:id="679" w:name="_Toc17829"/>
      <w:bookmarkStart w:id="680" w:name="_Toc30009"/>
      <w:bookmarkStart w:id="681" w:name="_Toc515647797"/>
      <w:bookmarkStart w:id="682" w:name="_Toc5069"/>
      <w:bookmarkStart w:id="683" w:name="_Toc3661"/>
      <w:bookmarkStart w:id="684" w:name="_Toc5448"/>
      <w:bookmarkStart w:id="685" w:name="_Toc13633"/>
      <w:bookmarkStart w:id="686" w:name="_Toc4645"/>
      <w:bookmarkStart w:id="687" w:name="_Toc2538"/>
      <w:bookmarkStart w:id="688" w:name="_Toc11586"/>
      <w:r>
        <w:rPr>
          <w:rFonts w:hint="eastAsia" w:ascii="宋体" w:hAnsi="宋体" w:eastAsia="宋体" w:cs="宋体"/>
          <w:color w:val="auto"/>
          <w:highlight w:val="none"/>
          <w:u w:val="none"/>
        </w:rPr>
        <w:t>35.人员回避</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10"/>
        <w:shd w:val="clear" w:color="auto" w:fill="auto"/>
        <w:spacing w:before="0" w:after="0" w:line="360" w:lineRule="exact"/>
        <w:rPr>
          <w:rFonts w:hint="eastAsia" w:ascii="宋体" w:hAnsi="宋体" w:eastAsia="宋体" w:cs="宋体"/>
          <w:color w:val="auto"/>
          <w:highlight w:val="none"/>
          <w:u w:val="none"/>
        </w:rPr>
      </w:pPr>
      <w:bookmarkStart w:id="689" w:name="_Toc31362"/>
      <w:bookmarkStart w:id="690" w:name="_Toc1640"/>
      <w:bookmarkStart w:id="691" w:name="_Toc9305"/>
      <w:bookmarkStart w:id="692" w:name="_Toc11728"/>
      <w:bookmarkStart w:id="693" w:name="_Toc13988"/>
      <w:bookmarkStart w:id="694" w:name="_Toc6387"/>
      <w:bookmarkStart w:id="695" w:name="_Toc29186"/>
      <w:bookmarkStart w:id="696" w:name="_Toc7227"/>
      <w:bookmarkStart w:id="697" w:name="_Toc12880"/>
      <w:bookmarkStart w:id="698" w:name="_Toc7870"/>
      <w:bookmarkStart w:id="699" w:name="_Toc15979"/>
      <w:bookmarkStart w:id="700" w:name="_Toc30943"/>
      <w:bookmarkStart w:id="701" w:name="_Toc21536"/>
      <w:bookmarkStart w:id="702" w:name="_Toc10066"/>
      <w:bookmarkStart w:id="703" w:name="_Toc19513"/>
      <w:r>
        <w:rPr>
          <w:rFonts w:hint="eastAsia" w:ascii="宋体" w:hAnsi="宋体" w:eastAsia="宋体" w:cs="宋体"/>
          <w:color w:val="auto"/>
          <w:highlight w:val="none"/>
          <w:u w:val="none"/>
        </w:rPr>
        <w:t>36.</w:t>
      </w:r>
      <w:bookmarkEnd w:id="689"/>
      <w:r>
        <w:rPr>
          <w:rFonts w:hint="eastAsia" w:ascii="宋体" w:hAnsi="宋体" w:eastAsia="宋体" w:cs="宋体"/>
          <w:color w:val="auto"/>
          <w:highlight w:val="none"/>
          <w:u w:val="none"/>
        </w:rPr>
        <w:t>质疑与接收</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shd w:val="clear" w:color="auto" w:fill="auto"/>
        <w:spacing w:line="360" w:lineRule="exact"/>
        <w:ind w:left="720"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   供应商有权提出一次质疑，不能多次提出。</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36.10  提出质疑应当符合下列条件：</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360" w:lineRule="exact"/>
        <w:ind w:left="1199" w:leftChars="228"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36.12  质疑人所提供的证明材料应当具有真实性、合法性以及与质疑事项的关联性和证明力，否则不能作为认定该质疑事项成立的依据。</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36.13 质疑人提出质疑时应当提交质疑函。质疑函包括下列内容：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36.14  质疑人可以委托代理人进行质疑。代理人应当提交授权委托书。授权委托书应当载明委托代理的具体权限、期限和相关事项。</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36.15  质疑的审查和受理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36.16  对不符合质疑受理条件的，分别按照下列不同情形予以处理：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36.17  质疑的处理和答复</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36.18  采购方受理质疑后，将及时把质疑函发送给被质疑人，并要求其在一定限期内提交书面答复，同时提供有关证据、依据和相关材料。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36.19  对于质疑事项中涉及的问题较多、情况比较复杂的，为了全面查清事实、取得充分的证据，采购方认为有必要时，可以进行调查取证或者组织质证。</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36.20  对评审过程、中标结果提出质疑的，采购方可以组织原评审委员会协助答复质疑。</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36.21  质疑处理过程中，质疑人书面申请撤回质疑的，将终止质疑处理程序。</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jc w:val="left"/>
        <w:rPr>
          <w:rFonts w:hint="eastAsia" w:ascii="宋体" w:hAnsi="宋体" w:eastAsia="宋体" w:cs="宋体"/>
          <w:b/>
          <w:bCs/>
          <w:color w:val="auto"/>
          <w:highlight w:val="none"/>
        </w:rPr>
      </w:pPr>
      <w:r>
        <w:rPr>
          <w:rFonts w:hint="eastAsia" w:ascii="宋体" w:hAnsi="宋体" w:eastAsia="宋体" w:cs="宋体"/>
          <w:color w:val="auto"/>
          <w:sz w:val="24"/>
          <w:highlight w:val="none"/>
        </w:rPr>
        <w:t xml:space="preserve">36.24  采购方将在正式受理质疑后7个工作日内作出答复。 </w:t>
      </w:r>
    </w:p>
    <w:p>
      <w:pPr>
        <w:pStyle w:val="5"/>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36.25 质疑答复应当包括下列内容：</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5"/>
        <w:shd w:val="clear" w:color="auto" w:fill="auto"/>
        <w:spacing w:line="36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04" w:name="_Toc23411"/>
      <w:bookmarkStart w:id="705" w:name="_Toc13698"/>
      <w:bookmarkStart w:id="706" w:name="_Toc25636"/>
      <w:bookmarkStart w:id="707" w:name="_Toc32049"/>
      <w:bookmarkStart w:id="708" w:name="_Toc8353"/>
      <w:bookmarkStart w:id="709" w:name="_Toc14893"/>
      <w:bookmarkStart w:id="710" w:name="_Toc9437"/>
      <w:bookmarkStart w:id="711" w:name="_Toc11297"/>
      <w:bookmarkStart w:id="712" w:name="_Toc12088"/>
      <w:bookmarkStart w:id="713" w:name="_Toc27601"/>
      <w:bookmarkStart w:id="714" w:name="_Toc14412"/>
      <w:bookmarkStart w:id="715" w:name="_Toc16553"/>
      <w:bookmarkStart w:id="716" w:name="_Toc29320"/>
      <w:bookmarkStart w:id="717" w:name="_Toc12693"/>
      <w:bookmarkStart w:id="718" w:name="_Toc30093"/>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19" w:name="_Toc30232"/>
      <w:bookmarkStart w:id="720" w:name="_Toc22674"/>
      <w:bookmarkStart w:id="721" w:name="_Toc20590"/>
      <w:bookmarkStart w:id="722" w:name="_Toc14462"/>
      <w:r>
        <w:rPr>
          <w:rFonts w:hint="eastAsia" w:ascii="宋体" w:hAnsi="宋体" w:eastAsia="宋体" w:cs="宋体"/>
          <w:b/>
          <w:bCs/>
          <w:color w:val="auto"/>
          <w:sz w:val="24"/>
          <w:highlight w:val="none"/>
        </w:rPr>
        <w:t>质疑函范本</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Style w:val="14"/>
        <w:shd w:val="clear" w:color="auto" w:fill="auto"/>
        <w:rPr>
          <w:rFonts w:hint="eastAsia" w:ascii="宋体" w:hAnsi="宋体" w:eastAsia="宋体" w:cs="宋体"/>
          <w:color w:val="auto"/>
          <w:highlight w:val="none"/>
        </w:rPr>
      </w:pP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hd w:val="clear" w:color="auto" w:fill="auto"/>
        <w:spacing w:line="360" w:lineRule="exact"/>
        <w:rPr>
          <w:rFonts w:hint="eastAsia" w:ascii="宋体" w:hAnsi="宋体" w:eastAsia="宋体" w:cs="宋体"/>
          <w:b/>
          <w:color w:val="auto"/>
          <w:sz w:val="24"/>
          <w:highlight w:val="none"/>
        </w:rPr>
      </w:pPr>
    </w:p>
    <w:p>
      <w:pPr>
        <w:shd w:val="clear" w:color="auto" w:fill="auto"/>
        <w:spacing w:line="3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8"/>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rPr>
          <w:rFonts w:hint="eastAsia" w:ascii="宋体" w:hAnsi="宋体" w:eastAsia="宋体" w:cs="宋体"/>
          <w:color w:val="auto"/>
          <w:szCs w:val="21"/>
          <w:highlight w:val="none"/>
        </w:rPr>
      </w:pPr>
      <w:bookmarkStart w:id="723" w:name="_Toc515647802"/>
      <w:bookmarkStart w:id="724" w:name="_Toc216582812"/>
      <w:bookmarkStart w:id="725" w:name="_Toc29770"/>
      <w:bookmarkStart w:id="726" w:name="_Toc728"/>
      <w:bookmarkStart w:id="727" w:name="_Toc30483"/>
      <w:bookmarkStart w:id="728" w:name="_Toc3574"/>
      <w:bookmarkStart w:id="729" w:name="_Toc702"/>
      <w:r>
        <w:rPr>
          <w:rFonts w:hint="eastAsia" w:ascii="宋体" w:hAnsi="宋体" w:eastAsia="宋体" w:cs="宋体"/>
          <w:color w:val="auto"/>
          <w:szCs w:val="32"/>
          <w:highlight w:val="none"/>
        </w:rPr>
        <w:t>第2章   投标文件格式</w:t>
      </w:r>
      <w:bookmarkEnd w:id="723"/>
      <w:bookmarkEnd w:id="724"/>
      <w:bookmarkEnd w:id="725"/>
      <w:bookmarkEnd w:id="726"/>
      <w:bookmarkEnd w:id="727"/>
      <w:bookmarkEnd w:id="728"/>
      <w:bookmarkEnd w:id="729"/>
    </w:p>
    <w:p>
      <w:pPr>
        <w:pStyle w:val="7"/>
        <w:spacing w:before="0" w:line="240" w:lineRule="atLeast"/>
        <w:rPr>
          <w:rFonts w:hint="eastAsia" w:ascii="宋体" w:hAnsi="宋体" w:eastAsia="宋体" w:cs="宋体"/>
          <w:color w:val="auto"/>
          <w:szCs w:val="21"/>
          <w:highlight w:val="none"/>
        </w:rPr>
      </w:pPr>
      <w:bookmarkStart w:id="730" w:name="_Toc18694"/>
      <w:bookmarkStart w:id="731" w:name="_Toc32079"/>
      <w:bookmarkStart w:id="732" w:name="_Toc32123"/>
      <w:bookmarkStart w:id="733" w:name="_Toc11368"/>
      <w:bookmarkStart w:id="734" w:name="_Toc18974"/>
      <w:bookmarkStart w:id="735" w:name="_Toc515647803"/>
      <w:bookmarkStart w:id="736" w:name="_Toc22572"/>
      <w:bookmarkStart w:id="737" w:name="_Toc30630"/>
      <w:bookmarkStart w:id="738" w:name="_Toc515647804"/>
      <w:bookmarkStart w:id="739" w:name="_Toc29091"/>
      <w:bookmarkStart w:id="740" w:name="_Toc522"/>
      <w:bookmarkStart w:id="741" w:name="_Toc14118"/>
      <w:bookmarkStart w:id="742" w:name="_Toc13595"/>
      <w:bookmarkStart w:id="743" w:name="_Toc21614"/>
      <w:bookmarkStart w:id="744" w:name="_Toc3620"/>
      <w:bookmarkStart w:id="745" w:name="_Toc11138"/>
      <w:bookmarkStart w:id="746" w:name="_Toc30524"/>
      <w:bookmarkStart w:id="747" w:name="_Toc16750"/>
      <w:bookmarkStart w:id="748" w:name="_Toc16568"/>
      <w:bookmarkStart w:id="749" w:name="_Ref467988698"/>
      <w:bookmarkStart w:id="750" w:name="_Toc480942349"/>
      <w:bookmarkStart w:id="751" w:name="_Toc216582813"/>
      <w:bookmarkStart w:id="752" w:name="_Toc520356217"/>
      <w:r>
        <w:rPr>
          <w:rFonts w:hint="eastAsia" w:ascii="宋体" w:hAnsi="宋体" w:eastAsia="宋体" w:cs="宋体"/>
          <w:color w:val="auto"/>
          <w:sz w:val="28"/>
          <w:szCs w:val="28"/>
          <w:highlight w:val="none"/>
        </w:rPr>
        <w:t>第一部分 开标一览表及资格证明文件</w:t>
      </w:r>
      <w:bookmarkEnd w:id="730"/>
      <w:bookmarkEnd w:id="731"/>
      <w:bookmarkEnd w:id="732"/>
      <w:bookmarkEnd w:id="733"/>
      <w:bookmarkEnd w:id="734"/>
      <w:bookmarkEnd w:id="735"/>
      <w:bookmarkEnd w:id="736"/>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4、提供2020年或2021年经审计的财务审计报告（2022年成立的新公司出具近3个月任意一个月的银行资信证明）；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5、依法缴纳最近连续六个月的社会保险的凭据（授权人和单位员工缴纳明细凭据）；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6、提供税务部门出具的最近连续六个月的完税证明；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eastAsia="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eastAsia="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widowControl/>
        <w:snapToGrid w:val="0"/>
        <w:spacing w:line="47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pStyle w:val="7"/>
        <w:spacing w:before="0" w:line="400" w:lineRule="exact"/>
        <w:ind w:left="1080" w:leftChars="257" w:hanging="540"/>
        <w:rPr>
          <w:rFonts w:hint="eastAsia" w:ascii="宋体" w:hAnsi="宋体" w:eastAsia="宋体" w:cs="宋体"/>
          <w:color w:val="auto"/>
          <w:sz w:val="24"/>
          <w:highlight w:val="none"/>
        </w:rPr>
      </w:pPr>
      <w:bookmarkStart w:id="753" w:name="_Toc21084"/>
      <w:r>
        <w:rPr>
          <w:rFonts w:hint="eastAsia" w:ascii="宋体" w:hAnsi="宋体" w:eastAsia="宋体" w:cs="宋体"/>
          <w:color w:val="auto"/>
          <w:sz w:val="24"/>
          <w:highlight w:val="none"/>
        </w:rPr>
        <w:t>1、开标一览表</w:t>
      </w:r>
      <w:bookmarkEnd w:id="737"/>
      <w:bookmarkEnd w:id="738"/>
      <w:bookmarkEnd w:id="739"/>
      <w:bookmarkEnd w:id="740"/>
      <w:bookmarkEnd w:id="741"/>
      <w:bookmarkEnd w:id="742"/>
      <w:bookmarkEnd w:id="743"/>
      <w:bookmarkEnd w:id="744"/>
      <w:bookmarkEnd w:id="745"/>
      <w:bookmarkEnd w:id="746"/>
      <w:bookmarkEnd w:id="747"/>
      <w:bookmarkEnd w:id="748"/>
      <w:bookmarkEnd w:id="753"/>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bookmarkStart w:id="754" w:name="_Hlt520356241"/>
      <w:bookmarkEnd w:id="754"/>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27"/>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400" w:lineRule="exact"/>
              <w:ind w:left="539" w:hanging="539"/>
              <w:jc w:val="center"/>
              <w:rPr>
                <w:rFonts w:hint="eastAsia" w:ascii="宋体" w:hAnsi="宋体" w:eastAsia="宋体" w:cs="宋体"/>
                <w:color w:val="auto"/>
                <w:sz w:val="24"/>
                <w:highlight w:val="none"/>
              </w:rPr>
            </w:pPr>
          </w:p>
        </w:tc>
      </w:tr>
    </w:tbl>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6"/>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2、此表中，投标总价应和投标分项报价表的总价相一致。</w:t>
      </w:r>
    </w:p>
    <w:p>
      <w:pPr>
        <w:pStyle w:val="16"/>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、投标商报价时包含税费等一切与本次项目相关的费用。</w:t>
      </w: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numPr>
          <w:ilvl w:val="0"/>
          <w:numId w:val="4"/>
        </w:numPr>
        <w:tabs>
          <w:tab w:val="left" w:pos="5580"/>
        </w:tabs>
        <w:spacing w:line="400" w:lineRule="exact"/>
        <w:jc w:val="left"/>
        <w:outlineLvl w:val="1"/>
        <w:rPr>
          <w:rFonts w:hint="eastAsia" w:ascii="宋体" w:hAnsi="宋体" w:eastAsia="宋体" w:cs="宋体"/>
          <w:b/>
          <w:color w:val="auto"/>
          <w:sz w:val="24"/>
          <w:highlight w:val="none"/>
        </w:rPr>
      </w:pPr>
      <w:bookmarkStart w:id="755" w:name="_Toc793"/>
      <w:r>
        <w:rPr>
          <w:rFonts w:hint="eastAsia" w:ascii="宋体" w:hAnsi="宋体" w:eastAsia="宋体" w:cs="宋体"/>
          <w:b/>
          <w:color w:val="auto"/>
          <w:sz w:val="24"/>
          <w:highlight w:val="none"/>
          <w:lang w:eastAsia="zh-CN"/>
        </w:rPr>
        <w:t>具有独立法人资格（三证合一的营业执照）</w:t>
      </w:r>
      <w:bookmarkEnd w:id="755"/>
    </w:p>
    <w:p>
      <w:pPr>
        <w:pStyle w:val="16"/>
        <w:tabs>
          <w:tab w:val="left" w:pos="5580"/>
        </w:tabs>
        <w:spacing w:line="240" w:lineRule="atLeast"/>
        <w:jc w:val="center"/>
        <w:rPr>
          <w:rFonts w:hint="eastAsia" w:ascii="宋体" w:hAnsi="宋体" w:eastAsia="宋体" w:cs="宋体"/>
          <w:b/>
          <w:color w:val="auto"/>
          <w:sz w:val="24"/>
          <w:highlight w:val="none"/>
        </w:rPr>
      </w:pPr>
    </w:p>
    <w:p>
      <w:pPr>
        <w:pStyle w:val="16"/>
        <w:tabs>
          <w:tab w:val="left" w:pos="5580"/>
        </w:tabs>
        <w:spacing w:line="240" w:lineRule="atLeast"/>
        <w:jc w:val="center"/>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adjustRightInd w:val="0"/>
        <w:snapToGrid w:val="0"/>
        <w:spacing w:beforeLines="100" w:afterLines="100" w:line="400" w:lineRule="exact"/>
        <w:jc w:val="center"/>
        <w:rPr>
          <w:rFonts w:hint="eastAsia" w:ascii="宋体" w:hAnsi="宋体" w:eastAsia="宋体" w:cs="宋体"/>
          <w:color w:val="auto"/>
          <w:sz w:val="24"/>
          <w:highlight w:val="none"/>
        </w:rPr>
      </w:pPr>
      <w:bookmarkStart w:id="756" w:name="_Toc27592"/>
      <w:r>
        <w:rPr>
          <w:rFonts w:hint="eastAsia" w:ascii="宋体" w:hAnsi="宋体" w:eastAsia="宋体" w:cs="宋体"/>
          <w:b/>
          <w:color w:val="auto"/>
          <w:sz w:val="24"/>
          <w:highlight w:val="none"/>
        </w:rPr>
        <w:t>3</w:t>
      </w:r>
      <w:r>
        <w:rPr>
          <w:rFonts w:hint="eastAsia" w:ascii="宋体" w:hAnsi="宋体" w:eastAsia="宋体" w:cs="宋体"/>
          <w:b/>
          <w:color w:val="auto"/>
          <w:sz w:val="24"/>
          <w:szCs w:val="20"/>
          <w:highlight w:val="none"/>
        </w:rPr>
        <w:t>、</w:t>
      </w:r>
      <w:bookmarkEnd w:id="756"/>
      <w:r>
        <w:rPr>
          <w:rFonts w:hint="eastAsia" w:ascii="宋体" w:hAnsi="宋体" w:eastAsia="宋体" w:cs="宋体"/>
          <w:b/>
          <w:color w:val="auto"/>
          <w:sz w:val="24"/>
          <w:szCs w:val="20"/>
          <w:highlight w:val="none"/>
        </w:rPr>
        <w:t>法定代表人资格证明及授权书、被授权人身份证；(法定代表人投标需提供法定代表人身份证)；</w:t>
      </w: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同志，现任我单位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职务，为法定代表人，特此证明。</w:t>
      </w:r>
    </w:p>
    <w:p>
      <w:pPr>
        <w:spacing w:line="400" w:lineRule="exact"/>
        <w:ind w:firstLine="240" w:firstLineChars="1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签发日期：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附：代表人性别：</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身份证号码：</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年龄：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联系电话：</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营业执照号码：</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 xml:space="preserve"> </w:t>
      </w:r>
      <w:r>
        <w:rPr>
          <w:rFonts w:hint="eastAsia" w:ascii="宋体" w:hAnsi="宋体" w:eastAsia="宋体" w:cs="宋体"/>
          <w:color w:val="auto"/>
          <w:sz w:val="24"/>
          <w:szCs w:val="20"/>
          <w:highlight w:val="none"/>
          <w:u w:val="none"/>
        </w:rPr>
        <w:t xml:space="preserve"> </w:t>
      </w:r>
      <w:r>
        <w:rPr>
          <w:rFonts w:hint="eastAsia" w:ascii="宋体" w:hAnsi="宋体" w:eastAsia="宋体" w:cs="宋体"/>
          <w:color w:val="auto"/>
          <w:sz w:val="24"/>
          <w:szCs w:val="20"/>
          <w:highlight w:val="none"/>
        </w:rPr>
        <w:t>经济性质：</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u w:val="single"/>
          <w:lang w:val="en-US" w:eastAsia="zh-CN"/>
        </w:rPr>
        <w:t xml:space="preserve">                           </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b/>
          <w:bCs/>
          <w:color w:val="auto"/>
          <w:sz w:val="24"/>
          <w:szCs w:val="20"/>
          <w:highlight w:val="none"/>
          <w:lang w:eastAsia="zh-CN"/>
        </w:rPr>
      </w:pPr>
      <w:r>
        <w:rPr>
          <w:rFonts w:hint="eastAsia" w:ascii="宋体" w:hAnsi="宋体" w:eastAsia="宋体" w:cs="宋体"/>
          <w:color w:val="auto"/>
          <w:sz w:val="24"/>
          <w:szCs w:val="20"/>
          <w:highlight w:val="none"/>
        </w:rPr>
        <w:t>3、请供应商务必提供</w:t>
      </w:r>
      <w:r>
        <w:rPr>
          <w:rFonts w:hint="eastAsia" w:ascii="宋体" w:hAnsi="宋体" w:eastAsia="宋体" w:cs="宋体"/>
          <w:b/>
          <w:bCs/>
          <w:color w:val="auto"/>
          <w:sz w:val="24"/>
          <w:szCs w:val="20"/>
          <w:highlight w:val="none"/>
        </w:rPr>
        <w:t>身份证</w:t>
      </w:r>
      <w:r>
        <w:rPr>
          <w:rFonts w:hint="eastAsia" w:ascii="宋体" w:hAnsi="宋体" w:eastAsia="宋体" w:cs="宋体"/>
          <w:b/>
          <w:bCs/>
          <w:color w:val="auto"/>
          <w:sz w:val="24"/>
          <w:szCs w:val="20"/>
          <w:highlight w:val="none"/>
          <w:lang w:val="en-US" w:eastAsia="zh-CN"/>
        </w:rPr>
        <w:t>正反面</w:t>
      </w:r>
      <w:r>
        <w:rPr>
          <w:rFonts w:hint="eastAsia" w:ascii="宋体" w:hAnsi="宋体" w:eastAsia="宋体" w:cs="宋体"/>
          <w:b/>
          <w:bCs/>
          <w:color w:val="auto"/>
          <w:sz w:val="24"/>
          <w:szCs w:val="20"/>
          <w:highlight w:val="none"/>
        </w:rPr>
        <w:t>复印件</w:t>
      </w:r>
      <w:r>
        <w:rPr>
          <w:rFonts w:hint="eastAsia" w:ascii="宋体" w:hAnsi="宋体" w:eastAsia="宋体" w:cs="宋体"/>
          <w:b/>
          <w:bCs/>
          <w:color w:val="auto"/>
          <w:sz w:val="24"/>
          <w:szCs w:val="20"/>
          <w:highlight w:val="none"/>
          <w:lang w:eastAsia="zh-CN"/>
        </w:rPr>
        <w:t>。</w:t>
      </w:r>
    </w:p>
    <w:p>
      <w:pPr>
        <w:pStyle w:val="22"/>
        <w:rPr>
          <w:rFonts w:hint="eastAsia" w:ascii="宋体" w:hAnsi="宋体" w:eastAsia="宋体" w:cs="宋体"/>
          <w:color w:val="auto"/>
          <w:highlight w:val="none"/>
          <w:lang w:eastAsia="zh-CN"/>
        </w:rPr>
      </w:pP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1026"/>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Xif1QAAAAgBAAAPAAAAAAAAAAEAIAAAACIAAABkcnMvZG93&#10;bnJldi54bWxQSwECFAAUAAAACACHTuJAI9EnHQMCAAA+BAAADgAAAAAAAAABACAAAAAkAQAAZHJz&#10;L2Uyb0RvYy54bWxQSwUGAAAAAAYABgBZAQAAm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1027"/>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0"/>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wps:txbx>
                      <wps:bodyPr upright="1"/>
                    </wps:wsp>
                  </a:graphicData>
                </a:graphic>
              </wp:anchor>
            </w:drawing>
          </mc:Choice>
          <mc:Fallback>
            <w:pict>
              <v:roundrect id="1027" o:spid="_x0000_s1026" o:spt="2" style="position:absolute;left:0pt;margin-left:229.8pt;margin-top:2.25pt;height:109.1pt;width:163.55pt;z-index:251659264;mso-width-relative:page;mso-height-relative:page;" fillcolor="#FFFFFF" filled="t" stroked="t" coordsize="21600,21600" arcsize="0"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9yTZ2gAAAAkBAAAPAAAAAAAAAAEAIAAA&#10;ACIAAABkcnMvZG93bnJldi54bWxQSwECFAAUAAAACACHTuJABru/pQoCAABXBAAADgAAAAAAAAAB&#10;ACAAAAApAQAAZHJzL2Uyb0RvYy54bWxQSwUGAAAAAAYABgBZAQAAp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v:textbox>
              </v:roundrect>
            </w:pict>
          </mc:Fallback>
        </mc:AlternateContent>
      </w:r>
    </w:p>
    <w:p>
      <w:pPr>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p>
    <w:p>
      <w:pPr>
        <w:pStyle w:val="16"/>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757" w:name="_Toc22472"/>
      <w:bookmarkStart w:id="758" w:name="_Toc16640"/>
      <w:bookmarkStart w:id="759" w:name="_Toc6829"/>
      <w:bookmarkStart w:id="760" w:name="_Toc1083"/>
      <w:bookmarkStart w:id="761" w:name="_Toc515647807"/>
      <w:bookmarkStart w:id="762" w:name="_Toc13107"/>
      <w:bookmarkStart w:id="763" w:name="_Toc21867"/>
      <w:bookmarkStart w:id="764" w:name="_Toc5436"/>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8"/>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bCs/>
          <w:color w:val="auto"/>
          <w:sz w:val="24"/>
          <w:highlight w:val="none"/>
        </w:rPr>
      </w:pPr>
      <w:bookmarkStart w:id="765" w:name="_Toc24769"/>
      <w:bookmarkStart w:id="766" w:name="_Toc6179"/>
      <w:bookmarkStart w:id="767" w:name="_Toc32380"/>
      <w:r>
        <w:rPr>
          <w:rFonts w:hint="eastAsia" w:ascii="宋体" w:hAnsi="宋体" w:eastAsia="宋体" w:cs="宋体"/>
          <w:b/>
          <w:bCs/>
          <w:color w:val="auto"/>
          <w:sz w:val="24"/>
          <w:highlight w:val="none"/>
        </w:rPr>
        <w:t>法定代表人授权委托书</w:t>
      </w:r>
      <w:bookmarkEnd w:id="757"/>
      <w:bookmarkEnd w:id="758"/>
      <w:bookmarkEnd w:id="759"/>
      <w:bookmarkEnd w:id="760"/>
      <w:bookmarkEnd w:id="761"/>
      <w:bookmarkEnd w:id="762"/>
      <w:bookmarkEnd w:id="763"/>
      <w:bookmarkEnd w:id="764"/>
      <w:bookmarkEnd w:id="765"/>
      <w:bookmarkEnd w:id="766"/>
      <w:bookmarkEnd w:id="767"/>
      <w:bookmarkStart w:id="768" w:name="_Toc32520"/>
      <w:bookmarkStart w:id="769" w:name="_Toc7039"/>
      <w:bookmarkStart w:id="770" w:name="_Toc515647808"/>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（国家或地区的名称）的（供应商）</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法定代表人</w:t>
      </w:r>
      <w:r>
        <w:rPr>
          <w:rFonts w:hint="eastAsia" w:ascii="宋体" w:hAnsi="宋体" w:eastAsia="宋体" w:cs="宋体"/>
          <w:color w:val="auto"/>
          <w:sz w:val="24"/>
          <w:highlight w:val="none"/>
          <w:u w:val="single"/>
        </w:rPr>
        <w:t>代表姓名、职务）</w:t>
      </w:r>
      <w:r>
        <w:rPr>
          <w:rFonts w:hint="eastAsia" w:ascii="宋体" w:hAnsi="宋体" w:eastAsia="宋体" w:cs="宋体"/>
          <w:color w:val="auto"/>
          <w:sz w:val="24"/>
          <w:highlight w:val="none"/>
        </w:rPr>
        <w:t>代表我单位授权</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（被授权人的姓名、职务）</w:t>
      </w:r>
      <w:r>
        <w:rPr>
          <w:rFonts w:hint="eastAsia" w:ascii="宋体" w:hAnsi="宋体" w:eastAsia="宋体" w:cs="宋体"/>
          <w:color w:val="auto"/>
          <w:sz w:val="24"/>
          <w:highlight w:val="none"/>
        </w:rPr>
        <w:t>为我单位的合法代理人，就</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的投标，以我单位名义处理一切与之有关的事务。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签字生效,特此声明。</w:t>
      </w:r>
    </w:p>
    <w:p>
      <w:pPr>
        <w:pStyle w:val="16"/>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2728595</wp:posOffset>
                </wp:positionH>
                <wp:positionV relativeFrom="paragraph">
                  <wp:posOffset>169545</wp:posOffset>
                </wp:positionV>
                <wp:extent cx="2507615" cy="1405890"/>
                <wp:effectExtent l="4445" t="4445" r="21590" b="18415"/>
                <wp:wrapNone/>
                <wp:docPr id="3"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214.85pt;margin-top:13.35pt;height:110.7pt;width:197.45pt;z-index:251660288;mso-width-relative:page;mso-height-relative:page;" fillcolor="#FFFFFF" filled="t" stroked="t" coordsize="21600,21600" o:gfxdata="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2yQ/XAAAACgEAAA8AAAAAAAAAAQAgAAAAIgAAAGRycy9k&#10;b3ducmV2LnhtbFBLAQIUABQAAAAIAIdO4kDRky3gAwIAADs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5Lq23XAAAACAEAAA8AAAAAAAAAAQAgAAAAIgAAAGRycy9k&#10;b3ducmV2LnhtbFBLAQIUABQAAAAIAIdO4kAMpnBdAwIAAD4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96520</wp:posOffset>
                </wp:positionH>
                <wp:positionV relativeFrom="paragraph">
                  <wp:posOffset>191135</wp:posOffset>
                </wp:positionV>
                <wp:extent cx="2507615" cy="1405890"/>
                <wp:effectExtent l="4445" t="4445" r="21590" b="18415"/>
                <wp:wrapNone/>
                <wp:docPr id="5"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7.6pt;margin-top:15.05pt;height:110.7pt;width:197.45pt;z-index:251662336;mso-width-relative:page;mso-height-relative:page;" fillcolor="#FFFFFF" filled="t" stroked="t" coordsize="21600,21600" o:gfxdata="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bc31wAAAAkBAAAPAAAAAAAAAAEAIAAAACIAAABkcnMvZG93&#10;bnJldi54bWxQSwECFAAUAAAACACHTuJAOIWcCQECAAA7BAAADgAAAAAAAAABACAAAAAmAQAAZHJz&#10;L2Uyb0RvYy54bWxQSwUGAAAAAAYABgBZAQAAm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2820035</wp:posOffset>
                </wp:positionH>
                <wp:positionV relativeFrom="paragraph">
                  <wp:posOffset>167005</wp:posOffset>
                </wp:positionV>
                <wp:extent cx="2507615" cy="1405890"/>
                <wp:effectExtent l="4445" t="4445" r="21590" b="18415"/>
                <wp:wrapNone/>
                <wp:docPr id="4"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222.05pt;margin-top:13.15pt;height:110.7pt;width:197.45pt;z-index:251661312;mso-width-relative:page;mso-height-relative:page;" fillcolor="#FFFFFF" filled="t" stroked="t" coordsize="21600,21600" o:gfxdata="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1rcePYAAAACgEAAA8AAAAAAAAAAQAgAAAAIgAAAGRycy9k&#10;b3ducmV2LnhtbFBLAQIUABQAAAAIAIdO4kD0grx+AgIAADsEAAAOAAAAAAAAAAEAIAAAACc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注：须提供身份证正反面。</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bookmarkEnd w:id="768"/>
      <w:bookmarkEnd w:id="769"/>
      <w:bookmarkEnd w:id="770"/>
    </w:p>
    <w:p>
      <w:pPr>
        <w:pStyle w:val="16"/>
        <w:tabs>
          <w:tab w:val="left" w:pos="5580"/>
        </w:tabs>
        <w:spacing w:line="400" w:lineRule="exact"/>
        <w:ind w:left="1079" w:leftChars="257" w:hanging="539"/>
        <w:rPr>
          <w:rFonts w:hint="eastAsia" w:ascii="宋体" w:hAnsi="宋体" w:eastAsia="宋体" w:cs="宋体"/>
          <w:color w:val="auto"/>
          <w:sz w:val="24"/>
          <w:highlight w:val="none"/>
        </w:rPr>
      </w:pPr>
    </w:p>
    <w:p>
      <w:pPr>
        <w:pStyle w:val="16"/>
        <w:tabs>
          <w:tab w:val="left" w:pos="5580"/>
        </w:tabs>
        <w:spacing w:line="400" w:lineRule="exact"/>
        <w:ind w:left="1079" w:leftChars="257" w:hanging="539"/>
        <w:rPr>
          <w:rFonts w:hint="eastAsia" w:ascii="宋体" w:hAnsi="宋体" w:eastAsia="宋体" w:cs="宋体"/>
          <w:color w:val="auto"/>
          <w:sz w:val="24"/>
          <w:highlight w:val="none"/>
        </w:rPr>
      </w:pPr>
    </w:p>
    <w:p>
      <w:pPr>
        <w:pStyle w:val="14"/>
        <w:spacing w:line="400" w:lineRule="exact"/>
        <w:ind w:firstLine="0" w:firstLineChars="0"/>
        <w:outlineLvl w:val="1"/>
        <w:rPr>
          <w:rFonts w:hint="eastAsia" w:ascii="宋体" w:hAnsi="宋体" w:eastAsia="宋体" w:cs="宋体"/>
          <w:b/>
          <w:color w:val="auto"/>
          <w:kern w:val="0"/>
          <w:szCs w:val="20"/>
          <w:highlight w:val="none"/>
        </w:rPr>
      </w:pPr>
      <w:bookmarkStart w:id="771" w:name="_Toc22778"/>
      <w:r>
        <w:rPr>
          <w:rFonts w:hint="eastAsia" w:ascii="宋体" w:hAnsi="宋体" w:eastAsia="宋体" w:cs="宋体"/>
          <w:b/>
          <w:color w:val="auto"/>
          <w:kern w:val="0"/>
          <w:szCs w:val="20"/>
          <w:highlight w:val="none"/>
        </w:rPr>
        <w:t>4、</w:t>
      </w:r>
      <w:r>
        <w:rPr>
          <w:rFonts w:hint="eastAsia" w:ascii="宋体" w:hAnsi="宋体" w:eastAsia="宋体" w:cs="宋体"/>
          <w:b/>
          <w:color w:val="auto"/>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b/>
          <w:color w:val="auto"/>
          <w:kern w:val="0"/>
          <w:szCs w:val="20"/>
          <w:highlight w:val="none"/>
        </w:rPr>
        <w:t>；</w:t>
      </w:r>
      <w:bookmarkEnd w:id="771"/>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1"/>
        <w:rPr>
          <w:rFonts w:hint="eastAsia" w:ascii="宋体" w:hAnsi="宋体" w:eastAsia="宋体" w:cs="宋体"/>
          <w:color w:val="auto"/>
          <w:highlight w:val="none"/>
        </w:rPr>
      </w:pPr>
      <w:bookmarkStart w:id="772" w:name="_Toc5075"/>
      <w:r>
        <w:rPr>
          <w:rFonts w:hint="eastAsia" w:ascii="宋体" w:hAnsi="宋体" w:eastAsia="宋体" w:cs="宋体"/>
          <w:b/>
          <w:color w:val="auto"/>
          <w:kern w:val="0"/>
          <w:szCs w:val="20"/>
          <w:highlight w:val="none"/>
        </w:rPr>
        <w:t>5、</w:t>
      </w:r>
      <w:r>
        <w:rPr>
          <w:rFonts w:hint="eastAsia" w:ascii="宋体" w:hAnsi="宋体" w:eastAsia="宋体" w:cs="宋体"/>
          <w:b/>
          <w:color w:val="auto"/>
          <w:kern w:val="0"/>
          <w:szCs w:val="20"/>
          <w:highlight w:val="none"/>
          <w:lang w:eastAsia="zh-CN"/>
        </w:rPr>
        <w:t>依法缴纳最近连续六个月的社会保险的凭据（授权人和单位员工缴纳明细凭据）</w:t>
      </w:r>
      <w:r>
        <w:rPr>
          <w:rFonts w:hint="eastAsia" w:ascii="宋体" w:hAnsi="宋体" w:eastAsia="宋体" w:cs="宋体"/>
          <w:b/>
          <w:color w:val="auto"/>
          <w:kern w:val="0"/>
          <w:szCs w:val="20"/>
          <w:highlight w:val="none"/>
        </w:rPr>
        <w:t>；</w:t>
      </w:r>
      <w:bookmarkEnd w:id="772"/>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outlineLvl w:val="1"/>
        <w:rPr>
          <w:rFonts w:hint="eastAsia" w:ascii="宋体" w:hAnsi="宋体" w:eastAsia="宋体" w:cs="宋体"/>
          <w:b/>
          <w:color w:val="auto"/>
          <w:kern w:val="0"/>
          <w:sz w:val="24"/>
          <w:highlight w:val="none"/>
        </w:rPr>
      </w:pPr>
      <w:bookmarkStart w:id="773" w:name="_Toc13164"/>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lang w:eastAsia="zh-CN"/>
        </w:rPr>
        <w:t>提供税务部门出具的最近连续六个月的完税证明</w:t>
      </w:r>
      <w:r>
        <w:rPr>
          <w:rFonts w:hint="eastAsia" w:ascii="宋体" w:hAnsi="宋体" w:eastAsia="宋体" w:cs="宋体"/>
          <w:b/>
          <w:color w:val="auto"/>
          <w:kern w:val="0"/>
          <w:sz w:val="24"/>
          <w:highlight w:val="none"/>
        </w:rPr>
        <w:t>；</w:t>
      </w:r>
      <w:bookmarkEnd w:id="773"/>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rPr>
      </w:pPr>
      <w:bookmarkStart w:id="774" w:name="_Toc7656"/>
      <w:r>
        <w:rPr>
          <w:rFonts w:hint="eastAsia" w:ascii="宋体" w:hAnsi="宋体" w:eastAsia="宋体" w:cs="宋体"/>
          <w:b/>
          <w:color w:val="auto"/>
          <w:kern w:val="0"/>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color w:val="auto"/>
          <w:kern w:val="0"/>
          <w:sz w:val="24"/>
          <w:highlight w:val="none"/>
          <w:lang w:eastAsia="zh-CN"/>
        </w:rPr>
        <w:t>信用服务-重点领域严重失信主体名单查询-搜索栏输入单位全称-截图</w:t>
      </w:r>
      <w:r>
        <w:rPr>
          <w:rFonts w:hint="eastAsia" w:ascii="宋体" w:hAnsi="宋体" w:eastAsia="宋体" w:cs="宋体"/>
          <w:b/>
          <w:color w:val="auto"/>
          <w:kern w:val="0"/>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774"/>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outlineLvl w:val="1"/>
        <w:rPr>
          <w:rFonts w:hint="eastAsia" w:ascii="宋体" w:hAnsi="宋体" w:eastAsia="宋体" w:cs="宋体"/>
          <w:b/>
          <w:color w:val="auto"/>
          <w:kern w:val="0"/>
          <w:sz w:val="24"/>
          <w:highlight w:val="none"/>
        </w:rPr>
      </w:pPr>
      <w:bookmarkStart w:id="775" w:name="_Toc5516"/>
      <w:r>
        <w:rPr>
          <w:rFonts w:hint="eastAsia" w:ascii="宋体" w:hAnsi="宋体" w:eastAsia="宋体" w:cs="宋体"/>
          <w:b/>
          <w:color w:val="auto"/>
          <w:kern w:val="0"/>
          <w:sz w:val="24"/>
          <w:highlight w:val="none"/>
        </w:rPr>
        <w:t>8、参与政府采购活动前3年内未被列入失信、重大税收违法案件、财政部门禁止参加政府采购活动的承诺书；</w:t>
      </w:r>
      <w:bookmarkEnd w:id="775"/>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firstLine="482" w:firstLineChars="200"/>
        <w:outlineLvl w:val="1"/>
        <w:rPr>
          <w:rFonts w:hint="eastAsia" w:ascii="宋体" w:hAnsi="宋体" w:eastAsia="宋体" w:cs="宋体"/>
          <w:b/>
          <w:color w:val="auto"/>
          <w:kern w:val="0"/>
          <w:sz w:val="24"/>
          <w:highlight w:val="none"/>
        </w:rPr>
      </w:pPr>
      <w:bookmarkStart w:id="776" w:name="_Toc4231"/>
      <w:r>
        <w:rPr>
          <w:rFonts w:hint="eastAsia" w:ascii="宋体" w:hAnsi="宋体" w:eastAsia="宋体" w:cs="宋体"/>
          <w:b/>
          <w:color w:val="auto"/>
          <w:kern w:val="0"/>
          <w:sz w:val="24"/>
          <w:highlight w:val="none"/>
        </w:rPr>
        <w:t>9、提供针对本次项目《反商业贿赂承诺书》；</w:t>
      </w:r>
      <w:bookmarkEnd w:id="776"/>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777" w:name="_Toc9294"/>
      <w:bookmarkStart w:id="778" w:name="_Toc4712"/>
      <w:r>
        <w:rPr>
          <w:rFonts w:hint="eastAsia" w:ascii="宋体" w:hAnsi="宋体" w:eastAsia="宋体" w:cs="宋体"/>
          <w:b/>
          <w:color w:val="auto"/>
          <w:kern w:val="0"/>
          <w:sz w:val="24"/>
          <w:szCs w:val="20"/>
          <w:highlight w:val="none"/>
          <w:lang w:val="en-US" w:eastAsia="zh-CN" w:bidi="ar-SA"/>
        </w:rPr>
        <w:t>10、缴纳投标保证金有效凭证；</w:t>
      </w:r>
      <w:bookmarkEnd w:id="777"/>
      <w:bookmarkEnd w:id="778"/>
    </w:p>
    <w:tbl>
      <w:tblPr>
        <w:tblStyle w:val="27"/>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w:t>
            </w:r>
            <w:r>
              <w:rPr>
                <w:rFonts w:hint="eastAsia" w:ascii="宋体" w:hAnsi="宋体" w:eastAsia="宋体" w:cs="宋体"/>
                <w:b/>
                <w:color w:val="auto"/>
                <w:kern w:val="0"/>
                <w:sz w:val="24"/>
                <w:highlight w:val="none"/>
              </w:rPr>
              <w:t>银行转账回执单</w:t>
            </w:r>
            <w:r>
              <w:rPr>
                <w:rFonts w:hint="eastAsia" w:ascii="宋体" w:hAnsi="宋体" w:eastAsia="宋体" w:cs="宋体"/>
                <w:b w:val="0"/>
                <w:i w:val="0"/>
                <w:caps w:val="0"/>
                <w:color w:val="auto"/>
                <w:spacing w:val="0"/>
                <w:w w:val="100"/>
                <w:kern w:val="0"/>
                <w:sz w:val="24"/>
                <w:highlight w:val="none"/>
                <w:lang w:val="en-US" w:eastAsia="zh-CN"/>
              </w:rPr>
              <w:t>或开户行银行保函</w:t>
            </w:r>
          </w:p>
        </w:tc>
      </w:tr>
    </w:tbl>
    <w:p>
      <w:pPr>
        <w:pStyle w:val="22"/>
        <w:ind w:firstLine="482" w:firstLineChars="200"/>
        <w:rPr>
          <w:rFonts w:hint="eastAsia" w:ascii="宋体" w:hAnsi="宋体" w:eastAsia="宋体" w:cs="宋体"/>
          <w:b/>
          <w:bCs/>
          <w:i w:val="0"/>
          <w:caps w:val="0"/>
          <w:color w:val="auto"/>
          <w:spacing w:val="0"/>
          <w:w w:val="100"/>
          <w:sz w:val="24"/>
          <w:szCs w:val="24"/>
          <w:highlight w:val="none"/>
        </w:rPr>
      </w:pPr>
    </w:p>
    <w:p>
      <w:pPr>
        <w:pStyle w:val="22"/>
        <w:rPr>
          <w:rFonts w:hint="eastAsia" w:ascii="宋体" w:hAnsi="宋体" w:eastAsia="宋体" w:cs="宋体"/>
          <w:color w:val="auto"/>
          <w:highlight w:val="none"/>
        </w:rPr>
      </w:pPr>
      <w:r>
        <w:rPr>
          <w:rFonts w:hint="eastAsia" w:ascii="宋体" w:hAnsi="宋体" w:eastAsia="宋体" w:cs="宋体"/>
          <w:b/>
          <w:bCs/>
          <w:i w:val="0"/>
          <w:caps w:val="0"/>
          <w:color w:val="auto"/>
          <w:spacing w:val="0"/>
          <w:w w:val="100"/>
          <w:sz w:val="24"/>
          <w:szCs w:val="24"/>
          <w:highlight w:val="none"/>
        </w:rPr>
        <w:t>注：本项目以缴纳</w:t>
      </w:r>
      <w:r>
        <w:rPr>
          <w:rFonts w:hint="eastAsia" w:ascii="宋体" w:hAnsi="宋体" w:eastAsia="宋体" w:cs="宋体"/>
          <w:b/>
          <w:bCs/>
          <w:i w:val="0"/>
          <w:caps w:val="0"/>
          <w:color w:val="auto"/>
          <w:spacing w:val="0"/>
          <w:w w:val="100"/>
          <w:sz w:val="24"/>
          <w:szCs w:val="24"/>
          <w:highlight w:val="none"/>
          <w:lang w:eastAsia="zh-CN"/>
        </w:rPr>
        <w:t>投标</w:t>
      </w:r>
      <w:r>
        <w:rPr>
          <w:rFonts w:hint="eastAsia" w:ascii="宋体" w:hAnsi="宋体" w:eastAsia="宋体" w:cs="宋体"/>
          <w:b/>
          <w:bCs/>
          <w:i w:val="0"/>
          <w:caps w:val="0"/>
          <w:color w:val="auto"/>
          <w:spacing w:val="0"/>
          <w:w w:val="100"/>
          <w:sz w:val="24"/>
          <w:szCs w:val="24"/>
          <w:highlight w:val="none"/>
        </w:rPr>
        <w:t>保证金的银行转账回执单或开户行银行保函复印件盖公章为准。</w:t>
      </w:r>
    </w:p>
    <w:p>
      <w:pPr>
        <w:pStyle w:val="16"/>
        <w:tabs>
          <w:tab w:val="left" w:pos="5580"/>
        </w:tabs>
        <w:spacing w:line="400" w:lineRule="exact"/>
        <w:ind w:left="540" w:leftChars="257"/>
        <w:rPr>
          <w:rFonts w:hint="eastAsia" w:ascii="宋体" w:hAnsi="宋体" w:eastAsia="宋体" w:cs="宋体"/>
          <w:b/>
          <w:color w:val="auto"/>
          <w:kern w:val="0"/>
          <w:sz w:val="24"/>
          <w:highlight w:val="none"/>
        </w:rPr>
      </w:pPr>
    </w:p>
    <w:p>
      <w:pPr>
        <w:pStyle w:val="16"/>
        <w:tabs>
          <w:tab w:val="left" w:pos="5580"/>
        </w:tabs>
        <w:spacing w:line="400" w:lineRule="exact"/>
        <w:ind w:left="540" w:leftChars="257"/>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left="540" w:leftChars="257"/>
        <w:outlineLvl w:val="1"/>
        <w:rPr>
          <w:rFonts w:hint="eastAsia" w:ascii="宋体" w:hAnsi="宋体" w:eastAsia="宋体" w:cs="宋体"/>
          <w:b/>
          <w:color w:val="auto"/>
          <w:kern w:val="0"/>
          <w:sz w:val="24"/>
          <w:highlight w:val="none"/>
        </w:rPr>
      </w:pPr>
      <w:bookmarkStart w:id="779" w:name="_Toc7040"/>
      <w:bookmarkStart w:id="780" w:name="_Toc30653"/>
      <w:bookmarkStart w:id="781" w:name="_Toc515647816"/>
      <w:bookmarkStart w:id="782" w:name="_Toc18263"/>
      <w:bookmarkStart w:id="783" w:name="_Toc11180"/>
      <w:bookmarkStart w:id="784" w:name="_Toc22967"/>
      <w:bookmarkStart w:id="785" w:name="_Toc15346"/>
      <w:r>
        <w:rPr>
          <w:rFonts w:hint="eastAsia" w:ascii="宋体" w:hAnsi="宋体" w:eastAsia="宋体" w:cs="宋体"/>
          <w:b/>
          <w:bCs/>
          <w:color w:val="auto"/>
          <w:sz w:val="24"/>
          <w:highlight w:val="none"/>
        </w:rPr>
        <w:t>11、</w:t>
      </w:r>
      <w:r>
        <w:rPr>
          <w:rFonts w:hint="eastAsia" w:ascii="宋体" w:hAnsi="宋体" w:eastAsia="宋体" w:cs="宋体"/>
          <w:b/>
          <w:color w:val="auto"/>
          <w:kern w:val="0"/>
          <w:sz w:val="24"/>
          <w:highlight w:val="none"/>
        </w:rPr>
        <w:t>银行开户许可证复印件或银行基本账户信息(包含：银行账号及开户行名称）</w:t>
      </w:r>
      <w:bookmarkEnd w:id="779"/>
    </w:p>
    <w:p>
      <w:pPr>
        <w:spacing w:line="400" w:lineRule="exact"/>
        <w:ind w:left="63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outlineLvl w:val="1"/>
        <w:rPr>
          <w:rFonts w:hint="eastAsia" w:ascii="宋体" w:hAnsi="宋体" w:eastAsia="宋体" w:cs="宋体"/>
          <w:b/>
          <w:bCs/>
          <w:color w:val="auto"/>
          <w:sz w:val="24"/>
          <w:highlight w:val="none"/>
        </w:rPr>
      </w:pPr>
      <w:bookmarkStart w:id="786" w:name="_Toc7239"/>
      <w:r>
        <w:rPr>
          <w:rFonts w:hint="eastAsia" w:ascii="宋体" w:hAnsi="宋体" w:eastAsia="宋体" w:cs="宋体"/>
          <w:b/>
          <w:bCs/>
          <w:color w:val="auto"/>
          <w:sz w:val="24"/>
          <w:highlight w:val="none"/>
        </w:rPr>
        <w:t>12、供应商可提供有利于投标的其他资格证明材料。</w:t>
      </w:r>
      <w:r>
        <w:rPr>
          <w:rFonts w:hint="eastAsia" w:ascii="宋体" w:hAnsi="宋体" w:eastAsia="宋体" w:cs="宋体"/>
          <w:b/>
          <w:bCs/>
          <w:color w:val="auto"/>
          <w:kern w:val="0"/>
          <w:sz w:val="24"/>
          <w:szCs w:val="20"/>
          <w:highlight w:val="none"/>
        </w:rPr>
        <w:t>（具体要求详见项目要求和</w:t>
      </w:r>
      <w:r>
        <w:rPr>
          <w:rFonts w:hint="eastAsia" w:ascii="宋体" w:hAnsi="宋体" w:eastAsia="宋体" w:cs="宋体"/>
          <w:b/>
          <w:bCs/>
          <w:color w:val="auto"/>
          <w:sz w:val="24"/>
          <w:highlight w:val="none"/>
        </w:rPr>
        <w:t>综合评分表中的商务部分）</w:t>
      </w:r>
      <w:bookmarkEnd w:id="786"/>
    </w:p>
    <w:p>
      <w:pPr>
        <w:rPr>
          <w:rFonts w:hint="eastAsia" w:ascii="宋体" w:hAnsi="宋体" w:eastAsia="宋体" w:cs="宋体"/>
          <w:color w:val="auto"/>
          <w:highlight w:val="none"/>
        </w:rPr>
      </w:pPr>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9"/>
        <w:ind w:firstLine="0"/>
        <w:rPr>
          <w:rFonts w:hint="eastAsia" w:ascii="宋体" w:hAnsi="宋体" w:eastAsia="宋体" w:cs="宋体"/>
          <w:color w:val="auto"/>
          <w:highlight w:val="none"/>
        </w:rPr>
      </w:pPr>
    </w:p>
    <w:p>
      <w:pPr>
        <w:pStyle w:val="7"/>
        <w:spacing w:before="0" w:line="400" w:lineRule="exact"/>
        <w:ind w:left="540" w:leftChars="257"/>
        <w:jc w:val="both"/>
        <w:rPr>
          <w:rFonts w:hint="eastAsia" w:ascii="宋体" w:hAnsi="宋体" w:eastAsia="宋体" w:cs="宋体"/>
          <w:color w:val="auto"/>
          <w:sz w:val="24"/>
          <w:szCs w:val="24"/>
          <w:highlight w:val="none"/>
        </w:rPr>
      </w:pPr>
      <w:bookmarkStart w:id="787" w:name="_Toc11533"/>
      <w:r>
        <w:rPr>
          <w:rFonts w:hint="eastAsia" w:ascii="宋体" w:hAnsi="宋体" w:eastAsia="宋体" w:cs="宋体"/>
          <w:color w:val="auto"/>
          <w:sz w:val="24"/>
          <w:szCs w:val="24"/>
          <w:highlight w:val="none"/>
        </w:rPr>
        <w:t>第二部分  商务及技术文件</w:t>
      </w:r>
      <w:bookmarkEnd w:id="787"/>
    </w:p>
    <w:p>
      <w:pPr>
        <w:pStyle w:val="16"/>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投标分项报价表（一）</w:t>
      </w:r>
    </w:p>
    <w:p>
      <w:pPr>
        <w:pStyle w:val="16"/>
        <w:spacing w:line="400" w:lineRule="exac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备品备件设备分项报价表（二）</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3、服务说明一览表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4、技术规格偏离表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7、供应商关联单位的说明（格式自拟）</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8、供应商可提供有利于投标的其他资格证明材料</w:t>
      </w:r>
    </w:p>
    <w:p>
      <w:pPr>
        <w:pStyle w:val="16"/>
        <w:spacing w:line="400" w:lineRule="exact"/>
        <w:ind w:left="1080" w:leftChars="257" w:hanging="540"/>
        <w:rPr>
          <w:rFonts w:hint="eastAsia" w:ascii="宋体" w:hAnsi="宋体" w:eastAsia="宋体" w:cs="宋体"/>
          <w:color w:val="auto"/>
          <w:sz w:val="24"/>
          <w:szCs w:val="24"/>
          <w:highlight w:val="none"/>
        </w:rPr>
      </w:pPr>
      <w:bookmarkStart w:id="788" w:name="_Toc2041"/>
      <w:bookmarkStart w:id="789" w:name="_Toc14915"/>
      <w:bookmarkStart w:id="790" w:name="_Toc515647817"/>
      <w:r>
        <w:rPr>
          <w:rFonts w:hint="eastAsia" w:ascii="宋体" w:hAnsi="宋体" w:eastAsia="宋体" w:cs="宋体"/>
          <w:color w:val="auto"/>
          <w:sz w:val="24"/>
          <w:szCs w:val="24"/>
          <w:highlight w:val="none"/>
        </w:rPr>
        <w:t>9、投标文件格式范本</w:t>
      </w:r>
    </w:p>
    <w:p>
      <w:pPr>
        <w:spacing w:line="360" w:lineRule="auto"/>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2"/>
        <w:rPr>
          <w:rFonts w:hint="eastAsia" w:ascii="宋体" w:hAnsi="宋体" w:eastAsia="宋体" w:cs="宋体"/>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400" w:lineRule="exact"/>
        <w:jc w:val="both"/>
        <w:outlineLvl w:val="9"/>
        <w:rPr>
          <w:rFonts w:hint="eastAsia" w:ascii="宋体" w:hAnsi="宋体" w:eastAsia="宋体" w:cs="宋体"/>
          <w:b/>
          <w:bCs/>
          <w:color w:val="auto"/>
          <w:sz w:val="24"/>
          <w:szCs w:val="24"/>
          <w:highlight w:val="none"/>
        </w:rPr>
      </w:pPr>
      <w:bookmarkStart w:id="791" w:name="_Toc21772"/>
      <w:bookmarkStart w:id="792" w:name="_Toc30408"/>
      <w:bookmarkStart w:id="793" w:name="_Toc25918"/>
      <w:bookmarkStart w:id="794" w:name="_Toc29625"/>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bookmarkStart w:id="795" w:name="_Toc11989"/>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1、投标书</w:t>
      </w:r>
      <w:bookmarkEnd w:id="788"/>
      <w:bookmarkEnd w:id="789"/>
      <w:bookmarkEnd w:id="790"/>
      <w:bookmarkEnd w:id="791"/>
      <w:bookmarkEnd w:id="792"/>
      <w:bookmarkEnd w:id="793"/>
      <w:bookmarkEnd w:id="794"/>
      <w:bookmarkEnd w:id="795"/>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6"/>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6"/>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（1）附投标价格表中规定的应提供服务的投标总价详见开标一览表，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6"/>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6"/>
        <w:tabs>
          <w:tab w:val="left" w:pos="5580"/>
        </w:tabs>
        <w:spacing w:line="400" w:lineRule="exact"/>
        <w:ind w:left="1080" w:leftChars="257" w:hanging="54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796" w:name="_Toc14219"/>
      <w:bookmarkStart w:id="797" w:name="_Toc30947"/>
      <w:bookmarkStart w:id="798" w:name="_Toc1266"/>
      <w:bookmarkStart w:id="799" w:name="_Toc19819"/>
      <w:bookmarkStart w:id="800" w:name="_Toc23473"/>
      <w:bookmarkStart w:id="801" w:name="_Toc6738"/>
    </w:p>
    <w:p>
      <w:pPr>
        <w:pStyle w:val="16"/>
        <w:spacing w:line="240" w:lineRule="atLeast"/>
        <w:ind w:left="1080" w:leftChars="257" w:hanging="540"/>
        <w:jc w:val="center"/>
        <w:outlineLvl w:val="1"/>
        <w:rPr>
          <w:rFonts w:hint="eastAsia" w:ascii="宋体" w:hAnsi="宋体" w:eastAsia="宋体" w:cs="宋体"/>
          <w:color w:val="auto"/>
          <w:sz w:val="24"/>
          <w:szCs w:val="24"/>
          <w:highlight w:val="none"/>
        </w:rPr>
      </w:pPr>
      <w:bookmarkStart w:id="802" w:name="_Toc1247"/>
      <w:r>
        <w:rPr>
          <w:rFonts w:hint="eastAsia" w:ascii="宋体" w:hAnsi="宋体" w:eastAsia="宋体" w:cs="宋体"/>
          <w:b/>
          <w:bCs/>
          <w:color w:val="auto"/>
          <w:sz w:val="28"/>
          <w:szCs w:val="28"/>
          <w:highlight w:val="none"/>
        </w:rPr>
        <w:t>2</w:t>
      </w:r>
      <w:bookmarkEnd w:id="796"/>
      <w:bookmarkEnd w:id="797"/>
      <w:bookmarkEnd w:id="798"/>
      <w:bookmarkEnd w:id="799"/>
      <w:bookmarkEnd w:id="800"/>
      <w:bookmarkEnd w:id="801"/>
      <w:bookmarkStart w:id="803" w:name="_Toc28959"/>
      <w:bookmarkStart w:id="804" w:name="_Toc515647820"/>
      <w:bookmarkStart w:id="805" w:name="_Toc216582817"/>
      <w:bookmarkStart w:id="806" w:name="_Toc22563"/>
      <w:r>
        <w:rPr>
          <w:rFonts w:hint="eastAsia" w:ascii="宋体" w:hAnsi="宋体" w:eastAsia="宋体" w:cs="宋体"/>
          <w:b/>
          <w:bCs/>
          <w:color w:val="auto"/>
          <w:sz w:val="28"/>
          <w:szCs w:val="28"/>
          <w:highlight w:val="none"/>
        </w:rPr>
        <w:t>、投标分项报价表（一）</w:t>
      </w:r>
      <w:bookmarkEnd w:id="802"/>
    </w:p>
    <w:p>
      <w:pPr>
        <w:pStyle w:val="16"/>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报价单位：       人民币</w:t>
      </w:r>
      <w:r>
        <w:rPr>
          <w:rFonts w:hint="eastAsia" w:ascii="宋体" w:hAnsi="宋体" w:eastAsia="宋体" w:cs="宋体"/>
          <w:b/>
          <w:bCs/>
          <w:color w:val="auto"/>
          <w:sz w:val="24"/>
          <w:szCs w:val="24"/>
          <w:highlight w:val="none"/>
        </w:rPr>
        <w:t>元</w:t>
      </w:r>
    </w:p>
    <w:tbl>
      <w:tblPr>
        <w:tblStyle w:val="2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84"/>
        <w:gridCol w:w="1931"/>
        <w:gridCol w:w="1380"/>
        <w:gridCol w:w="141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1931"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80"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410"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975"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05" w:type="dxa"/>
            <w:gridSpan w:val="4"/>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w:t>
            </w:r>
          </w:p>
        </w:tc>
        <w:tc>
          <w:tcPr>
            <w:tcW w:w="2385" w:type="dxa"/>
            <w:gridSpan w:val="2"/>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注:1.如果供应商认为需要，每种服务填写一份该表。</w:t>
      </w:r>
    </w:p>
    <w:p>
      <w:pPr>
        <w:pStyle w:val="16"/>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6"/>
        <w:spacing w:line="400" w:lineRule="exact"/>
        <w:ind w:left="1080" w:leftChars="257" w:hanging="540"/>
        <w:rPr>
          <w:rFonts w:hint="eastAsia" w:ascii="宋体" w:hAnsi="宋体" w:eastAsia="宋体" w:cs="宋体"/>
          <w:b/>
          <w:color w:val="auto"/>
          <w:kern w:val="0"/>
          <w:szCs w:val="21"/>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6"/>
        <w:spacing w:line="240" w:lineRule="atLeast"/>
        <w:ind w:left="1080" w:leftChars="257" w:hanging="540"/>
        <w:jc w:val="center"/>
        <w:rPr>
          <w:rFonts w:hint="eastAsia" w:ascii="宋体" w:hAnsi="宋体" w:eastAsia="宋体" w:cs="宋体"/>
          <w:b/>
          <w:bCs/>
          <w:color w:val="auto"/>
          <w:sz w:val="28"/>
          <w:szCs w:val="28"/>
          <w:highlight w:val="none"/>
        </w:rPr>
      </w:pPr>
      <w:bookmarkStart w:id="807" w:name="_Toc3096"/>
      <w:bookmarkStart w:id="808" w:name="_Toc32439"/>
      <w:bookmarkStart w:id="809" w:name="_Toc26185"/>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rPr>
          <w:rFonts w:hint="eastAsia" w:ascii="宋体" w:hAnsi="宋体" w:eastAsia="宋体" w:cs="宋体"/>
          <w:b/>
          <w:bCs/>
          <w:color w:val="auto"/>
          <w:sz w:val="28"/>
          <w:szCs w:val="28"/>
          <w:highlight w:val="none"/>
        </w:rPr>
      </w:pPr>
    </w:p>
    <w:p>
      <w:pPr>
        <w:pStyle w:val="16"/>
        <w:spacing w:line="240" w:lineRule="atLeast"/>
        <w:rPr>
          <w:rFonts w:hint="eastAsia" w:ascii="宋体" w:hAnsi="宋体" w:eastAsia="宋体" w:cs="宋体"/>
          <w:b/>
          <w:bCs/>
          <w:color w:val="auto"/>
          <w:sz w:val="28"/>
          <w:szCs w:val="28"/>
          <w:highlight w:val="none"/>
        </w:rPr>
      </w:pPr>
    </w:p>
    <w:p>
      <w:pPr>
        <w:spacing w:line="360" w:lineRule="auto"/>
        <w:jc w:val="center"/>
        <w:outlineLvl w:val="1"/>
        <w:rPr>
          <w:rFonts w:hint="eastAsia" w:ascii="宋体" w:hAnsi="宋体" w:eastAsia="宋体" w:cs="宋体"/>
          <w:b/>
          <w:bCs/>
          <w:color w:val="auto"/>
          <w:kern w:val="0"/>
          <w:sz w:val="24"/>
          <w:highlight w:val="none"/>
        </w:rPr>
      </w:pPr>
      <w:bookmarkStart w:id="810" w:name="_Toc13950"/>
      <w:bookmarkStart w:id="811" w:name="_Toc30209"/>
      <w:bookmarkStart w:id="812" w:name="_Toc16798"/>
      <w:bookmarkStart w:id="813" w:name="_Toc12483"/>
      <w:bookmarkStart w:id="814" w:name="_Toc10486"/>
      <w:bookmarkStart w:id="815" w:name="_Toc27721"/>
      <w:bookmarkStart w:id="816" w:name="_Toc6480"/>
      <w:bookmarkStart w:id="817" w:name="_Toc13812"/>
      <w:bookmarkStart w:id="818" w:name="_Toc28199"/>
      <w:bookmarkStart w:id="819" w:name="_Toc16166"/>
      <w:bookmarkStart w:id="820" w:name="_Toc18830"/>
    </w:p>
    <w:p>
      <w:pPr>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bCs/>
          <w:color w:val="auto"/>
          <w:kern w:val="0"/>
          <w:sz w:val="24"/>
          <w:highlight w:val="none"/>
        </w:rPr>
        <w:t>备品备件设备分项报价表（二）</w:t>
      </w:r>
      <w:bookmarkEnd w:id="810"/>
      <w:bookmarkEnd w:id="811"/>
      <w:bookmarkEnd w:id="812"/>
      <w:bookmarkEnd w:id="813"/>
      <w:bookmarkEnd w:id="814"/>
      <w:bookmarkEnd w:id="815"/>
      <w:bookmarkEnd w:id="816"/>
      <w:bookmarkEnd w:id="817"/>
      <w:bookmarkEnd w:id="818"/>
      <w:bookmarkEnd w:id="819"/>
      <w:bookmarkEnd w:id="820"/>
    </w:p>
    <w:tbl>
      <w:tblPr>
        <w:tblStyle w:val="27"/>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0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7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677"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79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7876"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免费设备报价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restart"/>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58"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    价（元）：</w:t>
            </w:r>
          </w:p>
        </w:tc>
        <w:tc>
          <w:tcPr>
            <w:tcW w:w="796" w:type="dxa"/>
            <w:vAlign w:val="center"/>
          </w:tcPr>
          <w:p>
            <w:pPr>
              <w:spacing w:line="400" w:lineRule="exact"/>
              <w:rPr>
                <w:rFonts w:hint="eastAsia" w:ascii="宋体" w:hAnsi="宋体" w:eastAsia="宋体" w:cs="宋体"/>
                <w:color w:val="auto"/>
                <w:sz w:val="24"/>
                <w:highlight w:val="none"/>
              </w:rPr>
            </w:pPr>
          </w:p>
        </w:tc>
      </w:tr>
    </w:tbl>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 xml:space="preserve">或授权代表（签/章）：                    </w:t>
      </w:r>
    </w:p>
    <w:p>
      <w:pPr>
        <w:pStyle w:val="8"/>
        <w:spacing w:line="40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       期 ：   </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注：1.表格长度方向可做扩展根据需求可补充相关资料，但不可减少。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2.备品备件设备分项报价仅供采购人在设备发生故障情况下采用此报价，填写此表时请谨慎。备品备件分为两部分（1、免费的备品备件、2、备品备件报价）                 </w:t>
      </w:r>
    </w:p>
    <w:p>
      <w:pPr>
        <w:pStyle w:val="8"/>
        <w:spacing w:line="400" w:lineRule="exact"/>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3.备品备件设备分项报价不合计于开标一览表总价，单独名列即可。</w:t>
      </w:r>
    </w:p>
    <w:p>
      <w:pPr>
        <w:pStyle w:val="8"/>
        <w:spacing w:line="400" w:lineRule="exact"/>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6"/>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21" w:name="_Toc23629"/>
    </w:p>
    <w:p>
      <w:pPr>
        <w:pStyle w:val="16"/>
        <w:spacing w:line="240" w:lineRule="atLeast"/>
        <w:ind w:left="1080" w:leftChars="257" w:hanging="54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bookmarkEnd w:id="807"/>
      <w:bookmarkEnd w:id="808"/>
      <w:bookmarkEnd w:id="809"/>
      <w:r>
        <w:rPr>
          <w:rFonts w:hint="eastAsia" w:ascii="宋体" w:hAnsi="宋体" w:eastAsia="宋体" w:cs="宋体"/>
          <w:b/>
          <w:bCs/>
          <w:color w:val="auto"/>
          <w:sz w:val="28"/>
          <w:szCs w:val="28"/>
          <w:highlight w:val="none"/>
        </w:rPr>
        <w:t>、服务说明一览表</w:t>
      </w:r>
      <w:bookmarkEnd w:id="821"/>
    </w:p>
    <w:p>
      <w:pPr>
        <w:pStyle w:val="16"/>
        <w:spacing w:line="360" w:lineRule="exact"/>
        <w:ind w:left="1080" w:leftChars="257" w:hanging="540"/>
        <w:rPr>
          <w:rFonts w:hint="eastAsia" w:ascii="宋体" w:hAnsi="宋体" w:eastAsia="宋体" w:cs="宋体"/>
          <w:color w:val="auto"/>
          <w:sz w:val="24"/>
          <w:highlight w:val="none"/>
        </w:rPr>
      </w:pPr>
    </w:p>
    <w:p>
      <w:pPr>
        <w:pStyle w:val="16"/>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Style w:val="16"/>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461"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194"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971"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bl>
    <w:p>
      <w:pPr>
        <w:pStyle w:val="16"/>
        <w:spacing w:line="360" w:lineRule="exact"/>
        <w:ind w:left="1080" w:leftChars="257" w:hanging="540"/>
        <w:rPr>
          <w:rFonts w:hint="eastAsia" w:ascii="宋体" w:hAnsi="宋体" w:eastAsia="宋体" w:cs="宋体"/>
          <w:color w:val="auto"/>
          <w:sz w:val="24"/>
          <w:highlight w:val="none"/>
        </w:rPr>
      </w:pP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6"/>
        <w:spacing w:line="400" w:lineRule="exact"/>
        <w:ind w:left="1080" w:leftChars="257" w:hanging="540"/>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rPr>
        <w:t>注: 各项服务详细技术性能应另页描述。</w:t>
      </w: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ind w:left="1080" w:leftChars="257" w:hanging="540"/>
        <w:jc w:val="center"/>
        <w:outlineLvl w:val="1"/>
        <w:rPr>
          <w:rFonts w:hint="eastAsia" w:ascii="宋体" w:hAnsi="宋体" w:eastAsia="宋体" w:cs="宋体"/>
          <w:color w:val="auto"/>
          <w:szCs w:val="21"/>
          <w:highlight w:val="none"/>
        </w:rPr>
      </w:pPr>
      <w:bookmarkStart w:id="822" w:name="_Toc8730"/>
      <w:r>
        <w:rPr>
          <w:rFonts w:hint="eastAsia" w:ascii="宋体" w:hAnsi="宋体" w:eastAsia="宋体" w:cs="宋体"/>
          <w:b/>
          <w:bCs/>
          <w:color w:val="auto"/>
          <w:sz w:val="28"/>
          <w:szCs w:val="28"/>
          <w:highlight w:val="none"/>
        </w:rPr>
        <w:t>4、服务规格偏离表</w:t>
      </w:r>
      <w:bookmarkEnd w:id="822"/>
    </w:p>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pPr>
        <w:pStyle w:val="16"/>
        <w:spacing w:line="400" w:lineRule="exact"/>
        <w:ind w:left="1080" w:leftChars="257" w:hanging="540"/>
        <w:rPr>
          <w:rFonts w:hint="eastAsia" w:ascii="宋体" w:hAnsi="宋体" w:eastAsia="宋体" w:cs="宋体"/>
          <w:color w:val="auto"/>
          <w:sz w:val="24"/>
          <w:szCs w:val="24"/>
          <w:highlight w:val="none"/>
        </w:rPr>
      </w:pP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服务</w:t>
            </w:r>
            <w:r>
              <w:rPr>
                <w:rFonts w:hint="eastAsia" w:ascii="宋体" w:hAnsi="宋体" w:eastAsia="宋体" w:cs="宋体"/>
                <w:color w:val="auto"/>
                <w:sz w:val="24"/>
                <w:szCs w:val="24"/>
                <w:highlight w:val="none"/>
              </w:rPr>
              <w:t>名称</w:t>
            </w:r>
          </w:p>
        </w:tc>
        <w:tc>
          <w:tcPr>
            <w:tcW w:w="2472" w:type="dxa"/>
            <w:vAlign w:val="center"/>
          </w:tcPr>
          <w:p>
            <w:pPr>
              <w:pStyle w:val="16"/>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bookmarkEnd w:id="803"/>
      <w:bookmarkEnd w:id="804"/>
      <w:bookmarkEnd w:id="805"/>
      <w:bookmarkEnd w:id="806"/>
      <w:bookmarkStart w:id="823" w:name="_Toc515647821"/>
      <w:bookmarkStart w:id="824" w:name="_Toc216582818"/>
      <w:bookmarkStart w:id="825" w:name="_Toc23"/>
      <w:bookmarkStart w:id="826" w:name="_Toc31439"/>
      <w:bookmarkStart w:id="827" w:name="_Toc1980"/>
    </w:p>
    <w:p>
      <w:pPr>
        <w:spacing w:line="240" w:lineRule="atLeast"/>
        <w:ind w:firstLine="3080" w:firstLineChars="1100"/>
        <w:rPr>
          <w:rFonts w:hint="eastAsia" w:ascii="宋体" w:hAnsi="宋体" w:eastAsia="宋体" w:cs="宋体"/>
          <w:color w:val="auto"/>
          <w:sz w:val="28"/>
          <w:szCs w:val="28"/>
          <w:highlight w:val="none"/>
        </w:rPr>
      </w:pPr>
      <w:bookmarkStart w:id="828" w:name="_Toc12914"/>
      <w:bookmarkStart w:id="829" w:name="_Toc14887"/>
      <w:bookmarkStart w:id="830" w:name="_Toc22109"/>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7"/>
        <w:spacing w:before="0" w:line="240" w:lineRule="atLeast"/>
        <w:ind w:firstLine="3092" w:firstLineChars="1100"/>
        <w:jc w:val="both"/>
        <w:rPr>
          <w:rFonts w:hint="eastAsia" w:ascii="宋体" w:hAnsi="宋体" w:eastAsia="宋体" w:cs="宋体"/>
          <w:color w:val="auto"/>
          <w:szCs w:val="21"/>
          <w:highlight w:val="none"/>
        </w:rPr>
      </w:pPr>
      <w:bookmarkStart w:id="831" w:name="_Toc13642"/>
      <w:r>
        <w:rPr>
          <w:rFonts w:hint="eastAsia" w:ascii="宋体" w:hAnsi="宋体" w:eastAsia="宋体" w:cs="宋体"/>
          <w:color w:val="auto"/>
          <w:sz w:val="28"/>
          <w:szCs w:val="28"/>
          <w:highlight w:val="none"/>
        </w:rPr>
        <w:t>5、商务条款偏离表</w:t>
      </w:r>
      <w:bookmarkEnd w:id="823"/>
      <w:bookmarkEnd w:id="824"/>
      <w:bookmarkEnd w:id="825"/>
      <w:bookmarkEnd w:id="826"/>
      <w:bookmarkEnd w:id="827"/>
      <w:bookmarkEnd w:id="828"/>
      <w:bookmarkEnd w:id="829"/>
      <w:bookmarkEnd w:id="830"/>
      <w:bookmarkEnd w:id="831"/>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7"/>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rPr>
          <w:rFonts w:hint="eastAsia" w:ascii="宋体" w:hAnsi="宋体" w:eastAsia="宋体" w:cs="宋体"/>
          <w:color w:val="auto"/>
          <w:highlight w:val="none"/>
        </w:rPr>
      </w:pPr>
      <w:bookmarkStart w:id="832" w:name="_Hlt520274065"/>
      <w:bookmarkEnd w:id="832"/>
      <w:bookmarkStart w:id="833" w:name="_Hlt520271212"/>
      <w:bookmarkEnd w:id="833"/>
      <w:bookmarkStart w:id="834" w:name="_Hlt520350957"/>
      <w:bookmarkEnd w:id="834"/>
      <w:bookmarkStart w:id="835" w:name="_Hlt520343392"/>
      <w:bookmarkEnd w:id="835"/>
      <w:bookmarkStart w:id="836" w:name="_Hlt520274407"/>
      <w:bookmarkEnd w:id="836"/>
      <w:bookmarkStart w:id="837" w:name="_Hlt520274393"/>
      <w:bookmarkEnd w:id="837"/>
      <w:bookmarkStart w:id="838" w:name="_Hlt520274911"/>
      <w:bookmarkEnd w:id="838"/>
      <w:bookmarkStart w:id="839" w:name="_Hlt520343000"/>
      <w:bookmarkEnd w:id="839"/>
      <w:bookmarkStart w:id="840" w:name="_Hlt520273711"/>
      <w:bookmarkEnd w:id="840"/>
      <w:bookmarkStart w:id="841" w:name="_Hlt520350918"/>
      <w:bookmarkEnd w:id="841"/>
      <w:bookmarkStart w:id="842" w:name="_Hlt520273973"/>
      <w:bookmarkEnd w:id="842"/>
      <w:bookmarkStart w:id="843" w:name="_Toc10725"/>
      <w:bookmarkStart w:id="844" w:name="_Toc25797"/>
      <w:bookmarkStart w:id="845" w:name="_Toc31694"/>
      <w:bookmarkStart w:id="846" w:name="_Toc17820"/>
      <w:bookmarkStart w:id="847" w:name="_Toc515647823"/>
      <w:bookmarkStart w:id="848" w:name="_Toc21312"/>
      <w:bookmarkStart w:id="849" w:name="_Toc27043"/>
    </w:p>
    <w:p>
      <w:pPr>
        <w:spacing w:line="400" w:lineRule="exact"/>
        <w:jc w:val="center"/>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7"/>
        <w:spacing w:before="0" w:line="400" w:lineRule="exact"/>
        <w:rPr>
          <w:rFonts w:hint="eastAsia" w:ascii="宋体" w:hAnsi="宋体" w:eastAsia="宋体" w:cs="宋体"/>
          <w:color w:val="auto"/>
          <w:highlight w:val="none"/>
          <w:lang w:eastAsia="zh-CN"/>
        </w:rPr>
      </w:pPr>
      <w:bookmarkStart w:id="850" w:name="_Toc29153"/>
      <w:r>
        <w:rPr>
          <w:rFonts w:hint="eastAsia" w:ascii="宋体" w:hAnsi="宋体" w:eastAsia="宋体" w:cs="宋体"/>
          <w:color w:val="auto"/>
          <w:sz w:val="24"/>
          <w:szCs w:val="24"/>
          <w:highlight w:val="none"/>
        </w:rPr>
        <w:t xml:space="preserve">6-1  </w:t>
      </w:r>
      <w:bookmarkEnd w:id="843"/>
      <w:bookmarkEnd w:id="844"/>
      <w:bookmarkEnd w:id="845"/>
      <w:bookmarkEnd w:id="846"/>
      <w:bookmarkEnd w:id="847"/>
      <w:bookmarkEnd w:id="848"/>
      <w:bookmarkEnd w:id="849"/>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eastAsia="zh-CN"/>
        </w:rPr>
        <w:t>（服务）</w:t>
      </w:r>
      <w:bookmarkEnd w:id="850"/>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bookmarkStart w:id="851" w:name="_Toc11189"/>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 </w:t>
      </w:r>
      <w:r>
        <w:rPr>
          <w:rFonts w:hint="eastAsia" w:ascii="宋体" w:hAnsi="宋体" w:eastAsia="宋体" w:cs="宋体"/>
          <w:color w:val="auto"/>
          <w:kern w:val="0"/>
          <w:sz w:val="24"/>
          <w:highlight w:val="none"/>
          <w:u w:val="single"/>
        </w:rPr>
        <w:t>   （单位名称）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723" w:firstLineChars="1968"/>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szCs w:val="24"/>
          <w:highlight w:val="none"/>
        </w:rPr>
        <w:t>注：</w:t>
      </w:r>
      <w:bookmarkEnd w:id="851"/>
      <w:bookmarkStart w:id="852" w:name="_Toc11343"/>
      <w:bookmarkStart w:id="853" w:name="_Toc9687"/>
      <w:bookmarkStart w:id="854" w:name="_Toc515647824"/>
      <w:bookmarkStart w:id="855" w:name="_Toc2709"/>
      <w:bookmarkStart w:id="856" w:name="_Toc21610"/>
      <w:bookmarkStart w:id="857" w:name="_Toc10977"/>
      <w:bookmarkStart w:id="858" w:name="_Toc11803"/>
      <w:r>
        <w:rPr>
          <w:rFonts w:hint="eastAsia" w:ascii="宋体" w:hAnsi="宋体" w:eastAsia="宋体" w:cs="宋体"/>
          <w:b/>
          <w:bCs/>
          <w:color w:val="auto"/>
          <w:kern w:val="0"/>
          <w:sz w:val="24"/>
          <w:szCs w:val="24"/>
          <w:highlight w:val="none"/>
        </w:rPr>
        <w:t xml:space="preserve">潜在投标企业属于中小微企业的，请在投标文件中提供“中小企业声明函”，如果未提供或提供虚假的“中小企业声明函”，投标企业将承担由此造成的一切不利后果。  </w:t>
      </w:r>
      <w:r>
        <w:rPr>
          <w:rFonts w:hint="eastAsia" w:ascii="宋体" w:hAnsi="宋体" w:eastAsia="宋体" w:cs="宋体"/>
          <w:b/>
          <w:bCs/>
          <w:color w:val="auto"/>
          <w:kern w:val="0"/>
          <w:szCs w:val="21"/>
          <w:highlight w:val="none"/>
        </w:rPr>
        <w:t xml:space="preserve">                    </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7"/>
        <w:spacing w:before="0" w:line="400" w:lineRule="exact"/>
        <w:jc w:val="both"/>
        <w:rPr>
          <w:rFonts w:hint="eastAsia" w:ascii="宋体" w:hAnsi="宋体" w:eastAsia="宋体" w:cs="宋体"/>
          <w:color w:val="auto"/>
          <w:sz w:val="24"/>
          <w:szCs w:val="24"/>
          <w:highlight w:val="none"/>
        </w:rPr>
      </w:pPr>
      <w:bookmarkStart w:id="859" w:name="_Toc11733"/>
      <w:r>
        <w:rPr>
          <w:rFonts w:hint="eastAsia" w:ascii="宋体" w:hAnsi="宋体" w:eastAsia="宋体" w:cs="宋体"/>
          <w:color w:val="auto"/>
          <w:sz w:val="24"/>
          <w:szCs w:val="24"/>
          <w:highlight w:val="none"/>
        </w:rPr>
        <w:t xml:space="preserve">6-2  </w:t>
      </w:r>
      <w:bookmarkEnd w:id="852"/>
      <w:bookmarkEnd w:id="853"/>
      <w:bookmarkEnd w:id="854"/>
      <w:bookmarkEnd w:id="855"/>
      <w:bookmarkEnd w:id="856"/>
      <w:bookmarkEnd w:id="857"/>
      <w:bookmarkEnd w:id="858"/>
      <w:bookmarkStart w:id="860" w:name="_Toc19312"/>
      <w:bookmarkStart w:id="861" w:name="_Toc515647825"/>
      <w:bookmarkStart w:id="862" w:name="OLE_LINK14"/>
      <w:bookmarkStart w:id="863" w:name="_Toc15294"/>
      <w:bookmarkStart w:id="864" w:name="_Toc23068"/>
      <w:bookmarkStart w:id="865" w:name="OLE_LINK13"/>
      <w:bookmarkStart w:id="866" w:name="_Toc19284"/>
      <w:bookmarkStart w:id="867" w:name="_Toc11516"/>
      <w:bookmarkStart w:id="868" w:name="_Toc31700"/>
      <w:r>
        <w:rPr>
          <w:rFonts w:hint="eastAsia" w:ascii="宋体" w:hAnsi="宋体" w:eastAsia="宋体" w:cs="宋体"/>
          <w:color w:val="auto"/>
          <w:sz w:val="24"/>
          <w:szCs w:val="24"/>
          <w:highlight w:val="none"/>
        </w:rPr>
        <w:t>残疾人福利性单位声明函</w:t>
      </w:r>
      <w:bookmarkEnd w:id="859"/>
      <w:bookmarkEnd w:id="860"/>
      <w:bookmarkEnd w:id="861"/>
      <w:bookmarkEnd w:id="862"/>
      <w:bookmarkEnd w:id="863"/>
      <w:bookmarkEnd w:id="864"/>
      <w:bookmarkEnd w:id="865"/>
      <w:bookmarkEnd w:id="866"/>
      <w:bookmarkEnd w:id="867"/>
      <w:bookmarkEnd w:id="868"/>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4"/>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869" w:name="_Toc22102"/>
      <w:bookmarkStart w:id="870" w:name="_Toc515647827"/>
      <w:bookmarkStart w:id="871" w:name="_Toc17401"/>
      <w:bookmarkStart w:id="872" w:name="_Toc28099"/>
      <w:bookmarkStart w:id="873" w:name="_Toc23926"/>
      <w:bookmarkStart w:id="874" w:name="_Toc6004"/>
      <w:bookmarkStart w:id="875" w:name="_Toc26684"/>
      <w:bookmarkStart w:id="876" w:name="_Toc30795"/>
      <w:r>
        <w:rPr>
          <w:rFonts w:hint="eastAsia" w:ascii="宋体" w:hAnsi="宋体" w:eastAsia="宋体" w:cs="宋体"/>
          <w:color w:val="auto"/>
          <w:sz w:val="24"/>
          <w:szCs w:val="24"/>
          <w:highlight w:val="none"/>
        </w:rPr>
        <w:t>7、供应商关联单位的说明</w:t>
      </w:r>
      <w:bookmarkEnd w:id="869"/>
      <w:bookmarkEnd w:id="870"/>
      <w:bookmarkEnd w:id="871"/>
      <w:bookmarkEnd w:id="872"/>
      <w:bookmarkEnd w:id="873"/>
      <w:bookmarkEnd w:id="874"/>
      <w:bookmarkEnd w:id="875"/>
      <w:bookmarkEnd w:id="876"/>
    </w:p>
    <w:p>
      <w:pPr>
        <w:pStyle w:val="8"/>
        <w:spacing w:line="400" w:lineRule="exact"/>
        <w:jc w:val="center"/>
        <w:rPr>
          <w:rFonts w:hint="eastAsia" w:ascii="宋体" w:hAnsi="宋体" w:eastAsia="宋体" w:cs="宋体"/>
          <w:color w:val="auto"/>
          <w:szCs w:val="24"/>
          <w:highlight w:val="none"/>
        </w:rPr>
      </w:pPr>
    </w:p>
    <w:p>
      <w:pPr>
        <w:pStyle w:val="8"/>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8"/>
        <w:spacing w:line="4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8"/>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2"/>
        <w:rPr>
          <w:rFonts w:hint="eastAsia" w:ascii="宋体" w:hAnsi="宋体" w:eastAsia="宋体" w:cs="宋体"/>
          <w:b/>
          <w:color w:val="auto"/>
          <w:kern w:val="0"/>
          <w:sz w:val="24"/>
          <w:highlight w:val="none"/>
        </w:rPr>
      </w:pPr>
    </w:p>
    <w:p>
      <w:pPr>
        <w:pStyle w:val="8"/>
        <w:rPr>
          <w:rFonts w:hint="eastAsia" w:ascii="宋体" w:hAnsi="宋体" w:eastAsia="宋体" w:cs="宋体"/>
          <w:color w:val="auto"/>
          <w:highlight w:val="none"/>
        </w:rPr>
      </w:pPr>
    </w:p>
    <w:p>
      <w:pPr>
        <w:pStyle w:val="8"/>
        <w:ind w:firstLine="0"/>
        <w:rPr>
          <w:rFonts w:hint="eastAsia" w:ascii="宋体" w:hAnsi="宋体" w:eastAsia="宋体" w:cs="宋体"/>
          <w:color w:val="auto"/>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877" w:name="_Toc25585"/>
      <w:r>
        <w:rPr>
          <w:rFonts w:hint="eastAsia" w:ascii="宋体" w:hAnsi="宋体" w:eastAsia="宋体" w:cs="宋体"/>
          <w:color w:val="auto"/>
          <w:sz w:val="24"/>
          <w:szCs w:val="24"/>
          <w:highlight w:val="none"/>
        </w:rPr>
        <w:t>8、供应商可提供有利于投标的其他资格证明材料</w:t>
      </w:r>
      <w:bookmarkEnd w:id="877"/>
    </w:p>
    <w:p>
      <w:pPr>
        <w:rPr>
          <w:rFonts w:hint="eastAsia" w:ascii="宋体" w:hAnsi="宋体" w:eastAsia="宋体" w:cs="宋体"/>
          <w:color w:val="auto"/>
          <w:highlight w:val="none"/>
        </w:rPr>
      </w:pPr>
    </w:p>
    <w:tbl>
      <w:tblPr>
        <w:tblStyle w:val="27"/>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（正本和副本）</w:t>
            </w:r>
          </w:p>
          <w:p>
            <w:pPr>
              <w:pStyle w:val="4"/>
              <w:ind w:firstLine="4216" w:firstLineChars="1500"/>
              <w:rPr>
                <w:rFonts w:hint="eastAsia" w:ascii="宋体" w:hAnsi="宋体" w:eastAsia="宋体" w:cs="宋体"/>
                <w:b/>
                <w:bCs/>
                <w:color w:val="auto"/>
                <w:sz w:val="28"/>
                <w:szCs w:val="28"/>
                <w:highlight w:val="none"/>
              </w:rPr>
            </w:pPr>
          </w:p>
          <w:p>
            <w:pPr>
              <w:pStyle w:val="4"/>
              <w:ind w:firstLine="4216" w:firstLineChars="1500"/>
              <w:rPr>
                <w:rFonts w:hint="eastAsia" w:ascii="宋体" w:hAnsi="宋体" w:eastAsia="宋体" w:cs="宋体"/>
                <w:b/>
                <w:bCs/>
                <w:color w:val="auto"/>
                <w:sz w:val="28"/>
                <w:szCs w:val="28"/>
                <w:highlight w:val="none"/>
              </w:rPr>
            </w:pPr>
          </w:p>
          <w:p>
            <w:pPr>
              <w:pStyle w:val="4"/>
              <w:rPr>
                <w:rFonts w:hint="eastAsia" w:ascii="宋体" w:hAnsi="宋体" w:eastAsia="宋体" w:cs="宋体"/>
                <w:b/>
                <w:bCs/>
                <w:color w:val="auto"/>
                <w:sz w:val="28"/>
                <w:szCs w:val="28"/>
                <w:highlight w:val="none"/>
              </w:rPr>
            </w:pPr>
          </w:p>
          <w:p>
            <w:pPr>
              <w:pStyle w:val="4"/>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pPr>
              <w:pStyle w:val="4"/>
              <w:jc w:val="center"/>
              <w:rPr>
                <w:rFonts w:hint="eastAsia" w:ascii="宋体" w:hAnsi="宋体" w:eastAsia="宋体" w:cs="宋体"/>
                <w:b/>
                <w:bCs/>
                <w:color w:val="auto"/>
                <w:sz w:val="21"/>
                <w:szCs w:val="21"/>
                <w:highlight w:val="none"/>
              </w:rPr>
            </w:pPr>
          </w:p>
          <w:p>
            <w:pPr>
              <w:pStyle w:val="4"/>
              <w:ind w:firstLine="3795" w:firstLineChars="18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编号 ＊＊＊      </w:t>
            </w:r>
          </w:p>
          <w:p>
            <w:pPr>
              <w:pStyle w:val="4"/>
              <w:jc w:val="center"/>
              <w:rPr>
                <w:rFonts w:hint="eastAsia" w:ascii="宋体" w:hAnsi="宋体" w:eastAsia="宋体" w:cs="宋体"/>
                <w:b/>
                <w:bCs/>
                <w:color w:val="auto"/>
                <w:sz w:val="48"/>
                <w:highlight w:val="none"/>
              </w:rPr>
            </w:pPr>
          </w:p>
          <w:p>
            <w:pPr>
              <w:pStyle w:val="4"/>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8"/>
              <w:ind w:firstLine="0"/>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8"/>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rPr>
              <w:t>2</w:t>
            </w:r>
            <w:r>
              <w:rPr>
                <w:rFonts w:hint="eastAsia" w:ascii="宋体" w:hAnsi="宋体" w:eastAsia="宋体" w:cs="宋体"/>
                <w:b/>
                <w:bCs/>
                <w:color w:val="auto"/>
                <w:highlight w:val="none"/>
              </w:rPr>
              <w:t>年   月  日 *午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ind w:firstLine="241" w:firstLineChars="100"/>
        <w:outlineLvl w:val="1"/>
        <w:rPr>
          <w:rFonts w:hint="eastAsia" w:ascii="宋体" w:hAnsi="宋体" w:eastAsia="宋体" w:cs="宋体"/>
          <w:b/>
          <w:color w:val="auto"/>
          <w:kern w:val="0"/>
          <w:sz w:val="24"/>
          <w:highlight w:val="none"/>
        </w:rPr>
      </w:pPr>
      <w:bookmarkStart w:id="878" w:name="_Toc20226"/>
      <w:r>
        <w:rPr>
          <w:rFonts w:hint="eastAsia" w:ascii="宋体" w:hAnsi="宋体" w:eastAsia="宋体" w:cs="宋体"/>
          <w:b/>
          <w:color w:val="auto"/>
          <w:kern w:val="0"/>
          <w:sz w:val="24"/>
          <w:highlight w:val="none"/>
        </w:rPr>
        <w:t>9、投标文件格式范本</w:t>
      </w:r>
      <w:bookmarkEnd w:id="878"/>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879" w:name="_Toc24900_WPSOffice_Level2"/>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40"/>
          <w:szCs w:val="40"/>
          <w:highlight w:val="none"/>
        </w:rPr>
        <w:t xml:space="preserve">项目编号： </w:t>
      </w:r>
      <w:bookmarkEnd w:id="879"/>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8"/>
        <w:rPr>
          <w:rFonts w:hint="eastAsia" w:ascii="宋体" w:hAnsi="宋体" w:eastAsia="宋体" w:cs="宋体"/>
          <w:b/>
          <w:color w:val="auto"/>
          <w:sz w:val="44"/>
          <w:szCs w:val="36"/>
          <w:highlight w:val="none"/>
        </w:rPr>
      </w:pPr>
    </w:p>
    <w:p>
      <w:pPr>
        <w:pStyle w:val="9"/>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8"/>
        <w:rPr>
          <w:rFonts w:hint="eastAsia" w:ascii="宋体" w:hAnsi="宋体" w:eastAsia="宋体" w:cs="宋体"/>
          <w:color w:val="auto"/>
          <w:highlight w:val="none"/>
        </w:rPr>
      </w:pPr>
    </w:p>
    <w:bookmarkEnd w:id="749"/>
    <w:bookmarkEnd w:id="750"/>
    <w:bookmarkEnd w:id="751"/>
    <w:bookmarkEnd w:id="752"/>
    <w:bookmarkEnd w:id="780"/>
    <w:bookmarkEnd w:id="781"/>
    <w:bookmarkEnd w:id="782"/>
    <w:bookmarkEnd w:id="783"/>
    <w:bookmarkEnd w:id="784"/>
    <w:bookmarkEnd w:id="785"/>
    <w:p>
      <w:pPr>
        <w:pStyle w:val="22"/>
        <w:rPr>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880" w:name="_Toc507399902"/>
      <w:bookmarkStart w:id="881" w:name="_Toc29715"/>
      <w:bookmarkStart w:id="882" w:name="_Toc28765"/>
      <w:bookmarkStart w:id="883" w:name="_Toc5747"/>
      <w:bookmarkStart w:id="884" w:name="_Toc515647829"/>
      <w:bookmarkStart w:id="885" w:name="_Toc216582822"/>
      <w:bookmarkStart w:id="886" w:name="_Toc219175634"/>
      <w:bookmarkStart w:id="887" w:name="_Toc16370"/>
      <w:bookmarkStart w:id="888" w:name="_Toc218935350"/>
      <w:bookmarkStart w:id="889" w:name="_Toc22081"/>
      <w:r>
        <w:rPr>
          <w:rStyle w:val="35"/>
          <w:rFonts w:hint="eastAsia" w:ascii="宋体" w:hAnsi="宋体" w:eastAsia="宋体" w:cs="宋体"/>
          <w:color w:val="auto"/>
          <w:highlight w:val="none"/>
        </w:rPr>
        <w:t>第3章  投标邀请</w:t>
      </w:r>
      <w:bookmarkEnd w:id="880"/>
      <w:bookmarkEnd w:id="881"/>
      <w:bookmarkEnd w:id="882"/>
      <w:bookmarkEnd w:id="883"/>
      <w:bookmarkEnd w:id="884"/>
      <w:bookmarkEnd w:id="885"/>
      <w:bookmarkEnd w:id="886"/>
      <w:bookmarkEnd w:id="887"/>
      <w:bookmarkEnd w:id="888"/>
      <w:bookmarkEnd w:id="889"/>
      <w:bookmarkStart w:id="890" w:name="_Toc5272"/>
      <w:bookmarkStart w:id="891" w:name="_Toc515647830"/>
      <w:bookmarkStart w:id="892" w:name="_Toc10488"/>
      <w:bookmarkStart w:id="893" w:name="_Toc507399903"/>
      <w:bookmarkStart w:id="894" w:name="_Toc512937850"/>
      <w:bookmarkStart w:id="895" w:name="_Toc31583"/>
      <w:bookmarkStart w:id="896" w:name="_Toc21658282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lang w:val="en-US" w:eastAsia="zh-CN"/>
        </w:rPr>
      </w:pPr>
      <w:bookmarkStart w:id="897" w:name="_Toc31912"/>
      <w:bookmarkStart w:id="898" w:name="_Toc8815"/>
      <w:bookmarkStart w:id="899"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897"/>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00" w:name="_Toc18911"/>
      <w:bookmarkStart w:id="901" w:name="_Toc18518"/>
      <w:r>
        <w:rPr>
          <w:rFonts w:hint="eastAsia" w:ascii="宋体" w:hAnsi="宋体" w:eastAsia="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898"/>
      <w:bookmarkEnd w:id="900"/>
      <w:bookmarkEnd w:id="90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02" w:name="_Toc29182"/>
      <w:bookmarkStart w:id="903" w:name="_Toc35393629"/>
      <w:bookmarkStart w:id="904" w:name="_Toc35393798"/>
      <w:bookmarkStart w:id="905" w:name="_Toc28359089"/>
      <w:bookmarkStart w:id="906" w:name="_Toc8264"/>
      <w:bookmarkStart w:id="907" w:name="_Toc28359012"/>
      <w:r>
        <w:rPr>
          <w:rFonts w:hint="eastAsia" w:ascii="宋体" w:hAnsi="宋体" w:eastAsia="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szCs w:val="24"/>
          <w:highlight w:val="none"/>
          <w:u w:val="single"/>
          <w:lang w:val="en-US" w:eastAsia="zh-CN"/>
        </w:rPr>
        <w:t>2022年10月 21日上午11点00分</w:t>
      </w:r>
      <w:r>
        <w:rPr>
          <w:rFonts w:hint="eastAsia" w:ascii="宋体" w:hAnsi="宋体" w:eastAsia="宋体" w:cs="宋体"/>
          <w:color w:val="FF0000"/>
          <w:sz w:val="24"/>
          <w:highlight w:val="none"/>
          <w:u w:val="single"/>
        </w:rPr>
        <w:t>（北京时间）</w:t>
      </w:r>
      <w:r>
        <w:rPr>
          <w:rFonts w:hint="eastAsia" w:ascii="宋体" w:hAnsi="宋体" w:eastAsia="宋体" w:cs="宋体"/>
          <w:bCs/>
          <w:color w:val="FF0000"/>
          <w:sz w:val="24"/>
          <w:highlight w:val="none"/>
        </w:rPr>
        <w:t>前</w:t>
      </w:r>
      <w:r>
        <w:rPr>
          <w:rFonts w:hint="eastAsia" w:ascii="宋体" w:hAnsi="宋体" w:eastAsia="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08" w:name="_Toc9986"/>
      <w:r>
        <w:rPr>
          <w:rFonts w:hint="eastAsia" w:ascii="宋体" w:hAnsi="宋体" w:eastAsia="宋体" w:cs="宋体"/>
          <w:b/>
          <w:bCs/>
          <w:color w:val="auto"/>
          <w:sz w:val="24"/>
          <w:szCs w:val="24"/>
          <w:highlight w:val="none"/>
        </w:rPr>
        <w:t>一、项目基本情况</w:t>
      </w:r>
      <w:bookmarkEnd w:id="902"/>
      <w:bookmarkEnd w:id="903"/>
      <w:bookmarkEnd w:id="904"/>
      <w:bookmarkEnd w:id="905"/>
      <w:bookmarkEnd w:id="906"/>
      <w:bookmarkEnd w:id="907"/>
      <w:bookmarkEnd w:id="908"/>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sz w:val="28"/>
          <w:szCs w:val="28"/>
        </w:rPr>
        <w:t>ZJ</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GK</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第一包：集成平台互联互通一批、数据中心信息平台一批、三级理论考试系统一批；</w:t>
      </w:r>
      <w:r>
        <w:rPr>
          <w:rFonts w:hint="eastAsia" w:ascii="宋体" w:hAnsi="宋体" w:eastAsia="宋体" w:cs="宋体"/>
          <w:color w:val="auto"/>
          <w:sz w:val="24"/>
          <w:highlight w:val="none"/>
          <w:lang w:val="en-US" w:eastAsia="zh-CN"/>
        </w:rPr>
        <w:t>预算金额：520.7</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第二包：120急救车调度指挥系统一批；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第三包：数据共享中心标准机房一批；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第四包：体检中心体检管理软件升级改造一批；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第五包：信息安全三级等保测评一批；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第六包：短信服务平台基础设备一批；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09" w:name="_Toc13080"/>
      <w:bookmarkStart w:id="910" w:name="_Toc35393799"/>
      <w:bookmarkStart w:id="911" w:name="_Toc6039"/>
      <w:bookmarkStart w:id="912" w:name="_Toc12963"/>
      <w:bookmarkStart w:id="913" w:name="_Toc28359013"/>
      <w:bookmarkStart w:id="914" w:name="_Toc28359090"/>
      <w:bookmarkStart w:id="915" w:name="_Toc35393630"/>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09"/>
      <w:bookmarkEnd w:id="910"/>
      <w:bookmarkEnd w:id="911"/>
      <w:bookmarkEnd w:id="912"/>
      <w:bookmarkEnd w:id="913"/>
      <w:bookmarkEnd w:id="914"/>
      <w:bookmarkEnd w:id="91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16" w:name="_Toc35393631"/>
      <w:bookmarkStart w:id="917" w:name="_Toc35393800"/>
      <w:bookmarkStart w:id="918" w:name="_Toc28359014"/>
      <w:bookmarkStart w:id="919" w:name="_Toc28359091"/>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）具有独立法人资格（三证合一的营业执照）</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（4）提供税务部门出具的最近连续六个月的完税证明；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（5）提供2020年或2021年经审计的财务审计报告（2022年成立的新公司出具近3个月任意一个月的银行资信证明）；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20" w:name="_Toc21437"/>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920"/>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时间：2022年09月 30日至2022年10月 12 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地点：线上获取</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916"/>
    <w:bookmarkEnd w:id="917"/>
    <w:bookmarkEnd w:id="918"/>
    <w:bookmarkEnd w:id="919"/>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921" w:name="_Toc6797"/>
      <w:bookmarkStart w:id="922" w:name="_Toc28359093"/>
      <w:bookmarkStart w:id="923" w:name="_Toc28359016"/>
      <w:bookmarkStart w:id="924" w:name="_Toc28593"/>
      <w:bookmarkStart w:id="925" w:name="_Toc21935"/>
      <w:bookmarkStart w:id="926" w:name="_Toc35393633"/>
      <w:bookmarkStart w:id="927" w:name="_Toc35393802"/>
      <w:r>
        <w:rPr>
          <w:rFonts w:hint="eastAsia" w:ascii="宋体" w:hAnsi="宋体" w:eastAsia="宋体" w:cs="宋体"/>
          <w:b/>
          <w:bCs/>
          <w:color w:val="auto"/>
          <w:kern w:val="0"/>
          <w:sz w:val="24"/>
          <w:szCs w:val="24"/>
          <w:highlight w:val="none"/>
        </w:rPr>
        <w:t>四、提交投标文件截止时间、开标时间和地点</w:t>
      </w:r>
      <w:bookmarkEnd w:id="92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FF0000"/>
          <w:sz w:val="24"/>
          <w:szCs w:val="24"/>
          <w:highlight w:val="none"/>
          <w:lang w:val="en-US" w:eastAsia="zh-CN"/>
        </w:rPr>
        <w:t>2022年10月 21日上午11点00分（北京时间）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FF0000"/>
          <w:sz w:val="24"/>
          <w:szCs w:val="24"/>
          <w:highlight w:val="none"/>
          <w:lang w:val="en-US" w:eastAsia="zh-CN"/>
        </w:rPr>
        <w:t>2022年10月 21 日上午11点00分（北京时间）</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开标地点：莎车县莎车宾馆会议中心</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28" w:name="_Toc9604"/>
      <w:r>
        <w:rPr>
          <w:rFonts w:hint="eastAsia" w:ascii="宋体" w:hAnsi="宋体" w:eastAsia="宋体" w:cs="宋体"/>
          <w:b/>
          <w:bCs/>
          <w:color w:val="auto"/>
          <w:kern w:val="0"/>
          <w:sz w:val="24"/>
          <w:szCs w:val="24"/>
          <w:highlight w:val="none"/>
          <w:lang w:val="en-US" w:eastAsia="zh-CN"/>
        </w:rPr>
        <w:t>五、公告期限</w:t>
      </w:r>
      <w:bookmarkEnd w:id="928"/>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922"/>
    <w:bookmarkEnd w:id="923"/>
    <w:bookmarkEnd w:id="924"/>
    <w:bookmarkEnd w:id="925"/>
    <w:bookmarkEnd w:id="926"/>
    <w:bookmarkEnd w:id="927"/>
    <w:p>
      <w:pPr>
        <w:pStyle w:val="7"/>
        <w:pageBreakBefore w:val="0"/>
        <w:widowControl w:val="0"/>
        <w:numPr>
          <w:ilvl w:val="0"/>
          <w:numId w:val="5"/>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29" w:name="_Toc13016"/>
      <w:r>
        <w:rPr>
          <w:rFonts w:hint="eastAsia" w:ascii="宋体" w:hAnsi="宋体" w:eastAsia="宋体" w:cs="宋体"/>
          <w:b/>
          <w:bCs/>
          <w:color w:val="auto"/>
          <w:kern w:val="0"/>
          <w:sz w:val="24"/>
          <w:szCs w:val="24"/>
          <w:highlight w:val="none"/>
          <w:lang w:val="en-US" w:eastAsia="zh-CN"/>
        </w:rPr>
        <w:t>其它补充事宜</w:t>
      </w:r>
      <w:bookmarkEnd w:id="929"/>
    </w:p>
    <w:p>
      <w:pPr>
        <w:pStyle w:val="8"/>
        <w:numPr>
          <w:ilvl w:val="0"/>
          <w:numId w:val="0"/>
        </w:numPr>
        <w:ind w:firstLine="1200" w:firstLineChars="500"/>
        <w:rPr>
          <w:rFonts w:hint="eastAsia" w:ascii="宋体" w:hAnsi="宋体" w:eastAsia="宋体" w:cs="宋体"/>
          <w:lang w:val="en-US" w:eastAsia="zh-CN"/>
        </w:rPr>
      </w:pPr>
      <w:r>
        <w:rPr>
          <w:rFonts w:hint="eastAsia" w:ascii="宋体" w:hAnsi="宋体" w:eastAsia="宋体" w:cs="宋体"/>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30" w:name="_Toc23272"/>
      <w:r>
        <w:rPr>
          <w:rFonts w:hint="eastAsia" w:ascii="宋体" w:hAnsi="宋体" w:eastAsia="宋体" w:cs="宋体"/>
          <w:b/>
          <w:bCs/>
          <w:color w:val="auto"/>
          <w:kern w:val="0"/>
          <w:sz w:val="24"/>
          <w:szCs w:val="24"/>
          <w:highlight w:val="none"/>
          <w:lang w:val="en-US" w:eastAsia="zh-CN"/>
        </w:rPr>
        <w:t>七、</w:t>
      </w:r>
      <w:bookmarkStart w:id="931" w:name="_Toc35393805"/>
      <w:bookmarkStart w:id="932" w:name="_Toc35393636"/>
      <w:bookmarkStart w:id="933" w:name="_Toc5483"/>
      <w:bookmarkStart w:id="934" w:name="_Toc23916"/>
      <w:bookmarkStart w:id="935" w:name="_Toc28359018"/>
      <w:bookmarkStart w:id="936" w:name="_Toc18510"/>
      <w:bookmarkStart w:id="937" w:name="_Toc28359095"/>
      <w:bookmarkStart w:id="938" w:name="_Toc21330"/>
      <w:r>
        <w:rPr>
          <w:rFonts w:hint="eastAsia" w:ascii="宋体" w:hAnsi="宋体" w:eastAsia="宋体" w:cs="宋体"/>
          <w:b/>
          <w:bCs/>
          <w:color w:val="auto"/>
          <w:kern w:val="0"/>
          <w:sz w:val="24"/>
          <w:szCs w:val="24"/>
          <w:highlight w:val="none"/>
          <w:lang w:val="en-US" w:eastAsia="zh-CN"/>
        </w:rPr>
        <w:t>凡对本次采购提出询问，请按以下方式联系。</w:t>
      </w:r>
      <w:bookmarkEnd w:id="930"/>
      <w:bookmarkEnd w:id="931"/>
      <w:bookmarkEnd w:id="932"/>
      <w:bookmarkEnd w:id="933"/>
      <w:bookmarkEnd w:id="934"/>
      <w:bookmarkEnd w:id="935"/>
      <w:bookmarkEnd w:id="936"/>
      <w:bookmarkEnd w:id="937"/>
      <w:bookmarkEnd w:id="938"/>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39" w:name="_Toc28359019"/>
      <w:bookmarkStart w:id="940" w:name="_Toc35393806"/>
      <w:bookmarkStart w:id="941" w:name="_Toc35393637"/>
      <w:bookmarkStart w:id="942" w:name="_Toc28359096"/>
      <w:bookmarkStart w:id="943" w:name="_Toc28359097"/>
      <w:bookmarkStart w:id="944" w:name="_Toc35393807"/>
      <w:bookmarkStart w:id="945" w:name="_Toc28359020"/>
      <w:bookmarkStart w:id="946" w:name="_Toc35393638"/>
      <w:r>
        <w:rPr>
          <w:rFonts w:hint="eastAsia" w:ascii="宋体" w:hAnsi="宋体" w:eastAsia="宋体" w:cs="宋体"/>
          <w:color w:val="auto"/>
          <w:sz w:val="24"/>
          <w:szCs w:val="24"/>
          <w:highlight w:val="none"/>
        </w:rPr>
        <w:t>1.采购人信息</w:t>
      </w:r>
      <w:bookmarkEnd w:id="939"/>
      <w:bookmarkEnd w:id="940"/>
      <w:bookmarkEnd w:id="941"/>
      <w:bookmarkEnd w:id="942"/>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943"/>
      <w:bookmarkEnd w:id="944"/>
      <w:bookmarkEnd w:id="945"/>
      <w:bookmarkEnd w:id="946"/>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8"/>
        <w:outlineLvl w:val="9"/>
        <w:rPr>
          <w:rFonts w:hint="eastAsia" w:ascii="宋体" w:hAnsi="宋体" w:eastAsia="宋体" w:cs="宋体"/>
          <w:color w:val="auto"/>
          <w:sz w:val="24"/>
          <w:szCs w:val="24"/>
          <w:highlight w:val="none"/>
        </w:rPr>
      </w:pPr>
    </w:p>
    <w:p>
      <w:pPr>
        <w:pStyle w:val="9"/>
        <w:outlineLvl w:val="9"/>
        <w:rPr>
          <w:rFonts w:hint="eastAsia" w:ascii="宋体" w:hAnsi="宋体" w:eastAsia="宋体" w:cs="宋体"/>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rPr>
      </w:pPr>
    </w:p>
    <w:p>
      <w:pPr>
        <w:pageBreakBefore w:val="0"/>
        <w:widowControl w:val="0"/>
        <w:shd w:val="clear" w:color="auto" w:fill="auto"/>
        <w:kinsoku/>
        <w:wordWrap/>
        <w:overflowPunct/>
        <w:topLinePunct w:val="0"/>
        <w:bidi w:val="0"/>
        <w:snapToGrid/>
        <w:spacing w:line="380" w:lineRule="exact"/>
        <w:jc w:val="right"/>
        <w:textAlignment w:val="auto"/>
        <w:rPr>
          <w:rFonts w:hint="eastAsia" w:ascii="宋体" w:hAnsi="宋体" w:eastAsia="宋体" w:cs="宋体"/>
          <w:color w:val="auto"/>
          <w:highlight w:val="none"/>
        </w:rPr>
      </w:pPr>
    </w:p>
    <w:p>
      <w:pPr>
        <w:pStyle w:val="22"/>
        <w:keepNext w:val="0"/>
        <w:keepLines w:val="0"/>
        <w:pageBreakBefore w:val="0"/>
        <w:kinsoku/>
        <w:wordWrap/>
        <w:overflowPunct/>
        <w:topLinePunct w:val="0"/>
        <w:autoSpaceDE/>
        <w:autoSpaceDN/>
        <w:bidi w:val="0"/>
        <w:adjustRightInd/>
        <w:spacing w:line="320" w:lineRule="exact"/>
        <w:jc w:val="right"/>
        <w:rPr>
          <w:rFonts w:hint="eastAsia" w:ascii="宋体" w:hAnsi="宋体" w:eastAsia="宋体" w:cs="宋体"/>
          <w:color w:val="auto"/>
          <w:kern w:val="0"/>
          <w:sz w:val="24"/>
          <w:szCs w:val="24"/>
          <w:highlight w:val="none"/>
          <w:lang w:val="en-US" w:eastAsia="zh-CN"/>
        </w:rPr>
      </w:pPr>
    </w:p>
    <w:p>
      <w:pPr>
        <w:pStyle w:val="6"/>
        <w:tabs>
          <w:tab w:val="left" w:pos="0"/>
        </w:tabs>
        <w:spacing w:before="0" w:after="0" w:line="240" w:lineRule="atLeast"/>
        <w:rPr>
          <w:rFonts w:hint="eastAsia" w:ascii="宋体" w:hAnsi="宋体" w:eastAsia="宋体" w:cs="宋体"/>
          <w:color w:val="auto"/>
          <w:highlight w:val="none"/>
        </w:rPr>
      </w:pPr>
    </w:p>
    <w:p>
      <w:pPr>
        <w:pStyle w:val="6"/>
        <w:tabs>
          <w:tab w:val="left" w:pos="0"/>
        </w:tabs>
        <w:spacing w:before="0" w:after="0" w:line="240" w:lineRule="atLeast"/>
        <w:rPr>
          <w:rFonts w:hint="eastAsia" w:ascii="宋体" w:hAnsi="宋体" w:eastAsia="宋体" w:cs="宋体"/>
          <w:color w:val="auto"/>
          <w:highlight w:val="none"/>
        </w:rPr>
      </w:pPr>
    </w:p>
    <w:bookmarkEnd w:id="890"/>
    <w:bookmarkEnd w:id="891"/>
    <w:bookmarkEnd w:id="892"/>
    <w:bookmarkEnd w:id="893"/>
    <w:bookmarkEnd w:id="894"/>
    <w:bookmarkEnd w:id="895"/>
    <w:bookmarkEnd w:id="896"/>
    <w:bookmarkEnd w:id="899"/>
    <w:p>
      <w:pPr>
        <w:pStyle w:val="6"/>
        <w:tabs>
          <w:tab w:val="left" w:pos="0"/>
        </w:tabs>
        <w:spacing w:before="0" w:after="0" w:line="240" w:lineRule="atLeast"/>
        <w:jc w:val="center"/>
        <w:rPr>
          <w:rFonts w:hint="eastAsia" w:ascii="宋体" w:hAnsi="宋体" w:eastAsia="宋体" w:cs="宋体"/>
          <w:b/>
          <w:bCs/>
          <w:color w:val="auto"/>
          <w:highlight w:val="none"/>
        </w:rPr>
      </w:pPr>
      <w:bookmarkStart w:id="947" w:name="_Toc3106"/>
    </w:p>
    <w:p>
      <w:pPr>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948" w:name="_Toc8838"/>
      <w:r>
        <w:rPr>
          <w:rStyle w:val="35"/>
          <w:rFonts w:hint="eastAsia" w:ascii="宋体" w:hAnsi="宋体" w:eastAsia="宋体" w:cs="宋体"/>
          <w:color w:val="auto"/>
          <w:highlight w:val="none"/>
        </w:rPr>
        <w:t>第4章  供应商须知资料表</w:t>
      </w:r>
      <w:bookmarkEnd w:id="947"/>
      <w:bookmarkEnd w:id="948"/>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7"/>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lang w:val="en-US" w:eastAsia="zh-CN"/>
              </w:rPr>
              <w:t xml:space="preserve">莎车县人民医院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（1）具有独立法人资格（三证合一的营业执照）；</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（2）法定代表人资格证明及授权书、被授权人身份证；(法定代表人投标需提供法定代表人身份证)；</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（3）提供2020年或2021年经审计的财务审计报告（2022年成立的新公司出具近3个月任意一个月的银行资信证明）；</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（4）依法缴纳最近连续六个月的社会保险的凭据（授权人和单位员工缴纳明细凭据）；</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（5）提供税务部门出具的最近连续六个月的完税证明；</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（7）参与政府采购活动前3年内未被列入失信、重大税收违法案件、财政部门禁止参加政府采购活动的承诺书；</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eastAsia="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2"/>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否</w:t>
            </w:r>
            <w:r>
              <w:rPr>
                <w:rFonts w:hint="eastAsia" w:ascii="宋体" w:hAnsi="宋体" w:eastAsia="宋体" w:cs="宋体"/>
                <w:b/>
                <w:bCs/>
                <w:color w:val="FF0000"/>
                <w:sz w:val="24"/>
                <w:szCs w:val="32"/>
                <w:highlight w:val="none"/>
                <w:lang w:eastAsia="zh-CN"/>
              </w:rPr>
              <w:t>（是、否）（注：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第四包：预算金额：22万元；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采购需求：第四包：体检中心体检管理软件升级改造一批；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color w:val="auto"/>
                <w:sz w:val="24"/>
                <w:highlight w:val="none"/>
                <w:u w:val="single"/>
                <w:lang w:val="en-US" w:eastAsia="zh-CN"/>
              </w:rPr>
              <w:t>第四包：</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val="en-US" w:eastAsia="zh-CN"/>
              </w:rPr>
              <w:t>4400</w:t>
            </w:r>
            <w:r>
              <w:rPr>
                <w:rFonts w:hint="eastAsia" w:ascii="宋体" w:hAnsi="宋体" w:eastAsia="宋体" w:cs="宋体"/>
                <w:b/>
                <w:bCs/>
                <w:color w:val="auto"/>
                <w:sz w:val="24"/>
                <w:highlight w:val="none"/>
                <w:u w:val="single"/>
              </w:rPr>
              <w:t>元（人民币</w:t>
            </w:r>
            <w:r>
              <w:rPr>
                <w:rFonts w:hint="eastAsia" w:ascii="宋体" w:hAnsi="宋体" w:eastAsia="宋体" w:cs="宋体"/>
                <w:b/>
                <w:bCs/>
                <w:color w:val="auto"/>
                <w:sz w:val="24"/>
                <w:highlight w:val="none"/>
                <w:u w:val="single"/>
                <w:lang w:eastAsia="zh-CN"/>
              </w:rPr>
              <w:t>肆仟肆佰</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949" w:name="_Toc7078"/>
            <w:bookmarkStart w:id="950" w:name="_Toc28116"/>
            <w:r>
              <w:rPr>
                <w:rFonts w:hint="eastAsia" w:ascii="宋体" w:hAnsi="宋体" w:eastAsia="宋体" w:cs="宋体"/>
                <w:b/>
                <w:bCs/>
                <w:sz w:val="24"/>
                <w:szCs w:val="24"/>
                <w:u w:val="none"/>
              </w:rPr>
              <w:t>投标文件的签署及规定：</w:t>
            </w:r>
            <w:bookmarkEnd w:id="949"/>
            <w:bookmarkEnd w:id="950"/>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r>
              <w:rPr>
                <w:rFonts w:hint="eastAsia" w:ascii="宋体" w:hAnsi="宋体" w:eastAsia="宋体" w:cs="宋体"/>
                <w:b/>
                <w:bCs/>
                <w:color w:val="FF0000"/>
                <w:sz w:val="24"/>
                <w:highlight w:val="yellow"/>
                <w:u w:val="single"/>
              </w:rPr>
              <w:t>2022年10月 21日上午11点00分（北京时间）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tbl>
      <w:tblPr>
        <w:tblStyle w:val="27"/>
        <w:tblpPr w:leftFromText="180" w:rightFromText="180" w:vertAnchor="text" w:horzAnchor="page" w:tblpX="694" w:tblpY="491"/>
        <w:tblOverlap w:val="never"/>
        <w:tblW w:w="6529" w:type="pct"/>
        <w:tblInd w:w="0" w:type="dxa"/>
        <w:tblLayout w:type="autofit"/>
        <w:tblCellMar>
          <w:top w:w="0" w:type="dxa"/>
          <w:left w:w="108" w:type="dxa"/>
          <w:bottom w:w="0" w:type="dxa"/>
          <w:right w:w="108" w:type="dxa"/>
        </w:tblCellMar>
      </w:tblPr>
      <w:tblGrid>
        <w:gridCol w:w="366"/>
        <w:gridCol w:w="666"/>
        <w:gridCol w:w="773"/>
        <w:gridCol w:w="715"/>
        <w:gridCol w:w="764"/>
        <w:gridCol w:w="655"/>
        <w:gridCol w:w="3359"/>
        <w:gridCol w:w="940"/>
        <w:gridCol w:w="1214"/>
        <w:gridCol w:w="940"/>
        <w:gridCol w:w="744"/>
      </w:tblGrid>
      <w:tr>
        <w:tblPrEx>
          <w:tblCellMar>
            <w:top w:w="0" w:type="dxa"/>
            <w:left w:w="108" w:type="dxa"/>
            <w:bottom w:w="0" w:type="dxa"/>
            <w:right w:w="108" w:type="dxa"/>
          </w:tblCellMar>
        </w:tblPrEx>
        <w:trPr>
          <w:trHeight w:val="620" w:hRule="atLeast"/>
        </w:trPr>
        <w:tc>
          <w:tcPr>
            <w:tcW w:w="164"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951" w:name="_Toc219175635"/>
            <w:bookmarkStart w:id="952" w:name="_Toc216582811"/>
            <w:bookmarkStart w:id="953" w:name="_Toc218935351"/>
            <w:bookmarkStart w:id="954" w:name="_Toc216513787"/>
            <w:r>
              <w:rPr>
                <w:rFonts w:hint="eastAsia" w:ascii="宋体" w:hAnsi="宋体" w:eastAsia="宋体" w:cs="宋体"/>
                <w:color w:val="auto"/>
                <w:sz w:val="15"/>
                <w:szCs w:val="15"/>
                <w:highlight w:val="none"/>
              </w:rPr>
              <w:t>供应商名称</w:t>
            </w:r>
          </w:p>
        </w:tc>
        <w:tc>
          <w:tcPr>
            <w:tcW w:w="4079" w:type="pct"/>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422"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334"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8016" w:hRule="atLeast"/>
        </w:trPr>
        <w:tc>
          <w:tcPr>
            <w:tcW w:w="164"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299" w:type="pct"/>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347"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法定代表人（负责人）资格证明及授权书、被授权人身份证；(法定代表人投标需提供法定代表人身份证)；</w:t>
            </w:r>
          </w:p>
          <w:p>
            <w:pPr>
              <w:spacing w:line="400" w:lineRule="exact"/>
              <w:rPr>
                <w:rFonts w:hint="eastAsia" w:ascii="宋体" w:hAnsi="宋体" w:eastAsia="宋体" w:cs="宋体"/>
                <w:color w:val="auto"/>
                <w:sz w:val="15"/>
                <w:szCs w:val="15"/>
                <w:highlight w:val="none"/>
              </w:rPr>
            </w:pPr>
          </w:p>
        </w:tc>
        <w:tc>
          <w:tcPr>
            <w:tcW w:w="321"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343"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29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422"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164" w:type="pct"/>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299"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7"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21"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3"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16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9"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951"/>
      <w:bookmarkEnd w:id="952"/>
      <w:bookmarkEnd w:id="953"/>
      <w:bookmarkEnd w:id="954"/>
    </w:tbl>
    <w:p>
      <w:pPr>
        <w:pStyle w:val="2"/>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NumType w:fmt="decimal" w:start="1"/>
          <w:cols w:space="720" w:num="1"/>
          <w:docGrid w:linePitch="312" w:charSpace="0"/>
        </w:sectPr>
      </w:pPr>
    </w:p>
    <w:p>
      <w:pPr>
        <w:widowControl/>
        <w:spacing w:line="440" w:lineRule="exact"/>
        <w:jc w:val="center"/>
        <w:outlineLvl w:val="0"/>
        <w:rPr>
          <w:rStyle w:val="35"/>
          <w:rFonts w:hint="eastAsia" w:ascii="宋体" w:hAnsi="宋体" w:eastAsia="宋体" w:cs="宋体"/>
          <w:color w:val="auto"/>
          <w:highlight w:val="none"/>
        </w:rPr>
      </w:pPr>
      <w:bookmarkStart w:id="955" w:name="_Toc15473"/>
      <w:bookmarkStart w:id="956" w:name="_Toc27053"/>
      <w:bookmarkStart w:id="957" w:name="_Toc15092"/>
      <w:bookmarkStart w:id="958" w:name="_Toc512937852"/>
      <w:r>
        <w:rPr>
          <w:rStyle w:val="35"/>
          <w:rFonts w:hint="eastAsia" w:ascii="宋体" w:hAnsi="宋体" w:cs="宋体"/>
          <w:color w:val="auto"/>
          <w:highlight w:val="none"/>
          <w:lang w:val="en-US" w:eastAsia="zh-CN"/>
        </w:rPr>
        <w:t>第5章</w:t>
      </w:r>
      <w:r>
        <w:rPr>
          <w:rStyle w:val="35"/>
          <w:rFonts w:hint="eastAsia" w:ascii="宋体" w:hAnsi="宋体" w:eastAsia="宋体" w:cs="宋体"/>
          <w:color w:val="auto"/>
          <w:highlight w:val="none"/>
        </w:rPr>
        <w:t xml:space="preserve"> 服务内容及项目要求</w:t>
      </w:r>
      <w:bookmarkEnd w:id="955"/>
      <w:bookmarkEnd w:id="956"/>
      <w:bookmarkEnd w:id="957"/>
    </w:p>
    <w:p>
      <w:pPr>
        <w:pStyle w:val="22"/>
        <w:numPr>
          <w:ilvl w:val="0"/>
          <w:numId w:val="6"/>
        </w:numPr>
        <w:spacing w:line="440" w:lineRule="exact"/>
        <w:outlineLvl w:val="1"/>
        <w:rPr>
          <w:rFonts w:hint="eastAsia" w:ascii="宋体" w:hAnsi="宋体" w:eastAsia="宋体" w:cs="宋体"/>
          <w:b/>
          <w:bCs/>
          <w:color w:val="auto"/>
          <w:sz w:val="32"/>
          <w:szCs w:val="32"/>
          <w:highlight w:val="none"/>
        </w:rPr>
      </w:pPr>
      <w:bookmarkStart w:id="959" w:name="_Toc3343"/>
      <w:bookmarkStart w:id="960" w:name="_Toc1849"/>
      <w:bookmarkStart w:id="961" w:name="_Toc2601"/>
      <w:bookmarkStart w:id="962" w:name="_Toc17809"/>
      <w:bookmarkStart w:id="963" w:name="_Toc19951"/>
      <w:bookmarkStart w:id="964" w:name="_Toc9030"/>
      <w:bookmarkStart w:id="965" w:name="_Toc16870"/>
      <w:bookmarkStart w:id="966" w:name="_Toc30496"/>
      <w:bookmarkStart w:id="967" w:name="_Toc10499"/>
      <w:bookmarkStart w:id="968" w:name="_Toc17529"/>
      <w:bookmarkStart w:id="969" w:name="_Toc18792"/>
      <w:bookmarkStart w:id="970" w:name="_Toc30319"/>
      <w:bookmarkStart w:id="971" w:name="_Toc19407"/>
      <w:r>
        <w:rPr>
          <w:rFonts w:hint="eastAsia" w:ascii="宋体" w:hAnsi="宋体" w:eastAsia="宋体" w:cs="宋体"/>
          <w:b/>
          <w:bCs/>
          <w:color w:val="auto"/>
          <w:sz w:val="32"/>
          <w:szCs w:val="32"/>
          <w:highlight w:val="none"/>
        </w:rPr>
        <w:t>服务需求：</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Start w:id="972" w:name="_Toc32647"/>
      <w:bookmarkStart w:id="973" w:name="_Toc17321"/>
      <w:bookmarkStart w:id="974" w:name="_Toc27286"/>
      <w:bookmarkStart w:id="975" w:name="_Toc507399907"/>
      <w:bookmarkStart w:id="976" w:name="_Toc4177"/>
      <w:bookmarkStart w:id="977" w:name="_Toc3501"/>
      <w:bookmarkStart w:id="978" w:name="_Toc7971"/>
      <w:bookmarkStart w:id="979" w:name="_Toc1934"/>
      <w:bookmarkStart w:id="980" w:name="_Toc13057"/>
      <w:bookmarkStart w:id="981" w:name="_Toc219175639"/>
      <w:bookmarkStart w:id="982" w:name="_Toc31636"/>
      <w:bookmarkStart w:id="983" w:name="_Toc216582826"/>
      <w:bookmarkStart w:id="984" w:name="_Toc13297"/>
      <w:bookmarkStart w:id="985" w:name="_Toc16093"/>
      <w:bookmarkStart w:id="986" w:name="_Toc29241"/>
      <w:bookmarkStart w:id="987" w:name="_Toc515647832"/>
      <w:bookmarkStart w:id="988" w:name="_Toc11880"/>
      <w:bookmarkStart w:id="989" w:name="_Toc22083"/>
      <w:bookmarkStart w:id="990" w:name="_Toc31645"/>
      <w:bookmarkStart w:id="991" w:name="_Toc218935355"/>
      <w:bookmarkStart w:id="992" w:name="_Toc12442"/>
    </w:p>
    <w:p>
      <w:pPr>
        <w:pStyle w:val="14"/>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第四包体验中心提交管理软件升级改造</w:t>
      </w:r>
    </w:p>
    <w:p>
      <w:pPr>
        <w:pStyle w:val="14"/>
        <w:rPr>
          <w:rFonts w:hint="eastAsia" w:ascii="宋体" w:hAnsi="宋体" w:eastAsia="宋体" w:cs="宋体"/>
          <w:lang w:eastAsia="zh-CN"/>
        </w:rPr>
      </w:pP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一、采购内容:</w:t>
      </w:r>
    </w:p>
    <w:p>
      <w:pPr>
        <w:pStyle w:val="4"/>
        <w:spacing w:before="4"/>
        <w:rPr>
          <w:rFonts w:hint="eastAsia" w:ascii="宋体" w:hAnsi="宋体" w:eastAsia="宋体" w:cs="宋体"/>
          <w:b/>
        </w:rPr>
      </w:pPr>
    </w:p>
    <w:tbl>
      <w:tblPr>
        <w:tblStyle w:val="28"/>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714"/>
        <w:gridCol w:w="729"/>
        <w:gridCol w:w="785"/>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jc w:val="center"/>
              <w:rPr>
                <w:rFonts w:hint="eastAsia" w:ascii="宋体" w:hAnsi="宋体" w:eastAsia="宋体" w:cs="宋体"/>
                <w:b/>
                <w:bCs/>
                <w:sz w:val="24"/>
              </w:rPr>
            </w:pPr>
            <w:r>
              <w:rPr>
                <w:rFonts w:hint="eastAsia" w:ascii="宋体" w:hAnsi="宋体" w:eastAsia="宋体" w:cs="宋体"/>
                <w:b/>
                <w:bCs/>
                <w:sz w:val="24"/>
              </w:rPr>
              <w:t>序号</w:t>
            </w:r>
          </w:p>
        </w:tc>
        <w:tc>
          <w:tcPr>
            <w:tcW w:w="2714" w:type="dxa"/>
            <w:vAlign w:val="center"/>
          </w:tcPr>
          <w:p>
            <w:pPr>
              <w:jc w:val="center"/>
              <w:rPr>
                <w:rFonts w:hint="eastAsia" w:ascii="宋体" w:hAnsi="宋体" w:eastAsia="宋体" w:cs="宋体"/>
                <w:b/>
                <w:bCs/>
                <w:sz w:val="24"/>
              </w:rPr>
            </w:pPr>
            <w:r>
              <w:rPr>
                <w:rFonts w:hint="eastAsia" w:ascii="宋体" w:hAnsi="宋体" w:eastAsia="宋体" w:cs="宋体"/>
                <w:b/>
                <w:bCs/>
                <w:sz w:val="24"/>
              </w:rPr>
              <w:t>系统名称</w:t>
            </w:r>
          </w:p>
        </w:tc>
        <w:tc>
          <w:tcPr>
            <w:tcW w:w="729" w:type="dxa"/>
            <w:vAlign w:val="center"/>
          </w:tcPr>
          <w:p>
            <w:pPr>
              <w:jc w:val="center"/>
              <w:rPr>
                <w:rFonts w:hint="eastAsia" w:ascii="宋体" w:hAnsi="宋体" w:eastAsia="宋体" w:cs="宋体"/>
                <w:b/>
                <w:bCs/>
                <w:sz w:val="24"/>
              </w:rPr>
            </w:pPr>
            <w:r>
              <w:rPr>
                <w:rFonts w:hint="eastAsia" w:ascii="宋体" w:hAnsi="宋体" w:eastAsia="宋体" w:cs="宋体"/>
                <w:b/>
                <w:bCs/>
                <w:sz w:val="24"/>
              </w:rPr>
              <w:t>单位</w:t>
            </w:r>
          </w:p>
        </w:tc>
        <w:tc>
          <w:tcPr>
            <w:tcW w:w="785" w:type="dxa"/>
            <w:vAlign w:val="center"/>
          </w:tcPr>
          <w:p>
            <w:pPr>
              <w:jc w:val="center"/>
              <w:rPr>
                <w:rFonts w:hint="eastAsia" w:ascii="宋体" w:hAnsi="宋体" w:eastAsia="宋体" w:cs="宋体"/>
                <w:b/>
                <w:bCs/>
                <w:sz w:val="24"/>
              </w:rPr>
            </w:pPr>
            <w:r>
              <w:rPr>
                <w:rFonts w:hint="eastAsia" w:ascii="宋体" w:hAnsi="宋体" w:eastAsia="宋体" w:cs="宋体"/>
                <w:b/>
                <w:bCs/>
                <w:sz w:val="24"/>
              </w:rPr>
              <w:t>数量</w:t>
            </w:r>
          </w:p>
        </w:tc>
        <w:tc>
          <w:tcPr>
            <w:tcW w:w="4508" w:type="dxa"/>
          </w:tcPr>
          <w:p>
            <w:pPr>
              <w:jc w:val="center"/>
              <w:rPr>
                <w:rFonts w:hint="eastAsia" w:ascii="宋体" w:hAnsi="宋体" w:eastAsia="宋体"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jc w:val="center"/>
              <w:rPr>
                <w:rFonts w:hint="eastAsia" w:ascii="宋体" w:hAnsi="宋体" w:eastAsia="宋体" w:cs="宋体"/>
                <w:b/>
                <w:bCs/>
                <w:sz w:val="24"/>
              </w:rPr>
            </w:pPr>
            <w:r>
              <w:rPr>
                <w:rFonts w:hint="eastAsia" w:ascii="宋体" w:hAnsi="宋体" w:eastAsia="宋体" w:cs="宋体"/>
                <w:sz w:val="24"/>
              </w:rPr>
              <w:t>1</w:t>
            </w:r>
          </w:p>
        </w:tc>
        <w:tc>
          <w:tcPr>
            <w:tcW w:w="2714" w:type="dxa"/>
            <w:vAlign w:val="center"/>
          </w:tcPr>
          <w:p>
            <w:pPr>
              <w:jc w:val="center"/>
              <w:rPr>
                <w:rFonts w:hint="eastAsia" w:ascii="宋体" w:hAnsi="宋体" w:eastAsia="宋体" w:cs="宋体"/>
                <w:sz w:val="24"/>
              </w:rPr>
            </w:pPr>
            <w:r>
              <w:rPr>
                <w:rFonts w:hint="eastAsia" w:ascii="宋体" w:hAnsi="宋体" w:eastAsia="宋体" w:cs="宋体"/>
                <w:sz w:val="24"/>
              </w:rPr>
              <w:t>微信公众号预约平台</w:t>
            </w:r>
          </w:p>
        </w:tc>
        <w:tc>
          <w:tcPr>
            <w:tcW w:w="729" w:type="dxa"/>
            <w:vAlign w:val="center"/>
          </w:tcPr>
          <w:p>
            <w:pPr>
              <w:jc w:val="center"/>
              <w:rPr>
                <w:rFonts w:hint="eastAsia" w:ascii="宋体" w:hAnsi="宋体" w:eastAsia="宋体" w:cs="宋体"/>
                <w:sz w:val="24"/>
              </w:rPr>
            </w:pPr>
            <w:r>
              <w:rPr>
                <w:rFonts w:hint="eastAsia" w:ascii="宋体" w:hAnsi="宋体" w:eastAsia="宋体" w:cs="宋体"/>
                <w:sz w:val="24"/>
              </w:rPr>
              <w:t>套</w:t>
            </w:r>
          </w:p>
        </w:tc>
        <w:tc>
          <w:tcPr>
            <w:tcW w:w="785"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4508" w:type="dxa"/>
          </w:tcPr>
          <w:p>
            <w:pPr>
              <w:jc w:val="left"/>
              <w:rPr>
                <w:rFonts w:hint="eastAsia" w:ascii="宋体" w:hAnsi="宋体" w:eastAsia="宋体" w:cs="宋体"/>
                <w:sz w:val="24"/>
              </w:rPr>
            </w:pPr>
            <w:r>
              <w:rPr>
                <w:rFonts w:hint="eastAsia" w:ascii="宋体" w:hAnsi="宋体" w:eastAsia="宋体" w:cs="宋体"/>
                <w:sz w:val="24"/>
              </w:rPr>
              <w:t>微信公众号预约平台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714" w:type="dxa"/>
            <w:vAlign w:val="center"/>
          </w:tcPr>
          <w:p>
            <w:pPr>
              <w:jc w:val="center"/>
              <w:rPr>
                <w:rFonts w:hint="eastAsia" w:ascii="宋体" w:hAnsi="宋体" w:eastAsia="宋体" w:cs="宋体"/>
                <w:sz w:val="24"/>
              </w:rPr>
            </w:pPr>
            <w:r>
              <w:rPr>
                <w:rFonts w:hint="eastAsia" w:ascii="宋体" w:hAnsi="宋体" w:eastAsia="宋体" w:cs="宋体"/>
                <w:sz w:val="24"/>
              </w:rPr>
              <w:t>体检管理系统升级</w:t>
            </w:r>
          </w:p>
        </w:tc>
        <w:tc>
          <w:tcPr>
            <w:tcW w:w="729" w:type="dxa"/>
            <w:vAlign w:val="center"/>
          </w:tcPr>
          <w:p>
            <w:pPr>
              <w:jc w:val="center"/>
              <w:rPr>
                <w:rFonts w:hint="eastAsia" w:ascii="宋体" w:hAnsi="宋体" w:eastAsia="宋体" w:cs="宋体"/>
                <w:sz w:val="24"/>
              </w:rPr>
            </w:pPr>
            <w:r>
              <w:rPr>
                <w:rFonts w:hint="eastAsia" w:ascii="宋体" w:hAnsi="宋体" w:eastAsia="宋体" w:cs="宋体"/>
                <w:sz w:val="24"/>
              </w:rPr>
              <w:t>套</w:t>
            </w:r>
          </w:p>
        </w:tc>
        <w:tc>
          <w:tcPr>
            <w:tcW w:w="785"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4508" w:type="dxa"/>
          </w:tcPr>
          <w:p>
            <w:pPr>
              <w:jc w:val="left"/>
              <w:rPr>
                <w:rFonts w:hint="eastAsia" w:ascii="宋体" w:hAnsi="宋体" w:eastAsia="宋体" w:cs="宋体"/>
                <w:sz w:val="24"/>
              </w:rPr>
            </w:pPr>
            <w:r>
              <w:rPr>
                <w:rFonts w:hint="eastAsia" w:ascii="宋体" w:hAnsi="宋体" w:eastAsia="宋体" w:cs="宋体"/>
                <w:sz w:val="24"/>
              </w:rPr>
              <w:t>保留原来的历史数据和接口数据。含健康体检系统升级至最新版、增加职业病体检系统、系统接口模块、非标设备接口模块、体检卡模块、健康证模块</w:t>
            </w:r>
          </w:p>
        </w:tc>
      </w:tr>
    </w:tbl>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总体要求：</w:t>
      </w:r>
    </w:p>
    <w:p>
      <w:pPr>
        <w:spacing w:line="360" w:lineRule="auto"/>
        <w:rPr>
          <w:rFonts w:hint="eastAsia" w:ascii="宋体" w:hAnsi="宋体" w:eastAsia="宋体" w:cs="宋体"/>
          <w:b/>
          <w:sz w:val="24"/>
        </w:rPr>
      </w:pPr>
      <w:r>
        <w:rPr>
          <w:rFonts w:hint="eastAsia" w:ascii="宋体" w:hAnsi="宋体" w:eastAsia="宋体" w:cs="宋体"/>
          <w:b/>
          <w:sz w:val="24"/>
        </w:rPr>
        <w:t>●本章中提出的技术方案仅为参考，如无明确限制，投标人可以进行优化，提供满足用户实际需要的更优（或者性能实质上不低于的）服务方案，且此方案须经评标委员会评审认可；</w:t>
      </w:r>
    </w:p>
    <w:p>
      <w:pPr>
        <w:spacing w:line="360" w:lineRule="auto"/>
        <w:rPr>
          <w:rFonts w:hint="eastAsia" w:ascii="宋体" w:hAnsi="宋体" w:eastAsia="宋体" w:cs="宋体"/>
          <w:b/>
          <w:sz w:val="24"/>
        </w:rPr>
      </w:pPr>
      <w:r>
        <w:rPr>
          <w:rFonts w:hint="eastAsia" w:ascii="宋体" w:hAnsi="宋体" w:eastAsia="宋体" w:cs="宋体"/>
          <w:b/>
          <w:sz w:val="24"/>
        </w:rPr>
        <w:t>●投标人应当在投标文件中列出完成本项目并通过验收所需的所有各项服务等明细表及全部费用。中标人必须确保整体通过用户方及有关主管部门验收,所发生的验收费用由中标人承担；中标人应自行勘察项目现场，如中标人因未及时勘察现场而导致的报价缺项漏项废标、或中标后无法完工，中标人自行承担一切后果；</w:t>
      </w:r>
    </w:p>
    <w:p>
      <w:pPr>
        <w:spacing w:line="360" w:lineRule="auto"/>
        <w:rPr>
          <w:rFonts w:hint="eastAsia" w:ascii="宋体" w:hAnsi="宋体" w:eastAsia="宋体" w:cs="宋体"/>
          <w:b/>
          <w:sz w:val="24"/>
        </w:rPr>
      </w:pPr>
      <w:r>
        <w:rPr>
          <w:rFonts w:hint="eastAsia" w:ascii="宋体" w:hAnsi="宋体" w:eastAsia="宋体" w:cs="宋体"/>
          <w:b/>
          <w:sz w:val="24"/>
        </w:rPr>
        <w:t>●本章带“*”或者带“★”条款为实质性要求</w:t>
      </w:r>
      <w:r>
        <w:rPr>
          <w:rFonts w:hint="eastAsia" w:ascii="宋体" w:hAnsi="宋体" w:eastAsia="宋体" w:cs="宋体"/>
          <w:b/>
          <w:color w:val="FF0000"/>
          <w:sz w:val="24"/>
        </w:rPr>
        <w:t>（带“★”需提供产品截图，并加盖厂商鲜章）</w:t>
      </w:r>
      <w:r>
        <w:rPr>
          <w:rFonts w:hint="eastAsia" w:ascii="宋体" w:hAnsi="宋体" w:eastAsia="宋体" w:cs="宋体"/>
          <w:b/>
          <w:sz w:val="24"/>
        </w:rPr>
        <w:t>，正偏离提供详细说明和支持资料，负偏离将可能导致扣分。</w:t>
      </w:r>
    </w:p>
    <w:p>
      <w:pPr>
        <w:jc w:val="center"/>
        <w:rPr>
          <w:rFonts w:hint="eastAsia" w:ascii="宋体" w:hAnsi="宋体" w:eastAsia="宋体" w:cs="宋体"/>
          <w:b/>
          <w:szCs w:val="21"/>
        </w:rPr>
      </w:pPr>
    </w:p>
    <w:p>
      <w:pPr>
        <w:jc w:val="center"/>
        <w:rPr>
          <w:rFonts w:hint="eastAsia" w:ascii="宋体" w:hAnsi="宋体" w:eastAsia="宋体" w:cs="宋体"/>
          <w:b/>
          <w:szCs w:val="21"/>
        </w:rPr>
      </w:pPr>
    </w:p>
    <w:p>
      <w:pPr>
        <w:jc w:val="center"/>
        <w:rPr>
          <w:rFonts w:hint="eastAsia" w:ascii="宋体" w:hAnsi="宋体" w:eastAsia="宋体" w:cs="宋体"/>
          <w:b/>
          <w:sz w:val="44"/>
          <w:szCs w:val="44"/>
        </w:rPr>
      </w:pPr>
      <w:r>
        <w:rPr>
          <w:rFonts w:hint="eastAsia" w:ascii="宋体" w:hAnsi="宋体" w:eastAsia="宋体" w:cs="宋体"/>
          <w:b/>
          <w:sz w:val="44"/>
          <w:szCs w:val="44"/>
        </w:rPr>
        <w:t>招标技术参数</w:t>
      </w:r>
    </w:p>
    <w:p>
      <w:pPr>
        <w:pStyle w:val="7"/>
        <w:numPr>
          <w:ilvl w:val="0"/>
          <w:numId w:val="7"/>
        </w:numPr>
        <w:spacing w:before="0" w:after="0" w:line="360" w:lineRule="auto"/>
        <w:ind w:left="616" w:hanging="616"/>
        <w:jc w:val="left"/>
        <w:rPr>
          <w:rFonts w:hint="eastAsia" w:ascii="宋体" w:hAnsi="宋体" w:eastAsia="宋体" w:cs="宋体"/>
          <w:sz w:val="28"/>
          <w:szCs w:val="28"/>
        </w:rPr>
      </w:pPr>
      <w:bookmarkStart w:id="993" w:name="_Toc14339"/>
      <w:bookmarkStart w:id="994" w:name="_Toc7167"/>
      <w:bookmarkStart w:id="995" w:name="_Toc23014"/>
      <w:r>
        <w:rPr>
          <w:rFonts w:hint="eastAsia" w:ascii="宋体" w:hAnsi="宋体" w:eastAsia="宋体" w:cs="宋体"/>
          <w:sz w:val="28"/>
          <w:szCs w:val="28"/>
        </w:rPr>
        <w:t>项目建设要求</w:t>
      </w:r>
      <w:bookmarkEnd w:id="993"/>
      <w:bookmarkEnd w:id="994"/>
      <w:bookmarkEnd w:id="995"/>
    </w:p>
    <w:p>
      <w:pPr>
        <w:numPr>
          <w:ilvl w:val="0"/>
          <w:numId w:val="8"/>
        </w:numPr>
        <w:spacing w:line="360" w:lineRule="auto"/>
        <w:rPr>
          <w:rFonts w:hint="eastAsia" w:ascii="宋体" w:hAnsi="宋体" w:eastAsia="宋体" w:cs="宋体"/>
          <w:b/>
          <w:sz w:val="24"/>
        </w:rPr>
      </w:pPr>
      <w:r>
        <w:rPr>
          <w:rFonts w:hint="eastAsia" w:ascii="宋体" w:hAnsi="宋体" w:eastAsia="宋体" w:cs="宋体"/>
          <w:b/>
          <w:sz w:val="24"/>
        </w:rPr>
        <w:t>建设原则</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标准化原则</w:t>
      </w:r>
      <w:r>
        <w:rPr>
          <w:rFonts w:hint="eastAsia" w:ascii="宋体" w:hAnsi="宋体" w:eastAsia="宋体" w:cs="宋体"/>
          <w:bCs/>
          <w:sz w:val="24"/>
        </w:rPr>
        <w:tab/>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遵循国际通用标准和行业规范。按照国际、国家、行业、企业相关标准，建设适合医院现状和发展的标准规范体系，创建信息共享、系统集成环境。</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安全性原则</w:t>
      </w:r>
      <w:r>
        <w:rPr>
          <w:rFonts w:hint="eastAsia" w:ascii="宋体" w:hAnsi="宋体" w:eastAsia="宋体" w:cs="宋体"/>
          <w:bCs/>
          <w:sz w:val="24"/>
        </w:rPr>
        <w:tab/>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采用的软件开发技术和方法应充分考虑医院所面临的安全性要求，建立适应的安全保障机制，符合信息系统安全等级保护建设相关要求。</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先进性与可靠性原则</w:t>
      </w:r>
      <w:r>
        <w:rPr>
          <w:rFonts w:hint="eastAsia" w:ascii="宋体" w:hAnsi="宋体" w:eastAsia="宋体" w:cs="宋体"/>
          <w:bCs/>
          <w:sz w:val="24"/>
        </w:rPr>
        <w:tab/>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选择成熟、可靠的主流技术和产品，即保证技术和产品的先进性，又充分考虑实用性和高可靠性，有良好的售后服务和承诺支持。</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兼容性与可扩展性原则</w:t>
      </w:r>
      <w:r>
        <w:rPr>
          <w:rFonts w:hint="eastAsia" w:ascii="宋体" w:hAnsi="宋体" w:eastAsia="宋体" w:cs="宋体"/>
          <w:bCs/>
          <w:sz w:val="24"/>
        </w:rPr>
        <w:tab/>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兼容性与可扩展性原则 从整个医院全局出发，坚持开放性原则，考虑各种软硬系统的兼容性和可扩展性。</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易使用、易维护与可配置性原则</w:t>
      </w:r>
      <w:r>
        <w:rPr>
          <w:rFonts w:hint="eastAsia" w:ascii="宋体" w:hAnsi="宋体" w:eastAsia="宋体" w:cs="宋体"/>
          <w:bCs/>
          <w:sz w:val="24"/>
        </w:rPr>
        <w:tab/>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易使用、易维护与可配置性原则 应用系统开发充分体现结构化、模块化的设计思想，采用先进的设计和开发工具，同时按照便于管理和易维护原则，对于管理和维护有专门的考虑。</w:t>
      </w:r>
    </w:p>
    <w:p>
      <w:pPr>
        <w:numPr>
          <w:ilvl w:val="0"/>
          <w:numId w:val="9"/>
        </w:numPr>
        <w:spacing w:line="360" w:lineRule="auto"/>
        <w:ind w:left="845"/>
        <w:rPr>
          <w:rFonts w:hint="eastAsia" w:ascii="宋体" w:hAnsi="宋体" w:eastAsia="宋体" w:cs="宋体"/>
          <w:bCs/>
          <w:sz w:val="24"/>
        </w:rPr>
      </w:pPr>
      <w:r>
        <w:rPr>
          <w:rFonts w:hint="eastAsia" w:ascii="宋体" w:hAnsi="宋体" w:eastAsia="宋体" w:cs="宋体"/>
          <w:bCs/>
          <w:sz w:val="24"/>
        </w:rPr>
        <w:t>软件正版化原则</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所有需求产品应同一生产厂家，所有软件产品必须拥有自主知识产权，需提供软件产品著作。</w:t>
      </w:r>
    </w:p>
    <w:p>
      <w:pPr>
        <w:rPr>
          <w:rFonts w:hint="eastAsia" w:ascii="宋体" w:hAnsi="宋体" w:eastAsia="宋体" w:cs="宋体"/>
        </w:rPr>
      </w:pPr>
    </w:p>
    <w:p>
      <w:pPr>
        <w:numPr>
          <w:ilvl w:val="0"/>
          <w:numId w:val="8"/>
        </w:numPr>
        <w:spacing w:line="360" w:lineRule="auto"/>
        <w:rPr>
          <w:rFonts w:hint="eastAsia" w:ascii="宋体" w:hAnsi="宋体" w:eastAsia="宋体" w:cs="宋体"/>
          <w:b/>
          <w:sz w:val="24"/>
        </w:rPr>
      </w:pPr>
      <w:r>
        <w:rPr>
          <w:rFonts w:hint="eastAsia" w:ascii="宋体" w:hAnsi="宋体" w:eastAsia="宋体" w:cs="宋体"/>
          <w:b/>
          <w:sz w:val="24"/>
        </w:rPr>
        <w:t>基本需求</w:t>
      </w:r>
    </w:p>
    <w:p>
      <w:pPr>
        <w:spacing w:line="360" w:lineRule="auto"/>
        <w:ind w:left="420"/>
        <w:rPr>
          <w:rFonts w:hint="eastAsia" w:ascii="宋体" w:hAnsi="宋体" w:eastAsia="宋体" w:cs="宋体"/>
          <w:bCs/>
          <w:sz w:val="24"/>
        </w:rPr>
      </w:pPr>
      <w:r>
        <w:rPr>
          <w:rFonts w:hint="eastAsia" w:ascii="宋体" w:hAnsi="宋体" w:eastAsia="宋体" w:cs="宋体"/>
          <w:bCs/>
          <w:sz w:val="24"/>
        </w:rPr>
        <w:t>（1）满足电子病历五级、互联互通四甲、等保三级、医院智慧化服务二级对系统功能的要求；</w:t>
      </w:r>
    </w:p>
    <w:p>
      <w:pPr>
        <w:spacing w:line="360" w:lineRule="auto"/>
        <w:ind w:left="420"/>
        <w:rPr>
          <w:rFonts w:hint="eastAsia" w:ascii="宋体" w:hAnsi="宋体" w:eastAsia="宋体" w:cs="宋体"/>
          <w:bCs/>
          <w:sz w:val="24"/>
        </w:rPr>
      </w:pPr>
      <w:r>
        <w:rPr>
          <w:rFonts w:hint="eastAsia" w:ascii="宋体" w:hAnsi="宋体" w:eastAsia="宋体" w:cs="宋体"/>
          <w:bCs/>
          <w:sz w:val="24"/>
        </w:rPr>
        <w:t>（2）在不违反国家规范的前提下，满足根据科室使用情况更改或添加新功能的需求。</w:t>
      </w:r>
    </w:p>
    <w:p>
      <w:pPr>
        <w:spacing w:line="360" w:lineRule="auto"/>
        <w:ind w:left="420"/>
        <w:rPr>
          <w:rFonts w:hint="eastAsia" w:ascii="宋体" w:hAnsi="宋体" w:eastAsia="宋体" w:cs="宋体"/>
          <w:bCs/>
          <w:sz w:val="24"/>
        </w:rPr>
      </w:pPr>
      <w:r>
        <w:rPr>
          <w:rFonts w:hint="eastAsia" w:ascii="宋体" w:hAnsi="宋体" w:eastAsia="宋体" w:cs="宋体"/>
          <w:bCs/>
          <w:sz w:val="24"/>
        </w:rPr>
        <w:t>（3）开放式系统设计结构，采用SQL数据库，提供体检相关全套功能，能够满足智慧医院不同需求。</w:t>
      </w:r>
      <w:r>
        <w:rPr>
          <w:rFonts w:hint="eastAsia" w:ascii="宋体" w:hAnsi="宋体" w:eastAsia="宋体" w:cs="宋体"/>
          <w:bCs/>
          <w:sz w:val="24"/>
        </w:rPr>
        <w:tab/>
      </w:r>
    </w:p>
    <w:p>
      <w:pPr>
        <w:spacing w:line="360" w:lineRule="auto"/>
        <w:ind w:left="420"/>
        <w:rPr>
          <w:rFonts w:hint="eastAsia" w:ascii="宋体" w:hAnsi="宋体" w:eastAsia="宋体" w:cs="宋体"/>
          <w:bCs/>
          <w:sz w:val="24"/>
        </w:rPr>
      </w:pPr>
      <w:r>
        <w:rPr>
          <w:rFonts w:hint="eastAsia" w:ascii="宋体" w:hAnsi="宋体" w:eastAsia="宋体" w:cs="宋体"/>
          <w:bCs/>
          <w:sz w:val="24"/>
        </w:rPr>
        <w:t>（4）借助条码、二维码等技术，实现体检业务无纸化管理。</w:t>
      </w:r>
    </w:p>
    <w:p>
      <w:pPr>
        <w:spacing w:line="360" w:lineRule="auto"/>
        <w:ind w:left="420"/>
        <w:rPr>
          <w:rFonts w:hint="eastAsia" w:ascii="宋体" w:hAnsi="宋体" w:eastAsia="宋体" w:cs="宋体"/>
          <w:b/>
          <w:sz w:val="24"/>
        </w:rPr>
      </w:pPr>
      <w:r>
        <w:rPr>
          <w:rFonts w:hint="eastAsia" w:ascii="宋体" w:hAnsi="宋体" w:eastAsia="宋体" w:cs="宋体"/>
          <w:b/>
          <w:sz w:val="24"/>
        </w:rPr>
        <w:t>（5）所有老体检系统数据全部能导入新体检系统中。</w:t>
      </w:r>
    </w:p>
    <w:p>
      <w:pPr>
        <w:spacing w:line="360" w:lineRule="auto"/>
        <w:ind w:left="420"/>
        <w:rPr>
          <w:rFonts w:hint="eastAsia" w:ascii="宋体" w:hAnsi="宋体" w:eastAsia="宋体" w:cs="宋体"/>
          <w:b/>
          <w:sz w:val="24"/>
        </w:rPr>
      </w:pPr>
      <w:r>
        <w:rPr>
          <w:rFonts w:hint="eastAsia" w:ascii="宋体" w:hAnsi="宋体" w:eastAsia="宋体" w:cs="宋体"/>
          <w:b/>
          <w:sz w:val="24"/>
        </w:rPr>
        <w:t>（6）体检管理系统同时有效在线用户数不受限制。</w:t>
      </w:r>
    </w:p>
    <w:p>
      <w:pPr>
        <w:rPr>
          <w:rFonts w:hint="eastAsia" w:ascii="宋体" w:hAnsi="宋体" w:eastAsia="宋体" w:cs="宋体"/>
        </w:rPr>
      </w:pPr>
    </w:p>
    <w:p>
      <w:pPr>
        <w:pStyle w:val="14"/>
        <w:rPr>
          <w:rFonts w:hint="eastAsia" w:ascii="宋体" w:hAnsi="宋体" w:eastAsia="宋体" w:cs="宋体"/>
        </w:rPr>
      </w:pPr>
    </w:p>
    <w:p>
      <w:pPr>
        <w:pStyle w:val="4"/>
        <w:rPr>
          <w:rFonts w:hint="eastAsia" w:ascii="宋体" w:hAnsi="宋体" w:eastAsia="宋体" w:cs="宋体"/>
          <w:lang w:val="en-US"/>
        </w:rPr>
      </w:pPr>
    </w:p>
    <w:p>
      <w:pPr>
        <w:pStyle w:val="5"/>
        <w:rPr>
          <w:rFonts w:hint="eastAsia" w:ascii="宋体" w:hAnsi="宋体" w:eastAsia="宋体" w:cs="宋体"/>
        </w:rPr>
      </w:pPr>
    </w:p>
    <w:p>
      <w:pPr>
        <w:numPr>
          <w:ilvl w:val="0"/>
          <w:numId w:val="10"/>
        </w:numPr>
        <w:rPr>
          <w:rFonts w:hint="eastAsia" w:ascii="宋体" w:hAnsi="宋体" w:eastAsia="宋体" w:cs="宋体"/>
          <w:b/>
          <w:szCs w:val="21"/>
        </w:rPr>
      </w:pPr>
      <w:r>
        <w:rPr>
          <w:rFonts w:hint="eastAsia" w:ascii="宋体" w:hAnsi="宋体" w:eastAsia="宋体" w:cs="宋体"/>
          <w:b/>
          <w:szCs w:val="21"/>
        </w:rPr>
        <w:t>技术要求</w:t>
      </w:r>
    </w:p>
    <w:p>
      <w:pPr>
        <w:rPr>
          <w:rFonts w:hint="eastAsia" w:ascii="宋体" w:hAnsi="宋体" w:eastAsia="宋体" w:cs="宋体"/>
          <w:b/>
          <w:bCs/>
        </w:rPr>
      </w:pPr>
      <w:r>
        <w:rPr>
          <w:rFonts w:hint="eastAsia" w:ascii="宋体" w:hAnsi="宋体" w:eastAsia="宋体" w:cs="宋体"/>
          <w:b/>
          <w:bCs/>
        </w:rPr>
        <w:t>1、微信公众号预约平台</w:t>
      </w:r>
    </w:p>
    <w:tbl>
      <w:tblPr>
        <w:tblStyle w:val="27"/>
        <w:tblW w:w="9928" w:type="dxa"/>
        <w:tblInd w:w="-309" w:type="dxa"/>
        <w:tblLayout w:type="fixed"/>
        <w:tblCellMar>
          <w:top w:w="0" w:type="dxa"/>
          <w:left w:w="0" w:type="dxa"/>
          <w:bottom w:w="0" w:type="dxa"/>
          <w:right w:w="0" w:type="dxa"/>
        </w:tblCellMar>
      </w:tblPr>
      <w:tblGrid>
        <w:gridCol w:w="1308"/>
        <w:gridCol w:w="1439"/>
        <w:gridCol w:w="7181"/>
      </w:tblGrid>
      <w:tr>
        <w:tblPrEx>
          <w:tblCellMar>
            <w:top w:w="0" w:type="dxa"/>
            <w:left w:w="0" w:type="dxa"/>
            <w:bottom w:w="0" w:type="dxa"/>
            <w:right w:w="0" w:type="dxa"/>
          </w:tblCellMar>
        </w:tblPrEx>
        <w:trPr>
          <w:trHeight w:val="405" w:hRule="atLeast"/>
        </w:trPr>
        <w:tc>
          <w:tcPr>
            <w:tcW w:w="13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b/>
                <w:bCs/>
                <w:szCs w:val="21"/>
              </w:rPr>
            </w:pPr>
            <w:r>
              <w:rPr>
                <w:rFonts w:hint="eastAsia" w:ascii="宋体" w:hAnsi="宋体" w:eastAsia="宋体" w:cs="宋体"/>
                <w:b/>
                <w:bCs/>
                <w:szCs w:val="21"/>
              </w:rPr>
              <w:t>模块</w:t>
            </w: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b/>
                <w:bCs/>
                <w:szCs w:val="21"/>
              </w:rPr>
            </w:pPr>
            <w:r>
              <w:rPr>
                <w:rFonts w:hint="eastAsia" w:ascii="宋体" w:hAnsi="宋体" w:eastAsia="宋体" w:cs="宋体"/>
                <w:b/>
                <w:bCs/>
                <w:szCs w:val="21"/>
              </w:rPr>
              <w:t>功能</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b/>
                <w:bCs/>
                <w:szCs w:val="21"/>
              </w:rPr>
            </w:pPr>
            <w:r>
              <w:rPr>
                <w:rFonts w:hint="eastAsia" w:ascii="宋体" w:hAnsi="宋体" w:eastAsia="宋体" w:cs="宋体"/>
                <w:b/>
                <w:bCs/>
                <w:szCs w:val="21"/>
              </w:rPr>
              <w:t>说明</w:t>
            </w:r>
          </w:p>
        </w:tc>
      </w:tr>
      <w:tr>
        <w:tblPrEx>
          <w:tblCellMar>
            <w:top w:w="0" w:type="dxa"/>
            <w:left w:w="0" w:type="dxa"/>
            <w:bottom w:w="0" w:type="dxa"/>
            <w:right w:w="0" w:type="dxa"/>
          </w:tblCellMar>
        </w:tblPrEx>
        <w:trPr>
          <w:trHeight w:val="90" w:hRule="atLeast"/>
        </w:trPr>
        <w:tc>
          <w:tcPr>
            <w:tcW w:w="130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微信公众号</w:t>
            </w: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微信公众号</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为体检中心开发一个微信公众号（或在医院微信公众号上二次开发），体检中心可以发布一些动态信息， 加强线上的宣传力度，体检者可以通过体检中心微信公众号预约体检，体检者可通过此预约平台输入人员信息及选择套餐，体检软件自动读取预约信息。</w:t>
            </w:r>
          </w:p>
        </w:tc>
      </w:tr>
      <w:tr>
        <w:tblPrEx>
          <w:tblCellMar>
            <w:top w:w="0" w:type="dxa"/>
            <w:left w:w="0" w:type="dxa"/>
            <w:bottom w:w="0" w:type="dxa"/>
            <w:right w:w="0" w:type="dxa"/>
          </w:tblCellMar>
        </w:tblPrEx>
        <w:trPr>
          <w:trHeight w:val="90"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团检排单</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体检中心与单位签订体检合同后，体检中心给单位开放权限，单位员工自行上网预约体检时间。体检中心可以后台控制预约时间和号源等功能，更好的服务好团体单位体检工作。</w:t>
            </w:r>
          </w:p>
        </w:tc>
      </w:tr>
      <w:tr>
        <w:tblPrEx>
          <w:tblCellMar>
            <w:top w:w="0" w:type="dxa"/>
            <w:left w:w="0" w:type="dxa"/>
            <w:bottom w:w="0" w:type="dxa"/>
            <w:right w:w="0" w:type="dxa"/>
          </w:tblCellMar>
        </w:tblPrEx>
        <w:trPr>
          <w:trHeight w:val="575"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个人体检预约</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微信公众号预约，预约信息自动传入体检软件。</w:t>
            </w:r>
          </w:p>
        </w:tc>
      </w:tr>
      <w:tr>
        <w:tblPrEx>
          <w:tblCellMar>
            <w:top w:w="0" w:type="dxa"/>
            <w:left w:w="0" w:type="dxa"/>
            <w:bottom w:w="0" w:type="dxa"/>
            <w:right w:w="0" w:type="dxa"/>
          </w:tblCellMar>
        </w:tblPrEx>
        <w:trPr>
          <w:trHeight w:val="981"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*支持与前台自助机对接，网上预约后，体检者通过自助机刷身份证的方式自助打印指引单及条码，也可现场体检者现场通过自助机自主登记、缴费、打单，减少前台排队登记打单的麻烦。</w:t>
            </w:r>
          </w:p>
        </w:tc>
      </w:tr>
      <w:tr>
        <w:tblPrEx>
          <w:tblCellMar>
            <w:top w:w="0" w:type="dxa"/>
            <w:left w:w="0" w:type="dxa"/>
            <w:bottom w:w="0" w:type="dxa"/>
            <w:right w:w="0" w:type="dxa"/>
          </w:tblCellMar>
        </w:tblPrEx>
        <w:trPr>
          <w:trHeight w:val="566"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支持上门预约、电话预约。</w:t>
            </w:r>
          </w:p>
        </w:tc>
      </w:tr>
      <w:tr>
        <w:tblPrEx>
          <w:tblCellMar>
            <w:top w:w="0" w:type="dxa"/>
            <w:left w:w="0" w:type="dxa"/>
            <w:bottom w:w="0" w:type="dxa"/>
            <w:right w:w="0" w:type="dxa"/>
          </w:tblCellMar>
        </w:tblPrEx>
        <w:trPr>
          <w:trHeight w:val="943"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调查问卷</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套餐多样化：多种套餐选择：入职体检、公务员体检、职业病体检、男性体检、女性体检套餐、针对一些专项疾病的体检套餐等。</w:t>
            </w:r>
          </w:p>
        </w:tc>
      </w:tr>
      <w:tr>
        <w:tblPrEx>
          <w:tblCellMar>
            <w:top w:w="0" w:type="dxa"/>
            <w:left w:w="0" w:type="dxa"/>
            <w:bottom w:w="0" w:type="dxa"/>
            <w:right w:w="0" w:type="dxa"/>
          </w:tblCellMar>
        </w:tblPrEx>
        <w:trPr>
          <w:trHeight w:val="377"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团体体检预约</w:t>
            </w: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微信公众号体检预约、加项，团体排期。</w:t>
            </w:r>
          </w:p>
        </w:tc>
      </w:tr>
      <w:tr>
        <w:tblPrEx>
          <w:tblCellMar>
            <w:top w:w="0" w:type="dxa"/>
            <w:left w:w="0" w:type="dxa"/>
            <w:bottom w:w="0" w:type="dxa"/>
            <w:right w:w="0" w:type="dxa"/>
          </w:tblCellMar>
        </w:tblPrEx>
        <w:trPr>
          <w:trHeight w:val="377"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团体批次管理：团体分组管理；团体人员名单管理；团体结算(微信支付、信用卡支付、转账支付））</w:t>
            </w:r>
          </w:p>
        </w:tc>
      </w:tr>
      <w:tr>
        <w:tblPrEx>
          <w:tblCellMar>
            <w:top w:w="0" w:type="dxa"/>
            <w:left w:w="0" w:type="dxa"/>
            <w:bottom w:w="0" w:type="dxa"/>
            <w:right w:w="0" w:type="dxa"/>
          </w:tblCellMar>
        </w:tblPrEx>
        <w:trPr>
          <w:trHeight w:val="377"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支持与体检软件对接，工作人员团检体检导入系统（单位基本信息维护、编辑，支持分级管理）支持 Excel 文件和体检系统内部原有体检人员信息的批量操作</w:t>
            </w:r>
          </w:p>
        </w:tc>
      </w:tr>
      <w:tr>
        <w:tblPrEx>
          <w:tblCellMar>
            <w:top w:w="0" w:type="dxa"/>
            <w:left w:w="0" w:type="dxa"/>
            <w:bottom w:w="0" w:type="dxa"/>
            <w:right w:w="0" w:type="dxa"/>
          </w:tblCellMar>
        </w:tblPrEx>
        <w:trPr>
          <w:trHeight w:val="377" w:hRule="atLeast"/>
        </w:trPr>
        <w:tc>
          <w:tcPr>
            <w:tcW w:w="1308"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vMerge w:val="continue"/>
            <w:tcBorders>
              <w:left w:val="single" w:color="000000" w:sz="4" w:space="0"/>
              <w:right w:val="single" w:color="000000"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7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团检个人替换操作。</w:t>
            </w:r>
          </w:p>
        </w:tc>
      </w:tr>
      <w:tr>
        <w:tblPrEx>
          <w:tblCellMar>
            <w:top w:w="0" w:type="dxa"/>
            <w:left w:w="0" w:type="dxa"/>
            <w:bottom w:w="0" w:type="dxa"/>
            <w:right w:w="0" w:type="dxa"/>
          </w:tblCellMar>
        </w:tblPrEx>
        <w:trPr>
          <w:trHeight w:val="377" w:hRule="atLeast"/>
        </w:trPr>
        <w:tc>
          <w:tcPr>
            <w:tcW w:w="1308"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4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线上报告查询</w:t>
            </w:r>
          </w:p>
        </w:tc>
        <w:tc>
          <w:tcPr>
            <w:tcW w:w="71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lang w:val="zh-CN"/>
              </w:rPr>
              <w:t>通过微信公众号查询</w:t>
            </w:r>
            <w:r>
              <w:rPr>
                <w:rFonts w:hint="eastAsia" w:ascii="宋体" w:hAnsi="宋体" w:eastAsia="宋体" w:cs="宋体"/>
                <w:szCs w:val="21"/>
              </w:rPr>
              <w:t>PDF</w:t>
            </w:r>
            <w:r>
              <w:rPr>
                <w:rFonts w:hint="eastAsia" w:ascii="宋体" w:hAnsi="宋体" w:eastAsia="宋体" w:cs="宋体"/>
                <w:szCs w:val="21"/>
                <w:lang w:val="zh-CN"/>
              </w:rPr>
              <w:t>体检报告。</w:t>
            </w:r>
          </w:p>
        </w:tc>
      </w:tr>
    </w:tbl>
    <w:p>
      <w:pPr>
        <w:rPr>
          <w:rFonts w:hint="eastAsia" w:ascii="宋体" w:hAnsi="宋体" w:eastAsia="宋体" w:cs="宋体"/>
        </w:rPr>
      </w:pPr>
    </w:p>
    <w:p>
      <w:pPr>
        <w:pStyle w:val="14"/>
        <w:ind w:left="0" w:leftChars="0" w:firstLine="0" w:firstLineChars="0"/>
        <w:rPr>
          <w:rFonts w:hint="eastAsia" w:ascii="宋体" w:hAnsi="宋体" w:eastAsia="宋体" w:cs="宋体"/>
          <w:b/>
          <w:bCs/>
        </w:rPr>
      </w:pPr>
      <w:r>
        <w:rPr>
          <w:rFonts w:hint="eastAsia" w:ascii="宋体" w:hAnsi="宋体" w:eastAsia="宋体" w:cs="宋体"/>
          <w:b/>
          <w:bCs/>
        </w:rPr>
        <w:t>2、体检管理系统</w:t>
      </w:r>
    </w:p>
    <w:tbl>
      <w:tblPr>
        <w:tblStyle w:val="2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82"/>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模块</w:t>
            </w:r>
          </w:p>
        </w:tc>
        <w:tc>
          <w:tcPr>
            <w:tcW w:w="1682" w:type="dxa"/>
            <w:tcBorders>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功能</w:t>
            </w:r>
          </w:p>
        </w:tc>
        <w:tc>
          <w:tcPr>
            <w:tcW w:w="7057" w:type="dxa"/>
            <w:tcBorders>
              <w:left w:val="single" w:color="auto" w:sz="4" w:space="0"/>
              <w:bottom w:val="single" w:color="auto" w:sz="4" w:space="0"/>
              <w:right w:val="single" w:color="auto" w:sz="4" w:space="0"/>
            </w:tcBorders>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体检登记模块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导航图</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将体检主体流程用导航图进行直观展示，界面中的“图标”都是快捷键，点击界面中任一图标都可以进入到操作界面，方便快捷。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体检登记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可通过读取身份证、读取网络预约信息、手工靠记、体检卡等多种方式获取人员信息、确认登记当天体检人员基本信息，打印条码标签，打印体检指引单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综合管理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*系统可通过接作权限限制功能实现一个界面完成所有资料的录入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套餐项目选择</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可直接选择套餐或者单个选择项目，可通过打字或者简码搜索套餐或项目。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打折</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支持单项打折或整体打折，打折功能可通过权限授予进行管控。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一号制管理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具有维持体检档案号“一号制”的功能，防止同一个人的多次体检、多次结果。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现场相片采集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可在登记现场对非读身份证方式登记的人员进行照片采集，自动查找。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到检管理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可对线上预约、批量导入、自助机登记、前台登记等不同来源的体检人员进行统一管理，支持批量登记，支持信息修改和项目加项，支持导出报表和批量打印指引单、条码。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自动批量登记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提供两种批量导入自动登记的功能：第一种自动导入功能是从体检单位提供的Excel文档中导入体检单位部门结构、体检人员姓名、性别、年龄、分组，并自动进行重名检查和分组性别匹配检查；第二种自动导入功能是从往年的体检资料中选择人员，通过匹配增减体检人员，再次进行批量自动导入的自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条码指引单打印</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条码打印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系统可以根据体检套餐的情况打印相应的条码，同时还增加了条码补打系统，以免客户在体检过程中的丢失。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指引单打印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可以根据不同的套餐打印出相应的体检指引单，可到不同科室进行检查。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体检收费模块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体检收费管理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根据选择体检套餐的情况，进行明细收费（支持各种收费，现金、微信、会员卡、银行卡、就诊卡、医保等）处理，打印发票。并且能够进行收费处的日结、月结、退费等处理。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个人、单位收费结算</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具有完善的个人收费功能，包括正常收费、全部退费、项目调整引起的加收\退费、发票补打\重打；结算时支持套餐打折、总价打折等多种折扣方式；具有完善的收费员日结、收费处日结、收费处月结等财务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团体结算</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够统计出以下五种情况下的体检费用：按照登记人员、以套餐为计价单位的体检费用；按照登记人员、以明细项目为计价单位的体检费用；按照实检人员、以套餐为计价单位、并且不可拆分时的体检费用；按照实检人员、以套餐为计价单位、可拆分时的体检费用：按照实检人员、以明细项目为计价单位的体检费用。对单位体检任务进行结算审核结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严格的收费发票管理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收费员使用发票收费的时候，系统自动根据该收费号检索最近的发票号，收费后发票号自动与收据号对应。发票最大金额问题，自动根据最大金额折分为多张发票，主要用于单位大额结算。发票管理可将其中的部分或单张发票报废或是回收，并可查询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体检加项</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支持各种增加体检项目收费等。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退费</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支持各种退费，单项退费、全项退费等。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体检医生诊台模块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体检医生诊台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体检医生诊台：通过条型码扫描及手录查询快速查找到受检人员信息，经过鼠标点击录入科室体检结果，并自动形成科室小结，提供修改、记录复查信息功能。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自动防止漏检、设置拒检</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textAlignment w:val="bottom"/>
              <w:rPr>
                <w:rFonts w:hint="eastAsia" w:ascii="宋体" w:hAnsi="宋体" w:eastAsia="宋体" w:cs="宋体"/>
                <w:szCs w:val="21"/>
              </w:rPr>
            </w:pPr>
            <w:r>
              <w:rPr>
                <w:rFonts w:hint="eastAsia" w:ascii="宋体" w:hAnsi="宋体" w:eastAsia="宋体" w:cs="宋体"/>
                <w:szCs w:val="21"/>
              </w:rPr>
              <w:t>具有检查督办和拒检登记功能，提供多种查询报表，以便查阅未检人员、未检项目；并且可以记录拒检项目。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复查登记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医生在操作界面，可以根据体检者实际情况，进行复查登记，记录复查项目、时间、原因，生成复查申请供总检医生进行复杂必要性审核。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诊断提醒</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医生在检查时，如发现体检者有异常情况，可以设置诊断提醒，如在内科检查时医生发现有问题，但不能确诊，可以设置提醒信息，提醒其它科室在检查时着重注意事项。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结果录入</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通过权限管理，可以录入所有体检项目的结果。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历次结果横向对比</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在医生诊台，科室医生能方便快捷的调出体检者历次体检的结果，可与本次体检的结果进行比对，协助体检医生书写体检小结。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专家词库</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实现医生用词的统一及规范：内置词条3000条以上，知识型、智能型的专家词条能为体检中心老专家的使用，提供汉字零输入的操作便利，并且提供定期词条更新服务。同时时软件内置疾病科普说明，对疾病用通俗易懂语言进行解释，生成带科普说明体检报告，辅助体检者读懂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自动小结、总结</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在检查结果录入时，具有正常结果默认、异常结果鼠标选释录入、异常结果自由组合选择录入、异常结果编码录入、数值结果极限值自动判定，数值结果偏高偏低自动提示，阳性结果自动标定。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自动设置漏检、设置拒检</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具有检查督办和拒检登记功能，提供多种查询报表，以便查阅未检人员、未检项目：并且可以记录拒检项目。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总检模块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主检审核</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自动生成总检综述和建议，提供修改功能，完成总检后自动打印报告。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总检医生诊台调阅各科室详细结果及影像图文报告</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总检医生在总检时，能在总检界面方便快捷的调阅出体检人员的各科室详细结果及影像结果，再次核对，实现体检质量控制。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总检医生诊台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强大的总检功能、历史结果对比分析：完善的总检功能，能够自动产生综述和建议，可以方便地查询历次的体检结果，可以进行对比分析，可以根据需要单向检查或检验的对比分析。支持对诊断、建议进行个性化排序，排序将影响报告中显示诊断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撤销和重做</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具有完备的总检撤销和重做功能，在总检未撤销前，阻止体检明细项目结果值的随意修改，在重做总检时，能够醒目地列出变化的内容。并保持以前的总检内容以备修改，避免以前总检内容的丢失。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三级质量审核</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由初审、总检、终审组成，逐级对体检结果和报告质量进行审核，保证出台报告的质量。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体检报告管理模块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报告管理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可对体检报告的格式、排版、封面进行修改、编辑、新增，并有多套标准模块。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报告审核</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各科室出报告可进行审核、小结可进行审核、完成总检可进行审核。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报告打印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在体检报告打印界面能查看每一份报告当前的状态，用不同的颜色区分，如未检、已总检、待总检、报告已打印、报告已打印且发放。能快速的检索出单位或个人的体检报告，预览，打印，支持单个打印及批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体检结果导出</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能够将个人体检结果导出EXCEL、PDF电子文档；团体汇总报告导出PDF电子文档。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危机值管理模块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危机值管理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提供全面的危机值解决方案。体检中发现有重大风险指标时，全体检查科室启动预警机制，引起全院体检医生高度重视。检查科室医生可根据本科检查项目进行危机值设置。当客人到其它科室检查时会进行预警。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危急值随访</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对已经确认危急值情况的体检人员进行建档，以随访干预任务的形式自动生成跟踪任务，对每一次随访、处理进行记录、统计。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体检报表统计模块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财务统计</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个人体检费用统计、项目金额数量统计、团体收费统计、单位体检费用统计，收费明细统计。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前台常用统计</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未检项目统计、体检基本信息查询、体检人数（按项目）统计、体检人数（按套餐）统计、体检结果查看、体检人数（按单位）统计、导检单回收统计。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日常报表</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体检报告总检及审核统计。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团检统计</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单位体检情况统计、疾病/阳性检出统计、团体报告分析。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阳性统计</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普通科室小项阳性指标统计、检验小项阳性指标统计、影像科室检查统计、普通科室小结统计。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8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基础数据设置模块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支持多种体检类型</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能够同时兼容老年人健康体检、干部健康体检、普通人健康体检、证件体检、儿童健康体检、职业病体检、妇女病普查、计划生育体检等多种体检类型。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数据备份</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具有稳定的数据库备份和恢复功能。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人员类型维护</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设置护士、医生、总检、收费等人员类型，并分配管理权限。工作人员工作量月报表。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科室管理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支持科室不限数量设置，同类科室可分为普通科室、VIP科室等。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报告样本管理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支持普通健康体检报告报告、公务员报告、入职体检报告等。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样本分类设置</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采血、便检、妇科采样等分类。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收费项目管理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价格、折扣、最低折扣权限、项目组合等。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体检套餐管理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支持各种套餐设置和分类，按年龄、性别、职位等设定相关套餐。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检查项目管理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各检查科室项目的维护、修改、删除、添加等功能。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人员类型维护</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设置护士、医生、总检、收费等人员类型，并分配管理权限。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数据字典管理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常用的后台维护功能放到了数据字典里面，用户可根据实际情况灵活配置，修改。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复诊查询模块</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各医生诊台操作界面均设置了复查信息功能，并在总检医生诊台再次设置了复查审核确认功能。可在报表统计中进行统一查询，生成相关报表。方便体检中心下一步开展检后服务。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ind w:firstLine="210" w:firstLineChars="100"/>
              <w:jc w:val="center"/>
              <w:textAlignment w:val="bottom"/>
              <w:rPr>
                <w:rFonts w:hint="eastAsia" w:ascii="宋体" w:hAnsi="宋体" w:eastAsia="宋体" w:cs="宋体"/>
                <w:szCs w:val="21"/>
              </w:rPr>
            </w:pPr>
            <w:r>
              <w:rPr>
                <w:rFonts w:hint="eastAsia" w:ascii="宋体" w:hAnsi="宋体" w:eastAsia="宋体" w:cs="宋体"/>
                <w:szCs w:val="21"/>
              </w:rPr>
              <w:t>多媒体查询功能</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提供自助查询的功能，方便体检人员自助查询套餐信息、体检结果信息等。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健康证办理</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健康证办理</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从系统中找出体检合格的需要办理健康证的人员，为其办理健康证。实现制卡，出具健康证。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设备对接</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非标仪器接口</w:t>
            </w:r>
          </w:p>
        </w:tc>
        <w:tc>
          <w:tcPr>
            <w:tcW w:w="705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将体检中心所有非标准仪器接入体检系统，实现图文自动传输到系统。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与体检软件系统接口模块</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支持与第三方系统无缝对接</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软件可与医院PACS系统、HIS收费系统、LIS检验系统实现无缝对接，并提供相应的详细接口说明文档。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系统接口</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与国家职业病数据上传平台做接口</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szCs w:val="21"/>
              </w:rPr>
              <w:t>与国家职业病数据上传平台做接口对接，实现职业病体检数据上传。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职业病体检系统</w:t>
            </w: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批量导入</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批量导入职工信息，建立电子健康档案：职业病体检软件可以批量导入企业职工信息，包括基本信息、职业史、病史、职业危险因素等，无需手工录入，减少信息录入出错，可为企业和个人建立长期有效的职业健康档案，并可实时更新、跟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自动推荐必检项目</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无论是岗前、岗中，还是岗后职业健康检查，都要先进行检前问诊，体检软件可结合职工实际情况，根据职业有害因素和职业类别，自动推荐必检项目。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内置全面职业病病症及数据标准</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职业病健康检查需要结合具体接触的毒害物来诊断，而健康体检就是根据指标结果进行诊断，相同的检查项目，检验指标诊断规则不同。职业病体检软件应符合国家标准GBZ188-2014，内置全面的职业病病征及数据标准，可根据中心情况自定义修改维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职业检查相关报告模板</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职业病体检软件可提供多类型报告模板，如个人体检报告、职业病团体检查报告、复查通知书、职业病诊断证明书等。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基本信息</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职业病的基本信息录入、包括职业史、既往病史、月经史、生育史、烟酒史。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9"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64项症状</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系统自带GBZ-188规定的64项症状，以“-、±、+、++、+++”五个类型的结果进行症状严重性标注。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9"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诊断证明书</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针对诊断证明书进行记录。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9"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疾病自动生成</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根据体检结果、职业史、症状情况自动生成疑似职业病或职业禁忌证病名，辅助医生进行职业健康评价。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保存档案</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 xml:space="preserve">保存基本信息，问诊，诊断证明书录入的内容评价-明细结果，显示对应体检人员的体检项目明细结果值。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职业体检评价</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职业病评价，检查结果显示组合项目检查小结，结论建议录入诊断结论。价结论。按钮明细结果，诊断结论，评价完成，取消评价,用户根据情况选择合适的功能。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人证识别</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前台通过双目认证摄像头采集体检者相片，对比摄像头采集人员相片与身份证相片是否一致，医生诊台界面通过人证识别自助人脸识别判断。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szCs w:val="21"/>
              </w:rPr>
              <w:t>职业健康微信移动端问卷</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通过体检系统导入的基本信息，体检者可以通过微信公众号填写病史等基本信息，通过问卷调查形式获取体检者症状信息，移动端签字提交，重点症状高亮提醒，录入后保存，医生端后台审核。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职业健康问卷汇总审核</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以列表的形式展示在移动端问卷填写的问卷结果，审核通过后即可发送给职业健康评价医生。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职业病/职业禁忌症提醒</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针对已确诊的疑似职业病或职业禁忌症情况进行弹窗提醒。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体检报告管理功能</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可根据需要生成职业卫生体检人员的健康检查表、各类化验单等，提供符合规范要求的《职业健康检查表》、《放射工作人员健康检查表》等各种类型的报告。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单位报告编制</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以编制的形式进行汇总，自动根据该单位检查结果生成职业健康单位报告。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完善的统计分析功能</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完善的统计分析功能，全面分析职业健康监护工作。系统提供完整的统计分析体系，一方面，可完成业务工作的统计分析，为制定或修改卫生政策和职业病防治对策提供服务；另一方面，可完成体检机构内部各类绩效评估、工作质量评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自动采集信息</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引入各种智能化手段，全面提升体检工作效率。通过二代身份证读卡器，实现劳动者基本信息自动采集。实现与各类检验检测仪器的无缝对接，减少医务人员输入工作和人为因素对体检结果的影响。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p>
        </w:tc>
        <w:tc>
          <w:tcPr>
            <w:tcW w:w="168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jc w:val="center"/>
              <w:textAlignment w:val="bottom"/>
              <w:rPr>
                <w:rFonts w:hint="eastAsia" w:ascii="宋体" w:hAnsi="宋体" w:eastAsia="宋体" w:cs="宋体"/>
                <w:szCs w:val="21"/>
              </w:rPr>
            </w:pPr>
            <w:r>
              <w:rPr>
                <w:rFonts w:hint="eastAsia" w:ascii="宋体" w:hAnsi="宋体" w:eastAsia="宋体" w:cs="宋体"/>
                <w:szCs w:val="21"/>
              </w:rPr>
              <w:t>支持批量打印</w:t>
            </w:r>
          </w:p>
        </w:tc>
        <w:tc>
          <w:tcPr>
            <w:tcW w:w="70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360"/>
                <w:tab w:val="left" w:pos="360"/>
              </w:tabs>
              <w:autoSpaceDE w:val="0"/>
              <w:autoSpaceDN w:val="0"/>
              <w:adjustRightInd w:val="0"/>
              <w:snapToGrid w:val="0"/>
              <w:spacing w:line="440" w:lineRule="exact"/>
              <w:ind w:left="105" w:leftChars="50"/>
              <w:textAlignment w:val="bottom"/>
              <w:rPr>
                <w:rFonts w:hint="eastAsia" w:ascii="宋体" w:hAnsi="宋体" w:eastAsia="宋体" w:cs="宋体"/>
                <w:szCs w:val="21"/>
              </w:rPr>
            </w:pPr>
            <w:r>
              <w:rPr>
                <w:rFonts w:hint="eastAsia" w:ascii="宋体" w:hAnsi="宋体" w:eastAsia="宋体" w:cs="宋体"/>
                <w:szCs w:val="21"/>
              </w:rPr>
              <w:t>职业病个人体检报告打印，支持批量打印。</w:t>
            </w:r>
          </w:p>
        </w:tc>
      </w:tr>
    </w:tbl>
    <w:p>
      <w:pPr>
        <w:pStyle w:val="14"/>
        <w:ind w:left="0" w:leftChars="0" w:firstLine="0" w:firstLineChars="0"/>
        <w:rPr>
          <w:rFonts w:hint="eastAsia" w:ascii="宋体" w:hAnsi="宋体" w:eastAsia="宋体" w:cs="宋体"/>
          <w:b/>
          <w:bCs/>
        </w:rPr>
      </w:pPr>
    </w:p>
    <w:p>
      <w:pPr>
        <w:rPr>
          <w:rFonts w:hint="eastAsia" w:ascii="宋体" w:hAnsi="宋体" w:eastAsia="宋体" w:cs="宋体"/>
          <w:b/>
          <w:bCs/>
          <w:szCs w:val="21"/>
        </w:rPr>
      </w:pPr>
      <w:r>
        <w:rPr>
          <w:rFonts w:hint="eastAsia" w:ascii="宋体" w:hAnsi="宋体" w:eastAsia="宋体" w:cs="宋体"/>
          <w:b/>
          <w:bCs/>
        </w:rPr>
        <w:br w:type="textWrapping"/>
      </w:r>
      <w:r>
        <w:rPr>
          <w:rFonts w:hint="eastAsia" w:ascii="宋体" w:hAnsi="宋体" w:eastAsia="宋体" w:cs="宋体"/>
          <w:b/>
          <w:bCs/>
          <w:szCs w:val="21"/>
        </w:rPr>
        <w:t>四、其它要求</w:t>
      </w:r>
    </w:p>
    <w:p>
      <w:pPr>
        <w:spacing w:line="300" w:lineRule="exact"/>
        <w:rPr>
          <w:rFonts w:hint="eastAsia" w:ascii="宋体" w:hAnsi="宋体" w:eastAsia="宋体" w:cs="宋体"/>
          <w:szCs w:val="21"/>
        </w:rPr>
      </w:pPr>
      <w:r>
        <w:rPr>
          <w:rFonts w:hint="eastAsia" w:ascii="宋体" w:hAnsi="宋体" w:eastAsia="宋体" w:cs="宋体"/>
          <w:szCs w:val="21"/>
        </w:rPr>
        <w:t>1、提供不少于三年的免费售后服务期（含投标方在医院已建项目），起始日期为系统验收第二天起。</w:t>
      </w:r>
    </w:p>
    <w:p>
      <w:pPr>
        <w:spacing w:line="300" w:lineRule="exact"/>
        <w:rPr>
          <w:rFonts w:hint="eastAsia" w:ascii="宋体" w:hAnsi="宋体" w:eastAsia="宋体" w:cs="宋体"/>
          <w:szCs w:val="21"/>
        </w:rPr>
      </w:pPr>
      <w:r>
        <w:rPr>
          <w:rFonts w:hint="eastAsia" w:ascii="宋体" w:hAnsi="宋体" w:eastAsia="宋体" w:cs="宋体"/>
          <w:szCs w:val="21"/>
        </w:rPr>
        <w:t>2、软件接口：项目实施期、免费维保期、有偿维保期内，本项目内所有软件免费提供软件功能需求的修改，免费开放软件所有接口（提供软件厂商承诺函并加盖公章）；</w:t>
      </w:r>
    </w:p>
    <w:p>
      <w:pPr>
        <w:spacing w:line="300" w:lineRule="exact"/>
        <w:rPr>
          <w:rFonts w:hint="eastAsia" w:ascii="宋体" w:hAnsi="宋体" w:eastAsia="宋体" w:cs="宋体"/>
          <w:szCs w:val="21"/>
        </w:rPr>
      </w:pPr>
      <w:r>
        <w:rPr>
          <w:rFonts w:hint="eastAsia" w:ascii="宋体" w:hAnsi="宋体" w:eastAsia="宋体" w:cs="宋体"/>
          <w:szCs w:val="21"/>
        </w:rPr>
        <w:t>3、免费维保期、有偿维保期内，投标方免费配合医院完成国家指令性、政策性要求指标；</w:t>
      </w:r>
    </w:p>
    <w:p>
      <w:pPr>
        <w:spacing w:line="300" w:lineRule="exact"/>
        <w:rPr>
          <w:rFonts w:hint="eastAsia" w:ascii="宋体" w:hAnsi="宋体" w:eastAsia="宋体" w:cs="宋体"/>
          <w:color w:val="FF0000"/>
          <w:szCs w:val="21"/>
        </w:rPr>
      </w:pPr>
      <w:r>
        <w:rPr>
          <w:rFonts w:hint="eastAsia" w:ascii="宋体" w:hAnsi="宋体" w:eastAsia="宋体" w:cs="宋体"/>
          <w:color w:val="FF0000"/>
          <w:szCs w:val="21"/>
        </w:rPr>
        <w:t xml:space="preserve">4、付款方式：签订合同5个工作日支付合同款的30%，项目正式上线并稳定运行30个工作日后支付合同款的30%，项目验收合格后7个工作日支付合同款的40%； </w:t>
      </w:r>
    </w:p>
    <w:p>
      <w:pPr>
        <w:spacing w:line="300" w:lineRule="exact"/>
        <w:rPr>
          <w:rFonts w:hint="eastAsia" w:ascii="宋体" w:hAnsi="宋体" w:eastAsia="宋体" w:cs="宋体"/>
          <w:szCs w:val="21"/>
        </w:rPr>
      </w:pPr>
      <w:r>
        <w:rPr>
          <w:rFonts w:hint="eastAsia" w:ascii="宋体" w:hAnsi="宋体" w:eastAsia="宋体" w:cs="宋体"/>
          <w:szCs w:val="21"/>
        </w:rPr>
        <w:t>5、有偿维服务：免费维保期结束后，有偿维保费用不超过在本项目中中标金额的10%；（投标方已在医院建设的项目一并纳入维保,但费用不进行累加，以本项目中标金额为准。）</w:t>
      </w:r>
    </w:p>
    <w:p>
      <w:pPr>
        <w:spacing w:line="300" w:lineRule="exact"/>
        <w:rPr>
          <w:rFonts w:hint="eastAsia" w:ascii="宋体" w:hAnsi="宋体" w:eastAsia="宋体" w:cs="宋体"/>
          <w:szCs w:val="21"/>
        </w:rPr>
      </w:pPr>
      <w:r>
        <w:rPr>
          <w:rFonts w:hint="eastAsia" w:ascii="宋体" w:hAnsi="宋体" w:eastAsia="宋体" w:cs="宋体"/>
          <w:szCs w:val="21"/>
        </w:rPr>
        <w:t>7、项目验收条件：</w:t>
      </w:r>
    </w:p>
    <w:p>
      <w:pPr>
        <w:spacing w:line="300" w:lineRule="exact"/>
        <w:rPr>
          <w:rFonts w:hint="eastAsia" w:ascii="宋体" w:hAnsi="宋体" w:eastAsia="宋体" w:cs="宋体"/>
          <w:szCs w:val="21"/>
        </w:rPr>
      </w:pPr>
      <w:r>
        <w:rPr>
          <w:rFonts w:hint="eastAsia" w:ascii="宋体" w:hAnsi="宋体" w:eastAsia="宋体" w:cs="宋体"/>
          <w:szCs w:val="21"/>
        </w:rPr>
        <w:t>7.1、完成与医院所有需要对接系统的接口改造，实现数据与平台交互。</w:t>
      </w:r>
    </w:p>
    <w:p>
      <w:pPr>
        <w:spacing w:line="300" w:lineRule="exact"/>
        <w:rPr>
          <w:rFonts w:hint="eastAsia" w:ascii="宋体" w:hAnsi="宋体" w:eastAsia="宋体" w:cs="宋体"/>
          <w:szCs w:val="21"/>
        </w:rPr>
      </w:pPr>
      <w:r>
        <w:rPr>
          <w:rFonts w:hint="eastAsia" w:ascii="宋体" w:hAnsi="宋体" w:eastAsia="宋体" w:cs="宋体"/>
          <w:szCs w:val="21"/>
        </w:rPr>
        <w:t>7.2、完成本项目相关技术文档交接。</w:t>
      </w:r>
    </w:p>
    <w:p>
      <w:pPr>
        <w:spacing w:line="300" w:lineRule="exact"/>
        <w:rPr>
          <w:rFonts w:hint="eastAsia" w:ascii="宋体" w:hAnsi="宋体" w:eastAsia="宋体" w:cs="宋体"/>
          <w:szCs w:val="21"/>
        </w:rPr>
      </w:pPr>
      <w:r>
        <w:rPr>
          <w:rFonts w:hint="eastAsia" w:ascii="宋体" w:hAnsi="宋体" w:eastAsia="宋体" w:cs="宋体"/>
          <w:szCs w:val="21"/>
        </w:rPr>
        <w:t>7.3、完成医院相关技术人员和使用人员的培训。</w:t>
      </w:r>
    </w:p>
    <w:p>
      <w:pPr>
        <w:spacing w:line="300" w:lineRule="exact"/>
        <w:rPr>
          <w:rFonts w:hint="eastAsia" w:ascii="宋体" w:hAnsi="宋体" w:eastAsia="宋体" w:cs="宋体"/>
          <w:szCs w:val="21"/>
        </w:rPr>
      </w:pPr>
      <w:r>
        <w:rPr>
          <w:rFonts w:hint="eastAsia" w:ascii="宋体" w:hAnsi="宋体" w:eastAsia="宋体" w:cs="宋体"/>
          <w:szCs w:val="21"/>
        </w:rPr>
        <w:t>7.4、完成招标文件及合同中所有工作的实施；</w:t>
      </w:r>
    </w:p>
    <w:p>
      <w:pPr>
        <w:spacing w:line="300" w:lineRule="exact"/>
        <w:rPr>
          <w:rFonts w:hint="eastAsia" w:ascii="宋体" w:hAnsi="宋体" w:eastAsia="宋体" w:cs="宋体"/>
          <w:szCs w:val="21"/>
        </w:rPr>
      </w:pPr>
      <w:r>
        <w:rPr>
          <w:rFonts w:hint="eastAsia" w:ascii="宋体" w:hAnsi="宋体" w:eastAsia="宋体" w:cs="宋体"/>
          <w:szCs w:val="21"/>
        </w:rPr>
        <w:t>7.5、完成实施过程中医院新增需求的改造；</w:t>
      </w:r>
    </w:p>
    <w:p>
      <w:pPr>
        <w:spacing w:line="300" w:lineRule="exact"/>
        <w:rPr>
          <w:rFonts w:hint="eastAsia" w:ascii="宋体" w:hAnsi="宋体" w:eastAsia="宋体" w:cs="宋体"/>
          <w:szCs w:val="21"/>
        </w:rPr>
      </w:pPr>
      <w:r>
        <w:rPr>
          <w:rFonts w:hint="eastAsia" w:ascii="宋体" w:hAnsi="宋体" w:eastAsia="宋体" w:cs="宋体"/>
          <w:szCs w:val="21"/>
        </w:rPr>
        <w:t>8、售后服务：</w:t>
      </w:r>
    </w:p>
    <w:p>
      <w:pPr>
        <w:spacing w:line="300" w:lineRule="exact"/>
        <w:rPr>
          <w:rFonts w:hint="eastAsia" w:ascii="宋体" w:hAnsi="宋体" w:eastAsia="宋体" w:cs="宋体"/>
          <w:szCs w:val="21"/>
        </w:rPr>
      </w:pPr>
      <w:r>
        <w:rPr>
          <w:rFonts w:hint="eastAsia" w:ascii="宋体" w:hAnsi="宋体" w:eastAsia="宋体" w:cs="宋体"/>
          <w:szCs w:val="21"/>
        </w:rPr>
        <w:t>8.1、服务内容：包括软件需求处理、软件服务器迁移、数据迁移、应用程序优化、数据库优化、现场维护、系统升级、新增报表、系统本身bug的修改及系统参数的配置与修改、对用户提出的功能完善性需求进行免费调整和开发。系统在发生重大灾难事故时，无偿配合医院完成业务重建工作。</w:t>
      </w:r>
    </w:p>
    <w:p>
      <w:pPr>
        <w:spacing w:line="300" w:lineRule="exact"/>
        <w:rPr>
          <w:rFonts w:hint="eastAsia" w:ascii="宋体" w:hAnsi="宋体" w:eastAsia="宋体" w:cs="宋体"/>
          <w:szCs w:val="21"/>
        </w:rPr>
      </w:pPr>
      <w:r>
        <w:rPr>
          <w:rFonts w:hint="eastAsia" w:ascii="宋体" w:hAnsi="宋体" w:eastAsia="宋体" w:cs="宋体"/>
          <w:szCs w:val="21"/>
        </w:rPr>
        <w:t xml:space="preserve">8.2、巡检：项目验收合格后，每年提供2次现场维护及巡检，提供巡检维护报告，保证软件正常运行； </w:t>
      </w:r>
    </w:p>
    <w:p>
      <w:pPr>
        <w:spacing w:line="300" w:lineRule="exact"/>
        <w:rPr>
          <w:rFonts w:hint="eastAsia" w:ascii="宋体" w:hAnsi="宋体" w:eastAsia="宋体" w:cs="宋体"/>
          <w:szCs w:val="21"/>
        </w:rPr>
      </w:pPr>
      <w:r>
        <w:rPr>
          <w:rFonts w:hint="eastAsia" w:ascii="宋体" w:hAnsi="宋体" w:eastAsia="宋体" w:cs="宋体"/>
          <w:szCs w:val="21"/>
        </w:rPr>
        <w:t>8.3、服务方式：提供7×24小时免费服务，包括对各种软件系统故障及对各种突发事件采取应急措施等各类问题；上门服务；远程服务；电话咨询服务。系统出现故障，投标方保证5分钟内响应响应并进行故障处理，对于电话服务不能解决的问题，在4小时内到达用户现场，并在24小时内解决问题，24小时内未解决的成交供应商应提供详细的应急解决方案。（投标方派人员到用户使用现场服务，由此产生的一切费用均由投标方承担）；</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rPr>
        <w:br w:type="page"/>
      </w:r>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Pr>
        <w:widowControl/>
        <w:spacing w:line="440" w:lineRule="exact"/>
        <w:jc w:val="center"/>
        <w:outlineLvl w:val="0"/>
        <w:rPr>
          <w:rStyle w:val="35"/>
          <w:rFonts w:hint="eastAsia" w:ascii="宋体" w:hAnsi="宋体" w:eastAsia="宋体" w:cs="宋体"/>
          <w:color w:val="auto"/>
          <w:highlight w:val="none"/>
        </w:rPr>
      </w:pPr>
      <w:bookmarkStart w:id="996" w:name="_Toc20332"/>
      <w:r>
        <w:rPr>
          <w:rStyle w:val="35"/>
          <w:rFonts w:hint="eastAsia" w:ascii="宋体" w:hAnsi="宋体" w:eastAsia="宋体" w:cs="宋体"/>
          <w:color w:val="auto"/>
          <w:highlight w:val="none"/>
        </w:rPr>
        <w:t>第6章  评标方法和标准</w:t>
      </w:r>
      <w:bookmarkEnd w:id="996"/>
    </w:p>
    <w:p>
      <w:pPr>
        <w:pStyle w:val="4"/>
        <w:tabs>
          <w:tab w:val="clear" w:pos="567"/>
        </w:tabs>
        <w:spacing w:before="0" w:line="400" w:lineRule="exact"/>
        <w:ind w:firstLine="540" w:firstLineChars="225"/>
        <w:rPr>
          <w:rFonts w:hint="eastAsia" w:ascii="宋体" w:hAnsi="宋体" w:eastAsia="宋体" w:cs="宋体"/>
          <w:b/>
          <w:bCs/>
          <w:color w:val="auto"/>
          <w:sz w:val="24"/>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hd w:val="clear" w:color="auto" w:fill="auto"/>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单位负责人为同一人或者存在直接控股、管理关系的不同供应商，其相关投标将被认定为投标无效。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没有按照招标文件要求提交全部资料，或者投标文件没有对招标文件在各方面都做出实质性响应，可能导致其投标将被认定为投标无效</w:t>
      </w:r>
      <w:r>
        <w:rPr>
          <w:rFonts w:hint="eastAsia" w:ascii="宋体" w:hAnsi="宋体" w:eastAsia="宋体" w:cs="宋体"/>
          <w:color w:val="auto"/>
          <w:sz w:val="24"/>
          <w:highlight w:val="none"/>
          <w:lang w:val="en-US" w:eastAsia="zh-CN"/>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未按本须知第12.1和12.3条规定提交投标保证金的，其投标将被认定为投标无效。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须知资料表中规定时间内保持有效。投标有效期不满足要求的投标，其投标将被认定为投标无效。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所有投标文件采用不可拆装的胶订方式装订，否则其投标将被认定为投标无效。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投标文件报价出现前后不一致的，按照下列规定修正：</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投标文件中开标一览表（报价表）内容与投标文件中相应内容不一致的，以开标一览表（报价表）为准；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②大写金额和小写金额不一致的，以大写金额为准；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③单价金额小数点或者百分比有明显错位的，以开标一览表的总价为准，并修改单价；</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④总价金额与按单价汇总金额不一致的，以单价金额计算结果为准。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如发现下列情况之一的，其投标将被认定为投标无效：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①未按招标文件规定的形式和金额提交投标保证金的；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②未按照招标文件规定要求签署、盖章的；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串通投标，或者与招标人串通投标；</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④属于招标文件规定的其他投标无效情形；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的报价，有可能影响履约的，且</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未按照规定证明其报价合理性的；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⑥投标文件含有采购人不能接受的附加条件的；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⑦不符合法规和招标文件中规定的其他实质性要求的。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①供应商直接或者间接从采购人或者采购代理机构处获得其他供应商的相关情况并修改其投标文件或者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②供应商按照采购人或者采购代理机构的授意撤换、修改投标文件或者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③供应商之间协商报价、技术方案等投标文件或者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④属于同一集团、协会、商会等组织成员的供应商按照该组织要求协同参加政府采购活动；</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⑤供应商之间事先约定由某一特定供应商中标、成交；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⑥供应商之间商定部分供应商放弃参加政府采购活动或者放弃中标、成交；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⑦供应商与采购人或者采购代理机构之间、供应商相互之间，为谋求特定供应商中标、成交或者排斥其他供应商的其他串通行为。</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 题 的通知》（财库〔2014〕68号）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《三部门联合发布关于促进残疾人就业政府采购政策的通知》（财库〔2017〕141号）</w:t>
      </w:r>
      <w:r>
        <w:rPr>
          <w:rFonts w:hint="eastAsia" w:ascii="宋体" w:hAnsi="宋体" w:eastAsia="宋体" w:cs="宋体"/>
          <w:b/>
          <w:bCs/>
          <w:color w:val="auto"/>
          <w:sz w:val="24"/>
          <w:highlight w:val="none"/>
          <w:lang w:eastAsia="zh-CN"/>
        </w:rPr>
        <w:t>和《财政部关于进一步加大政府采购支持中小企业力度的通知》财库〔2022〕19号</w:t>
      </w:r>
      <w:r>
        <w:rPr>
          <w:rFonts w:hint="eastAsia" w:ascii="宋体" w:hAnsi="宋体" w:eastAsia="宋体" w:cs="宋体"/>
          <w:b/>
          <w:bCs/>
          <w:color w:val="auto"/>
          <w:sz w:val="24"/>
          <w:highlight w:val="none"/>
        </w:rPr>
        <w:t>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rPr>
        <w:t xml:space="preserve">  10  %</w:t>
      </w:r>
      <w:r>
        <w:rPr>
          <w:rFonts w:hint="eastAsia" w:ascii="宋体" w:hAnsi="宋体" w:eastAsia="宋体" w:cs="宋体"/>
          <w:b/>
          <w:bCs/>
          <w:color w:val="auto"/>
          <w:sz w:val="24"/>
          <w:highlight w:val="none"/>
        </w:rPr>
        <w:t>后参与评审。对于同时属于小型、微型及小微企业、监狱企业或残疾人福利性单位的，不重复进行报价扣除。</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4"/>
        <w:tabs>
          <w:tab w:val="clear" w:pos="567"/>
        </w:tabs>
        <w:spacing w:before="0" w:line="40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4"/>
        <w:tabs>
          <w:tab w:val="clear" w:pos="567"/>
        </w:tabs>
        <w:spacing w:before="0" w:line="40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5.对创新产品</w:t>
      </w:r>
      <w:r>
        <w:rPr>
          <w:rFonts w:hint="eastAsia" w:ascii="宋体" w:hAnsi="宋体" w:eastAsia="宋体" w:cs="宋体"/>
          <w:color w:val="auto"/>
          <w:highlight w:val="none"/>
        </w:rPr>
        <w:t>或创新性企业的优惠措施为：</w:t>
      </w:r>
      <w:r>
        <w:rPr>
          <w:rFonts w:hint="eastAsia" w:ascii="宋体" w:hAnsi="宋体" w:eastAsia="宋体" w:cs="宋体"/>
          <w:color w:val="auto"/>
          <w:highlight w:val="none"/>
          <w:u w:val="single"/>
        </w:rPr>
        <w:t xml:space="preserve">     /      </w:t>
      </w:r>
    </w:p>
    <w:p>
      <w:pPr>
        <w:widowControl/>
        <w:numPr>
          <w:ilvl w:val="0"/>
          <w:numId w:val="0"/>
        </w:numPr>
        <w:shd w:val="clear" w:color="auto" w:fill="auto"/>
        <w:snapToGrid w:val="0"/>
        <w:spacing w:line="40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6.开标：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在规定时间内参加开标并上传投标文件</w:t>
      </w:r>
      <w:r>
        <w:rPr>
          <w:rFonts w:hint="eastAsia" w:ascii="宋体" w:hAnsi="宋体" w:eastAsia="宋体" w:cs="宋体"/>
          <w:color w:val="auto"/>
          <w:sz w:val="24"/>
          <w:highlight w:val="none"/>
        </w:rPr>
        <w:t>。</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在开标前，工作人员收取所有参会人员的手机，参与投标的供应商，须把手机调至静音，主持人宣读开标纪律。</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开启标书。</w:t>
      </w:r>
    </w:p>
    <w:p>
      <w:pPr>
        <w:pStyle w:val="22"/>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（5）由评标委员会成员推选一名组长，负责组织评标。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）未宣读投标价格、价格折扣等实质内容，评标时不予承认。</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val="en-US" w:eastAsia="zh-CN"/>
        </w:rPr>
        <w:t>在系统上签字确认，</w:t>
      </w:r>
      <w:r>
        <w:rPr>
          <w:rFonts w:hint="eastAsia" w:ascii="宋体" w:hAnsi="宋体" w:eastAsia="宋体" w:cs="宋体"/>
          <w:color w:val="auto"/>
          <w:sz w:val="24"/>
          <w:highlight w:val="none"/>
        </w:rPr>
        <w:t>工作人员</w:t>
      </w:r>
      <w:r>
        <w:rPr>
          <w:rFonts w:hint="eastAsia" w:ascii="宋体" w:hAnsi="宋体" w:eastAsia="宋体" w:cs="宋体"/>
          <w:color w:val="auto"/>
          <w:sz w:val="24"/>
          <w:highlight w:val="none"/>
          <w:lang w:val="en-US" w:eastAsia="zh-CN"/>
        </w:rPr>
        <w:t>打印并</w:t>
      </w:r>
      <w:r>
        <w:rPr>
          <w:rFonts w:hint="eastAsia" w:ascii="宋体" w:hAnsi="宋体" w:eastAsia="宋体" w:cs="宋体"/>
          <w:color w:val="auto"/>
          <w:sz w:val="24"/>
          <w:highlight w:val="none"/>
        </w:rPr>
        <w:t>签字，存档备查。</w:t>
      </w:r>
    </w:p>
    <w:p>
      <w:pPr>
        <w:widowControl/>
        <w:snapToGrid w:val="0"/>
        <w:spacing w:line="400"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2"/>
        <w:shd w:val="clear" w:color="auto" w:fil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.评标：</w:t>
      </w:r>
    </w:p>
    <w:p>
      <w:pPr>
        <w:widowControl/>
        <w:shd w:val="clear" w:color="auto" w:fill="auto"/>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在政采云平台上</w:t>
      </w:r>
      <w:r>
        <w:rPr>
          <w:rFonts w:hint="eastAsia" w:ascii="宋体" w:hAnsi="宋体" w:eastAsia="宋体" w:cs="宋体"/>
          <w:b/>
          <w:bCs/>
          <w:color w:val="auto"/>
          <w:sz w:val="24"/>
          <w:highlight w:val="none"/>
          <w:lang w:val="en-US" w:eastAsia="zh-CN"/>
        </w:rPr>
        <w:t>随机抽取4名专家；采购单位委托1名业主专家，共计5名评标委员会成员</w:t>
      </w:r>
      <w:r>
        <w:rPr>
          <w:rFonts w:hint="eastAsia" w:ascii="宋体" w:hAnsi="宋体" w:eastAsia="宋体" w:cs="宋体"/>
          <w:color w:val="auto"/>
          <w:sz w:val="24"/>
          <w:highlight w:val="none"/>
        </w:rPr>
        <w:t>负责评标工作。</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评标委员会应当按照招标文件中规定的评标方法和标准，对所有投标文件进行资格性审查，再对符合资格要求的投标供应商的投标文件进行符合性审查，以确定其是否满足招标文件的实质性要求。</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对于投标文件中含义不明确、同类问题表述不一致或者有明显文字和计算错误的内容，评标委员会应当以书面形式要求投标供应商作出必要的澄清、说明或者补正。投标供应商的澄清、说明或者补正应当采用书面形式，并加盖公章，或者由法定代表人或其授权的代表签字。投标供应商的澄清、说明或者补正不得超出投标文件的范围或者改变投标文件的实质性内容。</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投标供应商为中标候选人的评标方法。</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8.答疑澄清：</w:t>
      </w:r>
    </w:p>
    <w:p>
      <w:pPr>
        <w:pStyle w:val="22"/>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2"/>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.定标：</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中标候选人并列式时的处理方式：如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（2）采购代理机构应当在评标结束后2个工作日内将评标报告送采购人。</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应当自收到评标报告之日起５个工作日内，在评标报告确定的中标候选人名单中按顺序确定中标人。中标候选人并列的，由采购人按照招标文件规定的方式确定中标人。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.评标标准：</w:t>
      </w:r>
      <w:r>
        <w:rPr>
          <w:rFonts w:hint="eastAsia" w:ascii="宋体" w:hAnsi="宋体" w:eastAsia="宋体" w:cs="宋体"/>
          <w:color w:val="auto"/>
          <w:sz w:val="24"/>
          <w:highlight w:val="none"/>
        </w:rPr>
        <w:t>（具体详见综合评分表）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FF0000"/>
          <w:spacing w:val="0"/>
          <w:w w:val="100"/>
          <w:sz w:val="24"/>
          <w:highlight w:val="none"/>
          <w:lang w:val="en-US" w:eastAsia="zh-CN"/>
        </w:rPr>
      </w:pPr>
      <w:bookmarkStart w:id="997" w:name="_Toc31300"/>
      <w:bookmarkStart w:id="998" w:name="_Toc6128"/>
      <w:bookmarkStart w:id="999" w:name="_Toc5478"/>
      <w:bookmarkStart w:id="1000" w:name="_Toc9116"/>
      <w:bookmarkStart w:id="1001" w:name="_Toc21578"/>
      <w:bookmarkStart w:id="1002" w:name="_Toc28782"/>
      <w:bookmarkStart w:id="1003" w:name="_Toc18245"/>
      <w:bookmarkStart w:id="1004" w:name="_Toc2724"/>
      <w:bookmarkStart w:id="1005" w:name="_Toc7467"/>
      <w:bookmarkStart w:id="1006" w:name="_Toc9835"/>
      <w:bookmarkStart w:id="1007" w:name="_Toc5578"/>
      <w:bookmarkStart w:id="1008" w:name="_Toc10419"/>
      <w:bookmarkStart w:id="1009" w:name="_Toc24236"/>
      <w:bookmarkStart w:id="1010" w:name="_Toc971"/>
      <w:bookmarkStart w:id="1011" w:name="_Toc23103"/>
      <w:bookmarkStart w:id="1012" w:name="_Toc19412"/>
      <w:bookmarkStart w:id="1013" w:name="_Toc5986"/>
      <w:bookmarkStart w:id="1014" w:name="_Toc25901"/>
      <w:bookmarkStart w:id="1015" w:name="_Toc21866"/>
      <w:bookmarkStart w:id="1016" w:name="_Toc5776"/>
      <w:r>
        <w:rPr>
          <w:rFonts w:hint="eastAsia" w:ascii="宋体" w:hAnsi="宋体" w:eastAsia="宋体" w:cs="宋体"/>
          <w:b/>
          <w:bCs/>
          <w:i w:val="0"/>
          <w:caps w:val="0"/>
          <w:color w:val="FF0000"/>
          <w:spacing w:val="0"/>
          <w:w w:val="100"/>
          <w:sz w:val="24"/>
          <w:highlight w:val="none"/>
          <w:lang w:val="en-US" w:eastAsia="zh-CN"/>
        </w:rPr>
        <w:t>第四包：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（1）价格评分占20%，完全满足招标文件参数的投标报价中的最低价为评标基准价，按照下列公式计算每个供应商的投标价格得分。投标报价得分＝（基准价/投标报价）×价格权重×100。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（2）商务评分占8%，包含业绩。</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（3）技术评分占72%，包含实施方案、文件制作、技术要求。</w:t>
      </w:r>
    </w:p>
    <w:p>
      <w:pPr>
        <w:pStyle w:val="8"/>
        <w:rPr>
          <w:rFonts w:hint="eastAsia" w:ascii="宋体" w:hAnsi="宋体" w:eastAsia="宋体" w:cs="宋体"/>
        </w:rPr>
      </w:pPr>
    </w:p>
    <w:p>
      <w:pPr>
        <w:keepNext w:val="0"/>
        <w:keepLines w:val="0"/>
        <w:pageBreakBefore w:val="0"/>
        <w:kinsoku/>
        <w:wordWrap/>
        <w:overflowPunct/>
        <w:topLinePunct w:val="0"/>
        <w:autoSpaceDE/>
        <w:autoSpaceDN/>
        <w:bidi w:val="0"/>
        <w:adjustRightInd/>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rPr>
          <w:rFonts w:hint="eastAsia" w:ascii="宋体" w:hAnsi="宋体" w:eastAsia="宋体" w:cs="宋体"/>
          <w:color w:val="auto"/>
          <w:highlight w:val="none"/>
        </w:rPr>
      </w:pPr>
      <w:bookmarkStart w:id="1017" w:name="_Toc13391"/>
      <w:r>
        <w:rPr>
          <w:rFonts w:hint="eastAsia" w:ascii="宋体" w:hAnsi="宋体" w:eastAsia="宋体" w:cs="宋体"/>
          <w:color w:val="auto"/>
          <w:highlight w:val="none"/>
        </w:rPr>
        <w:t>初步评审—资格性审查表</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tbl>
      <w:tblPr>
        <w:tblStyle w:val="27"/>
        <w:tblpPr w:leftFromText="180" w:rightFromText="180" w:vertAnchor="text" w:horzAnchor="page" w:tblpXSpec="center" w:tblpY="234"/>
        <w:tblOverlap w:val="never"/>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16"/>
        <w:gridCol w:w="949"/>
        <w:gridCol w:w="75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316"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419" w:type="dxa"/>
            <w:gridSpan w:val="3"/>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5"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7316"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949"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53"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17"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具有独立法人资格（三证合一的营业执照）</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法定代表人资格证明及授权书、被授权人身份证；(法定代表人投标需提供法定代表人身份证)；</w:t>
            </w:r>
            <w:bookmarkStart w:id="1625" w:name="_GoBack"/>
            <w:bookmarkEnd w:id="1625"/>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提供2020年或2021年经审计的财务审计报告（2022年成立的新公司出具近3个月任意一个月的银行资信证明）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依法缴纳最近连续六个月的社会保险的凭据（授权人和单位员工缴纳明细凭据）</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提供税务部门出具的最近连续六个月的完税证明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color w:val="auto"/>
                <w:szCs w:val="21"/>
                <w:highlight w:val="none"/>
                <w:lang w:eastAsia="zh-CN"/>
              </w:rPr>
              <w:t>信用服务-重点领域严重失信主体名单查询-搜索栏输入单位全称-截图</w:t>
            </w:r>
            <w:r>
              <w:rPr>
                <w:rFonts w:hint="eastAsia" w:ascii="宋体" w:hAnsi="宋体" w:eastAsia="宋体" w:cs="宋体"/>
                <w:color w:val="auto"/>
                <w:szCs w:val="21"/>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参与政府采购活动前3年内未被列入失信、重大税收违法案件、财政部门禁止参加政府采购活动的承诺书；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提供针对本次项目《反商业贿赂承诺书》；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5" w:type="dxa"/>
            <w:vAlign w:val="center"/>
          </w:tcPr>
          <w:p>
            <w:pPr>
              <w:spacing w:line="400" w:lineRule="exact"/>
              <w:jc w:val="left"/>
              <w:rPr>
                <w:rFonts w:hint="eastAsia" w:ascii="宋体" w:hAnsi="宋体" w:eastAsia="宋体" w:cs="宋体"/>
                <w:color w:val="auto"/>
                <w:spacing w:val="-2"/>
                <w:szCs w:val="21"/>
                <w:highlight w:val="none"/>
              </w:rPr>
            </w:pPr>
          </w:p>
        </w:tc>
        <w:tc>
          <w:tcPr>
            <w:tcW w:w="7316" w:type="dxa"/>
            <w:vAlign w:val="center"/>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rPr>
          <w:rFonts w:hint="eastAsia" w:ascii="宋体" w:hAnsi="宋体" w:eastAsia="宋体" w:cs="宋体"/>
          <w:color w:val="auto"/>
          <w:highlight w:val="none"/>
        </w:rPr>
      </w:pPr>
      <w:bookmarkStart w:id="1018" w:name="_Toc31983"/>
      <w:bookmarkStart w:id="1019" w:name="_Toc8255"/>
      <w:bookmarkStart w:id="1020" w:name="_Toc12108"/>
      <w:bookmarkStart w:id="1021" w:name="_Toc14007"/>
      <w:bookmarkStart w:id="1022" w:name="_Toc3062"/>
      <w:bookmarkStart w:id="1023" w:name="_Toc273"/>
      <w:bookmarkStart w:id="1024" w:name="_Toc13854"/>
      <w:bookmarkStart w:id="1025" w:name="_Toc18094"/>
      <w:bookmarkStart w:id="1026" w:name="_Toc15993"/>
      <w:bookmarkStart w:id="1027" w:name="_Toc10492"/>
      <w:bookmarkStart w:id="1028" w:name="_Toc27246"/>
      <w:bookmarkStart w:id="1029" w:name="_Toc21850"/>
      <w:bookmarkStart w:id="1030" w:name="_Toc26642"/>
      <w:bookmarkStart w:id="1031" w:name="_Toc28858"/>
      <w:bookmarkStart w:id="1032" w:name="_Toc30395"/>
      <w:bookmarkStart w:id="1033" w:name="_Toc25694"/>
      <w:bookmarkStart w:id="1034" w:name="_Toc16022"/>
    </w:p>
    <w:p>
      <w:pPr>
        <w:pStyle w:val="7"/>
        <w:rPr>
          <w:rFonts w:hint="eastAsia" w:ascii="宋体" w:hAnsi="宋体" w:eastAsia="宋体" w:cs="宋体"/>
          <w:color w:val="auto"/>
          <w:highlight w:val="none"/>
        </w:rPr>
      </w:pPr>
      <w:bookmarkStart w:id="1035" w:name="_Toc21927"/>
      <w:bookmarkStart w:id="1036" w:name="_Toc8702"/>
      <w:bookmarkStart w:id="1037" w:name="_Toc37"/>
    </w:p>
    <w:p>
      <w:pPr>
        <w:pStyle w:val="7"/>
        <w:rPr>
          <w:rFonts w:hint="eastAsia" w:ascii="宋体" w:hAnsi="宋体" w:eastAsia="宋体" w:cs="宋体"/>
          <w:color w:val="auto"/>
          <w:highlight w:val="none"/>
        </w:rPr>
      </w:pPr>
      <w:bookmarkStart w:id="1038" w:name="_Toc1726"/>
      <w:r>
        <w:rPr>
          <w:rFonts w:hint="eastAsia" w:ascii="宋体" w:hAnsi="宋体" w:eastAsia="宋体" w:cs="宋体"/>
          <w:color w:val="auto"/>
          <w:highlight w:val="none"/>
        </w:rPr>
        <w:t>初步评审—符合性审查表</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tbl>
      <w:tblPr>
        <w:tblStyle w:val="27"/>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27" w:type="dxa"/>
            <w:vAlign w:val="center"/>
          </w:tcPr>
          <w:p>
            <w:pPr>
              <w:spacing w:line="400" w:lineRule="exact"/>
              <w:rPr>
                <w:rFonts w:hint="eastAsia" w:ascii="宋体" w:hAnsi="宋体" w:eastAsia="宋体" w:cs="宋体"/>
                <w:color w:val="auto"/>
                <w:spacing w:val="-2"/>
                <w:szCs w:val="21"/>
                <w:highlight w:val="none"/>
              </w:rPr>
            </w:pP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评标委员会认为供应商的报价无明显低于其他通过符合性审查供应商的报价的，供应商的报价不存在异常一致并成规律性的，其报价合理；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投标文件按照招标文件的规定编制、标记及签署盖章的，法定代表人或其授权代表签字（章）和加盖供应商公章的（投标文件正本的印章和签字不能为复印件）；</w:t>
            </w:r>
          </w:p>
        </w:tc>
        <w:tc>
          <w:tcPr>
            <w:tcW w:w="1158" w:type="dxa"/>
            <w:vAlign w:val="center"/>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按招标文件规定的格式填写，内容全的；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符合招标文件中规定的其他实质性要求</w:t>
            </w:r>
            <w:r>
              <w:rPr>
                <w:rFonts w:hint="eastAsia" w:ascii="宋体" w:hAnsi="宋体" w:eastAsia="宋体" w:cs="宋体"/>
                <w:b/>
                <w:bCs/>
                <w:color w:val="auto"/>
                <w:spacing w:val="-2"/>
                <w:szCs w:val="21"/>
                <w:highlight w:val="none"/>
              </w:rPr>
              <w:t>（服务期等）</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7527" w:type="dxa"/>
            <w:vAlign w:val="bottom"/>
          </w:tcPr>
          <w:p>
            <w:pPr>
              <w:spacing w:line="400" w:lineRule="exact"/>
              <w:jc w:val="left"/>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eastAsia="宋体" w:cs="宋体"/>
                <w:color w:val="auto"/>
                <w:spacing w:val="-2"/>
                <w:szCs w:val="21"/>
                <w:highlight w:val="none"/>
                <w:lang w:eastAsia="zh-CN"/>
              </w:rPr>
              <w:t>。</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9</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缴纳投标保证金的有效凭证。</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spacing w:line="400" w:lineRule="exact"/>
              <w:ind w:firstLine="370" w:firstLineChars="180"/>
              <w:rPr>
                <w:rFonts w:hint="eastAsia" w:ascii="宋体" w:hAnsi="宋体" w:eastAsia="宋体" w:cs="宋体"/>
                <w:color w:val="auto"/>
                <w:spacing w:val="-2"/>
                <w:sz w:val="24"/>
                <w:highlight w:val="none"/>
              </w:rPr>
            </w:pPr>
            <w:r>
              <w:rPr>
                <w:rFonts w:hint="eastAsia" w:ascii="宋体" w:hAnsi="宋体" w:eastAsia="宋体" w:cs="宋体"/>
                <w:color w:val="auto"/>
                <w:spacing w:val="-2"/>
                <w:szCs w:val="21"/>
                <w:highlight w:val="none"/>
              </w:rPr>
              <w:t>结论：通过评审打“√”，未通过评审打“×”</w:t>
            </w:r>
          </w:p>
        </w:tc>
        <w:tc>
          <w:tcPr>
            <w:tcW w:w="1158" w:type="dxa"/>
            <w:vAlign w:val="center"/>
          </w:tcPr>
          <w:p>
            <w:pPr>
              <w:spacing w:line="400" w:lineRule="exact"/>
              <w:ind w:firstLine="370" w:firstLineChars="180"/>
              <w:rPr>
                <w:rFonts w:hint="eastAsia" w:ascii="宋体" w:hAnsi="宋体" w:eastAsia="宋体" w:cs="宋体"/>
                <w:color w:val="auto"/>
                <w:spacing w:val="-2"/>
                <w:szCs w:val="21"/>
                <w:highlight w:val="none"/>
              </w:rPr>
            </w:pPr>
          </w:p>
        </w:tc>
      </w:tr>
    </w:tbl>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spacing w:line="400" w:lineRule="exact"/>
        <w:ind w:left="689" w:leftChars="2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8"/>
        <w:spacing w:line="400"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9"/>
        <w:ind w:firstLine="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tbl>
      <w:tblPr>
        <w:tblStyle w:val="27"/>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ind w:firstLine="1606" w:firstLineChars="500"/>
              <w:jc w:val="both"/>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不接受</w:t>
            </w:r>
            <w:r>
              <w:rPr>
                <w:rFonts w:hint="eastAsia" w:ascii="宋体" w:hAnsi="宋体" w:eastAsia="宋体" w:cs="宋体"/>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自提交投标文件截止之日起</w:t>
            </w:r>
            <w:r>
              <w:rPr>
                <w:rFonts w:hint="eastAsia" w:ascii="宋体" w:hAnsi="宋体" w:eastAsia="宋体" w:cs="宋体"/>
                <w:color w:val="auto"/>
                <w:szCs w:val="21"/>
                <w:highlight w:val="none"/>
                <w:u w:val="single"/>
              </w:rPr>
              <w:t xml:space="preserve"> 60 日</w:t>
            </w:r>
            <w:r>
              <w:rPr>
                <w:rFonts w:hint="eastAsia" w:ascii="宋体" w:hAnsi="宋体" w:eastAsia="宋体" w:cs="宋体"/>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投标文件的签署和盖章符合要求</w:t>
            </w:r>
          </w:p>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pStyle w:val="4"/>
        <w:tabs>
          <w:tab w:val="clear" w:pos="567"/>
        </w:tabs>
        <w:spacing w:before="0" w:line="360" w:lineRule="exact"/>
        <w:ind w:left="-181" w:leftChars="-86" w:firstLine="660" w:firstLineChars="275"/>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7"/>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2"/>
                <w:szCs w:val="22"/>
                <w:highlight w:val="none"/>
              </w:rPr>
            </w:pPr>
          </w:p>
        </w:tc>
      </w:tr>
    </w:tbl>
    <w:p>
      <w:pPr>
        <w:rPr>
          <w:rFonts w:hint="eastAsia" w:ascii="宋体" w:hAnsi="宋体" w:eastAsia="宋体" w:cs="宋体"/>
          <w:color w:val="auto"/>
          <w:highlight w:val="none"/>
        </w:rPr>
        <w:sectPr>
          <w:headerReference r:id="rId7" w:type="default"/>
          <w:footerReference r:id="rId8" w:type="default"/>
          <w:pgSz w:w="11906" w:h="16838"/>
          <w:pgMar w:top="1418" w:right="946" w:bottom="567" w:left="1500" w:header="851" w:footer="992" w:gutter="0"/>
          <w:pgNumType w:fmt="decimal"/>
          <w:cols w:space="720" w:num="1"/>
          <w:docGrid w:type="lines" w:linePitch="312" w:charSpace="0"/>
        </w:sectPr>
      </w:pPr>
    </w:p>
    <w:p>
      <w:pPr>
        <w:pStyle w:val="22"/>
        <w:ind w:firstLine="1767" w:firstLineChars="400"/>
        <w:jc w:val="both"/>
        <w:outlineLvl w:val="1"/>
        <w:rPr>
          <w:rFonts w:hint="eastAsia" w:ascii="宋体" w:hAnsi="宋体" w:eastAsia="宋体" w:cs="宋体"/>
          <w:b/>
          <w:bCs/>
          <w:color w:val="auto"/>
          <w:sz w:val="44"/>
          <w:szCs w:val="44"/>
          <w:highlight w:val="none"/>
        </w:rPr>
      </w:pPr>
      <w:bookmarkStart w:id="1039" w:name="_Toc30203"/>
      <w:bookmarkStart w:id="1040" w:name="_Toc4762"/>
      <w:bookmarkStart w:id="1041" w:name="_Toc17631"/>
      <w:bookmarkStart w:id="1042" w:name="_Toc507399904"/>
      <w:r>
        <w:rPr>
          <w:rFonts w:hint="eastAsia" w:ascii="宋体" w:hAnsi="宋体" w:eastAsia="宋体" w:cs="宋体"/>
          <w:b/>
          <w:bCs/>
          <w:color w:val="auto"/>
          <w:sz w:val="44"/>
          <w:szCs w:val="44"/>
          <w:highlight w:val="none"/>
          <w:lang w:val="en-US" w:eastAsia="zh-CN"/>
        </w:rPr>
        <w:t>第四包</w:t>
      </w:r>
      <w:r>
        <w:rPr>
          <w:rFonts w:hint="eastAsia" w:ascii="宋体" w:hAnsi="宋体" w:eastAsia="宋体" w:cs="宋体"/>
          <w:b/>
          <w:bCs/>
          <w:color w:val="auto"/>
          <w:sz w:val="44"/>
          <w:szCs w:val="44"/>
          <w:highlight w:val="none"/>
        </w:rPr>
        <w:t>综合评分表</w:t>
      </w:r>
      <w:bookmarkEnd w:id="1039"/>
      <w:bookmarkEnd w:id="1040"/>
      <w:bookmarkEnd w:id="1041"/>
    </w:p>
    <w:tbl>
      <w:tblPr>
        <w:tblStyle w:val="27"/>
        <w:tblpPr w:leftFromText="180" w:rightFromText="180" w:vertAnchor="text" w:horzAnchor="page" w:tblpX="1181" w:tblpY="938"/>
        <w:tblOverlap w:val="never"/>
        <w:tblW w:w="58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763"/>
        <w:gridCol w:w="607"/>
        <w:gridCol w:w="6321"/>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402" w:type="pct"/>
            <w:tcBorders>
              <w:tl2br w:val="nil"/>
              <w:tr2bl w:val="nil"/>
            </w:tcBorders>
            <w:shd w:val="clear" w:color="auto" w:fill="auto"/>
            <w:tcMar>
              <w:top w:w="15" w:type="dxa"/>
              <w:left w:w="15" w:type="dxa"/>
              <w:right w:w="15" w:type="dxa"/>
            </w:tcMar>
            <w:vAlign w:val="center"/>
          </w:tcPr>
          <w:p>
            <w:pPr>
              <w:ind w:left="0" w:leftChars="0" w:firstLine="0" w:firstLineChars="0"/>
              <w:jc w:val="both"/>
              <w:rPr>
                <w:rFonts w:hint="eastAsia" w:ascii="宋体" w:hAnsi="宋体" w:eastAsia="宋体" w:cs="宋体"/>
                <w:b/>
                <w:kern w:val="0"/>
              </w:rPr>
            </w:pPr>
            <w:r>
              <w:rPr>
                <w:rFonts w:hint="eastAsia" w:ascii="宋体" w:hAnsi="宋体" w:eastAsia="宋体" w:cs="宋体"/>
                <w:b/>
                <w:kern w:val="0"/>
              </w:rPr>
              <w:t>评分项目</w:t>
            </w:r>
          </w:p>
        </w:tc>
        <w:tc>
          <w:tcPr>
            <w:tcW w:w="389" w:type="pct"/>
            <w:tcBorders>
              <w:tl2br w:val="nil"/>
              <w:tr2bl w:val="nil"/>
            </w:tcBorders>
            <w:shd w:val="clear" w:color="auto" w:fill="auto"/>
            <w:tcMar>
              <w:top w:w="15" w:type="dxa"/>
              <w:left w:w="15" w:type="dxa"/>
              <w:right w:w="15" w:type="dxa"/>
            </w:tcMar>
            <w:vAlign w:val="center"/>
          </w:tcPr>
          <w:p>
            <w:pPr>
              <w:ind w:left="0" w:leftChars="0" w:firstLine="0" w:firstLineChars="0"/>
              <w:jc w:val="both"/>
              <w:rPr>
                <w:rFonts w:hint="eastAsia" w:ascii="宋体" w:hAnsi="宋体" w:eastAsia="宋体" w:cs="宋体"/>
                <w:b/>
                <w:kern w:val="0"/>
              </w:rPr>
            </w:pPr>
            <w:r>
              <w:rPr>
                <w:rFonts w:hint="eastAsia" w:ascii="宋体" w:hAnsi="宋体" w:eastAsia="宋体" w:cs="宋体"/>
                <w:b/>
                <w:kern w:val="0"/>
              </w:rPr>
              <w:t>评审因素</w:t>
            </w:r>
          </w:p>
        </w:tc>
        <w:tc>
          <w:tcPr>
            <w:tcW w:w="309" w:type="pct"/>
            <w:tcBorders>
              <w:tl2br w:val="nil"/>
              <w:tr2bl w:val="nil"/>
            </w:tcBorders>
            <w:shd w:val="clear" w:color="auto" w:fill="auto"/>
            <w:tcMar>
              <w:top w:w="15" w:type="dxa"/>
              <w:left w:w="15" w:type="dxa"/>
              <w:right w:w="15" w:type="dxa"/>
            </w:tcMar>
            <w:vAlign w:val="center"/>
          </w:tcPr>
          <w:p>
            <w:pPr>
              <w:ind w:left="0" w:leftChars="0" w:firstLine="0" w:firstLineChars="0"/>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b/>
                <w:kern w:val="0"/>
              </w:rPr>
              <w:t>分值</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评分标准</w:t>
            </w:r>
          </w:p>
          <w:p>
            <w:pPr>
              <w:jc w:val="center"/>
              <w:rPr>
                <w:rFonts w:hint="eastAsia" w:ascii="宋体" w:hAnsi="宋体" w:eastAsia="宋体" w:cs="宋体"/>
                <w:b/>
                <w:bCs/>
              </w:rPr>
            </w:pPr>
            <w:r>
              <w:rPr>
                <w:rFonts w:hint="eastAsia" w:ascii="宋体" w:hAnsi="宋体" w:eastAsia="宋体" w:cs="宋体"/>
                <w:b/>
                <w:bCs/>
                <w:color w:val="auto"/>
                <w:sz w:val="22"/>
                <w:szCs w:val="22"/>
                <w:highlight w:val="none"/>
                <w:lang w:val="en-US" w:eastAsia="zh-CN"/>
              </w:rPr>
              <w:t>价格：20分  商务8分   技术：72分</w:t>
            </w:r>
          </w:p>
        </w:tc>
        <w:tc>
          <w:tcPr>
            <w:tcW w:w="674" w:type="pct"/>
            <w:tcBorders>
              <w:tl2br w:val="nil"/>
              <w:tr2bl w:val="nil"/>
            </w:tcBorders>
            <w:shd w:val="clear" w:color="auto" w:fill="auto"/>
            <w:tcMar>
              <w:top w:w="15" w:type="dxa"/>
              <w:left w:w="15" w:type="dxa"/>
              <w:right w:w="15" w:type="dxa"/>
            </w:tcMar>
            <w:vAlign w:val="center"/>
          </w:tcPr>
          <w:p>
            <w:pPr>
              <w:ind w:left="0" w:leftChars="0" w:firstLine="0" w:firstLineChars="0"/>
              <w:jc w:val="center"/>
              <w:rPr>
                <w:rFonts w:hint="eastAsia" w:ascii="宋体" w:hAnsi="宋体" w:eastAsia="宋体" w:cs="宋体"/>
                <w:b/>
                <w:bCs/>
              </w:rPr>
            </w:pPr>
            <w:r>
              <w:rPr>
                <w:rFonts w:hint="eastAsia" w:ascii="宋体" w:hAnsi="宋体" w:eastAsia="宋体" w:cs="宋体"/>
                <w:b/>
                <w:bCs/>
                <w:color w:val="auto"/>
                <w:sz w:val="22"/>
                <w:szCs w:val="22"/>
                <w:highlight w:val="none"/>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402"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报价部分（20分）</w:t>
            </w:r>
          </w:p>
        </w:tc>
        <w:tc>
          <w:tcPr>
            <w:tcW w:w="38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完全满足招标文件参数的投标报价中的最低价为评标基准价，按照下列公式计算每个供应商的投标价格得分。投标报价得分＝（基准价/投标报价）×价格权重×100。</w:t>
            </w:r>
          </w:p>
        </w:tc>
        <w:tc>
          <w:tcPr>
            <w:tcW w:w="67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restar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商务部分（8）</w:t>
            </w:r>
          </w:p>
        </w:tc>
        <w:tc>
          <w:tcPr>
            <w:tcW w:w="38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2019年以来有同类建设项目案例，每提供一个案例得2分，最高得5分。（以提供的合同为准，复印件加盖公章）。</w:t>
            </w:r>
          </w:p>
        </w:tc>
        <w:tc>
          <w:tcPr>
            <w:tcW w:w="674" w:type="pct"/>
            <w:vMerge w:val="restar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根据需求提供必要的证明资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文件制作</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报价文件制作规范，编制完整、详细、清晰，对采购文件要求提交的技术资料完整齐全；如软件和设备功能有详细说明和标注。优得 3分，良得1分，差不得分。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02" w:type="pct"/>
            <w:vMerge w:val="restar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2分）</w:t>
            </w:r>
          </w:p>
        </w:tc>
        <w:tc>
          <w:tcPr>
            <w:tcW w:w="389" w:type="pct"/>
            <w:vMerge w:val="restar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实施方案</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整体实施方案科学、合理、实用可靠,能完全满足采购人的专业需求。完全满足项目实际要求的得3分，方案描述不清晰或有缺失内容的每一项扣1分，扣完为止；未提供的不得分。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系统建设实施方案：软件设计方案先进、合理，模块及功能设计合理、完善、详细，对系统理解精确。完全满足项目实际要求的得10分，方案描述不清晰或有缺失内容的每一项扣2分，扣完为止；未提供的不得分。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提供软件测试报告得2分，未提供不得分。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确保安装、调试、验收的方案。完全满足项目实际要求的得6分，方案描述不清晰或有缺失内容的每一项扣2分，扣完为止；未提供的不得分。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restar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技术要求</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整体技术架构稳定性和可扩展性，以C/S架构为主，B/S架构为辅相结合得4分，其他架构得2分。（提供承诺书）</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根据投标人针对本项目拟派人员方案、人员的资质资历进行评议。投标人拟派本项目的项目工程师具有项目管理 PMP资格证书，提供一个得2分，提供两个得4分（投标文件中提供证书复印件加盖公章及近三个月的社保缴纳证明复印件，未提供不得分）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投标人提供自2019年1月1日以来（以合同签订日期为准），提供合同和验收报告，每提供一个得1分，满分5分（投标文件中提供合同和验收报告关键页复印件加盖公章，两者必须全部提供，未提供或差一类不得分）</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软件界面截图并盖章：投标人需在本项目投标时提供标“★”部分软件界面截图并盖章，提供1条得3分，少一个扣5分，直至扣完为止。</w:t>
            </w:r>
          </w:p>
        </w:tc>
        <w:tc>
          <w:tcPr>
            <w:tcW w:w="674" w:type="pct"/>
            <w:vMerge w:val="continue"/>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02"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8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w:t>
            </w:r>
          </w:p>
        </w:tc>
        <w:tc>
          <w:tcPr>
            <w:tcW w:w="309"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322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根据供应商提供的服务要求承诺（含设备维修）、质保期内出现故障2小时内到达现场解决故障的得8分，4小时内得5分，24小时内得2分，未提供的此项不得分。</w:t>
            </w:r>
          </w:p>
        </w:tc>
        <w:tc>
          <w:tcPr>
            <w:tcW w:w="674" w:type="pct"/>
            <w:tcBorders>
              <w:tl2br w:val="nil"/>
              <w:tr2bl w:val="nil"/>
            </w:tcBorders>
            <w:shd w:val="clear" w:color="auto" w:fill="auto"/>
            <w:tcMar>
              <w:top w:w="15" w:type="dxa"/>
              <w:left w:w="15" w:type="dxa"/>
              <w:right w:w="15" w:type="dxa"/>
            </w:tcMar>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bl>
    <w:p>
      <w:pPr>
        <w:pStyle w:val="22"/>
        <w:rPr>
          <w:rFonts w:hint="eastAsia" w:ascii="宋体" w:hAnsi="宋体" w:eastAsia="宋体" w:cs="宋体"/>
          <w:b/>
          <w:bCs/>
          <w:color w:val="auto"/>
          <w:highlight w:val="none"/>
        </w:rPr>
      </w:pPr>
    </w:p>
    <w:p>
      <w:pPr>
        <w:pStyle w:val="22"/>
        <w:rPr>
          <w:rFonts w:hint="eastAsia" w:ascii="宋体" w:hAnsi="宋体" w:eastAsia="宋体" w:cs="宋体"/>
          <w:b/>
          <w:bCs/>
          <w:color w:val="auto"/>
          <w:highlight w:val="none"/>
        </w:rPr>
      </w:pPr>
    </w:p>
    <w:p>
      <w:pPr>
        <w:pStyle w:val="22"/>
        <w:rPr>
          <w:rFonts w:hint="eastAsia" w:ascii="宋体" w:hAnsi="宋体" w:eastAsia="宋体" w:cs="宋体"/>
          <w:b/>
          <w:bCs/>
          <w:color w:val="auto"/>
          <w:highlight w:val="none"/>
        </w:rPr>
      </w:pPr>
    </w:p>
    <w:p>
      <w:pPr>
        <w:pStyle w:val="22"/>
        <w:rPr>
          <w:rFonts w:hint="eastAsia" w:ascii="宋体" w:hAnsi="宋体" w:eastAsia="宋体" w:cs="宋体"/>
          <w:b/>
          <w:bCs/>
          <w:color w:val="auto"/>
          <w:highlight w:val="none"/>
        </w:rPr>
      </w:pPr>
    </w:p>
    <w:p>
      <w:pPr>
        <w:pStyle w:val="22"/>
        <w:rPr>
          <w:rFonts w:hint="eastAsia" w:ascii="宋体" w:hAnsi="宋体" w:eastAsia="宋体" w:cs="宋体"/>
          <w:b/>
          <w:bCs/>
          <w:color w:val="auto"/>
          <w:highlight w:val="none"/>
        </w:rPr>
      </w:pPr>
    </w:p>
    <w:p>
      <w:pPr>
        <w:pStyle w:val="22"/>
        <w:rPr>
          <w:rFonts w:hint="eastAsia" w:ascii="宋体" w:hAnsi="宋体" w:eastAsia="宋体" w:cs="宋体"/>
          <w:b/>
          <w:bCs/>
          <w:color w:val="auto"/>
          <w:highlight w:val="none"/>
        </w:rPr>
      </w:pPr>
    </w:p>
    <w:p>
      <w:pPr>
        <w:pStyle w:val="14"/>
        <w:ind w:left="0" w:leftChars="0" w:firstLine="0" w:firstLineChars="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eastAsia="zh-CN"/>
        </w:rPr>
      </w:pPr>
      <w:bookmarkStart w:id="1043" w:name="_Toc13284_WPSOffice_Level2"/>
      <w:r>
        <w:rPr>
          <w:rFonts w:hint="eastAsia" w:ascii="宋体" w:hAnsi="宋体" w:eastAsia="宋体" w:cs="宋体"/>
          <w:b/>
          <w:color w:val="auto"/>
          <w:sz w:val="40"/>
          <w:szCs w:val="40"/>
          <w:highlight w:val="none"/>
        </w:rPr>
        <w:t>项目编号：</w:t>
      </w:r>
      <w:bookmarkEnd w:id="1043"/>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40"/>
          <w:szCs w:val="40"/>
          <w:highlight w:val="none"/>
        </w:rPr>
      </w:pPr>
    </w:p>
    <w:p>
      <w:pPr>
        <w:pStyle w:val="14"/>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0" w:firstLineChars="0"/>
        <w:rPr>
          <w:rFonts w:hint="eastAsia" w:ascii="宋体" w:hAnsi="宋体" w:eastAsia="宋体" w:cs="宋体"/>
          <w:color w:val="auto"/>
          <w:highlight w:val="none"/>
        </w:rPr>
      </w:pPr>
      <w:bookmarkStart w:id="1044" w:name="_Toc515647833"/>
      <w:bookmarkStart w:id="1045" w:name="_Toc28085"/>
      <w:bookmarkStart w:id="1046" w:name="_Toc6865"/>
      <w:bookmarkStart w:id="1047" w:name="_Toc23920"/>
      <w:bookmarkStart w:id="1048" w:name="_Toc4796"/>
    </w:p>
    <w:p>
      <w:pPr>
        <w:pStyle w:val="8"/>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rPr>
      </w:pPr>
    </w:p>
    <w:p>
      <w:pPr>
        <w:pStyle w:val="6"/>
        <w:tabs>
          <w:tab w:val="left" w:pos="0"/>
        </w:tabs>
        <w:spacing w:before="0" w:after="0" w:line="240" w:lineRule="atLeast"/>
        <w:ind w:left="-15"/>
        <w:jc w:val="center"/>
        <w:rPr>
          <w:rFonts w:hint="eastAsia" w:ascii="宋体" w:hAnsi="宋体" w:eastAsia="宋体" w:cs="宋体"/>
          <w:color w:val="auto"/>
          <w:sz w:val="22"/>
          <w:szCs w:val="21"/>
          <w:highlight w:val="none"/>
        </w:rPr>
      </w:pPr>
      <w:bookmarkStart w:id="1049" w:name="_Toc38"/>
      <w:r>
        <w:rPr>
          <w:rStyle w:val="35"/>
          <w:rFonts w:hint="eastAsia" w:hAnsi="宋体" w:eastAsia="宋体" w:cs="宋体"/>
          <w:color w:val="auto"/>
          <w:highlight w:val="none"/>
          <w:lang w:val="en-US" w:eastAsia="zh-CN" w:bidi="ar-SA"/>
        </w:rPr>
        <w:t>第7章 政府采购合同</w:t>
      </w:r>
      <w:bookmarkEnd w:id="1042"/>
      <w:bookmarkEnd w:id="1044"/>
      <w:bookmarkEnd w:id="1045"/>
      <w:bookmarkEnd w:id="1046"/>
      <w:bookmarkEnd w:id="1047"/>
      <w:bookmarkEnd w:id="1048"/>
      <w:bookmarkEnd w:id="1049"/>
      <w:bookmarkStart w:id="1050" w:name="_Toc487900382"/>
      <w:bookmarkEnd w:id="1050"/>
      <w:bookmarkStart w:id="1051" w:name="_Toc216513788"/>
      <w:bookmarkEnd w:id="1051"/>
      <w:bookmarkStart w:id="1052" w:name="_Hlt487972895"/>
      <w:bookmarkEnd w:id="1052"/>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pPr>
        <w:spacing w:line="400" w:lineRule="exact"/>
        <w:jc w:val="center"/>
        <w:rPr>
          <w:rFonts w:hint="eastAsia" w:ascii="宋体" w:hAnsi="宋体" w:eastAsia="宋体" w:cs="宋体"/>
          <w:b/>
          <w:color w:val="auto"/>
          <w:sz w:val="28"/>
          <w:szCs w:val="28"/>
          <w:highlight w:val="none"/>
        </w:rPr>
      </w:pPr>
    </w:p>
    <w:p>
      <w:pPr>
        <w:spacing w:line="4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pPr>
        <w:spacing w:line="5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（服务类）</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55"/>
        <w:spacing w:before="120" w:line="400" w:lineRule="exact"/>
        <w:rPr>
          <w:rFonts w:hint="eastAsia" w:ascii="宋体" w:hAnsi="宋体" w:eastAsia="宋体" w:cs="宋体"/>
          <w:color w:val="auto"/>
          <w:szCs w:val="24"/>
          <w:highlight w:val="none"/>
        </w:rPr>
      </w:pPr>
    </w:p>
    <w:p>
      <w:pPr>
        <w:spacing w:line="400" w:lineRule="exact"/>
        <w:rPr>
          <w:rFonts w:hint="eastAsia" w:ascii="宋体" w:hAnsi="宋体" w:eastAsia="宋体" w:cs="宋体"/>
          <w:color w:val="auto"/>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400" w:lineRule="exact"/>
        <w:ind w:firstLine="640"/>
        <w:jc w:val="center"/>
        <w:rPr>
          <w:rFonts w:hint="eastAsia" w:ascii="宋体" w:hAnsi="宋体" w:eastAsia="宋体" w:cs="宋体"/>
          <w:color w:val="auto"/>
          <w:sz w:val="24"/>
          <w:highlight w:val="none"/>
        </w:rPr>
        <w:sectPr>
          <w:headerReference r:id="rId10" w:type="first"/>
          <w:footerReference r:id="rId13" w:type="firs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rPr>
        <w:t>为该项目成交供应商。现于成交通知书发出之日起三十日内，按照采购文件确定的事项签订本合同。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400" w:lineRule="exact"/>
        <w:ind w:firstLine="482" w:firstLineChars="200"/>
        <w:outlineLvl w:val="0"/>
        <w:rPr>
          <w:rFonts w:hint="eastAsia" w:ascii="宋体" w:hAnsi="宋体" w:eastAsia="宋体" w:cs="宋体"/>
          <w:color w:val="auto"/>
          <w:sz w:val="24"/>
          <w:highlight w:val="none"/>
        </w:rPr>
      </w:pPr>
      <w:bookmarkStart w:id="1053" w:name="_Toc1880"/>
      <w:bookmarkStart w:id="1054" w:name="_Toc369"/>
      <w:bookmarkStart w:id="1055" w:name="_Toc3665"/>
      <w:bookmarkStart w:id="1056" w:name="_Toc20566"/>
      <w:bookmarkStart w:id="1057" w:name="_Toc11864"/>
      <w:bookmarkStart w:id="1058" w:name="_Toc15367"/>
      <w:bookmarkStart w:id="1059" w:name="_Toc15838"/>
      <w:bookmarkStart w:id="1060" w:name="_Toc18383"/>
      <w:bookmarkStart w:id="1061" w:name="_Toc20421"/>
      <w:bookmarkStart w:id="1062" w:name="_Toc19273"/>
      <w:bookmarkStart w:id="1063" w:name="_Toc8106"/>
      <w:bookmarkStart w:id="1064" w:name="_Toc1256"/>
      <w:bookmarkStart w:id="1065" w:name="_Toc13594"/>
      <w:bookmarkStart w:id="1066" w:name="_Toc5753"/>
      <w:bookmarkStart w:id="1067" w:name="_Toc23100"/>
      <w:bookmarkStart w:id="1068" w:name="_Toc28855"/>
      <w:bookmarkStart w:id="1069" w:name="_Toc20041"/>
      <w:bookmarkStart w:id="1070" w:name="_Toc32571"/>
      <w:bookmarkStart w:id="1071" w:name="_Toc25829"/>
      <w:bookmarkStart w:id="1072" w:name="_Toc27523"/>
      <w:r>
        <w:rPr>
          <w:rFonts w:hint="eastAsia" w:ascii="宋体" w:hAnsi="宋体" w:eastAsia="宋体" w:cs="宋体"/>
          <w:b/>
          <w:color w:val="auto"/>
          <w:sz w:val="24"/>
          <w:highlight w:val="none"/>
        </w:rPr>
        <w:t>1.1 合同组成部分</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文件（含澄清或者说明文件）；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1.1.4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文件（含澄清或者修改文件）；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400" w:lineRule="exact"/>
        <w:ind w:firstLine="482" w:firstLineChars="200"/>
        <w:outlineLvl w:val="0"/>
        <w:rPr>
          <w:rFonts w:hint="eastAsia" w:ascii="宋体" w:hAnsi="宋体" w:eastAsia="宋体" w:cs="宋体"/>
          <w:b/>
          <w:color w:val="auto"/>
          <w:sz w:val="24"/>
          <w:highlight w:val="none"/>
        </w:rPr>
      </w:pPr>
      <w:bookmarkStart w:id="1073" w:name="_Toc12685"/>
      <w:bookmarkStart w:id="1074" w:name="_Toc6311"/>
      <w:bookmarkStart w:id="1075" w:name="_Toc27911"/>
      <w:bookmarkStart w:id="1076" w:name="_Toc1090"/>
      <w:bookmarkStart w:id="1077" w:name="_Toc22828"/>
      <w:bookmarkStart w:id="1078" w:name="_Toc538"/>
      <w:bookmarkStart w:id="1079" w:name="_Toc30602"/>
      <w:bookmarkStart w:id="1080" w:name="_Toc6773"/>
      <w:bookmarkStart w:id="1081" w:name="_Toc31498"/>
      <w:bookmarkStart w:id="1082" w:name="_Toc15104"/>
      <w:bookmarkStart w:id="1083" w:name="_Toc1944"/>
      <w:bookmarkStart w:id="1084" w:name="_Toc18571"/>
      <w:bookmarkStart w:id="1085" w:name="_Toc2918"/>
      <w:bookmarkStart w:id="1086" w:name="_Toc22185"/>
      <w:bookmarkStart w:id="1087" w:name="_Toc15369"/>
      <w:bookmarkStart w:id="1088" w:name="_Toc25426"/>
      <w:bookmarkStart w:id="1089" w:name="_Toc18585"/>
      <w:bookmarkStart w:id="1090" w:name="_Toc24493"/>
      <w:bookmarkStart w:id="1091" w:name="_Toc23275"/>
      <w:bookmarkStart w:id="1092" w:name="_Toc6313"/>
      <w:bookmarkStart w:id="1093" w:name="_Toc5955"/>
      <w:r>
        <w:rPr>
          <w:rFonts w:hint="eastAsia" w:ascii="宋体" w:hAnsi="宋体" w:eastAsia="宋体" w:cs="宋体"/>
          <w:b/>
          <w:color w:val="auto"/>
          <w:sz w:val="24"/>
          <w:highlight w:val="none"/>
        </w:rPr>
        <w:t>1.2 标的</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094" w:name="_Toc10671"/>
      <w:bookmarkStart w:id="1095" w:name="_Toc26191"/>
      <w:bookmarkStart w:id="1096" w:name="_Toc13918"/>
      <w:bookmarkStart w:id="1097" w:name="_Toc30626"/>
      <w:bookmarkStart w:id="1098" w:name="_Toc4929"/>
      <w:bookmarkStart w:id="1099" w:name="_Toc2888"/>
      <w:bookmarkStart w:id="1100" w:name="_Toc1386"/>
      <w:bookmarkStart w:id="1101" w:name="_Toc27077"/>
      <w:bookmarkStart w:id="1102" w:name="_Toc23026"/>
      <w:bookmarkStart w:id="1103" w:name="_Toc23519"/>
      <w:bookmarkStart w:id="1104" w:name="_Toc17541"/>
      <w:bookmarkStart w:id="1105" w:name="_Toc4932"/>
      <w:bookmarkStart w:id="1106" w:name="_Toc21124"/>
      <w:bookmarkStart w:id="1107" w:name="_Toc13554"/>
      <w:bookmarkStart w:id="1108" w:name="_Toc32314"/>
      <w:bookmarkStart w:id="1109" w:name="_Toc5635"/>
      <w:bookmarkStart w:id="1110" w:name="_Toc28143"/>
      <w:bookmarkStart w:id="1111" w:name="_Toc13512"/>
      <w:bookmarkStart w:id="1112" w:name="_Toc4687"/>
      <w:bookmarkStart w:id="1113" w:name="_Toc23906"/>
      <w:bookmarkStart w:id="1114" w:name="_Toc14890"/>
      <w:r>
        <w:rPr>
          <w:rFonts w:hint="eastAsia" w:ascii="宋体" w:hAnsi="宋体" w:eastAsia="宋体" w:cs="宋体"/>
          <w:b/>
          <w:color w:val="auto"/>
          <w:sz w:val="24"/>
          <w:highlight w:val="none"/>
        </w:rPr>
        <w:t>1.3 价款</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bl>
    <w:p>
      <w:pPr>
        <w:spacing w:line="400" w:lineRule="exact"/>
        <w:ind w:firstLine="482" w:firstLineChars="200"/>
        <w:outlineLvl w:val="0"/>
        <w:rPr>
          <w:rFonts w:hint="eastAsia" w:ascii="宋体" w:hAnsi="宋体" w:eastAsia="宋体" w:cs="宋体"/>
          <w:b/>
          <w:color w:val="auto"/>
          <w:sz w:val="24"/>
          <w:highlight w:val="none"/>
        </w:rPr>
      </w:pPr>
      <w:bookmarkStart w:id="1115" w:name="_Toc29083"/>
      <w:bookmarkStart w:id="1116" w:name="_Toc25910"/>
      <w:bookmarkStart w:id="1117" w:name="_Toc17855"/>
      <w:bookmarkStart w:id="1118" w:name="_Toc7832"/>
      <w:bookmarkStart w:id="1119" w:name="_Toc30506"/>
      <w:bookmarkStart w:id="1120" w:name="_Toc3654"/>
      <w:bookmarkStart w:id="1121" w:name="_Toc29059"/>
      <w:bookmarkStart w:id="1122" w:name="_Toc23173"/>
      <w:bookmarkStart w:id="1123" w:name="_Toc26916"/>
      <w:bookmarkStart w:id="1124" w:name="_Toc14493"/>
      <w:bookmarkStart w:id="1125" w:name="_Toc19143"/>
      <w:bookmarkStart w:id="1126" w:name="_Toc6998"/>
      <w:bookmarkStart w:id="1127" w:name="_Toc19221"/>
      <w:bookmarkStart w:id="1128" w:name="_Toc8041"/>
      <w:bookmarkStart w:id="1129" w:name="_Toc32305"/>
      <w:bookmarkStart w:id="1130" w:name="_Toc30158"/>
      <w:bookmarkStart w:id="1131" w:name="_Toc2559"/>
      <w:bookmarkStart w:id="1132" w:name="_Toc14993"/>
      <w:bookmarkStart w:id="1133" w:name="_Toc28219"/>
      <w:bookmarkStart w:id="1134" w:name="_Toc21059"/>
      <w:bookmarkStart w:id="1135" w:name="_Toc20462"/>
      <w:r>
        <w:rPr>
          <w:rFonts w:hint="eastAsia" w:ascii="宋体" w:hAnsi="宋体" w:eastAsia="宋体" w:cs="宋体"/>
          <w:b/>
          <w:color w:val="auto"/>
          <w:sz w:val="24"/>
          <w:highlight w:val="none"/>
        </w:rPr>
        <w:t>1.4 付款方式和发票开具方式</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136" w:name="_Toc25762"/>
      <w:bookmarkStart w:id="1137" w:name="_Toc4301"/>
      <w:bookmarkStart w:id="1138" w:name="_Toc32135"/>
      <w:bookmarkStart w:id="1139" w:name="_Toc17889"/>
      <w:bookmarkStart w:id="1140" w:name="_Toc11108"/>
      <w:bookmarkStart w:id="1141" w:name="_Toc23903"/>
      <w:bookmarkStart w:id="1142" w:name="_Toc8772"/>
      <w:bookmarkStart w:id="1143" w:name="_Toc3625"/>
      <w:bookmarkStart w:id="1144" w:name="_Toc4760"/>
      <w:bookmarkStart w:id="1145" w:name="_Toc3007"/>
      <w:bookmarkStart w:id="1146" w:name="_Toc24233"/>
      <w:bookmarkStart w:id="1147" w:name="_Toc12261"/>
      <w:bookmarkStart w:id="1148" w:name="_Toc28212"/>
      <w:bookmarkStart w:id="1149" w:name="_Toc25174"/>
      <w:bookmarkStart w:id="1150" w:name="_Toc31421"/>
      <w:bookmarkStart w:id="1151" w:name="_Toc21606"/>
      <w:bookmarkStart w:id="1152" w:name="_Toc20514"/>
      <w:bookmarkStart w:id="1153" w:name="_Toc3251"/>
      <w:bookmarkStart w:id="1154" w:name="_Toc6280"/>
      <w:bookmarkStart w:id="1155" w:name="_Toc19186"/>
      <w:bookmarkStart w:id="1156" w:name="_Toc103"/>
      <w:r>
        <w:rPr>
          <w:rFonts w:hint="eastAsia" w:ascii="宋体" w:hAnsi="宋体" w:eastAsia="宋体" w:cs="宋体"/>
          <w:b/>
          <w:color w:val="auto"/>
          <w:sz w:val="24"/>
          <w:highlight w:val="none"/>
        </w:rPr>
        <w:t>1.5 履行期限、地点和方式</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履行地点：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color w:val="auto"/>
          <w:sz w:val="24"/>
          <w:highlight w:val="none"/>
          <w:u w:val="single"/>
        </w:rPr>
      </w:pPr>
      <w:bookmarkStart w:id="1157" w:name="_Toc5418"/>
      <w:bookmarkStart w:id="1158" w:name="_Toc22963"/>
      <w:bookmarkStart w:id="1159" w:name="_Toc15275"/>
      <w:bookmarkStart w:id="1160" w:name="_Toc25461"/>
      <w:bookmarkStart w:id="1161" w:name="_Toc2375"/>
      <w:bookmarkStart w:id="1162" w:name="_Toc10490"/>
      <w:bookmarkStart w:id="1163" w:name="_Toc3290"/>
      <w:bookmarkStart w:id="1164" w:name="_Toc18326"/>
      <w:bookmarkStart w:id="1165" w:name="_Toc3079"/>
      <w:bookmarkStart w:id="1166" w:name="_Toc27990"/>
      <w:bookmarkStart w:id="1167" w:name="_Toc16708"/>
      <w:bookmarkStart w:id="1168" w:name="_Toc25242"/>
      <w:bookmarkStart w:id="1169" w:name="_Toc18474"/>
      <w:bookmarkStart w:id="1170" w:name="_Toc5698"/>
      <w:bookmarkStart w:id="1171" w:name="_Toc12514"/>
      <w:bookmarkStart w:id="1172" w:name="_Toc5863"/>
      <w:bookmarkStart w:id="1173" w:name="_Toc8586"/>
      <w:bookmarkStart w:id="1174" w:name="_Toc24662"/>
      <w:bookmarkStart w:id="1175" w:name="_Toc30025"/>
      <w:bookmarkStart w:id="1176" w:name="_Toc4642"/>
      <w:r>
        <w:rPr>
          <w:rFonts w:hint="eastAsia" w:ascii="宋体" w:hAnsi="宋体" w:eastAsia="宋体" w:cs="宋体"/>
          <w:b/>
          <w:color w:val="auto"/>
          <w:sz w:val="24"/>
          <w:highlight w:val="none"/>
        </w:rPr>
        <w:t>1.6 违约责任</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0"/>
        <w:rPr>
          <w:rFonts w:hint="eastAsia" w:ascii="宋体" w:hAnsi="宋体" w:eastAsia="宋体" w:cs="宋体"/>
          <w:b/>
          <w:color w:val="auto"/>
          <w:sz w:val="24"/>
          <w:highlight w:val="none"/>
        </w:rPr>
      </w:pPr>
      <w:bookmarkStart w:id="1177" w:name="_Toc3964"/>
      <w:bookmarkStart w:id="1178" w:name="_Toc774"/>
      <w:bookmarkStart w:id="1179" w:name="_Toc4448"/>
      <w:bookmarkStart w:id="1180" w:name="_Toc9782"/>
      <w:bookmarkStart w:id="1181" w:name="_Toc10575"/>
      <w:bookmarkStart w:id="1182" w:name="_Toc23069"/>
      <w:bookmarkStart w:id="1183" w:name="_Toc21818"/>
      <w:bookmarkStart w:id="1184" w:name="_Toc4563"/>
      <w:bookmarkStart w:id="1185" w:name="_Toc13634"/>
      <w:bookmarkStart w:id="1186" w:name="_Toc26807"/>
      <w:bookmarkStart w:id="1187" w:name="_Toc13358"/>
      <w:bookmarkStart w:id="1188" w:name="_Toc9497"/>
      <w:bookmarkStart w:id="1189" w:name="_Toc14940"/>
      <w:bookmarkStart w:id="1190" w:name="_Toc24165"/>
      <w:bookmarkStart w:id="1191" w:name="_Toc32454"/>
      <w:bookmarkStart w:id="1192" w:name="_Toc16127"/>
      <w:bookmarkStart w:id="1193" w:name="_Toc22280"/>
      <w:bookmarkStart w:id="1194" w:name="_Toc30329"/>
      <w:bookmarkStart w:id="1195" w:name="_Toc18683"/>
      <w:bookmarkStart w:id="1196" w:name="_Toc12954"/>
      <w:bookmarkStart w:id="1197" w:name="_Toc5695"/>
      <w:r>
        <w:rPr>
          <w:rFonts w:hint="eastAsia" w:ascii="宋体" w:hAnsi="宋体" w:eastAsia="宋体" w:cs="宋体"/>
          <w:b/>
          <w:color w:val="auto"/>
          <w:sz w:val="24"/>
          <w:highlight w:val="none"/>
        </w:rPr>
        <w:t>1.7 合同争议的解决</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pPr>
        <w:spacing w:line="400" w:lineRule="exact"/>
        <w:ind w:firstLine="482" w:firstLineChars="200"/>
        <w:outlineLvl w:val="0"/>
        <w:rPr>
          <w:rFonts w:hint="eastAsia" w:ascii="宋体" w:hAnsi="宋体" w:eastAsia="宋体" w:cs="宋体"/>
          <w:b/>
          <w:color w:val="auto"/>
          <w:sz w:val="24"/>
          <w:highlight w:val="none"/>
        </w:rPr>
      </w:pPr>
      <w:bookmarkStart w:id="1198" w:name="_Toc26227"/>
      <w:bookmarkStart w:id="1199" w:name="_Toc13186"/>
      <w:bookmarkStart w:id="1200" w:name="_Toc16417"/>
      <w:bookmarkStart w:id="1201" w:name="_Toc13173"/>
      <w:bookmarkStart w:id="1202" w:name="_Toc6707"/>
      <w:bookmarkStart w:id="1203" w:name="_Toc14204"/>
      <w:bookmarkStart w:id="1204" w:name="_Toc1472"/>
      <w:bookmarkStart w:id="1205" w:name="_Toc17508"/>
      <w:bookmarkStart w:id="1206" w:name="_Toc5677"/>
      <w:bookmarkStart w:id="1207" w:name="_Toc15827"/>
      <w:bookmarkStart w:id="1208" w:name="_Toc23784"/>
      <w:bookmarkStart w:id="1209" w:name="_Toc12273"/>
      <w:bookmarkStart w:id="1210" w:name="_Toc1048"/>
      <w:bookmarkStart w:id="1211" w:name="_Toc4542"/>
      <w:bookmarkStart w:id="1212" w:name="_Toc20156"/>
      <w:bookmarkStart w:id="1213" w:name="_Toc8068"/>
      <w:bookmarkStart w:id="1214" w:name="_Toc32664"/>
      <w:bookmarkStart w:id="1215" w:name="_Toc18071"/>
      <w:bookmarkStart w:id="1216" w:name="_Toc6048"/>
      <w:bookmarkStart w:id="1217" w:name="_Toc10526"/>
      <w:bookmarkStart w:id="1218" w:name="_Toc24988"/>
      <w:r>
        <w:rPr>
          <w:rFonts w:hint="eastAsia" w:ascii="宋体" w:hAnsi="宋体" w:eastAsia="宋体" w:cs="宋体"/>
          <w:b/>
          <w:color w:val="auto"/>
          <w:sz w:val="24"/>
          <w:highlight w:val="none"/>
        </w:rPr>
        <w:t>1.8 合同生效</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400" w:lineRule="exact"/>
        <w:jc w:val="left"/>
        <w:rPr>
          <w:rFonts w:hint="eastAsia" w:ascii="宋体" w:hAnsi="宋体" w:eastAsia="宋体" w:cs="宋体"/>
          <w:b/>
          <w:color w:val="auto"/>
          <w:highlight w:val="none"/>
        </w:rPr>
      </w:pPr>
      <w:bookmarkStart w:id="1219" w:name="_Toc331685783"/>
    </w:p>
    <w:p>
      <w:pPr>
        <w:widowControl/>
        <w:spacing w:line="400" w:lineRule="exact"/>
        <w:jc w:val="left"/>
        <w:rPr>
          <w:rFonts w:hint="eastAsia" w:ascii="宋体" w:hAnsi="宋体" w:eastAsia="宋体" w:cs="宋体"/>
          <w:b/>
          <w:color w:val="auto"/>
          <w:highlight w:val="none"/>
        </w:rPr>
      </w:pPr>
    </w:p>
    <w:p>
      <w:pPr>
        <w:widowControl/>
        <w:spacing w:line="400" w:lineRule="exact"/>
        <w:jc w:val="left"/>
        <w:rPr>
          <w:rFonts w:hint="eastAsia" w:ascii="宋体" w:hAnsi="宋体" w:eastAsia="宋体" w:cs="宋体"/>
          <w:b/>
          <w:color w:val="auto"/>
          <w:kern w:val="0"/>
          <w:sz w:val="24"/>
          <w:highlight w:val="none"/>
        </w:rPr>
      </w:pPr>
    </w:p>
    <w:p>
      <w:pPr>
        <w:widowControl/>
        <w:spacing w:line="400" w:lineRule="exact"/>
        <w:jc w:val="left"/>
        <w:rPr>
          <w:rFonts w:hint="eastAsia" w:ascii="宋体" w:hAnsi="宋体" w:eastAsia="宋体" w:cs="宋体"/>
          <w:b/>
          <w:color w:val="auto"/>
          <w:kern w:val="0"/>
          <w:sz w:val="24"/>
          <w:highlight w:val="none"/>
        </w:rPr>
      </w:pPr>
    </w:p>
    <w:p>
      <w:pPr>
        <w:pStyle w:val="54"/>
        <w:spacing w:line="400" w:lineRule="exact"/>
        <w:ind w:firstLine="0"/>
        <w:jc w:val="both"/>
        <w:rPr>
          <w:rFonts w:hint="eastAsia" w:ascii="宋体" w:hAnsi="宋体" w:eastAsia="宋体" w:cs="宋体"/>
          <w:b/>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1219"/>
    </w:p>
    <w:p>
      <w:pPr>
        <w:spacing w:line="400" w:lineRule="exact"/>
        <w:ind w:firstLine="482" w:firstLineChars="200"/>
        <w:outlineLvl w:val="0"/>
        <w:rPr>
          <w:rFonts w:hint="eastAsia" w:ascii="宋体" w:hAnsi="宋体" w:eastAsia="宋体" w:cs="宋体"/>
          <w:b/>
          <w:color w:val="auto"/>
          <w:sz w:val="24"/>
          <w:highlight w:val="none"/>
        </w:rPr>
      </w:pPr>
      <w:bookmarkStart w:id="1220" w:name="_Toc28701"/>
      <w:bookmarkStart w:id="1221" w:name="_Toc19680"/>
      <w:bookmarkStart w:id="1222" w:name="_Ref467378404"/>
      <w:bookmarkStart w:id="1223" w:name="_Toc487900349"/>
      <w:bookmarkStart w:id="1224" w:name="_Toc5117"/>
      <w:bookmarkStart w:id="1225" w:name="_Toc9585"/>
      <w:bookmarkStart w:id="1226" w:name="_Toc29024"/>
      <w:bookmarkStart w:id="1227" w:name="_Toc21058"/>
      <w:bookmarkStart w:id="1228" w:name="_Toc29074"/>
      <w:bookmarkStart w:id="1229" w:name="_Ref467379205"/>
      <w:bookmarkStart w:id="1230" w:name="_Toc31103"/>
      <w:bookmarkStart w:id="1231" w:name="_Ref467378499"/>
      <w:bookmarkStart w:id="1232" w:name="_Toc16934"/>
      <w:bookmarkStart w:id="1233" w:name="_Ref467378463"/>
      <w:bookmarkStart w:id="1234" w:name="_Toc28840"/>
      <w:bookmarkStart w:id="1235" w:name="_Toc25610"/>
      <w:bookmarkStart w:id="1236" w:name="_Toc14021"/>
      <w:bookmarkStart w:id="1237" w:name="_Toc29321"/>
      <w:bookmarkStart w:id="1238" w:name="_Toc13941"/>
      <w:bookmarkStart w:id="1239" w:name="_Ref467379094"/>
      <w:bookmarkStart w:id="1240" w:name="_Toc279701240"/>
      <w:bookmarkStart w:id="1241" w:name="_Toc17704"/>
      <w:bookmarkStart w:id="1242" w:name="_Ref467379225"/>
      <w:bookmarkStart w:id="1243" w:name="_Ref467379101"/>
      <w:bookmarkStart w:id="1244" w:name="_Ref467379214"/>
      <w:bookmarkStart w:id="1245" w:name="_Ref467379195"/>
      <w:bookmarkStart w:id="1246" w:name="_Toc259093669"/>
      <w:bookmarkStart w:id="1247" w:name="_Ref467379109"/>
      <w:bookmarkStart w:id="1248" w:name="_Toc31297"/>
      <w:bookmarkStart w:id="1249" w:name="_Toc5228"/>
      <w:bookmarkStart w:id="1250" w:name="_Toc25079"/>
      <w:bookmarkStart w:id="1251" w:name="_Toc24354"/>
      <w:bookmarkStart w:id="1252" w:name="_Toc10827"/>
      <w:bookmarkStart w:id="1253" w:name="_Toc3141"/>
      <w:r>
        <w:rPr>
          <w:rFonts w:hint="eastAsia" w:ascii="宋体" w:hAnsi="宋体" w:eastAsia="宋体" w:cs="宋体"/>
          <w:b/>
          <w:color w:val="auto"/>
          <w:sz w:val="24"/>
          <w:highlight w:val="none"/>
        </w:rPr>
        <w:t>2.1 定义</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highlight w:val="none"/>
        </w:rPr>
      </w:pPr>
      <w:bookmarkStart w:id="1254" w:name="_Ref467378840"/>
      <w:r>
        <w:rPr>
          <w:rFonts w:hint="eastAsia" w:ascii="宋体" w:hAnsi="宋体" w:eastAsia="宋体" w:cs="宋体"/>
          <w:color w:val="auto"/>
          <w:sz w:val="24"/>
          <w:highlight w:val="none"/>
        </w:rPr>
        <w:t>2.1.4 “甲方”系指与成交供应商签署合同的采购人</w:t>
      </w:r>
      <w:bookmarkEnd w:id="1254"/>
      <w:r>
        <w:rPr>
          <w:rFonts w:hint="eastAsia" w:ascii="宋体" w:hAnsi="宋体" w:eastAsia="宋体" w:cs="宋体"/>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highlight w:val="none"/>
        </w:rPr>
      </w:pPr>
      <w:bookmarkStart w:id="1255" w:name="_Ref467379400"/>
      <w:r>
        <w:rPr>
          <w:rFonts w:hint="eastAsia" w:ascii="宋体" w:hAnsi="宋体" w:eastAsia="宋体" w:cs="宋体"/>
          <w:color w:val="auto"/>
          <w:sz w:val="24"/>
          <w:highlight w:val="none"/>
        </w:rPr>
        <w:t>2.1.5 “乙方”系指根据合同约定提供服务的成交供应商</w:t>
      </w:r>
      <w:bookmarkEnd w:id="1255"/>
      <w:r>
        <w:rPr>
          <w:rFonts w:hint="eastAsia" w:ascii="宋体" w:hAnsi="宋体" w:eastAsia="宋体" w:cs="宋体"/>
          <w:color w:val="auto"/>
          <w:sz w:val="24"/>
          <w:highlight w:val="none"/>
        </w:rPr>
        <w:t>；两个以上的自然人、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highlight w:val="none"/>
        </w:rPr>
      </w:pPr>
      <w:bookmarkStart w:id="1256" w:name="_Ref467379436"/>
      <w:r>
        <w:rPr>
          <w:rFonts w:hint="eastAsia" w:ascii="宋体" w:hAnsi="宋体" w:eastAsia="宋体" w:cs="宋体"/>
          <w:color w:val="auto"/>
          <w:sz w:val="24"/>
          <w:highlight w:val="none"/>
        </w:rPr>
        <w:t>2.1.6 “现场”系指合同约定提供服务的地点。</w:t>
      </w:r>
      <w:bookmarkEnd w:id="1256"/>
    </w:p>
    <w:p>
      <w:pPr>
        <w:spacing w:line="400" w:lineRule="exact"/>
        <w:ind w:firstLine="482" w:firstLineChars="200"/>
        <w:outlineLvl w:val="0"/>
        <w:rPr>
          <w:rFonts w:hint="eastAsia" w:ascii="宋体" w:hAnsi="宋体" w:eastAsia="宋体" w:cs="宋体"/>
          <w:b/>
          <w:color w:val="auto"/>
          <w:sz w:val="24"/>
          <w:highlight w:val="none"/>
        </w:rPr>
      </w:pPr>
      <w:bookmarkStart w:id="1257" w:name="_Toc6001"/>
      <w:bookmarkStart w:id="1258" w:name="_Toc7411"/>
      <w:bookmarkStart w:id="1259" w:name="_Toc31402"/>
      <w:bookmarkStart w:id="1260" w:name="_Toc259093670"/>
      <w:bookmarkStart w:id="1261" w:name="_Toc487900350"/>
      <w:bookmarkStart w:id="1262" w:name="_Toc8861"/>
      <w:bookmarkStart w:id="1263" w:name="_Toc13639"/>
      <w:bookmarkStart w:id="1264" w:name="_Toc24501"/>
      <w:bookmarkStart w:id="1265" w:name="_Toc21068"/>
      <w:bookmarkStart w:id="1266" w:name="_Toc16752"/>
      <w:bookmarkStart w:id="1267" w:name="_Toc10249"/>
      <w:bookmarkStart w:id="1268" w:name="_Toc13884"/>
      <w:bookmarkStart w:id="1269" w:name="_Toc21140"/>
      <w:bookmarkStart w:id="1270" w:name="_Toc22493"/>
      <w:bookmarkStart w:id="1271" w:name="_Toc3769"/>
      <w:bookmarkStart w:id="1272" w:name="_Toc23289"/>
      <w:bookmarkStart w:id="1273" w:name="_Toc15686"/>
      <w:bookmarkStart w:id="1274" w:name="_Toc25980"/>
      <w:bookmarkStart w:id="1275" w:name="_Toc12973"/>
      <w:bookmarkStart w:id="1276" w:name="_Toc19539"/>
      <w:bookmarkStart w:id="1277" w:name="_Toc28811"/>
      <w:bookmarkStart w:id="1278" w:name="_Toc716"/>
      <w:bookmarkStart w:id="1279" w:name="_Toc279701241"/>
      <w:bookmarkStart w:id="1280" w:name="_Toc21436"/>
      <w:r>
        <w:rPr>
          <w:rFonts w:hint="eastAsia" w:ascii="宋体" w:hAnsi="宋体" w:eastAsia="宋体" w:cs="宋体"/>
          <w:b/>
          <w:color w:val="auto"/>
          <w:sz w:val="24"/>
          <w:highlight w:val="none"/>
        </w:rPr>
        <w:t>2.2 技术规范</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eastAsia="宋体" w:cs="宋体"/>
          <w:b/>
          <w:color w:val="auto"/>
          <w:sz w:val="24"/>
          <w:highlight w:val="none"/>
        </w:rPr>
      </w:pPr>
      <w:bookmarkStart w:id="1281" w:name="_Toc28131"/>
      <w:bookmarkStart w:id="1282" w:name="_Toc279701242"/>
      <w:bookmarkStart w:id="1283" w:name="_Toc27945"/>
      <w:bookmarkStart w:id="1284" w:name="_Toc12412"/>
      <w:bookmarkStart w:id="1285" w:name="_Toc9578"/>
      <w:bookmarkStart w:id="1286" w:name="_Toc12727"/>
      <w:bookmarkStart w:id="1287" w:name="_Toc259093671"/>
      <w:bookmarkStart w:id="1288" w:name="_Toc24660"/>
      <w:bookmarkStart w:id="1289" w:name="_Toc22279"/>
      <w:bookmarkStart w:id="1290" w:name="_Toc20195"/>
      <w:bookmarkStart w:id="1291" w:name="_Toc31472"/>
      <w:bookmarkStart w:id="1292" w:name="_Toc19356"/>
      <w:bookmarkStart w:id="1293" w:name="_Toc12881"/>
      <w:bookmarkStart w:id="1294" w:name="_Toc9161"/>
      <w:bookmarkStart w:id="1295" w:name="_Toc487900351"/>
      <w:bookmarkStart w:id="1296" w:name="_Toc22416"/>
      <w:bookmarkStart w:id="1297" w:name="_Toc1059"/>
      <w:bookmarkStart w:id="1298" w:name="_Toc13673"/>
      <w:bookmarkStart w:id="1299" w:name="_Toc30138"/>
      <w:bookmarkStart w:id="1300" w:name="_Toc32402"/>
      <w:bookmarkStart w:id="1301" w:name="_Toc7280"/>
      <w:bookmarkStart w:id="1302" w:name="_Toc8378"/>
      <w:bookmarkStart w:id="1303" w:name="_Toc7669"/>
      <w:r>
        <w:rPr>
          <w:rFonts w:hint="eastAsia" w:ascii="宋体" w:hAnsi="宋体" w:eastAsia="宋体" w:cs="宋体"/>
          <w:b/>
          <w:color w:val="auto"/>
          <w:sz w:val="24"/>
          <w:highlight w:val="none"/>
        </w:rPr>
        <w:t>2.3 知识产权</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pPr>
        <w:spacing w:line="400" w:lineRule="exact"/>
        <w:ind w:firstLine="480" w:firstLineChars="200"/>
        <w:rPr>
          <w:rFonts w:hint="eastAsia" w:ascii="宋体" w:hAnsi="宋体" w:eastAsia="宋体" w:cs="宋体"/>
          <w:color w:val="auto"/>
          <w:sz w:val="24"/>
          <w:highlight w:val="none"/>
        </w:rPr>
      </w:pPr>
      <w:bookmarkStart w:id="1304" w:name="_Ref467379657"/>
      <w:r>
        <w:rPr>
          <w:rFonts w:hint="eastAsia" w:ascii="宋体" w:hAnsi="宋体" w:eastAsia="宋体" w:cs="宋体"/>
          <w:color w:val="auto"/>
          <w:sz w:val="24"/>
          <w:highlight w:val="none"/>
        </w:rPr>
        <w:t>2.4.1</w:t>
      </w:r>
      <w:bookmarkEnd w:id="1304"/>
      <w:bookmarkStart w:id="1305" w:name="_Toc186431854"/>
      <w:bookmarkStart w:id="1306" w:name="_Toc259093676"/>
      <w:bookmarkStart w:id="1307" w:name="_Toc279701247"/>
      <w:bookmarkStart w:id="1308" w:name="_Ref467379793"/>
      <w:bookmarkStart w:id="1309" w:name="_Ref467379807"/>
      <w:bookmarkStart w:id="1310" w:name="_Toc487900357"/>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305"/>
      <w:bookmarkStart w:id="1311" w:name="_Toc186431855"/>
      <w:r>
        <w:rPr>
          <w:rFonts w:hint="eastAsia" w:ascii="宋体" w:hAnsi="宋体" w:eastAsia="宋体" w:cs="宋体"/>
          <w:color w:val="auto"/>
          <w:sz w:val="24"/>
          <w:highlight w:val="none"/>
        </w:rPr>
        <w:t>。</w:t>
      </w:r>
    </w:p>
    <w:bookmarkEnd w:id="1311"/>
    <w:p>
      <w:pPr>
        <w:spacing w:line="400" w:lineRule="exact"/>
        <w:ind w:firstLine="482" w:firstLineChars="200"/>
        <w:outlineLvl w:val="0"/>
        <w:rPr>
          <w:rFonts w:hint="eastAsia" w:ascii="宋体" w:hAnsi="宋体" w:eastAsia="宋体" w:cs="宋体"/>
          <w:b/>
          <w:color w:val="auto"/>
          <w:sz w:val="24"/>
          <w:highlight w:val="none"/>
        </w:rPr>
      </w:pPr>
      <w:bookmarkStart w:id="1312" w:name="_Toc32670"/>
      <w:bookmarkStart w:id="1313" w:name="_Toc4237"/>
      <w:bookmarkStart w:id="1314" w:name="_Toc32043"/>
      <w:bookmarkStart w:id="1315" w:name="_Toc30027"/>
      <w:bookmarkStart w:id="1316" w:name="_Toc12450"/>
      <w:bookmarkStart w:id="1317" w:name="_Toc22011"/>
      <w:bookmarkStart w:id="1318" w:name="_Toc31494"/>
      <w:bookmarkStart w:id="1319" w:name="_Toc8411"/>
      <w:bookmarkStart w:id="1320" w:name="_Toc16045"/>
      <w:bookmarkStart w:id="1321" w:name="_Toc31233"/>
      <w:bookmarkStart w:id="1322" w:name="_Toc11053"/>
      <w:bookmarkStart w:id="1323" w:name="_Toc29627"/>
      <w:bookmarkStart w:id="1324" w:name="_Toc21474"/>
      <w:bookmarkStart w:id="1325" w:name="_Toc15447"/>
      <w:bookmarkStart w:id="1326" w:name="_Toc15567"/>
      <w:bookmarkStart w:id="1327" w:name="_Toc28361"/>
      <w:bookmarkStart w:id="1328" w:name="_Toc6504"/>
      <w:bookmarkStart w:id="1329" w:name="_Toc24593"/>
      <w:bookmarkStart w:id="1330" w:name="_Toc14498"/>
      <w:bookmarkStart w:id="1331" w:name="_Toc26555"/>
      <w:r>
        <w:rPr>
          <w:rFonts w:hint="eastAsia" w:ascii="宋体" w:hAnsi="宋体" w:eastAsia="宋体" w:cs="宋体"/>
          <w:b/>
          <w:color w:val="auto"/>
          <w:sz w:val="24"/>
          <w:highlight w:val="none"/>
        </w:rPr>
        <w:t>2.5 结算方式和付款条件</w:t>
      </w:r>
      <w:bookmarkEnd w:id="1306"/>
      <w:bookmarkEnd w:id="1307"/>
      <w:bookmarkEnd w:id="1308"/>
      <w:bookmarkEnd w:id="1309"/>
      <w:bookmarkEnd w:id="1310"/>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332" w:name="_Ref467379923"/>
      <w:bookmarkStart w:id="1333" w:name="_Ref467379852"/>
      <w:bookmarkStart w:id="1334" w:name="_Ref467379863"/>
      <w:bookmarkStart w:id="1335" w:name="_Toc259093677"/>
      <w:bookmarkStart w:id="1336" w:name="_Toc279701248"/>
      <w:bookmarkStart w:id="1337" w:name="_Toc487900358"/>
      <w:bookmarkStart w:id="1338" w:name="_Toc31145"/>
      <w:bookmarkStart w:id="1339" w:name="_Toc13154"/>
      <w:bookmarkStart w:id="1340" w:name="_Toc26023"/>
      <w:bookmarkStart w:id="1341" w:name="_Toc25982"/>
      <w:bookmarkStart w:id="1342" w:name="_Toc20627"/>
      <w:bookmarkStart w:id="1343" w:name="_Toc12925"/>
      <w:bookmarkStart w:id="1344" w:name="_Toc19435"/>
      <w:bookmarkStart w:id="1345" w:name="_Toc3982"/>
      <w:bookmarkStart w:id="1346" w:name="_Toc13467"/>
      <w:bookmarkStart w:id="1347" w:name="_Toc9514"/>
      <w:bookmarkStart w:id="1348" w:name="_Toc23122"/>
      <w:bookmarkStart w:id="1349" w:name="_Toc18990"/>
      <w:bookmarkStart w:id="1350" w:name="_Toc4632"/>
      <w:bookmarkStart w:id="1351" w:name="_Toc23530"/>
      <w:bookmarkStart w:id="1352" w:name="_Toc16163"/>
      <w:bookmarkStart w:id="1353" w:name="_Toc29402"/>
      <w:bookmarkStart w:id="1354" w:name="_Toc25657"/>
      <w:bookmarkStart w:id="1355" w:name="_Toc5430"/>
      <w:bookmarkStart w:id="1356" w:name="_Toc30507"/>
      <w:bookmarkStart w:id="1357" w:name="_Toc18186"/>
      <w:bookmarkStart w:id="1358" w:name="_Toc11009"/>
      <w:r>
        <w:rPr>
          <w:rFonts w:hint="eastAsia" w:ascii="宋体" w:hAnsi="宋体" w:eastAsia="宋体" w:cs="宋体"/>
          <w:b/>
          <w:color w:val="auto"/>
          <w:sz w:val="24"/>
          <w:highlight w:val="none"/>
        </w:rPr>
        <w:t>2.6 技术资料</w:t>
      </w:r>
      <w:bookmarkEnd w:id="1332"/>
      <w:bookmarkEnd w:id="1333"/>
      <w:bookmarkEnd w:id="1334"/>
      <w:bookmarkEnd w:id="1335"/>
      <w:bookmarkEnd w:id="1336"/>
      <w:bookmarkEnd w:id="1337"/>
      <w:r>
        <w:rPr>
          <w:rFonts w:hint="eastAsia" w:ascii="宋体" w:hAnsi="宋体" w:eastAsia="宋体" w:cs="宋体"/>
          <w:b/>
          <w:color w:val="auto"/>
          <w:sz w:val="24"/>
          <w:highlight w:val="none"/>
        </w:rPr>
        <w:t>和保密义务</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eastAsia="宋体" w:cs="宋体"/>
          <w:b/>
          <w:color w:val="auto"/>
          <w:sz w:val="24"/>
          <w:highlight w:val="none"/>
        </w:rPr>
      </w:pPr>
      <w:bookmarkStart w:id="1359" w:name="_Toc15010"/>
      <w:bookmarkStart w:id="1360" w:name="_Toc22614"/>
      <w:bookmarkStart w:id="1361" w:name="_Toc24552"/>
      <w:bookmarkStart w:id="1362" w:name="_Toc2664"/>
      <w:bookmarkStart w:id="1363" w:name="_Toc20114"/>
      <w:bookmarkStart w:id="1364" w:name="_Toc13112"/>
      <w:bookmarkStart w:id="1365" w:name="_Toc339"/>
      <w:bookmarkStart w:id="1366" w:name="_Toc32354"/>
      <w:bookmarkStart w:id="1367" w:name="_Toc18372"/>
      <w:bookmarkStart w:id="1368" w:name="_Toc19069"/>
      <w:bookmarkStart w:id="1369" w:name="_Toc1948"/>
      <w:bookmarkStart w:id="1370" w:name="_Toc10862"/>
      <w:bookmarkStart w:id="1371" w:name="_Toc1851"/>
      <w:bookmarkStart w:id="1372" w:name="_Toc9533"/>
      <w:bookmarkStart w:id="1373" w:name="_Toc30162"/>
      <w:bookmarkStart w:id="1374" w:name="_Toc29615"/>
      <w:bookmarkStart w:id="1375" w:name="_Toc16738"/>
      <w:bookmarkStart w:id="1376" w:name="_Toc279701252"/>
      <w:bookmarkStart w:id="1377" w:name="_Toc259093681"/>
      <w:bookmarkStart w:id="1378" w:name="_Toc487900362"/>
      <w:r>
        <w:rPr>
          <w:rFonts w:hint="eastAsia" w:ascii="宋体" w:hAnsi="宋体" w:eastAsia="宋体" w:cs="宋体"/>
          <w:b/>
          <w:color w:val="auto"/>
          <w:sz w:val="24"/>
          <w:highlight w:val="none"/>
        </w:rPr>
        <w:t>2.7 质量保证</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eastAsia="宋体" w:cs="宋体"/>
          <w:b/>
          <w:color w:val="auto"/>
          <w:sz w:val="24"/>
          <w:highlight w:val="none"/>
        </w:rPr>
      </w:pPr>
      <w:bookmarkStart w:id="1379" w:name="_Toc8481"/>
      <w:bookmarkStart w:id="1380" w:name="_Toc27100"/>
      <w:bookmarkStart w:id="1381" w:name="_Toc30394"/>
      <w:bookmarkStart w:id="1382" w:name="_Toc32424"/>
      <w:bookmarkStart w:id="1383" w:name="_Toc10485"/>
      <w:bookmarkStart w:id="1384" w:name="_Toc11034"/>
      <w:bookmarkStart w:id="1385" w:name="_Toc28170"/>
      <w:bookmarkStart w:id="1386" w:name="_Toc30597"/>
      <w:bookmarkStart w:id="1387" w:name="_Toc22198"/>
      <w:bookmarkStart w:id="1388" w:name="_Toc11272"/>
      <w:bookmarkStart w:id="1389" w:name="_Toc10063"/>
      <w:bookmarkStart w:id="1390" w:name="_Toc7710"/>
      <w:bookmarkStart w:id="1391" w:name="_Toc15967"/>
      <w:bookmarkStart w:id="1392" w:name="_Toc32399"/>
      <w:bookmarkStart w:id="1393" w:name="_Toc1263"/>
      <w:bookmarkStart w:id="1394" w:name="_Toc22267"/>
      <w:bookmarkStart w:id="1395" w:name="_Toc22448"/>
      <w:r>
        <w:rPr>
          <w:rFonts w:hint="eastAsia" w:ascii="宋体" w:hAnsi="宋体" w:eastAsia="宋体" w:cs="宋体"/>
          <w:b/>
          <w:color w:val="auto"/>
          <w:sz w:val="24"/>
          <w:highlight w:val="none"/>
        </w:rPr>
        <w:t>2.8 延迟</w:t>
      </w:r>
      <w:bookmarkEnd w:id="1376"/>
      <w:bookmarkEnd w:id="1377"/>
      <w:bookmarkEnd w:id="1378"/>
      <w:r>
        <w:rPr>
          <w:rFonts w:hint="eastAsia" w:ascii="宋体" w:hAnsi="宋体" w:eastAsia="宋体" w:cs="宋体"/>
          <w:b/>
          <w:color w:val="auto"/>
          <w:sz w:val="24"/>
          <w:highlight w:val="none"/>
        </w:rPr>
        <w:t>履行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eastAsia="宋体" w:cs="宋体"/>
          <w:b/>
          <w:color w:val="auto"/>
          <w:sz w:val="24"/>
          <w:highlight w:val="none"/>
        </w:rPr>
      </w:pPr>
      <w:bookmarkStart w:id="1396" w:name="_Toc28758"/>
      <w:bookmarkStart w:id="1397" w:name="_Toc2469"/>
      <w:bookmarkStart w:id="1398" w:name="_Toc3758"/>
      <w:bookmarkStart w:id="1399" w:name="_Toc3810"/>
      <w:bookmarkStart w:id="1400" w:name="_Toc30296"/>
      <w:bookmarkStart w:id="1401" w:name="_Toc20254"/>
      <w:bookmarkStart w:id="1402" w:name="_Toc27101"/>
      <w:bookmarkStart w:id="1403" w:name="_Toc10750"/>
      <w:bookmarkStart w:id="1404" w:name="_Toc13769"/>
      <w:bookmarkStart w:id="1405" w:name="_Toc12112"/>
      <w:bookmarkStart w:id="1406" w:name="_Toc10611"/>
      <w:bookmarkStart w:id="1407" w:name="_Toc25613"/>
      <w:bookmarkStart w:id="1408" w:name="_Toc12190"/>
      <w:bookmarkStart w:id="1409" w:name="_Toc2244"/>
      <w:bookmarkStart w:id="1410" w:name="_Toc1930"/>
      <w:bookmarkStart w:id="1411" w:name="_Toc26385"/>
      <w:bookmarkStart w:id="1412" w:name="_Toc2459"/>
      <w:bookmarkStart w:id="1413" w:name="_Toc487900364"/>
      <w:bookmarkStart w:id="1414" w:name="_Ref467378121"/>
      <w:bookmarkStart w:id="1415" w:name="_Toc259093683"/>
      <w:bookmarkStart w:id="1416" w:name="_Toc279701254"/>
      <w:r>
        <w:rPr>
          <w:rFonts w:hint="eastAsia" w:ascii="宋体" w:hAnsi="宋体" w:eastAsia="宋体" w:cs="宋体"/>
          <w:b/>
          <w:color w:val="auto"/>
          <w:sz w:val="24"/>
          <w:highlight w:val="none"/>
        </w:rPr>
        <w:t>2.9 合同变更</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417" w:name="_Toc487900369"/>
      <w:bookmarkStart w:id="1418" w:name="_Toc279701259"/>
      <w:bookmarkStart w:id="1419" w:name="_Toc259093688"/>
    </w:p>
    <w:p>
      <w:pPr>
        <w:spacing w:line="400" w:lineRule="exact"/>
        <w:ind w:firstLine="482" w:firstLineChars="200"/>
        <w:outlineLvl w:val="0"/>
        <w:rPr>
          <w:rFonts w:hint="eastAsia" w:ascii="宋体" w:hAnsi="宋体" w:eastAsia="宋体" w:cs="宋体"/>
          <w:b/>
          <w:color w:val="auto"/>
          <w:sz w:val="24"/>
          <w:highlight w:val="none"/>
        </w:rPr>
      </w:pPr>
      <w:bookmarkStart w:id="1420" w:name="_Toc23368"/>
      <w:bookmarkStart w:id="1421" w:name="_Toc12838"/>
      <w:bookmarkStart w:id="1422" w:name="_Toc26689"/>
      <w:bookmarkStart w:id="1423" w:name="_Toc27242"/>
      <w:bookmarkStart w:id="1424" w:name="_Toc4195"/>
      <w:bookmarkStart w:id="1425" w:name="_Toc42"/>
      <w:bookmarkStart w:id="1426" w:name="_Toc14972"/>
      <w:bookmarkStart w:id="1427" w:name="_Toc30446"/>
      <w:bookmarkStart w:id="1428" w:name="_Toc8222"/>
      <w:bookmarkStart w:id="1429" w:name="_Toc21830"/>
      <w:bookmarkStart w:id="1430" w:name="_Toc6143"/>
      <w:bookmarkStart w:id="1431" w:name="_Toc17116"/>
      <w:bookmarkStart w:id="1432" w:name="_Toc18298"/>
      <w:bookmarkStart w:id="1433" w:name="_Toc28640"/>
      <w:bookmarkStart w:id="1434" w:name="_Toc10663"/>
      <w:bookmarkStart w:id="1435" w:name="_Toc4033"/>
      <w:bookmarkStart w:id="1436" w:name="_Toc6424"/>
      <w:bookmarkStart w:id="1437" w:name="_Toc19151"/>
      <w:bookmarkStart w:id="1438" w:name="_Toc24271"/>
      <w:bookmarkStart w:id="1439" w:name="_Toc22130"/>
      <w:bookmarkStart w:id="1440" w:name="_Toc26852"/>
      <w:r>
        <w:rPr>
          <w:rFonts w:hint="eastAsia" w:ascii="宋体" w:hAnsi="宋体" w:eastAsia="宋体" w:cs="宋体"/>
          <w:b/>
          <w:color w:val="auto"/>
          <w:sz w:val="24"/>
          <w:highlight w:val="none"/>
        </w:rPr>
        <w:t>2.10 合同转让</w:t>
      </w:r>
      <w:bookmarkEnd w:id="1417"/>
      <w:bookmarkEnd w:id="1418"/>
      <w:bookmarkEnd w:id="1419"/>
      <w:r>
        <w:rPr>
          <w:rFonts w:hint="eastAsia" w:ascii="宋体" w:hAnsi="宋体" w:eastAsia="宋体" w:cs="宋体"/>
          <w:b/>
          <w:color w:val="auto"/>
          <w:sz w:val="24"/>
          <w:highlight w:val="none"/>
        </w:rPr>
        <w:t>和分包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eastAsia="宋体" w:cs="宋体"/>
          <w:b/>
          <w:color w:val="auto"/>
          <w:sz w:val="24"/>
          <w:highlight w:val="none"/>
        </w:rPr>
      </w:pPr>
      <w:bookmarkStart w:id="1441" w:name="_Toc20290"/>
      <w:bookmarkStart w:id="1442" w:name="_Toc4720"/>
      <w:bookmarkStart w:id="1443" w:name="_Toc26602"/>
      <w:bookmarkStart w:id="1444" w:name="_Toc8431"/>
      <w:bookmarkStart w:id="1445" w:name="_Toc15171"/>
      <w:bookmarkStart w:id="1446" w:name="_Toc30847"/>
      <w:bookmarkStart w:id="1447" w:name="_Toc26633"/>
      <w:bookmarkStart w:id="1448" w:name="_Toc24708"/>
      <w:bookmarkStart w:id="1449" w:name="_Toc14371"/>
      <w:bookmarkStart w:id="1450" w:name="_Toc32494"/>
      <w:bookmarkStart w:id="1451" w:name="_Toc9462"/>
      <w:bookmarkStart w:id="1452" w:name="_Toc26920"/>
      <w:bookmarkStart w:id="1453" w:name="_Toc4684"/>
      <w:bookmarkStart w:id="1454" w:name="_Toc32622"/>
      <w:bookmarkStart w:id="1455" w:name="_Toc23855"/>
      <w:bookmarkStart w:id="1456" w:name="_Toc17450"/>
      <w:bookmarkStart w:id="1457" w:name="_Toc10203"/>
      <w:bookmarkStart w:id="1458" w:name="_Toc9705"/>
      <w:bookmarkStart w:id="1459" w:name="_Toc25571"/>
      <w:bookmarkStart w:id="1460" w:name="_Toc31065"/>
      <w:bookmarkStart w:id="1461" w:name="_Toc2937"/>
      <w:r>
        <w:rPr>
          <w:rFonts w:hint="eastAsia" w:ascii="宋体" w:hAnsi="宋体" w:eastAsia="宋体" w:cs="宋体"/>
          <w:b/>
          <w:color w:val="auto"/>
          <w:sz w:val="24"/>
          <w:highlight w:val="none"/>
        </w:rPr>
        <w:t>2.11 不可抗力</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400" w:lineRule="exact"/>
        <w:ind w:firstLine="482" w:firstLineChars="200"/>
        <w:outlineLvl w:val="0"/>
        <w:rPr>
          <w:rFonts w:hint="eastAsia" w:ascii="宋体" w:hAnsi="宋体" w:eastAsia="宋体" w:cs="宋体"/>
          <w:b/>
          <w:color w:val="auto"/>
          <w:sz w:val="24"/>
          <w:highlight w:val="none"/>
        </w:rPr>
      </w:pPr>
      <w:bookmarkStart w:id="1462" w:name="_Toc24465"/>
      <w:bookmarkStart w:id="1463" w:name="_Toc6465"/>
      <w:bookmarkStart w:id="1464" w:name="_Toc6743"/>
      <w:bookmarkStart w:id="1465" w:name="_Toc279701255"/>
      <w:bookmarkStart w:id="1466" w:name="_Toc23602"/>
      <w:bookmarkStart w:id="1467" w:name="_Toc1959"/>
      <w:bookmarkStart w:id="1468" w:name="_Toc14115"/>
      <w:bookmarkStart w:id="1469" w:name="_Toc23373"/>
      <w:bookmarkStart w:id="1470" w:name="_Toc259093684"/>
      <w:bookmarkStart w:id="1471" w:name="_Toc219"/>
      <w:bookmarkStart w:id="1472" w:name="_Toc32181"/>
      <w:bookmarkStart w:id="1473" w:name="_Toc11275"/>
      <w:bookmarkStart w:id="1474" w:name="_Toc487900365"/>
      <w:bookmarkStart w:id="1475" w:name="_Toc17127"/>
      <w:bookmarkStart w:id="1476" w:name="_Toc7981"/>
      <w:bookmarkStart w:id="1477" w:name="_Toc25783"/>
      <w:bookmarkStart w:id="1478" w:name="_Toc12690"/>
      <w:bookmarkStart w:id="1479" w:name="_Toc11667"/>
      <w:bookmarkStart w:id="1480" w:name="_Toc3156"/>
      <w:bookmarkStart w:id="1481" w:name="_Toc3638"/>
      <w:bookmarkStart w:id="1482" w:name="_Toc23854"/>
      <w:bookmarkStart w:id="1483" w:name="_Toc2834"/>
      <w:bookmarkStart w:id="1484" w:name="_Toc14370"/>
      <w:bookmarkStart w:id="1485" w:name="_Toc27546"/>
      <w:r>
        <w:rPr>
          <w:rFonts w:hint="eastAsia" w:ascii="宋体" w:hAnsi="宋体" w:eastAsia="宋体" w:cs="宋体"/>
          <w:b/>
          <w:color w:val="auto"/>
          <w:sz w:val="24"/>
          <w:highlight w:val="none"/>
        </w:rPr>
        <w:t>2.12 税费</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400" w:lineRule="exact"/>
        <w:ind w:firstLine="482" w:firstLineChars="200"/>
        <w:outlineLvl w:val="0"/>
        <w:rPr>
          <w:rFonts w:hint="eastAsia" w:ascii="宋体" w:hAnsi="宋体" w:eastAsia="宋体" w:cs="宋体"/>
          <w:b/>
          <w:color w:val="auto"/>
          <w:sz w:val="24"/>
          <w:highlight w:val="none"/>
        </w:rPr>
      </w:pPr>
      <w:bookmarkStart w:id="1486" w:name="_Toc10398"/>
      <w:bookmarkStart w:id="1487" w:name="_Toc3775"/>
      <w:bookmarkStart w:id="1488" w:name="_Toc26883"/>
      <w:bookmarkStart w:id="1489" w:name="_Toc3759"/>
      <w:bookmarkStart w:id="1490" w:name="_Toc17461"/>
      <w:bookmarkStart w:id="1491" w:name="_Toc24809"/>
      <w:bookmarkStart w:id="1492" w:name="_Toc25525"/>
      <w:bookmarkStart w:id="1493" w:name="_Toc4896"/>
      <w:bookmarkStart w:id="1494" w:name="_Toc15966"/>
      <w:bookmarkStart w:id="1495" w:name="_Toc259093687"/>
      <w:bookmarkStart w:id="1496" w:name="_Toc27492"/>
      <w:bookmarkStart w:id="1497" w:name="_Toc5156"/>
      <w:bookmarkStart w:id="1498" w:name="_Toc279701258"/>
      <w:bookmarkStart w:id="1499" w:name="_Toc31237"/>
      <w:bookmarkStart w:id="1500" w:name="_Toc426"/>
      <w:bookmarkStart w:id="1501" w:name="_Toc19880"/>
      <w:bookmarkStart w:id="1502" w:name="_Toc12415"/>
      <w:bookmarkStart w:id="1503" w:name="_Toc30105"/>
      <w:bookmarkStart w:id="1504" w:name="_Toc14494"/>
      <w:bookmarkStart w:id="1505" w:name="_Toc3161"/>
      <w:bookmarkStart w:id="1506" w:name="_Toc7315"/>
      <w:bookmarkStart w:id="1507" w:name="_Toc14814"/>
      <w:bookmarkStart w:id="1508" w:name="_Toc487900368"/>
      <w:bookmarkStart w:id="1509" w:name="_Toc6155"/>
      <w:r>
        <w:rPr>
          <w:rFonts w:hint="eastAsia" w:ascii="宋体" w:hAnsi="宋体" w:eastAsia="宋体" w:cs="宋体"/>
          <w:b/>
          <w:color w:val="auto"/>
          <w:sz w:val="24"/>
          <w:highlight w:val="none"/>
        </w:rPr>
        <w:t>2.13 乙方破产</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eastAsia="宋体" w:cs="宋体"/>
          <w:b/>
          <w:color w:val="auto"/>
          <w:sz w:val="24"/>
          <w:highlight w:val="none"/>
        </w:rPr>
      </w:pPr>
      <w:bookmarkStart w:id="1510" w:name="_Toc23323"/>
      <w:bookmarkStart w:id="1511" w:name="_Toc1123"/>
      <w:bookmarkStart w:id="1512" w:name="_Toc1675"/>
      <w:bookmarkStart w:id="1513" w:name="_Toc4845"/>
      <w:bookmarkStart w:id="1514" w:name="_Toc25092"/>
      <w:bookmarkStart w:id="1515" w:name="_Toc3274"/>
      <w:bookmarkStart w:id="1516" w:name="_Toc4472"/>
      <w:bookmarkStart w:id="1517" w:name="_Toc30682"/>
      <w:bookmarkStart w:id="1518" w:name="_Toc18650"/>
      <w:bookmarkStart w:id="1519" w:name="_Toc26320"/>
      <w:bookmarkStart w:id="1520" w:name="_Toc13023"/>
      <w:bookmarkStart w:id="1521" w:name="_Toc26987"/>
      <w:bookmarkStart w:id="1522" w:name="_Toc2016"/>
      <w:bookmarkStart w:id="1523" w:name="_Toc8069"/>
      <w:bookmarkStart w:id="1524" w:name="_Toc6032"/>
      <w:bookmarkStart w:id="1525" w:name="_Toc8066"/>
      <w:bookmarkStart w:id="1526" w:name="_Toc15650"/>
      <w:bookmarkStart w:id="1527" w:name="_Toc31298"/>
      <w:bookmarkStart w:id="1528" w:name="_Toc32490"/>
      <w:r>
        <w:rPr>
          <w:rFonts w:hint="eastAsia" w:ascii="宋体" w:hAnsi="宋体" w:eastAsia="宋体" w:cs="宋体"/>
          <w:b/>
          <w:color w:val="auto"/>
          <w:sz w:val="24"/>
          <w:highlight w:val="none"/>
        </w:rPr>
        <w:t>2.14 合同中止、终止</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eastAsia="宋体" w:cs="宋体"/>
          <w:b/>
          <w:color w:val="auto"/>
          <w:sz w:val="24"/>
          <w:highlight w:val="none"/>
        </w:rPr>
      </w:pPr>
      <w:bookmarkStart w:id="1529" w:name="_Toc25753"/>
      <w:bookmarkStart w:id="1530" w:name="_Toc22355"/>
      <w:bookmarkStart w:id="1531" w:name="_Toc17363"/>
      <w:bookmarkStart w:id="1532" w:name="_Toc22475"/>
      <w:bookmarkStart w:id="1533" w:name="_Toc12981"/>
      <w:bookmarkStart w:id="1534" w:name="_Toc5120"/>
      <w:bookmarkStart w:id="1535" w:name="_Toc1969"/>
      <w:bookmarkStart w:id="1536" w:name="_Toc10291"/>
      <w:bookmarkStart w:id="1537" w:name="_Toc31348"/>
      <w:bookmarkStart w:id="1538" w:name="_Toc30002"/>
      <w:bookmarkStart w:id="1539" w:name="_Toc9488"/>
      <w:bookmarkStart w:id="1540" w:name="_Toc295"/>
      <w:bookmarkStart w:id="1541" w:name="_Toc22366"/>
      <w:bookmarkStart w:id="1542" w:name="_Toc12473"/>
      <w:bookmarkStart w:id="1543" w:name="_Toc25815"/>
      <w:bookmarkStart w:id="1544" w:name="_Toc14653"/>
      <w:bookmarkStart w:id="1545" w:name="_Toc16250"/>
      <w:bookmarkStart w:id="1546" w:name="_Toc22271"/>
      <w:r>
        <w:rPr>
          <w:rFonts w:hint="eastAsia" w:ascii="宋体" w:hAnsi="宋体" w:eastAsia="宋体" w:cs="宋体"/>
          <w:b/>
          <w:color w:val="auto"/>
          <w:sz w:val="24"/>
          <w:highlight w:val="none"/>
        </w:rPr>
        <w:t>2.15 检验和验收</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413"/>
    <w:bookmarkEnd w:id="1414"/>
    <w:bookmarkEnd w:id="1415"/>
    <w:bookmarkEnd w:id="1416"/>
    <w:p>
      <w:pPr>
        <w:spacing w:line="400" w:lineRule="exact"/>
        <w:ind w:firstLine="482" w:firstLineChars="200"/>
        <w:outlineLvl w:val="0"/>
        <w:rPr>
          <w:rFonts w:hint="eastAsia" w:ascii="宋体" w:hAnsi="宋体" w:eastAsia="宋体" w:cs="宋体"/>
          <w:b/>
          <w:color w:val="auto"/>
          <w:sz w:val="24"/>
          <w:highlight w:val="none"/>
        </w:rPr>
      </w:pPr>
      <w:bookmarkStart w:id="1547" w:name="_Toc279701261"/>
      <w:bookmarkStart w:id="1548" w:name="_Toc259093690"/>
      <w:bookmarkStart w:id="1549" w:name="_Toc487900371"/>
      <w:bookmarkStart w:id="1550" w:name="_Toc22987"/>
      <w:bookmarkStart w:id="1551" w:name="_Toc31892"/>
      <w:bookmarkStart w:id="1552" w:name="_Toc26095"/>
      <w:bookmarkStart w:id="1553" w:name="_Toc26232"/>
      <w:bookmarkStart w:id="1554" w:name="_Toc13486"/>
      <w:bookmarkStart w:id="1555" w:name="_Toc1691"/>
      <w:bookmarkStart w:id="1556" w:name="_Toc9808"/>
      <w:bookmarkStart w:id="1557" w:name="_Toc12666"/>
      <w:bookmarkStart w:id="1558" w:name="_Toc13544"/>
      <w:bookmarkStart w:id="1559" w:name="_Toc10819"/>
      <w:bookmarkStart w:id="1560" w:name="_Toc12970"/>
      <w:bookmarkStart w:id="1561" w:name="_Toc29667"/>
      <w:bookmarkStart w:id="1562" w:name="_Toc2308"/>
      <w:bookmarkStart w:id="1563" w:name="_Toc3309"/>
      <w:bookmarkStart w:id="1564" w:name="_Toc19041"/>
      <w:bookmarkStart w:id="1565" w:name="_Toc10525"/>
      <w:bookmarkStart w:id="1566" w:name="_Toc6307"/>
      <w:bookmarkStart w:id="1567" w:name="_Toc25198"/>
      <w:bookmarkStart w:id="1568" w:name="_Toc13224"/>
      <w:bookmarkStart w:id="1569" w:name="_Toc27995"/>
      <w:bookmarkStart w:id="1570" w:name="_Toc29431"/>
      <w:r>
        <w:rPr>
          <w:rFonts w:hint="eastAsia" w:ascii="宋体" w:hAnsi="宋体" w:eastAsia="宋体" w:cs="宋体"/>
          <w:b/>
          <w:color w:val="auto"/>
          <w:sz w:val="24"/>
          <w:highlight w:val="none"/>
        </w:rPr>
        <w:t>2.16 通知</w:t>
      </w:r>
      <w:bookmarkEnd w:id="1547"/>
      <w:bookmarkEnd w:id="1548"/>
      <w:bookmarkEnd w:id="1549"/>
      <w:r>
        <w:rPr>
          <w:rFonts w:hint="eastAsia" w:ascii="宋体" w:hAnsi="宋体" w:eastAsia="宋体" w:cs="宋体"/>
          <w:b/>
          <w:color w:val="auto"/>
          <w:sz w:val="24"/>
          <w:highlight w:val="none"/>
        </w:rPr>
        <w:t>和送达</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pPr>
        <w:spacing w:line="400" w:lineRule="exact"/>
        <w:ind w:firstLine="480" w:firstLineChars="200"/>
        <w:rPr>
          <w:rFonts w:hint="eastAsia" w:ascii="宋体" w:hAnsi="宋体" w:eastAsia="宋体" w:cs="宋体"/>
          <w:color w:val="auto"/>
          <w:sz w:val="24"/>
          <w:highlight w:val="none"/>
        </w:rPr>
      </w:pPr>
      <w:bookmarkStart w:id="1571" w:name="_Toc7073"/>
      <w:bookmarkStart w:id="1572" w:name="_Toc279701262"/>
      <w:bookmarkStart w:id="1573" w:name="_Toc487900372"/>
      <w:bookmarkStart w:id="1574" w:name="_Toc259093691"/>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571"/>
    </w:p>
    <w:p>
      <w:pPr>
        <w:spacing w:line="400" w:lineRule="exact"/>
        <w:ind w:firstLine="480" w:firstLineChars="200"/>
        <w:rPr>
          <w:rFonts w:hint="eastAsia" w:ascii="宋体" w:hAnsi="宋体" w:eastAsia="宋体" w:cs="宋体"/>
          <w:color w:val="auto"/>
          <w:sz w:val="24"/>
          <w:highlight w:val="none"/>
        </w:rPr>
      </w:pPr>
      <w:bookmarkStart w:id="1575" w:name="_Toc27674"/>
      <w:bookmarkStart w:id="1576" w:name="_Toc18401"/>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75"/>
      <w:bookmarkEnd w:id="1576"/>
    </w:p>
    <w:bookmarkEnd w:id="1572"/>
    <w:bookmarkEnd w:id="1573"/>
    <w:bookmarkEnd w:id="1574"/>
    <w:p>
      <w:pPr>
        <w:spacing w:line="400" w:lineRule="exact"/>
        <w:ind w:firstLine="482" w:firstLineChars="200"/>
        <w:outlineLvl w:val="0"/>
        <w:rPr>
          <w:rFonts w:hint="eastAsia" w:ascii="宋体" w:hAnsi="宋体" w:eastAsia="宋体" w:cs="宋体"/>
          <w:b/>
          <w:color w:val="auto"/>
          <w:sz w:val="24"/>
          <w:highlight w:val="none"/>
        </w:rPr>
      </w:pPr>
      <w:bookmarkStart w:id="1577" w:name="_Toc259093692"/>
      <w:bookmarkStart w:id="1578" w:name="_Toc10141"/>
      <w:bookmarkStart w:id="1579" w:name="_Toc5063"/>
      <w:bookmarkStart w:id="1580" w:name="_Toc4407"/>
      <w:bookmarkStart w:id="1581" w:name="_Toc16009"/>
      <w:bookmarkStart w:id="1582" w:name="_Toc10103"/>
      <w:bookmarkStart w:id="1583" w:name="_Toc31615"/>
      <w:bookmarkStart w:id="1584" w:name="_Toc18906"/>
      <w:bookmarkStart w:id="1585" w:name="_Toc19439"/>
      <w:bookmarkStart w:id="1586" w:name="_Toc20808"/>
      <w:bookmarkStart w:id="1587" w:name="_Toc556"/>
      <w:bookmarkStart w:id="1588" w:name="_Toc487900373"/>
      <w:bookmarkStart w:id="1589" w:name="_Toc28906"/>
      <w:bookmarkStart w:id="1590" w:name="_Toc12254"/>
      <w:bookmarkStart w:id="1591" w:name="_Toc27644"/>
      <w:bookmarkStart w:id="1592" w:name="_Toc18929"/>
      <w:bookmarkStart w:id="1593" w:name="_Toc279701263"/>
      <w:bookmarkStart w:id="1594" w:name="_Toc28590"/>
      <w:bookmarkStart w:id="1595" w:name="_Toc18708"/>
      <w:bookmarkStart w:id="1596" w:name="_Toc1846"/>
      <w:bookmarkStart w:id="1597" w:name="_Toc3962"/>
      <w:bookmarkStart w:id="1598" w:name="_Toc32231"/>
      <w:bookmarkStart w:id="1599" w:name="_Toc13433"/>
      <w:bookmarkStart w:id="1600" w:name="_Toc15108"/>
      <w:r>
        <w:rPr>
          <w:rFonts w:hint="eastAsia" w:ascii="宋体" w:hAnsi="宋体" w:eastAsia="宋体" w:cs="宋体"/>
          <w:b/>
          <w:color w:val="auto"/>
          <w:sz w:val="24"/>
          <w:highlight w:val="none"/>
        </w:rPr>
        <w:t>2.17 合同使用的文字和适用的法律</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pPr>
        <w:spacing w:line="400" w:lineRule="exact"/>
        <w:ind w:firstLine="482" w:firstLineChars="200"/>
        <w:outlineLvl w:val="0"/>
        <w:rPr>
          <w:rFonts w:hint="eastAsia" w:ascii="宋体" w:hAnsi="宋体" w:eastAsia="宋体" w:cs="宋体"/>
          <w:b/>
          <w:color w:val="auto"/>
          <w:sz w:val="24"/>
          <w:highlight w:val="none"/>
        </w:rPr>
      </w:pPr>
      <w:bookmarkStart w:id="1601" w:name="_Toc30312"/>
      <w:bookmarkStart w:id="1602" w:name="_Toc18902"/>
      <w:bookmarkStart w:id="1603" w:name="_Toc259093693"/>
      <w:bookmarkStart w:id="1604" w:name="_Toc15033"/>
      <w:bookmarkStart w:id="1605" w:name="_Toc27127"/>
      <w:bookmarkStart w:id="1606" w:name="_Toc5719"/>
      <w:bookmarkStart w:id="1607" w:name="_Toc7323"/>
      <w:bookmarkStart w:id="1608" w:name="_Toc1492"/>
      <w:bookmarkStart w:id="1609" w:name="_Toc20271"/>
      <w:bookmarkStart w:id="1610" w:name="_Toc1356"/>
      <w:bookmarkStart w:id="1611" w:name="_Toc26691"/>
      <w:bookmarkStart w:id="1612" w:name="_Toc27718"/>
      <w:bookmarkStart w:id="1613" w:name="_Toc279701264"/>
      <w:bookmarkStart w:id="1614" w:name="_Toc30096"/>
      <w:bookmarkStart w:id="1615" w:name="_Toc32512"/>
      <w:bookmarkStart w:id="1616" w:name="_Toc31884"/>
      <w:bookmarkStart w:id="1617" w:name="_Toc32540"/>
      <w:bookmarkStart w:id="1618" w:name="_Toc20559"/>
      <w:bookmarkStart w:id="1619" w:name="_Toc31142"/>
      <w:bookmarkStart w:id="1620" w:name="_Toc25528"/>
      <w:bookmarkStart w:id="1621" w:name="_Toc27403"/>
      <w:bookmarkStart w:id="1622" w:name="_Toc1583"/>
      <w:bookmarkStart w:id="1623" w:name="_Toc487900374"/>
      <w:r>
        <w:rPr>
          <w:rFonts w:hint="eastAsia" w:ascii="宋体" w:hAnsi="宋体" w:eastAsia="宋体" w:cs="宋体"/>
          <w:b/>
          <w:color w:val="auto"/>
          <w:sz w:val="24"/>
          <w:highlight w:val="none"/>
        </w:rPr>
        <w:t>2.18 履约保证金</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23"/>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合同份数</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bookmarkStart w:id="1624" w:name="_Toc331685784"/>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第三部分  合同专用条款</w:t>
      </w:r>
      <w:bookmarkEnd w:id="162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bl>
    <w:p>
      <w:pPr>
        <w:spacing w:after="156" w:line="400" w:lineRule="exact"/>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4" w:type="default"/>
      <w:footerReference r:id="rId15"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000020204"/>
    <w:charset w:val="00"/>
    <w:family w:val="roman"/>
    <w:pitch w:val="default"/>
    <w:sig w:usb0="00000000" w:usb1="00000000" w:usb2="00000000" w:usb3="00000000" w:csb0="00000001" w:csb1="00000000"/>
  </w:font>
  <w:font w:name="pingfang sc">
    <w:altName w:val="宋体"/>
    <w:panose1 w:val="000000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jc w:val="center"/>
    </w:pPr>
    <w:r>
      <w:rPr>
        <w:rFonts w:hint="eastAsia"/>
        <w:color w:val="FF0000"/>
      </w:rPr>
      <w:tab/>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p>
    <w:pPr>
      <w:pStyle w:val="18"/>
      <w:tabs>
        <w:tab w:val="clear" w:pos="8306"/>
      </w:tabs>
      <w:ind w:right="360"/>
    </w:pPr>
    <w:r>
      <w:rPr>
        <w:rFonts w:hint="eastAsia"/>
        <w:color w:val="FF0000"/>
      </w:rPr>
      <w:tab/>
    </w:r>
  </w:p>
  <w:p>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pP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drawing>
        <wp:inline distT="0" distB="0" distL="114300" distR="114300">
          <wp:extent cx="991235" cy="633095"/>
          <wp:effectExtent l="0" t="0" r="1460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7.2pt;margin-top:32.95pt;height:15.6pt;width:152.25pt;z-index:251663360;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0" o:spid="_x0000_s2050" o:spt="136" type="#_x0000_t136" style="position:absolute;left:0pt;margin-left:69.35pt;margin-top:31.85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5" o:spid="_x0000_s2055" o:spt="136" type="#_x0000_t136" style="position:absolute;left:0pt;margin-left:69.35pt;margin-top:31.85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4" o:spid="_x0000_s2054" o:spt="136" type="#_x0000_t136" style="position:absolute;left:0pt;margin-left:72.3pt;margin-top:33pt;height:15.6pt;width:152.25pt;z-index:25166540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657AD"/>
    <w:multiLevelType w:val="singleLevel"/>
    <w:tmpl w:val="AF2657AD"/>
    <w:lvl w:ilvl="0" w:tentative="0">
      <w:start w:val="2"/>
      <w:numFmt w:val="chineseCounting"/>
      <w:suff w:val="nothing"/>
      <w:lvlText w:val="%1、"/>
      <w:lvlJc w:val="left"/>
      <w:rPr>
        <w:rFonts w:hint="eastAsia"/>
      </w:rPr>
    </w:lvl>
  </w:abstractNum>
  <w:abstractNum w:abstractNumId="1">
    <w:nsid w:val="F391BCFB"/>
    <w:multiLevelType w:val="singleLevel"/>
    <w:tmpl w:val="F391BCFB"/>
    <w:lvl w:ilvl="0" w:tentative="0">
      <w:start w:val="1"/>
      <w:numFmt w:val="chineseCounting"/>
      <w:suff w:val="nothing"/>
      <w:lvlText w:val="（%1）"/>
      <w:lvlJc w:val="left"/>
      <w:pPr>
        <w:ind w:left="0" w:firstLine="420"/>
      </w:pPr>
      <w:rPr>
        <w:rFonts w:hint="eastAsia"/>
      </w:rPr>
    </w:lvl>
  </w:abstractNum>
  <w:abstractNum w:abstractNumId="2">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2"/>
      <w:numFmt w:val="decimal"/>
      <w:suff w:val="nothing"/>
      <w:lvlText w:val="%1、"/>
      <w:lvlJc w:val="left"/>
    </w:lvl>
  </w:abstractNum>
  <w:abstractNum w:abstractNumId="5">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singleLevel"/>
    <w:tmpl w:val="00000007"/>
    <w:lvl w:ilvl="0" w:tentative="0">
      <w:start w:val="15"/>
      <w:numFmt w:val="decimal"/>
      <w:suff w:val="space"/>
      <w:lvlText w:val="%1."/>
      <w:lvlJc w:val="left"/>
    </w:lvl>
  </w:abstractNum>
  <w:abstractNum w:abstractNumId="7">
    <w:nsid w:val="077B66C9"/>
    <w:multiLevelType w:val="multilevel"/>
    <w:tmpl w:val="077B66C9"/>
    <w:lvl w:ilvl="0" w:tentative="0">
      <w:start w:val="1"/>
      <w:numFmt w:val="chineseCountingThousand"/>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E89B91"/>
    <w:multiLevelType w:val="singleLevel"/>
    <w:tmpl w:val="0CE89B91"/>
    <w:lvl w:ilvl="0" w:tentative="0">
      <w:start w:val="1"/>
      <w:numFmt w:val="decimal"/>
      <w:lvlText w:val="(%1)"/>
      <w:lvlJc w:val="left"/>
      <w:pPr>
        <w:ind w:left="425" w:hanging="425"/>
      </w:pPr>
      <w:rPr>
        <w:rFonts w:hint="default"/>
      </w:rPr>
    </w:lvl>
  </w:abstractNum>
  <w:abstractNum w:abstractNumId="9">
    <w:nsid w:val="66631E7A"/>
    <w:multiLevelType w:val="singleLevel"/>
    <w:tmpl w:val="66631E7A"/>
    <w:lvl w:ilvl="0" w:tentative="0">
      <w:start w:val="6"/>
      <w:numFmt w:val="chineseCounting"/>
      <w:suff w:val="nothing"/>
      <w:lvlText w:val="%1、"/>
      <w:lvlJc w:val="left"/>
      <w:rPr>
        <w:rFonts w:hint="eastAsia"/>
      </w:rPr>
    </w:lvl>
  </w:abstractNum>
  <w:num w:numId="1">
    <w:abstractNumId w:val="6"/>
  </w:num>
  <w:num w:numId="2">
    <w:abstractNumId w:val="2"/>
  </w:num>
  <w:num w:numId="3">
    <w:abstractNumId w:val="5"/>
  </w:num>
  <w:num w:numId="4">
    <w:abstractNumId w:val="4"/>
  </w:num>
  <w:num w:numId="5">
    <w:abstractNumId w:val="9"/>
  </w:num>
  <w:num w:numId="6">
    <w:abstractNumId w:val="3"/>
  </w:num>
  <w:num w:numId="7">
    <w:abstractNumId w:val="7"/>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2AC5585"/>
    <w:rsid w:val="03332F3B"/>
    <w:rsid w:val="03824AAC"/>
    <w:rsid w:val="06850BC6"/>
    <w:rsid w:val="068E19BA"/>
    <w:rsid w:val="08123B23"/>
    <w:rsid w:val="08AC2CAF"/>
    <w:rsid w:val="0A690774"/>
    <w:rsid w:val="0D5D20E6"/>
    <w:rsid w:val="0DB53CD0"/>
    <w:rsid w:val="10044A9B"/>
    <w:rsid w:val="10D168C6"/>
    <w:rsid w:val="11C36762"/>
    <w:rsid w:val="13514207"/>
    <w:rsid w:val="14F334FC"/>
    <w:rsid w:val="16A7036B"/>
    <w:rsid w:val="191D7F9E"/>
    <w:rsid w:val="19811F98"/>
    <w:rsid w:val="19E25E4D"/>
    <w:rsid w:val="1A3A7A37"/>
    <w:rsid w:val="1AC619D4"/>
    <w:rsid w:val="1BBE51E0"/>
    <w:rsid w:val="1C4B58BF"/>
    <w:rsid w:val="1CB4669B"/>
    <w:rsid w:val="1CBC0BD7"/>
    <w:rsid w:val="1CCC4B92"/>
    <w:rsid w:val="1D672743"/>
    <w:rsid w:val="1D6B43AB"/>
    <w:rsid w:val="20D364EF"/>
    <w:rsid w:val="232C1EE7"/>
    <w:rsid w:val="233149C3"/>
    <w:rsid w:val="266D2F42"/>
    <w:rsid w:val="29142ECF"/>
    <w:rsid w:val="2BBA09D7"/>
    <w:rsid w:val="2EC038A1"/>
    <w:rsid w:val="2ECB049F"/>
    <w:rsid w:val="31B45EC9"/>
    <w:rsid w:val="340652B3"/>
    <w:rsid w:val="37F4490E"/>
    <w:rsid w:val="3C4340D1"/>
    <w:rsid w:val="3C4C398F"/>
    <w:rsid w:val="3ECB7E00"/>
    <w:rsid w:val="3FBE29B5"/>
    <w:rsid w:val="3FF66E37"/>
    <w:rsid w:val="402677EF"/>
    <w:rsid w:val="404843AC"/>
    <w:rsid w:val="40FD2609"/>
    <w:rsid w:val="417210ED"/>
    <w:rsid w:val="42ED5ADA"/>
    <w:rsid w:val="45C16896"/>
    <w:rsid w:val="45EB2A31"/>
    <w:rsid w:val="478E3EDC"/>
    <w:rsid w:val="483B48D8"/>
    <w:rsid w:val="4A577626"/>
    <w:rsid w:val="4AFA2747"/>
    <w:rsid w:val="4DD73AB2"/>
    <w:rsid w:val="4E125FF9"/>
    <w:rsid w:val="4E1316E2"/>
    <w:rsid w:val="4E391F25"/>
    <w:rsid w:val="4F9C1488"/>
    <w:rsid w:val="50FB0FC7"/>
    <w:rsid w:val="52A23254"/>
    <w:rsid w:val="53B12664"/>
    <w:rsid w:val="54316F55"/>
    <w:rsid w:val="54E95A91"/>
    <w:rsid w:val="57E0014D"/>
    <w:rsid w:val="593073A9"/>
    <w:rsid w:val="5C9D73D6"/>
    <w:rsid w:val="5E46190D"/>
    <w:rsid w:val="5F1F0576"/>
    <w:rsid w:val="62657B3B"/>
    <w:rsid w:val="66422BD0"/>
    <w:rsid w:val="66926B4D"/>
    <w:rsid w:val="66E5284E"/>
    <w:rsid w:val="6A674B7F"/>
    <w:rsid w:val="6B862427"/>
    <w:rsid w:val="70957697"/>
    <w:rsid w:val="70AA5BDC"/>
    <w:rsid w:val="717007BD"/>
    <w:rsid w:val="72174425"/>
    <w:rsid w:val="72A66B8C"/>
    <w:rsid w:val="72FC3FBF"/>
    <w:rsid w:val="740F0761"/>
    <w:rsid w:val="742B4F07"/>
    <w:rsid w:val="74C32927"/>
    <w:rsid w:val="75426333"/>
    <w:rsid w:val="76AF0578"/>
    <w:rsid w:val="76BB24DB"/>
    <w:rsid w:val="78687EFB"/>
    <w:rsid w:val="7ADB01AE"/>
    <w:rsid w:val="7C204D78"/>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5"/>
    <w:qFormat/>
    <w:uiPriority w:val="0"/>
    <w:pPr>
      <w:keepNext/>
      <w:keepLines/>
      <w:autoSpaceDE w:val="0"/>
      <w:autoSpaceDN w:val="0"/>
      <w:adjustRightInd w:val="0"/>
      <w:spacing w:after="120" w:line="300" w:lineRule="auto"/>
    </w:pPr>
    <w:rPr>
      <w:rFonts w:ascii="宋体"/>
      <w:kern w:val="44"/>
      <w:szCs w:val="20"/>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0">
    <w:name w:val="heading 3"/>
    <w:basedOn w:val="1"/>
    <w:next w:val="1"/>
    <w:qFormat/>
    <w:uiPriority w:val="0"/>
    <w:pPr>
      <w:spacing w:before="360" w:after="120"/>
      <w:jc w:val="left"/>
      <w:outlineLvl w:val="2"/>
    </w:pPr>
    <w:rPr>
      <w:rFonts w:ascii="宋体" w:hAnsi="Times New Roman"/>
      <w:sz w:val="24"/>
      <w:u w:val="single"/>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customStyle="1" w:styleId="2">
    <w:name w:val="正文1"/>
    <w:basedOn w:val="3"/>
    <w:qFormat/>
    <w:uiPriority w:val="0"/>
    <w:pPr>
      <w:tabs>
        <w:tab w:val="left" w:pos="567"/>
      </w:tabs>
      <w:overflowPunct w:val="0"/>
      <w:textAlignment w:val="baseline"/>
    </w:pPr>
    <w:rPr>
      <w:rFonts w:ascii="Times New Roman" w:hAnsi="Times New Roman" w:eastAsia="SimSun;宋体" w:cs="Times New Roman"/>
      <w:lang w:val="en-GB" w:eastAsia="zh-CN" w:bidi="ar-SA"/>
    </w:rPr>
  </w:style>
  <w:style w:type="paragraph" w:styleId="3">
    <w:name w:val="Body Text First Indent"/>
    <w:basedOn w:val="4"/>
    <w:next w:val="1"/>
    <w:qFormat/>
    <w:uiPriority w:val="0"/>
    <w:pPr>
      <w:tabs>
        <w:tab w:val="left" w:pos="567"/>
      </w:tabs>
      <w:spacing w:after="120" w:line="240" w:lineRule="auto"/>
      <w:ind w:firstLine="420" w:firstLineChars="100"/>
    </w:pPr>
    <w:rPr>
      <w:rFonts w:ascii="Calibri" w:hAnsi="Calibri"/>
      <w:sz w:val="18"/>
      <w:szCs w:val="18"/>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8">
    <w:name w:val="Normal Indent"/>
    <w:basedOn w:val="1"/>
    <w:next w:val="9"/>
    <w:qFormat/>
    <w:uiPriority w:val="0"/>
    <w:pPr>
      <w:autoSpaceDE w:val="0"/>
      <w:autoSpaceDN w:val="0"/>
      <w:adjustRightInd w:val="0"/>
      <w:ind w:firstLine="420"/>
      <w:jc w:val="left"/>
    </w:pPr>
    <w:rPr>
      <w:rFonts w:ascii="宋体" w:hAnsi="Times New Roman"/>
      <w:kern w:val="0"/>
      <w:sz w:val="24"/>
      <w:szCs w:val="20"/>
    </w:rPr>
  </w:style>
  <w:style w:type="paragraph" w:styleId="9">
    <w:name w:val="toa heading"/>
    <w:basedOn w:val="1"/>
    <w:next w:val="1"/>
    <w:qFormat/>
    <w:uiPriority w:val="0"/>
    <w:pPr>
      <w:widowControl/>
      <w:spacing w:before="120"/>
      <w:ind w:firstLine="3584"/>
    </w:pPr>
  </w:style>
  <w:style w:type="paragraph" w:styleId="11">
    <w:name w:val="Document Map"/>
    <w:basedOn w:val="1"/>
    <w:link w:val="67"/>
    <w:qFormat/>
    <w:uiPriority w:val="0"/>
    <w:rPr>
      <w:rFonts w:ascii="宋体"/>
      <w:sz w:val="18"/>
      <w:szCs w:val="18"/>
    </w:rPr>
  </w:style>
  <w:style w:type="paragraph" w:styleId="12">
    <w:name w:val="annotation text"/>
    <w:basedOn w:val="1"/>
    <w:link w:val="60"/>
    <w:qFormat/>
    <w:uiPriority w:val="0"/>
    <w:pPr>
      <w:jc w:val="left"/>
    </w:pPr>
  </w:style>
  <w:style w:type="paragraph" w:styleId="13">
    <w:name w:val="Body Text Indent"/>
    <w:basedOn w:val="1"/>
    <w:next w:val="14"/>
    <w:qFormat/>
    <w:uiPriority w:val="0"/>
    <w:pPr>
      <w:spacing w:line="360" w:lineRule="auto"/>
      <w:ind w:firstLine="570"/>
    </w:pPr>
    <w:rPr>
      <w:rFonts w:ascii="Times New Roman" w:hAnsi="Times New Roman"/>
      <w:sz w:val="24"/>
    </w:rPr>
  </w:style>
  <w:style w:type="paragraph" w:styleId="14">
    <w:name w:val="Body Text First Indent 2"/>
    <w:basedOn w:val="13"/>
    <w:next w:val="8"/>
    <w:qFormat/>
    <w:uiPriority w:val="0"/>
    <w:pPr>
      <w:ind w:firstLine="420" w:firstLineChars="2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59"/>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9">
    <w:name w:val="envelope return"/>
    <w:basedOn w:val="1"/>
    <w:qFormat/>
    <w:uiPriority w:val="0"/>
    <w:pPr>
      <w:snapToGrid w:val="0"/>
    </w:pPr>
    <w:rPr>
      <w:rFonts w:ascii="Arial" w:hAnsi="Arial" w:cs="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rPr>
      <w:rFonts w:ascii="Times New Roman" w:hAnsi="Times New Roman"/>
    </w:rPr>
  </w:style>
  <w:style w:type="paragraph" w:styleId="22">
    <w:name w:val="footnote text"/>
    <w:basedOn w:val="1"/>
    <w:qFormat/>
    <w:uiPriority w:val="0"/>
    <w:pPr>
      <w:snapToGrid w:val="0"/>
      <w:jc w:val="left"/>
    </w:pPr>
    <w:rPr>
      <w:rFonts w:ascii="Times New Roman" w:hAnsi="Times New Roman"/>
      <w:sz w:val="18"/>
    </w:rPr>
  </w:style>
  <w:style w:type="paragraph" w:styleId="23">
    <w:name w:val="toc 2"/>
    <w:basedOn w:val="1"/>
    <w:next w:val="1"/>
    <w:qFormat/>
    <w:uiPriority w:val="0"/>
    <w:pPr>
      <w:ind w:left="420" w:leftChars="200"/>
    </w:pPr>
    <w:rPr>
      <w:rFonts w:ascii="Times New Roman" w:hAnsi="Times New Roman"/>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6">
    <w:name w:val="annotation subject"/>
    <w:basedOn w:val="12"/>
    <w:next w:val="12"/>
    <w:link w:val="61"/>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rPr>
      <w:rFonts w:ascii="Times New Roman" w:hAnsi="Times New Roman" w:eastAsia="宋体" w:cs="Times New Roman"/>
    </w:rPr>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paragraph" w:customStyle="1" w:styleId="34">
    <w:name w:val="BodyText"/>
    <w:basedOn w:val="1"/>
    <w:qFormat/>
    <w:uiPriority w:val="0"/>
    <w:pPr>
      <w:spacing w:after="120"/>
    </w:pPr>
  </w:style>
  <w:style w:type="character" w:customStyle="1" w:styleId="35">
    <w:name w:val="标题 1 Char"/>
    <w:link w:val="6"/>
    <w:qFormat/>
    <w:uiPriority w:val="0"/>
    <w:rPr>
      <w:rFonts w:ascii="宋体"/>
      <w:b/>
      <w:kern w:val="44"/>
      <w:sz w:val="32"/>
      <w:szCs w:val="20"/>
    </w:rPr>
  </w:style>
  <w:style w:type="paragraph" w:customStyle="1" w:styleId="36">
    <w:name w:val="无间隔1"/>
    <w:link w:val="53"/>
    <w:qFormat/>
    <w:uiPriority w:val="1"/>
    <w:pPr>
      <w:widowControl w:val="0"/>
      <w:jc w:val="both"/>
    </w:pPr>
    <w:rPr>
      <w:rFonts w:ascii="Calibri" w:hAnsi="Calibri" w:eastAsia="宋体" w:cs="Times New Roman"/>
      <w:kern w:val="2"/>
      <w:sz w:val="21"/>
      <w:szCs w:val="24"/>
      <w:lang w:val="en-US" w:eastAsia="zh-CN" w:bidi="ar-SA"/>
    </w:rPr>
  </w:style>
  <w:style w:type="character" w:customStyle="1" w:styleId="37">
    <w:name w:val="NormalCharacter"/>
    <w:qFormat/>
    <w:uiPriority w:val="0"/>
    <w:rPr>
      <w:rFonts w:ascii="Calibri" w:hAnsi="Calibri" w:eastAsia="宋体" w:cs="Times New Roman"/>
      <w:kern w:val="2"/>
      <w:sz w:val="21"/>
      <w:szCs w:val="24"/>
      <w:lang w:val="en-US" w:eastAsia="zh-CN" w:bidi="ar-SA"/>
    </w:rPr>
  </w:style>
  <w:style w:type="paragraph" w:customStyle="1" w:styleId="38">
    <w:name w:val="图例"/>
    <w:basedOn w:val="1"/>
    <w:qFormat/>
    <w:uiPriority w:val="0"/>
    <w:pPr>
      <w:spacing w:before="120" w:after="120" w:line="360" w:lineRule="auto"/>
      <w:jc w:val="center"/>
    </w:pPr>
    <w:rPr>
      <w:rFonts w:eastAsia="仿宋_GB2312"/>
      <w:b/>
      <w:sz w:val="24"/>
    </w:rPr>
  </w:style>
  <w:style w:type="paragraph" w:customStyle="1" w:styleId="39">
    <w:name w:val="列出段落1"/>
    <w:basedOn w:val="1"/>
    <w:qFormat/>
    <w:uiPriority w:val="0"/>
    <w:pPr>
      <w:ind w:firstLine="420" w:firstLineChars="200"/>
    </w:pPr>
  </w:style>
  <w:style w:type="paragraph" w:customStyle="1" w:styleId="40">
    <w:name w:val="列出段落2"/>
    <w:basedOn w:val="1"/>
    <w:qFormat/>
    <w:uiPriority w:val="34"/>
    <w:pPr>
      <w:ind w:firstLine="420" w:firstLineChars="200"/>
    </w:pPr>
  </w:style>
  <w:style w:type="paragraph" w:customStyle="1" w:styleId="41">
    <w:name w:val="正文-manu"/>
    <w:basedOn w:val="1"/>
    <w:qFormat/>
    <w:uiPriority w:val="0"/>
    <w:pPr>
      <w:spacing w:line="300" w:lineRule="auto"/>
    </w:pPr>
    <w:rPr>
      <w:b/>
      <w:snapToGrid w:val="0"/>
      <w:kern w:val="0"/>
      <w:sz w:val="24"/>
      <w:szCs w:val="20"/>
    </w:rPr>
  </w:style>
  <w:style w:type="character" w:customStyle="1" w:styleId="42">
    <w:name w:val="font01"/>
    <w:basedOn w:val="29"/>
    <w:qFormat/>
    <w:uiPriority w:val="0"/>
    <w:rPr>
      <w:rFonts w:hint="default" w:ascii="Arial" w:hAnsi="Arial" w:cs="Arial"/>
      <w:color w:val="000000"/>
      <w:sz w:val="22"/>
      <w:szCs w:val="22"/>
      <w:u w:val="none"/>
    </w:rPr>
  </w:style>
  <w:style w:type="character" w:customStyle="1" w:styleId="43">
    <w:name w:val="font41"/>
    <w:basedOn w:val="29"/>
    <w:qFormat/>
    <w:uiPriority w:val="0"/>
    <w:rPr>
      <w:rFonts w:hint="eastAsia" w:ascii="宋体" w:hAnsi="宋体" w:eastAsia="宋体" w:cs="宋体"/>
      <w:color w:val="000000"/>
      <w:sz w:val="22"/>
      <w:szCs w:val="22"/>
      <w:u w:val="none"/>
    </w:rPr>
  </w:style>
  <w:style w:type="character" w:customStyle="1" w:styleId="44">
    <w:name w:val="font51"/>
    <w:basedOn w:val="29"/>
    <w:qFormat/>
    <w:uiPriority w:val="0"/>
    <w:rPr>
      <w:rFonts w:hint="eastAsia" w:ascii="宋体" w:hAnsi="宋体" w:eastAsia="宋体" w:cs="宋体"/>
      <w:color w:val="000000"/>
      <w:sz w:val="22"/>
      <w:szCs w:val="22"/>
      <w:u w:val="none"/>
    </w:rPr>
  </w:style>
  <w:style w:type="character" w:customStyle="1" w:styleId="45">
    <w:name w:val="font31"/>
    <w:basedOn w:val="29"/>
    <w:qFormat/>
    <w:uiPriority w:val="0"/>
    <w:rPr>
      <w:rFonts w:hint="default" w:ascii="Arial" w:hAnsi="Arial" w:cs="Arial"/>
      <w:b/>
      <w:color w:val="000000"/>
      <w:sz w:val="22"/>
      <w:szCs w:val="22"/>
      <w:u w:val="none"/>
    </w:rPr>
  </w:style>
  <w:style w:type="character" w:customStyle="1" w:styleId="46">
    <w:name w:val="font91"/>
    <w:basedOn w:val="29"/>
    <w:qFormat/>
    <w:uiPriority w:val="0"/>
    <w:rPr>
      <w:rFonts w:hint="default" w:ascii="Arial" w:hAnsi="Arial" w:cs="Arial"/>
      <w:color w:val="000000"/>
      <w:sz w:val="22"/>
      <w:szCs w:val="22"/>
      <w:u w:val="none"/>
    </w:rPr>
  </w:style>
  <w:style w:type="character" w:customStyle="1" w:styleId="47">
    <w:name w:val="font81"/>
    <w:basedOn w:val="29"/>
    <w:qFormat/>
    <w:uiPriority w:val="0"/>
    <w:rPr>
      <w:rFonts w:hint="eastAsia" w:ascii="宋体" w:hAnsi="宋体" w:eastAsia="宋体" w:cs="宋体"/>
      <w:color w:val="000000"/>
      <w:sz w:val="22"/>
      <w:szCs w:val="22"/>
      <w:u w:val="none"/>
    </w:rPr>
  </w:style>
  <w:style w:type="character" w:customStyle="1" w:styleId="48">
    <w:name w:val="font21"/>
    <w:basedOn w:val="29"/>
    <w:qFormat/>
    <w:uiPriority w:val="0"/>
    <w:rPr>
      <w:rFonts w:ascii="微软雅黑" w:hAnsi="微软雅黑" w:eastAsia="微软雅黑" w:cs="微软雅黑"/>
      <w:b/>
      <w:color w:val="000000"/>
      <w:sz w:val="24"/>
      <w:szCs w:val="24"/>
      <w:u w:val="none"/>
    </w:rPr>
  </w:style>
  <w:style w:type="character" w:customStyle="1" w:styleId="49">
    <w:name w:val="font61"/>
    <w:basedOn w:val="29"/>
    <w:qFormat/>
    <w:uiPriority w:val="0"/>
    <w:rPr>
      <w:rFonts w:hint="default" w:ascii="Times New Roman" w:hAnsi="Times New Roman" w:cs="Times New Roman"/>
      <w:b/>
      <w:color w:val="000000"/>
      <w:sz w:val="24"/>
      <w:szCs w:val="24"/>
      <w:u w:val="none"/>
    </w:rPr>
  </w:style>
  <w:style w:type="character" w:customStyle="1" w:styleId="50">
    <w:name w:val="font71"/>
    <w:basedOn w:val="29"/>
    <w:qFormat/>
    <w:uiPriority w:val="0"/>
    <w:rPr>
      <w:rFonts w:hint="eastAsia" w:ascii="微软雅黑" w:hAnsi="微软雅黑" w:eastAsia="微软雅黑" w:cs="微软雅黑"/>
      <w:color w:val="000000"/>
      <w:sz w:val="24"/>
      <w:szCs w:val="24"/>
      <w:u w:val="none"/>
    </w:rPr>
  </w:style>
  <w:style w:type="character" w:customStyle="1" w:styleId="51">
    <w:name w:val="font101"/>
    <w:basedOn w:val="29"/>
    <w:qFormat/>
    <w:uiPriority w:val="0"/>
    <w:rPr>
      <w:rFonts w:hint="default" w:ascii="Times New Roman" w:hAnsi="Times New Roman" w:cs="Times New Roman"/>
      <w:color w:val="000000"/>
      <w:sz w:val="24"/>
      <w:szCs w:val="24"/>
      <w:u w:val="none"/>
    </w:rPr>
  </w:style>
  <w:style w:type="paragraph" w:customStyle="1" w:styleId="52">
    <w:name w:val="_Style 1"/>
    <w:basedOn w:val="1"/>
    <w:qFormat/>
    <w:uiPriority w:val="34"/>
    <w:pPr>
      <w:ind w:firstLine="420" w:firstLineChars="200"/>
    </w:pPr>
  </w:style>
  <w:style w:type="character" w:customStyle="1" w:styleId="53">
    <w:name w:val="无间隔 Char"/>
    <w:link w:val="36"/>
    <w:qFormat/>
    <w:uiPriority w:val="1"/>
    <w:rPr>
      <w:rFonts w:ascii="Calibri" w:hAnsi="Calibri" w:eastAsia="宋体" w:cs="Times New Roman"/>
      <w:kern w:val="2"/>
      <w:sz w:val="21"/>
      <w:szCs w:val="24"/>
      <w:lang w:val="en-US" w:eastAsia="zh-CN" w:bidi="ar-SA"/>
    </w:rPr>
  </w:style>
  <w:style w:type="paragraph" w:customStyle="1" w:styleId="5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纯文本1"/>
    <w:basedOn w:val="1"/>
    <w:qFormat/>
    <w:uiPriority w:val="0"/>
    <w:rPr>
      <w:rFonts w:ascii="宋体" w:hAnsi="Courier New"/>
      <w:kern w:val="0"/>
      <w:sz w:val="20"/>
      <w:szCs w:val="20"/>
    </w:rPr>
  </w:style>
  <w:style w:type="paragraph" w:customStyle="1" w:styleId="57">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58">
    <w:name w:val="石墨文档正文"/>
    <w:qFormat/>
    <w:uiPriority w:val="0"/>
    <w:rPr>
      <w:rFonts w:ascii="微软雅黑" w:hAnsi="微软雅黑" w:eastAsia="微软雅黑" w:cs="微软雅黑"/>
      <w:sz w:val="24"/>
      <w:szCs w:val="24"/>
      <w:lang w:val="en-US" w:eastAsia="zh-CN" w:bidi="ar-SA"/>
    </w:rPr>
  </w:style>
  <w:style w:type="character" w:customStyle="1" w:styleId="59">
    <w:name w:val="批注框文本 Char"/>
    <w:basedOn w:val="29"/>
    <w:link w:val="17"/>
    <w:qFormat/>
    <w:uiPriority w:val="0"/>
    <w:rPr>
      <w:kern w:val="2"/>
      <w:sz w:val="18"/>
      <w:szCs w:val="18"/>
    </w:rPr>
  </w:style>
  <w:style w:type="character" w:customStyle="1" w:styleId="60">
    <w:name w:val="批注文字 Char"/>
    <w:basedOn w:val="29"/>
    <w:link w:val="12"/>
    <w:qFormat/>
    <w:uiPriority w:val="0"/>
    <w:rPr>
      <w:kern w:val="2"/>
      <w:sz w:val="21"/>
      <w:szCs w:val="24"/>
    </w:rPr>
  </w:style>
  <w:style w:type="character" w:customStyle="1" w:styleId="61">
    <w:name w:val="批注主题 Char"/>
    <w:basedOn w:val="60"/>
    <w:link w:val="26"/>
    <w:qFormat/>
    <w:uiPriority w:val="0"/>
    <w:rPr>
      <w:b/>
      <w:bCs/>
      <w:kern w:val="2"/>
      <w:sz w:val="21"/>
      <w:szCs w:val="24"/>
    </w:rPr>
  </w:style>
  <w:style w:type="paragraph" w:customStyle="1" w:styleId="62">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3">
    <w:name w:val="Table Normal1"/>
    <w:qFormat/>
    <w:uiPriority w:val="0"/>
    <w:tblPr>
      <w:tblCellMar>
        <w:top w:w="0" w:type="dxa"/>
        <w:left w:w="0" w:type="dxa"/>
        <w:bottom w:w="0" w:type="dxa"/>
        <w:right w:w="0" w:type="dxa"/>
      </w:tblCellMar>
    </w:tbl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p1"/>
    <w:basedOn w:val="1"/>
    <w:qFormat/>
    <w:uiPriority w:val="0"/>
    <w:pPr>
      <w:jc w:val="left"/>
    </w:pPr>
    <w:rPr>
      <w:rFonts w:ascii="pingfang sc" w:hAnsi="pingfang sc" w:eastAsia="pingfang sc"/>
      <w:kern w:val="0"/>
      <w:sz w:val="26"/>
      <w:szCs w:val="26"/>
    </w:rPr>
  </w:style>
  <w:style w:type="character" w:customStyle="1" w:styleId="66">
    <w:name w:val="s1"/>
    <w:basedOn w:val="29"/>
    <w:qFormat/>
    <w:uiPriority w:val="0"/>
    <w:rPr>
      <w:rFonts w:ascii="pingfang sc" w:hAnsi="pingfang sc" w:eastAsia="pingfang sc" w:cs="pingfang sc"/>
      <w:sz w:val="40"/>
      <w:szCs w:val="40"/>
    </w:rPr>
  </w:style>
  <w:style w:type="character" w:customStyle="1" w:styleId="67">
    <w:name w:val="文档结构图 Char"/>
    <w:basedOn w:val="29"/>
    <w:link w:val="11"/>
    <w:qFormat/>
    <w:uiPriority w:val="0"/>
    <w:rPr>
      <w:rFonts w:ascii="宋体" w:hAnsi="Calibri"/>
      <w:kern w:val="2"/>
      <w:sz w:val="18"/>
      <w:szCs w:val="18"/>
    </w:rPr>
  </w:style>
  <w:style w:type="character" w:customStyle="1" w:styleId="68">
    <w:name w:val="font112"/>
    <w:basedOn w:val="29"/>
    <w:qFormat/>
    <w:uiPriority w:val="0"/>
    <w:rPr>
      <w:rFonts w:ascii="宋体" w:hAnsi="宋体" w:eastAsia="宋体" w:cs="宋体"/>
      <w:color w:val="000000"/>
      <w:sz w:val="18"/>
      <w:szCs w:val="18"/>
      <w:u w:val="none"/>
    </w:rPr>
  </w:style>
  <w:style w:type="paragraph" w:styleId="6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55"/>
    <customShpInfo spid="_x0000_s205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40959</Words>
  <Characters>43511</Characters>
  <Paragraphs>2449</Paragraphs>
  <TotalTime>0</TotalTime>
  <ScaleCrop>false</ScaleCrop>
  <LinksUpToDate>false</LinksUpToDate>
  <CharactersWithSpaces>48127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2022-02-17T08:07:00Z</cp:lastPrinted>
  <dcterms:modified xsi:type="dcterms:W3CDTF">2022-09-30T11:39:22Z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D6744C891C604ACCB44007341F37E8E1</vt:lpwstr>
  </property>
</Properties>
</file>