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900" w:lineRule="exact"/>
        <w:ind w:firstLine="0" w:firstLineChars="0"/>
        <w:jc w:val="center"/>
        <w:rPr>
          <w:rFonts w:hint="eastAsia" w:ascii="宋体" w:hAnsi="宋体" w:eastAsia="宋体" w:cs="宋体"/>
          <w:b/>
          <w:color w:val="auto"/>
          <w:sz w:val="48"/>
          <w:szCs w:val="48"/>
          <w:highlight w:val="none"/>
        </w:rPr>
      </w:pPr>
    </w:p>
    <w:p>
      <w:pPr>
        <w:spacing w:line="240" w:lineRule="atLeast"/>
        <w:jc w:val="center"/>
        <w:rPr>
          <w:rFonts w:hint="eastAsia" w:ascii="宋体" w:hAnsi="宋体" w:eastAsia="宋体" w:cs="宋体"/>
          <w:color w:val="auto"/>
          <w:sz w:val="44"/>
          <w:szCs w:val="44"/>
          <w:highlight w:val="none"/>
          <w:u w:val="none"/>
          <w:lang w:eastAsia="zh-CN"/>
        </w:rPr>
      </w:pPr>
      <w:r>
        <w:rPr>
          <w:rFonts w:hint="eastAsia" w:ascii="宋体" w:hAnsi="宋体" w:eastAsia="宋体" w:cs="宋体"/>
          <w:b/>
          <w:bCs/>
          <w:color w:val="auto"/>
          <w:sz w:val="44"/>
          <w:szCs w:val="44"/>
          <w:highlight w:val="none"/>
          <w:u w:val="none"/>
          <w:lang w:eastAsia="zh-CN"/>
        </w:rPr>
        <w:t>莎车县人民医院集成平台、数据中心、急救车指挥系统、数据标准机房及其他软硬件安装升级改造采购项目</w:t>
      </w:r>
    </w:p>
    <w:p>
      <w:pPr>
        <w:pStyle w:val="8"/>
        <w:rPr>
          <w:rFonts w:hint="eastAsia" w:ascii="宋体" w:hAnsi="宋体" w:eastAsia="宋体" w:cs="宋体"/>
          <w:color w:val="auto"/>
          <w:highlight w:val="none"/>
          <w:lang w:eastAsia="zh-CN"/>
        </w:rPr>
      </w:pPr>
    </w:p>
    <w:p>
      <w:pPr>
        <w:spacing w:line="240" w:lineRule="atLeast"/>
        <w:jc w:val="center"/>
        <w:rPr>
          <w:rFonts w:hint="eastAsia" w:ascii="宋体" w:hAnsi="宋体" w:eastAsia="宋体" w:cs="宋体"/>
          <w:b/>
          <w:color w:val="auto"/>
          <w:sz w:val="48"/>
          <w:szCs w:val="48"/>
          <w:highlight w:val="none"/>
        </w:rPr>
      </w:pPr>
    </w:p>
    <w:p>
      <w:pPr>
        <w:spacing w:line="240" w:lineRule="atLeast"/>
        <w:ind w:firstLine="2400" w:firstLineChars="500"/>
        <w:jc w:val="both"/>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招 标 文 件</w:t>
      </w:r>
    </w:p>
    <w:p>
      <w:pPr>
        <w:pStyle w:val="8"/>
        <w:ind w:firstLine="960" w:firstLineChars="300"/>
        <w:jc w:val="left"/>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(第一包：集成平台互联互通一批、数据中心信息平台一批、三级理论考试系统一批）</w:t>
      </w:r>
    </w:p>
    <w:p>
      <w:pPr>
        <w:pStyle w:val="8"/>
        <w:ind w:firstLine="2240" w:firstLineChars="700"/>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项目</w:t>
      </w:r>
      <w:r>
        <w:rPr>
          <w:rFonts w:hint="eastAsia" w:ascii="宋体" w:hAnsi="宋体" w:eastAsia="宋体" w:cs="宋体"/>
          <w:b/>
          <w:color w:val="auto"/>
          <w:sz w:val="32"/>
          <w:highlight w:val="none"/>
        </w:rPr>
        <w:t>编号：</w:t>
      </w:r>
      <w:r>
        <w:rPr>
          <w:rFonts w:hint="eastAsia" w:ascii="宋体" w:hAnsi="宋体" w:eastAsia="宋体" w:cs="宋体"/>
          <w:b/>
          <w:color w:val="auto"/>
          <w:sz w:val="32"/>
          <w:highlight w:val="none"/>
          <w:lang w:eastAsia="zh-CN"/>
        </w:rPr>
        <w:t>ZJ(GK)-220</w:t>
      </w:r>
      <w:r>
        <w:rPr>
          <w:rFonts w:hint="eastAsia" w:ascii="宋体" w:hAnsi="宋体" w:eastAsia="宋体" w:cs="宋体"/>
          <w:b/>
          <w:color w:val="auto"/>
          <w:sz w:val="32"/>
          <w:highlight w:val="none"/>
          <w:lang w:val="en-US" w:eastAsia="zh-CN"/>
        </w:rPr>
        <w:t>37</w:t>
      </w:r>
    </w:p>
    <w:p>
      <w:pPr>
        <w:spacing w:line="240" w:lineRule="atLeast"/>
        <w:jc w:val="center"/>
        <w:rPr>
          <w:rFonts w:hint="eastAsia" w:ascii="宋体" w:hAnsi="宋体" w:eastAsia="宋体" w:cs="宋体"/>
          <w:color w:val="auto"/>
          <w:highlight w:val="none"/>
        </w:rPr>
      </w:pPr>
      <w:r>
        <w:rPr>
          <w:rFonts w:hint="eastAsia" w:ascii="宋体" w:hAnsi="宋体" w:eastAsia="宋体" w:cs="宋体"/>
          <w:b/>
          <w:color w:val="auto"/>
          <w:sz w:val="32"/>
          <w:highlight w:val="none"/>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采购单位名称：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莎车县人民医院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ind w:firstLine="560" w:firstLineChars="2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刘红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pPr>
        <w:spacing w:line="360" w:lineRule="auto"/>
        <w:ind w:firstLine="560" w:firstLineChars="200"/>
        <w:rPr>
          <w:rFonts w:hint="eastAsia" w:ascii="宋体" w:hAnsi="宋体" w:eastAsia="宋体" w:cs="宋体"/>
          <w:b/>
          <w:color w:val="auto"/>
          <w:sz w:val="28"/>
          <w:szCs w:val="28"/>
          <w:highlight w:val="none"/>
          <w:u w:val="single"/>
          <w:lang w:val="en-US"/>
        </w:rPr>
      </w:pPr>
      <w:r>
        <w:rPr>
          <w:rFonts w:hint="eastAsia" w:ascii="宋体" w:hAnsi="宋体" w:eastAsia="宋体" w:cs="宋体"/>
          <w:b/>
          <w:color w:val="auto"/>
          <w:sz w:val="28"/>
          <w:szCs w:val="28"/>
          <w:highlight w:val="none"/>
        </w:rPr>
        <w:t xml:space="preserve">联 系  电 话：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0998-8525130    </w:t>
      </w:r>
    </w:p>
    <w:p>
      <w:pPr>
        <w:spacing w:line="240" w:lineRule="atLeast"/>
        <w:jc w:val="center"/>
        <w:rPr>
          <w:rFonts w:hint="eastAsia" w:ascii="宋体" w:hAnsi="宋体" w:eastAsia="宋体" w:cs="宋体"/>
          <w:b/>
          <w:color w:val="auto"/>
          <w:sz w:val="28"/>
          <w:szCs w:val="28"/>
          <w:highlight w:val="none"/>
        </w:rPr>
      </w:pPr>
    </w:p>
    <w:p>
      <w:pPr>
        <w:spacing w:line="240" w:lineRule="atLeast"/>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spacing w:line="240" w:lineRule="atLeast"/>
        <w:ind w:firstLine="560" w:firstLineChars="200"/>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代理机构名称：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中经国际招标集团有限公司</w:t>
      </w:r>
      <w:r>
        <w:rPr>
          <w:rFonts w:hint="eastAsia" w:ascii="宋体" w:hAnsi="宋体" w:eastAsia="宋体" w:cs="宋体"/>
          <w:b/>
          <w:color w:val="auto"/>
          <w:sz w:val="28"/>
          <w:szCs w:val="28"/>
          <w:highlight w:val="none"/>
          <w:u w:val="single"/>
          <w:lang w:val="en-US" w:eastAsia="zh-CN"/>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王丽娟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 系 电 话 ：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15099650569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28"/>
          <w:szCs w:val="28"/>
          <w:highlight w:val="none"/>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日期：202</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月</w:t>
      </w:r>
    </w:p>
    <w:p>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目   录</w:t>
      </w:r>
    </w:p>
    <w:p>
      <w:pPr>
        <w:pStyle w:val="23"/>
        <w:tabs>
          <w:tab w:val="right" w:leader="dot" w:pos="8312"/>
        </w:tabs>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_Toc14518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 xml:space="preserve">第1章  </w:t>
      </w:r>
      <w:r>
        <w:rPr>
          <w:rFonts w:hint="eastAsia" w:ascii="宋体" w:hAnsi="宋体" w:eastAsia="宋体" w:cs="宋体"/>
          <w:bCs/>
          <w:szCs w:val="21"/>
          <w:highlight w:val="none"/>
          <w:lang w:eastAsia="zh-CN"/>
        </w:rPr>
        <w:t>供应商</w:t>
      </w:r>
      <w:r>
        <w:rPr>
          <w:rFonts w:hint="eastAsia" w:ascii="宋体" w:hAnsi="宋体" w:eastAsia="宋体" w:cs="宋体"/>
          <w:bCs/>
          <w:szCs w:val="21"/>
          <w:highlight w:val="none"/>
        </w:rPr>
        <w:t>须知</w:t>
      </w:r>
      <w:r>
        <w:tab/>
      </w:r>
      <w:r>
        <w:fldChar w:fldCharType="begin"/>
      </w:r>
      <w:r>
        <w:instrText xml:space="preserve"> PAGEREF _Toc14518 \h </w:instrText>
      </w:r>
      <w:r>
        <w:fldChar w:fldCharType="separate"/>
      </w:r>
      <w:r>
        <w:t>4</w:t>
      </w:r>
      <w:r>
        <w:fldChar w:fldCharType="end"/>
      </w:r>
      <w:r>
        <w:rPr>
          <w:rFonts w:hint="eastAsia" w:ascii="宋体" w:hAnsi="宋体" w:eastAsia="宋体" w:cs="宋体"/>
          <w:color w:val="auto"/>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_Toc14668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一   总 则</w:t>
      </w:r>
      <w:r>
        <w:tab/>
      </w:r>
      <w:r>
        <w:fldChar w:fldCharType="begin"/>
      </w:r>
      <w:r>
        <w:instrText xml:space="preserve"> PAGEREF _Toc14668 \h </w:instrText>
      </w:r>
      <w:r>
        <w:fldChar w:fldCharType="separate"/>
      </w:r>
      <w:r>
        <w:t>4</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1.采购人、采购代理机构及</w:t>
      </w:r>
      <w:r>
        <w:rPr>
          <w:rFonts w:hint="eastAsia" w:ascii="宋体" w:hAnsi="宋体" w:eastAsia="宋体" w:cs="宋体"/>
          <w:highlight w:val="none"/>
          <w:lang w:eastAsia="zh-CN"/>
        </w:rPr>
        <w:t>投标供应商</w:t>
      </w:r>
      <w:r>
        <w:tab/>
      </w:r>
      <w:r>
        <w:fldChar w:fldCharType="begin"/>
      </w:r>
      <w:r>
        <w:instrText xml:space="preserve"> PAGEREF _Toc108 \h </w:instrText>
      </w:r>
      <w:r>
        <w:fldChar w:fldCharType="separate"/>
      </w:r>
      <w:r>
        <w:t>4</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_Toc7253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2.资金来源</w:t>
      </w:r>
      <w:r>
        <w:tab/>
      </w:r>
      <w:r>
        <w:fldChar w:fldCharType="begin"/>
      </w:r>
      <w:r>
        <w:instrText xml:space="preserve"> PAGEREF _Toc7253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_Toc20719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3.投标费用</w:t>
      </w:r>
      <w:r>
        <w:tab/>
      </w:r>
      <w:r>
        <w:fldChar w:fldCharType="begin"/>
      </w:r>
      <w:r>
        <w:instrText xml:space="preserve"> PAGEREF _Toc20719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_Toc17811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4.适用法律</w:t>
      </w:r>
      <w:r>
        <w:tab/>
      </w:r>
      <w:r>
        <w:fldChar w:fldCharType="begin"/>
      </w:r>
      <w:r>
        <w:instrText xml:space="preserve"> PAGEREF _Toc17811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_Toc28158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二   招标文件</w:t>
      </w:r>
      <w:r>
        <w:tab/>
      </w:r>
      <w:r>
        <w:fldChar w:fldCharType="begin"/>
      </w:r>
      <w:r>
        <w:instrText xml:space="preserve"> PAGEREF _Toc28158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_Toc26797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5.招标文件构成</w:t>
      </w:r>
      <w:r>
        <w:tab/>
      </w:r>
      <w:r>
        <w:fldChar w:fldCharType="begin"/>
      </w:r>
      <w:r>
        <w:instrText xml:space="preserve"> PAGEREF _Toc26797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_Toc18429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6.招标文件的澄清与修改</w:t>
      </w:r>
      <w:r>
        <w:tab/>
      </w:r>
      <w:r>
        <w:fldChar w:fldCharType="begin"/>
      </w:r>
      <w:r>
        <w:instrText xml:space="preserve"> PAGEREF _Toc18429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_Toc31335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7.投标截止时间的顺延</w:t>
      </w:r>
      <w:r>
        <w:tab/>
      </w:r>
      <w:r>
        <w:fldChar w:fldCharType="begin"/>
      </w:r>
      <w:r>
        <w:instrText xml:space="preserve"> PAGEREF _Toc31335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_Toc30411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三   投标文件的编制</w:t>
      </w:r>
      <w:r>
        <w:tab/>
      </w:r>
      <w:r>
        <w:fldChar w:fldCharType="begin"/>
      </w:r>
      <w:r>
        <w:instrText xml:space="preserve"> PAGEREF _Toc30411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pos="3600"/>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_Toc30885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tab/>
      </w:r>
      <w:r>
        <w:rPr>
          <w:rFonts w:hint="eastAsia" w:ascii="宋体" w:hAnsi="宋体" w:eastAsia="宋体" w:cs="宋体"/>
          <w:highlight w:val="none"/>
        </w:rPr>
        <w:t>投标范围及投标文件中标准和计量单位的使用</w:t>
      </w:r>
      <w:r>
        <w:tab/>
      </w:r>
      <w:r>
        <w:fldChar w:fldCharType="begin"/>
      </w:r>
      <w:r>
        <w:instrText xml:space="preserve"> PAGEREF _Toc30885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_Toc14392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9.投标文件构成</w:t>
      </w:r>
      <w:r>
        <w:tab/>
      </w:r>
      <w:r>
        <w:fldChar w:fldCharType="begin"/>
      </w:r>
      <w:r>
        <w:instrText xml:space="preserve"> PAGEREF _Toc14392 \h </w:instrText>
      </w:r>
      <w:r>
        <w:fldChar w:fldCharType="separate"/>
      </w:r>
      <w:r>
        <w:t>7</w:t>
      </w:r>
      <w:r>
        <w:fldChar w:fldCharType="end"/>
      </w:r>
      <w:r>
        <w:rPr>
          <w:rFonts w:hint="eastAsia" w:ascii="宋体" w:hAnsi="宋体" w:eastAsia="宋体" w:cs="宋体"/>
          <w:color w:val="auto"/>
          <w:kern w:val="2"/>
          <w:szCs w:val="24"/>
          <w:highlight w:val="none"/>
        </w:rPr>
        <w:fldChar w:fldCharType="end"/>
      </w:r>
    </w:p>
    <w:p>
      <w:pPr>
        <w:pStyle w:val="17"/>
        <w:tabs>
          <w:tab w:val="right" w:pos="3600"/>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_Toc27531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tab/>
      </w:r>
      <w:r>
        <w:rPr>
          <w:rFonts w:hint="eastAsia" w:ascii="宋体" w:hAnsi="宋体" w:eastAsia="宋体" w:cs="宋体"/>
          <w:highlight w:val="none"/>
        </w:rPr>
        <w:t>证明投标的的合格性和符合招标文件规定的技术文件</w:t>
      </w:r>
      <w:r>
        <w:tab/>
      </w:r>
      <w:r>
        <w:fldChar w:fldCharType="begin"/>
      </w:r>
      <w:r>
        <w:instrText xml:space="preserve"> PAGEREF _Toc27531 \h </w:instrText>
      </w:r>
      <w:r>
        <w:fldChar w:fldCharType="separate"/>
      </w:r>
      <w:r>
        <w:t>7</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_Toc30497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11.投标报价</w:t>
      </w:r>
      <w:r>
        <w:tab/>
      </w:r>
      <w:r>
        <w:fldChar w:fldCharType="begin"/>
      </w:r>
      <w:r>
        <w:instrText xml:space="preserve"> PAGEREF _Toc30497 \h </w:instrText>
      </w:r>
      <w:r>
        <w:fldChar w:fldCharType="separate"/>
      </w:r>
      <w:r>
        <w:t>7</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_Toc12451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12.</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投标保证金</w:t>
      </w:r>
      <w:r>
        <w:tab/>
      </w:r>
      <w:r>
        <w:fldChar w:fldCharType="begin"/>
      </w:r>
      <w:r>
        <w:instrText xml:space="preserve"> PAGEREF _Toc12451 \h </w:instrText>
      </w:r>
      <w:r>
        <w:fldChar w:fldCharType="separate"/>
      </w:r>
      <w:r>
        <w:t>8</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_Toc18560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13.投标有效期</w:t>
      </w:r>
      <w:r>
        <w:tab/>
      </w:r>
      <w:r>
        <w:fldChar w:fldCharType="begin"/>
      </w:r>
      <w:r>
        <w:instrText xml:space="preserve"> PAGEREF _Toc18560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_Toc26672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14.投标文件的签署及规定</w:t>
      </w:r>
      <w:r>
        <w:rPr>
          <w:rFonts w:hint="eastAsia" w:ascii="宋体" w:hAnsi="宋体" w:eastAsia="宋体" w:cs="宋体"/>
          <w:i w:val="0"/>
          <w:caps w:val="0"/>
          <w:spacing w:val="0"/>
          <w:w w:val="100"/>
          <w:highlight w:val="none"/>
          <w:lang w:eastAsia="zh-CN"/>
        </w:rPr>
        <w:t>（</w:t>
      </w:r>
      <w:r>
        <w:rPr>
          <w:rFonts w:hint="eastAsia" w:ascii="宋体" w:hAnsi="宋体" w:eastAsia="宋体" w:cs="宋体"/>
          <w:i w:val="0"/>
          <w:caps w:val="0"/>
          <w:spacing w:val="0"/>
          <w:w w:val="100"/>
          <w:highlight w:val="none"/>
          <w:lang w:val="en-US" w:eastAsia="zh-CN"/>
        </w:rPr>
        <w:t>后期邮寄的投标文件</w:t>
      </w:r>
      <w:r>
        <w:rPr>
          <w:rFonts w:hint="eastAsia" w:ascii="宋体" w:hAnsi="宋体" w:eastAsia="宋体" w:cs="宋体"/>
          <w:i w:val="0"/>
          <w:caps w:val="0"/>
          <w:spacing w:val="0"/>
          <w:w w:val="100"/>
          <w:highlight w:val="none"/>
          <w:lang w:eastAsia="zh-CN"/>
        </w:rPr>
        <w:t>）</w:t>
      </w:r>
      <w:r>
        <w:tab/>
      </w:r>
      <w:r>
        <w:fldChar w:fldCharType="begin"/>
      </w:r>
      <w:r>
        <w:instrText xml:space="preserve"> PAGEREF _Toc26672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_Toc30197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四   投标文件的递交</w:t>
      </w:r>
      <w:r>
        <w:tab/>
      </w:r>
      <w:r>
        <w:fldChar w:fldCharType="begin"/>
      </w:r>
      <w:r>
        <w:instrText xml:space="preserve"> PAGEREF _Toc30197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_Toc24088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五   开标及评标</w:t>
      </w:r>
      <w:r>
        <w:tab/>
      </w:r>
      <w:r>
        <w:fldChar w:fldCharType="begin"/>
      </w:r>
      <w:r>
        <w:instrText xml:space="preserve"> PAGEREF _Toc24088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_Toc10636 </w:instrText>
      </w:r>
      <w:r>
        <w:rPr>
          <w:rFonts w:hint="eastAsia" w:ascii="宋体" w:hAnsi="宋体" w:eastAsia="宋体" w:cs="宋体"/>
          <w:kern w:val="2"/>
          <w:szCs w:val="24"/>
          <w:highlight w:val="none"/>
        </w:rPr>
        <w:fldChar w:fldCharType="separate"/>
      </w:r>
      <w:r>
        <w:rPr>
          <w:rFonts w:hint="eastAsia" w:ascii="宋体" w:hAnsi="宋体" w:eastAsia="宋体" w:cs="宋体"/>
        </w:rPr>
        <w:t xml:space="preserve">18. </w:t>
      </w:r>
      <w:r>
        <w:rPr>
          <w:rFonts w:hint="eastAsia" w:ascii="宋体" w:hAnsi="宋体" w:eastAsia="宋体" w:cs="宋体"/>
          <w:highlight w:val="none"/>
        </w:rPr>
        <w:t>开标</w:t>
      </w:r>
      <w:r>
        <w:tab/>
      </w:r>
      <w:r>
        <w:fldChar w:fldCharType="begin"/>
      </w:r>
      <w:r>
        <w:instrText xml:space="preserve"> PAGEREF _Toc10636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_Toc21252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19.资格审查及组建评标委员会</w:t>
      </w:r>
      <w:r>
        <w:tab/>
      </w:r>
      <w:r>
        <w:fldChar w:fldCharType="begin"/>
      </w:r>
      <w:r>
        <w:instrText xml:space="preserve"> PAGEREF _Toc21252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_Toc11476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20.投标文件符合性审查与澄清</w:t>
      </w:r>
      <w:r>
        <w:tab/>
      </w:r>
      <w:r>
        <w:fldChar w:fldCharType="begin"/>
      </w:r>
      <w:r>
        <w:instrText xml:space="preserve"> PAGEREF _Toc11476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_Toc28587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21.投标偏离</w:t>
      </w:r>
      <w:r>
        <w:tab/>
      </w:r>
      <w:r>
        <w:fldChar w:fldCharType="begin"/>
      </w:r>
      <w:r>
        <w:instrText xml:space="preserve"> PAGEREF _Toc28587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_Toc32127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22.投标无效</w:t>
      </w:r>
      <w:r>
        <w:tab/>
      </w:r>
      <w:r>
        <w:fldChar w:fldCharType="begin"/>
      </w:r>
      <w:r>
        <w:instrText xml:space="preserve"> PAGEREF _Toc32127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_Toc15211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23.比较与评价</w:t>
      </w:r>
      <w:r>
        <w:tab/>
      </w:r>
      <w:r>
        <w:fldChar w:fldCharType="begin"/>
      </w:r>
      <w:r>
        <w:instrText xml:space="preserve"> PAGEREF _Toc15211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_Toc19485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24.废标</w:t>
      </w:r>
      <w:r>
        <w:tab/>
      </w:r>
      <w:r>
        <w:fldChar w:fldCharType="begin"/>
      </w:r>
      <w:r>
        <w:instrText xml:space="preserve"> PAGEREF _Toc19485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_Toc30868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25.保密原则</w:t>
      </w:r>
      <w:r>
        <w:tab/>
      </w:r>
      <w:r>
        <w:fldChar w:fldCharType="begin"/>
      </w:r>
      <w:r>
        <w:instrText xml:space="preserve"> PAGEREF _Toc30868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_Toc23996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六   确定中标</w:t>
      </w:r>
      <w:r>
        <w:tab/>
      </w:r>
      <w:r>
        <w:fldChar w:fldCharType="begin"/>
      </w:r>
      <w:r>
        <w:instrText xml:space="preserve"> PAGEREF _Toc23996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_Toc7180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26.中标候选人的确定原则及标准</w:t>
      </w:r>
      <w:r>
        <w:tab/>
      </w:r>
      <w:r>
        <w:fldChar w:fldCharType="begin"/>
      </w:r>
      <w:r>
        <w:instrText xml:space="preserve"> PAGEREF _Toc7180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_Toc20334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27.确定</w:t>
      </w:r>
      <w:r>
        <w:rPr>
          <w:rFonts w:hint="eastAsia" w:ascii="宋体" w:hAnsi="宋体" w:eastAsia="宋体" w:cs="宋体"/>
          <w:highlight w:val="none"/>
          <w:lang w:val="en-US" w:eastAsia="zh-CN"/>
        </w:rPr>
        <w:t>中标</w:t>
      </w:r>
      <w:r>
        <w:rPr>
          <w:rFonts w:hint="eastAsia" w:ascii="宋体" w:hAnsi="宋体" w:eastAsia="宋体" w:cs="宋体"/>
          <w:highlight w:val="none"/>
        </w:rPr>
        <w:t>候选人和</w:t>
      </w:r>
      <w:r>
        <w:rPr>
          <w:rFonts w:hint="eastAsia" w:ascii="宋体" w:hAnsi="宋体" w:eastAsia="宋体" w:cs="宋体"/>
          <w:highlight w:val="none"/>
          <w:lang w:val="en-US" w:eastAsia="zh-CN"/>
        </w:rPr>
        <w:t>中标人</w:t>
      </w:r>
      <w:r>
        <w:tab/>
      </w:r>
      <w:r>
        <w:fldChar w:fldCharType="begin"/>
      </w:r>
      <w:r>
        <w:instrText xml:space="preserve"> PAGEREF _Toc20334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_Toc837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27.确定中标候选人和中标人</w:t>
      </w:r>
      <w:r>
        <w:tab/>
      </w:r>
      <w:r>
        <w:fldChar w:fldCharType="begin"/>
      </w:r>
      <w:r>
        <w:instrText xml:space="preserve"> PAGEREF _Toc837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_Toc29436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28.采购任务取消</w:t>
      </w:r>
      <w:r>
        <w:tab/>
      </w:r>
      <w:r>
        <w:fldChar w:fldCharType="begin"/>
      </w:r>
      <w:r>
        <w:instrText xml:space="preserve"> PAGEREF _Toc29436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_Toc25232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29.中标通知书和招标结果通知书</w:t>
      </w:r>
      <w:r>
        <w:tab/>
      </w:r>
      <w:r>
        <w:fldChar w:fldCharType="begin"/>
      </w:r>
      <w:r>
        <w:instrText xml:space="preserve"> PAGEREF _Toc25232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_Toc30300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30.签订合同</w:t>
      </w:r>
      <w:r>
        <w:tab/>
      </w:r>
      <w:r>
        <w:fldChar w:fldCharType="begin"/>
      </w:r>
      <w:r>
        <w:instrText xml:space="preserve"> PAGEREF _Toc30300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_Toc30544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31.履约保证金</w:t>
      </w:r>
      <w:r>
        <w:tab/>
      </w:r>
      <w:r>
        <w:fldChar w:fldCharType="begin"/>
      </w:r>
      <w:r>
        <w:instrText xml:space="preserve"> PAGEREF _Toc30544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_Toc21406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32.中标服务费</w:t>
      </w:r>
      <w:r>
        <w:tab/>
      </w:r>
      <w:r>
        <w:fldChar w:fldCharType="begin"/>
      </w:r>
      <w:r>
        <w:instrText xml:space="preserve"> PAGEREF _Toc21406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_Toc9382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33.政府采购信用担保</w:t>
      </w:r>
      <w:r>
        <w:tab/>
      </w:r>
      <w:r>
        <w:fldChar w:fldCharType="begin"/>
      </w:r>
      <w:r>
        <w:instrText xml:space="preserve"> PAGEREF _Toc9382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_Toc13671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34.廉洁自律规定</w:t>
      </w:r>
      <w:r>
        <w:tab/>
      </w:r>
      <w:r>
        <w:fldChar w:fldCharType="begin"/>
      </w:r>
      <w:r>
        <w:instrText xml:space="preserve"> PAGEREF _Toc13671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_Toc5765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35.人员回避</w:t>
      </w:r>
      <w:r>
        <w:tab/>
      </w:r>
      <w:r>
        <w:fldChar w:fldCharType="begin"/>
      </w:r>
      <w:r>
        <w:instrText xml:space="preserve"> PAGEREF _Toc5765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_Toc7230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36.质疑与接收</w:t>
      </w:r>
      <w:r>
        <w:tab/>
      </w:r>
      <w:r>
        <w:fldChar w:fldCharType="begin"/>
      </w:r>
      <w:r>
        <w:instrText xml:space="preserve"> PAGEREF _Toc7230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7"/>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_Toc9803 </w:instrText>
      </w:r>
      <w:r>
        <w:rPr>
          <w:rFonts w:hint="eastAsia" w:ascii="宋体" w:hAnsi="宋体" w:eastAsia="宋体" w:cs="宋体"/>
          <w:kern w:val="2"/>
          <w:szCs w:val="24"/>
          <w:highlight w:val="none"/>
        </w:rPr>
        <w:fldChar w:fldCharType="separate"/>
      </w:r>
      <w:r>
        <w:rPr>
          <w:rFonts w:hint="eastAsia" w:ascii="宋体" w:hAnsi="宋体" w:eastAsia="宋体" w:cs="宋体"/>
          <w:bCs/>
          <w:highlight w:val="none"/>
        </w:rPr>
        <w:t>质疑函范本</w:t>
      </w:r>
      <w:r>
        <w:tab/>
      </w:r>
      <w:r>
        <w:fldChar w:fldCharType="begin"/>
      </w:r>
      <w:r>
        <w:instrText xml:space="preserve"> PAGEREF _Toc9803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_Toc13100 </w:instrText>
      </w:r>
      <w:r>
        <w:rPr>
          <w:rFonts w:hint="eastAsia" w:ascii="宋体" w:hAnsi="宋体" w:eastAsia="宋体" w:cs="宋体"/>
          <w:kern w:val="2"/>
          <w:szCs w:val="24"/>
          <w:highlight w:val="none"/>
        </w:rPr>
        <w:fldChar w:fldCharType="separate"/>
      </w:r>
      <w:r>
        <w:rPr>
          <w:rFonts w:hint="eastAsia" w:ascii="宋体" w:hAnsi="宋体" w:eastAsia="宋体" w:cs="宋体"/>
          <w:szCs w:val="32"/>
          <w:highlight w:val="none"/>
        </w:rPr>
        <w:t>第2章   投标文件格式</w:t>
      </w:r>
      <w:r>
        <w:tab/>
      </w:r>
      <w:r>
        <w:fldChar w:fldCharType="begin"/>
      </w:r>
      <w:r>
        <w:instrText xml:space="preserve"> PAGEREF _Toc13100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_Toc30344 </w:instrText>
      </w:r>
      <w:r>
        <w:rPr>
          <w:rFonts w:hint="eastAsia" w:ascii="宋体" w:hAnsi="宋体" w:eastAsia="宋体" w:cs="宋体"/>
          <w:kern w:val="2"/>
          <w:szCs w:val="24"/>
          <w:highlight w:val="none"/>
        </w:rPr>
        <w:fldChar w:fldCharType="separate"/>
      </w:r>
      <w:r>
        <w:rPr>
          <w:rFonts w:hint="eastAsia" w:ascii="宋体" w:hAnsi="宋体" w:eastAsia="宋体" w:cs="宋体"/>
          <w:szCs w:val="28"/>
          <w:highlight w:val="none"/>
        </w:rPr>
        <w:t>第一部分 开标一览表及资格证明文件</w:t>
      </w:r>
      <w:r>
        <w:tab/>
      </w:r>
      <w:r>
        <w:fldChar w:fldCharType="begin"/>
      </w:r>
      <w:r>
        <w:instrText xml:space="preserve"> PAGEREF _Toc30344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_Toc9693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1、开标一览表</w:t>
      </w:r>
      <w:r>
        <w:tab/>
      </w:r>
      <w:r>
        <w:fldChar w:fldCharType="begin"/>
      </w:r>
      <w:r>
        <w:instrText xml:space="preserve"> PAGEREF _Toc9693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_Toc4753 </w:instrText>
      </w:r>
      <w:r>
        <w:rPr>
          <w:rFonts w:hint="eastAsia" w:ascii="宋体" w:hAnsi="宋体" w:eastAsia="宋体" w:cs="宋体"/>
          <w:kern w:val="2"/>
          <w:szCs w:val="24"/>
          <w:highlight w:val="none"/>
        </w:rPr>
        <w:fldChar w:fldCharType="separate"/>
      </w:r>
      <w:r>
        <w:rPr>
          <w:rFonts w:hint="eastAsia" w:ascii="宋体" w:hAnsi="宋体" w:eastAsia="宋体" w:cs="宋体"/>
        </w:rPr>
        <w:t xml:space="preserve">2、 </w:t>
      </w:r>
      <w:r>
        <w:rPr>
          <w:rFonts w:hint="eastAsia" w:ascii="宋体" w:hAnsi="宋体" w:eastAsia="宋体" w:cs="宋体"/>
          <w:highlight w:val="none"/>
          <w:lang w:eastAsia="zh-CN"/>
        </w:rPr>
        <w:t>具有独立法人资格（三证合一的营业执照）</w:t>
      </w:r>
      <w:r>
        <w:tab/>
      </w:r>
      <w:r>
        <w:fldChar w:fldCharType="begin"/>
      </w:r>
      <w:r>
        <w:instrText xml:space="preserve"> PAGEREF _Toc4753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_Toc590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w:t>
      </w:r>
      <w:r>
        <w:rPr>
          <w:rFonts w:hint="eastAsia" w:ascii="宋体" w:hAnsi="宋体" w:eastAsia="宋体" w:cs="宋体"/>
          <w:szCs w:val="20"/>
          <w:highlight w:val="none"/>
        </w:rPr>
        <w:t>、</w:t>
      </w:r>
      <w:r>
        <w:rPr>
          <w:rFonts w:hint="eastAsia" w:ascii="宋体" w:hAnsi="宋体" w:eastAsia="宋体" w:cs="宋体"/>
          <w:color w:val="auto"/>
          <w:sz w:val="24"/>
          <w:szCs w:val="24"/>
          <w:highlight w:val="none"/>
          <w:lang w:val="en-US" w:eastAsia="zh-CN"/>
        </w:rPr>
        <w:t>法定代表人资格证明及授权书、被授权人身份证；(法定代表人投标需提供法定代表人身份证)；</w:t>
      </w:r>
      <w:r>
        <w:rPr>
          <w:rFonts w:hint="eastAsia" w:ascii="宋体" w:hAnsi="宋体" w:cs="宋体"/>
          <w:color w:val="auto"/>
          <w:sz w:val="24"/>
          <w:szCs w:val="24"/>
          <w:highlight w:val="none"/>
          <w:lang w:val="en-US" w:eastAsia="zh-CN"/>
        </w:rPr>
        <w:t xml:space="preserve">  </w:t>
      </w:r>
      <w:r>
        <w:tab/>
      </w:r>
      <w:r>
        <w:rPr>
          <w:rFonts w:hint="eastAsia" w:ascii="宋体" w:hAnsi="宋体" w:cs="宋体"/>
          <w:color w:val="auto"/>
          <w:sz w:val="24"/>
          <w:szCs w:val="24"/>
          <w:highlight w:val="none"/>
          <w:lang w:val="en-US" w:eastAsia="zh-CN"/>
        </w:rPr>
        <w:t xml:space="preserve">   </w:t>
      </w:r>
      <w:r>
        <w:fldChar w:fldCharType="begin"/>
      </w:r>
      <w:r>
        <w:instrText xml:space="preserve"> PAGEREF _Toc590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_Toc7676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0"/>
          <w:highlight w:val="none"/>
        </w:rPr>
        <w:t>4、</w:t>
      </w:r>
      <w:r>
        <w:rPr>
          <w:rFonts w:hint="eastAsia" w:ascii="宋体" w:hAnsi="宋体" w:eastAsia="宋体" w:cs="宋体"/>
          <w:kern w:val="0"/>
          <w:szCs w:val="20"/>
          <w:highlight w:val="none"/>
          <w:lang w:eastAsia="zh-CN"/>
        </w:rPr>
        <w:t>提供2020年或2021年经审计的财务审计报告（2022年成立的新公司出具近3个月任意一个月的银行资信证明）</w:t>
      </w:r>
      <w:r>
        <w:rPr>
          <w:rFonts w:hint="eastAsia" w:ascii="宋体" w:hAnsi="宋体" w:eastAsia="宋体" w:cs="宋体"/>
          <w:kern w:val="0"/>
          <w:szCs w:val="20"/>
          <w:highlight w:val="none"/>
        </w:rPr>
        <w:t>；</w:t>
      </w:r>
      <w:r>
        <w:tab/>
      </w:r>
      <w:r>
        <w:fldChar w:fldCharType="begin"/>
      </w:r>
      <w:r>
        <w:instrText xml:space="preserve"> PAGEREF _Toc7676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_Toc9455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0"/>
          <w:highlight w:val="none"/>
        </w:rPr>
        <w:t>5、</w:t>
      </w:r>
      <w:r>
        <w:rPr>
          <w:rFonts w:hint="eastAsia" w:ascii="宋体" w:hAnsi="宋体" w:eastAsia="宋体" w:cs="宋体"/>
          <w:kern w:val="0"/>
          <w:szCs w:val="20"/>
          <w:highlight w:val="none"/>
          <w:lang w:eastAsia="zh-CN"/>
        </w:rPr>
        <w:t>依法缴纳最近连续六个月的社会保险的</w:t>
      </w:r>
      <w:bookmarkStart w:id="1759" w:name="_GoBack"/>
      <w:bookmarkEnd w:id="1759"/>
      <w:r>
        <w:rPr>
          <w:rFonts w:hint="eastAsia" w:ascii="宋体" w:hAnsi="宋体" w:eastAsia="宋体" w:cs="宋体"/>
          <w:kern w:val="0"/>
          <w:szCs w:val="20"/>
          <w:highlight w:val="none"/>
          <w:lang w:eastAsia="zh-CN"/>
        </w:rPr>
        <w:t>凭据（授权人和单位员工缴纳明细凭据）</w:t>
      </w:r>
      <w:r>
        <w:rPr>
          <w:rFonts w:hint="eastAsia" w:ascii="宋体" w:hAnsi="宋体" w:eastAsia="宋体" w:cs="宋体"/>
          <w:kern w:val="0"/>
          <w:szCs w:val="20"/>
          <w:highlight w:val="none"/>
        </w:rPr>
        <w:t>；</w:t>
      </w:r>
      <w:r>
        <w:tab/>
      </w:r>
      <w:r>
        <w:fldChar w:fldCharType="begin"/>
      </w:r>
      <w:r>
        <w:instrText xml:space="preserve"> PAGEREF _Toc9455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_Toc29204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6、</w:t>
      </w:r>
      <w:r>
        <w:rPr>
          <w:rFonts w:hint="eastAsia" w:ascii="宋体" w:hAnsi="宋体" w:eastAsia="宋体" w:cs="宋体"/>
          <w:kern w:val="0"/>
          <w:highlight w:val="none"/>
          <w:lang w:eastAsia="zh-CN"/>
        </w:rPr>
        <w:t>提供税务部门出具的最近连续六个月的完税证明</w:t>
      </w:r>
      <w:r>
        <w:rPr>
          <w:rFonts w:hint="eastAsia" w:ascii="宋体" w:hAnsi="宋体" w:eastAsia="宋体" w:cs="宋体"/>
          <w:kern w:val="0"/>
          <w:highlight w:val="none"/>
        </w:rPr>
        <w:t>；</w:t>
      </w:r>
      <w:r>
        <w:tab/>
      </w:r>
      <w:r>
        <w:fldChar w:fldCharType="begin"/>
      </w:r>
      <w:r>
        <w:instrText xml:space="preserve"> PAGEREF _Toc29204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_Toc21721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kern w:val="0"/>
          <w:highlight w:val="none"/>
          <w:lang w:eastAsia="zh-CN"/>
        </w:rPr>
        <w:t>信用服务-重点领域严重失信主体名单查询-搜索栏输入单位全称-截图</w:t>
      </w:r>
      <w:r>
        <w:rPr>
          <w:rFonts w:hint="eastAsia" w:ascii="宋体" w:hAnsi="宋体" w:eastAsia="宋体" w:cs="宋体"/>
          <w:kern w:val="0"/>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tab/>
      </w:r>
      <w:r>
        <w:fldChar w:fldCharType="begin"/>
      </w:r>
      <w:r>
        <w:instrText xml:space="preserve"> PAGEREF _Toc21721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_Toc15707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8、参与政府采购活动前3年内未被列入失信、重大税收违法案件、财政部门禁止参加政府采购活动的承诺书；</w:t>
      </w:r>
      <w:r>
        <w:tab/>
      </w:r>
      <w:r>
        <w:fldChar w:fldCharType="begin"/>
      </w:r>
      <w:r>
        <w:instrText xml:space="preserve"> PAGEREF _Toc15707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_Toc17170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9、提供针对本次项目《反商业贿赂承诺书》；</w:t>
      </w:r>
      <w:r>
        <w:tab/>
      </w:r>
      <w:r>
        <w:fldChar w:fldCharType="begin"/>
      </w:r>
      <w:r>
        <w:instrText xml:space="preserve"> PAGEREF _Toc17170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_Toc24356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0"/>
          <w:highlight w:val="none"/>
          <w:lang w:val="en-US" w:eastAsia="zh-CN" w:bidi="ar-SA"/>
        </w:rPr>
        <w:t>10、缴纳投标保证金有效凭证；</w:t>
      </w:r>
      <w:r>
        <w:tab/>
      </w:r>
      <w:r>
        <w:fldChar w:fldCharType="begin"/>
      </w:r>
      <w:r>
        <w:instrText xml:space="preserve"> PAGEREF _Toc24356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_Toc637 </w:instrText>
      </w:r>
      <w:r>
        <w:rPr>
          <w:rFonts w:hint="eastAsia" w:ascii="宋体" w:hAnsi="宋体" w:eastAsia="宋体" w:cs="宋体"/>
          <w:kern w:val="2"/>
          <w:szCs w:val="24"/>
          <w:highlight w:val="none"/>
        </w:rPr>
        <w:fldChar w:fldCharType="separate"/>
      </w:r>
      <w:r>
        <w:rPr>
          <w:rFonts w:hint="eastAsia" w:ascii="宋体" w:hAnsi="宋体" w:eastAsia="宋体" w:cs="宋体"/>
          <w:bCs/>
          <w:highlight w:val="none"/>
        </w:rPr>
        <w:t>11、</w:t>
      </w:r>
      <w:r>
        <w:rPr>
          <w:rFonts w:hint="eastAsia" w:ascii="宋体" w:hAnsi="宋体" w:eastAsia="宋体" w:cs="宋体"/>
          <w:kern w:val="0"/>
          <w:highlight w:val="none"/>
        </w:rPr>
        <w:t>银行开户许可证复印件或银行基本账户信息(包含：银行账号及开户行名称）</w:t>
      </w:r>
      <w:r>
        <w:tab/>
      </w:r>
      <w:r>
        <w:fldChar w:fldCharType="begin"/>
      </w:r>
      <w:r>
        <w:instrText xml:space="preserve"> PAGEREF _Toc637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_Toc29751 </w:instrText>
      </w:r>
      <w:r>
        <w:rPr>
          <w:rFonts w:hint="eastAsia" w:ascii="宋体" w:hAnsi="宋体" w:eastAsia="宋体" w:cs="宋体"/>
          <w:kern w:val="2"/>
          <w:szCs w:val="24"/>
          <w:highlight w:val="none"/>
        </w:rPr>
        <w:fldChar w:fldCharType="separate"/>
      </w:r>
      <w:r>
        <w:rPr>
          <w:rFonts w:hint="eastAsia" w:ascii="宋体" w:hAnsi="宋体" w:eastAsia="宋体" w:cs="宋体"/>
          <w:bCs/>
          <w:highlight w:val="none"/>
        </w:rPr>
        <w:t>12、供应商可提供有利于投标的其他资格证明材料。</w:t>
      </w:r>
      <w:r>
        <w:rPr>
          <w:rFonts w:hint="eastAsia" w:ascii="宋体" w:hAnsi="宋体" w:eastAsia="宋体" w:cs="宋体"/>
          <w:bCs/>
          <w:kern w:val="0"/>
          <w:szCs w:val="20"/>
          <w:highlight w:val="none"/>
        </w:rPr>
        <w:t>（具体要求详见项目要求和</w:t>
      </w:r>
      <w:r>
        <w:rPr>
          <w:rFonts w:hint="eastAsia" w:ascii="宋体" w:hAnsi="宋体" w:eastAsia="宋体" w:cs="宋体"/>
          <w:bCs/>
          <w:highlight w:val="none"/>
        </w:rPr>
        <w:t>综合评分表中的商务部分）</w:t>
      </w:r>
      <w:r>
        <w:tab/>
      </w:r>
      <w:r>
        <w:fldChar w:fldCharType="begin"/>
      </w:r>
      <w:r>
        <w:instrText xml:space="preserve"> PAGEREF _Toc29751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_Toc1126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第二部分  商务及技术文件</w:t>
      </w:r>
      <w:r>
        <w:tab/>
      </w:r>
      <w:r>
        <w:fldChar w:fldCharType="begin"/>
      </w:r>
      <w:r>
        <w:instrText xml:space="preserve"> PAGEREF _Toc1126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_Toc31154 </w:instrText>
      </w:r>
      <w:r>
        <w:rPr>
          <w:rFonts w:hint="eastAsia" w:ascii="宋体" w:hAnsi="宋体" w:eastAsia="宋体" w:cs="宋体"/>
          <w:kern w:val="2"/>
          <w:szCs w:val="24"/>
          <w:highlight w:val="none"/>
        </w:rPr>
        <w:fldChar w:fldCharType="separate"/>
      </w:r>
      <w:r>
        <w:rPr>
          <w:rFonts w:hint="eastAsia" w:ascii="宋体" w:hAnsi="宋体" w:eastAsia="宋体" w:cs="宋体"/>
          <w:bCs/>
          <w:szCs w:val="24"/>
          <w:highlight w:val="none"/>
        </w:rPr>
        <w:t>1、投标书</w:t>
      </w:r>
      <w:r>
        <w:tab/>
      </w:r>
      <w:r>
        <w:fldChar w:fldCharType="begin"/>
      </w:r>
      <w:r>
        <w:instrText xml:space="preserve"> PAGEREF _Toc31154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_Toc26224 </w:instrText>
      </w:r>
      <w:r>
        <w:rPr>
          <w:rFonts w:hint="eastAsia" w:ascii="宋体" w:hAnsi="宋体" w:eastAsia="宋体" w:cs="宋体"/>
          <w:kern w:val="2"/>
          <w:szCs w:val="24"/>
          <w:highlight w:val="none"/>
        </w:rPr>
        <w:fldChar w:fldCharType="separate"/>
      </w:r>
      <w:r>
        <w:rPr>
          <w:rFonts w:hint="eastAsia" w:ascii="宋体" w:hAnsi="宋体" w:eastAsia="宋体" w:cs="宋体"/>
          <w:bCs/>
          <w:szCs w:val="28"/>
          <w:highlight w:val="none"/>
        </w:rPr>
        <w:t>2、投标分项报价表（一）</w:t>
      </w:r>
      <w:r>
        <w:tab/>
      </w:r>
      <w:r>
        <w:fldChar w:fldCharType="begin"/>
      </w:r>
      <w:r>
        <w:instrText xml:space="preserve"> PAGEREF _Toc26224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_Toc16319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highlight w:val="none"/>
        </w:rPr>
        <w:t>备品备件设备分项报价表（二）</w:t>
      </w:r>
      <w:r>
        <w:tab/>
      </w:r>
      <w:r>
        <w:fldChar w:fldCharType="begin"/>
      </w:r>
      <w:r>
        <w:instrText xml:space="preserve"> PAGEREF _Toc16319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_Toc1260 </w:instrText>
      </w:r>
      <w:r>
        <w:rPr>
          <w:rFonts w:hint="eastAsia" w:ascii="宋体" w:hAnsi="宋体" w:eastAsia="宋体" w:cs="宋体"/>
          <w:kern w:val="2"/>
          <w:szCs w:val="24"/>
          <w:highlight w:val="none"/>
        </w:rPr>
        <w:fldChar w:fldCharType="separate"/>
      </w:r>
      <w:r>
        <w:rPr>
          <w:rFonts w:hint="eastAsia" w:ascii="宋体" w:hAnsi="宋体" w:eastAsia="宋体" w:cs="宋体"/>
          <w:bCs/>
          <w:szCs w:val="28"/>
          <w:highlight w:val="none"/>
        </w:rPr>
        <w:t>3、服务说明一览表</w:t>
      </w:r>
      <w:r>
        <w:tab/>
      </w:r>
      <w:r>
        <w:fldChar w:fldCharType="begin"/>
      </w:r>
      <w:r>
        <w:instrText xml:space="preserve"> PAGEREF _Toc1260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_Toc29453 </w:instrText>
      </w:r>
      <w:r>
        <w:rPr>
          <w:rFonts w:hint="eastAsia" w:ascii="宋体" w:hAnsi="宋体" w:eastAsia="宋体" w:cs="宋体"/>
          <w:kern w:val="2"/>
          <w:szCs w:val="24"/>
          <w:highlight w:val="none"/>
        </w:rPr>
        <w:fldChar w:fldCharType="separate"/>
      </w:r>
      <w:r>
        <w:rPr>
          <w:rFonts w:hint="eastAsia" w:ascii="宋体" w:hAnsi="宋体" w:eastAsia="宋体" w:cs="宋体"/>
          <w:bCs/>
          <w:szCs w:val="28"/>
          <w:highlight w:val="none"/>
        </w:rPr>
        <w:t>4、服务规格偏离表</w:t>
      </w:r>
      <w:r>
        <w:tab/>
      </w:r>
      <w:r>
        <w:fldChar w:fldCharType="begin"/>
      </w:r>
      <w:r>
        <w:instrText xml:space="preserve"> PAGEREF _Toc29453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_Toc7389 </w:instrText>
      </w:r>
      <w:r>
        <w:rPr>
          <w:rFonts w:hint="eastAsia" w:ascii="宋体" w:hAnsi="宋体" w:eastAsia="宋体" w:cs="宋体"/>
          <w:kern w:val="2"/>
          <w:szCs w:val="24"/>
          <w:highlight w:val="none"/>
        </w:rPr>
        <w:fldChar w:fldCharType="separate"/>
      </w:r>
      <w:r>
        <w:rPr>
          <w:rFonts w:hint="eastAsia" w:ascii="宋体" w:hAnsi="宋体" w:eastAsia="宋体" w:cs="宋体"/>
          <w:szCs w:val="28"/>
          <w:highlight w:val="none"/>
        </w:rPr>
        <w:t>5、商务条款偏离表</w:t>
      </w:r>
      <w:r>
        <w:tab/>
      </w:r>
      <w:r>
        <w:fldChar w:fldCharType="begin"/>
      </w:r>
      <w:r>
        <w:instrText xml:space="preserve"> PAGEREF _Toc7389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_Toc31557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6-1  中小企业声明函</w:t>
      </w:r>
      <w:r>
        <w:rPr>
          <w:rFonts w:hint="eastAsia" w:ascii="宋体" w:hAnsi="宋体" w:eastAsia="宋体" w:cs="宋体"/>
          <w:szCs w:val="24"/>
          <w:highlight w:val="none"/>
          <w:lang w:eastAsia="zh-CN"/>
        </w:rPr>
        <w:t>（服务）</w:t>
      </w:r>
      <w:r>
        <w:tab/>
      </w:r>
      <w:r>
        <w:fldChar w:fldCharType="begin"/>
      </w:r>
      <w:r>
        <w:instrText xml:space="preserve"> PAGEREF _Toc31557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_Toc25403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6-2  残疾人福利性单位声明函</w:t>
      </w:r>
      <w:r>
        <w:tab/>
      </w:r>
      <w:r>
        <w:fldChar w:fldCharType="begin"/>
      </w:r>
      <w:r>
        <w:instrText xml:space="preserve"> PAGEREF _Toc25403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_Toc7614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7、供应商关联单位的说明</w:t>
      </w:r>
      <w:r>
        <w:tab/>
      </w:r>
      <w:r>
        <w:fldChar w:fldCharType="begin"/>
      </w:r>
      <w:r>
        <w:instrText xml:space="preserve"> PAGEREF _Toc7614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_Toc25395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8、供应商可提供有利于投标的其他资格证明材料</w:t>
      </w:r>
      <w:r>
        <w:tab/>
      </w:r>
      <w:r>
        <w:fldChar w:fldCharType="begin"/>
      </w:r>
      <w:r>
        <w:instrText xml:space="preserve"> PAGEREF _Toc25395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_Toc3908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9、投标文件格式范本</w:t>
      </w:r>
      <w:r>
        <w:tab/>
      </w:r>
      <w:r>
        <w:fldChar w:fldCharType="begin"/>
      </w:r>
      <w:r>
        <w:instrText xml:space="preserve"> PAGEREF _Toc3908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_Toc17268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第3章  投标邀请</w:t>
      </w:r>
      <w:r>
        <w:tab/>
      </w:r>
      <w:r>
        <w:fldChar w:fldCharType="begin"/>
      </w:r>
      <w:r>
        <w:instrText xml:space="preserve"> PAGEREF _Toc17268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_Toc13488 </w:instrText>
      </w:r>
      <w:r>
        <w:rPr>
          <w:rFonts w:hint="eastAsia" w:ascii="宋体" w:hAnsi="宋体" w:eastAsia="宋体" w:cs="宋体"/>
          <w:kern w:val="2"/>
          <w:szCs w:val="24"/>
          <w:highlight w:val="none"/>
        </w:rPr>
        <w:fldChar w:fldCharType="separate"/>
      </w:r>
      <w:r>
        <w:rPr>
          <w:rFonts w:hint="eastAsia" w:ascii="宋体" w:hAnsi="宋体" w:eastAsia="宋体" w:cs="宋体"/>
          <w:szCs w:val="30"/>
          <w:highlight w:val="none"/>
          <w:lang w:val="en-US" w:eastAsia="zh-CN"/>
        </w:rPr>
        <w:t>莎车县人民医院集成平台、数据中心、急救车指挥系统、数据标准机房及其他软硬件安装升级改造采购项目</w:t>
      </w:r>
      <w:r>
        <w:tab/>
      </w:r>
      <w:r>
        <w:fldChar w:fldCharType="begin"/>
      </w:r>
      <w:r>
        <w:instrText xml:space="preserve"> PAGEREF _Toc13488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_Toc21187 </w:instrText>
      </w:r>
      <w:r>
        <w:rPr>
          <w:rFonts w:hint="eastAsia" w:ascii="宋体" w:hAnsi="宋体" w:eastAsia="宋体" w:cs="宋体"/>
          <w:kern w:val="2"/>
          <w:szCs w:val="24"/>
          <w:highlight w:val="none"/>
        </w:rPr>
        <w:fldChar w:fldCharType="separate"/>
      </w:r>
      <w:r>
        <w:rPr>
          <w:rFonts w:hint="eastAsia" w:ascii="宋体" w:hAnsi="宋体" w:eastAsia="宋体" w:cs="宋体"/>
          <w:szCs w:val="30"/>
          <w:highlight w:val="none"/>
          <w:lang w:val="en-US" w:eastAsia="zh-CN"/>
        </w:rPr>
        <w:t>公开招标</w:t>
      </w:r>
      <w:r>
        <w:rPr>
          <w:rFonts w:hint="eastAsia" w:ascii="宋体" w:hAnsi="宋体" w:eastAsia="宋体" w:cs="宋体"/>
          <w:szCs w:val="30"/>
          <w:highlight w:val="none"/>
        </w:rPr>
        <w:t>公告</w:t>
      </w:r>
      <w:r>
        <w:tab/>
      </w:r>
      <w:r>
        <w:fldChar w:fldCharType="begin"/>
      </w:r>
      <w:r>
        <w:instrText xml:space="preserve"> PAGEREF _Toc21187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_Toc4513 </w:instrText>
      </w:r>
      <w:r>
        <w:rPr>
          <w:rFonts w:hint="eastAsia" w:ascii="宋体" w:hAnsi="宋体" w:eastAsia="宋体" w:cs="宋体"/>
          <w:kern w:val="2"/>
          <w:szCs w:val="24"/>
          <w:highlight w:val="none"/>
        </w:rPr>
        <w:fldChar w:fldCharType="separate"/>
      </w:r>
      <w:r>
        <w:rPr>
          <w:rFonts w:hint="eastAsia" w:ascii="宋体" w:hAnsi="宋体" w:eastAsia="宋体" w:cs="宋体"/>
          <w:bCs/>
          <w:szCs w:val="24"/>
          <w:highlight w:val="none"/>
        </w:rPr>
        <w:t>一、项目基本情况</w:t>
      </w:r>
      <w:r>
        <w:tab/>
      </w:r>
      <w:r>
        <w:fldChar w:fldCharType="begin"/>
      </w:r>
      <w:r>
        <w:instrText xml:space="preserve"> PAGEREF _Toc4513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_Toc32375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4"/>
          <w:highlight w:val="none"/>
        </w:rPr>
        <w:t>二、</w:t>
      </w:r>
      <w:r>
        <w:rPr>
          <w:rFonts w:hint="eastAsia" w:ascii="宋体" w:hAnsi="宋体" w:eastAsia="宋体" w:cs="宋体"/>
          <w:kern w:val="0"/>
          <w:szCs w:val="24"/>
          <w:highlight w:val="none"/>
          <w:lang w:val="en-US" w:eastAsia="zh-CN"/>
        </w:rPr>
        <w:t>申请人</w:t>
      </w:r>
      <w:r>
        <w:rPr>
          <w:rFonts w:hint="eastAsia" w:ascii="宋体" w:hAnsi="宋体" w:eastAsia="宋体" w:cs="宋体"/>
          <w:kern w:val="0"/>
          <w:szCs w:val="24"/>
          <w:highlight w:val="none"/>
        </w:rPr>
        <w:t>的资格要求：</w:t>
      </w:r>
      <w:r>
        <w:tab/>
      </w:r>
      <w:r>
        <w:fldChar w:fldCharType="begin"/>
      </w:r>
      <w:r>
        <w:instrText xml:space="preserve"> PAGEREF _Toc32375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_Toc7573 </w:instrText>
      </w:r>
      <w:r>
        <w:rPr>
          <w:rFonts w:hint="eastAsia" w:ascii="宋体" w:hAnsi="宋体" w:eastAsia="宋体" w:cs="宋体"/>
          <w:kern w:val="2"/>
          <w:szCs w:val="24"/>
          <w:highlight w:val="none"/>
        </w:rPr>
        <w:fldChar w:fldCharType="separate"/>
      </w:r>
      <w:r>
        <w:rPr>
          <w:rFonts w:hint="eastAsia" w:ascii="宋体" w:hAnsi="宋体" w:eastAsia="宋体" w:cs="宋体"/>
          <w:bCs/>
          <w:szCs w:val="24"/>
          <w:highlight w:val="none"/>
        </w:rPr>
        <w:t>三、获取</w:t>
      </w:r>
      <w:r>
        <w:rPr>
          <w:rFonts w:hint="eastAsia" w:ascii="宋体" w:hAnsi="宋体" w:eastAsia="宋体" w:cs="宋体"/>
          <w:bCs/>
          <w:szCs w:val="24"/>
          <w:highlight w:val="none"/>
          <w:lang w:val="en-US" w:eastAsia="zh-CN"/>
        </w:rPr>
        <w:t>招标</w:t>
      </w:r>
      <w:r>
        <w:rPr>
          <w:rFonts w:hint="eastAsia" w:ascii="宋体" w:hAnsi="宋体" w:eastAsia="宋体" w:cs="宋体"/>
          <w:bCs/>
          <w:szCs w:val="24"/>
          <w:highlight w:val="none"/>
        </w:rPr>
        <w:t>文件</w:t>
      </w:r>
      <w:r>
        <w:tab/>
      </w:r>
      <w:r>
        <w:fldChar w:fldCharType="begin"/>
      </w:r>
      <w:r>
        <w:instrText xml:space="preserve"> PAGEREF _Toc7573 \h </w:instrText>
      </w:r>
      <w:r>
        <w:fldChar w:fldCharType="separate"/>
      </w:r>
      <w:r>
        <w:t>40</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_Toc10634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szCs w:val="24"/>
          <w:highlight w:val="none"/>
        </w:rPr>
        <w:t>四、提交投标文件截止时间、开标时间和地点</w:t>
      </w:r>
      <w:r>
        <w:tab/>
      </w:r>
      <w:r>
        <w:fldChar w:fldCharType="begin"/>
      </w:r>
      <w:r>
        <w:instrText xml:space="preserve"> PAGEREF _Toc10634 \h </w:instrText>
      </w:r>
      <w:r>
        <w:fldChar w:fldCharType="separate"/>
      </w:r>
      <w:r>
        <w:t>40</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_Toc15153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szCs w:val="24"/>
          <w:highlight w:val="none"/>
          <w:lang w:val="en-US" w:eastAsia="zh-CN"/>
        </w:rPr>
        <w:t>五、公告期限</w:t>
      </w:r>
      <w:r>
        <w:tab/>
      </w:r>
      <w:r>
        <w:fldChar w:fldCharType="begin"/>
      </w:r>
      <w:r>
        <w:instrText xml:space="preserve"> PAGEREF _Toc15153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_Toc20823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szCs w:val="24"/>
          <w:lang w:val="en-US" w:eastAsia="zh-CN"/>
        </w:rPr>
        <w:t xml:space="preserve">六、 </w:t>
      </w:r>
      <w:r>
        <w:rPr>
          <w:rFonts w:hint="eastAsia" w:ascii="宋体" w:hAnsi="宋体" w:eastAsia="宋体" w:cs="宋体"/>
          <w:bCs/>
          <w:kern w:val="0"/>
          <w:szCs w:val="24"/>
          <w:highlight w:val="none"/>
          <w:lang w:val="en-US" w:eastAsia="zh-CN"/>
        </w:rPr>
        <w:t>其它补充事宜</w:t>
      </w:r>
      <w:r>
        <w:tab/>
      </w:r>
      <w:r>
        <w:fldChar w:fldCharType="begin"/>
      </w:r>
      <w:r>
        <w:instrText xml:space="preserve"> PAGEREF _Toc20823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_Toc10884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szCs w:val="24"/>
          <w:highlight w:val="none"/>
          <w:lang w:val="en-US" w:eastAsia="zh-CN"/>
        </w:rPr>
        <w:t>七、凡对本次采购提出询问，请按以下方式联系。</w:t>
      </w:r>
      <w:r>
        <w:tab/>
      </w:r>
      <w:r>
        <w:fldChar w:fldCharType="begin"/>
      </w:r>
      <w:r>
        <w:instrText xml:space="preserve"> PAGEREF _Toc10884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_Toc5451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第4章  供应商须知资料表</w:t>
      </w:r>
      <w:r>
        <w:tab/>
      </w:r>
      <w:r>
        <w:fldChar w:fldCharType="begin"/>
      </w:r>
      <w:r>
        <w:instrText xml:space="preserve"> PAGEREF _Toc5451 \h </w:instrText>
      </w:r>
      <w:r>
        <w:fldChar w:fldCharType="separate"/>
      </w:r>
      <w:r>
        <w:t>42</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_Toc22140 </w:instrText>
      </w:r>
      <w:r>
        <w:rPr>
          <w:rFonts w:hint="eastAsia" w:ascii="宋体" w:hAnsi="宋体" w:eastAsia="宋体" w:cs="宋体"/>
          <w:kern w:val="2"/>
          <w:szCs w:val="24"/>
          <w:highlight w:val="none"/>
        </w:rPr>
        <w:fldChar w:fldCharType="separate"/>
      </w:r>
      <w:r>
        <w:rPr>
          <w:rFonts w:hint="eastAsia" w:ascii="宋体" w:hAnsi="宋体" w:cs="宋体"/>
          <w:highlight w:val="none"/>
          <w:lang w:val="en-US" w:eastAsia="zh-CN"/>
        </w:rPr>
        <w:t>第5章</w:t>
      </w:r>
      <w:r>
        <w:rPr>
          <w:rFonts w:hint="eastAsia" w:ascii="宋体" w:hAnsi="宋体" w:eastAsia="宋体" w:cs="宋体"/>
          <w:highlight w:val="none"/>
        </w:rPr>
        <w:t xml:space="preserve"> 服务内容及项目要求</w:t>
      </w:r>
      <w:r>
        <w:tab/>
      </w:r>
      <w:r>
        <w:fldChar w:fldCharType="begin"/>
      </w:r>
      <w:r>
        <w:instrText xml:space="preserve"> PAGEREF _Toc22140 \h </w:instrText>
      </w:r>
      <w:r>
        <w:fldChar w:fldCharType="separate"/>
      </w:r>
      <w:r>
        <w:t>47</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_Toc8460 </w:instrText>
      </w:r>
      <w:r>
        <w:rPr>
          <w:rFonts w:hint="eastAsia" w:ascii="宋体" w:hAnsi="宋体" w:eastAsia="宋体" w:cs="宋体"/>
          <w:kern w:val="2"/>
          <w:szCs w:val="24"/>
          <w:highlight w:val="none"/>
        </w:rPr>
        <w:fldChar w:fldCharType="separate"/>
      </w:r>
      <w:r>
        <w:rPr>
          <w:rFonts w:hint="eastAsia" w:ascii="宋体" w:hAnsi="宋体" w:cs="宋体"/>
          <w:highlight w:val="none"/>
          <w:lang w:eastAsia="zh-CN"/>
        </w:rPr>
        <w:t>第五包：信息安全三级等级保测评</w:t>
      </w:r>
      <w:r>
        <w:tab/>
      </w:r>
      <w:r>
        <w:fldChar w:fldCharType="begin"/>
      </w:r>
      <w:r>
        <w:instrText xml:space="preserve"> PAGEREF _Toc8460 \h </w:instrText>
      </w:r>
      <w:r>
        <w:fldChar w:fldCharType="separate"/>
      </w:r>
      <w:r>
        <w:t>47</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_Toc7911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第6章  评标方法和标准</w:t>
      </w:r>
      <w:r>
        <w:tab/>
      </w:r>
      <w:r>
        <w:fldChar w:fldCharType="begin"/>
      </w:r>
      <w:r>
        <w:instrText xml:space="preserve"> PAGEREF _Toc7911 \h </w:instrText>
      </w:r>
      <w:r>
        <w:fldChar w:fldCharType="separate"/>
      </w:r>
      <w:r>
        <w:t>51</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_Toc13538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初步评审—资格性审查表</w:t>
      </w:r>
      <w:r>
        <w:tab/>
      </w:r>
      <w:r>
        <w:fldChar w:fldCharType="begin"/>
      </w:r>
      <w:r>
        <w:instrText xml:space="preserve"> PAGEREF _Toc13538 \h </w:instrText>
      </w:r>
      <w:r>
        <w:fldChar w:fldCharType="separate"/>
      </w:r>
      <w:r>
        <w:t>56</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_Toc3008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初步评审—符合性审查表</w:t>
      </w:r>
      <w:r>
        <w:tab/>
      </w:r>
      <w:r>
        <w:fldChar w:fldCharType="begin"/>
      </w:r>
      <w:r>
        <w:instrText xml:space="preserve"> PAGEREF _Toc3008 \h </w:instrText>
      </w:r>
      <w:r>
        <w:fldChar w:fldCharType="separate"/>
      </w:r>
      <w:r>
        <w:t>57</w:t>
      </w:r>
      <w:r>
        <w:fldChar w:fldCharType="end"/>
      </w:r>
      <w:r>
        <w:rPr>
          <w:rFonts w:hint="eastAsia" w:ascii="宋体" w:hAnsi="宋体" w:eastAsia="宋体" w:cs="宋体"/>
          <w:color w:val="auto"/>
          <w:kern w:val="2"/>
          <w:szCs w:val="24"/>
          <w:highlight w:val="none"/>
        </w:rPr>
        <w:fldChar w:fldCharType="end"/>
      </w:r>
    </w:p>
    <w:p>
      <w:pPr>
        <w:pStyle w:val="2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_Toc9832 </w:instrText>
      </w:r>
      <w:r>
        <w:rPr>
          <w:rFonts w:hint="eastAsia" w:ascii="宋体" w:hAnsi="宋体" w:eastAsia="宋体" w:cs="宋体"/>
          <w:kern w:val="2"/>
          <w:szCs w:val="24"/>
          <w:highlight w:val="none"/>
        </w:rPr>
        <w:fldChar w:fldCharType="separate"/>
      </w:r>
      <w:r>
        <w:rPr>
          <w:rFonts w:hint="eastAsia" w:ascii="宋体" w:hAnsi="宋体" w:cs="宋体"/>
          <w:bCs/>
          <w:szCs w:val="44"/>
          <w:highlight w:val="none"/>
          <w:lang w:val="en-US" w:eastAsia="zh-CN"/>
        </w:rPr>
        <w:t>第五包</w:t>
      </w:r>
      <w:r>
        <w:rPr>
          <w:rFonts w:hint="eastAsia" w:ascii="宋体" w:hAnsi="宋体" w:eastAsia="宋体" w:cs="宋体"/>
          <w:bCs/>
          <w:szCs w:val="44"/>
          <w:highlight w:val="none"/>
        </w:rPr>
        <w:t>综合评分表</w:t>
      </w:r>
      <w:r>
        <w:tab/>
      </w:r>
      <w:r>
        <w:fldChar w:fldCharType="begin"/>
      </w:r>
      <w:r>
        <w:instrText xml:space="preserve"> PAGEREF _Toc9832 \h </w:instrText>
      </w:r>
      <w:r>
        <w:fldChar w:fldCharType="separate"/>
      </w:r>
      <w:r>
        <w:t>60</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_Toc31636 </w:instrText>
      </w:r>
      <w:r>
        <w:rPr>
          <w:rFonts w:hint="eastAsia" w:ascii="宋体" w:hAnsi="宋体" w:eastAsia="宋体" w:cs="宋体"/>
          <w:kern w:val="2"/>
          <w:szCs w:val="24"/>
          <w:highlight w:val="none"/>
        </w:rPr>
        <w:fldChar w:fldCharType="separate"/>
      </w:r>
      <w:r>
        <w:rPr>
          <w:rFonts w:hint="eastAsia" w:hAnsi="宋体" w:eastAsia="宋体" w:cs="宋体"/>
          <w:highlight w:val="none"/>
          <w:lang w:val="en-US" w:eastAsia="zh-CN" w:bidi="ar-SA"/>
        </w:rPr>
        <w:t>第7章 政府采购合同</w:t>
      </w:r>
      <w:r>
        <w:tab/>
      </w:r>
      <w:r>
        <w:fldChar w:fldCharType="begin"/>
      </w:r>
      <w:r>
        <w:instrText xml:space="preserve"> PAGEREF _Toc31636 \h </w:instrText>
      </w:r>
      <w:r>
        <w:fldChar w:fldCharType="separate"/>
      </w:r>
      <w:r>
        <w:t>62</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_Toc17364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1.1 合同组成部分</w:t>
      </w:r>
      <w:r>
        <w:tab/>
      </w:r>
      <w:r>
        <w:fldChar w:fldCharType="begin"/>
      </w:r>
      <w:r>
        <w:instrText xml:space="preserve"> PAGEREF _Toc17364 \h </w:instrText>
      </w:r>
      <w:r>
        <w:fldChar w:fldCharType="separate"/>
      </w:r>
      <w:r>
        <w:t>64</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_Toc11833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1.2 标的</w:t>
      </w:r>
      <w:r>
        <w:tab/>
      </w:r>
      <w:r>
        <w:fldChar w:fldCharType="begin"/>
      </w:r>
      <w:r>
        <w:instrText xml:space="preserve"> PAGEREF _Toc11833 \h </w:instrText>
      </w:r>
      <w:r>
        <w:fldChar w:fldCharType="separate"/>
      </w:r>
      <w:r>
        <w:t>64</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_Toc5709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1.3 价款</w:t>
      </w:r>
      <w:r>
        <w:tab/>
      </w:r>
      <w:r>
        <w:fldChar w:fldCharType="begin"/>
      </w:r>
      <w:r>
        <w:instrText xml:space="preserve"> PAGEREF _Toc5709 \h </w:instrText>
      </w:r>
      <w:r>
        <w:fldChar w:fldCharType="separate"/>
      </w:r>
      <w:r>
        <w:t>64</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_Toc22074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1.4 付款方式和发票开具方式</w:t>
      </w:r>
      <w:r>
        <w:tab/>
      </w:r>
      <w:r>
        <w:fldChar w:fldCharType="begin"/>
      </w:r>
      <w:r>
        <w:instrText xml:space="preserve"> PAGEREF _Toc22074 \h </w:instrText>
      </w:r>
      <w:r>
        <w:fldChar w:fldCharType="separate"/>
      </w:r>
      <w:r>
        <w:t>64</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_Toc9258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1.5 履行期限、地点和方式</w:t>
      </w:r>
      <w:r>
        <w:tab/>
      </w:r>
      <w:r>
        <w:fldChar w:fldCharType="begin"/>
      </w:r>
      <w:r>
        <w:instrText xml:space="preserve"> PAGEREF _Toc9258 \h </w:instrText>
      </w:r>
      <w:r>
        <w:fldChar w:fldCharType="separate"/>
      </w:r>
      <w:r>
        <w:t>65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_Toc28320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1.6 违约责任</w:t>
      </w:r>
      <w:r>
        <w:tab/>
      </w:r>
      <w:r>
        <w:fldChar w:fldCharType="begin"/>
      </w:r>
      <w:r>
        <w:instrText xml:space="preserve"> PAGEREF _Toc28320 \h </w:instrText>
      </w:r>
      <w:r>
        <w:fldChar w:fldCharType="separate"/>
      </w:r>
      <w:r>
        <w:t>65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_Toc6684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1.7 合同争议的解决</w:t>
      </w:r>
      <w:r>
        <w:tab/>
      </w:r>
      <w:r>
        <w:fldChar w:fldCharType="begin"/>
      </w:r>
      <w:r>
        <w:instrText xml:space="preserve"> PAGEREF _Toc6684 \h </w:instrText>
      </w:r>
      <w:r>
        <w:fldChar w:fldCharType="separate"/>
      </w:r>
      <w:r>
        <w:t>66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_Toc16383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1.8 合同生效</w:t>
      </w:r>
      <w:r>
        <w:tab/>
      </w:r>
      <w:r>
        <w:fldChar w:fldCharType="begin"/>
      </w:r>
      <w:r>
        <w:instrText xml:space="preserve"> PAGEREF _Toc16383 \h </w:instrText>
      </w:r>
      <w:r>
        <w:fldChar w:fldCharType="separate"/>
      </w:r>
      <w:r>
        <w:t>66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_Toc14976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 定义</w:t>
      </w:r>
      <w:r>
        <w:tab/>
      </w:r>
      <w:r>
        <w:fldChar w:fldCharType="begin"/>
      </w:r>
      <w:r>
        <w:instrText xml:space="preserve"> PAGEREF _Toc14976 \h </w:instrText>
      </w:r>
      <w:r>
        <w:fldChar w:fldCharType="separate"/>
      </w:r>
      <w:r>
        <w:t>67</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_Toc5874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2.2 技术规范</w:t>
      </w:r>
      <w:r>
        <w:tab/>
      </w:r>
      <w:r>
        <w:fldChar w:fldCharType="begin"/>
      </w:r>
      <w:r>
        <w:instrText xml:space="preserve"> PAGEREF _Toc5874 \h </w:instrText>
      </w:r>
      <w:r>
        <w:fldChar w:fldCharType="separate"/>
      </w:r>
      <w:r>
        <w:t>67</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_Toc11376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2.3 知识产权</w:t>
      </w:r>
      <w:r>
        <w:tab/>
      </w:r>
      <w:r>
        <w:fldChar w:fldCharType="begin"/>
      </w:r>
      <w:r>
        <w:instrText xml:space="preserve"> PAGEREF _Toc11376 \h </w:instrText>
      </w:r>
      <w:r>
        <w:fldChar w:fldCharType="separate"/>
      </w:r>
      <w:r>
        <w:t>67</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_Toc32615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2.5 结算方式和付款条件</w:t>
      </w:r>
      <w:r>
        <w:tab/>
      </w:r>
      <w:r>
        <w:fldChar w:fldCharType="begin"/>
      </w:r>
      <w:r>
        <w:instrText xml:space="preserve"> PAGEREF _Toc32615 \h </w:instrText>
      </w:r>
      <w:r>
        <w:fldChar w:fldCharType="separate"/>
      </w:r>
      <w:r>
        <w:t>68</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_Toc20569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2.6 技术资料和保密义务</w:t>
      </w:r>
      <w:r>
        <w:tab/>
      </w:r>
      <w:r>
        <w:fldChar w:fldCharType="begin"/>
      </w:r>
      <w:r>
        <w:instrText xml:space="preserve"> PAGEREF _Toc20569 \h </w:instrText>
      </w:r>
      <w:r>
        <w:fldChar w:fldCharType="separate"/>
      </w:r>
      <w:r>
        <w:t>68</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_Toc13170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2.7 质量保证</w:t>
      </w:r>
      <w:r>
        <w:tab/>
      </w:r>
      <w:r>
        <w:fldChar w:fldCharType="begin"/>
      </w:r>
      <w:r>
        <w:instrText xml:space="preserve"> PAGEREF _Toc13170 \h </w:instrText>
      </w:r>
      <w:r>
        <w:fldChar w:fldCharType="separate"/>
      </w:r>
      <w:r>
        <w:t>68</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_Toc11789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2.8 延迟履行</w:t>
      </w:r>
      <w:r>
        <w:tab/>
      </w:r>
      <w:r>
        <w:fldChar w:fldCharType="begin"/>
      </w:r>
      <w:r>
        <w:instrText xml:space="preserve"> PAGEREF _Toc11789 \h </w:instrText>
      </w:r>
      <w:r>
        <w:fldChar w:fldCharType="separate"/>
      </w:r>
      <w:r>
        <w:t>68</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_Toc8568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2.9 合同变更</w:t>
      </w:r>
      <w:r>
        <w:tab/>
      </w:r>
      <w:r>
        <w:fldChar w:fldCharType="begin"/>
      </w:r>
      <w:r>
        <w:instrText xml:space="preserve"> PAGEREF _Toc8568 \h </w:instrText>
      </w:r>
      <w:r>
        <w:fldChar w:fldCharType="separate"/>
      </w:r>
      <w:r>
        <w:t>68</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_Toc28853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2.10 合同转让和分包</w:t>
      </w:r>
      <w:r>
        <w:tab/>
      </w:r>
      <w:r>
        <w:fldChar w:fldCharType="begin"/>
      </w:r>
      <w:r>
        <w:instrText xml:space="preserve"> PAGEREF _Toc28853 \h </w:instrText>
      </w:r>
      <w:r>
        <w:fldChar w:fldCharType="separate"/>
      </w:r>
      <w:r>
        <w:t>68</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_Toc19697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2.11 不可抗力</w:t>
      </w:r>
      <w:r>
        <w:tab/>
      </w:r>
      <w:r>
        <w:fldChar w:fldCharType="begin"/>
      </w:r>
      <w:r>
        <w:instrText xml:space="preserve"> PAGEREF _Toc19697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_Toc18195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2.12 税费</w:t>
      </w:r>
      <w:r>
        <w:tab/>
      </w:r>
      <w:r>
        <w:fldChar w:fldCharType="begin"/>
      </w:r>
      <w:r>
        <w:instrText xml:space="preserve"> PAGEREF _Toc18195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_Toc9756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2.13 乙方破产</w:t>
      </w:r>
      <w:r>
        <w:tab/>
      </w:r>
      <w:r>
        <w:fldChar w:fldCharType="begin"/>
      </w:r>
      <w:r>
        <w:instrText xml:space="preserve"> PAGEREF _Toc9756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_Toc29414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2.14 合同中止、终止</w:t>
      </w:r>
      <w:r>
        <w:tab/>
      </w:r>
      <w:r>
        <w:fldChar w:fldCharType="begin"/>
      </w:r>
      <w:r>
        <w:instrText xml:space="preserve"> PAGEREF _Toc29414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_Toc6221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2.15 检验和验收</w:t>
      </w:r>
      <w:r>
        <w:tab/>
      </w:r>
      <w:r>
        <w:fldChar w:fldCharType="begin"/>
      </w:r>
      <w:r>
        <w:instrText xml:space="preserve"> PAGEREF _Toc6221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_Toc26744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2.16 通知和送达</w:t>
      </w:r>
      <w:r>
        <w:tab/>
      </w:r>
      <w:r>
        <w:fldChar w:fldCharType="begin"/>
      </w:r>
      <w:r>
        <w:instrText xml:space="preserve"> PAGEREF _Toc26744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_Toc19398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2.17 合同使用的文字和适用的法律</w:t>
      </w:r>
      <w:r>
        <w:tab/>
      </w:r>
      <w:r>
        <w:fldChar w:fldCharType="begin"/>
      </w:r>
      <w:r>
        <w:instrText xml:space="preserve"> PAGEREF _Toc19398 \h </w:instrText>
      </w:r>
      <w:r>
        <w:fldChar w:fldCharType="separate"/>
      </w:r>
      <w:r>
        <w:t>70</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_Toc10143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2.18 履约保证金</w:t>
      </w:r>
      <w:r>
        <w:tab/>
      </w:r>
      <w:r>
        <w:fldChar w:fldCharType="begin"/>
      </w:r>
      <w:r>
        <w:instrText xml:space="preserve"> PAGEREF _Toc10143 \h </w:instrText>
      </w:r>
      <w:r>
        <w:fldChar w:fldCharType="separate"/>
      </w:r>
      <w:r>
        <w:t>70</w:t>
      </w:r>
      <w:r>
        <w:fldChar w:fldCharType="end"/>
      </w:r>
      <w:r>
        <w:rPr>
          <w:rFonts w:hint="eastAsia" w:ascii="宋体" w:hAnsi="宋体" w:eastAsia="宋体" w:cs="宋体"/>
          <w:color w:val="auto"/>
          <w:kern w:val="2"/>
          <w:szCs w:val="24"/>
          <w:highlight w:val="none"/>
        </w:rPr>
        <w:fldChar w:fldCharType="end"/>
      </w:r>
    </w:p>
    <w:p>
      <w:pPr>
        <w:pStyle w:val="8"/>
        <w:ind w:firstLine="0"/>
        <w:jc w:val="center"/>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fldChar w:fldCharType="end"/>
      </w:r>
      <w:bookmarkStart w:id="0" w:name="_Toc22782"/>
      <w:bookmarkStart w:id="1" w:name="_Toc17230"/>
      <w:bookmarkStart w:id="2" w:name="_Toc216582804"/>
      <w:bookmarkStart w:id="3" w:name="_Toc8627"/>
      <w:bookmarkStart w:id="4" w:name="_Toc25253"/>
      <w:bookmarkStart w:id="5" w:name="_Toc1148"/>
      <w:bookmarkStart w:id="6" w:name="_Toc11115"/>
      <w:bookmarkStart w:id="7" w:name="_Toc16548"/>
      <w:bookmarkStart w:id="8" w:name="_Toc515647798"/>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13"/>
        <w:rPr>
          <w:rFonts w:hint="eastAsia" w:ascii="宋体" w:hAnsi="宋体" w:eastAsia="宋体" w:cs="宋体"/>
          <w:color w:val="auto"/>
          <w:kern w:val="2"/>
          <w:szCs w:val="24"/>
          <w:highlight w:val="none"/>
        </w:rPr>
      </w:pPr>
    </w:p>
    <w:p>
      <w:pPr>
        <w:rPr>
          <w:rFonts w:hint="eastAsia" w:ascii="宋体" w:hAnsi="宋体" w:eastAsia="宋体" w:cs="宋体"/>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rPr>
          <w:rFonts w:hint="eastAsia" w:ascii="宋体" w:hAnsi="宋体" w:eastAsia="宋体" w:cs="宋体"/>
          <w:color w:val="auto"/>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2530" w:firstLineChars="900"/>
        <w:jc w:val="both"/>
        <w:outlineLvl w:val="0"/>
        <w:rPr>
          <w:rFonts w:hint="eastAsia" w:ascii="宋体" w:hAnsi="宋体" w:eastAsia="宋体" w:cs="宋体"/>
          <w:color w:val="auto"/>
          <w:highlight w:val="none"/>
        </w:rPr>
      </w:pPr>
      <w:bookmarkStart w:id="9" w:name="_Toc14518"/>
      <w:r>
        <w:rPr>
          <w:rFonts w:hint="eastAsia" w:ascii="宋体" w:hAnsi="宋体" w:eastAsia="宋体" w:cs="宋体"/>
          <w:b/>
          <w:bCs/>
          <w:color w:val="auto"/>
          <w:sz w:val="28"/>
          <w:szCs w:val="21"/>
          <w:highlight w:val="none"/>
        </w:rPr>
        <w:t xml:space="preserve">第1章  </w:t>
      </w:r>
      <w:bookmarkStart w:id="10" w:name="_Toc515647756"/>
      <w:r>
        <w:rPr>
          <w:rFonts w:hint="eastAsia" w:ascii="宋体" w:hAnsi="宋体" w:eastAsia="宋体" w:cs="宋体"/>
          <w:b/>
          <w:bCs/>
          <w:color w:val="auto"/>
          <w:sz w:val="28"/>
          <w:szCs w:val="21"/>
          <w:highlight w:val="none"/>
          <w:lang w:eastAsia="zh-CN"/>
        </w:rPr>
        <w:t>供应商</w:t>
      </w:r>
      <w:r>
        <w:rPr>
          <w:rFonts w:hint="eastAsia" w:ascii="宋体" w:hAnsi="宋体" w:eastAsia="宋体" w:cs="宋体"/>
          <w:b/>
          <w:bCs/>
          <w:color w:val="auto"/>
          <w:sz w:val="28"/>
          <w:szCs w:val="21"/>
          <w:highlight w:val="none"/>
        </w:rPr>
        <w:t>须知</w:t>
      </w:r>
      <w:bookmarkEnd w:id="0"/>
      <w:bookmarkEnd w:id="1"/>
      <w:bookmarkEnd w:id="2"/>
      <w:bookmarkEnd w:id="3"/>
      <w:bookmarkEnd w:id="9"/>
      <w:bookmarkEnd w:id="10"/>
    </w:p>
    <w:p>
      <w:pPr>
        <w:pStyle w:val="7"/>
        <w:spacing w:before="0" w:line="240" w:lineRule="atLeast"/>
        <w:ind w:left="1080" w:leftChars="257" w:hanging="540"/>
        <w:rPr>
          <w:rFonts w:hint="eastAsia" w:ascii="宋体" w:hAnsi="宋体" w:eastAsia="宋体" w:cs="宋体"/>
          <w:color w:val="auto"/>
          <w:highlight w:val="none"/>
        </w:rPr>
      </w:pPr>
      <w:bookmarkStart w:id="11" w:name="_Toc515647757"/>
      <w:bookmarkStart w:id="12" w:name="_Toc216582805"/>
      <w:bookmarkStart w:id="13" w:name="_Toc520356143"/>
      <w:bookmarkStart w:id="14" w:name="_Toc11227"/>
      <w:bookmarkStart w:id="15" w:name="_Toc21215"/>
      <w:bookmarkStart w:id="16" w:name="_Toc14668"/>
      <w:bookmarkStart w:id="17" w:name="_Toc21015"/>
      <w:r>
        <w:rPr>
          <w:rFonts w:hint="eastAsia" w:ascii="宋体" w:hAnsi="宋体" w:eastAsia="宋体" w:cs="宋体"/>
          <w:color w:val="auto"/>
          <w:sz w:val="28"/>
          <w:highlight w:val="none"/>
        </w:rPr>
        <w:t xml:space="preserve">一   </w:t>
      </w:r>
      <w:bookmarkEnd w:id="11"/>
      <w:bookmarkEnd w:id="12"/>
      <w:bookmarkEnd w:id="13"/>
      <w:r>
        <w:rPr>
          <w:rFonts w:hint="eastAsia" w:ascii="宋体" w:hAnsi="宋体" w:eastAsia="宋体" w:cs="宋体"/>
          <w:color w:val="auto"/>
          <w:sz w:val="28"/>
          <w:highlight w:val="none"/>
        </w:rPr>
        <w:t>总 则</w:t>
      </w:r>
      <w:bookmarkEnd w:id="14"/>
      <w:bookmarkEnd w:id="15"/>
      <w:bookmarkEnd w:id="16"/>
      <w:bookmarkEnd w:id="17"/>
    </w:p>
    <w:p>
      <w:pPr>
        <w:pStyle w:val="9"/>
        <w:shd w:val="clear" w:color="auto" w:fill="auto"/>
        <w:spacing w:before="0" w:after="0" w:line="360" w:lineRule="exact"/>
        <w:rPr>
          <w:rFonts w:hint="eastAsia" w:ascii="宋体" w:hAnsi="宋体" w:eastAsia="宋体" w:cs="宋体"/>
          <w:color w:val="auto"/>
          <w:highlight w:val="none"/>
          <w:u w:val="none"/>
          <w:lang w:eastAsia="zh-CN"/>
        </w:rPr>
      </w:pPr>
      <w:bookmarkStart w:id="18" w:name="_Toc29554"/>
      <w:bookmarkStart w:id="19" w:name="_Toc28967"/>
      <w:bookmarkStart w:id="20" w:name="_Toc8405"/>
      <w:bookmarkStart w:id="21" w:name="_Toc515647758"/>
      <w:bookmarkStart w:id="22" w:name="_Toc12861"/>
      <w:bookmarkStart w:id="23" w:name="_Toc333"/>
      <w:bookmarkStart w:id="24" w:name="_Toc5199"/>
      <w:bookmarkStart w:id="25" w:name="_Toc29817"/>
      <w:bookmarkStart w:id="26" w:name="_Toc32189"/>
      <w:bookmarkStart w:id="27" w:name="_Toc6666"/>
      <w:bookmarkStart w:id="28" w:name="_Toc32623"/>
      <w:bookmarkStart w:id="29" w:name="_Toc520356144"/>
      <w:bookmarkStart w:id="30" w:name="_Toc31685"/>
      <w:bookmarkStart w:id="31" w:name="_Toc21286"/>
      <w:bookmarkStart w:id="32" w:name="_Toc16535"/>
      <w:bookmarkStart w:id="33" w:name="_Toc108"/>
      <w:bookmarkStart w:id="34" w:name="_Toc13879"/>
      <w:bookmarkStart w:id="35" w:name="_Toc881"/>
      <w:bookmarkStart w:id="36" w:name="_Toc1279"/>
      <w:bookmarkStart w:id="37" w:name="_Toc22650"/>
      <w:bookmarkStart w:id="38" w:name="_Toc520356165"/>
      <w:bookmarkStart w:id="39" w:name="_Toc28586"/>
      <w:bookmarkStart w:id="40" w:name="_Toc21372"/>
      <w:bookmarkStart w:id="41" w:name="_Toc5231"/>
      <w:bookmarkStart w:id="42" w:name="_Toc19296"/>
      <w:bookmarkStart w:id="43" w:name="_Toc10550"/>
      <w:bookmarkStart w:id="44" w:name="_Toc515647780"/>
      <w:bookmarkStart w:id="45" w:name="_Toc18228"/>
      <w:bookmarkStart w:id="46" w:name="_Toc378"/>
      <w:bookmarkStart w:id="47" w:name="_Toc27495"/>
      <w:bookmarkStart w:id="48" w:name="_Toc21667"/>
      <w:bookmarkStart w:id="49" w:name="_Toc5052"/>
      <w:bookmarkStart w:id="50" w:name="_Toc32415"/>
      <w:bookmarkStart w:id="51" w:name="_Toc18233"/>
      <w:r>
        <w:rPr>
          <w:rFonts w:hint="eastAsia" w:ascii="宋体" w:hAnsi="宋体" w:eastAsia="宋体" w:cs="宋体"/>
          <w:color w:val="auto"/>
          <w:highlight w:val="none"/>
          <w:u w:val="none"/>
        </w:rPr>
        <w:t>1.采购人、采购代理机构及</w:t>
      </w:r>
      <w:bookmarkEnd w:id="18"/>
      <w:bookmarkEnd w:id="19"/>
      <w:bookmarkEnd w:id="20"/>
      <w:bookmarkEnd w:id="21"/>
      <w:bookmarkEnd w:id="22"/>
      <w:bookmarkEnd w:id="23"/>
      <w:bookmarkEnd w:id="24"/>
      <w:bookmarkEnd w:id="25"/>
      <w:bookmarkEnd w:id="26"/>
      <w:bookmarkEnd w:id="27"/>
      <w:bookmarkEnd w:id="28"/>
      <w:bookmarkEnd w:id="29"/>
      <w:bookmarkEnd w:id="30"/>
      <w:r>
        <w:rPr>
          <w:rFonts w:hint="eastAsia" w:ascii="宋体" w:hAnsi="宋体" w:eastAsia="宋体" w:cs="宋体"/>
          <w:color w:val="auto"/>
          <w:highlight w:val="none"/>
          <w:u w:val="none"/>
          <w:lang w:eastAsia="zh-CN"/>
        </w:rPr>
        <w:t>投标供应商</w:t>
      </w:r>
      <w:bookmarkEnd w:id="31"/>
      <w:bookmarkEnd w:id="32"/>
      <w:bookmarkEnd w:id="33"/>
      <w:bookmarkEnd w:id="34"/>
      <w:bookmarkEnd w:id="35"/>
      <w:bookmarkEnd w:id="36"/>
      <w:bookmarkEnd w:id="37"/>
    </w:p>
    <w:p>
      <w:pPr>
        <w:shd w:val="clear" w:color="auto" w:fill="auto"/>
        <w:tabs>
          <w:tab w:val="left" w:pos="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pPr>
        <w:shd w:val="clear" w:color="auto" w:fill="auto"/>
        <w:tabs>
          <w:tab w:val="left" w:pos="0"/>
        </w:tabs>
        <w:spacing w:line="3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tabs>
          <w:tab w:val="left" w:pos="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1.2采购代理机构：是指在集中采购机构或从事采购代理业务的社会中介机构。本项目的采购代理机构见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63" w:leftChars="30"/>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：是指向采购人提供货物、工程或者服务的</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组织或者自然人。本项目的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及其投标货物须满足以下条件：</w:t>
      </w:r>
    </w:p>
    <w:p>
      <w:pPr>
        <w:shd w:val="clear" w:color="auto" w:fill="auto"/>
        <w:spacing w:line="360" w:lineRule="exact"/>
        <w:ind w:left="850" w:hanging="849" w:hangingChars="354"/>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在中华人民共和国境内注册，能够独立承担民事责任，有生产或供应能力的本国供应商。</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1.3.2  具备《中华人民共和国政府采购法》第二十二条关于供应商条件的规定，遵守本项目采购人本级和上级财政部门政府采购的有关规定。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中规定的其他要求。</w:t>
      </w:r>
    </w:p>
    <w:p>
      <w:pPr>
        <w:shd w:val="clear" w:color="auto" w:fill="auto"/>
        <w:spacing w:line="360" w:lineRule="exac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中写明专门面向中小企业采购的，如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为非中小企业且所投产品为非中小企业产品，其投标将被认定为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    如</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中允许联合体投标，对联合体规定如下：</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1.4.1   两个以上供应商可以组成一个投标联合体，以一个</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的身份投标。</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1.4.2   联合体各方均应符合《中华人民共和国政府采购法》第二十二条规定的条件。</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1.4.3   采购人根据采购项目对</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的特殊要求，联合体中至少应当有一方符合相关规定。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1.4.4   联合体各方应签订共同投标协议，明确约定联合体各方承担的工作和相应的责任，并将共同投标协议连同作为投标文件第一部分的内容提交。</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1.4.5   大中型企业、其他自然人、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组织与小型、微型企业组成联合体共同参加投标，共同投标协议中应写明小型、微型企业的协议合同金额占到共同投标协议投标总金额的比例。</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1.4.6  联合体中有同类资质的供应商按照联合体分工承担相同工作的，按照较低的资质等级确定联合体的资质等级。</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1.4.8   对联合体投标的其他资格要求见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1.5    单位负责人为同一人或者存在直接控股、管理关系的不同供应商，其相关投标将被认定为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在投标过程中不得向采购人提供、给予任何有价值的物品，影响其正常决策行为。一经发现，其将被认定为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9"/>
        <w:shd w:val="clear" w:color="auto" w:fill="auto"/>
        <w:spacing w:before="0" w:after="0" w:line="360" w:lineRule="exact"/>
        <w:rPr>
          <w:rFonts w:hint="eastAsia" w:ascii="宋体" w:hAnsi="宋体" w:eastAsia="宋体" w:cs="宋体"/>
          <w:color w:val="auto"/>
          <w:highlight w:val="none"/>
          <w:u w:val="none"/>
        </w:rPr>
      </w:pPr>
      <w:bookmarkStart w:id="52" w:name="_Toc14630"/>
      <w:bookmarkStart w:id="53" w:name="_Toc17915"/>
      <w:bookmarkStart w:id="54" w:name="_Toc27814"/>
      <w:bookmarkStart w:id="55" w:name="_Toc1403"/>
      <w:bookmarkStart w:id="56" w:name="_Toc28511"/>
      <w:bookmarkStart w:id="57" w:name="_Toc5286"/>
      <w:bookmarkStart w:id="58" w:name="_Toc6151"/>
      <w:bookmarkStart w:id="59" w:name="_Toc29088"/>
      <w:bookmarkStart w:id="60" w:name="_Toc7964"/>
      <w:bookmarkStart w:id="61" w:name="_Toc7800"/>
      <w:bookmarkStart w:id="62" w:name="_Toc3281"/>
      <w:bookmarkStart w:id="63" w:name="_Toc14195"/>
      <w:bookmarkStart w:id="64" w:name="_Toc1760"/>
      <w:bookmarkStart w:id="65" w:name="_Toc7253"/>
      <w:bookmarkStart w:id="66" w:name="_Toc22380"/>
      <w:bookmarkStart w:id="67" w:name="_Toc30314"/>
      <w:bookmarkStart w:id="68" w:name="_Toc17595"/>
      <w:bookmarkStart w:id="69" w:name="_Toc12139"/>
      <w:bookmarkStart w:id="70" w:name="_Toc515647759"/>
      <w:r>
        <w:rPr>
          <w:rFonts w:hint="eastAsia" w:ascii="宋体" w:hAnsi="宋体" w:eastAsia="宋体" w:cs="宋体"/>
          <w:color w:val="auto"/>
          <w:highlight w:val="none"/>
          <w:u w:val="none"/>
        </w:rPr>
        <w:t>2.资金来源</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本项目的采购人已获得足以支付本次招标后所签订的合同项下的资金（包括财政性资金和本项目采购中无法与财政性资金分割的非财政性资金）。</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2.2    项目预算金额和分项或分包最高限价</w:t>
      </w:r>
      <w:r>
        <w:rPr>
          <w:rFonts w:hint="eastAsia" w:ascii="宋体" w:hAnsi="宋体" w:eastAsia="宋体" w:cs="宋体"/>
          <w:color w:val="auto"/>
          <w:sz w:val="24"/>
          <w:highlight w:val="none"/>
          <w:u w:val="single"/>
        </w:rPr>
        <w:t>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9"/>
        <w:shd w:val="clear" w:color="auto" w:fill="auto"/>
        <w:spacing w:before="0" w:after="0" w:line="360" w:lineRule="exact"/>
        <w:rPr>
          <w:rFonts w:hint="eastAsia" w:ascii="宋体" w:hAnsi="宋体" w:eastAsia="宋体" w:cs="宋体"/>
          <w:color w:val="auto"/>
          <w:highlight w:val="none"/>
          <w:u w:val="none"/>
        </w:rPr>
      </w:pPr>
      <w:bookmarkStart w:id="71" w:name="_Toc5207"/>
      <w:bookmarkStart w:id="72" w:name="_Toc520356145"/>
      <w:bookmarkStart w:id="73" w:name="_Toc15936"/>
      <w:bookmarkStart w:id="74" w:name="_Toc29481"/>
      <w:bookmarkStart w:id="75" w:name="_Toc15244"/>
      <w:bookmarkStart w:id="76" w:name="_Toc20799"/>
      <w:bookmarkStart w:id="77" w:name="_Toc515647760"/>
      <w:bookmarkStart w:id="78" w:name="_Toc6740"/>
      <w:bookmarkStart w:id="79" w:name="_Toc15181"/>
      <w:bookmarkStart w:id="80" w:name="_Toc20719"/>
      <w:bookmarkStart w:id="81" w:name="_Toc20526"/>
      <w:bookmarkStart w:id="82" w:name="_Toc28188"/>
      <w:bookmarkStart w:id="83" w:name="_Toc25814"/>
      <w:bookmarkStart w:id="84" w:name="_Toc22731"/>
      <w:bookmarkStart w:id="85" w:name="_Toc29681"/>
      <w:bookmarkStart w:id="86" w:name="_Toc19062"/>
      <w:bookmarkStart w:id="87" w:name="_Toc5647"/>
      <w:bookmarkStart w:id="88" w:name="_Toc530"/>
      <w:bookmarkStart w:id="89" w:name="_Toc30650"/>
      <w:r>
        <w:rPr>
          <w:rFonts w:hint="eastAsia" w:ascii="宋体" w:hAnsi="宋体" w:eastAsia="宋体" w:cs="宋体"/>
          <w:color w:val="auto"/>
          <w:highlight w:val="none"/>
          <w:u w:val="none"/>
        </w:rPr>
        <w:t>3.投标费用</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应承担所有与准备和参加投标有关的费用。</w:t>
      </w:r>
    </w:p>
    <w:p>
      <w:pPr>
        <w:pStyle w:val="9"/>
        <w:shd w:val="clear" w:color="auto" w:fill="auto"/>
        <w:spacing w:before="0" w:after="0" w:line="360" w:lineRule="exact"/>
        <w:rPr>
          <w:rFonts w:hint="eastAsia" w:ascii="宋体" w:hAnsi="宋体" w:eastAsia="宋体" w:cs="宋体"/>
          <w:color w:val="auto"/>
          <w:highlight w:val="none"/>
          <w:u w:val="none"/>
        </w:rPr>
      </w:pPr>
      <w:bookmarkStart w:id="90" w:name="_Toc16096"/>
      <w:bookmarkStart w:id="91" w:name="_Toc16328"/>
      <w:bookmarkStart w:id="92" w:name="_Toc4463"/>
      <w:bookmarkStart w:id="93" w:name="_Toc16086"/>
      <w:bookmarkStart w:id="94" w:name="_Toc8661"/>
      <w:bookmarkStart w:id="95" w:name="_Toc1198"/>
      <w:bookmarkStart w:id="96" w:name="_Toc7418"/>
      <w:bookmarkStart w:id="97" w:name="_Toc8245"/>
      <w:bookmarkStart w:id="98" w:name="_Toc17811"/>
      <w:bookmarkStart w:id="99" w:name="_Toc24665"/>
      <w:bookmarkStart w:id="100" w:name="_Toc28275"/>
      <w:bookmarkStart w:id="101" w:name="_Toc4922"/>
      <w:bookmarkStart w:id="102" w:name="_Toc20221"/>
      <w:bookmarkStart w:id="103" w:name="_Toc5853"/>
      <w:bookmarkStart w:id="104" w:name="_Toc12920"/>
      <w:bookmarkStart w:id="105" w:name="_Toc515647761"/>
      <w:bookmarkStart w:id="106" w:name="_Toc27687"/>
      <w:bookmarkStart w:id="107" w:name="_Toc6116"/>
      <w:bookmarkStart w:id="108" w:name="_Toc8843"/>
      <w:r>
        <w:rPr>
          <w:rFonts w:hint="eastAsia" w:ascii="宋体" w:hAnsi="宋体" w:eastAsia="宋体" w:cs="宋体"/>
          <w:color w:val="auto"/>
          <w:highlight w:val="none"/>
          <w:u w:val="none"/>
        </w:rPr>
        <w:t>4.适用法律</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项目采购人、采购代理机构、投标供应商、评标委员会的相关行为均受《中华人民共和国政府采购法》、《中华人民共和国政府采购法实施条例》、《中华人民共和国财政部令第87号--政府采购货物和货物招标投标管理办法》及本项目本级和上级财政部门政府采购有关规定的约束，其权利受到上述法律法规的保护。</w:t>
      </w:r>
    </w:p>
    <w:p>
      <w:pPr>
        <w:shd w:val="clear" w:color="auto" w:fill="auto"/>
        <w:spacing w:line="360" w:lineRule="exact"/>
        <w:rPr>
          <w:rFonts w:hint="eastAsia" w:ascii="宋体" w:hAnsi="宋体" w:eastAsia="宋体" w:cs="宋体"/>
          <w:color w:val="auto"/>
          <w:sz w:val="24"/>
          <w:highlight w:val="none"/>
        </w:rPr>
      </w:pPr>
    </w:p>
    <w:p>
      <w:pPr>
        <w:pStyle w:val="7"/>
        <w:shd w:val="clear" w:color="auto" w:fill="auto"/>
        <w:spacing w:before="0" w:line="360" w:lineRule="exact"/>
        <w:rPr>
          <w:rFonts w:hint="eastAsia" w:ascii="宋体" w:hAnsi="宋体" w:eastAsia="宋体" w:cs="宋体"/>
          <w:color w:val="auto"/>
          <w:highlight w:val="none"/>
        </w:rPr>
      </w:pPr>
      <w:bookmarkStart w:id="109" w:name="_Toc216582806"/>
      <w:bookmarkStart w:id="110" w:name="_Toc21566"/>
      <w:bookmarkStart w:id="111" w:name="_Toc515647762"/>
      <w:bookmarkStart w:id="112" w:name="_Toc28158"/>
      <w:bookmarkStart w:id="113" w:name="_Toc520356146"/>
      <w:bookmarkStart w:id="114" w:name="_Toc11490"/>
      <w:bookmarkStart w:id="115" w:name="_Toc4365"/>
      <w:bookmarkStart w:id="116" w:name="_Toc6385"/>
      <w:r>
        <w:rPr>
          <w:rFonts w:hint="eastAsia" w:ascii="宋体" w:hAnsi="宋体" w:eastAsia="宋体" w:cs="宋体"/>
          <w:color w:val="auto"/>
          <w:sz w:val="28"/>
          <w:highlight w:val="none"/>
        </w:rPr>
        <w:t>二   招标文件</w:t>
      </w:r>
      <w:bookmarkEnd w:id="109"/>
      <w:bookmarkEnd w:id="110"/>
      <w:bookmarkEnd w:id="111"/>
      <w:bookmarkEnd w:id="112"/>
      <w:bookmarkEnd w:id="113"/>
      <w:bookmarkEnd w:id="114"/>
      <w:bookmarkEnd w:id="115"/>
      <w:bookmarkEnd w:id="116"/>
    </w:p>
    <w:p>
      <w:pPr>
        <w:pStyle w:val="9"/>
        <w:shd w:val="clear" w:color="auto" w:fill="auto"/>
        <w:spacing w:before="0" w:after="0" w:line="360" w:lineRule="exact"/>
        <w:rPr>
          <w:rFonts w:hint="eastAsia" w:ascii="宋体" w:hAnsi="宋体" w:eastAsia="宋体" w:cs="宋体"/>
          <w:color w:val="auto"/>
          <w:highlight w:val="none"/>
          <w:u w:val="none"/>
        </w:rPr>
      </w:pPr>
      <w:bookmarkStart w:id="117" w:name="_Toc30797"/>
      <w:bookmarkStart w:id="118" w:name="_Toc14901"/>
      <w:bookmarkStart w:id="119" w:name="_Toc18213"/>
      <w:bookmarkStart w:id="120" w:name="_Toc8757"/>
      <w:bookmarkStart w:id="121" w:name="_Toc27309"/>
      <w:bookmarkStart w:id="122" w:name="_Toc24971"/>
      <w:bookmarkStart w:id="123" w:name="_Toc520356147"/>
      <w:bookmarkStart w:id="124" w:name="_Toc25743"/>
      <w:bookmarkStart w:id="125" w:name="_Toc26797"/>
      <w:bookmarkStart w:id="126" w:name="_Toc20135"/>
      <w:bookmarkStart w:id="127" w:name="_Toc29550"/>
      <w:bookmarkStart w:id="128" w:name="_Toc14084"/>
      <w:bookmarkStart w:id="129" w:name="_Toc12003"/>
      <w:bookmarkStart w:id="130" w:name="_Toc30347"/>
      <w:bookmarkStart w:id="131" w:name="_Toc13081"/>
      <w:bookmarkStart w:id="132" w:name="_Toc15203"/>
      <w:bookmarkStart w:id="133" w:name="_Toc17011"/>
      <w:bookmarkStart w:id="134" w:name="_Toc30280"/>
      <w:bookmarkStart w:id="135" w:name="_Toc25967"/>
      <w:bookmarkStart w:id="136" w:name="_Toc515647763"/>
      <w:r>
        <w:rPr>
          <w:rFonts w:hint="eastAsia" w:ascii="宋体" w:hAnsi="宋体" w:eastAsia="宋体" w:cs="宋体"/>
          <w:color w:val="auto"/>
          <w:highlight w:val="none"/>
          <w:u w:val="none"/>
        </w:rPr>
        <w:t>5.招标文件构成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招标文件分为三册共7章，内容如下：</w:t>
      </w:r>
    </w:p>
    <w:p>
      <w:pPr>
        <w:shd w:val="clear" w:color="auto" w:fill="auto"/>
        <w:spacing w:line="360" w:lineRule="exact"/>
        <w:ind w:firstLine="60" w:firstLine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第一册</w:t>
      </w:r>
    </w:p>
    <w:p>
      <w:pPr>
        <w:shd w:val="clear" w:color="auto" w:fill="auto"/>
        <w:tabs>
          <w:tab w:val="left" w:pos="0"/>
        </w:tabs>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须知</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2投标文件格式</w:t>
      </w:r>
    </w:p>
    <w:p>
      <w:pPr>
        <w:shd w:val="clear" w:color="auto" w:fill="auto"/>
        <w:spacing w:line="360" w:lineRule="exact"/>
        <w:ind w:firstLine="33" w:firstLineChars="14"/>
        <w:rPr>
          <w:rFonts w:hint="eastAsia" w:ascii="宋体" w:hAnsi="宋体" w:eastAsia="宋体" w:cs="宋体"/>
          <w:color w:val="auto"/>
          <w:sz w:val="24"/>
          <w:highlight w:val="none"/>
        </w:rPr>
      </w:pPr>
      <w:r>
        <w:rPr>
          <w:rFonts w:hint="eastAsia" w:ascii="宋体" w:hAnsi="宋体" w:eastAsia="宋体" w:cs="宋体"/>
          <w:color w:val="auto"/>
          <w:sz w:val="24"/>
          <w:highlight w:val="none"/>
        </w:rPr>
        <w:t>第二册</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投标邀请</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须知资料表</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 xml:space="preserve">内容及项目要求 </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6 评标方法和标准</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第三册</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7政府采购合同格式</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应认真阅读招标文件所有的事项、格式、条款和技术规范等。如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9"/>
        <w:shd w:val="clear" w:color="auto" w:fill="auto"/>
        <w:spacing w:before="0" w:after="0" w:line="360" w:lineRule="exact"/>
        <w:rPr>
          <w:rFonts w:hint="eastAsia" w:ascii="宋体" w:hAnsi="宋体" w:eastAsia="宋体" w:cs="宋体"/>
          <w:color w:val="auto"/>
          <w:highlight w:val="none"/>
          <w:u w:val="none"/>
        </w:rPr>
      </w:pPr>
      <w:bookmarkStart w:id="137" w:name="_Toc515904805"/>
      <w:bookmarkStart w:id="138" w:name="_Toc520356148"/>
      <w:bookmarkStart w:id="139" w:name="_Toc9232"/>
      <w:bookmarkStart w:id="140" w:name="_Toc19275"/>
      <w:bookmarkStart w:id="141" w:name="_Toc10034"/>
      <w:bookmarkStart w:id="142" w:name="_Toc29335"/>
      <w:bookmarkStart w:id="143" w:name="_Toc24646"/>
      <w:bookmarkStart w:id="144" w:name="_Toc20202"/>
      <w:bookmarkStart w:id="145" w:name="_Toc13818"/>
      <w:bookmarkStart w:id="146" w:name="_Toc15785"/>
      <w:bookmarkStart w:id="147" w:name="_Toc1117"/>
      <w:bookmarkStart w:id="148" w:name="_Toc26044"/>
      <w:bookmarkStart w:id="149" w:name="_Toc10537"/>
      <w:bookmarkStart w:id="150" w:name="_Toc18890"/>
      <w:bookmarkStart w:id="151" w:name="_Toc28731"/>
      <w:bookmarkStart w:id="152" w:name="_Toc18429"/>
      <w:bookmarkStart w:id="153" w:name="_Toc31251"/>
      <w:bookmarkStart w:id="154" w:name="_Toc17776"/>
      <w:bookmarkStart w:id="155" w:name="_Toc4550"/>
      <w:r>
        <w:rPr>
          <w:rFonts w:hint="eastAsia" w:ascii="宋体" w:hAnsi="宋体" w:eastAsia="宋体" w:cs="宋体"/>
          <w:color w:val="auto"/>
          <w:highlight w:val="none"/>
          <w:u w:val="none"/>
        </w:rPr>
        <w:t>6.招标文件的澄清</w:t>
      </w:r>
      <w:bookmarkEnd w:id="137"/>
      <w:bookmarkEnd w:id="138"/>
      <w:r>
        <w:rPr>
          <w:rFonts w:hint="eastAsia" w:ascii="宋体" w:hAnsi="宋体" w:eastAsia="宋体" w:cs="宋体"/>
          <w:color w:val="auto"/>
          <w:highlight w:val="none"/>
          <w:u w:val="none"/>
        </w:rPr>
        <w:t>与修改</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pStyle w:val="8"/>
        <w:shd w:val="clear" w:color="auto" w:fill="auto"/>
        <w:spacing w:line="360" w:lineRule="exact"/>
        <w:ind w:left="840" w:hanging="840" w:hangingChars="35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为了保证对招标文件的澄清和修改满足法律的时限要求，任何要求对招标文件进行澄清的</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，均应在投标截止期十五日前，以书面形式将澄清要求通知采购人或采购代理机构。</w:t>
      </w:r>
    </w:p>
    <w:p>
      <w:pPr>
        <w:pStyle w:val="8"/>
        <w:shd w:val="clear" w:color="auto" w:fill="auto"/>
        <w:spacing w:line="360" w:lineRule="exact"/>
        <w:ind w:left="840" w:hanging="840" w:hangingChars="350"/>
        <w:rPr>
          <w:rFonts w:hint="eastAsia" w:ascii="宋体" w:hAnsi="宋体" w:eastAsia="宋体" w:cs="宋体"/>
          <w:color w:val="auto"/>
          <w:szCs w:val="24"/>
          <w:highlight w:val="none"/>
        </w:rPr>
      </w:pPr>
      <w:bookmarkStart w:id="156" w:name="_Toc515904806"/>
      <w:bookmarkStart w:id="157" w:name="_Ref467378678"/>
      <w:bookmarkStart w:id="158" w:name="_Toc520356149"/>
      <w:r>
        <w:rPr>
          <w:rFonts w:hint="eastAsia" w:ascii="宋体" w:hAnsi="宋体" w:eastAsia="宋体" w:cs="宋体"/>
          <w:color w:val="auto"/>
          <w:szCs w:val="24"/>
          <w:highlight w:val="none"/>
        </w:rPr>
        <w:t>6.2</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采购人可主动地或在解答</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提出的澄清问题时对招标文件进行澄清或修改。采购代理机构将以发布澄清（更正）公告的方式，澄清或修改招标文件，澄清或修改内容作为招标文件的组成部分。</w:t>
      </w:r>
    </w:p>
    <w:p>
      <w:pPr>
        <w:pStyle w:val="8"/>
        <w:shd w:val="clear" w:color="auto" w:fill="auto"/>
        <w:spacing w:line="360" w:lineRule="exact"/>
        <w:ind w:left="840" w:hanging="840" w:hangingChars="35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澄清或者修改的内容可能影响投标文件编制的，采购代理机构将以书面形式通知所有购买招标文件的潜在</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，并对其具有约束力。</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在收到上述通知后，应及时向采购代理机构回函确认。</w:t>
      </w:r>
    </w:p>
    <w:p>
      <w:pPr>
        <w:pStyle w:val="9"/>
        <w:shd w:val="clear" w:color="auto" w:fill="auto"/>
        <w:tabs>
          <w:tab w:val="left" w:pos="900"/>
        </w:tabs>
        <w:spacing w:before="0" w:after="0" w:line="360" w:lineRule="exact"/>
        <w:rPr>
          <w:rFonts w:hint="eastAsia" w:ascii="宋体" w:hAnsi="宋体" w:eastAsia="宋体" w:cs="宋体"/>
          <w:color w:val="auto"/>
          <w:highlight w:val="none"/>
          <w:u w:val="none"/>
        </w:rPr>
      </w:pPr>
      <w:bookmarkStart w:id="159" w:name="_Toc14569"/>
      <w:bookmarkStart w:id="160" w:name="_Toc7836"/>
      <w:bookmarkStart w:id="161" w:name="_Toc12968"/>
      <w:bookmarkStart w:id="162" w:name="_Toc25635"/>
      <w:bookmarkStart w:id="163" w:name="_Toc31080"/>
      <w:bookmarkStart w:id="164" w:name="_Toc28340"/>
      <w:bookmarkStart w:id="165" w:name="_Toc5103"/>
      <w:bookmarkStart w:id="166" w:name="_Toc517"/>
      <w:bookmarkStart w:id="167" w:name="_Toc32351"/>
      <w:bookmarkStart w:id="168" w:name="_Toc24078"/>
      <w:bookmarkStart w:id="169" w:name="_Toc978"/>
      <w:bookmarkStart w:id="170" w:name="_Toc9663"/>
      <w:bookmarkStart w:id="171" w:name="_Toc19637"/>
      <w:bookmarkStart w:id="172" w:name="_Toc1073"/>
      <w:bookmarkStart w:id="173" w:name="_Toc22107"/>
      <w:bookmarkStart w:id="174" w:name="_Toc32742"/>
      <w:bookmarkStart w:id="175" w:name="_Toc31335"/>
      <w:bookmarkStart w:id="176" w:name="_Toc3631"/>
      <w:r>
        <w:rPr>
          <w:rFonts w:hint="eastAsia" w:ascii="宋体" w:hAnsi="宋体" w:eastAsia="宋体" w:cs="宋体"/>
          <w:color w:val="auto"/>
          <w:highlight w:val="none"/>
          <w:u w:val="none"/>
        </w:rPr>
        <w:t>7</w:t>
      </w:r>
      <w:bookmarkEnd w:id="156"/>
      <w:bookmarkEnd w:id="157"/>
      <w:bookmarkEnd w:id="158"/>
      <w:r>
        <w:rPr>
          <w:rFonts w:hint="eastAsia" w:ascii="宋体" w:hAnsi="宋体" w:eastAsia="宋体" w:cs="宋体"/>
          <w:color w:val="auto"/>
          <w:highlight w:val="none"/>
          <w:u w:val="none"/>
        </w:rPr>
        <w:t>.投标截止时间的顺延</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shd w:val="clear" w:color="auto" w:fill="auto"/>
        <w:spacing w:line="360" w:lineRule="exact"/>
        <w:ind w:left="900" w:hanging="900" w:hangingChars="375"/>
        <w:rPr>
          <w:rFonts w:hint="eastAsia" w:ascii="宋体" w:hAnsi="宋体" w:eastAsia="宋体" w:cs="宋体"/>
          <w:color w:val="auto"/>
          <w:sz w:val="28"/>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为使</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准备投标时有足够的时间对招标文件的澄清或者修改部分进行研究，采购人将依法决定是否顺延投标截止时间。</w:t>
      </w:r>
      <w:bookmarkStart w:id="177" w:name="_Toc516367020"/>
      <w:bookmarkStart w:id="178" w:name="_Toc515647766"/>
      <w:bookmarkStart w:id="179" w:name="_Toc520356150"/>
      <w:bookmarkStart w:id="180" w:name="_Toc216582807"/>
      <w:bookmarkStart w:id="181" w:name="_Toc7636"/>
      <w:bookmarkStart w:id="182" w:name="_Toc30808"/>
    </w:p>
    <w:p>
      <w:pPr>
        <w:shd w:val="clear" w:color="auto" w:fill="auto"/>
        <w:tabs>
          <w:tab w:val="left" w:pos="900"/>
        </w:tabs>
        <w:spacing w:line="360" w:lineRule="exact"/>
        <w:ind w:hanging="540"/>
        <w:rPr>
          <w:rFonts w:hint="eastAsia" w:ascii="宋体" w:hAnsi="宋体" w:eastAsia="宋体" w:cs="宋体"/>
          <w:color w:val="auto"/>
          <w:sz w:val="28"/>
          <w:highlight w:val="none"/>
        </w:rPr>
      </w:pPr>
    </w:p>
    <w:p>
      <w:pPr>
        <w:pStyle w:val="7"/>
        <w:shd w:val="clear" w:color="auto" w:fill="auto"/>
        <w:tabs>
          <w:tab w:val="left" w:pos="900"/>
        </w:tabs>
        <w:spacing w:before="0" w:line="360" w:lineRule="exact"/>
        <w:ind w:hanging="540"/>
        <w:rPr>
          <w:rFonts w:hint="eastAsia" w:ascii="宋体" w:hAnsi="宋体" w:eastAsia="宋体" w:cs="宋体"/>
          <w:color w:val="auto"/>
          <w:sz w:val="28"/>
          <w:highlight w:val="none"/>
        </w:rPr>
      </w:pPr>
      <w:bookmarkStart w:id="183" w:name="_Toc30411"/>
      <w:bookmarkStart w:id="184" w:name="_Toc29522"/>
      <w:r>
        <w:rPr>
          <w:rFonts w:hint="eastAsia" w:ascii="宋体" w:hAnsi="宋体" w:eastAsia="宋体" w:cs="宋体"/>
          <w:color w:val="auto"/>
          <w:sz w:val="28"/>
          <w:highlight w:val="none"/>
        </w:rPr>
        <w:t>三   投标文件</w:t>
      </w:r>
      <w:bookmarkEnd w:id="177"/>
      <w:r>
        <w:rPr>
          <w:rFonts w:hint="eastAsia" w:ascii="宋体" w:hAnsi="宋体" w:eastAsia="宋体" w:cs="宋体"/>
          <w:color w:val="auto"/>
          <w:sz w:val="28"/>
          <w:highlight w:val="none"/>
        </w:rPr>
        <w:t>的编制</w:t>
      </w:r>
      <w:bookmarkEnd w:id="178"/>
      <w:bookmarkEnd w:id="179"/>
      <w:bookmarkEnd w:id="180"/>
      <w:bookmarkEnd w:id="181"/>
      <w:bookmarkEnd w:id="182"/>
      <w:bookmarkEnd w:id="183"/>
      <w:bookmarkEnd w:id="184"/>
    </w:p>
    <w:p>
      <w:pPr>
        <w:pStyle w:val="8"/>
        <w:shd w:val="clear" w:color="auto" w:fill="auto"/>
        <w:spacing w:line="360" w:lineRule="exact"/>
        <w:rPr>
          <w:rFonts w:hint="eastAsia" w:ascii="宋体" w:hAnsi="宋体" w:eastAsia="宋体" w:cs="宋体"/>
          <w:color w:val="auto"/>
          <w:highlight w:val="none"/>
        </w:rPr>
      </w:pPr>
    </w:p>
    <w:p>
      <w:pPr>
        <w:pStyle w:val="9"/>
        <w:shd w:val="clear" w:color="auto" w:fill="auto"/>
        <w:tabs>
          <w:tab w:val="left" w:pos="900"/>
        </w:tabs>
        <w:spacing w:before="0" w:after="0" w:line="360" w:lineRule="exact"/>
        <w:rPr>
          <w:rFonts w:hint="eastAsia" w:ascii="宋体" w:hAnsi="宋体" w:eastAsia="宋体" w:cs="宋体"/>
          <w:color w:val="auto"/>
          <w:highlight w:val="none"/>
          <w:u w:val="none"/>
        </w:rPr>
      </w:pPr>
      <w:bookmarkStart w:id="185" w:name="_Toc5025"/>
      <w:bookmarkStart w:id="186" w:name="_Toc15642"/>
      <w:bookmarkStart w:id="187" w:name="_Toc2129"/>
      <w:bookmarkStart w:id="188" w:name="_Toc4315"/>
      <w:bookmarkStart w:id="189" w:name="_Toc7786"/>
      <w:bookmarkStart w:id="190" w:name="_Toc2539"/>
      <w:bookmarkStart w:id="191" w:name="_Toc19600"/>
      <w:bookmarkStart w:id="192" w:name="_Toc2383"/>
      <w:bookmarkStart w:id="193" w:name="_Toc30885"/>
      <w:bookmarkStart w:id="194" w:name="_Toc20486"/>
      <w:bookmarkStart w:id="195" w:name="_Toc515647767"/>
      <w:bookmarkStart w:id="196" w:name="_Toc10240"/>
      <w:bookmarkStart w:id="197" w:name="_Toc516367021"/>
      <w:bookmarkStart w:id="198" w:name="_Toc3553"/>
      <w:bookmarkStart w:id="199" w:name="_Toc14344"/>
      <w:bookmarkStart w:id="200" w:name="_Toc14490"/>
      <w:bookmarkStart w:id="201" w:name="_Toc26413"/>
      <w:bookmarkStart w:id="202" w:name="_Toc13336"/>
      <w:bookmarkStart w:id="203" w:name="_Toc520356151"/>
      <w:bookmarkStart w:id="204" w:name="_Toc12233"/>
      <w:bookmarkStart w:id="205" w:name="_Toc13345"/>
      <w:r>
        <w:rPr>
          <w:rFonts w:hint="eastAsia" w:ascii="宋体" w:hAnsi="宋体" w:eastAsia="宋体" w:cs="宋体"/>
          <w:color w:val="auto"/>
          <w:highlight w:val="none"/>
          <w:u w:val="none"/>
        </w:rPr>
        <w:t>8.</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投标范围及投标文件中标准和计量单位的使用</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可对招标文件其中某一个或几个分包服务进行投标，除非在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中另有规定。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8.2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应当对所投分包招标文件中“</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内容及项目要求”所列的所有内容进行投标，如仅响应某一包中的部分内容，其该包投标将被认定为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8.3     除招标文件中有特殊要求外，投标文件中所使用的计量单位，应采用中华人民共和国法定计量单位。</w:t>
      </w:r>
    </w:p>
    <w:p>
      <w:pPr>
        <w:pStyle w:val="9"/>
        <w:shd w:val="clear" w:color="auto" w:fill="auto"/>
        <w:tabs>
          <w:tab w:val="left" w:pos="900"/>
        </w:tabs>
        <w:spacing w:before="0" w:after="0" w:line="360" w:lineRule="exact"/>
        <w:rPr>
          <w:rFonts w:hint="eastAsia" w:ascii="宋体" w:hAnsi="宋体" w:eastAsia="宋体" w:cs="宋体"/>
          <w:color w:val="auto"/>
          <w:highlight w:val="none"/>
          <w:u w:val="none"/>
        </w:rPr>
      </w:pPr>
      <w:bookmarkStart w:id="206" w:name="_Toc516367022"/>
      <w:bookmarkStart w:id="207" w:name="_Ref467306195"/>
      <w:bookmarkStart w:id="208" w:name="_Ref467306676"/>
      <w:bookmarkStart w:id="209" w:name="_Toc4034"/>
      <w:bookmarkStart w:id="210" w:name="_Toc11619"/>
      <w:bookmarkStart w:id="211" w:name="_Toc16310"/>
      <w:bookmarkStart w:id="212" w:name="_Toc23575"/>
      <w:bookmarkStart w:id="213" w:name="_Toc14392"/>
      <w:bookmarkStart w:id="214" w:name="_Toc515647768"/>
      <w:bookmarkStart w:id="215" w:name="_Toc22417"/>
      <w:bookmarkStart w:id="216" w:name="_Toc28307"/>
      <w:bookmarkStart w:id="217" w:name="_Toc16016"/>
      <w:bookmarkStart w:id="218" w:name="_Toc5460"/>
      <w:bookmarkStart w:id="219" w:name="_Toc520356152"/>
      <w:bookmarkStart w:id="220" w:name="_Toc15740"/>
      <w:bookmarkStart w:id="221" w:name="_Toc20770"/>
      <w:bookmarkStart w:id="222" w:name="_Toc505"/>
      <w:bookmarkStart w:id="223" w:name="_Toc22897"/>
      <w:bookmarkStart w:id="224" w:name="_Toc20426"/>
      <w:bookmarkStart w:id="225" w:name="_Toc8640"/>
      <w:bookmarkStart w:id="226" w:name="_Toc258"/>
      <w:bookmarkStart w:id="227" w:name="_Toc10364"/>
      <w:bookmarkStart w:id="228" w:name="_Toc7159"/>
      <w:r>
        <w:rPr>
          <w:rFonts w:hint="eastAsia" w:ascii="宋体" w:hAnsi="宋体" w:eastAsia="宋体" w:cs="宋体"/>
          <w:color w:val="auto"/>
          <w:highlight w:val="none"/>
          <w:u w:val="none"/>
        </w:rPr>
        <w:t>9.投标文件</w:t>
      </w:r>
      <w:bookmarkEnd w:id="206"/>
      <w:bookmarkEnd w:id="207"/>
      <w:bookmarkEnd w:id="208"/>
      <w:r>
        <w:rPr>
          <w:rFonts w:hint="eastAsia" w:ascii="宋体" w:hAnsi="宋体" w:eastAsia="宋体" w:cs="宋体"/>
          <w:color w:val="auto"/>
          <w:highlight w:val="none"/>
          <w:u w:val="none"/>
        </w:rPr>
        <w:t>构成</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shd w:val="clear" w:color="auto" w:fill="auto"/>
        <w:tabs>
          <w:tab w:val="left" w:pos="900"/>
          <w:tab w:val="left" w:pos="5580"/>
        </w:tabs>
        <w:spacing w:line="360" w:lineRule="exact"/>
        <w:ind w:left="960" w:hanging="960" w:hangingChars="400"/>
        <w:jc w:val="left"/>
        <w:rPr>
          <w:rFonts w:hint="eastAsia" w:ascii="宋体" w:hAnsi="宋体" w:eastAsia="宋体" w:cs="宋体"/>
          <w:color w:val="auto"/>
          <w:sz w:val="24"/>
          <w:highlight w:val="none"/>
          <w:u w:val="single"/>
        </w:rPr>
      </w:pPr>
      <w:bookmarkStart w:id="229" w:name="_Ref467052588"/>
      <w:r>
        <w:rPr>
          <w:rFonts w:hint="eastAsia" w:ascii="宋体" w:hAnsi="宋体" w:eastAsia="宋体" w:cs="宋体"/>
          <w:color w:val="auto"/>
          <w:sz w:val="24"/>
          <w:highlight w:val="none"/>
        </w:rPr>
        <w:t xml:space="preserve">9.1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应完整地按招标文件提供的投标文件格式及要求</w:t>
      </w:r>
      <w:r>
        <w:rPr>
          <w:rFonts w:hint="eastAsia" w:ascii="宋体" w:hAnsi="宋体" w:eastAsia="宋体" w:cs="宋体"/>
          <w:color w:val="auto"/>
          <w:sz w:val="24"/>
          <w:highlight w:val="none"/>
          <w:u w:val="single"/>
          <w:lang w:val="en-US" w:eastAsia="zh-CN"/>
        </w:rPr>
        <w:t>编</w:t>
      </w:r>
      <w:r>
        <w:rPr>
          <w:rFonts w:hint="eastAsia" w:ascii="宋体" w:hAnsi="宋体" w:eastAsia="宋体" w:cs="宋体"/>
          <w:color w:val="auto"/>
          <w:sz w:val="24"/>
          <w:highlight w:val="none"/>
          <w:u w:val="single"/>
        </w:rPr>
        <w:t>写投标文件，投标文件应包括“开标一览表及资格证明文件”和“商务及技术文件”两部分，两部分合订成一册，</w:t>
      </w:r>
      <w:r>
        <w:rPr>
          <w:rFonts w:hint="eastAsia" w:ascii="宋体" w:hAnsi="宋体" w:eastAsia="宋体" w:cs="宋体"/>
          <w:b w:val="0"/>
          <w:i w:val="0"/>
          <w:caps w:val="0"/>
          <w:color w:val="auto"/>
          <w:spacing w:val="0"/>
          <w:w w:val="100"/>
          <w:sz w:val="24"/>
          <w:highlight w:val="none"/>
          <w:u w:val="single" w:color="000000"/>
          <w:lang w:val="en-US" w:eastAsia="zh-CN"/>
        </w:rPr>
        <w:t>上传至政采云平台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应承担</w:t>
      </w:r>
      <w:r>
        <w:rPr>
          <w:rFonts w:hint="eastAsia" w:ascii="宋体" w:hAnsi="宋体" w:eastAsia="宋体" w:cs="宋体"/>
          <w:color w:val="auto"/>
          <w:sz w:val="24"/>
          <w:highlight w:val="none"/>
          <w:u w:val="single"/>
          <w:lang w:val="en-US" w:eastAsia="zh-CN"/>
        </w:rPr>
        <w:t>上传</w:t>
      </w:r>
      <w:r>
        <w:rPr>
          <w:rFonts w:hint="eastAsia" w:ascii="宋体" w:hAnsi="宋体" w:eastAsia="宋体" w:cs="宋体"/>
          <w:color w:val="auto"/>
          <w:sz w:val="24"/>
          <w:highlight w:val="none"/>
          <w:u w:val="single"/>
        </w:rPr>
        <w:t>失误产生的任何后果。</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9.2    上述文件应按照招标文件规定的格式填写、签署和盖章。</w:t>
      </w:r>
      <w:bookmarkEnd w:id="229"/>
    </w:p>
    <w:p>
      <w:pPr>
        <w:pStyle w:val="9"/>
        <w:shd w:val="clear" w:color="auto" w:fill="auto"/>
        <w:tabs>
          <w:tab w:val="left" w:pos="900"/>
        </w:tabs>
        <w:spacing w:before="0" w:after="0" w:line="360" w:lineRule="exact"/>
        <w:rPr>
          <w:rFonts w:hint="eastAsia" w:ascii="宋体" w:hAnsi="宋体" w:eastAsia="宋体" w:cs="宋体"/>
          <w:color w:val="auto"/>
          <w:highlight w:val="none"/>
          <w:u w:val="none"/>
        </w:rPr>
      </w:pPr>
      <w:bookmarkStart w:id="230" w:name="_Toc24893"/>
      <w:bookmarkStart w:id="231" w:name="_Toc520356153"/>
      <w:bookmarkStart w:id="232" w:name="_Toc15151"/>
      <w:bookmarkStart w:id="233" w:name="_Toc27531"/>
      <w:bookmarkStart w:id="234" w:name="_Toc25008"/>
      <w:bookmarkStart w:id="235" w:name="_Toc18801"/>
      <w:bookmarkStart w:id="236" w:name="_Toc12283"/>
      <w:bookmarkStart w:id="237" w:name="_Toc20916"/>
      <w:bookmarkStart w:id="238" w:name="_Toc515647769"/>
      <w:bookmarkStart w:id="239" w:name="_Toc10379"/>
      <w:bookmarkStart w:id="240" w:name="_Toc30354"/>
      <w:bookmarkStart w:id="241" w:name="_Toc32007"/>
      <w:bookmarkStart w:id="242" w:name="_Toc10584"/>
      <w:bookmarkStart w:id="243" w:name="_Toc7179"/>
      <w:bookmarkStart w:id="244" w:name="_Toc6978"/>
      <w:bookmarkStart w:id="245" w:name="_Toc4601"/>
      <w:bookmarkStart w:id="246" w:name="_Toc2056"/>
      <w:bookmarkStart w:id="247" w:name="_Toc21106"/>
      <w:bookmarkStart w:id="248" w:name="_Toc32034"/>
      <w:bookmarkStart w:id="249" w:name="_Toc516367023"/>
      <w:bookmarkStart w:id="250" w:name="_Toc6761"/>
      <w:r>
        <w:rPr>
          <w:rFonts w:hint="eastAsia" w:ascii="宋体" w:hAnsi="宋体" w:eastAsia="宋体" w:cs="宋体"/>
          <w:color w:val="auto"/>
          <w:highlight w:val="none"/>
          <w:u w:val="none"/>
        </w:rPr>
        <w:t>10.</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证明投标的的合格性和符合招标文件规定的技术文件</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应提交证明文件，证明其投标内容符合招标文件规定。该证明文件是投标文件的一部分。</w:t>
      </w:r>
    </w:p>
    <w:p>
      <w:pPr>
        <w:shd w:val="clear" w:color="auto" w:fill="auto"/>
        <w:spacing w:line="360" w:lineRule="exact"/>
        <w:ind w:left="900" w:hanging="900" w:hangingChars="375"/>
        <w:rPr>
          <w:rFonts w:hint="eastAsia" w:ascii="宋体" w:hAnsi="宋体" w:eastAsia="宋体" w:cs="宋体"/>
          <w:color w:val="auto"/>
          <w:sz w:val="24"/>
          <w:highlight w:val="none"/>
        </w:rPr>
      </w:pPr>
      <w:bookmarkStart w:id="251"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251"/>
      <w:r>
        <w:rPr>
          <w:rFonts w:hint="eastAsia" w:ascii="宋体" w:hAnsi="宋体" w:eastAsia="宋体" w:cs="宋体"/>
          <w:color w:val="auto"/>
          <w:sz w:val="24"/>
          <w:highlight w:val="none"/>
        </w:rPr>
        <w:t>它包括：</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内容的详细说明</w:t>
      </w:r>
      <w:r>
        <w:rPr>
          <w:rFonts w:hint="eastAsia" w:ascii="宋体" w:hAnsi="宋体" w:eastAsia="宋体" w:cs="宋体"/>
          <w:color w:val="auto"/>
          <w:sz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从采购单位开始使用至招标文件规定的</w:t>
      </w:r>
      <w:r>
        <w:rPr>
          <w:rFonts w:hint="eastAsia" w:ascii="宋体" w:hAnsi="宋体" w:eastAsia="宋体" w:cs="宋体"/>
          <w:color w:val="auto"/>
          <w:sz w:val="24"/>
          <w:highlight w:val="none"/>
          <w:lang w:val="en-US" w:eastAsia="zh-CN"/>
        </w:rPr>
        <w:t>服务期</w:t>
      </w:r>
      <w:r>
        <w:rPr>
          <w:rFonts w:hint="eastAsia" w:ascii="宋体" w:hAnsi="宋体" w:eastAsia="宋体" w:cs="宋体"/>
          <w:color w:val="auto"/>
          <w:sz w:val="24"/>
          <w:highlight w:val="none"/>
        </w:rPr>
        <w:t>内正常、连续地使用所必须的备</w:t>
      </w:r>
      <w:r>
        <w:rPr>
          <w:rFonts w:hint="eastAsia" w:ascii="宋体" w:hAnsi="宋体" w:eastAsia="宋体" w:cs="宋体"/>
          <w:color w:val="auto"/>
          <w:sz w:val="24"/>
          <w:highlight w:val="none"/>
          <w:lang w:val="en-US" w:eastAsia="zh-CN"/>
        </w:rPr>
        <w:t>品库</w:t>
      </w:r>
      <w:r>
        <w:rPr>
          <w:rFonts w:hint="eastAsia" w:ascii="宋体" w:hAnsi="宋体" w:eastAsia="宋体" w:cs="宋体"/>
          <w:color w:val="auto"/>
          <w:sz w:val="24"/>
          <w:highlight w:val="none"/>
          <w:lang w:eastAsia="zh-CN"/>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textAlignment w:val="auto"/>
        <w:rPr>
          <w:rFonts w:hint="eastAsia" w:ascii="宋体" w:hAnsi="宋体" w:eastAsia="宋体" w:cs="宋体"/>
          <w:color w:val="auto"/>
          <w:highlight w:val="none"/>
          <w:u w:val="none"/>
        </w:rPr>
      </w:pPr>
      <w:bookmarkStart w:id="252" w:name="_Toc16707"/>
      <w:bookmarkStart w:id="253" w:name="_Toc30497"/>
      <w:bookmarkStart w:id="254" w:name="_Toc14852"/>
      <w:bookmarkStart w:id="255" w:name="_Toc26145"/>
      <w:bookmarkStart w:id="256" w:name="_Toc14830"/>
      <w:bookmarkStart w:id="257" w:name="_Toc6000"/>
      <w:bookmarkStart w:id="258" w:name="_Toc301"/>
      <w:bookmarkStart w:id="259" w:name="_Toc25641"/>
      <w:bookmarkStart w:id="260" w:name="_Toc17561"/>
      <w:bookmarkStart w:id="261" w:name="_Toc520356155"/>
      <w:bookmarkStart w:id="262" w:name="_Toc5144"/>
      <w:bookmarkStart w:id="263" w:name="_Toc114"/>
      <w:bookmarkStart w:id="264" w:name="_Toc4834"/>
      <w:bookmarkStart w:id="265" w:name="_Toc515647770"/>
      <w:bookmarkStart w:id="266" w:name="_Toc18539"/>
      <w:bookmarkStart w:id="267" w:name="_Toc12102"/>
      <w:bookmarkStart w:id="268" w:name="_Toc10339"/>
      <w:bookmarkStart w:id="269" w:name="_Toc29220"/>
      <w:bookmarkStart w:id="270" w:name="_Toc23231"/>
      <w:bookmarkStart w:id="271" w:name="_Toc2248"/>
      <w:r>
        <w:rPr>
          <w:rFonts w:hint="eastAsia" w:ascii="宋体" w:hAnsi="宋体" w:eastAsia="宋体" w:cs="宋体"/>
          <w:color w:val="auto"/>
          <w:highlight w:val="none"/>
          <w:u w:val="none"/>
        </w:rPr>
        <w:t>11.投标报价</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应在投标分项报价表上标明投标相关</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的单价（如适用）和总价，并由法定代表人或其授权代表签署。</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投标分项报价表上的价格应按下列方式填写；</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每种</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只能有一个投标报价。采购人不接受具有附加条件的报价。</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textAlignment w:val="auto"/>
        <w:rPr>
          <w:rFonts w:hint="eastAsia" w:ascii="宋体" w:hAnsi="宋体" w:eastAsia="宋体" w:cs="宋体"/>
          <w:color w:val="auto"/>
          <w:highlight w:val="none"/>
          <w:u w:val="none"/>
        </w:rPr>
      </w:pPr>
      <w:bookmarkStart w:id="272" w:name="_Toc6006"/>
      <w:bookmarkStart w:id="273" w:name="_Toc5785"/>
      <w:bookmarkStart w:id="274" w:name="_Toc14082"/>
      <w:bookmarkStart w:id="275" w:name="_Toc515647771"/>
      <w:bookmarkStart w:id="276" w:name="_Toc21122"/>
      <w:bookmarkStart w:id="277" w:name="_Toc17788"/>
      <w:bookmarkStart w:id="278" w:name="_Toc17236"/>
      <w:bookmarkStart w:id="279" w:name="_Toc30245"/>
      <w:bookmarkStart w:id="280" w:name="_Toc18556"/>
      <w:bookmarkStart w:id="281" w:name="_Toc11514"/>
      <w:bookmarkStart w:id="282" w:name="_Toc27772"/>
      <w:bookmarkStart w:id="283" w:name="_Toc12451"/>
      <w:bookmarkStart w:id="284" w:name="_Toc14161"/>
      <w:bookmarkStart w:id="285" w:name="_Toc5648"/>
      <w:bookmarkStart w:id="286" w:name="_Toc21719"/>
      <w:bookmarkStart w:id="287" w:name="_Toc520356156"/>
      <w:bookmarkStart w:id="288" w:name="_Toc1683"/>
      <w:bookmarkStart w:id="289" w:name="_Toc4584"/>
      <w:bookmarkStart w:id="290" w:name="_Toc26303"/>
      <w:bookmarkStart w:id="291" w:name="_Ref467306513"/>
      <w:bookmarkStart w:id="292" w:name="_Toc7715"/>
      <w:r>
        <w:rPr>
          <w:rFonts w:hint="eastAsia" w:ascii="宋体" w:hAnsi="宋体" w:eastAsia="宋体" w:cs="宋体"/>
          <w:color w:val="auto"/>
          <w:highlight w:val="none"/>
          <w:u w:val="none"/>
        </w:rPr>
        <w:t>12.</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none"/>
        </w:rPr>
        <w:t>投标保证金</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bookmarkStart w:id="293"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应提交</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中规定的投标保证金</w:t>
      </w:r>
      <w:bookmarkEnd w:id="293"/>
      <w:r>
        <w:rPr>
          <w:rFonts w:hint="eastAsia" w:ascii="宋体" w:hAnsi="宋体" w:eastAsia="宋体" w:cs="宋体"/>
          <w:color w:val="auto"/>
          <w:sz w:val="24"/>
          <w:highlight w:val="none"/>
        </w:rPr>
        <w:t>，并作为其投标的一部分。</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存在下列情形的，投标保证金不予退还：</w:t>
      </w:r>
    </w:p>
    <w:p>
      <w:pPr>
        <w:pStyle w:val="18"/>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pPr>
        <w:pStyle w:val="18"/>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pPr>
        <w:pStyle w:val="18"/>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pPr>
        <w:pStyle w:val="18"/>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pPr>
        <w:pStyle w:val="18"/>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bookmarkStart w:id="294"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294"/>
      <w:r>
        <w:rPr>
          <w:rFonts w:hint="eastAsia" w:ascii="宋体" w:hAnsi="宋体" w:eastAsia="宋体" w:cs="宋体"/>
          <w:color w:val="auto"/>
          <w:sz w:val="24"/>
          <w:highlight w:val="none"/>
        </w:rPr>
        <w:t>政府采购信用担保试点范围内的项目，接受符合财政部门规定的政府采购投标担保函原件。</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未按本须知第12.1和12.3条规定</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60" w:hanging="960" w:hanging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未及时提交支票或支票不符合银行委托收款要求（如污损、折叠、胶装等），导致投标保证金不能按时进入指定账户的，将按照招标文件的第22.2条相关规定处理。</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12.5   联合体投标的，可以由联合体中的一方或者共同提交投标保证金。以一方名义提交投标保证金的，对联合体各方均具有约束力。</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的投标保证金将在中标通知书发出之日暨中标结果公告公布之日起5个工作日内无息退还。</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应及时联系保证金收受机构办理退还投标保证金手续。</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自身原因导致无法及时退还的，采购人或采购代理机构将不承担相应责任。</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textAlignment w:val="auto"/>
        <w:rPr>
          <w:rFonts w:hint="eastAsia" w:ascii="宋体" w:hAnsi="宋体" w:eastAsia="宋体" w:cs="宋体"/>
          <w:color w:val="auto"/>
          <w:highlight w:val="none"/>
          <w:u w:val="none"/>
        </w:rPr>
      </w:pPr>
      <w:bookmarkStart w:id="295" w:name="_Toc27999"/>
      <w:bookmarkStart w:id="296" w:name="_Toc30519"/>
      <w:bookmarkStart w:id="297" w:name="_Toc515647772"/>
      <w:bookmarkStart w:id="298" w:name="_Toc18560"/>
      <w:bookmarkStart w:id="299" w:name="_Toc19152"/>
      <w:bookmarkStart w:id="300" w:name="_Toc26050"/>
      <w:bookmarkStart w:id="301" w:name="_Toc10784"/>
      <w:bookmarkStart w:id="302" w:name="_Toc23590"/>
      <w:bookmarkStart w:id="303" w:name="_Toc32370"/>
      <w:bookmarkStart w:id="304" w:name="_Toc28542"/>
      <w:bookmarkStart w:id="305" w:name="_Toc31306"/>
      <w:bookmarkStart w:id="306" w:name="_Toc4650"/>
      <w:bookmarkStart w:id="307" w:name="_Toc7472"/>
      <w:bookmarkStart w:id="308" w:name="_Toc12947"/>
      <w:bookmarkStart w:id="309" w:name="_Toc1977"/>
      <w:bookmarkStart w:id="310" w:name="_Toc17842"/>
      <w:bookmarkStart w:id="311" w:name="_Toc32569"/>
      <w:bookmarkStart w:id="312" w:name="_Toc2878"/>
      <w:bookmarkStart w:id="313" w:name="_Toc19543"/>
      <w:bookmarkStart w:id="314" w:name="_Toc520356157"/>
      <w:r>
        <w:rPr>
          <w:rFonts w:hint="eastAsia" w:ascii="宋体" w:hAnsi="宋体" w:eastAsia="宋体" w:cs="宋体"/>
          <w:color w:val="auto"/>
          <w:highlight w:val="none"/>
          <w:u w:val="none"/>
        </w:rPr>
        <w:t>13.投标有效期</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延长投标文件的有效期。接受该要求的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将不会被要求和允许修正其投标，且本须知中有关投标保证金的要求须在延长的有效期内继续有效。</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可以拒绝延长投标有效期的要求，其投标保证金将及时无息退还。上述要求和答复都应以书面形式提交。</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textAlignment w:val="auto"/>
        <w:rPr>
          <w:rFonts w:hint="eastAsia" w:ascii="宋体" w:hAnsi="宋体" w:eastAsia="宋体" w:cs="宋体"/>
          <w:color w:val="auto"/>
          <w:highlight w:val="none"/>
          <w:u w:val="none"/>
        </w:rPr>
      </w:pPr>
      <w:bookmarkStart w:id="315" w:name="_Toc520356158"/>
      <w:bookmarkStart w:id="316" w:name="_Toc29619"/>
      <w:bookmarkStart w:id="317" w:name="_Toc3558"/>
      <w:bookmarkStart w:id="318" w:name="_Toc17074"/>
      <w:bookmarkStart w:id="319" w:name="_Toc9672"/>
      <w:bookmarkStart w:id="320" w:name="_Toc24787"/>
      <w:bookmarkStart w:id="321" w:name="_Toc493"/>
      <w:bookmarkStart w:id="322" w:name="_Toc515647773"/>
      <w:bookmarkStart w:id="323" w:name="_Toc6286"/>
      <w:bookmarkStart w:id="324" w:name="_Toc30127"/>
      <w:bookmarkStart w:id="325" w:name="_Toc4425"/>
      <w:bookmarkStart w:id="326" w:name="_Toc10391"/>
      <w:bookmarkStart w:id="327" w:name="_Toc16503"/>
      <w:bookmarkStart w:id="328" w:name="_Toc25504"/>
      <w:bookmarkStart w:id="329" w:name="_Toc11669"/>
      <w:bookmarkStart w:id="330" w:name="_Toc14798"/>
      <w:bookmarkStart w:id="331" w:name="_Toc26672"/>
      <w:bookmarkStart w:id="332" w:name="_Toc15911"/>
      <w:bookmarkStart w:id="333" w:name="_Toc24981"/>
      <w:bookmarkStart w:id="334" w:name="_Toc12582"/>
      <w:r>
        <w:rPr>
          <w:rFonts w:hint="eastAsia" w:ascii="宋体" w:hAnsi="宋体" w:eastAsia="宋体" w:cs="宋体"/>
          <w:color w:val="auto"/>
          <w:highlight w:val="none"/>
          <w:u w:val="none"/>
        </w:rPr>
        <w:t>14.投标文件的签署</w:t>
      </w:r>
      <w:bookmarkEnd w:id="315"/>
      <w:r>
        <w:rPr>
          <w:rFonts w:hint="eastAsia" w:ascii="宋体" w:hAnsi="宋体" w:eastAsia="宋体" w:cs="宋体"/>
          <w:color w:val="auto"/>
          <w:highlight w:val="none"/>
          <w:u w:val="none"/>
        </w:rPr>
        <w:t>及规定</w:t>
      </w:r>
      <w:bookmarkEnd w:id="316"/>
      <w:bookmarkEnd w:id="317"/>
      <w:bookmarkEnd w:id="318"/>
      <w:bookmarkEnd w:id="319"/>
      <w:bookmarkEnd w:id="320"/>
      <w:bookmarkEnd w:id="321"/>
      <w:bookmarkEnd w:id="322"/>
      <w:bookmarkEnd w:id="323"/>
      <w:bookmarkEnd w:id="324"/>
      <w:bookmarkEnd w:id="325"/>
      <w:bookmarkEnd w:id="326"/>
      <w:bookmarkEnd w:id="327"/>
      <w:r>
        <w:rPr>
          <w:rFonts w:hint="eastAsia" w:ascii="宋体" w:hAnsi="宋体" w:eastAsia="宋体" w:cs="宋体"/>
          <w:b/>
          <w:i w:val="0"/>
          <w:caps w:val="0"/>
          <w:color w:val="auto"/>
          <w:spacing w:val="0"/>
          <w:w w:val="100"/>
          <w:sz w:val="24"/>
          <w:highlight w:val="none"/>
          <w:u w:val="single" w:color="000000"/>
          <w:lang w:eastAsia="zh-CN"/>
        </w:rPr>
        <w:t>（</w:t>
      </w:r>
      <w:r>
        <w:rPr>
          <w:rFonts w:hint="eastAsia" w:ascii="宋体" w:hAnsi="宋体" w:eastAsia="宋体" w:cs="宋体"/>
          <w:b/>
          <w:i w:val="0"/>
          <w:caps w:val="0"/>
          <w:color w:val="auto"/>
          <w:spacing w:val="0"/>
          <w:w w:val="100"/>
          <w:sz w:val="24"/>
          <w:highlight w:val="none"/>
          <w:u w:val="single" w:color="000000"/>
          <w:lang w:val="en-US" w:eastAsia="zh-CN"/>
        </w:rPr>
        <w:t>后期邮寄的投标文件</w:t>
      </w:r>
      <w:r>
        <w:rPr>
          <w:rFonts w:hint="eastAsia" w:ascii="宋体" w:hAnsi="宋体" w:eastAsia="宋体" w:cs="宋体"/>
          <w:b/>
          <w:i w:val="0"/>
          <w:caps w:val="0"/>
          <w:color w:val="auto"/>
          <w:spacing w:val="0"/>
          <w:w w:val="100"/>
          <w:sz w:val="24"/>
          <w:highlight w:val="none"/>
          <w:u w:val="single" w:color="000000"/>
          <w:lang w:eastAsia="zh-CN"/>
        </w:rPr>
        <w:t>）</w:t>
      </w:r>
      <w:bookmarkEnd w:id="328"/>
      <w:bookmarkEnd w:id="329"/>
      <w:bookmarkEnd w:id="330"/>
      <w:bookmarkEnd w:id="331"/>
      <w:bookmarkEnd w:id="332"/>
      <w:bookmarkEnd w:id="333"/>
      <w:bookmarkEnd w:id="334"/>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供应商应按供应商须知资料表中的规定，准备和递交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开标</w:t>
      </w:r>
      <w:r>
        <w:rPr>
          <w:rFonts w:hint="eastAsia" w:ascii="宋体" w:hAnsi="宋体" w:eastAsia="宋体" w:cs="宋体"/>
          <w:color w:val="auto"/>
          <w:sz w:val="24"/>
          <w:highlight w:val="none"/>
        </w:rPr>
        <w:t>一览表”。</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的正本需打印或用不褪色墨水书写，并由供应商的法定代表人或经其正式委托代理人按</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上签字或盖章并加盖单位印章。委托代理人须持有书面的“法定代表人授权委托书”，并将其附在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中。如对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进行了修改，则应由供应商的法定代表人或其委托代理人在每一修改处签字。</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的副本可采用正本的复印件。</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14.3   </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因字迹潦草、表达不清或装订不当所引起的后果由供应商负责。</w:t>
      </w:r>
      <w:bookmarkStart w:id="335" w:name="_Toc216582808"/>
      <w:bookmarkStart w:id="336" w:name="_Toc11179"/>
      <w:bookmarkStart w:id="337" w:name="_Toc16865"/>
      <w:bookmarkStart w:id="338" w:name="_Toc515647774"/>
      <w:bookmarkStart w:id="339" w:name="_Toc520356159"/>
    </w:p>
    <w:p>
      <w:pPr>
        <w:pStyle w:val="24"/>
        <w:rPr>
          <w:rFonts w:hint="eastAsia" w:ascii="宋体" w:hAnsi="宋体" w:eastAsia="宋体" w:cs="宋体"/>
          <w:color w:val="auto"/>
          <w:sz w:val="24"/>
          <w:highlight w:val="none"/>
        </w:rPr>
      </w:pPr>
    </w:p>
    <w:p>
      <w:pPr>
        <w:pStyle w:val="7"/>
        <w:shd w:val="clear" w:color="auto" w:fill="auto"/>
        <w:spacing w:before="0" w:line="360" w:lineRule="exact"/>
        <w:ind w:hanging="540"/>
        <w:rPr>
          <w:rFonts w:hint="eastAsia" w:ascii="宋体" w:hAnsi="宋体" w:eastAsia="宋体" w:cs="宋体"/>
          <w:color w:val="auto"/>
          <w:sz w:val="24"/>
          <w:highlight w:val="none"/>
        </w:rPr>
      </w:pPr>
      <w:bookmarkStart w:id="340" w:name="_Toc30935"/>
      <w:bookmarkStart w:id="341" w:name="_Toc25125"/>
      <w:bookmarkStart w:id="342" w:name="_Toc30197"/>
      <w:r>
        <w:rPr>
          <w:rFonts w:hint="eastAsia" w:ascii="宋体" w:hAnsi="宋体" w:eastAsia="宋体" w:cs="宋体"/>
          <w:color w:val="auto"/>
          <w:sz w:val="24"/>
          <w:highlight w:val="none"/>
        </w:rPr>
        <w:t>四   投标文件的递交</w:t>
      </w:r>
      <w:bookmarkEnd w:id="335"/>
      <w:bookmarkEnd w:id="336"/>
      <w:bookmarkEnd w:id="337"/>
      <w:bookmarkEnd w:id="338"/>
      <w:bookmarkEnd w:id="339"/>
      <w:bookmarkEnd w:id="340"/>
      <w:bookmarkEnd w:id="341"/>
      <w:bookmarkEnd w:id="342"/>
    </w:p>
    <w:p>
      <w:pPr>
        <w:rPr>
          <w:rFonts w:hint="eastAsia" w:ascii="宋体" w:hAnsi="宋体" w:eastAsia="宋体" w:cs="宋体"/>
          <w:color w:val="auto"/>
          <w:highlight w:val="none"/>
        </w:rPr>
      </w:pPr>
    </w:p>
    <w:p>
      <w:pPr>
        <w:numPr>
          <w:ilvl w:val="0"/>
          <w:numId w:val="1"/>
        </w:num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的密封和标记</w:t>
      </w:r>
      <w:r>
        <w:rPr>
          <w:rFonts w:hint="eastAsia" w:ascii="宋体" w:hAnsi="宋体" w:eastAsia="宋体" w:cs="宋体"/>
          <w:b/>
          <w:i w:val="0"/>
          <w:caps w:val="0"/>
          <w:color w:val="auto"/>
          <w:spacing w:val="0"/>
          <w:w w:val="100"/>
          <w:sz w:val="24"/>
          <w:highlight w:val="none"/>
          <w:u w:val="single" w:color="000000"/>
          <w:lang w:eastAsia="zh-CN"/>
        </w:rPr>
        <w:t>（</w:t>
      </w:r>
      <w:r>
        <w:rPr>
          <w:rFonts w:hint="eastAsia" w:ascii="宋体" w:hAnsi="宋体" w:eastAsia="宋体" w:cs="宋体"/>
          <w:b/>
          <w:i w:val="0"/>
          <w:caps w:val="0"/>
          <w:color w:val="auto"/>
          <w:spacing w:val="0"/>
          <w:w w:val="100"/>
          <w:sz w:val="24"/>
          <w:highlight w:val="none"/>
          <w:u w:val="single" w:color="000000"/>
          <w:lang w:val="en-US" w:eastAsia="zh-CN"/>
        </w:rPr>
        <w:t>后期邮寄的投标文件</w:t>
      </w:r>
      <w:r>
        <w:rPr>
          <w:rFonts w:hint="eastAsia" w:ascii="宋体" w:hAnsi="宋体" w:eastAsia="宋体" w:cs="宋体"/>
          <w:b/>
          <w:i w:val="0"/>
          <w:caps w:val="0"/>
          <w:color w:val="auto"/>
          <w:spacing w:val="0"/>
          <w:w w:val="100"/>
          <w:sz w:val="24"/>
          <w:highlight w:val="none"/>
          <w:u w:val="single" w:color="000000"/>
          <w:lang w:eastAsia="zh-CN"/>
        </w:rPr>
        <w:t>）</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15.1  为方便开启，供应商应将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第一部分和第二部分的内容合并装订成一册，密封提交，并在封皮正面标明“</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”字样。</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15.2   如果供应商未按上述要求标记的，将承担相应的后果。</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供应商应在供应商须知资料表中规定的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截止时间前，将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上传到</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公告中规定的地点。</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采购人和采购代理机构有权按本须知的规定，延迟</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截止时间。在此情况下，采购人、采购代理机构和供应商受</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截止时间制约的所有权利和义务均应延长至新的截止时间。</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采购人和采购代理机构将拒绝接收在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截止时间后上传的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的接收、修改与撤回</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截止时间后上传的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的，采购人和采购代理机构将拒绝接收。</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上传</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以后，如果供应商要进行修改或撤回</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，供应商对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的修改或撤回通知应按本须知规定编制、标记。采购人和采购代理机构将予以接收，并视为</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的组成部分。</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截止期之后，采购人和采购代理机构不接受供应商主动对其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做任何修改。</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采购人和采购代理机构对所接收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概不退回。</w:t>
      </w:r>
    </w:p>
    <w:p>
      <w:pPr>
        <w:pStyle w:val="24"/>
        <w:rPr>
          <w:rFonts w:hint="eastAsia" w:ascii="宋体" w:hAnsi="宋体" w:eastAsia="宋体" w:cs="宋体"/>
          <w:color w:val="auto"/>
          <w:highlight w:val="none"/>
        </w:rPr>
      </w:pPr>
    </w:p>
    <w:p>
      <w:pPr>
        <w:pStyle w:val="7"/>
        <w:shd w:val="clear" w:color="auto" w:fill="auto"/>
        <w:spacing w:before="0" w:line="360" w:lineRule="exact"/>
        <w:ind w:hanging="540"/>
        <w:rPr>
          <w:rFonts w:hint="eastAsia" w:ascii="宋体" w:hAnsi="宋体" w:eastAsia="宋体" w:cs="宋体"/>
          <w:color w:val="auto"/>
          <w:highlight w:val="none"/>
        </w:rPr>
      </w:pPr>
      <w:bookmarkStart w:id="343" w:name="_Toc28398"/>
      <w:bookmarkStart w:id="344" w:name="_Toc7470"/>
      <w:bookmarkStart w:id="345" w:name="_Toc15934"/>
      <w:bookmarkStart w:id="346" w:name="_Toc520356163"/>
      <w:bookmarkStart w:id="347" w:name="_Toc12436"/>
      <w:bookmarkStart w:id="348" w:name="_Toc24088"/>
      <w:bookmarkStart w:id="349" w:name="_Toc515647778"/>
      <w:bookmarkStart w:id="350" w:name="_Toc216582809"/>
      <w:r>
        <w:rPr>
          <w:rFonts w:hint="eastAsia" w:ascii="宋体" w:hAnsi="宋体" w:eastAsia="宋体" w:cs="宋体"/>
          <w:color w:val="auto"/>
          <w:sz w:val="24"/>
          <w:highlight w:val="none"/>
        </w:rPr>
        <w:t>五   开标及评标</w:t>
      </w:r>
      <w:bookmarkEnd w:id="343"/>
      <w:bookmarkEnd w:id="344"/>
      <w:bookmarkEnd w:id="345"/>
      <w:bookmarkEnd w:id="346"/>
      <w:bookmarkEnd w:id="347"/>
      <w:bookmarkEnd w:id="348"/>
      <w:bookmarkEnd w:id="349"/>
      <w:bookmarkEnd w:id="350"/>
    </w:p>
    <w:p>
      <w:pPr>
        <w:pStyle w:val="9"/>
        <w:numPr>
          <w:ilvl w:val="0"/>
          <w:numId w:val="2"/>
        </w:numPr>
        <w:shd w:val="clear" w:color="auto" w:fill="auto"/>
        <w:spacing w:before="0" w:line="360" w:lineRule="exact"/>
        <w:rPr>
          <w:rFonts w:hint="eastAsia" w:ascii="宋体" w:hAnsi="宋体" w:eastAsia="宋体" w:cs="宋体"/>
          <w:color w:val="auto"/>
          <w:highlight w:val="none"/>
        </w:rPr>
      </w:pPr>
      <w:bookmarkStart w:id="351" w:name="_Toc23987"/>
      <w:bookmarkStart w:id="352" w:name="_Toc25345"/>
      <w:bookmarkStart w:id="353" w:name="_Toc21418"/>
      <w:bookmarkStart w:id="354" w:name="_Toc6064"/>
      <w:bookmarkStart w:id="355" w:name="_Toc19943"/>
      <w:bookmarkStart w:id="356" w:name="_Toc7186"/>
      <w:bookmarkStart w:id="357" w:name="_Toc10636"/>
      <w:bookmarkStart w:id="358" w:name="_Toc520356164"/>
      <w:bookmarkStart w:id="359" w:name="_Toc1738"/>
      <w:bookmarkStart w:id="360" w:name="_Toc23772"/>
      <w:bookmarkStart w:id="361" w:name="_Toc515647779"/>
      <w:bookmarkStart w:id="362" w:name="_Toc32409"/>
      <w:bookmarkStart w:id="363" w:name="_Toc28057"/>
      <w:bookmarkStart w:id="364" w:name="_Toc4771"/>
      <w:bookmarkStart w:id="365" w:name="_Toc9432"/>
      <w:bookmarkStart w:id="366" w:name="_Toc63"/>
      <w:bookmarkStart w:id="367" w:name="_Toc11726"/>
      <w:bookmarkStart w:id="368" w:name="_Toc10415"/>
      <w:bookmarkStart w:id="369" w:name="_Toc24922"/>
      <w:bookmarkStart w:id="370" w:name="_Toc2886"/>
      <w:r>
        <w:rPr>
          <w:rFonts w:hint="eastAsia" w:ascii="宋体" w:hAnsi="宋体" w:eastAsia="宋体" w:cs="宋体"/>
          <w:color w:val="auto"/>
          <w:highlight w:val="none"/>
          <w:u w:val="none"/>
        </w:rPr>
        <w:t>开标</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18.1</w:t>
      </w:r>
      <w:r>
        <w:rPr>
          <w:rFonts w:hint="eastAsia" w:ascii="宋体" w:hAnsi="宋体" w:eastAsia="宋体" w:cs="宋体"/>
          <w:color w:val="auto"/>
          <w:sz w:val="24"/>
          <w:highlight w:val="none"/>
        </w:rPr>
        <w:t>采购人和采购代理机构将按</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须知资料表中规定的开标时间和地点组织公开开标并邀请所有</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代表参加。</w:t>
      </w:r>
    </w:p>
    <w:p>
      <w:pPr>
        <w:keepNext w:val="0"/>
        <w:keepLines w:val="0"/>
        <w:pageBreakBefore w:val="0"/>
        <w:widowControl w:val="0"/>
        <w:shd w:val="clear" w:color="auto" w:fill="auto"/>
        <w:kinsoku/>
        <w:wordWrap/>
        <w:overflowPunct/>
        <w:topLinePunct w:val="0"/>
        <w:bidi w:val="0"/>
        <w:snapToGrid/>
        <w:spacing w:line="387" w:lineRule="exact"/>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不足3家的，不得开标。</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18.2   </w:t>
      </w:r>
      <w:r>
        <w:rPr>
          <w:rFonts w:hint="eastAsia" w:ascii="宋体" w:hAnsi="宋体" w:eastAsia="宋体" w:cs="宋体"/>
          <w:color w:val="auto"/>
          <w:sz w:val="24"/>
          <w:highlight w:val="none"/>
          <w:lang w:val="en-US" w:eastAsia="zh-CN"/>
        </w:rPr>
        <w:t>供应商按照</w:t>
      </w:r>
      <w:r>
        <w:rPr>
          <w:rFonts w:hint="eastAsia" w:ascii="宋体" w:hAnsi="宋体" w:eastAsia="宋体" w:cs="宋体"/>
          <w:color w:val="auto"/>
          <w:sz w:val="24"/>
          <w:highlight w:val="none"/>
        </w:rPr>
        <w:t>须知资料表中规定的开标时间和地点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在规定时间内上传投标文件</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18.3   </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在规定时间内度投标文件进行解密，时长为30分钟。</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18.4   由</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开启开标记录</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lang w:val="en-US" w:eastAsia="zh-CN"/>
        </w:rPr>
        <w:t>在政采云平台对报价进行签字确认</w:t>
      </w:r>
      <w:r>
        <w:rPr>
          <w:rFonts w:hint="eastAsia" w:ascii="宋体" w:hAnsi="宋体" w:eastAsia="宋体" w:cs="宋体"/>
          <w:color w:val="auto"/>
          <w:sz w:val="24"/>
          <w:highlight w:val="none"/>
        </w:rPr>
        <w:t>。</w:t>
      </w:r>
    </w:p>
    <w:p>
      <w:pPr>
        <w:pStyle w:val="9"/>
        <w:spacing w:before="0" w:after="0" w:line="360" w:lineRule="exact"/>
        <w:rPr>
          <w:rFonts w:hint="eastAsia" w:ascii="宋体" w:hAnsi="宋体" w:eastAsia="宋体" w:cs="宋体"/>
          <w:color w:val="auto"/>
          <w:highlight w:val="none"/>
          <w:u w:val="none"/>
        </w:rPr>
      </w:pPr>
      <w:bookmarkStart w:id="371" w:name="_Toc24590"/>
      <w:bookmarkStart w:id="372" w:name="_Toc4112"/>
      <w:bookmarkStart w:id="373" w:name="_Toc11400"/>
      <w:bookmarkStart w:id="374" w:name="_Toc21252"/>
      <w:bookmarkStart w:id="375" w:name="_Toc7886"/>
      <w:bookmarkStart w:id="376" w:name="_Toc22349"/>
      <w:r>
        <w:rPr>
          <w:rFonts w:hint="eastAsia" w:ascii="宋体" w:hAnsi="宋体" w:eastAsia="宋体" w:cs="宋体"/>
          <w:color w:val="auto"/>
          <w:highlight w:val="none"/>
          <w:u w:val="none"/>
        </w:rPr>
        <w:t>19.</w:t>
      </w:r>
      <w:bookmarkEnd w:id="38"/>
      <w:r>
        <w:rPr>
          <w:rFonts w:hint="eastAsia" w:ascii="宋体" w:hAnsi="宋体" w:eastAsia="宋体" w:cs="宋体"/>
          <w:color w:val="auto"/>
          <w:highlight w:val="none"/>
          <w:u w:val="none"/>
        </w:rPr>
        <w:t>资格审查及组建评标委员会</w:t>
      </w:r>
      <w:bookmarkEnd w:id="39"/>
      <w:bookmarkEnd w:id="40"/>
      <w:bookmarkEnd w:id="41"/>
      <w:bookmarkEnd w:id="42"/>
      <w:bookmarkEnd w:id="43"/>
      <w:bookmarkEnd w:id="44"/>
      <w:bookmarkEnd w:id="45"/>
      <w:bookmarkEnd w:id="46"/>
      <w:bookmarkEnd w:id="47"/>
      <w:bookmarkEnd w:id="48"/>
      <w:bookmarkEnd w:id="49"/>
      <w:bookmarkEnd w:id="50"/>
      <w:bookmarkEnd w:id="51"/>
      <w:bookmarkEnd w:id="371"/>
      <w:bookmarkEnd w:id="372"/>
      <w:bookmarkEnd w:id="373"/>
      <w:bookmarkEnd w:id="374"/>
      <w:bookmarkEnd w:id="375"/>
      <w:bookmarkEnd w:id="376"/>
    </w:p>
    <w:p>
      <w:pPr>
        <w:keepNext w:val="0"/>
        <w:keepLines w:val="0"/>
        <w:pageBreakBefore w:val="0"/>
        <w:kinsoku/>
        <w:wordWrap/>
        <w:overflowPunct/>
        <w:topLinePunct w:val="0"/>
        <w:autoSpaceDE/>
        <w:autoSpaceDN/>
        <w:bidi w:val="0"/>
        <w:adjustRightInd/>
        <w:spacing w:line="400" w:lineRule="exact"/>
        <w:ind w:left="960" w:hanging="960" w:hangingChars="4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19.1    采购人或采购代理机构依据法律法规和招标文件中规定的内容，对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及其服务的资格进行审查，</w:t>
      </w:r>
      <w:r>
        <w:rPr>
          <w:rFonts w:hint="eastAsia" w:ascii="宋体" w:hAnsi="宋体" w:eastAsia="宋体" w:cs="宋体"/>
          <w:b/>
          <w:bCs/>
          <w:color w:val="auto"/>
          <w:sz w:val="24"/>
          <w:highlight w:val="none"/>
        </w:rPr>
        <w:t>本项目审查内容如下：</w:t>
      </w:r>
    </w:p>
    <w:p>
      <w:pPr>
        <w:keepNext w:val="0"/>
        <w:keepLines w:val="0"/>
        <w:pageBreakBefore w:val="0"/>
        <w:kinsoku/>
        <w:wordWrap/>
        <w:overflowPunct/>
        <w:topLinePunct w:val="0"/>
        <w:autoSpaceDE/>
        <w:autoSpaceDN/>
        <w:bidi w:val="0"/>
        <w:adjustRightInd/>
        <w:spacing w:line="400" w:lineRule="exact"/>
        <w:ind w:firstLine="964" w:firstLineChars="4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本项目资格审查资料须附在投标文件中：</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具有独立法人资格（三证合一的营业执照）</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2.法定代表人资格证明及授权书、被授权人身份证；(法定代表人投标需提供法定代表人身份证)；</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提供2020年或2021年经审计的财务审计报告（2022年成立的新公司出具近3个月任意一个月的银行资信证明）</w:t>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eastAsia="zh-CN"/>
        </w:rPr>
        <w:t>依法缴纳最近连续六个月的社会保险的凭据（授权人和单位员工缴纳明细凭据）</w:t>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w:t>
      </w:r>
      <w:r>
        <w:rPr>
          <w:rFonts w:hint="eastAsia" w:ascii="宋体" w:hAnsi="宋体" w:eastAsia="宋体" w:cs="宋体"/>
          <w:b/>
          <w:bCs/>
          <w:color w:val="auto"/>
          <w:sz w:val="24"/>
          <w:highlight w:val="none"/>
          <w:lang w:eastAsia="zh-CN"/>
        </w:rPr>
        <w:t>提供税务部门出具的最近连续六个月的完税证明</w:t>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b/>
          <w:bCs/>
          <w:color w:val="auto"/>
          <w:sz w:val="24"/>
          <w:highlight w:val="none"/>
          <w:lang w:eastAsia="zh-CN"/>
        </w:rPr>
        <w:t>信用服务-重点领域严重失信主体名单查询-搜索栏输入单位全称-截图</w:t>
      </w:r>
      <w:r>
        <w:rPr>
          <w:rFonts w:hint="eastAsia" w:ascii="宋体" w:hAnsi="宋体" w:eastAsia="宋体" w:cs="宋体"/>
          <w:b/>
          <w:bCs/>
          <w:color w:val="auto"/>
          <w:sz w:val="24"/>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7.参与政府采购活动前3年内未被列入失信、重大税收违法案件、财政部门禁止参加政府采购活动的承诺书；</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8.提供针对本次项目《反商业贿赂承诺书》；</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9.缴纳投标保证金的有效凭证。</w:t>
      </w:r>
    </w:p>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eastAsia="zh-CN"/>
        </w:rPr>
        <w:t>提供税务部门出具的最近连续六个月的完税证明</w:t>
      </w:r>
      <w:r>
        <w:rPr>
          <w:rFonts w:hint="eastAsia" w:ascii="宋体" w:hAnsi="宋体" w:eastAsia="宋体" w:cs="宋体"/>
          <w:b/>
          <w:bCs/>
          <w:color w:val="auto"/>
          <w:sz w:val="24"/>
          <w:highlight w:val="none"/>
        </w:rPr>
        <w:t>”：完税证明中“税种”非养老保险、医疗保险、失业保险、工伤保险和生育保险。请各投标供应商注意！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提示：上述资质能够通过官方网络查证的，均视为合格供应商。</w:t>
      </w:r>
    </w:p>
    <w:p>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未通过资格审查的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不进入评标；通过资格审查的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少于不足三家的，不得评标。</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hanging="900" w:hangingChars="375"/>
        <w:textAlignment w:val="auto"/>
        <w:rPr>
          <w:rFonts w:hint="eastAsia" w:ascii="宋体" w:hAnsi="宋体" w:eastAsia="宋体" w:cs="宋体"/>
          <w:color w:val="auto"/>
          <w:sz w:val="24"/>
          <w:highlight w:val="none"/>
        </w:rPr>
      </w:pPr>
      <w:bookmarkStart w:id="377" w:name="_Toc515647789"/>
      <w:bookmarkStart w:id="378" w:name="_Toc520356171"/>
      <w:r>
        <w:rPr>
          <w:rFonts w:hint="eastAsia" w:ascii="宋体" w:hAnsi="宋体" w:eastAsia="宋体" w:cs="宋体"/>
          <w:color w:val="auto"/>
          <w:sz w:val="24"/>
          <w:highlight w:val="none"/>
        </w:rPr>
        <w:t>19.2   采购人或采购代理机构将在开标前1个工作日至投标截止后1小时的期间内查询</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的信用记录。</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存在不良信用记录的，其投标将被认定为投标无效。</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19.2.1 不良信用记录指：</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在“信用中国”网站（ www.creditchina.gov.cn） 被列入失信被执行人、重大税收违法案件当事人名单(</w:t>
      </w:r>
      <w:r>
        <w:rPr>
          <w:rFonts w:hint="eastAsia" w:ascii="宋体" w:hAnsi="宋体" w:eastAsia="宋体" w:cs="宋体"/>
          <w:color w:val="auto"/>
          <w:sz w:val="24"/>
          <w:highlight w:val="none"/>
          <w:lang w:eastAsia="zh-CN"/>
        </w:rPr>
        <w:t>信用服务-重点领域严重失信主体名单查询-搜索栏输入单位全称-截图</w:t>
      </w:r>
      <w:r>
        <w:rPr>
          <w:rFonts w:hint="eastAsia" w:ascii="宋体" w:hAnsi="宋体" w:eastAsia="宋体" w:cs="宋体"/>
          <w:color w:val="auto"/>
          <w:sz w:val="24"/>
          <w:highlight w:val="none"/>
        </w:rPr>
        <w:t>)、中国政府采购网（http://www.ccgp.gov.cn/search/cr/）严重违法失信行为记录名单的（尚在处罚期内的），“国家企业信用信息公示系统（http://www.gsxt.gov.cn）”列入严重违法失信企业名单（黑名单）信息及企业信用信息公示报告。</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以联合体形式参加投标的，联合体任何成员存在以上不良信用记录的，联合体投标将被认定为投标无效。</w:t>
      </w:r>
    </w:p>
    <w:p>
      <w:pPr>
        <w:pStyle w:val="8"/>
        <w:keepNext w:val="0"/>
        <w:keepLines w:val="0"/>
        <w:pageBreakBefore w:val="0"/>
        <w:widowControl w:val="0"/>
        <w:shd w:val="clear" w:color="auto" w:fill="auto"/>
        <w:kinsoku/>
        <w:wordWrap/>
        <w:overflowPunct/>
        <w:topLinePunct w:val="0"/>
        <w:bidi w:val="0"/>
        <w:snapToGrid/>
        <w:spacing w:line="387" w:lineRule="exact"/>
        <w:ind w:left="850" w:hanging="849" w:hangingChars="354"/>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查询及记录方式：采购人或采购代理机构经办人将查询网页打印、签字并存档备查。</w:t>
      </w:r>
      <w:r>
        <w:rPr>
          <w:rFonts w:hint="eastAsia" w:ascii="宋体" w:hAnsi="宋体" w:eastAsia="宋体" w:cs="宋体"/>
          <w:color w:val="auto"/>
          <w:highlight w:val="none"/>
          <w:lang w:eastAsia="zh-CN"/>
        </w:rPr>
        <w:t>投标供应商</w:t>
      </w:r>
      <w:r>
        <w:rPr>
          <w:rFonts w:hint="eastAsia" w:ascii="宋体" w:hAnsi="宋体" w:eastAsia="宋体" w:cs="宋体"/>
          <w:color w:val="auto"/>
          <w:highlight w:val="none"/>
        </w:rPr>
        <w:t>不良信用记录以采购人或采购代理机构查询结果为准。</w:t>
      </w:r>
    </w:p>
    <w:p>
      <w:pPr>
        <w:pStyle w:val="8"/>
        <w:keepNext w:val="0"/>
        <w:keepLines w:val="0"/>
        <w:pageBreakBefore w:val="0"/>
        <w:widowControl w:val="0"/>
        <w:shd w:val="clear" w:color="auto" w:fill="auto"/>
        <w:kinsoku/>
        <w:wordWrap/>
        <w:overflowPunct/>
        <w:topLinePunct w:val="0"/>
        <w:bidi w:val="0"/>
        <w:snapToGrid/>
        <w:spacing w:line="387" w:lineRule="exact"/>
        <w:ind w:left="0" w:leftChars="0" w:firstLine="0" w:firstLineChars="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在本招标文件规定的查询时间之后，网站信息发生的任何变更均不再作为评标依据。</w:t>
      </w:r>
    </w:p>
    <w:p>
      <w:pPr>
        <w:pStyle w:val="8"/>
        <w:keepNext w:val="0"/>
        <w:keepLines w:val="0"/>
        <w:pageBreakBefore w:val="0"/>
        <w:widowControl w:val="0"/>
        <w:shd w:val="clear" w:color="auto" w:fill="auto"/>
        <w:kinsoku/>
        <w:wordWrap/>
        <w:overflowPunct/>
        <w:topLinePunct w:val="0"/>
        <w:bidi w:val="0"/>
        <w:snapToGrid/>
        <w:spacing w:line="387" w:lineRule="exact"/>
        <w:ind w:left="0" w:leftChars="0" w:firstLine="0" w:firstLineChars="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投标供应商</w:t>
      </w:r>
      <w:r>
        <w:rPr>
          <w:rFonts w:hint="eastAsia" w:ascii="宋体" w:hAnsi="宋体" w:eastAsia="宋体" w:cs="宋体"/>
          <w:b/>
          <w:bCs/>
          <w:color w:val="auto"/>
          <w:highlight w:val="none"/>
        </w:rPr>
        <w:t>自行提供的与网站信息不一致的其他证明材料亦不作为资格审查依据。</w:t>
      </w:r>
    </w:p>
    <w:p>
      <w:pPr>
        <w:keepNext w:val="0"/>
        <w:keepLines w:val="0"/>
        <w:pageBreakBefore w:val="0"/>
        <w:widowControl w:val="0"/>
        <w:shd w:val="clear" w:color="auto" w:fill="auto"/>
        <w:kinsoku/>
        <w:wordWrap/>
        <w:overflowPunct/>
        <w:topLinePunct w:val="0"/>
        <w:bidi w:val="0"/>
        <w:snapToGrid/>
        <w:spacing w:line="387" w:lineRule="exact"/>
        <w:ind w:left="850" w:hanging="849" w:hangingChars="35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   按照《中华人民共和国政府采购法》、《中华人民共和国政府采购法实施条例》、《政府采购货物和服务招标投标管理办法》财政部令第87号及本项目本级和上级财政部门的有关规定依法在政采云平台上</w:t>
      </w:r>
      <w:r>
        <w:rPr>
          <w:rFonts w:hint="eastAsia" w:ascii="宋体" w:hAnsi="宋体" w:eastAsia="宋体" w:cs="宋体"/>
          <w:color w:val="auto"/>
          <w:sz w:val="24"/>
          <w:highlight w:val="none"/>
          <w:lang w:eastAsia="zh-CN"/>
        </w:rPr>
        <w:t>随机</w:t>
      </w:r>
      <w:r>
        <w:rPr>
          <w:rFonts w:hint="eastAsia" w:ascii="宋体" w:hAnsi="宋体" w:eastAsia="宋体" w:cs="宋体"/>
          <w:color w:val="auto"/>
          <w:sz w:val="24"/>
          <w:highlight w:val="none"/>
        </w:rPr>
        <w:t>抽取</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名评标委员会</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1名业主专家，共计5名评标专家</w:t>
      </w:r>
      <w:r>
        <w:rPr>
          <w:rFonts w:hint="eastAsia" w:ascii="宋体" w:hAnsi="宋体" w:eastAsia="宋体" w:cs="宋体"/>
          <w:color w:val="auto"/>
          <w:sz w:val="24"/>
          <w:highlight w:val="none"/>
        </w:rPr>
        <w:t>负责评标工作。</w:t>
      </w:r>
      <w:bookmarkStart w:id="379" w:name="_Toc520356166"/>
    </w:p>
    <w:p>
      <w:pPr>
        <w:pStyle w:val="9"/>
        <w:keepNext w:val="0"/>
        <w:keepLines w:val="0"/>
        <w:pageBreakBefore w:val="0"/>
        <w:widowControl w:val="0"/>
        <w:shd w:val="clear" w:color="auto" w:fill="auto"/>
        <w:kinsoku/>
        <w:wordWrap/>
        <w:overflowPunct/>
        <w:topLinePunct w:val="0"/>
        <w:bidi w:val="0"/>
        <w:snapToGrid/>
        <w:spacing w:before="0" w:after="0" w:line="387" w:lineRule="exact"/>
        <w:textAlignment w:val="auto"/>
        <w:rPr>
          <w:rFonts w:hint="eastAsia" w:ascii="宋体" w:hAnsi="宋体" w:eastAsia="宋体" w:cs="宋体"/>
          <w:bCs/>
          <w:color w:val="auto"/>
          <w:highlight w:val="none"/>
          <w:bdr w:val="single" w:color="auto" w:sz="4" w:space="0"/>
        </w:rPr>
      </w:pPr>
      <w:bookmarkStart w:id="380" w:name="_Toc30698"/>
      <w:bookmarkStart w:id="381" w:name="_Toc515647781"/>
      <w:bookmarkStart w:id="382" w:name="_Toc19949"/>
      <w:bookmarkStart w:id="383" w:name="_Toc23424"/>
      <w:bookmarkStart w:id="384" w:name="_Toc28479"/>
      <w:bookmarkStart w:id="385" w:name="_Toc5726"/>
      <w:bookmarkStart w:id="386" w:name="_Toc14221"/>
      <w:bookmarkStart w:id="387" w:name="_Toc10659"/>
      <w:bookmarkStart w:id="388" w:name="_Toc22736"/>
      <w:bookmarkStart w:id="389" w:name="_Toc14028"/>
      <w:bookmarkStart w:id="390" w:name="_Toc13892"/>
      <w:bookmarkStart w:id="391" w:name="_Toc8432"/>
      <w:bookmarkStart w:id="392" w:name="_Toc28438"/>
      <w:bookmarkStart w:id="393" w:name="_Toc22021"/>
      <w:bookmarkStart w:id="394" w:name="_Toc14967"/>
      <w:bookmarkStart w:id="395" w:name="_Toc24431"/>
      <w:bookmarkStart w:id="396" w:name="_Toc14022"/>
      <w:bookmarkStart w:id="397" w:name="_Toc11476"/>
      <w:bookmarkStart w:id="398" w:name="_Toc22833"/>
      <w:r>
        <w:rPr>
          <w:rFonts w:hint="eastAsia" w:ascii="宋体" w:hAnsi="宋体" w:eastAsia="宋体" w:cs="宋体"/>
          <w:color w:val="auto"/>
          <w:highlight w:val="none"/>
          <w:u w:val="none"/>
        </w:rPr>
        <w:t>20.投标文件</w:t>
      </w:r>
      <w:bookmarkEnd w:id="379"/>
      <w:r>
        <w:rPr>
          <w:rFonts w:hint="eastAsia" w:ascii="宋体" w:hAnsi="宋体" w:eastAsia="宋体" w:cs="宋体"/>
          <w:color w:val="auto"/>
          <w:highlight w:val="none"/>
          <w:u w:val="none"/>
        </w:rPr>
        <w:t>符合性审查与澄清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符合性审查是指依据招标文件的规定，从投标文件的有效性和完整性对招标文件的响应程度进行审查，以确定是否对招标文件的实质性要求做出响应。</w:t>
      </w:r>
      <w:bookmarkStart w:id="399" w:name="_Hlt522424701"/>
      <w:bookmarkEnd w:id="399"/>
      <w:bookmarkStart w:id="400" w:name="_Toc520356167"/>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投标文件的澄清</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  在评标期间，评标委员会将以书面方式要求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的报价明显低于其他通过符合性检查</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的报价，有可能影响履约的情况作必要的澄清、说明或补正。</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的澄清、说明或补正应在评标委员会规定的时间内以书面方式进行，并不得超出投标文件范围或者改变投标文件的实质性内容。</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20.2.2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的的澄清、说明或补正将作为投标文件的一部分。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20.3  投标文件报价出现前后不一致的，按照下列规定修正：</w:t>
      </w:r>
    </w:p>
    <w:p>
      <w:pPr>
        <w:keepNext w:val="0"/>
        <w:keepLines w:val="0"/>
        <w:pageBreakBefore w:val="0"/>
        <w:widowControl w:val="0"/>
        <w:shd w:val="clear" w:color="auto" w:fill="auto"/>
        <w:kinsoku/>
        <w:wordWrap/>
        <w:overflowPunct/>
        <w:topLinePunct w:val="0"/>
        <w:bidi w:val="0"/>
        <w:snapToGrid/>
        <w:spacing w:line="387" w:lineRule="exact"/>
        <w:ind w:left="1020" w:hanging="1020" w:hangingChars="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（一）投标文件中开标一览表（报价表）内容与投标文件中相应内容不一致的，以开标一览表（报价表）为准；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（二）大写金额和小写金额不一致的，以大写金额为准；</w:t>
      </w:r>
    </w:p>
    <w:p>
      <w:pPr>
        <w:pStyle w:val="24"/>
        <w:rPr>
          <w:rFonts w:hint="eastAsia" w:ascii="宋体" w:hAnsi="宋体" w:eastAsia="宋体" w:cs="宋体"/>
          <w:color w:val="auto"/>
          <w:highlight w:val="none"/>
        </w:rPr>
      </w:pPr>
    </w:p>
    <w:p>
      <w:pPr>
        <w:keepNext w:val="0"/>
        <w:keepLines w:val="0"/>
        <w:pageBreakBefore w:val="0"/>
        <w:widowControl w:val="0"/>
        <w:shd w:val="clear" w:color="auto" w:fill="auto"/>
        <w:kinsoku/>
        <w:wordWrap/>
        <w:overflowPunct/>
        <w:topLinePunct w:val="0"/>
        <w:bidi w:val="0"/>
        <w:snapToGrid/>
        <w:spacing w:line="387" w:lineRule="exact"/>
        <w:ind w:left="1020" w:hanging="1020" w:hangingChars="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（三）单价金额小数点或者百分比有明显错位的，以开标一览表的总价为准，并修改单价；</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（四）总价金额与按单价汇总金额不一致的，以单价金额计算结果为准。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同时出现两种以上不一致的，按照前款规定的顺序修正。修正后的报价按照第20.2条的规定经</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确认后产生约束力，</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不确认的，其投标将被认定为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bidi w:val="0"/>
        <w:snapToGrid/>
        <w:spacing w:line="387" w:lineRule="exact"/>
        <w:ind w:firstLine="120" w:firstLineChars="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   如一个分包内只有一种产品，不同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所投产品为同一品牌的，按如下方式处理：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20.4.1  如本项目使用最低评标价法，提供相同品牌产品的不同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；未规定的采取随机抽取方式确定，其他投标将被认定为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20.4.2  如本项目使用综合评分法，提供相同品牌产品且通过资格审查、符合性审查的不同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，按一家</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计算，评审后得分最高的同品牌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获得中标人推荐资格；未规定的采取随机抽取方式确定，其他同品牌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不作为中标候选人。</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20.5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如采购人所采购产品为政府强制采购的节能产品，</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所投产品的品牌及型号必须为清单中有效期内产品并提供证明文件，否则其投标将被认定为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9"/>
        <w:keepNext w:val="0"/>
        <w:keepLines w:val="0"/>
        <w:pageBreakBefore w:val="0"/>
        <w:widowControl w:val="0"/>
        <w:shd w:val="clear" w:color="auto" w:fill="auto"/>
        <w:kinsoku/>
        <w:wordWrap/>
        <w:overflowPunct/>
        <w:topLinePunct w:val="0"/>
        <w:bidi w:val="0"/>
        <w:snapToGrid/>
        <w:spacing w:before="0" w:after="0" w:line="387" w:lineRule="exact"/>
        <w:textAlignment w:val="auto"/>
        <w:rPr>
          <w:rFonts w:hint="eastAsia" w:ascii="宋体" w:hAnsi="宋体" w:eastAsia="宋体" w:cs="宋体"/>
          <w:color w:val="auto"/>
          <w:highlight w:val="none"/>
          <w:u w:val="none"/>
        </w:rPr>
      </w:pPr>
      <w:bookmarkStart w:id="401" w:name="_Toc28587"/>
      <w:bookmarkStart w:id="402" w:name="_Toc11608"/>
      <w:bookmarkStart w:id="403" w:name="_Toc25193"/>
      <w:bookmarkStart w:id="404" w:name="_Toc20375"/>
      <w:bookmarkStart w:id="405" w:name="_Toc24698"/>
      <w:bookmarkStart w:id="406" w:name="_Toc12161"/>
      <w:bookmarkStart w:id="407" w:name="_Toc5375"/>
      <w:bookmarkStart w:id="408" w:name="_Toc6364"/>
      <w:bookmarkStart w:id="409" w:name="_Toc9469"/>
      <w:bookmarkStart w:id="410" w:name="_Toc17928"/>
      <w:bookmarkStart w:id="411" w:name="_Toc6936"/>
      <w:bookmarkStart w:id="412" w:name="_Toc7973"/>
      <w:bookmarkStart w:id="413" w:name="_Toc515647782"/>
      <w:bookmarkStart w:id="414" w:name="_Toc1981"/>
      <w:bookmarkStart w:id="415" w:name="_Toc6538"/>
      <w:bookmarkStart w:id="416" w:name="_Toc29292"/>
      <w:bookmarkStart w:id="417" w:name="_Toc29157"/>
      <w:bookmarkStart w:id="418" w:name="_Toc18331"/>
      <w:bookmarkStart w:id="419" w:name="_Toc2506"/>
      <w:r>
        <w:rPr>
          <w:rFonts w:hint="eastAsia" w:ascii="宋体" w:hAnsi="宋体" w:eastAsia="宋体" w:cs="宋体"/>
          <w:color w:val="auto"/>
          <w:highlight w:val="none"/>
          <w:u w:val="none"/>
        </w:rPr>
        <w:t>21.投标偏离</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keepNext w:val="0"/>
        <w:keepLines w:val="0"/>
        <w:pageBreakBefore w:val="0"/>
        <w:widowControl w:val="0"/>
        <w:shd w:val="clear" w:color="auto" w:fill="auto"/>
        <w:kinsoku/>
        <w:wordWrap/>
        <w:overflowPunct/>
        <w:topLinePunct w:val="0"/>
        <w:bidi w:val="0"/>
        <w:snapToGrid/>
        <w:spacing w:line="387" w:lineRule="exact"/>
        <w:ind w:left="641" w:hanging="640" w:hangingChars="267"/>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评标委员会可以接受投标文件中不构成实质性偏离的不正规或不一致。</w:t>
      </w:r>
      <w:bookmarkStart w:id="420" w:name="_Toc515647783"/>
      <w:bookmarkStart w:id="421" w:name="_Toc6092"/>
      <w:bookmarkStart w:id="422" w:name="_Toc4950"/>
    </w:p>
    <w:p>
      <w:pPr>
        <w:pStyle w:val="9"/>
        <w:keepNext w:val="0"/>
        <w:keepLines w:val="0"/>
        <w:pageBreakBefore w:val="0"/>
        <w:widowControl w:val="0"/>
        <w:shd w:val="clear" w:color="auto" w:fill="auto"/>
        <w:kinsoku/>
        <w:wordWrap/>
        <w:overflowPunct/>
        <w:topLinePunct w:val="0"/>
        <w:bidi w:val="0"/>
        <w:snapToGrid/>
        <w:spacing w:before="0" w:after="0" w:line="387" w:lineRule="exact"/>
        <w:textAlignment w:val="auto"/>
        <w:rPr>
          <w:rFonts w:hint="eastAsia" w:ascii="宋体" w:hAnsi="宋体" w:eastAsia="宋体" w:cs="宋体"/>
          <w:color w:val="auto"/>
          <w:highlight w:val="none"/>
          <w:u w:val="none"/>
        </w:rPr>
      </w:pPr>
      <w:bookmarkStart w:id="423" w:name="_Toc23335"/>
      <w:bookmarkStart w:id="424" w:name="_Toc8629"/>
      <w:bookmarkStart w:id="425" w:name="_Toc1222"/>
      <w:bookmarkStart w:id="426" w:name="_Toc1190"/>
      <w:bookmarkStart w:id="427" w:name="_Toc23789"/>
      <w:bookmarkStart w:id="428" w:name="_Toc29566"/>
      <w:bookmarkStart w:id="429" w:name="_Toc8372"/>
      <w:bookmarkStart w:id="430" w:name="_Toc8313"/>
      <w:bookmarkStart w:id="431" w:name="_Toc20109"/>
      <w:bookmarkStart w:id="432" w:name="_Toc8973"/>
      <w:bookmarkStart w:id="433" w:name="_Toc22686"/>
      <w:bookmarkStart w:id="434" w:name="_Toc25919"/>
      <w:bookmarkStart w:id="435" w:name="_Toc28742"/>
      <w:bookmarkStart w:id="436" w:name="_Toc32127"/>
      <w:bookmarkStart w:id="437" w:name="_Toc8254"/>
      <w:bookmarkStart w:id="438" w:name="_Toc2595"/>
      <w:r>
        <w:rPr>
          <w:rFonts w:hint="eastAsia" w:ascii="宋体" w:hAnsi="宋体" w:eastAsia="宋体" w:cs="宋体"/>
          <w:color w:val="auto"/>
          <w:highlight w:val="none"/>
          <w:u w:val="none"/>
        </w:rPr>
        <w:t>22.投标</w:t>
      </w:r>
      <w:bookmarkEnd w:id="420"/>
      <w:r>
        <w:rPr>
          <w:rFonts w:hint="eastAsia" w:ascii="宋体" w:hAnsi="宋体" w:eastAsia="宋体" w:cs="宋体"/>
          <w:color w:val="auto"/>
          <w:highlight w:val="none"/>
          <w:u w:val="none"/>
        </w:rPr>
        <w:t>无效</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评标委员会决定投标的响应性只根据招标文件要求、投标文件内容及财政主管部门指定相关信息发布媒体。</w:t>
      </w:r>
    </w:p>
    <w:p>
      <w:pPr>
        <w:keepNext w:val="0"/>
        <w:keepLines w:val="0"/>
        <w:pageBreakBefore w:val="0"/>
        <w:widowControl w:val="0"/>
        <w:shd w:val="clear" w:color="auto" w:fill="auto"/>
        <w:kinsoku/>
        <w:wordWrap/>
        <w:overflowPunct/>
        <w:topLinePunct w:val="0"/>
        <w:bidi w:val="0"/>
        <w:snapToGrid/>
        <w:spacing w:line="387" w:lineRule="exact"/>
        <w:ind w:left="900" w:hanging="904" w:hangingChars="3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22.2</w:t>
      </w: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如发现下列情况之一的，其投标将被认定为投标无效：</w:t>
      </w:r>
    </w:p>
    <w:p>
      <w:pPr>
        <w:pStyle w:val="71"/>
        <w:keepNext w:val="0"/>
        <w:keepLines w:val="0"/>
        <w:pageBreakBefore w:val="0"/>
        <w:widowControl w:val="0"/>
        <w:numPr>
          <w:ilvl w:val="0"/>
          <w:numId w:val="3"/>
        </w:numPr>
        <w:shd w:val="clear" w:color="auto" w:fill="auto"/>
        <w:kinsoku/>
        <w:wordWrap/>
        <w:overflowPunct/>
        <w:topLinePunct w:val="0"/>
        <w:bidi w:val="0"/>
        <w:snapToGrid/>
        <w:spacing w:line="387" w:lineRule="exact"/>
        <w:ind w:firstLineChars="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未按招标文件规定的形式和金额提交投标保证金的；</w:t>
      </w:r>
    </w:p>
    <w:p>
      <w:pPr>
        <w:pStyle w:val="71"/>
        <w:keepNext w:val="0"/>
        <w:keepLines w:val="0"/>
        <w:pageBreakBefore w:val="0"/>
        <w:widowControl w:val="0"/>
        <w:numPr>
          <w:ilvl w:val="0"/>
          <w:numId w:val="3"/>
        </w:numPr>
        <w:shd w:val="clear" w:color="auto" w:fill="auto"/>
        <w:kinsoku/>
        <w:wordWrap/>
        <w:overflowPunct/>
        <w:topLinePunct w:val="0"/>
        <w:bidi w:val="0"/>
        <w:snapToGrid/>
        <w:spacing w:line="387" w:lineRule="exact"/>
        <w:ind w:firstLineChars="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未按照招标文件规定要求签署、盖章的；</w:t>
      </w:r>
    </w:p>
    <w:p>
      <w:pPr>
        <w:pStyle w:val="71"/>
        <w:keepNext w:val="0"/>
        <w:keepLines w:val="0"/>
        <w:pageBreakBefore w:val="0"/>
        <w:widowControl w:val="0"/>
        <w:numPr>
          <w:ilvl w:val="0"/>
          <w:numId w:val="3"/>
        </w:numPr>
        <w:shd w:val="clear" w:color="auto" w:fill="auto"/>
        <w:kinsoku/>
        <w:wordWrap/>
        <w:overflowPunct/>
        <w:topLinePunct w:val="0"/>
        <w:bidi w:val="0"/>
        <w:snapToGrid/>
        <w:spacing w:line="387" w:lineRule="exact"/>
        <w:ind w:firstLineChars="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与其他</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串通投标，或者与招标人串通投标；</w:t>
      </w:r>
    </w:p>
    <w:p>
      <w:pPr>
        <w:pStyle w:val="71"/>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属于招标文件规定的其他投标无效情形；</w:t>
      </w:r>
    </w:p>
    <w:p>
      <w:pPr>
        <w:pStyle w:val="71"/>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评标委员会认为</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的报价明显低于其他通过符合性检查</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的报价，有可能影响履约的，且</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未按照规定证明其报价合理性的；</w:t>
      </w:r>
    </w:p>
    <w:p>
      <w:pPr>
        <w:pStyle w:val="71"/>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投标文件含有采购人不能接受的附加条件的；</w:t>
      </w:r>
    </w:p>
    <w:p>
      <w:pPr>
        <w:pStyle w:val="71"/>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不符合法规和招标文件中规定的其他实质性要求的。</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22.3   有下列情形之一的，属于恶意串通，对供应商依照政府采购法第七十七条第一款的规定追究法律责任，对采购人、采购代理机构及其工作人员依照政府采购法第七十二条的规定追究法律责任：</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（1）供应商直接或者间接从采购人或者采购代理机构处获得其他供应商的相关情况并修改其投标文件或者投标文件；</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（2）供应商按照采购人或者采购代理机构的授意撤换、修改投标文件或者投标文件；</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（3）供应商之间协商报价、技术方案等投标文件或者投标文件的实质性内容；</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（4）属于同一集团、协会、商会等组织成员的供应商按照该组织要求协同参加政府采购活动；</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（5）供应商之间事先约定由某一特定供应商中标、成交；</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（6）供应商之间商定部分供应商放弃参加政府采购活动或者放弃中标、成交；</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（7）供应商与采购人或者采购代理机构之间、供应商相互之间，为谋求特定供应商中标、成交或者排斥其他供应商的其他串通行为。</w:t>
      </w:r>
    </w:p>
    <w:p>
      <w:pPr>
        <w:pStyle w:val="9"/>
        <w:shd w:val="clear" w:color="auto" w:fill="auto"/>
        <w:spacing w:before="0" w:after="0" w:line="360" w:lineRule="exact"/>
        <w:rPr>
          <w:rFonts w:hint="eastAsia" w:ascii="宋体" w:hAnsi="宋体" w:eastAsia="宋体" w:cs="宋体"/>
          <w:color w:val="auto"/>
          <w:highlight w:val="none"/>
          <w:u w:val="none"/>
        </w:rPr>
      </w:pPr>
      <w:bookmarkStart w:id="439" w:name="_Toc14711"/>
      <w:bookmarkStart w:id="440" w:name="_Toc24711"/>
      <w:bookmarkStart w:id="441" w:name="_Toc22941"/>
      <w:bookmarkStart w:id="442" w:name="_Toc6473"/>
      <w:bookmarkStart w:id="443" w:name="_Toc515647784"/>
      <w:bookmarkStart w:id="444" w:name="_Toc9861"/>
      <w:bookmarkStart w:id="445" w:name="_Toc20639"/>
      <w:bookmarkStart w:id="446" w:name="_Toc16445"/>
      <w:bookmarkStart w:id="447" w:name="_Toc15211"/>
      <w:bookmarkStart w:id="448" w:name="_Toc6664"/>
      <w:bookmarkStart w:id="449" w:name="_Toc29624"/>
      <w:bookmarkStart w:id="450" w:name="_Toc13652"/>
      <w:bookmarkStart w:id="451" w:name="_Toc3195"/>
      <w:bookmarkStart w:id="452" w:name="_Toc14159"/>
      <w:bookmarkStart w:id="453" w:name="_Toc9121"/>
      <w:bookmarkStart w:id="454" w:name="_Toc20498"/>
      <w:r>
        <w:rPr>
          <w:rFonts w:hint="eastAsia" w:ascii="宋体" w:hAnsi="宋体" w:eastAsia="宋体" w:cs="宋体"/>
          <w:color w:val="auto"/>
          <w:highlight w:val="none"/>
          <w:u w:val="none"/>
        </w:rPr>
        <w:t>23.</w:t>
      </w:r>
      <w:bookmarkEnd w:id="400"/>
      <w:r>
        <w:rPr>
          <w:rFonts w:hint="eastAsia" w:ascii="宋体" w:hAnsi="宋体" w:eastAsia="宋体" w:cs="宋体"/>
          <w:color w:val="auto"/>
          <w:highlight w:val="none"/>
          <w:u w:val="none"/>
        </w:rPr>
        <w:t>比较与评价</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中规定采用下列一种评标方法：</w:t>
      </w:r>
    </w:p>
    <w:p>
      <w:pPr>
        <w:pStyle w:val="18"/>
        <w:shd w:val="clear" w:color="auto" w:fill="auto"/>
        <w:spacing w:line="360" w:lineRule="exact"/>
        <w:ind w:left="239" w:leftChars="114" w:firstLine="506" w:firstLineChars="2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为中标候选人的评标方法。</w:t>
      </w:r>
    </w:p>
    <w:p>
      <w:pPr>
        <w:pStyle w:val="18"/>
        <w:shd w:val="clear" w:color="auto" w:fill="auto"/>
        <w:spacing w:line="360" w:lineRule="exact"/>
        <w:ind w:left="239" w:leftChars="114" w:firstLine="511" w:firstLineChars="2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为中标候选人的评标方法。</w:t>
      </w:r>
    </w:p>
    <w:p>
      <w:pPr>
        <w:pStyle w:val="18"/>
        <w:shd w:val="clear" w:color="auto" w:fill="auto"/>
        <w:spacing w:line="360" w:lineRule="exact"/>
        <w:ind w:left="239" w:leftChars="114" w:firstLine="513" w:firstLineChars="21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本项目采用综合评分法。</w:t>
      </w:r>
    </w:p>
    <w:p>
      <w:pPr>
        <w:pStyle w:val="18"/>
        <w:shd w:val="clear" w:color="auto" w:fill="auto"/>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根据《政府采购促进中小企业发展管理办法》（财库[2020]46号）、《财政部 司法部关于政府采购支持监狱企业发展有关问题的通知》（财库〔2014〕68号）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《三部门联合发布关于促进残疾人就业政府采购政策的通知》（</w:t>
      </w:r>
      <w:bookmarkStart w:id="455" w:name="sendNo"/>
      <w:r>
        <w:rPr>
          <w:rFonts w:hint="eastAsia" w:ascii="宋体" w:hAnsi="宋体" w:eastAsia="宋体" w:cs="宋体"/>
          <w:bCs/>
          <w:color w:val="auto"/>
          <w:sz w:val="24"/>
          <w:szCs w:val="24"/>
          <w:highlight w:val="none"/>
        </w:rPr>
        <w:t>财库〔</w:t>
      </w:r>
      <w:bookmarkEnd w:id="455"/>
      <w:r>
        <w:rPr>
          <w:rFonts w:hint="eastAsia" w:ascii="宋体" w:hAnsi="宋体" w:eastAsia="宋体" w:cs="宋体"/>
          <w:bCs/>
          <w:color w:val="auto"/>
          <w:sz w:val="24"/>
          <w:szCs w:val="24"/>
          <w:highlight w:val="none"/>
        </w:rPr>
        <w:t>2017〕141号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和《财政部关于进一步加大政府采购支持中小企业力度的通知》财库〔2022〕19号</w:t>
      </w:r>
      <w:r>
        <w:rPr>
          <w:rFonts w:hint="eastAsia" w:ascii="宋体" w:hAnsi="宋体" w:eastAsia="宋体" w:cs="宋体"/>
          <w:color w:val="auto"/>
          <w:sz w:val="24"/>
          <w:szCs w:val="24"/>
          <w:highlight w:val="none"/>
        </w:rPr>
        <w:t>的规定，对满足价格扣除条件且在投标文件中提交了《</w:t>
      </w:r>
      <w:r>
        <w:rPr>
          <w:rFonts w:hint="eastAsia" w:ascii="宋体" w:hAnsi="宋体" w:eastAsia="宋体" w:cs="宋体"/>
          <w:color w:val="auto"/>
          <w:sz w:val="24"/>
          <w:szCs w:val="24"/>
          <w:highlight w:val="none"/>
          <w:lang w:eastAsia="zh-CN"/>
        </w:rPr>
        <w:t>中小企业声明函</w:t>
      </w:r>
      <w:r>
        <w:rPr>
          <w:rFonts w:hint="eastAsia" w:ascii="宋体" w:hAnsi="宋体" w:eastAsia="宋体" w:cs="宋体"/>
          <w:color w:val="auto"/>
          <w:sz w:val="24"/>
          <w:szCs w:val="24"/>
          <w:highlight w:val="none"/>
        </w:rPr>
        <w:t>》或省级以上监狱管理局、戒毒管理局（含新疆生产建设兵团）出具的属于监狱企业的证明文件的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，其投标报价扣除</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后参与评审。</w:t>
      </w:r>
    </w:p>
    <w:p>
      <w:pPr>
        <w:pStyle w:val="9"/>
        <w:shd w:val="clear" w:color="auto" w:fill="auto"/>
        <w:spacing w:before="0" w:after="0" w:line="360" w:lineRule="exact"/>
        <w:rPr>
          <w:rFonts w:hint="eastAsia" w:ascii="宋体" w:hAnsi="宋体" w:eastAsia="宋体" w:cs="宋体"/>
          <w:color w:val="auto"/>
          <w:highlight w:val="none"/>
          <w:u w:val="none"/>
        </w:rPr>
      </w:pPr>
      <w:bookmarkStart w:id="456" w:name="_Toc520356168"/>
      <w:bookmarkStart w:id="457" w:name="_Toc19218"/>
      <w:bookmarkStart w:id="458" w:name="_Toc11579"/>
      <w:bookmarkStart w:id="459" w:name="_Toc27067"/>
      <w:bookmarkStart w:id="460" w:name="_Toc23302"/>
      <w:bookmarkStart w:id="461" w:name="_Toc31084"/>
      <w:bookmarkStart w:id="462" w:name="_Toc31697"/>
      <w:bookmarkStart w:id="463" w:name="_Toc20227"/>
      <w:bookmarkStart w:id="464" w:name="_Toc31706"/>
      <w:bookmarkStart w:id="465" w:name="_Toc28791"/>
      <w:bookmarkStart w:id="466" w:name="_Toc9378"/>
      <w:bookmarkStart w:id="467" w:name="_Toc3653"/>
      <w:bookmarkStart w:id="468" w:name="_Toc320"/>
      <w:bookmarkStart w:id="469" w:name="_Toc23840"/>
      <w:bookmarkStart w:id="470" w:name="_Toc24093"/>
      <w:bookmarkStart w:id="471" w:name="_Toc11700"/>
      <w:bookmarkStart w:id="472" w:name="_Toc515647785"/>
      <w:bookmarkStart w:id="473" w:name="_Toc10413"/>
      <w:bookmarkStart w:id="474" w:name="_Toc7770"/>
      <w:bookmarkStart w:id="475" w:name="_Toc19485"/>
      <w:r>
        <w:rPr>
          <w:rFonts w:hint="eastAsia" w:ascii="宋体" w:hAnsi="宋体" w:eastAsia="宋体" w:cs="宋体"/>
          <w:color w:val="auto"/>
          <w:highlight w:val="none"/>
          <w:u w:val="none"/>
        </w:rPr>
        <w:t>24</w:t>
      </w:r>
      <w:bookmarkEnd w:id="456"/>
      <w:r>
        <w:rPr>
          <w:rFonts w:hint="eastAsia" w:ascii="宋体" w:hAnsi="宋体" w:eastAsia="宋体" w:cs="宋体"/>
          <w:color w:val="auto"/>
          <w:highlight w:val="none"/>
          <w:u w:val="none"/>
        </w:rPr>
        <w:t>.废标</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shd w:val="clear" w:color="auto" w:fill="auto"/>
        <w:spacing w:line="360" w:lineRule="exact"/>
        <w:ind w:left="60" w:hanging="60" w:hangingChars="2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24.1出现下列情形之一，将导致项目废标：</w:t>
      </w:r>
      <w:r>
        <w:rPr>
          <w:rFonts w:hint="eastAsia" w:ascii="宋体" w:hAnsi="宋体" w:eastAsia="宋体" w:cs="宋体"/>
          <w:color w:val="auto"/>
          <w:sz w:val="24"/>
          <w:highlight w:val="none"/>
        </w:rPr>
        <w:t xml:space="preserve"> </w:t>
      </w:r>
    </w:p>
    <w:p>
      <w:pPr>
        <w:shd w:val="clear" w:color="auto" w:fill="auto"/>
        <w:spacing w:line="360" w:lineRule="exact"/>
        <w:ind w:left="900" w:hanging="900" w:hangingChars="37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b/>
          <w:bCs/>
          <w:color w:val="auto"/>
          <w:sz w:val="24"/>
          <w:highlight w:val="none"/>
        </w:rPr>
        <w:t>（1）符合专业条件的供应商或者对招标文件做实质性响应的供应商不足三家；</w:t>
      </w:r>
    </w:p>
    <w:p>
      <w:pPr>
        <w:shd w:val="clear" w:color="auto" w:fill="auto"/>
        <w:spacing w:line="360" w:lineRule="exact"/>
        <w:ind w:left="900" w:hanging="904" w:hangingChars="37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（2）出现影响采购公正的违法、违规行为的；</w:t>
      </w:r>
    </w:p>
    <w:p>
      <w:pPr>
        <w:shd w:val="clear" w:color="auto" w:fill="auto"/>
        <w:spacing w:line="360" w:lineRule="exact"/>
        <w:ind w:firstLine="843" w:firstLineChars="3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的报价均超过了采购预算，采购人不能支付的；</w:t>
      </w:r>
    </w:p>
    <w:p>
      <w:pPr>
        <w:shd w:val="clear" w:color="auto" w:fill="auto"/>
        <w:spacing w:line="360" w:lineRule="exact"/>
        <w:ind w:firstLine="843" w:firstLineChars="35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（4）因重大变故，采购任务取消的。  </w:t>
      </w:r>
      <w:r>
        <w:rPr>
          <w:rFonts w:hint="eastAsia" w:ascii="宋体" w:hAnsi="宋体" w:eastAsia="宋体" w:cs="宋体"/>
          <w:color w:val="auto"/>
          <w:sz w:val="24"/>
          <w:highlight w:val="none"/>
        </w:rPr>
        <w:t xml:space="preserve"> </w:t>
      </w:r>
    </w:p>
    <w:p>
      <w:pPr>
        <w:pStyle w:val="9"/>
        <w:shd w:val="clear" w:color="auto" w:fill="auto"/>
        <w:spacing w:before="0" w:after="0" w:line="360" w:lineRule="exact"/>
        <w:rPr>
          <w:rFonts w:hint="eastAsia" w:ascii="宋体" w:hAnsi="宋体" w:eastAsia="宋体" w:cs="宋体"/>
          <w:color w:val="auto"/>
          <w:highlight w:val="none"/>
          <w:u w:val="none"/>
        </w:rPr>
      </w:pPr>
      <w:bookmarkStart w:id="476" w:name="_Toc24972"/>
      <w:bookmarkStart w:id="477" w:name="_Toc22818"/>
      <w:bookmarkStart w:id="478" w:name="_Toc3517"/>
      <w:bookmarkStart w:id="479" w:name="_Toc3628"/>
      <w:bookmarkStart w:id="480" w:name="_Toc23725"/>
      <w:bookmarkStart w:id="481" w:name="_Toc11998"/>
      <w:bookmarkStart w:id="482" w:name="_Toc28153"/>
      <w:bookmarkStart w:id="483" w:name="_Toc10657"/>
      <w:bookmarkStart w:id="484" w:name="_Toc515647786"/>
      <w:bookmarkStart w:id="485" w:name="_Toc30868"/>
      <w:bookmarkStart w:id="486" w:name="_Toc29649"/>
      <w:bookmarkStart w:id="487" w:name="_Toc3793"/>
      <w:bookmarkStart w:id="488" w:name="_Toc4156"/>
      <w:bookmarkStart w:id="489" w:name="_Toc7975"/>
      <w:bookmarkStart w:id="490" w:name="_Toc21697"/>
      <w:bookmarkStart w:id="491" w:name="_Toc26654"/>
      <w:bookmarkStart w:id="492" w:name="_Toc31289"/>
      <w:bookmarkStart w:id="493" w:name="_Toc21380"/>
      <w:bookmarkStart w:id="494" w:name="_Toc25259"/>
      <w:bookmarkStart w:id="495" w:name="_Toc520356169"/>
      <w:r>
        <w:rPr>
          <w:rFonts w:hint="eastAsia" w:ascii="宋体" w:hAnsi="宋体" w:eastAsia="宋体" w:cs="宋体"/>
          <w:color w:val="auto"/>
          <w:highlight w:val="none"/>
          <w:u w:val="none"/>
        </w:rPr>
        <w:t>25.保密原则</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pPr>
        <w:shd w:val="clear" w:color="auto" w:fill="auto"/>
        <w:spacing w:line="360" w:lineRule="exact"/>
        <w:ind w:hanging="540"/>
        <w:rPr>
          <w:rFonts w:hint="eastAsia" w:ascii="宋体" w:hAnsi="宋体" w:eastAsia="宋体" w:cs="宋体"/>
          <w:color w:val="auto"/>
          <w:sz w:val="24"/>
          <w:highlight w:val="none"/>
        </w:rPr>
      </w:pPr>
    </w:p>
    <w:p>
      <w:pPr>
        <w:pStyle w:val="7"/>
        <w:shd w:val="clear" w:color="auto" w:fill="auto"/>
        <w:spacing w:before="0" w:line="360" w:lineRule="exact"/>
        <w:ind w:hanging="540"/>
        <w:rPr>
          <w:rFonts w:hint="eastAsia" w:ascii="宋体" w:hAnsi="宋体" w:eastAsia="宋体" w:cs="宋体"/>
          <w:color w:val="auto"/>
          <w:highlight w:val="none"/>
        </w:rPr>
      </w:pPr>
      <w:bookmarkStart w:id="496" w:name="_Toc31410"/>
      <w:bookmarkStart w:id="497" w:name="_Toc216582810"/>
      <w:bookmarkStart w:id="498" w:name="_Toc19238"/>
      <w:bookmarkStart w:id="499" w:name="_Toc515647787"/>
      <w:bookmarkStart w:id="500" w:name="_Toc23996"/>
      <w:bookmarkStart w:id="501" w:name="_Toc12143"/>
      <w:bookmarkStart w:id="502" w:name="_Toc23904"/>
      <w:r>
        <w:rPr>
          <w:rFonts w:hint="eastAsia" w:ascii="宋体" w:hAnsi="宋体" w:eastAsia="宋体" w:cs="宋体"/>
          <w:color w:val="auto"/>
          <w:sz w:val="24"/>
          <w:highlight w:val="none"/>
        </w:rPr>
        <w:t xml:space="preserve">六   </w:t>
      </w:r>
      <w:bookmarkEnd w:id="495"/>
      <w:r>
        <w:rPr>
          <w:rFonts w:hint="eastAsia" w:ascii="宋体" w:hAnsi="宋体" w:eastAsia="宋体" w:cs="宋体"/>
          <w:color w:val="auto"/>
          <w:sz w:val="24"/>
          <w:highlight w:val="none"/>
        </w:rPr>
        <w:t>确定中标</w:t>
      </w:r>
      <w:bookmarkEnd w:id="496"/>
      <w:bookmarkEnd w:id="497"/>
      <w:bookmarkEnd w:id="498"/>
      <w:bookmarkEnd w:id="499"/>
      <w:bookmarkEnd w:id="500"/>
      <w:bookmarkEnd w:id="501"/>
      <w:bookmarkEnd w:id="502"/>
    </w:p>
    <w:p>
      <w:pPr>
        <w:pStyle w:val="9"/>
        <w:shd w:val="clear" w:color="auto" w:fill="auto"/>
        <w:spacing w:before="0" w:after="0" w:line="360" w:lineRule="exact"/>
        <w:rPr>
          <w:rFonts w:hint="eastAsia" w:ascii="宋体" w:hAnsi="宋体" w:eastAsia="宋体" w:cs="宋体"/>
          <w:color w:val="auto"/>
          <w:highlight w:val="none"/>
          <w:u w:val="none"/>
        </w:rPr>
      </w:pPr>
      <w:bookmarkStart w:id="503" w:name="_Toc23610"/>
      <w:bookmarkStart w:id="504" w:name="_Toc23617"/>
      <w:bookmarkStart w:id="505" w:name="_Toc25666"/>
      <w:bookmarkStart w:id="506" w:name="_Toc7180"/>
      <w:bookmarkStart w:id="507" w:name="_Toc24421"/>
      <w:bookmarkStart w:id="508" w:name="_Toc30510"/>
      <w:bookmarkStart w:id="509" w:name="_Toc515647788"/>
      <w:bookmarkStart w:id="510" w:name="_Toc21292"/>
      <w:bookmarkStart w:id="511" w:name="_Toc13936"/>
      <w:bookmarkStart w:id="512" w:name="_Toc13771"/>
      <w:bookmarkStart w:id="513" w:name="_Toc23762"/>
      <w:bookmarkStart w:id="514" w:name="_Toc520356170"/>
      <w:bookmarkStart w:id="515" w:name="_Toc31710"/>
      <w:bookmarkStart w:id="516" w:name="_Toc15691"/>
      <w:bookmarkStart w:id="517" w:name="_Toc26724"/>
      <w:bookmarkStart w:id="518" w:name="_Toc32546"/>
      <w:bookmarkStart w:id="519" w:name="_Toc20061"/>
      <w:bookmarkStart w:id="520" w:name="_Ref467307010"/>
      <w:bookmarkStart w:id="521" w:name="_Toc10036"/>
      <w:bookmarkStart w:id="522" w:name="_Toc24508"/>
      <w:r>
        <w:rPr>
          <w:rFonts w:hint="eastAsia" w:ascii="宋体" w:hAnsi="宋体" w:eastAsia="宋体" w:cs="宋体"/>
          <w:color w:val="auto"/>
          <w:highlight w:val="none"/>
          <w:u w:val="none"/>
        </w:rPr>
        <w:t>26.中标候选人的确定原则及标准</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shd w:val="clear" w:color="auto" w:fill="auto"/>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对实质上响应招标文件的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按下列方法进行排序，确定投标候选人：</w:t>
      </w:r>
    </w:p>
    <w:p>
      <w:pPr>
        <w:shd w:val="clear" w:color="auto" w:fill="auto"/>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的投标价格进行任何调整。评标结果按修正和扣除后的投标报价由低到高顺序排列。报价相同的处理方式详见招标文件第6章。</w:t>
      </w:r>
    </w:p>
    <w:p>
      <w:pPr>
        <w:shd w:val="clear" w:color="auto" w:fill="auto"/>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（2）采用综合评分法的，评标结果按评审后得分由高到低顺序排列。得分相同的，按修正和扣除后的投标报价由低到高顺序排列。得分与投标报价均相同的处理方式详见招标文件第6章。</w:t>
      </w:r>
    </w:p>
    <w:p>
      <w:pPr>
        <w:snapToGrid w:val="0"/>
        <w:spacing w:line="360" w:lineRule="exact"/>
        <w:ind w:firstLine="482" w:firstLineChars="2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本项目采用综合评分法，其中价格占2</w:t>
      </w:r>
      <w:r>
        <w:rPr>
          <w:rFonts w:hint="eastAsia" w:ascii="宋体" w:hAnsi="宋体" w:eastAsia="宋体" w:cs="宋体"/>
          <w:b/>
          <w:bCs/>
          <w:color w:val="auto"/>
          <w:sz w:val="24"/>
          <w:highlight w:val="none"/>
          <w:lang w:val="en-US"/>
        </w:rPr>
        <w:t>0</w:t>
      </w:r>
      <w:r>
        <w:rPr>
          <w:rFonts w:hint="eastAsia" w:ascii="宋体" w:hAnsi="宋体" w:eastAsia="宋体" w:cs="宋体"/>
          <w:b/>
          <w:bCs/>
          <w:color w:val="auto"/>
          <w:sz w:val="24"/>
          <w:highlight w:val="none"/>
        </w:rPr>
        <w:t>%，商务占</w:t>
      </w:r>
      <w:r>
        <w:rPr>
          <w:rFonts w:hint="eastAsia" w:ascii="宋体" w:hAnsi="宋体" w:cs="宋体"/>
          <w:b/>
          <w:bCs/>
          <w:color w:val="auto"/>
          <w:sz w:val="24"/>
          <w:highlight w:val="none"/>
          <w:lang w:val="en-US" w:eastAsia="zh-CN"/>
        </w:rPr>
        <w:t>37</w:t>
      </w:r>
      <w:r>
        <w:rPr>
          <w:rFonts w:hint="eastAsia" w:ascii="宋体" w:hAnsi="宋体" w:eastAsia="宋体" w:cs="宋体"/>
          <w:b/>
          <w:bCs/>
          <w:color w:val="auto"/>
          <w:sz w:val="24"/>
          <w:highlight w:val="none"/>
        </w:rPr>
        <w:t>%，技术占</w:t>
      </w:r>
      <w:r>
        <w:rPr>
          <w:rFonts w:hint="eastAsia" w:ascii="宋体" w:hAnsi="宋体" w:cs="宋体"/>
          <w:b/>
          <w:bCs/>
          <w:color w:val="auto"/>
          <w:sz w:val="24"/>
          <w:highlight w:val="none"/>
          <w:lang w:val="en-US" w:eastAsia="zh-CN"/>
        </w:rPr>
        <w:t>43</w:t>
      </w:r>
      <w:r>
        <w:rPr>
          <w:rFonts w:hint="eastAsia" w:ascii="宋体" w:hAnsi="宋体" w:eastAsia="宋体" w:cs="宋体"/>
          <w:b/>
          <w:bCs/>
          <w:color w:val="auto"/>
          <w:sz w:val="24"/>
          <w:highlight w:val="none"/>
        </w:rPr>
        <w:t>%。</w:t>
      </w:r>
    </w:p>
    <w:bookmarkEnd w:id="4"/>
    <w:bookmarkEnd w:id="5"/>
    <w:bookmarkEnd w:id="6"/>
    <w:bookmarkEnd w:id="7"/>
    <w:bookmarkEnd w:id="8"/>
    <w:bookmarkEnd w:id="377"/>
    <w:bookmarkEnd w:id="378"/>
    <w:p>
      <w:pPr>
        <w:pStyle w:val="9"/>
        <w:shd w:val="clear" w:color="auto" w:fill="auto"/>
        <w:tabs>
          <w:tab w:val="left" w:pos="900"/>
        </w:tabs>
        <w:snapToGrid w:val="0"/>
        <w:spacing w:before="0" w:after="0" w:line="360" w:lineRule="exact"/>
        <w:textAlignment w:val="baseline"/>
        <w:rPr>
          <w:rFonts w:hint="eastAsia" w:ascii="宋体" w:hAnsi="宋体" w:eastAsia="宋体" w:cs="宋体"/>
          <w:color w:val="auto"/>
          <w:highlight w:val="none"/>
          <w:lang w:val="en-US" w:eastAsia="zh-CN"/>
        </w:rPr>
      </w:pPr>
      <w:bookmarkStart w:id="523" w:name="_Toc9066"/>
      <w:bookmarkStart w:id="524" w:name="_Toc29819"/>
      <w:bookmarkStart w:id="525" w:name="_Toc21913"/>
      <w:bookmarkStart w:id="526" w:name="_Toc1644"/>
      <w:bookmarkStart w:id="527" w:name="_Toc24394"/>
      <w:bookmarkStart w:id="528" w:name="_Toc3720"/>
      <w:bookmarkStart w:id="529" w:name="_Toc17933"/>
      <w:bookmarkStart w:id="530" w:name="_Toc16846"/>
      <w:bookmarkStart w:id="531" w:name="_Toc2514"/>
      <w:bookmarkStart w:id="532" w:name="_Toc14558"/>
      <w:bookmarkStart w:id="533" w:name="_Toc24948"/>
      <w:bookmarkStart w:id="534" w:name="_Toc17164"/>
      <w:bookmarkStart w:id="535" w:name="_Toc15218"/>
      <w:bookmarkStart w:id="536" w:name="_Toc7089"/>
      <w:bookmarkStart w:id="537" w:name="_Toc3328"/>
      <w:bookmarkStart w:id="538" w:name="_Toc20334"/>
      <w:bookmarkStart w:id="539" w:name="_Toc20245"/>
      <w:bookmarkStart w:id="540" w:name="_Toc25141"/>
      <w:r>
        <w:rPr>
          <w:rFonts w:hint="eastAsia" w:ascii="宋体" w:hAnsi="宋体" w:eastAsia="宋体" w:cs="宋体"/>
          <w:b/>
          <w:color w:val="auto"/>
          <w:highlight w:val="none"/>
          <w:u w:color="000000"/>
        </w:rPr>
        <w:t>27.确定</w:t>
      </w:r>
      <w:r>
        <w:rPr>
          <w:rFonts w:hint="eastAsia" w:ascii="宋体" w:hAnsi="宋体" w:eastAsia="宋体" w:cs="宋体"/>
          <w:b/>
          <w:color w:val="auto"/>
          <w:highlight w:val="none"/>
          <w:u w:color="000000"/>
          <w:lang w:val="en-US" w:eastAsia="zh-CN"/>
        </w:rPr>
        <w:t>中标</w:t>
      </w:r>
      <w:r>
        <w:rPr>
          <w:rFonts w:hint="eastAsia" w:ascii="宋体" w:hAnsi="宋体" w:eastAsia="宋体" w:cs="宋体"/>
          <w:b/>
          <w:color w:val="auto"/>
          <w:highlight w:val="none"/>
          <w:u w:color="000000"/>
        </w:rPr>
        <w:t>候选人和</w:t>
      </w:r>
      <w:bookmarkEnd w:id="523"/>
      <w:bookmarkEnd w:id="524"/>
      <w:bookmarkEnd w:id="525"/>
      <w:bookmarkEnd w:id="526"/>
      <w:bookmarkEnd w:id="527"/>
      <w:bookmarkEnd w:id="528"/>
      <w:bookmarkEnd w:id="529"/>
      <w:bookmarkEnd w:id="530"/>
      <w:bookmarkEnd w:id="531"/>
      <w:bookmarkEnd w:id="532"/>
      <w:bookmarkEnd w:id="533"/>
      <w:bookmarkEnd w:id="534"/>
      <w:r>
        <w:rPr>
          <w:rFonts w:hint="eastAsia" w:ascii="宋体" w:hAnsi="宋体" w:eastAsia="宋体" w:cs="宋体"/>
          <w:b/>
          <w:color w:val="auto"/>
          <w:highlight w:val="none"/>
          <w:u w:color="000000"/>
          <w:lang w:val="en-US" w:eastAsia="zh-CN"/>
        </w:rPr>
        <w:t>中标人</w:t>
      </w:r>
      <w:bookmarkEnd w:id="535"/>
      <w:bookmarkEnd w:id="536"/>
      <w:bookmarkEnd w:id="537"/>
      <w:bookmarkEnd w:id="538"/>
      <w:bookmarkEnd w:id="539"/>
      <w:bookmarkEnd w:id="540"/>
    </w:p>
    <w:p>
      <w:pPr>
        <w:pStyle w:val="9"/>
        <w:shd w:val="clear" w:color="auto" w:fill="auto"/>
        <w:tabs>
          <w:tab w:val="left" w:pos="900"/>
        </w:tabs>
        <w:spacing w:before="0" w:after="0" w:line="360" w:lineRule="exact"/>
        <w:rPr>
          <w:rFonts w:hint="eastAsia" w:ascii="宋体" w:hAnsi="宋体" w:eastAsia="宋体" w:cs="宋体"/>
          <w:color w:val="auto"/>
          <w:highlight w:val="none"/>
          <w:u w:val="none"/>
        </w:rPr>
      </w:pPr>
      <w:bookmarkStart w:id="541" w:name="_Toc20691"/>
      <w:bookmarkStart w:id="542" w:name="_Toc7864"/>
      <w:bookmarkStart w:id="543" w:name="_Toc24945"/>
      <w:bookmarkStart w:id="544" w:name="_Toc15739"/>
      <w:bookmarkStart w:id="545" w:name="_Toc20688"/>
      <w:bookmarkStart w:id="546" w:name="_Toc24480"/>
      <w:bookmarkStart w:id="547" w:name="_Toc23951"/>
      <w:bookmarkStart w:id="548" w:name="_Toc31025"/>
      <w:bookmarkStart w:id="549" w:name="_Toc460"/>
      <w:bookmarkStart w:id="550" w:name="_Toc18497"/>
      <w:bookmarkStart w:id="551" w:name="_Toc837"/>
      <w:bookmarkStart w:id="552" w:name="_Toc6310"/>
      <w:bookmarkStart w:id="553" w:name="_Toc29111"/>
      <w:bookmarkStart w:id="554" w:name="_Toc30072"/>
      <w:bookmarkStart w:id="555" w:name="_Toc18361"/>
      <w:bookmarkStart w:id="556" w:name="_Toc31800"/>
      <w:bookmarkStart w:id="557" w:name="_Toc9653"/>
      <w:bookmarkStart w:id="558" w:name="_Toc10700"/>
      <w:r>
        <w:rPr>
          <w:rFonts w:hint="eastAsia" w:ascii="宋体" w:hAnsi="宋体" w:eastAsia="宋体" w:cs="宋体"/>
          <w:color w:val="auto"/>
          <w:highlight w:val="none"/>
          <w:u w:val="none"/>
        </w:rPr>
        <w:t>27.确定中标候选人和中标人</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pPr>
        <w:shd w:val="clear" w:color="auto" w:fill="auto"/>
        <w:spacing w:line="360" w:lineRule="exact"/>
        <w:ind w:left="479" w:leftChars="228" w:firstLine="60" w:firstLine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须知资料表中</w:t>
      </w:r>
      <w:r>
        <w:rPr>
          <w:rFonts w:hint="eastAsia" w:ascii="宋体" w:hAnsi="宋体" w:eastAsia="宋体" w:cs="宋体"/>
          <w:color w:val="auto"/>
          <w:sz w:val="24"/>
          <w:highlight w:val="none"/>
        </w:rPr>
        <w:t>规定数量推荐中标候选人；或根据采购人的委托，直接确定中标人。</w:t>
      </w:r>
    </w:p>
    <w:p>
      <w:pPr>
        <w:pStyle w:val="9"/>
        <w:shd w:val="clear" w:color="auto" w:fill="auto"/>
        <w:tabs>
          <w:tab w:val="left" w:pos="900"/>
        </w:tabs>
        <w:spacing w:before="0" w:after="0" w:line="360" w:lineRule="exact"/>
        <w:rPr>
          <w:rFonts w:hint="eastAsia" w:ascii="宋体" w:hAnsi="宋体" w:eastAsia="宋体" w:cs="宋体"/>
          <w:color w:val="auto"/>
          <w:highlight w:val="none"/>
          <w:u w:val="none"/>
        </w:rPr>
      </w:pPr>
      <w:bookmarkStart w:id="559" w:name="_Ref467306874"/>
      <w:bookmarkStart w:id="560" w:name="_Toc520356173"/>
      <w:bookmarkStart w:id="561" w:name="_Toc20001"/>
      <w:bookmarkStart w:id="562" w:name="_Toc18923"/>
      <w:bookmarkStart w:id="563" w:name="_Toc20705"/>
      <w:bookmarkStart w:id="564" w:name="_Toc10897"/>
      <w:bookmarkStart w:id="565" w:name="_Toc31043"/>
      <w:bookmarkStart w:id="566" w:name="_Toc29436"/>
      <w:bookmarkStart w:id="567" w:name="_Toc1015"/>
      <w:bookmarkStart w:id="568" w:name="_Toc28562"/>
      <w:bookmarkStart w:id="569" w:name="_Toc31925"/>
      <w:bookmarkStart w:id="570" w:name="_Toc28513"/>
      <w:bookmarkStart w:id="571" w:name="_Toc515647790"/>
      <w:bookmarkStart w:id="572" w:name="_Toc8389"/>
      <w:bookmarkStart w:id="573" w:name="_Toc20151"/>
      <w:bookmarkStart w:id="574" w:name="_Toc32455"/>
      <w:bookmarkStart w:id="575" w:name="_Toc7156"/>
      <w:bookmarkStart w:id="576" w:name="_Toc9887"/>
      <w:bookmarkStart w:id="577" w:name="_Toc7652"/>
      <w:bookmarkStart w:id="578" w:name="_Toc4516"/>
      <w:bookmarkStart w:id="579" w:name="_Toc26328"/>
      <w:r>
        <w:rPr>
          <w:rFonts w:hint="eastAsia" w:ascii="宋体" w:hAnsi="宋体" w:eastAsia="宋体" w:cs="宋体"/>
          <w:color w:val="auto"/>
          <w:highlight w:val="none"/>
          <w:u w:val="none"/>
        </w:rPr>
        <w:t>28.</w:t>
      </w:r>
      <w:bookmarkEnd w:id="559"/>
      <w:bookmarkEnd w:id="560"/>
      <w:r>
        <w:rPr>
          <w:rFonts w:hint="eastAsia" w:ascii="宋体" w:hAnsi="宋体" w:eastAsia="宋体" w:cs="宋体"/>
          <w:color w:val="auto"/>
          <w:highlight w:val="none"/>
          <w:u w:val="none"/>
        </w:rPr>
        <w:t>采购任务取消</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中标，且对受影响的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不承担任何责任。</w:t>
      </w:r>
      <w:bookmarkStart w:id="580" w:name="_Toc520356174"/>
    </w:p>
    <w:p>
      <w:pPr>
        <w:pStyle w:val="9"/>
        <w:shd w:val="clear" w:color="auto" w:fill="auto"/>
        <w:spacing w:before="0" w:after="0" w:line="360" w:lineRule="exact"/>
        <w:rPr>
          <w:rFonts w:hint="eastAsia" w:ascii="宋体" w:hAnsi="宋体" w:eastAsia="宋体" w:cs="宋体"/>
          <w:color w:val="auto"/>
          <w:highlight w:val="none"/>
          <w:u w:val="none"/>
        </w:rPr>
      </w:pPr>
      <w:bookmarkStart w:id="581" w:name="_Toc30931"/>
      <w:bookmarkStart w:id="582" w:name="_Toc23433"/>
      <w:bookmarkStart w:id="583" w:name="_Toc5348"/>
      <w:bookmarkStart w:id="584" w:name="_Toc24285"/>
      <w:bookmarkStart w:id="585" w:name="_Toc21042"/>
      <w:bookmarkStart w:id="586" w:name="_Toc20430"/>
      <w:bookmarkStart w:id="587" w:name="_Toc28285"/>
      <w:bookmarkStart w:id="588" w:name="_Toc31099"/>
      <w:bookmarkStart w:id="589" w:name="_Toc30149"/>
      <w:bookmarkStart w:id="590" w:name="_Toc26207"/>
      <w:bookmarkStart w:id="591" w:name="_Toc25232"/>
      <w:bookmarkStart w:id="592" w:name="_Toc17600"/>
      <w:bookmarkStart w:id="593" w:name="_Toc32101"/>
      <w:bookmarkStart w:id="594" w:name="_Toc8834"/>
      <w:bookmarkStart w:id="595" w:name="_Toc22313"/>
      <w:bookmarkStart w:id="596" w:name="_Toc27996"/>
      <w:bookmarkStart w:id="597" w:name="_Toc21583"/>
      <w:bookmarkStart w:id="598" w:name="_Toc30170"/>
      <w:bookmarkStart w:id="599" w:name="_Toc515647791"/>
      <w:r>
        <w:rPr>
          <w:rFonts w:hint="eastAsia" w:ascii="宋体" w:hAnsi="宋体" w:eastAsia="宋体" w:cs="宋体"/>
          <w:color w:val="auto"/>
          <w:highlight w:val="none"/>
          <w:u w:val="none"/>
        </w:rPr>
        <w:t>29.中标通知书</w:t>
      </w:r>
      <w:bookmarkEnd w:id="580"/>
      <w:r>
        <w:rPr>
          <w:rFonts w:hint="eastAsia" w:ascii="宋体" w:hAnsi="宋体" w:eastAsia="宋体" w:cs="宋体"/>
          <w:color w:val="auto"/>
          <w:highlight w:val="none"/>
          <w:u w:val="none"/>
        </w:rPr>
        <w:t>和招标结果通知书</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未通过的原因；采用综合评分法评审的，还将告知未中标人本人的评审得分和排序。</w:t>
      </w:r>
    </w:p>
    <w:p>
      <w:pPr>
        <w:pStyle w:val="9"/>
        <w:shd w:val="clear" w:color="auto" w:fill="auto"/>
        <w:spacing w:before="0" w:after="0" w:line="360" w:lineRule="exact"/>
        <w:rPr>
          <w:rFonts w:hint="eastAsia" w:ascii="宋体" w:hAnsi="宋体" w:eastAsia="宋体" w:cs="宋体"/>
          <w:color w:val="auto"/>
          <w:highlight w:val="none"/>
          <w:u w:val="none"/>
        </w:rPr>
      </w:pPr>
      <w:bookmarkStart w:id="600" w:name="_Toc4521"/>
      <w:bookmarkStart w:id="601" w:name="_Toc8845"/>
      <w:bookmarkStart w:id="602" w:name="_Ref467307204"/>
      <w:bookmarkStart w:id="603" w:name="_Toc520356175"/>
      <w:bookmarkStart w:id="604" w:name="_Toc31017"/>
      <w:bookmarkStart w:id="605" w:name="_Toc30300"/>
      <w:bookmarkStart w:id="606" w:name="_Toc14551"/>
      <w:bookmarkStart w:id="607" w:name="_Toc32182"/>
      <w:bookmarkStart w:id="608" w:name="_Toc24666"/>
      <w:bookmarkStart w:id="609" w:name="_Ref467306978"/>
      <w:bookmarkStart w:id="610" w:name="_Toc32051"/>
      <w:bookmarkStart w:id="611" w:name="_Toc9171"/>
      <w:bookmarkStart w:id="612" w:name="_Toc14106"/>
      <w:bookmarkStart w:id="613" w:name="_Toc24203"/>
      <w:bookmarkStart w:id="614" w:name="_Toc25945"/>
      <w:bookmarkStart w:id="615" w:name="_Toc790"/>
      <w:bookmarkStart w:id="616" w:name="_Toc515647792"/>
      <w:bookmarkStart w:id="617" w:name="_Ref467307062"/>
      <w:bookmarkStart w:id="618" w:name="_Toc7779"/>
      <w:bookmarkStart w:id="619" w:name="_Toc2746"/>
      <w:bookmarkStart w:id="620" w:name="_Ref467306377"/>
      <w:bookmarkStart w:id="621" w:name="_Toc25212"/>
      <w:bookmarkStart w:id="622" w:name="_Toc29299"/>
      <w:bookmarkStart w:id="623" w:name="_Toc15018"/>
      <w:r>
        <w:rPr>
          <w:rFonts w:hint="eastAsia" w:ascii="宋体" w:hAnsi="宋体" w:eastAsia="宋体" w:cs="宋体"/>
          <w:color w:val="auto"/>
          <w:highlight w:val="none"/>
          <w:u w:val="none"/>
        </w:rPr>
        <w:t>30.签订合同</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中标人应当自发出中标通知书之日起30日内，与采购人签订合同。</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624" w:name="_Ref467306425"/>
      <w:bookmarkStart w:id="625" w:name="_Ref467307090"/>
      <w:bookmarkStart w:id="626" w:name="_Toc520356176"/>
      <w:r>
        <w:rPr>
          <w:rFonts w:hint="eastAsia" w:ascii="宋体" w:hAnsi="宋体" w:eastAsia="宋体" w:cs="宋体"/>
          <w:color w:val="auto"/>
          <w:sz w:val="24"/>
          <w:highlight w:val="none"/>
        </w:rPr>
        <w:t>招标文件、中标人的投标文件及其澄清文件等，均为签订合同的依据。</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30.3   中标人拒绝与采购人签订合同的，采购人可以按照评审报告推荐的中标候选人名单排序，确定下一中标候选人为中标人，也可以重新开展政府采购活动。</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30.4   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pPr>
        <w:pStyle w:val="9"/>
        <w:shd w:val="clear" w:color="auto" w:fill="auto"/>
        <w:spacing w:before="0" w:after="0" w:line="360" w:lineRule="exact"/>
        <w:rPr>
          <w:rFonts w:hint="eastAsia" w:ascii="宋体" w:hAnsi="宋体" w:eastAsia="宋体" w:cs="宋体"/>
          <w:color w:val="auto"/>
          <w:highlight w:val="none"/>
          <w:u w:val="none"/>
        </w:rPr>
      </w:pPr>
      <w:bookmarkStart w:id="627" w:name="_Toc30544"/>
      <w:bookmarkStart w:id="628" w:name="_Toc32557"/>
      <w:bookmarkStart w:id="629" w:name="_Toc13370"/>
      <w:bookmarkStart w:id="630" w:name="_Toc1314"/>
      <w:bookmarkStart w:id="631" w:name="_Toc14080"/>
      <w:bookmarkStart w:id="632" w:name="_Toc4766"/>
      <w:bookmarkStart w:id="633" w:name="_Toc28451"/>
      <w:bookmarkStart w:id="634" w:name="_Toc22724"/>
      <w:bookmarkStart w:id="635" w:name="_Toc4849"/>
      <w:bookmarkStart w:id="636" w:name="_Toc29524"/>
      <w:bookmarkStart w:id="637" w:name="_Toc12165"/>
      <w:bookmarkStart w:id="638" w:name="_Toc16165"/>
      <w:bookmarkStart w:id="639" w:name="_Toc10991"/>
      <w:bookmarkStart w:id="640" w:name="_Toc515647793"/>
      <w:bookmarkStart w:id="641" w:name="_Toc11467"/>
      <w:bookmarkStart w:id="642" w:name="_Toc28788"/>
      <w:bookmarkStart w:id="643" w:name="_Toc23929"/>
      <w:bookmarkStart w:id="644" w:name="_Toc22555"/>
      <w:bookmarkStart w:id="645" w:name="_Toc8189"/>
      <w:r>
        <w:rPr>
          <w:rFonts w:hint="eastAsia" w:ascii="宋体" w:hAnsi="宋体" w:eastAsia="宋体" w:cs="宋体"/>
          <w:color w:val="auto"/>
          <w:highlight w:val="none"/>
          <w:u w:val="none"/>
        </w:rPr>
        <w:t>31.履约保证金</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规定向采购人缴纳履约保证金（如采用保函形式，格式见本章附件1）。</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政府采购利用担保试点范围内的项目，除31.1规定的情形外，中标人也可以按照财政部门的规定，向采购人提供合格的履约担保函（格式见本章附件2）。</w:t>
      </w:r>
    </w:p>
    <w:p>
      <w:pPr>
        <w:pStyle w:val="9"/>
        <w:shd w:val="clear" w:color="auto" w:fill="auto"/>
        <w:spacing w:before="0" w:after="0" w:line="360" w:lineRule="exact"/>
        <w:rPr>
          <w:rFonts w:hint="eastAsia" w:ascii="宋体" w:hAnsi="宋体" w:eastAsia="宋体" w:cs="宋体"/>
          <w:color w:val="auto"/>
          <w:highlight w:val="none"/>
          <w:u w:val="none"/>
        </w:rPr>
      </w:pPr>
      <w:bookmarkStart w:id="646" w:name="_Toc9967"/>
      <w:bookmarkStart w:id="647" w:name="_Toc21835"/>
      <w:bookmarkStart w:id="648" w:name="_Toc8630"/>
      <w:bookmarkStart w:id="649" w:name="_Toc14892"/>
      <w:bookmarkStart w:id="650" w:name="_Toc3935"/>
      <w:bookmarkStart w:id="651" w:name="_Toc32604"/>
      <w:bookmarkStart w:id="652" w:name="_Toc29408"/>
      <w:bookmarkStart w:id="653" w:name="_Toc25487"/>
      <w:bookmarkStart w:id="654" w:name="_Toc515647794"/>
      <w:bookmarkStart w:id="655" w:name="_Toc6216"/>
      <w:bookmarkStart w:id="656" w:name="_Toc21246"/>
      <w:bookmarkStart w:id="657" w:name="_Toc4044"/>
      <w:bookmarkStart w:id="658" w:name="_Toc14673"/>
      <w:bookmarkStart w:id="659" w:name="_Toc3090"/>
      <w:bookmarkStart w:id="660" w:name="_Toc21406"/>
      <w:bookmarkStart w:id="661" w:name="_Toc11529"/>
      <w:bookmarkStart w:id="662" w:name="_Toc10985"/>
      <w:bookmarkStart w:id="663" w:name="_Toc26497"/>
      <w:bookmarkStart w:id="664" w:name="_Toc16406"/>
      <w:r>
        <w:rPr>
          <w:rFonts w:hint="eastAsia" w:ascii="宋体" w:hAnsi="宋体" w:eastAsia="宋体" w:cs="宋体"/>
          <w:color w:val="auto"/>
          <w:highlight w:val="none"/>
          <w:u w:val="none"/>
        </w:rPr>
        <w:t>32.中标服务费</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pPr>
        <w:shd w:val="clear" w:color="auto" w:fill="auto"/>
        <w:spacing w:line="360" w:lineRule="exact"/>
        <w:ind w:left="420"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pPr>
        <w:pStyle w:val="9"/>
        <w:shd w:val="clear" w:color="auto" w:fill="auto"/>
        <w:spacing w:before="0" w:after="0" w:line="360" w:lineRule="exact"/>
        <w:rPr>
          <w:rFonts w:hint="eastAsia" w:ascii="宋体" w:hAnsi="宋体" w:eastAsia="宋体" w:cs="宋体"/>
          <w:color w:val="auto"/>
          <w:highlight w:val="none"/>
          <w:u w:val="none"/>
        </w:rPr>
      </w:pPr>
      <w:bookmarkStart w:id="665" w:name="_Toc24525"/>
      <w:bookmarkStart w:id="666" w:name="_Toc16900"/>
      <w:bookmarkStart w:id="667" w:name="_Toc3846"/>
      <w:bookmarkStart w:id="668" w:name="_Toc9382"/>
      <w:bookmarkStart w:id="669" w:name="_Toc24977"/>
      <w:bookmarkStart w:id="670" w:name="_Toc7188"/>
      <w:bookmarkStart w:id="671" w:name="_Toc8382"/>
      <w:bookmarkStart w:id="672" w:name="_Toc7049"/>
      <w:bookmarkStart w:id="673" w:name="_Toc26874"/>
      <w:bookmarkStart w:id="674" w:name="_Toc16176"/>
      <w:bookmarkStart w:id="675" w:name="_Toc3053"/>
      <w:bookmarkStart w:id="676" w:name="_Toc23330"/>
      <w:bookmarkStart w:id="677" w:name="_Toc515647795"/>
      <w:bookmarkStart w:id="678" w:name="_Toc18561"/>
      <w:bookmarkStart w:id="679" w:name="_Toc14110"/>
      <w:bookmarkStart w:id="680" w:name="_Toc6923"/>
      <w:bookmarkStart w:id="681" w:name="_Toc30735"/>
      <w:bookmarkStart w:id="682" w:name="_Toc23921"/>
      <w:bookmarkStart w:id="683" w:name="_Toc4947"/>
      <w:r>
        <w:rPr>
          <w:rFonts w:hint="eastAsia" w:ascii="宋体" w:hAnsi="宋体" w:eastAsia="宋体" w:cs="宋体"/>
          <w:color w:val="auto"/>
          <w:highlight w:val="none"/>
          <w:u w:val="none"/>
        </w:rPr>
        <w:t>33.政府采购信用担保</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33.1   本项目是否属于信用担保试点范围见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850" w:hanging="849" w:hangingChars="354"/>
        <w:rPr>
          <w:rFonts w:hint="eastAsia" w:ascii="宋体" w:hAnsi="宋体" w:eastAsia="宋体" w:cs="宋体"/>
          <w:color w:val="auto"/>
          <w:sz w:val="24"/>
          <w:highlight w:val="none"/>
        </w:rPr>
      </w:pPr>
      <w:r>
        <w:rPr>
          <w:rFonts w:hint="eastAsia" w:ascii="宋体" w:hAnsi="宋体" w:eastAsia="宋体" w:cs="宋体"/>
          <w:color w:val="auto"/>
          <w:sz w:val="24"/>
          <w:highlight w:val="none"/>
        </w:rPr>
        <w:t>33.2   如属于政府采购信用担保试点范围内，中小型企业</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可以自由按照财政部门的规定，采用投标担保、履约担保和融资担保。</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33.2.1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递交的投标担保函和履约担保函应符合本招标文件的规定。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33.2.2 中标人可以采取融资担保的形式为政府采购项目履约进行融资。</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33.2.3 合格的政府采购专业信用担保机构名单见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Style w:val="9"/>
        <w:shd w:val="clear" w:color="auto" w:fill="auto"/>
        <w:spacing w:before="0" w:after="0" w:line="360" w:lineRule="exact"/>
        <w:rPr>
          <w:rFonts w:hint="eastAsia" w:ascii="宋体" w:hAnsi="宋体" w:eastAsia="宋体" w:cs="宋体"/>
          <w:color w:val="auto"/>
          <w:highlight w:val="none"/>
          <w:u w:val="none"/>
        </w:rPr>
      </w:pPr>
      <w:bookmarkStart w:id="684" w:name="_Toc30431"/>
      <w:bookmarkStart w:id="685" w:name="_Toc13671"/>
      <w:bookmarkStart w:id="686" w:name="_Toc16267"/>
      <w:bookmarkStart w:id="687" w:name="_Toc23161"/>
      <w:bookmarkStart w:id="688" w:name="_Toc27009"/>
      <w:bookmarkStart w:id="689" w:name="_Toc22190"/>
      <w:bookmarkStart w:id="690" w:name="_Toc15703"/>
      <w:bookmarkStart w:id="691" w:name="_Toc31178"/>
      <w:bookmarkStart w:id="692" w:name="_Toc24020"/>
      <w:bookmarkStart w:id="693" w:name="_Toc515647796"/>
      <w:bookmarkStart w:id="694" w:name="_Toc29108"/>
      <w:bookmarkStart w:id="695" w:name="_Toc19776"/>
      <w:bookmarkStart w:id="696" w:name="_Toc3551"/>
      <w:bookmarkStart w:id="697" w:name="_Toc19328"/>
      <w:bookmarkStart w:id="698" w:name="_Toc4580"/>
      <w:bookmarkStart w:id="699" w:name="_Toc23999"/>
      <w:bookmarkStart w:id="700" w:name="_Toc3656"/>
      <w:bookmarkStart w:id="701" w:name="_Toc2133"/>
      <w:bookmarkStart w:id="702" w:name="_Toc24308"/>
      <w:r>
        <w:rPr>
          <w:rFonts w:hint="eastAsia" w:ascii="宋体" w:hAnsi="宋体" w:eastAsia="宋体" w:cs="宋体"/>
          <w:color w:val="auto"/>
          <w:highlight w:val="none"/>
          <w:u w:val="none"/>
        </w:rPr>
        <w:t>34.廉洁自律规定</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34.1   采购代理机构工作人员不得以不正当手段获取政府采购代理业务，不得与采购人、供应商恶意串通操纵政府采购活动。</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34.2   采购代理机构工作人员不得接受采购人或者供应商组织的宴请、旅游、娱乐，不得收受礼品、现金、有价证券等，不得向采购人或者供应商报销应当由个人承担的费用。</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34.3   为强化采购代理机构内部监督机制，供应商可按</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须知资料表中的</w:t>
      </w:r>
      <w:r>
        <w:rPr>
          <w:rFonts w:hint="eastAsia" w:ascii="宋体" w:hAnsi="宋体" w:eastAsia="宋体" w:cs="宋体"/>
          <w:color w:val="auto"/>
          <w:sz w:val="24"/>
          <w:highlight w:val="none"/>
        </w:rPr>
        <w:t>监督电话和邮箱，反映采购代理机构的廉洁自律等问题。</w:t>
      </w:r>
    </w:p>
    <w:p>
      <w:pPr>
        <w:pStyle w:val="9"/>
        <w:shd w:val="clear" w:color="auto" w:fill="auto"/>
        <w:spacing w:before="0" w:after="0" w:line="360" w:lineRule="exact"/>
        <w:rPr>
          <w:rFonts w:hint="eastAsia" w:ascii="宋体" w:hAnsi="宋体" w:eastAsia="宋体" w:cs="宋体"/>
          <w:color w:val="auto"/>
          <w:highlight w:val="none"/>
          <w:u w:val="none"/>
        </w:rPr>
      </w:pPr>
      <w:bookmarkStart w:id="703" w:name="_Toc17079"/>
      <w:bookmarkStart w:id="704" w:name="_Toc2538"/>
      <w:bookmarkStart w:id="705" w:name="_Toc17829"/>
      <w:bookmarkStart w:id="706" w:name="_Toc20767"/>
      <w:bookmarkStart w:id="707" w:name="_Toc5448"/>
      <w:bookmarkStart w:id="708" w:name="_Toc515647797"/>
      <w:bookmarkStart w:id="709" w:name="_Toc25480"/>
      <w:bookmarkStart w:id="710" w:name="_Toc5069"/>
      <w:bookmarkStart w:id="711" w:name="_Toc23276"/>
      <w:bookmarkStart w:id="712" w:name="_Toc26147"/>
      <w:bookmarkStart w:id="713" w:name="_Toc4645"/>
      <w:bookmarkStart w:id="714" w:name="_Toc3587"/>
      <w:bookmarkStart w:id="715" w:name="_Toc13633"/>
      <w:bookmarkStart w:id="716" w:name="_Toc11586"/>
      <w:bookmarkStart w:id="717" w:name="_Toc30009"/>
      <w:bookmarkStart w:id="718" w:name="_Toc3661"/>
      <w:bookmarkStart w:id="719" w:name="_Toc5765"/>
      <w:bookmarkStart w:id="720" w:name="_Toc29018"/>
      <w:bookmarkStart w:id="721" w:name="_Toc28697"/>
      <w:r>
        <w:rPr>
          <w:rFonts w:hint="eastAsia" w:ascii="宋体" w:hAnsi="宋体" w:eastAsia="宋体" w:cs="宋体"/>
          <w:color w:val="auto"/>
          <w:highlight w:val="none"/>
          <w:u w:val="none"/>
        </w:rPr>
        <w:t>35.人员回避</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认为采购人员及其相关人员有法律法规所列与其他供应商有利害关系的，可以向采购人或采购代理机构书面提出回避申请，并说明理由。</w:t>
      </w:r>
    </w:p>
    <w:p>
      <w:pPr>
        <w:pStyle w:val="9"/>
        <w:shd w:val="clear" w:color="auto" w:fill="auto"/>
        <w:spacing w:before="0" w:after="0" w:line="360" w:lineRule="exact"/>
        <w:rPr>
          <w:rFonts w:hint="eastAsia" w:ascii="宋体" w:hAnsi="宋体" w:eastAsia="宋体" w:cs="宋体"/>
          <w:color w:val="auto"/>
          <w:highlight w:val="none"/>
          <w:u w:val="none"/>
        </w:rPr>
      </w:pPr>
      <w:bookmarkStart w:id="722" w:name="_Toc31362"/>
      <w:bookmarkStart w:id="723" w:name="_Toc29186"/>
      <w:bookmarkStart w:id="724" w:name="_Toc11728"/>
      <w:bookmarkStart w:id="725" w:name="_Toc30943"/>
      <w:bookmarkStart w:id="726" w:name="_Toc6387"/>
      <w:bookmarkStart w:id="727" w:name="_Toc9305"/>
      <w:bookmarkStart w:id="728" w:name="_Toc13988"/>
      <w:bookmarkStart w:id="729" w:name="_Toc7227"/>
      <w:bookmarkStart w:id="730" w:name="_Toc10066"/>
      <w:bookmarkStart w:id="731" w:name="_Toc7870"/>
      <w:bookmarkStart w:id="732" w:name="_Toc1640"/>
      <w:bookmarkStart w:id="733" w:name="_Toc19513"/>
      <w:bookmarkStart w:id="734" w:name="_Toc15979"/>
      <w:bookmarkStart w:id="735" w:name="_Toc7230"/>
      <w:bookmarkStart w:id="736" w:name="_Toc12880"/>
      <w:bookmarkStart w:id="737" w:name="_Toc21536"/>
      <w:r>
        <w:rPr>
          <w:rFonts w:hint="eastAsia" w:ascii="宋体" w:hAnsi="宋体" w:eastAsia="宋体" w:cs="宋体"/>
          <w:color w:val="auto"/>
          <w:highlight w:val="none"/>
          <w:u w:val="none"/>
        </w:rPr>
        <w:t>36.</w:t>
      </w:r>
      <w:bookmarkEnd w:id="722"/>
      <w:r>
        <w:rPr>
          <w:rFonts w:hint="eastAsia" w:ascii="宋体" w:hAnsi="宋体" w:eastAsia="宋体" w:cs="宋体"/>
          <w:color w:val="auto"/>
          <w:highlight w:val="none"/>
          <w:u w:val="none"/>
        </w:rPr>
        <w:t>质疑与接收</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pPr>
        <w:shd w:val="clear" w:color="auto" w:fill="auto"/>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5"/>
        <w:shd w:val="clear" w:color="auto" w:fill="auto"/>
        <w:spacing w:line="360" w:lineRule="exact"/>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5"/>
        <w:shd w:val="clear" w:color="auto" w:fill="auto"/>
        <w:spacing w:line="360" w:lineRule="exact"/>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shd w:val="clear" w:color="auto" w:fill="auto"/>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shd w:val="clear" w:color="auto" w:fill="auto"/>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36.5  采购代理机构质疑函接收部门、联系电话和通讯地址, 见</w:t>
      </w:r>
      <w:r>
        <w:rPr>
          <w:rFonts w:hint="eastAsia" w:ascii="宋体" w:hAnsi="宋体" w:eastAsia="宋体" w:cs="宋体"/>
          <w:color w:val="auto"/>
          <w:sz w:val="24"/>
          <w:highlight w:val="none"/>
          <w:u w:val="single"/>
        </w:rPr>
        <w:t>供应商须知资料表。</w:t>
      </w:r>
    </w:p>
    <w:p>
      <w:pPr>
        <w:shd w:val="clear" w:color="auto" w:fill="auto"/>
        <w:spacing w:line="360" w:lineRule="exact"/>
        <w:ind w:left="720" w:hanging="720" w:hanging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shd w:val="clear" w:color="auto" w:fill="auto"/>
        <w:spacing w:line="360" w:lineRule="exac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pPr>
        <w:shd w:val="clear" w:color="auto" w:fill="auto"/>
        <w:spacing w:line="360" w:lineRule="exac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pPr>
        <w:shd w:val="clear" w:color="auto" w:fill="auto"/>
        <w:spacing w:line="360" w:lineRule="exac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36.7   供应商有权提出一次质疑，不能多次提出。</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36.9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36.10  提出质疑应当符合下列条件：</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pPr>
        <w:shd w:val="clear" w:color="auto" w:fill="auto"/>
        <w:spacing w:line="360" w:lineRule="exact"/>
        <w:ind w:left="1199" w:leftChars="228" w:hanging="720" w:hanging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（四）政府采购法律、法规、规章规定的其他条件。</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36.12  质疑人所提供的证明材料应当具有真实性、合法性以及与质疑事项的关联性和证明力，否则不能作为认定该质疑事项成立的依据。</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36.13 质疑人提出质疑时应当提交质疑函。质疑函包括下列内容：</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质疑函采用实名制。质疑人为自然人的应当由本人签字，并附有效身份证明文件；质疑人为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组织的应当由法定代表人或者负责人签字并加盖公章，并附有效身份证明文件。</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36.14  质疑人可以委托代理人进行质疑。代理人应当提交授权委托书。授权委托书应当载明委托代理的具体权限、期限和相关事项。</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36.15  质疑的审查和受理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采购方在收到质疑函后应当及时审查是否符合质疑受理条件，对符合质疑受理条件的，及时予以受理。</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36.16  对不符合质疑受理条件的，分别按照下列不同情形予以处理：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36.17  质疑的处理和答复</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36.18  采购方受理质疑后，将及时把质疑函发送给被质疑人，并要求其在一定限期内提交书面答复，同时提供有关证据、依据和相关材料。</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36.19  对于质疑事项中涉及的问题较多、情况比较复杂的，为了全面查清事实、取得充分的证据，采购方认为有必要时，可以进行调查取证或者组织质证。</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36.20  对评审过程、中标结果提出质疑的，采购方可以组织原评审委员会协助答复质疑。</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36.21  质疑处理过程中，质疑人书面申请撤回质疑的，将终止质疑处理程序。</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36.22  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36.23  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360" w:lineRule="exact"/>
        <w:jc w:val="left"/>
        <w:rPr>
          <w:rFonts w:hint="eastAsia" w:ascii="宋体" w:hAnsi="宋体" w:eastAsia="宋体" w:cs="宋体"/>
          <w:b/>
          <w:bCs/>
          <w:color w:val="auto"/>
          <w:highlight w:val="none"/>
        </w:rPr>
      </w:pPr>
      <w:r>
        <w:rPr>
          <w:rFonts w:hint="eastAsia" w:ascii="宋体" w:hAnsi="宋体" w:eastAsia="宋体" w:cs="宋体"/>
          <w:color w:val="auto"/>
          <w:sz w:val="24"/>
          <w:highlight w:val="none"/>
        </w:rPr>
        <w:t xml:space="preserve">36.24  采购方将在正式受理质疑后7个工作日内作出答复。 </w:t>
      </w:r>
    </w:p>
    <w:p>
      <w:pPr>
        <w:pStyle w:val="5"/>
        <w:shd w:val="clear" w:color="auto" w:fill="auto"/>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36.25 质疑答复应当包括下列内容：</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（一）质疑人的姓名或者名称；</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（二）收到质疑函的日期、质疑项目名称及编号；</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（三）质疑事项、质疑答复的具体内容、事实依据和法律依据；</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（四）告知质疑供应商依法投诉的权利；</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（五）质疑答复人名称；</w:t>
      </w:r>
    </w:p>
    <w:p>
      <w:pPr>
        <w:pStyle w:val="5"/>
        <w:shd w:val="clear" w:color="auto" w:fill="auto"/>
        <w:spacing w:line="360" w:lineRule="exact"/>
        <w:ind w:firstLine="480" w:firstLineChars="200"/>
        <w:rPr>
          <w:rFonts w:hint="eastAsia" w:ascii="宋体" w:hAnsi="宋体" w:eastAsia="宋体" w:cs="宋体"/>
          <w:b/>
          <w:bCs/>
          <w:color w:val="auto"/>
          <w:highlight w:val="none"/>
        </w:rPr>
      </w:pPr>
      <w:r>
        <w:rPr>
          <w:rFonts w:hint="eastAsia" w:ascii="宋体" w:hAnsi="宋体" w:eastAsia="宋体" w:cs="宋体"/>
          <w:color w:val="auto"/>
          <w:highlight w:val="none"/>
        </w:rPr>
        <w:t>（六）答复质疑的日期。</w:t>
      </w:r>
    </w:p>
    <w:p>
      <w:pPr>
        <w:shd w:val="clear" w:color="auto" w:fill="auto"/>
        <w:spacing w:line="360" w:lineRule="exact"/>
        <w:jc w:val="center"/>
        <w:outlineLvl w:val="2"/>
        <w:rPr>
          <w:rFonts w:hint="eastAsia" w:ascii="宋体" w:hAnsi="宋体" w:eastAsia="宋体" w:cs="宋体"/>
          <w:b/>
          <w:bCs/>
          <w:color w:val="auto"/>
          <w:sz w:val="24"/>
          <w:highlight w:val="none"/>
        </w:rPr>
      </w:pPr>
      <w:bookmarkStart w:id="738" w:name="_Toc27601"/>
      <w:bookmarkStart w:id="739" w:name="_Toc12088"/>
      <w:bookmarkStart w:id="740" w:name="_Toc29320"/>
      <w:bookmarkStart w:id="741" w:name="_Toc8353"/>
      <w:bookmarkStart w:id="742" w:name="_Toc32049"/>
      <w:bookmarkStart w:id="743" w:name="_Toc9437"/>
      <w:bookmarkStart w:id="744" w:name="_Toc25636"/>
      <w:bookmarkStart w:id="745" w:name="_Toc11297"/>
      <w:bookmarkStart w:id="746" w:name="_Toc23411"/>
      <w:bookmarkStart w:id="747" w:name="_Toc12693"/>
      <w:bookmarkStart w:id="748" w:name="_Toc30093"/>
      <w:bookmarkStart w:id="749" w:name="_Toc14412"/>
      <w:bookmarkStart w:id="750" w:name="_Toc13698"/>
      <w:bookmarkStart w:id="751" w:name="_Toc14893"/>
      <w:bookmarkStart w:id="752" w:name="_Toc16553"/>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hd w:val="clear" w:color="auto" w:fill="auto"/>
        <w:spacing w:line="360" w:lineRule="exact"/>
        <w:jc w:val="center"/>
        <w:outlineLvl w:val="2"/>
        <w:rPr>
          <w:rFonts w:hint="eastAsia" w:ascii="宋体" w:hAnsi="宋体" w:eastAsia="宋体" w:cs="宋体"/>
          <w:b/>
          <w:bCs/>
          <w:color w:val="auto"/>
          <w:sz w:val="24"/>
          <w:highlight w:val="none"/>
        </w:rPr>
      </w:pPr>
      <w:bookmarkStart w:id="753" w:name="_Toc9803"/>
      <w:bookmarkStart w:id="754" w:name="_Toc20590"/>
      <w:bookmarkStart w:id="755" w:name="_Toc14462"/>
      <w:bookmarkStart w:id="756" w:name="_Toc22674"/>
      <w:bookmarkStart w:id="757" w:name="_Toc30232"/>
      <w:r>
        <w:rPr>
          <w:rFonts w:hint="eastAsia" w:ascii="宋体" w:hAnsi="宋体" w:eastAsia="宋体" w:cs="宋体"/>
          <w:b/>
          <w:bCs/>
          <w:color w:val="auto"/>
          <w:sz w:val="24"/>
          <w:highlight w:val="none"/>
        </w:rPr>
        <w:t>质疑函范本</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pPr>
        <w:pStyle w:val="16"/>
        <w:shd w:val="clear" w:color="auto" w:fill="auto"/>
        <w:rPr>
          <w:rFonts w:hint="eastAsia" w:ascii="宋体" w:hAnsi="宋体" w:eastAsia="宋体" w:cs="宋体"/>
          <w:color w:val="auto"/>
          <w:highlight w:val="none"/>
        </w:rPr>
      </w:pP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pPr>
        <w:shd w:val="clear" w:color="auto" w:fill="auto"/>
        <w:spacing w:line="360" w:lineRule="exact"/>
        <w:rPr>
          <w:rFonts w:hint="eastAsia" w:ascii="宋体" w:hAnsi="宋体" w:eastAsia="宋体" w:cs="宋体"/>
          <w:b/>
          <w:color w:val="auto"/>
          <w:sz w:val="24"/>
          <w:highlight w:val="none"/>
        </w:rPr>
      </w:pPr>
    </w:p>
    <w:p>
      <w:pPr>
        <w:shd w:val="clear" w:color="auto" w:fill="auto"/>
        <w:spacing w:line="3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或者其他组织的，质疑函应由法定代表人、主要负责人，或者其授权代表签字或者盖章，并加盖公章。</w:t>
      </w:r>
    </w:p>
    <w:p>
      <w:pPr>
        <w:pStyle w:val="8"/>
        <w:spacing w:line="400" w:lineRule="exact"/>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pPr>
        <w:pStyle w:val="6"/>
        <w:spacing w:before="0" w:after="0" w:line="240" w:lineRule="atLeast"/>
        <w:rPr>
          <w:rFonts w:hint="eastAsia" w:ascii="宋体" w:hAnsi="宋体" w:eastAsia="宋体" w:cs="宋体"/>
          <w:color w:val="auto"/>
          <w:szCs w:val="21"/>
          <w:highlight w:val="none"/>
        </w:rPr>
      </w:pPr>
      <w:bookmarkStart w:id="758" w:name="_Toc13100"/>
      <w:bookmarkStart w:id="759" w:name="_Toc216582812"/>
      <w:bookmarkStart w:id="760" w:name="_Toc3574"/>
      <w:bookmarkStart w:id="761" w:name="_Toc29770"/>
      <w:bookmarkStart w:id="762" w:name="_Toc702"/>
      <w:bookmarkStart w:id="763" w:name="_Toc728"/>
      <w:bookmarkStart w:id="764" w:name="_Toc515647802"/>
      <w:r>
        <w:rPr>
          <w:rFonts w:hint="eastAsia" w:ascii="宋体" w:hAnsi="宋体" w:eastAsia="宋体" w:cs="宋体"/>
          <w:color w:val="auto"/>
          <w:szCs w:val="32"/>
          <w:highlight w:val="none"/>
        </w:rPr>
        <w:t>第2章   投标文件格式</w:t>
      </w:r>
      <w:bookmarkEnd w:id="758"/>
      <w:bookmarkEnd w:id="759"/>
      <w:bookmarkEnd w:id="760"/>
      <w:bookmarkEnd w:id="761"/>
      <w:bookmarkEnd w:id="762"/>
      <w:bookmarkEnd w:id="763"/>
      <w:bookmarkEnd w:id="764"/>
    </w:p>
    <w:p>
      <w:pPr>
        <w:pStyle w:val="7"/>
        <w:spacing w:before="0" w:line="240" w:lineRule="atLeast"/>
        <w:rPr>
          <w:rFonts w:hint="eastAsia" w:ascii="宋体" w:hAnsi="宋体" w:eastAsia="宋体" w:cs="宋体"/>
          <w:color w:val="auto"/>
          <w:szCs w:val="21"/>
          <w:highlight w:val="none"/>
        </w:rPr>
      </w:pPr>
      <w:bookmarkStart w:id="765" w:name="_Toc18974"/>
      <w:bookmarkStart w:id="766" w:name="_Toc18694"/>
      <w:bookmarkStart w:id="767" w:name="_Toc515647803"/>
      <w:bookmarkStart w:id="768" w:name="_Toc22572"/>
      <w:bookmarkStart w:id="769" w:name="_Toc32123"/>
      <w:bookmarkStart w:id="770" w:name="_Toc30344"/>
      <w:bookmarkStart w:id="771" w:name="_Toc32079"/>
      <w:bookmarkStart w:id="772" w:name="_Toc3620"/>
      <w:bookmarkStart w:id="773" w:name="_Toc21614"/>
      <w:bookmarkStart w:id="774" w:name="_Toc14118"/>
      <w:bookmarkStart w:id="775" w:name="_Toc30630"/>
      <w:bookmarkStart w:id="776" w:name="_Toc13595"/>
      <w:bookmarkStart w:id="777" w:name="_Toc30524"/>
      <w:bookmarkStart w:id="778" w:name="_Toc29091"/>
      <w:bookmarkStart w:id="779" w:name="_Toc16568"/>
      <w:bookmarkStart w:id="780" w:name="_Toc515647804"/>
      <w:bookmarkStart w:id="781" w:name="_Toc16750"/>
      <w:bookmarkStart w:id="782" w:name="_Toc522"/>
      <w:bookmarkStart w:id="783" w:name="_Toc11138"/>
      <w:bookmarkStart w:id="784" w:name="_Toc480942349"/>
      <w:bookmarkStart w:id="785" w:name="_Toc216582813"/>
      <w:bookmarkStart w:id="786" w:name="_Ref467988698"/>
      <w:bookmarkStart w:id="787" w:name="_Toc520356217"/>
      <w:r>
        <w:rPr>
          <w:rFonts w:hint="eastAsia" w:ascii="宋体" w:hAnsi="宋体" w:eastAsia="宋体" w:cs="宋体"/>
          <w:color w:val="auto"/>
          <w:sz w:val="28"/>
          <w:szCs w:val="28"/>
          <w:highlight w:val="none"/>
        </w:rPr>
        <w:t>第一部分 开标一览表及资格证明文件</w:t>
      </w:r>
      <w:bookmarkEnd w:id="765"/>
      <w:bookmarkEnd w:id="766"/>
      <w:bookmarkEnd w:id="767"/>
      <w:bookmarkEnd w:id="768"/>
      <w:bookmarkEnd w:id="769"/>
      <w:bookmarkEnd w:id="770"/>
      <w:bookmarkEnd w:id="771"/>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开标一览表</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具有独立法人资格（三证合一的营业执照）；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3、法定代表人（负责人）资格证明及授权书、被授权人身份证；(法定代表人投标需提供法定代表人身份证)；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4、提供2020年或2021年经审计的财务审计报告（2022年成立的新公司出具近3个月任意一个月的银行资信证明）；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5、依法缴纳最近连续六个月的社会保险的凭据（授权人和单位员工缴纳明细凭据）；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6、提供税务部门出具的最近连续六个月的完税证明；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9、提供针对本次项目《反商业贿赂承诺书》；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银行开户许可证复印件或银行基本账户信息(包含：银行账号及开户行名称）；</w:t>
      </w:r>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缴纳投标保证金有效凭证</w:t>
      </w:r>
      <w:r>
        <w:rPr>
          <w:rFonts w:hint="eastAsia" w:ascii="宋体" w:hAnsi="宋体" w:eastAsia="宋体" w:cs="宋体"/>
          <w:color w:val="auto"/>
          <w:sz w:val="24"/>
          <w:highlight w:val="none"/>
        </w:rPr>
        <w:t>；</w:t>
      </w:r>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12、供应商可提供有利于投标的其他资格证明材料。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注：1、“</w:t>
      </w:r>
      <w:r>
        <w:rPr>
          <w:rFonts w:hint="eastAsia" w:ascii="宋体" w:hAnsi="宋体" w:eastAsia="宋体" w:cs="宋体"/>
          <w:b/>
          <w:bCs/>
          <w:color w:val="auto"/>
          <w:sz w:val="21"/>
          <w:szCs w:val="21"/>
          <w:highlight w:val="none"/>
        </w:rPr>
        <w:t>税务部门出具的</w:t>
      </w:r>
      <w:r>
        <w:rPr>
          <w:rFonts w:hint="eastAsia" w:ascii="宋体" w:hAnsi="宋体" w:eastAsia="宋体" w:cs="宋体"/>
          <w:b/>
          <w:bCs/>
          <w:color w:val="auto"/>
          <w:sz w:val="21"/>
          <w:szCs w:val="21"/>
          <w:highlight w:val="none"/>
          <w:lang w:eastAsia="zh-CN"/>
        </w:rPr>
        <w:t>最</w:t>
      </w:r>
      <w:r>
        <w:rPr>
          <w:rFonts w:hint="eastAsia" w:ascii="宋体" w:hAnsi="宋体" w:eastAsia="宋体" w:cs="宋体"/>
          <w:b/>
          <w:bCs/>
          <w:color w:val="auto"/>
          <w:sz w:val="21"/>
          <w:szCs w:val="21"/>
          <w:highlight w:val="none"/>
        </w:rPr>
        <w:t>近</w:t>
      </w:r>
      <w:r>
        <w:rPr>
          <w:rFonts w:hint="eastAsia" w:ascii="宋体" w:hAnsi="宋体" w:eastAsia="宋体" w:cs="宋体"/>
          <w:b/>
          <w:bCs/>
          <w:color w:val="auto"/>
          <w:sz w:val="21"/>
          <w:szCs w:val="21"/>
          <w:highlight w:val="none"/>
          <w:lang w:eastAsia="zh-CN"/>
        </w:rPr>
        <w:t>连续</w:t>
      </w:r>
      <w:r>
        <w:rPr>
          <w:rFonts w:hint="eastAsia" w:ascii="宋体" w:hAnsi="宋体" w:eastAsia="宋体" w:cs="宋体"/>
          <w:b/>
          <w:bCs/>
          <w:color w:val="auto"/>
          <w:sz w:val="21"/>
          <w:szCs w:val="21"/>
          <w:highlight w:val="none"/>
        </w:rPr>
        <w:t>六个月的完税证明”</w:t>
      </w:r>
      <w:r>
        <w:rPr>
          <w:rFonts w:hint="eastAsia" w:ascii="宋体" w:hAnsi="宋体" w:eastAsia="宋体" w:cs="宋体"/>
          <w:b/>
          <w:bCs/>
          <w:color w:val="auto"/>
          <w:sz w:val="22"/>
          <w:szCs w:val="21"/>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widowControl/>
        <w:snapToGrid w:val="0"/>
        <w:spacing w:line="470" w:lineRule="exact"/>
        <w:jc w:val="lef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eastAsia="zh-CN"/>
        </w:rPr>
        <w:t>提供税务部门出具的最近连续六个月的完税证明</w:t>
      </w:r>
      <w:r>
        <w:rPr>
          <w:rFonts w:hint="eastAsia" w:ascii="宋体" w:hAnsi="宋体" w:eastAsia="宋体" w:cs="宋体"/>
          <w:b/>
          <w:bCs/>
          <w:color w:val="auto"/>
          <w:sz w:val="24"/>
          <w:highlight w:val="none"/>
        </w:rPr>
        <w:t>”：完税证明中“税种”非养老保险、医疗保险、失业保险、工伤保险和生育保险。请各投标供应商注意！</w:t>
      </w:r>
    </w:p>
    <w:p>
      <w:pPr>
        <w:pStyle w:val="7"/>
        <w:spacing w:before="0" w:line="400" w:lineRule="exact"/>
        <w:ind w:left="1080" w:leftChars="257" w:hanging="540"/>
        <w:rPr>
          <w:rFonts w:hint="eastAsia" w:ascii="宋体" w:hAnsi="宋体" w:eastAsia="宋体" w:cs="宋体"/>
          <w:color w:val="auto"/>
          <w:sz w:val="24"/>
          <w:highlight w:val="none"/>
        </w:rPr>
      </w:pPr>
      <w:bookmarkStart w:id="788" w:name="_Toc9693"/>
      <w:r>
        <w:rPr>
          <w:rFonts w:hint="eastAsia" w:ascii="宋体" w:hAnsi="宋体" w:eastAsia="宋体" w:cs="宋体"/>
          <w:color w:val="auto"/>
          <w:sz w:val="24"/>
          <w:highlight w:val="none"/>
        </w:rPr>
        <w:t>1、开标一览表</w:t>
      </w:r>
      <w:bookmarkEnd w:id="772"/>
      <w:bookmarkEnd w:id="773"/>
      <w:bookmarkEnd w:id="774"/>
      <w:bookmarkEnd w:id="775"/>
      <w:bookmarkEnd w:id="776"/>
      <w:bookmarkEnd w:id="777"/>
      <w:bookmarkEnd w:id="778"/>
      <w:bookmarkEnd w:id="779"/>
      <w:bookmarkEnd w:id="780"/>
      <w:bookmarkEnd w:id="781"/>
      <w:bookmarkEnd w:id="782"/>
      <w:bookmarkEnd w:id="783"/>
      <w:bookmarkEnd w:id="788"/>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bookmarkStart w:id="789" w:name="_Hlt520356241"/>
      <w:bookmarkEnd w:id="789"/>
      <w:r>
        <w:rPr>
          <w:rFonts w:hint="eastAsia" w:ascii="宋体" w:hAnsi="宋体" w:eastAsia="宋体" w:cs="宋体"/>
          <w:color w:val="auto"/>
          <w:sz w:val="24"/>
          <w:highlight w:val="none"/>
        </w:rPr>
        <w:t xml:space="preserve">项目名称：　                  项目编号：                        </w:t>
      </w:r>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报价单位：人民币  </w:t>
      </w:r>
      <w:r>
        <w:rPr>
          <w:rFonts w:hint="eastAsia" w:ascii="宋体" w:hAnsi="宋体" w:eastAsia="宋体" w:cs="宋体"/>
          <w:b/>
          <w:color w:val="auto"/>
          <w:sz w:val="24"/>
          <w:highlight w:val="none"/>
        </w:rPr>
        <w:t>元</w:t>
      </w:r>
    </w:p>
    <w:tbl>
      <w:tblPr>
        <w:tblStyle w:val="29"/>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400" w:lineRule="exact"/>
              <w:ind w:right="-19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pPr>
              <w:tabs>
                <w:tab w:val="left" w:pos="5580"/>
              </w:tabs>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400" w:lineRule="exact"/>
              <w:ind w:left="539" w:hanging="539"/>
              <w:jc w:val="center"/>
              <w:rPr>
                <w:rFonts w:hint="eastAsia" w:ascii="宋体" w:hAnsi="宋体" w:eastAsia="宋体" w:cs="宋体"/>
                <w:color w:val="auto"/>
                <w:sz w:val="24"/>
                <w:highlight w:val="none"/>
              </w:rPr>
            </w:pPr>
          </w:p>
        </w:tc>
      </w:tr>
    </w:tbl>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pStyle w:val="18"/>
        <w:tabs>
          <w:tab w:val="left" w:pos="5580"/>
        </w:tabs>
        <w:spacing w:line="400" w:lineRule="exact"/>
        <w:ind w:left="1080" w:leftChars="257" w:hanging="540"/>
        <w:rPr>
          <w:rFonts w:hint="eastAsia" w:ascii="宋体" w:hAnsi="宋体" w:eastAsia="宋体" w:cs="宋体"/>
          <w:color w:val="auto"/>
          <w:sz w:val="24"/>
          <w:highlight w:val="none"/>
          <w:u w:val="single"/>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法定代表人或委托代理(签字):</w:t>
      </w:r>
      <w:r>
        <w:rPr>
          <w:rFonts w:hint="eastAsia" w:ascii="宋体" w:hAnsi="宋体" w:eastAsia="宋体" w:cs="宋体"/>
          <w:color w:val="auto"/>
          <w:sz w:val="24"/>
          <w:highlight w:val="none"/>
          <w:u w:val="single"/>
        </w:rPr>
        <w:tab/>
      </w:r>
    </w:p>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注:1、此表应按供应商须知的规定装订密封。</w:t>
      </w:r>
    </w:p>
    <w:p>
      <w:pPr>
        <w:pStyle w:val="18"/>
        <w:tabs>
          <w:tab w:val="left" w:pos="5580"/>
        </w:tabs>
        <w:spacing w:line="400" w:lineRule="exact"/>
        <w:ind w:left="741" w:leftChars="353"/>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2、此表中，投标总价应和投标分项报价表的总价相一致。</w:t>
      </w:r>
    </w:p>
    <w:p>
      <w:pPr>
        <w:pStyle w:val="18"/>
        <w:tabs>
          <w:tab w:val="left" w:pos="5580"/>
        </w:tabs>
        <w:spacing w:line="400" w:lineRule="exact"/>
        <w:ind w:left="741" w:leftChars="35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、投标商报价时包含税费等一切与本次项目相关的费用。</w:t>
      </w: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numPr>
          <w:ilvl w:val="0"/>
          <w:numId w:val="4"/>
        </w:numPr>
        <w:tabs>
          <w:tab w:val="left" w:pos="5580"/>
        </w:tabs>
        <w:spacing w:line="400" w:lineRule="exact"/>
        <w:jc w:val="left"/>
        <w:outlineLvl w:val="1"/>
        <w:rPr>
          <w:rFonts w:hint="eastAsia" w:ascii="宋体" w:hAnsi="宋体" w:eastAsia="宋体" w:cs="宋体"/>
          <w:b/>
          <w:color w:val="auto"/>
          <w:sz w:val="24"/>
          <w:highlight w:val="none"/>
        </w:rPr>
      </w:pPr>
      <w:bookmarkStart w:id="790" w:name="_Toc4753"/>
      <w:r>
        <w:rPr>
          <w:rFonts w:hint="eastAsia" w:ascii="宋体" w:hAnsi="宋体" w:eastAsia="宋体" w:cs="宋体"/>
          <w:b/>
          <w:color w:val="auto"/>
          <w:sz w:val="24"/>
          <w:highlight w:val="none"/>
          <w:lang w:eastAsia="zh-CN"/>
        </w:rPr>
        <w:t>具有独立法人资格（三证合一的营业执照）</w:t>
      </w:r>
      <w:bookmarkEnd w:id="790"/>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numPr>
          <w:ilvl w:val="0"/>
          <w:numId w:val="4"/>
        </w:numPr>
        <w:adjustRightInd w:val="0"/>
        <w:snapToGrid w:val="0"/>
        <w:spacing w:beforeLines="100" w:afterLines="100" w:line="400" w:lineRule="exact"/>
        <w:ind w:left="0" w:leftChars="0" w:firstLine="0" w:firstLineChars="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法定代表人资格证明及授权书、被授权人身份证；(法定代表人投标需提供法定代表人身份证)；</w:t>
      </w:r>
    </w:p>
    <w:p>
      <w:pPr>
        <w:numPr>
          <w:ilvl w:val="0"/>
          <w:numId w:val="4"/>
        </w:numPr>
        <w:adjustRightInd w:val="0"/>
        <w:snapToGrid w:val="0"/>
        <w:spacing w:beforeLines="100" w:afterLines="100" w:line="400" w:lineRule="exact"/>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法定代表人身份证明</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同志，现任我单位</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职务，为法定代表人，特此证明。</w:t>
      </w:r>
    </w:p>
    <w:p>
      <w:pPr>
        <w:spacing w:line="400" w:lineRule="exact"/>
        <w:ind w:firstLine="240" w:firstLineChars="100"/>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签发日期：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单位：</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p>
    <w:p>
      <w:pPr>
        <w:spacing w:line="400" w:lineRule="exact"/>
        <w:ind w:firstLine="240" w:firstLineChars="100"/>
        <w:rPr>
          <w:rFonts w:hint="eastAsia" w:ascii="宋体" w:hAnsi="宋体" w:eastAsia="宋体" w:cs="宋体"/>
          <w:color w:val="auto"/>
          <w:sz w:val="24"/>
          <w:szCs w:val="20"/>
          <w:highlight w:val="none"/>
          <w:u w:val="single"/>
          <w:lang w:val="en-US" w:eastAsia="zh-CN"/>
        </w:rPr>
      </w:pPr>
      <w:r>
        <w:rPr>
          <w:rFonts w:hint="eastAsia" w:ascii="宋体" w:hAnsi="宋体" w:eastAsia="宋体" w:cs="宋体"/>
          <w:color w:val="auto"/>
          <w:sz w:val="24"/>
          <w:szCs w:val="20"/>
          <w:highlight w:val="none"/>
        </w:rPr>
        <w:t>附：代表人性别：</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身份证号码：</w:t>
      </w:r>
      <w:r>
        <w:rPr>
          <w:rFonts w:hint="eastAsia" w:ascii="宋体" w:hAnsi="宋体" w:eastAsia="宋体" w:cs="宋体"/>
          <w:color w:val="auto"/>
          <w:sz w:val="24"/>
          <w:szCs w:val="20"/>
          <w:highlight w:val="none"/>
          <w:u w:val="single"/>
          <w:lang w:val="en-US" w:eastAsia="zh-CN"/>
        </w:rPr>
        <w:t xml:space="preserve">                          </w:t>
      </w:r>
    </w:p>
    <w:p>
      <w:pPr>
        <w:spacing w:line="400" w:lineRule="exact"/>
        <w:ind w:firstLine="240" w:firstLineChars="1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rPr>
        <w:t>年龄：</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联系电话：</w:t>
      </w:r>
      <w:r>
        <w:rPr>
          <w:rFonts w:hint="eastAsia" w:ascii="宋体" w:hAnsi="宋体" w:eastAsia="宋体" w:cs="宋体"/>
          <w:color w:val="auto"/>
          <w:sz w:val="24"/>
          <w:szCs w:val="20"/>
          <w:highlight w:val="none"/>
          <w:u w:val="single"/>
          <w:lang w:val="en-US" w:eastAsia="zh-CN"/>
        </w:rPr>
        <w:t xml:space="preserve">                            </w:t>
      </w:r>
    </w:p>
    <w:p>
      <w:pPr>
        <w:spacing w:line="400" w:lineRule="exact"/>
        <w:ind w:firstLine="240" w:firstLineChars="100"/>
        <w:rPr>
          <w:rFonts w:hint="eastAsia" w:ascii="宋体" w:hAnsi="宋体" w:eastAsia="宋体" w:cs="宋体"/>
          <w:color w:val="auto"/>
          <w:sz w:val="24"/>
          <w:szCs w:val="20"/>
          <w:highlight w:val="none"/>
          <w:u w:val="single"/>
          <w:lang w:val="en-US" w:eastAsia="zh-CN"/>
        </w:rPr>
      </w:pPr>
      <w:r>
        <w:rPr>
          <w:rFonts w:hint="eastAsia" w:ascii="宋体" w:hAnsi="宋体" w:eastAsia="宋体" w:cs="宋体"/>
          <w:color w:val="auto"/>
          <w:sz w:val="24"/>
          <w:szCs w:val="20"/>
          <w:highlight w:val="none"/>
        </w:rPr>
        <w:t>营业执照号码：</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none"/>
          <w:lang w:val="en-US" w:eastAsia="zh-CN"/>
        </w:rPr>
        <w:t xml:space="preserve"> </w:t>
      </w:r>
      <w:r>
        <w:rPr>
          <w:rFonts w:hint="eastAsia" w:ascii="宋体" w:hAnsi="宋体" w:eastAsia="宋体" w:cs="宋体"/>
          <w:color w:val="auto"/>
          <w:sz w:val="24"/>
          <w:szCs w:val="20"/>
          <w:highlight w:val="none"/>
          <w:u w:val="none"/>
        </w:rPr>
        <w:t xml:space="preserve"> </w:t>
      </w:r>
      <w:r>
        <w:rPr>
          <w:rFonts w:hint="eastAsia" w:ascii="宋体" w:hAnsi="宋体" w:eastAsia="宋体" w:cs="宋体"/>
          <w:color w:val="auto"/>
          <w:sz w:val="24"/>
          <w:szCs w:val="20"/>
          <w:highlight w:val="none"/>
        </w:rPr>
        <w:t>经济性质：</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u w:val="single"/>
          <w:lang w:val="en-US" w:eastAsia="zh-CN"/>
        </w:rPr>
        <w:t xml:space="preserve">                           </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1、法定代表人为企业事业单位、国家机关、社会团体的主要行政负责人。</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2、内容必须填写真实、清楚、涂改无效，不得转让。</w:t>
      </w:r>
    </w:p>
    <w:p>
      <w:pPr>
        <w:spacing w:line="400" w:lineRule="exact"/>
        <w:ind w:firstLine="240" w:firstLineChars="100"/>
        <w:rPr>
          <w:rFonts w:hint="eastAsia" w:ascii="宋体" w:hAnsi="宋体" w:eastAsia="宋体" w:cs="宋体"/>
          <w:b/>
          <w:bCs/>
          <w:color w:val="auto"/>
          <w:sz w:val="24"/>
          <w:szCs w:val="20"/>
          <w:highlight w:val="none"/>
          <w:lang w:eastAsia="zh-CN"/>
        </w:rPr>
      </w:pPr>
      <w:r>
        <w:rPr>
          <w:rFonts w:hint="eastAsia" w:ascii="宋体" w:hAnsi="宋体" w:eastAsia="宋体" w:cs="宋体"/>
          <w:color w:val="auto"/>
          <w:sz w:val="24"/>
          <w:szCs w:val="20"/>
          <w:highlight w:val="none"/>
        </w:rPr>
        <w:t>3、请供应商务必提供</w:t>
      </w:r>
      <w:r>
        <w:rPr>
          <w:rFonts w:hint="eastAsia" w:ascii="宋体" w:hAnsi="宋体" w:eastAsia="宋体" w:cs="宋体"/>
          <w:b/>
          <w:bCs/>
          <w:color w:val="auto"/>
          <w:sz w:val="24"/>
          <w:szCs w:val="20"/>
          <w:highlight w:val="none"/>
        </w:rPr>
        <w:t>身份证</w:t>
      </w:r>
      <w:r>
        <w:rPr>
          <w:rFonts w:hint="eastAsia" w:ascii="宋体" w:hAnsi="宋体" w:eastAsia="宋体" w:cs="宋体"/>
          <w:b/>
          <w:bCs/>
          <w:color w:val="auto"/>
          <w:sz w:val="24"/>
          <w:szCs w:val="20"/>
          <w:highlight w:val="none"/>
          <w:lang w:val="en-US" w:eastAsia="zh-CN"/>
        </w:rPr>
        <w:t>正反面</w:t>
      </w:r>
      <w:r>
        <w:rPr>
          <w:rFonts w:hint="eastAsia" w:ascii="宋体" w:hAnsi="宋体" w:eastAsia="宋体" w:cs="宋体"/>
          <w:b/>
          <w:bCs/>
          <w:color w:val="auto"/>
          <w:sz w:val="24"/>
          <w:szCs w:val="20"/>
          <w:highlight w:val="none"/>
        </w:rPr>
        <w:t>复印件</w:t>
      </w:r>
      <w:r>
        <w:rPr>
          <w:rFonts w:hint="eastAsia" w:ascii="宋体" w:hAnsi="宋体" w:eastAsia="宋体" w:cs="宋体"/>
          <w:b/>
          <w:bCs/>
          <w:color w:val="auto"/>
          <w:sz w:val="24"/>
          <w:szCs w:val="20"/>
          <w:highlight w:val="none"/>
          <w:lang w:eastAsia="zh-CN"/>
        </w:rPr>
        <w:t>。</w:t>
      </w:r>
    </w:p>
    <w:p>
      <w:pPr>
        <w:pStyle w:val="24"/>
        <w:rPr>
          <w:rFonts w:hint="eastAsia" w:ascii="宋体" w:hAnsi="宋体" w:eastAsia="宋体" w:cs="宋体"/>
          <w:color w:val="auto"/>
          <w:highlight w:val="none"/>
          <w:lang w:eastAsia="zh-CN"/>
        </w:rPr>
      </w:pPr>
    </w:p>
    <w:p>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026" name="1026"/>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1026"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nXif1QAAAAgBAAAPAAAAAAAAAAEAIAAAACIAAABkcnMvZG93&#10;bnJldi54bWxQSwECFAAUAAAACACHTuJAI9EnHQMCAAA+BAAADgAAAAAAAAABACAAAAAkAQAAZHJz&#10;L2Uyb0RvYy54bWxQSwUGAAAAAAYABgBZAQAAm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szCs w:val="20"/>
          <w:highlight w:val="none"/>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027" name="1027"/>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0"/>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r>
                              <w:rPr>
                                <w:rFonts w:hint="eastAsia"/>
                              </w:rPr>
                              <w:t>法定代表人身份证复印件</w:t>
                            </w:r>
                          </w:p>
                          <w:p>
                            <w:pPr>
                              <w:pStyle w:val="8"/>
                            </w:pPr>
                          </w:p>
                          <w:p>
                            <w:pPr>
                              <w:pStyle w:val="8"/>
                            </w:pPr>
                          </w:p>
                          <w:p>
                            <w:pPr>
                              <w:pStyle w:val="8"/>
                            </w:pPr>
                          </w:p>
                          <w:p>
                            <w:pPr>
                              <w:pStyle w:val="8"/>
                            </w:pPr>
                          </w:p>
                        </w:txbxContent>
                      </wps:txbx>
                      <wps:bodyPr upright="1"/>
                    </wps:wsp>
                  </a:graphicData>
                </a:graphic>
              </wp:anchor>
            </w:drawing>
          </mc:Choice>
          <mc:Fallback>
            <w:pict>
              <v:roundrect id="1027" o:spid="_x0000_s1026" o:spt="2" style="position:absolute;left:0pt;margin-left:229.8pt;margin-top:2.25pt;height:109.1pt;width:163.55pt;z-index:251659264;mso-width-relative:page;mso-height-relative:page;" fillcolor="#FFFFFF" filled="t" stroked="t" coordsize="21600,21600" arcsize="0"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z9yTZ2gAAAAkBAAAPAAAAAAAAAAEAIAAA&#10;ACIAAABkcnMvZG93bnJldi54bWxQSwECFAAUAAAACACHTuJABru/pQoCAABXBAAADgAAAAAAAAAB&#10;ACAAAAApAQAAZHJzL2Uyb0RvYy54bWxQSwUGAAAAAAYABgBZAQAApQ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r>
                        <w:rPr>
                          <w:rFonts w:hint="eastAsia"/>
                        </w:rPr>
                        <w:t>法定代表人身份证复印件</w:t>
                      </w:r>
                    </w:p>
                    <w:p>
                      <w:pPr>
                        <w:pStyle w:val="8"/>
                      </w:pPr>
                    </w:p>
                    <w:p>
                      <w:pPr>
                        <w:pStyle w:val="8"/>
                      </w:pPr>
                    </w:p>
                    <w:p>
                      <w:pPr>
                        <w:pStyle w:val="8"/>
                      </w:pPr>
                    </w:p>
                    <w:p>
                      <w:pPr>
                        <w:pStyle w:val="8"/>
                      </w:pPr>
                    </w:p>
                  </w:txbxContent>
                </v:textbox>
              </v:roundrect>
            </w:pict>
          </mc:Fallback>
        </mc:AlternateContent>
      </w:r>
    </w:p>
    <w:p>
      <w:pPr>
        <w:rPr>
          <w:rFonts w:hint="eastAsia" w:ascii="宋体" w:hAnsi="宋体" w:eastAsia="宋体" w:cs="宋体"/>
          <w:color w:val="auto"/>
          <w:sz w:val="24"/>
          <w:szCs w:val="20"/>
          <w:highlight w:val="none"/>
        </w:rPr>
      </w:pPr>
    </w:p>
    <w:p>
      <w:pPr>
        <w:pStyle w:val="24"/>
        <w:rPr>
          <w:rFonts w:hint="eastAsia" w:ascii="宋体" w:hAnsi="宋体" w:eastAsia="宋体" w:cs="宋体"/>
          <w:color w:val="auto"/>
          <w:sz w:val="24"/>
          <w:szCs w:val="20"/>
          <w:highlight w:val="none"/>
        </w:rPr>
      </w:pPr>
    </w:p>
    <w:p>
      <w:pPr>
        <w:pStyle w:val="24"/>
        <w:rPr>
          <w:rFonts w:hint="eastAsia" w:ascii="宋体" w:hAnsi="宋体" w:eastAsia="宋体" w:cs="宋体"/>
          <w:color w:val="auto"/>
          <w:sz w:val="24"/>
          <w:szCs w:val="20"/>
          <w:highlight w:val="none"/>
        </w:rPr>
      </w:pPr>
    </w:p>
    <w:p>
      <w:pPr>
        <w:pStyle w:val="24"/>
        <w:rPr>
          <w:rFonts w:hint="eastAsia" w:ascii="宋体" w:hAnsi="宋体" w:eastAsia="宋体" w:cs="宋体"/>
          <w:color w:val="auto"/>
          <w:sz w:val="24"/>
          <w:szCs w:val="20"/>
          <w:highlight w:val="none"/>
        </w:rPr>
      </w:pPr>
    </w:p>
    <w:p>
      <w:pPr>
        <w:autoSpaceDE w:val="0"/>
        <w:autoSpaceDN w:val="0"/>
        <w:adjustRightInd w:val="0"/>
        <w:ind w:right="246"/>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w:t>
      </w:r>
      <w:r>
        <w:rPr>
          <w:rFonts w:hint="eastAsia" w:ascii="宋体" w:hAnsi="宋体" w:eastAsia="宋体" w:cs="宋体"/>
          <w:color w:val="auto"/>
          <w:sz w:val="24"/>
          <w:highlight w:val="none"/>
        </w:rPr>
        <w:t>（签/章）</w:t>
      </w:r>
      <w:r>
        <w:rPr>
          <w:rFonts w:hint="eastAsia" w:ascii="宋体" w:hAnsi="宋体" w:eastAsia="宋体" w:cs="宋体"/>
          <w:color w:val="auto"/>
          <w:sz w:val="24"/>
          <w:szCs w:val="20"/>
          <w:highlight w:val="none"/>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                                       </w:t>
      </w:r>
    </w:p>
    <w:p>
      <w:pPr>
        <w:pStyle w:val="18"/>
        <w:tabs>
          <w:tab w:val="left" w:pos="558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供应商为自然人的，应提供身份证明的复印件。</w:t>
      </w: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3.联合体投标应提供联合体各方满足以上要求的证明文件。</w:t>
      </w:r>
      <w:bookmarkStart w:id="791" w:name="_Toc6829"/>
      <w:bookmarkStart w:id="792" w:name="_Toc13107"/>
      <w:bookmarkStart w:id="793" w:name="_Toc515647807"/>
      <w:bookmarkStart w:id="794" w:name="_Toc5436"/>
      <w:bookmarkStart w:id="795" w:name="_Toc22472"/>
      <w:bookmarkStart w:id="796" w:name="_Toc21867"/>
      <w:bookmarkStart w:id="797" w:name="_Toc16640"/>
      <w:bookmarkStart w:id="798" w:name="_Toc1083"/>
    </w:p>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pStyle w:val="18"/>
        <w:tabs>
          <w:tab w:val="left" w:pos="5580"/>
        </w:tabs>
        <w:spacing w:line="400" w:lineRule="exact"/>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8"/>
        <w:rPr>
          <w:rFonts w:hint="eastAsia" w:ascii="宋体" w:hAnsi="宋体" w:eastAsia="宋体" w:cs="宋体"/>
          <w:color w:val="auto"/>
          <w:highlight w:val="none"/>
        </w:rPr>
      </w:pPr>
    </w:p>
    <w:p>
      <w:pPr>
        <w:spacing w:line="400" w:lineRule="exact"/>
        <w:ind w:left="1080" w:leftChars="257" w:hanging="540"/>
        <w:jc w:val="center"/>
        <w:rPr>
          <w:rFonts w:hint="eastAsia" w:ascii="宋体" w:hAnsi="宋体" w:eastAsia="宋体" w:cs="宋体"/>
          <w:b/>
          <w:bCs/>
          <w:color w:val="auto"/>
          <w:sz w:val="24"/>
          <w:highlight w:val="none"/>
        </w:rPr>
      </w:pPr>
      <w:bookmarkStart w:id="799" w:name="_Toc32380"/>
      <w:bookmarkStart w:id="800" w:name="_Toc6179"/>
      <w:bookmarkStart w:id="801" w:name="_Toc24769"/>
      <w:r>
        <w:rPr>
          <w:rFonts w:hint="eastAsia" w:ascii="宋体" w:hAnsi="宋体" w:eastAsia="宋体" w:cs="宋体"/>
          <w:b/>
          <w:bCs/>
          <w:color w:val="auto"/>
          <w:sz w:val="24"/>
          <w:highlight w:val="none"/>
        </w:rPr>
        <w:t>法定代表人授权委托书</w:t>
      </w:r>
      <w:bookmarkEnd w:id="791"/>
      <w:bookmarkEnd w:id="792"/>
      <w:bookmarkEnd w:id="793"/>
      <w:bookmarkEnd w:id="794"/>
      <w:bookmarkEnd w:id="795"/>
      <w:bookmarkEnd w:id="796"/>
      <w:bookmarkEnd w:id="797"/>
      <w:bookmarkEnd w:id="798"/>
      <w:bookmarkEnd w:id="799"/>
      <w:bookmarkEnd w:id="800"/>
      <w:bookmarkEnd w:id="801"/>
      <w:bookmarkStart w:id="802" w:name="_Toc515647808"/>
      <w:bookmarkStart w:id="803" w:name="_Toc7039"/>
      <w:bookmarkStart w:id="804" w:name="_Toc32520"/>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本授权书声明：注册于</w:t>
      </w:r>
      <w:r>
        <w:rPr>
          <w:rFonts w:hint="eastAsia" w:ascii="宋体" w:hAnsi="宋体" w:eastAsia="宋体" w:cs="宋体"/>
          <w:color w:val="auto"/>
          <w:sz w:val="24"/>
          <w:highlight w:val="none"/>
          <w:u w:val="single"/>
        </w:rPr>
        <w:t>（国家或地区的名称）的（供应商）</w:t>
      </w:r>
      <w:r>
        <w:rPr>
          <w:rFonts w:hint="eastAsia" w:ascii="宋体" w:hAnsi="宋体" w:eastAsia="宋体" w:cs="宋体"/>
          <w:color w:val="auto"/>
          <w:sz w:val="24"/>
          <w:highlight w:val="none"/>
        </w:rPr>
        <w:t>的在下面签字的</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法定代表人</w:t>
      </w:r>
      <w:r>
        <w:rPr>
          <w:rFonts w:hint="eastAsia" w:ascii="宋体" w:hAnsi="宋体" w:eastAsia="宋体" w:cs="宋体"/>
          <w:color w:val="auto"/>
          <w:sz w:val="24"/>
          <w:highlight w:val="none"/>
          <w:u w:val="single"/>
        </w:rPr>
        <w:t>代表姓名、职务）</w:t>
      </w:r>
      <w:r>
        <w:rPr>
          <w:rFonts w:hint="eastAsia" w:ascii="宋体" w:hAnsi="宋体" w:eastAsia="宋体" w:cs="宋体"/>
          <w:color w:val="auto"/>
          <w:sz w:val="24"/>
          <w:highlight w:val="none"/>
        </w:rPr>
        <w:t>代表我单位授权</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的在下面签字的</w:t>
      </w:r>
      <w:r>
        <w:rPr>
          <w:rFonts w:hint="eastAsia" w:ascii="宋体" w:hAnsi="宋体" w:eastAsia="宋体" w:cs="宋体"/>
          <w:color w:val="auto"/>
          <w:sz w:val="24"/>
          <w:highlight w:val="none"/>
          <w:u w:val="single"/>
        </w:rPr>
        <w:t>（被授权人的姓名、职务）</w:t>
      </w:r>
      <w:r>
        <w:rPr>
          <w:rFonts w:hint="eastAsia" w:ascii="宋体" w:hAnsi="宋体" w:eastAsia="宋体" w:cs="宋体"/>
          <w:color w:val="auto"/>
          <w:sz w:val="24"/>
          <w:highlight w:val="none"/>
        </w:rPr>
        <w:t>为我单位的合法代理人，就</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的投标，以我单位名义处理一切与之有关的事务。　　</w:t>
      </w:r>
    </w:p>
    <w:p>
      <w:pPr>
        <w:pStyle w:val="18"/>
        <w:keepNext w:val="0"/>
        <w:keepLines w:val="0"/>
        <w:pageBreakBefore w:val="0"/>
        <w:widowControl w:val="0"/>
        <w:tabs>
          <w:tab w:val="left" w:pos="5580"/>
        </w:tabs>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签字生效,特此声明。</w:t>
      </w:r>
    </w:p>
    <w:p>
      <w:pPr>
        <w:pStyle w:val="18"/>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60288" behindDoc="0" locked="0" layoutInCell="1" allowOverlap="1">
                <wp:simplePos x="0" y="0"/>
                <wp:positionH relativeFrom="column">
                  <wp:posOffset>2728595</wp:posOffset>
                </wp:positionH>
                <wp:positionV relativeFrom="paragraph">
                  <wp:posOffset>169545</wp:posOffset>
                </wp:positionV>
                <wp:extent cx="2507615" cy="1405890"/>
                <wp:effectExtent l="4445" t="4445" r="21590" b="18415"/>
                <wp:wrapNone/>
                <wp:docPr id="3"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1029" o:spid="_x0000_s1026" o:spt="176" type="#_x0000_t176" style="position:absolute;left:0pt;margin-left:214.85pt;margin-top:13.35pt;height:110.7pt;width:197.45pt;z-index:251660288;mso-width-relative:page;mso-height-relative:page;" fillcolor="#FFFFFF" filled="t" stroked="t" coordsize="21600,21600" o:gfxdata="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A2yQ/XAAAACgEAAA8AAAAAAAAAAQAgAAAAIgAAAGRycy9k&#10;b3ducmV2LnhtbFBLAQIUABQAAAAIAIdO4kDRky3gAwIAADsEAAAOAAAAAAAAAAEAIAAAACYBAABk&#10;cnMvZTJvRG9jLnhtbFBLBQYAAAAABgAGAFkBAACb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029"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110.7pt;width:197.45pt;z-index:251659264;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5Lq23XAAAACAEAAA8AAAAAAAAAAQAgAAAAIgAAAGRycy9k&#10;b3ducmV2LnhtbFBLAQIUABQAAAAIAIdO4kAMpnBdAwIAAD4EAAAOAAAAAAAAAAEAIAAAACYBAABk&#10;cnMvZTJvRG9jLnhtbFBLBQYAAAAABgAGAFkBAACb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8"/>
        <w:tabs>
          <w:tab w:val="left" w:pos="5580"/>
        </w:tabs>
        <w:spacing w:line="240" w:lineRule="atLeast"/>
        <w:ind w:left="1080" w:leftChars="257" w:hanging="540"/>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ind w:left="1080" w:leftChars="257" w:hanging="540"/>
        <w:rPr>
          <w:rFonts w:hint="eastAsia" w:ascii="宋体" w:hAnsi="宋体" w:eastAsia="宋体" w:cs="宋体"/>
          <w:color w:val="auto"/>
          <w:sz w:val="24"/>
          <w:highlight w:val="none"/>
        </w:rPr>
      </w:pPr>
    </w:p>
    <w:p>
      <w:pPr>
        <w:pStyle w:val="18"/>
        <w:tabs>
          <w:tab w:val="left" w:pos="5580"/>
        </w:tabs>
        <w:spacing w:line="240" w:lineRule="atLeast"/>
        <w:ind w:left="1080" w:leftChars="257" w:hanging="540"/>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62336" behindDoc="0" locked="0" layoutInCell="1" allowOverlap="1">
                <wp:simplePos x="0" y="0"/>
                <wp:positionH relativeFrom="column">
                  <wp:posOffset>96520</wp:posOffset>
                </wp:positionH>
                <wp:positionV relativeFrom="paragraph">
                  <wp:posOffset>191135</wp:posOffset>
                </wp:positionV>
                <wp:extent cx="2507615" cy="1405890"/>
                <wp:effectExtent l="4445" t="4445" r="21590" b="18415"/>
                <wp:wrapNone/>
                <wp:docPr id="5"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wps:txbx>
                      <wps:bodyPr upright="1"/>
                    </wps:wsp>
                  </a:graphicData>
                </a:graphic>
              </wp:anchor>
            </w:drawing>
          </mc:Choice>
          <mc:Fallback>
            <w:pict>
              <v:shape id="1029" o:spid="_x0000_s1026" o:spt="176" type="#_x0000_t176" style="position:absolute;left:0pt;margin-left:7.6pt;margin-top:15.05pt;height:110.7pt;width:197.45pt;z-index:251662336;mso-width-relative:page;mso-height-relative:page;" fillcolor="#FFFFFF" filled="t" stroked="t" coordsize="21600,21600" o:gfxdata="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bc31wAAAAkBAAAPAAAAAAAAAAEAIAAAACIAAABkcnMvZG93&#10;bnJldi54bWxQSwECFAAUAAAACACHTuJAOIWcCQECAAA7BAAADgAAAAAAAAABACAAAAAmAQAAZHJz&#10;L2Uyb0RvYy54bWxQSwUGAAAAAAYABgBZAQAAmQ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0" distR="0" simplePos="0" relativeHeight="251661312" behindDoc="0" locked="0" layoutInCell="1" allowOverlap="1">
                <wp:simplePos x="0" y="0"/>
                <wp:positionH relativeFrom="column">
                  <wp:posOffset>2820035</wp:posOffset>
                </wp:positionH>
                <wp:positionV relativeFrom="paragraph">
                  <wp:posOffset>167005</wp:posOffset>
                </wp:positionV>
                <wp:extent cx="2507615" cy="1405890"/>
                <wp:effectExtent l="4445" t="4445" r="21590" b="18415"/>
                <wp:wrapNone/>
                <wp:docPr id="4"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wps:txbx>
                      <wps:bodyPr upright="1"/>
                    </wps:wsp>
                  </a:graphicData>
                </a:graphic>
              </wp:anchor>
            </w:drawing>
          </mc:Choice>
          <mc:Fallback>
            <w:pict>
              <v:shape id="1029" o:spid="_x0000_s1026" o:spt="176" type="#_x0000_t176" style="position:absolute;left:0pt;margin-left:222.05pt;margin-top:13.15pt;height:110.7pt;width:197.45pt;z-index:251661312;mso-width-relative:page;mso-height-relative:page;" fillcolor="#FFFFFF" filled="t" stroked="t" coordsize="21600,21600" o:gfxdata="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1rcePYAAAACgEAAA8AAAAAAAAAAQAgAAAAIgAAAGRycy9k&#10;b3ducmV2LnhtbFBLAQIUABQAAAAIAIdO4kD0grx+AgIAADsEAAAOAAAAAAAAAAEAIAAAACcBAABk&#10;cnMvZTJvRG9jLnhtbFBLBQYAAAAABgAGAFkBAACb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v:textbox>
              </v:shape>
            </w:pict>
          </mc:Fallback>
        </mc:AlternateContent>
      </w: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ind w:left="1080" w:leftChars="257" w:hanging="540"/>
        <w:rPr>
          <w:rFonts w:hint="eastAsia" w:ascii="宋体" w:hAnsi="宋体" w:eastAsia="宋体" w:cs="宋体"/>
          <w:color w:val="auto"/>
          <w:sz w:val="24"/>
          <w:highlight w:val="none"/>
        </w:rPr>
      </w:pPr>
    </w:p>
    <w:p>
      <w:pPr>
        <w:pStyle w:val="18"/>
        <w:tabs>
          <w:tab w:val="left" w:pos="5580"/>
        </w:tabs>
        <w:spacing w:line="240" w:lineRule="atLeast"/>
        <w:ind w:left="1080" w:leftChars="257" w:hanging="540"/>
        <w:rPr>
          <w:rFonts w:hint="eastAsia" w:ascii="宋体" w:hAnsi="宋体" w:eastAsia="宋体" w:cs="宋体"/>
          <w:color w:val="auto"/>
          <w:sz w:val="24"/>
          <w:highlight w:val="none"/>
        </w:rPr>
      </w:pPr>
    </w:p>
    <w:p>
      <w:pPr>
        <w:pStyle w:val="18"/>
        <w:tabs>
          <w:tab w:val="left" w:pos="5580"/>
        </w:tabs>
        <w:spacing w:line="240" w:lineRule="atLeast"/>
        <w:ind w:left="1080" w:leftChars="257" w:hanging="540"/>
        <w:rPr>
          <w:rFonts w:hint="eastAsia" w:ascii="宋体" w:hAnsi="宋体" w:eastAsia="宋体" w:cs="宋体"/>
          <w:color w:val="auto"/>
          <w:sz w:val="24"/>
          <w:highlight w:val="none"/>
        </w:rPr>
      </w:pPr>
    </w:p>
    <w:p>
      <w:pPr>
        <w:pStyle w:val="18"/>
        <w:tabs>
          <w:tab w:val="left" w:pos="5580"/>
        </w:tabs>
        <w:spacing w:line="240" w:lineRule="atLeast"/>
        <w:ind w:left="1080" w:leftChars="257" w:hanging="54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注：须提供身份证正反面。</w:t>
      </w: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（签/章）</w:t>
      </w:r>
      <w:r>
        <w:rPr>
          <w:rFonts w:hint="eastAsia" w:ascii="宋体" w:hAnsi="宋体" w:eastAsia="宋体" w:cs="宋体"/>
          <w:color w:val="auto"/>
          <w:sz w:val="24"/>
          <w:highlight w:val="non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身份证号码：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szCs w:val="24"/>
          <w:highlight w:val="none"/>
        </w:rPr>
        <w:t>（签/章）</w:t>
      </w:r>
      <w:r>
        <w:rPr>
          <w:rFonts w:hint="eastAsia" w:ascii="宋体" w:hAnsi="宋体" w:eastAsia="宋体" w:cs="宋体"/>
          <w:color w:val="auto"/>
          <w:sz w:val="24"/>
          <w:highlight w:val="non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身份证号码：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详细通讯地址：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邮 政 编 码 ：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bookmarkEnd w:id="802"/>
      <w:bookmarkEnd w:id="803"/>
      <w:bookmarkEnd w:id="804"/>
    </w:p>
    <w:p>
      <w:pPr>
        <w:pStyle w:val="18"/>
        <w:tabs>
          <w:tab w:val="left" w:pos="5580"/>
        </w:tabs>
        <w:spacing w:line="400" w:lineRule="exact"/>
        <w:ind w:left="1079" w:leftChars="257" w:hanging="539"/>
        <w:rPr>
          <w:rFonts w:hint="eastAsia" w:ascii="宋体" w:hAnsi="宋体" w:eastAsia="宋体" w:cs="宋体"/>
          <w:color w:val="auto"/>
          <w:sz w:val="24"/>
          <w:highlight w:val="none"/>
        </w:rPr>
      </w:pPr>
    </w:p>
    <w:p>
      <w:pPr>
        <w:pStyle w:val="18"/>
        <w:tabs>
          <w:tab w:val="left" w:pos="5580"/>
        </w:tabs>
        <w:spacing w:line="400" w:lineRule="exact"/>
        <w:ind w:left="1079" w:leftChars="257" w:hanging="539"/>
        <w:rPr>
          <w:rFonts w:hint="eastAsia" w:ascii="宋体" w:hAnsi="宋体" w:eastAsia="宋体" w:cs="宋体"/>
          <w:color w:val="auto"/>
          <w:sz w:val="24"/>
          <w:highlight w:val="none"/>
        </w:rPr>
      </w:pPr>
    </w:p>
    <w:p>
      <w:pPr>
        <w:pStyle w:val="16"/>
        <w:spacing w:line="400" w:lineRule="exact"/>
        <w:ind w:firstLine="0" w:firstLineChars="0"/>
        <w:outlineLvl w:val="1"/>
        <w:rPr>
          <w:rFonts w:hint="eastAsia" w:ascii="宋体" w:hAnsi="宋体" w:eastAsia="宋体" w:cs="宋体"/>
          <w:b/>
          <w:color w:val="auto"/>
          <w:kern w:val="0"/>
          <w:szCs w:val="20"/>
          <w:highlight w:val="none"/>
        </w:rPr>
      </w:pPr>
      <w:bookmarkStart w:id="805" w:name="_Toc7676"/>
      <w:r>
        <w:rPr>
          <w:rFonts w:hint="eastAsia" w:ascii="宋体" w:hAnsi="宋体" w:eastAsia="宋体" w:cs="宋体"/>
          <w:b/>
          <w:color w:val="auto"/>
          <w:kern w:val="0"/>
          <w:szCs w:val="20"/>
          <w:highlight w:val="none"/>
        </w:rPr>
        <w:t>4、</w:t>
      </w:r>
      <w:r>
        <w:rPr>
          <w:rFonts w:hint="eastAsia" w:ascii="宋体" w:hAnsi="宋体" w:eastAsia="宋体" w:cs="宋体"/>
          <w:b/>
          <w:color w:val="auto"/>
          <w:kern w:val="0"/>
          <w:szCs w:val="20"/>
          <w:highlight w:val="none"/>
          <w:lang w:eastAsia="zh-CN"/>
        </w:rPr>
        <w:t>提供2020年或2021年经审计的财务审计报告（2022年成立的新公司出具近3个月任意一个月的银行资信证明）</w:t>
      </w:r>
      <w:r>
        <w:rPr>
          <w:rFonts w:hint="eastAsia" w:ascii="宋体" w:hAnsi="宋体" w:eastAsia="宋体" w:cs="宋体"/>
          <w:b/>
          <w:color w:val="auto"/>
          <w:kern w:val="0"/>
          <w:szCs w:val="20"/>
          <w:highlight w:val="none"/>
        </w:rPr>
        <w:t>；</w:t>
      </w:r>
      <w:bookmarkEnd w:id="805"/>
    </w:p>
    <w:p>
      <w:pPr>
        <w:pStyle w:val="16"/>
        <w:spacing w:line="400" w:lineRule="exact"/>
        <w:ind w:firstLine="0" w:firstLineChars="0"/>
        <w:outlineLvl w:val="9"/>
        <w:rPr>
          <w:rFonts w:hint="eastAsia" w:ascii="宋体" w:hAnsi="宋体" w:eastAsia="宋体" w:cs="宋体"/>
          <w:b/>
          <w:color w:val="auto"/>
          <w:kern w:val="0"/>
          <w:szCs w:val="20"/>
          <w:highlight w:val="none"/>
        </w:rPr>
      </w:pPr>
    </w:p>
    <w:p>
      <w:pPr>
        <w:pStyle w:val="16"/>
        <w:spacing w:line="400" w:lineRule="exact"/>
        <w:ind w:firstLine="0" w:firstLineChars="0"/>
        <w:outlineLvl w:val="9"/>
        <w:rPr>
          <w:rFonts w:hint="eastAsia" w:ascii="宋体" w:hAnsi="宋体" w:eastAsia="宋体" w:cs="宋体"/>
          <w:b/>
          <w:color w:val="auto"/>
          <w:kern w:val="0"/>
          <w:szCs w:val="20"/>
          <w:highlight w:val="none"/>
        </w:rPr>
      </w:pPr>
    </w:p>
    <w:p>
      <w:pPr>
        <w:pStyle w:val="16"/>
        <w:spacing w:line="400" w:lineRule="exact"/>
        <w:ind w:firstLine="0" w:firstLineChars="0"/>
        <w:outlineLvl w:val="9"/>
        <w:rPr>
          <w:rFonts w:hint="eastAsia" w:ascii="宋体" w:hAnsi="宋体" w:eastAsia="宋体" w:cs="宋体"/>
          <w:b/>
          <w:color w:val="auto"/>
          <w:kern w:val="0"/>
          <w:szCs w:val="20"/>
          <w:highlight w:val="none"/>
        </w:rPr>
      </w:pPr>
    </w:p>
    <w:p>
      <w:pPr>
        <w:pStyle w:val="16"/>
        <w:spacing w:line="400" w:lineRule="exact"/>
        <w:ind w:firstLine="0" w:firstLineChars="0"/>
        <w:outlineLvl w:val="1"/>
        <w:rPr>
          <w:rFonts w:hint="eastAsia" w:ascii="宋体" w:hAnsi="宋体" w:eastAsia="宋体" w:cs="宋体"/>
          <w:color w:val="auto"/>
          <w:highlight w:val="none"/>
        </w:rPr>
      </w:pPr>
      <w:bookmarkStart w:id="806" w:name="_Toc9455"/>
      <w:r>
        <w:rPr>
          <w:rFonts w:hint="eastAsia" w:ascii="宋体" w:hAnsi="宋体" w:eastAsia="宋体" w:cs="宋体"/>
          <w:b/>
          <w:color w:val="auto"/>
          <w:kern w:val="0"/>
          <w:szCs w:val="20"/>
          <w:highlight w:val="none"/>
        </w:rPr>
        <w:t>5、</w:t>
      </w:r>
      <w:r>
        <w:rPr>
          <w:rFonts w:hint="eastAsia" w:ascii="宋体" w:hAnsi="宋体" w:eastAsia="宋体" w:cs="宋体"/>
          <w:b/>
          <w:color w:val="auto"/>
          <w:kern w:val="0"/>
          <w:szCs w:val="20"/>
          <w:highlight w:val="none"/>
          <w:lang w:eastAsia="zh-CN"/>
        </w:rPr>
        <w:t>依法缴纳最近连续六个月的社会保险的凭据（授权人和单位员工缴纳明细凭据）</w:t>
      </w:r>
      <w:r>
        <w:rPr>
          <w:rFonts w:hint="eastAsia" w:ascii="宋体" w:hAnsi="宋体" w:eastAsia="宋体" w:cs="宋体"/>
          <w:b/>
          <w:color w:val="auto"/>
          <w:kern w:val="0"/>
          <w:szCs w:val="20"/>
          <w:highlight w:val="none"/>
        </w:rPr>
        <w:t>；</w:t>
      </w:r>
      <w:bookmarkEnd w:id="806"/>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outlineLvl w:val="1"/>
        <w:rPr>
          <w:rFonts w:hint="eastAsia" w:ascii="宋体" w:hAnsi="宋体" w:eastAsia="宋体" w:cs="宋体"/>
          <w:b/>
          <w:color w:val="auto"/>
          <w:kern w:val="0"/>
          <w:sz w:val="24"/>
          <w:highlight w:val="none"/>
        </w:rPr>
      </w:pPr>
      <w:bookmarkStart w:id="807" w:name="_Toc29204"/>
      <w:r>
        <w:rPr>
          <w:rFonts w:hint="eastAsia" w:ascii="宋体" w:hAnsi="宋体" w:eastAsia="宋体" w:cs="宋体"/>
          <w:b/>
          <w:color w:val="auto"/>
          <w:kern w:val="0"/>
          <w:sz w:val="24"/>
          <w:highlight w:val="none"/>
        </w:rPr>
        <w:t>6、</w:t>
      </w:r>
      <w:r>
        <w:rPr>
          <w:rFonts w:hint="eastAsia" w:ascii="宋体" w:hAnsi="宋体" w:eastAsia="宋体" w:cs="宋体"/>
          <w:b/>
          <w:color w:val="auto"/>
          <w:kern w:val="0"/>
          <w:sz w:val="24"/>
          <w:highlight w:val="none"/>
          <w:lang w:eastAsia="zh-CN"/>
        </w:rPr>
        <w:t>提供税务部门出具的最近连续六个月的完税证明</w:t>
      </w:r>
      <w:r>
        <w:rPr>
          <w:rFonts w:hint="eastAsia" w:ascii="宋体" w:hAnsi="宋体" w:eastAsia="宋体" w:cs="宋体"/>
          <w:b/>
          <w:color w:val="auto"/>
          <w:kern w:val="0"/>
          <w:sz w:val="24"/>
          <w:highlight w:val="none"/>
        </w:rPr>
        <w:t>；</w:t>
      </w:r>
      <w:bookmarkEnd w:id="807"/>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spacing w:line="400" w:lineRule="exact"/>
        <w:outlineLvl w:val="1"/>
        <w:rPr>
          <w:rFonts w:hint="eastAsia" w:ascii="宋体" w:hAnsi="宋体" w:eastAsia="宋体" w:cs="宋体"/>
          <w:b/>
          <w:color w:val="auto"/>
          <w:kern w:val="0"/>
          <w:sz w:val="24"/>
          <w:highlight w:val="none"/>
        </w:rPr>
      </w:pPr>
      <w:bookmarkStart w:id="808" w:name="_Toc21721"/>
      <w:r>
        <w:rPr>
          <w:rFonts w:hint="eastAsia" w:ascii="宋体" w:hAnsi="宋体" w:eastAsia="宋体" w:cs="宋体"/>
          <w:b/>
          <w:color w:val="auto"/>
          <w:kern w:val="0"/>
          <w:sz w:val="24"/>
          <w:highlight w:val="none"/>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b/>
          <w:color w:val="auto"/>
          <w:kern w:val="0"/>
          <w:sz w:val="24"/>
          <w:highlight w:val="none"/>
          <w:lang w:eastAsia="zh-CN"/>
        </w:rPr>
        <w:t>信用服务-重点领域严重失信主体名单查询-搜索栏输入单位全称-截图</w:t>
      </w:r>
      <w:r>
        <w:rPr>
          <w:rFonts w:hint="eastAsia" w:ascii="宋体" w:hAnsi="宋体" w:eastAsia="宋体" w:cs="宋体"/>
          <w:b/>
          <w:color w:val="auto"/>
          <w:kern w:val="0"/>
          <w:sz w:val="24"/>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bookmarkEnd w:id="808"/>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outlineLvl w:val="1"/>
        <w:rPr>
          <w:rFonts w:hint="eastAsia" w:ascii="宋体" w:hAnsi="宋体" w:eastAsia="宋体" w:cs="宋体"/>
          <w:b/>
          <w:color w:val="auto"/>
          <w:kern w:val="0"/>
          <w:sz w:val="24"/>
          <w:highlight w:val="none"/>
        </w:rPr>
      </w:pPr>
      <w:bookmarkStart w:id="809" w:name="_Toc15707"/>
      <w:r>
        <w:rPr>
          <w:rFonts w:hint="eastAsia" w:ascii="宋体" w:hAnsi="宋体" w:eastAsia="宋体" w:cs="宋体"/>
          <w:b/>
          <w:color w:val="auto"/>
          <w:kern w:val="0"/>
          <w:sz w:val="24"/>
          <w:highlight w:val="none"/>
        </w:rPr>
        <w:t>8、参与政府采购活动前3年内未被列入失信、重大税收违法案件、财政部门禁止参加政府采购活动的承诺书；</w:t>
      </w:r>
      <w:bookmarkEnd w:id="809"/>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ind w:firstLine="482" w:firstLineChars="200"/>
        <w:outlineLvl w:val="1"/>
        <w:rPr>
          <w:rFonts w:hint="eastAsia" w:ascii="宋体" w:hAnsi="宋体" w:eastAsia="宋体" w:cs="宋体"/>
          <w:b/>
          <w:color w:val="auto"/>
          <w:kern w:val="0"/>
          <w:sz w:val="24"/>
          <w:highlight w:val="none"/>
        </w:rPr>
      </w:pPr>
      <w:bookmarkStart w:id="810" w:name="_Toc17170"/>
      <w:r>
        <w:rPr>
          <w:rFonts w:hint="eastAsia" w:ascii="宋体" w:hAnsi="宋体" w:eastAsia="宋体" w:cs="宋体"/>
          <w:b/>
          <w:color w:val="auto"/>
          <w:kern w:val="0"/>
          <w:sz w:val="24"/>
          <w:highlight w:val="none"/>
        </w:rPr>
        <w:t>9、提供针对本次项目《反商业贿赂承诺书》；</w:t>
      </w:r>
      <w:bookmarkEnd w:id="810"/>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numPr>
          <w:ilvl w:val="0"/>
          <w:numId w:val="0"/>
        </w:numPr>
        <w:ind w:firstLine="482" w:firstLineChars="200"/>
        <w:outlineLvl w:val="1"/>
        <w:rPr>
          <w:rFonts w:hint="eastAsia" w:ascii="宋体" w:hAnsi="宋体" w:eastAsia="宋体" w:cs="宋体"/>
          <w:b/>
          <w:color w:val="auto"/>
          <w:kern w:val="0"/>
          <w:sz w:val="24"/>
          <w:szCs w:val="20"/>
          <w:highlight w:val="none"/>
          <w:lang w:val="en-US" w:eastAsia="zh-CN" w:bidi="ar-SA"/>
        </w:rPr>
      </w:pPr>
      <w:bookmarkStart w:id="811" w:name="_Toc24356"/>
      <w:bookmarkStart w:id="812" w:name="_Toc4712"/>
      <w:r>
        <w:rPr>
          <w:rFonts w:hint="eastAsia" w:ascii="宋体" w:hAnsi="宋体" w:eastAsia="宋体" w:cs="宋体"/>
          <w:b/>
          <w:color w:val="auto"/>
          <w:kern w:val="0"/>
          <w:sz w:val="24"/>
          <w:szCs w:val="20"/>
          <w:highlight w:val="none"/>
          <w:lang w:val="en-US" w:eastAsia="zh-CN" w:bidi="ar-SA"/>
        </w:rPr>
        <w:t>10、缴纳投标保证金有效凭证；</w:t>
      </w:r>
      <w:bookmarkEnd w:id="811"/>
      <w:bookmarkEnd w:id="812"/>
    </w:p>
    <w:tbl>
      <w:tblPr>
        <w:tblStyle w:val="29"/>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center"/>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color w:val="auto"/>
                <w:sz w:val="24"/>
                <w:highlight w:val="none"/>
              </w:rPr>
              <w:t>缴纳</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保证金的</w:t>
            </w:r>
            <w:r>
              <w:rPr>
                <w:rFonts w:hint="eastAsia" w:ascii="宋体" w:hAnsi="宋体" w:eastAsia="宋体" w:cs="宋体"/>
                <w:b/>
                <w:color w:val="auto"/>
                <w:kern w:val="0"/>
                <w:sz w:val="24"/>
                <w:highlight w:val="none"/>
              </w:rPr>
              <w:t>银行转账回执单</w:t>
            </w:r>
            <w:r>
              <w:rPr>
                <w:rFonts w:hint="eastAsia" w:ascii="宋体" w:hAnsi="宋体" w:eastAsia="宋体" w:cs="宋体"/>
                <w:b w:val="0"/>
                <w:i w:val="0"/>
                <w:caps w:val="0"/>
                <w:color w:val="auto"/>
                <w:spacing w:val="0"/>
                <w:w w:val="100"/>
                <w:kern w:val="0"/>
                <w:sz w:val="24"/>
                <w:highlight w:val="none"/>
                <w:lang w:val="en-US" w:eastAsia="zh-CN"/>
              </w:rPr>
              <w:t>或开户行银行保函</w:t>
            </w:r>
          </w:p>
        </w:tc>
      </w:tr>
    </w:tbl>
    <w:p>
      <w:pPr>
        <w:pStyle w:val="24"/>
        <w:ind w:firstLine="482" w:firstLineChars="200"/>
        <w:rPr>
          <w:rFonts w:hint="eastAsia" w:ascii="宋体" w:hAnsi="宋体" w:eastAsia="宋体" w:cs="宋体"/>
          <w:b/>
          <w:bCs/>
          <w:i w:val="0"/>
          <w:caps w:val="0"/>
          <w:color w:val="auto"/>
          <w:spacing w:val="0"/>
          <w:w w:val="100"/>
          <w:sz w:val="24"/>
          <w:szCs w:val="24"/>
          <w:highlight w:val="none"/>
        </w:rPr>
      </w:pPr>
    </w:p>
    <w:p>
      <w:pPr>
        <w:pStyle w:val="24"/>
        <w:rPr>
          <w:rFonts w:hint="eastAsia" w:ascii="宋体" w:hAnsi="宋体" w:eastAsia="宋体" w:cs="宋体"/>
          <w:color w:val="auto"/>
          <w:highlight w:val="none"/>
        </w:rPr>
      </w:pPr>
      <w:r>
        <w:rPr>
          <w:rFonts w:hint="eastAsia" w:ascii="宋体" w:hAnsi="宋体" w:eastAsia="宋体" w:cs="宋体"/>
          <w:b/>
          <w:bCs/>
          <w:i w:val="0"/>
          <w:caps w:val="0"/>
          <w:color w:val="auto"/>
          <w:spacing w:val="0"/>
          <w:w w:val="100"/>
          <w:sz w:val="24"/>
          <w:szCs w:val="24"/>
          <w:highlight w:val="none"/>
        </w:rPr>
        <w:t>注：本项目以缴纳</w:t>
      </w:r>
      <w:r>
        <w:rPr>
          <w:rFonts w:hint="eastAsia" w:ascii="宋体" w:hAnsi="宋体" w:eastAsia="宋体" w:cs="宋体"/>
          <w:b/>
          <w:bCs/>
          <w:i w:val="0"/>
          <w:caps w:val="0"/>
          <w:color w:val="auto"/>
          <w:spacing w:val="0"/>
          <w:w w:val="100"/>
          <w:sz w:val="24"/>
          <w:szCs w:val="24"/>
          <w:highlight w:val="none"/>
          <w:lang w:eastAsia="zh-CN"/>
        </w:rPr>
        <w:t>投标</w:t>
      </w:r>
      <w:r>
        <w:rPr>
          <w:rFonts w:hint="eastAsia" w:ascii="宋体" w:hAnsi="宋体" w:eastAsia="宋体" w:cs="宋体"/>
          <w:b/>
          <w:bCs/>
          <w:i w:val="0"/>
          <w:caps w:val="0"/>
          <w:color w:val="auto"/>
          <w:spacing w:val="0"/>
          <w:w w:val="100"/>
          <w:sz w:val="24"/>
          <w:szCs w:val="24"/>
          <w:highlight w:val="none"/>
        </w:rPr>
        <w:t>保证金的银行转账回执单或开户行银行保函复印件盖公章为准。</w:t>
      </w:r>
    </w:p>
    <w:p>
      <w:pPr>
        <w:pStyle w:val="18"/>
        <w:tabs>
          <w:tab w:val="left" w:pos="5580"/>
        </w:tabs>
        <w:spacing w:line="400" w:lineRule="exact"/>
        <w:ind w:left="540" w:leftChars="257"/>
        <w:rPr>
          <w:rFonts w:hint="eastAsia" w:ascii="宋体" w:hAnsi="宋体" w:eastAsia="宋体" w:cs="宋体"/>
          <w:b/>
          <w:color w:val="auto"/>
          <w:kern w:val="0"/>
          <w:sz w:val="24"/>
          <w:highlight w:val="none"/>
        </w:rPr>
      </w:pPr>
    </w:p>
    <w:p>
      <w:pPr>
        <w:pStyle w:val="18"/>
        <w:tabs>
          <w:tab w:val="left" w:pos="5580"/>
        </w:tabs>
        <w:spacing w:line="400" w:lineRule="exact"/>
        <w:ind w:left="540" w:leftChars="257"/>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ind w:left="540" w:leftChars="257"/>
        <w:outlineLvl w:val="1"/>
        <w:rPr>
          <w:rFonts w:hint="eastAsia" w:ascii="宋体" w:hAnsi="宋体" w:eastAsia="宋体" w:cs="宋体"/>
          <w:b/>
          <w:color w:val="auto"/>
          <w:kern w:val="0"/>
          <w:sz w:val="24"/>
          <w:highlight w:val="none"/>
        </w:rPr>
      </w:pPr>
      <w:bookmarkStart w:id="813" w:name="_Toc637"/>
      <w:bookmarkStart w:id="814" w:name="_Toc18263"/>
      <w:bookmarkStart w:id="815" w:name="_Toc22967"/>
      <w:bookmarkStart w:id="816" w:name="_Toc15346"/>
      <w:bookmarkStart w:id="817" w:name="_Toc30653"/>
      <w:bookmarkStart w:id="818" w:name="_Toc515647816"/>
      <w:bookmarkStart w:id="819" w:name="_Toc11180"/>
      <w:r>
        <w:rPr>
          <w:rFonts w:hint="eastAsia" w:ascii="宋体" w:hAnsi="宋体" w:eastAsia="宋体" w:cs="宋体"/>
          <w:b/>
          <w:bCs/>
          <w:color w:val="auto"/>
          <w:sz w:val="24"/>
          <w:highlight w:val="none"/>
        </w:rPr>
        <w:t>11、</w:t>
      </w:r>
      <w:r>
        <w:rPr>
          <w:rFonts w:hint="eastAsia" w:ascii="宋体" w:hAnsi="宋体" w:eastAsia="宋体" w:cs="宋体"/>
          <w:b/>
          <w:color w:val="auto"/>
          <w:kern w:val="0"/>
          <w:sz w:val="24"/>
          <w:highlight w:val="none"/>
        </w:rPr>
        <w:t>银行开户许可证复印件或银行基本账户信息(包含：银行账号及开户行名称）</w:t>
      </w:r>
      <w:bookmarkEnd w:id="813"/>
    </w:p>
    <w:p>
      <w:pPr>
        <w:spacing w:line="400" w:lineRule="exact"/>
        <w:ind w:left="630"/>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outlineLvl w:val="1"/>
        <w:rPr>
          <w:rFonts w:hint="eastAsia" w:ascii="宋体" w:hAnsi="宋体" w:eastAsia="宋体" w:cs="宋体"/>
          <w:b/>
          <w:bCs/>
          <w:color w:val="auto"/>
          <w:sz w:val="24"/>
          <w:highlight w:val="none"/>
        </w:rPr>
      </w:pPr>
      <w:bookmarkStart w:id="820" w:name="_Toc29751"/>
      <w:r>
        <w:rPr>
          <w:rFonts w:hint="eastAsia" w:ascii="宋体" w:hAnsi="宋体" w:eastAsia="宋体" w:cs="宋体"/>
          <w:b/>
          <w:bCs/>
          <w:color w:val="auto"/>
          <w:sz w:val="24"/>
          <w:highlight w:val="none"/>
        </w:rPr>
        <w:t>12、供应商可提供有利于投标的其他资格证明材料。</w:t>
      </w:r>
      <w:r>
        <w:rPr>
          <w:rFonts w:hint="eastAsia" w:ascii="宋体" w:hAnsi="宋体" w:eastAsia="宋体" w:cs="宋体"/>
          <w:b/>
          <w:bCs/>
          <w:color w:val="auto"/>
          <w:kern w:val="0"/>
          <w:sz w:val="24"/>
          <w:szCs w:val="20"/>
          <w:highlight w:val="none"/>
        </w:rPr>
        <w:t>（具体要求详见项目要求和</w:t>
      </w:r>
      <w:r>
        <w:rPr>
          <w:rFonts w:hint="eastAsia" w:ascii="宋体" w:hAnsi="宋体" w:eastAsia="宋体" w:cs="宋体"/>
          <w:b/>
          <w:bCs/>
          <w:color w:val="auto"/>
          <w:sz w:val="24"/>
          <w:highlight w:val="none"/>
        </w:rPr>
        <w:t>综合评分表中的商务部分）</w:t>
      </w:r>
      <w:bookmarkEnd w:id="820"/>
    </w:p>
    <w:p>
      <w:pPr>
        <w:rPr>
          <w:rFonts w:hint="eastAsia" w:ascii="宋体" w:hAnsi="宋体" w:eastAsia="宋体" w:cs="宋体"/>
          <w:color w:val="auto"/>
          <w:highlight w:val="none"/>
        </w:rPr>
      </w:pPr>
    </w:p>
    <w:p>
      <w:pPr>
        <w:rPr>
          <w:rFonts w:hint="eastAsia" w:ascii="宋体" w:hAnsi="宋体" w:eastAsia="宋体" w:cs="宋体"/>
          <w:b/>
          <w:color w:val="auto"/>
          <w:kern w:val="0"/>
          <w:sz w:val="24"/>
          <w:szCs w:val="20"/>
          <w:highlight w:val="none"/>
        </w:rPr>
      </w:pPr>
    </w:p>
    <w:p>
      <w:pPr>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pStyle w:val="13"/>
        <w:ind w:firstLine="0"/>
        <w:rPr>
          <w:rFonts w:hint="eastAsia" w:ascii="宋体" w:hAnsi="宋体" w:eastAsia="宋体" w:cs="宋体"/>
          <w:color w:val="auto"/>
          <w:highlight w:val="none"/>
        </w:rPr>
      </w:pPr>
    </w:p>
    <w:p>
      <w:pPr>
        <w:pStyle w:val="7"/>
        <w:spacing w:before="0" w:line="400" w:lineRule="exact"/>
        <w:ind w:left="540" w:leftChars="257"/>
        <w:jc w:val="both"/>
        <w:rPr>
          <w:rFonts w:hint="eastAsia" w:ascii="宋体" w:hAnsi="宋体" w:eastAsia="宋体" w:cs="宋体"/>
          <w:color w:val="auto"/>
          <w:sz w:val="24"/>
          <w:szCs w:val="24"/>
          <w:highlight w:val="none"/>
        </w:rPr>
      </w:pPr>
      <w:bookmarkStart w:id="821" w:name="_Toc1126"/>
      <w:r>
        <w:rPr>
          <w:rFonts w:hint="eastAsia" w:ascii="宋体" w:hAnsi="宋体" w:eastAsia="宋体" w:cs="宋体"/>
          <w:color w:val="auto"/>
          <w:sz w:val="24"/>
          <w:szCs w:val="24"/>
          <w:highlight w:val="none"/>
        </w:rPr>
        <w:t>第二部分  商务及技术文件</w:t>
      </w:r>
      <w:bookmarkEnd w:id="821"/>
    </w:p>
    <w:p>
      <w:pPr>
        <w:pStyle w:val="18"/>
        <w:spacing w:line="400" w:lineRule="exact"/>
        <w:ind w:left="1079" w:leftChars="257" w:hanging="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1、投标书</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szCs w:val="24"/>
          <w:highlight w:val="none"/>
        </w:rPr>
        <w:t>投标分项报价表（一）</w:t>
      </w:r>
    </w:p>
    <w:p>
      <w:pPr>
        <w:pStyle w:val="18"/>
        <w:spacing w:line="400" w:lineRule="exact"/>
        <w:ind w:left="1154" w:leftChars="485" w:hanging="136" w:hanging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备品备件设备分项报价表（二）</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3、服务说明一览表</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4、技术规格偏离表</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5、商务条款偏离表</w:t>
      </w:r>
    </w:p>
    <w:p>
      <w:pPr>
        <w:pStyle w:val="18"/>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6-1中小企业声明函</w:t>
      </w:r>
    </w:p>
    <w:p>
      <w:pPr>
        <w:pStyle w:val="18"/>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6-2《残疾人福利性单位声明函》</w:t>
      </w:r>
    </w:p>
    <w:p>
      <w:pPr>
        <w:pStyle w:val="18"/>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7、供应商关联单位的说明（格式自拟）</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8、供应商可提供有利于投标的其他资格证明材料</w:t>
      </w:r>
    </w:p>
    <w:p>
      <w:pPr>
        <w:pStyle w:val="18"/>
        <w:spacing w:line="400" w:lineRule="exact"/>
        <w:ind w:left="1080" w:leftChars="257" w:hanging="540"/>
        <w:rPr>
          <w:rFonts w:hint="eastAsia" w:ascii="宋体" w:hAnsi="宋体" w:eastAsia="宋体" w:cs="宋体"/>
          <w:color w:val="auto"/>
          <w:sz w:val="24"/>
          <w:szCs w:val="24"/>
          <w:highlight w:val="none"/>
        </w:rPr>
      </w:pPr>
      <w:bookmarkStart w:id="822" w:name="_Toc515647817"/>
      <w:bookmarkStart w:id="823" w:name="_Toc14915"/>
      <w:bookmarkStart w:id="824" w:name="_Toc2041"/>
      <w:r>
        <w:rPr>
          <w:rFonts w:hint="eastAsia" w:ascii="宋体" w:hAnsi="宋体" w:eastAsia="宋体" w:cs="宋体"/>
          <w:color w:val="auto"/>
          <w:sz w:val="24"/>
          <w:szCs w:val="24"/>
          <w:highlight w:val="none"/>
        </w:rPr>
        <w:t>9、投标文件格式范本</w:t>
      </w:r>
    </w:p>
    <w:p>
      <w:pPr>
        <w:spacing w:line="360" w:lineRule="auto"/>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4"/>
        <w:rPr>
          <w:rFonts w:hint="eastAsia" w:ascii="宋体" w:hAnsi="宋体" w:eastAsia="宋体" w:cs="宋体"/>
          <w:color w:val="auto"/>
          <w:highlight w:val="none"/>
        </w:rPr>
      </w:pPr>
    </w:p>
    <w:p>
      <w:pPr>
        <w:pStyle w:val="8"/>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400" w:lineRule="exact"/>
        <w:jc w:val="both"/>
        <w:outlineLvl w:val="9"/>
        <w:rPr>
          <w:rFonts w:hint="eastAsia" w:ascii="宋体" w:hAnsi="宋体" w:eastAsia="宋体" w:cs="宋体"/>
          <w:b/>
          <w:bCs/>
          <w:color w:val="auto"/>
          <w:sz w:val="24"/>
          <w:szCs w:val="24"/>
          <w:highlight w:val="none"/>
        </w:rPr>
      </w:pPr>
      <w:bookmarkStart w:id="825" w:name="_Toc30408"/>
      <w:bookmarkStart w:id="826" w:name="_Toc21772"/>
      <w:bookmarkStart w:id="827" w:name="_Toc29625"/>
      <w:bookmarkStart w:id="828" w:name="_Toc25918"/>
    </w:p>
    <w:p>
      <w:pPr>
        <w:pStyle w:val="18"/>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8"/>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8"/>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8"/>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8"/>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8"/>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8"/>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8"/>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8"/>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8"/>
        <w:tabs>
          <w:tab w:val="left" w:pos="5580"/>
        </w:tabs>
        <w:spacing w:line="400" w:lineRule="exact"/>
        <w:jc w:val="center"/>
        <w:outlineLvl w:val="1"/>
        <w:rPr>
          <w:rFonts w:hint="eastAsia" w:ascii="宋体" w:hAnsi="宋体" w:eastAsia="宋体" w:cs="宋体"/>
          <w:color w:val="auto"/>
          <w:sz w:val="24"/>
          <w:szCs w:val="24"/>
          <w:highlight w:val="none"/>
        </w:rPr>
      </w:pPr>
      <w:bookmarkStart w:id="829" w:name="_Toc31154"/>
      <w:r>
        <w:rPr>
          <w:rFonts w:hint="eastAsia" w:ascii="宋体" w:hAnsi="宋体" w:eastAsia="宋体" w:cs="宋体"/>
          <w:b/>
          <w:bCs/>
          <w:color w:val="auto"/>
          <w:sz w:val="24"/>
          <w:szCs w:val="24"/>
          <w:highlight w:val="none"/>
        </w:rPr>
        <w:t>1、投标书</w:t>
      </w:r>
      <w:bookmarkEnd w:id="822"/>
      <w:bookmarkEnd w:id="823"/>
      <w:bookmarkEnd w:id="824"/>
      <w:bookmarkEnd w:id="825"/>
      <w:bookmarkEnd w:id="826"/>
      <w:bookmarkEnd w:id="827"/>
      <w:bookmarkEnd w:id="828"/>
      <w:bookmarkEnd w:id="829"/>
    </w:p>
    <w:p>
      <w:pPr>
        <w:tabs>
          <w:tab w:val="left" w:pos="5580"/>
        </w:tabs>
        <w:spacing w:line="400" w:lineRule="exac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p>
    <w:p>
      <w:pPr>
        <w:pStyle w:val="18"/>
        <w:tabs>
          <w:tab w:val="left" w:pos="5580"/>
        </w:tabs>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)经正式授权并代表供应商（</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）提交下述文件正本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份及电子文档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pPr>
        <w:pStyle w:val="18"/>
        <w:tabs>
          <w:tab w:val="left" w:pos="720"/>
          <w:tab w:val="left" w:pos="900"/>
        </w:tabs>
        <w:spacing w:line="400" w:lineRule="exact"/>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（1）附投标价格表中规定的应提供服务的投标总价详见开标一览表，</w:t>
      </w:r>
      <w:r>
        <w:rPr>
          <w:rFonts w:hint="eastAsia" w:ascii="宋体" w:hAnsi="宋体" w:eastAsia="宋体" w:cs="宋体"/>
          <w:color w:val="auto"/>
          <w:sz w:val="24"/>
          <w:szCs w:val="24"/>
          <w:highlight w:val="none"/>
          <w:u w:val="single"/>
        </w:rPr>
        <w:t>其中由小型和</w:t>
      </w:r>
      <w:r>
        <w:rPr>
          <w:rFonts w:hint="eastAsia" w:ascii="宋体" w:hAnsi="宋体" w:eastAsia="宋体" w:cs="宋体"/>
          <w:color w:val="auto"/>
          <w:sz w:val="24"/>
          <w:szCs w:val="24"/>
          <w:highlight w:val="none"/>
        </w:rPr>
        <w:t>微型企业制造产品的价格为</w:t>
      </w:r>
      <w:r>
        <w:rPr>
          <w:rFonts w:hint="eastAsia" w:ascii="宋体" w:hAnsi="宋体" w:eastAsia="宋体" w:cs="宋体"/>
          <w:color w:val="auto"/>
          <w:sz w:val="24"/>
          <w:szCs w:val="24"/>
          <w:highlight w:val="none"/>
          <w:u w:val="single"/>
        </w:rPr>
        <w:t>　　  （用文字和数字表示），占投标总价   %</w:t>
      </w:r>
      <w:r>
        <w:rPr>
          <w:rFonts w:hint="eastAsia" w:ascii="宋体" w:hAnsi="宋体" w:eastAsia="宋体" w:cs="宋体"/>
          <w:color w:val="auto"/>
          <w:sz w:val="24"/>
          <w:szCs w:val="24"/>
          <w:highlight w:val="none"/>
        </w:rPr>
        <w:t>。</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或者非</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（6）我方不是为本项目提供整体设计、规范编制或者项目管理、监理、检测等服务的供应商，我方不是采购代理机构的附属机构。</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pPr>
        <w:pStyle w:val="18"/>
        <w:tabs>
          <w:tab w:val="left" w:pos="5580"/>
        </w:tabs>
        <w:spacing w:line="400" w:lineRule="exact"/>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供应商开户银行（全称）</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供应商银行帐号</w:t>
      </w:r>
      <w:r>
        <w:rPr>
          <w:rFonts w:hint="eastAsia" w:ascii="宋体" w:hAnsi="宋体" w:eastAsia="宋体" w:cs="宋体"/>
          <w:color w:val="auto"/>
          <w:sz w:val="24"/>
          <w:szCs w:val="24"/>
          <w:highlight w:val="none"/>
          <w:u w:val="single"/>
        </w:rPr>
        <w:t>　　　　　　　　 　　</w:t>
      </w:r>
    </w:p>
    <w:p>
      <w:pPr>
        <w:pStyle w:val="18"/>
        <w:tabs>
          <w:tab w:val="left" w:pos="5580"/>
        </w:tabs>
        <w:spacing w:line="400" w:lineRule="exact"/>
        <w:ind w:left="1080" w:leftChars="257" w:hanging="540"/>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bookmarkStart w:id="830" w:name="_Toc19819"/>
      <w:bookmarkStart w:id="831" w:name="_Toc14219"/>
      <w:bookmarkStart w:id="832" w:name="_Toc6738"/>
      <w:bookmarkStart w:id="833" w:name="_Toc30947"/>
      <w:bookmarkStart w:id="834" w:name="_Toc23473"/>
      <w:bookmarkStart w:id="835" w:name="_Toc1266"/>
    </w:p>
    <w:p>
      <w:pPr>
        <w:pStyle w:val="18"/>
        <w:spacing w:line="240" w:lineRule="atLeast"/>
        <w:ind w:left="1080" w:leftChars="257" w:hanging="540"/>
        <w:jc w:val="center"/>
        <w:outlineLvl w:val="1"/>
        <w:rPr>
          <w:rFonts w:hint="eastAsia" w:ascii="宋体" w:hAnsi="宋体" w:eastAsia="宋体" w:cs="宋体"/>
          <w:color w:val="auto"/>
          <w:sz w:val="24"/>
          <w:szCs w:val="24"/>
          <w:highlight w:val="none"/>
        </w:rPr>
      </w:pPr>
      <w:bookmarkStart w:id="836" w:name="_Toc26224"/>
      <w:r>
        <w:rPr>
          <w:rFonts w:hint="eastAsia" w:ascii="宋体" w:hAnsi="宋体" w:eastAsia="宋体" w:cs="宋体"/>
          <w:b/>
          <w:bCs/>
          <w:color w:val="auto"/>
          <w:sz w:val="28"/>
          <w:szCs w:val="28"/>
          <w:highlight w:val="none"/>
        </w:rPr>
        <w:t>2</w:t>
      </w:r>
      <w:bookmarkEnd w:id="830"/>
      <w:bookmarkEnd w:id="831"/>
      <w:bookmarkEnd w:id="832"/>
      <w:bookmarkEnd w:id="833"/>
      <w:bookmarkEnd w:id="834"/>
      <w:bookmarkEnd w:id="835"/>
      <w:bookmarkStart w:id="837" w:name="_Toc216582817"/>
      <w:bookmarkStart w:id="838" w:name="_Toc515647820"/>
      <w:bookmarkStart w:id="839" w:name="_Toc22563"/>
      <w:bookmarkStart w:id="840" w:name="_Toc28959"/>
      <w:r>
        <w:rPr>
          <w:rFonts w:hint="eastAsia" w:ascii="宋体" w:hAnsi="宋体" w:eastAsia="宋体" w:cs="宋体"/>
          <w:b/>
          <w:bCs/>
          <w:color w:val="auto"/>
          <w:sz w:val="28"/>
          <w:szCs w:val="28"/>
          <w:highlight w:val="none"/>
        </w:rPr>
        <w:t>、投标分项报价表（一）</w:t>
      </w:r>
      <w:bookmarkEnd w:id="836"/>
    </w:p>
    <w:p>
      <w:pPr>
        <w:pStyle w:val="18"/>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项目编号:                 　 　         报价单位：       人民币</w:t>
      </w:r>
      <w:r>
        <w:rPr>
          <w:rFonts w:hint="eastAsia" w:ascii="宋体" w:hAnsi="宋体" w:eastAsia="宋体" w:cs="宋体"/>
          <w:b/>
          <w:bCs/>
          <w:color w:val="auto"/>
          <w:sz w:val="24"/>
          <w:szCs w:val="24"/>
          <w:highlight w:val="none"/>
        </w:rPr>
        <w:t>元</w:t>
      </w:r>
    </w:p>
    <w:tbl>
      <w:tblPr>
        <w:tblStyle w:val="29"/>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884"/>
        <w:gridCol w:w="1931"/>
        <w:gridCol w:w="1380"/>
        <w:gridCol w:w="141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10" w:type="dxa"/>
            <w:noWrap/>
            <w:vAlign w:val="center"/>
          </w:tcPr>
          <w:p>
            <w:pPr>
              <w:pStyle w:val="18"/>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84" w:type="dxa"/>
            <w:noWrap/>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名称</w:t>
            </w:r>
          </w:p>
        </w:tc>
        <w:tc>
          <w:tcPr>
            <w:tcW w:w="1931" w:type="dxa"/>
            <w:noWrap/>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380" w:type="dxa"/>
            <w:noWrap/>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410" w:type="dxa"/>
            <w:noWrap/>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975" w:type="dxa"/>
            <w:noWrap/>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0" w:type="dxa"/>
            <w:noWrap/>
            <w:vAlign w:val="center"/>
          </w:tcPr>
          <w:p>
            <w:pPr>
              <w:pStyle w:val="18"/>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84" w:type="dxa"/>
            <w:noWrap/>
            <w:vAlign w:val="center"/>
          </w:tcPr>
          <w:p>
            <w:pPr>
              <w:pStyle w:val="18"/>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10" w:type="dxa"/>
            <w:noWrap/>
            <w:vAlign w:val="center"/>
          </w:tcPr>
          <w:p>
            <w:pPr>
              <w:pStyle w:val="18"/>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884" w:type="dxa"/>
            <w:noWrap/>
            <w:vAlign w:val="center"/>
          </w:tcPr>
          <w:p>
            <w:pPr>
              <w:pStyle w:val="18"/>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noWrap/>
            <w:vAlign w:val="center"/>
          </w:tcPr>
          <w:p>
            <w:pPr>
              <w:pStyle w:val="18"/>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884" w:type="dxa"/>
            <w:noWrap/>
            <w:vAlign w:val="center"/>
          </w:tcPr>
          <w:p>
            <w:pPr>
              <w:pStyle w:val="18"/>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10" w:type="dxa"/>
            <w:noWrap/>
            <w:vAlign w:val="center"/>
          </w:tcPr>
          <w:p>
            <w:pPr>
              <w:pStyle w:val="18"/>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884" w:type="dxa"/>
            <w:noWrap/>
            <w:vAlign w:val="center"/>
          </w:tcPr>
          <w:p>
            <w:pPr>
              <w:pStyle w:val="18"/>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10" w:type="dxa"/>
            <w:noWrap/>
            <w:vAlign w:val="center"/>
          </w:tcPr>
          <w:p>
            <w:pPr>
              <w:pStyle w:val="18"/>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884" w:type="dxa"/>
            <w:noWrap/>
            <w:vAlign w:val="center"/>
          </w:tcPr>
          <w:p>
            <w:pPr>
              <w:pStyle w:val="18"/>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005" w:type="dxa"/>
            <w:gridSpan w:val="4"/>
            <w:noWrap/>
            <w:vAlign w:val="center"/>
          </w:tcPr>
          <w:p>
            <w:pPr>
              <w:pStyle w:val="18"/>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rPr>
              <w:t>：</w:t>
            </w:r>
          </w:p>
        </w:tc>
        <w:tc>
          <w:tcPr>
            <w:tcW w:w="2385" w:type="dxa"/>
            <w:gridSpan w:val="2"/>
            <w:noWrap/>
            <w:vAlign w:val="center"/>
          </w:tcPr>
          <w:p>
            <w:pPr>
              <w:pStyle w:val="18"/>
              <w:spacing w:line="400" w:lineRule="exact"/>
              <w:ind w:left="1080" w:leftChars="257" w:hanging="540"/>
              <w:jc w:val="center"/>
              <w:rPr>
                <w:rFonts w:hint="eastAsia" w:ascii="宋体" w:hAnsi="宋体" w:eastAsia="宋体" w:cs="宋体"/>
                <w:color w:val="auto"/>
                <w:sz w:val="24"/>
                <w:szCs w:val="24"/>
                <w:highlight w:val="none"/>
              </w:rPr>
            </w:pPr>
          </w:p>
        </w:tc>
      </w:tr>
    </w:tbl>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8"/>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注:1.如果供应商认为需要，每种服务填写一份该表。</w:t>
      </w:r>
    </w:p>
    <w:p>
      <w:pPr>
        <w:pStyle w:val="18"/>
        <w:spacing w:line="400" w:lineRule="exact"/>
        <w:ind w:left="1079" w:leftChars="428" w:hanging="180" w:hangingChars="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3.如果不提供详细分项报价将视为没有实质性响应招标文件。</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4.上述各项的详细分项报价，应另页描述。</w:t>
      </w:r>
    </w:p>
    <w:p>
      <w:pPr>
        <w:pStyle w:val="18"/>
        <w:spacing w:line="400" w:lineRule="exact"/>
        <w:ind w:left="1080" w:leftChars="257" w:hanging="540"/>
        <w:rPr>
          <w:rFonts w:hint="eastAsia" w:ascii="宋体" w:hAnsi="宋体" w:eastAsia="宋体" w:cs="宋体"/>
          <w:b/>
          <w:color w:val="auto"/>
          <w:kern w:val="0"/>
          <w:szCs w:val="21"/>
          <w:highlight w:val="none"/>
        </w:rPr>
      </w:pPr>
      <w:r>
        <w:rPr>
          <w:rFonts w:hint="eastAsia" w:ascii="宋体" w:hAnsi="宋体" w:eastAsia="宋体" w:cs="宋体"/>
          <w:color w:val="auto"/>
          <w:sz w:val="24"/>
          <w:szCs w:val="24"/>
          <w:highlight w:val="none"/>
        </w:rPr>
        <w:t xml:space="preserve">   5.如果开标一览表（报价表）内容与投标文件中明细表内容不一致的，以开标一览表（报价表）内容为准。</w:t>
      </w:r>
    </w:p>
    <w:p>
      <w:pPr>
        <w:pStyle w:val="18"/>
        <w:spacing w:line="240" w:lineRule="atLeast"/>
        <w:ind w:left="1080" w:leftChars="257" w:hanging="540"/>
        <w:jc w:val="center"/>
        <w:rPr>
          <w:rFonts w:hint="eastAsia" w:ascii="宋体" w:hAnsi="宋体" w:eastAsia="宋体" w:cs="宋体"/>
          <w:b/>
          <w:bCs/>
          <w:color w:val="auto"/>
          <w:sz w:val="28"/>
          <w:szCs w:val="28"/>
          <w:highlight w:val="none"/>
        </w:rPr>
      </w:pPr>
      <w:bookmarkStart w:id="841" w:name="_Toc26185"/>
      <w:bookmarkStart w:id="842" w:name="_Toc32439"/>
      <w:bookmarkStart w:id="843" w:name="_Toc3096"/>
    </w:p>
    <w:p>
      <w:pPr>
        <w:pStyle w:val="18"/>
        <w:spacing w:line="240" w:lineRule="atLeast"/>
        <w:ind w:left="1080" w:leftChars="257" w:hanging="540"/>
        <w:jc w:val="center"/>
        <w:rPr>
          <w:rFonts w:hint="eastAsia" w:ascii="宋体" w:hAnsi="宋体" w:eastAsia="宋体" w:cs="宋体"/>
          <w:b/>
          <w:bCs/>
          <w:color w:val="auto"/>
          <w:sz w:val="28"/>
          <w:szCs w:val="28"/>
          <w:highlight w:val="none"/>
        </w:rPr>
      </w:pPr>
    </w:p>
    <w:p>
      <w:pPr>
        <w:pStyle w:val="18"/>
        <w:spacing w:line="240" w:lineRule="atLeast"/>
        <w:ind w:left="1080" w:leftChars="257" w:hanging="540"/>
        <w:jc w:val="center"/>
        <w:rPr>
          <w:rFonts w:hint="eastAsia" w:ascii="宋体" w:hAnsi="宋体" w:eastAsia="宋体" w:cs="宋体"/>
          <w:b/>
          <w:bCs/>
          <w:color w:val="auto"/>
          <w:sz w:val="28"/>
          <w:szCs w:val="28"/>
          <w:highlight w:val="none"/>
        </w:rPr>
      </w:pPr>
    </w:p>
    <w:p>
      <w:pPr>
        <w:pStyle w:val="18"/>
        <w:spacing w:line="240" w:lineRule="atLeast"/>
        <w:ind w:left="1080" w:leftChars="257" w:hanging="540"/>
        <w:jc w:val="center"/>
        <w:rPr>
          <w:rFonts w:hint="eastAsia" w:ascii="宋体" w:hAnsi="宋体" w:eastAsia="宋体" w:cs="宋体"/>
          <w:b/>
          <w:bCs/>
          <w:color w:val="auto"/>
          <w:sz w:val="28"/>
          <w:szCs w:val="28"/>
          <w:highlight w:val="none"/>
        </w:rPr>
      </w:pPr>
    </w:p>
    <w:p>
      <w:pPr>
        <w:pStyle w:val="18"/>
        <w:spacing w:line="240" w:lineRule="atLeast"/>
        <w:ind w:left="1080" w:leftChars="257" w:hanging="540"/>
        <w:jc w:val="center"/>
        <w:rPr>
          <w:rFonts w:hint="eastAsia" w:ascii="宋体" w:hAnsi="宋体" w:eastAsia="宋体" w:cs="宋体"/>
          <w:b/>
          <w:bCs/>
          <w:color w:val="auto"/>
          <w:sz w:val="28"/>
          <w:szCs w:val="28"/>
          <w:highlight w:val="none"/>
        </w:rPr>
      </w:pPr>
    </w:p>
    <w:p>
      <w:pPr>
        <w:pStyle w:val="18"/>
        <w:spacing w:line="240" w:lineRule="atLeast"/>
        <w:rPr>
          <w:rFonts w:hint="eastAsia" w:ascii="宋体" w:hAnsi="宋体" w:eastAsia="宋体" w:cs="宋体"/>
          <w:b/>
          <w:bCs/>
          <w:color w:val="auto"/>
          <w:sz w:val="28"/>
          <w:szCs w:val="28"/>
          <w:highlight w:val="none"/>
        </w:rPr>
      </w:pPr>
    </w:p>
    <w:p>
      <w:pPr>
        <w:pStyle w:val="18"/>
        <w:spacing w:line="240" w:lineRule="atLeast"/>
        <w:rPr>
          <w:rFonts w:hint="eastAsia" w:ascii="宋体" w:hAnsi="宋体" w:eastAsia="宋体" w:cs="宋体"/>
          <w:b/>
          <w:bCs/>
          <w:color w:val="auto"/>
          <w:sz w:val="28"/>
          <w:szCs w:val="28"/>
          <w:highlight w:val="none"/>
        </w:rPr>
      </w:pPr>
    </w:p>
    <w:p>
      <w:pPr>
        <w:spacing w:line="360" w:lineRule="auto"/>
        <w:jc w:val="center"/>
        <w:outlineLvl w:val="1"/>
        <w:rPr>
          <w:rFonts w:hint="eastAsia" w:ascii="宋体" w:hAnsi="宋体" w:eastAsia="宋体" w:cs="宋体"/>
          <w:b/>
          <w:bCs/>
          <w:color w:val="auto"/>
          <w:kern w:val="0"/>
          <w:sz w:val="24"/>
          <w:highlight w:val="none"/>
        </w:rPr>
      </w:pPr>
      <w:bookmarkStart w:id="844" w:name="_Toc12483"/>
      <w:bookmarkStart w:id="845" w:name="_Toc16798"/>
      <w:bookmarkStart w:id="846" w:name="_Toc13950"/>
      <w:bookmarkStart w:id="847" w:name="_Toc30209"/>
      <w:bookmarkStart w:id="848" w:name="_Toc6480"/>
      <w:bookmarkStart w:id="849" w:name="_Toc10486"/>
      <w:bookmarkStart w:id="850" w:name="_Toc28199"/>
      <w:bookmarkStart w:id="851" w:name="_Toc16166"/>
      <w:bookmarkStart w:id="852" w:name="_Toc13812"/>
      <w:bookmarkStart w:id="853" w:name="_Toc27721"/>
    </w:p>
    <w:p>
      <w:pPr>
        <w:spacing w:line="360" w:lineRule="auto"/>
        <w:jc w:val="center"/>
        <w:outlineLvl w:val="1"/>
        <w:rPr>
          <w:rFonts w:hint="eastAsia" w:ascii="宋体" w:hAnsi="宋体" w:eastAsia="宋体" w:cs="宋体"/>
          <w:b/>
          <w:color w:val="auto"/>
          <w:sz w:val="30"/>
          <w:szCs w:val="30"/>
          <w:highlight w:val="none"/>
        </w:rPr>
      </w:pPr>
      <w:bookmarkStart w:id="854" w:name="_Toc16319"/>
      <w:r>
        <w:rPr>
          <w:rFonts w:hint="eastAsia" w:ascii="宋体" w:hAnsi="宋体" w:eastAsia="宋体" w:cs="宋体"/>
          <w:b/>
          <w:bCs/>
          <w:color w:val="auto"/>
          <w:kern w:val="0"/>
          <w:sz w:val="24"/>
          <w:highlight w:val="none"/>
        </w:rPr>
        <w:t>备品备件设备分项报价表（二）</w:t>
      </w:r>
      <w:bookmarkEnd w:id="844"/>
      <w:bookmarkEnd w:id="845"/>
      <w:bookmarkEnd w:id="846"/>
      <w:bookmarkEnd w:id="847"/>
      <w:bookmarkEnd w:id="848"/>
      <w:bookmarkEnd w:id="849"/>
      <w:bookmarkEnd w:id="850"/>
      <w:bookmarkEnd w:id="851"/>
      <w:bookmarkEnd w:id="852"/>
      <w:bookmarkEnd w:id="853"/>
      <w:bookmarkEnd w:id="854"/>
    </w:p>
    <w:tbl>
      <w:tblPr>
        <w:tblStyle w:val="29"/>
        <w:tblW w:w="915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73"/>
        <w:gridCol w:w="808"/>
        <w:gridCol w:w="573"/>
        <w:gridCol w:w="808"/>
        <w:gridCol w:w="1043"/>
        <w:gridCol w:w="573"/>
        <w:gridCol w:w="706"/>
        <w:gridCol w:w="643"/>
        <w:gridCol w:w="676"/>
        <w:gridCol w:w="677"/>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7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tc>
        <w:tc>
          <w:tcPr>
            <w:tcW w:w="808"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808"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04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供货厂商名称</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706"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4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676"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677"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w:t>
            </w:r>
          </w:p>
        </w:tc>
        <w:tc>
          <w:tcPr>
            <w:tcW w:w="796"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设备报价</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Align w:val="center"/>
          </w:tcPr>
          <w:p>
            <w:pPr>
              <w:spacing w:line="400" w:lineRule="exact"/>
              <w:jc w:val="center"/>
              <w:rPr>
                <w:rFonts w:hint="eastAsia" w:ascii="宋体" w:hAnsi="宋体" w:eastAsia="宋体" w:cs="宋体"/>
                <w:color w:val="auto"/>
                <w:sz w:val="24"/>
                <w:highlight w:val="none"/>
              </w:rPr>
            </w:pPr>
          </w:p>
        </w:tc>
        <w:tc>
          <w:tcPr>
            <w:tcW w:w="7876" w:type="dxa"/>
            <w:gridSpan w:val="11"/>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免费设备报价</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Merge w:val="restart"/>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Merge w:val="continue"/>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Merge w:val="continue"/>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358" w:type="dxa"/>
            <w:gridSpan w:val="11"/>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总    价（元）：</w:t>
            </w:r>
          </w:p>
        </w:tc>
        <w:tc>
          <w:tcPr>
            <w:tcW w:w="796" w:type="dxa"/>
            <w:vAlign w:val="center"/>
          </w:tcPr>
          <w:p>
            <w:pPr>
              <w:spacing w:line="400" w:lineRule="exact"/>
              <w:rPr>
                <w:rFonts w:hint="eastAsia" w:ascii="宋体" w:hAnsi="宋体" w:eastAsia="宋体" w:cs="宋体"/>
                <w:color w:val="auto"/>
                <w:sz w:val="24"/>
                <w:highlight w:val="none"/>
              </w:rPr>
            </w:pPr>
          </w:p>
        </w:tc>
      </w:tr>
    </w:tbl>
    <w:p>
      <w:pPr>
        <w:spacing w:line="400" w:lineRule="exact"/>
        <w:rPr>
          <w:rFonts w:hint="eastAsia" w:ascii="宋体" w:hAnsi="宋体" w:eastAsia="宋体" w:cs="宋体"/>
          <w:b/>
          <w:color w:val="auto"/>
          <w:sz w:val="24"/>
          <w:highlight w:val="none"/>
        </w:rPr>
      </w:pP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 xml:space="preserve">或授权代表（签/章）：                    </w:t>
      </w:r>
    </w:p>
    <w:p>
      <w:pPr>
        <w:pStyle w:val="8"/>
        <w:spacing w:line="40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日       期 ：   </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注：1.表格长度方向可做扩展根据需求可补充相关资料，但不可减少。</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2.备品备件设备分项报价仅供采购人在设备发生故障情况下采用此报价，填写此表时请谨慎。备品备件分为两部分（1、免费的备品备件、2、备品备件报价）                 </w:t>
      </w:r>
    </w:p>
    <w:p>
      <w:pPr>
        <w:pStyle w:val="8"/>
        <w:spacing w:line="400" w:lineRule="exact"/>
        <w:ind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3.备品备件设备分项报价不合计于开标一览表总价，单独名列即可。</w:t>
      </w:r>
    </w:p>
    <w:p>
      <w:pPr>
        <w:pStyle w:val="8"/>
        <w:spacing w:line="400" w:lineRule="exact"/>
        <w:ind w:firstLine="480" w:firstLineChars="200"/>
        <w:rPr>
          <w:rFonts w:hint="eastAsia" w:ascii="宋体" w:hAnsi="宋体" w:eastAsia="宋体" w:cs="宋体"/>
          <w:b/>
          <w:bCs/>
          <w:color w:val="auto"/>
          <w:sz w:val="28"/>
          <w:szCs w:val="28"/>
          <w:highlight w:val="none"/>
        </w:rPr>
      </w:pPr>
      <w:r>
        <w:rPr>
          <w:rFonts w:hint="eastAsia" w:ascii="宋体" w:hAnsi="宋体" w:eastAsia="宋体" w:cs="宋体"/>
          <w:color w:val="auto"/>
          <w:kern w:val="2"/>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pPr>
        <w:pStyle w:val="18"/>
        <w:spacing w:line="240" w:lineRule="atLeast"/>
        <w:ind w:left="1080" w:leftChars="257" w:hanging="540"/>
        <w:jc w:val="center"/>
        <w:outlineLvl w:val="1"/>
        <w:rPr>
          <w:rFonts w:hint="eastAsia" w:ascii="宋体" w:hAnsi="宋体" w:eastAsia="宋体" w:cs="宋体"/>
          <w:b/>
          <w:bCs/>
          <w:color w:val="auto"/>
          <w:sz w:val="28"/>
          <w:szCs w:val="28"/>
          <w:highlight w:val="none"/>
        </w:rPr>
      </w:pPr>
    </w:p>
    <w:p>
      <w:pPr>
        <w:pStyle w:val="18"/>
        <w:spacing w:line="240" w:lineRule="atLeast"/>
        <w:ind w:left="1080" w:leftChars="257" w:hanging="540"/>
        <w:jc w:val="center"/>
        <w:outlineLvl w:val="1"/>
        <w:rPr>
          <w:rFonts w:hint="eastAsia" w:ascii="宋体" w:hAnsi="宋体" w:eastAsia="宋体" w:cs="宋体"/>
          <w:b/>
          <w:bCs/>
          <w:color w:val="auto"/>
          <w:sz w:val="28"/>
          <w:szCs w:val="28"/>
          <w:highlight w:val="none"/>
        </w:rPr>
      </w:pPr>
      <w:bookmarkStart w:id="855" w:name="_Toc1260"/>
      <w:r>
        <w:rPr>
          <w:rFonts w:hint="eastAsia" w:ascii="宋体" w:hAnsi="宋体" w:eastAsia="宋体" w:cs="宋体"/>
          <w:b/>
          <w:bCs/>
          <w:color w:val="auto"/>
          <w:sz w:val="28"/>
          <w:szCs w:val="28"/>
          <w:highlight w:val="none"/>
        </w:rPr>
        <w:t>3</w:t>
      </w:r>
      <w:bookmarkEnd w:id="841"/>
      <w:bookmarkEnd w:id="842"/>
      <w:bookmarkEnd w:id="843"/>
      <w:r>
        <w:rPr>
          <w:rFonts w:hint="eastAsia" w:ascii="宋体" w:hAnsi="宋体" w:eastAsia="宋体" w:cs="宋体"/>
          <w:b/>
          <w:bCs/>
          <w:color w:val="auto"/>
          <w:sz w:val="28"/>
          <w:szCs w:val="28"/>
          <w:highlight w:val="none"/>
        </w:rPr>
        <w:t>、服务说明一览表</w:t>
      </w:r>
      <w:bookmarkEnd w:id="855"/>
    </w:p>
    <w:p>
      <w:pPr>
        <w:pStyle w:val="18"/>
        <w:spacing w:line="360" w:lineRule="exact"/>
        <w:ind w:left="1080" w:leftChars="257" w:hanging="540"/>
        <w:rPr>
          <w:rFonts w:hint="eastAsia" w:ascii="宋体" w:hAnsi="宋体" w:eastAsia="宋体" w:cs="宋体"/>
          <w:color w:val="auto"/>
          <w:sz w:val="24"/>
          <w:highlight w:val="none"/>
        </w:rPr>
      </w:pPr>
    </w:p>
    <w:p>
      <w:pPr>
        <w:pStyle w:val="18"/>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pPr>
        <w:pStyle w:val="18"/>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bl>
      <w:tblPr>
        <w:tblStyle w:val="2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749"/>
        <w:gridCol w:w="1461"/>
        <w:gridCol w:w="1545"/>
        <w:gridCol w:w="1152"/>
        <w:gridCol w:w="1194"/>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6"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49"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1461"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主要规格</w:t>
            </w:r>
          </w:p>
        </w:tc>
        <w:tc>
          <w:tcPr>
            <w:tcW w:w="1545"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52"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w:t>
            </w:r>
          </w:p>
        </w:tc>
        <w:tc>
          <w:tcPr>
            <w:tcW w:w="1194"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971"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bl>
    <w:p>
      <w:pPr>
        <w:pStyle w:val="18"/>
        <w:spacing w:line="360" w:lineRule="exact"/>
        <w:ind w:left="1080" w:leftChars="257" w:hanging="540"/>
        <w:rPr>
          <w:rFonts w:hint="eastAsia" w:ascii="宋体" w:hAnsi="宋体" w:eastAsia="宋体" w:cs="宋体"/>
          <w:color w:val="auto"/>
          <w:sz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8"/>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p>
    <w:p>
      <w:pPr>
        <w:pStyle w:val="18"/>
        <w:spacing w:line="400" w:lineRule="exact"/>
        <w:ind w:left="1080" w:leftChars="257" w:hanging="540"/>
        <w:rPr>
          <w:rFonts w:hint="eastAsia" w:ascii="宋体" w:hAnsi="宋体" w:eastAsia="宋体" w:cs="宋体"/>
          <w:b/>
          <w:bCs/>
          <w:color w:val="auto"/>
          <w:sz w:val="22"/>
          <w:szCs w:val="22"/>
          <w:highlight w:val="none"/>
        </w:rPr>
      </w:pPr>
      <w:r>
        <w:rPr>
          <w:rFonts w:hint="eastAsia" w:ascii="宋体" w:hAnsi="宋体" w:eastAsia="宋体" w:cs="宋体"/>
          <w:color w:val="auto"/>
          <w:sz w:val="24"/>
          <w:szCs w:val="24"/>
          <w:highlight w:val="none"/>
        </w:rPr>
        <w:t>注: 各项服务详细技术性能应另页描述。</w:t>
      </w: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ind w:left="1080" w:leftChars="257" w:hanging="540"/>
        <w:jc w:val="center"/>
        <w:outlineLvl w:val="1"/>
        <w:rPr>
          <w:rFonts w:hint="eastAsia" w:ascii="宋体" w:hAnsi="宋体" w:eastAsia="宋体" w:cs="宋体"/>
          <w:color w:val="auto"/>
          <w:szCs w:val="21"/>
          <w:highlight w:val="none"/>
        </w:rPr>
      </w:pPr>
      <w:bookmarkStart w:id="856" w:name="_Toc29453"/>
      <w:r>
        <w:rPr>
          <w:rFonts w:hint="eastAsia" w:ascii="宋体" w:hAnsi="宋体" w:eastAsia="宋体" w:cs="宋体"/>
          <w:b/>
          <w:bCs/>
          <w:color w:val="auto"/>
          <w:sz w:val="28"/>
          <w:szCs w:val="28"/>
          <w:highlight w:val="none"/>
        </w:rPr>
        <w:t>4、服务规格偏离表</w:t>
      </w:r>
      <w:bookmarkEnd w:id="856"/>
    </w:p>
    <w:p>
      <w:pPr>
        <w:pStyle w:val="18"/>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p>
      <w:pPr>
        <w:pStyle w:val="18"/>
        <w:spacing w:line="400" w:lineRule="exact"/>
        <w:ind w:left="1080" w:leftChars="257" w:hanging="540"/>
        <w:rPr>
          <w:rFonts w:hint="eastAsia" w:ascii="宋体" w:hAnsi="宋体" w:eastAsia="宋体" w:cs="宋体"/>
          <w:color w:val="auto"/>
          <w:sz w:val="24"/>
          <w:szCs w:val="24"/>
          <w:highlight w:val="none"/>
        </w:rPr>
      </w:pPr>
    </w:p>
    <w:tbl>
      <w:tblPr>
        <w:tblStyle w:val="2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服务</w:t>
            </w:r>
            <w:r>
              <w:rPr>
                <w:rFonts w:hint="eastAsia" w:ascii="宋体" w:hAnsi="宋体" w:eastAsia="宋体" w:cs="宋体"/>
                <w:color w:val="auto"/>
                <w:sz w:val="24"/>
                <w:szCs w:val="24"/>
                <w:highlight w:val="none"/>
              </w:rPr>
              <w:t>名称</w:t>
            </w:r>
          </w:p>
        </w:tc>
        <w:tc>
          <w:tcPr>
            <w:tcW w:w="2472" w:type="dxa"/>
            <w:vAlign w:val="center"/>
          </w:tcPr>
          <w:p>
            <w:pPr>
              <w:pStyle w:val="18"/>
              <w:spacing w:line="40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31"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1331"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950"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951"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bl>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8"/>
        <w:tabs>
          <w:tab w:val="left" w:pos="5370"/>
        </w:tabs>
        <w:spacing w:line="400" w:lineRule="exact"/>
        <w:ind w:left="1080" w:leftChars="257" w:hanging="54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bookmarkEnd w:id="837"/>
      <w:bookmarkEnd w:id="838"/>
      <w:bookmarkEnd w:id="839"/>
      <w:bookmarkEnd w:id="840"/>
      <w:bookmarkStart w:id="857" w:name="_Toc23"/>
      <w:bookmarkStart w:id="858" w:name="_Toc1980"/>
      <w:bookmarkStart w:id="859" w:name="_Toc515647821"/>
      <w:bookmarkStart w:id="860" w:name="_Toc31439"/>
      <w:bookmarkStart w:id="861" w:name="_Toc216582818"/>
    </w:p>
    <w:p>
      <w:pPr>
        <w:spacing w:line="240" w:lineRule="atLeast"/>
        <w:ind w:firstLine="3080" w:firstLineChars="1100"/>
        <w:rPr>
          <w:rFonts w:hint="eastAsia" w:ascii="宋体" w:hAnsi="宋体" w:eastAsia="宋体" w:cs="宋体"/>
          <w:color w:val="auto"/>
          <w:sz w:val="28"/>
          <w:szCs w:val="28"/>
          <w:highlight w:val="none"/>
        </w:rPr>
      </w:pPr>
      <w:bookmarkStart w:id="862" w:name="_Toc14887"/>
      <w:bookmarkStart w:id="863" w:name="_Toc22109"/>
      <w:bookmarkStart w:id="864" w:name="_Toc12914"/>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7"/>
        <w:spacing w:before="0" w:line="240" w:lineRule="atLeast"/>
        <w:ind w:firstLine="3092" w:firstLineChars="1100"/>
        <w:jc w:val="both"/>
        <w:rPr>
          <w:rFonts w:hint="eastAsia" w:ascii="宋体" w:hAnsi="宋体" w:eastAsia="宋体" w:cs="宋体"/>
          <w:color w:val="auto"/>
          <w:szCs w:val="21"/>
          <w:highlight w:val="none"/>
        </w:rPr>
      </w:pPr>
      <w:bookmarkStart w:id="865" w:name="_Toc7389"/>
      <w:r>
        <w:rPr>
          <w:rFonts w:hint="eastAsia" w:ascii="宋体" w:hAnsi="宋体" w:eastAsia="宋体" w:cs="宋体"/>
          <w:color w:val="auto"/>
          <w:sz w:val="28"/>
          <w:szCs w:val="28"/>
          <w:highlight w:val="none"/>
        </w:rPr>
        <w:t>5、商务条款偏离表</w:t>
      </w:r>
      <w:bookmarkEnd w:id="857"/>
      <w:bookmarkEnd w:id="858"/>
      <w:bookmarkEnd w:id="859"/>
      <w:bookmarkEnd w:id="860"/>
      <w:bookmarkEnd w:id="861"/>
      <w:bookmarkEnd w:id="862"/>
      <w:bookmarkEnd w:id="863"/>
      <w:bookmarkEnd w:id="864"/>
      <w:bookmarkEnd w:id="865"/>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tbl>
      <w:tblPr>
        <w:tblStyle w:val="29"/>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40"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2520"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520"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014"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bl>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p>
    <w:p>
      <w:pPr>
        <w:rPr>
          <w:rFonts w:hint="eastAsia" w:ascii="宋体" w:hAnsi="宋体" w:eastAsia="宋体" w:cs="宋体"/>
          <w:color w:val="auto"/>
          <w:highlight w:val="none"/>
        </w:rPr>
      </w:pPr>
      <w:bookmarkStart w:id="866" w:name="_Hlt520350957"/>
      <w:bookmarkEnd w:id="866"/>
      <w:bookmarkStart w:id="867" w:name="_Hlt520343000"/>
      <w:bookmarkEnd w:id="867"/>
      <w:bookmarkStart w:id="868" w:name="_Hlt520271212"/>
      <w:bookmarkEnd w:id="868"/>
      <w:bookmarkStart w:id="869" w:name="_Hlt520343392"/>
      <w:bookmarkEnd w:id="869"/>
      <w:bookmarkStart w:id="870" w:name="_Hlt520274393"/>
      <w:bookmarkEnd w:id="870"/>
      <w:bookmarkStart w:id="871" w:name="_Hlt520274911"/>
      <w:bookmarkEnd w:id="871"/>
      <w:bookmarkStart w:id="872" w:name="_Hlt520274407"/>
      <w:bookmarkEnd w:id="872"/>
      <w:bookmarkStart w:id="873" w:name="_Hlt520350918"/>
      <w:bookmarkEnd w:id="873"/>
      <w:bookmarkStart w:id="874" w:name="_Hlt520274065"/>
      <w:bookmarkEnd w:id="874"/>
      <w:bookmarkStart w:id="875" w:name="_Hlt520273973"/>
      <w:bookmarkEnd w:id="875"/>
      <w:bookmarkStart w:id="876" w:name="_Hlt520273711"/>
      <w:bookmarkEnd w:id="876"/>
      <w:bookmarkStart w:id="877" w:name="_Toc17820"/>
      <w:bookmarkStart w:id="878" w:name="_Toc27043"/>
      <w:bookmarkStart w:id="879" w:name="_Toc31694"/>
      <w:bookmarkStart w:id="880" w:name="_Toc21312"/>
      <w:bookmarkStart w:id="881" w:name="_Toc25797"/>
      <w:bookmarkStart w:id="882" w:name="_Toc515647823"/>
      <w:bookmarkStart w:id="883" w:name="_Toc10725"/>
    </w:p>
    <w:p>
      <w:pPr>
        <w:spacing w:line="400" w:lineRule="exact"/>
        <w:jc w:val="center"/>
        <w:rPr>
          <w:rFonts w:hint="eastAsia" w:ascii="宋体" w:hAnsi="宋体" w:eastAsia="宋体" w:cs="宋体"/>
          <w:color w:val="auto"/>
          <w:sz w:val="24"/>
          <w:highlight w:val="none"/>
        </w:rPr>
      </w:pPr>
    </w:p>
    <w:p>
      <w:pPr>
        <w:spacing w:line="400" w:lineRule="exact"/>
        <w:jc w:val="center"/>
        <w:rPr>
          <w:rFonts w:hint="eastAsia" w:ascii="宋体" w:hAnsi="宋体" w:eastAsia="宋体" w:cs="宋体"/>
          <w:color w:val="auto"/>
          <w:sz w:val="24"/>
          <w:highlight w:val="none"/>
        </w:rPr>
      </w:pPr>
    </w:p>
    <w:p>
      <w:pPr>
        <w:pStyle w:val="24"/>
        <w:rPr>
          <w:rFonts w:hint="eastAsia" w:ascii="宋体" w:hAnsi="宋体" w:eastAsia="宋体" w:cs="宋体"/>
          <w:color w:val="auto"/>
          <w:sz w:val="24"/>
          <w:highlight w:val="none"/>
        </w:rPr>
      </w:pPr>
    </w:p>
    <w:p>
      <w:pPr>
        <w:pStyle w:val="24"/>
        <w:rPr>
          <w:rFonts w:hint="eastAsia" w:ascii="宋体" w:hAnsi="宋体" w:eastAsia="宋体" w:cs="宋体"/>
          <w:color w:val="auto"/>
          <w:sz w:val="24"/>
          <w:highlight w:val="none"/>
        </w:rPr>
      </w:pPr>
    </w:p>
    <w:p>
      <w:pPr>
        <w:pStyle w:val="24"/>
        <w:rPr>
          <w:rFonts w:hint="eastAsia" w:ascii="宋体" w:hAnsi="宋体" w:eastAsia="宋体" w:cs="宋体"/>
          <w:color w:val="auto"/>
          <w:sz w:val="24"/>
          <w:highlight w:val="none"/>
        </w:rPr>
      </w:pPr>
    </w:p>
    <w:p>
      <w:pPr>
        <w:pStyle w:val="24"/>
        <w:rPr>
          <w:rFonts w:hint="eastAsia" w:ascii="宋体" w:hAnsi="宋体" w:eastAsia="宋体" w:cs="宋体"/>
          <w:color w:val="auto"/>
          <w:sz w:val="24"/>
          <w:highlight w:val="none"/>
        </w:rPr>
      </w:pPr>
    </w:p>
    <w:p>
      <w:pPr>
        <w:pStyle w:val="24"/>
        <w:rPr>
          <w:rFonts w:hint="eastAsia" w:ascii="宋体" w:hAnsi="宋体" w:eastAsia="宋体" w:cs="宋体"/>
          <w:color w:val="auto"/>
          <w:sz w:val="24"/>
          <w:highlight w:val="none"/>
        </w:rPr>
      </w:pPr>
    </w:p>
    <w:p>
      <w:pPr>
        <w:pStyle w:val="24"/>
        <w:rPr>
          <w:rFonts w:hint="eastAsia" w:ascii="宋体" w:hAnsi="宋体" w:eastAsia="宋体" w:cs="宋体"/>
          <w:color w:val="auto"/>
          <w:sz w:val="24"/>
          <w:highlight w:val="none"/>
        </w:rPr>
      </w:pPr>
    </w:p>
    <w:p>
      <w:pPr>
        <w:pStyle w:val="24"/>
        <w:rPr>
          <w:rFonts w:hint="eastAsia" w:ascii="宋体" w:hAnsi="宋体" w:eastAsia="宋体" w:cs="宋体"/>
          <w:color w:val="auto"/>
          <w:sz w:val="24"/>
          <w:highlight w:val="none"/>
        </w:rPr>
      </w:pPr>
    </w:p>
    <w:p>
      <w:pPr>
        <w:spacing w:line="400" w:lineRule="exact"/>
        <w:jc w:val="center"/>
        <w:rPr>
          <w:rFonts w:hint="eastAsia" w:ascii="宋体" w:hAnsi="宋体" w:eastAsia="宋体" w:cs="宋体"/>
          <w:color w:val="auto"/>
          <w:sz w:val="24"/>
          <w:highlight w:val="none"/>
        </w:rPr>
      </w:pPr>
    </w:p>
    <w:p>
      <w:pPr>
        <w:pStyle w:val="7"/>
        <w:spacing w:before="0" w:line="400" w:lineRule="exact"/>
        <w:rPr>
          <w:rFonts w:hint="eastAsia" w:ascii="宋体" w:hAnsi="宋体" w:eastAsia="宋体" w:cs="宋体"/>
          <w:color w:val="auto"/>
          <w:highlight w:val="none"/>
          <w:lang w:eastAsia="zh-CN"/>
        </w:rPr>
      </w:pPr>
      <w:bookmarkStart w:id="884" w:name="_Toc31557"/>
      <w:r>
        <w:rPr>
          <w:rFonts w:hint="eastAsia" w:ascii="宋体" w:hAnsi="宋体" w:eastAsia="宋体" w:cs="宋体"/>
          <w:color w:val="auto"/>
          <w:sz w:val="24"/>
          <w:szCs w:val="24"/>
          <w:highlight w:val="none"/>
        </w:rPr>
        <w:t xml:space="preserve">6-1  </w:t>
      </w:r>
      <w:bookmarkEnd w:id="877"/>
      <w:bookmarkEnd w:id="878"/>
      <w:bookmarkEnd w:id="879"/>
      <w:bookmarkEnd w:id="880"/>
      <w:bookmarkEnd w:id="881"/>
      <w:bookmarkEnd w:id="882"/>
      <w:bookmarkEnd w:id="883"/>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eastAsia="zh-CN"/>
        </w:rPr>
        <w:t>（服务）</w:t>
      </w:r>
      <w:bookmarkEnd w:id="884"/>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bookmarkStart w:id="885" w:name="_Toc11189"/>
      <w:r>
        <w:rPr>
          <w:rFonts w:hint="eastAsia" w:ascii="宋体" w:hAnsi="宋体" w:eastAsia="宋体" w:cs="宋体"/>
          <w:color w:val="auto"/>
          <w:kern w:val="0"/>
          <w:sz w:val="24"/>
          <w:highlight w:val="none"/>
        </w:rPr>
        <w:t>本公司（联合体）郑重声明，根据《政府采购促进中小企业发展管理办法》（财库﹝2020﹞46 号）的规定，本公司（联合体）参加 </w:t>
      </w:r>
      <w:r>
        <w:rPr>
          <w:rFonts w:hint="eastAsia" w:ascii="宋体" w:hAnsi="宋体" w:eastAsia="宋体" w:cs="宋体"/>
          <w:color w:val="auto"/>
          <w:kern w:val="0"/>
          <w:sz w:val="24"/>
          <w:highlight w:val="none"/>
          <w:u w:val="single"/>
        </w:rPr>
        <w:t>   （单位名称）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（项目名称）</w:t>
      </w:r>
      <w:r>
        <w:rPr>
          <w:rFonts w:hint="eastAsia" w:ascii="宋体" w:hAnsi="宋体" w:eastAsia="宋体" w:cs="宋体"/>
          <w:color w:val="auto"/>
          <w:kern w:val="0"/>
          <w:sz w:val="24"/>
          <w:highlight w:val="none"/>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    （采购文件中明确的所属行业）</w:t>
      </w:r>
      <w:r>
        <w:rPr>
          <w:rFonts w:hint="eastAsia" w:ascii="宋体" w:hAnsi="宋体" w:eastAsia="宋体" w:cs="宋体"/>
          <w:color w:val="auto"/>
          <w:kern w:val="0"/>
          <w:sz w:val="24"/>
          <w:highlight w:val="none"/>
        </w:rPr>
        <w:t>；承接企业为</w:t>
      </w:r>
      <w:r>
        <w:rPr>
          <w:rFonts w:hint="eastAsia" w:ascii="宋体" w:hAnsi="宋体" w:eastAsia="宋体" w:cs="宋体"/>
          <w:color w:val="auto"/>
          <w:kern w:val="0"/>
          <w:sz w:val="24"/>
          <w:highlight w:val="none"/>
          <w:u w:val="single"/>
        </w:rPr>
        <w:t>    （企业名称）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（中型企业、小型企业、微型企业）；</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w:t>
      </w:r>
      <w:r>
        <w:rPr>
          <w:rFonts w:hint="eastAsia" w:ascii="宋体" w:hAnsi="宋体" w:eastAsia="宋体" w:cs="宋体"/>
          <w:color w:val="auto"/>
          <w:kern w:val="0"/>
          <w:sz w:val="24"/>
          <w:highlight w:val="none"/>
          <w:u w:val="single"/>
        </w:rPr>
        <w:t>  （标的名称）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    （采购文件中明确的所属行业）</w:t>
      </w:r>
      <w:r>
        <w:rPr>
          <w:rFonts w:hint="eastAsia" w:ascii="宋体" w:hAnsi="宋体" w:eastAsia="宋体" w:cs="宋体"/>
          <w:color w:val="auto"/>
          <w:kern w:val="0"/>
          <w:sz w:val="24"/>
          <w:highlight w:val="none"/>
        </w:rPr>
        <w:t>；承接企业为</w:t>
      </w:r>
      <w:r>
        <w:rPr>
          <w:rFonts w:hint="eastAsia" w:ascii="宋体" w:hAnsi="宋体" w:eastAsia="宋体" w:cs="宋体"/>
          <w:color w:val="auto"/>
          <w:kern w:val="0"/>
          <w:sz w:val="24"/>
          <w:highlight w:val="none"/>
          <w:u w:val="single"/>
        </w:rPr>
        <w:t>    （企业名称）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（中型企业、小型企业、微型企业）；</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keepNext w:val="0"/>
        <w:keepLines w:val="0"/>
        <w:pageBreakBefore w:val="0"/>
        <w:widowControl w:val="0"/>
        <w:kinsoku/>
        <w:wordWrap/>
        <w:overflowPunct/>
        <w:topLinePunct w:val="0"/>
        <w:autoSpaceDE/>
        <w:autoSpaceDN/>
        <w:bidi w:val="0"/>
        <w:adjustRightInd/>
        <w:snapToGrid/>
        <w:spacing w:line="500" w:lineRule="exact"/>
        <w:ind w:firstLine="567"/>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4723" w:firstLineChars="1968"/>
        <w:jc w:val="both"/>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日期：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4"/>
          <w:szCs w:val="24"/>
          <w:highlight w:val="none"/>
        </w:rPr>
        <w:t>注：</w:t>
      </w:r>
      <w:bookmarkEnd w:id="885"/>
      <w:bookmarkStart w:id="886" w:name="_Toc11803"/>
      <w:bookmarkStart w:id="887" w:name="_Toc11343"/>
      <w:bookmarkStart w:id="888" w:name="_Toc515647824"/>
      <w:bookmarkStart w:id="889" w:name="_Toc10977"/>
      <w:bookmarkStart w:id="890" w:name="_Toc2709"/>
      <w:bookmarkStart w:id="891" w:name="_Toc21610"/>
      <w:bookmarkStart w:id="892" w:name="_Toc9687"/>
      <w:r>
        <w:rPr>
          <w:rFonts w:hint="eastAsia" w:ascii="宋体" w:hAnsi="宋体" w:eastAsia="宋体" w:cs="宋体"/>
          <w:b/>
          <w:bCs/>
          <w:color w:val="auto"/>
          <w:kern w:val="0"/>
          <w:sz w:val="24"/>
          <w:szCs w:val="24"/>
          <w:highlight w:val="none"/>
        </w:rPr>
        <w:t xml:space="preserve">潜在投标企业属于中小微企业的，请在投标文件中提供“中小企业声明函”，如果未提供或提供虚假的“中小企业声明函”，投标企业将承担由此造成的一切不利后果。  </w:t>
      </w:r>
      <w:r>
        <w:rPr>
          <w:rFonts w:hint="eastAsia" w:ascii="宋体" w:hAnsi="宋体" w:eastAsia="宋体" w:cs="宋体"/>
          <w:b/>
          <w:bCs/>
          <w:color w:val="auto"/>
          <w:kern w:val="0"/>
          <w:szCs w:val="21"/>
          <w:highlight w:val="none"/>
        </w:rPr>
        <w:t xml:space="preserve">                    </w:t>
      </w: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pStyle w:val="7"/>
        <w:spacing w:before="0" w:line="400" w:lineRule="exact"/>
        <w:jc w:val="both"/>
        <w:rPr>
          <w:rFonts w:hint="eastAsia" w:ascii="宋体" w:hAnsi="宋体" w:eastAsia="宋体" w:cs="宋体"/>
          <w:color w:val="auto"/>
          <w:sz w:val="24"/>
          <w:szCs w:val="24"/>
          <w:highlight w:val="none"/>
        </w:rPr>
      </w:pPr>
      <w:bookmarkStart w:id="893" w:name="_Toc25403"/>
      <w:r>
        <w:rPr>
          <w:rFonts w:hint="eastAsia" w:ascii="宋体" w:hAnsi="宋体" w:eastAsia="宋体" w:cs="宋体"/>
          <w:color w:val="auto"/>
          <w:sz w:val="24"/>
          <w:szCs w:val="24"/>
          <w:highlight w:val="none"/>
        </w:rPr>
        <w:t xml:space="preserve">6-2  </w:t>
      </w:r>
      <w:bookmarkEnd w:id="886"/>
      <w:bookmarkEnd w:id="887"/>
      <w:bookmarkEnd w:id="888"/>
      <w:bookmarkEnd w:id="889"/>
      <w:bookmarkEnd w:id="890"/>
      <w:bookmarkEnd w:id="891"/>
      <w:bookmarkEnd w:id="892"/>
      <w:bookmarkStart w:id="894" w:name="_Toc23068"/>
      <w:bookmarkStart w:id="895" w:name="OLE_LINK14"/>
      <w:bookmarkStart w:id="896" w:name="OLE_LINK13"/>
      <w:bookmarkStart w:id="897" w:name="_Toc19284"/>
      <w:bookmarkStart w:id="898" w:name="_Toc11516"/>
      <w:bookmarkStart w:id="899" w:name="_Toc515647825"/>
      <w:bookmarkStart w:id="900" w:name="_Toc15294"/>
      <w:bookmarkStart w:id="901" w:name="_Toc31700"/>
      <w:bookmarkStart w:id="902" w:name="_Toc19312"/>
      <w:r>
        <w:rPr>
          <w:rFonts w:hint="eastAsia" w:ascii="宋体" w:hAnsi="宋体" w:eastAsia="宋体" w:cs="宋体"/>
          <w:color w:val="auto"/>
          <w:sz w:val="24"/>
          <w:szCs w:val="24"/>
          <w:highlight w:val="none"/>
        </w:rPr>
        <w:t>残疾人福利性单位声明函</w:t>
      </w:r>
      <w:bookmarkEnd w:id="893"/>
      <w:bookmarkEnd w:id="894"/>
      <w:bookmarkEnd w:id="895"/>
      <w:bookmarkEnd w:id="896"/>
      <w:bookmarkEnd w:id="897"/>
      <w:bookmarkEnd w:id="898"/>
      <w:bookmarkEnd w:id="899"/>
      <w:bookmarkEnd w:id="900"/>
      <w:bookmarkEnd w:id="901"/>
      <w:bookmarkEnd w:id="902"/>
    </w:p>
    <w:p>
      <w:pPr>
        <w:spacing w:line="400" w:lineRule="exact"/>
        <w:ind w:left="1080" w:leftChars="257" w:hanging="540"/>
        <w:jc w:val="center"/>
        <w:rPr>
          <w:rFonts w:hint="eastAsia" w:ascii="宋体" w:hAnsi="宋体" w:eastAsia="宋体" w:cs="宋体"/>
          <w:color w:val="auto"/>
          <w:kern w:val="0"/>
          <w:sz w:val="24"/>
          <w:highlight w:val="none"/>
        </w:rPr>
      </w:pP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400" w:lineRule="exact"/>
        <w:ind w:left="1080" w:leftChars="257" w:hanging="5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残疾人福利性单位名称（公章）：______________</w:t>
      </w:r>
    </w:p>
    <w:p>
      <w:pPr>
        <w:spacing w:line="400" w:lineRule="exact"/>
        <w:ind w:left="1080" w:leftChars="257" w:hanging="540"/>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color="FFFFFF"/>
        </w:rPr>
        <w:t xml:space="preserve">       </w:t>
      </w:r>
      <w:r>
        <w:rPr>
          <w:rFonts w:hint="eastAsia" w:ascii="宋体" w:hAnsi="宋体" w:eastAsia="宋体" w:cs="宋体"/>
          <w:color w:val="auto"/>
          <w:kern w:val="0"/>
          <w:sz w:val="24"/>
          <w:highlight w:val="none"/>
        </w:rPr>
        <w:t>日  期：_____________________________________________</w:t>
      </w:r>
    </w:p>
    <w:p>
      <w:pPr>
        <w:pStyle w:val="16"/>
        <w:spacing w:line="400" w:lineRule="exact"/>
        <w:ind w:firstLine="480"/>
        <w:rPr>
          <w:rFonts w:hint="eastAsia" w:ascii="宋体" w:hAnsi="宋体" w:eastAsia="宋体" w:cs="宋体"/>
          <w:color w:val="auto"/>
          <w:highlight w:val="none"/>
        </w:rPr>
      </w:pPr>
    </w:p>
    <w:p>
      <w:pPr>
        <w:spacing w:line="400" w:lineRule="exact"/>
        <w:ind w:left="1080" w:leftChars="257" w:hanging="540"/>
        <w:jc w:val="center"/>
        <w:rPr>
          <w:rFonts w:hint="eastAsia" w:ascii="宋体" w:hAnsi="宋体" w:eastAsia="宋体" w:cs="宋体"/>
          <w:b/>
          <w:color w:val="auto"/>
          <w:kern w:val="0"/>
          <w:sz w:val="24"/>
          <w:highlight w:val="none"/>
        </w:rPr>
      </w:pPr>
    </w:p>
    <w:p>
      <w:pPr>
        <w:pStyle w:val="7"/>
        <w:spacing w:before="0" w:line="400" w:lineRule="exact"/>
        <w:ind w:firstLine="241" w:firstLineChars="100"/>
        <w:jc w:val="both"/>
        <w:rPr>
          <w:rFonts w:hint="eastAsia" w:ascii="宋体" w:hAnsi="宋体" w:eastAsia="宋体" w:cs="宋体"/>
          <w:color w:val="auto"/>
          <w:sz w:val="24"/>
          <w:szCs w:val="24"/>
          <w:highlight w:val="none"/>
        </w:rPr>
      </w:pPr>
      <w:bookmarkStart w:id="903" w:name="_Toc515647827"/>
      <w:bookmarkStart w:id="904" w:name="_Toc6004"/>
      <w:bookmarkStart w:id="905" w:name="_Toc23926"/>
      <w:bookmarkStart w:id="906" w:name="_Toc17401"/>
      <w:bookmarkStart w:id="907" w:name="_Toc7614"/>
      <w:bookmarkStart w:id="908" w:name="_Toc28099"/>
      <w:bookmarkStart w:id="909" w:name="_Toc22102"/>
      <w:bookmarkStart w:id="910" w:name="_Toc30795"/>
      <w:r>
        <w:rPr>
          <w:rFonts w:hint="eastAsia" w:ascii="宋体" w:hAnsi="宋体" w:eastAsia="宋体" w:cs="宋体"/>
          <w:color w:val="auto"/>
          <w:sz w:val="24"/>
          <w:szCs w:val="24"/>
          <w:highlight w:val="none"/>
        </w:rPr>
        <w:t>7、供应商关联单位的说明</w:t>
      </w:r>
      <w:bookmarkEnd w:id="903"/>
      <w:bookmarkEnd w:id="904"/>
      <w:bookmarkEnd w:id="905"/>
      <w:bookmarkEnd w:id="906"/>
      <w:bookmarkEnd w:id="907"/>
      <w:bookmarkEnd w:id="908"/>
      <w:bookmarkEnd w:id="909"/>
      <w:bookmarkEnd w:id="910"/>
    </w:p>
    <w:p>
      <w:pPr>
        <w:pStyle w:val="8"/>
        <w:spacing w:line="400" w:lineRule="exact"/>
        <w:jc w:val="center"/>
        <w:rPr>
          <w:rFonts w:hint="eastAsia" w:ascii="宋体" w:hAnsi="宋体" w:eastAsia="宋体" w:cs="宋体"/>
          <w:color w:val="auto"/>
          <w:szCs w:val="24"/>
          <w:highlight w:val="none"/>
        </w:rPr>
      </w:pPr>
    </w:p>
    <w:p>
      <w:pPr>
        <w:pStyle w:val="8"/>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pPr>
        <w:pStyle w:val="8"/>
        <w:spacing w:line="4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（1）与供应商单位负责人为同一人的其他单位；</w:t>
      </w:r>
    </w:p>
    <w:p>
      <w:pPr>
        <w:pStyle w:val="8"/>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（2）与供应商存在直接控股、管理关系的其他单位。</w:t>
      </w:r>
    </w:p>
    <w:p>
      <w:pPr>
        <w:pStyle w:val="24"/>
        <w:rPr>
          <w:rFonts w:hint="eastAsia" w:ascii="宋体" w:hAnsi="宋体" w:eastAsia="宋体" w:cs="宋体"/>
          <w:b/>
          <w:color w:val="auto"/>
          <w:kern w:val="0"/>
          <w:sz w:val="24"/>
          <w:highlight w:val="none"/>
        </w:rPr>
      </w:pPr>
    </w:p>
    <w:p>
      <w:pPr>
        <w:pStyle w:val="8"/>
        <w:rPr>
          <w:rFonts w:hint="eastAsia" w:ascii="宋体" w:hAnsi="宋体" w:eastAsia="宋体" w:cs="宋体"/>
          <w:color w:val="auto"/>
          <w:highlight w:val="none"/>
        </w:rPr>
      </w:pPr>
    </w:p>
    <w:p>
      <w:pPr>
        <w:pStyle w:val="8"/>
        <w:ind w:firstLine="0"/>
        <w:rPr>
          <w:rFonts w:hint="eastAsia" w:ascii="宋体" w:hAnsi="宋体" w:eastAsia="宋体" w:cs="宋体"/>
          <w:color w:val="auto"/>
          <w:highlight w:val="none"/>
        </w:rPr>
      </w:pPr>
    </w:p>
    <w:p>
      <w:pPr>
        <w:pStyle w:val="7"/>
        <w:spacing w:before="0" w:line="400" w:lineRule="exact"/>
        <w:ind w:firstLine="241" w:firstLineChars="100"/>
        <w:jc w:val="both"/>
        <w:rPr>
          <w:rFonts w:hint="eastAsia" w:ascii="宋体" w:hAnsi="宋体" w:eastAsia="宋体" w:cs="宋体"/>
          <w:color w:val="auto"/>
          <w:sz w:val="24"/>
          <w:szCs w:val="24"/>
          <w:highlight w:val="none"/>
        </w:rPr>
      </w:pPr>
      <w:bookmarkStart w:id="911" w:name="_Toc25395"/>
      <w:r>
        <w:rPr>
          <w:rFonts w:hint="eastAsia" w:ascii="宋体" w:hAnsi="宋体" w:eastAsia="宋体" w:cs="宋体"/>
          <w:color w:val="auto"/>
          <w:sz w:val="24"/>
          <w:szCs w:val="24"/>
          <w:highlight w:val="none"/>
        </w:rPr>
        <w:t>8、供应商可提供有利于投标的其他资格证明材料</w:t>
      </w:r>
      <w:bookmarkEnd w:id="911"/>
    </w:p>
    <w:p>
      <w:pPr>
        <w:rPr>
          <w:rFonts w:hint="eastAsia" w:ascii="宋体" w:hAnsi="宋体" w:eastAsia="宋体" w:cs="宋体"/>
          <w:color w:val="auto"/>
          <w:highlight w:val="none"/>
        </w:rPr>
      </w:pPr>
    </w:p>
    <w:tbl>
      <w:tblPr>
        <w:tblStyle w:val="29"/>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4"/>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（正本和副本）</w:t>
            </w:r>
          </w:p>
          <w:p>
            <w:pPr>
              <w:pStyle w:val="4"/>
              <w:ind w:firstLine="4216" w:firstLineChars="1500"/>
              <w:rPr>
                <w:rFonts w:hint="eastAsia" w:ascii="宋体" w:hAnsi="宋体" w:eastAsia="宋体" w:cs="宋体"/>
                <w:b/>
                <w:bCs/>
                <w:color w:val="auto"/>
                <w:sz w:val="28"/>
                <w:szCs w:val="28"/>
                <w:highlight w:val="none"/>
              </w:rPr>
            </w:pPr>
          </w:p>
          <w:p>
            <w:pPr>
              <w:pStyle w:val="4"/>
              <w:ind w:firstLine="4216" w:firstLineChars="1500"/>
              <w:rPr>
                <w:rFonts w:hint="eastAsia" w:ascii="宋体" w:hAnsi="宋体" w:eastAsia="宋体" w:cs="宋体"/>
                <w:b/>
                <w:bCs/>
                <w:color w:val="auto"/>
                <w:sz w:val="28"/>
                <w:szCs w:val="28"/>
                <w:highlight w:val="none"/>
              </w:rPr>
            </w:pPr>
          </w:p>
          <w:p>
            <w:pPr>
              <w:pStyle w:val="4"/>
              <w:rPr>
                <w:rFonts w:hint="eastAsia" w:ascii="宋体" w:hAnsi="宋体" w:eastAsia="宋体" w:cs="宋体"/>
                <w:b/>
                <w:bCs/>
                <w:color w:val="auto"/>
                <w:sz w:val="28"/>
                <w:szCs w:val="28"/>
                <w:highlight w:val="none"/>
              </w:rPr>
            </w:pPr>
          </w:p>
          <w:p>
            <w:pPr>
              <w:pStyle w:val="4"/>
              <w:ind w:firstLine="2530"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pPr>
              <w:pStyle w:val="4"/>
              <w:jc w:val="center"/>
              <w:rPr>
                <w:rFonts w:hint="eastAsia" w:ascii="宋体" w:hAnsi="宋体" w:eastAsia="宋体" w:cs="宋体"/>
                <w:b/>
                <w:bCs/>
                <w:color w:val="auto"/>
                <w:sz w:val="21"/>
                <w:szCs w:val="21"/>
                <w:highlight w:val="none"/>
              </w:rPr>
            </w:pPr>
          </w:p>
          <w:p>
            <w:pPr>
              <w:pStyle w:val="4"/>
              <w:ind w:firstLine="3795" w:firstLineChars="18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编号 ＊＊＊      </w:t>
            </w:r>
          </w:p>
          <w:p>
            <w:pPr>
              <w:pStyle w:val="4"/>
              <w:jc w:val="center"/>
              <w:rPr>
                <w:rFonts w:hint="eastAsia" w:ascii="宋体" w:hAnsi="宋体" w:eastAsia="宋体" w:cs="宋体"/>
                <w:b/>
                <w:bCs/>
                <w:color w:val="auto"/>
                <w:sz w:val="48"/>
                <w:highlight w:val="none"/>
              </w:rPr>
            </w:pPr>
          </w:p>
          <w:p>
            <w:pPr>
              <w:pStyle w:val="4"/>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pPr>
              <w:pStyle w:val="8"/>
              <w:ind w:firstLine="0"/>
              <w:rPr>
                <w:rFonts w:hint="eastAsia" w:ascii="宋体" w:hAnsi="宋体" w:eastAsia="宋体" w:cs="宋体"/>
                <w:b/>
                <w:color w:val="auto"/>
                <w:sz w:val="32"/>
                <w:highlight w:val="none"/>
              </w:rPr>
            </w:pPr>
          </w:p>
          <w:p>
            <w:pPr>
              <w:pStyle w:val="8"/>
              <w:rPr>
                <w:rFonts w:hint="eastAsia" w:ascii="宋体" w:hAnsi="宋体" w:eastAsia="宋体" w:cs="宋体"/>
                <w:b/>
                <w:color w:val="auto"/>
                <w:sz w:val="32"/>
                <w:highlight w:val="none"/>
              </w:rPr>
            </w:pP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b/>
                <w:bCs/>
                <w:color w:val="auto"/>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jc w:val="center"/>
              <w:rPr>
                <w:rFonts w:hint="eastAsia" w:ascii="宋体" w:hAnsi="宋体" w:eastAsia="宋体" w:cs="宋体"/>
                <w:b/>
                <w:bCs/>
                <w:color w:val="auto"/>
                <w:highlight w:val="none"/>
              </w:rPr>
            </w:pPr>
          </w:p>
          <w:p>
            <w:pPr>
              <w:pStyle w:val="8"/>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   在202</w:t>
            </w:r>
            <w:r>
              <w:rPr>
                <w:rFonts w:hint="eastAsia" w:ascii="宋体" w:hAnsi="宋体" w:eastAsia="宋体" w:cs="宋体"/>
                <w:b/>
                <w:bCs/>
                <w:color w:val="auto"/>
                <w:highlight w:val="none"/>
                <w:lang w:val="en-US"/>
              </w:rPr>
              <w:t>2</w:t>
            </w:r>
            <w:r>
              <w:rPr>
                <w:rFonts w:hint="eastAsia" w:ascii="宋体" w:hAnsi="宋体" w:eastAsia="宋体" w:cs="宋体"/>
                <w:b/>
                <w:bCs/>
                <w:color w:val="auto"/>
                <w:highlight w:val="none"/>
              </w:rPr>
              <w:t>年   月  日 *午</w:t>
            </w:r>
            <w:r>
              <w:rPr>
                <w:rFonts w:hint="eastAsia" w:ascii="宋体" w:hAnsi="宋体" w:eastAsia="宋体" w:cs="宋体"/>
                <w:color w:val="auto"/>
                <w:kern w:val="0"/>
                <w:szCs w:val="21"/>
                <w:highlight w:val="none"/>
              </w:rPr>
              <w:t>XX</w:t>
            </w:r>
            <w:r>
              <w:rPr>
                <w:rFonts w:hint="eastAsia" w:ascii="宋体" w:hAnsi="宋体" w:eastAsia="宋体" w:cs="宋体"/>
                <w:b/>
                <w:bCs/>
                <w:color w:val="auto"/>
                <w:highlight w:val="none"/>
              </w:rPr>
              <w:t>之前不得启封</w:t>
            </w:r>
          </w:p>
          <w:p>
            <w:pPr>
              <w:jc w:val="center"/>
              <w:rPr>
                <w:rFonts w:hint="eastAsia" w:ascii="宋体" w:hAnsi="宋体" w:eastAsia="宋体" w:cs="宋体"/>
                <w:b/>
                <w:bCs/>
                <w:color w:val="auto"/>
                <w:highlight w:val="none"/>
              </w:rPr>
            </w:pPr>
          </w:p>
        </w:tc>
      </w:tr>
    </w:tbl>
    <w:p>
      <w:pPr>
        <w:spacing w:line="240" w:lineRule="atLeast"/>
        <w:ind w:firstLine="241" w:firstLineChars="100"/>
        <w:outlineLvl w:val="1"/>
        <w:rPr>
          <w:rFonts w:hint="eastAsia" w:ascii="宋体" w:hAnsi="宋体" w:eastAsia="宋体" w:cs="宋体"/>
          <w:b/>
          <w:color w:val="auto"/>
          <w:kern w:val="0"/>
          <w:sz w:val="24"/>
          <w:highlight w:val="none"/>
        </w:rPr>
      </w:pPr>
      <w:bookmarkStart w:id="912" w:name="_Toc3908"/>
      <w:r>
        <w:rPr>
          <w:rFonts w:hint="eastAsia" w:ascii="宋体" w:hAnsi="宋体" w:eastAsia="宋体" w:cs="宋体"/>
          <w:b/>
          <w:color w:val="auto"/>
          <w:kern w:val="0"/>
          <w:sz w:val="24"/>
          <w:highlight w:val="none"/>
        </w:rPr>
        <w:t>9、投标文件格式范本</w:t>
      </w:r>
      <w:bookmarkEnd w:id="912"/>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rPr>
          <w:rFonts w:hint="eastAsia" w:ascii="宋体" w:hAnsi="宋体" w:eastAsia="宋体" w:cs="宋体"/>
          <w:b/>
          <w:color w:val="auto"/>
          <w:sz w:val="44"/>
          <w:szCs w:val="44"/>
          <w:highlight w:val="none"/>
        </w:rPr>
      </w:pPr>
    </w:p>
    <w:p>
      <w:pPr>
        <w:pStyle w:val="2"/>
        <w:rPr>
          <w:rFonts w:hint="eastAsia" w:ascii="宋体" w:hAnsi="宋体" w:eastAsia="宋体" w:cs="宋体"/>
          <w:b/>
          <w:color w:val="auto"/>
          <w:sz w:val="44"/>
          <w:szCs w:val="44"/>
          <w:highlight w:val="none"/>
        </w:rPr>
      </w:pPr>
    </w:p>
    <w:p>
      <w:pPr>
        <w:pStyle w:val="2"/>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360" w:lineRule="auto"/>
        <w:rPr>
          <w:rFonts w:hint="eastAsia" w:ascii="宋体" w:hAnsi="宋体" w:eastAsia="宋体" w:cs="宋体"/>
          <w:b/>
          <w:color w:val="auto"/>
          <w:sz w:val="40"/>
          <w:szCs w:val="40"/>
          <w:highlight w:val="none"/>
        </w:rPr>
      </w:pPr>
      <w:bookmarkStart w:id="913" w:name="_Toc24900_WPSOffice_Level2"/>
    </w:p>
    <w:p>
      <w:pPr>
        <w:spacing w:line="240" w:lineRule="atLeast"/>
        <w:jc w:val="center"/>
        <w:rPr>
          <w:rFonts w:hint="eastAsia" w:ascii="宋体" w:hAnsi="宋体" w:eastAsia="宋体" w:cs="宋体"/>
          <w:b/>
          <w:color w:val="auto"/>
          <w:sz w:val="32"/>
          <w:highlight w:val="none"/>
        </w:rPr>
      </w:pPr>
      <w:r>
        <w:rPr>
          <w:rFonts w:hint="eastAsia" w:ascii="宋体" w:hAnsi="宋体" w:eastAsia="宋体" w:cs="宋体"/>
          <w:b/>
          <w:color w:val="auto"/>
          <w:sz w:val="40"/>
          <w:szCs w:val="40"/>
          <w:highlight w:val="none"/>
        </w:rPr>
        <w:t xml:space="preserve">项目编号： </w:t>
      </w:r>
      <w:bookmarkEnd w:id="913"/>
      <w:r>
        <w:rPr>
          <w:rFonts w:hint="eastAsia" w:ascii="宋体" w:hAnsi="宋体" w:eastAsia="宋体" w:cs="宋体"/>
          <w:b/>
          <w:color w:val="auto"/>
          <w:sz w:val="40"/>
          <w:szCs w:val="40"/>
          <w:highlight w:val="none"/>
        </w:rPr>
        <w:t>ZJ（GK）-22037</w:t>
      </w: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 二 册</w:t>
      </w:r>
    </w:p>
    <w:p>
      <w:pPr>
        <w:rPr>
          <w:rFonts w:hint="eastAsia" w:ascii="宋体" w:hAnsi="宋体" w:eastAsia="宋体" w:cs="宋体"/>
          <w:color w:val="auto"/>
          <w:sz w:val="44"/>
          <w:szCs w:val="36"/>
          <w:highlight w:val="none"/>
        </w:rPr>
      </w:pPr>
    </w:p>
    <w:p>
      <w:pPr>
        <w:pStyle w:val="8"/>
        <w:rPr>
          <w:rFonts w:hint="eastAsia" w:ascii="宋体" w:hAnsi="宋体" w:eastAsia="宋体" w:cs="宋体"/>
          <w:b/>
          <w:color w:val="auto"/>
          <w:sz w:val="44"/>
          <w:szCs w:val="36"/>
          <w:highlight w:val="none"/>
        </w:rPr>
      </w:pPr>
    </w:p>
    <w:p>
      <w:pPr>
        <w:pStyle w:val="13"/>
        <w:rPr>
          <w:rFonts w:hint="eastAsia" w:ascii="宋体" w:hAnsi="宋体" w:eastAsia="宋体" w:cs="宋体"/>
          <w:b/>
          <w:color w:val="auto"/>
          <w:sz w:val="44"/>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32"/>
          <w:highlight w:val="none"/>
        </w:rPr>
      </w:pPr>
    </w:p>
    <w:p>
      <w:pPr>
        <w:pStyle w:val="8"/>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pStyle w:val="8"/>
        <w:rPr>
          <w:rFonts w:hint="eastAsia" w:ascii="宋体" w:hAnsi="宋体" w:eastAsia="宋体" w:cs="宋体"/>
          <w:color w:val="auto"/>
          <w:highlight w:val="none"/>
        </w:rPr>
      </w:pPr>
    </w:p>
    <w:bookmarkEnd w:id="784"/>
    <w:bookmarkEnd w:id="785"/>
    <w:bookmarkEnd w:id="786"/>
    <w:bookmarkEnd w:id="787"/>
    <w:bookmarkEnd w:id="814"/>
    <w:bookmarkEnd w:id="815"/>
    <w:bookmarkEnd w:id="816"/>
    <w:bookmarkEnd w:id="817"/>
    <w:bookmarkEnd w:id="818"/>
    <w:bookmarkEnd w:id="819"/>
    <w:p>
      <w:pPr>
        <w:pStyle w:val="24"/>
        <w:rPr>
          <w:rFonts w:hint="eastAsia" w:ascii="宋体" w:hAnsi="宋体" w:eastAsia="宋体" w:cs="宋体"/>
          <w:color w:val="auto"/>
          <w:highlight w:val="none"/>
        </w:rPr>
      </w:pPr>
    </w:p>
    <w:p>
      <w:pPr>
        <w:widowControl/>
        <w:spacing w:line="440" w:lineRule="exact"/>
        <w:jc w:val="center"/>
        <w:outlineLvl w:val="0"/>
        <w:rPr>
          <w:rStyle w:val="37"/>
          <w:rFonts w:hint="eastAsia" w:ascii="宋体" w:hAnsi="宋体" w:eastAsia="宋体" w:cs="宋体"/>
          <w:color w:val="auto"/>
          <w:highlight w:val="none"/>
        </w:rPr>
      </w:pPr>
      <w:bookmarkStart w:id="914" w:name="_Toc29715"/>
      <w:bookmarkStart w:id="915" w:name="_Toc507399902"/>
      <w:bookmarkStart w:id="916" w:name="_Toc218935350"/>
      <w:bookmarkStart w:id="917" w:name="_Toc17268"/>
      <w:bookmarkStart w:id="918" w:name="_Toc16370"/>
      <w:bookmarkStart w:id="919" w:name="_Toc515647829"/>
      <w:bookmarkStart w:id="920" w:name="_Toc22081"/>
      <w:bookmarkStart w:id="921" w:name="_Toc219175634"/>
      <w:bookmarkStart w:id="922" w:name="_Toc216582822"/>
      <w:bookmarkStart w:id="923" w:name="_Toc28765"/>
      <w:r>
        <w:rPr>
          <w:rStyle w:val="37"/>
          <w:rFonts w:hint="eastAsia" w:ascii="宋体" w:hAnsi="宋体" w:eastAsia="宋体" w:cs="宋体"/>
          <w:color w:val="auto"/>
          <w:highlight w:val="none"/>
        </w:rPr>
        <w:t>第3章  投标邀请</w:t>
      </w:r>
      <w:bookmarkEnd w:id="914"/>
      <w:bookmarkEnd w:id="915"/>
      <w:bookmarkEnd w:id="916"/>
      <w:bookmarkEnd w:id="917"/>
      <w:bookmarkEnd w:id="918"/>
      <w:bookmarkEnd w:id="919"/>
      <w:bookmarkEnd w:id="920"/>
      <w:bookmarkEnd w:id="921"/>
      <w:bookmarkEnd w:id="922"/>
      <w:bookmarkEnd w:id="923"/>
      <w:bookmarkStart w:id="924" w:name="_Toc507399903"/>
      <w:bookmarkStart w:id="925" w:name="_Toc31583"/>
      <w:bookmarkStart w:id="926" w:name="_Toc216582823"/>
      <w:bookmarkStart w:id="927" w:name="_Toc5272"/>
      <w:bookmarkStart w:id="928" w:name="_Toc512937850"/>
      <w:bookmarkStart w:id="929" w:name="_Toc515647830"/>
      <w:bookmarkStart w:id="930" w:name="_Toc10488"/>
    </w:p>
    <w:p>
      <w:pPr>
        <w:pStyle w:val="6"/>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eastAsia" w:ascii="宋体" w:hAnsi="宋体" w:eastAsia="宋体" w:cs="宋体"/>
          <w:color w:val="auto"/>
          <w:sz w:val="30"/>
          <w:szCs w:val="30"/>
          <w:highlight w:val="none"/>
          <w:lang w:val="en-US" w:eastAsia="zh-CN"/>
        </w:rPr>
      </w:pPr>
      <w:bookmarkStart w:id="931" w:name="_Toc13488"/>
      <w:bookmarkStart w:id="932" w:name="_Toc31912"/>
      <w:bookmarkStart w:id="933" w:name="_Toc8815"/>
      <w:bookmarkStart w:id="934" w:name="_Toc29132"/>
      <w:r>
        <w:rPr>
          <w:rFonts w:hint="eastAsia" w:ascii="宋体" w:hAnsi="宋体" w:eastAsia="宋体" w:cs="宋体"/>
          <w:color w:val="auto"/>
          <w:sz w:val="30"/>
          <w:szCs w:val="30"/>
          <w:highlight w:val="none"/>
          <w:lang w:val="en-US" w:eastAsia="zh-CN"/>
        </w:rPr>
        <w:t>莎车县人民医院集成平台、数据中心、急救车指挥系统、数据标准机房及其他软硬件安装升级改造采购项目</w:t>
      </w:r>
      <w:bookmarkEnd w:id="931"/>
      <w:bookmarkEnd w:id="932"/>
    </w:p>
    <w:p>
      <w:pPr>
        <w:pStyle w:val="6"/>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eastAsia" w:ascii="宋体" w:hAnsi="宋体" w:eastAsia="宋体" w:cs="宋体"/>
          <w:color w:val="auto"/>
          <w:sz w:val="30"/>
          <w:szCs w:val="30"/>
          <w:highlight w:val="none"/>
        </w:rPr>
      </w:pPr>
      <w:bookmarkStart w:id="935" w:name="_Toc21187"/>
      <w:bookmarkStart w:id="936" w:name="_Toc18911"/>
      <w:bookmarkStart w:id="937" w:name="_Toc18518"/>
      <w:r>
        <w:rPr>
          <w:rFonts w:hint="eastAsia" w:ascii="宋体" w:hAnsi="宋体" w:eastAsia="宋体" w:cs="宋体"/>
          <w:color w:val="auto"/>
          <w:sz w:val="30"/>
          <w:szCs w:val="30"/>
          <w:highlight w:val="none"/>
          <w:lang w:val="en-US" w:eastAsia="zh-CN"/>
        </w:rPr>
        <w:t>公开招标</w:t>
      </w:r>
      <w:r>
        <w:rPr>
          <w:rFonts w:hint="eastAsia" w:ascii="宋体" w:hAnsi="宋体" w:eastAsia="宋体" w:cs="宋体"/>
          <w:color w:val="auto"/>
          <w:sz w:val="30"/>
          <w:szCs w:val="30"/>
          <w:highlight w:val="none"/>
        </w:rPr>
        <w:t>公告</w:t>
      </w:r>
      <w:bookmarkEnd w:id="933"/>
      <w:bookmarkEnd w:id="935"/>
      <w:bookmarkEnd w:id="936"/>
      <w:bookmarkEnd w:id="937"/>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FF0000"/>
          <w:sz w:val="24"/>
          <w:szCs w:val="24"/>
          <w:highlight w:val="none"/>
        </w:rPr>
      </w:pPr>
      <w:bookmarkStart w:id="938" w:name="_Toc29182"/>
      <w:bookmarkStart w:id="939" w:name="_Toc28359089"/>
      <w:bookmarkStart w:id="940" w:name="_Toc35393629"/>
      <w:bookmarkStart w:id="941" w:name="_Toc35393798"/>
      <w:bookmarkStart w:id="942" w:name="_Toc8264"/>
      <w:bookmarkStart w:id="943" w:name="_Toc28359012"/>
      <w:r>
        <w:rPr>
          <w:rFonts w:hint="eastAsia" w:ascii="宋体" w:hAnsi="宋体" w:eastAsia="宋体" w:cs="宋体"/>
          <w:color w:val="auto"/>
          <w:sz w:val="24"/>
          <w:highlight w:val="none"/>
          <w:u w:val="single"/>
          <w:lang w:eastAsia="zh-CN"/>
        </w:rPr>
        <w:t>莎车县人民医院集成平台、数据中心、急救车指挥系统、数据标准机房及其他软硬件安装升级改造采购项目</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rPr>
        <w:t>政采云平台</w:t>
      </w:r>
      <w:r>
        <w:rPr>
          <w:rFonts w:hint="eastAsia" w:ascii="宋体" w:hAnsi="宋体" w:eastAsia="宋体" w:cs="宋体"/>
          <w:color w:val="auto"/>
          <w:sz w:val="24"/>
          <w:highlight w:val="none"/>
        </w:rPr>
        <w:t>获取招标文件，</w:t>
      </w:r>
      <w:r>
        <w:rPr>
          <w:rFonts w:hint="eastAsia" w:ascii="宋体" w:hAnsi="宋体" w:eastAsia="宋体" w:cs="宋体"/>
          <w:color w:val="FF0000"/>
          <w:sz w:val="24"/>
          <w:highlight w:val="none"/>
        </w:rPr>
        <w:t>并于</w:t>
      </w:r>
      <w:r>
        <w:rPr>
          <w:rFonts w:hint="eastAsia" w:ascii="宋体" w:hAnsi="宋体" w:eastAsia="宋体" w:cs="宋体"/>
          <w:color w:val="FF0000"/>
          <w:sz w:val="24"/>
          <w:szCs w:val="24"/>
          <w:highlight w:val="none"/>
          <w:u w:val="single"/>
          <w:lang w:val="en-US" w:eastAsia="zh-CN"/>
        </w:rPr>
        <w:t>2022年10月 21日上午11点00分</w:t>
      </w:r>
      <w:r>
        <w:rPr>
          <w:rFonts w:hint="eastAsia" w:ascii="宋体" w:hAnsi="宋体" w:eastAsia="宋体" w:cs="宋体"/>
          <w:color w:val="FF0000"/>
          <w:sz w:val="24"/>
          <w:highlight w:val="none"/>
          <w:u w:val="single"/>
        </w:rPr>
        <w:t>（北京时间）</w:t>
      </w:r>
      <w:r>
        <w:rPr>
          <w:rFonts w:hint="eastAsia" w:ascii="宋体" w:hAnsi="宋体" w:eastAsia="宋体" w:cs="宋体"/>
          <w:bCs/>
          <w:color w:val="FF0000"/>
          <w:sz w:val="24"/>
          <w:highlight w:val="none"/>
        </w:rPr>
        <w:t>前</w:t>
      </w:r>
      <w:r>
        <w:rPr>
          <w:rFonts w:hint="eastAsia" w:ascii="宋体" w:hAnsi="宋体" w:eastAsia="宋体" w:cs="宋体"/>
          <w:bCs/>
          <w:color w:val="FF0000"/>
          <w:sz w:val="24"/>
          <w:highlight w:val="none"/>
          <w:lang w:eastAsia="zh-CN"/>
        </w:rPr>
        <w:t>上传</w:t>
      </w:r>
      <w:r>
        <w:rPr>
          <w:rFonts w:hint="eastAsia" w:ascii="宋体" w:hAnsi="宋体" w:eastAsia="宋体" w:cs="宋体"/>
          <w:bCs/>
          <w:color w:val="FF0000"/>
          <w:sz w:val="24"/>
          <w:highlight w:val="none"/>
        </w:rPr>
        <w:t>投标文件</w:t>
      </w:r>
      <w:r>
        <w:rPr>
          <w:rFonts w:hint="eastAsia" w:ascii="宋体" w:hAnsi="宋体" w:eastAsia="宋体" w:cs="宋体"/>
          <w:color w:val="FF0000"/>
          <w:sz w:val="24"/>
          <w:highlight w:val="none"/>
        </w:rPr>
        <w:t>。</w:t>
      </w:r>
    </w:p>
    <w:p>
      <w:pPr>
        <w:pStyle w:val="7"/>
        <w:pageBreakBefore w:val="0"/>
        <w:widowControl w:val="0"/>
        <w:kinsoku/>
        <w:wordWrap/>
        <w:overflowPunct/>
        <w:topLinePunct w:val="0"/>
        <w:bidi w:val="0"/>
        <w:snapToGrid/>
        <w:spacing w:before="0" w:line="440" w:lineRule="exact"/>
        <w:jc w:val="both"/>
        <w:textAlignment w:val="auto"/>
        <w:rPr>
          <w:rFonts w:hint="eastAsia" w:ascii="宋体" w:hAnsi="宋体" w:eastAsia="宋体" w:cs="宋体"/>
          <w:b/>
          <w:bCs/>
          <w:color w:val="auto"/>
          <w:sz w:val="24"/>
          <w:szCs w:val="24"/>
          <w:highlight w:val="none"/>
        </w:rPr>
      </w:pPr>
      <w:bookmarkStart w:id="944" w:name="_Toc9986"/>
      <w:bookmarkStart w:id="945" w:name="_Toc4513"/>
      <w:r>
        <w:rPr>
          <w:rFonts w:hint="eastAsia" w:ascii="宋体" w:hAnsi="宋体" w:eastAsia="宋体" w:cs="宋体"/>
          <w:b/>
          <w:bCs/>
          <w:color w:val="auto"/>
          <w:sz w:val="24"/>
          <w:szCs w:val="24"/>
          <w:highlight w:val="none"/>
        </w:rPr>
        <w:t>一、项目基本情况</w:t>
      </w:r>
      <w:bookmarkEnd w:id="938"/>
      <w:bookmarkEnd w:id="939"/>
      <w:bookmarkEnd w:id="940"/>
      <w:bookmarkEnd w:id="941"/>
      <w:bookmarkEnd w:id="942"/>
      <w:bookmarkEnd w:id="943"/>
      <w:bookmarkEnd w:id="944"/>
      <w:bookmarkEnd w:id="945"/>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sz w:val="28"/>
          <w:szCs w:val="28"/>
        </w:rPr>
        <w:t>ZJ</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GK</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-22037</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.项目名称：莎车县人民医院集成平台、数据中心、急救车指挥系统、数据标准机房及其他软硬件安装升级改造采购项目</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采购方式：</w:t>
      </w:r>
      <w:r>
        <w:rPr>
          <w:rFonts w:hint="eastAsia" w:ascii="宋体" w:hAnsi="宋体" w:eastAsia="宋体" w:cs="宋体"/>
          <w:color w:val="auto"/>
          <w:sz w:val="24"/>
          <w:szCs w:val="24"/>
          <w:highlight w:val="none"/>
          <w:u w:val="none"/>
          <w:lang w:val="en-US" w:eastAsia="zh-CN"/>
        </w:rPr>
        <w:t>公开招标</w:t>
      </w:r>
      <w:r>
        <w:rPr>
          <w:rFonts w:hint="eastAsia" w:ascii="宋体" w:hAnsi="宋体" w:eastAsia="宋体" w:cs="宋体"/>
          <w:color w:val="auto"/>
          <w:sz w:val="24"/>
          <w:szCs w:val="24"/>
          <w:highlight w:val="none"/>
          <w:u w:val="none"/>
        </w:rPr>
        <w:t xml:space="preserve"> </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：957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万</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最高限价（元）：</w:t>
      </w:r>
      <w:r>
        <w:rPr>
          <w:rFonts w:hint="eastAsia" w:ascii="宋体" w:hAnsi="宋体" w:eastAsia="宋体" w:cs="宋体"/>
          <w:color w:val="auto"/>
          <w:sz w:val="24"/>
          <w:szCs w:val="24"/>
          <w:highlight w:val="none"/>
        </w:rPr>
        <w:t>957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万</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采购需求：</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第一包：集成平台互联互通一批、数据中心信息平台一批、三级理论考试系统一批；</w:t>
      </w:r>
      <w:r>
        <w:rPr>
          <w:rFonts w:hint="eastAsia" w:ascii="宋体" w:hAnsi="宋体" w:eastAsia="宋体" w:cs="宋体"/>
          <w:color w:val="auto"/>
          <w:sz w:val="24"/>
          <w:highlight w:val="none"/>
          <w:lang w:val="en-US" w:eastAsia="zh-CN"/>
        </w:rPr>
        <w:t>预算金额：520.7</w:t>
      </w:r>
      <w:r>
        <w:rPr>
          <w:rFonts w:hint="eastAsia" w:ascii="宋体" w:hAnsi="宋体" w:eastAsia="宋体" w:cs="宋体"/>
          <w:color w:val="auto"/>
          <w:sz w:val="24"/>
          <w:szCs w:val="24"/>
          <w:highlight w:val="none"/>
          <w:lang w:val="en-US" w:eastAsia="zh-CN"/>
        </w:rPr>
        <w:t>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第二包：120急救车调度指挥系统一批；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200万元；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第三包：数据共享中心标准机房一批；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165万元；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第四包：体检中心体检管理软件升级改造一批；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22万元；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第五包：信息安全三级等保测评一批；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28万元；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第六包：短信服务平台基础设备一批；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21.7万元。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（数量规格参数详见招标文件）</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.本项目（否）接受联合体。</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color w:val="auto"/>
          <w:kern w:val="0"/>
          <w:sz w:val="24"/>
          <w:szCs w:val="24"/>
          <w:highlight w:val="none"/>
        </w:rPr>
      </w:pPr>
      <w:bookmarkStart w:id="946" w:name="_Toc32375"/>
      <w:bookmarkStart w:id="947" w:name="_Toc28359013"/>
      <w:bookmarkStart w:id="948" w:name="_Toc35393630"/>
      <w:bookmarkStart w:id="949" w:name="_Toc35393799"/>
      <w:bookmarkStart w:id="950" w:name="_Toc28359090"/>
      <w:bookmarkStart w:id="951" w:name="_Toc13080"/>
      <w:bookmarkStart w:id="952" w:name="_Toc12963"/>
      <w:bookmarkStart w:id="953" w:name="_Toc6039"/>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申请人</w:t>
      </w:r>
      <w:r>
        <w:rPr>
          <w:rFonts w:hint="eastAsia" w:ascii="宋体" w:hAnsi="宋体" w:eastAsia="宋体" w:cs="宋体"/>
          <w:color w:val="auto"/>
          <w:kern w:val="0"/>
          <w:sz w:val="24"/>
          <w:szCs w:val="24"/>
          <w:highlight w:val="none"/>
        </w:rPr>
        <w:t>的资格要求：</w:t>
      </w:r>
      <w:bookmarkEnd w:id="946"/>
      <w:bookmarkEnd w:id="947"/>
      <w:bookmarkEnd w:id="948"/>
      <w:bookmarkEnd w:id="949"/>
      <w:bookmarkEnd w:id="950"/>
      <w:bookmarkEnd w:id="951"/>
      <w:bookmarkEnd w:id="952"/>
      <w:bookmarkEnd w:id="953"/>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bookmarkStart w:id="954" w:name="_Toc28359091"/>
      <w:bookmarkStart w:id="955" w:name="_Toc35393800"/>
      <w:bookmarkStart w:id="956" w:name="_Toc35393631"/>
      <w:bookmarkStart w:id="957" w:name="_Toc28359014"/>
      <w:r>
        <w:rPr>
          <w:rFonts w:hint="eastAsia" w:ascii="宋体" w:hAnsi="宋体" w:eastAsia="宋体" w:cs="宋体"/>
          <w:color w:val="auto"/>
          <w:sz w:val="24"/>
          <w:szCs w:val="24"/>
          <w:highlight w:val="none"/>
        </w:rPr>
        <w:t>1.满足《中华人民共和国政府采购法》第二十二条规定；</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无；</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）具有独立法人资格（三证合一的营业执照）</w:t>
      </w:r>
      <w:r>
        <w:rPr>
          <w:rFonts w:hint="eastAsia" w:ascii="宋体" w:hAnsi="宋体" w:eastAsia="宋体" w:cs="宋体"/>
          <w:color w:val="auto"/>
          <w:sz w:val="24"/>
          <w:szCs w:val="24"/>
          <w:highlight w:val="none"/>
          <w:lang w:val="en-US" w:eastAsia="zh-CN"/>
        </w:rPr>
        <w:t>；</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（2）法定代表人资格证明及授权书、被授权人身份证；(法定代表人投标需提供法定代表人身份证)；</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（3）依法缴纳最近连续六个月的社会保险的凭据（授权人和单位员工缴纳明细凭据）；</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（4）提供税务部门出具的最近连续六个月的完税证明；</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（5）提供2020年或2021年经审计的财务审计报告（2022年成立的新公司出具近3个月任意一个月的银行资信证明）；</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（7）参与政府采购活动前3年内未被列入失信、重大税收违法案件、财政部门禁止参加政府采购活动的承诺书；</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（8）提供针对本次项目的《反商业贿赂承诺书》。</w:t>
      </w:r>
    </w:p>
    <w:p>
      <w:pPr>
        <w:pStyle w:val="7"/>
        <w:pageBreakBefore w:val="0"/>
        <w:widowControl w:val="0"/>
        <w:kinsoku/>
        <w:wordWrap/>
        <w:overflowPunct/>
        <w:topLinePunct w:val="0"/>
        <w:bidi w:val="0"/>
        <w:snapToGrid/>
        <w:spacing w:before="0" w:line="440" w:lineRule="exact"/>
        <w:jc w:val="both"/>
        <w:textAlignment w:val="auto"/>
        <w:rPr>
          <w:rFonts w:hint="eastAsia" w:ascii="宋体" w:hAnsi="宋体" w:eastAsia="宋体" w:cs="宋体"/>
          <w:b/>
          <w:bCs/>
          <w:color w:val="auto"/>
          <w:sz w:val="24"/>
          <w:szCs w:val="24"/>
          <w:highlight w:val="none"/>
        </w:rPr>
      </w:pPr>
      <w:bookmarkStart w:id="958" w:name="_Toc21437"/>
      <w:bookmarkStart w:id="959" w:name="_Toc7573"/>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文件</w:t>
      </w:r>
      <w:bookmarkEnd w:id="958"/>
      <w:bookmarkEnd w:id="959"/>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时间：2022年09月 30日至2022年10月 12 日，每天上午10:00至14:00，下午16:00至20:00（北京时间，法定节假日除外）</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地点：线上获取</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highlight w:val="none"/>
        </w:rPr>
        <w:t>政采云平台</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http://www.zcygov.cn/</w:t>
      </w:r>
      <w:r>
        <w:rPr>
          <w:rFonts w:hint="eastAsia" w:ascii="宋体" w:hAnsi="宋体" w:eastAsia="宋体" w:cs="宋体"/>
          <w:color w:val="auto"/>
          <w:sz w:val="24"/>
          <w:highlight w:val="none"/>
          <w:lang w:eastAsia="zh-CN"/>
        </w:rPr>
        <w:t>）</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w:t>
      </w:r>
    </w:p>
    <w:bookmarkEnd w:id="954"/>
    <w:bookmarkEnd w:id="955"/>
    <w:bookmarkEnd w:id="956"/>
    <w:bookmarkEnd w:id="957"/>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rPr>
      </w:pPr>
      <w:bookmarkStart w:id="960" w:name="_Toc6797"/>
      <w:bookmarkStart w:id="961" w:name="_Toc10634"/>
      <w:bookmarkStart w:id="962" w:name="_Toc35393633"/>
      <w:bookmarkStart w:id="963" w:name="_Toc21935"/>
      <w:bookmarkStart w:id="964" w:name="_Toc28359016"/>
      <w:bookmarkStart w:id="965" w:name="_Toc28359093"/>
      <w:bookmarkStart w:id="966" w:name="_Toc35393802"/>
      <w:bookmarkStart w:id="967" w:name="_Toc28593"/>
      <w:r>
        <w:rPr>
          <w:rFonts w:hint="eastAsia" w:ascii="宋体" w:hAnsi="宋体" w:eastAsia="宋体" w:cs="宋体"/>
          <w:b/>
          <w:bCs/>
          <w:color w:val="auto"/>
          <w:kern w:val="0"/>
          <w:sz w:val="24"/>
          <w:szCs w:val="24"/>
          <w:highlight w:val="none"/>
        </w:rPr>
        <w:t>四、提交投标文件截止时间、开标时间和地点</w:t>
      </w:r>
      <w:bookmarkEnd w:id="960"/>
      <w:bookmarkEnd w:id="961"/>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提交投标文件截止时间：</w:t>
      </w:r>
      <w:r>
        <w:rPr>
          <w:rFonts w:hint="eastAsia" w:ascii="宋体" w:hAnsi="宋体" w:eastAsia="宋体" w:cs="宋体"/>
          <w:color w:val="FF0000"/>
          <w:sz w:val="24"/>
          <w:szCs w:val="24"/>
          <w:highlight w:val="none"/>
          <w:lang w:val="en-US" w:eastAsia="zh-CN"/>
        </w:rPr>
        <w:t>2022年10月 21日上午11点00分（北京时间）</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投标地点：莎车县莎车宾馆会议中心</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color w:val="FF0000"/>
          <w:sz w:val="24"/>
          <w:szCs w:val="24"/>
          <w:highlight w:val="none"/>
          <w:lang w:val="en-US" w:eastAsia="zh-CN"/>
        </w:rPr>
        <w:t>2022年10月 21 日上午11点00分（北京时间）</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开标地点：莎车县莎车宾馆会议中心</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968" w:name="_Toc15153"/>
      <w:bookmarkStart w:id="969" w:name="_Toc9604"/>
      <w:r>
        <w:rPr>
          <w:rFonts w:hint="eastAsia" w:ascii="宋体" w:hAnsi="宋体" w:eastAsia="宋体" w:cs="宋体"/>
          <w:b/>
          <w:bCs/>
          <w:color w:val="auto"/>
          <w:kern w:val="0"/>
          <w:sz w:val="24"/>
          <w:szCs w:val="24"/>
          <w:highlight w:val="none"/>
          <w:lang w:val="en-US" w:eastAsia="zh-CN"/>
        </w:rPr>
        <w:t>五、公告期限</w:t>
      </w:r>
      <w:bookmarkEnd w:id="968"/>
      <w:bookmarkEnd w:id="969"/>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bookmarkEnd w:id="962"/>
    <w:bookmarkEnd w:id="963"/>
    <w:bookmarkEnd w:id="964"/>
    <w:bookmarkEnd w:id="965"/>
    <w:bookmarkEnd w:id="966"/>
    <w:bookmarkEnd w:id="967"/>
    <w:p>
      <w:pPr>
        <w:pStyle w:val="7"/>
        <w:pageBreakBefore w:val="0"/>
        <w:widowControl w:val="0"/>
        <w:numPr>
          <w:ilvl w:val="0"/>
          <w:numId w:val="5"/>
        </w:numPr>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970" w:name="_Toc20823"/>
      <w:bookmarkStart w:id="971" w:name="_Toc13016"/>
      <w:r>
        <w:rPr>
          <w:rFonts w:hint="eastAsia" w:ascii="宋体" w:hAnsi="宋体" w:eastAsia="宋体" w:cs="宋体"/>
          <w:b/>
          <w:bCs/>
          <w:color w:val="auto"/>
          <w:kern w:val="0"/>
          <w:sz w:val="24"/>
          <w:szCs w:val="24"/>
          <w:highlight w:val="none"/>
          <w:lang w:val="en-US" w:eastAsia="zh-CN"/>
        </w:rPr>
        <w:t>其它补充事宜</w:t>
      </w:r>
      <w:bookmarkEnd w:id="970"/>
      <w:bookmarkEnd w:id="971"/>
    </w:p>
    <w:p>
      <w:pPr>
        <w:pStyle w:val="8"/>
        <w:numPr>
          <w:ilvl w:val="0"/>
          <w:numId w:val="0"/>
        </w:numPr>
        <w:ind w:firstLine="1200" w:firstLineChars="500"/>
        <w:rPr>
          <w:rFonts w:hint="eastAsia" w:ascii="宋体" w:hAnsi="宋体" w:eastAsia="宋体" w:cs="宋体"/>
          <w:lang w:val="en-US" w:eastAsia="zh-CN"/>
        </w:rPr>
      </w:pPr>
      <w:r>
        <w:rPr>
          <w:rFonts w:hint="eastAsia" w:ascii="宋体" w:hAnsi="宋体" w:eastAsia="宋体" w:cs="宋体"/>
          <w:lang w:val="en-US" w:eastAsia="zh-CN"/>
        </w:rPr>
        <w:t>无</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972" w:name="_Toc23272"/>
      <w:bookmarkStart w:id="973" w:name="_Toc10884"/>
      <w:r>
        <w:rPr>
          <w:rFonts w:hint="eastAsia" w:ascii="宋体" w:hAnsi="宋体" w:eastAsia="宋体" w:cs="宋体"/>
          <w:b/>
          <w:bCs/>
          <w:color w:val="auto"/>
          <w:kern w:val="0"/>
          <w:sz w:val="24"/>
          <w:szCs w:val="24"/>
          <w:highlight w:val="none"/>
          <w:lang w:val="en-US" w:eastAsia="zh-CN"/>
        </w:rPr>
        <w:t>七、</w:t>
      </w:r>
      <w:bookmarkStart w:id="974" w:name="_Toc35393636"/>
      <w:bookmarkStart w:id="975" w:name="_Toc21330"/>
      <w:bookmarkStart w:id="976" w:name="_Toc28359095"/>
      <w:bookmarkStart w:id="977" w:name="_Toc23916"/>
      <w:bookmarkStart w:id="978" w:name="_Toc35393805"/>
      <w:bookmarkStart w:id="979" w:name="_Toc28359018"/>
      <w:bookmarkStart w:id="980" w:name="_Toc18510"/>
      <w:bookmarkStart w:id="981" w:name="_Toc5483"/>
      <w:r>
        <w:rPr>
          <w:rFonts w:hint="eastAsia" w:ascii="宋体" w:hAnsi="宋体" w:eastAsia="宋体" w:cs="宋体"/>
          <w:b/>
          <w:bCs/>
          <w:color w:val="auto"/>
          <w:kern w:val="0"/>
          <w:sz w:val="24"/>
          <w:szCs w:val="24"/>
          <w:highlight w:val="none"/>
          <w:lang w:val="en-US" w:eastAsia="zh-CN"/>
        </w:rPr>
        <w:t>凡对本次采购提出询问，请按以下方式联系。</w:t>
      </w:r>
      <w:bookmarkEnd w:id="972"/>
      <w:bookmarkEnd w:id="973"/>
      <w:bookmarkEnd w:id="974"/>
      <w:bookmarkEnd w:id="975"/>
      <w:bookmarkEnd w:id="976"/>
      <w:bookmarkEnd w:id="977"/>
      <w:bookmarkEnd w:id="978"/>
      <w:bookmarkEnd w:id="979"/>
      <w:bookmarkEnd w:id="980"/>
      <w:bookmarkEnd w:id="981"/>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bookmarkStart w:id="982" w:name="_Toc28359096"/>
      <w:bookmarkStart w:id="983" w:name="_Toc35393806"/>
      <w:bookmarkStart w:id="984" w:name="_Toc28359019"/>
      <w:bookmarkStart w:id="985" w:name="_Toc35393637"/>
      <w:bookmarkStart w:id="986" w:name="_Toc28359020"/>
      <w:bookmarkStart w:id="987" w:name="_Toc35393807"/>
      <w:bookmarkStart w:id="988" w:name="_Toc35393638"/>
      <w:bookmarkStart w:id="989" w:name="_Toc28359097"/>
      <w:r>
        <w:rPr>
          <w:rFonts w:hint="eastAsia" w:ascii="宋体" w:hAnsi="宋体" w:eastAsia="宋体" w:cs="宋体"/>
          <w:color w:val="auto"/>
          <w:sz w:val="24"/>
          <w:szCs w:val="24"/>
          <w:highlight w:val="none"/>
        </w:rPr>
        <w:t>1.采购人信息</w:t>
      </w:r>
      <w:bookmarkEnd w:id="982"/>
      <w:bookmarkEnd w:id="983"/>
      <w:bookmarkEnd w:id="984"/>
      <w:bookmarkEnd w:id="985"/>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莎车</w:t>
      </w:r>
      <w:r>
        <w:rPr>
          <w:rFonts w:hint="eastAsia" w:ascii="宋体" w:hAnsi="宋体" w:eastAsia="宋体" w:cs="宋体"/>
          <w:color w:val="auto"/>
          <w:sz w:val="24"/>
          <w:szCs w:val="24"/>
          <w:highlight w:val="none"/>
        </w:rPr>
        <w:t>县人民医院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莎车</w:t>
      </w:r>
      <w:r>
        <w:rPr>
          <w:rFonts w:hint="eastAsia" w:ascii="宋体" w:hAnsi="宋体" w:eastAsia="宋体" w:cs="宋体"/>
          <w:color w:val="auto"/>
          <w:sz w:val="24"/>
          <w:szCs w:val="24"/>
          <w:highlight w:val="none"/>
        </w:rPr>
        <w:t>县人民医院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人：刘红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联系电话：0998-85251302</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代理机构信息</w:t>
      </w:r>
      <w:bookmarkEnd w:id="986"/>
      <w:bookmarkEnd w:id="987"/>
      <w:bookmarkEnd w:id="988"/>
      <w:bookmarkEnd w:id="989"/>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称：中经国际招标集团有限公司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址：喀什经济开发区深圳城3号楼12层1204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 系 人：王丽娟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联系电话：15099650569</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p>
    <w:p>
      <w:pPr>
        <w:pStyle w:val="8"/>
        <w:outlineLvl w:val="9"/>
        <w:rPr>
          <w:rFonts w:hint="eastAsia" w:ascii="宋体" w:hAnsi="宋体" w:eastAsia="宋体" w:cs="宋体"/>
          <w:color w:val="auto"/>
          <w:sz w:val="24"/>
          <w:szCs w:val="24"/>
          <w:highlight w:val="none"/>
        </w:rPr>
      </w:pPr>
    </w:p>
    <w:p>
      <w:pPr>
        <w:pStyle w:val="13"/>
        <w:outlineLvl w:val="9"/>
        <w:rPr>
          <w:rFonts w:hint="eastAsia" w:ascii="宋体" w:hAnsi="宋体" w:eastAsia="宋体" w:cs="宋体"/>
        </w:rPr>
      </w:pPr>
    </w:p>
    <w:p>
      <w:pPr>
        <w:pageBreakBefore w:val="0"/>
        <w:widowControl w:val="0"/>
        <w:shd w:val="clear"/>
        <w:kinsoku/>
        <w:wordWrap/>
        <w:overflowPunct/>
        <w:topLinePunct w:val="0"/>
        <w:bidi w:val="0"/>
        <w:snapToGrid/>
        <w:spacing w:line="440" w:lineRule="exact"/>
        <w:ind w:firstLine="480" w:firstLineChars="200"/>
        <w:jc w:val="right"/>
        <w:textAlignment w:val="auto"/>
        <w:rPr>
          <w:rFonts w:hint="eastAsia" w:ascii="宋体" w:hAnsi="宋体" w:eastAsia="宋体" w:cs="宋体"/>
          <w:color w:val="auto"/>
          <w:kern w:val="0"/>
          <w:sz w:val="24"/>
          <w:szCs w:val="24"/>
          <w:highlight w:val="none"/>
        </w:rPr>
      </w:pPr>
    </w:p>
    <w:p>
      <w:pPr>
        <w:pageBreakBefore w:val="0"/>
        <w:widowControl w:val="0"/>
        <w:kinsoku/>
        <w:wordWrap/>
        <w:overflowPunct/>
        <w:topLinePunct w:val="0"/>
        <w:bidi w:val="0"/>
        <w:snapToGrid/>
        <w:spacing w:line="440" w:lineRule="exact"/>
        <w:ind w:left="0" w:leftChars="0" w:firstLine="480" w:firstLineChars="200"/>
        <w:jc w:val="righ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中经国际招标集团有限公司</w:t>
      </w:r>
    </w:p>
    <w:p>
      <w:pPr>
        <w:pageBreakBefore w:val="0"/>
        <w:widowControl w:val="0"/>
        <w:kinsoku/>
        <w:wordWrap/>
        <w:overflowPunct/>
        <w:topLinePunct w:val="0"/>
        <w:bidi w:val="0"/>
        <w:snapToGrid/>
        <w:spacing w:line="440" w:lineRule="exact"/>
        <w:ind w:left="0" w:leftChars="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rPr>
      </w:pPr>
    </w:p>
    <w:p>
      <w:pPr>
        <w:pageBreakBefore w:val="0"/>
        <w:widowControl w:val="0"/>
        <w:shd w:val="clear" w:color="auto" w:fill="auto"/>
        <w:kinsoku/>
        <w:wordWrap/>
        <w:overflowPunct/>
        <w:topLinePunct w:val="0"/>
        <w:bidi w:val="0"/>
        <w:snapToGrid/>
        <w:spacing w:line="380" w:lineRule="exact"/>
        <w:jc w:val="right"/>
        <w:textAlignment w:val="auto"/>
        <w:rPr>
          <w:rFonts w:hint="eastAsia" w:ascii="宋体" w:hAnsi="宋体" w:eastAsia="宋体" w:cs="宋体"/>
          <w:color w:val="auto"/>
          <w:highlight w:val="none"/>
        </w:rPr>
      </w:pPr>
    </w:p>
    <w:p>
      <w:pPr>
        <w:pStyle w:val="24"/>
        <w:keepNext w:val="0"/>
        <w:keepLines w:val="0"/>
        <w:pageBreakBefore w:val="0"/>
        <w:kinsoku/>
        <w:wordWrap/>
        <w:overflowPunct/>
        <w:topLinePunct w:val="0"/>
        <w:autoSpaceDE/>
        <w:autoSpaceDN/>
        <w:bidi w:val="0"/>
        <w:adjustRightInd/>
        <w:spacing w:line="320" w:lineRule="exact"/>
        <w:jc w:val="right"/>
        <w:rPr>
          <w:rFonts w:hint="eastAsia" w:ascii="宋体" w:hAnsi="宋体" w:eastAsia="宋体" w:cs="宋体"/>
          <w:color w:val="auto"/>
          <w:kern w:val="0"/>
          <w:sz w:val="24"/>
          <w:szCs w:val="24"/>
          <w:highlight w:val="none"/>
          <w:lang w:val="en-US" w:eastAsia="zh-CN"/>
        </w:rPr>
      </w:pPr>
    </w:p>
    <w:p>
      <w:pPr>
        <w:pStyle w:val="6"/>
        <w:tabs>
          <w:tab w:val="left" w:pos="0"/>
        </w:tabs>
        <w:spacing w:before="0" w:after="0" w:line="240" w:lineRule="atLeast"/>
        <w:rPr>
          <w:rFonts w:hint="eastAsia" w:ascii="宋体" w:hAnsi="宋体" w:eastAsia="宋体" w:cs="宋体"/>
          <w:color w:val="auto"/>
          <w:highlight w:val="none"/>
        </w:rPr>
      </w:pPr>
    </w:p>
    <w:p>
      <w:pPr>
        <w:pStyle w:val="6"/>
        <w:tabs>
          <w:tab w:val="left" w:pos="0"/>
        </w:tabs>
        <w:spacing w:before="0" w:after="0" w:line="240" w:lineRule="atLeast"/>
        <w:rPr>
          <w:rFonts w:hint="eastAsia" w:ascii="宋体" w:hAnsi="宋体" w:eastAsia="宋体" w:cs="宋体"/>
          <w:color w:val="auto"/>
          <w:highlight w:val="none"/>
        </w:rPr>
      </w:pPr>
    </w:p>
    <w:bookmarkEnd w:id="924"/>
    <w:bookmarkEnd w:id="925"/>
    <w:bookmarkEnd w:id="926"/>
    <w:bookmarkEnd w:id="927"/>
    <w:bookmarkEnd w:id="928"/>
    <w:bookmarkEnd w:id="929"/>
    <w:bookmarkEnd w:id="930"/>
    <w:bookmarkEnd w:id="934"/>
    <w:p>
      <w:pPr>
        <w:pStyle w:val="6"/>
        <w:tabs>
          <w:tab w:val="left" w:pos="0"/>
        </w:tabs>
        <w:spacing w:before="0" w:after="0" w:line="240" w:lineRule="atLeast"/>
        <w:jc w:val="center"/>
        <w:rPr>
          <w:rFonts w:hint="eastAsia" w:ascii="宋体" w:hAnsi="宋体" w:eastAsia="宋体" w:cs="宋体"/>
          <w:b/>
          <w:bCs/>
          <w:color w:val="auto"/>
          <w:highlight w:val="none"/>
        </w:rPr>
      </w:pPr>
      <w:bookmarkStart w:id="990" w:name="_Toc3106"/>
    </w:p>
    <w:p>
      <w:pPr>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6"/>
        <w:tabs>
          <w:tab w:val="left" w:pos="0"/>
        </w:tabs>
        <w:spacing w:before="0" w:after="0" w:line="240" w:lineRule="atLeast"/>
        <w:jc w:val="center"/>
        <w:rPr>
          <w:rFonts w:hint="eastAsia" w:ascii="宋体" w:hAnsi="宋体" w:eastAsia="宋体" w:cs="宋体"/>
          <w:b/>
          <w:bCs/>
          <w:color w:val="auto"/>
          <w:highlight w:val="none"/>
        </w:rPr>
      </w:pPr>
    </w:p>
    <w:p>
      <w:pPr>
        <w:pStyle w:val="6"/>
        <w:tabs>
          <w:tab w:val="left" w:pos="0"/>
        </w:tabs>
        <w:spacing w:before="0" w:after="0" w:line="240" w:lineRule="atLeast"/>
        <w:jc w:val="center"/>
        <w:rPr>
          <w:rFonts w:hint="eastAsia" w:ascii="宋体" w:hAnsi="宋体" w:eastAsia="宋体" w:cs="宋体"/>
          <w:b/>
          <w:bCs/>
          <w:color w:val="auto"/>
          <w:highlight w:val="none"/>
        </w:rPr>
      </w:pPr>
    </w:p>
    <w:p>
      <w:pPr>
        <w:widowControl/>
        <w:spacing w:line="440" w:lineRule="exact"/>
        <w:jc w:val="center"/>
        <w:outlineLvl w:val="0"/>
        <w:rPr>
          <w:rStyle w:val="37"/>
          <w:rFonts w:hint="eastAsia" w:ascii="宋体" w:hAnsi="宋体" w:eastAsia="宋体" w:cs="宋体"/>
          <w:color w:val="auto"/>
          <w:highlight w:val="none"/>
        </w:rPr>
      </w:pPr>
      <w:bookmarkStart w:id="991" w:name="_Toc5451"/>
      <w:r>
        <w:rPr>
          <w:rStyle w:val="37"/>
          <w:rFonts w:hint="eastAsia" w:ascii="宋体" w:hAnsi="宋体" w:eastAsia="宋体" w:cs="宋体"/>
          <w:color w:val="auto"/>
          <w:highlight w:val="none"/>
        </w:rPr>
        <w:t>第4章  供应商须知资料表</w:t>
      </w:r>
      <w:bookmarkEnd w:id="990"/>
      <w:bookmarkEnd w:id="991"/>
    </w:p>
    <w:p>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本表是本招标项目的具体资料，是对供应商须知的具体补充和修改，如有矛盾，应以本资料表为准。</w:t>
      </w:r>
    </w:p>
    <w:tbl>
      <w:tblPr>
        <w:tblStyle w:val="29"/>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8"/>
        <w:gridCol w:w="7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u w:val="single"/>
                <w:lang w:val="en-US" w:eastAsia="zh-CN"/>
              </w:rPr>
              <w:t xml:space="preserve">莎车县人民医院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刘红</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0998-85251302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u w:val="single"/>
                <w:lang w:eastAsia="zh-CN"/>
              </w:rPr>
              <w:t xml:space="preserve">中经国际招标集团有限公司 </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喀什经济开发区深圳城3号楼</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层</w:t>
            </w:r>
            <w:r>
              <w:rPr>
                <w:rFonts w:hint="eastAsia" w:ascii="宋体" w:hAnsi="宋体" w:eastAsia="宋体" w:cs="宋体"/>
                <w:color w:val="auto"/>
                <w:sz w:val="24"/>
                <w:highlight w:val="none"/>
                <w:u w:val="single"/>
                <w:lang w:val="en-US" w:eastAsia="zh-CN"/>
              </w:rPr>
              <w:t>1204</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业务联系人：</w:t>
            </w:r>
            <w:r>
              <w:rPr>
                <w:rFonts w:hint="eastAsia" w:ascii="宋体" w:hAnsi="宋体" w:eastAsia="宋体" w:cs="宋体"/>
                <w:color w:val="auto"/>
                <w:sz w:val="24"/>
                <w:highlight w:val="none"/>
                <w:u w:val="single"/>
              </w:rPr>
              <w:t xml:space="preserve">王丽娟 </w:t>
            </w:r>
            <w:r>
              <w:rPr>
                <w:rFonts w:hint="eastAsia" w:ascii="宋体" w:hAnsi="宋体" w:eastAsia="宋体" w:cs="宋体"/>
                <w:color w:val="auto"/>
                <w:sz w:val="24"/>
                <w:highlight w:val="none"/>
              </w:rPr>
              <w:t xml:space="preserve">　   联系电话： </w:t>
            </w:r>
            <w:r>
              <w:rPr>
                <w:rFonts w:hint="eastAsia" w:ascii="宋体" w:hAnsi="宋体" w:eastAsia="宋体" w:cs="宋体"/>
                <w:color w:val="auto"/>
                <w:sz w:val="24"/>
                <w:highlight w:val="none"/>
                <w:u w:val="single"/>
              </w:rPr>
              <w:t>15099650569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合格供应商的其他资格要求：</w:t>
            </w:r>
            <w:r>
              <w:rPr>
                <w:rFonts w:hint="eastAsia" w:ascii="宋体" w:hAnsi="宋体" w:eastAsia="宋体" w:cs="宋体"/>
                <w:b/>
                <w:bCs/>
                <w:color w:val="auto"/>
                <w:sz w:val="24"/>
                <w:highlight w:val="none"/>
              </w:rPr>
              <w:t>（本项目资格审查资料须附在投标文件中）</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（1）具有独立法人资格（三证合一的营业执照）；</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（2）法定代表人资格证明及授权书、被授权人身份证；(法定代表人投标需提供法定代表人身份证)；；</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（3）提供2020年或2021年经审计的财务审计报告（2022年成立的新公司出具近3个月任意一个月的银行资信证明）；</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（4）依法缴纳最近连续六个月的社会保险的凭据（授权人和单位员工缴纳明细凭据）；</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（5）提供税务部门出具的最近连续六个月的完税证明；</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（7）参与政府采购活动前3年内未被列入失信、重大税收违法案件、财政部门禁止参加政府采购活动的承诺书；</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（8）提供针对本次项目《反商业贿赂承诺书》；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注：1、“</w:t>
            </w:r>
            <w:r>
              <w:rPr>
                <w:rFonts w:hint="eastAsia" w:ascii="宋体" w:hAnsi="宋体" w:eastAsia="宋体" w:cs="宋体"/>
                <w:b/>
                <w:bCs/>
                <w:i w:val="0"/>
                <w:caps w:val="0"/>
                <w:color w:val="auto"/>
                <w:spacing w:val="0"/>
                <w:w w:val="100"/>
                <w:sz w:val="24"/>
                <w:highlight w:val="none"/>
                <w:lang w:eastAsia="zh-CN"/>
              </w:rPr>
              <w:t>提供税务部门出具的最近连续六个月的完税证明</w:t>
            </w:r>
            <w:r>
              <w:rPr>
                <w:rFonts w:hint="eastAsia" w:ascii="宋体" w:hAnsi="宋体" w:eastAsia="宋体" w:cs="宋体"/>
                <w:b/>
                <w:bCs/>
                <w:i w:val="0"/>
                <w:caps w:val="0"/>
                <w:color w:val="auto"/>
                <w:spacing w:val="0"/>
                <w:w w:val="100"/>
                <w:sz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b/>
                <w:bCs/>
                <w:i w:val="0"/>
                <w:caps w:val="0"/>
                <w:color w:val="auto"/>
                <w:spacing w:val="0"/>
                <w:w w:val="100"/>
                <w:sz w:val="24"/>
                <w:highlight w:val="none"/>
                <w:lang w:val="en-US" w:eastAsia="zh-CN"/>
              </w:rPr>
              <w:t>2、</w:t>
            </w:r>
            <w:r>
              <w:rPr>
                <w:rFonts w:hint="eastAsia" w:ascii="宋体" w:hAnsi="宋体" w:eastAsia="宋体" w:cs="宋体"/>
                <w:b/>
                <w:bCs/>
                <w:i w:val="0"/>
                <w:caps w:val="0"/>
                <w:color w:val="auto"/>
                <w:spacing w:val="0"/>
                <w:w w:val="100"/>
                <w:sz w:val="24"/>
                <w:highlight w:val="none"/>
              </w:rPr>
              <w:t>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 xml:space="preserve">1.3.5   </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rPr>
              <w:t>是否允许采购进口产品：</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eastAsia="zh-CN"/>
              </w:rPr>
              <w:t>否</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7882" w:type="dxa"/>
            <w:vAlign w:val="center"/>
          </w:tcPr>
          <w:p>
            <w:pPr>
              <w:pStyle w:val="24"/>
              <w:keepNext w:val="0"/>
              <w:keepLines w:val="0"/>
              <w:pageBreakBefore w:val="0"/>
              <w:kinsoku/>
              <w:wordWrap/>
              <w:overflowPunct/>
              <w:topLinePunct w:val="0"/>
              <w:autoSpaceDE/>
              <w:autoSpaceDN/>
              <w:bidi w:val="0"/>
              <w:adjustRightInd/>
              <w:spacing w:line="340" w:lineRule="exact"/>
              <w:textAlignment w:val="auto"/>
              <w:rPr>
                <w:rFonts w:hint="eastAsia" w:ascii="宋体" w:hAnsi="宋体" w:eastAsia="宋体" w:cs="宋体"/>
                <w:color w:val="FF0000"/>
                <w:highlight w:val="yellow"/>
                <w:lang w:eastAsia="zh-CN"/>
              </w:rPr>
            </w:pPr>
            <w:r>
              <w:rPr>
                <w:rFonts w:hint="eastAsia" w:ascii="宋体" w:hAnsi="宋体" w:eastAsia="宋体" w:cs="宋体"/>
                <w:b/>
                <w:bCs/>
                <w:color w:val="FF0000"/>
                <w:sz w:val="24"/>
                <w:szCs w:val="32"/>
                <w:highlight w:val="none"/>
              </w:rPr>
              <w:t>是否</w:t>
            </w:r>
            <w:r>
              <w:rPr>
                <w:rFonts w:hint="eastAsia" w:ascii="宋体" w:hAnsi="宋体" w:eastAsia="宋体" w:cs="宋体"/>
                <w:b/>
                <w:bCs/>
                <w:color w:val="FF0000"/>
                <w:sz w:val="24"/>
                <w:szCs w:val="32"/>
                <w:highlight w:val="none"/>
                <w:lang w:eastAsia="zh-CN"/>
              </w:rPr>
              <w:t>为专门</w:t>
            </w:r>
            <w:r>
              <w:rPr>
                <w:rFonts w:hint="eastAsia" w:ascii="宋体" w:hAnsi="宋体" w:eastAsia="宋体" w:cs="宋体"/>
                <w:b/>
                <w:bCs/>
                <w:color w:val="FF0000"/>
                <w:sz w:val="24"/>
                <w:szCs w:val="32"/>
                <w:highlight w:val="none"/>
              </w:rPr>
              <w:t>面向中小企业采购：</w:t>
            </w:r>
            <w:r>
              <w:rPr>
                <w:rFonts w:hint="eastAsia" w:ascii="宋体" w:hAnsi="宋体" w:eastAsia="宋体" w:cs="宋体"/>
                <w:b/>
                <w:bCs/>
                <w:color w:val="FF0000"/>
                <w:sz w:val="24"/>
                <w:szCs w:val="32"/>
                <w:highlight w:val="none"/>
                <w:u w:val="single"/>
                <w:lang w:val="en-US" w:eastAsia="zh-CN"/>
              </w:rPr>
              <w:t xml:space="preserve"> 否</w:t>
            </w:r>
            <w:r>
              <w:rPr>
                <w:rFonts w:hint="eastAsia" w:ascii="宋体" w:hAnsi="宋体" w:eastAsia="宋体" w:cs="宋体"/>
                <w:b/>
                <w:bCs/>
                <w:color w:val="FF0000"/>
                <w:sz w:val="24"/>
                <w:szCs w:val="32"/>
                <w:highlight w:val="none"/>
                <w:lang w:eastAsia="zh-CN"/>
              </w:rPr>
              <w:t>（是、否）（注：</w:t>
            </w:r>
            <w:r>
              <w:rPr>
                <w:rFonts w:hint="eastAsia" w:ascii="宋体" w:hAnsi="宋体" w:eastAsia="宋体" w:cs="宋体"/>
                <w:b/>
                <w:bCs/>
                <w:color w:val="FF0000"/>
                <w:kern w:val="0"/>
                <w:sz w:val="24"/>
                <w:szCs w:val="24"/>
                <w:highlight w:val="none"/>
                <w:lang w:val="en-US" w:eastAsia="zh-CN"/>
              </w:rPr>
              <w:t>潜在投标企业属于中小微企业的，请在投标文件中提供“中小企业声明函”，如果未提供或提供虚假的“中小企业声明函”，投标企业将承担由此造成的一切不利后果。）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是否允许联合体投标：</w:t>
            </w:r>
            <w:r>
              <w:rPr>
                <w:rFonts w:hint="eastAsia" w:ascii="宋体" w:hAnsi="宋体" w:eastAsia="宋体" w:cs="宋体"/>
                <w:color w:val="auto"/>
                <w:sz w:val="24"/>
                <w:highlight w:val="none"/>
                <w:u w:val="single"/>
              </w:rPr>
              <w:t xml:space="preserve">  否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7882" w:type="dxa"/>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项目</w:t>
            </w:r>
            <w:r>
              <w:rPr>
                <w:rFonts w:hint="eastAsia" w:ascii="宋体" w:hAnsi="宋体" w:eastAsia="宋体" w:cs="宋体"/>
                <w:b/>
                <w:bCs/>
                <w:i w:val="0"/>
                <w:caps w:val="0"/>
                <w:color w:val="auto"/>
                <w:spacing w:val="0"/>
                <w:w w:val="100"/>
                <w:sz w:val="24"/>
                <w:highlight w:val="none"/>
                <w:lang w:val="en-US" w:eastAsia="zh-CN"/>
              </w:rPr>
              <w:t>总</w:t>
            </w:r>
            <w:r>
              <w:rPr>
                <w:rFonts w:hint="eastAsia" w:ascii="宋体" w:hAnsi="宋体" w:eastAsia="宋体" w:cs="宋体"/>
                <w:b/>
                <w:bCs/>
                <w:i w:val="0"/>
                <w:caps w:val="0"/>
                <w:color w:val="auto"/>
                <w:spacing w:val="0"/>
                <w:w w:val="100"/>
                <w:sz w:val="24"/>
                <w:highlight w:val="none"/>
              </w:rPr>
              <w:t>预算金额：957.4万元</w:t>
            </w:r>
            <w:r>
              <w:rPr>
                <w:rFonts w:hint="eastAsia" w:ascii="宋体" w:hAnsi="宋体" w:eastAsia="宋体" w:cs="宋体"/>
                <w:b/>
                <w:bCs/>
                <w:i w:val="0"/>
                <w:caps w:val="0"/>
                <w:color w:val="auto"/>
                <w:spacing w:val="0"/>
                <w:w w:val="100"/>
                <w:sz w:val="24"/>
                <w:highlight w:val="none"/>
                <w:lang w:val="en-US" w:eastAsia="zh-CN"/>
              </w:rPr>
              <w:t xml:space="preserve"> ；</w:t>
            </w:r>
          </w:p>
          <w:p>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第</w:t>
            </w:r>
            <w:r>
              <w:rPr>
                <w:rFonts w:hint="eastAsia" w:ascii="宋体" w:hAnsi="宋体" w:cs="宋体"/>
                <w:b/>
                <w:bCs/>
                <w:i w:val="0"/>
                <w:caps w:val="0"/>
                <w:color w:val="auto"/>
                <w:spacing w:val="0"/>
                <w:w w:val="100"/>
                <w:sz w:val="24"/>
                <w:highlight w:val="none"/>
                <w:lang w:val="en-US" w:eastAsia="zh-CN"/>
              </w:rPr>
              <w:t>一</w:t>
            </w:r>
            <w:r>
              <w:rPr>
                <w:rFonts w:hint="eastAsia" w:ascii="宋体" w:hAnsi="宋体" w:eastAsia="宋体" w:cs="宋体"/>
                <w:b/>
                <w:bCs/>
                <w:i w:val="0"/>
                <w:caps w:val="0"/>
                <w:color w:val="auto"/>
                <w:spacing w:val="0"/>
                <w:w w:val="100"/>
                <w:sz w:val="24"/>
                <w:highlight w:val="none"/>
                <w:lang w:val="en-US" w:eastAsia="zh-CN"/>
              </w:rPr>
              <w:t>包：预算金额：</w:t>
            </w:r>
            <w:r>
              <w:rPr>
                <w:rFonts w:hint="eastAsia" w:ascii="宋体" w:hAnsi="宋体" w:cs="宋体"/>
                <w:b/>
                <w:bCs/>
                <w:i w:val="0"/>
                <w:caps w:val="0"/>
                <w:color w:val="auto"/>
                <w:spacing w:val="0"/>
                <w:w w:val="100"/>
                <w:sz w:val="24"/>
                <w:highlight w:val="none"/>
                <w:lang w:val="en-US" w:eastAsia="zh-CN"/>
              </w:rPr>
              <w:t>520.7</w:t>
            </w:r>
            <w:r>
              <w:rPr>
                <w:rFonts w:hint="eastAsia" w:ascii="宋体" w:hAnsi="宋体" w:eastAsia="宋体" w:cs="宋体"/>
                <w:b/>
                <w:bCs/>
                <w:i w:val="0"/>
                <w:caps w:val="0"/>
                <w:color w:val="auto"/>
                <w:spacing w:val="0"/>
                <w:w w:val="100"/>
                <w:sz w:val="24"/>
                <w:highlight w:val="none"/>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w:t>
            </w:r>
          </w:p>
        </w:tc>
        <w:tc>
          <w:tcPr>
            <w:tcW w:w="7882" w:type="dxa"/>
            <w:vAlign w:val="center"/>
          </w:tcPr>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color w:val="auto"/>
                <w:sz w:val="24"/>
                <w:szCs w:val="24"/>
                <w:highlight w:val="none"/>
                <w:lang w:val="en-US" w:eastAsia="zh-CN"/>
              </w:rPr>
              <w:t>采购需求：</w:t>
            </w:r>
            <w:r>
              <w:rPr>
                <w:rFonts w:hint="eastAsia" w:ascii="宋体" w:hAnsi="宋体" w:cs="宋体"/>
                <w:color w:val="auto"/>
                <w:sz w:val="24"/>
                <w:szCs w:val="24"/>
                <w:highlight w:val="none"/>
                <w:lang w:val="en-US" w:eastAsia="zh-CN"/>
              </w:rPr>
              <w:t>第一包：</w:t>
            </w:r>
            <w:r>
              <w:rPr>
                <w:rFonts w:hint="eastAsia" w:ascii="宋体" w:hAnsi="宋体" w:eastAsia="宋体" w:cs="宋体"/>
                <w:color w:val="auto"/>
                <w:sz w:val="24"/>
                <w:szCs w:val="24"/>
                <w:highlight w:val="none"/>
                <w:lang w:val="en-US" w:eastAsia="zh-CN"/>
              </w:rPr>
              <w:t>集成平台互联互通</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szCs w:val="24"/>
                <w:highlight w:val="none"/>
                <w:lang w:val="en-US" w:eastAsia="zh-CN"/>
              </w:rPr>
              <w:t>、数据中心信息平台</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szCs w:val="24"/>
                <w:highlight w:val="none"/>
                <w:lang w:val="en-US" w:eastAsia="zh-CN"/>
              </w:rPr>
              <w:t>、三级理论考试系统</w:t>
            </w:r>
            <w:r>
              <w:rPr>
                <w:rFonts w:hint="eastAsia" w:ascii="宋体" w:hAnsi="宋体" w:cs="宋体"/>
                <w:color w:val="auto"/>
                <w:sz w:val="24"/>
                <w:szCs w:val="24"/>
                <w:highlight w:val="none"/>
                <w:lang w:val="en-US" w:eastAsia="zh-CN"/>
              </w:rPr>
              <w:t>一批（</w:t>
            </w:r>
            <w:r>
              <w:rPr>
                <w:rFonts w:hint="eastAsia" w:ascii="宋体" w:hAnsi="宋体" w:cs="宋体"/>
                <w:b/>
                <w:bCs/>
                <w:color w:val="auto"/>
                <w:sz w:val="24"/>
                <w:szCs w:val="24"/>
                <w:highlight w:val="none"/>
                <w:lang w:val="en-US" w:eastAsia="zh-CN"/>
              </w:rPr>
              <w:t>其中</w:t>
            </w:r>
            <w:r>
              <w:rPr>
                <w:rFonts w:hint="eastAsia" w:ascii="宋体" w:hAnsi="宋体" w:eastAsia="宋体" w:cs="宋体"/>
                <w:b/>
                <w:bCs/>
                <w:color w:val="auto"/>
                <w:sz w:val="24"/>
                <w:szCs w:val="24"/>
                <w:highlight w:val="none"/>
                <w:lang w:val="en-US" w:eastAsia="zh-CN"/>
              </w:rPr>
              <w:t>三级理论考试系统</w:t>
            </w:r>
            <w:r>
              <w:rPr>
                <w:rFonts w:hint="eastAsia" w:ascii="宋体" w:hAnsi="宋体" w:eastAsia="宋体" w:cs="宋体"/>
                <w:b/>
                <w:bCs/>
                <w:color w:val="auto"/>
                <w:sz w:val="24"/>
                <w:highlight w:val="none"/>
                <w:lang w:val="en-US" w:eastAsia="zh-CN"/>
              </w:rPr>
              <w:t>预算金额</w:t>
            </w:r>
            <w:r>
              <w:rPr>
                <w:rFonts w:hint="eastAsia" w:ascii="宋体" w:hAnsi="宋体" w:cs="宋体"/>
                <w:b/>
                <w:bCs/>
                <w:color w:val="auto"/>
                <w:sz w:val="24"/>
                <w:highlight w:val="none"/>
                <w:lang w:val="en-US" w:eastAsia="zh-CN"/>
              </w:rPr>
              <w:t>为</w:t>
            </w:r>
            <w:r>
              <w:rPr>
                <w:rFonts w:hint="eastAsia" w:ascii="宋体" w:hAnsi="宋体" w:cs="宋体"/>
                <w:b/>
                <w:bCs/>
                <w:color w:val="auto"/>
                <w:sz w:val="24"/>
                <w:szCs w:val="24"/>
                <w:highlight w:val="none"/>
                <w:lang w:val="en-US" w:eastAsia="zh-CN"/>
              </w:rPr>
              <w:t>20.7万元为自筹资金</w:t>
            </w:r>
            <w:r>
              <w:rPr>
                <w:rFonts w:hint="eastAsia" w:ascii="宋体" w:hAnsi="宋体" w:cs="宋体"/>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12.1</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投标保证金</w:t>
            </w:r>
            <w:r>
              <w:rPr>
                <w:rFonts w:hint="eastAsia" w:ascii="宋体" w:hAnsi="宋体" w:eastAsia="宋体" w:cs="宋体"/>
                <w:b w:val="0"/>
                <w:bCs w:val="0"/>
                <w:color w:val="auto"/>
                <w:sz w:val="24"/>
                <w:highlight w:val="none"/>
                <w:lang w:val="en-US" w:eastAsia="zh-CN"/>
              </w:rPr>
              <w:t>形式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☑保函</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电汇  □支票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对公转账  </w:t>
            </w:r>
            <w:r>
              <w:rPr>
                <w:rFonts w:hint="eastAsia" w:ascii="宋体" w:hAnsi="宋体" w:eastAsia="宋体" w:cs="宋体"/>
                <w:b/>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（以“保函”形式提交投标保证金的，投标文件须同时放保函。否则按无效投标保证金处理）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投标保证金数额：</w:t>
            </w:r>
            <w:r>
              <w:rPr>
                <w:rFonts w:hint="eastAsia" w:ascii="宋体" w:hAnsi="宋体" w:eastAsia="宋体" w:cs="宋体"/>
                <w:b/>
                <w:bCs/>
                <w:color w:val="auto"/>
                <w:sz w:val="24"/>
                <w:highlight w:val="none"/>
                <w:u w:val="single"/>
              </w:rPr>
              <w:t>第一包：¥104000元（人民币壹拾万零肆仟元整）</w:t>
            </w:r>
            <w:r>
              <w:rPr>
                <w:rFonts w:hint="eastAsia" w:ascii="宋体" w:hAnsi="宋体" w:eastAsia="宋体" w:cs="宋体"/>
                <w:b/>
                <w:bCs/>
                <w:color w:val="auto"/>
                <w:sz w:val="24"/>
                <w:highlight w:val="none"/>
                <w:u w:val="singl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val="en-US" w:eastAsia="zh-CN"/>
              </w:rPr>
              <w:t>预算</w:t>
            </w:r>
            <w:r>
              <w:rPr>
                <w:rFonts w:hint="eastAsia" w:ascii="宋体" w:hAnsi="宋体" w:eastAsia="宋体" w:cs="宋体"/>
                <w:color w:val="auto"/>
                <w:sz w:val="24"/>
                <w:highlight w:val="none"/>
              </w:rPr>
              <w:t>金额2%以内的整数计算）</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保证金收款人：</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单位名称：中经国际招标集团有限公司喀什分公司</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 户 行：乌鲁木齐银行喀什分行营业部</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账    号：0000020070110051349823（电汇时请在汇款备注栏注明项目名称及包号（如有），并注明是投标保证金）     </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行     号：313894000405</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财务室联系人及联系方式：15099650569</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注意事项：</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A:缴纳保证金要求</w:t>
            </w:r>
            <w:r>
              <w:rPr>
                <w:rFonts w:hint="eastAsia" w:ascii="宋体" w:hAnsi="宋体" w:eastAsia="宋体" w:cs="宋体"/>
                <w:color w:val="auto"/>
                <w:sz w:val="24"/>
                <w:highlight w:val="none"/>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B：退保证金</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根据《中华人民共和国财政部令第87号--政府采购货物和货物招标投标管理办法》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）中标</w:t>
            </w:r>
            <w:r>
              <w:rPr>
                <w:rFonts w:hint="eastAsia" w:ascii="宋体" w:hAnsi="宋体" w:eastAsia="宋体" w:cs="宋体"/>
                <w:b/>
                <w:color w:val="auto"/>
                <w:sz w:val="24"/>
                <w:highlight w:val="none"/>
                <w:lang w:val="en-US" w:eastAsia="zh-CN"/>
              </w:rPr>
              <w:t>供应商的</w:t>
            </w:r>
            <w:r>
              <w:rPr>
                <w:rFonts w:hint="eastAsia" w:ascii="宋体" w:hAnsi="宋体" w:eastAsia="宋体" w:cs="宋体"/>
                <w:b/>
                <w:color w:val="auto"/>
                <w:sz w:val="24"/>
                <w:highlight w:val="none"/>
                <w:lang w:eastAsia="zh-CN"/>
              </w:rPr>
              <w:t>投标保证金在与采购单位签订合同后，把合同扫描件发</w:t>
            </w:r>
            <w:r>
              <w:rPr>
                <w:rFonts w:hint="eastAsia" w:ascii="宋体" w:hAnsi="宋体" w:eastAsia="宋体" w:cs="宋体"/>
                <w:b/>
                <w:color w:val="auto"/>
                <w:sz w:val="24"/>
                <w:highlight w:val="none"/>
                <w:lang w:val="en-US" w:eastAsia="zh-CN"/>
              </w:rPr>
              <w:t>送至邮箱2783389030@qq.com</w:t>
            </w:r>
            <w:r>
              <w:rPr>
                <w:rFonts w:hint="eastAsia" w:ascii="宋体" w:hAnsi="宋体" w:eastAsia="宋体" w:cs="宋体"/>
                <w:b/>
                <w:color w:val="auto"/>
                <w:sz w:val="24"/>
                <w:highlight w:val="none"/>
                <w:lang w:eastAsia="zh-CN"/>
              </w:rPr>
              <w:t>后，当日或次日即原账户退回。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u w:val="single"/>
              </w:rPr>
              <w:t>　60　</w:t>
            </w:r>
            <w:r>
              <w:rPr>
                <w:rFonts w:hint="eastAsia" w:ascii="宋体" w:hAnsi="宋体" w:eastAsia="宋体" w:cs="宋体"/>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14.1</w:t>
            </w:r>
          </w:p>
        </w:tc>
        <w:tc>
          <w:tcPr>
            <w:tcW w:w="7882" w:type="dxa"/>
            <w:vAlign w:val="center"/>
          </w:tcPr>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投标文件包括“开标一览表及资格证明文件”和“商务及技术文件”两部分，两部分合订成一册密封递交。</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w:t>
            </w:r>
            <w:r>
              <w:rPr>
                <w:rFonts w:hint="eastAsia" w:ascii="宋体" w:hAnsi="宋体" w:eastAsia="宋体" w:cs="宋体"/>
                <w:b/>
                <w:bCs/>
                <w:sz w:val="24"/>
                <w:szCs w:val="24"/>
                <w:u w:val="none"/>
              </w:rPr>
              <w:t>正本：壹份、副本</w:t>
            </w:r>
            <w:r>
              <w:rPr>
                <w:rFonts w:hint="eastAsia" w:ascii="宋体" w:hAnsi="宋体" w:eastAsia="宋体" w:cs="宋体"/>
                <w:b/>
                <w:bCs/>
                <w:sz w:val="24"/>
                <w:szCs w:val="24"/>
                <w:u w:val="none"/>
                <w:lang w:val="en-US" w:eastAsia="zh-CN"/>
              </w:rPr>
              <w:t>:肆</w:t>
            </w:r>
            <w:r>
              <w:rPr>
                <w:rFonts w:hint="eastAsia" w:ascii="宋体" w:hAnsi="宋体" w:eastAsia="宋体" w:cs="宋体"/>
                <w:b/>
                <w:bCs/>
                <w:sz w:val="24"/>
                <w:szCs w:val="24"/>
                <w:u w:val="none"/>
              </w:rPr>
              <w:t>份</w:t>
            </w:r>
            <w:r>
              <w:rPr>
                <w:rFonts w:hint="eastAsia" w:ascii="宋体" w:hAnsi="宋体" w:eastAsia="宋体" w:cs="宋体"/>
                <w:sz w:val="24"/>
                <w:szCs w:val="24"/>
                <w:u w:val="none"/>
              </w:rPr>
              <w:t>；（正、副本密封在同一个密封袋中提交，密封袋封面右上角标明“正本和副本”字样）</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供应商必须制作“开标一览表”并单独密封提交，并在密封袋上标明“开标一览表”的字样。不按要求标注或不单独提交开标一览表，其投标将被拒绝。</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除上述文件外，还须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投标文件使用A4，胶装，每册装订应牢固、不易拆散和换页，不得采用活页装订。</w:t>
            </w:r>
          </w:p>
          <w:p>
            <w:pPr>
              <w:spacing w:line="400" w:lineRule="exact"/>
              <w:rPr>
                <w:rFonts w:hint="eastAsia" w:ascii="宋体" w:hAnsi="宋体" w:eastAsia="宋体" w:cs="宋体"/>
                <w:b/>
                <w:bCs/>
                <w:sz w:val="24"/>
                <w:szCs w:val="24"/>
                <w:u w:val="none"/>
              </w:rPr>
            </w:pPr>
            <w:bookmarkStart w:id="992" w:name="_Toc28116"/>
            <w:bookmarkStart w:id="993" w:name="_Toc7078"/>
            <w:r>
              <w:rPr>
                <w:rFonts w:hint="eastAsia" w:ascii="宋体" w:hAnsi="宋体" w:eastAsia="宋体" w:cs="宋体"/>
                <w:b/>
                <w:bCs/>
                <w:sz w:val="24"/>
                <w:szCs w:val="24"/>
                <w:u w:val="none"/>
              </w:rPr>
              <w:t>投标文件的签署及规定：</w:t>
            </w:r>
            <w:bookmarkEnd w:id="992"/>
            <w:bookmarkEnd w:id="993"/>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供应商应按供应商须知资料表中的规定，准备和递交投标文件正本、副本、开标一览表和电子U盘，</w:t>
            </w:r>
            <w:r>
              <w:rPr>
                <w:rFonts w:hint="eastAsia" w:ascii="宋体" w:hAnsi="宋体" w:eastAsia="宋体" w:cs="宋体"/>
                <w:b/>
                <w:bCs/>
                <w:sz w:val="24"/>
                <w:szCs w:val="24"/>
                <w:u w:val="none"/>
              </w:rPr>
              <w:t>每份投标文件封皮须清楚地标明“正本”或“副本”</w:t>
            </w:r>
            <w:r>
              <w:rPr>
                <w:rFonts w:hint="eastAsia" w:ascii="宋体" w:hAnsi="宋体" w:eastAsia="宋体" w:cs="宋体"/>
                <w:sz w:val="24"/>
                <w:szCs w:val="24"/>
                <w:u w:val="none"/>
              </w:rPr>
              <w:t>。若正本和副本不符，以正本为准。</w:t>
            </w:r>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投标文件的正本需打印或用不褪色墨水书写，并由供应商的法定代表人或经其正式委托代理人按招标文件规定在投标文件上签字或盖章</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并加盖单位</w:t>
            </w:r>
            <w:r>
              <w:rPr>
                <w:rFonts w:hint="eastAsia" w:ascii="宋体" w:hAnsi="宋体" w:eastAsia="宋体" w:cs="宋体"/>
                <w:sz w:val="24"/>
                <w:szCs w:val="24"/>
                <w:u w:val="none"/>
                <w:lang w:val="en-US" w:eastAsia="zh-CN"/>
              </w:rPr>
              <w:t>鲜</w:t>
            </w:r>
            <w:r>
              <w:rPr>
                <w:rFonts w:hint="eastAsia" w:ascii="宋体" w:hAnsi="宋体" w:eastAsia="宋体" w:cs="宋体"/>
                <w:sz w:val="24"/>
                <w:szCs w:val="24"/>
                <w:u w:val="none"/>
              </w:rPr>
              <w:t>印章。委托代理人须持有书面的“法定代表人授权委托书”，并将其附在投标文件中。如对投标文件进行了修改，则应由供应商的法定代表人或其委托代理人在每一修改处签字。投标文件的副本可采用正本的复印件。</w:t>
            </w:r>
          </w:p>
          <w:p>
            <w:pPr>
              <w:spacing w:line="400" w:lineRule="exact"/>
              <w:rPr>
                <w:rFonts w:hint="eastAsia" w:ascii="宋体" w:hAnsi="宋体" w:eastAsia="宋体" w:cs="宋体"/>
                <w:b/>
                <w:bCs/>
                <w:sz w:val="24"/>
                <w:szCs w:val="24"/>
                <w:u w:val="none"/>
              </w:rPr>
            </w:pPr>
            <w:r>
              <w:rPr>
                <w:rFonts w:hint="eastAsia" w:ascii="宋体" w:hAnsi="宋体" w:eastAsia="宋体" w:cs="宋体"/>
                <w:b/>
                <w:bCs/>
                <w:sz w:val="24"/>
                <w:szCs w:val="24"/>
                <w:u w:val="none"/>
              </w:rPr>
              <w:t>所有包装封皮和信封上均应：</w:t>
            </w:r>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注明招标公告或投标邀请书中指明的项目名称、项目编号、供应商名称和“在（开标时间）之前不得启封”的字样。</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sz w:val="24"/>
                <w:szCs w:val="24"/>
                <w:u w:val="none"/>
              </w:rPr>
              <w:t>在封口处加盖供应商单位章。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 w:val="24"/>
                <w:highlight w:val="yellow"/>
              </w:rPr>
            </w:pPr>
            <w:r>
              <w:rPr>
                <w:rFonts w:hint="eastAsia" w:ascii="宋体" w:hAnsi="宋体" w:eastAsia="宋体" w:cs="宋体"/>
                <w:color w:val="FF0000"/>
                <w:sz w:val="24"/>
                <w:highlight w:val="yellow"/>
              </w:rPr>
              <w:t>投标截止时间：</w:t>
            </w:r>
            <w:r>
              <w:rPr>
                <w:rFonts w:hint="eastAsia" w:ascii="宋体" w:hAnsi="宋体" w:eastAsia="宋体" w:cs="宋体"/>
                <w:b/>
                <w:bCs/>
                <w:color w:val="FF0000"/>
                <w:sz w:val="24"/>
                <w:highlight w:val="yellow"/>
                <w:u w:val="single"/>
              </w:rPr>
              <w:t>2022年10月 21日上午11点00分（北京时间）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FF0000"/>
                <w:sz w:val="24"/>
                <w:highlight w:val="yellow"/>
                <w:u w:val="single"/>
              </w:rPr>
            </w:pPr>
            <w:r>
              <w:rPr>
                <w:rFonts w:hint="eastAsia" w:ascii="宋体" w:hAnsi="宋体" w:eastAsia="宋体" w:cs="宋体"/>
                <w:color w:val="FF0000"/>
                <w:sz w:val="24"/>
                <w:highlight w:val="yellow"/>
              </w:rPr>
              <w:t>开标时间：</w:t>
            </w:r>
            <w:r>
              <w:rPr>
                <w:rFonts w:hint="eastAsia" w:ascii="宋体" w:hAnsi="宋体" w:eastAsia="宋体" w:cs="宋体"/>
                <w:b/>
                <w:bCs/>
                <w:color w:val="FF0000"/>
                <w:sz w:val="24"/>
                <w:highlight w:val="yellow"/>
                <w:u w:val="single"/>
              </w:rPr>
              <w:t>2022年10月 21日上午11点00分（北京时间）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 w:val="24"/>
                <w:highlight w:val="yellow"/>
              </w:rPr>
            </w:pPr>
            <w:r>
              <w:rPr>
                <w:rFonts w:hint="eastAsia" w:ascii="宋体" w:hAnsi="宋体" w:eastAsia="宋体" w:cs="宋体"/>
                <w:color w:val="FF0000"/>
                <w:sz w:val="24"/>
                <w:highlight w:val="yellow"/>
              </w:rPr>
              <w:t>开标地点：莎车县莎车宾馆会议中心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评标方法：适用</w:t>
            </w:r>
            <w:r>
              <w:rPr>
                <w:rFonts w:hint="eastAsia" w:ascii="宋体" w:hAnsi="宋体" w:eastAsia="宋体" w:cs="宋体"/>
                <w:color w:val="auto"/>
                <w:sz w:val="24"/>
                <w:highlight w:val="none"/>
                <w:u w:val="single"/>
              </w:rPr>
              <w:t>　综合评分法　</w:t>
            </w:r>
            <w:r>
              <w:rPr>
                <w:rFonts w:hint="eastAsia" w:ascii="宋体" w:hAnsi="宋体" w:eastAsia="宋体" w:cs="宋体"/>
                <w:color w:val="auto"/>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推荐中标候选供应商的数量：</w:t>
            </w:r>
            <w:r>
              <w:rPr>
                <w:rFonts w:hint="eastAsia" w:ascii="宋体" w:hAnsi="宋体" w:eastAsia="宋体" w:cs="宋体"/>
                <w:color w:val="auto"/>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是否委托评标委员会直接确定中标人：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履约保证金金额：合同总价的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w:t>
            </w:r>
            <w:r>
              <w:rPr>
                <w:rFonts w:hint="eastAsia" w:ascii="宋体" w:hAnsi="宋体" w:eastAsia="宋体" w:cs="宋体"/>
                <w:i/>
                <w:color w:val="auto"/>
                <w:sz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☑保函</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电汇  □支票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提交履约保证金的时间：签订合同前打入甲方指定账户（注：双方可以通过协商另行约定其他退还时间和方式及用途）</w:t>
            </w:r>
            <w:r>
              <w:rPr>
                <w:rFonts w:hint="eastAsia" w:ascii="宋体" w:hAnsi="宋体" w:eastAsia="宋体" w:cs="宋体"/>
                <w:color w:val="auto"/>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中标服务费：50万元—100万按1.50%收取；100万—300万按1.10%收取；300万元—500万元，按1.00%收取；500万元—1000万元按0.80%收取；1000万元—5000万元按0.50%收取；5000万元以上的项目，按0.25%收取（由中标方缴纳）。</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支付时间：领取中标通知书时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w:t>
            </w:r>
            <w:r>
              <w:rPr>
                <w:rFonts w:hint="eastAsia" w:ascii="宋体" w:hAnsi="宋体" w:eastAsia="宋体" w:cs="宋体"/>
                <w:color w:val="auto"/>
                <w:sz w:val="24"/>
                <w:highlight w:val="none"/>
                <w:u w:val="single"/>
              </w:rPr>
              <w:t xml:space="preserve">  否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bl>
    <w:p>
      <w:pPr>
        <w:spacing w:line="240" w:lineRule="atLeas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tbl>
      <w:tblPr>
        <w:tblStyle w:val="29"/>
        <w:tblpPr w:leftFromText="180" w:rightFromText="180" w:vertAnchor="text" w:horzAnchor="page" w:tblpX="694" w:tblpY="491"/>
        <w:tblOverlap w:val="never"/>
        <w:tblW w:w="6529" w:type="pct"/>
        <w:tblInd w:w="0" w:type="dxa"/>
        <w:tblLayout w:type="autofit"/>
        <w:tblCellMar>
          <w:top w:w="0" w:type="dxa"/>
          <w:left w:w="108" w:type="dxa"/>
          <w:bottom w:w="0" w:type="dxa"/>
          <w:right w:w="108" w:type="dxa"/>
        </w:tblCellMar>
      </w:tblPr>
      <w:tblGrid>
        <w:gridCol w:w="366"/>
        <w:gridCol w:w="666"/>
        <w:gridCol w:w="773"/>
        <w:gridCol w:w="715"/>
        <w:gridCol w:w="764"/>
        <w:gridCol w:w="655"/>
        <w:gridCol w:w="3359"/>
        <w:gridCol w:w="940"/>
        <w:gridCol w:w="1214"/>
        <w:gridCol w:w="940"/>
        <w:gridCol w:w="744"/>
      </w:tblGrid>
      <w:tr>
        <w:tblPrEx>
          <w:tblCellMar>
            <w:top w:w="0" w:type="dxa"/>
            <w:left w:w="108" w:type="dxa"/>
            <w:bottom w:w="0" w:type="dxa"/>
            <w:right w:w="108" w:type="dxa"/>
          </w:tblCellMar>
        </w:tblPrEx>
        <w:trPr>
          <w:trHeight w:val="620" w:hRule="atLeast"/>
        </w:trPr>
        <w:tc>
          <w:tcPr>
            <w:tcW w:w="164" w:type="pct"/>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bookmarkStart w:id="994" w:name="_Toc216513787"/>
            <w:bookmarkStart w:id="995" w:name="_Toc219175635"/>
            <w:bookmarkStart w:id="996" w:name="_Toc218935351"/>
            <w:bookmarkStart w:id="997" w:name="_Toc216582811"/>
            <w:r>
              <w:rPr>
                <w:rFonts w:hint="eastAsia" w:ascii="宋体" w:hAnsi="宋体" w:eastAsia="宋体" w:cs="宋体"/>
                <w:color w:val="auto"/>
                <w:sz w:val="15"/>
                <w:szCs w:val="15"/>
                <w:highlight w:val="none"/>
              </w:rPr>
              <w:t>供应商名称</w:t>
            </w:r>
          </w:p>
        </w:tc>
        <w:tc>
          <w:tcPr>
            <w:tcW w:w="4079" w:type="pct"/>
            <w:gridSpan w:val="8"/>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napToGrid w:val="0"/>
              <w:spacing w:before="0" w:beforeAutospacing="0" w:after="0" w:afterAutospacing="0" w:line="470" w:lineRule="exact"/>
              <w:ind w:left="0" w:leftChars="0"/>
              <w:jc w:val="center"/>
              <w:textAlignment w:val="baseline"/>
              <w:rPr>
                <w:rFonts w:hint="eastAsia" w:ascii="宋体" w:hAnsi="宋体" w:eastAsia="宋体" w:cs="宋体"/>
                <w:b/>
                <w:bCs/>
                <w:i w:val="0"/>
                <w:caps w:val="0"/>
                <w:color w:val="auto"/>
                <w:spacing w:val="0"/>
                <w:w w:val="100"/>
                <w:sz w:val="20"/>
                <w:szCs w:val="20"/>
                <w:highlight w:val="none"/>
              </w:rPr>
            </w:pPr>
            <w:r>
              <w:rPr>
                <w:rFonts w:hint="eastAsia" w:ascii="宋体" w:hAnsi="宋体" w:eastAsia="宋体" w:cs="宋体"/>
                <w:b/>
                <w:bCs/>
                <w:i w:val="0"/>
                <w:caps w:val="0"/>
                <w:color w:val="auto"/>
                <w:spacing w:val="0"/>
                <w:w w:val="100"/>
                <w:sz w:val="20"/>
                <w:szCs w:val="20"/>
                <w:highlight w:val="none"/>
              </w:rPr>
              <w:t>审查项目</w:t>
            </w:r>
          </w:p>
        </w:tc>
        <w:tc>
          <w:tcPr>
            <w:tcW w:w="422" w:type="pct"/>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结论</w:t>
            </w:r>
          </w:p>
        </w:tc>
        <w:tc>
          <w:tcPr>
            <w:tcW w:w="334" w:type="pct"/>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供应商签字确认</w:t>
            </w:r>
          </w:p>
        </w:tc>
      </w:tr>
      <w:tr>
        <w:tblPrEx>
          <w:tblCellMar>
            <w:top w:w="0" w:type="dxa"/>
            <w:left w:w="108" w:type="dxa"/>
            <w:bottom w:w="0" w:type="dxa"/>
            <w:right w:w="108" w:type="dxa"/>
          </w:tblCellMar>
        </w:tblPrEx>
        <w:trPr>
          <w:trHeight w:val="8016" w:hRule="atLeast"/>
        </w:trPr>
        <w:tc>
          <w:tcPr>
            <w:tcW w:w="164" w:type="pct"/>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c>
          <w:tcPr>
            <w:tcW w:w="299" w:type="pct"/>
            <w:tcBorders>
              <w:top w:val="nil"/>
              <w:left w:val="nil"/>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具有独立法人资格（三证合一的营业执照）；</w:t>
            </w:r>
          </w:p>
          <w:p>
            <w:pPr>
              <w:tabs>
                <w:tab w:val="left" w:pos="5580"/>
              </w:tabs>
              <w:spacing w:line="400" w:lineRule="exact"/>
              <w:rPr>
                <w:rFonts w:hint="eastAsia" w:ascii="宋体" w:hAnsi="宋体" w:eastAsia="宋体" w:cs="宋体"/>
                <w:color w:val="auto"/>
                <w:sz w:val="15"/>
                <w:szCs w:val="15"/>
                <w:highlight w:val="none"/>
              </w:rPr>
            </w:pPr>
          </w:p>
        </w:tc>
        <w:tc>
          <w:tcPr>
            <w:tcW w:w="347" w:type="pct"/>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法定代表人资格证明及授权书、被授权人身份证；(法定代表人投标需提供法定代表人身份证)；</w:t>
            </w:r>
          </w:p>
        </w:tc>
        <w:tc>
          <w:tcPr>
            <w:tcW w:w="321" w:type="pct"/>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提供2020年或2021年经审计的财务审计报告</w:t>
            </w:r>
            <w:r>
              <w:rPr>
                <w:rFonts w:hint="eastAsia" w:ascii="宋体" w:hAnsi="宋体" w:eastAsia="宋体" w:cs="宋体"/>
                <w:color w:val="auto"/>
                <w:sz w:val="15"/>
                <w:szCs w:val="15"/>
                <w:highlight w:val="none"/>
                <w:lang w:val="en-US" w:eastAsia="zh-CN"/>
              </w:rPr>
              <w:t>（</w:t>
            </w:r>
            <w:r>
              <w:rPr>
                <w:rFonts w:hint="eastAsia" w:ascii="宋体" w:hAnsi="宋体" w:cs="宋体"/>
                <w:color w:val="auto"/>
                <w:sz w:val="15"/>
                <w:szCs w:val="15"/>
                <w:highlight w:val="none"/>
                <w:lang w:val="en-US" w:eastAsia="zh-CN"/>
              </w:rPr>
              <w:t>2022年成立的新公司出具近3个月任意一个月的银行资信证明</w:t>
            </w:r>
            <w:r>
              <w:rPr>
                <w:rFonts w:hint="eastAsia" w:ascii="宋体" w:hAnsi="宋体" w:eastAsia="宋体" w:cs="宋体"/>
                <w:color w:val="auto"/>
                <w:sz w:val="15"/>
                <w:szCs w:val="15"/>
                <w:highlight w:val="none"/>
                <w:lang w:val="en-US" w:eastAsia="zh-CN"/>
              </w:rPr>
              <w:t>）；</w:t>
            </w:r>
          </w:p>
          <w:p>
            <w:pPr>
              <w:spacing w:line="400" w:lineRule="exact"/>
              <w:rPr>
                <w:rFonts w:hint="eastAsia" w:ascii="宋体" w:hAnsi="宋体" w:eastAsia="宋体" w:cs="宋体"/>
                <w:color w:val="auto"/>
                <w:sz w:val="15"/>
                <w:szCs w:val="15"/>
                <w:highlight w:val="none"/>
                <w:lang w:eastAsia="zh-CN"/>
              </w:rPr>
            </w:pPr>
          </w:p>
        </w:tc>
        <w:tc>
          <w:tcPr>
            <w:tcW w:w="343" w:type="pct"/>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依法缴纳最近连续六个月的社会保险的凭据（授权人和单位员工缴纳明细凭据）</w:t>
            </w:r>
            <w:r>
              <w:rPr>
                <w:rFonts w:hint="eastAsia" w:ascii="宋体" w:hAnsi="宋体" w:eastAsia="宋体" w:cs="宋体"/>
                <w:color w:val="auto"/>
                <w:sz w:val="15"/>
                <w:szCs w:val="15"/>
                <w:highlight w:val="none"/>
                <w:lang w:val="en-US" w:eastAsia="zh-CN"/>
              </w:rPr>
              <w:t>；</w:t>
            </w:r>
          </w:p>
        </w:tc>
        <w:tc>
          <w:tcPr>
            <w:tcW w:w="294"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提供税务部门出具的最近连续六个月的完税证明</w:t>
            </w:r>
            <w:r>
              <w:rPr>
                <w:rFonts w:hint="eastAsia" w:ascii="宋体" w:hAnsi="宋体" w:eastAsia="宋体" w:cs="宋体"/>
                <w:color w:val="auto"/>
                <w:sz w:val="15"/>
                <w:szCs w:val="15"/>
                <w:highlight w:val="none"/>
                <w:lang w:val="en-US" w:eastAsia="zh-CN"/>
              </w:rPr>
              <w:t>；</w:t>
            </w:r>
          </w:p>
          <w:p>
            <w:pPr>
              <w:spacing w:line="400" w:lineRule="exact"/>
              <w:rPr>
                <w:rFonts w:hint="eastAsia" w:ascii="宋体" w:hAnsi="宋体" w:eastAsia="宋体" w:cs="宋体"/>
                <w:color w:val="auto"/>
                <w:sz w:val="15"/>
                <w:szCs w:val="15"/>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cs="宋体"/>
                <w:color w:val="auto"/>
                <w:sz w:val="15"/>
                <w:szCs w:val="15"/>
                <w:highlight w:val="none"/>
                <w:lang w:val="en-US" w:eastAsia="zh-CN"/>
              </w:rPr>
              <w:t>信用服务-重点领域严重失信主体名单查询-搜索栏输入单位全称-截图</w:t>
            </w:r>
            <w:r>
              <w:rPr>
                <w:rFonts w:hint="eastAsia" w:ascii="宋体" w:hAnsi="宋体" w:eastAsia="宋体" w:cs="宋体"/>
                <w:color w:val="auto"/>
                <w:sz w:val="15"/>
                <w:szCs w:val="15"/>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tabs>
                <w:tab w:val="left" w:pos="5580"/>
              </w:tabs>
              <w:spacing w:line="400" w:lineRule="exac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参与政府采购活动前3年内未被列入失信、重大税收违法案件、财政部门禁止参加政府采购活动的承诺书；</w:t>
            </w:r>
          </w:p>
          <w:p>
            <w:pPr>
              <w:tabs>
                <w:tab w:val="left" w:pos="5580"/>
              </w:tabs>
              <w:spacing w:line="400" w:lineRule="exact"/>
              <w:rPr>
                <w:rFonts w:hint="eastAsia" w:ascii="宋体" w:hAnsi="宋体" w:eastAsia="宋体" w:cs="宋体"/>
                <w:color w:val="auto"/>
                <w:sz w:val="15"/>
                <w:szCs w:val="15"/>
                <w:highlight w:val="none"/>
              </w:rPr>
            </w:pPr>
          </w:p>
        </w:tc>
        <w:tc>
          <w:tcPr>
            <w:tcW w:w="545"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val="en-US" w:eastAsia="zh-CN"/>
              </w:rPr>
              <w:t>提供针对本次项目《反商业贿赂承诺书》；</w:t>
            </w:r>
          </w:p>
        </w:tc>
        <w:tc>
          <w:tcPr>
            <w:tcW w:w="422"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c>
          <w:tcPr>
            <w:tcW w:w="334"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rPr>
          <w:trHeight w:val="297" w:hRule="atLeast"/>
        </w:trPr>
        <w:tc>
          <w:tcPr>
            <w:tcW w:w="164" w:type="pct"/>
            <w:tcBorders>
              <w:top w:val="nil"/>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299"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347"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321"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343"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29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545"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3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rPr>
          <w:trHeight w:val="439" w:hRule="atLeast"/>
        </w:trPr>
        <w:tc>
          <w:tcPr>
            <w:tcW w:w="16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299"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43"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29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545"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3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r>
      <w:bookmarkEnd w:id="994"/>
      <w:bookmarkEnd w:id="995"/>
      <w:bookmarkEnd w:id="996"/>
      <w:bookmarkEnd w:id="997"/>
    </w:tbl>
    <w:p>
      <w:pPr>
        <w:pStyle w:val="2"/>
        <w:rPr>
          <w:rFonts w:hint="eastAsia" w:ascii="宋体" w:hAnsi="宋体" w:eastAsia="宋体" w:cs="宋体"/>
          <w:color w:val="auto"/>
          <w:sz w:val="24"/>
          <w:highlight w:val="none"/>
        </w:rPr>
        <w:sectPr>
          <w:headerReference r:id="rId5" w:type="default"/>
          <w:footerReference r:id="rId6" w:type="default"/>
          <w:pgSz w:w="11906" w:h="16838"/>
          <w:pgMar w:top="1440" w:right="1797" w:bottom="1440" w:left="1797" w:header="851" w:footer="992" w:gutter="0"/>
          <w:pgNumType w:fmt="decimal" w:start="1"/>
          <w:cols w:space="720" w:num="1"/>
          <w:docGrid w:linePitch="312" w:charSpace="0"/>
        </w:sectPr>
      </w:pPr>
    </w:p>
    <w:p>
      <w:pPr>
        <w:widowControl/>
        <w:spacing w:line="440" w:lineRule="exact"/>
        <w:jc w:val="center"/>
        <w:outlineLvl w:val="0"/>
        <w:rPr>
          <w:rStyle w:val="37"/>
          <w:rFonts w:hint="eastAsia" w:ascii="宋体" w:hAnsi="宋体" w:eastAsia="宋体" w:cs="宋体"/>
          <w:color w:val="auto"/>
          <w:highlight w:val="none"/>
        </w:rPr>
      </w:pPr>
      <w:bookmarkStart w:id="998" w:name="_Toc27053"/>
      <w:bookmarkStart w:id="999" w:name="_Toc22140"/>
      <w:bookmarkStart w:id="1000" w:name="_Toc15092"/>
      <w:bookmarkStart w:id="1001" w:name="_Toc512937852"/>
      <w:r>
        <w:rPr>
          <w:rStyle w:val="37"/>
          <w:rFonts w:hint="eastAsia" w:ascii="宋体" w:hAnsi="宋体" w:cs="宋体"/>
          <w:color w:val="auto"/>
          <w:highlight w:val="none"/>
          <w:lang w:val="en-US" w:eastAsia="zh-CN"/>
        </w:rPr>
        <w:t>第5章</w:t>
      </w:r>
      <w:r>
        <w:rPr>
          <w:rStyle w:val="37"/>
          <w:rFonts w:hint="eastAsia" w:ascii="宋体" w:hAnsi="宋体" w:eastAsia="宋体" w:cs="宋体"/>
          <w:color w:val="auto"/>
          <w:highlight w:val="none"/>
        </w:rPr>
        <w:t xml:space="preserve"> 服务内容及项目要求</w:t>
      </w:r>
      <w:bookmarkEnd w:id="998"/>
      <w:bookmarkEnd w:id="999"/>
      <w:bookmarkEnd w:id="1000"/>
    </w:p>
    <w:bookmarkEnd w:id="1001"/>
    <w:p>
      <w:pPr>
        <w:jc w:val="center"/>
        <w:outlineLvl w:val="0"/>
        <w:rPr>
          <w:rFonts w:hint="eastAsia" w:ascii="宋体" w:hAnsi="宋体" w:cs="宋体"/>
          <w:b/>
          <w:color w:val="auto"/>
          <w:sz w:val="36"/>
          <w:szCs w:val="36"/>
          <w:highlight w:val="none"/>
          <w:lang w:val="en-US" w:eastAsia="zh-CN"/>
        </w:rPr>
      </w:pPr>
      <w:bookmarkStart w:id="1002" w:name="_Toc18743"/>
      <w:bookmarkStart w:id="1003" w:name="_Toc7911"/>
      <w:r>
        <w:rPr>
          <w:rFonts w:hint="eastAsia" w:ascii="宋体" w:hAnsi="宋体" w:cs="宋体"/>
          <w:b/>
          <w:color w:val="auto"/>
          <w:sz w:val="36"/>
          <w:szCs w:val="36"/>
          <w:highlight w:val="none"/>
          <w:lang w:eastAsia="zh-CN"/>
        </w:rPr>
        <w:t>第一包：</w:t>
      </w:r>
      <w:r>
        <w:rPr>
          <w:rFonts w:hint="eastAsia" w:ascii="宋体" w:hAnsi="宋体" w:cs="宋体"/>
          <w:b/>
          <w:color w:val="auto"/>
          <w:sz w:val="36"/>
          <w:szCs w:val="36"/>
          <w:highlight w:val="none"/>
          <w:lang w:val="en-US" w:eastAsia="zh-CN"/>
        </w:rPr>
        <w:t>集成平台互联互通、数据中心信息平台</w:t>
      </w:r>
      <w:bookmarkEnd w:id="1002"/>
    </w:p>
    <w:p>
      <w:pPr>
        <w:jc w:val="center"/>
        <w:outlineLvl w:val="0"/>
        <w:rPr>
          <w:rStyle w:val="37"/>
          <w:rFonts w:hint="eastAsia" w:ascii="宋体" w:hAnsi="宋体" w:eastAsia="宋体" w:cs="宋体"/>
          <w:color w:val="auto"/>
          <w:highlight w:val="none"/>
        </w:rPr>
      </w:pPr>
    </w:p>
    <w:p>
      <w:pPr>
        <w:ind w:firstLine="883"/>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互联互通四甲项目及</w:t>
      </w:r>
      <w:r>
        <w:rPr>
          <w:b/>
          <w:color w:val="000000" w:themeColor="text1"/>
          <w:sz w:val="44"/>
          <w:szCs w:val="44"/>
          <w14:textFill>
            <w14:solidFill>
              <w14:schemeClr w14:val="tx1"/>
            </w14:solidFill>
          </w14:textFill>
        </w:rPr>
        <w:t>数据中心信息平台</w:t>
      </w:r>
      <w:r>
        <w:rPr>
          <w:rFonts w:hint="eastAsia"/>
          <w:b/>
          <w:color w:val="000000" w:themeColor="text1"/>
          <w:sz w:val="44"/>
          <w:szCs w:val="44"/>
          <w14:textFill>
            <w14:solidFill>
              <w14:schemeClr w14:val="tx1"/>
            </w14:solidFill>
          </w14:textFill>
        </w:rPr>
        <w:t>（B</w:t>
      </w:r>
      <w:r>
        <w:rPr>
          <w:b/>
          <w:color w:val="000000" w:themeColor="text1"/>
          <w:sz w:val="44"/>
          <w:szCs w:val="44"/>
          <w14:textFill>
            <w14:solidFill>
              <w14:schemeClr w14:val="tx1"/>
            </w14:solidFill>
          </w14:textFill>
        </w:rPr>
        <w:t>I</w:t>
      </w:r>
      <w:r>
        <w:rPr>
          <w:rFonts w:hint="eastAsia"/>
          <w:b/>
          <w:color w:val="000000" w:themeColor="text1"/>
          <w:sz w:val="44"/>
          <w:szCs w:val="44"/>
          <w14:textFill>
            <w14:solidFill>
              <w14:schemeClr w14:val="tx1"/>
            </w14:solidFill>
          </w14:textFill>
        </w:rPr>
        <w:t>）</w:t>
      </w:r>
      <w:r>
        <w:rPr>
          <w:b/>
          <w:color w:val="000000" w:themeColor="text1"/>
          <w:sz w:val="44"/>
          <w:szCs w:val="44"/>
          <w14:textFill>
            <w14:solidFill>
              <w14:schemeClr w14:val="tx1"/>
            </w14:solidFill>
          </w14:textFill>
        </w:rPr>
        <w:t>建设</w:t>
      </w:r>
      <w:r>
        <w:rPr>
          <w:rFonts w:hint="eastAsia"/>
          <w:b/>
          <w:color w:val="000000" w:themeColor="text1"/>
          <w:sz w:val="44"/>
          <w:szCs w:val="44"/>
          <w14:textFill>
            <w14:solidFill>
              <w14:schemeClr w14:val="tx1"/>
            </w14:solidFill>
          </w14:textFill>
        </w:rPr>
        <w:t>项目需求书</w:t>
      </w:r>
    </w:p>
    <w:p>
      <w:pPr>
        <w:pStyle w:val="6"/>
        <w:ind w:firstLine="643"/>
      </w:pPr>
      <w:bookmarkStart w:id="1004" w:name="_Toc4749"/>
      <w:r>
        <w:rPr>
          <w:rFonts w:hint="eastAsia"/>
        </w:rPr>
        <w:t>项目概述</w:t>
      </w:r>
      <w:bookmarkEnd w:id="1004"/>
    </w:p>
    <w:p>
      <w:r>
        <w:rPr>
          <w:rFonts w:hint="eastAsia"/>
        </w:rPr>
        <w:t>为贯彻落实中共中央国务院《关于深化医药卫生体制改革的意见》，加强和持续推进卫生信息标准的制定和实施，促进实现医疗机构内部及跨机构医疗协作和标准化，开展医院信息互联互通标准化成熟度测评工作。医院信息互联互通标准化成熟度测评是以卫生信息标准为核心，以信息技术为基础，以测评技术为手段，以实现信息共享为目的。</w:t>
      </w:r>
    </w:p>
    <w:p>
      <w:r>
        <w:rPr>
          <w:rFonts w:hint="eastAsia"/>
        </w:rPr>
        <w:t>医院信息互联互通标准化成熟度测评主要通过对电子病历与医院信息平台标准符合性测试以及互联互通实际应用效果的评价，构建医院信息互联互通成熟度分级评价体系。电子病历与医院信息平台标准符合性测试是针对医疗机构的电子病历数据、电子病历共享文档、医院信息平台分别与对应卫生信息标准的符合性测试。互联互通实际应用效果的评价是针对医疗机构内部、医疗机构与区域卫生信息平台之间的应用效果等情况进行评价。</w:t>
      </w:r>
    </w:p>
    <w:p>
      <w:pPr>
        <w:pStyle w:val="6"/>
        <w:ind w:firstLine="643"/>
      </w:pPr>
      <w:bookmarkStart w:id="1005" w:name="_Toc28364"/>
      <w:r>
        <w:rPr>
          <w:rFonts w:hint="eastAsia"/>
        </w:rPr>
        <w:t>项目依据</w:t>
      </w:r>
      <w:bookmarkEnd w:id="1005"/>
      <w:r>
        <w:t xml:space="preserve"> </w:t>
      </w:r>
    </w:p>
    <w:p>
      <w:r>
        <w:rPr>
          <w:rFonts w:hint="eastAsia"/>
        </w:rPr>
        <w:t>医院信息互联互通标准化成熟度测评依据包括（但不仅限于）以下规范性文件：</w:t>
      </w:r>
    </w:p>
    <w:p>
      <w:r>
        <w:t>a</w:t>
      </w:r>
      <w:r>
        <w:rPr>
          <w:rFonts w:hint="eastAsia"/>
        </w:rPr>
        <w:t>）国家政策性文件：</w:t>
      </w:r>
    </w:p>
    <w:p>
      <w:r>
        <w:rPr>
          <w:rFonts w:hint="eastAsia" w:ascii="MS Gothic" w:hAnsi="MS Gothic" w:eastAsia="MS Gothic" w:cs="MS Gothic"/>
        </w:rPr>
        <w:t>➢</w:t>
      </w:r>
      <w:r>
        <w:rPr>
          <w:rFonts w:hint="eastAsia"/>
        </w:rPr>
        <w:t>《医院智慧管理分级评估标准体系</w:t>
      </w:r>
      <w:r>
        <w:t>(</w:t>
      </w:r>
      <w:r>
        <w:rPr>
          <w:rFonts w:hint="eastAsia"/>
        </w:rPr>
        <w:t>试行</w:t>
      </w:r>
      <w:r>
        <w:t>)</w:t>
      </w:r>
      <w:r>
        <w:rPr>
          <w:rFonts w:hint="eastAsia"/>
        </w:rPr>
        <w:t>》</w:t>
      </w:r>
      <w:r>
        <w:t>(</w:t>
      </w:r>
      <w:r>
        <w:rPr>
          <w:rFonts w:hint="eastAsia"/>
        </w:rPr>
        <w:t>国卫办医函</w:t>
      </w:r>
      <w:r>
        <w:t>(2021) 86</w:t>
      </w:r>
      <w:r>
        <w:rPr>
          <w:rFonts w:hint="eastAsia"/>
        </w:rPr>
        <w:t>号)</w:t>
      </w:r>
    </w:p>
    <w:p>
      <w:r>
        <w:rPr>
          <w:rFonts w:hint="eastAsia" w:ascii="MS Gothic" w:hAnsi="MS Gothic" w:eastAsia="MS Gothic" w:cs="MS Gothic"/>
        </w:rPr>
        <w:t>➢</w:t>
      </w:r>
      <w:r>
        <w:rPr>
          <w:rFonts w:hint="eastAsia"/>
        </w:rPr>
        <w:t>《国家卫生健康委关于印发三级医院评审标准</w:t>
      </w:r>
      <w:r>
        <w:t>(2020</w:t>
      </w:r>
      <w:r>
        <w:rPr>
          <w:rFonts w:hint="eastAsia"/>
        </w:rPr>
        <w:t>年版</w:t>
      </w:r>
      <w:r>
        <w:t>)</w:t>
      </w:r>
      <w:r>
        <w:rPr>
          <w:rFonts w:hint="eastAsia"/>
        </w:rPr>
        <w:t>的通知》</w:t>
      </w:r>
      <w:r>
        <w:t>(</w:t>
      </w:r>
      <w:r>
        <w:rPr>
          <w:rFonts w:hint="eastAsia"/>
        </w:rPr>
        <w:t>国卫医发(2020) 26 号)</w:t>
      </w:r>
    </w:p>
    <w:p>
      <w:r>
        <w:rPr>
          <w:rFonts w:hint="eastAsia" w:ascii="MS Gothic" w:hAnsi="MS Gothic" w:eastAsia="MS Gothic" w:cs="MS Gothic"/>
        </w:rPr>
        <w:t>➢</w:t>
      </w:r>
      <w:r>
        <w:rPr>
          <w:rFonts w:hint="eastAsia"/>
        </w:rPr>
        <w:t>《关于加强公立医院运营管理的指导意见》</w:t>
      </w:r>
      <w:r>
        <w:t>(</w:t>
      </w:r>
      <w:r>
        <w:rPr>
          <w:rFonts w:hint="eastAsia"/>
        </w:rPr>
        <w:t>国卫财务发</w:t>
      </w:r>
      <w:r>
        <w:t xml:space="preserve">(2020)27 </w:t>
      </w:r>
      <w:r>
        <w:rPr>
          <w:rFonts w:hint="eastAsia"/>
        </w:rPr>
        <w:t>号</w:t>
      </w:r>
      <w:r>
        <w:t>)</w:t>
      </w:r>
    </w:p>
    <w:p>
      <w:r>
        <w:rPr>
          <w:rFonts w:hint="eastAsia" w:ascii="MS Gothic" w:hAnsi="MS Gothic" w:eastAsia="MS Gothic" w:cs="MS Gothic"/>
        </w:rPr>
        <w:t>➢</w:t>
      </w:r>
      <w:r>
        <w:rPr>
          <w:rFonts w:hint="eastAsia"/>
        </w:rPr>
        <w:t>《国家医疗健康信息医院信息互联互通标准化成熟度测评方案</w:t>
      </w:r>
      <w:r>
        <w:t>(2020</w:t>
      </w:r>
      <w:r>
        <w:rPr>
          <w:rFonts w:hint="eastAsia"/>
        </w:rPr>
        <w:t>年版)》</w:t>
      </w:r>
    </w:p>
    <w:p>
      <w:r>
        <w:rPr>
          <w:rFonts w:hint="eastAsia" w:ascii="MS Gothic" w:hAnsi="MS Gothic" w:eastAsia="MS Gothic" w:cs="MS Gothic"/>
        </w:rPr>
        <w:t>➢</w:t>
      </w:r>
      <w:r>
        <w:rPr>
          <w:rFonts w:hint="eastAsia"/>
        </w:rPr>
        <w:t>《国家卫生健康委关于印发三级医院评审标准</w:t>
      </w:r>
      <w:r>
        <w:t>(2020</w:t>
      </w:r>
      <w:r>
        <w:rPr>
          <w:rFonts w:hint="eastAsia"/>
        </w:rPr>
        <w:t>年版</w:t>
      </w:r>
      <w:r>
        <w:t>)</w:t>
      </w:r>
      <w:r>
        <w:rPr>
          <w:rFonts w:hint="eastAsia"/>
        </w:rPr>
        <w:t>的通知》国卫医发(2020) 26号</w:t>
      </w:r>
    </w:p>
    <w:p>
      <w:r>
        <w:rPr>
          <w:rFonts w:hint="eastAsia" w:ascii="MS Gothic" w:hAnsi="MS Gothic" w:eastAsia="MS Gothic" w:cs="MS Gothic"/>
        </w:rPr>
        <w:t>➢</w:t>
      </w:r>
      <w:r>
        <w:rPr>
          <w:rFonts w:hint="eastAsia"/>
        </w:rPr>
        <w:t>《医院智</w:t>
      </w:r>
      <w:r>
        <w:t xml:space="preserve"> </w:t>
      </w:r>
      <w:r>
        <w:rPr>
          <w:rFonts w:hint="eastAsia"/>
        </w:rPr>
        <w:t>慧服务分级评估标准体系</w:t>
      </w:r>
      <w:r>
        <w:t>(</w:t>
      </w:r>
      <w:r>
        <w:rPr>
          <w:rFonts w:hint="eastAsia"/>
        </w:rPr>
        <w:t>试行</w:t>
      </w:r>
      <w:r>
        <w:t>)</w:t>
      </w:r>
      <w:r>
        <w:rPr>
          <w:rFonts w:hint="eastAsia"/>
        </w:rPr>
        <w:t>》</w:t>
      </w:r>
      <w:r>
        <w:t>(</w:t>
      </w:r>
      <w:r>
        <w:rPr>
          <w:rFonts w:hint="eastAsia"/>
        </w:rPr>
        <w:t>国卫办医函</w:t>
      </w:r>
      <w:r>
        <w:t xml:space="preserve"> (2019) 236</w:t>
      </w:r>
      <w:r>
        <w:rPr>
          <w:rFonts w:hint="eastAsia"/>
        </w:rPr>
        <w:t>号)</w:t>
      </w:r>
    </w:p>
    <w:p>
      <w:r>
        <w:rPr>
          <w:rFonts w:hint="eastAsia" w:ascii="MS Gothic" w:hAnsi="MS Gothic" w:eastAsia="MS Gothic" w:cs="MS Gothic"/>
        </w:rPr>
        <w:t>➢</w:t>
      </w:r>
      <w:r>
        <w:rPr>
          <w:rFonts w:hint="eastAsia"/>
        </w:rPr>
        <w:t>《全国医院信息化建设标准与规范</w:t>
      </w:r>
      <w:r>
        <w:t>(</w:t>
      </w:r>
      <w:r>
        <w:rPr>
          <w:rFonts w:hint="eastAsia"/>
        </w:rPr>
        <w:t>试行</w:t>
      </w:r>
      <w:r>
        <w:t>)</w:t>
      </w:r>
      <w:r>
        <w:rPr>
          <w:rFonts w:hint="eastAsia"/>
        </w:rPr>
        <w:t>》</w:t>
      </w:r>
      <w:r>
        <w:t>(</w:t>
      </w:r>
      <w:r>
        <w:rPr>
          <w:rFonts w:hint="eastAsia"/>
        </w:rPr>
        <w:t>国卫办规划发</w:t>
      </w:r>
      <w:r>
        <w:t>(2018) 4</w:t>
      </w:r>
      <w:r>
        <w:rPr>
          <w:rFonts w:hint="eastAsia"/>
        </w:rPr>
        <w:t>号)</w:t>
      </w:r>
    </w:p>
    <w:p>
      <w:r>
        <w:rPr>
          <w:rFonts w:hint="eastAsia" w:ascii="MS Gothic" w:hAnsi="MS Gothic" w:eastAsia="MS Gothic" w:cs="MS Gothic"/>
        </w:rPr>
        <w:t>➢</w:t>
      </w:r>
      <w:r>
        <w:rPr>
          <w:rFonts w:hint="eastAsia"/>
        </w:rPr>
        <w:t>《国务院办公厅关于促进“互联网</w:t>
      </w:r>
      <w:r>
        <w:t>+</w:t>
      </w:r>
      <w:r>
        <w:rPr>
          <w:rFonts w:hint="eastAsia"/>
        </w:rPr>
        <w:t>医疗健康”发展的意见》</w:t>
      </w:r>
      <w:r>
        <w:t xml:space="preserve"> (2018</w:t>
      </w:r>
      <w:r>
        <w:rPr>
          <w:rFonts w:hint="eastAsia"/>
        </w:rPr>
        <w:t>年</w:t>
      </w:r>
      <w:r>
        <w:t>)</w:t>
      </w:r>
    </w:p>
    <w:p>
      <w:r>
        <w:rPr>
          <w:rFonts w:hint="eastAsia" w:ascii="MS Gothic" w:hAnsi="MS Gothic" w:eastAsia="MS Gothic" w:cs="MS Gothic"/>
        </w:rPr>
        <w:t>➢</w:t>
      </w:r>
      <w:r>
        <w:rPr>
          <w:rFonts w:hint="eastAsia"/>
        </w:rPr>
        <w:t>《关于深入开展“互联网</w:t>
      </w:r>
      <w:r>
        <w:t>+</w:t>
      </w:r>
      <w:r>
        <w:rPr>
          <w:rFonts w:hint="eastAsia"/>
        </w:rPr>
        <w:t>医疗健康”便民惠民活动的通知》</w:t>
      </w:r>
      <w:r>
        <w:t xml:space="preserve"> (2018</w:t>
      </w:r>
      <w:r>
        <w:rPr>
          <w:rFonts w:hint="eastAsia"/>
        </w:rPr>
        <w:t>年</w:t>
      </w:r>
      <w:r>
        <w:t>)</w:t>
      </w:r>
    </w:p>
    <w:p>
      <w:r>
        <w:rPr>
          <w:rFonts w:hint="eastAsia" w:ascii="MS Gothic" w:hAnsi="MS Gothic" w:eastAsia="MS Gothic" w:cs="MS Gothic"/>
        </w:rPr>
        <w:t>➢</w:t>
      </w:r>
      <w:r>
        <w:rPr>
          <w:rFonts w:hint="eastAsia"/>
        </w:rPr>
        <w:t>《互联网诊疗管理办法</w:t>
      </w:r>
      <w:r>
        <w:t>(</w:t>
      </w:r>
      <w:r>
        <w:rPr>
          <w:rFonts w:hint="eastAsia"/>
        </w:rPr>
        <w:t>试行</w:t>
      </w:r>
      <w:r>
        <w:t>)</w:t>
      </w:r>
      <w:r>
        <w:rPr>
          <w:rFonts w:hint="eastAsia"/>
        </w:rPr>
        <w:t>》</w:t>
      </w:r>
      <w:r>
        <w:t>(2018</w:t>
      </w:r>
      <w:r>
        <w:rPr>
          <w:rFonts w:hint="eastAsia"/>
        </w:rPr>
        <w:t>年</w:t>
      </w:r>
      <w:r>
        <w:t>)</w:t>
      </w:r>
    </w:p>
    <w:p>
      <w:r>
        <w:rPr>
          <w:rFonts w:hint="eastAsia" w:ascii="MS Gothic" w:hAnsi="MS Gothic" w:eastAsia="MS Gothic" w:cs="MS Gothic"/>
        </w:rPr>
        <w:t>➢</w:t>
      </w:r>
      <w:r>
        <w:rPr>
          <w:rFonts w:hint="eastAsia"/>
        </w:rPr>
        <w:t>《互联网医院管理办法</w:t>
      </w:r>
      <w:r>
        <w:t>(</w:t>
      </w:r>
      <w:r>
        <w:rPr>
          <w:rFonts w:hint="eastAsia"/>
        </w:rPr>
        <w:t>试行</w:t>
      </w:r>
      <w:r>
        <w:t>)</w:t>
      </w:r>
      <w:r>
        <w:rPr>
          <w:rFonts w:hint="eastAsia"/>
        </w:rPr>
        <w:t>》</w:t>
      </w:r>
      <w:r>
        <w:t>(2018</w:t>
      </w:r>
      <w:r>
        <w:rPr>
          <w:rFonts w:hint="eastAsia"/>
        </w:rPr>
        <w:t>年</w:t>
      </w:r>
      <w:r>
        <w:t>)</w:t>
      </w:r>
    </w:p>
    <w:p>
      <w:r>
        <w:rPr>
          <w:rFonts w:hint="eastAsia" w:ascii="MS Gothic" w:hAnsi="MS Gothic" w:eastAsia="MS Gothic" w:cs="MS Gothic"/>
        </w:rPr>
        <w:t>➢</w:t>
      </w:r>
      <w:r>
        <w:rPr>
          <w:rFonts w:hint="eastAsia"/>
        </w:rPr>
        <w:t>《远程医疗服务管理规范</w:t>
      </w:r>
      <w:r>
        <w:t>(</w:t>
      </w:r>
      <w:r>
        <w:rPr>
          <w:rFonts w:hint="eastAsia"/>
        </w:rPr>
        <w:t>试行</w:t>
      </w:r>
      <w:r>
        <w:t>)</w:t>
      </w:r>
      <w:r>
        <w:rPr>
          <w:rFonts w:hint="eastAsia"/>
        </w:rPr>
        <w:t>》</w:t>
      </w:r>
      <w:r>
        <w:t>(2018</w:t>
      </w:r>
      <w:r>
        <w:rPr>
          <w:rFonts w:hint="eastAsia"/>
        </w:rPr>
        <w:t>年</w:t>
      </w:r>
      <w:r>
        <w:t>)</w:t>
      </w:r>
    </w:p>
    <w:p>
      <w:r>
        <w:rPr>
          <w:rFonts w:hint="eastAsia" w:ascii="MS Gothic" w:hAnsi="MS Gothic" w:eastAsia="MS Gothic" w:cs="MS Gothic"/>
        </w:rPr>
        <w:t>➢</w:t>
      </w:r>
      <w:r>
        <w:rPr>
          <w:rFonts w:hint="eastAsia"/>
        </w:rPr>
        <w:t>《电子病历系统功能应用水平分级评价方法及标准</w:t>
      </w:r>
      <w:r>
        <w:t>(2018)</w:t>
      </w:r>
      <w:r>
        <w:rPr>
          <w:rFonts w:hint="eastAsia"/>
        </w:rPr>
        <w:t>》</w:t>
      </w:r>
    </w:p>
    <w:p>
      <w:pPr>
        <w:rPr>
          <w:b/>
        </w:rPr>
      </w:pPr>
      <w:r>
        <w:rPr>
          <w:rFonts w:hint="eastAsia" w:ascii="MS Gothic" w:hAnsi="MS Gothic" w:eastAsia="MS Gothic" w:cs="MS Gothic"/>
        </w:rPr>
        <w:t>➢</w:t>
      </w:r>
      <w:r>
        <w:rPr>
          <w:rFonts w:hint="eastAsia"/>
        </w:rPr>
        <w:t>《关于同意医院管理研究所开展电子病历应用系统应用水平分级评价有关工作的批复》(2017 年)</w:t>
      </w:r>
    </w:p>
    <w:p>
      <w:r>
        <w:t>b</w:t>
      </w:r>
      <w:r>
        <w:rPr>
          <w:rFonts w:hint="eastAsia"/>
        </w:rPr>
        <w:t>）标准规范性文件：</w:t>
      </w:r>
      <w:r>
        <w:t xml:space="preserve"> </w:t>
      </w:r>
    </w:p>
    <w:p>
      <w:r>
        <w:t xml:space="preserve">1) </w:t>
      </w:r>
      <w:r>
        <w:rPr>
          <w:rFonts w:hint="eastAsia"/>
        </w:rPr>
        <w:t>卫生部《电子病历基本规范（试行）》（</w:t>
      </w:r>
      <w:r>
        <w:t xml:space="preserve">2010 </w:t>
      </w:r>
      <w:r>
        <w:rPr>
          <w:rFonts w:hint="eastAsia"/>
        </w:rPr>
        <w:t>年）</w:t>
      </w:r>
      <w:r>
        <w:t xml:space="preserve"> </w:t>
      </w:r>
    </w:p>
    <w:p>
      <w:r>
        <w:t xml:space="preserve">2) </w:t>
      </w:r>
      <w:r>
        <w:rPr>
          <w:rFonts w:cs="宋体"/>
        </w:rPr>
        <w:t xml:space="preserve">WS 445-2014  </w:t>
      </w:r>
      <w:r>
        <w:rPr>
          <w:rFonts w:hint="eastAsia"/>
        </w:rPr>
        <w:t>电子病历基本数据集</w:t>
      </w:r>
      <w:r>
        <w:t xml:space="preserve"> </w:t>
      </w:r>
    </w:p>
    <w:p>
      <w:r>
        <w:t xml:space="preserve">3) </w:t>
      </w:r>
      <w:r>
        <w:rPr>
          <w:rFonts w:cs="宋体"/>
        </w:rPr>
        <w:t xml:space="preserve">WS/T 500-2016 </w:t>
      </w:r>
      <w:r>
        <w:t xml:space="preserve"> </w:t>
      </w:r>
      <w:r>
        <w:rPr>
          <w:rFonts w:hint="eastAsia"/>
        </w:rPr>
        <w:t>电子病历共享文档规范</w:t>
      </w:r>
      <w:r>
        <w:t xml:space="preserve"> </w:t>
      </w:r>
    </w:p>
    <w:p>
      <w:r>
        <w:t xml:space="preserve">4) </w:t>
      </w:r>
      <w:r>
        <w:rPr>
          <w:rFonts w:cs="宋体"/>
        </w:rPr>
        <w:t>WS/T 447-2014</w:t>
      </w:r>
      <w:r>
        <w:t xml:space="preserve"> </w:t>
      </w:r>
      <w:r>
        <w:rPr>
          <w:rFonts w:hint="eastAsia"/>
        </w:rPr>
        <w:t>基于电子病历的医院信息平台技术规范</w:t>
      </w:r>
      <w:r>
        <w:t xml:space="preserve"> </w:t>
      </w:r>
    </w:p>
    <w:p>
      <w:r>
        <w:t xml:space="preserve">5) </w:t>
      </w:r>
      <w:r>
        <w:rPr>
          <w:rFonts w:hint="eastAsia"/>
        </w:rPr>
        <w:t>卫生部《基于电子病历的医院信息平台建设技术解决方案（</w:t>
      </w:r>
      <w:r>
        <w:t xml:space="preserve">1.0 </w:t>
      </w:r>
      <w:r>
        <w:rPr>
          <w:rFonts w:hint="eastAsia"/>
        </w:rPr>
        <w:t>版）》</w:t>
      </w:r>
      <w:r>
        <w:t xml:space="preserve"> </w:t>
      </w:r>
    </w:p>
    <w:p>
      <w:r>
        <w:t xml:space="preserve">6) </w:t>
      </w:r>
      <w:r>
        <w:rPr>
          <w:rFonts w:hint="eastAsia"/>
        </w:rPr>
        <w:t>卫生部《卫生信息互联互通标准化成熟度测评工作管理办法》</w:t>
      </w:r>
    </w:p>
    <w:p>
      <w:pPr>
        <w:pStyle w:val="6"/>
        <w:ind w:firstLine="643"/>
      </w:pPr>
      <w:bookmarkStart w:id="1006" w:name="_Toc21368"/>
      <w:r>
        <w:rPr>
          <w:rFonts w:hint="eastAsia"/>
        </w:rPr>
        <w:t>总体要求</w:t>
      </w:r>
      <w:bookmarkEnd w:id="1006"/>
    </w:p>
    <w:p>
      <w:r>
        <w:rPr>
          <w:rFonts w:hint="eastAsia"/>
        </w:rPr>
        <w:t>通过开展医院信息互联互通标准化成熟度测评工作，实现的最终目标为：建立起一套科学、系统的卫生信息标准测试评价管理机制，指导和促进卫生信息标准的采纳、应用和实施，推进医疗卫生服务与管理系统的标准化建设，促进实现医疗卫生机构之间标准化互联互通和信息共享。通过此次升级改造，为我院建立一套规范化、标准化的共享文档数据集和程序接口，实现以数据中心为基础，以院内临床数据的深入挖掘和分析为目标，加强院内信息互通标准及安全建设，并使我院信息互联互通标准化成熟度测评等级达到国家卫生健康委员会统计信息中心信息标准委员会制定的四级甲等水平。</w:t>
      </w:r>
    </w:p>
    <w:p>
      <w:pPr>
        <w:pStyle w:val="2"/>
        <w:ind w:firstLine="480"/>
      </w:pPr>
      <w:bookmarkStart w:id="1007" w:name="_Hlk89959310"/>
      <w:r>
        <w:rPr>
          <w:rFonts w:hint="eastAsia"/>
        </w:rPr>
        <w:t>为保证医院现有信息化系统应用稳定及可持续发展，避免医院资金重复投入，现要求投标人承诺</w:t>
      </w:r>
      <w:bookmarkStart w:id="1008" w:name="_Hlk89961929"/>
      <w:r>
        <w:rPr>
          <w:rFonts w:hint="eastAsia"/>
        </w:rPr>
        <w:t>此次医院互联互通四级甲等建设必须基于医院现有集成平台基础进行升级建设，在此基础上实现对医院现有数据中心的升级改造，不得以其他产品替换医院现有集成平台</w:t>
      </w:r>
      <w:bookmarkEnd w:id="1008"/>
      <w:r>
        <w:rPr>
          <w:rFonts w:hint="eastAsia"/>
        </w:rPr>
        <w:t>。同时，投标人需承诺此次项目建设过程中所产生的与医院目前在用的基础医疗信息系统（HIS）、电子病历系统（EMR）、移动护理、P</w:t>
      </w:r>
      <w:r>
        <w:t>ACS</w:t>
      </w:r>
      <w:r>
        <w:rPr>
          <w:rFonts w:hint="eastAsia"/>
        </w:rPr>
        <w:t>系统、L</w:t>
      </w:r>
      <w:r>
        <w:t>IS</w:t>
      </w:r>
      <w:r>
        <w:rPr>
          <w:rFonts w:hint="eastAsia"/>
        </w:rPr>
        <w:t>系统、心电系统、O</w:t>
      </w:r>
      <w:r>
        <w:t>A</w:t>
      </w:r>
      <w:r>
        <w:rPr>
          <w:rFonts w:hint="eastAsia"/>
        </w:rPr>
        <w:t>系统、人力资源系统等系统对接及改造的费用，都包含在本次采购预算中，采购方不再支付与此相关的任何费用。</w:t>
      </w:r>
      <w:bookmarkEnd w:id="1007"/>
    </w:p>
    <w:p>
      <w:pPr>
        <w:pStyle w:val="6"/>
        <w:ind w:firstLine="643"/>
      </w:pPr>
      <w:bookmarkStart w:id="1009" w:name="_Toc4782"/>
      <w:r>
        <w:rPr>
          <w:rFonts w:hint="eastAsia"/>
        </w:rPr>
        <w:t>建设</w:t>
      </w:r>
      <w:r>
        <w:t>内容</w:t>
      </w:r>
      <w:bookmarkEnd w:id="1009"/>
    </w:p>
    <w:tbl>
      <w:tblPr>
        <w:tblStyle w:val="29"/>
        <w:tblW w:w="8500" w:type="dxa"/>
        <w:tblInd w:w="0" w:type="dxa"/>
        <w:tblLayout w:type="autofit"/>
        <w:tblCellMar>
          <w:top w:w="0" w:type="dxa"/>
          <w:left w:w="108" w:type="dxa"/>
          <w:bottom w:w="0" w:type="dxa"/>
          <w:right w:w="108" w:type="dxa"/>
        </w:tblCellMar>
      </w:tblPr>
      <w:tblGrid>
        <w:gridCol w:w="2560"/>
        <w:gridCol w:w="5080"/>
        <w:gridCol w:w="860"/>
      </w:tblGrid>
      <w:tr>
        <w:tblPrEx>
          <w:tblCellMar>
            <w:top w:w="0" w:type="dxa"/>
            <w:left w:w="108" w:type="dxa"/>
            <w:bottom w:w="0" w:type="dxa"/>
            <w:right w:w="108" w:type="dxa"/>
          </w:tblCellMar>
        </w:tblPrEx>
        <w:trPr>
          <w:trHeight w:val="276" w:hRule="atLeast"/>
        </w:trPr>
        <w:tc>
          <w:tcPr>
            <w:tcW w:w="256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pPr>
            <w:r>
              <w:rPr>
                <w:rFonts w:hint="eastAsia"/>
              </w:rPr>
              <w:t>产品名称</w:t>
            </w:r>
          </w:p>
        </w:tc>
        <w:tc>
          <w:tcPr>
            <w:tcW w:w="508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pPr>
            <w:r>
              <w:rPr>
                <w:rFonts w:hint="eastAsia"/>
              </w:rPr>
              <w:t>模块名称</w:t>
            </w:r>
          </w:p>
        </w:tc>
        <w:tc>
          <w:tcPr>
            <w:tcW w:w="86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pPr>
            <w:r>
              <w:rPr>
                <w:rFonts w:hint="eastAsia"/>
              </w:rPr>
              <w:t>数量</w:t>
            </w:r>
          </w:p>
        </w:tc>
      </w:tr>
      <w:tr>
        <w:tblPrEx>
          <w:tblCellMar>
            <w:top w:w="0" w:type="dxa"/>
            <w:left w:w="108" w:type="dxa"/>
            <w:bottom w:w="0" w:type="dxa"/>
            <w:right w:w="108" w:type="dxa"/>
          </w:tblCellMar>
        </w:tblPrEx>
        <w:trPr>
          <w:trHeight w:val="276" w:hRule="atLeast"/>
        </w:trPr>
        <w:tc>
          <w:tcPr>
            <w:tcW w:w="2560" w:type="dxa"/>
            <w:vMerge w:val="restart"/>
            <w:tcBorders>
              <w:top w:val="nil"/>
              <w:left w:val="single" w:color="auto" w:sz="4" w:space="0"/>
              <w:bottom w:val="single" w:color="auto" w:sz="4" w:space="0"/>
              <w:right w:val="single" w:color="auto" w:sz="4" w:space="0"/>
            </w:tcBorders>
            <w:shd w:val="clear" w:color="auto" w:fill="auto"/>
            <w:noWrap/>
            <w:vAlign w:val="center"/>
          </w:tcPr>
          <w:p>
            <w:pPr>
              <w:ind w:firstLine="0" w:firstLineChars="0"/>
            </w:pPr>
            <w:r>
              <w:rPr>
                <w:rFonts w:hint="eastAsia"/>
              </w:rPr>
              <w:t>企业服务总线平台</w:t>
            </w: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基础服务平台</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文档注册、查询服务</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个人信息注册、查询服务</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医疗卫生人员注册、查询服务</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医疗卫生机构注册、查询服务</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医嘱信息交互服务</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申请单信息交互服务</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就诊信息交互服务</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restart"/>
            <w:tcBorders>
              <w:top w:val="nil"/>
              <w:left w:val="single" w:color="auto" w:sz="4" w:space="0"/>
              <w:bottom w:val="single" w:color="auto" w:sz="4" w:space="0"/>
              <w:right w:val="single" w:color="auto" w:sz="4" w:space="0"/>
            </w:tcBorders>
            <w:shd w:val="clear" w:color="auto" w:fill="auto"/>
            <w:noWrap/>
            <w:vAlign w:val="center"/>
          </w:tcPr>
          <w:p>
            <w:pPr>
              <w:ind w:firstLine="0" w:firstLineChars="0"/>
            </w:pPr>
            <w:r>
              <w:rPr>
                <w:rFonts w:hint="eastAsia"/>
              </w:rPr>
              <w:t>业务交换组件</w:t>
            </w: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临床服务系统业务交换组件</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r>
              <w:rPr>
                <w:rFonts w:hint="eastAsia"/>
              </w:rPr>
              <w:t>5</w:t>
            </w: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医疗管理系统业务交换组件</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r>
              <w:rPr>
                <w:rFonts w:hint="eastAsia"/>
              </w:rPr>
              <w:t>1</w:t>
            </w: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运营管理系统业务交换组件</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r>
              <w:rPr>
                <w:rFonts w:hint="eastAsia"/>
              </w:rPr>
              <w:t>2</w:t>
            </w: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外部机构系统业务交换组件</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r>
              <w:rPr>
                <w:rFonts w:hint="eastAsia"/>
              </w:rPr>
              <w:t>3</w:t>
            </w:r>
          </w:p>
        </w:tc>
      </w:tr>
      <w:tr>
        <w:tblPrEx>
          <w:tblCellMar>
            <w:top w:w="0" w:type="dxa"/>
            <w:left w:w="108" w:type="dxa"/>
            <w:bottom w:w="0" w:type="dxa"/>
            <w:right w:w="108" w:type="dxa"/>
          </w:tblCellMar>
        </w:tblPrEx>
        <w:trPr>
          <w:trHeight w:val="276" w:hRule="atLeast"/>
        </w:trPr>
        <w:tc>
          <w:tcPr>
            <w:tcW w:w="2560" w:type="dxa"/>
            <w:vMerge w:val="restart"/>
            <w:tcBorders>
              <w:top w:val="nil"/>
              <w:left w:val="single" w:color="auto" w:sz="4" w:space="0"/>
              <w:bottom w:val="single" w:color="auto" w:sz="4" w:space="0"/>
              <w:right w:val="single" w:color="auto" w:sz="4" w:space="0"/>
            </w:tcBorders>
            <w:shd w:val="clear" w:color="auto" w:fill="auto"/>
            <w:noWrap/>
            <w:vAlign w:val="center"/>
          </w:tcPr>
          <w:p>
            <w:pPr>
              <w:ind w:firstLine="0" w:firstLineChars="0"/>
            </w:pPr>
            <w:r>
              <w:rPr>
                <w:rFonts w:hint="eastAsia"/>
              </w:rPr>
              <w:t>数据中心</w:t>
            </w: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数据ETL管理</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主数据管理</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术语管理</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数据脱敏配置管理</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运营信息数据库ODR</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数据治理</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电子病历共享文档库</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restart"/>
            <w:tcBorders>
              <w:top w:val="nil"/>
              <w:left w:val="single" w:color="auto" w:sz="4" w:space="0"/>
              <w:right w:val="single" w:color="auto" w:sz="4" w:space="0"/>
            </w:tcBorders>
            <w:shd w:val="clear" w:color="auto" w:fill="auto"/>
            <w:noWrap/>
            <w:vAlign w:val="center"/>
          </w:tcPr>
          <w:p>
            <w:pPr>
              <w:ind w:firstLine="0" w:firstLineChars="0"/>
            </w:pPr>
            <w:r>
              <w:rPr>
                <w:rFonts w:hint="eastAsia"/>
              </w:rPr>
              <w:t>管理决策支持系统</w:t>
            </w: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数据仓库(DW)、数据集市</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left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主题-医院医疗概况</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left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主题-工作量分析</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left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主题-卫生经济分析</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left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主题-用药分析</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left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主题-重返类分析</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left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主题-死亡类分析</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left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主题-重点病种与手术分析</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left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主题-三级医院评审数据指标分析</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left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主题-公立医院绩效考核数据指标分析</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移动决策</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restart"/>
            <w:tcBorders>
              <w:top w:val="nil"/>
              <w:left w:val="single" w:color="auto" w:sz="4" w:space="0"/>
              <w:bottom w:val="single" w:color="auto" w:sz="4" w:space="0"/>
              <w:right w:val="single" w:color="auto" w:sz="4" w:space="0"/>
            </w:tcBorders>
            <w:shd w:val="clear" w:color="auto" w:fill="auto"/>
            <w:noWrap/>
            <w:vAlign w:val="center"/>
          </w:tcPr>
          <w:p>
            <w:pPr>
              <w:ind w:firstLine="0" w:firstLineChars="0"/>
            </w:pPr>
            <w:r>
              <w:rPr>
                <w:rFonts w:hint="eastAsia"/>
              </w:rPr>
              <w:t>互联互通评审</w:t>
            </w: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互联互通自评估管理</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数据集标准化管理</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共享文档标准化管理</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互联互通标准适配管理</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vMerge w:val="continue"/>
            <w:tcBorders>
              <w:top w:val="nil"/>
              <w:left w:val="single" w:color="auto" w:sz="4" w:space="0"/>
              <w:bottom w:val="single" w:color="auto" w:sz="4" w:space="0"/>
              <w:right w:val="single" w:color="auto" w:sz="4" w:space="0"/>
            </w:tcBorders>
            <w:vAlign w:val="center"/>
          </w:tcPr>
          <w:p>
            <w:pPr>
              <w:ind w:firstLine="0" w:firstLineChars="0"/>
            </w:pPr>
          </w:p>
        </w:tc>
        <w:tc>
          <w:tcPr>
            <w:tcW w:w="5080" w:type="dxa"/>
            <w:tcBorders>
              <w:top w:val="nil"/>
              <w:left w:val="nil"/>
              <w:bottom w:val="single" w:color="auto" w:sz="4" w:space="0"/>
              <w:right w:val="single" w:color="auto" w:sz="4" w:space="0"/>
            </w:tcBorders>
            <w:shd w:val="clear" w:color="auto" w:fill="auto"/>
            <w:noWrap/>
            <w:vAlign w:val="center"/>
          </w:tcPr>
          <w:p>
            <w:pPr>
              <w:ind w:firstLine="0" w:firstLineChars="0"/>
            </w:pPr>
            <w:r>
              <w:rPr>
                <w:rFonts w:hint="eastAsia"/>
              </w:rPr>
              <w:t>互联互通四甲评级过程支持服务</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tcBorders>
              <w:top w:val="nil"/>
              <w:left w:val="single" w:color="auto" w:sz="4" w:space="0"/>
              <w:bottom w:val="single" w:color="auto" w:sz="4" w:space="0"/>
              <w:right w:val="single" w:color="auto" w:sz="4" w:space="0"/>
            </w:tcBorders>
            <w:shd w:val="clear" w:color="auto" w:fill="auto"/>
            <w:noWrap/>
            <w:vAlign w:val="bottom"/>
          </w:tcPr>
          <w:p>
            <w:pPr>
              <w:ind w:firstLine="0" w:firstLineChars="0"/>
            </w:pPr>
            <w:r>
              <w:rPr>
                <w:rFonts w:hint="eastAsia"/>
              </w:rPr>
              <w:t>医保全量改造</w:t>
            </w:r>
          </w:p>
        </w:tc>
        <w:tc>
          <w:tcPr>
            <w:tcW w:w="5080" w:type="dxa"/>
            <w:tcBorders>
              <w:top w:val="nil"/>
              <w:left w:val="nil"/>
              <w:bottom w:val="single" w:color="auto" w:sz="4" w:space="0"/>
              <w:right w:val="single" w:color="auto" w:sz="4" w:space="0"/>
            </w:tcBorders>
            <w:shd w:val="clear" w:color="auto" w:fill="auto"/>
            <w:noWrap/>
            <w:vAlign w:val="bottom"/>
          </w:tcPr>
          <w:p>
            <w:pPr>
              <w:ind w:firstLine="0" w:firstLineChars="0"/>
            </w:pPr>
            <w:r>
              <w:rPr>
                <w:rFonts w:hint="eastAsia"/>
              </w:rPr>
              <w:t>医保全量改造</w:t>
            </w:r>
          </w:p>
        </w:tc>
        <w:tc>
          <w:tcPr>
            <w:tcW w:w="860" w:type="dxa"/>
            <w:tcBorders>
              <w:top w:val="nil"/>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firstLine="0" w:firstLineChars="0"/>
            </w:pPr>
            <w:r>
              <w:rPr>
                <w:rFonts w:hint="eastAsia"/>
              </w:rPr>
              <w:t>医保移动结算</w:t>
            </w:r>
          </w:p>
        </w:tc>
        <w:tc>
          <w:tcPr>
            <w:tcW w:w="5080"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pPr>
            <w:r>
              <w:rPr>
                <w:rFonts w:hint="eastAsia"/>
              </w:rPr>
              <w:t>医保移动结算</w:t>
            </w:r>
          </w:p>
        </w:tc>
        <w:tc>
          <w:tcPr>
            <w:tcW w:w="860"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firstLine="0" w:firstLineChars="0"/>
            </w:pPr>
            <w:r>
              <w:rPr>
                <w:rFonts w:hint="eastAsia"/>
              </w:rPr>
              <w:t>第三方信息系统对接</w:t>
            </w:r>
          </w:p>
        </w:tc>
        <w:tc>
          <w:tcPr>
            <w:tcW w:w="5080"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pPr>
            <w:r>
              <w:rPr>
                <w:rFonts w:hint="eastAsia"/>
              </w:rPr>
              <w:t>第三方信息系统对接</w:t>
            </w:r>
          </w:p>
        </w:tc>
        <w:tc>
          <w:tcPr>
            <w:tcW w:w="860"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pPr>
          </w:p>
        </w:tc>
      </w:tr>
      <w:tr>
        <w:tblPrEx>
          <w:tblCellMar>
            <w:top w:w="0" w:type="dxa"/>
            <w:left w:w="108" w:type="dxa"/>
            <w:bottom w:w="0" w:type="dxa"/>
            <w:right w:w="108" w:type="dxa"/>
          </w:tblCellMar>
        </w:tblPrEx>
        <w:trPr>
          <w:trHeight w:val="276" w:hRule="atLeast"/>
        </w:trPr>
        <w:tc>
          <w:tcPr>
            <w:tcW w:w="2560"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firstLine="0" w:firstLineChars="0"/>
            </w:pPr>
            <w:r>
              <w:rPr>
                <w:rFonts w:hint="eastAsia"/>
              </w:rPr>
              <w:t>三基理论考试系统</w:t>
            </w:r>
          </w:p>
        </w:tc>
        <w:tc>
          <w:tcPr>
            <w:tcW w:w="5080"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pPr>
            <w:r>
              <w:rPr>
                <w:rFonts w:hint="eastAsia"/>
              </w:rPr>
              <w:t>三基理论考试系统</w:t>
            </w:r>
          </w:p>
        </w:tc>
        <w:tc>
          <w:tcPr>
            <w:tcW w:w="860" w:type="dxa"/>
            <w:tcBorders>
              <w:top w:val="single" w:color="auto" w:sz="4" w:space="0"/>
              <w:left w:val="nil"/>
              <w:bottom w:val="single" w:color="auto" w:sz="4" w:space="0"/>
              <w:right w:val="single" w:color="auto" w:sz="4" w:space="0"/>
            </w:tcBorders>
            <w:shd w:val="clear" w:color="auto" w:fill="auto"/>
            <w:noWrap/>
            <w:vAlign w:val="bottom"/>
          </w:tcPr>
          <w:p>
            <w:pPr>
              <w:ind w:firstLine="0" w:firstLineChars="0"/>
            </w:pPr>
          </w:p>
        </w:tc>
      </w:tr>
    </w:tbl>
    <w:p>
      <w:pPr>
        <w:pStyle w:val="7"/>
        <w:ind w:firstLine="602"/>
      </w:pPr>
      <w:bookmarkStart w:id="1010" w:name="_Toc16656"/>
      <w:bookmarkStart w:id="1011" w:name="_Toc106620963"/>
      <w:bookmarkStart w:id="1012" w:name="_Toc103351451"/>
      <w:bookmarkStart w:id="1013" w:name="_Toc102142710"/>
      <w:r>
        <w:rPr>
          <w:rFonts w:hint="eastAsia"/>
        </w:rPr>
        <w:t>医院集成平台</w:t>
      </w:r>
      <w:bookmarkEnd w:id="1010"/>
      <w:bookmarkEnd w:id="1011"/>
      <w:bookmarkEnd w:id="1012"/>
      <w:bookmarkEnd w:id="1013"/>
    </w:p>
    <w:p>
      <w:pPr>
        <w:pStyle w:val="9"/>
        <w:ind w:firstLine="562"/>
      </w:pPr>
      <w:bookmarkStart w:id="1014" w:name="_Toc103351454"/>
      <w:bookmarkStart w:id="1015" w:name="_Toc5834"/>
      <w:bookmarkStart w:id="1016" w:name="_Toc103351452"/>
      <w:r>
        <w:rPr>
          <w:rFonts w:hint="eastAsia"/>
        </w:rPr>
        <w:t>企业服务总线平台</w:t>
      </w:r>
      <w:bookmarkEnd w:id="1014"/>
      <w:bookmarkEnd w:id="1015"/>
    </w:p>
    <w:p>
      <w:pPr>
        <w:pStyle w:val="10"/>
        <w:ind w:firstLine="562"/>
      </w:pPr>
      <w:r>
        <w:rPr>
          <w:rFonts w:hint="eastAsia"/>
        </w:rPr>
        <w:t>文档注册、查询服务</w:t>
      </w:r>
    </w:p>
    <w:p>
      <w:r>
        <w:rPr>
          <w:rFonts w:hint="eastAsia"/>
        </w:rPr>
        <w:t>（1）</w:t>
      </w:r>
      <w:r>
        <w:t>电子病历文档注册服务</w:t>
      </w:r>
    </w:p>
    <w:p>
      <w:r>
        <w:rPr>
          <w:rFonts w:hint="eastAsia"/>
        </w:rPr>
        <w:t>提供电子病历文档注册服务组件，实现电子病历文档源向集成平台注册病历文档，支持通过文档服务组件对电子病历的数据有效性进行校验，并对文档进行存储。</w:t>
      </w:r>
    </w:p>
    <w:p>
      <w:r>
        <w:rPr>
          <w:rFonts w:hint="eastAsia"/>
        </w:rPr>
        <w:t>（2）</w:t>
      </w:r>
      <w:r>
        <w:t>电子病历文档检索服务</w:t>
      </w:r>
    </w:p>
    <w:p>
      <w:r>
        <w:rPr>
          <w:rFonts w:hint="eastAsia"/>
        </w:rPr>
        <w:t>提供电子病历文档检索服务组件，实现病历文档的检索功能。用于接收电子病历文档使用者的检索请求，并执行相应检索操作，将查询结果返回给电子病历文档使用者。</w:t>
      </w:r>
    </w:p>
    <w:p>
      <w:r>
        <w:rPr>
          <w:rFonts w:hint="eastAsia"/>
        </w:rPr>
        <w:t>（3）</w:t>
      </w:r>
      <w:r>
        <w:t>电子病历文档调阅服务</w:t>
      </w:r>
    </w:p>
    <w:p>
      <w:r>
        <w:rPr>
          <w:rFonts w:hint="eastAsia"/>
        </w:rPr>
        <w:t>提供电子病历文档调阅服务组件，实现病历文档的调阅功能。调阅流程为：电子病历文档使用者通过电子病历文档检索服务组件，获取电子病历的索引信息，再提交索引信息给电子病历调阅服务组件，调阅服务组件将索引对应的文档内容返回给电子病历文档使用者。</w:t>
      </w:r>
    </w:p>
    <w:p>
      <w:pPr>
        <w:pStyle w:val="10"/>
        <w:ind w:firstLine="562"/>
      </w:pPr>
      <w:r>
        <w:rPr>
          <w:rFonts w:hint="eastAsia"/>
        </w:rPr>
        <w:t>个人信息注册、查询服务</w:t>
      </w:r>
    </w:p>
    <w:p>
      <w:r>
        <w:rPr>
          <w:rFonts w:hint="eastAsia"/>
        </w:rPr>
        <w:t>个人身份注册的目的用于对前来医院就诊患者的基本信息进行管理，通过对患者基本信息的统一管理，可以实现对患者信息最完整的保存，可以解决患者信息在各个系统中的不一致问题，以避免重复录入患者基本信息的情况。个人注册服务在医院集成平台上，形成一个患者注册库，安全地保存和维护患者的诊疗标识号、基本信息，并可为医疗就诊及公共卫生相关的业务系统提供人员身份识别功能。主要包括以下功能：</w:t>
      </w:r>
    </w:p>
    <w:p>
      <w:r>
        <w:rPr>
          <w:rFonts w:hint="eastAsia"/>
        </w:rPr>
        <w:t>（1）患者注册服务具备新增个人注册功能</w:t>
      </w:r>
    </w:p>
    <w:p>
      <w:r>
        <w:rPr>
          <w:rFonts w:hint="eastAsia"/>
        </w:rPr>
        <w:t>业务系统进行新病人信息注册时，向集成平台发送新增注册病人信息。集成平台将信息进行原始保存，然后根据传入的病人信息进行索引匹配。再根据匹配规则结果，按照新增主索引或更新主索引两种情况分别处理。</w:t>
      </w:r>
    </w:p>
    <w:p>
      <w:r>
        <w:rPr>
          <w:rFonts w:hint="eastAsia"/>
        </w:rPr>
        <w:t>（2）患者注册服务具备个人信息更新功能</w:t>
      </w:r>
    </w:p>
    <w:p>
      <w:r>
        <w:rPr>
          <w:rFonts w:hint="eastAsia"/>
        </w:rPr>
        <w:t>业务系统病人信息有变动时需要向集成平台发送更新消息，集成平台更新病人的交叉索引信息后，同时根据权重设置考虑是否需要对主索引进行更新。向集成平台提供患者信息注册的业务系统可能拥有不同的信息影响度，因此其提供的信息对主索引的影响有所不同。更新操作需要对新信息对主索引信息中每个字段进行评价，确定该字段的最佳值。同时，如果主索引信息有变更时，要向其它业务系统推送相应的变更信息。</w:t>
      </w:r>
    </w:p>
    <w:p>
      <w:r>
        <w:rPr>
          <w:rFonts w:hint="eastAsia"/>
        </w:rPr>
        <w:t>（3）患者注册服务具备个人身份失效功能</w:t>
      </w:r>
    </w:p>
    <w:p>
      <w:r>
        <w:rPr>
          <w:rFonts w:hint="eastAsia"/>
        </w:rPr>
        <w:t>在集成平台新增一个病人的索引信息后，业务系统因为某种原因确定该病人信息必须作废，同时向集成平台发送作废请求，集成平台接受请求后作废该病人的交叉索引信息，至于主索引信息根据其他业务系统的情况再做决定是否一起作废。同时，如果主索引信息被作废时，要想其它业务系统推送相应的作废消息。</w:t>
      </w:r>
    </w:p>
    <w:p>
      <w:r>
        <w:rPr>
          <w:rFonts w:hint="eastAsia"/>
        </w:rPr>
        <w:t>（4）患者注册服务具备个人身份合并功能</w:t>
      </w:r>
      <w:r>
        <w:t xml:space="preserve"> </w:t>
      </w:r>
    </w:p>
    <w:p>
      <w:r>
        <w:rPr>
          <w:rFonts w:hint="eastAsia"/>
        </w:rPr>
        <w:t>提供个人身份合并功能，当业务系统向集成平台注册病人信息时，集成平台按照预置的合并规则，对病人信息进行匹配，满足条件则进行合并。</w:t>
      </w:r>
    </w:p>
    <w:p>
      <w:r>
        <w:rPr>
          <w:rFonts w:hint="eastAsia"/>
        </w:rPr>
        <w:t>（5）患者注册服务具备个人信息查询功能</w:t>
      </w:r>
    </w:p>
    <w:p>
      <w:r>
        <w:rPr>
          <w:rFonts w:hint="eastAsia"/>
        </w:rPr>
        <w:t>提供个人信息的多种方式查询，返回符合条件的病人个人信息。主要是以下几种情况：根据卡号、卡类型进行病人信息查询，集成平台返回卡号关联的病人主索引信息，主要是提供给业务系统的病人注册功能模块使用。根据业务系统代码和业务系统本地标识进行精确查询，集成平台返回指定的病人信息，可以根据附加条件决定返回主索引信息或者交叉索引信息。根据姓名、证件号、证件类型、性别等部分信息进行模糊查询，集成平台返回符合条件的病人信息列表，可以根据附加条件决定返回主索引信息或者交叉索引信息。</w:t>
      </w:r>
    </w:p>
    <w:p>
      <w:r>
        <w:rPr>
          <w:rFonts w:hint="eastAsia"/>
        </w:rPr>
        <w:t>（6）日志审计功能</w:t>
      </w:r>
    </w:p>
    <w:p>
      <w:r>
        <w:rPr>
          <w:rFonts w:hint="eastAsia"/>
        </w:rPr>
        <w:t>病人主索引信息表的所有更改都进行日志记录，同时需要向感兴趣的业务系统发送更改消息，需要对消息的发送进行记录。日志分类浏览，需分类的日志类型：索引注册、索引更新、手工拆分、手工合并。对日志显示设定限定条件，包括：日志时间、患者</w:t>
      </w:r>
      <w:r>
        <w:t>ID。日志导出，导出为XML 文件，并可以在日志浏览器中打开显示内容。</w:t>
      </w:r>
    </w:p>
    <w:p>
      <w:pPr>
        <w:pStyle w:val="10"/>
        <w:ind w:firstLine="562"/>
      </w:pPr>
      <w:r>
        <w:rPr>
          <w:rFonts w:hint="eastAsia"/>
        </w:rPr>
        <w:t>医疗卫生人员注册、查询服务</w:t>
      </w:r>
    </w:p>
    <w:p>
      <w:r>
        <w:rPr>
          <w:rFonts w:hint="eastAsia"/>
        </w:rPr>
        <w:t>医疗卫生人员注册的目的用于对医疗单位内部所有医疗卫生服务人员的基本信息进行注册和管理。医疗卫生服务人员包括医生、护士、医技人员、药事人员等全部提供医疗卫生服务的医务人员，通过对医疗卫生服务人员基本信息、专业信息的记录，可以实现对医疗卫生服务人力资源的全面掌控、统一管理、合理配置。</w:t>
      </w:r>
    </w:p>
    <w:p>
      <w:r>
        <w:rPr>
          <w:rFonts w:hint="eastAsia"/>
        </w:rPr>
        <w:t>医疗卫生人员注册库，是一个单一的目录服务。系统为每一位医疗卫生服务人员分配一个唯一的标识，并提供给平台以及与平台交互的系统和用户所使用。</w:t>
      </w:r>
    </w:p>
    <w:p>
      <w:r>
        <w:rPr>
          <w:rFonts w:hint="eastAsia"/>
        </w:rPr>
        <w:t>医疗卫生人员注册服务具备新增医护人员注册服务，提供新增医护人员注册服务，用于在业务系统中进行新员工登记注册时，将新员工的信息注册到集成平台中。注册前，会先按预置规则进行匹配，如果有匹配成功的记录，则更新原来的记录；如果没有匹配记录，则作为新的员工进行添加。</w:t>
      </w:r>
    </w:p>
    <w:p>
      <w:r>
        <w:rPr>
          <w:rFonts w:hint="eastAsia"/>
        </w:rPr>
        <w:t>医疗卫生人员注册服务具备医护人员信息更新服务，业务系统进行员工的信息修改时，通过医护人员信息更新服务及时通知集成平台，保证集成平台员工信息的准确性和一致性。</w:t>
      </w:r>
    </w:p>
    <w:p>
      <w:r>
        <w:rPr>
          <w:rFonts w:hint="eastAsia"/>
        </w:rPr>
        <w:t>医疗卫生人员注册服务具备医护人员信息查询服务，提供医护人员信息查询服务，用于业务系统根据医护人员的全部信息或者部分信息从集成平台查找符合要求的医护人员信息。</w:t>
      </w:r>
    </w:p>
    <w:p>
      <w:pPr>
        <w:pStyle w:val="10"/>
        <w:ind w:firstLine="562"/>
      </w:pPr>
      <w:r>
        <w:rPr>
          <w:rFonts w:hint="eastAsia"/>
        </w:rPr>
        <w:t>医疗卫生机构注册、查询服务</w:t>
      </w:r>
    </w:p>
    <w:p>
      <w:r>
        <w:rPr>
          <w:rFonts w:hint="eastAsia"/>
        </w:rPr>
        <w:t>医疗卫生机构（科室）注册的目的用于对医疗卫生机构（科室）的基本信息进行管理，通过对医疗卫生机构（科室）基本信息的统一管理，可以向基于医疗信息平台建设的各应用系统、患者提供完整、统一的医疗卫生机构（科室）信息。</w:t>
      </w:r>
    </w:p>
    <w:p>
      <w:r>
        <w:rPr>
          <w:rFonts w:hint="eastAsia"/>
        </w:rPr>
        <w:t>通过建立医疗卫生机构（科室）注册库，提供各相关医疗机构及医疗机构所有科室的综合目录，系统为每个机构、科室分配唯一的标识，可以解决医疗活动中医疗卫生服务场所唯一性识别问题，从而保证在医疗业务活动中涉及的不同系统中使用统一的规范化的标识符，同时也满足与各医疗卫生机构服务机构的互联互通要求以及维护居民健康档案信息的统一标识需求。</w:t>
      </w:r>
    </w:p>
    <w:p>
      <w:r>
        <w:rPr>
          <w:rFonts w:hint="eastAsia"/>
        </w:rPr>
        <w:t>医疗卫生机构（科室）注册服务具备新增医疗卫生机构</w:t>
      </w:r>
      <w:r>
        <w:t>(科室)注册服务，业务系统中新注册科室时用到，主要是将新科室的信息传入到集成平台中。注册前，会先进行模糊匹配，如果有匹配成功的记录，则更新原来的记录；如果没有匹配记录，则作为新的科室进行添加。</w:t>
      </w:r>
    </w:p>
    <w:p>
      <w:r>
        <w:rPr>
          <w:rFonts w:hint="eastAsia"/>
        </w:rPr>
        <w:t>医疗卫生机构（科室）注册服务具备医疗卫生机构</w:t>
      </w:r>
      <w:r>
        <w:t>(科室)信息更新服务，业务系统中，如果科室的信息有修改时应该及时通知集成平台，保证集成平台科室信息的准确性和一致性。</w:t>
      </w:r>
    </w:p>
    <w:p>
      <w:r>
        <w:rPr>
          <w:rFonts w:hint="eastAsia"/>
        </w:rPr>
        <w:t>医疗卫生机构（科室）注册服务具备医疗卫生机构</w:t>
      </w:r>
      <w:r>
        <w:t>(科室)信息查询服务，业务系统根据科室的全部信息或者部分信息从集成平台查找符合要求的科室信息。</w:t>
      </w:r>
    </w:p>
    <w:p>
      <w:pPr>
        <w:pStyle w:val="10"/>
        <w:ind w:firstLine="562"/>
      </w:pPr>
      <w:r>
        <w:rPr>
          <w:rFonts w:hint="eastAsia"/>
        </w:rPr>
        <w:t>医嘱信息交互服务</w:t>
      </w:r>
    </w:p>
    <w:p>
      <w:r>
        <w:rPr>
          <w:rFonts w:hint="eastAsia"/>
        </w:rPr>
        <w:t>医嘱交互服务用于对患者的整个临床诊疗过程中的医嘱信息的管理。医院集成平台在医嘱处理过程中</w:t>
      </w:r>
      <w:r>
        <w:t>(如医嘱开立、医嘱执行、医嘱停止、医嘱取消)为平台上的各应用系统提供医嘱信息共享服务。基本功能要求包括：具备医嘱接收功能；具备医嘱查询功能；医嘱更新功能。</w:t>
      </w:r>
    </w:p>
    <w:p>
      <w:r>
        <w:rPr>
          <w:rFonts w:hint="eastAsia"/>
        </w:rPr>
        <w:t>（1）</w:t>
      </w:r>
      <w:r>
        <w:t>医嘱接收服务</w:t>
      </w:r>
    </w:p>
    <w:p>
      <w:r>
        <w:rPr>
          <w:rFonts w:hint="eastAsia"/>
        </w:rPr>
        <w:t>提供医嘱接收服务组件，实现医嘱信息的接收功能。用于接收医嘱信息源提交的医嘱信息，并支持通过医嘱接收服务组件对医嘱信息的数据有效性进行校验，并对医嘱信息进行存储。</w:t>
      </w:r>
    </w:p>
    <w:p>
      <w:r>
        <w:rPr>
          <w:rFonts w:hint="eastAsia"/>
        </w:rPr>
        <w:t>（2）</w:t>
      </w:r>
      <w:r>
        <w:t>医嘱查询服务</w:t>
      </w:r>
    </w:p>
    <w:p>
      <w:r>
        <w:rPr>
          <w:rFonts w:hint="eastAsia"/>
        </w:rPr>
        <w:t>提供医嘱查询服务组件，实现医嘱信息的查询功能。用于接收医嘱信息使用者提交的医嘱信息查询请求，并将查询结果返回给医嘱信息使用者。</w:t>
      </w:r>
    </w:p>
    <w:p>
      <w:r>
        <w:rPr>
          <w:rFonts w:hint="eastAsia"/>
        </w:rPr>
        <w:t>（3）</w:t>
      </w:r>
      <w:r>
        <w:t>医嘱更新服务</w:t>
      </w:r>
    </w:p>
    <w:p>
      <w:r>
        <w:rPr>
          <w:rFonts w:hint="eastAsia"/>
        </w:rPr>
        <w:t>医嘱信息更新时，通过医嘱更新服务及时通知医嘱信息使用者，确保医嘱信息的准确性和一致性。</w:t>
      </w:r>
    </w:p>
    <w:p>
      <w:pPr>
        <w:pStyle w:val="10"/>
        <w:ind w:firstLine="562"/>
      </w:pPr>
      <w:r>
        <w:rPr>
          <w:rFonts w:hint="eastAsia"/>
        </w:rPr>
        <w:t>申请单信息交互服务</w:t>
      </w:r>
    </w:p>
    <w:p>
      <w:r>
        <w:rPr>
          <w:rFonts w:hint="eastAsia"/>
        </w:rPr>
        <w:t>申请单服务是医院集成平台为接入平台的各系统提供申请单</w:t>
      </w:r>
      <w:r>
        <w:t>(检查申请单、检验申请单等)信息共享服务。基本功能要求包括：具备申请单接收功能；具备申请单查询功能；申请单更新功能。</w:t>
      </w:r>
    </w:p>
    <w:p>
      <w:r>
        <w:rPr>
          <w:rFonts w:hint="eastAsia"/>
        </w:rPr>
        <w:t>（1）</w:t>
      </w:r>
      <w:r>
        <w:t>申请单接收服务</w:t>
      </w:r>
    </w:p>
    <w:p>
      <w:r>
        <w:rPr>
          <w:rFonts w:hint="eastAsia"/>
        </w:rPr>
        <w:t>提供申请单接收服务组件，实现申请单信息的接收功能。用于接收申请单信息源提交的申请单信息，并支持通过申请单接收服务组件对申请单信息的数据有效性进行校验，并对申请单信息进行存储。</w:t>
      </w:r>
    </w:p>
    <w:p>
      <w:r>
        <w:rPr>
          <w:rFonts w:hint="eastAsia"/>
        </w:rPr>
        <w:t>（2）</w:t>
      </w:r>
      <w:r>
        <w:t>申请单查询服务</w:t>
      </w:r>
    </w:p>
    <w:p>
      <w:r>
        <w:rPr>
          <w:rFonts w:hint="eastAsia"/>
        </w:rPr>
        <w:t>提供申请单查询服务组件，实现申请单信息的查询功能。用于接收申请单信息使用者提交的申请单信息查询请求，并将查询结果返回给申请单信息使用者。</w:t>
      </w:r>
    </w:p>
    <w:p>
      <w:r>
        <w:rPr>
          <w:rFonts w:hint="eastAsia"/>
        </w:rPr>
        <w:t>（3）</w:t>
      </w:r>
      <w:r>
        <w:t>申请单更新服务</w:t>
      </w:r>
    </w:p>
    <w:p>
      <w:r>
        <w:rPr>
          <w:rFonts w:hint="eastAsia"/>
        </w:rPr>
        <w:t>申请单信息更新时，通过申请单更新服务及时通知申请单信息使用者，确保申请单信息的准确性和一致性。</w:t>
      </w:r>
    </w:p>
    <w:p>
      <w:pPr>
        <w:pStyle w:val="10"/>
        <w:ind w:firstLine="562"/>
      </w:pPr>
      <w:r>
        <w:rPr>
          <w:rFonts w:hint="eastAsia"/>
        </w:rPr>
        <w:t>就诊信息交互服务</w:t>
      </w:r>
    </w:p>
    <w:p>
      <w:r>
        <w:rPr>
          <w:rFonts w:hint="eastAsia"/>
        </w:rPr>
        <w:t>就诊信息交互服务用于对患者的整个就诊过程中的各种就诊信息的管理。医院集成平台可以实现患者在就诊过程中入院、转科、出院等各环节信息的保存，变更和信息共享。包括就诊卡信息、号源排班信息、门诊挂号信息、住院就诊信息、住院转科信息、出院登记信息等。</w:t>
      </w:r>
    </w:p>
    <w:p>
      <w:r>
        <w:rPr>
          <w:rFonts w:hint="eastAsia"/>
        </w:rPr>
        <w:t>（1）</w:t>
      </w:r>
      <w:r>
        <w:t>门诊就诊查询服务：提供查询患者在门诊就诊过程的信息查询服务，如患者挂号记录。</w:t>
      </w:r>
    </w:p>
    <w:p>
      <w:r>
        <w:rPr>
          <w:rFonts w:hint="eastAsia"/>
        </w:rPr>
        <w:t>（2）</w:t>
      </w:r>
      <w:r>
        <w:t>住院就诊查询服务：提供查询患者在住院就诊过程的信息查询服务，如患者的入出转事件记录。</w:t>
      </w:r>
    </w:p>
    <w:p>
      <w:r>
        <w:rPr>
          <w:rFonts w:hint="eastAsia"/>
        </w:rPr>
        <w:t>（3）</w:t>
      </w:r>
      <w:r>
        <w:t>出院信息查询服务：提供查询患者出院信息查询服务。</w:t>
      </w:r>
    </w:p>
    <w:p>
      <w:pPr>
        <w:pStyle w:val="9"/>
        <w:ind w:firstLine="562"/>
      </w:pPr>
      <w:bookmarkStart w:id="1017" w:name="_Toc17445"/>
      <w:r>
        <w:rPr>
          <w:rFonts w:hint="eastAsia"/>
        </w:rPr>
        <w:t>业务总线交换组件</w:t>
      </w:r>
      <w:bookmarkEnd w:id="1017"/>
    </w:p>
    <w:p>
      <w:pPr>
        <w:pStyle w:val="10"/>
        <w:ind w:firstLine="562"/>
      </w:pPr>
      <w:r>
        <w:rPr>
          <w:rFonts w:hint="eastAsia"/>
        </w:rPr>
        <w:t>临床服务系统业务交换组件</w:t>
      </w:r>
    </w:p>
    <w:p>
      <w:pPr>
        <w:pStyle w:val="11"/>
        <w:ind w:firstLine="562"/>
      </w:pPr>
      <w:r>
        <w:t>病理业务交换组件</w:t>
      </w:r>
    </w:p>
    <w:p>
      <w:r>
        <w:rPr>
          <w:rFonts w:hint="eastAsia"/>
        </w:rPr>
        <w:t>病理业务交换组件实现对病理系统与基础支撑平台之间的基本服务和各种应用程序进行统一的管理与监控。通过开放平台提供的标准化接口，帮助病理系统厂商通过运用和组装平台接口及病历系统接口产生新的应用，允许病理系统厂商实现扩展应用功能，同时提供统一、便捷的接入方式保证新应用基于平台环境的统一管理和运行。</w:t>
      </w:r>
    </w:p>
    <w:p>
      <w:pPr>
        <w:pStyle w:val="11"/>
        <w:ind w:firstLine="562"/>
      </w:pPr>
      <w:r>
        <w:t>合理用</w:t>
      </w:r>
      <w:r>
        <w:rPr>
          <w:rFonts w:hint="eastAsia"/>
        </w:rPr>
        <w:t>药</w:t>
      </w:r>
      <w:r>
        <w:t>业务交换组件</w:t>
      </w:r>
    </w:p>
    <w:p>
      <w:r>
        <w:t>合理用</w:t>
      </w:r>
      <w:r>
        <w:rPr>
          <w:rFonts w:hint="eastAsia"/>
        </w:rPr>
        <w:t>药业务交换组件实现对</w:t>
      </w:r>
      <w:r>
        <w:t>合理用</w:t>
      </w:r>
      <w:r>
        <w:rPr>
          <w:rFonts w:hint="eastAsia"/>
        </w:rPr>
        <w:t>药与基础支撑平台之间的基本服务和各种应用程序进行统一的管理与监控。通过开放平台提供的标准化接口，帮助</w:t>
      </w:r>
      <w:r>
        <w:t>合理用</w:t>
      </w:r>
      <w:r>
        <w:rPr>
          <w:rFonts w:hint="eastAsia"/>
        </w:rPr>
        <w:t>药厂商通过运用和组装平台接口及</w:t>
      </w:r>
      <w:r>
        <w:t>合理用</w:t>
      </w:r>
      <w:r>
        <w:rPr>
          <w:rFonts w:hint="eastAsia"/>
        </w:rPr>
        <w:t>药接口产生新的应用，允许</w:t>
      </w:r>
      <w:r>
        <w:t>合理用</w:t>
      </w:r>
      <w:r>
        <w:rPr>
          <w:rFonts w:hint="eastAsia"/>
        </w:rPr>
        <w:t>药厂商实现扩展应用功能，同时提供统一、便捷的接入方式保证新应用基于平台环境的统一管理和运行。</w:t>
      </w:r>
    </w:p>
    <w:p>
      <w:pPr>
        <w:pStyle w:val="11"/>
        <w:ind w:firstLine="562"/>
      </w:pPr>
      <w:r>
        <w:rPr>
          <w:rFonts w:hint="eastAsia"/>
        </w:rPr>
        <w:t>体检管理系统交换组件</w:t>
      </w:r>
    </w:p>
    <w:p>
      <w:r>
        <w:rPr>
          <w:rFonts w:hint="eastAsia"/>
        </w:rPr>
        <w:t>体检管理系统交换组件实现对体检管理系统与基础支撑平台之间的基本服务和各种应用程序进行统一的管理与监控。通过开放平台提供的标准化接口，帮助体检管理系统厂商通过运用和组装平台接口及体检管理系统接口产生新的应用，允许体检管理系统厂商实现扩展应用功能，同时提供统一、便捷的接入方式保证新应用基于平台环境的统一管理和运行。</w:t>
      </w:r>
    </w:p>
    <w:p>
      <w:pPr>
        <w:pStyle w:val="11"/>
        <w:ind w:firstLine="562"/>
      </w:pPr>
      <w:r>
        <w:rPr>
          <w:rFonts w:hint="eastAsia"/>
        </w:rPr>
        <w:t>临床路径系统交换组件</w:t>
      </w:r>
    </w:p>
    <w:p>
      <w:r>
        <w:rPr>
          <w:rFonts w:hint="eastAsia"/>
        </w:rPr>
        <w:t>临床路径系统交换组件实现对临床路径系统与基础支撑平台之间的基本服务和各种应用程序进行统一的管理与监控。通过开放平台提供的标准化接口，帮助临床路径系统厂商通过运用和组装平台接口及临床路径系统接口产生新的应用，允许临床路径系统厂商实现扩展应用功能，同时提供统一、便捷的接入方式保证新应用基于平台环境的统一管理和运行。</w:t>
      </w:r>
    </w:p>
    <w:p>
      <w:pPr>
        <w:pStyle w:val="11"/>
        <w:ind w:firstLine="562"/>
      </w:pPr>
      <w:r>
        <w:rPr>
          <w:rFonts w:hint="eastAsia"/>
        </w:rPr>
        <w:t>移动护理系统交换组件</w:t>
      </w:r>
    </w:p>
    <w:p>
      <w:r>
        <w:rPr>
          <w:rFonts w:hint="eastAsia"/>
        </w:rPr>
        <w:t>移动护理系统交换组件实现对移动护理系统与基础支撑平台之间的基本服务和各种应用程序进行统一的管理与监控。通过开放平台提供的标准化接口，帮助移动护理系统厂商通过运用和组装平台接口及移动护理系统接口产生新的应用，允许移动护理系统厂商实现扩展应用功能，同时提供统一、便捷的接入方式保证新应用基于平台环境的统一管理和运行。</w:t>
      </w:r>
    </w:p>
    <w:p>
      <w:pPr>
        <w:pStyle w:val="10"/>
        <w:ind w:firstLine="562"/>
      </w:pPr>
      <w:r>
        <w:rPr>
          <w:rFonts w:hint="eastAsia"/>
        </w:rPr>
        <w:t>医疗管理系统业务交换组件</w:t>
      </w:r>
    </w:p>
    <w:p>
      <w:pPr>
        <w:pStyle w:val="11"/>
        <w:ind w:firstLine="562"/>
      </w:pPr>
      <w:r>
        <w:rPr>
          <w:rFonts w:hint="eastAsia"/>
        </w:rPr>
        <w:t>危急值管理系统交换组件</w:t>
      </w:r>
    </w:p>
    <w:p>
      <w:r>
        <w:rPr>
          <w:rFonts w:hint="eastAsia"/>
        </w:rPr>
        <w:t>危急值管理业务交换组件用于危急值管理系统与基础支撑平台之间的基本服务和各种应用程序进行统一的管理与监控。通过基础支撑平台提供的标准化接口，帮助危急值管理系统厂商通过运用和组装平台接口及危急值管理系统接口产生新的应用，允许危急值管理系统厂商实现扩展应用功能，同时提供统一、便捷的接入方式保证新应用基于平台环境的统一管理和运行。</w:t>
      </w:r>
    </w:p>
    <w:p>
      <w:pPr>
        <w:pStyle w:val="10"/>
        <w:ind w:firstLine="562"/>
      </w:pPr>
      <w:r>
        <w:rPr>
          <w:rFonts w:hint="eastAsia"/>
        </w:rPr>
        <w:t>运营管理系统业务交换组件</w:t>
      </w:r>
    </w:p>
    <w:p>
      <w:pPr>
        <w:pStyle w:val="11"/>
        <w:ind w:firstLine="562"/>
      </w:pPr>
      <w:r>
        <w:t>人力资源管理系统交换组件</w:t>
      </w:r>
    </w:p>
    <w:p>
      <w:r>
        <w:rPr>
          <w:rFonts w:hint="eastAsia"/>
        </w:rPr>
        <w:t>人力资源管理业务交换组件实现对人力资源管理系统与基础支撑平台之间的基本服务和各种应用程序进行统一的管理与监控。通过开放平台提供的标准化接口，帮助人力资源管理系统厂商通过运用和组装平台接口及人力资源管理系统接口产生新的应用，允许人力资源管理系统厂商实现扩展应用功能，同时提供统一、便捷的接入方式保证新应用基于平台环境的统一管理和运行。</w:t>
      </w:r>
    </w:p>
    <w:p>
      <w:pPr>
        <w:pStyle w:val="11"/>
        <w:ind w:firstLine="562"/>
      </w:pPr>
      <w:r>
        <w:t>财务管理系统交换组件</w:t>
      </w:r>
    </w:p>
    <w:p>
      <w:r>
        <w:rPr>
          <w:rFonts w:hint="eastAsia"/>
        </w:rPr>
        <w:t>财务管理业务交换组件用于财务管理系统与基础支撑平台之间的基本服务和各种应用程序进行统一的管理与监控。通过基础支撑平台提供的标准化接口，帮助财务管理系统厂商通过运用和组装平台接口及财务管理系统接口产生新的应用，允许财务管理系统厂商实现扩展应用功能，同时提供统一、便捷的接入方式保证新应用基于平台环境的统一管理和运行。</w:t>
      </w:r>
    </w:p>
    <w:p>
      <w:pPr>
        <w:pStyle w:val="10"/>
        <w:ind w:firstLine="562"/>
      </w:pPr>
      <w:r>
        <w:rPr>
          <w:rFonts w:hint="eastAsia"/>
        </w:rPr>
        <w:t>外部机构系统业务交换组件</w:t>
      </w:r>
    </w:p>
    <w:p>
      <w:r>
        <w:t>从银行、医保及新农合、保险、计生、急救中心、CDC(疾控中心）、血液中心等选3个</w:t>
      </w:r>
      <w:r>
        <w:rPr>
          <w:rFonts w:hint="eastAsia"/>
        </w:rPr>
        <w:t>。</w:t>
      </w:r>
    </w:p>
    <w:p>
      <w:pPr>
        <w:pStyle w:val="9"/>
        <w:ind w:firstLine="562"/>
      </w:pPr>
      <w:bookmarkStart w:id="1018" w:name="_Toc31980"/>
      <w:r>
        <w:rPr>
          <w:rFonts w:hint="eastAsia"/>
        </w:rPr>
        <w:t>数据中心</w:t>
      </w:r>
      <w:bookmarkEnd w:id="1016"/>
      <w:bookmarkEnd w:id="1018"/>
    </w:p>
    <w:p>
      <w:pPr>
        <w:pStyle w:val="10"/>
        <w:ind w:firstLine="562"/>
      </w:pPr>
      <w:r>
        <w:rPr>
          <w:rFonts w:hint="eastAsia"/>
        </w:rPr>
        <w:t>数据</w:t>
      </w:r>
      <w:r>
        <w:t>ETL管理</w:t>
      </w:r>
    </w:p>
    <w:p>
      <w:pPr>
        <w:pStyle w:val="73"/>
      </w:pPr>
      <w:r>
        <w:rPr>
          <w:rFonts w:hint="eastAsia"/>
        </w:rPr>
        <w:t>ETL</w:t>
      </w:r>
      <w:r>
        <w:t>是数据抽取（Extract）、转换（Transform）、装载（Load）的过程</w:t>
      </w:r>
      <w:r>
        <w:rPr>
          <w:rFonts w:hint="eastAsia"/>
        </w:rPr>
        <w:t>，是BI/DW（商务智能/数据仓库）的核心和灵魂，</w:t>
      </w:r>
      <w:r>
        <w:t>是构建数据中心的重要一环</w:t>
      </w:r>
      <w:r>
        <w:rPr>
          <w:rFonts w:hint="eastAsia"/>
        </w:rPr>
        <w:t>。用户从数据源抽取出所需的数据，经过数据转换，最终按照预先定义好的数据中心模型，将数据加载到数据中心中去。通过ETL将医疗业务系统HIS、LIS、PACS、EMR的业务数据抽取到数据中心的业务数据层，数据中心业务数据层的源数据通过数据清洗，数据标准化转换后抽取到数据中心标准层，数据中心标准层数据通过数据的进一步整合将数据进一步抽取转化加载到数据仓库、临床知识库、指标库等数据应用层。</w:t>
      </w:r>
    </w:p>
    <w:p>
      <w:pPr>
        <w:pStyle w:val="73"/>
      </w:pPr>
      <w:r>
        <w:rPr>
          <w:rFonts w:hint="eastAsia"/>
        </w:rPr>
        <w:t>在需要建设运营数据信息库和临床文档信息库的前提上，利用ETL工具对大量医疗数据进行抽取、转换，然后加载到数据仓库进行数据分析与利用，辅助院领导决策。</w:t>
      </w:r>
    </w:p>
    <w:p>
      <w:pPr>
        <w:pStyle w:val="10"/>
        <w:ind w:firstLine="562"/>
      </w:pPr>
      <w:r>
        <w:rPr>
          <w:rFonts w:hint="eastAsia"/>
        </w:rPr>
        <w:t>主数据管理</w:t>
      </w:r>
    </w:p>
    <w:p>
      <w:pPr>
        <w:pStyle w:val="73"/>
      </w:pPr>
      <w:r>
        <w:rPr>
          <w:rFonts w:hint="eastAsia"/>
        </w:rPr>
        <w:t>能对数据源数据结构、数据词典、字段维度、程序映射逻辑、数据生命周期等元数据进行管理，包括元数据定义、存储、查询、维护、分析应用等功能。</w:t>
      </w:r>
    </w:p>
    <w:p>
      <w:pPr>
        <w:pStyle w:val="10"/>
        <w:ind w:firstLine="562"/>
      </w:pPr>
      <w:r>
        <w:rPr>
          <w:rFonts w:hint="eastAsia"/>
        </w:rPr>
        <w:t>术语管理</w:t>
      </w:r>
    </w:p>
    <w:p>
      <w:pPr>
        <w:pStyle w:val="73"/>
      </w:pPr>
      <w:r>
        <w:rPr>
          <w:rFonts w:hint="eastAsia"/>
        </w:rPr>
        <w:t>术语和字典注册的目的用于从数据定义层次来解决各系统的互操作问题。术语的范围包括医疗卫生领域所涉及到的各类专业词汇，以及所遵循的数据标准。建立术语和字典注册库，用来规范医疗卫生事件中所产生的信息含义的一致性问题。术语可由平台管理者进行注册、更新维护；字典既可由平台管理者又可 由机构内各应用系统来提供注册、更新维护。</w:t>
      </w:r>
    </w:p>
    <w:p>
      <w:pPr>
        <w:pStyle w:val="73"/>
      </w:pPr>
      <w:r>
        <w:rPr>
          <w:rFonts w:hint="eastAsia"/>
        </w:rPr>
        <w:t>各应用系统使用术语和字典库，根据术语和字典库的更新频率，及其数据量级，可以通过在线、离线两种方式来获取服务。如果选择离线方式，那么需要考虑到更新频率和更新策略的问题。对于更新频率较多且数据量较大的术语和字典，应采用订阅发布机制来完成。</w:t>
      </w:r>
    </w:p>
    <w:p>
      <w:pPr>
        <w:pStyle w:val="10"/>
        <w:ind w:firstLine="562"/>
      </w:pPr>
      <w:r>
        <w:rPr>
          <w:rFonts w:hint="eastAsia"/>
        </w:rPr>
        <w:t>数据脱敏配置管理</w:t>
      </w:r>
    </w:p>
    <w:p>
      <w:r>
        <w:rPr>
          <w:rFonts w:hint="eastAsia"/>
        </w:rPr>
        <w:t>数据脱敏配置管理是指临床数据用于第三方使用或其他需要脱敏或匿名化使用时，能够实现可视化脱敏配置。</w:t>
      </w:r>
    </w:p>
    <w:p>
      <w:pPr>
        <w:pStyle w:val="10"/>
        <w:ind w:firstLine="562"/>
      </w:pPr>
      <w:r>
        <w:rPr>
          <w:rFonts w:hint="eastAsia"/>
        </w:rPr>
        <w:t>运营信息数据库</w:t>
      </w:r>
      <w:r>
        <w:t>ODR</w:t>
      </w:r>
    </w:p>
    <w:p>
      <w:pPr>
        <w:pStyle w:val="74"/>
        <w:spacing w:beforeLines="0" w:afterLines="0"/>
        <w:ind w:firstLine="480"/>
        <w:rPr>
          <w:rFonts w:ascii="宋体" w:hAnsi="宋体"/>
          <w:szCs w:val="24"/>
        </w:rPr>
      </w:pPr>
      <w:r>
        <w:rPr>
          <w:rFonts w:hint="eastAsia" w:ascii="宋体" w:hAnsi="宋体"/>
          <w:szCs w:val="24"/>
        </w:rPr>
        <w:t>医院运营当中的数据系统存在大量价值较高的医疗数据与管理数据等，这些数据对于医院运营有重要意义。当医院内部HIS的数据量不断增加且查询要求变得更加复杂的时候，数据分析与查询等就无法满足医院自身的运营需求，这样就会给HIS帶来较大的压力。运营管理数据中心的建立，可以利用数据对相关的分析工具进行挖掘，并且对内部原始数据进行再次加工，进而形成一个综合性较强的运营数据仓。</w:t>
      </w:r>
    </w:p>
    <w:p>
      <w:r>
        <w:rPr>
          <w:rFonts w:hint="eastAsia"/>
        </w:rPr>
        <w:t>运营管理数据中心从临床诊疗、医疗管理及后台运营管理等业务系统中获取医院管理辅助决策所需要的数据，并对数据进行数据清理、转换，再按照不同分析主题进行组织和展示，建立起符合医院运营管理的指标体系。支持日常业务统计分析、常用上报数据（如HIS、LIS、PACS、体检、院感、血库、手术麻醉、重症监护等）等功能。医院管理决策支持数据库可以获取任意时间的任意即时数据，即实时分析处理数据，使用者可以随时了解到医院当时的各种情况，同时系统能支持针对从不同角度对数据进行分析，并快速高效的获得结果，有高效的数据生成效率，有助于全面了解隐藏于数据中的有用信息，方便领导决策。</w:t>
      </w:r>
    </w:p>
    <w:p>
      <w:pPr>
        <w:pStyle w:val="10"/>
        <w:ind w:firstLine="562"/>
      </w:pPr>
      <w:bookmarkStart w:id="1019" w:name="_Toc103351453"/>
      <w:r>
        <w:rPr>
          <w:rFonts w:hint="eastAsia"/>
        </w:rPr>
        <w:t>数据治理</w:t>
      </w:r>
    </w:p>
    <w:p>
      <w:pPr>
        <w:pStyle w:val="11"/>
        <w:ind w:firstLine="562"/>
      </w:pPr>
      <w:r>
        <w:rPr>
          <w:rFonts w:hint="eastAsia"/>
        </w:rPr>
        <w:t>数据质量管理</w:t>
      </w:r>
    </w:p>
    <w:p>
      <w:pPr>
        <w:pStyle w:val="75"/>
      </w:pPr>
      <w:r>
        <w:rPr>
          <w:rFonts w:hint="eastAsia"/>
        </w:rPr>
        <w:t>支持对数据中心的数据进行质量检查，包括数据的完整性、数据的一致性、数据的准确性以及数据的及时性等，并提供相应的数据检查结果数据，帮助信息管理人员管理数据中心的数据。</w:t>
      </w:r>
    </w:p>
    <w:p>
      <w:pPr>
        <w:pStyle w:val="10"/>
        <w:ind w:firstLine="562"/>
      </w:pPr>
      <w:r>
        <w:rPr>
          <w:rFonts w:hint="eastAsia"/>
        </w:rPr>
        <w:t>电子病历共享文档库</w:t>
      </w:r>
    </w:p>
    <w:p>
      <w:r>
        <w:rPr>
          <w:rFonts w:hint="eastAsia"/>
        </w:rPr>
        <w:t>医院交换平台将各个系统中产生的临床活动数据与信息进行集成与共享后，通过生成符合《电子病历共享文档规范》的临床文档进行归档与储存，最终形成独立的电子病历共享文档库。</w:t>
      </w:r>
    </w:p>
    <w:p>
      <w:r>
        <w:rPr>
          <w:rFonts w:hint="eastAsia"/>
        </w:rPr>
        <w:t>电子病历文档存储以患者为中心，围绕患者的所发生的实际临床业务活动组织文档，基于已注册的</w:t>
      </w:r>
      <w:r>
        <w:t>EMR</w:t>
      </w:r>
      <w:r>
        <w:rPr>
          <w:rFonts w:hint="eastAsia"/>
        </w:rPr>
        <w:t>文档分类进行文档的分类、标识。平台业务用户可根据实际授权情况进行</w:t>
      </w:r>
      <w:r>
        <w:t>EMR</w:t>
      </w:r>
      <w:r>
        <w:rPr>
          <w:rFonts w:hint="eastAsia"/>
        </w:rPr>
        <w:t>文档的全部、部分、单个文档的调阅与应用。文档的注册服务由集成平台提供，当临床系统调用此服务进行共享文档注册时，平台将对共享文档进行解析、分类并标识入库存储。电子病历共享文档库内容包括：诊断、处方、检验结果、检查结果、影像图像以及住院病案、出院小结等内容。其中影像图像信息将以分布式存储的方式分别存在各家医院本地数据库中，数据中心电子病历数据库集中存放诊断、处方、检验结果、检查结果等信息。</w:t>
      </w:r>
    </w:p>
    <w:bookmarkEnd w:id="1019"/>
    <w:p>
      <w:pPr>
        <w:pStyle w:val="7"/>
        <w:ind w:firstLine="602"/>
      </w:pPr>
      <w:bookmarkStart w:id="1020" w:name="_Toc27330"/>
      <w:r>
        <w:rPr>
          <w:rFonts w:hint="eastAsia"/>
        </w:rPr>
        <w:t>BI决策支持平台技术要求</w:t>
      </w:r>
      <w:bookmarkEnd w:id="1020"/>
    </w:p>
    <w:p>
      <w:bookmarkStart w:id="1021" w:name="_Hlk88844624"/>
      <w:r>
        <w:rPr>
          <w:rFonts w:hint="eastAsia"/>
        </w:rPr>
        <w:t>投标人需承诺本次新建BI决策支持平台的实施过程中所产生的系统程序改造费用，以及与医院目前在用的基础医疗信息系统（HIS）、电子病历系统（EMR）系统对接的费用，都包含在本次采购预算中，采购方不再支付与此相关的任何费用。</w:t>
      </w:r>
    </w:p>
    <w:bookmarkEnd w:id="1021"/>
    <w:p>
      <w:pPr>
        <w:pStyle w:val="9"/>
        <w:ind w:firstLine="562"/>
      </w:pPr>
      <w:bookmarkStart w:id="1022" w:name="_Toc2223"/>
      <w:bookmarkStart w:id="1023" w:name="_Toc530731181"/>
      <w:bookmarkStart w:id="1024" w:name="_Toc535329152"/>
      <w:r>
        <w:rPr>
          <w:rFonts w:hint="eastAsia"/>
        </w:rPr>
        <w:t>数据服务</w:t>
      </w:r>
      <w:bookmarkEnd w:id="1022"/>
    </w:p>
    <w:p>
      <w:pPr>
        <w:pStyle w:val="10"/>
        <w:ind w:firstLine="562"/>
      </w:pPr>
      <w:r>
        <w:rPr>
          <w:rFonts w:hint="eastAsia"/>
        </w:rPr>
        <w:t>数据缓存库（ODS）</w:t>
      </w:r>
      <w:bookmarkEnd w:id="1023"/>
      <w:bookmarkEnd w:id="1024"/>
    </w:p>
    <w:p>
      <w:r>
        <w:rPr>
          <w:rFonts w:hint="eastAsia"/>
        </w:rPr>
        <w:t>要求O</w:t>
      </w:r>
      <w:r>
        <w:t>DS库</w:t>
      </w:r>
      <w:r>
        <w:rPr>
          <w:rFonts w:hint="eastAsia"/>
        </w:rPr>
        <w:t>中</w:t>
      </w:r>
      <w:r>
        <w:t>的数据主要按照多个医疗</w:t>
      </w:r>
      <w:r>
        <w:rPr>
          <w:rFonts w:hint="eastAsia"/>
        </w:rPr>
        <w:t>业务</w:t>
      </w:r>
      <w:r>
        <w:t>主题域分类进行数据存储，所存储的数据是经过数据清洗和轻度聚合</w:t>
      </w:r>
      <w:r>
        <w:rPr>
          <w:rFonts w:hint="eastAsia"/>
        </w:rPr>
        <w:t>的</w:t>
      </w:r>
      <w:r>
        <w:t>，数据的粒度接近于业务系统的数据，数据</w:t>
      </w:r>
      <w:r>
        <w:rPr>
          <w:rFonts w:hint="eastAsia"/>
        </w:rPr>
        <w:t>缓存库的</w:t>
      </w:r>
      <w:r>
        <w:t>数据相当于业务综合表所存储的数据。</w:t>
      </w:r>
      <w:r>
        <w:rPr>
          <w:rFonts w:hint="eastAsia"/>
        </w:rPr>
        <w:t>根据业务领域不同，数据缓存库分为：门诊、病案、住院、手术、药品、物资、体检、设备、医技、财务、综合业务等内容。</w:t>
      </w:r>
    </w:p>
    <w:p>
      <w:pPr>
        <w:pStyle w:val="10"/>
        <w:ind w:firstLine="562"/>
      </w:pPr>
      <w:bookmarkStart w:id="1025" w:name="_Toc491370565"/>
      <w:bookmarkStart w:id="1026" w:name="_Toc535329153"/>
      <w:r>
        <w:rPr>
          <w:rFonts w:hint="eastAsia"/>
        </w:rPr>
        <w:t>数据</w:t>
      </w:r>
      <w:bookmarkEnd w:id="1025"/>
      <w:r>
        <w:rPr>
          <w:rFonts w:hint="eastAsia"/>
        </w:rPr>
        <w:t>仓库</w:t>
      </w:r>
      <w:bookmarkEnd w:id="1026"/>
    </w:p>
    <w:p>
      <w:r>
        <w:rPr>
          <w:rFonts w:hint="eastAsia"/>
        </w:rPr>
        <w:t>要求</w:t>
      </w:r>
      <w:r>
        <w:t>数据</w:t>
      </w:r>
      <w:r>
        <w:rPr>
          <w:rFonts w:hint="eastAsia"/>
        </w:rPr>
        <w:t>仓库</w:t>
      </w:r>
      <w:r>
        <w:t>的数据以特定的、针对某个主题的方式进行数据存储，所存储的数据依据分析的需求，采用中度或者高度聚合，数据</w:t>
      </w:r>
      <w:r>
        <w:rPr>
          <w:rFonts w:hint="eastAsia"/>
        </w:rPr>
        <w:t>仓库</w:t>
      </w:r>
      <w:r>
        <w:t>的数据相当于事实表所存储的数据。</w:t>
      </w:r>
      <w:r>
        <w:rPr>
          <w:rFonts w:hint="eastAsia"/>
        </w:rPr>
        <w:t>根据分析需求不同，数据仓库的主题领域按照一级分类可分为医院运行、质量与安全、合理用药、运营管理这几大类，每个大类还可以具体细分出不同的二级分类，比如医院运行包含了门诊运行、住院运行、临床路径等。</w:t>
      </w:r>
    </w:p>
    <w:p>
      <w:pPr>
        <w:pStyle w:val="10"/>
        <w:ind w:firstLine="562"/>
      </w:pPr>
      <w:bookmarkStart w:id="1027" w:name="_Toc535329154"/>
      <w:bookmarkStart w:id="1028" w:name="_Toc329848148"/>
      <w:bookmarkStart w:id="1029" w:name="_Toc233625026"/>
      <w:r>
        <w:rPr>
          <w:rFonts w:hint="eastAsia"/>
        </w:rPr>
        <w:t>数据集市</w:t>
      </w:r>
      <w:bookmarkEnd w:id="1027"/>
    </w:p>
    <w:p>
      <w:r>
        <w:rPr>
          <w:rFonts w:hint="eastAsia"/>
        </w:rPr>
        <w:t>数据集市</w:t>
      </w:r>
      <w:r>
        <w:t>是构成专题下的细分项，是决策分析最小的展示数据单位，是经过一定的运算规则构成。例如，医疗</w:t>
      </w:r>
      <w:r>
        <w:rPr>
          <w:rFonts w:hint="eastAsia"/>
        </w:rPr>
        <w:t>运行</w:t>
      </w:r>
      <w:r>
        <w:t>领域下的门诊</w:t>
      </w:r>
      <w:r>
        <w:rPr>
          <w:rFonts w:hint="eastAsia"/>
        </w:rPr>
        <w:t>运行</w:t>
      </w:r>
      <w:r>
        <w:t>主题，可由门诊人次、门诊总费用、门诊平均费用等指标构成</w:t>
      </w:r>
      <w:r>
        <w:rPr>
          <w:rFonts w:hint="eastAsia"/>
        </w:rPr>
        <w:t>，</w:t>
      </w:r>
      <w:r>
        <w:t>门诊平均费用（指标值）=门诊总费用（资源值）/门诊人次（资源值）。</w:t>
      </w:r>
      <w:r>
        <w:rPr>
          <w:rFonts w:hint="eastAsia"/>
        </w:rPr>
        <w:t>其中</w:t>
      </w:r>
      <w:r>
        <w:t>资源</w:t>
      </w:r>
      <w:r>
        <w:rPr>
          <w:rFonts w:hint="eastAsia"/>
        </w:rPr>
        <w:t>值</w:t>
      </w:r>
      <w:r>
        <w:t>是数据仓库管理的最基本单位，是不可再分割的单元。资源</w:t>
      </w:r>
      <w:r>
        <w:rPr>
          <w:rFonts w:hint="eastAsia"/>
        </w:rPr>
        <w:t>值</w:t>
      </w:r>
      <w:r>
        <w:t>实际上是由操作明细数据经过抽取、清洗、转换而形成的统计数据。例如，</w:t>
      </w:r>
      <w:r>
        <w:rPr>
          <w:rFonts w:hint="eastAsia"/>
        </w:rPr>
        <w:t>ODS库</w:t>
      </w:r>
      <w:r>
        <w:t>中存储的是医疗机构门诊人次明细数据；而数据仓库中存储的是医疗机构日、月、年的门诊人次汇总数据。</w:t>
      </w:r>
    </w:p>
    <w:bookmarkEnd w:id="1028"/>
    <w:bookmarkEnd w:id="1029"/>
    <w:p>
      <w:pPr>
        <w:pStyle w:val="10"/>
        <w:ind w:firstLine="562"/>
      </w:pPr>
      <w:bookmarkStart w:id="1030" w:name="_Toc491370566"/>
      <w:r>
        <w:rPr>
          <w:rFonts w:hint="eastAsia"/>
        </w:rPr>
        <w:t>指标采集ETL</w:t>
      </w:r>
    </w:p>
    <w:p>
      <w:r>
        <w:t>ETL是将数据从HIS、LIS等业务系统数据库转</w:t>
      </w:r>
      <w:r>
        <w:rPr>
          <w:rFonts w:hint="eastAsia"/>
        </w:rPr>
        <w:t>移</w:t>
      </w:r>
      <w:r>
        <w:t>到数据仓库的过程，由于数据仓库中的数据是以</w:t>
      </w:r>
      <w:r>
        <w:rPr>
          <w:rFonts w:hint="eastAsia"/>
        </w:rPr>
        <w:t>主</w:t>
      </w:r>
      <w:r>
        <w:t>题形式进行组织的，因此要对数据进行清洗、转</w:t>
      </w:r>
      <w:r>
        <w:rPr>
          <w:rFonts w:hint="eastAsia"/>
        </w:rPr>
        <w:t>换</w:t>
      </w:r>
      <w:r>
        <w:t>等操作</w:t>
      </w:r>
      <w:r>
        <w:rPr>
          <w:rFonts w:hint="eastAsia"/>
        </w:rPr>
        <w:t>。要求包括</w:t>
      </w:r>
      <w:r>
        <w:t>数据抽取、数据清洗、数据转换、数据装载。</w:t>
      </w:r>
    </w:p>
    <w:bookmarkEnd w:id="1030"/>
    <w:p>
      <w:pPr>
        <w:pStyle w:val="9"/>
        <w:ind w:firstLine="562"/>
      </w:pPr>
      <w:bookmarkStart w:id="1031" w:name="_Toc535329160"/>
      <w:bookmarkStart w:id="1032" w:name="_Toc10444"/>
      <w:bookmarkStart w:id="1033" w:name="_Toc480211911"/>
      <w:bookmarkStart w:id="1034" w:name="_Toc491370570"/>
      <w:r>
        <w:t>基础管理</w:t>
      </w:r>
      <w:bookmarkEnd w:id="1031"/>
      <w:bookmarkEnd w:id="1032"/>
    </w:p>
    <w:p>
      <w:pPr>
        <w:pStyle w:val="10"/>
        <w:ind w:firstLine="562"/>
      </w:pPr>
      <w:bookmarkStart w:id="1035" w:name="_Toc491370567"/>
      <w:bookmarkStart w:id="1036" w:name="_Toc535329161"/>
      <w:r>
        <w:rPr>
          <w:rFonts w:hint="eastAsia"/>
        </w:rPr>
        <w:t>用户</w:t>
      </w:r>
      <w:r>
        <w:t>管理</w:t>
      </w:r>
      <w:bookmarkEnd w:id="1035"/>
      <w:bookmarkEnd w:id="1036"/>
    </w:p>
    <w:p>
      <w:r>
        <w:rPr>
          <w:rFonts w:hint="eastAsia"/>
        </w:rPr>
        <w:t>要求对访问平台的相关用户管理，包括对应的机构</w:t>
      </w:r>
      <w:r>
        <w:t>、</w:t>
      </w:r>
      <w:r>
        <w:rPr>
          <w:rFonts w:hint="eastAsia"/>
        </w:rPr>
        <w:t>角色管理。主要</w:t>
      </w:r>
      <w:r>
        <w:t>对接入平台的相关用户进行有效管理</w:t>
      </w:r>
      <w:r>
        <w:rPr>
          <w:rFonts w:hint="eastAsia"/>
        </w:rPr>
        <w:t>。用户按照</w:t>
      </w:r>
      <w:r>
        <w:t>不同的岗位角色进行划分，并结合</w:t>
      </w:r>
      <w:r>
        <w:rPr>
          <w:rFonts w:hint="eastAsia"/>
        </w:rPr>
        <w:t>机构</w:t>
      </w:r>
      <w:r>
        <w:t>进行管理，</w:t>
      </w:r>
      <w:r>
        <w:rPr>
          <w:rFonts w:hint="eastAsia"/>
        </w:rPr>
        <w:t>直观</w:t>
      </w:r>
      <w:r>
        <w:t>有效的进行用户管理</w:t>
      </w:r>
      <w:r>
        <w:rPr>
          <w:rFonts w:hint="eastAsia"/>
        </w:rPr>
        <w:t>。包括管理员用户以及</w:t>
      </w:r>
      <w:r>
        <w:t>通过权限配置</w:t>
      </w:r>
      <w:r>
        <w:rPr>
          <w:rFonts w:hint="eastAsia"/>
        </w:rPr>
        <w:t>的</w:t>
      </w:r>
      <w:r>
        <w:t>其他不同层级的用户。</w:t>
      </w:r>
      <w:r>
        <w:rPr>
          <w:rFonts w:hint="eastAsia"/>
        </w:rPr>
        <w:t>管理员用户</w:t>
      </w:r>
      <w:r>
        <w:t>可通过登录</w:t>
      </w:r>
      <w:r>
        <w:rPr>
          <w:rFonts w:hint="eastAsia"/>
        </w:rPr>
        <w:t>名称</w:t>
      </w:r>
      <w:r>
        <w:t>和密码进行</w:t>
      </w:r>
      <w:r>
        <w:rPr>
          <w:rFonts w:hint="eastAsia"/>
        </w:rPr>
        <w:t>系统</w:t>
      </w:r>
      <w:r>
        <w:t>功能</w:t>
      </w:r>
      <w:r>
        <w:rPr>
          <w:rFonts w:hint="eastAsia"/>
        </w:rPr>
        <w:t>和</w:t>
      </w:r>
      <w:r>
        <w:t>数据的操作。</w:t>
      </w:r>
      <w:r>
        <w:rPr>
          <w:rFonts w:hint="eastAsia"/>
        </w:rPr>
        <w:t>一般</w:t>
      </w:r>
      <w:r>
        <w:t>用户根据不同</w:t>
      </w:r>
      <w:r>
        <w:rPr>
          <w:rFonts w:hint="eastAsia"/>
        </w:rPr>
        <w:t>层级</w:t>
      </w:r>
      <w:r>
        <w:t>权限进行访问。</w:t>
      </w:r>
    </w:p>
    <w:p>
      <w:pPr>
        <w:pStyle w:val="10"/>
        <w:ind w:firstLine="562"/>
      </w:pPr>
      <w:bookmarkStart w:id="1037" w:name="_Toc491370568"/>
      <w:bookmarkStart w:id="1038" w:name="_Toc535329162"/>
      <w:r>
        <w:rPr>
          <w:rFonts w:hint="eastAsia"/>
        </w:rPr>
        <w:t>指标</w:t>
      </w:r>
      <w:r>
        <w:t>管理</w:t>
      </w:r>
      <w:bookmarkEnd w:id="1037"/>
      <w:bookmarkEnd w:id="1038"/>
    </w:p>
    <w:p>
      <w:r>
        <w:rPr>
          <w:rFonts w:hint="eastAsia"/>
        </w:rPr>
        <w:t>要求针</w:t>
      </w:r>
      <w:r>
        <w:t>对</w:t>
      </w:r>
      <w:r>
        <w:rPr>
          <w:rFonts w:hint="eastAsia"/>
        </w:rPr>
        <w:t>用户所查阅的相关功能模块，包括实时监测、</w:t>
      </w:r>
      <w:r>
        <w:t>工作量</w:t>
      </w:r>
      <w:r>
        <w:rPr>
          <w:rFonts w:hint="eastAsia"/>
        </w:rPr>
        <w:t>等相关模块的基础框架维护</w:t>
      </w:r>
      <w:r>
        <w:t>。</w:t>
      </w:r>
      <w:r>
        <w:rPr>
          <w:rFonts w:hint="eastAsia"/>
        </w:rPr>
        <w:t>以及对应仪表盘内容在</w:t>
      </w:r>
      <w:r>
        <w:t>后台能够进行有效管理，</w:t>
      </w:r>
      <w:r>
        <w:rPr>
          <w:rFonts w:hint="eastAsia"/>
        </w:rPr>
        <w:t>为系统建立起一个流程化的管理体系。另外，提供与中间件</w:t>
      </w:r>
      <w:r>
        <w:t>FR的融合应用配置等相关模块化管理。</w:t>
      </w:r>
      <w:r>
        <w:rPr>
          <w:rFonts w:hint="eastAsia"/>
        </w:rPr>
        <w:t>除此</w:t>
      </w:r>
      <w:r>
        <w:t>之外，</w:t>
      </w:r>
      <w:r>
        <w:rPr>
          <w:rFonts w:hint="eastAsia"/>
        </w:rPr>
        <w:t>可以针对</w:t>
      </w:r>
      <w:r>
        <w:t>平台所采用的指标算法进行有效维护，并</w:t>
      </w:r>
      <w:r>
        <w:rPr>
          <w:rFonts w:hint="eastAsia"/>
        </w:rPr>
        <w:t>与</w:t>
      </w:r>
      <w:r>
        <w:t>具体指标进行挂钩在前台展示，方便用户对指标</w:t>
      </w:r>
      <w:r>
        <w:rPr>
          <w:rFonts w:hint="eastAsia"/>
        </w:rPr>
        <w:t>计算</w:t>
      </w:r>
      <w:r>
        <w:t>方式的理解</w:t>
      </w:r>
      <w:r>
        <w:rPr>
          <w:rFonts w:hint="eastAsia"/>
        </w:rPr>
        <w:t>。</w:t>
      </w:r>
    </w:p>
    <w:p>
      <w:pPr>
        <w:pStyle w:val="10"/>
        <w:ind w:firstLine="562"/>
      </w:pPr>
      <w:bookmarkStart w:id="1039" w:name="_Toc535329163"/>
      <w:bookmarkStart w:id="1040" w:name="_Toc491370569"/>
      <w:r>
        <w:rPr>
          <w:rFonts w:hint="eastAsia"/>
        </w:rPr>
        <w:t>权限</w:t>
      </w:r>
      <w:r>
        <w:t>管理</w:t>
      </w:r>
      <w:bookmarkEnd w:id="1039"/>
      <w:bookmarkEnd w:id="1040"/>
    </w:p>
    <w:p>
      <w:r>
        <w:rPr>
          <w:rFonts w:hint="eastAsia"/>
        </w:rPr>
        <w:t>平台的权限管理基于软件即服务（</w:t>
      </w:r>
      <w:r>
        <w:t>Software-as-a-Service</w:t>
      </w:r>
      <w:r>
        <w:rPr>
          <w:rFonts w:hint="eastAsia"/>
        </w:rPr>
        <w:t>，</w:t>
      </w:r>
      <w:r>
        <w:t>SaaS</w:t>
      </w:r>
      <w:r>
        <w:rPr>
          <w:rFonts w:hint="eastAsia"/>
        </w:rPr>
        <w:t>）的权限管理模式来设计。</w:t>
      </w:r>
      <w:r>
        <w:t>SaaS</w:t>
      </w:r>
      <w:r>
        <w:rPr>
          <w:rFonts w:hint="eastAsia"/>
        </w:rPr>
        <w:t>模式最为突出的特点是，在同一个实例中，不同租户之间的数据逻辑完全隔离，但物理上却统一存储。要求平台权限管理内容包括两部分：功能权限和数据权限。功能权限主要为不同层级的组织（用户）配置功能菜单的方式来实现功能上的控制。数据权限方面，主要</w:t>
      </w:r>
      <w:r>
        <w:t>通过</w:t>
      </w:r>
      <w:r>
        <w:rPr>
          <w:rFonts w:hint="eastAsia"/>
        </w:rPr>
        <w:t>用户</w:t>
      </w:r>
      <w:r>
        <w:t>所</w:t>
      </w:r>
      <w:r>
        <w:rPr>
          <w:rFonts w:hint="eastAsia"/>
        </w:rPr>
        <w:t>管辖</w:t>
      </w:r>
      <w:r>
        <w:t>的范围进行数据的访问权限的控制，例如：</w:t>
      </w:r>
      <w:r>
        <w:rPr>
          <w:rFonts w:hint="eastAsia"/>
        </w:rPr>
        <w:t>院领导以及</w:t>
      </w:r>
      <w:r>
        <w:t>职能管理科室可以看到全院的相关数据</w:t>
      </w:r>
      <w:r>
        <w:rPr>
          <w:rFonts w:hint="eastAsia"/>
        </w:rPr>
        <w:t>，</w:t>
      </w:r>
      <w:r>
        <w:t>但是</w:t>
      </w:r>
      <w:r>
        <w:rPr>
          <w:rFonts w:hint="eastAsia"/>
        </w:rPr>
        <w:t>临床</w:t>
      </w:r>
      <w:r>
        <w:t>科室主任</w:t>
      </w:r>
      <w:r>
        <w:rPr>
          <w:rFonts w:hint="eastAsia"/>
        </w:rPr>
        <w:t>只能</w:t>
      </w:r>
      <w:r>
        <w:t>看到本科室的相关数据内容。做到</w:t>
      </w:r>
      <w:r>
        <w:rPr>
          <w:rFonts w:hint="eastAsia"/>
        </w:rPr>
        <w:t>了</w:t>
      </w:r>
      <w:r>
        <w:t>“</w:t>
      </w:r>
      <w:r>
        <w:rPr>
          <w:rFonts w:hint="eastAsia"/>
        </w:rPr>
        <w:t>统一</w:t>
      </w:r>
      <w:r>
        <w:t>采集，分散应用”</w:t>
      </w:r>
      <w:r>
        <w:rPr>
          <w:rFonts w:hint="eastAsia"/>
        </w:rPr>
        <w:t>的</w:t>
      </w:r>
      <w:r>
        <w:t>数据控制，有效提高了数据的访问安全。</w:t>
      </w:r>
    </w:p>
    <w:p>
      <w:pPr>
        <w:pStyle w:val="10"/>
        <w:ind w:firstLine="562"/>
      </w:pPr>
      <w:bookmarkStart w:id="1041" w:name="_Toc530731194"/>
      <w:r>
        <w:rPr>
          <w:rFonts w:hint="eastAsia"/>
        </w:rPr>
        <w:t>指标</w:t>
      </w:r>
      <w:r>
        <w:t>搜索</w:t>
      </w:r>
      <w:bookmarkEnd w:id="1041"/>
    </w:p>
    <w:p>
      <w:r>
        <w:rPr>
          <w:rFonts w:hint="eastAsia"/>
        </w:rPr>
        <w:t>要求提供平台的指标查询服务，用户可根据所查询的条件筛选指标内容。主要查询的内容包括医疗服务、基本公卫、妇幼保健、人口管理、卫生资源等相关指标查询。同时，用户通过指标搜索，定位到指标所分析内容的关键信息，及时获取平台统计信息，快速查找指标相关内容。</w:t>
      </w:r>
    </w:p>
    <w:p>
      <w:pPr>
        <w:pStyle w:val="10"/>
        <w:ind w:firstLine="562"/>
      </w:pPr>
      <w:bookmarkStart w:id="1042" w:name="_Toc530731195"/>
      <w:r>
        <w:rPr>
          <w:rFonts w:hint="eastAsia"/>
        </w:rPr>
        <w:t>▲指标收藏</w:t>
      </w:r>
      <w:bookmarkEnd w:id="1042"/>
    </w:p>
    <w:p>
      <w:r>
        <w:rPr>
          <w:rFonts w:hint="eastAsia"/>
        </w:rPr>
        <w:t>要求指标</w:t>
      </w:r>
      <w:r>
        <w:t>收藏指针对不同用户所关注的</w:t>
      </w:r>
      <w:r>
        <w:rPr>
          <w:rFonts w:hint="eastAsia"/>
        </w:rPr>
        <w:t>监管指标</w:t>
      </w:r>
      <w:r>
        <w:t>不同，提供不同用户的日常重点指标的收藏夹，</w:t>
      </w:r>
      <w:r>
        <w:rPr>
          <w:rFonts w:hint="eastAsia"/>
        </w:rPr>
        <w:t>用于</w:t>
      </w:r>
      <w:r>
        <w:t>可以快速</w:t>
      </w:r>
      <w:r>
        <w:rPr>
          <w:rFonts w:hint="eastAsia"/>
        </w:rPr>
        <w:t>定位</w:t>
      </w:r>
      <w:r>
        <w:t>日常应用的相关指标内容。</w:t>
      </w:r>
      <w:r>
        <w:rPr>
          <w:rFonts w:hint="eastAsia"/>
        </w:rPr>
        <w:t>方便用户</w:t>
      </w:r>
      <w:r>
        <w:t>有效缩短</w:t>
      </w:r>
      <w:r>
        <w:rPr>
          <w:rFonts w:hint="eastAsia"/>
        </w:rPr>
        <w:t>定位</w:t>
      </w:r>
      <w:r>
        <w:t>指标的时间，提高监管的</w:t>
      </w:r>
      <w:r>
        <w:rPr>
          <w:rFonts w:hint="eastAsia"/>
        </w:rPr>
        <w:t>有效性</w:t>
      </w:r>
      <w:r>
        <w:t>。</w:t>
      </w:r>
      <w:r>
        <w:rPr>
          <w:rFonts w:hint="eastAsia"/>
        </w:rPr>
        <w:t>（需提供系统功能截图）</w:t>
      </w:r>
    </w:p>
    <w:p>
      <w:pPr>
        <w:pStyle w:val="10"/>
        <w:ind w:firstLine="562"/>
      </w:pPr>
      <w:bookmarkStart w:id="1043" w:name="_Toc530731196"/>
      <w:r>
        <w:rPr>
          <w:rFonts w:hint="eastAsia"/>
        </w:rPr>
        <w:t>▲指标</w:t>
      </w:r>
      <w:r>
        <w:t>说明</w:t>
      </w:r>
      <w:bookmarkEnd w:id="1043"/>
    </w:p>
    <w:p>
      <w:r>
        <w:rPr>
          <w:rFonts w:hint="eastAsia"/>
        </w:rPr>
        <w:t>要求在对应的指标模块，有单独的模块进行指标计算来源、计算方式等相关内容的查询。（需提供系统功能截图）</w:t>
      </w:r>
    </w:p>
    <w:p>
      <w:pPr>
        <w:pStyle w:val="9"/>
        <w:ind w:firstLine="562"/>
      </w:pPr>
      <w:bookmarkStart w:id="1044" w:name="_Toc2616"/>
      <w:bookmarkStart w:id="1045" w:name="_Toc530731201"/>
      <w:r>
        <w:rPr>
          <w:rFonts w:hint="eastAsia"/>
        </w:rPr>
        <w:t>医院</w:t>
      </w:r>
      <w:r>
        <w:t>医疗</w:t>
      </w:r>
      <w:r>
        <w:rPr>
          <w:rFonts w:hint="eastAsia"/>
        </w:rPr>
        <w:t>概况</w:t>
      </w:r>
      <w:bookmarkEnd w:id="1044"/>
    </w:p>
    <w:p>
      <w:r>
        <w:rPr>
          <w:rFonts w:hint="eastAsia"/>
          <w:lang w:val="zh-CN"/>
        </w:rPr>
        <w:t>要求医院</w:t>
      </w:r>
      <w:r>
        <w:t>医疗概况以系统决策首页的方式展示，在首页上以地图的方式分析门急诊的病人来源以及住院的病人来源，了解医院的业务辐射范围</w:t>
      </w:r>
      <w:r>
        <w:rPr>
          <w:rFonts w:hint="eastAsia"/>
        </w:rPr>
        <w:t>。</w:t>
      </w:r>
      <w:r>
        <w:t>另外</w:t>
      </w:r>
      <w:r>
        <w:rPr>
          <w:rFonts w:hint="eastAsia"/>
        </w:rPr>
        <w:t>，</w:t>
      </w:r>
      <w:r>
        <w:t>汇聚了重点关注指标内容</w:t>
      </w:r>
      <w:r>
        <w:rPr>
          <w:rFonts w:hint="eastAsia"/>
        </w:rPr>
        <w:t>，</w:t>
      </w:r>
      <w:r>
        <w:t>可以根据不同时间类型的选择快速响应响应指标的查询结果</w:t>
      </w:r>
      <w:r>
        <w:rPr>
          <w:rFonts w:hint="eastAsia"/>
        </w:rPr>
        <w:t>。</w:t>
      </w:r>
      <w:r>
        <w:t>通过首页</w:t>
      </w:r>
      <w:r>
        <w:rPr>
          <w:rFonts w:hint="eastAsia"/>
        </w:rPr>
        <w:t>，</w:t>
      </w:r>
      <w:r>
        <w:t>可以以</w:t>
      </w:r>
      <w:r>
        <w:rPr>
          <w:rFonts w:hint="eastAsia"/>
        </w:rPr>
        <w:t>丰富内容展现医院</w:t>
      </w:r>
      <w:r>
        <w:t>医疗</w:t>
      </w:r>
      <w:r>
        <w:rPr>
          <w:rFonts w:hint="eastAsia"/>
        </w:rPr>
        <w:t>情况，同时用户可直接掌握医院业务开展基本情况，辅助对医疗工作开展和决策制定。</w:t>
      </w:r>
    </w:p>
    <w:p>
      <w:pPr>
        <w:pStyle w:val="9"/>
        <w:ind w:firstLine="562"/>
      </w:pPr>
      <w:bookmarkStart w:id="1046" w:name="_Toc21090"/>
      <w:r>
        <w:rPr>
          <w:rFonts w:hint="eastAsia"/>
        </w:rPr>
        <w:t>实时监测</w:t>
      </w:r>
      <w:bookmarkEnd w:id="1046"/>
    </w:p>
    <w:p>
      <w:r>
        <w:rPr>
          <w:rFonts w:hint="eastAsia"/>
        </w:rPr>
        <w:t>要求该模块</w:t>
      </w:r>
      <w:r>
        <w:t>主要</w:t>
      </w:r>
      <w:r>
        <w:rPr>
          <w:rFonts w:hint="eastAsia"/>
        </w:rPr>
        <w:t>以5分钟/次的刷新频率从</w:t>
      </w:r>
      <w:r>
        <w:t>医院基本运营方向</w:t>
      </w:r>
      <w:r>
        <w:rPr>
          <w:rFonts w:hint="eastAsia"/>
        </w:rPr>
        <w:t>进行在线实时监管</w:t>
      </w:r>
      <w:r>
        <w:t>，</w:t>
      </w:r>
      <w:r>
        <w:rPr>
          <w:rFonts w:hint="eastAsia"/>
        </w:rPr>
        <w:t>并</w:t>
      </w:r>
      <w:r>
        <w:t>可以</w:t>
      </w:r>
      <w:r>
        <w:rPr>
          <w:rFonts w:hint="eastAsia"/>
        </w:rPr>
        <w:t>根据</w:t>
      </w:r>
      <w:r>
        <w:t>不同的指标下钻到科室</w:t>
      </w:r>
      <w:r>
        <w:rPr>
          <w:rFonts w:hint="eastAsia"/>
        </w:rPr>
        <w:t>级别。</w:t>
      </w:r>
      <w:r>
        <w:t>主要包括以下内容</w:t>
      </w:r>
      <w:r>
        <w:rPr>
          <w:rFonts w:hint="eastAsia"/>
        </w:rPr>
        <w:t>:</w:t>
      </w:r>
    </w:p>
    <w:p>
      <w:r>
        <w:rPr>
          <w:rFonts w:hint="eastAsia"/>
        </w:rPr>
        <w:t>▲</w:t>
      </w:r>
      <w:r>
        <w:rPr>
          <w:rFonts w:hint="eastAsia"/>
          <w:b/>
        </w:rPr>
        <w:t>门诊</w:t>
      </w:r>
      <w:r>
        <w:rPr>
          <w:rFonts w:hint="eastAsia"/>
        </w:rPr>
        <w:t>: 包括门急诊</w:t>
      </w:r>
      <w:r>
        <w:t>量、</w:t>
      </w:r>
      <w:r>
        <w:rPr>
          <w:rFonts w:hint="eastAsia"/>
        </w:rPr>
        <w:t>急诊人次</w:t>
      </w:r>
      <w:r>
        <w:t>、</w:t>
      </w:r>
      <w:r>
        <w:rPr>
          <w:rFonts w:hint="eastAsia"/>
        </w:rPr>
        <w:t>门急诊均次费用、门诊预缴金、门诊候诊比例</w:t>
      </w:r>
      <w:r>
        <w:t>、</w:t>
      </w:r>
      <w:r>
        <w:rPr>
          <w:rFonts w:hint="eastAsia"/>
        </w:rPr>
        <w:t>无</w:t>
      </w:r>
      <w:r>
        <w:t>排班就诊</w:t>
      </w:r>
      <w:r>
        <w:rPr>
          <w:rFonts w:hint="eastAsia"/>
        </w:rPr>
        <w:t>人次</w:t>
      </w:r>
      <w:r>
        <w:t>、排班就诊人次、候诊人次、平均候诊时长、医生人数</w:t>
      </w:r>
      <w:r>
        <w:rPr>
          <w:rFonts w:hint="eastAsia"/>
        </w:rPr>
        <w:t>、</w:t>
      </w:r>
      <w:r>
        <w:t>各个诊室</w:t>
      </w:r>
      <w:r>
        <w:rPr>
          <w:rFonts w:hint="eastAsia"/>
        </w:rPr>
        <w:t>医生</w:t>
      </w:r>
      <w:r>
        <w:t>候诊情况</w:t>
      </w:r>
      <w:r>
        <w:rPr>
          <w:rFonts w:hint="eastAsia"/>
        </w:rPr>
        <w:t>、预约人次</w:t>
      </w:r>
      <w:r>
        <w:t>、预约就诊人次、预约就诊率、</w:t>
      </w:r>
      <w:r>
        <w:rPr>
          <w:rFonts w:hint="eastAsia"/>
        </w:rPr>
        <w:t>各</w:t>
      </w:r>
      <w:r>
        <w:t>预约途径的预约就诊人次</w:t>
      </w:r>
      <w:r>
        <w:rPr>
          <w:rFonts w:hint="eastAsia"/>
        </w:rPr>
        <w:t>、</w:t>
      </w:r>
      <w:r>
        <w:t>各科室</w:t>
      </w:r>
      <w:r>
        <w:rPr>
          <w:rFonts w:hint="eastAsia"/>
        </w:rPr>
        <w:t>预约就诊</w:t>
      </w:r>
      <w:r>
        <w:t>情况</w:t>
      </w:r>
      <w:r>
        <w:rPr>
          <w:rFonts w:hint="eastAsia"/>
        </w:rPr>
        <w:t>、以及</w:t>
      </w:r>
      <w:r>
        <w:t>每小时门诊量情况、</w:t>
      </w:r>
      <w:r>
        <w:rPr>
          <w:rFonts w:hint="eastAsia"/>
        </w:rPr>
        <w:t>当日门诊量</w:t>
      </w:r>
      <w:r>
        <w:t>排行前</w:t>
      </w:r>
      <w:r>
        <w:rPr>
          <w:rFonts w:hint="eastAsia"/>
        </w:rPr>
        <w:t>20的</w:t>
      </w:r>
      <w:r>
        <w:t>疾病；</w:t>
      </w:r>
      <w:r>
        <w:rPr>
          <w:rFonts w:hint="eastAsia"/>
        </w:rPr>
        <w:t>主要</w:t>
      </w:r>
      <w:r>
        <w:t>通过这些指标判定</w:t>
      </w:r>
      <w:r>
        <w:rPr>
          <w:rFonts w:hint="eastAsia"/>
        </w:rPr>
        <w:t>当前急诊</w:t>
      </w:r>
      <w:r>
        <w:t>医患比情况，</w:t>
      </w:r>
      <w:r>
        <w:rPr>
          <w:rFonts w:hint="eastAsia"/>
        </w:rPr>
        <w:t>候诊</w:t>
      </w:r>
      <w:r>
        <w:t>是否出现滞留</w:t>
      </w:r>
      <w:r>
        <w:rPr>
          <w:rFonts w:hint="eastAsia"/>
        </w:rPr>
        <w:t>，</w:t>
      </w:r>
      <w:r>
        <w:t>是否需要增加部分人力投入。</w:t>
      </w:r>
      <w:r>
        <w:rPr>
          <w:rFonts w:hint="eastAsia"/>
        </w:rPr>
        <w:t>（需提供系统功能截图）</w:t>
      </w:r>
    </w:p>
    <w:p>
      <w:r>
        <w:rPr>
          <w:rFonts w:hint="eastAsia"/>
        </w:rPr>
        <w:t>▲</w:t>
      </w:r>
      <w:r>
        <w:rPr>
          <w:rFonts w:hint="eastAsia"/>
          <w:b/>
        </w:rPr>
        <w:t>住院</w:t>
      </w:r>
      <w:r>
        <w:rPr>
          <w:rFonts w:hint="eastAsia"/>
        </w:rPr>
        <w:t>：包括入院人数</w:t>
      </w:r>
      <w:r>
        <w:t>、</w:t>
      </w:r>
      <w:r>
        <w:rPr>
          <w:rFonts w:hint="eastAsia"/>
        </w:rPr>
        <w:t>出院人数</w:t>
      </w:r>
      <w:r>
        <w:t>、</w:t>
      </w:r>
      <w:r>
        <w:rPr>
          <w:rFonts w:hint="eastAsia"/>
        </w:rPr>
        <w:t>现有病人数</w:t>
      </w:r>
      <w:r>
        <w:t>、</w:t>
      </w:r>
      <w:r>
        <w:rPr>
          <w:rFonts w:hint="eastAsia"/>
        </w:rPr>
        <w:t>危重病人数</w:t>
      </w:r>
      <w:r>
        <w:t>、</w:t>
      </w:r>
      <w:r>
        <w:rPr>
          <w:rFonts w:hint="eastAsia"/>
        </w:rPr>
        <w:t>住院预缴金</w:t>
      </w:r>
      <w:r>
        <w:t>、</w:t>
      </w:r>
      <w:r>
        <w:rPr>
          <w:rFonts w:hint="eastAsia"/>
        </w:rPr>
        <w:t>出院患者均次费用、普通住院、急诊住院；主要</w:t>
      </w:r>
      <w:r>
        <w:t>通过这些指标判定</w:t>
      </w:r>
      <w:r>
        <w:rPr>
          <w:rFonts w:hint="eastAsia"/>
        </w:rPr>
        <w:t>目前是否还有很多</w:t>
      </w:r>
      <w:r>
        <w:t>患者</w:t>
      </w:r>
      <w:r>
        <w:rPr>
          <w:rFonts w:hint="eastAsia"/>
        </w:rPr>
        <w:t>正</w:t>
      </w:r>
      <w:r>
        <w:t>等待入院</w:t>
      </w:r>
      <w:r>
        <w:rPr>
          <w:rFonts w:hint="eastAsia"/>
        </w:rPr>
        <w:t>，病房</w:t>
      </w:r>
      <w:r>
        <w:t>的使用情况是否紧张，</w:t>
      </w:r>
      <w:r>
        <w:rPr>
          <w:rFonts w:hint="eastAsia"/>
        </w:rPr>
        <w:t>办理出院结算</w:t>
      </w:r>
      <w:r>
        <w:t>的时间是否过长</w:t>
      </w:r>
      <w:r>
        <w:rPr>
          <w:rFonts w:hint="eastAsia"/>
        </w:rPr>
        <w:t>，</w:t>
      </w:r>
      <w:r>
        <w:t>是否需要进行</w:t>
      </w:r>
      <w:r>
        <w:rPr>
          <w:rFonts w:hint="eastAsia"/>
        </w:rPr>
        <w:t>办理</w:t>
      </w:r>
      <w:r>
        <w:t>人员的投入。</w:t>
      </w:r>
      <w:r>
        <w:rPr>
          <w:rFonts w:hint="eastAsia"/>
        </w:rPr>
        <w:t>（需提供系统功能截图）</w:t>
      </w:r>
    </w:p>
    <w:p>
      <w:pPr>
        <w:ind w:firstLine="482"/>
      </w:pPr>
      <w:r>
        <w:rPr>
          <w:rFonts w:hint="eastAsia"/>
          <w:b/>
        </w:rPr>
        <w:t>手术</w:t>
      </w:r>
      <w:r>
        <w:rPr>
          <w:b/>
        </w:rPr>
        <w:t>：</w:t>
      </w:r>
      <w:r>
        <w:rPr>
          <w:rFonts w:hint="eastAsia"/>
        </w:rPr>
        <w:t>包括住院手术排台数</w:t>
      </w:r>
      <w:r>
        <w:t>、</w:t>
      </w:r>
      <w:r>
        <w:rPr>
          <w:rFonts w:hint="eastAsia"/>
        </w:rPr>
        <w:t>完成手术台次</w:t>
      </w:r>
      <w:r>
        <w:t>、</w:t>
      </w:r>
      <w:r>
        <w:rPr>
          <w:rFonts w:hint="eastAsia"/>
        </w:rPr>
        <w:t>术前准备人次、待手术人次，各</w:t>
      </w:r>
      <w:r>
        <w:t>手术间</w:t>
      </w:r>
      <w:r>
        <w:rPr>
          <w:rFonts w:hint="eastAsia"/>
        </w:rPr>
        <w:t>的手术</w:t>
      </w:r>
      <w:r>
        <w:t>情况；主要</w:t>
      </w:r>
      <w:r>
        <w:rPr>
          <w:rFonts w:hint="eastAsia"/>
        </w:rPr>
        <w:t>通过</w:t>
      </w:r>
      <w:r>
        <w:t>这些指标判断手术排台的</w:t>
      </w:r>
      <w:r>
        <w:rPr>
          <w:rFonts w:hint="eastAsia"/>
        </w:rPr>
        <w:t>合理</w:t>
      </w:r>
      <w:r>
        <w:t>情况</w:t>
      </w:r>
      <w:r>
        <w:rPr>
          <w:rFonts w:hint="eastAsia"/>
        </w:rPr>
        <w:t>、手术</w:t>
      </w:r>
      <w:r>
        <w:t>间是否充分利用</w:t>
      </w:r>
      <w:r>
        <w:rPr>
          <w:rFonts w:hint="eastAsia"/>
        </w:rPr>
        <w:t>。</w:t>
      </w:r>
    </w:p>
    <w:p>
      <w:pPr>
        <w:ind w:firstLine="482"/>
      </w:pPr>
      <w:r>
        <w:rPr>
          <w:rFonts w:hint="eastAsia"/>
          <w:b/>
        </w:rPr>
        <w:t>医技</w:t>
      </w:r>
      <w:r>
        <w:rPr>
          <w:b/>
        </w:rPr>
        <w:t>：</w:t>
      </w:r>
      <w:r>
        <w:rPr>
          <w:rFonts w:hint="eastAsia"/>
        </w:rPr>
        <w:t>包括完成检查人次、待检查人次、今日开单人次、完成检验人次、体检检验人次、今日已开单人次、</w:t>
      </w:r>
      <w:r>
        <w:t>各检查项目</w:t>
      </w:r>
      <w:r>
        <w:rPr>
          <w:rFonts w:hint="eastAsia"/>
        </w:rPr>
        <w:t>待检查与</w:t>
      </w:r>
      <w:r>
        <w:t>开</w:t>
      </w:r>
      <w:r>
        <w:rPr>
          <w:rFonts w:hint="eastAsia"/>
        </w:rPr>
        <w:t>单</w:t>
      </w:r>
      <w:r>
        <w:t>情况、</w:t>
      </w:r>
      <w:r>
        <w:rPr>
          <w:rFonts w:hint="eastAsia"/>
        </w:rPr>
        <w:t>各项</w:t>
      </w:r>
      <w:r>
        <w:t>检验项目开</w:t>
      </w:r>
      <w:r>
        <w:rPr>
          <w:rFonts w:hint="eastAsia"/>
        </w:rPr>
        <w:t>单与</w:t>
      </w:r>
      <w:r>
        <w:t>待检验情况</w:t>
      </w:r>
      <w:r>
        <w:rPr>
          <w:rFonts w:hint="eastAsia"/>
        </w:rPr>
        <w:t>；</w:t>
      </w:r>
      <w:r>
        <w:t>主要</w:t>
      </w:r>
      <w:r>
        <w:rPr>
          <w:rFonts w:hint="eastAsia"/>
        </w:rPr>
        <w:t>通过</w:t>
      </w:r>
      <w:r>
        <w:t>这些指标</w:t>
      </w:r>
      <w:r>
        <w:rPr>
          <w:rFonts w:hint="eastAsia"/>
        </w:rPr>
        <w:t>判断</w:t>
      </w:r>
      <w:r>
        <w:t>待检情况，</w:t>
      </w:r>
      <w:r>
        <w:rPr>
          <w:rFonts w:hint="eastAsia"/>
        </w:rPr>
        <w:t>以及</w:t>
      </w:r>
      <w:r>
        <w:t>当日开单</w:t>
      </w:r>
      <w:r>
        <w:rPr>
          <w:rFonts w:hint="eastAsia"/>
        </w:rPr>
        <w:t>工作量</w:t>
      </w:r>
      <w:r>
        <w:t>。</w:t>
      </w:r>
    </w:p>
    <w:p>
      <w:pPr>
        <w:pStyle w:val="9"/>
        <w:ind w:firstLine="562"/>
      </w:pPr>
      <w:bookmarkStart w:id="1047" w:name="_Toc24457"/>
      <w:r>
        <w:t>工作量分析</w:t>
      </w:r>
      <w:bookmarkEnd w:id="1047"/>
    </w:p>
    <w:p>
      <w:pPr>
        <w:pStyle w:val="10"/>
        <w:ind w:firstLine="562"/>
      </w:pPr>
      <w:r>
        <w:t>门诊</w:t>
      </w:r>
    </w:p>
    <w:p>
      <w:r>
        <w:rPr>
          <w:rFonts w:hint="eastAsia"/>
        </w:rPr>
        <w:t>（</w:t>
      </w:r>
      <w:r>
        <w:t>1）门急诊人次分析</w:t>
      </w:r>
    </w:p>
    <w:p>
      <w:r>
        <w:rPr>
          <w:rFonts w:hint="eastAsia"/>
        </w:rPr>
        <w:t>要求分别以柱状图、饼图、曲线图方式展示全院总门急诊人次、科室门急诊量排行以及相关的挂号类型和对应趋势内容</w:t>
      </w:r>
      <w:r>
        <w:t>,并实现关键指标从全院到科室再到医生的层级下钻分析。</w:t>
      </w:r>
    </w:p>
    <w:p>
      <w:r>
        <w:rPr>
          <w:rFonts w:hint="eastAsia"/>
        </w:rPr>
        <w:t>（</w:t>
      </w:r>
      <w:r>
        <w:t>2）门急诊诊断排行分析</w:t>
      </w:r>
    </w:p>
    <w:p>
      <w:r>
        <w:rPr>
          <w:rFonts w:hint="eastAsia"/>
        </w:rPr>
        <w:t>要求通过趋势图、柱形图、表格方式，通过联动分析，分析门急诊诊断的排行，了解不同诊断的趋势情况，并通过同环比分析，掌握前二诊断的变化情况。同时可以选择不同的科室分析诊断的排行情况，方便对医院各科室对收诊患者的病种管理。</w:t>
      </w:r>
    </w:p>
    <w:p>
      <w:r>
        <w:rPr>
          <w:rFonts w:hint="eastAsia"/>
        </w:rPr>
        <w:t>（</w:t>
      </w:r>
      <w:r>
        <w:t>3）门急诊挂号类型分析</w:t>
      </w:r>
    </w:p>
    <w:p>
      <w:r>
        <w:rPr>
          <w:rFonts w:hint="eastAsia"/>
        </w:rPr>
        <w:t>要求分别以柱状图、曲线图方式展示全院门急诊人次相关的挂号类型情况</w:t>
      </w:r>
      <w:r>
        <w:t>,并能够查看不同挂号类型的趋势。另外，可以选择不同的科室进行挂号类型的分析。实现关键指标从全院到科室的层级下钻分析。</w:t>
      </w:r>
    </w:p>
    <w:p>
      <w:r>
        <w:rPr>
          <w:rFonts w:hint="eastAsia"/>
        </w:rPr>
        <w:t>（</w:t>
      </w:r>
      <w:r>
        <w:t>4）门急诊医保自费分析</w:t>
      </w:r>
    </w:p>
    <w:p>
      <w:r>
        <w:rPr>
          <w:rFonts w:hint="eastAsia"/>
        </w:rPr>
        <w:t>要求分别以仪表盘、曲线图方式展示全院门急诊医保人次、非医保人次及非医保病人占比情况</w:t>
      </w:r>
      <w:r>
        <w:t>,可以选择不同的科室进行医保自费的分析。实现关键指标从全院到科室再到医生的层级下钻分析。</w:t>
      </w:r>
    </w:p>
    <w:p>
      <w:r>
        <w:rPr>
          <w:rFonts w:hint="eastAsia"/>
        </w:rPr>
        <w:t>（</w:t>
      </w:r>
      <w:r>
        <w:t>5）门急诊病人组成分析</w:t>
      </w:r>
    </w:p>
    <w:p>
      <w:r>
        <w:rPr>
          <w:rFonts w:hint="eastAsia"/>
        </w:rPr>
        <w:t>要求分别以柱状图、饼图、趋势图、曲线图、联动方式展示病人的来源情况。可以根据不同的地域、性别、年龄段、挂号类型、保险类型的不同的角度分析病来的来源情况。有效了解医院的主要病人情况，且了解来院就诊的人群的疾病排行的内容。（需提供系统功能截图）</w:t>
      </w:r>
    </w:p>
    <w:p>
      <w:pPr>
        <w:pStyle w:val="10"/>
        <w:ind w:firstLine="562"/>
      </w:pPr>
      <w:r>
        <w:t>住院</w:t>
      </w:r>
    </w:p>
    <w:p>
      <w:r>
        <w:rPr>
          <w:rFonts w:hint="eastAsia"/>
        </w:rPr>
        <w:t>（</w:t>
      </w:r>
      <w:r>
        <w:t>1）出院人次数分析</w:t>
      </w:r>
    </w:p>
    <w:p>
      <w:r>
        <w:rPr>
          <w:rFonts w:hint="eastAsia"/>
        </w:rPr>
        <w:t>要求分别以柱状图、饼图、曲线图方式展示全院总出院人次、科室出院人次排行以及相关的费用类型和对应趋势内容</w:t>
      </w:r>
      <w:r>
        <w:t>,并实现关键指标从全院到科室再到医生的层级下钻分析。</w:t>
      </w:r>
    </w:p>
    <w:p>
      <w:r>
        <w:rPr>
          <w:rFonts w:hint="eastAsia"/>
        </w:rPr>
        <w:t>（</w:t>
      </w:r>
      <w:r>
        <w:t>2）入院人次数分析</w:t>
      </w:r>
    </w:p>
    <w:p>
      <w:r>
        <w:rPr>
          <w:rFonts w:hint="eastAsia"/>
        </w:rPr>
        <w:t>要求分别以柱状图、饼图、曲线图方式展示全院总入院人次、科室入院人次排行以及相关的费用类型和对应趋势内容</w:t>
      </w:r>
      <w:r>
        <w:t>,并实现关键指标从全院到科室再到医生的层级下钻分析。</w:t>
      </w:r>
    </w:p>
    <w:p>
      <w:r>
        <w:rPr>
          <w:rFonts w:hint="eastAsia"/>
        </w:rPr>
        <w:t>（</w:t>
      </w:r>
      <w:r>
        <w:t>3）出院诊断排行分析</w:t>
      </w:r>
    </w:p>
    <w:p>
      <w:r>
        <w:rPr>
          <w:rFonts w:hint="eastAsia"/>
        </w:rPr>
        <w:t>要求通过趋势图、柱形图、表格方式，通过联动分析，分析出院诊断的排行，了解出院诊断的趋势情况，并通过同环比分析，掌握前二诊断的变化情况。</w:t>
      </w:r>
    </w:p>
    <w:p>
      <w:r>
        <w:rPr>
          <w:rFonts w:hint="eastAsia"/>
        </w:rPr>
        <w:t>（</w:t>
      </w:r>
      <w:r>
        <w:t>4）</w:t>
      </w:r>
      <w:r>
        <w:rPr>
          <w:rFonts w:hint="eastAsia"/>
        </w:rPr>
        <w:t>▲</w:t>
      </w:r>
      <w:r>
        <w:t>自动出院率分析</w:t>
      </w:r>
    </w:p>
    <w:p>
      <w:r>
        <w:rPr>
          <w:rFonts w:hint="eastAsia"/>
        </w:rPr>
        <w:t>要求通过饼图、条形图、趋势展示方式分析医院自动出院率，及出院人次的疾病转归情况，并实现指标从全院到科室再到医生的层级下钻分析。（需提供系统功能截图）</w:t>
      </w:r>
    </w:p>
    <w:p>
      <w:r>
        <w:rPr>
          <w:rFonts w:hint="eastAsia"/>
        </w:rPr>
        <w:t>（</w:t>
      </w:r>
      <w:r>
        <w:t>5）病种出院人次分析</w:t>
      </w:r>
    </w:p>
    <w:p>
      <w:r>
        <w:rPr>
          <w:rFonts w:hint="eastAsia"/>
        </w:rPr>
        <w:t>要求以病种出发，通过表格、饼图、柱状图、趋势可视化方式分析医院各病种的出院情况、疾病转归情况；并实现指标从全院到科室的层级下钻分析。同时可以选择不同的科室分析诊断的排行情况，方便对医院各科室对收诊患者的病种管理。</w:t>
      </w:r>
    </w:p>
    <w:p>
      <w:pPr>
        <w:pStyle w:val="9"/>
        <w:ind w:firstLine="562"/>
      </w:pPr>
      <w:bookmarkStart w:id="1048" w:name="_Toc18001"/>
      <w:r>
        <w:t>卫生经济分析</w:t>
      </w:r>
      <w:bookmarkEnd w:id="1048"/>
    </w:p>
    <w:p>
      <w:pPr>
        <w:pStyle w:val="10"/>
        <w:ind w:firstLine="562"/>
      </w:pPr>
      <w:r>
        <w:t>医疗收入</w:t>
      </w:r>
    </w:p>
    <w:p>
      <w:r>
        <w:rPr>
          <w:rFonts w:hint="eastAsia"/>
        </w:rPr>
        <w:t>（</w:t>
      </w:r>
      <w:r>
        <w:t>1）医疗收入增长率分析</w:t>
      </w:r>
    </w:p>
    <w:p>
      <w:r>
        <w:rPr>
          <w:rFonts w:hint="eastAsia"/>
        </w:rPr>
        <w:t>要求分别以饼图、曲线图方式对医疗收入增长率的趋势、目标达成情况、科室排行及医疗收入构成进行分析</w:t>
      </w:r>
      <w:r>
        <w:t>,了解全院医疗收入情况，并实现关键指标从全院到科室的层级下钻分析。另外，提供了医疗收入增长率的自助分析功能，主要从医疗收入占比出发，用户可以自行通过时间维度、收入构成、医院片区、业务领域维度自定义组合查询各科室医疗收入构成（药品、材料、检查、检验、医疗服务）占比情况。</w:t>
      </w:r>
    </w:p>
    <w:p>
      <w:r>
        <w:rPr>
          <w:rFonts w:hint="eastAsia"/>
        </w:rPr>
        <w:t>（</w:t>
      </w:r>
      <w:r>
        <w:t>2）</w:t>
      </w:r>
      <w:r>
        <w:rPr>
          <w:rFonts w:hint="eastAsia"/>
        </w:rPr>
        <w:t>▲</w:t>
      </w:r>
      <w:r>
        <w:t>医疗收入结构分析</w:t>
      </w:r>
    </w:p>
    <w:p>
      <w:r>
        <w:rPr>
          <w:rFonts w:hint="eastAsia"/>
        </w:rPr>
        <w:t>要求主要从医疗收入结构出发（药品收入、医疗服务性收入、卫生材料收入、检查检验收入、体检收入），通过收入占比趋势联动分析、同期增减情况、下钻科室明细，帮助医院管理者清晰的掌握医院当前收入结构达成情况，实现医院战略规划跟进和提前调控的作用。另外，提供了医疗收入占比的自助分析功能，主要从医疗收入占比出发，用户可自行通过时间维度、收入构成、医院片区、科室维度自定义组合查询各科室医疗收入组成（药品、材料、检查、检验、医疗服务）占比情况。（需提供系统功能截图）</w:t>
      </w:r>
    </w:p>
    <w:p>
      <w:r>
        <w:rPr>
          <w:rFonts w:hint="eastAsia"/>
        </w:rPr>
        <w:t>（</w:t>
      </w:r>
      <w:r>
        <w:t>3）医疗总收入分析</w:t>
      </w:r>
    </w:p>
    <w:p>
      <w:r>
        <w:rPr>
          <w:rFonts w:hint="eastAsia"/>
        </w:rPr>
        <w:t>要求分别以柱状图、饼图、曲线图方式展示医疗总收入指标，查看全院的医疗总收入情况，且能够按照门诊、住院不同费用类别进行分析；并实现关键指标从全院到科室再到医生的层级下钻分析。</w:t>
      </w:r>
    </w:p>
    <w:p>
      <w:r>
        <w:rPr>
          <w:rFonts w:hint="eastAsia"/>
        </w:rPr>
        <w:t>（</w:t>
      </w:r>
      <w:r>
        <w:t>4）门诊收入分析</w:t>
      </w:r>
    </w:p>
    <w:p>
      <w:r>
        <w:rPr>
          <w:rFonts w:hint="eastAsia"/>
        </w:rPr>
        <w:t>要求分别以柱状图、饼图、曲线图方式分析门诊收入指标，查看门诊收入情况，且能够按照不同费用类别进行分析。并实现关键指标从全院到科室再到医生的层级下钻分析。</w:t>
      </w:r>
    </w:p>
    <w:p>
      <w:r>
        <w:rPr>
          <w:rFonts w:hint="eastAsia"/>
        </w:rPr>
        <w:t>（</w:t>
      </w:r>
      <w:r>
        <w:t>5）住院收入分析</w:t>
      </w:r>
    </w:p>
    <w:p>
      <w:r>
        <w:rPr>
          <w:rFonts w:hint="eastAsia"/>
        </w:rPr>
        <w:t>要求分别以柱状图、饼图、曲线图方式展示住院收入指标，查看住院收入情况，且能够按照不同费用类比进行分析，并实现关键指标从全院到科室再到医生的层级下钻分析。</w:t>
      </w:r>
    </w:p>
    <w:p>
      <w:r>
        <w:rPr>
          <w:rFonts w:hint="eastAsia"/>
        </w:rPr>
        <w:t>（</w:t>
      </w:r>
      <w:r>
        <w:t>6）床日收入分析</w:t>
      </w:r>
    </w:p>
    <w:p>
      <w:r>
        <w:rPr>
          <w:rFonts w:hint="eastAsia"/>
        </w:rPr>
        <w:t>要求分别以条形图、趋势图方式分析床日收入的科室排行、趋势和同期对比情况，并可以支持指标从全院到科室的层级下钻分析。</w:t>
      </w:r>
    </w:p>
    <w:p>
      <w:r>
        <w:rPr>
          <w:rFonts w:hint="eastAsia"/>
        </w:rPr>
        <w:t>（</w:t>
      </w:r>
      <w:r>
        <w:t>7）药品卫生材料占比分析</w:t>
      </w:r>
    </w:p>
    <w:p>
      <w:r>
        <w:rPr>
          <w:rFonts w:hint="eastAsia"/>
        </w:rPr>
        <w:t>要求分别以柱状图、饼图、曲线图方式展示药品与卫生材料占比，分析药品与卫生材料占比的同环比、趋势情况，并实现指标从全院到科室层级下钻分析。（需提供系统功能截图）</w:t>
      </w:r>
    </w:p>
    <w:p>
      <w:r>
        <w:rPr>
          <w:rFonts w:hint="eastAsia"/>
        </w:rPr>
        <w:t>（</w:t>
      </w:r>
      <w:r>
        <w:t>8）检查检验占比分析</w:t>
      </w:r>
    </w:p>
    <w:p>
      <w:r>
        <w:rPr>
          <w:rFonts w:hint="eastAsia"/>
        </w:rPr>
        <w:t>要求分别以柱状图、饼图、曲线图方式展示检查检验占比，分析检查检验占比的同环比、趋势情况，并实现指标从全院到科室再到医生的层级下钻分析。</w:t>
      </w:r>
    </w:p>
    <w:p>
      <w:pPr>
        <w:pStyle w:val="10"/>
        <w:ind w:firstLine="562"/>
      </w:pPr>
      <w:r>
        <w:t>工作效率</w:t>
      </w:r>
    </w:p>
    <w:p>
      <w:r>
        <w:rPr>
          <w:rFonts w:hint="eastAsia"/>
        </w:rPr>
        <w:t>（</w:t>
      </w:r>
      <w:r>
        <w:t>1）平均住院天数分析</w:t>
      </w:r>
    </w:p>
    <w:p>
      <w:r>
        <w:rPr>
          <w:rFonts w:hint="eastAsia"/>
        </w:rPr>
        <w:t>要求分别以柱状图、饼图、曲线图方式展示全院的平均住院天数。并能够提供下钻到不同科室、医疗小组或医生的平均住院天数，加强对院级优先级指标的管理。另外，能够进行下钻各科室发现各科室的病种的平均住院日排行以及各科室的出院患者的诊断排行。为后续平均住院日的管理提供方便。</w:t>
      </w:r>
    </w:p>
    <w:p>
      <w:r>
        <w:rPr>
          <w:rFonts w:hint="eastAsia"/>
        </w:rPr>
        <w:t>（</w:t>
      </w:r>
      <w:r>
        <w:t>2）病床使用率分析</w:t>
      </w:r>
    </w:p>
    <w:p>
      <w:r>
        <w:rPr>
          <w:rFonts w:hint="eastAsia"/>
        </w:rPr>
        <w:t>要求主要以柱状图、曲线图方式展示全院的床位使用情况，通过实际开放床位数、实际占用总床日数相关指标分析。对全院以及科室的床位使用情况进行深入分析对比，发现床位设置较为不合理的情况，并辅助进行改正。</w:t>
      </w:r>
    </w:p>
    <w:p>
      <w:r>
        <w:rPr>
          <w:rFonts w:hint="eastAsia"/>
        </w:rPr>
        <w:t>（</w:t>
      </w:r>
      <w:r>
        <w:t>3）日间手术率分析</w:t>
      </w:r>
    </w:p>
    <w:p>
      <w:r>
        <w:rPr>
          <w:rFonts w:hint="eastAsia"/>
        </w:rPr>
        <w:t>要求分别以柱状图、饼图、曲线图方式展示全院日间手术率、日间手术率的趋势情况以及全院日间手术率科室排行前</w:t>
      </w:r>
      <w:r>
        <w:t>5的TOP分析,并实现关键指标从全院到科室再到医生的层级下钻分析。</w:t>
      </w:r>
    </w:p>
    <w:p>
      <w:r>
        <w:rPr>
          <w:rFonts w:hint="eastAsia"/>
        </w:rPr>
        <w:t>（</w:t>
      </w:r>
      <w:r>
        <w:t>4）平均每医生门诊人次分析</w:t>
      </w:r>
    </w:p>
    <w:p>
      <w:r>
        <w:rPr>
          <w:rFonts w:hint="eastAsia"/>
        </w:rPr>
        <w:t>要求分别以条形图、趋势图展示方式分析每医生门诊人次同期对比、趋势、科室排行分析医院医生门诊工作情况，并支持指标从全院到科室层级下钻分析。（需提供系统功能截图）</w:t>
      </w:r>
    </w:p>
    <w:p>
      <w:r>
        <w:rPr>
          <w:rFonts w:hint="eastAsia"/>
        </w:rPr>
        <w:t>（</w:t>
      </w:r>
      <w:r>
        <w:t>5）平均每医生出院人次分析</w:t>
      </w:r>
    </w:p>
    <w:p>
      <w:r>
        <w:rPr>
          <w:rFonts w:hint="eastAsia"/>
        </w:rPr>
        <w:t>要求分别以条形图、趋势图展示方式分析每医生出院人次同期对比、趋势以及科室排行分析医院住院负荷释放情况，并支持指标从全院到科室层级下钻分析。（需提供系统功能截图）</w:t>
      </w:r>
    </w:p>
    <w:p>
      <w:pPr>
        <w:pStyle w:val="10"/>
        <w:ind w:firstLine="562"/>
      </w:pPr>
      <w:r>
        <w:t>次均费用</w:t>
      </w:r>
    </w:p>
    <w:p>
      <w:r>
        <w:rPr>
          <w:rFonts w:hint="eastAsia"/>
        </w:rPr>
        <w:t>（</w:t>
      </w:r>
      <w:r>
        <w:t>1）人次均门急诊费用分析</w:t>
      </w:r>
    </w:p>
    <w:p>
      <w:r>
        <w:rPr>
          <w:rFonts w:hint="eastAsia"/>
        </w:rPr>
        <w:t>要求分别以柱状图、饼图、曲线图方式展示每门急诊人次费用，了解患者的门急诊费用负担水平。并实现关键指标从全院到科室再到医生的层级下钻分析。</w:t>
      </w:r>
    </w:p>
    <w:p>
      <w:r>
        <w:rPr>
          <w:rFonts w:hint="eastAsia"/>
        </w:rPr>
        <w:t>（</w:t>
      </w:r>
      <w:r>
        <w:t>2）人次均住院费用分析</w:t>
      </w:r>
    </w:p>
    <w:p>
      <w:r>
        <w:rPr>
          <w:rFonts w:hint="eastAsia"/>
        </w:rPr>
        <w:t>要求以柱状图、饼图、曲线图方式展示住院人均费用，了解患者的住院费用负担水平。并实现关键指标从全院到科室再到医生的层级下钻分析。</w:t>
      </w:r>
    </w:p>
    <w:p>
      <w:r>
        <w:rPr>
          <w:rFonts w:hint="eastAsia"/>
        </w:rPr>
        <w:t>（</w:t>
      </w:r>
      <w:r>
        <w:t>3）住院患者次均药费分析</w:t>
      </w:r>
    </w:p>
    <w:p>
      <w:r>
        <w:rPr>
          <w:rFonts w:hint="eastAsia"/>
        </w:rPr>
        <w:t>要求以柱状图、曲线图方式展示住院次均费用，了解患者的住院药品费用负担水平。</w:t>
      </w:r>
    </w:p>
    <w:p>
      <w:r>
        <w:rPr>
          <w:rFonts w:hint="eastAsia"/>
        </w:rPr>
        <w:t>（</w:t>
      </w:r>
      <w:r>
        <w:t>4）门急诊患者次均药费分析</w:t>
      </w:r>
    </w:p>
    <w:p>
      <w:r>
        <w:rPr>
          <w:rFonts w:hint="eastAsia"/>
        </w:rPr>
        <w:t>要求以柱状图、曲线图方式展示门急诊次均费用，了解患者的门急诊药品费用负担水平。</w:t>
      </w:r>
    </w:p>
    <w:p>
      <w:pPr>
        <w:pStyle w:val="9"/>
        <w:ind w:firstLine="562"/>
      </w:pPr>
      <w:bookmarkStart w:id="1049" w:name="_Toc27056"/>
      <w:bookmarkStart w:id="1050" w:name="_Toc535329165"/>
      <w:r>
        <w:t>药品分析</w:t>
      </w:r>
      <w:bookmarkEnd w:id="1049"/>
    </w:p>
    <w:p>
      <w:pPr>
        <w:pStyle w:val="10"/>
        <w:ind w:firstLine="562"/>
      </w:pPr>
      <w:r>
        <w:t>药占比分析</w:t>
      </w:r>
    </w:p>
    <w:p>
      <w:r>
        <w:rPr>
          <w:rFonts w:hint="eastAsia"/>
        </w:rPr>
        <w:t>（</w:t>
      </w:r>
      <w:r>
        <w:t>1）全院药占比分析</w:t>
      </w:r>
    </w:p>
    <w:p>
      <w:r>
        <w:rPr>
          <w:rFonts w:hint="eastAsia"/>
        </w:rPr>
        <w:t>要求分别以柱状图、饼图、曲线图方式展示药占比，分析药占比的同环比、趋势情况、预警情况，并实现指标从全院到科室再到医生的层级下钻分析。</w:t>
      </w:r>
    </w:p>
    <w:p>
      <w:r>
        <w:rPr>
          <w:rFonts w:hint="eastAsia"/>
        </w:rPr>
        <w:t>（</w:t>
      </w:r>
      <w:r>
        <w:t>2）基药使用占比分析</w:t>
      </w:r>
    </w:p>
    <w:p>
      <w:r>
        <w:rPr>
          <w:rFonts w:hint="eastAsia"/>
        </w:rPr>
        <w:t>要求通过分析基本药物使用比例、使用科室排行及使用趋势方式，可查看全院基药占比情况亦可查阅门诊、住院分别的基药使用情况。全面展示医院在用药方面的合理性，并且可以下钻的方式，分析科室用药、医生用药的合理性</w:t>
      </w:r>
    </w:p>
    <w:p>
      <w:r>
        <w:rPr>
          <w:rFonts w:hint="eastAsia"/>
        </w:rPr>
        <w:t>（</w:t>
      </w:r>
      <w:r>
        <w:t>3）</w:t>
      </w:r>
      <w:r>
        <w:rPr>
          <w:rFonts w:hint="eastAsia"/>
        </w:rPr>
        <w:t>▲</w:t>
      </w:r>
      <w:r>
        <w:t>住院抗菌药费用占药费比例分析</w:t>
      </w:r>
    </w:p>
    <w:p>
      <w:r>
        <w:rPr>
          <w:rFonts w:hint="eastAsia"/>
        </w:rPr>
        <w:t>要求主要通过分析住院抗菌药费用占药费比例的本期同期对比、趋势变化、科室、医生排行来了解医院住院抗菌药的使用情况、及时发现不合理用药现象采取措施解决，并支持从全院到科室再到医生的层级下钻分析。（需提供系统功能截图）</w:t>
      </w:r>
    </w:p>
    <w:p>
      <w:r>
        <w:rPr>
          <w:rFonts w:hint="eastAsia"/>
        </w:rPr>
        <w:t>（</w:t>
      </w:r>
      <w:r>
        <w:t>4）门急诊抗菌药费用占药费比例分析</w:t>
      </w:r>
    </w:p>
    <w:p>
      <w:r>
        <w:rPr>
          <w:rFonts w:hint="eastAsia"/>
        </w:rPr>
        <w:t>要求主要通过分析门急诊抗菌药费用占药费比例的本期同期对比、趋势变化、科室、医生排行来了解医院门急诊抗菌药的使用情况、及时发现不合理用药现象采取措施解决，并支持从全院到科室再到医生的层级下钻分析。</w:t>
      </w:r>
    </w:p>
    <w:bookmarkEnd w:id="1050"/>
    <w:p>
      <w:pPr>
        <w:pStyle w:val="9"/>
        <w:ind w:firstLine="562"/>
      </w:pPr>
      <w:bookmarkStart w:id="1051" w:name="_Toc12575"/>
      <w:r>
        <w:t>医疗质量/安全分析</w:t>
      </w:r>
      <w:bookmarkEnd w:id="1051"/>
    </w:p>
    <w:p>
      <w:pPr>
        <w:pStyle w:val="10"/>
        <w:ind w:firstLine="562"/>
      </w:pPr>
      <w:r>
        <w:t>诊断符合分析</w:t>
      </w:r>
    </w:p>
    <w:p>
      <w:r>
        <w:rPr>
          <w:rFonts w:hint="eastAsia"/>
        </w:rPr>
        <w:t>要求以柱形图、曲线图方式，分析门诊出院诊断符合率、出入院诊断符合率、手术冰冻与石蜡诊断符合率、术前术后诊断符合率指标，并实现从全院到科室再到医生的层级下钻分析，整体了解诊断符合情况。</w:t>
      </w:r>
    </w:p>
    <w:p>
      <w:pPr>
        <w:pStyle w:val="10"/>
        <w:ind w:firstLine="562"/>
        <w:rPr>
          <w:rFonts w:ascii="Calibri" w:hAnsi="Calibri"/>
        </w:rPr>
      </w:pPr>
      <w:bookmarkStart w:id="1052" w:name="_Toc15651467"/>
      <w:r>
        <w:rPr>
          <w:rFonts w:hint="eastAsia"/>
        </w:rPr>
        <w:t>▲重返类分析</w:t>
      </w:r>
      <w:bookmarkEnd w:id="1052"/>
    </w:p>
    <w:p>
      <w:r>
        <w:rPr>
          <w:rFonts w:hint="eastAsia"/>
        </w:rPr>
        <w:t>再入院分析：通过对24小时再入院、2-15天再入院、16-31天再入院、2-31天再入院指标的分析，了解下患者的再入院人次和再入院率，并实现关键指标从全院到科室再到医生的层级下钻分析。（需提供系统功能截图）</w:t>
      </w:r>
    </w:p>
    <w:bookmarkEnd w:id="1033"/>
    <w:bookmarkEnd w:id="1034"/>
    <w:bookmarkEnd w:id="1045"/>
    <w:p>
      <w:pPr>
        <w:pStyle w:val="9"/>
        <w:ind w:firstLine="562"/>
      </w:pPr>
      <w:bookmarkStart w:id="1053" w:name="_Toc23579"/>
      <w:r>
        <w:rPr>
          <w:rFonts w:hint="eastAsia"/>
        </w:rPr>
        <w:t>报表工具</w:t>
      </w:r>
      <w:bookmarkEnd w:id="1053"/>
    </w:p>
    <w:p>
      <w:r>
        <w:rPr>
          <w:rFonts w:hint="eastAsia"/>
        </w:rPr>
        <w:t>报表工具要求在指标数据的实时、自动抓取、清洗、挖掘并对数据进行预处理后，提供数据钻取和报表的灵活展现功能，为医院决策支持系统提供分析、决策、预测的数据支撑。</w:t>
      </w:r>
    </w:p>
    <w:p>
      <w:r>
        <w:rPr>
          <w:rFonts w:hint="eastAsia"/>
        </w:rPr>
        <w:t>采用的</w:t>
      </w:r>
      <w:r>
        <w:t>BI中间件需由纯java语言类Excel开发的一款报表软件，开发界面友好，集数据展示（报表）和数据录入(填报)功能于一身，开发效率快，操作简单易用。</w:t>
      </w:r>
    </w:p>
    <w:p>
      <w:pPr>
        <w:pStyle w:val="7"/>
        <w:ind w:firstLine="602"/>
      </w:pPr>
      <w:bookmarkStart w:id="1054" w:name="_Toc21882"/>
      <w:r>
        <w:rPr>
          <w:rFonts w:hint="eastAsia"/>
        </w:rPr>
        <w:t>互联互通评审</w:t>
      </w:r>
      <w:bookmarkEnd w:id="1054"/>
    </w:p>
    <w:p>
      <w:pPr>
        <w:pStyle w:val="9"/>
        <w:ind w:firstLine="562"/>
      </w:pPr>
      <w:bookmarkStart w:id="1055" w:name="_Toc27916"/>
      <w:bookmarkStart w:id="1056" w:name="_Toc106964203"/>
      <w:r>
        <w:rPr>
          <w:rFonts w:hint="eastAsia"/>
        </w:rPr>
        <w:t>互联互通四甲测评支持服务</w:t>
      </w:r>
      <w:bookmarkEnd w:id="1055"/>
      <w:bookmarkEnd w:id="1056"/>
    </w:p>
    <w:p>
      <w:pPr>
        <w:pStyle w:val="73"/>
      </w:pPr>
      <w:r>
        <w:rPr>
          <w:rFonts w:hint="eastAsia"/>
        </w:rPr>
        <w:t>以《国家医疗健康信息医院信息互联互通标准化成熟度测评方案（</w:t>
      </w:r>
      <w:r>
        <w:t>2020</w:t>
      </w:r>
      <w:r>
        <w:rPr>
          <w:rFonts w:hint="eastAsia"/>
        </w:rPr>
        <w:t>年版）》的相应测评等级要求，作为评审目标进行项目自评，然后根据自评结果与测评等级要求的差异项进行项目建设完善工作，再进行项目文审实证材料准备和报审的相关工作，报审通过后进行实验室定量测评和专家组现场查验工作，在此期间医院各部门及各系统承建商应积极配合相关工作。</w:t>
      </w:r>
    </w:p>
    <w:p>
      <w:pPr>
        <w:pStyle w:val="10"/>
        <w:ind w:firstLine="562"/>
      </w:pPr>
      <w:bookmarkStart w:id="1057" w:name="_Toc39846866"/>
      <w:bookmarkStart w:id="1058" w:name="_Toc39913928"/>
      <w:bookmarkStart w:id="1059" w:name="_Toc27042069"/>
      <w:bookmarkStart w:id="1060" w:name="_Toc16638"/>
      <w:r>
        <w:rPr>
          <w:rFonts w:hint="eastAsia"/>
        </w:rPr>
        <w:t>项目差距调研分析评估服务</w:t>
      </w:r>
      <w:bookmarkEnd w:id="1057"/>
      <w:bookmarkEnd w:id="1058"/>
      <w:bookmarkEnd w:id="1059"/>
      <w:bookmarkEnd w:id="1060"/>
    </w:p>
    <w:p>
      <w:pPr>
        <w:pStyle w:val="73"/>
      </w:pPr>
      <w:r>
        <w:rPr>
          <w:rFonts w:hint="eastAsia"/>
        </w:rPr>
        <w:t>在按相关标准进行医院信息集成平台建设之后，遵照《国家医疗健康信息医院信息互联互通标准化成熟度测评方案（</w:t>
      </w:r>
      <w:r>
        <w:t>2020</w:t>
      </w:r>
      <w:r>
        <w:rPr>
          <w:rFonts w:hint="eastAsia"/>
        </w:rPr>
        <w:t>年版）》的要求开展互联互通情况的调研工作。</w:t>
      </w:r>
    </w:p>
    <w:p>
      <w:pPr>
        <w:pStyle w:val="73"/>
      </w:pPr>
      <w:r>
        <w:rPr>
          <w:rFonts w:hint="eastAsia"/>
        </w:rPr>
        <w:t>对医院信息系统功能、交互的业务应用、基础设施情况等与测评标准进行差异化分析，对健康档案数据集和共享文档等进行测试工作。</w:t>
      </w:r>
    </w:p>
    <w:p>
      <w:pPr>
        <w:pStyle w:val="73"/>
      </w:pPr>
      <w:r>
        <w:rPr>
          <w:rFonts w:hint="eastAsia"/>
        </w:rPr>
        <w:t>整理不符合标准的数据，缺漏的功能和缺失的应用明细，指导进行改造。</w:t>
      </w:r>
    </w:p>
    <w:p>
      <w:pPr>
        <w:pStyle w:val="73"/>
      </w:pPr>
      <w:r>
        <w:rPr>
          <w:rFonts w:hint="eastAsia"/>
        </w:rPr>
        <w:t>在整个建设过程中，需要定期进行多次的项目差距调研分析评估，以保证建设\改造工作的完整性。</w:t>
      </w:r>
    </w:p>
    <w:p>
      <w:pPr>
        <w:pStyle w:val="10"/>
        <w:ind w:firstLine="562"/>
      </w:pPr>
      <w:bookmarkStart w:id="1061" w:name="_Toc39913929"/>
      <w:bookmarkStart w:id="1062" w:name="_Toc39846867"/>
      <w:bookmarkStart w:id="1063" w:name="_Toc25810"/>
      <w:bookmarkStart w:id="1064" w:name="_Toc27042070"/>
      <w:r>
        <w:rPr>
          <w:rFonts w:hint="eastAsia"/>
        </w:rPr>
        <w:t>申报材料整理的指导和准备</w:t>
      </w:r>
      <w:bookmarkEnd w:id="1061"/>
      <w:bookmarkEnd w:id="1062"/>
      <w:bookmarkEnd w:id="1063"/>
      <w:bookmarkEnd w:id="1064"/>
    </w:p>
    <w:p>
      <w:pPr>
        <w:pStyle w:val="73"/>
      </w:pPr>
      <w:r>
        <w:rPr>
          <w:rFonts w:hint="eastAsia"/>
        </w:rPr>
        <w:t>指导医院按照附件《医院信息互联互通标准化成熟度测评申请材料》中相关要求准备材料。</w:t>
      </w:r>
    </w:p>
    <w:p>
      <w:pPr>
        <w:pStyle w:val="73"/>
      </w:pPr>
      <w:r>
        <w:rPr>
          <w:rFonts w:hint="eastAsia"/>
        </w:rPr>
        <w:t>实证内容包括：系统截屏、统计数据、方案说明与场景描述。</w:t>
      </w:r>
    </w:p>
    <w:p>
      <w:pPr>
        <w:pStyle w:val="10"/>
        <w:ind w:firstLine="562"/>
      </w:pPr>
      <w:bookmarkStart w:id="1065" w:name="_Toc39846868"/>
      <w:bookmarkStart w:id="1066" w:name="_Toc27042071"/>
      <w:bookmarkStart w:id="1067" w:name="_Toc39913930"/>
      <w:r>
        <w:rPr>
          <w:rFonts w:hint="eastAsia"/>
        </w:rPr>
        <w:t>网上申报支持</w:t>
      </w:r>
      <w:bookmarkEnd w:id="1065"/>
      <w:bookmarkEnd w:id="1066"/>
      <w:bookmarkEnd w:id="1067"/>
    </w:p>
    <w:p>
      <w:pPr>
        <w:pStyle w:val="73"/>
      </w:pPr>
      <w:r>
        <w:rPr>
          <w:rFonts w:hint="eastAsia"/>
        </w:rPr>
        <w:t>指导完成网上申报工作。</w:t>
      </w:r>
    </w:p>
    <w:p>
      <w:pPr>
        <w:pStyle w:val="10"/>
        <w:ind w:firstLine="562"/>
      </w:pPr>
      <w:bookmarkStart w:id="1068" w:name="_Toc16637"/>
      <w:bookmarkStart w:id="1069" w:name="_Toc39913931"/>
      <w:bookmarkStart w:id="1070" w:name="_Toc27042072"/>
      <w:bookmarkStart w:id="1071" w:name="_Toc39846869"/>
      <w:r>
        <w:rPr>
          <w:rFonts w:hint="eastAsia"/>
        </w:rPr>
        <w:t>现场</w:t>
      </w:r>
      <w:r>
        <w:t>标准符合性测</w:t>
      </w:r>
      <w:r>
        <w:rPr>
          <w:rFonts w:hint="eastAsia" w:cs="宋体"/>
        </w:rPr>
        <w:t>试</w:t>
      </w:r>
      <w:r>
        <w:rPr>
          <w:rFonts w:hint="eastAsia"/>
        </w:rPr>
        <w:t>支持</w:t>
      </w:r>
      <w:bookmarkEnd w:id="1068"/>
      <w:bookmarkEnd w:id="1069"/>
      <w:bookmarkEnd w:id="1070"/>
      <w:bookmarkEnd w:id="1071"/>
    </w:p>
    <w:p>
      <w:pPr>
        <w:pStyle w:val="73"/>
      </w:pPr>
      <w:r>
        <w:rPr>
          <w:rFonts w:hint="eastAsia"/>
        </w:rPr>
        <w:t>测试专家工作组到医院现场后，协助医院配合测试专家工作组完成</w:t>
      </w:r>
      <w:r>
        <w:t>标准符合性测</w:t>
      </w:r>
      <w:r>
        <w:rPr>
          <w:rFonts w:hint="eastAsia"/>
        </w:rPr>
        <w:t>试工作。</w:t>
      </w:r>
    </w:p>
    <w:p>
      <w:pPr>
        <w:pStyle w:val="10"/>
        <w:ind w:firstLine="562"/>
      </w:pPr>
      <w:bookmarkStart w:id="1072" w:name="_Toc39846870"/>
      <w:bookmarkStart w:id="1073" w:name="_Toc39913932"/>
      <w:bookmarkStart w:id="1074" w:name="_Toc16915"/>
      <w:bookmarkStart w:id="1075" w:name="_Toc27042073"/>
      <w:r>
        <w:rPr>
          <w:rFonts w:hint="eastAsia"/>
        </w:rPr>
        <w:t>文审答辩支持</w:t>
      </w:r>
      <w:bookmarkEnd w:id="1072"/>
      <w:bookmarkEnd w:id="1073"/>
      <w:bookmarkEnd w:id="1074"/>
      <w:bookmarkEnd w:id="1075"/>
    </w:p>
    <w:p>
      <w:r>
        <w:rPr>
          <w:rFonts w:hint="eastAsia"/>
        </w:rPr>
        <w:t>整理文审所需材料，配合进行文审工作准备证明材料文件；在文审现场提供支持服务。</w:t>
      </w:r>
    </w:p>
    <w:p>
      <w:pPr>
        <w:pStyle w:val="10"/>
        <w:ind w:firstLine="562"/>
      </w:pPr>
      <w:bookmarkStart w:id="1076" w:name="_Toc16318"/>
      <w:bookmarkStart w:id="1077" w:name="_Toc27042074"/>
      <w:bookmarkStart w:id="1078" w:name="_Toc39846871"/>
      <w:bookmarkStart w:id="1079" w:name="_Toc39913933"/>
      <w:r>
        <w:rPr>
          <w:kern w:val="0"/>
        </w:rPr>
        <w:t>现场查</w:t>
      </w:r>
      <w:r>
        <w:rPr>
          <w:rFonts w:hint="eastAsia" w:cs="宋体"/>
          <w:kern w:val="0"/>
        </w:rPr>
        <w:t>验</w:t>
      </w:r>
      <w:r>
        <w:rPr>
          <w:rFonts w:hint="eastAsia"/>
        </w:rPr>
        <w:t>支持服务</w:t>
      </w:r>
      <w:bookmarkEnd w:id="1076"/>
      <w:bookmarkEnd w:id="1077"/>
      <w:bookmarkEnd w:id="1078"/>
      <w:bookmarkEnd w:id="1079"/>
    </w:p>
    <w:p>
      <w:r>
        <w:rPr>
          <w:rFonts w:hint="eastAsia"/>
        </w:rPr>
        <w:t>在现场查验过程中，提供编制汇报材料、制定测评路线、模拟测评演练、专家疑问答疑等服务。</w:t>
      </w:r>
    </w:p>
    <w:p/>
    <w:p>
      <w:pPr>
        <w:pStyle w:val="9"/>
        <w:ind w:firstLine="562"/>
      </w:pPr>
      <w:bookmarkStart w:id="1080" w:name="_Toc106964204"/>
      <w:bookmarkStart w:id="1081" w:name="_Toc4482"/>
      <w:r>
        <w:rPr>
          <w:rFonts w:hint="eastAsia"/>
        </w:rPr>
        <w:t>互联互通测评工具</w:t>
      </w:r>
      <w:bookmarkEnd w:id="1080"/>
      <w:bookmarkEnd w:id="1081"/>
    </w:p>
    <w:p>
      <w:pPr>
        <w:pStyle w:val="10"/>
        <w:ind w:firstLine="562"/>
      </w:pPr>
      <w:r>
        <w:t>互联互通测评基础配置</w:t>
      </w:r>
    </w:p>
    <w:p>
      <w:r>
        <w:t>1、数据元管理</w:t>
      </w:r>
    </w:p>
    <w:p>
      <w:r>
        <w:rPr>
          <w:rFonts w:hint="eastAsia"/>
        </w:rPr>
        <w:t>提供基于《电子病历基本数据集》标准的数据元展示、维护管理。提供数据元值的数据类型、表示格式、数据元允许值的管理维护功能，为后续的数据标准化校验提供相应的校验规则基础。</w:t>
      </w:r>
    </w:p>
    <w:p>
      <w:r>
        <w:t>2、标准字典管理</w:t>
      </w:r>
    </w:p>
    <w:p>
      <w:r>
        <w:rPr>
          <w:rFonts w:hint="eastAsia"/>
        </w:rPr>
        <w:t>将《电子病历基本数据集》中各数据元涉及到的数据元允许值进行统一的汇总管理，支持对值代码、中文说明进行维护和更新，标准字典可批量导出；支持标准字典的版本管理，新版本的标准字典可批量导入。</w:t>
      </w:r>
    </w:p>
    <w:p>
      <w:r>
        <w:t>3、业务字典管理</w:t>
      </w:r>
    </w:p>
    <w:p>
      <w:r>
        <w:rPr>
          <w:rFonts w:hint="eastAsia"/>
        </w:rPr>
        <w:t>对各业务系统在《电子病历基本数据集》中涉及到的字典进行维护管理，提供业务字典的批量导入、导出、新增、删除等功能，对各业务系统的字典进行统一的汇总展示和管理。</w:t>
      </w:r>
    </w:p>
    <w:p>
      <w:r>
        <w:t>4、字典映射管理</w:t>
      </w:r>
    </w:p>
    <w:p>
      <w:r>
        <w:rPr>
          <w:rFonts w:hint="eastAsia"/>
        </w:rPr>
        <w:t>提供字典映射管理功能，实现业务字典与标准字典的可视化映射对照及取消映射操作。</w:t>
      </w:r>
    </w:p>
    <w:p>
      <w:pPr>
        <w:pStyle w:val="10"/>
        <w:ind w:firstLine="562"/>
      </w:pPr>
      <w:r>
        <w:t>互联互通测试工具</w:t>
      </w:r>
    </w:p>
    <w:p>
      <w:r>
        <w:t>1、共享文档检验</w:t>
      </w:r>
    </w:p>
    <w:p>
      <w:r>
        <w:rPr>
          <w:rFonts w:hint="eastAsia"/>
        </w:rPr>
        <w:t>基于《电子病历共享文档规范》对共享文档进行校验，支持随机抽样校验及指定文档校验两种方式，共享文档的校验包含以下几个方面：</w:t>
      </w:r>
    </w:p>
    <w:p>
      <w:r>
        <w:t>1）共享文档的文档结构是否符合标准要求。</w:t>
      </w:r>
    </w:p>
    <w:p>
      <w:r>
        <w:t>2）共享文档的数据值域是否符合标准要求。（即是否采用了标准字典）</w:t>
      </w:r>
    </w:p>
    <w:p>
      <w:r>
        <w:t>3）共享文档的数据表示格式是否符合标准要求。（比如，某个数据元标准那边要求为数值类型，如果赋值数字则不满足标准要求）</w:t>
      </w:r>
    </w:p>
    <w:p>
      <w:r>
        <w:t>4）共享文档的数据元是否满足必填项要求。</w:t>
      </w:r>
    </w:p>
    <w:p>
      <w:r>
        <w:t>2、共享文档注册</w:t>
      </w:r>
    </w:p>
    <w:p>
      <w:r>
        <w:rPr>
          <w:rFonts w:hint="eastAsia"/>
        </w:rPr>
        <w:t>基于标准数据集到共享文档的动态映射配置模板，将标准数据集的结构化数据组装成符合《电子病历共享文档规范》的共享文档，并将共享文档注册到电子病历共享文档库。</w:t>
      </w:r>
    </w:p>
    <w:p>
      <w:pPr>
        <w:pStyle w:val="10"/>
        <w:ind w:firstLine="562"/>
      </w:pPr>
      <w:r>
        <w:t>互联互通评分管理</w:t>
      </w:r>
    </w:p>
    <w:p>
      <w:r>
        <w:rPr>
          <w:rFonts w:hint="eastAsia"/>
        </w:rPr>
        <w:t>对照互联互通标准评分要求，制定互联互通评分规则，支持规则管理，并能够结合医院现有信息化现状进行互联互通评分预估，为医院后续升级改造提供参考依据。</w:t>
      </w:r>
    </w:p>
    <w:p/>
    <w:p>
      <w:pPr>
        <w:pStyle w:val="7"/>
        <w:ind w:firstLine="602"/>
      </w:pPr>
      <w:bookmarkStart w:id="1082" w:name="_Toc3329"/>
      <w:r>
        <w:rPr>
          <w:rFonts w:hint="eastAsia"/>
        </w:rPr>
        <w:t>医保全量改造</w:t>
      </w:r>
      <w:bookmarkEnd w:id="1082"/>
    </w:p>
    <w:p>
      <w:pPr>
        <w:pStyle w:val="9"/>
        <w:ind w:firstLine="562"/>
      </w:pPr>
      <w:bookmarkStart w:id="1083" w:name="_Toc22602"/>
      <w:r>
        <w:rPr>
          <w:rFonts w:hint="eastAsia"/>
        </w:rPr>
        <w:t>医保贯标码系统全流程改造</w:t>
      </w:r>
      <w:bookmarkEnd w:id="1083"/>
    </w:p>
    <w:p>
      <w:r>
        <w:t>HIS系统改造实现药品、医用耗材、医疗服务项目国家码作为主要编码应用在基础字典库（药品、医用耗材），同时实现医用耗材、药品带码采购、带码入库、带码出库，带码盘点等环节。需要按照国家标准字典进行数据治理。继续优化医生工作站、护士工作站在开具医嘱、校对医嘱、执行医嘱环节明显处体现药品、医疗服务项目、医用耗材、护士、医生、药师、医疗机构的国家编码。</w:t>
      </w:r>
    </w:p>
    <w:p>
      <w:pPr>
        <w:pStyle w:val="9"/>
        <w:ind w:firstLine="562"/>
      </w:pPr>
      <w:bookmarkStart w:id="1084" w:name="_Toc5070"/>
      <w:r>
        <w:rPr>
          <w:rFonts w:hint="eastAsia"/>
        </w:rPr>
        <w:t>医保电子凭证实现医院全流程诊疗服务</w:t>
      </w:r>
      <w:bookmarkEnd w:id="1084"/>
    </w:p>
    <w:p>
      <w:r>
        <w:t>HIS改造系统实现了国家医保app或者微信公众号上的医保电子凭证作为医院全流程就诊的服务，根据医保电子凭证就诊接口要求，改造了包括HIS门诊在收费注册、门诊预约、门诊就诊、医技执行、药房发药等涉及的程序，实现全院电子凭证在医院内就诊的流程。</w:t>
      </w:r>
    </w:p>
    <w:p>
      <w:r>
        <w:rPr>
          <w:rFonts w:hint="eastAsia"/>
        </w:rPr>
        <w:t>同时还需要改造自助机，掌医以实现医保电子凭证作为就诊卡在医院的流通。</w:t>
      </w:r>
    </w:p>
    <w:p>
      <w:pPr>
        <w:pStyle w:val="9"/>
        <w:ind w:firstLine="562"/>
      </w:pPr>
      <w:bookmarkStart w:id="1085" w:name="_Toc17689"/>
      <w:r>
        <w:rPr>
          <w:rFonts w:hint="eastAsia"/>
        </w:rPr>
        <w:t>患者费用明细实时上传至医保端</w:t>
      </w:r>
      <w:bookmarkEnd w:id="1085"/>
    </w:p>
    <w:p>
      <w:r>
        <w:rPr>
          <w:rFonts w:hint="eastAsia"/>
        </w:rPr>
        <w:t>减少患者结算上传等待时间，根据国家医保接口文档规范，实现患者费用明细实时上传医保端，提高患者的结算等待时间，提高服务满意度。</w:t>
      </w:r>
    </w:p>
    <w:p>
      <w:pPr>
        <w:pStyle w:val="9"/>
        <w:ind w:firstLine="562"/>
      </w:pPr>
      <w:r>
        <w:rPr>
          <w:rFonts w:hint="eastAsia"/>
        </w:rPr>
        <w:t>国家医保实时审核接口对接</w:t>
      </w:r>
    </w:p>
    <w:p>
      <w:r>
        <w:rPr>
          <w:rFonts w:hint="eastAsia"/>
        </w:rPr>
        <w:t>规范医生诊疗行为，减少事后申诉与扣款，根据国家医保接口文档要求，实现国家区医保实时审核接口，做到医保事前、事中的智能监控功能。</w:t>
      </w:r>
    </w:p>
    <w:p>
      <w:pPr>
        <w:pStyle w:val="9"/>
        <w:ind w:firstLine="562"/>
      </w:pPr>
      <w:bookmarkStart w:id="1086" w:name="_Toc9433"/>
      <w:r>
        <w:rPr>
          <w:rFonts w:hint="eastAsia"/>
        </w:rPr>
        <w:t>医保结算清单</w:t>
      </w:r>
      <w:r>
        <w:t>2.0上传</w:t>
      </w:r>
      <w:bookmarkEnd w:id="1086"/>
    </w:p>
    <w:p>
      <w:r>
        <w:t>2022年7月1日国家医保上线了医保结算清单2.0，上传接口重新定义，需开发上传程序，能实现批量上传和修改上传，批量审核等功能</w:t>
      </w:r>
      <w:r>
        <w:rPr>
          <w:rFonts w:hint="eastAsia"/>
        </w:rPr>
        <w:t>。</w:t>
      </w:r>
    </w:p>
    <w:p>
      <w:pPr>
        <w:pStyle w:val="7"/>
        <w:ind w:firstLine="602"/>
      </w:pPr>
      <w:bookmarkStart w:id="1087" w:name="_Toc28055"/>
      <w:r>
        <w:rPr>
          <w:rFonts w:hint="eastAsia"/>
        </w:rPr>
        <w:t>医保移动结算</w:t>
      </w:r>
      <w:bookmarkEnd w:id="1087"/>
    </w:p>
    <w:p>
      <w:pPr>
        <w:pStyle w:val="9"/>
        <w:ind w:firstLine="562"/>
      </w:pPr>
      <w:bookmarkStart w:id="1088" w:name="_Toc1433"/>
      <w:r>
        <w:rPr>
          <w:rFonts w:hint="eastAsia"/>
        </w:rPr>
        <w:t>国家医保线上结算</w:t>
      </w:r>
      <w:bookmarkEnd w:id="1088"/>
    </w:p>
    <w:p>
      <w:r>
        <w:t>HIS系统提供接入国家医保的数据改造，配合互联网医院、国家医保三方实现线上医保结算流程的改造。</w:t>
      </w:r>
    </w:p>
    <w:p>
      <w:pPr>
        <w:pStyle w:val="7"/>
        <w:ind w:firstLine="602"/>
      </w:pPr>
      <w:bookmarkStart w:id="1089" w:name="_Toc16909"/>
      <w:r>
        <w:rPr>
          <w:rFonts w:hint="eastAsia"/>
        </w:rPr>
        <w:t>第三方信息系统对接</w:t>
      </w:r>
      <w:bookmarkEnd w:id="1089"/>
    </w:p>
    <w:p>
      <w:pPr>
        <w:pStyle w:val="9"/>
        <w:ind w:firstLine="562"/>
      </w:pPr>
      <w:bookmarkStart w:id="1090" w:name="_Toc11703"/>
      <w:r>
        <w:rPr>
          <w:rFonts w:hint="eastAsia"/>
        </w:rPr>
        <w:t>医共体信息系统对接</w:t>
      </w:r>
      <w:bookmarkEnd w:id="1090"/>
    </w:p>
    <w:p>
      <w:pPr>
        <w:jc w:val="both"/>
      </w:pPr>
      <w:r>
        <w:rPr>
          <w:rFonts w:hint="eastAsia"/>
        </w:rPr>
        <w:t>▲按照采购方要求，在采购方建立医共体统一数据仓库，完成医共体信息系统H</w:t>
      </w:r>
      <w:r>
        <w:t>IS</w:t>
      </w:r>
      <w:r>
        <w:rPr>
          <w:rFonts w:hint="eastAsia"/>
        </w:rPr>
        <w:t>、E</w:t>
      </w:r>
      <w:r>
        <w:t>MR</w:t>
      </w:r>
      <w:r>
        <w:rPr>
          <w:rFonts w:hint="eastAsia"/>
        </w:rPr>
        <w:t>系统的无缝对接，实现医院院内信息系统与医共体信息系统互联互通，业务高度协同。按照采购方要求完成医共体管理的其他需求改造。</w:t>
      </w:r>
    </w:p>
    <w:p>
      <w:pPr>
        <w:pStyle w:val="9"/>
        <w:ind w:firstLine="562"/>
      </w:pPr>
      <w:bookmarkStart w:id="1091" w:name="_Toc15449"/>
      <w:r>
        <w:rPr>
          <w:rFonts w:hint="eastAsia"/>
        </w:rPr>
        <w:t>互联互通医院其他信息系统对接</w:t>
      </w:r>
      <w:bookmarkEnd w:id="1091"/>
    </w:p>
    <w:p>
      <w:pPr>
        <w:jc w:val="both"/>
      </w:pPr>
      <w:r>
        <w:rPr>
          <w:rFonts w:hint="eastAsia"/>
        </w:rPr>
        <w:t>▲按照互联互通四级甲等评审要求，投标方需协调医院H</w:t>
      </w:r>
      <w:r>
        <w:t>IS</w:t>
      </w:r>
      <w:r>
        <w:rPr>
          <w:rFonts w:hint="eastAsia"/>
        </w:rPr>
        <w:t>、E</w:t>
      </w:r>
      <w:r>
        <w:t>MR</w:t>
      </w:r>
      <w:r>
        <w:rPr>
          <w:rFonts w:hint="eastAsia"/>
        </w:rPr>
        <w:t>、L</w:t>
      </w:r>
      <w:r>
        <w:t>IS</w:t>
      </w:r>
      <w:r>
        <w:rPr>
          <w:rFonts w:hint="eastAsia"/>
        </w:rPr>
        <w:t>、P</w:t>
      </w:r>
      <w:r>
        <w:t>ACS</w:t>
      </w:r>
      <w:r>
        <w:rPr>
          <w:rFonts w:hint="eastAsia"/>
        </w:rPr>
        <w:t>、H</w:t>
      </w:r>
      <w:r>
        <w:t>RP</w:t>
      </w:r>
      <w:r>
        <w:rPr>
          <w:rFonts w:hint="eastAsia"/>
        </w:rPr>
        <w:t>、心电图、人力资源、输血、物资管理、O</w:t>
      </w:r>
      <w:r>
        <w:t>A</w:t>
      </w:r>
      <w:r>
        <w:rPr>
          <w:rFonts w:hint="eastAsia"/>
        </w:rPr>
        <w:t>、医共体H</w:t>
      </w:r>
      <w:r>
        <w:t>IS</w:t>
      </w:r>
      <w:r>
        <w:rPr>
          <w:rFonts w:hint="eastAsia"/>
        </w:rPr>
        <w:t>、E</w:t>
      </w:r>
      <w:r>
        <w:t>MR</w:t>
      </w:r>
      <w:r>
        <w:rPr>
          <w:rFonts w:hint="eastAsia"/>
        </w:rPr>
        <w:t>等第三方信息系统厂商，完成互联互通四级甲等要求的相关改造工作及院内信息系统单点登录功能改造，涉及相关改造费用由投标方自行与第三方协商并支付，采购方不再承担额外的相关费用。</w:t>
      </w:r>
    </w:p>
    <w:p>
      <w:pPr>
        <w:pStyle w:val="7"/>
        <w:ind w:firstLine="602"/>
      </w:pPr>
      <w:bookmarkStart w:id="1092" w:name="_Toc15749"/>
      <w:r>
        <w:rPr>
          <w:rFonts w:hint="eastAsia"/>
        </w:rPr>
        <w:t>调度室硬件要求</w:t>
      </w:r>
      <w:bookmarkEnd w:id="1092"/>
    </w:p>
    <w:p>
      <w:pPr>
        <w:pStyle w:val="9"/>
        <w:ind w:firstLine="562"/>
      </w:pPr>
      <w:bookmarkStart w:id="1093" w:name="_Toc3326"/>
      <w:r>
        <w:rPr>
          <w:rFonts w:hint="eastAsia"/>
        </w:rPr>
        <w:t>室内全彩屏（</w:t>
      </w:r>
      <w:r>
        <w:t>12.33</w:t>
      </w:r>
      <w:r>
        <w:rPr>
          <w:rFonts w:hint="eastAsia"/>
        </w:rPr>
        <w:t>平方）</w:t>
      </w:r>
      <w:bookmarkEnd w:id="1093"/>
    </w:p>
    <w:p>
      <w:r>
        <w:rPr>
          <w:rFonts w:hint="eastAsia"/>
        </w:rPr>
        <w:t>需包含备用</w:t>
      </w:r>
      <w:r>
        <w:t>模组</w:t>
      </w:r>
      <w:r>
        <w:rPr>
          <w:rFonts w:hint="eastAsia"/>
        </w:rPr>
        <w:t>大于等于</w:t>
      </w:r>
      <w:r>
        <w:t>4块</w:t>
      </w:r>
    </w:p>
    <w:p>
      <w:r>
        <w:t>像数点间距 2。0mm 像素密度 250000Dots/㎡</w:t>
      </w:r>
    </w:p>
    <w:p>
      <w:r>
        <w:rPr>
          <w:rFonts w:hint="eastAsia"/>
        </w:rPr>
        <w:t>像素构成</w:t>
      </w:r>
      <w:r>
        <w:t xml:space="preserve"> 1R1G1B 灯管封装 SMD2020</w:t>
      </w:r>
    </w:p>
    <w:p>
      <w:r>
        <w:rPr>
          <w:rFonts w:hint="eastAsia"/>
        </w:rPr>
        <w:t>尺寸</w:t>
      </w:r>
      <w:r>
        <w:t>(长*宽*厚) 320*160*15mm 重量 0.46kg±0.01kg</w:t>
      </w:r>
    </w:p>
    <w:p>
      <w:r>
        <w:rPr>
          <w:rFonts w:hint="eastAsia"/>
        </w:rPr>
        <w:t>结构特点</w:t>
      </w:r>
      <w:r>
        <w:t xml:space="preserve"> 灯驱合一 单元板分辨率 128*64=8192Dots</w:t>
      </w:r>
    </w:p>
    <w:p>
      <w:r>
        <w:rPr>
          <w:rFonts w:hint="eastAsia"/>
        </w:rPr>
        <w:t>输入电压</w:t>
      </w:r>
      <w:r>
        <w:t>(直流) 4.5±0.1V 最大电流 ≤5.2A</w:t>
      </w:r>
    </w:p>
    <w:p>
      <w:r>
        <w:rPr>
          <w:rFonts w:hint="eastAsia"/>
        </w:rPr>
        <w:t>单元板功率</w:t>
      </w:r>
      <w:r>
        <w:t xml:space="preserve"> ≤24W 驱动方式 1/32恒流驱动</w:t>
      </w:r>
    </w:p>
    <w:p>
      <w:r>
        <w:t>40A电源带单元板数 5-6张 80A电源带单元板数 10-12张</w:t>
      </w:r>
    </w:p>
    <w:p>
      <w:r>
        <w:t>40A PFC电源带单元板数 6-7张 亮度 ≥450cd/㎡ 亮度均匀性 ＞0.95</w:t>
      </w:r>
    </w:p>
    <w:p>
      <w:r>
        <w:rPr>
          <w:rFonts w:hint="eastAsia"/>
        </w:rPr>
        <w:t>屏幕水平视角</w:t>
      </w:r>
      <w:r>
        <w:t xml:space="preserve"> 140±10度 屏幕垂直视角 130±10度</w:t>
      </w:r>
    </w:p>
    <w:p>
      <w:r>
        <w:rPr>
          <w:rFonts w:hint="eastAsia"/>
        </w:rPr>
        <w:t>最佳视距</w:t>
      </w:r>
      <w:r>
        <w:t xml:space="preserve"> ≥2.5m 使用环境 室内</w:t>
      </w:r>
    </w:p>
    <w:p>
      <w:r>
        <w:rPr>
          <w:rFonts w:hint="eastAsia"/>
        </w:rPr>
        <w:t>每平方单元板最大功率</w:t>
      </w:r>
      <w:r>
        <w:t xml:space="preserve"> ≤457W/㎡  </w:t>
      </w:r>
    </w:p>
    <w:p>
      <w:r>
        <w:rPr>
          <w:rFonts w:hint="eastAsia"/>
        </w:rPr>
        <w:t>配电功率（每平方最大功率÷</w:t>
      </w:r>
      <w:r>
        <w:t>78%÷85%） ≤689W/m2</w:t>
      </w:r>
    </w:p>
    <w:p>
      <w:r>
        <w:rPr>
          <w:rFonts w:hint="eastAsia"/>
        </w:rPr>
        <w:t>灰度等级</w:t>
      </w:r>
      <w:r>
        <w:t xml:space="preserve"> 红、绿、蓝各12-14bits 显示颜色 43980亿种</w:t>
      </w:r>
    </w:p>
    <w:p>
      <w:r>
        <w:rPr>
          <w:rFonts w:hint="eastAsia"/>
        </w:rPr>
        <w:t>换帧频率</w:t>
      </w:r>
      <w:r>
        <w:t xml:space="preserve"> ≥60帧/秒 刷新频率 ≥3840Hz</w:t>
      </w:r>
    </w:p>
    <w:p>
      <w:r>
        <w:rPr>
          <w:rFonts w:hint="eastAsia"/>
        </w:rPr>
        <w:t>控制方式</w:t>
      </w:r>
      <w:r>
        <w:t xml:space="preserve"> 计算机控制，逐点一一对应，视频同步，实时显示 亮度调节 256级手动/自动</w:t>
      </w:r>
    </w:p>
    <w:p>
      <w:r>
        <w:rPr>
          <w:rFonts w:hint="eastAsia"/>
        </w:rPr>
        <w:t>输入信号</w:t>
      </w:r>
      <w:r>
        <w:t xml:space="preserve"> DVI/VGA，视频(多种制式)RGBHV、复合视频信号、S-VIDEO YpbPr(HDTV) </w:t>
      </w:r>
    </w:p>
    <w:p>
      <w:r>
        <w:rPr>
          <w:rFonts w:hint="eastAsia"/>
        </w:rPr>
        <w:t>使用寿命</w:t>
      </w:r>
      <w:r>
        <w:t xml:space="preserve"> ≥10万小时 平均无故障时间 ≥1万小时</w:t>
      </w:r>
    </w:p>
    <w:p>
      <w:r>
        <w:rPr>
          <w:rFonts w:hint="eastAsia"/>
        </w:rPr>
        <w:t>衰减率</w:t>
      </w:r>
      <w:r>
        <w:t>(工作3年) ≤15％ 连续失控点 0</w:t>
      </w:r>
    </w:p>
    <w:p>
      <w:r>
        <w:rPr>
          <w:rFonts w:hint="eastAsia"/>
        </w:rPr>
        <w:t>离散失控点</w:t>
      </w:r>
      <w:r>
        <w:t xml:space="preserve"> ＜0.0001，出厂时为0 盲点率 ＜0.0003，出厂时为0</w:t>
      </w:r>
    </w:p>
    <w:p>
      <w:r>
        <w:rPr>
          <w:rFonts w:hint="eastAsia"/>
        </w:rPr>
        <w:t>工作温度范围</w:t>
      </w:r>
      <w:r>
        <w:t xml:space="preserve"> -20-40℃ 工作湿度范围 10％-65％RH(无结露)</w:t>
      </w:r>
    </w:p>
    <w:p>
      <w:r>
        <w:rPr>
          <w:rFonts w:hint="eastAsia"/>
        </w:rPr>
        <w:t>防护性能</w:t>
      </w:r>
      <w:r>
        <w:t xml:space="preserve"> 超温/过载/掉电/图像补偿/各种校正技术/过流/过压/防雷(可选项)</w:t>
      </w:r>
    </w:p>
    <w:p>
      <w:r>
        <w:rPr>
          <w:rFonts w:hint="eastAsia"/>
        </w:rPr>
        <w:t>屏幕水平平整度</w:t>
      </w:r>
      <w:r>
        <w:t xml:space="preserve"> ＜1mm/㎡</w:t>
      </w:r>
    </w:p>
    <w:p>
      <w:r>
        <w:rPr>
          <w:rFonts w:hint="eastAsia"/>
        </w:rPr>
        <w:t>屏幕垂直平整度</w:t>
      </w:r>
      <w:r>
        <w:t xml:space="preserve"> ＜1mm/㎡"</w:t>
      </w:r>
    </w:p>
    <w:p>
      <w:pPr>
        <w:pStyle w:val="9"/>
        <w:ind w:firstLine="562"/>
      </w:pPr>
      <w:bookmarkStart w:id="1094" w:name="_Toc22281"/>
      <w:r>
        <w:rPr>
          <w:rFonts w:hint="eastAsia"/>
        </w:rPr>
        <w:t>显示屏专用电源（5</w:t>
      </w:r>
      <w:r>
        <w:t>0</w:t>
      </w:r>
      <w:r>
        <w:rPr>
          <w:rFonts w:hint="eastAsia"/>
        </w:rPr>
        <w:t>台）</w:t>
      </w:r>
      <w:bookmarkEnd w:id="1094"/>
    </w:p>
    <w:p>
      <w:r>
        <w:t>200W 4.5V 40A</w:t>
      </w:r>
    </w:p>
    <w:p>
      <w:r>
        <w:rPr>
          <w:rFonts w:hint="eastAsia"/>
        </w:rPr>
        <w:t>输入电压范围：</w:t>
      </w:r>
      <w:r>
        <w:t>176VAC-264VAC</w:t>
      </w:r>
    </w:p>
    <w:p>
      <w:r>
        <w:t>额定输入电压：200VAC-240VAC</w:t>
      </w:r>
    </w:p>
    <w:p>
      <w:r>
        <w:t>输入频率：47 Hz/50 Hz/63Hz</w:t>
      </w:r>
    </w:p>
    <w:p>
      <w:r>
        <w:t>输入电流：3A</w:t>
      </w:r>
    </w:p>
    <w:p>
      <w:r>
        <w:t>冷启动冲击电流：50A</w:t>
      </w:r>
    </w:p>
    <w:p>
      <w:r>
        <w:t>效率：86%</w:t>
      </w:r>
    </w:p>
    <w:p>
      <w:r>
        <w:t>空载功耗：5W</w:t>
      </w:r>
    </w:p>
    <w:p>
      <w:r>
        <w:t>额定输出电压：V1:+4.5Vdc/4.41V/4.59V</w:t>
      </w:r>
    </w:p>
    <w:p>
      <w:r>
        <w:t>额定输出电流范围：0～40.0A-40A</w:t>
      </w:r>
    </w:p>
    <w:p>
      <w:r>
        <w:t>稳压精度：±2%-4.41V-4.59V</w:t>
      </w:r>
    </w:p>
    <w:p>
      <w:r>
        <w:t>负载调整率：±2%</w:t>
      </w:r>
    </w:p>
    <w:p>
      <w:r>
        <w:t>温度系数：±0.03%/℃</w:t>
      </w:r>
    </w:p>
    <w:p>
      <w:r>
        <w:t>电压过冲：&lt;5.0%-5%</w:t>
      </w:r>
    </w:p>
    <w:p>
      <w:r>
        <w:t>启动时间：3Sec.-3Sec.</w:t>
      </w:r>
    </w:p>
    <w:p>
      <w:r>
        <w:t>纹波噪声：&lt;200mV-200mV</w:t>
      </w:r>
    </w:p>
    <w:p>
      <w:r>
        <w:t>动态负载：10%-100%Load:&lt;1000mV(Vp-p)-10%-50%Load:&lt; 600mV(Vp-p)-50%-100%Load:&lt; 500mV(Vp-p)</w:t>
      </w:r>
    </w:p>
    <w:p>
      <w:r>
        <w:t>容性负载：至少 5000uF</w:t>
      </w:r>
    </w:p>
    <w:p>
      <w:r>
        <w:t>短路保护：可长期短路，消除短路后自动恢复工作</w:t>
      </w:r>
    </w:p>
    <w:p>
      <w:r>
        <w:t>过流保护：48~76A 故障消除后自动恢复工作</w:t>
      </w:r>
    </w:p>
    <w:p>
      <w:pPr>
        <w:pStyle w:val="9"/>
        <w:ind w:firstLine="562"/>
      </w:pPr>
      <w:bookmarkStart w:id="1095" w:name="_Toc31539"/>
      <w:r>
        <w:rPr>
          <w:rFonts w:hint="eastAsia"/>
        </w:rPr>
        <w:t>视频处理器（1台）</w:t>
      </w:r>
      <w:bookmarkEnd w:id="1095"/>
    </w:p>
    <w:p>
      <w:r>
        <w:t>具有3类视频输入接口，包8路HDMI；</w:t>
      </w:r>
    </w:p>
    <w:p>
      <w:r>
        <w:rPr>
          <w:rFonts w:hint="eastAsia"/>
        </w:rPr>
        <w:t>最大输入分辨率</w:t>
      </w:r>
      <w:r>
        <w:t>4096×2160@60Hz，支持分辨率任意设置；</w:t>
      </w:r>
    </w:p>
    <w:p>
      <w:r>
        <w:rPr>
          <w:rFonts w:hint="eastAsia"/>
        </w:rPr>
        <w:t>最大带载</w:t>
      </w:r>
      <w:r>
        <w:t>260万像素，最宽可达4096点，或最高可达2560点；</w:t>
      </w:r>
    </w:p>
    <w:p>
      <w:r>
        <w:rPr>
          <w:rFonts w:hint="eastAsia"/>
        </w:rPr>
        <w:t>支持视频源任意切换，缩放和裁剪；</w:t>
      </w:r>
    </w:p>
    <w:p>
      <w:r>
        <w:rPr>
          <w:rFonts w:hint="eastAsia"/>
        </w:rPr>
        <w:t>支持画面偏移；</w:t>
      </w:r>
    </w:p>
    <w:p>
      <w:r>
        <w:rPr>
          <w:rFonts w:hint="eastAsia"/>
        </w:rPr>
        <w:t>双</w:t>
      </w:r>
      <w:r>
        <w:t>USB 2.0高速通讯接口，用于电脑调试和主控间任意级联；</w:t>
      </w:r>
    </w:p>
    <w:p>
      <w:r>
        <w:rPr>
          <w:rFonts w:hint="eastAsia"/>
        </w:rPr>
        <w:t>支持亮度和色温调节；</w:t>
      </w:r>
    </w:p>
    <w:p>
      <w:r>
        <w:rPr>
          <w:rFonts w:hint="eastAsia"/>
        </w:rPr>
        <w:t>支持低亮高灰；</w:t>
      </w:r>
    </w:p>
    <w:p>
      <w:r>
        <w:rPr>
          <w:rFonts w:hint="eastAsia"/>
        </w:rPr>
        <w:t>支持</w:t>
      </w:r>
      <w:r>
        <w:t>HDCP 1.1</w:t>
      </w:r>
      <w:r>
        <w:rPr>
          <w:rFonts w:hint="eastAsia"/>
        </w:rPr>
        <w:t>；</w:t>
      </w:r>
    </w:p>
    <w:p>
      <w:pPr>
        <w:pStyle w:val="9"/>
        <w:ind w:firstLine="562"/>
      </w:pPr>
      <w:bookmarkStart w:id="1096" w:name="_Toc17605"/>
      <w:r>
        <w:rPr>
          <w:rFonts w:hint="eastAsia"/>
        </w:rPr>
        <w:t>系统接收卡（3</w:t>
      </w:r>
      <w:r>
        <w:t>4</w:t>
      </w:r>
      <w:r>
        <w:rPr>
          <w:rFonts w:hint="eastAsia"/>
        </w:rPr>
        <w:t>张）</w:t>
      </w:r>
      <w:bookmarkEnd w:id="1096"/>
    </w:p>
    <w:p>
      <w:r>
        <w:t>支持常规芯片实现高刷新、高灰度、高亮度；</w:t>
      </w:r>
    </w:p>
    <w:p>
      <w:r>
        <w:rPr>
          <w:rFonts w:hint="eastAsia"/>
        </w:rPr>
        <w:t>支持</w:t>
      </w:r>
      <w:r>
        <w:t>灰度引擎</w:t>
      </w:r>
      <w:r>
        <w:rPr>
          <w:rFonts w:hint="eastAsia"/>
        </w:rPr>
        <w:t>；</w:t>
      </w:r>
    </w:p>
    <w:p>
      <w:r>
        <w:rPr>
          <w:rFonts w:hint="eastAsia"/>
        </w:rPr>
        <w:t>能够</w:t>
      </w:r>
      <w:r>
        <w:t>改善单元板设计引起的某行偏暗、低灰偏红、鬼影</w:t>
      </w:r>
    </w:p>
    <w:p>
      <w:r>
        <w:t>支持14bit精度的色度、亮度一体化逐点校正；</w:t>
      </w:r>
    </w:p>
    <w:p>
      <w:r>
        <w:t>支持所有常规芯片、PWM芯片和灯饰芯片；</w:t>
      </w:r>
    </w:p>
    <w:p>
      <w:r>
        <w:t>自带16个HUB75转接口；</w:t>
      </w:r>
    </w:p>
    <w:p>
      <w:r>
        <w:t>单卡带载：256*512/128*1024</w:t>
      </w:r>
    </w:p>
    <w:p>
      <w:pPr>
        <w:pStyle w:val="9"/>
        <w:ind w:firstLine="562"/>
      </w:pPr>
      <w:bookmarkStart w:id="1097" w:name="_Toc20238"/>
      <w:r>
        <w:rPr>
          <w:rFonts w:hint="eastAsia"/>
        </w:rPr>
        <w:t>其他</w:t>
      </w:r>
      <w:bookmarkEnd w:id="1097"/>
    </w:p>
    <w:p>
      <w:r>
        <w:rPr>
          <w:rFonts w:hint="eastAsia"/>
        </w:rPr>
        <w:t>智能配电柜1台</w:t>
      </w:r>
    </w:p>
    <w:p>
      <w:r>
        <w:rPr>
          <w:rFonts w:hint="eastAsia"/>
        </w:rPr>
        <w:t>综合布线1项</w:t>
      </w:r>
    </w:p>
    <w:p>
      <w:r>
        <w:rPr>
          <w:rFonts w:hint="eastAsia"/>
        </w:rPr>
        <w:t>会议桌1套</w:t>
      </w:r>
    </w:p>
    <w:p>
      <w:r>
        <w:rPr>
          <w:rFonts w:hint="eastAsia"/>
        </w:rPr>
        <w:t>椅子1套</w:t>
      </w:r>
    </w:p>
    <w:p>
      <w:r>
        <w:rPr>
          <w:rFonts w:hint="eastAsia"/>
        </w:rPr>
        <w:t>电脑1台</w:t>
      </w:r>
    </w:p>
    <w:p>
      <w:pPr>
        <w:pStyle w:val="7"/>
        <w:ind w:firstLine="602"/>
      </w:pPr>
      <w:bookmarkStart w:id="1098" w:name="_Toc8102"/>
      <w:r>
        <w:rPr>
          <w:rFonts w:hint="eastAsia"/>
        </w:rPr>
        <w:t>三基理论考试系统</w:t>
      </w:r>
      <w:bookmarkEnd w:id="1098"/>
    </w:p>
    <w:tbl>
      <w:tblPr>
        <w:tblStyle w:val="29"/>
        <w:tblW w:w="866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01"/>
        <w:gridCol w:w="587"/>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1701" w:type="dxa"/>
            <w:vAlign w:val="center"/>
          </w:tcPr>
          <w:p>
            <w:pPr>
              <w:ind w:firstLine="0" w:firstLineChars="0"/>
            </w:pPr>
            <w:r>
              <w:rPr>
                <w:rFonts w:hint="eastAsia"/>
              </w:rPr>
              <w:t>无地域限制</w:t>
            </w:r>
          </w:p>
        </w:tc>
        <w:tc>
          <w:tcPr>
            <w:tcW w:w="6966" w:type="dxa"/>
            <w:gridSpan w:val="2"/>
            <w:shd w:val="clear" w:color="auto" w:fill="auto"/>
            <w:vAlign w:val="center"/>
          </w:tcPr>
          <w:p>
            <w:pPr>
              <w:ind w:firstLine="0" w:firstLineChars="0"/>
            </w:pPr>
            <w:r>
              <w:rPr>
                <w:rFonts w:hint="eastAsia"/>
              </w:rPr>
              <w:t>充分发挥云平台的网络优势，能让更多的医护共享同一种资源，充分节约成本，降低原始系统场地限制及硬件问题而带来的资金压力；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1701" w:type="dxa"/>
            <w:vAlign w:val="center"/>
          </w:tcPr>
          <w:p>
            <w:pPr>
              <w:ind w:firstLine="0" w:firstLineChars="0"/>
            </w:pPr>
            <w:r>
              <w:rPr>
                <w:rFonts w:hint="eastAsia"/>
              </w:rPr>
              <w:t>使用效果</w:t>
            </w:r>
          </w:p>
        </w:tc>
        <w:tc>
          <w:tcPr>
            <w:tcW w:w="6966" w:type="dxa"/>
            <w:gridSpan w:val="2"/>
            <w:shd w:val="clear" w:color="auto" w:fill="auto"/>
            <w:vAlign w:val="center"/>
          </w:tcPr>
          <w:p>
            <w:pPr>
              <w:ind w:firstLine="0" w:firstLineChars="0"/>
            </w:pPr>
            <w:r>
              <w:rPr>
                <w:rFonts w:hint="eastAsia"/>
              </w:rPr>
              <w:t>提供轻松愉悦的学习和考试方式，既可以通过电脑终端进行学习或考试，也可以使用手机、I</w:t>
            </w:r>
            <w:r>
              <w:t>PAD</w:t>
            </w:r>
            <w:r>
              <w:rPr>
                <w:rFonts w:hint="eastAsia"/>
              </w:rPr>
              <w:t>、微信公众号进行学练考，让每个医护人员都能在非常舒适的环境中获得知识，完成医院的各项考核；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1701" w:type="dxa"/>
            <w:vMerge w:val="restart"/>
            <w:vAlign w:val="center"/>
          </w:tcPr>
          <w:p>
            <w:pPr>
              <w:ind w:firstLine="0" w:firstLineChars="0"/>
            </w:pPr>
            <w:r>
              <w:rPr>
                <w:rFonts w:hint="eastAsia"/>
              </w:rPr>
              <w:t>功能模块要求</w:t>
            </w:r>
          </w:p>
        </w:tc>
        <w:tc>
          <w:tcPr>
            <w:tcW w:w="6966" w:type="dxa"/>
            <w:gridSpan w:val="2"/>
            <w:shd w:val="clear" w:color="auto" w:fill="auto"/>
            <w:vAlign w:val="center"/>
          </w:tcPr>
          <w:p>
            <w:pPr>
              <w:ind w:firstLine="0" w:firstLineChars="0"/>
            </w:pPr>
            <w:r>
              <w:rPr>
                <w:rFonts w:hint="eastAsia"/>
              </w:rPr>
              <w:t>系统学习：医护人员进入相关题库进行自由练习，并可记录错误题目；可自行从所有题库目录中抽取指定试题，进行模拟考核，可对组好的题目进行再次考核，查看答案等功能；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1701" w:type="dxa"/>
            <w:vMerge w:val="continue"/>
            <w:vAlign w:val="center"/>
          </w:tcPr>
          <w:p/>
        </w:tc>
        <w:tc>
          <w:tcPr>
            <w:tcW w:w="6966" w:type="dxa"/>
            <w:gridSpan w:val="2"/>
            <w:shd w:val="clear" w:color="auto" w:fill="auto"/>
            <w:vAlign w:val="center"/>
          </w:tcPr>
          <w:p>
            <w:pPr>
              <w:ind w:firstLine="0" w:firstLineChars="0"/>
            </w:pPr>
            <w:r>
              <w:rPr>
                <w:rFonts w:hint="eastAsia"/>
              </w:rPr>
              <w:t>强化训练：实现由题库中划定范围，抽取指定或随机试题，指定医护人员进行强化训练。且支持由强化训练创建随机试卷或指定试卷进行考试。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trPr>
        <w:tc>
          <w:tcPr>
            <w:tcW w:w="1701" w:type="dxa"/>
            <w:vMerge w:val="continue"/>
            <w:vAlign w:val="center"/>
          </w:tcPr>
          <w:p/>
        </w:tc>
        <w:tc>
          <w:tcPr>
            <w:tcW w:w="587" w:type="dxa"/>
            <w:vMerge w:val="restart"/>
            <w:shd w:val="clear" w:color="auto" w:fill="auto"/>
            <w:vAlign w:val="center"/>
          </w:tcPr>
          <w:p>
            <w:pPr>
              <w:ind w:firstLine="0" w:firstLineChars="0"/>
            </w:pPr>
            <w:r>
              <w:rPr>
                <w:rFonts w:hint="eastAsia"/>
              </w:rPr>
              <w:t>考务</w:t>
            </w:r>
          </w:p>
          <w:p>
            <w:pPr>
              <w:ind w:firstLine="0" w:firstLineChars="0"/>
            </w:pPr>
            <w:r>
              <w:rPr>
                <w:rFonts w:hint="eastAsia"/>
              </w:rPr>
              <w:t>管理</w:t>
            </w:r>
          </w:p>
        </w:tc>
        <w:tc>
          <w:tcPr>
            <w:tcW w:w="6379" w:type="dxa"/>
            <w:shd w:val="clear" w:color="auto" w:fill="auto"/>
            <w:vAlign w:val="center"/>
          </w:tcPr>
          <w:p>
            <w:pPr>
              <w:ind w:firstLine="0" w:firstLineChars="0"/>
            </w:pPr>
            <w:r>
              <w:rPr>
                <w:rFonts w:hint="eastAsia"/>
              </w:rPr>
              <w:t>指定试卷：可按题目内容或分类，从题库中任意组织试卷，所有试卷可复用，可编辑，且不影响整体题库内容。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随机组卷：可按题库路径组织随机试卷，产生A</w:t>
            </w:r>
            <w:r>
              <w:t>BCD</w:t>
            </w:r>
            <w:r>
              <w:rPr>
                <w:rFonts w:hint="eastAsia"/>
              </w:rPr>
              <w:t>卷，保证每个考生试卷不完全相同，有效提高防作弊机制。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难易度组卷：可按照题目的难易度进行组卷，方便按考试人员的职级分类进行考核。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以卷组卷：可实现一键完成试卷的复制，快捷组建差异较小的试卷。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强化组卷：从强化训练题库中快捷组卷，缩小选题范围，方便考核。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精准组卷：按照路径关键字搜索组织试卷，精准、灵活方便。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收藏组卷：从自己收藏的题目中组卷，实现重点知识考核。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5"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考生管理：对参加考试的考生进行选择，或重置、取消考试资格等操作；支持考生名单导入模式，以便快速组建考试。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5"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试卷导出：从试卷管理中一键导出双行或者单行格式的W</w:t>
            </w:r>
            <w:r>
              <w:t>ord</w:t>
            </w:r>
            <w:r>
              <w:rPr>
                <w:rFonts w:hint="eastAsia"/>
              </w:rPr>
              <w:t>试卷。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成绩管理：查看全体考生考试成绩，并可以查看到每个考生的试卷，可批量导出D</w:t>
            </w:r>
            <w:r>
              <w:t>OC</w:t>
            </w:r>
            <w:r>
              <w:rPr>
                <w:rFonts w:hint="eastAsia"/>
              </w:rPr>
              <w:t>电子试卷，作为永久保存资料。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试卷分析：对该场考试的试卷进行详细的分析，不同角度分析考试成绩，生成相应图表，且可按题目进行逐题分析，为下次培训侧重点提供重要依据。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 xml:space="preserve">考试设置：支持一路向前考试模式；支持考试终端限定模式；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防作弊：系统页面禁止复制粘贴，题目顺序打乱，还可设置退出后台次数，如用户考试过程中退出考试界面次数超出设置次数则强制交卷。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1701" w:type="dxa"/>
            <w:vMerge w:val="continue"/>
            <w:vAlign w:val="center"/>
          </w:tcPr>
          <w:p/>
        </w:tc>
        <w:tc>
          <w:tcPr>
            <w:tcW w:w="587" w:type="dxa"/>
            <w:vMerge w:val="restart"/>
            <w:shd w:val="clear" w:color="auto" w:fill="auto"/>
            <w:vAlign w:val="center"/>
          </w:tcPr>
          <w:p>
            <w:pPr>
              <w:ind w:firstLine="0" w:firstLineChars="0"/>
            </w:pPr>
            <w:r>
              <w:rPr>
                <w:rFonts w:hint="eastAsia"/>
              </w:rPr>
              <w:t>题库管理</w:t>
            </w:r>
          </w:p>
        </w:tc>
        <w:tc>
          <w:tcPr>
            <w:tcW w:w="6379" w:type="dxa"/>
            <w:shd w:val="clear" w:color="auto" w:fill="auto"/>
            <w:vAlign w:val="center"/>
          </w:tcPr>
          <w:p>
            <w:pPr>
              <w:ind w:firstLine="0" w:firstLineChars="0"/>
            </w:pPr>
            <w:r>
              <w:rPr>
                <w:rFonts w:hint="eastAsia"/>
              </w:rPr>
              <w:t>系统提供灵活的题库导入机制，用户可自行定义题库导入，支持多种题目类型的题库导入功能。永久帮助用户导入用户所需题库，并实时更新相应题库。也可以按考试要求检索题干查找相应科目进行组卷学习。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题型管理：支持医学类常见的1</w:t>
            </w:r>
            <w:r>
              <w:t>7</w:t>
            </w:r>
            <w:r>
              <w:rPr>
                <w:rFonts w:hint="eastAsia"/>
              </w:rPr>
              <w:t>种题型，如配伍题、病案分析题、B型题等题型。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题库录入：按题目类型实现各种类型的题目录入功能，方便用户自行建立题库。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1701" w:type="dxa"/>
            <w:vMerge w:val="continue"/>
            <w:vAlign w:val="center"/>
          </w:tcPr>
          <w:p/>
        </w:tc>
        <w:tc>
          <w:tcPr>
            <w:tcW w:w="587" w:type="dxa"/>
            <w:shd w:val="clear" w:color="auto" w:fill="auto"/>
            <w:vAlign w:val="center"/>
          </w:tcPr>
          <w:p>
            <w:pPr>
              <w:ind w:firstLine="0" w:firstLineChars="0"/>
            </w:pPr>
            <w:r>
              <w:rPr>
                <w:rFonts w:hint="eastAsia"/>
              </w:rPr>
              <w:t>题库类目</w:t>
            </w:r>
          </w:p>
        </w:tc>
        <w:tc>
          <w:tcPr>
            <w:tcW w:w="6379" w:type="dxa"/>
            <w:shd w:val="clear" w:color="auto" w:fill="auto"/>
            <w:vAlign w:val="center"/>
          </w:tcPr>
          <w:p>
            <w:pPr>
              <w:ind w:firstLine="0" w:firstLineChars="0"/>
            </w:pPr>
            <w:r>
              <w:rPr>
                <w:rFonts w:hint="eastAsia"/>
              </w:rPr>
              <w:t>临床医学考试；三基考试（湖南版、东南版）；职称考试（执业资格考试，初、中、高级职称考试等）；临床护理考试；院内考试（总务管理、信息化科室、人事管理、住院医师规范化培训）等其它考试。总计试题量不低于1</w:t>
            </w:r>
            <w:r>
              <w:t>8</w:t>
            </w:r>
            <w:r>
              <w:rPr>
                <w:rFonts w:hint="eastAsia"/>
              </w:rPr>
              <w:t>0万道，可满足医院不同科室、不同职称的考核学习。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3" w:hRule="atLeast"/>
        </w:trPr>
        <w:tc>
          <w:tcPr>
            <w:tcW w:w="1701" w:type="dxa"/>
            <w:vMerge w:val="continue"/>
            <w:vAlign w:val="center"/>
          </w:tcPr>
          <w:p/>
        </w:tc>
        <w:tc>
          <w:tcPr>
            <w:tcW w:w="587" w:type="dxa"/>
            <w:vMerge w:val="restart"/>
            <w:shd w:val="clear" w:color="auto" w:fill="auto"/>
            <w:vAlign w:val="center"/>
          </w:tcPr>
          <w:p>
            <w:pPr>
              <w:ind w:firstLine="0" w:firstLineChars="0"/>
            </w:pPr>
            <w:r>
              <w:rPr>
                <w:rFonts w:hint="eastAsia"/>
              </w:rPr>
              <w:t>学习中心</w:t>
            </w:r>
          </w:p>
          <w:p/>
        </w:tc>
        <w:tc>
          <w:tcPr>
            <w:tcW w:w="6379" w:type="dxa"/>
            <w:shd w:val="clear" w:color="auto" w:fill="auto"/>
            <w:vAlign w:val="center"/>
          </w:tcPr>
          <w:p>
            <w:pPr>
              <w:ind w:firstLine="0" w:firstLineChars="0"/>
            </w:pPr>
            <w:r>
              <w:rPr>
                <w:rFonts w:hint="eastAsia"/>
              </w:rPr>
              <w:t>课程学习：全体医护人员，可通过电脑、手机、微信公众号、I</w:t>
            </w:r>
            <w:r>
              <w:t>pad</w:t>
            </w:r>
            <w:r>
              <w:rPr>
                <w:rFonts w:hint="eastAsia"/>
              </w:rPr>
              <w:t>、</w:t>
            </w:r>
            <w:r>
              <w:t>Pad</w:t>
            </w:r>
            <w:r>
              <w:rPr>
                <w:rFonts w:hint="eastAsia"/>
              </w:rPr>
              <w:t>等相关可接入互联网的设备进行学习系统中全部多媒体资料；课程精选数百位权威专家的临床精粹、操作规范、管理经验等</w:t>
            </w:r>
            <w:r>
              <w:t>1</w:t>
            </w:r>
            <w:r>
              <w:rPr>
                <w:rFonts w:hint="eastAsia"/>
              </w:rPr>
              <w:t>000多个视频、P</w:t>
            </w:r>
            <w:r>
              <w:t>PT</w:t>
            </w:r>
            <w:r>
              <w:rPr>
                <w:rFonts w:hint="eastAsia"/>
              </w:rPr>
              <w:t>、P</w:t>
            </w:r>
            <w:r>
              <w:t>DF</w:t>
            </w:r>
            <w:r>
              <w:rPr>
                <w:rFonts w:hint="eastAsia"/>
              </w:rPr>
              <w:t>等资料，分为内、外、妇、儿、专科、护理、医师、医院管理等。为临床手术、临床教学提供动态、直观的指导。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r>
              <w:rPr>
                <w:rFonts w:hint="eastAsia"/>
              </w:rPr>
              <w:t>课程管理：医疗机构可自行上传本院相关多媒体资料供全院医护人员学习。系统支持视频、P</w:t>
            </w:r>
            <w:r>
              <w:t>PT</w:t>
            </w:r>
            <w:r>
              <w:rPr>
                <w:rFonts w:hint="eastAsia"/>
              </w:rPr>
              <w:t>、W</w:t>
            </w:r>
            <w:r>
              <w:t>ORD</w:t>
            </w:r>
            <w:r>
              <w:rPr>
                <w:rFonts w:hint="eastAsia"/>
              </w:rPr>
              <w:t>、P</w:t>
            </w:r>
            <w:r>
              <w:t>DF</w:t>
            </w:r>
            <w:r>
              <w:rPr>
                <w:rFonts w:hint="eastAsia"/>
              </w:rPr>
              <w:t>、图文等多格式。系统内教学及相关课程能够实时更新，满足医院不同科室、不同职称的考核学习。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习题管理：支持用户自己上传的课程自行录入配套的练习题目，帮助学员学习完后练习。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进度管理：管理人员可实时在后台查看本院全体医护人员的学习进度；所有学习过的程课可获得系统学分，供管理科室进行考核。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0"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防作弊：首次学习禁止拖动，随机弹出无人检测验证码。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6"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学分统计：系统可统计学员在本平台上考试或者学习获取的全部学分，并可进行分类统计，导出所有学分明细记录，作为管理人员考核医护人员的相关依据资料。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 w:hRule="atLeast"/>
        </w:trPr>
        <w:tc>
          <w:tcPr>
            <w:tcW w:w="1701" w:type="dxa"/>
            <w:vMerge w:val="continue"/>
            <w:vAlign w:val="center"/>
          </w:tcPr>
          <w:p/>
        </w:tc>
        <w:tc>
          <w:tcPr>
            <w:tcW w:w="587" w:type="dxa"/>
            <w:shd w:val="clear" w:color="auto" w:fill="auto"/>
            <w:vAlign w:val="center"/>
          </w:tcPr>
          <w:p>
            <w:pPr>
              <w:ind w:firstLine="0" w:firstLineChars="0"/>
            </w:pPr>
            <w:r>
              <w:rPr>
                <w:rFonts w:hint="eastAsia"/>
              </w:rPr>
              <w:t>签到中心</w:t>
            </w:r>
          </w:p>
        </w:tc>
        <w:tc>
          <w:tcPr>
            <w:tcW w:w="6379" w:type="dxa"/>
            <w:shd w:val="clear" w:color="auto" w:fill="auto"/>
            <w:vAlign w:val="center"/>
          </w:tcPr>
          <w:p>
            <w:pPr>
              <w:ind w:firstLine="0" w:firstLineChars="0"/>
            </w:pPr>
            <w:r>
              <w:rPr>
                <w:rFonts w:hint="eastAsia"/>
              </w:rPr>
              <w:t>系统支持会议签到、考试签到、培训签到及其它签到四种模式。用户只需创建签到任务，便可以用微信扫描二维码进行签到。二维码采用静态和动态两种签到模式，有效防止签到作弊。系统支持签到和签退两种方式，防止有人中途退场，并将签到数据永久保存在服务器中或导出Ex</w:t>
            </w:r>
            <w:r>
              <w:t>cel</w:t>
            </w:r>
            <w:r>
              <w:rPr>
                <w:rFonts w:hint="eastAsia"/>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59" w:hRule="atLeast"/>
        </w:trPr>
        <w:tc>
          <w:tcPr>
            <w:tcW w:w="1701" w:type="dxa"/>
            <w:vMerge w:val="continue"/>
            <w:vAlign w:val="center"/>
          </w:tcPr>
          <w:p/>
        </w:tc>
        <w:tc>
          <w:tcPr>
            <w:tcW w:w="587" w:type="dxa"/>
            <w:shd w:val="clear" w:color="auto" w:fill="auto"/>
            <w:vAlign w:val="center"/>
          </w:tcPr>
          <w:p>
            <w:pPr>
              <w:ind w:firstLine="0" w:firstLineChars="0"/>
            </w:pPr>
            <w:r>
              <w:rPr>
                <w:rFonts w:hint="eastAsia"/>
              </w:rPr>
              <w:t>疾病数据库</w:t>
            </w:r>
          </w:p>
        </w:tc>
        <w:tc>
          <w:tcPr>
            <w:tcW w:w="6379" w:type="dxa"/>
            <w:shd w:val="clear" w:color="auto" w:fill="auto"/>
            <w:vAlign w:val="center"/>
          </w:tcPr>
          <w:p>
            <w:pPr>
              <w:ind w:firstLine="0" w:firstLineChars="0"/>
            </w:pPr>
            <w:r>
              <w:rPr>
                <w:rFonts w:hint="eastAsia"/>
              </w:rPr>
              <w:t>疾病数据库包含多种常见疾病，分为内科、外科、妇产科、儿科、皮肤性病科、感染科、眼科、急诊科、口腔科、肿痛科、骨科、耳鼻喉头颈外科、内分泌科、神经内科、血液科、肾内科、肝胆内科等2</w:t>
            </w:r>
            <w:r>
              <w:t>9</w:t>
            </w:r>
            <w:r>
              <w:rPr>
                <w:rFonts w:hint="eastAsia"/>
              </w:rPr>
              <w:t>个科目的最新疾病数据。可手机A</w:t>
            </w:r>
            <w:r>
              <w:t>PP</w:t>
            </w:r>
            <w:r>
              <w:rPr>
                <w:rFonts w:hint="eastAsia"/>
              </w:rPr>
              <w:t>或微信公众号随时查询。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59" w:hRule="atLeast"/>
        </w:trPr>
        <w:tc>
          <w:tcPr>
            <w:tcW w:w="1701" w:type="dxa"/>
            <w:vMerge w:val="continue"/>
            <w:vAlign w:val="center"/>
          </w:tcPr>
          <w:p/>
        </w:tc>
        <w:tc>
          <w:tcPr>
            <w:tcW w:w="587" w:type="dxa"/>
            <w:vMerge w:val="restart"/>
            <w:shd w:val="clear" w:color="auto" w:fill="auto"/>
            <w:vAlign w:val="center"/>
          </w:tcPr>
          <w:p>
            <w:pPr>
              <w:ind w:firstLine="0" w:firstLineChars="0"/>
            </w:pPr>
            <w:r>
              <w:rPr>
                <w:rFonts w:hint="eastAsia"/>
              </w:rPr>
              <w:t>护理宣教</w:t>
            </w:r>
          </w:p>
        </w:tc>
        <w:tc>
          <w:tcPr>
            <w:tcW w:w="6379" w:type="dxa"/>
            <w:shd w:val="clear" w:color="auto" w:fill="auto"/>
            <w:vAlign w:val="center"/>
          </w:tcPr>
          <w:p>
            <w:pPr>
              <w:ind w:firstLine="0" w:firstLineChars="0"/>
            </w:pPr>
            <w:r>
              <w:rPr>
                <w:rFonts w:hint="eastAsia"/>
              </w:rPr>
              <w:t>科室管理人员，可在平台内上传或分享任意多媒体及图文宣教文件到平台中，系统可供院内全部护理人员实时将平台上共享的学习资料通过二维码分享给患者，完成护理宣传，同时可提高护理人员宣教水平。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2"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支持发布分享与不分享，且可指定分享范围；支持分享统计，按分享人员统计分享次数及浏览明细记录，且支持记录导出到e</w:t>
            </w:r>
            <w:r>
              <w:t>xcel</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59" w:hRule="atLeast"/>
        </w:trPr>
        <w:tc>
          <w:tcPr>
            <w:tcW w:w="1701" w:type="dxa"/>
            <w:vMerge w:val="continue"/>
            <w:vAlign w:val="center"/>
          </w:tcPr>
          <w:p/>
        </w:tc>
        <w:tc>
          <w:tcPr>
            <w:tcW w:w="587" w:type="dxa"/>
            <w:vMerge w:val="continue"/>
            <w:shd w:val="clear" w:color="auto" w:fill="auto"/>
            <w:vAlign w:val="center"/>
          </w:tcPr>
          <w:p/>
        </w:tc>
        <w:tc>
          <w:tcPr>
            <w:tcW w:w="6379" w:type="dxa"/>
            <w:shd w:val="clear" w:color="auto" w:fill="auto"/>
            <w:vAlign w:val="center"/>
          </w:tcPr>
          <w:p>
            <w:pPr>
              <w:ind w:firstLine="0" w:firstLineChars="0"/>
            </w:pPr>
            <w:r>
              <w:rPr>
                <w:rFonts w:hint="eastAsia"/>
              </w:rPr>
              <w:t>内置不低于2</w:t>
            </w:r>
            <w:r>
              <w:t>000</w:t>
            </w:r>
            <w:r>
              <w:rPr>
                <w:rFonts w:hint="eastAsia"/>
              </w:rPr>
              <w:t>套宣教内容；提供专业的图文编辑器，且提供专业的文章模版、分割符、关注、图文等模版，方便管理人员快速编辑自己的宣教内容。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59" w:hRule="atLeast"/>
        </w:trPr>
        <w:tc>
          <w:tcPr>
            <w:tcW w:w="1701" w:type="dxa"/>
            <w:vMerge w:val="continue"/>
            <w:vAlign w:val="center"/>
          </w:tcPr>
          <w:p/>
        </w:tc>
        <w:tc>
          <w:tcPr>
            <w:tcW w:w="587" w:type="dxa"/>
            <w:shd w:val="clear" w:color="auto" w:fill="auto"/>
            <w:vAlign w:val="center"/>
          </w:tcPr>
          <w:p>
            <w:pPr>
              <w:ind w:firstLine="0" w:firstLineChars="0"/>
            </w:pPr>
            <w:r>
              <w:rPr>
                <w:rFonts w:hint="eastAsia"/>
              </w:rPr>
              <w:t>问卷调查</w:t>
            </w:r>
          </w:p>
        </w:tc>
        <w:tc>
          <w:tcPr>
            <w:tcW w:w="6379" w:type="dxa"/>
            <w:shd w:val="clear" w:color="auto" w:fill="auto"/>
            <w:vAlign w:val="center"/>
          </w:tcPr>
          <w:p>
            <w:pPr>
              <w:ind w:firstLine="0" w:firstLineChars="0"/>
            </w:pPr>
            <w:r>
              <w:rPr>
                <w:rFonts w:hint="eastAsia"/>
              </w:rPr>
              <w:t>管理人员可轻松创建任意格式的调查问卷；指定时间自动回收问卷；支持院内人员及院外人员调查控制；支持二维码多渠道分发问卷；完美支持移动端问卷填报；实时分析及掌握问卷填报进度；支持填报内容完整导出到</w:t>
            </w:r>
            <w:r>
              <w:t>Excel;</w:t>
            </w:r>
            <w:r>
              <w:rPr>
                <w:rFonts w:hint="eastAsia"/>
              </w:rPr>
              <w:t>支持问卷细化分析及统计。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59" w:hRule="atLeast"/>
        </w:trPr>
        <w:tc>
          <w:tcPr>
            <w:tcW w:w="1701" w:type="dxa"/>
            <w:vMerge w:val="continue"/>
            <w:vAlign w:val="center"/>
          </w:tcPr>
          <w:p/>
        </w:tc>
        <w:tc>
          <w:tcPr>
            <w:tcW w:w="587" w:type="dxa"/>
            <w:shd w:val="clear" w:color="auto" w:fill="auto"/>
            <w:vAlign w:val="center"/>
          </w:tcPr>
          <w:p>
            <w:pPr>
              <w:ind w:firstLine="0" w:firstLineChars="0"/>
            </w:pPr>
            <w:r>
              <w:rPr>
                <w:rFonts w:hint="eastAsia"/>
              </w:rPr>
              <w:t>系统管理</w:t>
            </w:r>
          </w:p>
        </w:tc>
        <w:tc>
          <w:tcPr>
            <w:tcW w:w="6379" w:type="dxa"/>
            <w:shd w:val="clear" w:color="auto" w:fill="auto"/>
            <w:vAlign w:val="center"/>
          </w:tcPr>
          <w:p>
            <w:pPr>
              <w:ind w:firstLine="0" w:firstLineChars="0"/>
            </w:pPr>
            <w:r>
              <w:rPr>
                <w:rFonts w:hint="eastAsia"/>
              </w:rPr>
              <w:t>管理人员可实时在后台对全院所有医护人员进行添加、删除、锁定、批量导入导出等操作，并可查看所有人员P</w:t>
            </w:r>
            <w:r>
              <w:t>C</w:t>
            </w:r>
            <w:r>
              <w:rPr>
                <w:rFonts w:hint="eastAsia"/>
              </w:rPr>
              <w:t>或手机端登录记录；可划分不同的角色分组，对全院任意医护人员进行详细的角色权限划分；可对系统科室、职称等相关字典资料进行配置。</w:t>
            </w:r>
          </w:p>
        </w:tc>
      </w:tr>
    </w:tbl>
    <w:p>
      <w:pPr>
        <w:ind w:firstLine="0" w:firstLineChars="0"/>
      </w:pPr>
    </w:p>
    <w:p>
      <w:pPr>
        <w:pStyle w:val="6"/>
        <w:ind w:firstLine="643"/>
      </w:pPr>
      <w:bookmarkStart w:id="1099" w:name="_Toc12848"/>
      <w:r>
        <w:rPr>
          <w:rFonts w:hint="eastAsia"/>
        </w:rPr>
        <w:t>技术服务要求</w:t>
      </w:r>
      <w:bookmarkEnd w:id="1099"/>
    </w:p>
    <w:p>
      <w:pPr>
        <w:pStyle w:val="7"/>
        <w:ind w:firstLine="602"/>
      </w:pPr>
      <w:bookmarkStart w:id="1100" w:name="_Toc13712"/>
      <w:r>
        <w:rPr>
          <w:rFonts w:hint="eastAsia"/>
        </w:rPr>
        <w:t>实施要求</w:t>
      </w:r>
      <w:bookmarkEnd w:id="1100"/>
    </w:p>
    <w:p>
      <w:r>
        <w:rPr>
          <w:rFonts w:hint="eastAsia"/>
        </w:rPr>
        <w:t>1、</w:t>
      </w:r>
      <w:r>
        <w:t>交货期：</w:t>
      </w:r>
      <w:r>
        <w:rPr>
          <w:rFonts w:hint="eastAsia"/>
        </w:rPr>
        <w:t>合同签订后</w:t>
      </w:r>
      <w:r>
        <w:t xml:space="preserve"> 180 个日历日完成软件安装、调试，并交付使用。</w:t>
      </w:r>
    </w:p>
    <w:p>
      <w:r>
        <w:t>2、交货地点：采购人指定点</w:t>
      </w:r>
    </w:p>
    <w:p>
      <w:r>
        <w:t>3、实施团队的工作地点和工作内容由采购人安排并提供办公场地。项目组成员需严格遵守医院有关管理制度，包括考勤制度、着装要求等。</w:t>
      </w:r>
    </w:p>
    <w:p>
      <w:r>
        <w:t>4、</w:t>
      </w:r>
      <w:r>
        <w:rPr>
          <w:rFonts w:hint="eastAsia"/>
          <w:lang w:eastAsia="zh-CN"/>
        </w:rPr>
        <w:t>供应商</w:t>
      </w:r>
      <w:r>
        <w:t xml:space="preserve">不得擅自变动团队成员，如遇特殊情况须变动需征得采购人同意。 </w:t>
      </w:r>
    </w:p>
    <w:p>
      <w:r>
        <w:t>5、</w:t>
      </w:r>
      <w:r>
        <w:rPr>
          <w:rFonts w:hint="eastAsia"/>
          <w:lang w:eastAsia="zh-CN"/>
        </w:rPr>
        <w:t>供应商</w:t>
      </w:r>
      <w:r>
        <w:t>必须确保在整个项目过程中遵守国家及行业相关法规、标准和规范，如果投标人已有产品或工作模式在标准和规范方面存在缺陷，中标人必须在本项目实施过程中予以改正。</w:t>
      </w:r>
    </w:p>
    <w:p>
      <w:r>
        <w:t>6、</w:t>
      </w:r>
      <w:r>
        <w:rPr>
          <w:rFonts w:hint="eastAsia"/>
          <w:lang w:eastAsia="zh-CN"/>
        </w:rPr>
        <w:t>供应商</w:t>
      </w:r>
      <w:r>
        <w:t>必须在对整个项目过程进行科学、有效的项目管理。</w:t>
      </w:r>
    </w:p>
    <w:p>
      <w:r>
        <w:t>7、</w:t>
      </w:r>
      <w:r>
        <w:rPr>
          <w:rFonts w:hint="eastAsia"/>
          <w:lang w:eastAsia="zh-CN"/>
        </w:rPr>
        <w:t>供应商</w:t>
      </w:r>
      <w:r>
        <w:t>在投标文件中，应针对项目制定合理的实施步骤，包含需求调研、客户化改造、测试、数据准备、培训考核等。</w:t>
      </w:r>
    </w:p>
    <w:p>
      <w:r>
        <w:t>8、</w:t>
      </w:r>
      <w:r>
        <w:rPr>
          <w:rFonts w:hint="eastAsia"/>
          <w:lang w:eastAsia="zh-CN"/>
        </w:rPr>
        <w:t>供应商</w:t>
      </w:r>
      <w:r>
        <w:t>在投标文件中应提供切实可行的实施工作进度保障方案及控制措施，以确保项目质量和进度。</w:t>
      </w:r>
    </w:p>
    <w:p>
      <w:r>
        <w:t>9、如在项目实施过程中需要调整内容、进度等，需经双方共同同意，按合同变更程序办理。</w:t>
      </w:r>
    </w:p>
    <w:p>
      <w:pPr>
        <w:pStyle w:val="7"/>
        <w:ind w:firstLine="602"/>
      </w:pPr>
      <w:bookmarkStart w:id="1101" w:name="_Toc17991228"/>
      <w:bookmarkStart w:id="1102" w:name="_Toc18510643"/>
      <w:bookmarkStart w:id="1103" w:name="_Toc25257"/>
      <w:r>
        <w:rPr>
          <w:rFonts w:hint="eastAsia"/>
        </w:rPr>
        <w:t>培训要求</w:t>
      </w:r>
      <w:bookmarkEnd w:id="1101"/>
      <w:bookmarkEnd w:id="1102"/>
      <w:bookmarkEnd w:id="1103"/>
    </w:p>
    <w:p>
      <w:r>
        <w:rPr>
          <w:rFonts w:hint="eastAsia"/>
        </w:rPr>
        <w:t>中标人必须根据系统软件的功能和特点，充分考虑到系统使用人员的实际水平，提出详细的系统培训方案。目标是通过系统培训以达到系统管理人员能够具备独立管理中标人所提供的系统软件和日常的维护处理能力，各级业务人员能够熟练使用系统软件，确保应用系统能够真正的用起来。</w:t>
      </w:r>
    </w:p>
    <w:p>
      <w:r>
        <w:rPr>
          <w:rFonts w:hint="eastAsia"/>
        </w:rPr>
        <w:t>1、</w:t>
      </w:r>
      <w:r>
        <w:rPr>
          <w:rFonts w:hint="eastAsia"/>
          <w:lang w:eastAsia="zh-CN"/>
        </w:rPr>
        <w:t>供应商</w:t>
      </w:r>
      <w:r>
        <w:rPr>
          <w:rFonts w:hint="eastAsia"/>
        </w:rPr>
        <w:t>需要准备一份完整的培训方案，对甲方各类人员进行相关的培训，明确培训的内容、次数和方式。</w:t>
      </w:r>
    </w:p>
    <w:p>
      <w:r>
        <w:rPr>
          <w:rFonts w:hint="eastAsia"/>
        </w:rPr>
        <w:t>2、培训对象应分为普通业务操作员、系统管理员，中标人必须针对不同的对象制定不同的培训计划，并分别培训。所提供的培训课程表随投标文件一起提交。</w:t>
      </w:r>
    </w:p>
    <w:p>
      <w:r>
        <w:rPr>
          <w:rFonts w:hint="eastAsia"/>
        </w:rPr>
        <w:t>3、</w:t>
      </w:r>
      <w:r>
        <w:rPr>
          <w:rFonts w:hint="eastAsia"/>
          <w:lang w:eastAsia="zh-CN"/>
        </w:rPr>
        <w:t>供应商</w:t>
      </w:r>
      <w:r>
        <w:rPr>
          <w:rFonts w:hint="eastAsia"/>
        </w:rPr>
        <w:t>应保证提供有经验的教员，使甲方相关人员在培训后能够独立地对系统进行管理、维护，而不需中标人的人员在场指导。</w:t>
      </w:r>
    </w:p>
    <w:p>
      <w:r>
        <w:rPr>
          <w:rFonts w:hint="eastAsia"/>
        </w:rPr>
        <w:t>4、培训内容包括应用软件操作、操作系统、后台数据库管理等培训。</w:t>
      </w:r>
    </w:p>
    <w:p>
      <w:r>
        <w:rPr>
          <w:rFonts w:hint="eastAsia"/>
        </w:rPr>
        <w:t>5、</w:t>
      </w:r>
      <w:r>
        <w:rPr>
          <w:rFonts w:hint="eastAsia"/>
          <w:lang w:eastAsia="zh-CN"/>
        </w:rPr>
        <w:t>供应商</w:t>
      </w:r>
      <w:r>
        <w:rPr>
          <w:rFonts w:hint="eastAsia"/>
        </w:rPr>
        <w:t>必须为所有被培训人员进行现场培训。</w:t>
      </w:r>
    </w:p>
    <w:p>
      <w:r>
        <w:rPr>
          <w:rFonts w:hint="eastAsia"/>
        </w:rPr>
        <w:t>6、业务系统操作培训工作应在系统安装之前结束。</w:t>
      </w:r>
    </w:p>
    <w:p>
      <w:r>
        <w:rPr>
          <w:rFonts w:hint="eastAsia"/>
        </w:rPr>
        <w:t>7、甲方仅负责提供培训场地、培训电脑和培训人员的召集。</w:t>
      </w:r>
    </w:p>
    <w:p>
      <w:r>
        <w:rPr>
          <w:rFonts w:hint="eastAsia"/>
        </w:rPr>
        <w:t>8、</w:t>
      </w:r>
      <w:r>
        <w:rPr>
          <w:rFonts w:hint="eastAsia"/>
          <w:lang w:eastAsia="zh-CN"/>
        </w:rPr>
        <w:t>供应商</w:t>
      </w:r>
      <w:r>
        <w:rPr>
          <w:rFonts w:hint="eastAsia"/>
        </w:rPr>
        <w:t>负责培训环境的搭建、培训文档的准备、培训的实施、培训人员的考核等。</w:t>
      </w:r>
    </w:p>
    <w:p>
      <w:r>
        <w:rPr>
          <w:rFonts w:hint="eastAsia"/>
        </w:rPr>
        <w:t>9、与培训相关的费用，投标人应当一并计算在投标报价中。</w:t>
      </w:r>
    </w:p>
    <w:p>
      <w:pPr>
        <w:pStyle w:val="7"/>
        <w:ind w:firstLine="602"/>
      </w:pPr>
      <w:bookmarkStart w:id="1104" w:name="_Toc2192"/>
      <w:r>
        <w:rPr>
          <w:rFonts w:hint="eastAsia"/>
        </w:rPr>
        <w:t>售后服务</w:t>
      </w:r>
      <w:bookmarkEnd w:id="1104"/>
    </w:p>
    <w:p>
      <w:pPr>
        <w:spacing w:line="300" w:lineRule="exact"/>
        <w:rPr>
          <w:rFonts w:asciiTheme="minorEastAsia" w:hAnsiTheme="minorEastAsia"/>
        </w:rPr>
      </w:pPr>
      <w:r>
        <w:rPr>
          <w:rFonts w:hint="eastAsia" w:asciiTheme="minorEastAsia" w:hAnsiTheme="minorEastAsia"/>
        </w:rPr>
        <w:t>1、提供不少于三年的免费售后服务期，且提供驻场服务（含投标方在医院已建项目）。</w:t>
      </w:r>
      <w:r>
        <w:t>起始日期为系统验收第二天起</w:t>
      </w:r>
      <w:r>
        <w:rPr>
          <w:rFonts w:hint="eastAsia"/>
        </w:rPr>
        <w:t>。</w:t>
      </w:r>
    </w:p>
    <w:p>
      <w:pPr>
        <w:spacing w:line="300" w:lineRule="exact"/>
        <w:rPr>
          <w:rFonts w:asciiTheme="minorEastAsia" w:hAnsiTheme="minorEastAsia"/>
        </w:rPr>
      </w:pPr>
      <w:r>
        <w:rPr>
          <w:rFonts w:hint="eastAsia" w:asciiTheme="minorEastAsia" w:hAnsiTheme="minorEastAsia"/>
        </w:rPr>
        <w:t>2、</w:t>
      </w:r>
      <w:r>
        <w:rPr>
          <w:rFonts w:asciiTheme="minorEastAsia" w:hAnsiTheme="minorEastAsia"/>
        </w:rPr>
        <w:t>提供标准</w:t>
      </w:r>
      <w:r>
        <w:rPr>
          <w:rFonts w:hint="eastAsia" w:asciiTheme="minorEastAsia" w:hAnsiTheme="minorEastAsia"/>
        </w:rPr>
        <w:t>HL7接口，</w:t>
      </w:r>
      <w:r>
        <w:rPr>
          <w:rFonts w:asciiTheme="minorEastAsia" w:hAnsiTheme="minorEastAsia"/>
        </w:rPr>
        <w:t>完成与医院</w:t>
      </w:r>
      <w:r>
        <w:rPr>
          <w:rFonts w:hint="eastAsia" w:asciiTheme="minorEastAsia" w:hAnsiTheme="minorEastAsia"/>
        </w:rPr>
        <w:t>集成</w:t>
      </w:r>
      <w:r>
        <w:rPr>
          <w:rFonts w:asciiTheme="minorEastAsia" w:hAnsiTheme="minorEastAsia"/>
        </w:rPr>
        <w:t>平台的对接工作</w:t>
      </w:r>
      <w:r>
        <w:rPr>
          <w:rFonts w:hint="eastAsia" w:asciiTheme="minorEastAsia" w:hAnsiTheme="minorEastAsia"/>
        </w:rPr>
        <w:t>，功能达到医院信息集成平台建设要求</w:t>
      </w:r>
      <w:r>
        <w:rPr>
          <w:rFonts w:asciiTheme="minorEastAsia" w:hAnsiTheme="minorEastAsia"/>
        </w:rPr>
        <w:t>；</w:t>
      </w:r>
    </w:p>
    <w:p>
      <w:pPr>
        <w:spacing w:line="300" w:lineRule="exact"/>
        <w:rPr>
          <w:rFonts w:asciiTheme="minorEastAsia" w:hAnsiTheme="minorEastAsia"/>
        </w:rPr>
      </w:pPr>
      <w:r>
        <w:rPr>
          <w:rFonts w:hint="eastAsia" w:asciiTheme="minorEastAsia" w:hAnsiTheme="minorEastAsia"/>
        </w:rPr>
        <w:t>3、软件接口：</w:t>
      </w:r>
      <w:r>
        <w:rPr>
          <w:rFonts w:asciiTheme="minorEastAsia" w:hAnsiTheme="minorEastAsia"/>
        </w:rPr>
        <w:t>项目实施期、免费维保期、有偿维保期内，</w:t>
      </w:r>
      <w:r>
        <w:rPr>
          <w:rFonts w:hint="eastAsia" w:asciiTheme="minorEastAsia" w:hAnsiTheme="minorEastAsia"/>
        </w:rPr>
        <w:t>本项目内所有软件免费提供软件功能需求的修改，</w:t>
      </w:r>
      <w:r>
        <w:rPr>
          <w:rFonts w:asciiTheme="minorEastAsia" w:hAnsiTheme="minorEastAsia"/>
        </w:rPr>
        <w:t>免费开放软件所有接口</w:t>
      </w:r>
      <w:r>
        <w:rPr>
          <w:rFonts w:hint="eastAsia" w:asciiTheme="minorEastAsia" w:hAnsiTheme="minorEastAsia"/>
        </w:rPr>
        <w:t>；H</w:t>
      </w:r>
      <w:r>
        <w:rPr>
          <w:rFonts w:asciiTheme="minorEastAsia" w:hAnsiTheme="minorEastAsia"/>
        </w:rPr>
        <w:t>IS</w:t>
      </w:r>
      <w:r>
        <w:rPr>
          <w:rFonts w:hint="eastAsia" w:asciiTheme="minorEastAsia" w:hAnsiTheme="minorEastAsia"/>
        </w:rPr>
        <w:t>、E</w:t>
      </w:r>
      <w:r>
        <w:rPr>
          <w:rFonts w:asciiTheme="minorEastAsia" w:hAnsiTheme="minorEastAsia"/>
        </w:rPr>
        <w:t>MR</w:t>
      </w:r>
      <w:r>
        <w:rPr>
          <w:rFonts w:hint="eastAsia" w:asciiTheme="minorEastAsia" w:hAnsiTheme="minorEastAsia"/>
        </w:rPr>
        <w:t>、集成平台厂商需免费开放接口，集成平台厂商不得变相收取集成平台接口费用，并</w:t>
      </w:r>
      <w:r>
        <w:rPr>
          <w:rFonts w:asciiTheme="minorEastAsia" w:hAnsiTheme="minorEastAsia"/>
        </w:rPr>
        <w:t>按照医院需求完成医院第三方软件的</w:t>
      </w:r>
      <w:r>
        <w:rPr>
          <w:rFonts w:hint="eastAsia" w:asciiTheme="minorEastAsia" w:hAnsiTheme="minorEastAsia"/>
        </w:rPr>
        <w:t>接口开发</w:t>
      </w:r>
      <w:r>
        <w:rPr>
          <w:rFonts w:asciiTheme="minorEastAsia" w:hAnsiTheme="minorEastAsia"/>
        </w:rPr>
        <w:t>与对接工作</w:t>
      </w:r>
      <w:r>
        <w:rPr>
          <w:rFonts w:hint="eastAsia" w:asciiTheme="minorEastAsia" w:hAnsiTheme="minorEastAsia"/>
        </w:rPr>
        <w:t>；项目实施和免费维保期间，采购方其他信息系统需要接入集成平台，但集成平台缺少相应交换组件的，由集成平台厂商免费提供（提供H</w:t>
      </w:r>
      <w:r>
        <w:rPr>
          <w:rFonts w:asciiTheme="minorEastAsia" w:hAnsiTheme="minorEastAsia"/>
        </w:rPr>
        <w:t>IS</w:t>
      </w:r>
      <w:r>
        <w:rPr>
          <w:rFonts w:hint="eastAsia" w:asciiTheme="minorEastAsia" w:hAnsiTheme="minorEastAsia"/>
        </w:rPr>
        <w:t>、</w:t>
      </w:r>
      <w:r>
        <w:rPr>
          <w:rFonts w:asciiTheme="minorEastAsia" w:hAnsiTheme="minorEastAsia"/>
        </w:rPr>
        <w:t>EMR</w:t>
      </w:r>
      <w:r>
        <w:rPr>
          <w:rFonts w:hint="eastAsia" w:asciiTheme="minorEastAsia" w:hAnsiTheme="minorEastAsia"/>
        </w:rPr>
        <w:t>、集成平台软件厂商承诺函并加盖公章）；</w:t>
      </w:r>
    </w:p>
    <w:p>
      <w:pPr>
        <w:spacing w:line="300" w:lineRule="exact"/>
        <w:rPr>
          <w:rFonts w:asciiTheme="minorEastAsia" w:hAnsiTheme="minorEastAsia"/>
        </w:rPr>
      </w:pPr>
      <w:r>
        <w:rPr>
          <w:rFonts w:hint="eastAsia" w:asciiTheme="minorEastAsia" w:hAnsiTheme="minorEastAsia"/>
        </w:rPr>
        <w:t>4、</w:t>
      </w:r>
      <w:r>
        <w:rPr>
          <w:rFonts w:asciiTheme="minorEastAsia" w:hAnsiTheme="minorEastAsia"/>
        </w:rPr>
        <w:t>免费维保期、有偿维保期内</w:t>
      </w:r>
      <w:r>
        <w:rPr>
          <w:rFonts w:hint="eastAsia" w:asciiTheme="minorEastAsia" w:hAnsiTheme="minorEastAsia"/>
        </w:rPr>
        <w:t>，</w:t>
      </w:r>
      <w:r>
        <w:rPr>
          <w:rFonts w:hint="eastAsia"/>
          <w:lang w:eastAsia="zh-CN"/>
        </w:rPr>
        <w:t>供应商</w:t>
      </w:r>
      <w:r>
        <w:rPr>
          <w:rFonts w:hint="eastAsia" w:asciiTheme="minorEastAsia" w:hAnsiTheme="minorEastAsia"/>
        </w:rPr>
        <w:t>免费</w:t>
      </w:r>
      <w:r>
        <w:rPr>
          <w:rFonts w:asciiTheme="minorEastAsia" w:hAnsiTheme="minorEastAsia"/>
        </w:rPr>
        <w:t>配合医院完成国家</w:t>
      </w:r>
      <w:r>
        <w:rPr>
          <w:rFonts w:hint="eastAsia" w:asciiTheme="minorEastAsia" w:hAnsiTheme="minorEastAsia"/>
        </w:rPr>
        <w:t>指令</w:t>
      </w:r>
      <w:r>
        <w:rPr>
          <w:rFonts w:asciiTheme="minorEastAsia" w:hAnsiTheme="minorEastAsia"/>
        </w:rPr>
        <w:t>性、政策性</w:t>
      </w:r>
      <w:r>
        <w:rPr>
          <w:rFonts w:hint="eastAsia" w:asciiTheme="minorEastAsia" w:hAnsiTheme="minorEastAsia"/>
        </w:rPr>
        <w:t>要求</w:t>
      </w:r>
      <w:r>
        <w:rPr>
          <w:rFonts w:asciiTheme="minorEastAsia" w:hAnsiTheme="minorEastAsia"/>
        </w:rPr>
        <w:t>指标</w:t>
      </w:r>
      <w:r>
        <w:rPr>
          <w:rFonts w:hint="eastAsia" w:asciiTheme="minorEastAsia" w:hAnsiTheme="minorEastAsia"/>
        </w:rPr>
        <w:t>；</w:t>
      </w:r>
    </w:p>
    <w:p>
      <w:pPr>
        <w:spacing w:line="300" w:lineRule="exact"/>
        <w:rPr>
          <w:rFonts w:asciiTheme="minorEastAsia" w:hAnsiTheme="minorEastAsia"/>
        </w:rPr>
      </w:pPr>
      <w:r>
        <w:rPr>
          <w:rFonts w:hint="eastAsia" w:asciiTheme="minorEastAsia" w:hAnsiTheme="minorEastAsia"/>
        </w:rPr>
        <w:t>5、</w:t>
      </w:r>
      <w:r>
        <w:rPr>
          <w:rFonts w:asciiTheme="minorEastAsia" w:hAnsiTheme="minorEastAsia"/>
        </w:rPr>
        <w:t>付款方式：</w:t>
      </w:r>
      <w:r>
        <w:rPr>
          <w:rFonts w:hint="eastAsia" w:asciiTheme="minorEastAsia" w:hAnsiTheme="minorEastAsia"/>
        </w:rPr>
        <w:t>签订合同后</w:t>
      </w:r>
      <w:r>
        <w:rPr>
          <w:rFonts w:asciiTheme="minorEastAsia" w:hAnsiTheme="minorEastAsia"/>
        </w:rPr>
        <w:t>5</w:t>
      </w:r>
      <w:r>
        <w:rPr>
          <w:rFonts w:hint="eastAsia" w:asciiTheme="minorEastAsia" w:hAnsiTheme="minorEastAsia"/>
        </w:rPr>
        <w:t>个工作</w:t>
      </w:r>
      <w:r>
        <w:rPr>
          <w:rFonts w:asciiTheme="minorEastAsia" w:hAnsiTheme="minorEastAsia"/>
        </w:rPr>
        <w:t>日</w:t>
      </w:r>
      <w:r>
        <w:rPr>
          <w:rFonts w:hint="eastAsia" w:asciiTheme="minorEastAsia" w:hAnsiTheme="minorEastAsia"/>
        </w:rPr>
        <w:t>支付合同款的</w:t>
      </w:r>
      <w:r>
        <w:rPr>
          <w:rFonts w:asciiTheme="minorEastAsia" w:hAnsiTheme="minorEastAsia"/>
        </w:rPr>
        <w:t>3</w:t>
      </w:r>
      <w:r>
        <w:rPr>
          <w:rFonts w:hint="eastAsia" w:asciiTheme="minorEastAsia" w:hAnsiTheme="minorEastAsia"/>
        </w:rPr>
        <w:t>0%，项目正式上线运行投入使用后支付合同款的</w:t>
      </w:r>
      <w:r>
        <w:rPr>
          <w:rFonts w:asciiTheme="minorEastAsia" w:hAnsiTheme="minorEastAsia"/>
        </w:rPr>
        <w:t>30%</w:t>
      </w:r>
      <w:r>
        <w:rPr>
          <w:rFonts w:hint="eastAsia" w:asciiTheme="minorEastAsia" w:hAnsiTheme="minorEastAsia"/>
        </w:rPr>
        <w:t>，项目验收合格后支付合同款的</w:t>
      </w:r>
      <w:r>
        <w:rPr>
          <w:rFonts w:asciiTheme="minorEastAsia" w:hAnsiTheme="minorEastAsia"/>
        </w:rPr>
        <w:t>4</w:t>
      </w:r>
      <w:r>
        <w:rPr>
          <w:rFonts w:hint="eastAsia" w:asciiTheme="minorEastAsia" w:hAnsiTheme="minorEastAsia"/>
        </w:rPr>
        <w:t>0%；</w:t>
      </w:r>
      <w:r>
        <w:rPr>
          <w:rFonts w:asciiTheme="minorEastAsia" w:hAnsiTheme="minorEastAsia"/>
        </w:rPr>
        <w:t xml:space="preserve"> </w:t>
      </w:r>
    </w:p>
    <w:p>
      <w:pPr>
        <w:spacing w:line="300" w:lineRule="exact"/>
        <w:rPr>
          <w:rFonts w:asciiTheme="minorEastAsia" w:hAnsiTheme="minorEastAsia"/>
        </w:rPr>
      </w:pPr>
      <w:r>
        <w:rPr>
          <w:rFonts w:asciiTheme="minorEastAsia" w:hAnsiTheme="minorEastAsia"/>
        </w:rPr>
        <w:t>6</w:t>
      </w:r>
      <w:r>
        <w:rPr>
          <w:rFonts w:hint="eastAsia" w:asciiTheme="minorEastAsia" w:hAnsiTheme="minorEastAsia"/>
        </w:rPr>
        <w:t>、有偿维服务：</w:t>
      </w:r>
    </w:p>
    <w:p>
      <w:pPr>
        <w:spacing w:line="300" w:lineRule="exact"/>
        <w:rPr>
          <w:rFonts w:asciiTheme="minorEastAsia" w:hAnsiTheme="minorEastAsia"/>
        </w:rPr>
      </w:pPr>
      <w:r>
        <w:rPr>
          <w:rFonts w:asciiTheme="minorEastAsia" w:hAnsiTheme="minorEastAsia"/>
        </w:rPr>
        <w:t>6.1</w:t>
      </w:r>
      <w:r>
        <w:rPr>
          <w:rFonts w:hint="eastAsia" w:asciiTheme="minorEastAsia" w:hAnsiTheme="minorEastAsia"/>
        </w:rPr>
        <w:t>、免费维保期结束后，有偿维保费用不超过在本项目中中标金额的</w:t>
      </w:r>
      <w:r>
        <w:rPr>
          <w:rFonts w:asciiTheme="minorEastAsia" w:hAnsiTheme="minorEastAsia"/>
        </w:rPr>
        <w:t>10%</w:t>
      </w:r>
      <w:r>
        <w:rPr>
          <w:rFonts w:hint="eastAsia" w:asciiTheme="minorEastAsia" w:hAnsiTheme="minorEastAsia"/>
        </w:rPr>
        <w:t>；（投标方已在医院建设的项目一并纳入维保,但费用不进行累加，以本项目中标金额为准。）</w:t>
      </w:r>
    </w:p>
    <w:p>
      <w:pPr>
        <w:spacing w:line="300" w:lineRule="exact"/>
        <w:rPr>
          <w:rFonts w:asciiTheme="minorEastAsia" w:hAnsiTheme="minorEastAsia"/>
        </w:rPr>
      </w:pPr>
      <w:r>
        <w:rPr>
          <w:rFonts w:hint="eastAsia" w:asciiTheme="minorEastAsia" w:hAnsiTheme="minorEastAsia"/>
        </w:rPr>
        <w:t>6</w:t>
      </w:r>
      <w:r>
        <w:rPr>
          <w:rFonts w:asciiTheme="minorEastAsia" w:hAnsiTheme="minorEastAsia"/>
        </w:rPr>
        <w:t>.2</w:t>
      </w:r>
      <w:r>
        <w:rPr>
          <w:rFonts w:hint="eastAsia" w:asciiTheme="minorEastAsia" w:hAnsiTheme="minorEastAsia"/>
        </w:rPr>
        <w:t>、H</w:t>
      </w:r>
      <w:r>
        <w:rPr>
          <w:rFonts w:asciiTheme="minorEastAsia" w:hAnsiTheme="minorEastAsia"/>
        </w:rPr>
        <w:t>IS</w:t>
      </w:r>
      <w:r>
        <w:rPr>
          <w:rFonts w:hint="eastAsia" w:asciiTheme="minorEastAsia" w:hAnsiTheme="minorEastAsia"/>
        </w:rPr>
        <w:t>、E</w:t>
      </w:r>
      <w:r>
        <w:rPr>
          <w:rFonts w:asciiTheme="minorEastAsia" w:hAnsiTheme="minorEastAsia"/>
        </w:rPr>
        <w:t>MR</w:t>
      </w:r>
      <w:r>
        <w:rPr>
          <w:rFonts w:hint="eastAsia" w:asciiTheme="minorEastAsia" w:hAnsiTheme="minorEastAsia"/>
        </w:rPr>
        <w:t>、集成平台系统厂商需提供维保合同约定时间的驻场服务。</w:t>
      </w:r>
    </w:p>
    <w:p>
      <w:pPr>
        <w:spacing w:line="300" w:lineRule="exact"/>
        <w:rPr>
          <w:rFonts w:asciiTheme="minorEastAsia" w:hAnsiTheme="minorEastAsia"/>
        </w:rPr>
      </w:pPr>
      <w:r>
        <w:rPr>
          <w:rFonts w:asciiTheme="minorEastAsia" w:hAnsiTheme="minorEastAsia"/>
        </w:rPr>
        <w:t>7</w:t>
      </w:r>
      <w:r>
        <w:rPr>
          <w:rFonts w:hint="eastAsia" w:asciiTheme="minorEastAsia" w:hAnsiTheme="minorEastAsia"/>
        </w:rPr>
        <w:t>、项目</w:t>
      </w:r>
      <w:r>
        <w:rPr>
          <w:rFonts w:asciiTheme="minorEastAsia" w:hAnsiTheme="minorEastAsia"/>
        </w:rPr>
        <w:t>验收</w:t>
      </w:r>
      <w:r>
        <w:rPr>
          <w:rFonts w:hint="eastAsia" w:asciiTheme="minorEastAsia" w:hAnsiTheme="minorEastAsia"/>
        </w:rPr>
        <w:t>条件</w:t>
      </w:r>
      <w:r>
        <w:rPr>
          <w:rFonts w:asciiTheme="minorEastAsia" w:hAnsiTheme="minorEastAsia"/>
        </w:rPr>
        <w:t>：</w:t>
      </w:r>
    </w:p>
    <w:p>
      <w:pPr>
        <w:spacing w:line="300" w:lineRule="exact"/>
        <w:rPr>
          <w:rFonts w:asciiTheme="minorEastAsia" w:hAnsiTheme="minorEastAsia"/>
        </w:rPr>
      </w:pPr>
      <w:r>
        <w:rPr>
          <w:rFonts w:asciiTheme="minorEastAsia" w:hAnsiTheme="minorEastAsia"/>
        </w:rPr>
        <w:t>7.1</w:t>
      </w:r>
      <w:r>
        <w:rPr>
          <w:rFonts w:hint="eastAsia" w:asciiTheme="minorEastAsia" w:hAnsiTheme="minorEastAsia"/>
        </w:rPr>
        <w:t>、完成与医院所有需要对接系统的接口改造，实现数据与平台交互。</w:t>
      </w:r>
    </w:p>
    <w:p>
      <w:pPr>
        <w:spacing w:line="300" w:lineRule="exact"/>
        <w:rPr>
          <w:rFonts w:asciiTheme="minorEastAsia" w:hAnsiTheme="minorEastAsia"/>
        </w:rPr>
      </w:pPr>
      <w:r>
        <w:rPr>
          <w:rFonts w:asciiTheme="minorEastAsia" w:hAnsiTheme="minorEastAsia"/>
        </w:rPr>
        <w:t>7.2</w:t>
      </w:r>
      <w:r>
        <w:rPr>
          <w:rFonts w:hint="eastAsia" w:asciiTheme="minorEastAsia" w:hAnsiTheme="minorEastAsia"/>
        </w:rPr>
        <w:t>、完成本项目相关技术文档交接。</w:t>
      </w:r>
    </w:p>
    <w:p>
      <w:pPr>
        <w:spacing w:line="300" w:lineRule="exact"/>
        <w:rPr>
          <w:rFonts w:asciiTheme="minorEastAsia" w:hAnsiTheme="minorEastAsia"/>
        </w:rPr>
      </w:pPr>
      <w:r>
        <w:rPr>
          <w:rFonts w:asciiTheme="minorEastAsia" w:hAnsiTheme="minorEastAsia"/>
        </w:rPr>
        <w:t>7.3</w:t>
      </w:r>
      <w:r>
        <w:rPr>
          <w:rFonts w:hint="eastAsia" w:asciiTheme="minorEastAsia" w:hAnsiTheme="minorEastAsia"/>
        </w:rPr>
        <w:t>、完成医院相关技术人员和使用人员的培训。</w:t>
      </w:r>
    </w:p>
    <w:p>
      <w:pPr>
        <w:spacing w:line="300" w:lineRule="exact"/>
        <w:rPr>
          <w:rFonts w:asciiTheme="minorEastAsia" w:hAnsiTheme="minorEastAsia"/>
        </w:rPr>
      </w:pPr>
      <w:r>
        <w:rPr>
          <w:rFonts w:asciiTheme="minorEastAsia" w:hAnsiTheme="minorEastAsia"/>
        </w:rPr>
        <w:t>7.4</w:t>
      </w:r>
      <w:r>
        <w:rPr>
          <w:rFonts w:hint="eastAsia" w:asciiTheme="minorEastAsia" w:hAnsiTheme="minorEastAsia"/>
        </w:rPr>
        <w:t>、完成互联互通四级甲等相关需求功能改造。</w:t>
      </w:r>
    </w:p>
    <w:p>
      <w:pPr>
        <w:spacing w:line="300" w:lineRule="exact"/>
        <w:rPr>
          <w:rFonts w:asciiTheme="minorEastAsia" w:hAnsiTheme="minorEastAsia"/>
        </w:rPr>
      </w:pPr>
      <w:r>
        <w:rPr>
          <w:rFonts w:asciiTheme="minorEastAsia" w:hAnsiTheme="minorEastAsia"/>
        </w:rPr>
        <w:t>7.5</w:t>
      </w:r>
      <w:r>
        <w:rPr>
          <w:rFonts w:hint="eastAsia" w:asciiTheme="minorEastAsia" w:hAnsiTheme="minorEastAsia"/>
        </w:rPr>
        <w:t>、完成招标文件及合同中所有工作的实施；</w:t>
      </w:r>
    </w:p>
    <w:p>
      <w:pPr>
        <w:spacing w:line="300" w:lineRule="exact"/>
        <w:rPr>
          <w:rFonts w:asciiTheme="minorEastAsia" w:hAnsiTheme="minorEastAsia"/>
        </w:rPr>
      </w:pPr>
      <w:r>
        <w:rPr>
          <w:rFonts w:asciiTheme="minorEastAsia" w:hAnsiTheme="minorEastAsia"/>
        </w:rPr>
        <w:t>7.6</w:t>
      </w:r>
      <w:r>
        <w:rPr>
          <w:rFonts w:hint="eastAsia" w:asciiTheme="minorEastAsia" w:hAnsiTheme="minorEastAsia"/>
        </w:rPr>
        <w:t>、完成实施过程中医院新增需求的改造；</w:t>
      </w:r>
    </w:p>
    <w:p>
      <w:pPr>
        <w:spacing w:line="300" w:lineRule="exact"/>
        <w:rPr>
          <w:rFonts w:asciiTheme="minorEastAsia" w:hAnsiTheme="minorEastAsia"/>
        </w:rPr>
      </w:pPr>
      <w:r>
        <w:rPr>
          <w:rFonts w:asciiTheme="minorEastAsia" w:hAnsiTheme="minorEastAsia"/>
        </w:rPr>
        <w:t>8</w:t>
      </w:r>
      <w:r>
        <w:rPr>
          <w:rFonts w:hint="eastAsia" w:asciiTheme="minorEastAsia" w:hAnsiTheme="minorEastAsia"/>
        </w:rPr>
        <w:t>、</w:t>
      </w:r>
      <w:r>
        <w:rPr>
          <w:rFonts w:asciiTheme="minorEastAsia" w:hAnsiTheme="minorEastAsia"/>
        </w:rPr>
        <w:t>售后服务：</w:t>
      </w:r>
      <w:bookmarkStart w:id="1105" w:name="_Hlk70345438"/>
    </w:p>
    <w:p>
      <w:pPr>
        <w:spacing w:line="300" w:lineRule="exact"/>
        <w:jc w:val="both"/>
        <w:rPr>
          <w:rFonts w:asciiTheme="minorEastAsia" w:hAnsiTheme="minorEastAsia"/>
        </w:rPr>
      </w:pPr>
      <w:r>
        <w:rPr>
          <w:rFonts w:asciiTheme="minorEastAsia" w:hAnsiTheme="minorEastAsia"/>
        </w:rPr>
        <w:t>8.1</w:t>
      </w:r>
      <w:r>
        <w:rPr>
          <w:rFonts w:hint="eastAsia" w:asciiTheme="minorEastAsia" w:hAnsiTheme="minorEastAsia"/>
        </w:rPr>
        <w:t>、</w:t>
      </w:r>
      <w:r>
        <w:rPr>
          <w:rFonts w:asciiTheme="minorEastAsia" w:hAnsiTheme="minorEastAsia"/>
        </w:rPr>
        <w:t>服务内容：包括软件需求处理、软件服务器迁移、数据迁移、应用程序优化、数据库优化、现场维护、系统升级、新增报表、系统本身bug的修改及系统参数的配置与修改、对用户提出的功能完善性需求进行免费调整和开发。系统在发生重大灾难事故时，无偿配合</w:t>
      </w:r>
      <w:r>
        <w:rPr>
          <w:rFonts w:hint="eastAsia" w:asciiTheme="minorEastAsia" w:hAnsiTheme="minorEastAsia"/>
        </w:rPr>
        <w:t>医院</w:t>
      </w:r>
      <w:r>
        <w:rPr>
          <w:rFonts w:asciiTheme="minorEastAsia" w:hAnsiTheme="minorEastAsia"/>
        </w:rPr>
        <w:t>完成业务重建工作。</w:t>
      </w:r>
    </w:p>
    <w:p>
      <w:pPr>
        <w:spacing w:line="300" w:lineRule="exact"/>
        <w:jc w:val="both"/>
        <w:rPr>
          <w:rFonts w:asciiTheme="minorEastAsia" w:hAnsiTheme="minorEastAsia"/>
        </w:rPr>
      </w:pPr>
      <w:r>
        <w:rPr>
          <w:rFonts w:asciiTheme="minorEastAsia" w:hAnsiTheme="minorEastAsia"/>
        </w:rPr>
        <w:t>8.2</w:t>
      </w:r>
      <w:r>
        <w:rPr>
          <w:rFonts w:hint="eastAsia" w:asciiTheme="minorEastAsia" w:hAnsiTheme="minorEastAsia"/>
        </w:rPr>
        <w:t>、</w:t>
      </w:r>
      <w:r>
        <w:rPr>
          <w:rFonts w:asciiTheme="minorEastAsia" w:hAnsiTheme="minorEastAsia"/>
        </w:rPr>
        <w:t xml:space="preserve">巡检：项目验收合格后，每年提供4次现场维护及巡检，提供巡检维护报告，保证软件正常运行； </w:t>
      </w:r>
    </w:p>
    <w:p>
      <w:pPr>
        <w:spacing w:line="300" w:lineRule="exact"/>
        <w:jc w:val="both"/>
        <w:rPr>
          <w:rFonts w:asciiTheme="minorEastAsia" w:hAnsiTheme="minorEastAsia"/>
        </w:rPr>
      </w:pPr>
      <w:r>
        <w:rPr>
          <w:rFonts w:asciiTheme="minorEastAsia" w:hAnsiTheme="minorEastAsia"/>
        </w:rPr>
        <w:t>8.3</w:t>
      </w:r>
      <w:r>
        <w:rPr>
          <w:rFonts w:hint="eastAsia" w:asciiTheme="minorEastAsia" w:hAnsiTheme="minorEastAsia"/>
        </w:rPr>
        <w:t>、</w:t>
      </w:r>
      <w:r>
        <w:rPr>
          <w:rFonts w:asciiTheme="minorEastAsia" w:hAnsiTheme="minorEastAsia"/>
        </w:rPr>
        <w:t>服务方式：提供7×24小时免费服务，包括对各种软件系统故障及对各种突发事件采取应急措施等各类问题；上门服务；远程服务；电话咨询服务。系统出现故障，</w:t>
      </w:r>
      <w:r>
        <w:rPr>
          <w:rFonts w:hint="eastAsia" w:asciiTheme="minorEastAsia" w:hAnsiTheme="minorEastAsia"/>
        </w:rPr>
        <w:t>投标方</w:t>
      </w:r>
      <w:r>
        <w:rPr>
          <w:rFonts w:asciiTheme="minorEastAsia" w:hAnsiTheme="minorEastAsia"/>
        </w:rPr>
        <w:t>保证5分钟内响应响应并进行故障处理，对于电话服务不能解决的问题，在4小时内到达用户现场，并在24小时内解决问题</w:t>
      </w:r>
      <w:r>
        <w:rPr>
          <w:rFonts w:hint="eastAsia" w:asciiTheme="minorEastAsia" w:hAnsiTheme="minorEastAsia"/>
        </w:rPr>
        <w:t>，</w:t>
      </w:r>
      <w:r>
        <w:t>24小时内未解决的成交供应商应提供详细的应急解决方案。</w:t>
      </w:r>
      <w:r>
        <w:rPr>
          <w:rFonts w:asciiTheme="minorEastAsia" w:hAnsiTheme="minorEastAsia"/>
        </w:rPr>
        <w:t>（</w:t>
      </w:r>
      <w:r>
        <w:rPr>
          <w:rFonts w:hint="eastAsia" w:asciiTheme="minorEastAsia" w:hAnsiTheme="minorEastAsia"/>
        </w:rPr>
        <w:t>投标方</w:t>
      </w:r>
      <w:r>
        <w:rPr>
          <w:rFonts w:asciiTheme="minorEastAsia" w:hAnsiTheme="minorEastAsia"/>
        </w:rPr>
        <w:t>派人员到用户使用现场服务，由此产生的一切费用均由</w:t>
      </w:r>
      <w:r>
        <w:rPr>
          <w:rFonts w:hint="eastAsia" w:asciiTheme="minorEastAsia" w:hAnsiTheme="minorEastAsia"/>
        </w:rPr>
        <w:t>投标方</w:t>
      </w:r>
      <w:r>
        <w:rPr>
          <w:rFonts w:asciiTheme="minorEastAsia" w:hAnsiTheme="minorEastAsia"/>
        </w:rPr>
        <w:t>承担）；</w:t>
      </w:r>
      <w:bookmarkEnd w:id="1105"/>
    </w:p>
    <w:p/>
    <w:p>
      <w:pPr>
        <w:jc w:val="left"/>
        <w:rPr>
          <w:rFonts w:hint="eastAsia" w:ascii="Times New Roman" w:hAnsi="Times New Roman" w:eastAsia="方正小标宋简体" w:cs="Times New Roman"/>
          <w:b/>
          <w:bCs/>
          <w:sz w:val="48"/>
          <w:szCs w:val="48"/>
          <w:lang w:eastAsia="zh-CN"/>
        </w:rPr>
      </w:pPr>
    </w:p>
    <w:p>
      <w:pPr>
        <w:jc w:val="left"/>
        <w:rPr>
          <w:rFonts w:hint="eastAsia" w:ascii="Times New Roman" w:hAnsi="Times New Roman" w:eastAsia="方正小标宋简体" w:cs="Times New Roman"/>
          <w:b/>
          <w:bCs/>
          <w:sz w:val="48"/>
          <w:szCs w:val="48"/>
          <w:lang w:eastAsia="zh-CN"/>
        </w:rPr>
      </w:pPr>
    </w:p>
    <w:p>
      <w:pPr>
        <w:widowControl/>
        <w:spacing w:line="440" w:lineRule="exact"/>
        <w:jc w:val="center"/>
        <w:outlineLvl w:val="0"/>
        <w:rPr>
          <w:rStyle w:val="37"/>
          <w:rFonts w:hint="eastAsia" w:ascii="宋体" w:hAnsi="宋体" w:eastAsia="宋体" w:cs="宋体"/>
          <w:color w:val="auto"/>
          <w:highlight w:val="none"/>
        </w:rPr>
      </w:pPr>
    </w:p>
    <w:p>
      <w:pPr>
        <w:widowControl/>
        <w:spacing w:line="440" w:lineRule="exact"/>
        <w:jc w:val="center"/>
        <w:outlineLvl w:val="0"/>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第6章  评标方法和标准</w:t>
      </w:r>
      <w:bookmarkEnd w:id="1003"/>
    </w:p>
    <w:p>
      <w:pPr>
        <w:pStyle w:val="4"/>
        <w:tabs>
          <w:tab w:val="clear" w:pos="567"/>
        </w:tabs>
        <w:spacing w:before="0" w:line="400" w:lineRule="exact"/>
        <w:ind w:firstLine="540" w:firstLineChars="225"/>
        <w:rPr>
          <w:rFonts w:hint="eastAsia" w:ascii="宋体" w:hAnsi="宋体" w:eastAsia="宋体" w:cs="宋体"/>
          <w:b/>
          <w:bCs/>
          <w:color w:val="auto"/>
          <w:sz w:val="24"/>
          <w:highlight w:val="none"/>
        </w:rPr>
      </w:pPr>
      <w:r>
        <w:rPr>
          <w:rFonts w:hint="eastAsia" w:ascii="宋体" w:hAnsi="宋体" w:eastAsia="宋体" w:cs="宋体"/>
          <w:color w:val="auto"/>
          <w:highlight w:val="none"/>
        </w:rPr>
        <w:t>本项目将按照招标文件第一章供应商须知中“五 开标及评标”、“六 确定中标”及本章的规定评标。</w:t>
      </w:r>
    </w:p>
    <w:p>
      <w:pPr>
        <w:widowControl/>
        <w:shd w:val="clear" w:color="auto" w:fill="auto"/>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1.投标无效的情形：</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单位负责人为同一人或者存在直接控股、管理关系的不同供应商，其相关投标将被认定为投标无效。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报价超过招标文件规定的预算金额或者分项、分包最高限价的，其投标将被认定为投标无效。</w:t>
      </w:r>
    </w:p>
    <w:p>
      <w:pPr>
        <w:widowControl/>
        <w:shd w:val="clear" w:color="auto" w:fill="auto"/>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应认真阅读招标文件所有的事项、格式、条款和技术规范等。如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没有按照招标文件要求提交全部资料，或者投标文件没有对招标文件在各方面都做出实质性响应，可能导致其投标将被认定为投标无效</w:t>
      </w:r>
      <w:r>
        <w:rPr>
          <w:rFonts w:hint="eastAsia" w:ascii="宋体" w:hAnsi="宋体" w:eastAsia="宋体" w:cs="宋体"/>
          <w:color w:val="auto"/>
          <w:sz w:val="24"/>
          <w:highlight w:val="none"/>
          <w:lang w:val="en-US" w:eastAsia="zh-CN"/>
        </w:rPr>
        <w:t>.</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所有投标均以人民币报价。</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的投标报价应遵守《中华人民共和国价格法》。同时，根据《中华人民共和国政府采购法》第二条的规定，为保证公平竞争，如有主体部分的赠与行为，其投标将被认定为投标无效。</w:t>
      </w:r>
    </w:p>
    <w:p>
      <w:pPr>
        <w:widowControl/>
        <w:shd w:val="clear" w:color="auto" w:fill="auto"/>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所报的各分项投标单价在合同履行过程中是固定不变的，不得以任何理由予以变更。任何包含价格调整要求的投标，其投标将被认定为投标无效。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未按本须知第12.1和12.3条规定提交投标保证金的，其投标将被认定为投标无效。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须知资料表中规定时间内保持有效。投标有效期不满足要求的投标，其投标将被认定为投标无效。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所有投标文件采用不可拆装的胶订方式装订，否则其投标将被认定为投标无效。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采购人或采购代理机构将在开标前1个工作日至投标截止后1小时的期间内查询</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的信用记录。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存在不良信用记录的，其投标将被认定为投标无效。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投标文件报价出现前后不一致的，按照下列规定修正：</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rPr>
        <w:t>投标文件中开标一览表（报价表）内容与投标文件中相应内容不一致的，以开标一览表（报价表）为准；</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②大写金额和小写金额不一致的，以大写金额为准；</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③单价金额小数点或者百分比有明显错位的，以开标一览表的总价为准，并修改单价；</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④总价金额与按单价汇总金额不一致的，以单价金额计算结果为准。</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⑤同时出现两种以上不一致的，按照前款规定的顺序修正。修正后的报价按照第20.2条的规定经</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确认后产生约束力，</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不确认的，其投标将被认定为投标无效。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如发现下列情况之一的，其投标将被认定为投标无效：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①未按招标文件规定的形式和金额提交投标保证金的；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②未按照招标文件规定要求签署、盖章的；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③与其他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串通投标，或者与招标人串通投标；</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④属于招标文件规定的其他投标无效情形；</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⑤评标委员会认为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的报价明显低于其他通过符合性检查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的报价，有可能影响履约的，且</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未按照规定证明其报价合理性的；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⑥投标文件含有采购人不能接受的附加条件的；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⑦不符合法规和招标文件中规定的其他实质性要求的。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有下列情形之一的，属于恶意串通，对供应商依照政府采购法第七十七条第一款的规定追究法律责任，对采购人、采购代理机构及其工作人员依照政府采购法第七十二条的规定追究法律责任：</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①供应商直接或者间接从采购人或者采购代理机构处获得其他供应商的相关情况并修改其投标文件或者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②供应商按照采购人或者采购代理机构的授意撤换、修改投标文件或者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③供应商之间协商报价、技术方案等投标文件或者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的实质性内容；</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④属于同一集团、协会、商会等组织成员的供应商按照该组织要求协同参加政府采购活动；</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⑤供应商之间事先约定由某一特定供应商中标、成交；</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⑥供应商之间商定部分供应商放弃参加政府采购活动或者放弃中标、成交；</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⑦供应商与采购人或者采购代理机构之间、供应商相互之间，为谋求特定供应商中标、成交或者排斥其他供应商的其他串通行为。</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2.根据《政府采购促进中小企业发展管理办法》（财库[2020]46号）、《财政部司法部关于政府采购支持监狱企业发展有关问 题 的通知》（财库〔2014〕68号）</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《三部门联合发布关于促进残疾人就业政府采购政策的通知》（财库〔2017〕141号）</w:t>
      </w:r>
      <w:r>
        <w:rPr>
          <w:rFonts w:hint="eastAsia" w:ascii="宋体" w:hAnsi="宋体" w:eastAsia="宋体" w:cs="宋体"/>
          <w:b/>
          <w:bCs/>
          <w:color w:val="auto"/>
          <w:sz w:val="24"/>
          <w:highlight w:val="none"/>
          <w:lang w:eastAsia="zh-CN"/>
        </w:rPr>
        <w:t>和《财政部关于进一步加大政府采购支持中小企业力度的通知》财库〔2022〕19号</w:t>
      </w:r>
      <w:r>
        <w:rPr>
          <w:rFonts w:hint="eastAsia" w:ascii="宋体" w:hAnsi="宋体" w:eastAsia="宋体" w:cs="宋体"/>
          <w:b/>
          <w:bCs/>
          <w:color w:val="auto"/>
          <w:sz w:val="24"/>
          <w:highlight w:val="none"/>
        </w:rPr>
        <w:t>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rPr>
        <w:t xml:space="preserve">  10  %</w:t>
      </w:r>
      <w:r>
        <w:rPr>
          <w:rFonts w:hint="eastAsia" w:ascii="宋体" w:hAnsi="宋体" w:eastAsia="宋体" w:cs="宋体"/>
          <w:b/>
          <w:bCs/>
          <w:color w:val="auto"/>
          <w:sz w:val="24"/>
          <w:highlight w:val="none"/>
        </w:rPr>
        <w:t>后参与评审。对于同时属于小型、微型及小微企业、监狱企业或残疾人福利性单位的，不重复进行报价扣除。</w:t>
      </w:r>
    </w:p>
    <w:p>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3.联合协议中约定，</w:t>
      </w:r>
      <w:r>
        <w:rPr>
          <w:rFonts w:hint="eastAsia" w:ascii="宋体" w:hAnsi="宋体" w:eastAsia="宋体" w:cs="宋体"/>
          <w:color w:val="auto"/>
          <w:sz w:val="24"/>
          <w:highlight w:val="none"/>
        </w:rPr>
        <w:t>小型、微型企业和监狱企业的协议合同金额占到联合体协议合同总金额30%以上的，可给予联合体</w:t>
      </w:r>
      <w:r>
        <w:rPr>
          <w:rFonts w:hint="eastAsia" w:ascii="宋体" w:hAnsi="宋体" w:eastAsia="宋体" w:cs="宋体"/>
          <w:color w:val="auto"/>
          <w:sz w:val="24"/>
          <w:highlight w:val="none"/>
          <w:u w:val="single"/>
        </w:rPr>
        <w:t xml:space="preserve"> 2%-3</w:t>
      </w:r>
      <w:r>
        <w:rPr>
          <w:rFonts w:hint="eastAsia" w:ascii="宋体" w:hAnsi="宋体" w:eastAsia="宋体" w:cs="宋体"/>
          <w:color w:val="auto"/>
          <w:sz w:val="24"/>
          <w:highlight w:val="none"/>
        </w:rPr>
        <w:t>%的价格扣除。</w:t>
      </w:r>
      <w:r>
        <w:rPr>
          <w:rFonts w:hint="eastAsia" w:ascii="宋体" w:hAnsi="宋体" w:eastAsia="宋体" w:cs="宋体"/>
          <w:b/>
          <w:bCs/>
          <w:color w:val="auto"/>
          <w:sz w:val="24"/>
          <w:highlight w:val="none"/>
        </w:rPr>
        <w:t>（本项目不适用）</w:t>
      </w:r>
    </w:p>
    <w:p>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联合体各方均为小型、微型企业和监狱企业的，联合体视同为小型、微型企业和监狱企业。</w:t>
      </w:r>
    </w:p>
    <w:p>
      <w:pPr>
        <w:pStyle w:val="4"/>
        <w:tabs>
          <w:tab w:val="clear" w:pos="567"/>
        </w:tabs>
        <w:spacing w:before="0" w:line="400" w:lineRule="exact"/>
        <w:rPr>
          <w:rFonts w:hint="eastAsia" w:ascii="宋体" w:hAnsi="宋体" w:eastAsia="宋体" w:cs="宋体"/>
          <w:color w:val="auto"/>
          <w:highlight w:val="none"/>
        </w:rPr>
      </w:pPr>
      <w:r>
        <w:rPr>
          <w:rFonts w:hint="eastAsia" w:ascii="宋体" w:hAnsi="宋体" w:eastAsia="宋体" w:cs="宋体"/>
          <w:b/>
          <w:bCs/>
          <w:color w:val="auto"/>
          <w:highlight w:val="none"/>
        </w:rPr>
        <w:t>4.供应商</w:t>
      </w:r>
      <w:r>
        <w:rPr>
          <w:rFonts w:hint="eastAsia" w:ascii="宋体" w:hAnsi="宋体" w:eastAsia="宋体" w:cs="宋体"/>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宋体" w:hAnsi="宋体" w:eastAsia="宋体" w:cs="宋体"/>
          <w:color w:val="auto"/>
          <w:highlight w:val="none"/>
        </w:rPr>
        <w:t>。</w:t>
      </w:r>
    </w:p>
    <w:p>
      <w:pPr>
        <w:pStyle w:val="4"/>
        <w:tabs>
          <w:tab w:val="clear" w:pos="567"/>
        </w:tabs>
        <w:spacing w:before="0" w:line="400" w:lineRule="exact"/>
        <w:rPr>
          <w:rFonts w:hint="eastAsia" w:ascii="宋体" w:hAnsi="宋体" w:eastAsia="宋体" w:cs="宋体"/>
          <w:color w:val="auto"/>
          <w:highlight w:val="none"/>
          <w:u w:val="single"/>
        </w:rPr>
      </w:pPr>
      <w:r>
        <w:rPr>
          <w:rFonts w:hint="eastAsia" w:ascii="宋体" w:hAnsi="宋体" w:eastAsia="宋体" w:cs="宋体"/>
          <w:b/>
          <w:bCs/>
          <w:color w:val="auto"/>
          <w:highlight w:val="none"/>
        </w:rPr>
        <w:t>5.对创新产品</w:t>
      </w:r>
      <w:r>
        <w:rPr>
          <w:rFonts w:hint="eastAsia" w:ascii="宋体" w:hAnsi="宋体" w:eastAsia="宋体" w:cs="宋体"/>
          <w:color w:val="auto"/>
          <w:highlight w:val="none"/>
        </w:rPr>
        <w:t>或创新性企业的优惠措施为：</w:t>
      </w:r>
      <w:r>
        <w:rPr>
          <w:rFonts w:hint="eastAsia" w:ascii="宋体" w:hAnsi="宋体" w:eastAsia="宋体" w:cs="宋体"/>
          <w:color w:val="auto"/>
          <w:highlight w:val="none"/>
          <w:u w:val="single"/>
        </w:rPr>
        <w:t xml:space="preserve">     /      </w:t>
      </w:r>
    </w:p>
    <w:p>
      <w:pPr>
        <w:widowControl/>
        <w:numPr>
          <w:ilvl w:val="0"/>
          <w:numId w:val="0"/>
        </w:numPr>
        <w:shd w:val="clear" w:color="auto" w:fill="auto"/>
        <w:snapToGrid w:val="0"/>
        <w:spacing w:line="400" w:lineRule="exac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6.开标：</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供应商按照</w:t>
      </w:r>
      <w:r>
        <w:rPr>
          <w:rFonts w:hint="eastAsia" w:ascii="宋体" w:hAnsi="宋体" w:eastAsia="宋体" w:cs="宋体"/>
          <w:color w:val="auto"/>
          <w:sz w:val="24"/>
          <w:highlight w:val="none"/>
        </w:rPr>
        <w:t>须知资料表中规定的开标时间和地点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在规定时间内参加开标并上传投标文件</w:t>
      </w:r>
      <w:r>
        <w:rPr>
          <w:rFonts w:hint="eastAsia" w:ascii="宋体" w:hAnsi="宋体" w:eastAsia="宋体" w:cs="宋体"/>
          <w:color w:val="auto"/>
          <w:sz w:val="24"/>
          <w:highlight w:val="none"/>
        </w:rPr>
        <w:t>。</w:t>
      </w:r>
    </w:p>
    <w:p>
      <w:pPr>
        <w:widowControl/>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在开标前，工作人员收取所有参会人员的手机，参与投标的供应商，须把手机调至静音，主持人宣读开标纪律。</w:t>
      </w:r>
    </w:p>
    <w:p>
      <w:pPr>
        <w:widowControl/>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（3）由</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在规定时间内度投标文件进行解密，时长为30分钟。</w:t>
      </w:r>
    </w:p>
    <w:p>
      <w:pPr>
        <w:widowControl/>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（4）由</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开启标书。</w:t>
      </w:r>
    </w:p>
    <w:p>
      <w:pPr>
        <w:pStyle w:val="24"/>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（5）由评标委员会成员推选一名组长，负责组织评标。</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由采购人或采购代理机构当众拆封投标文件第一部分，宣读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名称、投标价格及招标文件规定的内容。对于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在投标截止期前递交的投标声明，在开标时当众宣读，评标时有效。</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）未宣读投标价格、价格折扣等实质内容，评标时不予承认。</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）采购人或采购代理机构将对开标过程进行记录，由参加开标的各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w:t>
      </w:r>
      <w:r>
        <w:rPr>
          <w:rFonts w:hint="eastAsia" w:ascii="宋体" w:hAnsi="宋体" w:eastAsia="宋体" w:cs="宋体"/>
          <w:color w:val="auto"/>
          <w:sz w:val="24"/>
          <w:highlight w:val="none"/>
          <w:lang w:val="en-US" w:eastAsia="zh-CN"/>
        </w:rPr>
        <w:t>在系统上签字确认，</w:t>
      </w:r>
      <w:r>
        <w:rPr>
          <w:rFonts w:hint="eastAsia" w:ascii="宋体" w:hAnsi="宋体" w:eastAsia="宋体" w:cs="宋体"/>
          <w:color w:val="auto"/>
          <w:sz w:val="24"/>
          <w:highlight w:val="none"/>
        </w:rPr>
        <w:t>工作人员</w:t>
      </w:r>
      <w:r>
        <w:rPr>
          <w:rFonts w:hint="eastAsia" w:ascii="宋体" w:hAnsi="宋体" w:eastAsia="宋体" w:cs="宋体"/>
          <w:color w:val="auto"/>
          <w:sz w:val="24"/>
          <w:highlight w:val="none"/>
          <w:lang w:val="en-US" w:eastAsia="zh-CN"/>
        </w:rPr>
        <w:t>打印并</w:t>
      </w:r>
      <w:r>
        <w:rPr>
          <w:rFonts w:hint="eastAsia" w:ascii="宋体" w:hAnsi="宋体" w:eastAsia="宋体" w:cs="宋体"/>
          <w:color w:val="auto"/>
          <w:sz w:val="24"/>
          <w:highlight w:val="none"/>
        </w:rPr>
        <w:t>签字，存档备查。</w:t>
      </w:r>
    </w:p>
    <w:p>
      <w:pPr>
        <w:widowControl/>
        <w:snapToGrid w:val="0"/>
        <w:spacing w:line="400" w:lineRule="exact"/>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代表对开标过程和开标记录有疑义，以及认为采购人、采购代理机构相关工作人员有需要回避的情形的，应当场提出询问或者回避申请。</w:t>
      </w:r>
    </w:p>
    <w:p>
      <w:pPr>
        <w:pStyle w:val="24"/>
        <w:shd w:val="clear" w:color="auto" w:fil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.评标：</w:t>
      </w:r>
    </w:p>
    <w:p>
      <w:pPr>
        <w:widowControl/>
        <w:shd w:val="clear" w:color="auto" w:fill="auto"/>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在政采云平台上</w:t>
      </w:r>
      <w:r>
        <w:rPr>
          <w:rFonts w:hint="eastAsia" w:ascii="宋体" w:hAnsi="宋体" w:eastAsia="宋体" w:cs="宋体"/>
          <w:b/>
          <w:bCs/>
          <w:color w:val="auto"/>
          <w:sz w:val="24"/>
          <w:highlight w:val="none"/>
          <w:lang w:val="en-US" w:eastAsia="zh-CN"/>
        </w:rPr>
        <w:t>随机抽取4名专家；采购单位委托1名业主专家，共计5名评标委员会成员</w:t>
      </w:r>
      <w:r>
        <w:rPr>
          <w:rFonts w:hint="eastAsia" w:ascii="宋体" w:hAnsi="宋体" w:eastAsia="宋体" w:cs="宋体"/>
          <w:color w:val="auto"/>
          <w:sz w:val="24"/>
          <w:highlight w:val="none"/>
        </w:rPr>
        <w:t>负责评标工作。</w:t>
      </w:r>
    </w:p>
    <w:p>
      <w:pPr>
        <w:widowControl/>
        <w:shd w:val="clear" w:color="auto" w:fill="auto"/>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评标委员会应当按照招标文件中规定的评标方法和标准，对所有投标文件进行资格性审查，再对符合资格要求的投标供应商的投标文件进行符合性审查，以确定其是否满足招标文件的实质性要求。</w:t>
      </w:r>
    </w:p>
    <w:p>
      <w:pPr>
        <w:widowControl/>
        <w:shd w:val="clear" w:color="auto" w:fill="auto"/>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若对于投标文件中含义不明确、同类问题表述不一致或者有明显文字和计算错误的内容，评标委员会应当以书面形式要求投标供应商作出必要的澄清、说明或者补正。投标供应商的澄清、说明或者补正应当采用书面形式，并加盖公章，或者由法定代表人或其授权的代表签字。投标供应商的澄清、说明或者补正不得超出投标文件的范围或者改变投标文件的实质性内容。</w:t>
      </w:r>
    </w:p>
    <w:p>
      <w:pPr>
        <w:pStyle w:val="24"/>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投标供应商为中标候选人的评标方法。</w:t>
      </w:r>
    </w:p>
    <w:p>
      <w:pPr>
        <w:pStyle w:val="24"/>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评标委员会成员对需要共同认定的事项存在争议的，应当按照少数服从多数的原则作出结论。持不同意见的评标委员会成员应当在评标报告上签署不同意见及理由，否则视为同意评标报告。</w:t>
      </w:r>
    </w:p>
    <w:p>
      <w:pPr>
        <w:pStyle w:val="24"/>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8.答疑澄清：</w:t>
      </w:r>
    </w:p>
    <w:p>
      <w:pPr>
        <w:pStyle w:val="24"/>
        <w:keepNext w:val="0"/>
        <w:keepLines w:val="0"/>
        <w:pageBreakBefore w:val="0"/>
        <w:numPr>
          <w:ilvl w:val="0"/>
          <w:numId w:val="0"/>
        </w:numPr>
        <w:kinsoku/>
        <w:wordWrap/>
        <w:overflowPunct/>
        <w:topLinePunct w:val="0"/>
        <w:autoSpaceDE/>
        <w:autoSpaceDN/>
        <w:bidi w:val="0"/>
        <w:adjustRightInd/>
        <w:spacing w:line="50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（1）评标委员会对于投标文件中含义不明确、同类问题表述不一致或者有明显文字和计算错误的内容，要求投标人以书面形式现场作出必要的澄清、说明或者补正。</w:t>
      </w:r>
    </w:p>
    <w:p>
      <w:pPr>
        <w:pStyle w:val="24"/>
        <w:keepNext w:val="0"/>
        <w:keepLines w:val="0"/>
        <w:pageBreakBefore w:val="0"/>
        <w:numPr>
          <w:ilvl w:val="0"/>
          <w:numId w:val="0"/>
        </w:numPr>
        <w:kinsoku/>
        <w:wordWrap/>
        <w:overflowPunct/>
        <w:topLinePunct w:val="0"/>
        <w:autoSpaceDE/>
        <w:autoSpaceDN/>
        <w:bidi w:val="0"/>
        <w:adjustRightInd/>
        <w:spacing w:line="50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（2）投标人的澄清、说明或者补正应当采用书面形式，并加盖公章，或者由法定代表人或其授权的代表签字。投标人的澄清、说明或者补正不得超出投标文件的范围或者改变投标文件的实质性内容。</w:t>
      </w:r>
    </w:p>
    <w:p>
      <w:pPr>
        <w:pStyle w:val="24"/>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.定标：</w:t>
      </w:r>
    </w:p>
    <w:p>
      <w:pPr>
        <w:pStyle w:val="24"/>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中标候选人并列式时的处理方式：如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  </w:t>
      </w:r>
    </w:p>
    <w:p>
      <w:pPr>
        <w:pStyle w:val="24"/>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（2）采购代理机构应当在评标结束后2个工作日内将评标报告送采购人。</w:t>
      </w:r>
    </w:p>
    <w:p>
      <w:pPr>
        <w:pStyle w:val="24"/>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应当自收到评标报告之日起５个工作日内，在评标报告确定的中标候选人名单中按顺序确定中标人。中标候选人并列的，由采购人按照招标文件规定的方式确定中标人。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pStyle w:val="24"/>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）采购人在收到评标报告5个工作日内未按评标报告推荐的中标候选人顺序确定中标人，又不能说明合法理由的，视同按评标报告推荐的顺序确定排名第一的中标候选人为中标人。</w:t>
      </w:r>
    </w:p>
    <w:p>
      <w:pPr>
        <w:keepNext w:val="0"/>
        <w:keepLines w:val="0"/>
        <w:pageBreakBefore w:val="0"/>
        <w:widowControl/>
        <w:kinsoku/>
        <w:wordWrap/>
        <w:overflowPunct/>
        <w:topLinePunct w:val="0"/>
        <w:autoSpaceDE/>
        <w:autoSpaceDN/>
        <w:bidi w:val="0"/>
        <w:adjustRightInd/>
        <w:snapToGrid w:val="0"/>
        <w:spacing w:line="500" w:lineRule="exact"/>
        <w:textAlignment w:val="baseline"/>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.评标标准：</w:t>
      </w:r>
      <w:r>
        <w:rPr>
          <w:rFonts w:hint="eastAsia" w:ascii="宋体" w:hAnsi="宋体" w:eastAsia="宋体" w:cs="宋体"/>
          <w:color w:val="auto"/>
          <w:sz w:val="24"/>
          <w:highlight w:val="none"/>
        </w:rPr>
        <w:t>（具体详见综合评分表）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98" w:lineRule="exact"/>
        <w:jc w:val="both"/>
        <w:textAlignment w:val="baseline"/>
        <w:rPr>
          <w:rFonts w:hint="eastAsia" w:ascii="宋体" w:hAnsi="宋体" w:eastAsia="宋体" w:cs="宋体"/>
          <w:b/>
          <w:bCs/>
          <w:i w:val="0"/>
          <w:caps w:val="0"/>
          <w:color w:val="FF0000"/>
          <w:spacing w:val="0"/>
          <w:w w:val="100"/>
          <w:sz w:val="24"/>
          <w:highlight w:val="none"/>
          <w:lang w:val="en-US" w:eastAsia="zh-CN"/>
        </w:rPr>
      </w:pPr>
      <w:bookmarkStart w:id="1106" w:name="_Toc5478"/>
      <w:bookmarkStart w:id="1107" w:name="_Toc2724"/>
      <w:bookmarkStart w:id="1108" w:name="_Toc971"/>
      <w:bookmarkStart w:id="1109" w:name="_Toc19412"/>
      <w:bookmarkStart w:id="1110" w:name="_Toc5776"/>
      <w:bookmarkStart w:id="1111" w:name="_Toc21578"/>
      <w:bookmarkStart w:id="1112" w:name="_Toc6128"/>
      <w:bookmarkStart w:id="1113" w:name="_Toc10419"/>
      <w:bookmarkStart w:id="1114" w:name="_Toc21866"/>
      <w:bookmarkStart w:id="1115" w:name="_Toc5578"/>
      <w:bookmarkStart w:id="1116" w:name="_Toc24236"/>
      <w:bookmarkStart w:id="1117" w:name="_Toc7467"/>
      <w:bookmarkStart w:id="1118" w:name="_Toc9835"/>
      <w:bookmarkStart w:id="1119" w:name="_Toc28782"/>
      <w:bookmarkStart w:id="1120" w:name="_Toc23103"/>
      <w:bookmarkStart w:id="1121" w:name="_Toc5986"/>
      <w:bookmarkStart w:id="1122" w:name="_Toc31300"/>
      <w:bookmarkStart w:id="1123" w:name="_Toc9116"/>
      <w:bookmarkStart w:id="1124" w:name="_Toc25901"/>
      <w:bookmarkStart w:id="1125" w:name="_Toc18245"/>
      <w:r>
        <w:rPr>
          <w:rFonts w:hint="eastAsia" w:ascii="宋体" w:hAnsi="宋体" w:eastAsia="宋体" w:cs="宋体"/>
          <w:b/>
          <w:bCs/>
          <w:i w:val="0"/>
          <w:caps w:val="0"/>
          <w:color w:val="FF0000"/>
          <w:spacing w:val="0"/>
          <w:w w:val="100"/>
          <w:sz w:val="24"/>
          <w:highlight w:val="none"/>
          <w:lang w:val="en-US" w:eastAsia="zh-CN"/>
        </w:rPr>
        <w:t>第一包：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（1）价格评分占</w:t>
      </w:r>
      <w:r>
        <w:rPr>
          <w:rFonts w:hint="eastAsia" w:ascii="宋体" w:hAnsi="宋体" w:cs="宋体"/>
          <w:b w:val="0"/>
          <w:i w:val="0"/>
          <w:caps w:val="0"/>
          <w:color w:val="FF0000"/>
          <w:spacing w:val="0"/>
          <w:w w:val="100"/>
          <w:sz w:val="24"/>
          <w:highlight w:val="none"/>
          <w:lang w:val="en-US" w:eastAsia="zh-CN"/>
        </w:rPr>
        <w:t>20</w:t>
      </w:r>
      <w:r>
        <w:rPr>
          <w:rFonts w:hint="eastAsia" w:ascii="宋体" w:hAnsi="宋体" w:eastAsia="宋体" w:cs="宋体"/>
          <w:b w:val="0"/>
          <w:i w:val="0"/>
          <w:caps w:val="0"/>
          <w:color w:val="FF0000"/>
          <w:spacing w:val="0"/>
          <w:w w:val="100"/>
          <w:sz w:val="24"/>
          <w:highlight w:val="none"/>
          <w:lang w:val="en-US" w:eastAsia="zh-CN"/>
        </w:rPr>
        <w:t>%，完全满足招标文件参数的投标报价中的最低价为评标基准价，按照下列公式计算每个供应商的投标价格得分。投标报价得分＝（基准价/投标报价）×价格权重×100。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default"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（2）商务评分占</w:t>
      </w:r>
      <w:r>
        <w:rPr>
          <w:rFonts w:hint="eastAsia" w:ascii="宋体" w:hAnsi="宋体" w:cs="宋体"/>
          <w:b w:val="0"/>
          <w:i w:val="0"/>
          <w:caps w:val="0"/>
          <w:color w:val="FF0000"/>
          <w:spacing w:val="0"/>
          <w:w w:val="100"/>
          <w:sz w:val="24"/>
          <w:highlight w:val="none"/>
          <w:lang w:val="en-US" w:eastAsia="zh-CN"/>
        </w:rPr>
        <w:t>37</w:t>
      </w:r>
      <w:r>
        <w:rPr>
          <w:rFonts w:hint="eastAsia" w:ascii="宋体" w:hAnsi="宋体" w:eastAsia="宋体" w:cs="宋体"/>
          <w:b w:val="0"/>
          <w:i w:val="0"/>
          <w:caps w:val="0"/>
          <w:color w:val="FF0000"/>
          <w:spacing w:val="0"/>
          <w:w w:val="100"/>
          <w:sz w:val="24"/>
          <w:highlight w:val="none"/>
          <w:lang w:val="en-US" w:eastAsia="zh-CN"/>
        </w:rPr>
        <w:t>%，包含综合实力、</w:t>
      </w:r>
      <w:r>
        <w:rPr>
          <w:rFonts w:hint="eastAsia" w:cs="宋体"/>
          <w:color w:val="FF0000"/>
          <w:kern w:val="0"/>
        </w:rPr>
        <w:t>产品核心实力</w:t>
      </w:r>
      <w:r>
        <w:rPr>
          <w:rFonts w:hint="eastAsia" w:cs="宋体"/>
          <w:color w:val="FF0000"/>
          <w:kern w:val="0"/>
          <w:lang w:eastAsia="zh-CN"/>
        </w:rPr>
        <w:t>、</w:t>
      </w:r>
      <w:r>
        <w:rPr>
          <w:rFonts w:hint="eastAsia" w:ascii="宋体" w:hAnsi="宋体" w:eastAsia="宋体" w:cs="宋体"/>
          <w:b w:val="0"/>
          <w:i w:val="0"/>
          <w:caps w:val="0"/>
          <w:color w:val="FF0000"/>
          <w:spacing w:val="0"/>
          <w:w w:val="100"/>
          <w:sz w:val="24"/>
          <w:highlight w:val="none"/>
          <w:lang w:val="en-US" w:eastAsia="zh-CN"/>
        </w:rPr>
        <w:t>文件制作。</w:t>
      </w:r>
    </w:p>
    <w:p>
      <w:pPr>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（3）技术评分占</w:t>
      </w:r>
      <w:r>
        <w:rPr>
          <w:rFonts w:hint="eastAsia" w:ascii="宋体" w:hAnsi="宋体" w:cs="宋体"/>
          <w:b w:val="0"/>
          <w:i w:val="0"/>
          <w:caps w:val="0"/>
          <w:color w:val="FF0000"/>
          <w:spacing w:val="0"/>
          <w:w w:val="100"/>
          <w:sz w:val="24"/>
          <w:highlight w:val="none"/>
          <w:lang w:val="en-US" w:eastAsia="zh-CN"/>
        </w:rPr>
        <w:t>43</w:t>
      </w:r>
      <w:r>
        <w:rPr>
          <w:rFonts w:hint="eastAsia" w:ascii="宋体" w:hAnsi="宋体" w:eastAsia="宋体" w:cs="宋体"/>
          <w:b w:val="0"/>
          <w:i w:val="0"/>
          <w:caps w:val="0"/>
          <w:color w:val="FF0000"/>
          <w:spacing w:val="0"/>
          <w:w w:val="100"/>
          <w:sz w:val="24"/>
          <w:highlight w:val="none"/>
          <w:lang w:val="en-US" w:eastAsia="zh-CN"/>
        </w:rPr>
        <w:t>%，包含投标技术方案符合情况、信息系统功能指标、系统承建保障、</w:t>
      </w:r>
      <w:r>
        <w:rPr>
          <w:rFonts w:hint="eastAsia"/>
          <w:color w:val="FF0000"/>
        </w:rPr>
        <w:t>现场勘查</w:t>
      </w:r>
      <w:r>
        <w:rPr>
          <w:rFonts w:hint="eastAsia"/>
          <w:color w:val="FF0000"/>
          <w:lang w:eastAsia="zh-CN"/>
        </w:rPr>
        <w:t>、</w:t>
      </w:r>
      <w:r>
        <w:rPr>
          <w:rFonts w:hint="eastAsia" w:cs="宋体"/>
          <w:color w:val="FF0000"/>
          <w:kern w:val="0"/>
        </w:rPr>
        <w:t>项目实施保障能力</w:t>
      </w:r>
      <w:r>
        <w:rPr>
          <w:rFonts w:hint="eastAsia" w:cs="宋体"/>
          <w:color w:val="FF0000"/>
          <w:kern w:val="0"/>
          <w:lang w:eastAsia="zh-CN"/>
        </w:rPr>
        <w:t>、</w:t>
      </w:r>
      <w:r>
        <w:rPr>
          <w:rFonts w:hint="eastAsia" w:cs="宋体"/>
          <w:color w:val="FF0000"/>
          <w:kern w:val="0"/>
        </w:rPr>
        <w:t>项目系统技术服务人员保障</w:t>
      </w:r>
      <w:r>
        <w:rPr>
          <w:rFonts w:hint="eastAsia" w:cs="宋体"/>
          <w:color w:val="FF0000"/>
          <w:kern w:val="0"/>
          <w:lang w:eastAsia="zh-CN"/>
        </w:rPr>
        <w:t>、</w:t>
      </w:r>
      <w:r>
        <w:rPr>
          <w:rFonts w:hint="eastAsia" w:cs="宋体"/>
          <w:color w:val="FF0000"/>
          <w:kern w:val="0"/>
        </w:rPr>
        <w:t>项目运维售后服务能力</w:t>
      </w:r>
      <w:r>
        <w:rPr>
          <w:rFonts w:hint="eastAsia" w:ascii="宋体" w:hAnsi="宋体" w:eastAsia="宋体" w:cs="宋体"/>
          <w:b w:val="0"/>
          <w:i w:val="0"/>
          <w:caps w:val="0"/>
          <w:color w:val="FF0000"/>
          <w:spacing w:val="0"/>
          <w:w w:val="100"/>
          <w:sz w:val="24"/>
          <w:highlight w:val="none"/>
          <w:lang w:val="en-US" w:eastAsia="zh-CN"/>
        </w:rPr>
        <w:t>。</w:t>
      </w:r>
    </w:p>
    <w:p>
      <w:pPr>
        <w:pStyle w:val="8"/>
        <w:rPr>
          <w:rFonts w:hint="eastAsia" w:ascii="宋体" w:hAnsi="宋体" w:eastAsia="宋体" w:cs="宋体"/>
        </w:rPr>
      </w:pPr>
    </w:p>
    <w:p>
      <w:pPr>
        <w:keepNext w:val="0"/>
        <w:keepLines w:val="0"/>
        <w:pageBreakBefore w:val="0"/>
        <w:kinsoku/>
        <w:wordWrap/>
        <w:overflowPunct/>
        <w:topLinePunct w:val="0"/>
        <w:autoSpaceDE/>
        <w:autoSpaceDN/>
        <w:bidi w:val="0"/>
        <w:adjustRightInd/>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7"/>
        <w:rPr>
          <w:rFonts w:hint="eastAsia" w:ascii="宋体" w:hAnsi="宋体" w:eastAsia="宋体" w:cs="宋体"/>
          <w:color w:val="auto"/>
          <w:highlight w:val="none"/>
        </w:rPr>
      </w:pPr>
      <w:bookmarkStart w:id="1126" w:name="_Toc13538"/>
      <w:r>
        <w:rPr>
          <w:rFonts w:hint="eastAsia" w:ascii="宋体" w:hAnsi="宋体" w:eastAsia="宋体" w:cs="宋体"/>
          <w:color w:val="auto"/>
          <w:highlight w:val="none"/>
        </w:rPr>
        <w:t>初步评审—资格性审查表</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tbl>
      <w:tblPr>
        <w:tblStyle w:val="29"/>
        <w:tblpPr w:leftFromText="180" w:rightFromText="180" w:vertAnchor="text" w:horzAnchor="page" w:tblpXSpec="center" w:tblpY="234"/>
        <w:tblOverlap w:val="never"/>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316"/>
        <w:gridCol w:w="949"/>
        <w:gridCol w:w="753"/>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655" w:type="dxa"/>
            <w:vMerge w:val="restart"/>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7316" w:type="dxa"/>
            <w:vMerge w:val="restart"/>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2419" w:type="dxa"/>
            <w:gridSpan w:val="3"/>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5" w:type="dxa"/>
            <w:vMerge w:val="continue"/>
            <w:vAlign w:val="center"/>
          </w:tcPr>
          <w:p>
            <w:pPr>
              <w:spacing w:line="400" w:lineRule="exact"/>
              <w:jc w:val="center"/>
              <w:rPr>
                <w:rFonts w:hint="eastAsia" w:ascii="宋体" w:hAnsi="宋体" w:eastAsia="宋体" w:cs="宋体"/>
                <w:b/>
                <w:bCs/>
                <w:color w:val="auto"/>
                <w:szCs w:val="21"/>
                <w:highlight w:val="none"/>
              </w:rPr>
            </w:pPr>
          </w:p>
        </w:tc>
        <w:tc>
          <w:tcPr>
            <w:tcW w:w="7316" w:type="dxa"/>
            <w:vMerge w:val="continue"/>
            <w:vAlign w:val="center"/>
          </w:tcPr>
          <w:p>
            <w:pPr>
              <w:spacing w:line="400" w:lineRule="exact"/>
              <w:jc w:val="center"/>
              <w:rPr>
                <w:rFonts w:hint="eastAsia" w:ascii="宋体" w:hAnsi="宋体" w:eastAsia="宋体" w:cs="宋体"/>
                <w:b/>
                <w:bCs/>
                <w:color w:val="auto"/>
                <w:szCs w:val="21"/>
                <w:highlight w:val="none"/>
              </w:rPr>
            </w:pPr>
          </w:p>
        </w:tc>
        <w:tc>
          <w:tcPr>
            <w:tcW w:w="949" w:type="dxa"/>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c>
          <w:tcPr>
            <w:tcW w:w="753" w:type="dxa"/>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c>
          <w:tcPr>
            <w:tcW w:w="717" w:type="dxa"/>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具有独立法人资格（三证合一的营业执照）</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法定代表人资格证明及授权书、被授权人身份证；(法定代表人投标需提供法定代表人身份证)；</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提供2020年或2021年经审计的财务审计报告（2022年成立的新公司出具近3个月任意一个月的银行资信证明）</w:t>
            </w:r>
            <w:r>
              <w:rPr>
                <w:rFonts w:hint="eastAsia" w:ascii="宋体" w:hAnsi="宋体" w:eastAsia="宋体" w:cs="宋体"/>
                <w:color w:val="auto"/>
                <w:szCs w:val="21"/>
                <w:highlight w:val="none"/>
              </w:rPr>
              <w:t>；</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依法缴纳最近连续六个月的社会保险的凭据（授权人和单位员工缴纳明细凭据）</w:t>
            </w:r>
            <w:r>
              <w:rPr>
                <w:rFonts w:hint="eastAsia" w:ascii="宋体" w:hAnsi="宋体" w:eastAsia="宋体" w:cs="宋体"/>
                <w:color w:val="auto"/>
                <w:szCs w:val="21"/>
                <w:highlight w:val="none"/>
              </w:rPr>
              <w:t>；</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提供税务部门出具的最近连续六个月的完税证明</w:t>
            </w:r>
            <w:r>
              <w:rPr>
                <w:rFonts w:hint="eastAsia" w:ascii="宋体" w:hAnsi="宋体" w:eastAsia="宋体" w:cs="宋体"/>
                <w:color w:val="auto"/>
                <w:szCs w:val="21"/>
                <w:highlight w:val="none"/>
              </w:rPr>
              <w:t>；</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color w:val="auto"/>
                <w:szCs w:val="21"/>
                <w:highlight w:val="none"/>
                <w:lang w:eastAsia="zh-CN"/>
              </w:rPr>
              <w:t>信用服务-重点领域严重失信主体名单查询-搜索栏输入单位全称-截图</w:t>
            </w:r>
            <w:r>
              <w:rPr>
                <w:rFonts w:hint="eastAsia" w:ascii="宋体" w:hAnsi="宋体" w:eastAsia="宋体" w:cs="宋体"/>
                <w:color w:val="auto"/>
                <w:szCs w:val="21"/>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参与政府采购活动前3年内未被列入失信、重大税收违法案件、财政部门禁止参加政府采购活动的承诺书；</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提供针对本次项目《反商业贿赂承诺书》；</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5" w:type="dxa"/>
            <w:vAlign w:val="center"/>
          </w:tcPr>
          <w:p>
            <w:pPr>
              <w:spacing w:line="400" w:lineRule="exact"/>
              <w:jc w:val="left"/>
              <w:rPr>
                <w:rFonts w:hint="eastAsia" w:ascii="宋体" w:hAnsi="宋体" w:eastAsia="宋体" w:cs="宋体"/>
                <w:color w:val="auto"/>
                <w:spacing w:val="-2"/>
                <w:szCs w:val="21"/>
                <w:highlight w:val="none"/>
              </w:rPr>
            </w:pPr>
          </w:p>
        </w:tc>
        <w:tc>
          <w:tcPr>
            <w:tcW w:w="7316" w:type="dxa"/>
            <w:vAlign w:val="center"/>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结论</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bl>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说明：（1）上述各项中用“√”表示通过，“×”表示不通过；</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spacing w:line="36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（3）投标文件最终合格与否，以所有评委的评审意见中少数服从多数为原则定论。</w:t>
      </w:r>
    </w:p>
    <w:p>
      <w:pPr>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rPr>
          <w:rFonts w:hint="eastAsia" w:ascii="宋体" w:hAnsi="宋体" w:eastAsia="宋体" w:cs="宋体"/>
          <w:color w:val="auto"/>
          <w:highlight w:val="none"/>
        </w:rPr>
      </w:pPr>
      <w:bookmarkStart w:id="1127" w:name="_Toc15993"/>
      <w:bookmarkStart w:id="1128" w:name="_Toc3062"/>
      <w:bookmarkStart w:id="1129" w:name="_Toc18094"/>
      <w:bookmarkStart w:id="1130" w:name="_Toc16022"/>
      <w:bookmarkStart w:id="1131" w:name="_Toc28858"/>
      <w:bookmarkStart w:id="1132" w:name="_Toc26642"/>
      <w:bookmarkStart w:id="1133" w:name="_Toc10492"/>
      <w:bookmarkStart w:id="1134" w:name="_Toc273"/>
      <w:bookmarkStart w:id="1135" w:name="_Toc31983"/>
      <w:bookmarkStart w:id="1136" w:name="_Toc25694"/>
      <w:bookmarkStart w:id="1137" w:name="_Toc12108"/>
      <w:bookmarkStart w:id="1138" w:name="_Toc14007"/>
      <w:bookmarkStart w:id="1139" w:name="_Toc13854"/>
      <w:bookmarkStart w:id="1140" w:name="_Toc8255"/>
      <w:bookmarkStart w:id="1141" w:name="_Toc21850"/>
      <w:bookmarkStart w:id="1142" w:name="_Toc27246"/>
      <w:bookmarkStart w:id="1143" w:name="_Toc30395"/>
    </w:p>
    <w:p>
      <w:pPr>
        <w:pStyle w:val="7"/>
        <w:rPr>
          <w:rFonts w:hint="eastAsia" w:ascii="宋体" w:hAnsi="宋体" w:eastAsia="宋体" w:cs="宋体"/>
          <w:color w:val="auto"/>
          <w:highlight w:val="none"/>
        </w:rPr>
      </w:pPr>
      <w:bookmarkStart w:id="1144" w:name="_Toc37"/>
      <w:bookmarkStart w:id="1145" w:name="_Toc21927"/>
      <w:bookmarkStart w:id="1146" w:name="_Toc8702"/>
    </w:p>
    <w:p>
      <w:pPr>
        <w:pStyle w:val="7"/>
        <w:rPr>
          <w:rFonts w:hint="eastAsia" w:ascii="宋体" w:hAnsi="宋体" w:eastAsia="宋体" w:cs="宋体"/>
          <w:color w:val="auto"/>
          <w:highlight w:val="none"/>
        </w:rPr>
      </w:pPr>
      <w:bookmarkStart w:id="1147" w:name="_Toc3008"/>
      <w:r>
        <w:rPr>
          <w:rFonts w:hint="eastAsia" w:ascii="宋体" w:hAnsi="宋体" w:eastAsia="宋体" w:cs="宋体"/>
          <w:color w:val="auto"/>
          <w:highlight w:val="none"/>
        </w:rPr>
        <w:t>初步评审—符合性审查表</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tbl>
      <w:tblPr>
        <w:tblStyle w:val="29"/>
        <w:tblpPr w:leftFromText="180" w:rightFromText="180" w:vertAnchor="text" w:horzAnchor="page" w:tblpXSpec="center" w:tblpY="262"/>
        <w:tblOverlap w:val="never"/>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527"/>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75" w:type="dxa"/>
            <w:gridSpan w:val="2"/>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评审内容</w:t>
            </w:r>
          </w:p>
        </w:tc>
        <w:tc>
          <w:tcPr>
            <w:tcW w:w="115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b/>
                <w:color w:val="auto"/>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527" w:type="dxa"/>
            <w:vAlign w:val="center"/>
          </w:tcPr>
          <w:p>
            <w:pPr>
              <w:spacing w:line="400" w:lineRule="exact"/>
              <w:rPr>
                <w:rFonts w:hint="eastAsia" w:ascii="宋体" w:hAnsi="宋体" w:eastAsia="宋体" w:cs="宋体"/>
                <w:color w:val="auto"/>
                <w:spacing w:val="-2"/>
                <w:szCs w:val="21"/>
                <w:highlight w:val="none"/>
              </w:rPr>
            </w:pPr>
          </w:p>
        </w:tc>
        <w:tc>
          <w:tcPr>
            <w:tcW w:w="115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各供应商投标报价未高于预算金额；</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评标委员会认为供应商的报价无明显低于其他通过符合性审查供应商的报价的，供应商的报价不存在异常一致并成规律性的，其报价合理；</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投标文件按照招标文件的规定编制、标记及签署盖章的，法定代表人或其授权代表签字（章）和加盖供应商公章的（投标文件正本的印章和签字不能为复印件）；</w:t>
            </w:r>
          </w:p>
        </w:tc>
        <w:tc>
          <w:tcPr>
            <w:tcW w:w="1158" w:type="dxa"/>
            <w:vAlign w:val="center"/>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4</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按招标文件规定的格式填写，内容全的；</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5</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符合招标文件中规定的其他实质性要求</w:t>
            </w:r>
            <w:r>
              <w:rPr>
                <w:rFonts w:hint="eastAsia" w:ascii="宋体" w:hAnsi="宋体" w:eastAsia="宋体" w:cs="宋体"/>
                <w:b/>
                <w:bCs/>
                <w:color w:val="auto"/>
                <w:spacing w:val="-2"/>
                <w:szCs w:val="21"/>
                <w:highlight w:val="none"/>
              </w:rPr>
              <w:t>（服务期等）</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6</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没有采购人不能接受的附加条件的；</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7</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不同供应商的投标文件没有错漏一致的情况；</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8</w:t>
            </w:r>
          </w:p>
        </w:tc>
        <w:tc>
          <w:tcPr>
            <w:tcW w:w="7527" w:type="dxa"/>
            <w:vAlign w:val="bottom"/>
          </w:tcPr>
          <w:p>
            <w:pPr>
              <w:spacing w:line="400" w:lineRule="exact"/>
              <w:jc w:val="left"/>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供应商附有详细地址、联系人、电话标明的</w:t>
            </w:r>
            <w:r>
              <w:rPr>
                <w:rFonts w:hint="eastAsia" w:ascii="宋体" w:hAnsi="宋体" w:eastAsia="宋体" w:cs="宋体"/>
                <w:color w:val="auto"/>
                <w:spacing w:val="-2"/>
                <w:szCs w:val="21"/>
                <w:highlight w:val="none"/>
                <w:lang w:eastAsia="zh-CN"/>
              </w:rPr>
              <w:t>。</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lang w:val="en-US" w:eastAsia="zh-CN"/>
              </w:rPr>
              <w:t>9</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缴纳投标保证金的有效凭证。</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375" w:type="dxa"/>
            <w:gridSpan w:val="2"/>
            <w:vAlign w:val="center"/>
          </w:tcPr>
          <w:p>
            <w:pPr>
              <w:spacing w:line="400" w:lineRule="exact"/>
              <w:ind w:firstLine="370" w:firstLineChars="180"/>
              <w:rPr>
                <w:rFonts w:hint="eastAsia" w:ascii="宋体" w:hAnsi="宋体" w:eastAsia="宋体" w:cs="宋体"/>
                <w:color w:val="auto"/>
                <w:spacing w:val="-2"/>
                <w:sz w:val="24"/>
                <w:highlight w:val="none"/>
              </w:rPr>
            </w:pPr>
            <w:r>
              <w:rPr>
                <w:rFonts w:hint="eastAsia" w:ascii="宋体" w:hAnsi="宋体" w:eastAsia="宋体" w:cs="宋体"/>
                <w:color w:val="auto"/>
                <w:spacing w:val="-2"/>
                <w:szCs w:val="21"/>
                <w:highlight w:val="none"/>
              </w:rPr>
              <w:t>结论：通过评审打“√”，未通过评审打“×”</w:t>
            </w:r>
          </w:p>
        </w:tc>
        <w:tc>
          <w:tcPr>
            <w:tcW w:w="1158" w:type="dxa"/>
            <w:vAlign w:val="center"/>
          </w:tcPr>
          <w:p>
            <w:pPr>
              <w:spacing w:line="400" w:lineRule="exact"/>
              <w:ind w:firstLine="370" w:firstLineChars="180"/>
              <w:rPr>
                <w:rFonts w:hint="eastAsia" w:ascii="宋体" w:hAnsi="宋体" w:eastAsia="宋体" w:cs="宋体"/>
                <w:color w:val="auto"/>
                <w:spacing w:val="-2"/>
                <w:szCs w:val="21"/>
                <w:highlight w:val="none"/>
              </w:rPr>
            </w:pPr>
          </w:p>
        </w:tc>
      </w:tr>
    </w:tbl>
    <w:p>
      <w:pPr>
        <w:spacing w:line="40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40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（1）上述各项中用“√”表示合格，“×”表示不合格；</w:t>
      </w:r>
    </w:p>
    <w:p>
      <w:pPr>
        <w:spacing w:line="400" w:lineRule="exact"/>
        <w:ind w:left="689" w:leftChars="28"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pStyle w:val="8"/>
        <w:spacing w:line="400" w:lineRule="exact"/>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pPr>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pStyle w:val="13"/>
        <w:ind w:firstLine="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tbl>
      <w:tblPr>
        <w:tblStyle w:val="29"/>
        <w:tblW w:w="10233" w:type="dxa"/>
        <w:tblInd w:w="-430" w:type="dxa"/>
        <w:tblLayout w:type="fixed"/>
        <w:tblCellMar>
          <w:top w:w="0" w:type="dxa"/>
          <w:left w:w="108" w:type="dxa"/>
          <w:bottom w:w="0" w:type="dxa"/>
          <w:right w:w="108" w:type="dxa"/>
        </w:tblCellMar>
      </w:tblPr>
      <w:tblGrid>
        <w:gridCol w:w="3087"/>
        <w:gridCol w:w="5651"/>
        <w:gridCol w:w="545"/>
        <w:gridCol w:w="459"/>
        <w:gridCol w:w="491"/>
      </w:tblGrid>
      <w:tr>
        <w:tblPrEx>
          <w:tblCellMar>
            <w:top w:w="0" w:type="dxa"/>
            <w:left w:w="108" w:type="dxa"/>
            <w:bottom w:w="0" w:type="dxa"/>
            <w:right w:w="108" w:type="dxa"/>
          </w:tblCellMar>
        </w:tblPrEx>
        <w:trPr>
          <w:trHeight w:val="585" w:hRule="atLeast"/>
        </w:trPr>
        <w:tc>
          <w:tcPr>
            <w:tcW w:w="10233" w:type="dxa"/>
            <w:gridSpan w:val="5"/>
            <w:tcBorders>
              <w:top w:val="nil"/>
              <w:left w:val="nil"/>
              <w:bottom w:val="single" w:color="auto" w:sz="4" w:space="0"/>
              <w:right w:val="nil"/>
            </w:tcBorders>
            <w:vAlign w:val="center"/>
          </w:tcPr>
          <w:p>
            <w:pPr>
              <w:widowControl/>
              <w:spacing w:line="360" w:lineRule="exact"/>
              <w:ind w:firstLine="1606" w:firstLineChars="500"/>
              <w:jc w:val="both"/>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一、商务符合性审查表</w:t>
            </w:r>
          </w:p>
        </w:tc>
      </w:tr>
      <w:tr>
        <w:tblPrEx>
          <w:tblCellMar>
            <w:top w:w="0" w:type="dxa"/>
            <w:left w:w="108" w:type="dxa"/>
            <w:bottom w:w="0" w:type="dxa"/>
            <w:right w:w="108" w:type="dxa"/>
          </w:tblCellMar>
        </w:tblPrEx>
        <w:trPr>
          <w:trHeight w:val="754"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审查事项</w:t>
            </w:r>
          </w:p>
        </w:tc>
        <w:tc>
          <w:tcPr>
            <w:tcW w:w="149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供应商名称及审查情况</w:t>
            </w:r>
          </w:p>
        </w:tc>
      </w:tr>
      <w:tr>
        <w:tblPrEx>
          <w:tblCellMar>
            <w:top w:w="0" w:type="dxa"/>
            <w:left w:w="108" w:type="dxa"/>
            <w:bottom w:w="0" w:type="dxa"/>
            <w:right w:w="108" w:type="dxa"/>
          </w:tblCellMar>
        </w:tblPrEx>
        <w:trPr>
          <w:trHeight w:val="66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招标文件条款（供应商须知、供应商须知资料表条款号）</w:t>
            </w:r>
          </w:p>
        </w:tc>
        <w:tc>
          <w:tcPr>
            <w:tcW w:w="56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本项目要求</w:t>
            </w:r>
          </w:p>
        </w:tc>
        <w:tc>
          <w:tcPr>
            <w:tcW w:w="5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285"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中小企业投标要求（1.3.6）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03"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联合体投标规（1.4）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不接受</w:t>
            </w:r>
            <w:r>
              <w:rPr>
                <w:rFonts w:hint="eastAsia" w:ascii="宋体" w:hAnsi="宋体" w:eastAsia="宋体" w:cs="宋体"/>
                <w:color w:val="auto"/>
                <w:kern w:val="0"/>
                <w:szCs w:val="21"/>
                <w:highlight w:val="none"/>
              </w:rPr>
              <w:t>联合体投标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供应商的关联（1.5）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在同一标包内，单位负责人为非同一人或者不存在直接控股、管理关系的不同供应商。</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未发现影响采购人决策行为（1.5）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供应商在投标过程中未向采购人提供、给予任何有价值的物品，影响其正常决策行为。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121"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满足投标范围的完整性要求（8.1）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供应商对所投分包招标文件中所列的所有内容进行投标。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57"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未包含价格调整要求（11.4）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供应商所报的各分项投标报价在合同履行过程中是固定不变的，不得以任何理由予以变更。</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45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投标保证金（12.1）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投标有效期满足要求（13.1）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自提交投标文件截止之日起</w:t>
            </w:r>
            <w:r>
              <w:rPr>
                <w:rFonts w:hint="eastAsia" w:ascii="宋体" w:hAnsi="宋体" w:eastAsia="宋体" w:cs="宋体"/>
                <w:color w:val="auto"/>
                <w:szCs w:val="21"/>
                <w:highlight w:val="none"/>
                <w:u w:val="single"/>
              </w:rPr>
              <w:t xml:space="preserve"> 60 日</w:t>
            </w:r>
            <w:r>
              <w:rPr>
                <w:rFonts w:hint="eastAsia" w:ascii="宋体" w:hAnsi="宋体" w:eastAsia="宋体" w:cs="宋体"/>
                <w:color w:val="auto"/>
                <w:szCs w:val="21"/>
                <w:highlight w:val="none"/>
              </w:rPr>
              <w:t>历日</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投标文件的装订方式（14.3）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所有投标文件采用不可拆装的胶订方式装订</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投标文件的签署和盖章符合要求</w:t>
            </w:r>
          </w:p>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（14.2、14.4）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按照招标文件规定要求签署、盖章。</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接受价格的算术修正（20.3）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投标文件报价出现前后不一致的，应按照招标文件规定的顺序修正。修正后的报价经供应商确认后产生约束力。</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符合强制采购节能产品要求（20.6）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未发现串通投标（22.2）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未与其他供应商串通投标，或者与招标人串通投标。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报价说明可以接受（22.2）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供应商的报价明显低于其他通过符合性检查供应商的报价，有可能影响履约的，供应商能按照规定证明其报价合理性。</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无采购人不能接受的附加条件（22.2）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投标文件未含有采购人不能接受的附加条件。</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152"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kern w:val="0"/>
                <w:sz w:val="22"/>
                <w:szCs w:val="22"/>
                <w:highlight w:val="none"/>
              </w:rPr>
              <w:t>结论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r>
    </w:tbl>
    <w:p>
      <w:pPr>
        <w:pStyle w:val="4"/>
        <w:tabs>
          <w:tab w:val="clear" w:pos="567"/>
        </w:tabs>
        <w:spacing w:before="0" w:line="360" w:lineRule="exact"/>
        <w:ind w:left="-181" w:leftChars="-86" w:firstLine="660" w:firstLineChars="275"/>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29"/>
        <w:tblW w:w="8700" w:type="dxa"/>
        <w:tblInd w:w="108" w:type="dxa"/>
        <w:tblLayout w:type="fixed"/>
        <w:tblCellMar>
          <w:top w:w="0" w:type="dxa"/>
          <w:left w:w="108" w:type="dxa"/>
          <w:bottom w:w="0" w:type="dxa"/>
          <w:right w:w="108" w:type="dxa"/>
        </w:tblCellMar>
      </w:tblPr>
      <w:tblGrid>
        <w:gridCol w:w="2820"/>
        <w:gridCol w:w="920"/>
        <w:gridCol w:w="1505"/>
        <w:gridCol w:w="1843"/>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spacing w:line="3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技术符合性审查表</w:t>
            </w:r>
          </w:p>
        </w:tc>
      </w:tr>
      <w:tr>
        <w:tblPrEx>
          <w:tblCellMar>
            <w:top w:w="0" w:type="dxa"/>
            <w:left w:w="108" w:type="dxa"/>
            <w:bottom w:w="0" w:type="dxa"/>
            <w:right w:w="108" w:type="dxa"/>
          </w:tblCellMar>
        </w:tblPrEx>
        <w:trPr>
          <w:trHeight w:val="390" w:hRule="atLeast"/>
        </w:trPr>
        <w:tc>
          <w:tcPr>
            <w:tcW w:w="374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审查事项</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r>
      <w:tr>
        <w:tblPrEx>
          <w:tblCellMar>
            <w:top w:w="0" w:type="dxa"/>
            <w:left w:w="108" w:type="dxa"/>
            <w:bottom w:w="0" w:type="dxa"/>
            <w:right w:w="108" w:type="dxa"/>
          </w:tblCellMar>
        </w:tblPrEx>
        <w:trPr>
          <w:trHeight w:val="570" w:hRule="atLeast"/>
        </w:trPr>
        <w:tc>
          <w:tcPr>
            <w:tcW w:w="3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招标文件要求</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条款号</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服务内容</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第5章</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nil"/>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nil"/>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7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结论</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465" w:hRule="atLeast"/>
        </w:trPr>
        <w:tc>
          <w:tcPr>
            <w:tcW w:w="2820"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0"/>
                <w:szCs w:val="20"/>
                <w:highlight w:val="none"/>
              </w:rPr>
            </w:pPr>
          </w:p>
        </w:tc>
        <w:tc>
          <w:tcPr>
            <w:tcW w:w="1843" w:type="dxa"/>
            <w:tcBorders>
              <w:top w:val="nil"/>
              <w:left w:val="nil"/>
              <w:bottom w:val="nil"/>
              <w:right w:val="nil"/>
            </w:tcBorders>
            <w:vAlign w:val="center"/>
          </w:tcPr>
          <w:p>
            <w:pPr>
              <w:widowControl/>
              <w:spacing w:line="360" w:lineRule="exact"/>
              <w:jc w:val="left"/>
              <w:rPr>
                <w:rFonts w:hint="eastAsia" w:ascii="宋体" w:hAnsi="宋体" w:eastAsia="宋体" w:cs="宋体"/>
                <w:color w:val="auto"/>
                <w:kern w:val="0"/>
                <w:sz w:val="20"/>
                <w:szCs w:val="20"/>
                <w:highlight w:val="none"/>
              </w:rPr>
            </w:pPr>
          </w:p>
        </w:tc>
        <w:tc>
          <w:tcPr>
            <w:tcW w:w="1612" w:type="dxa"/>
            <w:tcBorders>
              <w:top w:val="nil"/>
              <w:left w:val="nil"/>
              <w:bottom w:val="nil"/>
              <w:right w:val="nil"/>
            </w:tcBorders>
            <w:vAlign w:val="center"/>
          </w:tcPr>
          <w:p>
            <w:pPr>
              <w:widowControl/>
              <w:spacing w:line="360" w:lineRule="exact"/>
              <w:jc w:val="left"/>
              <w:rPr>
                <w:rFonts w:hint="eastAsia" w:ascii="宋体" w:hAnsi="宋体" w:eastAsia="宋体" w:cs="宋体"/>
                <w:color w:val="auto"/>
                <w:kern w:val="0"/>
                <w:sz w:val="22"/>
                <w:szCs w:val="22"/>
                <w:highlight w:val="none"/>
              </w:rPr>
            </w:pPr>
          </w:p>
        </w:tc>
      </w:tr>
    </w:tbl>
    <w:p>
      <w:pPr>
        <w:rPr>
          <w:rFonts w:hint="eastAsia" w:ascii="宋体" w:hAnsi="宋体" w:eastAsia="宋体" w:cs="宋体"/>
          <w:color w:val="auto"/>
          <w:highlight w:val="none"/>
        </w:rPr>
        <w:sectPr>
          <w:headerReference r:id="rId7" w:type="default"/>
          <w:footerReference r:id="rId8" w:type="default"/>
          <w:pgSz w:w="11906" w:h="16838"/>
          <w:pgMar w:top="1418" w:right="946" w:bottom="567" w:left="1500" w:header="851" w:footer="992" w:gutter="0"/>
          <w:pgNumType w:fmt="decimal"/>
          <w:cols w:space="720" w:num="1"/>
          <w:docGrid w:type="lines" w:linePitch="312" w:charSpace="0"/>
        </w:sectPr>
      </w:pPr>
    </w:p>
    <w:p>
      <w:pPr>
        <w:pStyle w:val="24"/>
        <w:jc w:val="center"/>
        <w:outlineLvl w:val="1"/>
        <w:rPr>
          <w:rFonts w:hint="eastAsia" w:ascii="宋体" w:hAnsi="宋体" w:eastAsia="宋体" w:cs="宋体"/>
          <w:b/>
          <w:bCs/>
          <w:color w:val="auto"/>
          <w:sz w:val="24"/>
          <w:szCs w:val="24"/>
          <w:highlight w:val="none"/>
        </w:rPr>
      </w:pPr>
      <w:bookmarkStart w:id="1148" w:name="_Toc6712"/>
      <w:bookmarkStart w:id="1149" w:name="_Toc23066"/>
      <w:bookmarkStart w:id="1150" w:name="_Toc20582"/>
      <w:bookmarkStart w:id="1151" w:name="_Toc507399904"/>
      <w:r>
        <w:rPr>
          <w:rFonts w:hint="eastAsia" w:ascii="宋体" w:hAnsi="宋体" w:eastAsia="宋体" w:cs="宋体"/>
          <w:b/>
          <w:bCs/>
          <w:color w:val="auto"/>
          <w:sz w:val="44"/>
          <w:szCs w:val="44"/>
          <w:highlight w:val="none"/>
          <w:lang w:val="en-US" w:eastAsia="zh-CN"/>
        </w:rPr>
        <w:t>第一包综合评分表</w:t>
      </w:r>
      <w:bookmarkEnd w:id="1148"/>
      <w:bookmarkEnd w:id="1149"/>
      <w:bookmarkEnd w:id="1150"/>
    </w:p>
    <w:p>
      <w:pPr>
        <w:pStyle w:val="24"/>
        <w:jc w:val="center"/>
        <w:outlineLvl w:val="1"/>
        <w:rPr>
          <w:rFonts w:hint="eastAsia" w:ascii="宋体" w:hAnsi="宋体" w:eastAsia="宋体" w:cs="宋体"/>
          <w:b/>
          <w:bCs/>
          <w:color w:val="auto"/>
          <w:sz w:val="24"/>
          <w:szCs w:val="24"/>
          <w:highlight w:val="none"/>
        </w:rPr>
      </w:pPr>
    </w:p>
    <w:tbl>
      <w:tblPr>
        <w:tblStyle w:val="29"/>
        <w:tblW w:w="5482" w:type="pct"/>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720"/>
        <w:gridCol w:w="593"/>
        <w:gridCol w:w="6115"/>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4" w:type="dxa"/>
            <w:vAlign w:val="center"/>
          </w:tcPr>
          <w:p>
            <w:pPr>
              <w:widowControl/>
              <w:spacing w:line="28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720" w:type="dxa"/>
            <w:vAlign w:val="center"/>
          </w:tcPr>
          <w:p>
            <w:pPr>
              <w:widowControl/>
              <w:spacing w:line="28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评分因素</w:t>
            </w:r>
          </w:p>
          <w:p>
            <w:pPr>
              <w:widowControl/>
              <w:spacing w:line="28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及权重</w:t>
            </w:r>
          </w:p>
        </w:tc>
        <w:tc>
          <w:tcPr>
            <w:tcW w:w="593" w:type="dxa"/>
            <w:vAlign w:val="center"/>
          </w:tcPr>
          <w:p>
            <w:pPr>
              <w:widowControl/>
              <w:spacing w:line="28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c>
          <w:tcPr>
            <w:tcW w:w="6115" w:type="dxa"/>
            <w:vAlign w:val="center"/>
          </w:tcPr>
          <w:p>
            <w:pPr>
              <w:widowControl/>
              <w:spacing w:line="28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评分标准</w:t>
            </w:r>
          </w:p>
          <w:p>
            <w:pPr>
              <w:widowControl/>
              <w:spacing w:line="28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分  商务：</w:t>
            </w:r>
            <w:r>
              <w:rPr>
                <w:rFonts w:hint="eastAsia" w:ascii="宋体" w:hAnsi="宋体" w:eastAsia="宋体" w:cs="宋体"/>
                <w:color w:val="auto"/>
                <w:sz w:val="22"/>
                <w:szCs w:val="22"/>
                <w:highlight w:val="none"/>
                <w:lang w:val="en-US" w:eastAsia="zh-CN"/>
              </w:rPr>
              <w:t>37</w:t>
            </w:r>
            <w:r>
              <w:rPr>
                <w:rFonts w:hint="eastAsia" w:ascii="宋体" w:hAnsi="宋体" w:eastAsia="宋体" w:cs="宋体"/>
                <w:color w:val="auto"/>
                <w:sz w:val="22"/>
                <w:szCs w:val="22"/>
                <w:highlight w:val="none"/>
              </w:rPr>
              <w:t>分   技术：</w:t>
            </w:r>
            <w:r>
              <w:rPr>
                <w:rFonts w:hint="eastAsia" w:ascii="宋体" w:hAnsi="宋体" w:eastAsia="宋体" w:cs="宋体"/>
                <w:color w:val="auto"/>
                <w:sz w:val="22"/>
                <w:szCs w:val="22"/>
                <w:highlight w:val="none"/>
                <w:lang w:val="en-US" w:eastAsia="zh-CN"/>
              </w:rPr>
              <w:t>43</w:t>
            </w:r>
            <w:r>
              <w:rPr>
                <w:rFonts w:hint="eastAsia" w:ascii="宋体" w:hAnsi="宋体" w:eastAsia="宋体" w:cs="宋体"/>
                <w:color w:val="auto"/>
                <w:sz w:val="22"/>
                <w:szCs w:val="22"/>
                <w:highlight w:val="none"/>
              </w:rPr>
              <w:t>分</w:t>
            </w:r>
          </w:p>
        </w:tc>
        <w:tc>
          <w:tcPr>
            <w:tcW w:w="982" w:type="dxa"/>
            <w:vAlign w:val="center"/>
          </w:tcPr>
          <w:p>
            <w:pPr>
              <w:widowControl/>
              <w:spacing w:line="280" w:lineRule="exact"/>
              <w:ind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04"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报价部分</w:t>
            </w:r>
          </w:p>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（20分）</w:t>
            </w:r>
          </w:p>
        </w:tc>
        <w:tc>
          <w:tcPr>
            <w:tcW w:w="720"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报价（20分）</w:t>
            </w:r>
          </w:p>
        </w:tc>
        <w:tc>
          <w:tcPr>
            <w:tcW w:w="593" w:type="dxa"/>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20</w:t>
            </w:r>
          </w:p>
        </w:tc>
        <w:tc>
          <w:tcPr>
            <w:tcW w:w="6115" w:type="dxa"/>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完全满足招标文件参数的投标报价中的最低价为评标基准价，按照下列公式计算每个供应商的投标价格得分。投标报价得分＝（基准价/投标报价）×价格权重×100。</w:t>
            </w:r>
          </w:p>
        </w:tc>
        <w:tc>
          <w:tcPr>
            <w:tcW w:w="982"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04" w:type="dxa"/>
            <w:vMerge w:val="restart"/>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商务部分（</w:t>
            </w:r>
            <w:r>
              <w:rPr>
                <w:rFonts w:hint="eastAsia" w:ascii="宋体" w:hAnsi="宋体" w:cs="宋体"/>
                <w:color w:val="auto"/>
                <w:sz w:val="22"/>
                <w:szCs w:val="22"/>
                <w:highlight w:val="none"/>
                <w:lang w:val="en-US" w:eastAsia="zh-CN"/>
              </w:rPr>
              <w:t>25</w:t>
            </w:r>
            <w:r>
              <w:rPr>
                <w:rFonts w:hint="eastAsia" w:ascii="宋体" w:hAnsi="宋体" w:eastAsia="宋体" w:cs="宋体"/>
                <w:color w:val="auto"/>
                <w:sz w:val="22"/>
                <w:szCs w:val="22"/>
                <w:highlight w:val="none"/>
              </w:rPr>
              <w:t>分）</w:t>
            </w:r>
          </w:p>
        </w:tc>
        <w:tc>
          <w:tcPr>
            <w:tcW w:w="720" w:type="dxa"/>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业绩</w:t>
            </w:r>
          </w:p>
        </w:tc>
        <w:tc>
          <w:tcPr>
            <w:tcW w:w="593" w:type="dxa"/>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6115"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cs="宋体"/>
              </w:rPr>
              <w:t>投标厂商自20</w:t>
            </w:r>
            <w:r>
              <w:rPr>
                <w:rFonts w:ascii="宋体" w:hAnsi="宋体" w:cs="宋体"/>
              </w:rPr>
              <w:t>21</w:t>
            </w:r>
            <w:r>
              <w:rPr>
                <w:rFonts w:hint="eastAsia" w:ascii="宋体" w:hAnsi="宋体" w:cs="宋体"/>
              </w:rPr>
              <w:t>年1月1日以来承接过类似项目，每有1个得</w:t>
            </w:r>
            <w:r>
              <w:rPr>
                <w:rFonts w:ascii="宋体" w:hAnsi="宋体" w:cs="宋体"/>
              </w:rPr>
              <w:t>1</w:t>
            </w:r>
            <w:r>
              <w:rPr>
                <w:rFonts w:hint="eastAsia" w:ascii="宋体" w:hAnsi="宋体" w:cs="宋体"/>
              </w:rPr>
              <w:t>分，最高</w:t>
            </w:r>
            <w:r>
              <w:rPr>
                <w:rFonts w:ascii="宋体" w:hAnsi="宋体" w:cs="宋体"/>
              </w:rPr>
              <w:t>5</w:t>
            </w:r>
            <w:r>
              <w:rPr>
                <w:rFonts w:hint="eastAsia" w:ascii="宋体" w:hAnsi="宋体" w:cs="宋体"/>
              </w:rPr>
              <w:t>分；证明材料为加盖公章的合同或中标通知书复印件，不提供不得分。</w:t>
            </w:r>
          </w:p>
        </w:tc>
        <w:tc>
          <w:tcPr>
            <w:tcW w:w="982" w:type="dxa"/>
            <w:vMerge w:val="restart"/>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04"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c>
          <w:tcPr>
            <w:tcW w:w="720" w:type="dxa"/>
            <w:vMerge w:val="restart"/>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产品核心实力(20分)</w:t>
            </w:r>
          </w:p>
        </w:tc>
        <w:tc>
          <w:tcPr>
            <w:tcW w:w="593" w:type="dxa"/>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10</w:t>
            </w:r>
          </w:p>
        </w:tc>
        <w:tc>
          <w:tcPr>
            <w:tcW w:w="6115"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提供自主研发的医院信息系统（HIS）；电子病历(EMR)；医疗信息集成平台；统一门户系统；集成平台运维管理系统；主索引管理系统；医院业务服务组件接口系统；数据中心管理系统；病人集成视图；集成平台监管系统；ETL数据处理平台；数据分析与辅助决策支持系统；临床数据仓库与挖掘系统；院长决策支持系统；BI决策支持平台等系统软件著作权登记证书，全部提供得10分。缺1个产品扣1分，扣完为止。计算机软件著作权登记证书取得时间不迟于本项目招标公告发布之前。（提供软件著作权的名称可略有不同，但实际功能需一致，以提供著作权登记证书复印件加盖投标人公章为准。）</w:t>
            </w:r>
          </w:p>
        </w:tc>
        <w:tc>
          <w:tcPr>
            <w:tcW w:w="982"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04"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c>
          <w:tcPr>
            <w:tcW w:w="720"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c>
          <w:tcPr>
            <w:tcW w:w="593" w:type="dxa"/>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5</w:t>
            </w:r>
          </w:p>
        </w:tc>
        <w:tc>
          <w:tcPr>
            <w:tcW w:w="6115"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的医院信息化系统应用医院用户满足国家卫生健康委统计信息中心（原国家卫生计生委统计信息中心）医院信息互联互通标准化成熟度测评四级甲等并通过认证的，每提供1家医院用户案例得1分，最多得4分；具有医院信息互联互通标准化成熟度测评五级乙等认证的医院用户，每提供1家医院用户案例加1分，最高得1分。</w:t>
            </w:r>
          </w:p>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（证明材料必须提供投标人或投标产品制造商与用户签订的内容至少包含HIS、电子病历系统和集成平台的合同及对应的用户验收报告，以及该用户互联互通过级证明材料复印件加盖投标人公章）</w:t>
            </w:r>
          </w:p>
        </w:tc>
        <w:tc>
          <w:tcPr>
            <w:tcW w:w="982"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04"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c>
          <w:tcPr>
            <w:tcW w:w="720"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c>
          <w:tcPr>
            <w:tcW w:w="593" w:type="dxa"/>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5</w:t>
            </w:r>
          </w:p>
        </w:tc>
        <w:tc>
          <w:tcPr>
            <w:tcW w:w="6115"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投标人具有三级甲等综合医院类似项目案例，建设内容至少包含医院信息系统（HIS）、电子病历系统(EMR)，医院信息集成平台系统，提供每个案例得 1 分，满分 5 分。提供中标通知书及合同复印件加盖投标人公章。</w:t>
            </w:r>
          </w:p>
        </w:tc>
        <w:tc>
          <w:tcPr>
            <w:tcW w:w="982"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4" w:type="dxa"/>
            <w:vMerge w:val="restart"/>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技术部分</w:t>
            </w:r>
          </w:p>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55</w:t>
            </w:r>
            <w:r>
              <w:rPr>
                <w:rFonts w:hint="eastAsia" w:ascii="宋体" w:hAnsi="宋体" w:eastAsia="宋体" w:cs="宋体"/>
                <w:color w:val="auto"/>
                <w:sz w:val="22"/>
                <w:szCs w:val="22"/>
                <w:highlight w:val="none"/>
              </w:rPr>
              <w:t>分）</w:t>
            </w:r>
          </w:p>
        </w:tc>
        <w:tc>
          <w:tcPr>
            <w:tcW w:w="720"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投标技术方案符合情况（3分）</w:t>
            </w:r>
          </w:p>
        </w:tc>
        <w:tc>
          <w:tcPr>
            <w:tcW w:w="593" w:type="dxa"/>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6115"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根据投标人整体投标文件技术内容的合理性、可行性、技术实现等进行评价，是否充分考虑用户实际使用需求进行评价，评委根据方案优劣酌情给分。</w:t>
            </w:r>
          </w:p>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方案措施安排科学、条理清晰、切合实际的得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方案安排较科学、切合实际、内容完整性较一般的得2分；</w:t>
            </w:r>
          </w:p>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方案安排科学性、条理性较差，内容缺乏重点、与实际情况及需求有偏差</w:t>
            </w:r>
            <w:r>
              <w:rPr>
                <w:rFonts w:hint="eastAsia" w:ascii="宋体" w:hAnsi="宋体" w:cs="宋体"/>
                <w:color w:val="auto"/>
                <w:sz w:val="22"/>
                <w:szCs w:val="22"/>
                <w:highlight w:val="none"/>
                <w:lang w:eastAsia="zh-CN"/>
              </w:rPr>
              <w:t>的</w:t>
            </w:r>
            <w:r>
              <w:rPr>
                <w:rFonts w:hint="eastAsia" w:ascii="宋体" w:hAnsi="宋体" w:eastAsia="宋体" w:cs="宋体"/>
                <w:color w:val="auto"/>
                <w:sz w:val="22"/>
                <w:szCs w:val="22"/>
                <w:highlight w:val="none"/>
                <w:lang w:eastAsia="zh-CN"/>
              </w:rPr>
              <w:t>不得</w:t>
            </w:r>
            <w:r>
              <w:rPr>
                <w:rFonts w:hint="eastAsia" w:ascii="宋体" w:hAnsi="宋体" w:eastAsia="宋体" w:cs="宋体"/>
                <w:color w:val="auto"/>
                <w:sz w:val="22"/>
                <w:szCs w:val="22"/>
                <w:highlight w:val="none"/>
              </w:rPr>
              <w:t>分。</w:t>
            </w:r>
          </w:p>
        </w:tc>
        <w:tc>
          <w:tcPr>
            <w:tcW w:w="982" w:type="dxa"/>
            <w:vMerge w:val="restart"/>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4"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c>
          <w:tcPr>
            <w:tcW w:w="720" w:type="dxa"/>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信息系统功能指标（20分）</w:t>
            </w:r>
          </w:p>
        </w:tc>
        <w:tc>
          <w:tcPr>
            <w:tcW w:w="593" w:type="dxa"/>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val="en-US" w:eastAsia="zh-CN"/>
              </w:rPr>
              <w:t>5</w:t>
            </w:r>
          </w:p>
        </w:tc>
        <w:tc>
          <w:tcPr>
            <w:tcW w:w="6115" w:type="dxa"/>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投标产品的技术指标、参数及功能要求根据以下情况进行评分：投标人产品需完全满足用户需求书中的所有指标，其中“▲”为重要响应指标参数，有一项不满足的扣</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分，其他每有一项不满足的扣</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分，直至扣完为止。</w:t>
            </w:r>
          </w:p>
        </w:tc>
        <w:tc>
          <w:tcPr>
            <w:tcW w:w="982"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4"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c>
          <w:tcPr>
            <w:tcW w:w="720" w:type="dxa"/>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系统承建保障（5分）</w:t>
            </w:r>
          </w:p>
        </w:tc>
        <w:tc>
          <w:tcPr>
            <w:tcW w:w="593" w:type="dxa"/>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6115" w:type="dxa"/>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保证本次医院互联互通建设项目顺利进行，投标人需承诺在医院现有集成平台及数据中心基础上实现升级改造，以保障医院现有信息化系统应用稳定及可持续发展，并顺利通过国家互联互通评审四级甲等评测。投标人出具承诺函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分，否则不得分。</w:t>
            </w:r>
          </w:p>
        </w:tc>
        <w:tc>
          <w:tcPr>
            <w:tcW w:w="982"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4"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c>
          <w:tcPr>
            <w:tcW w:w="720" w:type="dxa"/>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现场勘查（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c>
          <w:tcPr>
            <w:tcW w:w="593" w:type="dxa"/>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6115" w:type="dxa"/>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自行组织人员到医院进行实地踏勘，并获得院方出具踏勘证明文件的得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分，否则不得分。</w:t>
            </w:r>
          </w:p>
        </w:tc>
        <w:tc>
          <w:tcPr>
            <w:tcW w:w="982"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4"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c>
          <w:tcPr>
            <w:tcW w:w="720"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项目实施保障能力（3分）</w:t>
            </w:r>
          </w:p>
        </w:tc>
        <w:tc>
          <w:tcPr>
            <w:tcW w:w="593" w:type="dxa"/>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6115"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投标人项目整体实施方案的完整性、合理性（包含合理可行的工程实施计划、项目人员组成、测试及验收、培训计划的内容）。</w:t>
            </w:r>
          </w:p>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方案措施安排科学、条理清晰、切合实际的得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方案安排较科学、切合实际、内容完整性较一般的得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方案安排科学性、条理性较差，内容缺乏重点、与实际情况有偏差</w:t>
            </w:r>
            <w:r>
              <w:rPr>
                <w:rFonts w:hint="eastAsia" w:ascii="宋体" w:hAnsi="宋体" w:eastAsia="宋体" w:cs="宋体"/>
                <w:color w:val="auto"/>
                <w:sz w:val="22"/>
                <w:szCs w:val="22"/>
                <w:highlight w:val="none"/>
                <w:lang w:eastAsia="zh-CN"/>
              </w:rPr>
              <w:t>不得</w:t>
            </w:r>
            <w:r>
              <w:rPr>
                <w:rFonts w:hint="eastAsia" w:ascii="宋体" w:hAnsi="宋体" w:eastAsia="宋体" w:cs="宋体"/>
                <w:color w:val="auto"/>
                <w:sz w:val="22"/>
                <w:szCs w:val="22"/>
                <w:highlight w:val="none"/>
              </w:rPr>
              <w:t>分。</w:t>
            </w:r>
          </w:p>
        </w:tc>
        <w:tc>
          <w:tcPr>
            <w:tcW w:w="982"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904"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c>
          <w:tcPr>
            <w:tcW w:w="720"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项目系统技术服务人员保障（3分）</w:t>
            </w:r>
          </w:p>
        </w:tc>
        <w:tc>
          <w:tcPr>
            <w:tcW w:w="593" w:type="dxa"/>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6115"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投标人拟配备的项目团队中具有信息系统项目管理师、信息安全规划师（或网络规划设计师或信息安全工程师）、系统集成项目管理工程师、软件设计师、软件测试工程师，以上全部具备得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分，其他不得分。</w:t>
            </w:r>
          </w:p>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（需提供相关证书复印件和近3个月人员社保缴交证明复印件，并加盖投标人公章）。</w:t>
            </w:r>
          </w:p>
        </w:tc>
        <w:tc>
          <w:tcPr>
            <w:tcW w:w="982"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4"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c>
          <w:tcPr>
            <w:tcW w:w="720" w:type="dxa"/>
            <w:vMerge w:val="restart"/>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项目运维售后服务能力（6分）</w:t>
            </w:r>
          </w:p>
        </w:tc>
        <w:tc>
          <w:tcPr>
            <w:tcW w:w="593" w:type="dxa"/>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6115"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投标文件中有明确售后服务体系，在当地设有分支机构或办事处并提供相关证明材料</w:t>
            </w:r>
            <w:r>
              <w:rPr>
                <w:rFonts w:hint="eastAsia" w:ascii="宋体" w:hAnsi="宋体" w:cs="宋体"/>
                <w:color w:val="auto"/>
                <w:sz w:val="22"/>
                <w:szCs w:val="22"/>
                <w:highlight w:val="none"/>
                <w:lang w:eastAsia="zh-CN"/>
              </w:rPr>
              <w:t>（如：购房合同或租赁合同）</w:t>
            </w:r>
            <w:r>
              <w:rPr>
                <w:rFonts w:hint="eastAsia" w:ascii="宋体" w:hAnsi="宋体" w:eastAsia="宋体" w:cs="宋体"/>
                <w:color w:val="auto"/>
                <w:sz w:val="22"/>
                <w:szCs w:val="22"/>
                <w:highlight w:val="none"/>
              </w:rPr>
              <w:t>。满足得3分，否则不得分。</w:t>
            </w:r>
          </w:p>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（需提供机构营业执照复印件并加盖投标人公章）</w:t>
            </w:r>
          </w:p>
        </w:tc>
        <w:tc>
          <w:tcPr>
            <w:tcW w:w="982"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4"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c>
          <w:tcPr>
            <w:tcW w:w="720"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c>
          <w:tcPr>
            <w:tcW w:w="593" w:type="dxa"/>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6115" w:type="dxa"/>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投标人所提供的售后服务方案、售后服务承诺的可行性、完整性，及维护期内外的后续技术支持和维护能力情况</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方案完整，贴合采购需求，可行性高得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分、方案不完整，但是贴合采购需求得2分，方案不完整，也不贴合采购需求的得1分，未提供不得分。。</w:t>
            </w:r>
          </w:p>
        </w:tc>
        <w:tc>
          <w:tcPr>
            <w:tcW w:w="982" w:type="dxa"/>
            <w:vMerge w:val="continue"/>
            <w:vAlign w:val="center"/>
          </w:tcPr>
          <w:p>
            <w:pPr>
              <w:widowControl/>
              <w:spacing w:line="280" w:lineRule="exact"/>
              <w:ind w:firstLine="0" w:firstLineChars="0"/>
              <w:jc w:val="left"/>
              <w:rPr>
                <w:rFonts w:hint="eastAsia" w:ascii="宋体" w:hAnsi="宋体" w:eastAsia="宋体" w:cs="宋体"/>
                <w:color w:val="auto"/>
                <w:sz w:val="22"/>
                <w:szCs w:val="22"/>
                <w:highlight w:val="none"/>
              </w:rPr>
            </w:pPr>
          </w:p>
        </w:tc>
      </w:tr>
    </w:tbl>
    <w:p>
      <w:pPr>
        <w:widowControl/>
        <w:spacing w:line="280" w:lineRule="exact"/>
        <w:ind w:firstLine="0" w:firstLineChars="0"/>
        <w:jc w:val="left"/>
        <w:rPr>
          <w:rFonts w:hint="eastAsia" w:ascii="宋体" w:hAnsi="宋体" w:eastAsia="宋体" w:cs="宋体"/>
          <w:color w:val="auto"/>
          <w:sz w:val="22"/>
          <w:szCs w:val="22"/>
          <w:highlight w:val="none"/>
        </w:rPr>
      </w:pPr>
    </w:p>
    <w:p>
      <w:pPr>
        <w:pStyle w:val="16"/>
        <w:ind w:firstLine="640"/>
        <w:rPr>
          <w:rFonts w:hint="eastAsia" w:ascii="宋体" w:hAnsi="宋体" w:eastAsia="宋体" w:cs="宋体"/>
          <w:b/>
          <w:color w:val="auto"/>
          <w:sz w:val="32"/>
          <w:highlight w:val="none"/>
        </w:rPr>
      </w:pPr>
    </w:p>
    <w:p>
      <w:pPr>
        <w:pStyle w:val="16"/>
        <w:ind w:firstLine="640"/>
        <w:rPr>
          <w:rFonts w:hint="eastAsia" w:ascii="宋体" w:hAnsi="宋体" w:eastAsia="宋体" w:cs="宋体"/>
          <w:b/>
          <w:color w:val="auto"/>
          <w:sz w:val="32"/>
          <w:highlight w:val="none"/>
        </w:rPr>
      </w:pPr>
    </w:p>
    <w:p>
      <w:pPr>
        <w:pStyle w:val="16"/>
        <w:ind w:firstLine="640"/>
        <w:rPr>
          <w:rFonts w:hint="eastAsia" w:ascii="宋体" w:hAnsi="宋体" w:eastAsia="宋体" w:cs="宋体"/>
          <w:b/>
          <w:color w:val="auto"/>
          <w:sz w:val="32"/>
          <w:highlight w:val="none"/>
        </w:rPr>
      </w:pPr>
    </w:p>
    <w:p>
      <w:pPr>
        <w:spacing w:line="240" w:lineRule="atLeast"/>
        <w:ind w:firstLine="3092" w:firstLineChars="700"/>
        <w:jc w:val="both"/>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240" w:lineRule="atLeast"/>
        <w:jc w:val="center"/>
        <w:rPr>
          <w:rFonts w:hint="eastAsia" w:ascii="宋体" w:hAnsi="宋体" w:eastAsia="宋体" w:cs="宋体"/>
          <w:b/>
          <w:color w:val="auto"/>
          <w:sz w:val="40"/>
          <w:szCs w:val="40"/>
          <w:highlight w:val="none"/>
        </w:rPr>
      </w:pPr>
    </w:p>
    <w:p>
      <w:pPr>
        <w:spacing w:line="240" w:lineRule="atLeast"/>
        <w:jc w:val="center"/>
        <w:rPr>
          <w:rFonts w:hint="eastAsia" w:ascii="宋体" w:hAnsi="宋体" w:eastAsia="宋体" w:cs="宋体"/>
          <w:b/>
          <w:color w:val="auto"/>
          <w:sz w:val="40"/>
          <w:szCs w:val="40"/>
          <w:highlight w:val="none"/>
          <w:lang w:eastAsia="zh-CN"/>
        </w:rPr>
      </w:pPr>
      <w:bookmarkStart w:id="1152" w:name="_Toc13284_WPSOffice_Level2"/>
      <w:r>
        <w:rPr>
          <w:rFonts w:hint="eastAsia" w:ascii="宋体" w:hAnsi="宋体" w:eastAsia="宋体" w:cs="宋体"/>
          <w:b/>
          <w:color w:val="auto"/>
          <w:sz w:val="40"/>
          <w:szCs w:val="40"/>
          <w:highlight w:val="none"/>
        </w:rPr>
        <w:t>项目编号：</w:t>
      </w:r>
      <w:bookmarkEnd w:id="1152"/>
      <w:r>
        <w:rPr>
          <w:rFonts w:hint="eastAsia" w:ascii="宋体" w:hAnsi="宋体" w:eastAsia="宋体" w:cs="宋体"/>
          <w:b/>
          <w:color w:val="auto"/>
          <w:sz w:val="40"/>
          <w:szCs w:val="40"/>
          <w:highlight w:val="none"/>
        </w:rPr>
        <w:t>ZJ（GK）-22037</w:t>
      </w:r>
    </w:p>
    <w:p>
      <w:pPr>
        <w:spacing w:line="240" w:lineRule="atLeast"/>
        <w:jc w:val="center"/>
        <w:rPr>
          <w:rFonts w:hint="eastAsia" w:ascii="宋体" w:hAnsi="宋体" w:eastAsia="宋体" w:cs="宋体"/>
          <w:b/>
          <w:color w:val="auto"/>
          <w:sz w:val="40"/>
          <w:szCs w:val="40"/>
          <w:highlight w:val="none"/>
        </w:rPr>
      </w:pPr>
    </w:p>
    <w:p>
      <w:pPr>
        <w:pStyle w:val="16"/>
        <w:ind w:firstLine="480"/>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 三 册</w:t>
      </w:r>
    </w:p>
    <w:p>
      <w:pPr>
        <w:spacing w:line="240" w:lineRule="atLeast"/>
        <w:jc w:val="center"/>
        <w:rPr>
          <w:rFonts w:hint="eastAsia" w:ascii="宋体" w:hAnsi="宋体" w:eastAsia="宋体" w:cs="宋体"/>
          <w:b/>
          <w:color w:val="auto"/>
          <w:sz w:val="3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pStyle w:val="16"/>
        <w:ind w:firstLine="1040"/>
        <w:rPr>
          <w:rFonts w:hint="eastAsia" w:ascii="宋体" w:hAnsi="宋体" w:eastAsia="宋体" w:cs="宋体"/>
          <w:b/>
          <w:color w:val="auto"/>
          <w:sz w:val="52"/>
          <w:highlight w:val="none"/>
        </w:rPr>
      </w:pPr>
    </w:p>
    <w:p>
      <w:pPr>
        <w:pStyle w:val="16"/>
        <w:ind w:firstLine="1040"/>
        <w:rPr>
          <w:rFonts w:hint="eastAsia" w:ascii="宋体" w:hAnsi="宋体" w:eastAsia="宋体" w:cs="宋体"/>
          <w:b/>
          <w:color w:val="auto"/>
          <w:sz w:val="52"/>
          <w:highlight w:val="none"/>
        </w:rPr>
      </w:pPr>
    </w:p>
    <w:p>
      <w:pPr>
        <w:pStyle w:val="16"/>
        <w:ind w:firstLine="1040"/>
        <w:rPr>
          <w:rFonts w:hint="eastAsia" w:ascii="宋体" w:hAnsi="宋体" w:eastAsia="宋体" w:cs="宋体"/>
          <w:b/>
          <w:color w:val="auto"/>
          <w:sz w:val="52"/>
          <w:highlight w:val="none"/>
        </w:rPr>
      </w:pPr>
    </w:p>
    <w:p>
      <w:pPr>
        <w:pStyle w:val="16"/>
        <w:ind w:firstLine="0" w:firstLineChars="0"/>
        <w:rPr>
          <w:rFonts w:hint="eastAsia" w:ascii="宋体" w:hAnsi="宋体" w:eastAsia="宋体" w:cs="宋体"/>
          <w:color w:val="auto"/>
          <w:highlight w:val="none"/>
        </w:rPr>
      </w:pPr>
      <w:bookmarkStart w:id="1153" w:name="_Toc23920"/>
      <w:bookmarkStart w:id="1154" w:name="_Toc28085"/>
      <w:bookmarkStart w:id="1155" w:name="_Toc4796"/>
      <w:bookmarkStart w:id="1156" w:name="_Toc6865"/>
      <w:bookmarkStart w:id="1157" w:name="_Toc515647833"/>
    </w:p>
    <w:p>
      <w:pPr>
        <w:pStyle w:val="8"/>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rPr>
      </w:pPr>
    </w:p>
    <w:p>
      <w:pPr>
        <w:pStyle w:val="6"/>
        <w:tabs>
          <w:tab w:val="left" w:pos="0"/>
        </w:tabs>
        <w:spacing w:before="0" w:after="0" w:line="240" w:lineRule="atLeast"/>
        <w:ind w:left="-15"/>
        <w:jc w:val="center"/>
        <w:rPr>
          <w:rFonts w:hint="eastAsia" w:ascii="宋体" w:hAnsi="宋体" w:eastAsia="宋体" w:cs="宋体"/>
          <w:color w:val="auto"/>
          <w:sz w:val="22"/>
          <w:szCs w:val="21"/>
          <w:highlight w:val="none"/>
        </w:rPr>
      </w:pPr>
      <w:bookmarkStart w:id="1158" w:name="_Toc31636"/>
      <w:r>
        <w:rPr>
          <w:rStyle w:val="37"/>
          <w:rFonts w:hint="eastAsia" w:hAnsi="宋体" w:eastAsia="宋体" w:cs="宋体"/>
          <w:color w:val="auto"/>
          <w:highlight w:val="none"/>
          <w:lang w:val="en-US" w:eastAsia="zh-CN" w:bidi="ar-SA"/>
        </w:rPr>
        <w:t>第7章 政府采购合同</w:t>
      </w:r>
      <w:bookmarkEnd w:id="1151"/>
      <w:bookmarkEnd w:id="1153"/>
      <w:bookmarkEnd w:id="1154"/>
      <w:bookmarkEnd w:id="1155"/>
      <w:bookmarkEnd w:id="1156"/>
      <w:bookmarkEnd w:id="1157"/>
      <w:bookmarkEnd w:id="1158"/>
      <w:bookmarkStart w:id="1159" w:name="_Hlt487972895"/>
      <w:bookmarkEnd w:id="1159"/>
      <w:bookmarkStart w:id="1160" w:name="_Toc487900382"/>
      <w:bookmarkEnd w:id="1160"/>
      <w:bookmarkStart w:id="1161" w:name="_Toc216513788"/>
      <w:bookmarkEnd w:id="1161"/>
    </w:p>
    <w:p>
      <w:pPr>
        <w:spacing w:line="4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pPr>
        <w:spacing w:line="400" w:lineRule="exact"/>
        <w:jc w:val="center"/>
        <w:rPr>
          <w:rFonts w:hint="eastAsia" w:ascii="宋体" w:hAnsi="宋体" w:eastAsia="宋体" w:cs="宋体"/>
          <w:b/>
          <w:color w:val="auto"/>
          <w:sz w:val="28"/>
          <w:szCs w:val="28"/>
          <w:highlight w:val="none"/>
        </w:rPr>
      </w:pPr>
    </w:p>
    <w:p>
      <w:pPr>
        <w:spacing w:line="400" w:lineRule="exact"/>
        <w:jc w:val="center"/>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政府采购合同参考范本</w:t>
      </w:r>
    </w:p>
    <w:p>
      <w:pPr>
        <w:spacing w:line="5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（服务类）</w:t>
      </w:r>
    </w:p>
    <w:p>
      <w:pPr>
        <w:pStyle w:val="56"/>
        <w:spacing w:line="400" w:lineRule="exact"/>
        <w:ind w:firstLine="0"/>
        <w:rPr>
          <w:rFonts w:hint="eastAsia" w:ascii="宋体" w:hAnsi="宋体" w:eastAsia="宋体" w:cs="宋体"/>
          <w:color w:val="auto"/>
          <w:szCs w:val="24"/>
          <w:highlight w:val="none"/>
        </w:rPr>
      </w:pPr>
    </w:p>
    <w:p>
      <w:pPr>
        <w:pStyle w:val="56"/>
        <w:spacing w:line="400" w:lineRule="exact"/>
        <w:ind w:firstLine="0"/>
        <w:rPr>
          <w:rFonts w:hint="eastAsia" w:ascii="宋体" w:hAnsi="宋体" w:eastAsia="宋体" w:cs="宋体"/>
          <w:color w:val="auto"/>
          <w:szCs w:val="24"/>
          <w:highlight w:val="none"/>
        </w:rPr>
      </w:pPr>
    </w:p>
    <w:p>
      <w:pPr>
        <w:pStyle w:val="56"/>
        <w:spacing w:line="400" w:lineRule="exact"/>
        <w:ind w:firstLine="0"/>
        <w:rPr>
          <w:rFonts w:hint="eastAsia" w:ascii="宋体" w:hAnsi="宋体" w:eastAsia="宋体" w:cs="宋体"/>
          <w:color w:val="auto"/>
          <w:szCs w:val="24"/>
          <w:highlight w:val="none"/>
        </w:rPr>
      </w:pPr>
    </w:p>
    <w:p>
      <w:pPr>
        <w:pStyle w:val="56"/>
        <w:spacing w:line="40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pPr>
        <w:pStyle w:val="56"/>
        <w:spacing w:line="400" w:lineRule="exact"/>
        <w:ind w:firstLine="0"/>
        <w:rPr>
          <w:rFonts w:hint="eastAsia" w:ascii="宋体" w:hAnsi="宋体" w:eastAsia="宋体" w:cs="宋体"/>
          <w:color w:val="auto"/>
          <w:szCs w:val="24"/>
          <w:highlight w:val="none"/>
        </w:rPr>
      </w:pPr>
    </w:p>
    <w:p>
      <w:pPr>
        <w:pStyle w:val="56"/>
        <w:spacing w:line="400" w:lineRule="exact"/>
        <w:ind w:firstLine="0"/>
        <w:rPr>
          <w:rFonts w:hint="eastAsia" w:ascii="宋体" w:hAnsi="宋体" w:eastAsia="宋体" w:cs="宋体"/>
          <w:color w:val="auto"/>
          <w:szCs w:val="24"/>
          <w:highlight w:val="none"/>
        </w:rPr>
      </w:pPr>
    </w:p>
    <w:p>
      <w:pPr>
        <w:spacing w:before="120" w:line="400" w:lineRule="exact"/>
        <w:rPr>
          <w:rFonts w:hint="eastAsia" w:ascii="宋体" w:hAnsi="宋体" w:eastAsia="宋体" w:cs="宋体"/>
          <w:color w:val="auto"/>
          <w:sz w:val="24"/>
          <w:highlight w:val="none"/>
        </w:rPr>
      </w:pPr>
    </w:p>
    <w:p>
      <w:pPr>
        <w:spacing w:before="120" w:line="400" w:lineRule="exac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pStyle w:val="57"/>
        <w:spacing w:before="120" w:line="400" w:lineRule="exact"/>
        <w:rPr>
          <w:rFonts w:hint="eastAsia" w:ascii="宋体" w:hAnsi="宋体" w:eastAsia="宋体" w:cs="宋体"/>
          <w:color w:val="auto"/>
          <w:szCs w:val="24"/>
          <w:highlight w:val="none"/>
        </w:rPr>
      </w:pPr>
    </w:p>
    <w:p>
      <w:pPr>
        <w:spacing w:line="400" w:lineRule="exact"/>
        <w:rPr>
          <w:rFonts w:hint="eastAsia" w:ascii="宋体" w:hAnsi="宋体" w:eastAsia="宋体" w:cs="宋体"/>
          <w:color w:val="auto"/>
          <w:highlight w:val="none"/>
        </w:rPr>
      </w:pPr>
    </w:p>
    <w:p>
      <w:pPr>
        <w:spacing w:before="120" w:line="400" w:lineRule="exac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pPr>
        <w:spacing w:before="120" w:line="400" w:lineRule="exact"/>
        <w:rPr>
          <w:rFonts w:hint="eastAsia" w:ascii="宋体" w:hAnsi="宋体" w:eastAsia="宋体" w:cs="宋体"/>
          <w:color w:val="auto"/>
          <w:sz w:val="24"/>
          <w:highlight w:val="none"/>
        </w:rPr>
      </w:pPr>
    </w:p>
    <w:p>
      <w:pPr>
        <w:spacing w:before="120" w:line="400" w:lineRule="exac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pPr>
        <w:spacing w:before="120" w:line="400" w:lineRule="exact"/>
        <w:rPr>
          <w:rFonts w:hint="eastAsia" w:ascii="宋体" w:hAnsi="宋体" w:eastAsia="宋体" w:cs="宋体"/>
          <w:color w:val="auto"/>
          <w:sz w:val="24"/>
          <w:highlight w:val="none"/>
        </w:rPr>
      </w:pPr>
    </w:p>
    <w:p>
      <w:pPr>
        <w:spacing w:before="120" w:line="400" w:lineRule="exac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pPr>
        <w:spacing w:before="120" w:line="400" w:lineRule="exact"/>
        <w:rPr>
          <w:rFonts w:hint="eastAsia" w:ascii="宋体" w:hAnsi="宋体" w:eastAsia="宋体" w:cs="宋体"/>
          <w:color w:val="auto"/>
          <w:sz w:val="24"/>
          <w:highlight w:val="none"/>
        </w:rPr>
      </w:pPr>
    </w:p>
    <w:p>
      <w:pPr>
        <w:spacing w:before="120" w:line="400" w:lineRule="exac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autoSpaceDE w:val="0"/>
        <w:autoSpaceDN w:val="0"/>
        <w:adjustRightInd w:val="0"/>
        <w:spacing w:line="400" w:lineRule="exact"/>
        <w:ind w:firstLine="640"/>
        <w:jc w:val="center"/>
        <w:rPr>
          <w:rFonts w:hint="eastAsia" w:ascii="宋体" w:hAnsi="宋体" w:eastAsia="宋体" w:cs="宋体"/>
          <w:color w:val="auto"/>
          <w:sz w:val="24"/>
          <w:highlight w:val="none"/>
        </w:rPr>
        <w:sectPr>
          <w:headerReference r:id="rId10" w:type="first"/>
          <w:footerReference r:id="rId13" w:type="first"/>
          <w:footerReference r:id="rId11" w:type="default"/>
          <w:headerReference r:id="rId9" w:type="even"/>
          <w:footerReference r:id="rId12" w:type="even"/>
          <w:pgSz w:w="11907" w:h="16840"/>
          <w:pgMar w:top="1474" w:right="1814" w:bottom="1474" w:left="1814" w:header="851" w:footer="851" w:gutter="0"/>
          <w:pgNumType w:fmt="decimal"/>
          <w:cols w:space="720" w:num="1"/>
          <w:docGrid w:linePitch="462" w:charSpace="0"/>
        </w:sectPr>
      </w:pP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（同前页项目名称）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rPr>
        <w:t>为该项目成交供应商。现于成交通知书发出之日起三十日内，按照采购文件确定的事项签订本合同。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pPr>
        <w:spacing w:line="400" w:lineRule="exact"/>
        <w:ind w:firstLine="482" w:firstLineChars="200"/>
        <w:outlineLvl w:val="0"/>
        <w:rPr>
          <w:rFonts w:hint="eastAsia" w:ascii="宋体" w:hAnsi="宋体" w:eastAsia="宋体" w:cs="宋体"/>
          <w:color w:val="auto"/>
          <w:sz w:val="24"/>
          <w:highlight w:val="none"/>
        </w:rPr>
      </w:pPr>
      <w:bookmarkStart w:id="1162" w:name="_Toc28855"/>
      <w:bookmarkStart w:id="1163" w:name="_Toc1880"/>
      <w:bookmarkStart w:id="1164" w:name="_Toc20041"/>
      <w:bookmarkStart w:id="1165" w:name="_Toc369"/>
      <w:bookmarkStart w:id="1166" w:name="_Toc13594"/>
      <w:bookmarkStart w:id="1167" w:name="_Toc15838"/>
      <w:bookmarkStart w:id="1168" w:name="_Toc25829"/>
      <w:bookmarkStart w:id="1169" w:name="_Toc19273"/>
      <w:bookmarkStart w:id="1170" w:name="_Toc23100"/>
      <w:bookmarkStart w:id="1171" w:name="_Toc5753"/>
      <w:bookmarkStart w:id="1172" w:name="_Toc1256"/>
      <w:bookmarkStart w:id="1173" w:name="_Toc8106"/>
      <w:bookmarkStart w:id="1174" w:name="_Toc17364"/>
      <w:bookmarkStart w:id="1175" w:name="_Toc32571"/>
      <w:bookmarkStart w:id="1176" w:name="_Toc3665"/>
      <w:bookmarkStart w:id="1177" w:name="_Toc27523"/>
      <w:bookmarkStart w:id="1178" w:name="_Toc18383"/>
      <w:bookmarkStart w:id="1179" w:name="_Toc15367"/>
      <w:bookmarkStart w:id="1180" w:name="_Toc11864"/>
      <w:bookmarkStart w:id="1181" w:name="_Toc20421"/>
      <w:bookmarkStart w:id="1182" w:name="_Toc20566"/>
      <w:r>
        <w:rPr>
          <w:rFonts w:hint="eastAsia" w:ascii="宋体" w:hAnsi="宋体" w:eastAsia="宋体" w:cs="宋体"/>
          <w:b/>
          <w:color w:val="auto"/>
          <w:sz w:val="24"/>
          <w:highlight w:val="none"/>
        </w:rPr>
        <w:t>1.1 合同组成部分</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通知书；</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 </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文件（含澄清或者说明文件）；</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1.1.4 </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文件（含澄清或者修改文件）；</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pPr>
        <w:spacing w:line="400" w:lineRule="exact"/>
        <w:ind w:firstLine="482" w:firstLineChars="200"/>
        <w:outlineLvl w:val="0"/>
        <w:rPr>
          <w:rFonts w:hint="eastAsia" w:ascii="宋体" w:hAnsi="宋体" w:eastAsia="宋体" w:cs="宋体"/>
          <w:b/>
          <w:color w:val="auto"/>
          <w:sz w:val="24"/>
          <w:highlight w:val="none"/>
        </w:rPr>
      </w:pPr>
      <w:bookmarkStart w:id="1183" w:name="_Toc12685"/>
      <w:bookmarkStart w:id="1184" w:name="_Toc6313"/>
      <w:bookmarkStart w:id="1185" w:name="_Toc1090"/>
      <w:bookmarkStart w:id="1186" w:name="_Toc5955"/>
      <w:bookmarkStart w:id="1187" w:name="_Toc23275"/>
      <w:bookmarkStart w:id="1188" w:name="_Toc11833"/>
      <w:bookmarkStart w:id="1189" w:name="_Toc6773"/>
      <w:bookmarkStart w:id="1190" w:name="_Toc1944"/>
      <w:bookmarkStart w:id="1191" w:name="_Toc15369"/>
      <w:bookmarkStart w:id="1192" w:name="_Toc22828"/>
      <w:bookmarkStart w:id="1193" w:name="_Toc18571"/>
      <w:bookmarkStart w:id="1194" w:name="_Toc27911"/>
      <w:bookmarkStart w:id="1195" w:name="_Toc6311"/>
      <w:bookmarkStart w:id="1196" w:name="_Toc15104"/>
      <w:bookmarkStart w:id="1197" w:name="_Toc2918"/>
      <w:bookmarkStart w:id="1198" w:name="_Toc31498"/>
      <w:bookmarkStart w:id="1199" w:name="_Toc24493"/>
      <w:bookmarkStart w:id="1200" w:name="_Toc538"/>
      <w:bookmarkStart w:id="1201" w:name="_Toc22185"/>
      <w:bookmarkStart w:id="1202" w:name="_Toc25426"/>
      <w:bookmarkStart w:id="1203" w:name="_Toc18585"/>
      <w:bookmarkStart w:id="1204" w:name="_Toc30602"/>
      <w:r>
        <w:rPr>
          <w:rFonts w:hint="eastAsia" w:ascii="宋体" w:hAnsi="宋体" w:eastAsia="宋体" w:cs="宋体"/>
          <w:b/>
          <w:color w:val="auto"/>
          <w:sz w:val="24"/>
          <w:highlight w:val="none"/>
        </w:rPr>
        <w:t>1.2 标的</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标的名称：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标的数量：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标的质量：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b/>
          <w:color w:val="auto"/>
          <w:sz w:val="24"/>
          <w:highlight w:val="none"/>
        </w:rPr>
      </w:pPr>
      <w:bookmarkStart w:id="1205" w:name="_Toc4687"/>
      <w:bookmarkStart w:id="1206" w:name="_Toc13554"/>
      <w:bookmarkStart w:id="1207" w:name="_Toc26191"/>
      <w:bookmarkStart w:id="1208" w:name="_Toc5635"/>
      <w:bookmarkStart w:id="1209" w:name="_Toc14890"/>
      <w:bookmarkStart w:id="1210" w:name="_Toc4929"/>
      <w:bookmarkStart w:id="1211" w:name="_Toc10671"/>
      <w:bookmarkStart w:id="1212" w:name="_Toc23519"/>
      <w:bookmarkStart w:id="1213" w:name="_Toc28143"/>
      <w:bookmarkStart w:id="1214" w:name="_Toc23026"/>
      <w:bookmarkStart w:id="1215" w:name="_Toc4932"/>
      <w:bookmarkStart w:id="1216" w:name="_Toc23906"/>
      <w:bookmarkStart w:id="1217" w:name="_Toc30626"/>
      <w:bookmarkStart w:id="1218" w:name="_Toc13918"/>
      <w:bookmarkStart w:id="1219" w:name="_Toc13512"/>
      <w:bookmarkStart w:id="1220" w:name="_Toc2888"/>
      <w:bookmarkStart w:id="1221" w:name="_Toc27077"/>
      <w:bookmarkStart w:id="1222" w:name="_Toc5709"/>
      <w:bookmarkStart w:id="1223" w:name="_Toc1386"/>
      <w:bookmarkStart w:id="1224" w:name="_Toc17541"/>
      <w:bookmarkStart w:id="1225" w:name="_Toc21124"/>
      <w:bookmarkStart w:id="1226" w:name="_Toc32314"/>
      <w:r>
        <w:rPr>
          <w:rFonts w:hint="eastAsia" w:ascii="宋体" w:hAnsi="宋体" w:eastAsia="宋体" w:cs="宋体"/>
          <w:b/>
          <w:color w:val="auto"/>
          <w:sz w:val="24"/>
          <w:highlight w:val="none"/>
        </w:rPr>
        <w:t>1.3 价款</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9"/>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8"/>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402" w:type="dxa"/>
            <w:vAlign w:val="center"/>
          </w:tcPr>
          <w:p>
            <w:pPr>
              <w:pStyle w:val="58"/>
              <w:spacing w:line="40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552" w:type="dxa"/>
            <w:vAlign w:val="center"/>
          </w:tcPr>
          <w:p>
            <w:pPr>
              <w:pStyle w:val="58"/>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8"/>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8"/>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8"/>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8"/>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8"/>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8"/>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8"/>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8"/>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8"/>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8"/>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8"/>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8"/>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8"/>
              <w:spacing w:line="40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552" w:type="dxa"/>
            <w:vAlign w:val="center"/>
          </w:tcPr>
          <w:p>
            <w:pPr>
              <w:pStyle w:val="58"/>
              <w:spacing w:line="400" w:lineRule="exact"/>
              <w:ind w:firstLine="200"/>
              <w:jc w:val="center"/>
              <w:rPr>
                <w:rFonts w:hint="eastAsia" w:ascii="宋体" w:hAnsi="宋体" w:eastAsia="宋体" w:cs="宋体"/>
                <w:color w:val="auto"/>
                <w:kern w:val="2"/>
                <w:sz w:val="24"/>
                <w:szCs w:val="24"/>
                <w:highlight w:val="none"/>
              </w:rPr>
            </w:pPr>
          </w:p>
        </w:tc>
      </w:tr>
    </w:tbl>
    <w:p>
      <w:pPr>
        <w:spacing w:line="400" w:lineRule="exact"/>
        <w:ind w:firstLine="482" w:firstLineChars="200"/>
        <w:outlineLvl w:val="0"/>
        <w:rPr>
          <w:rFonts w:hint="eastAsia" w:ascii="宋体" w:hAnsi="宋体" w:eastAsia="宋体" w:cs="宋体"/>
          <w:b/>
          <w:color w:val="auto"/>
          <w:sz w:val="24"/>
          <w:highlight w:val="none"/>
        </w:rPr>
      </w:pPr>
      <w:bookmarkStart w:id="1227" w:name="_Toc30506"/>
      <w:bookmarkStart w:id="1228" w:name="_Toc17855"/>
      <w:bookmarkStart w:id="1229" w:name="_Toc32305"/>
      <w:bookmarkStart w:id="1230" w:name="_Toc25910"/>
      <w:bookmarkStart w:id="1231" w:name="_Toc7832"/>
      <w:bookmarkStart w:id="1232" w:name="_Toc29083"/>
      <w:bookmarkStart w:id="1233" w:name="_Toc21059"/>
      <w:bookmarkStart w:id="1234" w:name="_Toc19221"/>
      <w:bookmarkStart w:id="1235" w:name="_Toc19143"/>
      <w:bookmarkStart w:id="1236" w:name="_Toc22074"/>
      <w:bookmarkStart w:id="1237" w:name="_Toc14493"/>
      <w:bookmarkStart w:id="1238" w:name="_Toc28219"/>
      <w:bookmarkStart w:id="1239" w:name="_Toc8041"/>
      <w:bookmarkStart w:id="1240" w:name="_Toc26916"/>
      <w:bookmarkStart w:id="1241" w:name="_Toc3654"/>
      <w:bookmarkStart w:id="1242" w:name="_Toc14993"/>
      <w:bookmarkStart w:id="1243" w:name="_Toc23173"/>
      <w:bookmarkStart w:id="1244" w:name="_Toc30158"/>
      <w:bookmarkStart w:id="1245" w:name="_Toc29059"/>
      <w:bookmarkStart w:id="1246" w:name="_Toc6998"/>
      <w:bookmarkStart w:id="1247" w:name="_Toc20462"/>
      <w:bookmarkStart w:id="1248" w:name="_Toc2559"/>
      <w:r>
        <w:rPr>
          <w:rFonts w:hint="eastAsia" w:ascii="宋体" w:hAnsi="宋体" w:eastAsia="宋体" w:cs="宋体"/>
          <w:b/>
          <w:color w:val="auto"/>
          <w:sz w:val="24"/>
          <w:highlight w:val="none"/>
        </w:rPr>
        <w:t>1.4 付款方式和发票开具方式</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b/>
          <w:color w:val="auto"/>
          <w:sz w:val="24"/>
          <w:highlight w:val="none"/>
        </w:rPr>
      </w:pPr>
      <w:bookmarkStart w:id="1249" w:name="_Toc6280"/>
      <w:bookmarkStart w:id="1250" w:name="_Toc3007"/>
      <w:bookmarkStart w:id="1251" w:name="_Toc11108"/>
      <w:bookmarkStart w:id="1252" w:name="_Toc3625"/>
      <w:bookmarkStart w:id="1253" w:name="_Toc31421"/>
      <w:bookmarkStart w:id="1254" w:name="_Toc28212"/>
      <w:bookmarkStart w:id="1255" w:name="_Toc12261"/>
      <w:bookmarkStart w:id="1256" w:name="_Toc32135"/>
      <w:bookmarkStart w:id="1257" w:name="_Toc103"/>
      <w:bookmarkStart w:id="1258" w:name="_Toc25174"/>
      <w:bookmarkStart w:id="1259" w:name="_Toc21606"/>
      <w:bookmarkStart w:id="1260" w:name="_Toc19186"/>
      <w:bookmarkStart w:id="1261" w:name="_Toc20514"/>
      <w:bookmarkStart w:id="1262" w:name="_Toc4760"/>
      <w:bookmarkStart w:id="1263" w:name="_Toc9258"/>
      <w:bookmarkStart w:id="1264" w:name="_Toc24233"/>
      <w:bookmarkStart w:id="1265" w:name="_Toc8772"/>
      <w:bookmarkStart w:id="1266" w:name="_Toc25762"/>
      <w:bookmarkStart w:id="1267" w:name="_Toc4301"/>
      <w:bookmarkStart w:id="1268" w:name="_Toc3251"/>
      <w:bookmarkStart w:id="1269" w:name="_Toc17889"/>
      <w:bookmarkStart w:id="1270" w:name="_Toc23903"/>
      <w:r>
        <w:rPr>
          <w:rFonts w:hint="eastAsia" w:ascii="宋体" w:hAnsi="宋体" w:eastAsia="宋体" w:cs="宋体"/>
          <w:b/>
          <w:color w:val="auto"/>
          <w:sz w:val="24"/>
          <w:highlight w:val="none"/>
        </w:rPr>
        <w:t>1.5 履行期限、地点和方式</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履行期限：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履行地点：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履行方式：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color w:val="auto"/>
          <w:sz w:val="24"/>
          <w:highlight w:val="none"/>
          <w:u w:val="single"/>
        </w:rPr>
      </w:pPr>
      <w:bookmarkStart w:id="1271" w:name="_Toc25242"/>
      <w:bookmarkStart w:id="1272" w:name="_Toc28320"/>
      <w:bookmarkStart w:id="1273" w:name="_Toc4642"/>
      <w:bookmarkStart w:id="1274" w:name="_Toc16708"/>
      <w:bookmarkStart w:id="1275" w:name="_Toc5418"/>
      <w:bookmarkStart w:id="1276" w:name="_Toc3079"/>
      <w:bookmarkStart w:id="1277" w:name="_Toc5863"/>
      <w:bookmarkStart w:id="1278" w:name="_Toc27990"/>
      <w:bookmarkStart w:id="1279" w:name="_Toc18326"/>
      <w:bookmarkStart w:id="1280" w:name="_Toc22963"/>
      <w:bookmarkStart w:id="1281" w:name="_Toc2375"/>
      <w:bookmarkStart w:id="1282" w:name="_Toc18474"/>
      <w:bookmarkStart w:id="1283" w:name="_Toc25461"/>
      <w:bookmarkStart w:id="1284" w:name="_Toc5698"/>
      <w:bookmarkStart w:id="1285" w:name="_Toc12514"/>
      <w:bookmarkStart w:id="1286" w:name="_Toc10490"/>
      <w:bookmarkStart w:id="1287" w:name="_Toc3290"/>
      <w:bookmarkStart w:id="1288" w:name="_Toc8586"/>
      <w:bookmarkStart w:id="1289" w:name="_Toc30025"/>
      <w:bookmarkStart w:id="1290" w:name="_Toc15275"/>
      <w:bookmarkStart w:id="1291" w:name="_Toc24662"/>
      <w:r>
        <w:rPr>
          <w:rFonts w:hint="eastAsia" w:ascii="宋体" w:hAnsi="宋体" w:eastAsia="宋体" w:cs="宋体"/>
          <w:b/>
          <w:color w:val="auto"/>
          <w:sz w:val="24"/>
          <w:highlight w:val="none"/>
        </w:rPr>
        <w:t>1.6 违约责任</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pPr>
        <w:spacing w:line="400" w:lineRule="exact"/>
        <w:ind w:firstLine="482" w:firstLineChars="200"/>
        <w:outlineLvl w:val="0"/>
        <w:rPr>
          <w:rFonts w:hint="eastAsia" w:ascii="宋体" w:hAnsi="宋体" w:eastAsia="宋体" w:cs="宋体"/>
          <w:b/>
          <w:color w:val="auto"/>
          <w:sz w:val="24"/>
          <w:highlight w:val="none"/>
        </w:rPr>
      </w:pPr>
      <w:bookmarkStart w:id="1292" w:name="_Toc16127"/>
      <w:bookmarkStart w:id="1293" w:name="_Toc774"/>
      <w:bookmarkStart w:id="1294" w:name="_Toc5695"/>
      <w:bookmarkStart w:id="1295" w:name="_Toc9782"/>
      <w:bookmarkStart w:id="1296" w:name="_Toc22280"/>
      <w:bookmarkStart w:id="1297" w:name="_Toc4448"/>
      <w:bookmarkStart w:id="1298" w:name="_Toc23069"/>
      <w:bookmarkStart w:id="1299" w:name="_Toc4563"/>
      <w:bookmarkStart w:id="1300" w:name="_Toc26807"/>
      <w:bookmarkStart w:id="1301" w:name="_Toc13634"/>
      <w:bookmarkStart w:id="1302" w:name="_Toc32454"/>
      <w:bookmarkStart w:id="1303" w:name="_Toc30329"/>
      <w:bookmarkStart w:id="1304" w:name="_Toc14940"/>
      <w:bookmarkStart w:id="1305" w:name="_Toc3964"/>
      <w:bookmarkStart w:id="1306" w:name="_Toc21818"/>
      <w:bookmarkStart w:id="1307" w:name="_Toc24165"/>
      <w:bookmarkStart w:id="1308" w:name="_Toc18683"/>
      <w:bookmarkStart w:id="1309" w:name="_Toc13358"/>
      <w:bookmarkStart w:id="1310" w:name="_Toc10575"/>
      <w:bookmarkStart w:id="1311" w:name="_Toc6684"/>
      <w:bookmarkStart w:id="1312" w:name="_Toc12954"/>
      <w:bookmarkStart w:id="1313" w:name="_Toc9497"/>
      <w:r>
        <w:rPr>
          <w:rFonts w:hint="eastAsia" w:ascii="宋体" w:hAnsi="宋体" w:eastAsia="宋体" w:cs="宋体"/>
          <w:b/>
          <w:color w:val="auto"/>
          <w:sz w:val="24"/>
          <w:highlight w:val="none"/>
        </w:rPr>
        <w:t>1.7 合同争议的解决</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highlight w:val="none"/>
        </w:rPr>
        <w:t>人民法院起诉。</w:t>
      </w:r>
    </w:p>
    <w:p>
      <w:pPr>
        <w:spacing w:line="400" w:lineRule="exact"/>
        <w:ind w:firstLine="482" w:firstLineChars="200"/>
        <w:outlineLvl w:val="0"/>
        <w:rPr>
          <w:rFonts w:hint="eastAsia" w:ascii="宋体" w:hAnsi="宋体" w:eastAsia="宋体" w:cs="宋体"/>
          <w:b/>
          <w:color w:val="auto"/>
          <w:sz w:val="24"/>
          <w:highlight w:val="none"/>
        </w:rPr>
      </w:pPr>
      <w:bookmarkStart w:id="1314" w:name="_Toc18071"/>
      <w:bookmarkStart w:id="1315" w:name="_Toc10526"/>
      <w:bookmarkStart w:id="1316" w:name="_Toc1048"/>
      <w:bookmarkStart w:id="1317" w:name="_Toc32664"/>
      <w:bookmarkStart w:id="1318" w:name="_Toc16417"/>
      <w:bookmarkStart w:id="1319" w:name="_Toc6707"/>
      <w:bookmarkStart w:id="1320" w:name="_Toc16383"/>
      <w:bookmarkStart w:id="1321" w:name="_Toc23784"/>
      <w:bookmarkStart w:id="1322" w:name="_Toc5677"/>
      <w:bookmarkStart w:id="1323" w:name="_Toc13186"/>
      <w:bookmarkStart w:id="1324" w:name="_Toc14204"/>
      <w:bookmarkStart w:id="1325" w:name="_Toc8068"/>
      <w:bookmarkStart w:id="1326" w:name="_Toc26227"/>
      <w:bookmarkStart w:id="1327" w:name="_Toc13173"/>
      <w:bookmarkStart w:id="1328" w:name="_Toc6048"/>
      <w:bookmarkStart w:id="1329" w:name="_Toc20156"/>
      <w:bookmarkStart w:id="1330" w:name="_Toc12273"/>
      <w:bookmarkStart w:id="1331" w:name="_Toc24988"/>
      <w:bookmarkStart w:id="1332" w:name="_Toc4542"/>
      <w:bookmarkStart w:id="1333" w:name="_Toc1472"/>
      <w:bookmarkStart w:id="1334" w:name="_Toc15827"/>
      <w:bookmarkStart w:id="1335" w:name="_Toc17508"/>
      <w:r>
        <w:rPr>
          <w:rFonts w:hint="eastAsia" w:ascii="宋体" w:hAnsi="宋体" w:eastAsia="宋体" w:cs="宋体"/>
          <w:b/>
          <w:color w:val="auto"/>
          <w:sz w:val="24"/>
          <w:highlight w:val="none"/>
        </w:rPr>
        <w:t>1.8 合同生效</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pPr>
        <w:spacing w:line="40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本合同自双方当事人盖章或者签字时生效。</w:t>
      </w:r>
    </w:p>
    <w:p>
      <w:pPr>
        <w:autoSpaceDE w:val="0"/>
        <w:autoSpaceDN w:val="0"/>
        <w:adjustRightInd w:val="0"/>
        <w:spacing w:line="400" w:lineRule="exact"/>
        <w:rPr>
          <w:rFonts w:hint="eastAsia" w:ascii="宋体" w:hAnsi="宋体" w:eastAsia="宋体" w:cs="宋体"/>
          <w:color w:val="auto"/>
          <w:sz w:val="24"/>
          <w:highlight w:val="none"/>
          <w:lang w:val="zh-CN"/>
        </w:rPr>
      </w:pP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pPr>
        <w:autoSpaceDE w:val="0"/>
        <w:autoSpaceDN w:val="0"/>
        <w:adjustRightInd w:val="0"/>
        <w:spacing w:line="400" w:lineRule="exact"/>
        <w:rPr>
          <w:rFonts w:hint="eastAsia" w:ascii="宋体" w:hAnsi="宋体" w:eastAsia="宋体" w:cs="宋体"/>
          <w:color w:val="auto"/>
          <w:sz w:val="24"/>
          <w:highlight w:val="none"/>
          <w:lang w:val="zh-CN"/>
        </w:rPr>
      </w:pP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pPr>
        <w:widowControl/>
        <w:spacing w:line="400" w:lineRule="exact"/>
        <w:jc w:val="left"/>
        <w:rPr>
          <w:rFonts w:hint="eastAsia" w:ascii="宋体" w:hAnsi="宋体" w:eastAsia="宋体" w:cs="宋体"/>
          <w:b/>
          <w:color w:val="auto"/>
          <w:highlight w:val="none"/>
        </w:rPr>
      </w:pPr>
      <w:bookmarkStart w:id="1336" w:name="_Toc331685783"/>
    </w:p>
    <w:p>
      <w:pPr>
        <w:widowControl/>
        <w:spacing w:line="400" w:lineRule="exact"/>
        <w:jc w:val="left"/>
        <w:rPr>
          <w:rFonts w:hint="eastAsia" w:ascii="宋体" w:hAnsi="宋体" w:eastAsia="宋体" w:cs="宋体"/>
          <w:b/>
          <w:color w:val="auto"/>
          <w:highlight w:val="none"/>
        </w:rPr>
      </w:pPr>
    </w:p>
    <w:p>
      <w:pPr>
        <w:widowControl/>
        <w:spacing w:line="400" w:lineRule="exact"/>
        <w:jc w:val="left"/>
        <w:rPr>
          <w:rFonts w:hint="eastAsia" w:ascii="宋体" w:hAnsi="宋体" w:eastAsia="宋体" w:cs="宋体"/>
          <w:b/>
          <w:color w:val="auto"/>
          <w:kern w:val="0"/>
          <w:sz w:val="24"/>
          <w:highlight w:val="none"/>
        </w:rPr>
      </w:pPr>
    </w:p>
    <w:p>
      <w:pPr>
        <w:widowControl/>
        <w:spacing w:line="400" w:lineRule="exact"/>
        <w:jc w:val="left"/>
        <w:rPr>
          <w:rFonts w:hint="eastAsia" w:ascii="宋体" w:hAnsi="宋体" w:eastAsia="宋体" w:cs="宋体"/>
          <w:b/>
          <w:color w:val="auto"/>
          <w:kern w:val="0"/>
          <w:sz w:val="24"/>
          <w:highlight w:val="none"/>
        </w:rPr>
      </w:pPr>
    </w:p>
    <w:p>
      <w:pPr>
        <w:pStyle w:val="56"/>
        <w:spacing w:line="400" w:lineRule="exact"/>
        <w:ind w:firstLine="0"/>
        <w:jc w:val="both"/>
        <w:rPr>
          <w:rFonts w:hint="eastAsia" w:ascii="宋体" w:hAnsi="宋体" w:eastAsia="宋体" w:cs="宋体"/>
          <w:b/>
          <w:color w:val="auto"/>
          <w:szCs w:val="24"/>
          <w:highlight w:val="none"/>
        </w:rPr>
      </w:pPr>
    </w:p>
    <w:p>
      <w:pPr>
        <w:pStyle w:val="56"/>
        <w:spacing w:line="40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bookmarkEnd w:id="1336"/>
    </w:p>
    <w:p>
      <w:pPr>
        <w:spacing w:line="400" w:lineRule="exact"/>
        <w:ind w:firstLine="482" w:firstLineChars="200"/>
        <w:outlineLvl w:val="0"/>
        <w:rPr>
          <w:rFonts w:hint="eastAsia" w:ascii="宋体" w:hAnsi="宋体" w:eastAsia="宋体" w:cs="宋体"/>
          <w:b/>
          <w:color w:val="auto"/>
          <w:sz w:val="24"/>
          <w:highlight w:val="none"/>
        </w:rPr>
      </w:pPr>
      <w:bookmarkStart w:id="1337" w:name="_Toc279701240"/>
      <w:bookmarkStart w:id="1338" w:name="_Ref467379225"/>
      <w:bookmarkStart w:id="1339" w:name="_Toc24354"/>
      <w:bookmarkStart w:id="1340" w:name="_Toc29024"/>
      <w:bookmarkStart w:id="1341" w:name="_Toc487900349"/>
      <w:bookmarkStart w:id="1342" w:name="_Toc21058"/>
      <w:bookmarkStart w:id="1343" w:name="_Toc16934"/>
      <w:bookmarkStart w:id="1344" w:name="_Toc19680"/>
      <w:bookmarkStart w:id="1345" w:name="_Ref467379101"/>
      <w:bookmarkStart w:id="1346" w:name="_Toc9585"/>
      <w:bookmarkStart w:id="1347" w:name="_Toc14021"/>
      <w:bookmarkStart w:id="1348" w:name="_Toc17704"/>
      <w:bookmarkStart w:id="1349" w:name="_Ref467379109"/>
      <w:bookmarkStart w:id="1350" w:name="_Toc25079"/>
      <w:bookmarkStart w:id="1351" w:name="_Ref467379195"/>
      <w:bookmarkStart w:id="1352" w:name="_Toc10827"/>
      <w:bookmarkStart w:id="1353" w:name="_Ref467379094"/>
      <w:bookmarkStart w:id="1354" w:name="_Toc5228"/>
      <w:bookmarkStart w:id="1355" w:name="_Toc31297"/>
      <w:bookmarkStart w:id="1356" w:name="_Ref467379214"/>
      <w:bookmarkStart w:id="1357" w:name="_Ref467379205"/>
      <w:bookmarkStart w:id="1358" w:name="_Toc31103"/>
      <w:bookmarkStart w:id="1359" w:name="_Ref467378499"/>
      <w:bookmarkStart w:id="1360" w:name="_Toc259093669"/>
      <w:bookmarkStart w:id="1361" w:name="_Toc14976"/>
      <w:bookmarkStart w:id="1362" w:name="_Toc29321"/>
      <w:bookmarkStart w:id="1363" w:name="_Ref467378463"/>
      <w:bookmarkStart w:id="1364" w:name="_Toc25610"/>
      <w:bookmarkStart w:id="1365" w:name="_Toc28840"/>
      <w:bookmarkStart w:id="1366" w:name="_Toc3141"/>
      <w:bookmarkStart w:id="1367" w:name="_Ref467378404"/>
      <w:bookmarkStart w:id="1368" w:name="_Toc29074"/>
      <w:bookmarkStart w:id="1369" w:name="_Toc5117"/>
      <w:bookmarkStart w:id="1370" w:name="_Toc13941"/>
      <w:bookmarkStart w:id="1371" w:name="_Toc28701"/>
      <w:r>
        <w:rPr>
          <w:rFonts w:hint="eastAsia" w:ascii="宋体" w:hAnsi="宋体" w:eastAsia="宋体" w:cs="宋体"/>
          <w:b/>
          <w:color w:val="auto"/>
          <w:sz w:val="24"/>
          <w:highlight w:val="none"/>
        </w:rPr>
        <w:t>2.1 定义</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“合同”系指采购人和成交供应商签订的载明双方当事人所达成的协议，并包括所有的附件、附录和构成合同的其他文件。</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“合同价”系指根据合同约定，成交供应商在完全履行合同义务后，采购人应支付给成交供应商的价格。</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“服务”系指成交供应商根据合同约定应向采购人履行的除货物和工程以外的其他政府采购对象，包括采购人自身需要的服务和向社会公众提供的公共服务。</w:t>
      </w:r>
    </w:p>
    <w:p>
      <w:pPr>
        <w:spacing w:line="400" w:lineRule="exact"/>
        <w:ind w:firstLine="480" w:firstLineChars="200"/>
        <w:rPr>
          <w:rFonts w:hint="eastAsia" w:ascii="宋体" w:hAnsi="宋体" w:eastAsia="宋体" w:cs="宋体"/>
          <w:color w:val="auto"/>
          <w:sz w:val="24"/>
          <w:highlight w:val="none"/>
        </w:rPr>
      </w:pPr>
      <w:bookmarkStart w:id="1372" w:name="_Ref467378840"/>
      <w:r>
        <w:rPr>
          <w:rFonts w:hint="eastAsia" w:ascii="宋体" w:hAnsi="宋体" w:eastAsia="宋体" w:cs="宋体"/>
          <w:color w:val="auto"/>
          <w:sz w:val="24"/>
          <w:highlight w:val="none"/>
        </w:rPr>
        <w:t>2.1.4 “甲方”系指与成交供应商签署合同的采购人</w:t>
      </w:r>
      <w:bookmarkEnd w:id="1372"/>
      <w:r>
        <w:rPr>
          <w:rFonts w:hint="eastAsia" w:ascii="宋体" w:hAnsi="宋体" w:eastAsia="宋体" w:cs="宋体"/>
          <w:color w:val="auto"/>
          <w:sz w:val="24"/>
          <w:highlight w:val="none"/>
        </w:rPr>
        <w:t>；采购人委托采购代理机构代表其与乙方签订合同的，采购人的授权委托书作为合同附件。</w:t>
      </w:r>
    </w:p>
    <w:p>
      <w:pPr>
        <w:spacing w:line="400" w:lineRule="exact"/>
        <w:ind w:firstLine="480" w:firstLineChars="200"/>
        <w:rPr>
          <w:rFonts w:hint="eastAsia" w:ascii="宋体" w:hAnsi="宋体" w:eastAsia="宋体" w:cs="宋体"/>
          <w:color w:val="auto"/>
          <w:sz w:val="24"/>
          <w:highlight w:val="none"/>
        </w:rPr>
      </w:pPr>
      <w:bookmarkStart w:id="1373" w:name="_Ref467379400"/>
      <w:r>
        <w:rPr>
          <w:rFonts w:hint="eastAsia" w:ascii="宋体" w:hAnsi="宋体" w:eastAsia="宋体" w:cs="宋体"/>
          <w:color w:val="auto"/>
          <w:sz w:val="24"/>
          <w:highlight w:val="none"/>
        </w:rPr>
        <w:t>2.1.5 “乙方”系指根据合同约定提供服务的成交供应商</w:t>
      </w:r>
      <w:bookmarkEnd w:id="1373"/>
      <w:r>
        <w:rPr>
          <w:rFonts w:hint="eastAsia" w:ascii="宋体" w:hAnsi="宋体" w:eastAsia="宋体" w:cs="宋体"/>
          <w:color w:val="auto"/>
          <w:sz w:val="24"/>
          <w:highlight w:val="none"/>
        </w:rPr>
        <w:t>；两个以上的自然人、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rPr>
          <w:rFonts w:hint="eastAsia" w:ascii="宋体" w:hAnsi="宋体" w:eastAsia="宋体" w:cs="宋体"/>
          <w:color w:val="auto"/>
          <w:sz w:val="24"/>
          <w:highlight w:val="none"/>
        </w:rPr>
      </w:pPr>
      <w:bookmarkStart w:id="1374" w:name="_Ref467379436"/>
      <w:r>
        <w:rPr>
          <w:rFonts w:hint="eastAsia" w:ascii="宋体" w:hAnsi="宋体" w:eastAsia="宋体" w:cs="宋体"/>
          <w:color w:val="auto"/>
          <w:sz w:val="24"/>
          <w:highlight w:val="none"/>
        </w:rPr>
        <w:t>2.1.6 “现场”系指合同约定提供服务的地点。</w:t>
      </w:r>
      <w:bookmarkEnd w:id="1374"/>
    </w:p>
    <w:p>
      <w:pPr>
        <w:spacing w:line="400" w:lineRule="exact"/>
        <w:ind w:firstLine="482" w:firstLineChars="200"/>
        <w:outlineLvl w:val="0"/>
        <w:rPr>
          <w:rFonts w:hint="eastAsia" w:ascii="宋体" w:hAnsi="宋体" w:eastAsia="宋体" w:cs="宋体"/>
          <w:b/>
          <w:color w:val="auto"/>
          <w:sz w:val="24"/>
          <w:highlight w:val="none"/>
        </w:rPr>
      </w:pPr>
      <w:bookmarkStart w:id="1375" w:name="_Toc13884"/>
      <w:bookmarkStart w:id="1376" w:name="_Toc716"/>
      <w:bookmarkStart w:id="1377" w:name="_Toc21436"/>
      <w:bookmarkStart w:id="1378" w:name="_Toc21068"/>
      <w:bookmarkStart w:id="1379" w:name="_Toc6001"/>
      <w:bookmarkStart w:id="1380" w:name="_Toc24501"/>
      <w:bookmarkStart w:id="1381" w:name="_Toc16752"/>
      <w:bookmarkStart w:id="1382" w:name="_Toc15686"/>
      <w:bookmarkStart w:id="1383" w:name="_Toc31402"/>
      <w:bookmarkStart w:id="1384" w:name="_Toc25980"/>
      <w:bookmarkStart w:id="1385" w:name="_Toc21140"/>
      <w:bookmarkStart w:id="1386" w:name="_Toc8861"/>
      <w:bookmarkStart w:id="1387" w:name="_Toc13639"/>
      <w:bookmarkStart w:id="1388" w:name="_Toc10249"/>
      <w:bookmarkStart w:id="1389" w:name="_Toc487900350"/>
      <w:bookmarkStart w:id="1390" w:name="_Toc3769"/>
      <w:bookmarkStart w:id="1391" w:name="_Toc23289"/>
      <w:bookmarkStart w:id="1392" w:name="_Toc22493"/>
      <w:bookmarkStart w:id="1393" w:name="_Toc7411"/>
      <w:bookmarkStart w:id="1394" w:name="_Toc259093670"/>
      <w:bookmarkStart w:id="1395" w:name="_Toc12973"/>
      <w:bookmarkStart w:id="1396" w:name="_Toc5874"/>
      <w:bookmarkStart w:id="1397" w:name="_Toc19539"/>
      <w:bookmarkStart w:id="1398" w:name="_Toc28811"/>
      <w:bookmarkStart w:id="1399" w:name="_Toc279701241"/>
      <w:r>
        <w:rPr>
          <w:rFonts w:hint="eastAsia" w:ascii="宋体" w:hAnsi="宋体" w:eastAsia="宋体" w:cs="宋体"/>
          <w:b/>
          <w:color w:val="auto"/>
          <w:sz w:val="24"/>
          <w:highlight w:val="none"/>
        </w:rPr>
        <w:t>2.2 技术规范</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firstLineChars="200"/>
        <w:outlineLvl w:val="0"/>
        <w:rPr>
          <w:rFonts w:hint="eastAsia" w:ascii="宋体" w:hAnsi="宋体" w:eastAsia="宋体" w:cs="宋体"/>
          <w:b/>
          <w:color w:val="auto"/>
          <w:sz w:val="24"/>
          <w:highlight w:val="none"/>
        </w:rPr>
      </w:pPr>
      <w:bookmarkStart w:id="1400" w:name="_Toc22279"/>
      <w:bookmarkStart w:id="1401" w:name="_Toc259093671"/>
      <w:bookmarkStart w:id="1402" w:name="_Toc1059"/>
      <w:bookmarkStart w:id="1403" w:name="_Toc11376"/>
      <w:bookmarkStart w:id="1404" w:name="_Toc27945"/>
      <w:bookmarkStart w:id="1405" w:name="_Toc12881"/>
      <w:bookmarkStart w:id="1406" w:name="_Toc32402"/>
      <w:bookmarkStart w:id="1407" w:name="_Toc20195"/>
      <w:bookmarkStart w:id="1408" w:name="_Toc9161"/>
      <w:bookmarkStart w:id="1409" w:name="_Toc19356"/>
      <w:bookmarkStart w:id="1410" w:name="_Toc487900351"/>
      <w:bookmarkStart w:id="1411" w:name="_Toc279701242"/>
      <w:bookmarkStart w:id="1412" w:name="_Toc12412"/>
      <w:bookmarkStart w:id="1413" w:name="_Toc30138"/>
      <w:bookmarkStart w:id="1414" w:name="_Toc13673"/>
      <w:bookmarkStart w:id="1415" w:name="_Toc7280"/>
      <w:bookmarkStart w:id="1416" w:name="_Toc12727"/>
      <w:bookmarkStart w:id="1417" w:name="_Toc7669"/>
      <w:bookmarkStart w:id="1418" w:name="_Toc28131"/>
      <w:bookmarkStart w:id="1419" w:name="_Toc22416"/>
      <w:bookmarkStart w:id="1420" w:name="_Toc9578"/>
      <w:bookmarkStart w:id="1421" w:name="_Toc8378"/>
      <w:bookmarkStart w:id="1422" w:name="_Toc24660"/>
      <w:bookmarkStart w:id="1423" w:name="_Toc31472"/>
      <w:r>
        <w:rPr>
          <w:rFonts w:hint="eastAsia" w:ascii="宋体" w:hAnsi="宋体" w:eastAsia="宋体" w:cs="宋体"/>
          <w:b/>
          <w:color w:val="auto"/>
          <w:sz w:val="24"/>
          <w:highlight w:val="none"/>
        </w:rPr>
        <w:t>2.3 知识产权</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 合同涉及技术成果的归属和收益的分成办法的，详见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履约检查和问题反馈</w:t>
      </w:r>
    </w:p>
    <w:p>
      <w:pPr>
        <w:spacing w:line="400" w:lineRule="exact"/>
        <w:ind w:firstLine="480" w:firstLineChars="200"/>
        <w:rPr>
          <w:rFonts w:hint="eastAsia" w:ascii="宋体" w:hAnsi="宋体" w:eastAsia="宋体" w:cs="宋体"/>
          <w:color w:val="auto"/>
          <w:sz w:val="24"/>
          <w:highlight w:val="none"/>
        </w:rPr>
      </w:pPr>
      <w:bookmarkStart w:id="1424" w:name="_Ref467379657"/>
      <w:r>
        <w:rPr>
          <w:rFonts w:hint="eastAsia" w:ascii="宋体" w:hAnsi="宋体" w:eastAsia="宋体" w:cs="宋体"/>
          <w:color w:val="auto"/>
          <w:sz w:val="24"/>
          <w:highlight w:val="none"/>
        </w:rPr>
        <w:t>2.4.1</w:t>
      </w:r>
      <w:bookmarkEnd w:id="1424"/>
      <w:bookmarkStart w:id="1425" w:name="_Toc186431854"/>
      <w:bookmarkStart w:id="1426" w:name="_Ref467379807"/>
      <w:bookmarkStart w:id="1427" w:name="_Ref467379793"/>
      <w:bookmarkStart w:id="1428" w:name="_Toc279701247"/>
      <w:bookmarkStart w:id="1429" w:name="_Toc487900357"/>
      <w:bookmarkStart w:id="1430" w:name="_Toc259093676"/>
      <w:r>
        <w:rPr>
          <w:rFonts w:hint="eastAsia" w:ascii="宋体" w:hAnsi="宋体" w:eastAsia="宋体" w:cs="宋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bookmarkEnd w:id="1425"/>
      <w:bookmarkStart w:id="1431" w:name="_Toc186431855"/>
      <w:r>
        <w:rPr>
          <w:rFonts w:hint="eastAsia" w:ascii="宋体" w:hAnsi="宋体" w:eastAsia="宋体" w:cs="宋体"/>
          <w:color w:val="auto"/>
          <w:sz w:val="24"/>
          <w:highlight w:val="none"/>
        </w:rPr>
        <w:t>。</w:t>
      </w:r>
    </w:p>
    <w:bookmarkEnd w:id="1431"/>
    <w:p>
      <w:pPr>
        <w:spacing w:line="400" w:lineRule="exact"/>
        <w:ind w:firstLine="482" w:firstLineChars="200"/>
        <w:outlineLvl w:val="0"/>
        <w:rPr>
          <w:rFonts w:hint="eastAsia" w:ascii="宋体" w:hAnsi="宋体" w:eastAsia="宋体" w:cs="宋体"/>
          <w:b/>
          <w:color w:val="auto"/>
          <w:sz w:val="24"/>
          <w:highlight w:val="none"/>
        </w:rPr>
      </w:pPr>
      <w:bookmarkStart w:id="1432" w:name="_Toc4237"/>
      <w:bookmarkStart w:id="1433" w:name="_Toc11053"/>
      <w:bookmarkStart w:id="1434" w:name="_Toc22011"/>
      <w:bookmarkStart w:id="1435" w:name="_Toc21474"/>
      <w:bookmarkStart w:id="1436" w:name="_Toc15567"/>
      <w:bookmarkStart w:id="1437" w:name="_Toc6504"/>
      <w:bookmarkStart w:id="1438" w:name="_Toc31494"/>
      <w:bookmarkStart w:id="1439" w:name="_Toc26555"/>
      <w:bookmarkStart w:id="1440" w:name="_Toc12450"/>
      <w:bookmarkStart w:id="1441" w:name="_Toc8411"/>
      <w:bookmarkStart w:id="1442" w:name="_Toc31233"/>
      <w:bookmarkStart w:id="1443" w:name="_Toc28361"/>
      <w:bookmarkStart w:id="1444" w:name="_Toc32615"/>
      <w:bookmarkStart w:id="1445" w:name="_Toc24593"/>
      <w:bookmarkStart w:id="1446" w:name="_Toc14498"/>
      <w:bookmarkStart w:id="1447" w:name="_Toc30027"/>
      <w:bookmarkStart w:id="1448" w:name="_Toc16045"/>
      <w:bookmarkStart w:id="1449" w:name="_Toc15447"/>
      <w:bookmarkStart w:id="1450" w:name="_Toc32043"/>
      <w:bookmarkStart w:id="1451" w:name="_Toc29627"/>
      <w:bookmarkStart w:id="1452" w:name="_Toc32670"/>
      <w:r>
        <w:rPr>
          <w:rFonts w:hint="eastAsia" w:ascii="宋体" w:hAnsi="宋体" w:eastAsia="宋体" w:cs="宋体"/>
          <w:b/>
          <w:color w:val="auto"/>
          <w:sz w:val="24"/>
          <w:highlight w:val="none"/>
        </w:rPr>
        <w:t>2.5 结算方式和付款条件</w:t>
      </w:r>
      <w:bookmarkEnd w:id="1426"/>
      <w:bookmarkEnd w:id="1427"/>
      <w:bookmarkEnd w:id="1428"/>
      <w:bookmarkEnd w:id="1429"/>
      <w:bookmarkEnd w:id="1430"/>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b/>
          <w:color w:val="auto"/>
          <w:sz w:val="24"/>
          <w:highlight w:val="none"/>
        </w:rPr>
      </w:pPr>
      <w:bookmarkStart w:id="1453" w:name="_Toc487900358"/>
      <w:bookmarkStart w:id="1454" w:name="_Ref467379863"/>
      <w:bookmarkStart w:id="1455" w:name="_Ref467379852"/>
      <w:bookmarkStart w:id="1456" w:name="_Toc279701248"/>
      <w:bookmarkStart w:id="1457" w:name="_Toc259093677"/>
      <w:bookmarkStart w:id="1458" w:name="_Ref467379923"/>
      <w:bookmarkStart w:id="1459" w:name="_Toc23122"/>
      <w:bookmarkStart w:id="1460" w:name="_Toc29402"/>
      <w:bookmarkStart w:id="1461" w:name="_Toc11009"/>
      <w:bookmarkStart w:id="1462" w:name="_Toc25657"/>
      <w:bookmarkStart w:id="1463" w:name="_Toc30507"/>
      <w:bookmarkStart w:id="1464" w:name="_Toc20627"/>
      <w:bookmarkStart w:id="1465" w:name="_Toc5430"/>
      <w:bookmarkStart w:id="1466" w:name="_Toc9514"/>
      <w:bookmarkStart w:id="1467" w:name="_Toc12925"/>
      <w:bookmarkStart w:id="1468" w:name="_Toc25982"/>
      <w:bookmarkStart w:id="1469" w:name="_Toc19435"/>
      <w:bookmarkStart w:id="1470" w:name="_Toc31145"/>
      <w:bookmarkStart w:id="1471" w:name="_Toc16163"/>
      <w:bookmarkStart w:id="1472" w:name="_Toc20569"/>
      <w:bookmarkStart w:id="1473" w:name="_Toc18990"/>
      <w:bookmarkStart w:id="1474" w:name="_Toc4632"/>
      <w:bookmarkStart w:id="1475" w:name="_Toc13467"/>
      <w:bookmarkStart w:id="1476" w:name="_Toc3982"/>
      <w:bookmarkStart w:id="1477" w:name="_Toc13154"/>
      <w:bookmarkStart w:id="1478" w:name="_Toc18186"/>
      <w:bookmarkStart w:id="1479" w:name="_Toc23530"/>
      <w:bookmarkStart w:id="1480" w:name="_Toc26023"/>
      <w:r>
        <w:rPr>
          <w:rFonts w:hint="eastAsia" w:ascii="宋体" w:hAnsi="宋体" w:eastAsia="宋体" w:cs="宋体"/>
          <w:b/>
          <w:color w:val="auto"/>
          <w:sz w:val="24"/>
          <w:highlight w:val="none"/>
        </w:rPr>
        <w:t>2.6 技术资料</w:t>
      </w:r>
      <w:bookmarkEnd w:id="1453"/>
      <w:bookmarkEnd w:id="1454"/>
      <w:bookmarkEnd w:id="1455"/>
      <w:bookmarkEnd w:id="1456"/>
      <w:bookmarkEnd w:id="1457"/>
      <w:bookmarkEnd w:id="1458"/>
      <w:r>
        <w:rPr>
          <w:rFonts w:hint="eastAsia" w:ascii="宋体" w:hAnsi="宋体" w:eastAsia="宋体" w:cs="宋体"/>
          <w:b/>
          <w:color w:val="auto"/>
          <w:sz w:val="24"/>
          <w:highlight w:val="none"/>
        </w:rPr>
        <w:t>和保密义务</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乙方有权依据合同约定和项目需要，向甲方了解有关情况，调阅有关资料等，甲方应予积极配合；</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firstLineChars="200"/>
        <w:outlineLvl w:val="0"/>
        <w:rPr>
          <w:rFonts w:hint="eastAsia" w:ascii="宋体" w:hAnsi="宋体" w:eastAsia="宋体" w:cs="宋体"/>
          <w:b/>
          <w:color w:val="auto"/>
          <w:sz w:val="24"/>
          <w:highlight w:val="none"/>
        </w:rPr>
      </w:pPr>
      <w:bookmarkStart w:id="1481" w:name="_Toc32354"/>
      <w:bookmarkStart w:id="1482" w:name="_Toc1851"/>
      <w:bookmarkStart w:id="1483" w:name="_Toc20114"/>
      <w:bookmarkStart w:id="1484" w:name="_Toc24552"/>
      <w:bookmarkStart w:id="1485" w:name="_Toc18372"/>
      <w:bookmarkStart w:id="1486" w:name="_Toc15010"/>
      <w:bookmarkStart w:id="1487" w:name="_Toc9533"/>
      <w:bookmarkStart w:id="1488" w:name="_Toc1948"/>
      <w:bookmarkStart w:id="1489" w:name="_Toc19069"/>
      <w:bookmarkStart w:id="1490" w:name="_Toc16738"/>
      <w:bookmarkStart w:id="1491" w:name="_Toc339"/>
      <w:bookmarkStart w:id="1492" w:name="_Toc13170"/>
      <w:bookmarkStart w:id="1493" w:name="_Toc10862"/>
      <w:bookmarkStart w:id="1494" w:name="_Toc22614"/>
      <w:bookmarkStart w:id="1495" w:name="_Toc13112"/>
      <w:bookmarkStart w:id="1496" w:name="_Toc2664"/>
      <w:bookmarkStart w:id="1497" w:name="_Toc30162"/>
      <w:bookmarkStart w:id="1498" w:name="_Toc29615"/>
      <w:bookmarkStart w:id="1499" w:name="_Toc259093681"/>
      <w:bookmarkStart w:id="1500" w:name="_Toc487900362"/>
      <w:bookmarkStart w:id="1501" w:name="_Toc279701252"/>
      <w:r>
        <w:rPr>
          <w:rFonts w:hint="eastAsia" w:ascii="宋体" w:hAnsi="宋体" w:eastAsia="宋体" w:cs="宋体"/>
          <w:b/>
          <w:color w:val="auto"/>
          <w:sz w:val="24"/>
          <w:highlight w:val="none"/>
        </w:rPr>
        <w:t>2.7 质量保证</w:t>
      </w:r>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乙方应建立和完善履行合同的内部质量保证体系，并提供相关内部规章制度给甲方，以便甲方进行监督检查；</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乙方应保证履行合同的人员数量和素质、软件和硬件设备的配置、场地、环境和设施等满足全面履行合同的要求，并应接受甲方的监督检查。</w:t>
      </w:r>
    </w:p>
    <w:p>
      <w:pPr>
        <w:spacing w:line="400" w:lineRule="exact"/>
        <w:ind w:firstLine="482" w:firstLineChars="200"/>
        <w:outlineLvl w:val="0"/>
        <w:rPr>
          <w:rFonts w:hint="eastAsia" w:ascii="宋体" w:hAnsi="宋体" w:eastAsia="宋体" w:cs="宋体"/>
          <w:b/>
          <w:color w:val="auto"/>
          <w:sz w:val="24"/>
          <w:highlight w:val="none"/>
        </w:rPr>
      </w:pPr>
      <w:bookmarkStart w:id="1502" w:name="_Toc30597"/>
      <w:bookmarkStart w:id="1503" w:name="_Toc32399"/>
      <w:bookmarkStart w:id="1504" w:name="_Toc11789"/>
      <w:bookmarkStart w:id="1505" w:name="_Toc15967"/>
      <w:bookmarkStart w:id="1506" w:name="_Toc28170"/>
      <w:bookmarkStart w:id="1507" w:name="_Toc11272"/>
      <w:bookmarkStart w:id="1508" w:name="_Toc22198"/>
      <w:bookmarkStart w:id="1509" w:name="_Toc22267"/>
      <w:bookmarkStart w:id="1510" w:name="_Toc1263"/>
      <w:bookmarkStart w:id="1511" w:name="_Toc10485"/>
      <w:bookmarkStart w:id="1512" w:name="_Toc22448"/>
      <w:bookmarkStart w:id="1513" w:name="_Toc10063"/>
      <w:bookmarkStart w:id="1514" w:name="_Toc27100"/>
      <w:bookmarkStart w:id="1515" w:name="_Toc11034"/>
      <w:bookmarkStart w:id="1516" w:name="_Toc32424"/>
      <w:bookmarkStart w:id="1517" w:name="_Toc30394"/>
      <w:bookmarkStart w:id="1518" w:name="_Toc8481"/>
      <w:bookmarkStart w:id="1519" w:name="_Toc7710"/>
      <w:r>
        <w:rPr>
          <w:rFonts w:hint="eastAsia" w:ascii="宋体" w:hAnsi="宋体" w:eastAsia="宋体" w:cs="宋体"/>
          <w:b/>
          <w:color w:val="auto"/>
          <w:sz w:val="24"/>
          <w:highlight w:val="none"/>
        </w:rPr>
        <w:t>2.8 延迟</w:t>
      </w:r>
      <w:bookmarkEnd w:id="1499"/>
      <w:bookmarkEnd w:id="1500"/>
      <w:bookmarkEnd w:id="1501"/>
      <w:r>
        <w:rPr>
          <w:rFonts w:hint="eastAsia" w:ascii="宋体" w:hAnsi="宋体" w:eastAsia="宋体" w:cs="宋体"/>
          <w:b/>
          <w:color w:val="auto"/>
          <w:sz w:val="24"/>
          <w:highlight w:val="none"/>
        </w:rPr>
        <w:t>履行</w:t>
      </w:r>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2" w:firstLineChars="200"/>
        <w:outlineLvl w:val="0"/>
        <w:rPr>
          <w:rFonts w:hint="eastAsia" w:ascii="宋体" w:hAnsi="宋体" w:eastAsia="宋体" w:cs="宋体"/>
          <w:b/>
          <w:color w:val="auto"/>
          <w:sz w:val="24"/>
          <w:highlight w:val="none"/>
        </w:rPr>
      </w:pPr>
      <w:bookmarkStart w:id="1520" w:name="_Toc2244"/>
      <w:bookmarkStart w:id="1521" w:name="_Toc3810"/>
      <w:bookmarkStart w:id="1522" w:name="_Toc28758"/>
      <w:bookmarkStart w:id="1523" w:name="_Toc8568"/>
      <w:bookmarkStart w:id="1524" w:name="_Toc3758"/>
      <w:bookmarkStart w:id="1525" w:name="_Toc10750"/>
      <w:bookmarkStart w:id="1526" w:name="_Toc12190"/>
      <w:bookmarkStart w:id="1527" w:name="_Toc30296"/>
      <w:bookmarkStart w:id="1528" w:name="_Toc25613"/>
      <w:bookmarkStart w:id="1529" w:name="_Toc1930"/>
      <w:bookmarkStart w:id="1530" w:name="_Toc10611"/>
      <w:bookmarkStart w:id="1531" w:name="_Toc20254"/>
      <w:bookmarkStart w:id="1532" w:name="_Toc27101"/>
      <w:bookmarkStart w:id="1533" w:name="_Toc13769"/>
      <w:bookmarkStart w:id="1534" w:name="_Toc2459"/>
      <w:bookmarkStart w:id="1535" w:name="_Toc12112"/>
      <w:bookmarkStart w:id="1536" w:name="_Toc26385"/>
      <w:bookmarkStart w:id="1537" w:name="_Toc2469"/>
      <w:bookmarkStart w:id="1538" w:name="_Toc279701254"/>
      <w:bookmarkStart w:id="1539" w:name="_Ref467378121"/>
      <w:bookmarkStart w:id="1540" w:name="_Toc259093683"/>
      <w:bookmarkStart w:id="1541" w:name="_Toc487900364"/>
      <w:r>
        <w:rPr>
          <w:rFonts w:hint="eastAsia" w:ascii="宋体" w:hAnsi="宋体" w:eastAsia="宋体" w:cs="宋体"/>
          <w:b/>
          <w:color w:val="auto"/>
          <w:sz w:val="24"/>
          <w:highlight w:val="none"/>
        </w:rPr>
        <w:t>2.9 合同变更</w:t>
      </w:r>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1542" w:name="_Toc259093688"/>
      <w:bookmarkStart w:id="1543" w:name="_Toc279701259"/>
      <w:bookmarkStart w:id="1544" w:name="_Toc487900369"/>
    </w:p>
    <w:p>
      <w:pPr>
        <w:spacing w:line="400" w:lineRule="exact"/>
        <w:ind w:firstLine="482" w:firstLineChars="200"/>
        <w:outlineLvl w:val="0"/>
        <w:rPr>
          <w:rFonts w:hint="eastAsia" w:ascii="宋体" w:hAnsi="宋体" w:eastAsia="宋体" w:cs="宋体"/>
          <w:b/>
          <w:color w:val="auto"/>
          <w:sz w:val="24"/>
          <w:highlight w:val="none"/>
        </w:rPr>
      </w:pPr>
      <w:bookmarkStart w:id="1545" w:name="_Toc19151"/>
      <w:bookmarkStart w:id="1546" w:name="_Toc10663"/>
      <w:bookmarkStart w:id="1547" w:name="_Toc42"/>
      <w:bookmarkStart w:id="1548" w:name="_Toc24271"/>
      <w:bookmarkStart w:id="1549" w:name="_Toc6143"/>
      <w:bookmarkStart w:id="1550" w:name="_Toc26689"/>
      <w:bookmarkStart w:id="1551" w:name="_Toc14972"/>
      <w:bookmarkStart w:id="1552" w:name="_Toc22130"/>
      <w:bookmarkStart w:id="1553" w:name="_Toc23368"/>
      <w:bookmarkStart w:id="1554" w:name="_Toc4033"/>
      <w:bookmarkStart w:id="1555" w:name="_Toc6424"/>
      <w:bookmarkStart w:id="1556" w:name="_Toc8222"/>
      <w:bookmarkStart w:id="1557" w:name="_Toc21830"/>
      <w:bookmarkStart w:id="1558" w:name="_Toc12838"/>
      <w:bookmarkStart w:id="1559" w:name="_Toc18298"/>
      <w:bookmarkStart w:id="1560" w:name="_Toc4195"/>
      <w:bookmarkStart w:id="1561" w:name="_Toc17116"/>
      <w:bookmarkStart w:id="1562" w:name="_Toc26852"/>
      <w:bookmarkStart w:id="1563" w:name="_Toc28640"/>
      <w:bookmarkStart w:id="1564" w:name="_Toc30446"/>
      <w:bookmarkStart w:id="1565" w:name="_Toc27242"/>
      <w:bookmarkStart w:id="1566" w:name="_Toc28853"/>
      <w:r>
        <w:rPr>
          <w:rFonts w:hint="eastAsia" w:ascii="宋体" w:hAnsi="宋体" w:eastAsia="宋体" w:cs="宋体"/>
          <w:b/>
          <w:color w:val="auto"/>
          <w:sz w:val="24"/>
          <w:highlight w:val="none"/>
        </w:rPr>
        <w:t>2.10 合同转让</w:t>
      </w:r>
      <w:bookmarkEnd w:id="1542"/>
      <w:bookmarkEnd w:id="1543"/>
      <w:bookmarkEnd w:id="1544"/>
      <w:r>
        <w:rPr>
          <w:rFonts w:hint="eastAsia" w:ascii="宋体" w:hAnsi="宋体" w:eastAsia="宋体" w:cs="宋体"/>
          <w:b/>
          <w:color w:val="auto"/>
          <w:sz w:val="24"/>
          <w:highlight w:val="none"/>
        </w:rPr>
        <w:t>和分包</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2" w:firstLineChars="200"/>
        <w:outlineLvl w:val="0"/>
        <w:rPr>
          <w:rFonts w:hint="eastAsia" w:ascii="宋体" w:hAnsi="宋体" w:eastAsia="宋体" w:cs="宋体"/>
          <w:b/>
          <w:color w:val="auto"/>
          <w:sz w:val="24"/>
          <w:highlight w:val="none"/>
        </w:rPr>
      </w:pPr>
      <w:bookmarkStart w:id="1567" w:name="_Toc15171"/>
      <w:bookmarkStart w:id="1568" w:name="_Toc26920"/>
      <w:bookmarkStart w:id="1569" w:name="_Toc2937"/>
      <w:bookmarkStart w:id="1570" w:name="_Toc23855"/>
      <w:bookmarkStart w:id="1571" w:name="_Toc4684"/>
      <w:bookmarkStart w:id="1572" w:name="_Toc32494"/>
      <w:bookmarkStart w:id="1573" w:name="_Toc4720"/>
      <w:bookmarkStart w:id="1574" w:name="_Toc9705"/>
      <w:bookmarkStart w:id="1575" w:name="_Toc26633"/>
      <w:bookmarkStart w:id="1576" w:name="_Toc10203"/>
      <w:bookmarkStart w:id="1577" w:name="_Toc24708"/>
      <w:bookmarkStart w:id="1578" w:name="_Toc30847"/>
      <w:bookmarkStart w:id="1579" w:name="_Toc20290"/>
      <w:bookmarkStart w:id="1580" w:name="_Toc32622"/>
      <w:bookmarkStart w:id="1581" w:name="_Toc9462"/>
      <w:bookmarkStart w:id="1582" w:name="_Toc26602"/>
      <w:bookmarkStart w:id="1583" w:name="_Toc31065"/>
      <w:bookmarkStart w:id="1584" w:name="_Toc8431"/>
      <w:bookmarkStart w:id="1585" w:name="_Toc14371"/>
      <w:bookmarkStart w:id="1586" w:name="_Toc17450"/>
      <w:bookmarkStart w:id="1587" w:name="_Toc25571"/>
      <w:bookmarkStart w:id="1588" w:name="_Toc19697"/>
      <w:r>
        <w:rPr>
          <w:rFonts w:hint="eastAsia" w:ascii="宋体" w:hAnsi="宋体" w:eastAsia="宋体" w:cs="宋体"/>
          <w:b/>
          <w:color w:val="auto"/>
          <w:sz w:val="24"/>
          <w:highlight w:val="none"/>
        </w:rPr>
        <w:t>2.11 不可抗力</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pPr>
        <w:spacing w:line="400" w:lineRule="exact"/>
        <w:ind w:firstLine="482" w:firstLineChars="200"/>
        <w:outlineLvl w:val="0"/>
        <w:rPr>
          <w:rFonts w:hint="eastAsia" w:ascii="宋体" w:hAnsi="宋体" w:eastAsia="宋体" w:cs="宋体"/>
          <w:b/>
          <w:color w:val="auto"/>
          <w:sz w:val="24"/>
          <w:highlight w:val="none"/>
        </w:rPr>
      </w:pPr>
      <w:bookmarkStart w:id="1589" w:name="_Toc25783"/>
      <w:bookmarkStart w:id="1590" w:name="_Toc2834"/>
      <w:bookmarkStart w:id="1591" w:name="_Toc279701255"/>
      <w:bookmarkStart w:id="1592" w:name="_Toc12690"/>
      <w:bookmarkStart w:id="1593" w:name="_Toc3638"/>
      <w:bookmarkStart w:id="1594" w:name="_Toc14370"/>
      <w:bookmarkStart w:id="1595" w:name="_Toc6743"/>
      <w:bookmarkStart w:id="1596" w:name="_Toc14115"/>
      <w:bookmarkStart w:id="1597" w:name="_Toc23602"/>
      <w:bookmarkStart w:id="1598" w:name="_Toc23854"/>
      <w:bookmarkStart w:id="1599" w:name="_Toc219"/>
      <w:bookmarkStart w:id="1600" w:name="_Toc259093684"/>
      <w:bookmarkStart w:id="1601" w:name="_Toc27546"/>
      <w:bookmarkStart w:id="1602" w:name="_Toc32181"/>
      <w:bookmarkStart w:id="1603" w:name="_Toc7981"/>
      <w:bookmarkStart w:id="1604" w:name="_Toc6465"/>
      <w:bookmarkStart w:id="1605" w:name="_Toc1959"/>
      <w:bookmarkStart w:id="1606" w:name="_Toc11667"/>
      <w:bookmarkStart w:id="1607" w:name="_Toc3156"/>
      <w:bookmarkStart w:id="1608" w:name="_Toc487900365"/>
      <w:bookmarkStart w:id="1609" w:name="_Toc17127"/>
      <w:bookmarkStart w:id="1610" w:name="_Toc24465"/>
      <w:bookmarkStart w:id="1611" w:name="_Toc11275"/>
      <w:bookmarkStart w:id="1612" w:name="_Toc23373"/>
      <w:bookmarkStart w:id="1613" w:name="_Toc18195"/>
      <w:r>
        <w:rPr>
          <w:rFonts w:hint="eastAsia" w:ascii="宋体" w:hAnsi="宋体" w:eastAsia="宋体" w:cs="宋体"/>
          <w:b/>
          <w:color w:val="auto"/>
          <w:sz w:val="24"/>
          <w:highlight w:val="none"/>
        </w:rPr>
        <w:t>2.12 税费</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pPr>
        <w:spacing w:line="400" w:lineRule="exact"/>
        <w:ind w:firstLine="482" w:firstLineChars="200"/>
        <w:outlineLvl w:val="0"/>
        <w:rPr>
          <w:rFonts w:hint="eastAsia" w:ascii="宋体" w:hAnsi="宋体" w:eastAsia="宋体" w:cs="宋体"/>
          <w:b/>
          <w:color w:val="auto"/>
          <w:sz w:val="24"/>
          <w:highlight w:val="none"/>
        </w:rPr>
      </w:pPr>
      <w:bookmarkStart w:id="1614" w:name="_Toc25525"/>
      <w:bookmarkStart w:id="1615" w:name="_Toc10398"/>
      <w:bookmarkStart w:id="1616" w:name="_Toc3759"/>
      <w:bookmarkStart w:id="1617" w:name="_Toc259093687"/>
      <w:bookmarkStart w:id="1618" w:name="_Toc24809"/>
      <w:bookmarkStart w:id="1619" w:name="_Toc487900368"/>
      <w:bookmarkStart w:id="1620" w:name="_Toc12415"/>
      <w:bookmarkStart w:id="1621" w:name="_Toc279701258"/>
      <w:bookmarkStart w:id="1622" w:name="_Toc3775"/>
      <w:bookmarkStart w:id="1623" w:name="_Toc6155"/>
      <w:bookmarkStart w:id="1624" w:name="_Toc19880"/>
      <w:bookmarkStart w:id="1625" w:name="_Toc27492"/>
      <w:bookmarkStart w:id="1626" w:name="_Toc4896"/>
      <w:bookmarkStart w:id="1627" w:name="_Toc3161"/>
      <w:bookmarkStart w:id="1628" w:name="_Toc14814"/>
      <w:bookmarkStart w:id="1629" w:name="_Toc26883"/>
      <w:bookmarkStart w:id="1630" w:name="_Toc30105"/>
      <w:bookmarkStart w:id="1631" w:name="_Toc15966"/>
      <w:bookmarkStart w:id="1632" w:name="_Toc7315"/>
      <w:bookmarkStart w:id="1633" w:name="_Toc426"/>
      <w:bookmarkStart w:id="1634" w:name="_Toc17461"/>
      <w:bookmarkStart w:id="1635" w:name="_Toc5156"/>
      <w:bookmarkStart w:id="1636" w:name="_Toc14494"/>
      <w:bookmarkStart w:id="1637" w:name="_Toc31237"/>
      <w:bookmarkStart w:id="1638" w:name="_Toc9756"/>
      <w:r>
        <w:rPr>
          <w:rFonts w:hint="eastAsia" w:ascii="宋体" w:hAnsi="宋体" w:eastAsia="宋体" w:cs="宋体"/>
          <w:b/>
          <w:color w:val="auto"/>
          <w:sz w:val="24"/>
          <w:highlight w:val="none"/>
        </w:rPr>
        <w:t>2.13 乙方破产</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firstLineChars="200"/>
        <w:outlineLvl w:val="0"/>
        <w:rPr>
          <w:rFonts w:hint="eastAsia" w:ascii="宋体" w:hAnsi="宋体" w:eastAsia="宋体" w:cs="宋体"/>
          <w:b/>
          <w:color w:val="auto"/>
          <w:sz w:val="24"/>
          <w:highlight w:val="none"/>
        </w:rPr>
      </w:pPr>
      <w:bookmarkStart w:id="1639" w:name="_Toc8066"/>
      <w:bookmarkStart w:id="1640" w:name="_Toc18650"/>
      <w:bookmarkStart w:id="1641" w:name="_Toc31298"/>
      <w:bookmarkStart w:id="1642" w:name="_Toc15650"/>
      <w:bookmarkStart w:id="1643" w:name="_Toc26320"/>
      <w:bookmarkStart w:id="1644" w:name="_Toc6032"/>
      <w:bookmarkStart w:id="1645" w:name="_Toc23323"/>
      <w:bookmarkStart w:id="1646" w:name="_Toc30682"/>
      <w:bookmarkStart w:id="1647" w:name="_Toc2016"/>
      <w:bookmarkStart w:id="1648" w:name="_Toc13023"/>
      <w:bookmarkStart w:id="1649" w:name="_Toc32490"/>
      <w:bookmarkStart w:id="1650" w:name="_Toc3274"/>
      <w:bookmarkStart w:id="1651" w:name="_Toc25092"/>
      <w:bookmarkStart w:id="1652" w:name="_Toc4472"/>
      <w:bookmarkStart w:id="1653" w:name="_Toc1123"/>
      <w:bookmarkStart w:id="1654" w:name="_Toc1675"/>
      <w:bookmarkStart w:id="1655" w:name="_Toc26987"/>
      <w:bookmarkStart w:id="1656" w:name="_Toc4845"/>
      <w:bookmarkStart w:id="1657" w:name="_Toc8069"/>
      <w:bookmarkStart w:id="1658" w:name="_Toc29414"/>
      <w:r>
        <w:rPr>
          <w:rFonts w:hint="eastAsia" w:ascii="宋体" w:hAnsi="宋体" w:eastAsia="宋体" w:cs="宋体"/>
          <w:b/>
          <w:color w:val="auto"/>
          <w:sz w:val="24"/>
          <w:highlight w:val="none"/>
        </w:rPr>
        <w:t>2.14 合同中止、终止</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2.14.1 双方当事人不得擅自中止或者终止合同；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2" w:firstLineChars="200"/>
        <w:outlineLvl w:val="0"/>
        <w:rPr>
          <w:rFonts w:hint="eastAsia" w:ascii="宋体" w:hAnsi="宋体" w:eastAsia="宋体" w:cs="宋体"/>
          <w:b/>
          <w:color w:val="auto"/>
          <w:sz w:val="24"/>
          <w:highlight w:val="none"/>
        </w:rPr>
      </w:pPr>
      <w:bookmarkStart w:id="1659" w:name="_Toc22271"/>
      <w:bookmarkStart w:id="1660" w:name="_Toc10291"/>
      <w:bookmarkStart w:id="1661" w:name="_Toc14653"/>
      <w:bookmarkStart w:id="1662" w:name="_Toc1969"/>
      <w:bookmarkStart w:id="1663" w:name="_Toc12981"/>
      <w:bookmarkStart w:id="1664" w:name="_Toc5120"/>
      <w:bookmarkStart w:id="1665" w:name="_Toc16250"/>
      <w:bookmarkStart w:id="1666" w:name="_Toc9488"/>
      <w:bookmarkStart w:id="1667" w:name="_Toc22475"/>
      <w:bookmarkStart w:id="1668" w:name="_Toc17363"/>
      <w:bookmarkStart w:id="1669" w:name="_Toc12473"/>
      <w:bookmarkStart w:id="1670" w:name="_Toc30002"/>
      <w:bookmarkStart w:id="1671" w:name="_Toc22366"/>
      <w:bookmarkStart w:id="1672" w:name="_Toc31348"/>
      <w:bookmarkStart w:id="1673" w:name="_Toc22355"/>
      <w:bookmarkStart w:id="1674" w:name="_Toc295"/>
      <w:bookmarkStart w:id="1675" w:name="_Toc25815"/>
      <w:bookmarkStart w:id="1676" w:name="_Toc25753"/>
      <w:bookmarkStart w:id="1677" w:name="_Toc6221"/>
      <w:r>
        <w:rPr>
          <w:rFonts w:hint="eastAsia" w:ascii="宋体" w:hAnsi="宋体" w:eastAsia="宋体" w:cs="宋体"/>
          <w:b/>
          <w:color w:val="auto"/>
          <w:sz w:val="24"/>
          <w:highlight w:val="none"/>
        </w:rPr>
        <w:t>2.15 检验和验收</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pPr>
        <w:tabs>
          <w:tab w:val="left" w:pos="360"/>
          <w:tab w:val="left" w:pos="540"/>
          <w:tab w:val="left" w:pos="108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2.15.1 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pPr>
        <w:tabs>
          <w:tab w:val="left" w:pos="360"/>
          <w:tab w:val="left" w:pos="540"/>
          <w:tab w:val="left" w:pos="108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538"/>
    <w:bookmarkEnd w:id="1539"/>
    <w:bookmarkEnd w:id="1540"/>
    <w:bookmarkEnd w:id="1541"/>
    <w:p>
      <w:pPr>
        <w:spacing w:line="400" w:lineRule="exact"/>
        <w:ind w:firstLine="482" w:firstLineChars="200"/>
        <w:outlineLvl w:val="0"/>
        <w:rPr>
          <w:rFonts w:hint="eastAsia" w:ascii="宋体" w:hAnsi="宋体" w:eastAsia="宋体" w:cs="宋体"/>
          <w:b/>
          <w:color w:val="auto"/>
          <w:sz w:val="24"/>
          <w:highlight w:val="none"/>
        </w:rPr>
      </w:pPr>
      <w:bookmarkStart w:id="1678" w:name="_Toc279701261"/>
      <w:bookmarkStart w:id="1679" w:name="_Toc487900371"/>
      <w:bookmarkStart w:id="1680" w:name="_Toc259093690"/>
      <w:bookmarkStart w:id="1681" w:name="_Toc10819"/>
      <w:bookmarkStart w:id="1682" w:name="_Toc10525"/>
      <w:bookmarkStart w:id="1683" w:name="_Toc26232"/>
      <w:bookmarkStart w:id="1684" w:name="_Toc26095"/>
      <w:bookmarkStart w:id="1685" w:name="_Toc13224"/>
      <w:bookmarkStart w:id="1686" w:name="_Toc29431"/>
      <w:bookmarkStart w:id="1687" w:name="_Toc6307"/>
      <w:bookmarkStart w:id="1688" w:name="_Toc1691"/>
      <w:bookmarkStart w:id="1689" w:name="_Toc13486"/>
      <w:bookmarkStart w:id="1690" w:name="_Toc27995"/>
      <w:bookmarkStart w:id="1691" w:name="_Toc2308"/>
      <w:bookmarkStart w:id="1692" w:name="_Toc22987"/>
      <w:bookmarkStart w:id="1693" w:name="_Toc29667"/>
      <w:bookmarkStart w:id="1694" w:name="_Toc9808"/>
      <w:bookmarkStart w:id="1695" w:name="_Toc13544"/>
      <w:bookmarkStart w:id="1696" w:name="_Toc12970"/>
      <w:bookmarkStart w:id="1697" w:name="_Toc31892"/>
      <w:bookmarkStart w:id="1698" w:name="_Toc3309"/>
      <w:bookmarkStart w:id="1699" w:name="_Toc12666"/>
      <w:bookmarkStart w:id="1700" w:name="_Toc25198"/>
      <w:bookmarkStart w:id="1701" w:name="_Toc19041"/>
      <w:bookmarkStart w:id="1702" w:name="_Toc26744"/>
      <w:r>
        <w:rPr>
          <w:rFonts w:hint="eastAsia" w:ascii="宋体" w:hAnsi="宋体" w:eastAsia="宋体" w:cs="宋体"/>
          <w:b/>
          <w:color w:val="auto"/>
          <w:sz w:val="24"/>
          <w:highlight w:val="none"/>
        </w:rPr>
        <w:t>2.16 通知</w:t>
      </w:r>
      <w:bookmarkEnd w:id="1678"/>
      <w:bookmarkEnd w:id="1679"/>
      <w:bookmarkEnd w:id="1680"/>
      <w:r>
        <w:rPr>
          <w:rFonts w:hint="eastAsia" w:ascii="宋体" w:hAnsi="宋体" w:eastAsia="宋体" w:cs="宋体"/>
          <w:b/>
          <w:color w:val="auto"/>
          <w:sz w:val="24"/>
          <w:highlight w:val="none"/>
        </w:rPr>
        <w:t>和送达</w:t>
      </w:r>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pPr>
        <w:spacing w:line="400" w:lineRule="exact"/>
        <w:ind w:firstLine="480" w:firstLineChars="200"/>
        <w:rPr>
          <w:rFonts w:hint="eastAsia" w:ascii="宋体" w:hAnsi="宋体" w:eastAsia="宋体" w:cs="宋体"/>
          <w:color w:val="auto"/>
          <w:sz w:val="24"/>
          <w:highlight w:val="none"/>
        </w:rPr>
      </w:pPr>
      <w:bookmarkStart w:id="1703" w:name="_Toc7073"/>
      <w:bookmarkStart w:id="1704" w:name="_Toc487900372"/>
      <w:bookmarkStart w:id="1705" w:name="_Toc279701262"/>
      <w:bookmarkStart w:id="1706" w:name="_Toc259093691"/>
      <w:r>
        <w:rPr>
          <w:rFonts w:hint="eastAsia" w:ascii="宋体" w:hAnsi="宋体" w:eastAsia="宋体" w:cs="宋体"/>
          <w:color w:val="auto"/>
          <w:sz w:val="24"/>
          <w:highlight w:val="none"/>
        </w:rPr>
        <w:t>2.16.1 任何一方因履行合同而以合同第一部分尾部所列明的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1703"/>
    </w:p>
    <w:p>
      <w:pPr>
        <w:spacing w:line="400" w:lineRule="exact"/>
        <w:ind w:firstLine="480" w:firstLineChars="200"/>
        <w:rPr>
          <w:rFonts w:hint="eastAsia" w:ascii="宋体" w:hAnsi="宋体" w:eastAsia="宋体" w:cs="宋体"/>
          <w:color w:val="auto"/>
          <w:sz w:val="24"/>
          <w:highlight w:val="none"/>
        </w:rPr>
      </w:pPr>
      <w:bookmarkStart w:id="1707" w:name="_Toc27674"/>
      <w:bookmarkStart w:id="1708" w:name="_Toc18401"/>
      <w:r>
        <w:rPr>
          <w:rFonts w:hint="eastAsia" w:ascii="宋体" w:hAnsi="宋体" w:eastAsia="宋体" w:cs="宋体"/>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07"/>
      <w:bookmarkEnd w:id="1708"/>
    </w:p>
    <w:bookmarkEnd w:id="1704"/>
    <w:bookmarkEnd w:id="1705"/>
    <w:bookmarkEnd w:id="1706"/>
    <w:p>
      <w:pPr>
        <w:spacing w:line="400" w:lineRule="exact"/>
        <w:ind w:firstLine="482" w:firstLineChars="200"/>
        <w:outlineLvl w:val="0"/>
        <w:rPr>
          <w:rFonts w:hint="eastAsia" w:ascii="宋体" w:hAnsi="宋体" w:eastAsia="宋体" w:cs="宋体"/>
          <w:b/>
          <w:color w:val="auto"/>
          <w:sz w:val="24"/>
          <w:highlight w:val="none"/>
        </w:rPr>
      </w:pPr>
      <w:bookmarkStart w:id="1709" w:name="_Toc18708"/>
      <w:bookmarkStart w:id="1710" w:name="_Toc13433"/>
      <w:bookmarkStart w:id="1711" w:name="_Toc19439"/>
      <w:bookmarkStart w:id="1712" w:name="_Toc15108"/>
      <w:bookmarkStart w:id="1713" w:name="_Toc20808"/>
      <w:bookmarkStart w:id="1714" w:name="_Toc28590"/>
      <w:bookmarkStart w:id="1715" w:name="_Toc4407"/>
      <w:bookmarkStart w:id="1716" w:name="_Toc1846"/>
      <w:bookmarkStart w:id="1717" w:name="_Toc18929"/>
      <w:bookmarkStart w:id="1718" w:name="_Toc18906"/>
      <w:bookmarkStart w:id="1719" w:name="_Toc279701263"/>
      <w:bookmarkStart w:id="1720" w:name="_Toc10141"/>
      <w:bookmarkStart w:id="1721" w:name="_Toc5063"/>
      <w:bookmarkStart w:id="1722" w:name="_Toc259093692"/>
      <w:bookmarkStart w:id="1723" w:name="_Toc10103"/>
      <w:bookmarkStart w:id="1724" w:name="_Toc16009"/>
      <w:bookmarkStart w:id="1725" w:name="_Toc12254"/>
      <w:bookmarkStart w:id="1726" w:name="_Toc31615"/>
      <w:bookmarkStart w:id="1727" w:name="_Toc556"/>
      <w:bookmarkStart w:id="1728" w:name="_Toc27644"/>
      <w:bookmarkStart w:id="1729" w:name="_Toc28906"/>
      <w:bookmarkStart w:id="1730" w:name="_Toc32231"/>
      <w:bookmarkStart w:id="1731" w:name="_Toc3962"/>
      <w:bookmarkStart w:id="1732" w:name="_Toc487900373"/>
      <w:bookmarkStart w:id="1733" w:name="_Toc19398"/>
      <w:r>
        <w:rPr>
          <w:rFonts w:hint="eastAsia" w:ascii="宋体" w:hAnsi="宋体" w:eastAsia="宋体" w:cs="宋体"/>
          <w:b/>
          <w:color w:val="auto"/>
          <w:sz w:val="24"/>
          <w:highlight w:val="none"/>
        </w:rPr>
        <w:t>2.17 合同使用的文字和适用的法律</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 合同使用汉语书就、变更和解释；</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 合同适用中华人民共和国法律。</w:t>
      </w:r>
    </w:p>
    <w:p>
      <w:pPr>
        <w:spacing w:line="400" w:lineRule="exact"/>
        <w:ind w:firstLine="482" w:firstLineChars="200"/>
        <w:outlineLvl w:val="0"/>
        <w:rPr>
          <w:rFonts w:hint="eastAsia" w:ascii="宋体" w:hAnsi="宋体" w:eastAsia="宋体" w:cs="宋体"/>
          <w:b/>
          <w:color w:val="auto"/>
          <w:sz w:val="24"/>
          <w:highlight w:val="none"/>
        </w:rPr>
      </w:pPr>
      <w:bookmarkStart w:id="1734" w:name="_Toc1356"/>
      <w:bookmarkStart w:id="1735" w:name="_Toc27403"/>
      <w:bookmarkStart w:id="1736" w:name="_Toc5719"/>
      <w:bookmarkStart w:id="1737" w:name="_Toc30096"/>
      <w:bookmarkStart w:id="1738" w:name="_Toc15033"/>
      <w:bookmarkStart w:id="1739" w:name="_Toc1492"/>
      <w:bookmarkStart w:id="1740" w:name="_Toc1583"/>
      <w:bookmarkStart w:id="1741" w:name="_Toc20271"/>
      <w:bookmarkStart w:id="1742" w:name="_Toc27127"/>
      <w:bookmarkStart w:id="1743" w:name="_Toc31142"/>
      <w:bookmarkStart w:id="1744" w:name="_Toc279701264"/>
      <w:bookmarkStart w:id="1745" w:name="_Toc27718"/>
      <w:bookmarkStart w:id="1746" w:name="_Toc30312"/>
      <w:bookmarkStart w:id="1747" w:name="_Toc20559"/>
      <w:bookmarkStart w:id="1748" w:name="_Toc259093693"/>
      <w:bookmarkStart w:id="1749" w:name="_Toc31884"/>
      <w:bookmarkStart w:id="1750" w:name="_Toc32540"/>
      <w:bookmarkStart w:id="1751" w:name="_Toc7323"/>
      <w:bookmarkStart w:id="1752" w:name="_Toc32512"/>
      <w:bookmarkStart w:id="1753" w:name="_Toc26691"/>
      <w:bookmarkStart w:id="1754" w:name="_Toc18902"/>
      <w:bookmarkStart w:id="1755" w:name="_Toc25528"/>
      <w:bookmarkStart w:id="1756" w:name="_Toc10143"/>
      <w:bookmarkStart w:id="1757" w:name="_Toc487900374"/>
      <w:r>
        <w:rPr>
          <w:rFonts w:hint="eastAsia" w:ascii="宋体" w:hAnsi="宋体" w:eastAsia="宋体" w:cs="宋体"/>
          <w:b/>
          <w:color w:val="auto"/>
          <w:sz w:val="24"/>
          <w:highlight w:val="none"/>
        </w:rPr>
        <w:t>2.18 履约保证金</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2.18.1 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57"/>
    <w:p>
      <w:pPr>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 合同份数</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bookmarkStart w:id="1758" w:name="_Toc331685784"/>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第三部分  合同专用条款</w:t>
      </w:r>
      <w:bookmarkEnd w:id="1758"/>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633" w:type="dxa"/>
            <w:vAlign w:val="center"/>
          </w:tcPr>
          <w:p>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bl>
    <w:p>
      <w:pPr>
        <w:spacing w:after="156" w:line="400" w:lineRule="exact"/>
        <w:ind w:firstLine="48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sectPr>
      <w:headerReference r:id="rId14" w:type="default"/>
      <w:footerReference r:id="rId15"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altName w:val="Arial"/>
    <w:panose1 w:val="020B0604020000020204"/>
    <w:charset w:val="00"/>
    <w:family w:val="roman"/>
    <w:pitch w:val="default"/>
    <w:sig w:usb0="00000000" w:usb1="00000000" w:usb2="00000000" w:usb3="00000000" w:csb0="00000001" w:csb1="00000000"/>
  </w:font>
  <w:font w:name="pingfang sc">
    <w:altName w:val="宋体"/>
    <w:panose1 w:val="00000000000000000000"/>
    <w:charset w:val="86"/>
    <w:family w:val="auto"/>
    <w:pitch w:val="default"/>
    <w:sig w:usb0="00000000" w:usb1="00000000" w:usb2="00000017" w:usb3="00000000" w:csb0="00040001" w:csb1="00000000"/>
  </w:font>
  <w:font w:name="MS Gothic">
    <w:panose1 w:val="020B0609070205080204"/>
    <w:charset w:val="80"/>
    <w:family w:val="modern"/>
    <w:pitch w:val="default"/>
    <w:sig w:usb0="E00002FF" w:usb1="6AC7FDFB" w:usb2="00000012" w:usb3="00000000" w:csb0="4002009F" w:csb1="DFD7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FF0000"/>
      </w:rPr>
      <w:t xml:space="preserve">   </w:t>
    </w:r>
    <w:r>
      <w:rPr>
        <w:rFonts w:hint="eastAsia"/>
        <w:color w:val="FF0000"/>
        <w:lang w:val="en-US" w:eastAsia="zh-CN"/>
      </w:rPr>
      <w:t xml:space="preserve">             </w:t>
    </w:r>
    <w:r>
      <w:rPr>
        <w:color w:val="800000"/>
      </w:rPr>
      <w:t xml:space="preserve"> Tel</w:t>
    </w:r>
    <w:r>
      <w:rPr>
        <w:rFonts w:hint="eastAsia" w:cs="宋体"/>
        <w:color w:val="800000"/>
      </w:rPr>
      <w:t>：15099650569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p>
    <w:pPr>
      <w:pStyle w:val="20"/>
      <w:ind w:right="360"/>
      <w:jc w:val="center"/>
    </w:pPr>
    <w:r>
      <w:rPr>
        <w:rFonts w:hint="eastAsia"/>
        <w:color w:val="FF0000"/>
      </w:rPr>
      <w:tab/>
    </w:r>
    <w:r>
      <w:rPr>
        <w:color w:val="800000"/>
      </w:rPr>
      <w:t>Add</w:t>
    </w:r>
    <w:r>
      <w:rPr>
        <w:rFonts w:hint="eastAsia" w:cs="宋体"/>
        <w:color w:val="800000"/>
      </w:rPr>
      <w:t>：喀什经济开发区深圳城3号楼12层1204</w:t>
    </w:r>
    <w:r>
      <w:rPr>
        <w:color w:val="800000"/>
      </w:rPr>
      <w:t xml:space="preserve"> </w:t>
    </w:r>
    <w:r>
      <w:rPr>
        <w:rFonts w:hint="eastAsia"/>
        <w:color w:val="FF0000"/>
      </w:rPr>
      <w:t xml:space="preserve">   </w:t>
    </w:r>
    <w:r>
      <w:rPr>
        <w:rFonts w:hint="eastAsia"/>
        <w:color w:val="FF0000"/>
        <w:lang w:val="en-US" w:eastAsia="zh-CN"/>
      </w:rPr>
      <w:t xml:space="preserve">             </w:t>
    </w:r>
    <w:r>
      <w:rPr>
        <w:color w:val="800000"/>
      </w:rPr>
      <w:t xml:space="preserve"> Tel</w:t>
    </w:r>
    <w:r>
      <w:rPr>
        <w:rFonts w:hint="eastAsia" w:cs="宋体"/>
        <w:color w:val="800000"/>
      </w:rPr>
      <w:t>：15099650569</w:t>
    </w:r>
  </w:p>
  <w:p>
    <w:pPr>
      <w:pStyle w:val="20"/>
      <w:tabs>
        <w:tab w:val="clear" w:pos="8306"/>
      </w:tabs>
      <w:ind w:right="360"/>
    </w:pPr>
    <w:r>
      <w:rPr>
        <w:rFonts w:hint="eastAsia"/>
        <w:color w:val="FF0000"/>
      </w:rPr>
      <w:tab/>
    </w:r>
  </w:p>
  <w:p>
    <w:pPr>
      <w:pStyle w:val="2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47</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20"/>
    </w:pP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60</w:t>
                    </w:r>
                    <w:r>
                      <w:fldChar w:fldCharType="end"/>
                    </w:r>
                  </w:p>
                </w:txbxContent>
              </v:textbox>
            </v:shape>
          </w:pict>
        </mc:Fallback>
      </mc:AlternateContent>
    </w:r>
  </w:p>
  <w:p>
    <w:pPr>
      <w:pStyle w:val="20"/>
      <w:tabs>
        <w:tab w:val="center" w:pos="4036"/>
        <w:tab w:val="center" w:pos="4355"/>
        <w:tab w:val="right" w:pos="8312"/>
        <w:tab w:val="right" w:pos="8950"/>
      </w:tabs>
      <w:ind w:right="360"/>
      <w:jc w:val="center"/>
    </w:pP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64</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20"/>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r>
      <w:drawing>
        <wp:inline distT="0" distB="0" distL="114300" distR="114300">
          <wp:extent cx="991235" cy="633095"/>
          <wp:effectExtent l="0" t="0" r="14605" b="698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1" o:spid="_x0000_s2051" o:spt="136" type="#_x0000_t136" style="position:absolute;left:0pt;margin-left:67.2pt;margin-top:32.95pt;height:15.6pt;width:152.25pt;z-index:251663360;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r>
      <w:pict>
        <v:shape id="_x0000_s2050" o:spid="_x0000_s2050" o:spt="136" type="#_x0000_t136" style="position:absolute;left:0pt;margin-left:69.35pt;margin-top:31.85pt;height:15.6pt;width:152.25pt;z-index:251664384;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r>
      <w:drawing>
        <wp:inline distT="0" distB="0" distL="114300" distR="114300">
          <wp:extent cx="991235" cy="633095"/>
          <wp:effectExtent l="0" t="0" r="1460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r>
      <w:pict>
        <v:shape id="_x0000_s2055" o:spid="_x0000_s2055" o:spt="136" type="#_x0000_t136" style="position:absolute;left:0pt;margin-left:69.35pt;margin-top:31.85pt;height:15.6pt;width:152.25pt;z-index:25166643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r>
      <w:drawing>
        <wp:inline distT="0" distB="0" distL="114300" distR="114300">
          <wp:extent cx="991235" cy="633095"/>
          <wp:effectExtent l="0" t="0" r="1460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r>
      <w:pict>
        <v:shape id="_x0000_s2054" o:spid="_x0000_s2054" o:spt="136" type="#_x0000_t136" style="position:absolute;left:0pt;margin-left:72.3pt;margin-top:33pt;height:15.6pt;width:152.25pt;z-index:251665408;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r>
      <w:drawing>
        <wp:inline distT="0" distB="0" distL="114300" distR="114300">
          <wp:extent cx="991235" cy="633095"/>
          <wp:effectExtent l="0" t="0" r="14605" b="698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p>
  <w:p>
    <w:pPr>
      <w:pStyle w:val="2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00000004"/>
    <w:multiLevelType w:val="singleLevel"/>
    <w:tmpl w:val="00000004"/>
    <w:lvl w:ilvl="0" w:tentative="0">
      <w:start w:val="2"/>
      <w:numFmt w:val="decimal"/>
      <w:suff w:val="nothing"/>
      <w:lvlText w:val="%1、"/>
      <w:lvlJc w:val="left"/>
    </w:lvl>
  </w:abstractNum>
  <w:abstractNum w:abstractNumId="2">
    <w:nsid w:val="00000005"/>
    <w:multiLevelType w:val="multilevel"/>
    <w:tmpl w:val="000000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7"/>
    <w:multiLevelType w:val="singleLevel"/>
    <w:tmpl w:val="00000007"/>
    <w:lvl w:ilvl="0" w:tentative="0">
      <w:start w:val="15"/>
      <w:numFmt w:val="decimal"/>
      <w:suff w:val="space"/>
      <w:lvlText w:val="%1."/>
      <w:lvlJc w:val="left"/>
    </w:lvl>
  </w:abstractNum>
  <w:abstractNum w:abstractNumId="4">
    <w:nsid w:val="66631E7A"/>
    <w:multiLevelType w:val="singleLevel"/>
    <w:tmpl w:val="66631E7A"/>
    <w:lvl w:ilvl="0" w:tentative="0">
      <w:start w:val="6"/>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MzU5YzU4OGExZTFmMjk5NTg0OWI1YzdjZjA1MTUifQ=="/>
  </w:docVars>
  <w:rsids>
    <w:rsidRoot w:val="00000000"/>
    <w:rsid w:val="02AC5585"/>
    <w:rsid w:val="03332F3B"/>
    <w:rsid w:val="03824AAC"/>
    <w:rsid w:val="06850BC6"/>
    <w:rsid w:val="068E19BA"/>
    <w:rsid w:val="08123B23"/>
    <w:rsid w:val="08AC2CAF"/>
    <w:rsid w:val="0A690774"/>
    <w:rsid w:val="0D5D20E6"/>
    <w:rsid w:val="0DB53CD0"/>
    <w:rsid w:val="10044A9B"/>
    <w:rsid w:val="10D168C6"/>
    <w:rsid w:val="11C36762"/>
    <w:rsid w:val="13514207"/>
    <w:rsid w:val="14F334FC"/>
    <w:rsid w:val="16A7036B"/>
    <w:rsid w:val="191D7F9E"/>
    <w:rsid w:val="19811F98"/>
    <w:rsid w:val="19E25E4D"/>
    <w:rsid w:val="1A3A7A37"/>
    <w:rsid w:val="1AC619D4"/>
    <w:rsid w:val="1BBE51E0"/>
    <w:rsid w:val="1C4B58BF"/>
    <w:rsid w:val="1CB4669B"/>
    <w:rsid w:val="1CBC0BD7"/>
    <w:rsid w:val="1CCC4B92"/>
    <w:rsid w:val="1D672743"/>
    <w:rsid w:val="1D6B43AB"/>
    <w:rsid w:val="20D364EF"/>
    <w:rsid w:val="232C1EE7"/>
    <w:rsid w:val="233149C3"/>
    <w:rsid w:val="266D2F42"/>
    <w:rsid w:val="27E30F41"/>
    <w:rsid w:val="29142ECF"/>
    <w:rsid w:val="2BBA09D7"/>
    <w:rsid w:val="2EC038A1"/>
    <w:rsid w:val="2ECB049F"/>
    <w:rsid w:val="31B45EC9"/>
    <w:rsid w:val="340652B3"/>
    <w:rsid w:val="34B06818"/>
    <w:rsid w:val="37F4490E"/>
    <w:rsid w:val="3C4340D1"/>
    <w:rsid w:val="3C4C398F"/>
    <w:rsid w:val="3ECB7E00"/>
    <w:rsid w:val="3FBE29B5"/>
    <w:rsid w:val="3FF66E37"/>
    <w:rsid w:val="402677EF"/>
    <w:rsid w:val="404843AC"/>
    <w:rsid w:val="40FD2609"/>
    <w:rsid w:val="417210ED"/>
    <w:rsid w:val="42ED5ADA"/>
    <w:rsid w:val="45C16896"/>
    <w:rsid w:val="45EB2A31"/>
    <w:rsid w:val="478E3EDC"/>
    <w:rsid w:val="483B48D8"/>
    <w:rsid w:val="4A577626"/>
    <w:rsid w:val="4AFA2747"/>
    <w:rsid w:val="4DD73AB2"/>
    <w:rsid w:val="4E125FF9"/>
    <w:rsid w:val="4E1316E2"/>
    <w:rsid w:val="4E391F25"/>
    <w:rsid w:val="4F9C1488"/>
    <w:rsid w:val="50FB0FC7"/>
    <w:rsid w:val="520C197E"/>
    <w:rsid w:val="52A23254"/>
    <w:rsid w:val="53B12664"/>
    <w:rsid w:val="54316F55"/>
    <w:rsid w:val="57E0014D"/>
    <w:rsid w:val="593073A9"/>
    <w:rsid w:val="5BFE7BBD"/>
    <w:rsid w:val="5C9D73D6"/>
    <w:rsid w:val="5E46190D"/>
    <w:rsid w:val="5F0156B4"/>
    <w:rsid w:val="5F1F0576"/>
    <w:rsid w:val="61BA7AB1"/>
    <w:rsid w:val="62657B3B"/>
    <w:rsid w:val="628810CE"/>
    <w:rsid w:val="66422BD0"/>
    <w:rsid w:val="66926B4D"/>
    <w:rsid w:val="66E5284E"/>
    <w:rsid w:val="6A674B7F"/>
    <w:rsid w:val="6B862427"/>
    <w:rsid w:val="70957697"/>
    <w:rsid w:val="70AA5BDC"/>
    <w:rsid w:val="717007BD"/>
    <w:rsid w:val="72174425"/>
    <w:rsid w:val="72A66B8C"/>
    <w:rsid w:val="72FC3FBF"/>
    <w:rsid w:val="740F0761"/>
    <w:rsid w:val="742B4F07"/>
    <w:rsid w:val="74C32927"/>
    <w:rsid w:val="75426333"/>
    <w:rsid w:val="76AF0578"/>
    <w:rsid w:val="76BB24DB"/>
    <w:rsid w:val="78687EFB"/>
    <w:rsid w:val="7ADB01AE"/>
    <w:rsid w:val="7C204D78"/>
    <w:rsid w:val="7DBB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37"/>
    <w:qFormat/>
    <w:uiPriority w:val="0"/>
    <w:pPr>
      <w:keepNext/>
      <w:keepLines/>
      <w:autoSpaceDE w:val="0"/>
      <w:autoSpaceDN w:val="0"/>
      <w:adjustRightInd w:val="0"/>
      <w:spacing w:after="120" w:line="300" w:lineRule="auto"/>
    </w:pPr>
    <w:rPr>
      <w:rFonts w:ascii="宋体"/>
      <w:kern w:val="44"/>
      <w:szCs w:val="20"/>
    </w:rPr>
  </w:style>
  <w:style w:type="paragraph" w:styleId="7">
    <w:name w:val="heading 2"/>
    <w:basedOn w:val="1"/>
    <w:next w:val="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9">
    <w:name w:val="heading 3"/>
    <w:basedOn w:val="1"/>
    <w:next w:val="1"/>
    <w:qFormat/>
    <w:uiPriority w:val="0"/>
    <w:pPr>
      <w:spacing w:before="360" w:after="120"/>
      <w:jc w:val="left"/>
      <w:outlineLvl w:val="2"/>
    </w:pPr>
    <w:rPr>
      <w:rFonts w:ascii="宋体" w:hAnsi="Times New Roman"/>
      <w:sz w:val="24"/>
      <w:u w:val="single"/>
    </w:rPr>
  </w:style>
  <w:style w:type="paragraph" w:styleId="10">
    <w:name w:val="heading 4"/>
    <w:basedOn w:val="1"/>
    <w:next w:val="8"/>
    <w:qFormat/>
    <w:uiPriority w:val="0"/>
    <w:pPr>
      <w:keepNext/>
      <w:keepLines/>
      <w:spacing w:before="280" w:beforeAutospacing="0" w:after="290" w:afterAutospacing="0" w:line="372" w:lineRule="auto"/>
      <w:outlineLvl w:val="3"/>
    </w:pPr>
    <w:rPr>
      <w:rFonts w:ascii="Arial" w:hAnsi="Arial" w:eastAsia="黑体"/>
      <w:b/>
      <w:sz w:val="28"/>
    </w:rPr>
  </w:style>
  <w:style w:type="paragraph" w:styleId="11">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31">
    <w:name w:val="Default Paragraph Font"/>
    <w:qFormat/>
    <w:uiPriority w:val="1"/>
  </w:style>
  <w:style w:type="table" w:default="1" w:styleId="29">
    <w:name w:val="Normal Table"/>
    <w:qFormat/>
    <w:uiPriority w:val="99"/>
    <w:tblPr>
      <w:tblCellMar>
        <w:top w:w="0" w:type="dxa"/>
        <w:left w:w="108" w:type="dxa"/>
        <w:bottom w:w="0" w:type="dxa"/>
        <w:right w:w="108" w:type="dxa"/>
      </w:tblCellMar>
    </w:tblPr>
  </w:style>
  <w:style w:type="paragraph" w:customStyle="1" w:styleId="2">
    <w:name w:val="正文1"/>
    <w:basedOn w:val="3"/>
    <w:qFormat/>
    <w:uiPriority w:val="0"/>
    <w:pPr>
      <w:tabs>
        <w:tab w:val="left" w:pos="567"/>
      </w:tabs>
      <w:overflowPunct w:val="0"/>
      <w:textAlignment w:val="baseline"/>
    </w:pPr>
    <w:rPr>
      <w:rFonts w:ascii="Times New Roman" w:hAnsi="Times New Roman" w:eastAsia="SimSun;宋体" w:cs="Times New Roman"/>
      <w:lang w:val="en-GB" w:eastAsia="zh-CN" w:bidi="ar-SA"/>
    </w:rPr>
  </w:style>
  <w:style w:type="paragraph" w:styleId="3">
    <w:name w:val="Body Text First Indent"/>
    <w:basedOn w:val="4"/>
    <w:next w:val="1"/>
    <w:qFormat/>
    <w:uiPriority w:val="0"/>
    <w:pPr>
      <w:tabs>
        <w:tab w:val="left" w:pos="567"/>
      </w:tabs>
      <w:spacing w:after="120" w:line="240" w:lineRule="auto"/>
      <w:ind w:firstLine="420" w:firstLineChars="100"/>
    </w:pPr>
    <w:rPr>
      <w:rFonts w:ascii="Calibri" w:hAnsi="Calibri"/>
      <w:sz w:val="18"/>
      <w:szCs w:val="18"/>
    </w:r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customStyle="1" w:styleId="5">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styleId="8">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12">
    <w:name w:val="Document Map"/>
    <w:basedOn w:val="1"/>
    <w:link w:val="69"/>
    <w:qFormat/>
    <w:uiPriority w:val="0"/>
    <w:rPr>
      <w:rFonts w:ascii="宋体"/>
      <w:sz w:val="18"/>
      <w:szCs w:val="18"/>
    </w:rPr>
  </w:style>
  <w:style w:type="paragraph" w:styleId="13">
    <w:name w:val="toa heading"/>
    <w:basedOn w:val="1"/>
    <w:next w:val="1"/>
    <w:qFormat/>
    <w:uiPriority w:val="0"/>
    <w:pPr>
      <w:widowControl/>
      <w:spacing w:before="120"/>
      <w:ind w:firstLine="3584"/>
    </w:pPr>
  </w:style>
  <w:style w:type="paragraph" w:styleId="14">
    <w:name w:val="annotation text"/>
    <w:basedOn w:val="1"/>
    <w:link w:val="62"/>
    <w:qFormat/>
    <w:uiPriority w:val="0"/>
    <w:pPr>
      <w:jc w:val="left"/>
    </w:pPr>
  </w:style>
  <w:style w:type="paragraph" w:styleId="15">
    <w:name w:val="Body Text Indent"/>
    <w:basedOn w:val="1"/>
    <w:next w:val="16"/>
    <w:qFormat/>
    <w:uiPriority w:val="0"/>
    <w:pPr>
      <w:spacing w:line="360" w:lineRule="auto"/>
      <w:ind w:firstLine="570"/>
    </w:pPr>
    <w:rPr>
      <w:rFonts w:ascii="Times New Roman" w:hAnsi="Times New Roman"/>
      <w:sz w:val="24"/>
    </w:rPr>
  </w:style>
  <w:style w:type="paragraph" w:styleId="16">
    <w:name w:val="Body Text First Indent 2"/>
    <w:basedOn w:val="15"/>
    <w:next w:val="8"/>
    <w:qFormat/>
    <w:uiPriority w:val="0"/>
    <w:pPr>
      <w:ind w:firstLine="420" w:firstLineChars="200"/>
    </w:pPr>
  </w:style>
  <w:style w:type="paragraph" w:styleId="17">
    <w:name w:val="toc 3"/>
    <w:basedOn w:val="1"/>
    <w:next w:val="1"/>
    <w:qFormat/>
    <w:uiPriority w:val="0"/>
    <w:pPr>
      <w:ind w:left="840" w:leftChars="400"/>
    </w:pPr>
  </w:style>
  <w:style w:type="paragraph" w:styleId="18">
    <w:name w:val="Plain Text"/>
    <w:basedOn w:val="1"/>
    <w:qFormat/>
    <w:uiPriority w:val="0"/>
    <w:rPr>
      <w:rFonts w:ascii="宋体" w:hAnsi="Courier New"/>
      <w:szCs w:val="20"/>
    </w:rPr>
  </w:style>
  <w:style w:type="paragraph" w:styleId="19">
    <w:name w:val="Balloon Text"/>
    <w:basedOn w:val="1"/>
    <w:link w:val="61"/>
    <w:qFormat/>
    <w:uiPriority w:val="0"/>
    <w:rPr>
      <w:sz w:val="18"/>
      <w:szCs w:val="18"/>
    </w:rPr>
  </w:style>
  <w:style w:type="paragraph" w:styleId="20">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1">
    <w:name w:val="envelope return"/>
    <w:basedOn w:val="1"/>
    <w:qFormat/>
    <w:uiPriority w:val="0"/>
    <w:pPr>
      <w:snapToGrid w:val="0"/>
    </w:pPr>
    <w:rPr>
      <w:rFonts w:ascii="Arial" w:hAnsi="Arial" w:cs="Arial"/>
    </w:rPr>
  </w:style>
  <w:style w:type="paragraph" w:styleId="22">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3">
    <w:name w:val="toc 1"/>
    <w:basedOn w:val="1"/>
    <w:next w:val="1"/>
    <w:qFormat/>
    <w:uiPriority w:val="0"/>
    <w:rPr>
      <w:rFonts w:ascii="Times New Roman" w:hAnsi="Times New Roman"/>
    </w:rPr>
  </w:style>
  <w:style w:type="paragraph" w:styleId="24">
    <w:name w:val="footnote text"/>
    <w:basedOn w:val="1"/>
    <w:qFormat/>
    <w:uiPriority w:val="0"/>
    <w:pPr>
      <w:snapToGrid w:val="0"/>
      <w:jc w:val="left"/>
    </w:pPr>
    <w:rPr>
      <w:rFonts w:ascii="Times New Roman" w:hAnsi="Times New Roman"/>
      <w:sz w:val="18"/>
    </w:rPr>
  </w:style>
  <w:style w:type="paragraph" w:styleId="25">
    <w:name w:val="toc 2"/>
    <w:basedOn w:val="1"/>
    <w:next w:val="1"/>
    <w:qFormat/>
    <w:uiPriority w:val="0"/>
    <w:pPr>
      <w:ind w:left="420" w:leftChars="200"/>
    </w:pPr>
    <w:rPr>
      <w:rFonts w:ascii="Times New Roman" w:hAnsi="Times New Roman"/>
    </w:rPr>
  </w:style>
  <w:style w:type="paragraph" w:styleId="26">
    <w:name w:val="Normal (Web)"/>
    <w:basedOn w:val="1"/>
    <w:qFormat/>
    <w:uiPriority w:val="0"/>
    <w:pPr>
      <w:spacing w:beforeAutospacing="1" w:afterAutospacing="1"/>
      <w:jc w:val="left"/>
    </w:pPr>
    <w:rPr>
      <w:kern w:val="0"/>
      <w:sz w:val="24"/>
    </w:rPr>
  </w:style>
  <w:style w:type="paragraph" w:styleId="27">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8">
    <w:name w:val="annotation subject"/>
    <w:basedOn w:val="14"/>
    <w:next w:val="14"/>
    <w:link w:val="63"/>
    <w:qFormat/>
    <w:uiPriority w:val="0"/>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0"/>
    <w:rPr>
      <w:rFonts w:ascii="Times New Roman" w:hAnsi="Times New Roman" w:eastAsia="宋体" w:cs="Times New Roman"/>
    </w:rPr>
  </w:style>
  <w:style w:type="character" w:styleId="34">
    <w:name w:val="Hyperlink"/>
    <w:basedOn w:val="31"/>
    <w:qFormat/>
    <w:uiPriority w:val="0"/>
    <w:rPr>
      <w:color w:val="0000FF"/>
      <w:u w:val="single"/>
    </w:rPr>
  </w:style>
  <w:style w:type="character" w:styleId="35">
    <w:name w:val="annotation reference"/>
    <w:basedOn w:val="31"/>
    <w:qFormat/>
    <w:uiPriority w:val="0"/>
    <w:rPr>
      <w:sz w:val="21"/>
      <w:szCs w:val="21"/>
    </w:rPr>
  </w:style>
  <w:style w:type="paragraph" w:customStyle="1" w:styleId="36">
    <w:name w:val="BodyText"/>
    <w:basedOn w:val="1"/>
    <w:qFormat/>
    <w:uiPriority w:val="0"/>
    <w:pPr>
      <w:spacing w:after="120"/>
    </w:pPr>
  </w:style>
  <w:style w:type="character" w:customStyle="1" w:styleId="37">
    <w:name w:val="标题 1 Char"/>
    <w:link w:val="6"/>
    <w:qFormat/>
    <w:uiPriority w:val="0"/>
    <w:rPr>
      <w:rFonts w:ascii="宋体"/>
      <w:b/>
      <w:kern w:val="44"/>
      <w:sz w:val="32"/>
      <w:szCs w:val="20"/>
    </w:rPr>
  </w:style>
  <w:style w:type="paragraph" w:customStyle="1" w:styleId="38">
    <w:name w:val="无间隔1"/>
    <w:link w:val="55"/>
    <w:qFormat/>
    <w:uiPriority w:val="1"/>
    <w:pPr>
      <w:widowControl w:val="0"/>
      <w:jc w:val="both"/>
    </w:pPr>
    <w:rPr>
      <w:rFonts w:ascii="Calibri" w:hAnsi="Calibri" w:eastAsia="宋体" w:cs="Times New Roman"/>
      <w:kern w:val="2"/>
      <w:sz w:val="21"/>
      <w:szCs w:val="24"/>
      <w:lang w:val="en-US" w:eastAsia="zh-CN" w:bidi="ar-SA"/>
    </w:rPr>
  </w:style>
  <w:style w:type="character" w:customStyle="1" w:styleId="39">
    <w:name w:val="NormalCharacter"/>
    <w:qFormat/>
    <w:uiPriority w:val="0"/>
    <w:rPr>
      <w:rFonts w:ascii="Calibri" w:hAnsi="Calibri" w:eastAsia="宋体" w:cs="Times New Roman"/>
      <w:kern w:val="2"/>
      <w:sz w:val="21"/>
      <w:szCs w:val="24"/>
      <w:lang w:val="en-US" w:eastAsia="zh-CN" w:bidi="ar-SA"/>
    </w:rPr>
  </w:style>
  <w:style w:type="paragraph" w:customStyle="1" w:styleId="40">
    <w:name w:val="图例"/>
    <w:basedOn w:val="1"/>
    <w:qFormat/>
    <w:uiPriority w:val="0"/>
    <w:pPr>
      <w:spacing w:before="120" w:after="120" w:line="360" w:lineRule="auto"/>
      <w:jc w:val="center"/>
    </w:pPr>
    <w:rPr>
      <w:rFonts w:eastAsia="仿宋_GB2312"/>
      <w:b/>
      <w:sz w:val="24"/>
    </w:rPr>
  </w:style>
  <w:style w:type="paragraph" w:customStyle="1" w:styleId="41">
    <w:name w:val="列出段落1"/>
    <w:basedOn w:val="1"/>
    <w:qFormat/>
    <w:uiPriority w:val="0"/>
    <w:pPr>
      <w:ind w:firstLine="420" w:firstLineChars="200"/>
    </w:pPr>
  </w:style>
  <w:style w:type="paragraph" w:customStyle="1" w:styleId="42">
    <w:name w:val="列出段落2"/>
    <w:basedOn w:val="1"/>
    <w:qFormat/>
    <w:uiPriority w:val="34"/>
    <w:pPr>
      <w:ind w:firstLine="420" w:firstLineChars="200"/>
    </w:pPr>
  </w:style>
  <w:style w:type="paragraph" w:customStyle="1" w:styleId="43">
    <w:name w:val="正文-manu"/>
    <w:basedOn w:val="1"/>
    <w:qFormat/>
    <w:uiPriority w:val="0"/>
    <w:pPr>
      <w:spacing w:line="300" w:lineRule="auto"/>
    </w:pPr>
    <w:rPr>
      <w:b/>
      <w:snapToGrid w:val="0"/>
      <w:kern w:val="0"/>
      <w:sz w:val="24"/>
      <w:szCs w:val="20"/>
    </w:rPr>
  </w:style>
  <w:style w:type="character" w:customStyle="1" w:styleId="44">
    <w:name w:val="font01"/>
    <w:basedOn w:val="31"/>
    <w:qFormat/>
    <w:uiPriority w:val="0"/>
    <w:rPr>
      <w:rFonts w:hint="default" w:ascii="Arial" w:hAnsi="Arial" w:cs="Arial"/>
      <w:color w:val="000000"/>
      <w:sz w:val="22"/>
      <w:szCs w:val="22"/>
      <w:u w:val="none"/>
    </w:rPr>
  </w:style>
  <w:style w:type="character" w:customStyle="1" w:styleId="45">
    <w:name w:val="font41"/>
    <w:basedOn w:val="31"/>
    <w:qFormat/>
    <w:uiPriority w:val="0"/>
    <w:rPr>
      <w:rFonts w:hint="eastAsia" w:ascii="宋体" w:hAnsi="宋体" w:eastAsia="宋体" w:cs="宋体"/>
      <w:color w:val="000000"/>
      <w:sz w:val="22"/>
      <w:szCs w:val="22"/>
      <w:u w:val="none"/>
    </w:rPr>
  </w:style>
  <w:style w:type="character" w:customStyle="1" w:styleId="46">
    <w:name w:val="font51"/>
    <w:basedOn w:val="31"/>
    <w:qFormat/>
    <w:uiPriority w:val="0"/>
    <w:rPr>
      <w:rFonts w:hint="eastAsia" w:ascii="宋体" w:hAnsi="宋体" w:eastAsia="宋体" w:cs="宋体"/>
      <w:color w:val="000000"/>
      <w:sz w:val="22"/>
      <w:szCs w:val="22"/>
      <w:u w:val="none"/>
    </w:rPr>
  </w:style>
  <w:style w:type="character" w:customStyle="1" w:styleId="47">
    <w:name w:val="font31"/>
    <w:basedOn w:val="31"/>
    <w:qFormat/>
    <w:uiPriority w:val="0"/>
    <w:rPr>
      <w:rFonts w:hint="default" w:ascii="Arial" w:hAnsi="Arial" w:cs="Arial"/>
      <w:b/>
      <w:color w:val="000000"/>
      <w:sz w:val="22"/>
      <w:szCs w:val="22"/>
      <w:u w:val="none"/>
    </w:rPr>
  </w:style>
  <w:style w:type="character" w:customStyle="1" w:styleId="48">
    <w:name w:val="font91"/>
    <w:basedOn w:val="31"/>
    <w:qFormat/>
    <w:uiPriority w:val="0"/>
    <w:rPr>
      <w:rFonts w:hint="default" w:ascii="Arial" w:hAnsi="Arial" w:cs="Arial"/>
      <w:color w:val="000000"/>
      <w:sz w:val="22"/>
      <w:szCs w:val="22"/>
      <w:u w:val="none"/>
    </w:rPr>
  </w:style>
  <w:style w:type="character" w:customStyle="1" w:styleId="49">
    <w:name w:val="font81"/>
    <w:basedOn w:val="31"/>
    <w:qFormat/>
    <w:uiPriority w:val="0"/>
    <w:rPr>
      <w:rFonts w:hint="eastAsia" w:ascii="宋体" w:hAnsi="宋体" w:eastAsia="宋体" w:cs="宋体"/>
      <w:color w:val="000000"/>
      <w:sz w:val="22"/>
      <w:szCs w:val="22"/>
      <w:u w:val="none"/>
    </w:rPr>
  </w:style>
  <w:style w:type="character" w:customStyle="1" w:styleId="50">
    <w:name w:val="font21"/>
    <w:basedOn w:val="31"/>
    <w:qFormat/>
    <w:uiPriority w:val="0"/>
    <w:rPr>
      <w:rFonts w:ascii="微软雅黑" w:hAnsi="微软雅黑" w:eastAsia="微软雅黑" w:cs="微软雅黑"/>
      <w:b/>
      <w:color w:val="000000"/>
      <w:sz w:val="24"/>
      <w:szCs w:val="24"/>
      <w:u w:val="none"/>
    </w:rPr>
  </w:style>
  <w:style w:type="character" w:customStyle="1" w:styleId="51">
    <w:name w:val="font61"/>
    <w:basedOn w:val="31"/>
    <w:qFormat/>
    <w:uiPriority w:val="0"/>
    <w:rPr>
      <w:rFonts w:hint="default" w:ascii="Times New Roman" w:hAnsi="Times New Roman" w:cs="Times New Roman"/>
      <w:b/>
      <w:color w:val="000000"/>
      <w:sz w:val="24"/>
      <w:szCs w:val="24"/>
      <w:u w:val="none"/>
    </w:rPr>
  </w:style>
  <w:style w:type="character" w:customStyle="1" w:styleId="52">
    <w:name w:val="font71"/>
    <w:basedOn w:val="31"/>
    <w:qFormat/>
    <w:uiPriority w:val="0"/>
    <w:rPr>
      <w:rFonts w:hint="eastAsia" w:ascii="微软雅黑" w:hAnsi="微软雅黑" w:eastAsia="微软雅黑" w:cs="微软雅黑"/>
      <w:color w:val="000000"/>
      <w:sz w:val="24"/>
      <w:szCs w:val="24"/>
      <w:u w:val="none"/>
    </w:rPr>
  </w:style>
  <w:style w:type="character" w:customStyle="1" w:styleId="53">
    <w:name w:val="font101"/>
    <w:basedOn w:val="31"/>
    <w:qFormat/>
    <w:uiPriority w:val="0"/>
    <w:rPr>
      <w:rFonts w:hint="default" w:ascii="Times New Roman" w:hAnsi="Times New Roman" w:cs="Times New Roman"/>
      <w:color w:val="000000"/>
      <w:sz w:val="24"/>
      <w:szCs w:val="24"/>
      <w:u w:val="none"/>
    </w:rPr>
  </w:style>
  <w:style w:type="paragraph" w:customStyle="1" w:styleId="54">
    <w:name w:val="_Style 1"/>
    <w:basedOn w:val="1"/>
    <w:qFormat/>
    <w:uiPriority w:val="34"/>
    <w:pPr>
      <w:ind w:firstLine="420" w:firstLineChars="200"/>
    </w:pPr>
  </w:style>
  <w:style w:type="character" w:customStyle="1" w:styleId="55">
    <w:name w:val="无间隔 Char"/>
    <w:link w:val="38"/>
    <w:qFormat/>
    <w:uiPriority w:val="1"/>
    <w:rPr>
      <w:rFonts w:ascii="Calibri" w:hAnsi="Calibri" w:eastAsia="宋体" w:cs="Times New Roman"/>
      <w:kern w:val="2"/>
      <w:sz w:val="21"/>
      <w:szCs w:val="24"/>
      <w:lang w:val="en-US" w:eastAsia="zh-CN" w:bidi="ar-SA"/>
    </w:rPr>
  </w:style>
  <w:style w:type="paragraph" w:customStyle="1" w:styleId="56">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7">
    <w:name w:val="索引 11"/>
    <w:basedOn w:val="1"/>
    <w:next w:val="1"/>
    <w:qFormat/>
    <w:uiPriority w:val="0"/>
    <w:pPr>
      <w:spacing w:line="360" w:lineRule="auto"/>
    </w:pPr>
    <w:rPr>
      <w:rFonts w:ascii="仿宋_GB2312" w:eastAsia="仿宋_GB2312"/>
      <w:sz w:val="24"/>
      <w:szCs w:val="20"/>
    </w:rPr>
  </w:style>
  <w:style w:type="paragraph" w:customStyle="1" w:styleId="58">
    <w:name w:val="纯文本1"/>
    <w:basedOn w:val="1"/>
    <w:qFormat/>
    <w:uiPriority w:val="0"/>
    <w:rPr>
      <w:rFonts w:ascii="宋体" w:hAnsi="Courier New"/>
      <w:kern w:val="0"/>
      <w:sz w:val="20"/>
      <w:szCs w:val="20"/>
    </w:rPr>
  </w:style>
  <w:style w:type="paragraph" w:customStyle="1" w:styleId="59">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0">
    <w:name w:val="石墨文档正文"/>
    <w:qFormat/>
    <w:uiPriority w:val="0"/>
    <w:rPr>
      <w:rFonts w:ascii="微软雅黑" w:hAnsi="微软雅黑" w:eastAsia="微软雅黑" w:cs="微软雅黑"/>
      <w:sz w:val="24"/>
      <w:szCs w:val="24"/>
      <w:lang w:val="en-US" w:eastAsia="zh-CN" w:bidi="ar-SA"/>
    </w:rPr>
  </w:style>
  <w:style w:type="character" w:customStyle="1" w:styleId="61">
    <w:name w:val="批注框文本 Char"/>
    <w:basedOn w:val="31"/>
    <w:link w:val="19"/>
    <w:qFormat/>
    <w:uiPriority w:val="0"/>
    <w:rPr>
      <w:kern w:val="2"/>
      <w:sz w:val="18"/>
      <w:szCs w:val="18"/>
    </w:rPr>
  </w:style>
  <w:style w:type="character" w:customStyle="1" w:styleId="62">
    <w:name w:val="批注文字 Char"/>
    <w:basedOn w:val="31"/>
    <w:link w:val="14"/>
    <w:qFormat/>
    <w:uiPriority w:val="0"/>
    <w:rPr>
      <w:kern w:val="2"/>
      <w:sz w:val="21"/>
      <w:szCs w:val="24"/>
    </w:rPr>
  </w:style>
  <w:style w:type="character" w:customStyle="1" w:styleId="63">
    <w:name w:val="批注主题 Char"/>
    <w:basedOn w:val="62"/>
    <w:link w:val="28"/>
    <w:qFormat/>
    <w:uiPriority w:val="0"/>
    <w:rPr>
      <w:b/>
      <w:bCs/>
      <w:kern w:val="2"/>
      <w:sz w:val="21"/>
      <w:szCs w:val="24"/>
    </w:rPr>
  </w:style>
  <w:style w:type="paragraph" w:customStyle="1" w:styleId="64">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65">
    <w:name w:val="Table Normal1"/>
    <w:qFormat/>
    <w:uiPriority w:val="0"/>
    <w:tblPr>
      <w:tblCellMar>
        <w:top w:w="0" w:type="dxa"/>
        <w:left w:w="0" w:type="dxa"/>
        <w:bottom w:w="0" w:type="dxa"/>
        <w:right w:w="0" w:type="dxa"/>
      </w:tblCellMar>
    </w:tblPr>
  </w:style>
  <w:style w:type="paragraph" w:customStyle="1" w:styleId="66">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67">
    <w:name w:val="p1"/>
    <w:basedOn w:val="1"/>
    <w:qFormat/>
    <w:uiPriority w:val="0"/>
    <w:pPr>
      <w:jc w:val="left"/>
    </w:pPr>
    <w:rPr>
      <w:rFonts w:ascii="pingfang sc" w:hAnsi="pingfang sc" w:eastAsia="pingfang sc"/>
      <w:kern w:val="0"/>
      <w:sz w:val="26"/>
      <w:szCs w:val="26"/>
    </w:rPr>
  </w:style>
  <w:style w:type="character" w:customStyle="1" w:styleId="68">
    <w:name w:val="s1"/>
    <w:basedOn w:val="31"/>
    <w:qFormat/>
    <w:uiPriority w:val="0"/>
    <w:rPr>
      <w:rFonts w:ascii="pingfang sc" w:hAnsi="pingfang sc" w:eastAsia="pingfang sc" w:cs="pingfang sc"/>
      <w:sz w:val="40"/>
      <w:szCs w:val="40"/>
    </w:rPr>
  </w:style>
  <w:style w:type="character" w:customStyle="1" w:styleId="69">
    <w:name w:val="文档结构图 Char"/>
    <w:basedOn w:val="31"/>
    <w:link w:val="12"/>
    <w:qFormat/>
    <w:uiPriority w:val="0"/>
    <w:rPr>
      <w:rFonts w:ascii="宋体" w:hAnsi="Calibri"/>
      <w:kern w:val="2"/>
      <w:sz w:val="18"/>
      <w:szCs w:val="18"/>
    </w:rPr>
  </w:style>
  <w:style w:type="character" w:customStyle="1" w:styleId="70">
    <w:name w:val="font112"/>
    <w:basedOn w:val="31"/>
    <w:qFormat/>
    <w:uiPriority w:val="0"/>
    <w:rPr>
      <w:rFonts w:ascii="宋体" w:hAnsi="宋体" w:eastAsia="宋体" w:cs="宋体"/>
      <w:color w:val="000000"/>
      <w:sz w:val="18"/>
      <w:szCs w:val="18"/>
      <w:u w:val="none"/>
    </w:rPr>
  </w:style>
  <w:style w:type="paragraph" w:styleId="71">
    <w:name w:val="List Paragraph"/>
    <w:basedOn w:val="1"/>
    <w:qFormat/>
    <w:uiPriority w:val="99"/>
    <w:pPr>
      <w:ind w:firstLine="420" w:firstLineChars="200"/>
    </w:pPr>
  </w:style>
  <w:style w:type="paragraph" w:customStyle="1" w:styleId="72">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customStyle="1" w:styleId="73">
    <w:name w:val="智业正文"/>
    <w:basedOn w:val="1"/>
    <w:qFormat/>
    <w:uiPriority w:val="0"/>
    <w:rPr>
      <w:szCs w:val="20"/>
    </w:rPr>
  </w:style>
  <w:style w:type="paragraph" w:customStyle="1" w:styleId="74">
    <w:name w:val="FC正文"/>
    <w:basedOn w:val="1"/>
    <w:qFormat/>
    <w:uiPriority w:val="0"/>
    <w:pPr>
      <w:snapToGrid w:val="0"/>
      <w:spacing w:beforeLines="50" w:afterLines="50"/>
      <w:ind w:firstLine="200"/>
      <w:contextualSpacing/>
      <w:jc w:val="both"/>
    </w:pPr>
    <w:rPr>
      <w:rFonts w:asciiTheme="minorEastAsia" w:hAnsiTheme="minorEastAsia" w:eastAsiaTheme="minorEastAsia" w:cstheme="minorEastAsia"/>
    </w:rPr>
  </w:style>
  <w:style w:type="paragraph" w:customStyle="1" w:styleId="75">
    <w:name w:val="正文-zy"/>
    <w:basedOn w:val="1"/>
    <w:qFormat/>
    <w:uiPriority w:val="0"/>
    <w:pPr>
      <w:jc w:val="both"/>
    </w:pPr>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1026" textRotate="1"/>
    <customShpInfo spid="_x0000_s2050"/>
    <customShpInfo spid="_x0000_s2055"/>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57039</Words>
  <Characters>60609</Characters>
  <Paragraphs>2449</Paragraphs>
  <TotalTime>0</TotalTime>
  <ScaleCrop>false</ScaleCrop>
  <LinksUpToDate>false</LinksUpToDate>
  <CharactersWithSpaces>67038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Administrator</cp:lastModifiedBy>
  <cp:lastPrinted>2022-02-17T08:07:00Z</cp:lastPrinted>
  <dcterms:modified xsi:type="dcterms:W3CDTF">2022-09-30T11:36:30Z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D6744C891C604ACCB44007341F37E8E1</vt:lpwstr>
  </property>
</Properties>
</file>