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240"/>
        </w:tabs>
        <w:jc w:val="right"/>
        <w:rPr>
          <w:rFonts w:hint="eastAsia" w:ascii="宋体" w:hAnsi="宋体" w:eastAsia="宋体" w:cs="宋体"/>
          <w:highlight w:val="none"/>
        </w:rPr>
      </w:pPr>
    </w:p>
    <w:p>
      <w:pPr>
        <w:spacing w:line="360" w:lineRule="auto"/>
        <w:jc w:val="center"/>
        <w:rPr>
          <w:rFonts w:hint="eastAsia" w:ascii="宋体" w:hAnsi="宋体" w:eastAsia="宋体" w:cs="宋体"/>
          <w:b/>
          <w:sz w:val="52"/>
          <w:szCs w:val="52"/>
          <w:highlight w:val="none"/>
        </w:rPr>
      </w:pPr>
    </w:p>
    <w:p>
      <w:pPr>
        <w:pStyle w:val="2"/>
        <w:rPr>
          <w:rFonts w:hint="eastAsia" w:ascii="宋体" w:hAnsi="宋体" w:eastAsia="宋体" w:cs="宋体"/>
          <w:highlight w:val="none"/>
        </w:rPr>
      </w:pPr>
    </w:p>
    <w:p>
      <w:pPr>
        <w:spacing w:line="720" w:lineRule="auto"/>
        <w:jc w:val="center"/>
        <w:rPr>
          <w:rFonts w:hint="eastAsia" w:ascii="宋体" w:hAnsi="宋体" w:eastAsia="宋体" w:cs="宋体"/>
          <w:b/>
          <w:bCs/>
          <w:sz w:val="44"/>
          <w:szCs w:val="44"/>
          <w:highlight w:val="none"/>
          <w:lang w:val="en-US" w:eastAsia="zh-CN"/>
        </w:rPr>
      </w:pPr>
      <w:r>
        <w:rPr>
          <w:rFonts w:hint="eastAsia" w:ascii="宋体" w:hAnsi="宋体" w:eastAsia="宋体" w:cs="宋体"/>
          <w:b/>
          <w:sz w:val="44"/>
          <w:szCs w:val="44"/>
          <w:highlight w:val="none"/>
        </w:rPr>
        <w:t>克拉玛依市中心医院碘[125I]密封籽源</w:t>
      </w:r>
      <w:r>
        <w:rPr>
          <w:rFonts w:hint="eastAsia" w:ascii="宋体" w:hAnsi="宋体" w:eastAsia="宋体" w:cs="宋体"/>
          <w:b/>
          <w:sz w:val="44"/>
          <w:szCs w:val="44"/>
          <w:highlight w:val="none"/>
          <w:lang w:eastAsia="zh-CN"/>
        </w:rPr>
        <w:t>项目</w:t>
      </w:r>
    </w:p>
    <w:p>
      <w:pPr>
        <w:spacing w:line="360" w:lineRule="auto"/>
        <w:rPr>
          <w:rFonts w:hint="eastAsia" w:ascii="宋体" w:hAnsi="宋体" w:eastAsia="宋体" w:cs="宋体"/>
          <w:b/>
          <w:sz w:val="72"/>
          <w:szCs w:val="72"/>
          <w:highlight w:val="none"/>
        </w:rPr>
      </w:pPr>
    </w:p>
    <w:p>
      <w:pPr>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招 标 文 件</w:t>
      </w:r>
    </w:p>
    <w:p>
      <w:pPr>
        <w:overflowPunct w:val="0"/>
        <w:spacing w:line="500" w:lineRule="exact"/>
        <w:jc w:val="center"/>
        <w:rPr>
          <w:rFonts w:hint="eastAsia" w:ascii="宋体" w:hAnsi="宋体" w:eastAsia="宋体" w:cs="宋体"/>
          <w:b/>
          <w:kern w:val="0"/>
          <w:sz w:val="24"/>
          <w:highlight w:val="none"/>
        </w:rPr>
      </w:pPr>
    </w:p>
    <w:p>
      <w:pPr>
        <w:pStyle w:val="2"/>
        <w:rPr>
          <w:rFonts w:hint="eastAsia" w:ascii="宋体" w:hAnsi="宋体" w:eastAsia="宋体" w:cs="宋体"/>
          <w:highlight w:val="none"/>
        </w:rPr>
      </w:pPr>
    </w:p>
    <w:p>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（招标文件编号：</w:t>
      </w:r>
      <w:r>
        <w:rPr>
          <w:rFonts w:hint="eastAsia" w:ascii="宋体" w:hAnsi="宋体" w:eastAsia="宋体" w:cs="宋体"/>
          <w:b/>
          <w:sz w:val="28"/>
          <w:szCs w:val="28"/>
          <w:highlight w:val="none"/>
          <w:lang w:eastAsia="zh-CN"/>
        </w:rPr>
        <w:t>XJZJ-2022(采购）-021</w:t>
      </w:r>
      <w:r>
        <w:rPr>
          <w:rFonts w:hint="eastAsia" w:ascii="宋体" w:hAnsi="宋体" w:eastAsia="宋体" w:cs="宋体"/>
          <w:b/>
          <w:sz w:val="28"/>
          <w:szCs w:val="28"/>
          <w:highlight w:val="none"/>
        </w:rPr>
        <w:t>）</w:t>
      </w:r>
    </w:p>
    <w:p>
      <w:pPr>
        <w:overflowPunct w:val="0"/>
        <w:spacing w:line="500" w:lineRule="exact"/>
        <w:jc w:val="center"/>
        <w:rPr>
          <w:rFonts w:hint="eastAsia" w:ascii="宋体" w:hAnsi="宋体" w:eastAsia="宋体" w:cs="宋体"/>
          <w:b/>
          <w:bCs/>
          <w:sz w:val="32"/>
          <w:szCs w:val="32"/>
          <w:highlight w:val="none"/>
        </w:rPr>
      </w:pPr>
    </w:p>
    <w:p>
      <w:pPr>
        <w:overflowPunct w:val="0"/>
        <w:spacing w:line="500" w:lineRule="exact"/>
        <w:rPr>
          <w:rFonts w:hint="eastAsia" w:ascii="宋体" w:hAnsi="宋体" w:eastAsia="宋体" w:cs="宋体"/>
          <w:sz w:val="32"/>
          <w:szCs w:val="32"/>
          <w:highlight w:val="none"/>
        </w:rPr>
      </w:pPr>
    </w:p>
    <w:p>
      <w:pPr>
        <w:pStyle w:val="2"/>
        <w:rPr>
          <w:rFonts w:hint="eastAsia" w:ascii="宋体" w:hAnsi="宋体" w:eastAsia="宋体" w:cs="宋体"/>
          <w:highlight w:val="none"/>
        </w:rPr>
      </w:pPr>
    </w:p>
    <w:p>
      <w:pPr>
        <w:overflowPunct w:val="0"/>
        <w:spacing w:line="500" w:lineRule="exact"/>
        <w:rPr>
          <w:rFonts w:hint="eastAsia" w:ascii="宋体" w:hAnsi="宋体" w:eastAsia="宋体" w:cs="宋体"/>
          <w:sz w:val="32"/>
          <w:szCs w:val="32"/>
          <w:highlight w:val="none"/>
        </w:rPr>
      </w:pPr>
    </w:p>
    <w:p>
      <w:pPr>
        <w:overflowPunct w:val="0"/>
        <w:spacing w:line="500" w:lineRule="exact"/>
        <w:rPr>
          <w:rFonts w:hint="eastAsia" w:ascii="宋体" w:hAnsi="宋体" w:eastAsia="宋体" w:cs="宋体"/>
          <w:sz w:val="32"/>
          <w:szCs w:val="32"/>
          <w:highlight w:val="none"/>
        </w:rPr>
      </w:pPr>
    </w:p>
    <w:p>
      <w:pPr>
        <w:overflowPunct w:val="0"/>
        <w:spacing w:line="500" w:lineRule="exact"/>
        <w:ind w:firstLine="301" w:firstLineChars="100"/>
        <w:rPr>
          <w:rFonts w:hint="eastAsia" w:ascii="宋体" w:hAnsi="宋体" w:eastAsia="宋体" w:cs="宋体"/>
          <w:b/>
          <w:sz w:val="30"/>
          <w:szCs w:val="30"/>
          <w:highlight w:val="none"/>
        </w:rPr>
      </w:pPr>
      <w:r>
        <w:rPr>
          <w:rFonts w:hint="eastAsia" w:ascii="宋体" w:hAnsi="宋体" w:eastAsia="宋体" w:cs="宋体"/>
          <w:b/>
          <w:sz w:val="30"/>
          <w:szCs w:val="30"/>
          <w:highlight w:val="none"/>
        </w:rPr>
        <w:t>采购人：克拉玛依市中心医院</w:t>
      </w:r>
    </w:p>
    <w:p>
      <w:pPr>
        <w:overflowPunct w:val="0"/>
        <w:spacing w:line="500" w:lineRule="exact"/>
        <w:ind w:firstLine="301" w:firstLineChars="100"/>
        <w:rPr>
          <w:rFonts w:hint="eastAsia" w:ascii="宋体" w:hAnsi="宋体" w:eastAsia="宋体" w:cs="宋体"/>
          <w:b/>
          <w:sz w:val="30"/>
          <w:szCs w:val="30"/>
          <w:highlight w:val="none"/>
        </w:rPr>
      </w:pPr>
    </w:p>
    <w:p>
      <w:pPr>
        <w:overflowPunct w:val="0"/>
        <w:spacing w:line="500" w:lineRule="exact"/>
        <w:rPr>
          <w:rFonts w:hint="eastAsia" w:ascii="宋体" w:hAnsi="宋体" w:eastAsia="宋体" w:cs="宋体"/>
          <w:b/>
          <w:sz w:val="30"/>
          <w:szCs w:val="30"/>
          <w:highlight w:val="none"/>
        </w:rPr>
      </w:pPr>
    </w:p>
    <w:p>
      <w:pPr>
        <w:overflowPunct w:val="0"/>
        <w:spacing w:line="500" w:lineRule="exact"/>
        <w:ind w:firstLine="301" w:firstLineChars="100"/>
        <w:rPr>
          <w:rFonts w:hint="eastAsia" w:ascii="宋体" w:hAnsi="宋体" w:eastAsia="宋体" w:cs="宋体"/>
          <w:b/>
          <w:sz w:val="30"/>
          <w:szCs w:val="30"/>
          <w:highlight w:val="none"/>
        </w:rPr>
      </w:pPr>
      <w:r>
        <w:rPr>
          <w:rFonts w:hint="eastAsia" w:ascii="宋体" w:hAnsi="宋体" w:eastAsia="宋体" w:cs="宋体"/>
          <w:b/>
          <w:sz w:val="30"/>
          <w:szCs w:val="30"/>
          <w:highlight w:val="none"/>
        </w:rPr>
        <w:t>采购代理机构：新疆卓捷工程造价咨询有限公司</w:t>
      </w:r>
    </w:p>
    <w:p>
      <w:pPr>
        <w:overflowPunct w:val="0"/>
        <w:spacing w:line="500" w:lineRule="exact"/>
        <w:rPr>
          <w:rFonts w:hint="eastAsia" w:ascii="宋体" w:hAnsi="宋体" w:eastAsia="宋体" w:cs="宋体"/>
          <w:sz w:val="36"/>
          <w:szCs w:val="36"/>
          <w:highlight w:val="none"/>
        </w:rPr>
      </w:pPr>
    </w:p>
    <w:p>
      <w:pPr>
        <w:overflowPunct w:val="0"/>
        <w:spacing w:line="500" w:lineRule="exact"/>
        <w:rPr>
          <w:rFonts w:hint="eastAsia" w:ascii="宋体" w:hAnsi="宋体" w:eastAsia="宋体" w:cs="宋体"/>
          <w:sz w:val="36"/>
          <w:szCs w:val="36"/>
          <w:highlight w:val="none"/>
        </w:rPr>
      </w:pPr>
    </w:p>
    <w:p>
      <w:pPr>
        <w:overflowPunct w:val="0"/>
        <w:spacing w:line="500" w:lineRule="exact"/>
        <w:jc w:val="center"/>
        <w:rPr>
          <w:rFonts w:hint="eastAsia" w:ascii="宋体" w:hAnsi="宋体" w:eastAsia="宋体" w:cs="宋体"/>
          <w:b/>
          <w:sz w:val="32"/>
          <w:szCs w:val="32"/>
          <w:highlight w:val="none"/>
        </w:rPr>
      </w:pPr>
    </w:p>
    <w:p>
      <w:pPr>
        <w:overflowPunct w:val="0"/>
        <w:spacing w:line="500" w:lineRule="exact"/>
        <w:jc w:val="center"/>
        <w:rPr>
          <w:rFonts w:hint="eastAsia" w:ascii="宋体" w:hAnsi="宋体" w:eastAsia="宋体" w:cs="宋体"/>
          <w:spacing w:val="40"/>
          <w:sz w:val="32"/>
          <w:szCs w:val="32"/>
          <w:highlight w:val="none"/>
        </w:rPr>
        <w:sectPr>
          <w:headerReference r:id="rId4" w:type="first"/>
          <w:footerReference r:id="rId7" w:type="first"/>
          <w:headerReference r:id="rId3" w:type="default"/>
          <w:footerReference r:id="rId5" w:type="default"/>
          <w:footerReference r:id="rId6" w:type="even"/>
          <w:pgSz w:w="11906" w:h="16838"/>
          <w:pgMar w:top="1418" w:right="1418" w:bottom="1418" w:left="1418" w:header="1134" w:footer="1134" w:gutter="0"/>
          <w:pgNumType w:start="1"/>
          <w:cols w:space="720" w:num="1"/>
          <w:docGrid w:type="lines" w:linePitch="312" w:charSpace="0"/>
        </w:sectPr>
      </w:pPr>
      <w:r>
        <w:rPr>
          <w:rFonts w:hint="eastAsia" w:ascii="宋体" w:hAnsi="宋体" w:eastAsia="宋体" w:cs="宋体"/>
          <w:b/>
          <w:sz w:val="32"/>
          <w:szCs w:val="32"/>
          <w:highlight w:val="none"/>
        </w:rPr>
        <w:t>二零二二年</w:t>
      </w:r>
      <w:r>
        <w:rPr>
          <w:rFonts w:hint="eastAsia" w:ascii="宋体" w:hAnsi="宋体" w:eastAsia="宋体" w:cs="宋体"/>
          <w:b/>
          <w:sz w:val="32"/>
          <w:szCs w:val="32"/>
          <w:highlight w:val="none"/>
          <w:lang w:eastAsia="zh-CN"/>
        </w:rPr>
        <w:t>十一</w:t>
      </w:r>
      <w:r>
        <w:rPr>
          <w:rFonts w:hint="eastAsia" w:ascii="宋体" w:hAnsi="宋体" w:eastAsia="宋体" w:cs="宋体"/>
          <w:b/>
          <w:sz w:val="32"/>
          <w:szCs w:val="32"/>
          <w:highlight w:val="none"/>
        </w:rPr>
        <w:t>月</w:t>
      </w:r>
    </w:p>
    <w:p>
      <w:pPr>
        <w:rPr>
          <w:rFonts w:hint="eastAsia" w:ascii="宋体" w:hAnsi="宋体" w:eastAsia="宋体" w:cs="宋体"/>
          <w:b/>
          <w:sz w:val="44"/>
          <w:szCs w:val="44"/>
          <w:highlight w:val="none"/>
        </w:rPr>
      </w:pPr>
    </w:p>
    <w:p>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总目录</w:t>
      </w:r>
    </w:p>
    <w:p>
      <w:pPr>
        <w:spacing w:line="720" w:lineRule="auto"/>
        <w:rPr>
          <w:rFonts w:hint="eastAsia" w:ascii="宋体" w:hAnsi="宋体" w:eastAsia="宋体" w:cs="宋体"/>
          <w:sz w:val="28"/>
          <w:szCs w:val="28"/>
          <w:highlight w:val="none"/>
        </w:rPr>
      </w:pPr>
    </w:p>
    <w:p>
      <w:pPr>
        <w:spacing w:line="72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第一章 招标公告..................................第</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rPr>
        <w:t>页</w:t>
      </w:r>
    </w:p>
    <w:p>
      <w:pPr>
        <w:spacing w:line="72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第二章 投标人须知................................第</w:t>
      </w: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页</w:t>
      </w:r>
    </w:p>
    <w:p>
      <w:pPr>
        <w:spacing w:line="72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第三章 项目采购需求.............................第2</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页</w:t>
      </w:r>
    </w:p>
    <w:p>
      <w:pPr>
        <w:spacing w:line="720" w:lineRule="auto"/>
        <w:ind w:firstLine="560" w:firstLineChars="200"/>
        <w:rPr>
          <w:rFonts w:hint="eastAsia" w:ascii="宋体" w:hAnsi="宋体" w:eastAsia="宋体" w:cs="宋体"/>
          <w:highlight w:val="none"/>
        </w:rPr>
      </w:pPr>
      <w:r>
        <w:rPr>
          <w:rFonts w:hint="eastAsia" w:ascii="宋体" w:hAnsi="宋体" w:eastAsia="宋体" w:cs="宋体"/>
          <w:sz w:val="28"/>
          <w:szCs w:val="28"/>
          <w:highlight w:val="none"/>
        </w:rPr>
        <w:t>第四章 合同条款（主要条款）......................第3</w:t>
      </w: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rPr>
        <w:t>页</w:t>
      </w:r>
    </w:p>
    <w:p>
      <w:pPr>
        <w:spacing w:line="72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第五章 投标文件格式.............................第</w:t>
      </w:r>
      <w:r>
        <w:rPr>
          <w:rFonts w:hint="eastAsia" w:ascii="宋体" w:hAnsi="宋体" w:cs="宋体"/>
          <w:sz w:val="28"/>
          <w:szCs w:val="28"/>
          <w:highlight w:val="none"/>
          <w:lang w:val="en-US" w:eastAsia="zh-CN"/>
        </w:rPr>
        <w:t>49</w:t>
      </w:r>
      <w:r>
        <w:rPr>
          <w:rFonts w:hint="eastAsia" w:ascii="宋体" w:hAnsi="宋体" w:eastAsia="宋体" w:cs="宋体"/>
          <w:sz w:val="28"/>
          <w:szCs w:val="28"/>
          <w:highlight w:val="none"/>
        </w:rPr>
        <w:t>页</w:t>
      </w:r>
    </w:p>
    <w:p>
      <w:pPr>
        <w:spacing w:line="72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第六章 评审标准（综合评分法）...................第</w:t>
      </w:r>
      <w:r>
        <w:rPr>
          <w:rFonts w:hint="eastAsia" w:ascii="宋体" w:hAnsi="宋体" w:cs="宋体"/>
          <w:sz w:val="28"/>
          <w:szCs w:val="28"/>
          <w:highlight w:val="none"/>
          <w:lang w:val="en-US" w:eastAsia="zh-CN"/>
        </w:rPr>
        <w:t>63</w:t>
      </w:r>
      <w:r>
        <w:rPr>
          <w:rFonts w:hint="eastAsia" w:ascii="宋体" w:hAnsi="宋体" w:eastAsia="宋体" w:cs="宋体"/>
          <w:sz w:val="28"/>
          <w:szCs w:val="28"/>
          <w:highlight w:val="none"/>
        </w:rPr>
        <w:t>页</w:t>
      </w:r>
    </w:p>
    <w:p>
      <w:pPr>
        <w:spacing w:line="720" w:lineRule="auto"/>
        <w:rPr>
          <w:rFonts w:hint="eastAsia" w:ascii="宋体" w:hAnsi="宋体" w:eastAsia="宋体" w:cs="宋体"/>
          <w:sz w:val="28"/>
          <w:szCs w:val="28"/>
          <w:highlight w:val="none"/>
        </w:rPr>
      </w:pPr>
    </w:p>
    <w:p>
      <w:pPr>
        <w:spacing w:line="720" w:lineRule="auto"/>
        <w:ind w:firstLine="560" w:firstLineChars="200"/>
        <w:rPr>
          <w:rFonts w:hint="eastAsia" w:ascii="宋体" w:hAnsi="宋体" w:eastAsia="宋体" w:cs="宋体"/>
          <w:sz w:val="28"/>
          <w:szCs w:val="28"/>
          <w:highlight w:val="none"/>
        </w:rPr>
      </w:pPr>
    </w:p>
    <w:p>
      <w:pPr>
        <w:spacing w:line="360" w:lineRule="auto"/>
        <w:ind w:firstLine="560" w:firstLineChars="200"/>
        <w:rPr>
          <w:rFonts w:hint="eastAsia" w:ascii="宋体" w:hAnsi="宋体" w:eastAsia="宋体" w:cs="宋体"/>
          <w:sz w:val="28"/>
          <w:szCs w:val="28"/>
          <w:highlight w:val="none"/>
        </w:rPr>
      </w:pPr>
    </w:p>
    <w:p>
      <w:pPr>
        <w:spacing w:line="360" w:lineRule="auto"/>
        <w:ind w:firstLine="560" w:firstLineChars="200"/>
        <w:rPr>
          <w:rFonts w:hint="eastAsia" w:ascii="宋体" w:hAnsi="宋体" w:eastAsia="宋体" w:cs="宋体"/>
          <w:sz w:val="28"/>
          <w:szCs w:val="28"/>
          <w:highlight w:val="none"/>
        </w:rPr>
      </w:pPr>
    </w:p>
    <w:p>
      <w:pPr>
        <w:spacing w:line="360" w:lineRule="auto"/>
        <w:rPr>
          <w:rFonts w:hint="eastAsia" w:ascii="宋体" w:hAnsi="宋体" w:eastAsia="宋体" w:cs="宋体"/>
          <w:sz w:val="32"/>
          <w:szCs w:val="32"/>
          <w:highlight w:val="none"/>
        </w:rPr>
      </w:pPr>
    </w:p>
    <w:p>
      <w:pPr>
        <w:spacing w:line="360" w:lineRule="auto"/>
        <w:rPr>
          <w:rFonts w:hint="eastAsia" w:ascii="宋体" w:hAnsi="宋体" w:eastAsia="宋体" w:cs="宋体"/>
          <w:sz w:val="32"/>
          <w:szCs w:val="32"/>
          <w:highlight w:val="none"/>
        </w:rPr>
      </w:pPr>
    </w:p>
    <w:p>
      <w:pPr>
        <w:spacing w:line="360" w:lineRule="auto"/>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第一章 招标公告</w:t>
      </w:r>
    </w:p>
    <w:p>
      <w:pPr>
        <w:pBdr>
          <w:top w:val="single" w:color="auto" w:sz="4" w:space="1"/>
          <w:left w:val="single" w:color="auto" w:sz="4" w:space="4"/>
          <w:bottom w:val="single" w:color="auto" w:sz="4" w:space="1"/>
          <w:right w:val="single" w:color="auto" w:sz="4" w:space="4"/>
        </w:pBdr>
        <w:spacing w:line="288" w:lineRule="auto"/>
        <w:rPr>
          <w:rFonts w:hint="eastAsia" w:ascii="宋体" w:hAnsi="宋体" w:eastAsia="宋体" w:cs="宋体"/>
          <w:sz w:val="24"/>
          <w:highlight w:val="none"/>
        </w:rPr>
      </w:pPr>
      <w:r>
        <w:rPr>
          <w:rFonts w:hint="eastAsia" w:ascii="宋体" w:hAnsi="宋体" w:eastAsia="宋体" w:cs="宋体"/>
          <w:sz w:val="24"/>
          <w:highlight w:val="none"/>
        </w:rPr>
        <w:t>项目概况:</w:t>
      </w:r>
    </w:p>
    <w:p>
      <w:pPr>
        <w:pBdr>
          <w:top w:val="single" w:color="auto" w:sz="4" w:space="1"/>
          <w:left w:val="single" w:color="auto" w:sz="4" w:space="4"/>
          <w:bottom w:val="single" w:color="auto" w:sz="4" w:space="1"/>
          <w:right w:val="single" w:color="auto" w:sz="4" w:space="4"/>
        </w:pBdr>
        <w:spacing w:line="288"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lang w:eastAsia="zh-CN"/>
        </w:rPr>
        <w:t>克拉玛依市中心医院碘[125I]密封籽源项目</w:t>
      </w:r>
      <w:r>
        <w:rPr>
          <w:rFonts w:hint="eastAsia" w:ascii="宋体" w:hAnsi="宋体" w:eastAsia="宋体" w:cs="宋体"/>
          <w:sz w:val="24"/>
          <w:highlight w:val="none"/>
        </w:rPr>
        <w:t>招标项目的潜在投标人应在</w:t>
      </w:r>
      <w:r>
        <w:rPr>
          <w:rFonts w:hint="eastAsia" w:ascii="宋体" w:hAnsi="宋体" w:eastAsia="宋体" w:cs="宋体"/>
          <w:sz w:val="24"/>
          <w:highlight w:val="none"/>
          <w:u w:val="single"/>
        </w:rPr>
        <w:t>新疆政府采购网</w:t>
      </w:r>
      <w:r>
        <w:rPr>
          <w:rFonts w:hint="eastAsia" w:ascii="宋体" w:hAnsi="宋体" w:eastAsia="宋体" w:cs="宋体"/>
          <w:sz w:val="24"/>
          <w:highlight w:val="none"/>
        </w:rPr>
        <w:t>获取招标文件，并于</w:t>
      </w:r>
      <w:r>
        <w:rPr>
          <w:rFonts w:hint="eastAsia" w:ascii="宋体" w:hAnsi="宋体" w:eastAsia="宋体" w:cs="宋体"/>
          <w:sz w:val="24"/>
          <w:highlight w:val="none"/>
          <w:u w:val="single"/>
        </w:rPr>
        <w:t xml:space="preserve"> 2022年</w:t>
      </w:r>
      <w:r>
        <w:rPr>
          <w:rFonts w:hint="eastAsia" w:ascii="宋体" w:hAnsi="宋体" w:cs="宋体"/>
          <w:sz w:val="24"/>
          <w:highlight w:val="none"/>
          <w:u w:val="single"/>
          <w:lang w:val="en-US" w:eastAsia="zh-CN"/>
        </w:rPr>
        <w:t>11</w:t>
      </w:r>
      <w:r>
        <w:rPr>
          <w:rFonts w:hint="eastAsia" w:ascii="宋体" w:hAnsi="宋体" w:eastAsia="宋体" w:cs="宋体"/>
          <w:sz w:val="24"/>
          <w:highlight w:val="none"/>
          <w:u w:val="single"/>
        </w:rPr>
        <w:t>月</w:t>
      </w:r>
      <w:r>
        <w:rPr>
          <w:rFonts w:hint="eastAsia" w:ascii="宋体" w:hAnsi="宋体" w:cs="宋体"/>
          <w:sz w:val="24"/>
          <w:highlight w:val="none"/>
          <w:u w:val="single"/>
          <w:lang w:val="en-US" w:eastAsia="zh-CN"/>
        </w:rPr>
        <w:t>30</w:t>
      </w:r>
      <w:r>
        <w:rPr>
          <w:rFonts w:hint="eastAsia" w:ascii="宋体" w:hAnsi="宋体" w:eastAsia="宋体" w:cs="宋体"/>
          <w:sz w:val="24"/>
          <w:highlight w:val="none"/>
          <w:u w:val="single"/>
        </w:rPr>
        <w:t>日10:</w:t>
      </w:r>
      <w:r>
        <w:rPr>
          <w:rFonts w:hint="eastAsia" w:ascii="宋体" w:hAnsi="宋体" w:cs="宋体"/>
          <w:sz w:val="24"/>
          <w:highlight w:val="none"/>
          <w:u w:val="single"/>
          <w:lang w:val="en-US" w:eastAsia="zh-CN"/>
        </w:rPr>
        <w:t>3</w:t>
      </w:r>
      <w:r>
        <w:rPr>
          <w:rFonts w:hint="eastAsia" w:ascii="宋体" w:hAnsi="宋体" w:eastAsia="宋体" w:cs="宋体"/>
          <w:sz w:val="24"/>
          <w:highlight w:val="none"/>
          <w:u w:val="single"/>
        </w:rPr>
        <w:t>0分</w:t>
      </w:r>
      <w:r>
        <w:rPr>
          <w:rFonts w:hint="eastAsia" w:ascii="宋体" w:hAnsi="宋体" w:eastAsia="宋体" w:cs="宋体"/>
          <w:bCs/>
          <w:sz w:val="24"/>
          <w:highlight w:val="none"/>
        </w:rPr>
        <w:t>前递交投标文件</w:t>
      </w:r>
      <w:r>
        <w:rPr>
          <w:rFonts w:hint="eastAsia" w:ascii="宋体" w:hAnsi="宋体" w:eastAsia="宋体" w:cs="宋体"/>
          <w:sz w:val="24"/>
          <w:highlight w:val="none"/>
        </w:rPr>
        <w:t>。</w:t>
      </w:r>
    </w:p>
    <w:p>
      <w:pPr>
        <w:spacing w:line="288" w:lineRule="auto"/>
        <w:rPr>
          <w:rFonts w:hint="eastAsia" w:ascii="宋体" w:hAnsi="宋体" w:eastAsia="宋体" w:cs="宋体"/>
          <w:b/>
          <w:bCs/>
          <w:sz w:val="24"/>
          <w:highlight w:val="none"/>
        </w:rPr>
      </w:pPr>
      <w:bookmarkStart w:id="0" w:name="_Toc28359079"/>
      <w:bookmarkStart w:id="1" w:name="_Toc35393790"/>
      <w:bookmarkStart w:id="2" w:name="_Toc28359002"/>
      <w:bookmarkStart w:id="3" w:name="_Toc35393621"/>
      <w:bookmarkStart w:id="4" w:name="_Hlk24379207"/>
      <w:r>
        <w:rPr>
          <w:rFonts w:hint="eastAsia" w:ascii="宋体" w:hAnsi="宋体" w:eastAsia="宋体" w:cs="宋体"/>
          <w:b/>
          <w:bCs/>
          <w:sz w:val="24"/>
          <w:highlight w:val="none"/>
        </w:rPr>
        <w:t>一、项目基本情况</w:t>
      </w:r>
      <w:bookmarkEnd w:id="0"/>
      <w:bookmarkEnd w:id="1"/>
      <w:bookmarkEnd w:id="2"/>
      <w:bookmarkEnd w:id="3"/>
    </w:p>
    <w:p>
      <w:pPr>
        <w:spacing w:line="288"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项目编号：XJZJ-2022(采购）-0</w:t>
      </w:r>
      <w:r>
        <w:rPr>
          <w:rFonts w:hint="eastAsia" w:ascii="宋体" w:hAnsi="宋体" w:eastAsia="宋体" w:cs="宋体"/>
          <w:sz w:val="24"/>
          <w:highlight w:val="none"/>
          <w:lang w:val="en-US" w:eastAsia="zh-CN"/>
        </w:rPr>
        <w:t>21</w:t>
      </w:r>
    </w:p>
    <w:p>
      <w:pPr>
        <w:spacing w:line="288"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项目名称：</w:t>
      </w:r>
      <w:r>
        <w:rPr>
          <w:rFonts w:hint="eastAsia" w:ascii="宋体" w:hAnsi="宋体" w:eastAsia="宋体" w:cs="宋体"/>
          <w:sz w:val="24"/>
          <w:highlight w:val="none"/>
          <w:lang w:eastAsia="zh-CN"/>
        </w:rPr>
        <w:t>克拉玛依市中心医院碘[125I]密封籽源项目</w:t>
      </w:r>
    </w:p>
    <w:p>
      <w:pPr>
        <w:pStyle w:val="2"/>
        <w:ind w:firstLine="480" w:firstLineChars="200"/>
        <w:rPr>
          <w:rFonts w:hint="eastAsia" w:ascii="宋体" w:hAnsi="宋体" w:eastAsia="宋体" w:cs="宋体"/>
          <w:highlight w:val="none"/>
        </w:rPr>
      </w:pPr>
      <w:r>
        <w:rPr>
          <w:rFonts w:hint="eastAsia" w:ascii="宋体" w:hAnsi="宋体" w:eastAsia="宋体" w:cs="宋体"/>
          <w:szCs w:val="24"/>
          <w:highlight w:val="none"/>
        </w:rPr>
        <w:t>采购方式：公开招标</w:t>
      </w:r>
    </w:p>
    <w:bookmarkEnd w:id="4"/>
    <w:p>
      <w:pPr>
        <w:spacing w:line="288"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预算金额：1500000元</w:t>
      </w:r>
    </w:p>
    <w:p>
      <w:pPr>
        <w:pStyle w:val="2"/>
        <w:rPr>
          <w:rFonts w:hint="eastAsia" w:ascii="宋体" w:hAnsi="宋体" w:eastAsia="宋体" w:cs="宋体"/>
          <w:highlight w:val="none"/>
        </w:rPr>
      </w:pPr>
      <w:r>
        <w:rPr>
          <w:rFonts w:hint="eastAsia" w:ascii="宋体" w:hAnsi="宋体" w:eastAsia="宋体" w:cs="宋体"/>
          <w:highlight w:val="none"/>
        </w:rPr>
        <w:t>采购需求：</w:t>
      </w:r>
    </w:p>
    <w:p>
      <w:pPr>
        <w:spacing w:line="288"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数量：</w:t>
      </w:r>
      <w:r>
        <w:rPr>
          <w:rFonts w:hint="eastAsia" w:ascii="宋体" w:hAnsi="宋体" w:eastAsia="宋体" w:cs="宋体"/>
          <w:sz w:val="24"/>
          <w:highlight w:val="none"/>
          <w:lang w:val="en-US" w:eastAsia="zh-CN"/>
        </w:rPr>
        <w:t>4000</w:t>
      </w:r>
    </w:p>
    <w:p>
      <w:pPr>
        <w:spacing w:line="288"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预算金额（元）：</w:t>
      </w:r>
      <w:r>
        <w:rPr>
          <w:rFonts w:hint="eastAsia" w:ascii="宋体" w:hAnsi="宋体" w:eastAsia="宋体" w:cs="宋体"/>
          <w:sz w:val="24"/>
          <w:highlight w:val="none"/>
          <w:lang w:val="en-US" w:eastAsia="zh-CN"/>
        </w:rPr>
        <w:t>1500000元</w:t>
      </w:r>
    </w:p>
    <w:p>
      <w:pPr>
        <w:spacing w:line="288"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单位：</w:t>
      </w:r>
      <w:r>
        <w:rPr>
          <w:rFonts w:hint="eastAsia" w:ascii="宋体" w:hAnsi="宋体" w:eastAsia="宋体" w:cs="宋体"/>
          <w:sz w:val="24"/>
          <w:highlight w:val="none"/>
          <w:lang w:eastAsia="zh-CN"/>
        </w:rPr>
        <w:t>粒</w:t>
      </w:r>
    </w:p>
    <w:p>
      <w:pPr>
        <w:spacing w:line="288"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简要规格描述：</w:t>
      </w:r>
      <w:r>
        <w:rPr>
          <w:rFonts w:hint="eastAsia" w:ascii="宋体" w:hAnsi="宋体" w:eastAsia="宋体" w:cs="宋体"/>
          <w:sz w:val="24"/>
          <w:highlight w:val="none"/>
          <w:lang w:eastAsia="zh-CN"/>
        </w:rPr>
        <w:t>碘[125I]密封籽源项目</w:t>
      </w:r>
      <w:r>
        <w:rPr>
          <w:rFonts w:hint="eastAsia" w:ascii="宋体" w:hAnsi="宋体" w:eastAsia="宋体" w:cs="宋体"/>
          <w:sz w:val="24"/>
          <w:highlight w:val="none"/>
        </w:rPr>
        <w:t>，详细参数见招标文件</w:t>
      </w:r>
    </w:p>
    <w:p>
      <w:pPr>
        <w:spacing w:line="288"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备注：1.本项目不接受进口产品投标（进口产品是指通过中国海关报关，验放进入中国境内，且产自关境外的产品）。</w:t>
      </w:r>
    </w:p>
    <w:p>
      <w:pPr>
        <w:numPr>
          <w:ilvl w:val="0"/>
          <w:numId w:val="0"/>
        </w:numPr>
        <w:spacing w:line="360" w:lineRule="auto"/>
        <w:ind w:firstLine="480" w:firstLineChars="200"/>
        <w:jc w:val="left"/>
        <w:rPr>
          <w:rFonts w:ascii="宋体" w:hAnsi="宋体" w:eastAsia="宋体" w:cs="宋体"/>
          <w:sz w:val="24"/>
          <w:szCs w:val="24"/>
        </w:rPr>
      </w:pPr>
      <w:r>
        <w:rPr>
          <w:rFonts w:hint="eastAsia" w:ascii="宋体" w:hAnsi="宋体" w:eastAsia="宋体" w:cs="宋体"/>
          <w:sz w:val="24"/>
          <w:highlight w:val="none"/>
          <w:lang w:eastAsia="zh-CN"/>
        </w:rPr>
        <w:t>交货期</w:t>
      </w:r>
      <w:r>
        <w:rPr>
          <w:rFonts w:hint="eastAsia" w:ascii="宋体" w:hAnsi="宋体" w:eastAsia="宋体" w:cs="宋体"/>
          <w:sz w:val="24"/>
          <w:highlight w:val="none"/>
        </w:rPr>
        <w:t>：中标人应在采购合同签订后，按照中心医院临床需求分批次按照医院需求数量供货。接到中心医院订货通知后7日内配送之</w:t>
      </w:r>
      <w:bookmarkStart w:id="5" w:name="_Toc35393791"/>
      <w:bookmarkStart w:id="6" w:name="_Toc28359080"/>
      <w:bookmarkStart w:id="7" w:name="_Toc35393622"/>
      <w:bookmarkStart w:id="8" w:name="_Toc28359003"/>
      <w:r>
        <w:rPr>
          <w:rFonts w:hint="eastAsia" w:ascii="宋体" w:hAnsi="宋体" w:eastAsia="宋体" w:cs="宋体"/>
          <w:sz w:val="24"/>
          <w:szCs w:val="24"/>
          <w:lang w:eastAsia="zh-CN"/>
        </w:rPr>
        <w:t>克拉玛依市</w:t>
      </w:r>
      <w:r>
        <w:rPr>
          <w:rFonts w:ascii="宋体" w:hAnsi="宋体" w:eastAsia="宋体" w:cs="宋体"/>
          <w:sz w:val="24"/>
          <w:szCs w:val="24"/>
        </w:rPr>
        <w:t>中心医院指定地点</w:t>
      </w:r>
    </w:p>
    <w:p>
      <w:pPr>
        <w:spacing w:line="288"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 否 ）接受联合体投标。</w:t>
      </w:r>
    </w:p>
    <w:p>
      <w:pPr>
        <w:spacing w:line="288" w:lineRule="auto"/>
        <w:rPr>
          <w:rFonts w:hint="eastAsia" w:ascii="宋体" w:hAnsi="宋体" w:eastAsia="宋体" w:cs="宋体"/>
          <w:b/>
          <w:bCs/>
          <w:sz w:val="24"/>
          <w:highlight w:val="none"/>
        </w:rPr>
      </w:pPr>
      <w:r>
        <w:rPr>
          <w:rFonts w:hint="eastAsia" w:ascii="宋体" w:hAnsi="宋体" w:eastAsia="宋体" w:cs="宋体"/>
          <w:b/>
          <w:bCs/>
          <w:sz w:val="24"/>
          <w:highlight w:val="none"/>
        </w:rPr>
        <w:t>二、申请人的资格要求：</w:t>
      </w:r>
      <w:bookmarkEnd w:id="5"/>
      <w:bookmarkEnd w:id="6"/>
      <w:bookmarkEnd w:id="7"/>
      <w:bookmarkEnd w:id="8"/>
    </w:p>
    <w:p>
      <w:pPr>
        <w:spacing w:line="288" w:lineRule="auto"/>
        <w:ind w:firstLine="480" w:firstLineChars="200"/>
        <w:rPr>
          <w:rFonts w:hint="eastAsia" w:ascii="宋体" w:hAnsi="宋体" w:eastAsia="宋体" w:cs="宋体"/>
          <w:sz w:val="24"/>
          <w:highlight w:val="none"/>
          <w:lang w:val="en-US" w:eastAsia="zh-CN"/>
        </w:rPr>
      </w:pPr>
      <w:bookmarkStart w:id="9" w:name="_Toc35393792"/>
      <w:bookmarkStart w:id="10" w:name="_Toc28359081"/>
      <w:bookmarkStart w:id="11" w:name="_Toc35393623"/>
      <w:bookmarkStart w:id="12" w:name="_Toc28359004"/>
      <w:r>
        <w:rPr>
          <w:rFonts w:hint="eastAsia" w:ascii="宋体" w:hAnsi="宋体" w:eastAsia="宋体" w:cs="宋体"/>
          <w:sz w:val="24"/>
          <w:highlight w:val="none"/>
          <w:lang w:val="en-US" w:eastAsia="zh-CN"/>
        </w:rPr>
        <w:t>1.一般资格要求</w:t>
      </w:r>
    </w:p>
    <w:p>
      <w:pPr>
        <w:spacing w:line="288"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（1）具有独立承担民事责任的能力；</w:t>
      </w:r>
    </w:p>
    <w:p>
      <w:pPr>
        <w:spacing w:line="288"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（2）具有良好的商业信誉和健全的财务会计制度；（信用查询：按照《财政部关于在政府采购活动中查询及使用信用记录有关问题的通知》（财库〔2016〕125号）的要求，根据开标当日“信用中国”（</w:t>
      </w:r>
      <w:r>
        <w:rPr>
          <w:rFonts w:hint="eastAsia" w:ascii="宋体" w:hAnsi="宋体" w:eastAsia="宋体" w:cs="宋体"/>
          <w:sz w:val="24"/>
          <w:highlight w:val="none"/>
          <w:lang w:val="en-US" w:eastAsia="zh-CN"/>
        </w:rPr>
        <w:drawing>
          <wp:inline distT="0" distB="0" distL="0" distR="0">
            <wp:extent cx="190500" cy="142875"/>
            <wp:effectExtent l="0" t="0" r="13970" b="3175"/>
            <wp:docPr id="6" name="图片 6"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DOCUME~1\ADMINI~1\LOCALS~1\Temp\%W@GJ$ACOF(TYDYECOKVDYB.png"/>
                    <pic:cNvPicPr>
                      <a:picLocks noChangeAspect="1" noChangeArrowheads="1"/>
                    </pic:cNvPicPr>
                  </pic:nvPicPr>
                  <pic:blipFill>
                    <a:blip r:embed="rId13"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int="eastAsia" w:ascii="宋体" w:hAnsi="宋体" w:eastAsia="宋体" w:cs="宋体"/>
          <w:sz w:val="24"/>
          <w:highlight w:val="none"/>
          <w:lang w:val="en-US" w:eastAsia="zh-CN"/>
        </w:rPr>
        <w:t>www.creditchina.gov.cn）、“中国政府采购网”（</w:t>
      </w:r>
      <w:r>
        <w:rPr>
          <w:rFonts w:hint="eastAsia" w:ascii="宋体" w:hAnsi="宋体" w:eastAsia="宋体" w:cs="宋体"/>
          <w:sz w:val="24"/>
          <w:highlight w:val="none"/>
          <w:lang w:val="en-US" w:eastAsia="zh-CN"/>
        </w:rPr>
        <w:drawing>
          <wp:inline distT="0" distB="0" distL="0" distR="0">
            <wp:extent cx="190500" cy="142875"/>
            <wp:effectExtent l="0" t="0" r="13970" b="3175"/>
            <wp:docPr id="7" name="图片 7"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DOCUME~1\ADMINI~1\LOCALS~1\Temp\%W@GJ$ACOF(TYDYECOKVDYB.png"/>
                    <pic:cNvPicPr>
                      <a:picLocks noChangeAspect="1" noChangeArrowheads="1"/>
                    </pic:cNvPicPr>
                  </pic:nvPicPr>
                  <pic:blipFill>
                    <a:blip r:embed="rId13"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int="eastAsia" w:ascii="宋体" w:hAnsi="宋体" w:eastAsia="宋体" w:cs="宋体"/>
          <w:sz w:val="24"/>
          <w:highlight w:val="none"/>
          <w:lang w:val="en-US" w:eastAsia="zh-CN"/>
        </w:rPr>
        <w:t>www.ccgp.gov.cn）、“中国执行信息公开网”（www.shixin.court.gov.cn）、“克拉玛依诚信网”（http://cxw.klmy.gov.cn/Pages/default.aspx）的查询结果，对列入失信被执行人、重大税收违法案件当事人名单、政府采购严重违法失信行为记录名单及其他不符合《中华人民共和国政府采购法》第二十二条规定条件的供应商，拒绝其参与政府采购活动。）</w:t>
      </w:r>
    </w:p>
    <w:p>
      <w:pPr>
        <w:spacing w:line="288"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（3）具有履行合同所必需的设备和专业技术能力；</w:t>
      </w:r>
    </w:p>
    <w:p>
      <w:pPr>
        <w:spacing w:line="288"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（4）有依法缴纳税收和社会保障资金的良好记录；</w:t>
      </w:r>
    </w:p>
    <w:p>
      <w:pPr>
        <w:spacing w:line="288"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参加政府采购活动前三年内，未因违法经营受到刑事处罚或者责令停产停业、吊销许可证或者执照、较大数额罚款等行政处罚。（超过100万元的项目，须提供市人民检察院出具的《检察机关查询行贿犯罪档案结果告知函》。本地办理地点：市人民检察院，联系电话：0990-6220522）。</w:t>
      </w:r>
    </w:p>
    <w:p>
      <w:pPr>
        <w:spacing w:line="288"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2.落实政府采购政策需满足的资格要求：</w:t>
      </w:r>
      <w:r>
        <w:rPr>
          <w:rFonts w:hint="eastAsia" w:ascii="宋体" w:hAnsi="宋体" w:eastAsia="宋体" w:cs="宋体"/>
          <w:sz w:val="24"/>
          <w:highlight w:val="none"/>
        </w:rPr>
        <w:t>供应商所投货物的制造商须</w:t>
      </w:r>
      <w:r>
        <w:rPr>
          <w:rFonts w:hint="eastAsia" w:ascii="宋体" w:hAnsi="宋体" w:eastAsia="宋体" w:cs="宋体"/>
          <w:sz w:val="24"/>
          <w:highlight w:val="none"/>
          <w:lang w:eastAsia="zh-CN"/>
        </w:rPr>
        <w:t>为</w:t>
      </w:r>
      <w:r>
        <w:rPr>
          <w:rFonts w:hint="eastAsia" w:ascii="宋体" w:hAnsi="宋体" w:eastAsia="宋体" w:cs="宋体"/>
          <w:sz w:val="24"/>
          <w:highlight w:val="none"/>
        </w:rPr>
        <w:t>中小企业</w:t>
      </w:r>
    </w:p>
    <w:p>
      <w:pPr>
        <w:spacing w:line="288"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3.本项目的特定资格要求：</w:t>
      </w:r>
    </w:p>
    <w:p>
      <w:pPr>
        <w:spacing w:line="288"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1、供应商具有《放射性药品经营企业许可证》</w:t>
      </w:r>
    </w:p>
    <w:p>
      <w:pPr>
        <w:spacing w:line="288"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2、产品具有国药准字批准文号；</w:t>
      </w:r>
    </w:p>
    <w:p>
      <w:pPr>
        <w:spacing w:line="288"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3．生产厂家的具有碘[125I]密封籽源生产资质的企业。</w:t>
      </w:r>
    </w:p>
    <w:p>
      <w:pPr>
        <w:spacing w:line="288"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4、生产厂家具有辐射安全许可证（副本内活动种类和范围须含有碘[125I]密封籽源）；《放射性药品生产企业许可证》</w:t>
      </w:r>
    </w:p>
    <w:p>
      <w:pPr>
        <w:spacing w:line="288" w:lineRule="auto"/>
        <w:ind w:firstLine="480" w:firstLineChars="200"/>
        <w:rPr>
          <w:rFonts w:hint="eastAsia" w:ascii="宋体" w:hAnsi="宋体" w:eastAsia="宋体" w:cs="宋体"/>
          <w:sz w:val="24"/>
          <w:highlight w:val="none"/>
        </w:rPr>
      </w:pPr>
    </w:p>
    <w:bookmarkEnd w:id="9"/>
    <w:bookmarkEnd w:id="10"/>
    <w:bookmarkEnd w:id="11"/>
    <w:bookmarkEnd w:id="12"/>
    <w:p>
      <w:pPr>
        <w:spacing w:line="288" w:lineRule="auto"/>
        <w:rPr>
          <w:rFonts w:hint="eastAsia" w:ascii="宋体" w:hAnsi="宋体" w:eastAsia="宋体" w:cs="宋体"/>
          <w:b/>
          <w:bCs/>
          <w:sz w:val="24"/>
          <w:highlight w:val="none"/>
        </w:rPr>
      </w:pPr>
      <w:bookmarkStart w:id="13" w:name="_Toc35393624"/>
      <w:bookmarkStart w:id="14" w:name="_Toc28359082"/>
      <w:bookmarkStart w:id="15" w:name="_Toc35393793"/>
      <w:bookmarkStart w:id="16" w:name="_Toc28359005"/>
      <w:r>
        <w:rPr>
          <w:rFonts w:hint="eastAsia" w:ascii="宋体" w:hAnsi="宋体" w:eastAsia="宋体" w:cs="宋体"/>
          <w:b/>
          <w:bCs/>
          <w:sz w:val="24"/>
          <w:highlight w:val="none"/>
        </w:rPr>
        <w:t>三、获取采购文件</w:t>
      </w:r>
    </w:p>
    <w:p>
      <w:pPr>
        <w:spacing w:line="288" w:lineRule="auto"/>
        <w:rPr>
          <w:rFonts w:hint="eastAsia" w:ascii="宋体" w:hAnsi="宋体" w:eastAsia="宋体" w:cs="宋体"/>
          <w:kern w:val="0"/>
          <w:sz w:val="24"/>
          <w:szCs w:val="20"/>
          <w:highlight w:val="none"/>
        </w:rPr>
      </w:pPr>
      <w:r>
        <w:rPr>
          <w:rFonts w:hint="eastAsia" w:ascii="宋体" w:hAnsi="宋体" w:eastAsia="宋体" w:cs="宋体"/>
          <w:b/>
          <w:bCs/>
          <w:sz w:val="24"/>
          <w:highlight w:val="none"/>
        </w:rPr>
        <w:t> </w:t>
      </w:r>
      <w:r>
        <w:rPr>
          <w:rFonts w:hint="eastAsia" w:ascii="宋体" w:hAnsi="宋体" w:eastAsia="宋体" w:cs="宋体"/>
          <w:kern w:val="0"/>
          <w:sz w:val="24"/>
          <w:szCs w:val="20"/>
          <w:highlight w:val="none"/>
        </w:rPr>
        <w:t xml:space="preserve"> 1.时间：2022年</w:t>
      </w:r>
      <w:r>
        <w:rPr>
          <w:rFonts w:hint="eastAsia" w:ascii="宋体" w:hAnsi="宋体" w:cs="宋体"/>
          <w:kern w:val="0"/>
          <w:sz w:val="24"/>
          <w:szCs w:val="20"/>
          <w:highlight w:val="none"/>
          <w:lang w:val="en-US" w:eastAsia="zh-CN"/>
        </w:rPr>
        <w:t>11</w:t>
      </w:r>
      <w:r>
        <w:rPr>
          <w:rFonts w:hint="eastAsia" w:ascii="宋体" w:hAnsi="宋体" w:eastAsia="宋体" w:cs="宋体"/>
          <w:kern w:val="0"/>
          <w:sz w:val="24"/>
          <w:szCs w:val="20"/>
          <w:highlight w:val="none"/>
        </w:rPr>
        <w:t>月</w:t>
      </w:r>
      <w:r>
        <w:rPr>
          <w:rFonts w:hint="eastAsia" w:ascii="宋体" w:hAnsi="宋体" w:cs="宋体"/>
          <w:kern w:val="0"/>
          <w:sz w:val="24"/>
          <w:szCs w:val="20"/>
          <w:highlight w:val="none"/>
          <w:lang w:val="en-US" w:eastAsia="zh-CN"/>
        </w:rPr>
        <w:t>08</w:t>
      </w:r>
      <w:r>
        <w:rPr>
          <w:rFonts w:hint="eastAsia" w:ascii="宋体" w:hAnsi="宋体" w:eastAsia="宋体" w:cs="宋体"/>
          <w:kern w:val="0"/>
          <w:sz w:val="24"/>
          <w:szCs w:val="20"/>
          <w:highlight w:val="none"/>
        </w:rPr>
        <w:t>日至2022年</w:t>
      </w:r>
      <w:r>
        <w:rPr>
          <w:rFonts w:hint="eastAsia" w:ascii="宋体" w:hAnsi="宋体" w:cs="宋体"/>
          <w:kern w:val="0"/>
          <w:sz w:val="24"/>
          <w:szCs w:val="20"/>
          <w:highlight w:val="none"/>
          <w:lang w:val="en-US" w:eastAsia="zh-CN"/>
        </w:rPr>
        <w:t>11</w:t>
      </w:r>
      <w:r>
        <w:rPr>
          <w:rFonts w:hint="eastAsia" w:ascii="宋体" w:hAnsi="宋体" w:eastAsia="宋体" w:cs="宋体"/>
          <w:kern w:val="0"/>
          <w:sz w:val="24"/>
          <w:szCs w:val="20"/>
          <w:highlight w:val="none"/>
        </w:rPr>
        <w:t>月</w:t>
      </w:r>
      <w:r>
        <w:rPr>
          <w:rFonts w:hint="eastAsia" w:ascii="宋体" w:hAnsi="宋体" w:cs="宋体"/>
          <w:kern w:val="0"/>
          <w:sz w:val="24"/>
          <w:szCs w:val="20"/>
          <w:highlight w:val="none"/>
          <w:lang w:val="en-US" w:eastAsia="zh-CN"/>
        </w:rPr>
        <w:t>15</w:t>
      </w:r>
      <w:r>
        <w:rPr>
          <w:rFonts w:hint="eastAsia" w:ascii="宋体" w:hAnsi="宋体" w:eastAsia="宋体" w:cs="宋体"/>
          <w:kern w:val="0"/>
          <w:sz w:val="24"/>
          <w:szCs w:val="20"/>
          <w:highlight w:val="none"/>
        </w:rPr>
        <w:t>日，每天上午10:00至13:00，下午16:00至19:00（北京时间，法定节假日除外）</w:t>
      </w:r>
    </w:p>
    <w:p>
      <w:pPr>
        <w:spacing w:line="288"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    2.地点：新疆政府采购网政采云平台（www.zcygov.cn） </w:t>
      </w:r>
    </w:p>
    <w:p>
      <w:pPr>
        <w:spacing w:line="288" w:lineRule="auto"/>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    3.方式：线上获取，供应商登录政采云账户,在线申请获取采购文件（登录政府采购云平台→采购项目→获取采购文件→申请，审核通过后可下载采购文件，如有操作性问题，可与政采云在线客服进行咨询，咨询电话400-881-7190） </w:t>
      </w:r>
    </w:p>
    <w:p>
      <w:pPr>
        <w:spacing w:line="288" w:lineRule="auto"/>
        <w:rPr>
          <w:rFonts w:hint="eastAsia" w:ascii="宋体" w:hAnsi="宋体" w:eastAsia="宋体" w:cs="宋体"/>
          <w:b/>
          <w:bCs/>
          <w:sz w:val="24"/>
          <w:highlight w:val="none"/>
        </w:rPr>
      </w:pPr>
      <w:r>
        <w:rPr>
          <w:rFonts w:hint="eastAsia" w:ascii="宋体" w:hAnsi="宋体" w:eastAsia="宋体" w:cs="宋体"/>
          <w:b/>
          <w:bCs/>
          <w:sz w:val="24"/>
          <w:highlight w:val="none"/>
        </w:rPr>
        <w:t>四、</w:t>
      </w:r>
      <w:bookmarkEnd w:id="13"/>
      <w:bookmarkEnd w:id="14"/>
      <w:bookmarkEnd w:id="15"/>
      <w:bookmarkEnd w:id="16"/>
      <w:r>
        <w:rPr>
          <w:rFonts w:hint="eastAsia" w:ascii="宋体" w:hAnsi="宋体" w:eastAsia="宋体" w:cs="宋体"/>
          <w:b/>
          <w:bCs/>
          <w:sz w:val="24"/>
          <w:highlight w:val="none"/>
        </w:rPr>
        <w:t>提交投标文件截止时间、开标时间和地点</w:t>
      </w:r>
    </w:p>
    <w:p>
      <w:pPr>
        <w:spacing w:line="288" w:lineRule="auto"/>
        <w:ind w:firstLine="480" w:firstLineChars="200"/>
        <w:rPr>
          <w:rFonts w:hint="eastAsia" w:ascii="宋体" w:hAnsi="宋体" w:eastAsia="宋体" w:cs="宋体"/>
          <w:bCs/>
          <w:sz w:val="24"/>
          <w:highlight w:val="none"/>
          <w:u w:val="single"/>
          <w:lang w:val="en-US" w:eastAsia="zh-CN"/>
        </w:rPr>
      </w:pPr>
      <w:r>
        <w:rPr>
          <w:rFonts w:hint="eastAsia" w:ascii="宋体" w:hAnsi="宋体" w:eastAsia="宋体" w:cs="宋体"/>
          <w:bCs/>
          <w:sz w:val="24"/>
          <w:highlight w:val="none"/>
        </w:rPr>
        <w:t>提交投标文件截止时间：</w:t>
      </w:r>
      <w:r>
        <w:rPr>
          <w:rFonts w:hint="eastAsia" w:ascii="宋体" w:hAnsi="宋体" w:eastAsia="宋体" w:cs="宋体"/>
          <w:sz w:val="24"/>
          <w:highlight w:val="none"/>
          <w:u w:val="single"/>
        </w:rPr>
        <w:t xml:space="preserve"> 2022年</w:t>
      </w:r>
      <w:r>
        <w:rPr>
          <w:rFonts w:hint="eastAsia" w:ascii="宋体" w:hAnsi="宋体" w:cs="宋体"/>
          <w:sz w:val="24"/>
          <w:highlight w:val="none"/>
          <w:u w:val="single"/>
          <w:lang w:val="en-US" w:eastAsia="zh-CN"/>
        </w:rPr>
        <w:t>11</w:t>
      </w:r>
      <w:r>
        <w:rPr>
          <w:rFonts w:hint="eastAsia" w:ascii="宋体" w:hAnsi="宋体" w:eastAsia="宋体" w:cs="宋体"/>
          <w:sz w:val="24"/>
          <w:highlight w:val="none"/>
          <w:u w:val="single"/>
        </w:rPr>
        <w:t>月</w:t>
      </w:r>
      <w:r>
        <w:rPr>
          <w:rFonts w:hint="eastAsia" w:ascii="宋体" w:hAnsi="宋体" w:cs="宋体"/>
          <w:sz w:val="24"/>
          <w:highlight w:val="none"/>
          <w:u w:val="single"/>
          <w:lang w:val="en-US" w:eastAsia="zh-CN"/>
        </w:rPr>
        <w:t>30</w:t>
      </w:r>
      <w:r>
        <w:rPr>
          <w:rFonts w:hint="eastAsia" w:ascii="宋体" w:hAnsi="宋体" w:eastAsia="宋体" w:cs="宋体"/>
          <w:sz w:val="24"/>
          <w:highlight w:val="none"/>
          <w:u w:val="single"/>
        </w:rPr>
        <w:t>日10:</w:t>
      </w:r>
      <w:r>
        <w:rPr>
          <w:rFonts w:hint="eastAsia" w:ascii="宋体" w:hAnsi="宋体" w:cs="宋体"/>
          <w:sz w:val="24"/>
          <w:highlight w:val="none"/>
          <w:u w:val="single"/>
          <w:lang w:val="en-US" w:eastAsia="zh-CN"/>
        </w:rPr>
        <w:t>3</w:t>
      </w:r>
      <w:r>
        <w:rPr>
          <w:rFonts w:hint="eastAsia" w:ascii="宋体" w:hAnsi="宋体" w:eastAsia="宋体" w:cs="宋体"/>
          <w:sz w:val="24"/>
          <w:highlight w:val="none"/>
          <w:u w:val="single"/>
        </w:rPr>
        <w:t>0</w:t>
      </w:r>
    </w:p>
    <w:p>
      <w:pPr>
        <w:spacing w:line="288"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投标地点：</w:t>
      </w:r>
      <w:bookmarkStart w:id="17" w:name="_Toc28359007"/>
      <w:bookmarkStart w:id="18" w:name="_Toc28359084"/>
      <w:bookmarkStart w:id="19" w:name="_Toc35393625"/>
      <w:bookmarkStart w:id="20" w:name="_Toc35393794"/>
      <w:r>
        <w:rPr>
          <w:rFonts w:hint="eastAsia" w:ascii="宋体" w:hAnsi="宋体" w:eastAsia="宋体" w:cs="宋体"/>
          <w:sz w:val="24"/>
          <w:highlight w:val="none"/>
        </w:rPr>
        <w:t>新疆政府采购网政采云平台（www.zcygov.cn） </w:t>
      </w:r>
    </w:p>
    <w:p>
      <w:pPr>
        <w:spacing w:line="288" w:lineRule="auto"/>
        <w:ind w:firstLine="480" w:firstLineChars="200"/>
        <w:rPr>
          <w:rFonts w:hint="eastAsia" w:ascii="宋体" w:hAnsi="宋体" w:eastAsia="宋体" w:cs="宋体"/>
          <w:bCs/>
          <w:sz w:val="24"/>
          <w:highlight w:val="none"/>
          <w:u w:val="single"/>
          <w:lang w:val="en-US" w:eastAsia="zh-CN"/>
        </w:rPr>
      </w:pPr>
      <w:r>
        <w:rPr>
          <w:rFonts w:hint="eastAsia" w:ascii="宋体" w:hAnsi="宋体" w:eastAsia="宋体" w:cs="宋体"/>
          <w:bCs/>
          <w:sz w:val="24"/>
          <w:highlight w:val="none"/>
        </w:rPr>
        <w:t>开标时间：</w:t>
      </w:r>
      <w:r>
        <w:rPr>
          <w:rFonts w:hint="eastAsia" w:ascii="宋体" w:hAnsi="宋体" w:eastAsia="宋体" w:cs="宋体"/>
          <w:sz w:val="24"/>
          <w:highlight w:val="none"/>
          <w:u w:val="single"/>
        </w:rPr>
        <w:t xml:space="preserve"> 2022年</w:t>
      </w:r>
      <w:r>
        <w:rPr>
          <w:rFonts w:hint="eastAsia" w:ascii="宋体" w:hAnsi="宋体" w:cs="宋体"/>
          <w:sz w:val="24"/>
          <w:highlight w:val="none"/>
          <w:u w:val="single"/>
          <w:lang w:val="en-US" w:eastAsia="zh-CN"/>
        </w:rPr>
        <w:t>11</w:t>
      </w:r>
      <w:r>
        <w:rPr>
          <w:rFonts w:hint="eastAsia" w:ascii="宋体" w:hAnsi="宋体" w:eastAsia="宋体" w:cs="宋体"/>
          <w:sz w:val="24"/>
          <w:highlight w:val="none"/>
          <w:u w:val="single"/>
        </w:rPr>
        <w:t>月</w:t>
      </w:r>
      <w:r>
        <w:rPr>
          <w:rFonts w:hint="eastAsia" w:ascii="宋体" w:hAnsi="宋体" w:cs="宋体"/>
          <w:sz w:val="24"/>
          <w:highlight w:val="none"/>
          <w:u w:val="single"/>
          <w:lang w:val="en-US" w:eastAsia="zh-CN"/>
        </w:rPr>
        <w:t>30</w:t>
      </w:r>
      <w:r>
        <w:rPr>
          <w:rFonts w:hint="eastAsia" w:ascii="宋体" w:hAnsi="宋体" w:eastAsia="宋体" w:cs="宋体"/>
          <w:sz w:val="24"/>
          <w:highlight w:val="none"/>
          <w:u w:val="single"/>
        </w:rPr>
        <w:t>日10:</w:t>
      </w:r>
      <w:r>
        <w:rPr>
          <w:rFonts w:hint="eastAsia" w:ascii="宋体" w:hAnsi="宋体" w:cs="宋体"/>
          <w:sz w:val="24"/>
          <w:highlight w:val="none"/>
          <w:u w:val="single"/>
          <w:lang w:val="en-US" w:eastAsia="zh-CN"/>
        </w:rPr>
        <w:t>3</w:t>
      </w:r>
      <w:r>
        <w:rPr>
          <w:rFonts w:hint="eastAsia" w:ascii="宋体" w:hAnsi="宋体" w:eastAsia="宋体" w:cs="宋体"/>
          <w:sz w:val="24"/>
          <w:highlight w:val="none"/>
          <w:u w:val="single"/>
        </w:rPr>
        <w:t>0</w:t>
      </w:r>
    </w:p>
    <w:p>
      <w:pPr>
        <w:spacing w:line="288"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开标地点：新疆政府采购网政采云平台（www.zcygov.cn）</w:t>
      </w:r>
    </w:p>
    <w:p>
      <w:pPr>
        <w:spacing w:line="288" w:lineRule="auto"/>
        <w:rPr>
          <w:rFonts w:hint="eastAsia" w:ascii="宋体" w:hAnsi="宋体" w:eastAsia="宋体" w:cs="宋体"/>
          <w:b/>
          <w:bCs/>
          <w:sz w:val="24"/>
          <w:highlight w:val="none"/>
        </w:rPr>
      </w:pPr>
      <w:r>
        <w:rPr>
          <w:rFonts w:hint="eastAsia" w:ascii="宋体" w:hAnsi="宋体" w:eastAsia="宋体" w:cs="宋体"/>
          <w:b/>
          <w:bCs/>
          <w:sz w:val="24"/>
          <w:highlight w:val="none"/>
        </w:rPr>
        <w:t>五、公告期限</w:t>
      </w:r>
      <w:bookmarkEnd w:id="17"/>
      <w:bookmarkEnd w:id="18"/>
      <w:bookmarkEnd w:id="19"/>
      <w:bookmarkEnd w:id="20"/>
    </w:p>
    <w:p>
      <w:pPr>
        <w:spacing w:line="288"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w:t>
      </w: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rPr>
        <w:t>个工作日。</w:t>
      </w:r>
    </w:p>
    <w:p>
      <w:pPr>
        <w:spacing w:line="288" w:lineRule="auto"/>
        <w:rPr>
          <w:rFonts w:hint="eastAsia" w:ascii="宋体" w:hAnsi="宋体" w:eastAsia="宋体" w:cs="宋体"/>
          <w:b/>
          <w:bCs/>
          <w:sz w:val="24"/>
          <w:highlight w:val="none"/>
        </w:rPr>
      </w:pPr>
      <w:bookmarkStart w:id="21" w:name="_Toc35393795"/>
      <w:bookmarkStart w:id="22" w:name="_Toc35393626"/>
      <w:r>
        <w:rPr>
          <w:rFonts w:hint="eastAsia" w:ascii="宋体" w:hAnsi="宋体" w:eastAsia="宋体" w:cs="宋体"/>
          <w:b/>
          <w:bCs/>
          <w:sz w:val="24"/>
          <w:highlight w:val="none"/>
        </w:rPr>
        <w:t>六、其他补充事宜</w:t>
      </w:r>
      <w:bookmarkEnd w:id="21"/>
      <w:bookmarkEnd w:id="22"/>
    </w:p>
    <w:p>
      <w:pPr>
        <w:spacing w:line="288" w:lineRule="auto"/>
        <w:rPr>
          <w:rFonts w:hint="eastAsia" w:ascii="宋体" w:hAnsi="宋体" w:eastAsia="宋体" w:cs="宋体"/>
          <w:kern w:val="0"/>
          <w:sz w:val="24"/>
          <w:szCs w:val="20"/>
          <w:highlight w:val="none"/>
        </w:rPr>
      </w:pPr>
      <w:bookmarkStart w:id="23" w:name="_Toc35393796"/>
      <w:bookmarkStart w:id="24" w:name="_Toc28359008"/>
      <w:bookmarkStart w:id="25" w:name="_Toc35393627"/>
      <w:bookmarkStart w:id="26" w:name="_Toc28359085"/>
      <w:r>
        <w:rPr>
          <w:rFonts w:hint="eastAsia" w:ascii="宋体" w:hAnsi="宋体" w:eastAsia="宋体" w:cs="宋体"/>
          <w:kern w:val="0"/>
          <w:sz w:val="24"/>
          <w:szCs w:val="20"/>
          <w:highlight w:val="none"/>
        </w:rPr>
        <w:t>（1）本项目为电子招投标项目，供应商需要使用CA加密设备，凡参加本项目供应商可通过新疆数字证书认证中心官网（https://www.xjca.com.cn/）或下载“新疆政务通”APP自行进行线上申领，或前往新疆克拉玛依市克拉玛依区迎宾路75号（中国银行大厦11楼营业部）或新疆克拉玛依市独山子区大庆东路3039号（市民服务中心三楼大厅）进行线下办理。如有操作性问题可与政采云在线客服进行咨询，咨询电话：400-881-7190。</w:t>
      </w:r>
      <w:r>
        <w:rPr>
          <w:rFonts w:hint="eastAsia" w:ascii="宋体" w:hAnsi="宋体" w:eastAsia="宋体" w:cs="宋体"/>
          <w:kern w:val="0"/>
          <w:sz w:val="24"/>
          <w:szCs w:val="20"/>
          <w:highlight w:val="none"/>
        </w:rPr>
        <w:br w:type="textWrapping"/>
      </w:r>
      <w:r>
        <w:rPr>
          <w:rFonts w:hint="eastAsia" w:ascii="宋体" w:hAnsi="宋体" w:eastAsia="宋体" w:cs="宋体"/>
          <w:kern w:val="0"/>
          <w:sz w:val="24"/>
          <w:szCs w:val="20"/>
          <w:highlight w:val="none"/>
        </w:rPr>
        <w:t>（2）本项目实行网上投标，采用电子响应文件，若供应商参与投标，应自行承担投标一切费用。</w:t>
      </w:r>
      <w:r>
        <w:rPr>
          <w:rFonts w:hint="eastAsia" w:ascii="宋体" w:hAnsi="宋体" w:eastAsia="宋体" w:cs="宋体"/>
          <w:kern w:val="0"/>
          <w:sz w:val="24"/>
          <w:szCs w:val="20"/>
          <w:highlight w:val="none"/>
        </w:rPr>
        <w:br w:type="textWrapping"/>
      </w:r>
      <w:r>
        <w:rPr>
          <w:rFonts w:hint="eastAsia" w:ascii="宋体" w:hAnsi="宋体" w:eastAsia="宋体" w:cs="宋体"/>
          <w:kern w:val="0"/>
          <w:sz w:val="24"/>
          <w:szCs w:val="20"/>
          <w:highlight w:val="none"/>
        </w:rPr>
        <w:t>（3）供应商应在开标前应确保成为新疆政府采购网正式注册入库供应商，并完成CA数字证书申领。因未注册入库、未办理CA数字证书等原因造成无法投标或投标失败等后果由供应商自行承担。</w:t>
      </w:r>
      <w:r>
        <w:rPr>
          <w:rFonts w:hint="eastAsia" w:ascii="宋体" w:hAnsi="宋体" w:eastAsia="宋体" w:cs="宋体"/>
          <w:kern w:val="0"/>
          <w:sz w:val="24"/>
          <w:szCs w:val="20"/>
          <w:highlight w:val="none"/>
        </w:rPr>
        <w:br w:type="textWrapping"/>
      </w:r>
      <w:r>
        <w:rPr>
          <w:rFonts w:hint="eastAsia" w:ascii="宋体" w:hAnsi="宋体" w:eastAsia="宋体" w:cs="宋体"/>
          <w:kern w:val="0"/>
          <w:sz w:val="24"/>
          <w:szCs w:val="20"/>
          <w:highlight w:val="none"/>
        </w:rPr>
        <w:t>（4）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r>
        <w:rPr>
          <w:rFonts w:hint="eastAsia" w:ascii="宋体" w:hAnsi="宋体" w:eastAsia="宋体" w:cs="宋体"/>
          <w:kern w:val="0"/>
          <w:sz w:val="24"/>
          <w:szCs w:val="20"/>
          <w:highlight w:val="none"/>
        </w:rPr>
        <w:br w:type="textWrapping"/>
      </w:r>
      <w:r>
        <w:rPr>
          <w:rFonts w:hint="eastAsia" w:ascii="宋体" w:hAnsi="宋体" w:eastAsia="宋体" w:cs="宋体"/>
          <w:kern w:val="0"/>
          <w:sz w:val="24"/>
          <w:szCs w:val="20"/>
          <w:highlight w:val="none"/>
        </w:rPr>
        <w:t>（5）供应商应当在递交响应文件截止时间前，将生成的“电子加密响应文件”上传递交至“政府采购云平台”，递交响应文件截止时间后上传递交的响应文件将被“政府采购云平台”拒收。</w:t>
      </w:r>
      <w:r>
        <w:rPr>
          <w:rFonts w:hint="eastAsia" w:ascii="宋体" w:hAnsi="宋体" w:eastAsia="宋体" w:cs="宋体"/>
          <w:kern w:val="0"/>
          <w:sz w:val="24"/>
          <w:szCs w:val="20"/>
          <w:highlight w:val="none"/>
        </w:rPr>
        <w:br w:type="textWrapping"/>
      </w:r>
      <w:r>
        <w:rPr>
          <w:rFonts w:hint="eastAsia" w:ascii="宋体" w:hAnsi="宋体" w:eastAsia="宋体" w:cs="宋体"/>
          <w:kern w:val="0"/>
          <w:sz w:val="24"/>
          <w:szCs w:val="20"/>
          <w:highlight w:val="none"/>
        </w:rPr>
        <w:t>（6）供应商登录政采云平台，在开标时间后30分钟内（2022年</w:t>
      </w:r>
      <w:r>
        <w:rPr>
          <w:rFonts w:hint="eastAsia" w:ascii="宋体" w:hAnsi="宋体" w:cs="宋体"/>
          <w:kern w:val="0"/>
          <w:sz w:val="24"/>
          <w:szCs w:val="20"/>
          <w:highlight w:val="none"/>
          <w:lang w:val="en-US" w:eastAsia="zh-CN"/>
        </w:rPr>
        <w:t>11</w:t>
      </w:r>
      <w:r>
        <w:rPr>
          <w:rFonts w:hint="eastAsia" w:ascii="宋体" w:hAnsi="宋体" w:eastAsia="宋体" w:cs="宋体"/>
          <w:kern w:val="0"/>
          <w:sz w:val="24"/>
          <w:szCs w:val="20"/>
          <w:highlight w:val="none"/>
        </w:rPr>
        <w:t>月</w:t>
      </w:r>
      <w:r>
        <w:rPr>
          <w:rFonts w:hint="eastAsia" w:ascii="宋体" w:hAnsi="宋体" w:cs="宋体"/>
          <w:kern w:val="0"/>
          <w:sz w:val="24"/>
          <w:szCs w:val="20"/>
          <w:highlight w:val="none"/>
          <w:lang w:val="en-US" w:eastAsia="zh-CN"/>
        </w:rPr>
        <w:t>30</w:t>
      </w:r>
      <w:r>
        <w:rPr>
          <w:rFonts w:hint="eastAsia" w:ascii="宋体" w:hAnsi="宋体" w:eastAsia="宋体" w:cs="宋体"/>
          <w:kern w:val="0"/>
          <w:sz w:val="24"/>
          <w:szCs w:val="20"/>
          <w:highlight w:val="none"/>
        </w:rPr>
        <w:t>日上午10：30-11：00）用“项目采购-开标评标”功能进行解密响应文件。若供应商在规定时间内（2022年</w:t>
      </w:r>
      <w:r>
        <w:rPr>
          <w:rFonts w:hint="eastAsia" w:ascii="宋体" w:hAnsi="宋体" w:cs="宋体"/>
          <w:kern w:val="0"/>
          <w:sz w:val="24"/>
          <w:szCs w:val="20"/>
          <w:highlight w:val="none"/>
          <w:lang w:val="en-US" w:eastAsia="zh-CN"/>
        </w:rPr>
        <w:t>11</w:t>
      </w:r>
      <w:r>
        <w:rPr>
          <w:rFonts w:hint="eastAsia" w:ascii="宋体" w:hAnsi="宋体" w:eastAsia="宋体" w:cs="宋体"/>
          <w:kern w:val="0"/>
          <w:sz w:val="24"/>
          <w:szCs w:val="20"/>
          <w:highlight w:val="none"/>
        </w:rPr>
        <w:t>月</w:t>
      </w:r>
      <w:r>
        <w:rPr>
          <w:rFonts w:hint="eastAsia" w:ascii="宋体" w:hAnsi="宋体" w:cs="宋体"/>
          <w:kern w:val="0"/>
          <w:sz w:val="24"/>
          <w:szCs w:val="20"/>
          <w:highlight w:val="none"/>
          <w:lang w:val="en-US" w:eastAsia="zh-CN"/>
        </w:rPr>
        <w:t>30</w:t>
      </w:r>
      <w:r>
        <w:rPr>
          <w:rFonts w:hint="eastAsia" w:ascii="宋体" w:hAnsi="宋体" w:eastAsia="宋体" w:cs="宋体"/>
          <w:kern w:val="0"/>
          <w:sz w:val="24"/>
          <w:szCs w:val="20"/>
          <w:highlight w:val="none"/>
        </w:rPr>
        <w:t>日上午10：30-11：00）未按时解密的，视为无效投标。解密与加密响应文件须使用同一个CA。  </w:t>
      </w:r>
    </w:p>
    <w:p>
      <w:pPr>
        <w:spacing w:line="288" w:lineRule="auto"/>
        <w:rPr>
          <w:rFonts w:hint="eastAsia" w:ascii="宋体" w:hAnsi="宋体" w:eastAsia="宋体" w:cs="宋体"/>
          <w:b/>
          <w:bCs/>
          <w:sz w:val="24"/>
          <w:highlight w:val="none"/>
        </w:rPr>
      </w:pPr>
      <w:r>
        <w:rPr>
          <w:rFonts w:hint="eastAsia" w:ascii="宋体" w:hAnsi="宋体" w:eastAsia="宋体" w:cs="宋体"/>
          <w:b/>
          <w:bCs/>
          <w:sz w:val="24"/>
          <w:highlight w:val="none"/>
        </w:rPr>
        <w:t>七、</w:t>
      </w:r>
      <w:bookmarkEnd w:id="23"/>
      <w:bookmarkEnd w:id="24"/>
      <w:bookmarkEnd w:id="25"/>
      <w:bookmarkEnd w:id="26"/>
      <w:r>
        <w:rPr>
          <w:rFonts w:hint="eastAsia" w:ascii="宋体" w:hAnsi="宋体" w:eastAsia="宋体" w:cs="宋体"/>
          <w:b/>
          <w:bCs/>
          <w:sz w:val="24"/>
          <w:highlight w:val="none"/>
        </w:rPr>
        <w:t>对本次采购提出询问，请按以下方式联系</w:t>
      </w:r>
    </w:p>
    <w:p>
      <w:pPr>
        <w:widowControl/>
        <w:spacing w:line="288" w:lineRule="auto"/>
        <w:jc w:val="left"/>
        <w:rPr>
          <w:rFonts w:hint="eastAsia" w:ascii="宋体" w:hAnsi="宋体" w:eastAsia="宋体" w:cs="宋体"/>
          <w:sz w:val="24"/>
          <w:highlight w:val="none"/>
        </w:rPr>
      </w:pPr>
      <w:r>
        <w:rPr>
          <w:rFonts w:hint="eastAsia" w:ascii="宋体" w:hAnsi="宋体" w:eastAsia="宋体" w:cs="宋体"/>
          <w:sz w:val="24"/>
          <w:highlight w:val="none"/>
        </w:rPr>
        <w:t>　　　1.采购人信息</w:t>
      </w:r>
    </w:p>
    <w:p>
      <w:pPr>
        <w:spacing w:line="288"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名称：克拉玛依市中心医院</w:t>
      </w:r>
    </w:p>
    <w:p>
      <w:pPr>
        <w:spacing w:line="288"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地址：</w:t>
      </w:r>
      <w:bookmarkStart w:id="27" w:name="_Toc28359009"/>
      <w:bookmarkStart w:id="28" w:name="_Toc28359086"/>
      <w:r>
        <w:rPr>
          <w:rFonts w:hint="eastAsia" w:ascii="宋体" w:hAnsi="宋体" w:eastAsia="宋体" w:cs="宋体"/>
          <w:sz w:val="24"/>
          <w:highlight w:val="none"/>
        </w:rPr>
        <w:t>克拉玛依市准噶尔路67号</w:t>
      </w:r>
    </w:p>
    <w:p>
      <w:pPr>
        <w:pStyle w:val="2"/>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 xml:space="preserve">     </w:t>
      </w:r>
      <w:r>
        <w:rPr>
          <w:rFonts w:hint="eastAsia" w:ascii="宋体" w:hAnsi="宋体" w:eastAsia="宋体" w:cs="宋体"/>
          <w:kern w:val="2"/>
          <w:sz w:val="24"/>
          <w:szCs w:val="24"/>
          <w:highlight w:val="none"/>
          <w:lang w:val="en-US" w:eastAsia="zh-CN" w:bidi="ar-SA"/>
        </w:rPr>
        <w:t xml:space="preserve"> 联系人：宋军</w:t>
      </w:r>
    </w:p>
    <w:p>
      <w:pPr>
        <w:spacing w:line="288" w:lineRule="auto"/>
        <w:ind w:left="1079" w:leftChars="371" w:hanging="300" w:hangingChars="125"/>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联系方式：</w:t>
      </w:r>
      <w:r>
        <w:rPr>
          <w:rFonts w:hint="eastAsia" w:ascii="宋体" w:hAnsi="宋体" w:cs="宋体"/>
          <w:sz w:val="24"/>
          <w:highlight w:val="none"/>
          <w:lang w:val="en-US" w:eastAsia="zh-CN"/>
        </w:rPr>
        <w:t xml:space="preserve">0990-6861259 </w:t>
      </w:r>
    </w:p>
    <w:p>
      <w:pPr>
        <w:spacing w:line="288"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2.采购代理机构信息</w:t>
      </w:r>
      <w:bookmarkEnd w:id="27"/>
      <w:bookmarkEnd w:id="28"/>
    </w:p>
    <w:p>
      <w:pPr>
        <w:spacing w:line="288"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名称：新疆卓捷工程造价咨询有限公司</w:t>
      </w:r>
    </w:p>
    <w:p>
      <w:pPr>
        <w:spacing w:line="288" w:lineRule="auto"/>
        <w:ind w:firstLine="720" w:firstLineChars="300"/>
        <w:rPr>
          <w:rFonts w:hint="default" w:ascii="宋体" w:hAnsi="宋体" w:eastAsia="宋体" w:cs="宋体"/>
          <w:sz w:val="24"/>
          <w:highlight w:val="none"/>
          <w:lang w:val="en-US" w:eastAsia="zh-CN"/>
        </w:rPr>
      </w:pPr>
      <w:r>
        <w:rPr>
          <w:rFonts w:hint="eastAsia" w:ascii="宋体" w:hAnsi="宋体" w:eastAsia="宋体" w:cs="宋体"/>
          <w:sz w:val="24"/>
          <w:highlight w:val="none"/>
        </w:rPr>
        <w:t>地址：克拉玛依市和谐智源城8楼</w:t>
      </w:r>
      <w:r>
        <w:rPr>
          <w:rFonts w:hint="eastAsia" w:ascii="宋体" w:hAnsi="宋体" w:cs="宋体"/>
          <w:sz w:val="24"/>
          <w:highlight w:val="none"/>
          <w:lang w:val="en-US" w:eastAsia="zh-CN"/>
        </w:rPr>
        <w:t>801</w:t>
      </w:r>
    </w:p>
    <w:p>
      <w:pPr>
        <w:spacing w:line="288"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项目联系人：</w:t>
      </w:r>
      <w:r>
        <w:rPr>
          <w:rFonts w:hint="eastAsia" w:ascii="宋体" w:hAnsi="宋体" w:eastAsia="宋体" w:cs="宋体"/>
          <w:sz w:val="24"/>
          <w:highlight w:val="none"/>
          <w:lang w:eastAsia="zh-CN"/>
        </w:rPr>
        <w:t>李金蕊、</w:t>
      </w:r>
      <w:r>
        <w:rPr>
          <w:rFonts w:hint="eastAsia" w:ascii="宋体" w:hAnsi="宋体" w:eastAsia="宋体" w:cs="宋体"/>
          <w:sz w:val="24"/>
          <w:highlight w:val="none"/>
        </w:rPr>
        <w:t xml:space="preserve">陈鑫 </w:t>
      </w:r>
    </w:p>
    <w:p>
      <w:pPr>
        <w:spacing w:line="288" w:lineRule="auto"/>
        <w:ind w:firstLine="720" w:firstLineChars="300"/>
        <w:rPr>
          <w:rFonts w:hint="eastAsia" w:ascii="宋体" w:hAnsi="宋体" w:eastAsia="宋体" w:cs="宋体"/>
          <w:sz w:val="24"/>
          <w:highlight w:val="none"/>
          <w:lang w:val="en-US" w:eastAsia="zh-CN"/>
        </w:rPr>
      </w:pPr>
      <w:r>
        <w:rPr>
          <w:rFonts w:hint="eastAsia" w:ascii="宋体" w:hAnsi="宋体" w:eastAsia="宋体" w:cs="宋体"/>
          <w:sz w:val="24"/>
          <w:highlight w:val="none"/>
        </w:rPr>
        <w:t>联系方式：0990-6666534、</w:t>
      </w:r>
      <w:r>
        <w:rPr>
          <w:rFonts w:hint="eastAsia" w:ascii="宋体" w:hAnsi="宋体" w:eastAsia="宋体" w:cs="宋体"/>
          <w:sz w:val="24"/>
          <w:highlight w:val="none"/>
          <w:lang w:val="en-US" w:eastAsia="zh-CN"/>
        </w:rPr>
        <w:t>15909900603</w:t>
      </w:r>
    </w:p>
    <w:p>
      <w:pPr>
        <w:spacing w:line="288" w:lineRule="auto"/>
        <w:ind w:firstLine="720" w:firstLineChars="300"/>
        <w:rPr>
          <w:rFonts w:hint="eastAsia" w:ascii="宋体" w:hAnsi="宋体" w:eastAsia="宋体" w:cs="宋体"/>
          <w:highlight w:val="none"/>
        </w:rPr>
      </w:pPr>
      <w:r>
        <w:rPr>
          <w:rFonts w:hint="eastAsia" w:ascii="宋体" w:hAnsi="宋体" w:eastAsia="宋体" w:cs="宋体"/>
          <w:sz w:val="24"/>
          <w:highlight w:val="none"/>
        </w:rPr>
        <w:t>邮箱：</w:t>
      </w:r>
      <w:r>
        <w:rPr>
          <w:rFonts w:hint="eastAsia" w:ascii="宋体" w:hAnsi="宋体" w:eastAsia="宋体" w:cs="宋体"/>
          <w:sz w:val="24"/>
          <w:highlight w:val="none"/>
          <w:lang w:eastAsia="zh-CN"/>
        </w:rPr>
        <w:t>1090258936</w:t>
      </w:r>
      <w:r>
        <w:rPr>
          <w:rFonts w:hint="eastAsia" w:ascii="宋体" w:hAnsi="宋体" w:eastAsia="宋体" w:cs="宋体"/>
          <w:sz w:val="24"/>
          <w:highlight w:val="none"/>
        </w:rPr>
        <w:t>@qq.com</w:t>
      </w:r>
    </w:p>
    <w:p>
      <w:pPr>
        <w:widowControl/>
        <w:spacing w:line="288" w:lineRule="auto"/>
        <w:ind w:firstLine="720" w:firstLineChars="300"/>
        <w:jc w:val="left"/>
        <w:rPr>
          <w:rFonts w:hint="eastAsia" w:ascii="宋体" w:hAnsi="宋体" w:eastAsia="宋体" w:cs="宋体"/>
          <w:sz w:val="24"/>
          <w:highlight w:val="none"/>
        </w:rPr>
      </w:pPr>
      <w:r>
        <w:rPr>
          <w:rFonts w:hint="eastAsia" w:ascii="宋体" w:hAnsi="宋体" w:eastAsia="宋体" w:cs="宋体"/>
          <w:sz w:val="24"/>
          <w:highlight w:val="none"/>
        </w:rPr>
        <w:t>3.项目联系方式</w:t>
      </w:r>
    </w:p>
    <w:p>
      <w:pPr>
        <w:widowControl/>
        <w:spacing w:line="288" w:lineRule="auto"/>
        <w:ind w:firstLine="720" w:firstLineChars="300"/>
        <w:jc w:val="left"/>
        <w:rPr>
          <w:rFonts w:hint="eastAsia" w:ascii="宋体" w:hAnsi="宋体" w:eastAsia="宋体" w:cs="宋体"/>
          <w:sz w:val="24"/>
          <w:highlight w:val="none"/>
        </w:rPr>
      </w:pPr>
      <w:r>
        <w:rPr>
          <w:rFonts w:hint="eastAsia" w:ascii="宋体" w:hAnsi="宋体" w:eastAsia="宋体" w:cs="宋体"/>
          <w:sz w:val="24"/>
          <w:highlight w:val="none"/>
        </w:rPr>
        <w:t>项目联系人：</w:t>
      </w:r>
      <w:r>
        <w:rPr>
          <w:rFonts w:hint="eastAsia" w:ascii="宋体" w:hAnsi="宋体" w:eastAsia="宋体" w:cs="宋体"/>
          <w:sz w:val="24"/>
          <w:highlight w:val="none"/>
          <w:lang w:eastAsia="zh-CN"/>
        </w:rPr>
        <w:t>李金蕊、</w:t>
      </w:r>
      <w:r>
        <w:rPr>
          <w:rFonts w:hint="eastAsia" w:ascii="宋体" w:hAnsi="宋体" w:eastAsia="宋体" w:cs="宋体"/>
          <w:sz w:val="24"/>
          <w:highlight w:val="none"/>
        </w:rPr>
        <w:t>陈鑫</w:t>
      </w:r>
    </w:p>
    <w:p>
      <w:pPr>
        <w:widowControl/>
        <w:spacing w:line="288" w:lineRule="auto"/>
        <w:ind w:firstLine="720" w:firstLineChars="300"/>
        <w:jc w:val="left"/>
        <w:rPr>
          <w:rFonts w:hint="eastAsia" w:ascii="宋体" w:hAnsi="宋体" w:eastAsia="宋体" w:cs="宋体"/>
          <w:highlight w:val="none"/>
        </w:rPr>
      </w:pPr>
      <w:r>
        <w:rPr>
          <w:rFonts w:hint="eastAsia" w:ascii="宋体" w:hAnsi="宋体" w:eastAsia="宋体" w:cs="宋体"/>
          <w:sz w:val="24"/>
          <w:highlight w:val="none"/>
        </w:rPr>
        <w:t>电 话：</w:t>
      </w:r>
      <w:r>
        <w:rPr>
          <w:rFonts w:hint="eastAsia" w:ascii="宋体" w:hAnsi="宋体" w:eastAsia="宋体" w:cs="宋体"/>
          <w:sz w:val="24"/>
          <w:highlight w:val="none"/>
          <w:lang w:val="en-US" w:eastAsia="zh-CN"/>
        </w:rPr>
        <w:t>15909900603、</w:t>
      </w:r>
      <w:r>
        <w:rPr>
          <w:rFonts w:hint="eastAsia" w:ascii="宋体" w:hAnsi="宋体" w:eastAsia="宋体" w:cs="宋体"/>
          <w:sz w:val="24"/>
          <w:highlight w:val="none"/>
        </w:rPr>
        <w:t>0990-6666534</w:t>
      </w: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第二章 </w:t>
      </w:r>
      <w:bookmarkStart w:id="29" w:name="_Toc154996575"/>
      <w:r>
        <w:rPr>
          <w:rFonts w:hint="eastAsia" w:ascii="宋体" w:hAnsi="宋体" w:eastAsia="宋体" w:cs="宋体"/>
          <w:b/>
          <w:sz w:val="28"/>
          <w:szCs w:val="28"/>
          <w:highlight w:val="none"/>
        </w:rPr>
        <w:t>投标人须知</w:t>
      </w:r>
    </w:p>
    <w:p>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前附表</w:t>
      </w:r>
    </w:p>
    <w:tbl>
      <w:tblPr>
        <w:tblStyle w:val="17"/>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90" w:type="dxa"/>
            <w:vAlign w:val="center"/>
          </w:tcPr>
          <w:p>
            <w:pPr>
              <w:pStyle w:val="8"/>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8949" w:type="dxa"/>
            <w:vAlign w:val="center"/>
          </w:tcPr>
          <w:p>
            <w:pPr>
              <w:pStyle w:val="8"/>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90" w:type="dxa"/>
            <w:vAlign w:val="center"/>
          </w:tcPr>
          <w:p>
            <w:pPr>
              <w:pStyle w:val="8"/>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949" w:type="dxa"/>
            <w:vAlign w:val="center"/>
          </w:tcPr>
          <w:p>
            <w:pPr>
              <w:pStyle w:val="15"/>
              <w:spacing w:before="0" w:beforeAutospacing="0" w:after="0" w:afterAutospacing="0" w:line="340" w:lineRule="exact"/>
              <w:rPr>
                <w:rFonts w:hint="eastAsia" w:ascii="宋体" w:hAnsi="宋体" w:eastAsia="宋体" w:cs="宋体"/>
                <w:highlight w:val="none"/>
                <w:lang w:eastAsia="zh-CN"/>
              </w:rPr>
            </w:pPr>
            <w:r>
              <w:rPr>
                <w:rFonts w:hint="eastAsia" w:ascii="宋体" w:hAnsi="宋体" w:eastAsia="宋体" w:cs="宋体"/>
                <w:highlight w:val="none"/>
              </w:rPr>
              <w:t>项目名称：</w:t>
            </w:r>
            <w:r>
              <w:rPr>
                <w:rFonts w:hint="eastAsia" w:ascii="宋体" w:hAnsi="宋体" w:eastAsia="宋体" w:cs="宋体"/>
                <w:highlight w:val="none"/>
                <w:lang w:eastAsia="zh-CN"/>
              </w:rPr>
              <w:t>克拉玛依市中心医院碘[125I]密封籽源项目</w:t>
            </w:r>
          </w:p>
          <w:p>
            <w:pPr>
              <w:pStyle w:val="8"/>
              <w:spacing w:line="3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招标文件编号：XJZJ-202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(采购）-0</w:t>
            </w:r>
            <w:r>
              <w:rPr>
                <w:rFonts w:hint="eastAsia" w:ascii="宋体" w:hAnsi="宋体" w:eastAsia="宋体" w:cs="宋体"/>
                <w:sz w:val="24"/>
                <w:szCs w:val="24"/>
                <w:highlight w:val="no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90" w:type="dxa"/>
            <w:vAlign w:val="center"/>
          </w:tcPr>
          <w:p>
            <w:pPr>
              <w:pStyle w:val="8"/>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949" w:type="dxa"/>
            <w:vAlign w:val="center"/>
          </w:tcPr>
          <w:p>
            <w:pPr>
              <w:autoSpaceDE w:val="0"/>
              <w:autoSpaceDN w:val="0"/>
              <w:adjustRightInd w:val="0"/>
              <w:spacing w:line="340" w:lineRule="exact"/>
              <w:ind w:left="1200" w:hanging="1200" w:hangingChars="500"/>
              <w:rPr>
                <w:rFonts w:hint="eastAsia" w:ascii="宋体" w:hAnsi="宋体" w:eastAsia="宋体" w:cs="宋体"/>
                <w:sz w:val="24"/>
                <w:highlight w:val="none"/>
              </w:rPr>
            </w:pPr>
            <w:r>
              <w:rPr>
                <w:rFonts w:hint="eastAsia" w:ascii="宋体" w:hAnsi="宋体" w:eastAsia="宋体" w:cs="宋体"/>
                <w:sz w:val="24"/>
                <w:highlight w:val="none"/>
              </w:rPr>
              <w:t>采购人：克拉玛依市中心医院</w:t>
            </w:r>
          </w:p>
          <w:p>
            <w:pPr>
              <w:autoSpaceDE w:val="0"/>
              <w:autoSpaceDN w:val="0"/>
              <w:adjustRightInd w:val="0"/>
              <w:spacing w:line="340" w:lineRule="exact"/>
              <w:ind w:left="1200" w:hanging="1200" w:hangingChars="500"/>
              <w:rPr>
                <w:rFonts w:hint="eastAsia" w:ascii="宋体" w:hAnsi="宋体" w:eastAsia="宋体" w:cs="宋体"/>
                <w:sz w:val="24"/>
                <w:highlight w:val="none"/>
              </w:rPr>
            </w:pPr>
            <w:r>
              <w:rPr>
                <w:rFonts w:hint="eastAsia" w:ascii="宋体" w:hAnsi="宋体" w:eastAsia="宋体" w:cs="宋体"/>
                <w:sz w:val="24"/>
                <w:highlight w:val="none"/>
              </w:rPr>
              <w:t xml:space="preserve">地址：克拉玛依市准噶尔路67号  </w:t>
            </w:r>
          </w:p>
          <w:p>
            <w:pPr>
              <w:pStyle w:val="8"/>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hAnsi="宋体" w:cs="宋体"/>
                <w:sz w:val="24"/>
                <w:szCs w:val="24"/>
                <w:highlight w:val="none"/>
                <w:lang w:eastAsia="zh-CN"/>
              </w:rPr>
              <w:t>宋军</w:t>
            </w:r>
            <w:r>
              <w:rPr>
                <w:rFonts w:hint="eastAsia" w:ascii="宋体" w:hAnsi="宋体" w:eastAsia="宋体" w:cs="宋体"/>
                <w:sz w:val="24"/>
                <w:szCs w:val="24"/>
                <w:highlight w:val="none"/>
              </w:rPr>
              <w:t xml:space="preserve">       联系电话：0990-6861259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90" w:type="dxa"/>
            <w:vAlign w:val="center"/>
          </w:tcPr>
          <w:p>
            <w:pPr>
              <w:pStyle w:val="8"/>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949" w:type="dxa"/>
            <w:vAlign w:val="center"/>
          </w:tcPr>
          <w:p>
            <w:pPr>
              <w:pStyle w:val="8"/>
              <w:spacing w:line="3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采购代理机构：新疆卓捷工程造价咨询有限公司</w:t>
            </w:r>
          </w:p>
          <w:p>
            <w:pPr>
              <w:pStyle w:val="8"/>
              <w:spacing w:line="3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地址：新疆克拉玛依市和谐智源城8楼</w:t>
            </w:r>
          </w:p>
          <w:p>
            <w:pPr>
              <w:pStyle w:val="8"/>
              <w:spacing w:line="340" w:lineRule="exact"/>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CN"/>
              </w:rPr>
              <w:t>李金蕊</w:t>
            </w: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rPr>
              <w:t xml:space="preserve"> 联系电话：0990-6666534、</w:t>
            </w:r>
            <w:r>
              <w:rPr>
                <w:rFonts w:hint="eastAsia" w:ascii="宋体" w:hAnsi="宋体" w:eastAsia="宋体" w:cs="宋体"/>
                <w:bCs/>
                <w:sz w:val="24"/>
                <w:szCs w:val="24"/>
                <w:highlight w:val="none"/>
                <w:lang w:eastAsia="zh-CN"/>
              </w:rPr>
              <w:t>15909900603</w:t>
            </w:r>
          </w:p>
          <w:p>
            <w:pPr>
              <w:pStyle w:val="8"/>
              <w:spacing w:line="3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文件费缴费单位：新疆卓捷工程造价咨询有限公司克拉玛依市分公司</w:t>
            </w:r>
          </w:p>
          <w:p>
            <w:pPr>
              <w:pStyle w:val="8"/>
              <w:spacing w:line="34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开户银行：中国建设银行股份有限公司克拉玛依朝阳支行</w:t>
            </w:r>
          </w:p>
          <w:p>
            <w:pPr>
              <w:pStyle w:val="8"/>
              <w:spacing w:line="34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账户：65050189865000000187</w:t>
            </w:r>
          </w:p>
          <w:p>
            <w:pPr>
              <w:pStyle w:val="8"/>
              <w:spacing w:line="3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行  号：105882000134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90" w:type="dxa"/>
            <w:vAlign w:val="center"/>
          </w:tcPr>
          <w:p>
            <w:pPr>
              <w:pStyle w:val="8"/>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949" w:type="dxa"/>
            <w:vAlign w:val="center"/>
          </w:tcPr>
          <w:p>
            <w:pPr>
              <w:pStyle w:val="8"/>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投标文件有效期：递交投标文件截止之日起90天（日历日）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790" w:type="dxa"/>
            <w:vAlign w:val="center"/>
          </w:tcPr>
          <w:p>
            <w:pPr>
              <w:pStyle w:val="8"/>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949" w:type="dxa"/>
            <w:vAlign w:val="center"/>
          </w:tcPr>
          <w:p>
            <w:pPr>
              <w:spacing w:line="340" w:lineRule="exact"/>
              <w:jc w:val="left"/>
              <w:rPr>
                <w:rFonts w:hint="eastAsia" w:ascii="宋体" w:hAnsi="宋体" w:eastAsia="宋体" w:cs="宋体"/>
                <w:b/>
                <w:bCs/>
                <w:sz w:val="24"/>
                <w:highlight w:val="none"/>
              </w:rPr>
            </w:pPr>
            <w:r>
              <w:rPr>
                <w:rFonts w:hint="eastAsia" w:ascii="宋体" w:hAnsi="宋体" w:eastAsia="宋体" w:cs="宋体"/>
                <w:b/>
                <w:bCs/>
                <w:sz w:val="24"/>
                <w:highlight w:val="none"/>
              </w:rPr>
              <w:t>采购人不统一组织考察，各投标人自行对招标项目进行考察。</w:t>
            </w:r>
          </w:p>
          <w:p>
            <w:pPr>
              <w:spacing w:line="340" w:lineRule="exact"/>
              <w:rPr>
                <w:rFonts w:hint="eastAsia" w:ascii="宋体" w:hAnsi="宋体" w:eastAsia="宋体" w:cs="宋体"/>
                <w:sz w:val="24"/>
                <w:highlight w:val="none"/>
              </w:rPr>
            </w:pPr>
            <w:r>
              <w:rPr>
                <w:rFonts w:hint="eastAsia" w:ascii="宋体" w:hAnsi="宋体" w:eastAsia="宋体" w:cs="宋体"/>
                <w:sz w:val="24"/>
                <w:highlight w:val="none"/>
              </w:rPr>
              <w:t>各投标人如有疑问，于2022年</w:t>
            </w:r>
            <w:r>
              <w:rPr>
                <w:rFonts w:hint="eastAsia" w:ascii="宋体" w:hAnsi="宋体" w:cs="宋体"/>
                <w:sz w:val="24"/>
                <w:highlight w:val="none"/>
                <w:lang w:val="en-US" w:eastAsia="zh-CN"/>
              </w:rPr>
              <w:t>11</w:t>
            </w:r>
            <w:r>
              <w:rPr>
                <w:rFonts w:hint="eastAsia" w:ascii="宋体" w:hAnsi="宋体" w:eastAsia="宋体" w:cs="宋体"/>
                <w:sz w:val="24"/>
                <w:highlight w:val="none"/>
              </w:rPr>
              <w:t>月</w:t>
            </w:r>
            <w:r>
              <w:rPr>
                <w:rFonts w:hint="eastAsia" w:ascii="宋体" w:hAnsi="宋体" w:cs="宋体"/>
                <w:sz w:val="24"/>
                <w:highlight w:val="none"/>
                <w:lang w:val="en-US" w:eastAsia="zh-CN"/>
              </w:rPr>
              <w:t>20</w:t>
            </w:r>
            <w:r>
              <w:rPr>
                <w:rFonts w:hint="eastAsia" w:ascii="宋体" w:hAnsi="宋体" w:eastAsia="宋体" w:cs="宋体"/>
                <w:sz w:val="24"/>
                <w:highlight w:val="none"/>
              </w:rPr>
              <w:t>日19：00前将有关疑问以扫描件形式（必须加盖投标人公章）发送到邮箱：</w:t>
            </w:r>
            <w:r>
              <w:rPr>
                <w:rFonts w:hint="eastAsia" w:ascii="宋体" w:hAnsi="宋体" w:eastAsia="宋体" w:cs="宋体"/>
                <w:sz w:val="24"/>
                <w:highlight w:val="none"/>
                <w:lang w:eastAsia="zh-CN"/>
              </w:rPr>
              <w:t>1090258936</w:t>
            </w:r>
            <w:r>
              <w:rPr>
                <w:rFonts w:hint="eastAsia" w:ascii="宋体" w:hAnsi="宋体" w:eastAsia="宋体" w:cs="宋体"/>
                <w:sz w:val="24"/>
                <w:highlight w:val="none"/>
              </w:rPr>
              <w:t>@qq.com ，采购人将对所提疑问以书面形式通知至领取招标文件的每位投标人，超过此时间所提疑问采购人或招标代理机构均不予答复。</w:t>
            </w:r>
          </w:p>
          <w:p>
            <w:pPr>
              <w:spacing w:line="340" w:lineRule="exact"/>
              <w:rPr>
                <w:rFonts w:hint="eastAsia" w:ascii="宋体" w:hAnsi="宋体" w:eastAsia="宋体" w:cs="宋体"/>
                <w:sz w:val="24"/>
                <w:highlight w:val="none"/>
              </w:rPr>
            </w:pPr>
            <w:r>
              <w:rPr>
                <w:rFonts w:hint="eastAsia" w:ascii="宋体" w:hAnsi="宋体" w:eastAsia="宋体" w:cs="宋体"/>
                <w:sz w:val="24"/>
                <w:highlight w:val="none"/>
              </w:rPr>
              <w:t>联系人：陈鑫   联系电话：0990-6666534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90" w:type="dxa"/>
            <w:vAlign w:val="center"/>
          </w:tcPr>
          <w:p>
            <w:pPr>
              <w:pStyle w:val="8"/>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949" w:type="dxa"/>
            <w:vAlign w:val="center"/>
          </w:tcPr>
          <w:p>
            <w:pPr>
              <w:spacing w:line="288" w:lineRule="auto"/>
              <w:rPr>
                <w:rFonts w:hint="eastAsia" w:ascii="宋体" w:hAnsi="宋体" w:eastAsia="宋体" w:cs="宋体"/>
                <w:sz w:val="24"/>
                <w:highlight w:val="none"/>
              </w:rPr>
            </w:pPr>
            <w:r>
              <w:rPr>
                <w:rFonts w:hint="eastAsia" w:ascii="宋体" w:hAnsi="宋体" w:eastAsia="宋体" w:cs="宋体"/>
                <w:color w:val="auto"/>
                <w:kern w:val="2"/>
                <w:sz w:val="24"/>
                <w:szCs w:val="24"/>
                <w:highlight w:val="none"/>
                <w:lang w:val="en-US" w:eastAsia="zh-CN"/>
              </w:rPr>
              <w:t>响应文件的份数：</w:t>
            </w:r>
            <w:r>
              <w:rPr>
                <w:rFonts w:hint="eastAsia" w:ascii="宋体" w:hAnsi="宋体" w:cs="宋体"/>
                <w:color w:val="auto"/>
                <w:kern w:val="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4" w:hRule="atLeast"/>
          <w:jc w:val="center"/>
        </w:trPr>
        <w:tc>
          <w:tcPr>
            <w:tcW w:w="790" w:type="dxa"/>
            <w:vAlign w:val="center"/>
          </w:tcPr>
          <w:p>
            <w:pPr>
              <w:pStyle w:val="8"/>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8949" w:type="dxa"/>
            <w:vAlign w:val="center"/>
          </w:tcPr>
          <w:p>
            <w:pPr>
              <w:pStyle w:val="8"/>
              <w:spacing w:line="288"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递交响应文件截止时间</w:t>
            </w:r>
            <w:r>
              <w:rPr>
                <w:rFonts w:hint="eastAsia" w:ascii="宋体" w:hAnsi="宋体" w:eastAsia="宋体" w:cs="宋体"/>
                <w:sz w:val="24"/>
                <w:szCs w:val="24"/>
                <w:highlight w:val="none"/>
              </w:rPr>
              <w:t xml:space="preserve">： </w:t>
            </w:r>
            <w:r>
              <w:rPr>
                <w:rFonts w:hint="eastAsia" w:ascii="宋体" w:hAnsi="宋体" w:eastAsia="宋体" w:cs="宋体"/>
                <w:sz w:val="24"/>
                <w:highlight w:val="none"/>
                <w:u w:val="single"/>
              </w:rPr>
              <w:t xml:space="preserve"> 2022年</w:t>
            </w:r>
            <w:r>
              <w:rPr>
                <w:rFonts w:hint="eastAsia" w:ascii="宋体" w:hAnsi="宋体" w:cs="宋体"/>
                <w:sz w:val="24"/>
                <w:highlight w:val="none"/>
                <w:u w:val="single"/>
                <w:lang w:val="en-US" w:eastAsia="zh-CN"/>
              </w:rPr>
              <w:t>11</w:t>
            </w:r>
            <w:r>
              <w:rPr>
                <w:rFonts w:hint="eastAsia" w:ascii="宋体" w:hAnsi="宋体" w:eastAsia="宋体" w:cs="宋体"/>
                <w:sz w:val="24"/>
                <w:highlight w:val="none"/>
                <w:u w:val="single"/>
              </w:rPr>
              <w:t>月</w:t>
            </w:r>
            <w:r>
              <w:rPr>
                <w:rFonts w:hint="eastAsia" w:ascii="宋体" w:hAnsi="宋体" w:cs="宋体"/>
                <w:sz w:val="24"/>
                <w:highlight w:val="none"/>
                <w:u w:val="single"/>
                <w:lang w:val="en-US" w:eastAsia="zh-CN"/>
              </w:rPr>
              <w:t>30</w:t>
            </w:r>
            <w:r>
              <w:rPr>
                <w:rFonts w:hint="eastAsia" w:ascii="宋体" w:hAnsi="宋体" w:eastAsia="宋体" w:cs="宋体"/>
                <w:sz w:val="24"/>
                <w:highlight w:val="none"/>
                <w:u w:val="single"/>
              </w:rPr>
              <w:t>日10:</w:t>
            </w:r>
            <w:r>
              <w:rPr>
                <w:rFonts w:hint="eastAsia" w:ascii="宋体" w:hAnsi="宋体" w:cs="宋体"/>
                <w:sz w:val="24"/>
                <w:highlight w:val="none"/>
                <w:u w:val="single"/>
                <w:lang w:val="en-US" w:eastAsia="zh-CN"/>
              </w:rPr>
              <w:t>3</w:t>
            </w:r>
            <w:r>
              <w:rPr>
                <w:rFonts w:hint="eastAsia" w:ascii="宋体" w:hAnsi="宋体" w:eastAsia="宋体" w:cs="宋体"/>
                <w:sz w:val="24"/>
                <w:highlight w:val="none"/>
                <w:u w:val="single"/>
              </w:rPr>
              <w:t>0</w:t>
            </w:r>
          </w:p>
          <w:p>
            <w:pPr>
              <w:pStyle w:val="8"/>
              <w:spacing w:line="288"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递交响应文件地点</w:t>
            </w:r>
            <w:r>
              <w:rPr>
                <w:rFonts w:hint="eastAsia" w:ascii="宋体" w:hAnsi="宋体" w:eastAsia="宋体" w:cs="宋体"/>
                <w:sz w:val="24"/>
                <w:szCs w:val="24"/>
                <w:highlight w:val="none"/>
              </w:rPr>
              <w:t>：新疆政府采购网政采云平台（www.zcygov.cn）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vAlign w:val="center"/>
          </w:tcPr>
          <w:p>
            <w:pPr>
              <w:pStyle w:val="8"/>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8949" w:type="dxa"/>
            <w:vAlign w:val="center"/>
          </w:tcPr>
          <w:p>
            <w:pPr>
              <w:pStyle w:val="8"/>
              <w:spacing w:line="34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投标人应当在投标截止时间前，将生成的“电子加密投标文件”上传递交至“政府采购云平台”，投标截止时间以后上传递交的投标文件将被“政府采购云平台”拒收。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90" w:type="dxa"/>
            <w:vAlign w:val="center"/>
          </w:tcPr>
          <w:p>
            <w:pPr>
              <w:pStyle w:val="8"/>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8949" w:type="dxa"/>
            <w:vAlign w:val="center"/>
          </w:tcPr>
          <w:p>
            <w:pPr>
              <w:pStyle w:val="8"/>
              <w:spacing w:line="34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投标人登录政采云平台，在开标时间后30分钟内（2022年</w:t>
            </w:r>
            <w:r>
              <w:rPr>
                <w:rFonts w:hint="eastAsia" w:ascii="宋体" w:hAnsi="宋体" w:eastAsia="宋体" w:cs="宋体"/>
                <w:b/>
                <w:bCs/>
                <w:sz w:val="24"/>
                <w:szCs w:val="24"/>
                <w:highlight w:val="none"/>
                <w:lang w:val="en-US" w:eastAsia="zh-CN"/>
              </w:rPr>
              <w:t>11</w:t>
            </w:r>
            <w:r>
              <w:rPr>
                <w:rFonts w:hint="eastAsia" w:ascii="宋体" w:hAnsi="宋体" w:eastAsia="宋体" w:cs="宋体"/>
                <w:b/>
                <w:bCs/>
                <w:sz w:val="24"/>
                <w:szCs w:val="24"/>
                <w:highlight w:val="none"/>
              </w:rPr>
              <w:t>月</w:t>
            </w:r>
            <w:r>
              <w:rPr>
                <w:rFonts w:hint="eastAsia" w:ascii="宋体" w:hAnsi="宋体" w:eastAsia="宋体" w:cs="宋体"/>
                <w:b/>
                <w:bCs/>
                <w:sz w:val="24"/>
                <w:szCs w:val="24"/>
                <w:highlight w:val="none"/>
                <w:lang w:val="en-US" w:eastAsia="zh-CN"/>
              </w:rPr>
              <w:t>30</w:t>
            </w:r>
            <w:r>
              <w:rPr>
                <w:rFonts w:hint="eastAsia" w:ascii="宋体" w:hAnsi="宋体" w:eastAsia="宋体" w:cs="宋体"/>
                <w:b/>
                <w:bCs/>
                <w:sz w:val="24"/>
                <w:szCs w:val="24"/>
                <w:highlight w:val="none"/>
              </w:rPr>
              <w:t>日上午10：30-11：00）用“项目采购-开标评标”功能进行解密投标文件。若投标人在规定时间内（2022年</w:t>
            </w:r>
            <w:r>
              <w:rPr>
                <w:rFonts w:hint="eastAsia" w:ascii="宋体" w:hAnsi="宋体" w:eastAsia="宋体" w:cs="宋体"/>
                <w:b/>
                <w:bCs/>
                <w:sz w:val="24"/>
                <w:szCs w:val="24"/>
                <w:highlight w:val="none"/>
                <w:lang w:val="en-US" w:eastAsia="zh-CN"/>
              </w:rPr>
              <w:t>11</w:t>
            </w:r>
            <w:r>
              <w:rPr>
                <w:rFonts w:hint="eastAsia" w:ascii="宋体" w:hAnsi="宋体" w:eastAsia="宋体" w:cs="宋体"/>
                <w:b/>
                <w:bCs/>
                <w:sz w:val="24"/>
                <w:szCs w:val="24"/>
                <w:highlight w:val="none"/>
              </w:rPr>
              <w:t>月</w:t>
            </w:r>
            <w:r>
              <w:rPr>
                <w:rFonts w:hint="eastAsia" w:ascii="宋体" w:hAnsi="宋体" w:eastAsia="宋体" w:cs="宋体"/>
                <w:b/>
                <w:bCs/>
                <w:sz w:val="24"/>
                <w:szCs w:val="24"/>
                <w:highlight w:val="none"/>
                <w:lang w:val="en-US" w:eastAsia="zh-CN"/>
              </w:rPr>
              <w:t>30</w:t>
            </w:r>
            <w:r>
              <w:rPr>
                <w:rFonts w:hint="eastAsia" w:ascii="宋体" w:hAnsi="宋体" w:eastAsia="宋体" w:cs="宋体"/>
                <w:b/>
                <w:bCs/>
                <w:sz w:val="24"/>
                <w:szCs w:val="24"/>
                <w:highlight w:val="none"/>
              </w:rPr>
              <w:t>日上午10：30-11：00）未按时解密的，视为无效投标。解密与加密投标文件须使用同一个CA。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90" w:type="dxa"/>
            <w:vAlign w:val="center"/>
          </w:tcPr>
          <w:p>
            <w:pPr>
              <w:pStyle w:val="8"/>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8949" w:type="dxa"/>
            <w:vAlign w:val="center"/>
          </w:tcPr>
          <w:p>
            <w:pPr>
              <w:spacing w:line="36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rPr>
              <w:t>本项目</w:t>
            </w:r>
            <w:r>
              <w:rPr>
                <w:rFonts w:hint="eastAsia" w:ascii="宋体" w:hAnsi="宋体" w:eastAsia="宋体" w:cs="宋体"/>
                <w:b/>
                <w:bCs/>
                <w:sz w:val="24"/>
                <w:highlight w:val="none"/>
                <w:lang w:eastAsia="zh-CN"/>
              </w:rPr>
              <w:t>总</w:t>
            </w:r>
            <w:r>
              <w:rPr>
                <w:rFonts w:hint="eastAsia" w:ascii="宋体" w:hAnsi="宋体" w:eastAsia="宋体" w:cs="宋体"/>
                <w:b/>
                <w:bCs/>
                <w:sz w:val="24"/>
                <w:highlight w:val="none"/>
              </w:rPr>
              <w:t>预算金额</w:t>
            </w:r>
            <w:r>
              <w:rPr>
                <w:rFonts w:hint="eastAsia" w:ascii="宋体" w:hAnsi="宋体" w:eastAsia="宋体" w:cs="宋体"/>
                <w:b/>
                <w:bCs/>
                <w:sz w:val="24"/>
                <w:highlight w:val="none"/>
                <w:lang w:val="en-US" w:eastAsia="zh-CN"/>
              </w:rPr>
              <w:t>150</w:t>
            </w:r>
            <w:r>
              <w:rPr>
                <w:rFonts w:hint="eastAsia" w:ascii="宋体" w:hAnsi="宋体" w:eastAsia="宋体" w:cs="宋体"/>
                <w:b/>
                <w:bCs/>
                <w:sz w:val="24"/>
                <w:highlight w:val="none"/>
              </w:rPr>
              <w:t>万元</w:t>
            </w:r>
            <w:r>
              <w:rPr>
                <w:rFonts w:hint="eastAsia" w:ascii="宋体" w:hAnsi="宋体" w:cs="宋体"/>
                <w:b/>
                <w:bCs/>
                <w:sz w:val="24"/>
                <w:highlight w:val="none"/>
                <w:lang w:eastAsia="zh-CN"/>
              </w:rPr>
              <w:t>、最高限价（</w:t>
            </w:r>
            <w:r>
              <w:rPr>
                <w:rFonts w:hint="eastAsia" w:ascii="宋体" w:hAnsi="宋体" w:cs="宋体"/>
                <w:b/>
                <w:bCs/>
                <w:sz w:val="24"/>
                <w:highlight w:val="none"/>
                <w:lang w:val="en-US" w:eastAsia="zh-CN"/>
              </w:rPr>
              <w:t>148万元</w:t>
            </w:r>
            <w:r>
              <w:rPr>
                <w:rFonts w:hint="eastAsia" w:ascii="宋体" w:hAnsi="宋体" w:cs="宋体"/>
                <w:b/>
                <w:bCs/>
                <w:sz w:val="24"/>
                <w:highlight w:val="none"/>
                <w:lang w:eastAsia="zh-CN"/>
              </w:rPr>
              <w:t>）</w:t>
            </w:r>
          </w:p>
          <w:p>
            <w:pPr>
              <w:spacing w:line="360" w:lineRule="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本项目</w:t>
            </w:r>
            <w:r>
              <w:rPr>
                <w:rFonts w:hint="eastAsia" w:ascii="宋体" w:hAnsi="宋体" w:eastAsia="宋体" w:cs="宋体"/>
                <w:b/>
                <w:bCs/>
                <w:color w:val="auto"/>
                <w:sz w:val="24"/>
                <w:highlight w:val="none"/>
                <w:lang w:eastAsia="zh-CN"/>
              </w:rPr>
              <w:t>最高单粒限价</w:t>
            </w:r>
            <w:r>
              <w:rPr>
                <w:rFonts w:hint="eastAsia" w:ascii="宋体" w:hAnsi="宋体" w:cs="宋体"/>
                <w:b/>
                <w:bCs/>
                <w:color w:val="auto"/>
                <w:sz w:val="24"/>
                <w:highlight w:val="none"/>
                <w:lang w:val="en-US" w:eastAsia="zh-CN"/>
              </w:rPr>
              <w:t>370</w:t>
            </w:r>
            <w:r>
              <w:rPr>
                <w:rFonts w:hint="eastAsia" w:ascii="宋体" w:hAnsi="宋体" w:eastAsia="宋体" w:cs="宋体"/>
                <w:b/>
                <w:bCs/>
                <w:color w:val="auto"/>
                <w:sz w:val="24"/>
                <w:highlight w:val="none"/>
              </w:rPr>
              <w:t>元</w:t>
            </w:r>
            <w:r>
              <w:rPr>
                <w:rFonts w:hint="eastAsia" w:ascii="宋体" w:hAnsi="宋体" w:eastAsia="宋体" w:cs="宋体"/>
                <w:b/>
                <w:bCs/>
                <w:color w:val="auto"/>
                <w:sz w:val="24"/>
                <w:highlight w:val="none"/>
                <w:lang w:eastAsia="zh-CN"/>
              </w:rPr>
              <w:t>，且单粒报价不得高于单粒预算，超出为无效报价</w:t>
            </w:r>
          </w:p>
          <w:p>
            <w:pPr>
              <w:pStyle w:val="8"/>
              <w:spacing w:line="34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各投标人的投标报价超出此范围将作废标处理。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0" w:type="dxa"/>
            <w:vAlign w:val="center"/>
          </w:tcPr>
          <w:p>
            <w:pPr>
              <w:pStyle w:val="8"/>
              <w:spacing w:line="3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8949" w:type="dxa"/>
            <w:vAlign w:val="center"/>
          </w:tcPr>
          <w:p>
            <w:pPr>
              <w:pStyle w:val="8"/>
              <w:spacing w:line="340" w:lineRule="exact"/>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经与采购人协商，本项目采购代理服务费由中标供应商在领取中标通知书同时向采购代理机构支付。</w:t>
            </w:r>
            <w:bookmarkStart w:id="258" w:name="_GoBack"/>
            <w:bookmarkEnd w:id="258"/>
            <w:r>
              <w:rPr>
                <w:rFonts w:hint="eastAsia" w:hAnsi="宋体" w:cs="宋体"/>
                <w:b/>
                <w:bCs/>
                <w:sz w:val="24"/>
                <w:szCs w:val="24"/>
                <w:highlight w:val="none"/>
                <w:lang w:val="en-US" w:eastAsia="zh-CN"/>
              </w:rPr>
              <w:t>代理费金额为中标金额的0.3%</w:t>
            </w:r>
          </w:p>
        </w:tc>
      </w:tr>
      <w:bookmarkEnd w:id="29"/>
    </w:tbl>
    <w:p>
      <w:pPr>
        <w:spacing w:line="360" w:lineRule="auto"/>
        <w:jc w:val="center"/>
        <w:rPr>
          <w:rFonts w:hint="eastAsia" w:ascii="宋体" w:hAnsi="宋体" w:eastAsia="宋体" w:cs="宋体"/>
          <w:sz w:val="28"/>
          <w:szCs w:val="28"/>
          <w:highlight w:val="none"/>
        </w:rPr>
      </w:pPr>
      <w:bookmarkStart w:id="30" w:name="_Toc154996576"/>
    </w:p>
    <w:p>
      <w:pPr>
        <w:spacing w:line="360" w:lineRule="auto"/>
        <w:jc w:val="center"/>
        <w:rPr>
          <w:rFonts w:hint="eastAsia" w:ascii="宋体" w:hAnsi="宋体" w:eastAsia="宋体" w:cs="宋体"/>
          <w:b/>
          <w:sz w:val="28"/>
          <w:szCs w:val="28"/>
          <w:highlight w:val="none"/>
        </w:rPr>
      </w:pPr>
      <w:r>
        <w:rPr>
          <w:rFonts w:hint="eastAsia" w:ascii="宋体" w:hAnsi="宋体" w:eastAsia="宋体" w:cs="宋体"/>
          <w:sz w:val="28"/>
          <w:szCs w:val="28"/>
          <w:highlight w:val="none"/>
        </w:rPr>
        <w:t>一、说明</w:t>
      </w:r>
    </w:p>
    <w:p>
      <w:pPr>
        <w:pStyle w:val="8"/>
        <w:spacing w:line="360" w:lineRule="auto"/>
        <w:ind w:firstLine="480" w:firstLineChars="200"/>
        <w:outlineLvl w:val="1"/>
        <w:rPr>
          <w:rFonts w:hint="eastAsia" w:ascii="宋体" w:hAnsi="宋体" w:eastAsia="宋体" w:cs="宋体"/>
          <w:sz w:val="24"/>
          <w:highlight w:val="none"/>
        </w:rPr>
      </w:pPr>
      <w:bookmarkStart w:id="31" w:name="_Toc233274811"/>
      <w:bookmarkStart w:id="32" w:name="_Toc243907571"/>
      <w:bookmarkStart w:id="33" w:name="_Toc246216180"/>
      <w:bookmarkStart w:id="34" w:name="_Toc243906311"/>
      <w:r>
        <w:rPr>
          <w:rFonts w:hint="eastAsia" w:ascii="宋体" w:hAnsi="宋体" w:eastAsia="宋体" w:cs="宋体"/>
          <w:sz w:val="24"/>
          <w:highlight w:val="none"/>
        </w:rPr>
        <w:t>1、适用范围</w:t>
      </w:r>
      <w:bookmarkEnd w:id="31"/>
      <w:bookmarkEnd w:id="32"/>
      <w:bookmarkEnd w:id="33"/>
      <w:bookmarkEnd w:id="34"/>
      <w:r>
        <w:rPr>
          <w:rFonts w:hint="eastAsia" w:ascii="宋体" w:hAnsi="宋体" w:eastAsia="宋体" w:cs="宋体"/>
          <w:sz w:val="24"/>
          <w:highlight w:val="none"/>
        </w:rPr>
        <w:t>及招标依据</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 适用范围</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本招标文件仅适用</w:t>
      </w:r>
      <w:r>
        <w:rPr>
          <w:rFonts w:hint="eastAsia" w:ascii="宋体" w:hAnsi="宋体" w:eastAsia="宋体" w:cs="宋体"/>
          <w:sz w:val="24"/>
          <w:highlight w:val="none"/>
          <w:lang w:eastAsia="zh-CN"/>
        </w:rPr>
        <w:t>克拉玛依市中心医院碘[125I]密封籽源项目</w:t>
      </w:r>
      <w:r>
        <w:rPr>
          <w:rFonts w:hint="eastAsia" w:ascii="宋体" w:hAnsi="宋体" w:eastAsia="宋体" w:cs="宋体"/>
          <w:sz w:val="24"/>
          <w:highlight w:val="none"/>
        </w:rPr>
        <w:t>的招标。</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1.2招标依据</w:t>
      </w:r>
    </w:p>
    <w:p>
      <w:pPr>
        <w:pStyle w:val="8"/>
        <w:spacing w:line="360" w:lineRule="auto"/>
        <w:ind w:firstLine="480" w:firstLineChars="200"/>
        <w:outlineLvl w:val="1"/>
        <w:rPr>
          <w:rFonts w:hint="eastAsia" w:ascii="宋体" w:hAnsi="宋体" w:eastAsia="宋体" w:cs="宋体"/>
          <w:sz w:val="24"/>
          <w:highlight w:val="none"/>
        </w:rPr>
      </w:pPr>
      <w:r>
        <w:rPr>
          <w:rFonts w:hint="eastAsia" w:ascii="宋体" w:hAnsi="宋体" w:eastAsia="宋体" w:cs="宋体"/>
          <w:sz w:val="24"/>
          <w:highlight w:val="none"/>
        </w:rPr>
        <w:t>根据《中华人民共和国政府采购法》、《中华人民共和国政府采购实施条例》、</w:t>
      </w:r>
      <w:bookmarkStart w:id="35" w:name="_Toc243907572"/>
      <w:bookmarkStart w:id="36" w:name="_Toc246216181"/>
      <w:bookmarkStart w:id="37" w:name="_Toc233274812"/>
      <w:bookmarkStart w:id="38" w:name="_Toc243906312"/>
      <w:r>
        <w:rPr>
          <w:rFonts w:hint="eastAsia" w:ascii="宋体" w:hAnsi="宋体" w:eastAsia="宋体" w:cs="宋体"/>
          <w:sz w:val="24"/>
          <w:highlight w:val="none"/>
        </w:rPr>
        <w:t>《政府采购货物和服务招标投标管理办法》（中华人民共和国财政部令第87号）及有关法律、法规。</w:t>
      </w:r>
    </w:p>
    <w:p>
      <w:pPr>
        <w:pStyle w:val="8"/>
        <w:spacing w:line="360" w:lineRule="auto"/>
        <w:ind w:firstLine="480" w:firstLineChars="200"/>
        <w:outlineLvl w:val="1"/>
        <w:rPr>
          <w:rFonts w:hint="eastAsia" w:ascii="宋体" w:hAnsi="宋体" w:eastAsia="宋体" w:cs="宋体"/>
          <w:sz w:val="24"/>
          <w:highlight w:val="none"/>
        </w:rPr>
      </w:pPr>
      <w:r>
        <w:rPr>
          <w:rFonts w:hint="eastAsia" w:ascii="宋体" w:hAnsi="宋体" w:eastAsia="宋体" w:cs="宋体"/>
          <w:sz w:val="24"/>
          <w:highlight w:val="none"/>
        </w:rPr>
        <w:t>2、定义</w:t>
      </w:r>
      <w:bookmarkEnd w:id="35"/>
      <w:bookmarkEnd w:id="36"/>
      <w:bookmarkEnd w:id="37"/>
      <w:bookmarkEnd w:id="38"/>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“采购人”系指克拉玛依市中心医院，在签订和执行合同阶段称“甲方”。</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2.2 </w:t>
      </w:r>
      <w:r>
        <w:rPr>
          <w:rFonts w:hint="eastAsia" w:ascii="宋体" w:hAnsi="宋体" w:eastAsia="宋体" w:cs="宋体"/>
          <w:sz w:val="24"/>
          <w:szCs w:val="24"/>
          <w:highlight w:val="none"/>
        </w:rPr>
        <w:t>“采购代理机构”</w:t>
      </w:r>
      <w:r>
        <w:rPr>
          <w:rFonts w:hint="eastAsia" w:ascii="宋体" w:hAnsi="宋体" w:eastAsia="宋体" w:cs="宋体"/>
          <w:sz w:val="24"/>
          <w:highlight w:val="none"/>
        </w:rPr>
        <w:t>系指新疆卓捷工程造价咨询有限公司。</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 “投标人”系指具备资格并响应招标文件要求提交投标文件的法人，投标人若中标，在签订和执行合同阶段称“乙方”。</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 “招标文件”系指由采购人向投标人发出的本招标项目的全部文件（包括项目采购需求、修改文件、补充文件、答疑纪要、各种通知和附件等）。</w:t>
      </w:r>
    </w:p>
    <w:p>
      <w:pPr>
        <w:pStyle w:val="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2.5 “投标文件”系指投标人根据招标文件提交的所有文件。</w:t>
      </w:r>
    </w:p>
    <w:p>
      <w:pPr>
        <w:pStyle w:val="2"/>
        <w:spacing w:line="360" w:lineRule="auto"/>
        <w:ind w:firstLine="480" w:firstLineChars="200"/>
        <w:rPr>
          <w:rFonts w:hint="eastAsia" w:ascii="宋体" w:hAnsi="宋体" w:eastAsia="宋体" w:cs="宋体"/>
          <w:b/>
          <w:bCs/>
          <w:kern w:val="2"/>
          <w:szCs w:val="24"/>
          <w:highlight w:val="none"/>
        </w:rPr>
      </w:pPr>
      <w:r>
        <w:rPr>
          <w:rFonts w:hint="eastAsia" w:ascii="宋体" w:hAnsi="宋体" w:eastAsia="宋体" w:cs="宋体"/>
          <w:highlight w:val="none"/>
        </w:rPr>
        <w:t>2.6 “服务”系指技术规范及标准、项目采购需求及合同条款、本招标文件规定，中标供应商在服务期内须向</w:t>
      </w:r>
      <w:r>
        <w:rPr>
          <w:rFonts w:hint="eastAsia" w:ascii="宋体" w:hAnsi="宋体" w:eastAsia="宋体" w:cs="宋体"/>
          <w:b/>
          <w:bCs/>
          <w:highlight w:val="none"/>
        </w:rPr>
        <w:t>采购人提供所需</w:t>
      </w:r>
      <w:r>
        <w:rPr>
          <w:rFonts w:hint="eastAsia" w:ascii="宋体" w:hAnsi="宋体" w:eastAsia="宋体" w:cs="宋体"/>
          <w:b/>
          <w:bCs/>
          <w:highlight w:val="none"/>
          <w:lang w:eastAsia="zh-CN"/>
        </w:rPr>
        <w:t>货物</w:t>
      </w:r>
      <w:r>
        <w:rPr>
          <w:rFonts w:hint="eastAsia" w:ascii="宋体" w:hAnsi="宋体" w:eastAsia="宋体" w:cs="宋体"/>
          <w:b/>
          <w:bCs/>
          <w:kern w:val="2"/>
          <w:szCs w:val="24"/>
          <w:highlight w:val="none"/>
        </w:rPr>
        <w:t>的供应、保险、税费、仓储运输、现场保管及装卸（卸至需方指定地点）、现场搬运（含二次搬运），安装调试、运行、检验及验收、移交、原有设备拆除并运至指定地点等工作，向采购人提交技术参数、技术资料（包括操作手册、维修手册及其他相关资料等）、技术咨询、用户人员培训、缺陷修补、质量保修期内的维保、售后服务等保证</w:t>
      </w:r>
      <w:r>
        <w:rPr>
          <w:rFonts w:hint="eastAsia" w:ascii="宋体" w:hAnsi="宋体" w:eastAsia="宋体" w:cs="宋体"/>
          <w:b/>
          <w:bCs/>
          <w:kern w:val="2"/>
          <w:szCs w:val="24"/>
          <w:highlight w:val="none"/>
          <w:lang w:eastAsia="zh-CN"/>
        </w:rPr>
        <w:t>克拉玛依市中心医院碘[125I]密封籽源项目</w:t>
      </w:r>
      <w:r>
        <w:rPr>
          <w:rFonts w:hint="eastAsia" w:ascii="宋体" w:hAnsi="宋体" w:eastAsia="宋体" w:cs="宋体"/>
          <w:b/>
          <w:bCs/>
          <w:kern w:val="2"/>
          <w:szCs w:val="24"/>
          <w:highlight w:val="none"/>
        </w:rPr>
        <w:t>验收合格并能正常交付使用以及合同条款、项目采购需求、本招标文件约定的全部内容及保修责任和义务。</w:t>
      </w:r>
    </w:p>
    <w:p>
      <w:pPr>
        <w:spacing w:line="360" w:lineRule="auto"/>
        <w:ind w:firstLine="482"/>
        <w:jc w:val="left"/>
        <w:rPr>
          <w:rFonts w:hint="eastAsia" w:ascii="宋体" w:hAnsi="宋体" w:eastAsia="宋体" w:cs="宋体"/>
          <w:sz w:val="24"/>
          <w:highlight w:val="none"/>
        </w:rPr>
      </w:pPr>
      <w:r>
        <w:rPr>
          <w:rFonts w:hint="eastAsia" w:ascii="宋体" w:hAnsi="宋体" w:eastAsia="宋体" w:cs="宋体"/>
          <w:sz w:val="24"/>
          <w:highlight w:val="none"/>
        </w:rPr>
        <w:t xml:space="preserve">2.7凡提及的“天、日期、星期、月份和年份”系指公历日历的日历天、日期、星期、月份和年份。 </w:t>
      </w:r>
    </w:p>
    <w:p>
      <w:pPr>
        <w:pStyle w:val="8"/>
        <w:spacing w:line="360" w:lineRule="auto"/>
        <w:ind w:firstLine="482" w:firstLineChars="200"/>
        <w:outlineLvl w:val="1"/>
        <w:rPr>
          <w:rFonts w:hint="eastAsia" w:ascii="宋体" w:hAnsi="宋体" w:eastAsia="宋体" w:cs="宋体"/>
          <w:b/>
          <w:sz w:val="24"/>
          <w:highlight w:val="none"/>
          <w:lang w:eastAsia="zh-CN"/>
        </w:rPr>
      </w:pPr>
      <w:bookmarkStart w:id="39" w:name="_Toc243906313"/>
      <w:bookmarkStart w:id="40" w:name="_Toc233274813"/>
      <w:bookmarkStart w:id="41" w:name="_Toc243907573"/>
      <w:bookmarkStart w:id="42" w:name="_Toc246216182"/>
      <w:r>
        <w:rPr>
          <w:rFonts w:hint="eastAsia" w:ascii="宋体" w:hAnsi="宋体" w:eastAsia="宋体" w:cs="宋体"/>
          <w:b/>
          <w:sz w:val="24"/>
          <w:highlight w:val="none"/>
        </w:rPr>
        <w:t>3、</w:t>
      </w:r>
      <w:bookmarkEnd w:id="39"/>
      <w:bookmarkEnd w:id="40"/>
      <w:bookmarkEnd w:id="41"/>
      <w:bookmarkEnd w:id="42"/>
      <w:r>
        <w:rPr>
          <w:rFonts w:hint="eastAsia" w:ascii="宋体" w:hAnsi="宋体" w:eastAsia="宋体" w:cs="宋体"/>
          <w:b/>
          <w:sz w:val="24"/>
          <w:highlight w:val="none"/>
        </w:rPr>
        <w:t>招标范围及</w:t>
      </w:r>
      <w:r>
        <w:rPr>
          <w:rFonts w:hint="eastAsia" w:ascii="宋体" w:hAnsi="宋体" w:eastAsia="宋体" w:cs="宋体"/>
          <w:b/>
          <w:sz w:val="24"/>
          <w:highlight w:val="none"/>
          <w:lang w:eastAsia="zh-CN"/>
        </w:rPr>
        <w:t>交货期</w:t>
      </w:r>
    </w:p>
    <w:p>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3.1招标范围：</w:t>
      </w:r>
      <w:r>
        <w:rPr>
          <w:rFonts w:hint="eastAsia" w:ascii="宋体" w:hAnsi="宋体" w:eastAsia="宋体" w:cs="宋体"/>
          <w:b/>
          <w:bCs/>
          <w:sz w:val="24"/>
          <w:highlight w:val="none"/>
          <w:lang w:eastAsia="zh-CN"/>
        </w:rPr>
        <w:t>克拉玛依市中心医院碘[125I]密封籽源项目</w:t>
      </w:r>
      <w:r>
        <w:rPr>
          <w:rFonts w:hint="eastAsia" w:ascii="宋体" w:hAnsi="宋体" w:eastAsia="宋体" w:cs="宋体"/>
          <w:b/>
          <w:bCs/>
          <w:sz w:val="24"/>
          <w:highlight w:val="none"/>
        </w:rPr>
        <w:t>的供应、保险、税费、仓储运输、现场保管及装卸（卸至需方指定地点）、现场搬运（含二次搬运），安装调试、运行、检验及验收、移交、原有设备拆除并运至指定地点等工作，向采购人提交技术参数、技术资料（包括操作手册、维修手册及其他相关资料等）、技术咨询、用户人员培训、缺陷修补、质量保修期内的维保、售后服务等保证</w:t>
      </w:r>
      <w:r>
        <w:rPr>
          <w:rFonts w:hint="eastAsia" w:ascii="宋体" w:hAnsi="宋体" w:eastAsia="宋体" w:cs="宋体"/>
          <w:b/>
          <w:bCs/>
          <w:sz w:val="24"/>
          <w:highlight w:val="none"/>
          <w:lang w:eastAsia="zh-CN"/>
        </w:rPr>
        <w:t>克拉玛依市中心医院碘[125I]密封籽源项目</w:t>
      </w:r>
      <w:r>
        <w:rPr>
          <w:rFonts w:hint="eastAsia" w:ascii="宋体" w:hAnsi="宋体" w:eastAsia="宋体" w:cs="宋体"/>
          <w:b/>
          <w:bCs/>
          <w:sz w:val="24"/>
          <w:highlight w:val="none"/>
        </w:rPr>
        <w:t>验收合格并能正常交付使用以及合同条款、项目采购需求、本招标文件约定的全部内容及保修责任和义务。</w:t>
      </w:r>
    </w:p>
    <w:p>
      <w:pPr>
        <w:numPr>
          <w:ilvl w:val="0"/>
          <w:numId w:val="0"/>
        </w:numPr>
        <w:spacing w:line="360" w:lineRule="auto"/>
        <w:ind w:firstLine="482" w:firstLineChars="200"/>
        <w:jc w:val="left"/>
        <w:rPr>
          <w:rFonts w:hint="eastAsia" w:ascii="宋体" w:hAnsi="宋体" w:eastAsia="宋体" w:cs="宋体"/>
          <w:sz w:val="24"/>
          <w:highlight w:val="none"/>
        </w:rPr>
      </w:pPr>
      <w:bookmarkStart w:id="43" w:name="_Toc243907574"/>
      <w:bookmarkStart w:id="44" w:name="_Toc246216183"/>
      <w:bookmarkStart w:id="45" w:name="_Toc243906314"/>
      <w:bookmarkStart w:id="46" w:name="_Toc233274814"/>
      <w:r>
        <w:rPr>
          <w:rFonts w:hint="eastAsia" w:ascii="宋体" w:hAnsi="宋体" w:eastAsia="宋体" w:cs="宋体"/>
          <w:b/>
          <w:bCs/>
          <w:sz w:val="24"/>
          <w:highlight w:val="none"/>
        </w:rPr>
        <w:t>3.2</w:t>
      </w:r>
      <w:r>
        <w:rPr>
          <w:rFonts w:hint="eastAsia" w:ascii="宋体" w:hAnsi="宋体" w:eastAsia="宋体" w:cs="宋体"/>
          <w:b/>
          <w:bCs/>
          <w:sz w:val="24"/>
          <w:highlight w:val="none"/>
          <w:lang w:eastAsia="zh-CN"/>
        </w:rPr>
        <w:t>交货期</w:t>
      </w:r>
      <w:r>
        <w:rPr>
          <w:rFonts w:hint="eastAsia" w:ascii="宋体" w:hAnsi="宋体" w:eastAsia="宋体" w:cs="宋体"/>
          <w:sz w:val="24"/>
          <w:highlight w:val="none"/>
        </w:rPr>
        <w:t>：中标人应在采购合同签订后，按照中心医院临床需求分批次按照医院需求数量供货。接到中心医院订货通知后7日内配送之</w:t>
      </w:r>
      <w:r>
        <w:rPr>
          <w:rFonts w:hint="eastAsia" w:ascii="宋体" w:hAnsi="宋体" w:eastAsia="宋体" w:cs="宋体"/>
          <w:sz w:val="24"/>
          <w:szCs w:val="24"/>
          <w:lang w:eastAsia="zh-CN"/>
        </w:rPr>
        <w:t>克拉玛依市</w:t>
      </w:r>
      <w:r>
        <w:rPr>
          <w:rFonts w:ascii="宋体" w:hAnsi="宋体" w:eastAsia="宋体" w:cs="宋体"/>
          <w:sz w:val="24"/>
          <w:szCs w:val="24"/>
        </w:rPr>
        <w:t>中心医院指定地点</w:t>
      </w:r>
    </w:p>
    <w:p>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4、</w:t>
      </w:r>
      <w:bookmarkEnd w:id="43"/>
      <w:bookmarkEnd w:id="44"/>
      <w:bookmarkEnd w:id="45"/>
      <w:bookmarkEnd w:id="46"/>
      <w:r>
        <w:rPr>
          <w:rFonts w:hint="eastAsia" w:ascii="宋体" w:hAnsi="宋体" w:eastAsia="宋体" w:cs="宋体"/>
          <w:b/>
          <w:bCs/>
          <w:sz w:val="24"/>
          <w:highlight w:val="none"/>
        </w:rPr>
        <w:t>合格投标人资格要求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4.1详见第一章“招标公告”中的投标人资格要求。</w:t>
      </w:r>
    </w:p>
    <w:p>
      <w:pPr>
        <w:snapToGrid w:val="0"/>
        <w:spacing w:line="360" w:lineRule="auto"/>
        <w:ind w:firstLine="472" w:firstLineChars="196"/>
        <w:rPr>
          <w:rFonts w:hint="eastAsia" w:ascii="宋体" w:hAnsi="宋体" w:eastAsia="宋体" w:cs="宋体"/>
          <w:b/>
          <w:sz w:val="24"/>
          <w:highlight w:val="none"/>
        </w:rPr>
      </w:pPr>
      <w:r>
        <w:rPr>
          <w:rFonts w:hint="eastAsia" w:ascii="宋体" w:hAnsi="宋体" w:eastAsia="宋体" w:cs="宋体"/>
          <w:b/>
          <w:sz w:val="24"/>
          <w:highlight w:val="none"/>
        </w:rPr>
        <w:t>4.2单位法定代表为同一人或者存在直接控股、管理关系的不同投标人，不得参加同一合同项下的政府采购活动。</w:t>
      </w:r>
    </w:p>
    <w:p>
      <w:pPr>
        <w:snapToGrid w:val="0"/>
        <w:spacing w:line="360" w:lineRule="auto"/>
        <w:ind w:firstLine="479" w:firstLineChars="199"/>
        <w:rPr>
          <w:rFonts w:hint="eastAsia" w:ascii="宋体" w:hAnsi="宋体" w:eastAsia="宋体" w:cs="宋体"/>
          <w:b/>
          <w:sz w:val="24"/>
          <w:highlight w:val="none"/>
        </w:rPr>
      </w:pPr>
      <w:r>
        <w:rPr>
          <w:rFonts w:hint="eastAsia" w:ascii="宋体" w:hAnsi="宋体" w:eastAsia="宋体" w:cs="宋体"/>
          <w:b/>
          <w:sz w:val="24"/>
          <w:highlight w:val="none"/>
        </w:rPr>
        <w:t>4.3为招标项目提供整体设计、规范编制或者项目管理、监理、检测等服务的投标人，不得再参加该招标项目的其他采购活动。</w:t>
      </w:r>
    </w:p>
    <w:p>
      <w:pPr>
        <w:snapToGrid w:val="0"/>
        <w:spacing w:line="360" w:lineRule="auto"/>
        <w:ind w:firstLine="479" w:firstLineChars="199"/>
        <w:rPr>
          <w:rFonts w:hint="eastAsia" w:ascii="宋体" w:hAnsi="宋体" w:eastAsia="宋体" w:cs="宋体"/>
          <w:b/>
          <w:sz w:val="24"/>
          <w:highlight w:val="none"/>
        </w:rPr>
      </w:pPr>
      <w:r>
        <w:rPr>
          <w:rFonts w:hint="eastAsia" w:ascii="宋体" w:hAnsi="宋体" w:eastAsia="宋体" w:cs="宋体"/>
          <w:b/>
          <w:sz w:val="24"/>
          <w:highlight w:val="none"/>
        </w:rPr>
        <w:t>4.4在单一品目的货物采购招标中，同一品牌同一型号的产品有多家投标人参加采购，只能按照一家投标人计算。</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4.5同一分包的货物，制造商参与采购的，不得再委托代理商参与采购。</w:t>
      </w:r>
    </w:p>
    <w:p>
      <w:pPr>
        <w:pStyle w:val="23"/>
        <w:spacing w:line="360" w:lineRule="auto"/>
        <w:ind w:left="1" w:firstLine="482" w:firstLineChars="200"/>
        <w:rPr>
          <w:rFonts w:hint="eastAsia" w:ascii="宋体" w:hAnsi="宋体" w:eastAsia="宋体" w:cs="宋体"/>
          <w:b/>
          <w:kern w:val="2"/>
          <w:sz w:val="24"/>
          <w:szCs w:val="24"/>
          <w:highlight w:val="none"/>
        </w:rPr>
      </w:pPr>
      <w:r>
        <w:rPr>
          <w:rFonts w:hint="eastAsia" w:ascii="宋体" w:hAnsi="宋体" w:eastAsia="宋体" w:cs="宋体"/>
          <w:b/>
          <w:sz w:val="24"/>
          <w:highlight w:val="none"/>
        </w:rPr>
        <w:t>5、</w:t>
      </w:r>
      <w:r>
        <w:rPr>
          <w:rFonts w:hint="eastAsia" w:ascii="宋体" w:hAnsi="宋体" w:eastAsia="宋体" w:cs="宋体"/>
          <w:b/>
          <w:kern w:val="2"/>
          <w:sz w:val="24"/>
          <w:szCs w:val="24"/>
          <w:highlight w:val="none"/>
        </w:rPr>
        <w:t>回避。政府采购活动中，采购人员及相关人员与投标人有下列利害关系之一的，应当回避：</w:t>
      </w:r>
    </w:p>
    <w:p>
      <w:pPr>
        <w:pStyle w:val="23"/>
        <w:spacing w:line="360" w:lineRule="auto"/>
        <w:ind w:left="1" w:firstLine="482" w:firstLineChars="200"/>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5.1参加采购活动前3年内与投标人存在劳动关系；</w:t>
      </w:r>
    </w:p>
    <w:p>
      <w:pPr>
        <w:pStyle w:val="23"/>
        <w:spacing w:line="360" w:lineRule="auto"/>
        <w:ind w:left="1" w:firstLine="482" w:firstLineChars="200"/>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5.2参加采购活动前3年内担任投标人的董事、监事；</w:t>
      </w:r>
    </w:p>
    <w:p>
      <w:pPr>
        <w:pStyle w:val="23"/>
        <w:spacing w:line="360" w:lineRule="auto"/>
        <w:ind w:left="1" w:firstLine="482" w:firstLineChars="200"/>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5.3参加采购活动前3年内是投标人的控股股东或者实际控制人；</w:t>
      </w:r>
    </w:p>
    <w:p>
      <w:pPr>
        <w:pStyle w:val="23"/>
        <w:spacing w:line="360" w:lineRule="auto"/>
        <w:ind w:left="1" w:firstLine="482" w:firstLineChars="200"/>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5.4与投标人的法定代表人或者负责人有夫妻、直系血亲、三代以内旁系血亲或者近姻亲关系；</w:t>
      </w:r>
    </w:p>
    <w:p>
      <w:pPr>
        <w:pStyle w:val="23"/>
        <w:spacing w:line="360" w:lineRule="auto"/>
        <w:ind w:left="1" w:firstLine="482" w:firstLineChars="200"/>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5.5与投标人有其他可能影响政府采购活动公平、公正进行的关系。</w:t>
      </w:r>
    </w:p>
    <w:p>
      <w:pPr>
        <w:pStyle w:val="23"/>
        <w:spacing w:line="360" w:lineRule="auto"/>
        <w:ind w:left="1" w:firstLine="482" w:firstLineChars="200"/>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本项目政府采购活动中需要依法回避的采购人员是指采购人内部负责招标项目的具体经办工作人员和直接分管招标项目的负责人，以及采购代理机构负责招标项目的具体经办工作人员和直接分管采购活动的负责人。本项目政府采购活动中需要依法回避的相关人员是指评标委员会成员。</w:t>
      </w:r>
    </w:p>
    <w:p>
      <w:pPr>
        <w:pStyle w:val="23"/>
        <w:spacing w:line="360" w:lineRule="auto"/>
        <w:ind w:left="1" w:firstLine="482" w:firstLineChars="200"/>
        <w:rPr>
          <w:rFonts w:hint="eastAsia" w:ascii="宋体" w:hAnsi="宋体" w:eastAsia="宋体" w:cs="宋体"/>
          <w:b/>
          <w:sz w:val="24"/>
          <w:highlight w:val="none"/>
        </w:rPr>
      </w:pPr>
      <w:r>
        <w:rPr>
          <w:rFonts w:hint="eastAsia" w:ascii="宋体" w:hAnsi="宋体" w:eastAsia="宋体" w:cs="宋体"/>
          <w:b/>
          <w:kern w:val="2"/>
          <w:sz w:val="24"/>
          <w:szCs w:val="24"/>
          <w:highlight w:val="none"/>
        </w:rPr>
        <w:t>投标人认为采购人员及相关人员与其他投标人有利害关系的，可以向采购代理机构书面提出回避申请，并说明理由。采购代理机构将及时询问被申请回避人员，有利害关系的被申请回避人员应当回避。</w:t>
      </w:r>
    </w:p>
    <w:p>
      <w:pPr>
        <w:pStyle w:val="8"/>
        <w:spacing w:line="360" w:lineRule="auto"/>
        <w:ind w:firstLine="480" w:firstLineChars="200"/>
        <w:rPr>
          <w:rFonts w:hint="eastAsia" w:ascii="宋体" w:hAnsi="宋体" w:eastAsia="宋体" w:cs="宋体"/>
          <w:sz w:val="24"/>
          <w:highlight w:val="none"/>
        </w:rPr>
      </w:pPr>
      <w:bookmarkStart w:id="47" w:name="_Toc233274816"/>
      <w:bookmarkStart w:id="48" w:name="_Toc243907576"/>
      <w:bookmarkStart w:id="49" w:name="_Toc245897276"/>
      <w:bookmarkStart w:id="50" w:name="_Toc243906316"/>
      <w:r>
        <w:rPr>
          <w:rFonts w:hint="eastAsia" w:ascii="宋体" w:hAnsi="宋体" w:eastAsia="宋体" w:cs="宋体"/>
          <w:sz w:val="24"/>
          <w:highlight w:val="none"/>
        </w:rPr>
        <w:t>6、实地考察和费用</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6.1实地考察</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采购人不统一组织投标人的实地考察。投标人须自行对招标项目的现场及招标项目所涉及的国家、自治区、克拉玛依地区、相关部门等与此相关的政策进行充分的调查、研究，参观并勘察现场及其周围环境（包括当地气候条件及自然环境等）以取得所有与准备公开招标和实施公开招标有关的必要资料及信息。实地考察所发生的任何费用均由投标人自理。</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6.2参与公开招标费用</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6.2.1投标人应承担所有与公开招标准备和公开招标有关的全部费用，不论公开招标结果如何，采购人和招标代理机构无义务和责任承担投标人所发生的一切费用。</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6.2.2投标人在公开招标准备、实地考察和公开招标的全过程中，如果发生人身伤亡、财物或其它任何损失，不论何种原因所造成，均由投标人自行承担全部责任和损失。</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7、法律适用</w:t>
      </w:r>
      <w:bookmarkEnd w:id="47"/>
      <w:bookmarkEnd w:id="48"/>
      <w:bookmarkEnd w:id="49"/>
      <w:bookmarkEnd w:id="50"/>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7.1本次招标活动及由本次招标产生的合同受中国法律制约和保护。</w:t>
      </w:r>
    </w:p>
    <w:p>
      <w:pPr>
        <w:pStyle w:val="8"/>
        <w:spacing w:line="360" w:lineRule="auto"/>
        <w:ind w:firstLine="480" w:firstLineChars="200"/>
        <w:outlineLvl w:val="1"/>
        <w:rPr>
          <w:rFonts w:hint="eastAsia" w:ascii="宋体" w:hAnsi="宋体" w:eastAsia="宋体" w:cs="宋体"/>
          <w:sz w:val="24"/>
          <w:highlight w:val="none"/>
        </w:rPr>
      </w:pPr>
      <w:bookmarkStart w:id="51" w:name="_Toc233274817"/>
      <w:bookmarkStart w:id="52" w:name="_Toc243906317"/>
      <w:bookmarkStart w:id="53" w:name="_Toc245897277"/>
      <w:bookmarkStart w:id="54" w:name="_Toc243907577"/>
      <w:r>
        <w:rPr>
          <w:rFonts w:hint="eastAsia" w:ascii="宋体" w:hAnsi="宋体" w:eastAsia="宋体" w:cs="宋体"/>
          <w:sz w:val="24"/>
          <w:highlight w:val="none"/>
        </w:rPr>
        <w:t>8、招标文件的约束力</w:t>
      </w:r>
      <w:bookmarkEnd w:id="51"/>
      <w:bookmarkEnd w:id="52"/>
      <w:bookmarkEnd w:id="53"/>
      <w:bookmarkEnd w:id="54"/>
    </w:p>
    <w:p>
      <w:pPr>
        <w:pStyle w:val="8"/>
        <w:spacing w:line="360"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8.1投标人若中标，即被认为接受了本招标文件中的所有条件和规定。是采购人与中标供应商签订合同的依据且是合同的组成部分。</w:t>
      </w:r>
      <w:bookmarkEnd w:id="30"/>
    </w:p>
    <w:p>
      <w:pPr>
        <w:pStyle w:val="8"/>
        <w:spacing w:line="360" w:lineRule="auto"/>
        <w:jc w:val="center"/>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二、招标文件</w:t>
      </w:r>
    </w:p>
    <w:p>
      <w:pPr>
        <w:pStyle w:val="8"/>
        <w:spacing w:line="360" w:lineRule="auto"/>
        <w:ind w:firstLine="480" w:firstLineChars="200"/>
        <w:outlineLvl w:val="1"/>
        <w:rPr>
          <w:rFonts w:hint="eastAsia" w:ascii="宋体" w:hAnsi="宋体" w:eastAsia="宋体" w:cs="宋体"/>
          <w:sz w:val="24"/>
          <w:highlight w:val="none"/>
        </w:rPr>
      </w:pPr>
      <w:bookmarkStart w:id="55" w:name="_Toc243907579"/>
      <w:bookmarkStart w:id="56" w:name="_Toc243906319"/>
      <w:bookmarkStart w:id="57" w:name="_Toc246216188"/>
      <w:bookmarkStart w:id="58" w:name="_Toc233274819"/>
      <w:r>
        <w:rPr>
          <w:rFonts w:hint="eastAsia" w:ascii="宋体" w:hAnsi="宋体" w:eastAsia="宋体" w:cs="宋体"/>
          <w:sz w:val="24"/>
          <w:highlight w:val="none"/>
        </w:rPr>
        <w:t>9、招标文件的组成</w:t>
      </w:r>
      <w:bookmarkEnd w:id="55"/>
      <w:bookmarkEnd w:id="56"/>
      <w:bookmarkEnd w:id="57"/>
      <w:bookmarkEnd w:id="58"/>
    </w:p>
    <w:p>
      <w:pPr>
        <w:spacing w:line="360" w:lineRule="auto"/>
        <w:ind w:firstLine="481"/>
        <w:rPr>
          <w:rFonts w:hint="eastAsia" w:ascii="宋体" w:hAnsi="宋体" w:eastAsia="宋体" w:cs="宋体"/>
          <w:highlight w:val="none"/>
        </w:rPr>
      </w:pPr>
      <w:r>
        <w:rPr>
          <w:rFonts w:hint="eastAsia" w:ascii="宋体" w:hAnsi="宋体" w:eastAsia="宋体" w:cs="宋体"/>
          <w:sz w:val="24"/>
          <w:highlight w:val="none"/>
        </w:rPr>
        <w:t>9.1 本招标文件是对</w:t>
      </w:r>
      <w:r>
        <w:rPr>
          <w:rFonts w:hint="eastAsia" w:ascii="宋体" w:hAnsi="宋体" w:eastAsia="宋体" w:cs="宋体"/>
          <w:sz w:val="24"/>
          <w:highlight w:val="none"/>
          <w:lang w:eastAsia="zh-CN"/>
        </w:rPr>
        <w:t>克拉玛依市中心医院碘[125I]密封籽源项目</w:t>
      </w:r>
      <w:r>
        <w:rPr>
          <w:rFonts w:hint="eastAsia" w:ascii="宋体" w:hAnsi="宋体" w:eastAsia="宋体" w:cs="宋体"/>
          <w:sz w:val="24"/>
          <w:highlight w:val="none"/>
        </w:rPr>
        <w:t>招标程序、合同条款进行说明。招标文件包括下列内容：</w:t>
      </w:r>
    </w:p>
    <w:p>
      <w:pPr>
        <w:pStyle w:val="8"/>
        <w:spacing w:line="360" w:lineRule="auto"/>
        <w:ind w:firstLine="440"/>
        <w:rPr>
          <w:rFonts w:hint="eastAsia" w:ascii="宋体" w:hAnsi="宋体" w:eastAsia="宋体" w:cs="宋体"/>
          <w:sz w:val="24"/>
          <w:highlight w:val="none"/>
        </w:rPr>
      </w:pPr>
      <w:r>
        <w:rPr>
          <w:rFonts w:hint="eastAsia" w:ascii="宋体" w:hAnsi="宋体" w:eastAsia="宋体" w:cs="宋体"/>
          <w:sz w:val="24"/>
          <w:highlight w:val="none"/>
        </w:rPr>
        <w:t>第一章  招标公告</w:t>
      </w:r>
    </w:p>
    <w:p>
      <w:pPr>
        <w:pStyle w:val="8"/>
        <w:spacing w:line="360" w:lineRule="auto"/>
        <w:ind w:firstLine="440"/>
        <w:rPr>
          <w:rFonts w:hint="eastAsia" w:ascii="宋体" w:hAnsi="宋体" w:eastAsia="宋体" w:cs="宋体"/>
          <w:sz w:val="24"/>
          <w:highlight w:val="none"/>
        </w:rPr>
      </w:pPr>
      <w:r>
        <w:rPr>
          <w:rFonts w:hint="eastAsia" w:ascii="宋体" w:hAnsi="宋体" w:eastAsia="宋体" w:cs="宋体"/>
          <w:sz w:val="24"/>
          <w:highlight w:val="none"/>
        </w:rPr>
        <w:t>第二章  投标人须知</w:t>
      </w:r>
    </w:p>
    <w:p>
      <w:pPr>
        <w:pStyle w:val="8"/>
        <w:spacing w:line="360" w:lineRule="auto"/>
        <w:ind w:firstLine="440"/>
        <w:rPr>
          <w:rFonts w:hint="eastAsia" w:ascii="宋体" w:hAnsi="宋体" w:eastAsia="宋体" w:cs="宋体"/>
          <w:sz w:val="24"/>
          <w:highlight w:val="none"/>
        </w:rPr>
      </w:pPr>
      <w:r>
        <w:rPr>
          <w:rFonts w:hint="eastAsia" w:ascii="宋体" w:hAnsi="宋体" w:eastAsia="宋体" w:cs="宋体"/>
          <w:sz w:val="24"/>
          <w:highlight w:val="none"/>
        </w:rPr>
        <w:t>第三章  项目采购需求</w:t>
      </w:r>
    </w:p>
    <w:p>
      <w:pPr>
        <w:pStyle w:val="8"/>
        <w:spacing w:line="360" w:lineRule="auto"/>
        <w:ind w:firstLine="440"/>
        <w:rPr>
          <w:rFonts w:hint="eastAsia" w:ascii="宋体" w:hAnsi="宋体" w:eastAsia="宋体" w:cs="宋体"/>
          <w:sz w:val="24"/>
          <w:highlight w:val="none"/>
        </w:rPr>
      </w:pPr>
      <w:r>
        <w:rPr>
          <w:rFonts w:hint="eastAsia" w:ascii="宋体" w:hAnsi="宋体" w:eastAsia="宋体" w:cs="宋体"/>
          <w:sz w:val="24"/>
          <w:highlight w:val="none"/>
        </w:rPr>
        <w:t>第四章  合同条款（主要条款）</w:t>
      </w:r>
    </w:p>
    <w:p>
      <w:pPr>
        <w:pStyle w:val="8"/>
        <w:spacing w:line="360" w:lineRule="auto"/>
        <w:ind w:firstLine="440"/>
        <w:rPr>
          <w:rFonts w:hint="eastAsia" w:ascii="宋体" w:hAnsi="宋体" w:eastAsia="宋体" w:cs="宋体"/>
          <w:sz w:val="24"/>
          <w:highlight w:val="none"/>
        </w:rPr>
      </w:pPr>
      <w:r>
        <w:rPr>
          <w:rFonts w:hint="eastAsia" w:ascii="宋体" w:hAnsi="宋体" w:eastAsia="宋体" w:cs="宋体"/>
          <w:sz w:val="24"/>
          <w:highlight w:val="none"/>
        </w:rPr>
        <w:t>第五章  投标文件格式</w:t>
      </w:r>
    </w:p>
    <w:p>
      <w:pPr>
        <w:pStyle w:val="8"/>
        <w:spacing w:line="360" w:lineRule="auto"/>
        <w:ind w:firstLine="440"/>
        <w:rPr>
          <w:rFonts w:hint="eastAsia" w:ascii="宋体" w:hAnsi="宋体" w:eastAsia="宋体" w:cs="宋体"/>
          <w:sz w:val="24"/>
          <w:highlight w:val="none"/>
        </w:rPr>
      </w:pPr>
      <w:r>
        <w:rPr>
          <w:rFonts w:hint="eastAsia" w:ascii="宋体" w:hAnsi="宋体" w:eastAsia="宋体" w:cs="宋体"/>
          <w:sz w:val="24"/>
          <w:highlight w:val="none"/>
        </w:rPr>
        <w:t>第六章  评审标准（综合评分法）</w:t>
      </w:r>
    </w:p>
    <w:p>
      <w:pPr>
        <w:pStyle w:val="8"/>
        <w:spacing w:line="36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 xml:space="preserve">9.2 </w:t>
      </w:r>
      <w:r>
        <w:rPr>
          <w:rFonts w:hint="eastAsia" w:ascii="宋体" w:hAnsi="宋体" w:eastAsia="宋体" w:cs="宋体"/>
          <w:sz w:val="24"/>
          <w:highlight w:val="none"/>
          <w:lang w:val="zh-CN"/>
        </w:rPr>
        <w:t>招标的最小单位是标项。招标文件未分标项的，投标人须对全部招标内容投标，不得部分投标；</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9.3招标文件如果要求投标人提交备选投标方案的，投标人可以提交备选方案；否则，备选方案将被拒绝。</w:t>
      </w:r>
      <w:r>
        <w:rPr>
          <w:rFonts w:hint="eastAsia" w:ascii="宋体" w:hAnsi="宋体" w:eastAsia="宋体" w:cs="宋体"/>
          <w:b/>
          <w:bCs/>
          <w:sz w:val="24"/>
          <w:highlight w:val="none"/>
        </w:rPr>
        <w:t>本项目不允许提交备选方案。</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9.4 招标文件由本文件及由采购人按招标文件有关规定发出的招标文件补充构成。招标文件的澄清、修改、招标答疑会纪要等书面材料在本招标项目中均称招标文件补充。</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9.5招标文件补充作为招标文件的组成部分，对投标人起同等约束作用。如果招标文件补充内容与在此招标文件补充发出之前的招标文件等书面材料中相关内容相冲突，以最后发出的文件（或通知）为准，先前发出的招标文件等书面材料中相关内容自动废止。</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9.6 除非有特殊要求，招标文件不单独提供招标项目使用地的自然环境、气候条件、劳动力及公用设施等情况，投标人被视为熟悉上述条件或若中标履行合同有关的一切情况。</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9.7采购人向投标人提供的有关数据和资料，是采购人现有的能被投标人利用的资料，投标人对此做出的推论、理解和结论自行负责。</w:t>
      </w:r>
    </w:p>
    <w:p>
      <w:pPr>
        <w:pStyle w:val="8"/>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9.8投标人应认真审阅和理解招标文件所有内容，尤其注意可能引起“否决投标”、“拒绝评审”、“无效投标”、“评审不予通过”等的条款，按照招标文件要求编制投标文件。任何对招标文件的忽略或误解不能作为投标文件存在缺陷或瑕疵的理由，其风险由投标人承担。</w:t>
      </w:r>
    </w:p>
    <w:p>
      <w:pPr>
        <w:pStyle w:val="8"/>
        <w:spacing w:line="360" w:lineRule="auto"/>
        <w:ind w:firstLine="480" w:firstLineChars="200"/>
        <w:outlineLvl w:val="1"/>
        <w:rPr>
          <w:rFonts w:hint="eastAsia" w:ascii="宋体" w:hAnsi="宋体" w:eastAsia="宋体" w:cs="宋体"/>
          <w:sz w:val="24"/>
          <w:highlight w:val="none"/>
        </w:rPr>
      </w:pPr>
      <w:bookmarkStart w:id="59" w:name="_Toc243906320"/>
      <w:bookmarkStart w:id="60" w:name="_Toc233274820"/>
      <w:bookmarkStart w:id="61" w:name="_Toc245897280"/>
      <w:bookmarkStart w:id="62" w:name="_Toc243907580"/>
      <w:r>
        <w:rPr>
          <w:rFonts w:hint="eastAsia" w:ascii="宋体" w:hAnsi="宋体" w:eastAsia="宋体" w:cs="宋体"/>
          <w:sz w:val="24"/>
          <w:highlight w:val="none"/>
        </w:rPr>
        <w:t>10、招标文件的澄清</w:t>
      </w:r>
      <w:bookmarkEnd w:id="59"/>
      <w:bookmarkEnd w:id="60"/>
      <w:bookmarkEnd w:id="61"/>
      <w:bookmarkEnd w:id="62"/>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10.1 投标人对招标文件如有疑问，可要求澄清，应按招标文件“投标人须知前附表第6条”以扫描件形式（必须加盖投标人公章）发送至邮箱：</w:t>
      </w:r>
      <w:r>
        <w:rPr>
          <w:rFonts w:hint="eastAsia" w:ascii="宋体" w:hAnsi="宋体" w:eastAsia="宋体" w:cs="宋体"/>
          <w:sz w:val="24"/>
          <w:highlight w:val="none"/>
          <w:lang w:eastAsia="zh-CN"/>
        </w:rPr>
        <w:t>1090258936</w:t>
      </w:r>
      <w:r>
        <w:rPr>
          <w:rFonts w:hint="eastAsia" w:ascii="宋体" w:hAnsi="宋体" w:eastAsia="宋体" w:cs="宋体"/>
          <w:sz w:val="24"/>
          <w:highlight w:val="none"/>
        </w:rPr>
        <w:t>@qq.com。采购人和采购代理机构将视情况以书面形式予以答复，并发至领取招标文件的每位投标人。答复中包括所提问题，但不包括问题的来源。</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10.2 如果上述答复涉及对招标文件的修改或补充，则它将被视为招标文件的组成部分。凡原先所发招标文件中的内容与答复中的内容不一致之处，以最后书面答复为准。任何电话或口头咨询和答复的意思解释均不具有法律约束力。</w:t>
      </w:r>
    </w:p>
    <w:p>
      <w:pPr>
        <w:pStyle w:val="8"/>
        <w:spacing w:line="360" w:lineRule="auto"/>
        <w:ind w:firstLine="480" w:firstLineChars="200"/>
        <w:outlineLvl w:val="1"/>
        <w:rPr>
          <w:rFonts w:hint="eastAsia" w:ascii="宋体" w:hAnsi="宋体" w:eastAsia="宋体" w:cs="宋体"/>
          <w:sz w:val="24"/>
          <w:highlight w:val="none"/>
        </w:rPr>
      </w:pPr>
      <w:bookmarkStart w:id="63" w:name="_Toc243906321"/>
      <w:bookmarkStart w:id="64" w:name="_Toc245897281"/>
      <w:bookmarkStart w:id="65" w:name="_Toc233274821"/>
      <w:bookmarkStart w:id="66" w:name="_Toc243907581"/>
      <w:r>
        <w:rPr>
          <w:rFonts w:hint="eastAsia" w:ascii="宋体" w:hAnsi="宋体" w:eastAsia="宋体" w:cs="宋体"/>
          <w:sz w:val="24"/>
          <w:highlight w:val="none"/>
        </w:rPr>
        <w:t>11、招标文件的修改和补充</w:t>
      </w:r>
      <w:bookmarkEnd w:id="63"/>
      <w:bookmarkEnd w:id="64"/>
      <w:bookmarkEnd w:id="65"/>
      <w:bookmarkEnd w:id="66"/>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澄清或者修改的内容可能影响投标文件编制的，采购人或者招标代理机构应当在投标截止时间至少15日前，以书面形式通知所有获取招标文件的潜在投标人；不足15日的，采购人或者招标代理机构应当顺延提交投标文件的截止时间。修改或补充文件将作为招标文件的组成部分，对所有投标人具有约束力。</w:t>
      </w:r>
    </w:p>
    <w:p>
      <w:pPr>
        <w:pStyle w:val="8"/>
        <w:spacing w:line="360" w:lineRule="auto"/>
        <w:ind w:firstLine="480" w:firstLineChars="200"/>
        <w:rPr>
          <w:rFonts w:hint="eastAsia" w:ascii="宋体" w:hAnsi="宋体" w:eastAsia="宋体" w:cs="宋体"/>
          <w:b/>
          <w:bCs/>
          <w:sz w:val="28"/>
          <w:szCs w:val="28"/>
          <w:highlight w:val="none"/>
        </w:rPr>
      </w:pPr>
      <w:r>
        <w:rPr>
          <w:rFonts w:hint="eastAsia" w:ascii="宋体" w:hAnsi="宋体" w:eastAsia="宋体" w:cs="宋体"/>
          <w:sz w:val="24"/>
          <w:highlight w:val="none"/>
        </w:rPr>
        <w:t>11.2投标人在每次收到采购代理机构发至的书面文件后，应在收到后24小时内以书面形式并加盖投标人公章予以确认。</w:t>
      </w:r>
      <w:bookmarkStart w:id="67" w:name="_Toc243907582"/>
      <w:bookmarkStart w:id="68" w:name="_Toc243906322"/>
      <w:bookmarkStart w:id="69" w:name="_Toc246216191"/>
      <w:bookmarkStart w:id="70" w:name="_Toc233274822"/>
      <w:bookmarkStart w:id="71" w:name="_Toc154996580"/>
    </w:p>
    <w:p>
      <w:pPr>
        <w:pStyle w:val="8"/>
        <w:spacing w:line="360" w:lineRule="auto"/>
        <w:jc w:val="center"/>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三、投标文件的编写</w:t>
      </w:r>
      <w:bookmarkEnd w:id="67"/>
      <w:bookmarkEnd w:id="68"/>
      <w:bookmarkEnd w:id="69"/>
      <w:bookmarkEnd w:id="70"/>
    </w:p>
    <w:p>
      <w:pPr>
        <w:pStyle w:val="8"/>
        <w:spacing w:line="360" w:lineRule="auto"/>
        <w:ind w:firstLine="480" w:firstLineChars="200"/>
        <w:outlineLvl w:val="1"/>
        <w:rPr>
          <w:rFonts w:hint="eastAsia" w:ascii="宋体" w:hAnsi="宋体" w:eastAsia="宋体" w:cs="宋体"/>
          <w:sz w:val="24"/>
          <w:highlight w:val="none"/>
        </w:rPr>
      </w:pPr>
      <w:bookmarkStart w:id="72" w:name="_Toc233274823"/>
      <w:bookmarkStart w:id="73" w:name="_Toc245897283"/>
      <w:bookmarkStart w:id="74" w:name="_Toc243907583"/>
      <w:bookmarkStart w:id="75" w:name="_Toc243906323"/>
      <w:r>
        <w:rPr>
          <w:rFonts w:hint="eastAsia" w:ascii="宋体" w:hAnsi="宋体" w:eastAsia="宋体" w:cs="宋体"/>
          <w:sz w:val="24"/>
          <w:highlight w:val="none"/>
        </w:rPr>
        <w:t>1</w:t>
      </w:r>
      <w:bookmarkEnd w:id="72"/>
      <w:r>
        <w:rPr>
          <w:rFonts w:hint="eastAsia" w:ascii="宋体" w:hAnsi="宋体" w:eastAsia="宋体" w:cs="宋体"/>
          <w:sz w:val="24"/>
          <w:highlight w:val="none"/>
        </w:rPr>
        <w:t>2、投标文件的编写</w:t>
      </w:r>
      <w:bookmarkEnd w:id="73"/>
      <w:bookmarkEnd w:id="74"/>
      <w:bookmarkEnd w:id="75"/>
    </w:p>
    <w:p>
      <w:pPr>
        <w:spacing w:line="360" w:lineRule="auto"/>
        <w:ind w:firstLine="481"/>
        <w:rPr>
          <w:rFonts w:hint="eastAsia" w:ascii="宋体" w:hAnsi="宋体" w:eastAsia="宋体" w:cs="宋体"/>
          <w:highlight w:val="none"/>
        </w:rPr>
      </w:pPr>
      <w:r>
        <w:rPr>
          <w:rFonts w:hint="eastAsia" w:ascii="宋体" w:hAnsi="宋体" w:eastAsia="宋体" w:cs="宋体"/>
          <w:sz w:val="24"/>
          <w:highlight w:val="none"/>
        </w:rPr>
        <w:t>12.1投标人必须详细阅读招标文件的章、节、条款、格式等所有内容，按招标文件的要求提交投标文件，并保证所提供的全部文件及相关资料的真实性，以使其对招标文件做出实质性响应。投标人应仔细阅读并充分理解招标文件、技术规范及标准、项目采购需求及合同条款后编制投标文件。</w:t>
      </w:r>
    </w:p>
    <w:p>
      <w:pPr>
        <w:pStyle w:val="8"/>
        <w:spacing w:line="360" w:lineRule="auto"/>
        <w:ind w:firstLine="480" w:firstLineChars="200"/>
        <w:outlineLvl w:val="1"/>
        <w:rPr>
          <w:rFonts w:hint="eastAsia" w:ascii="宋体" w:hAnsi="宋体" w:eastAsia="宋体" w:cs="宋体"/>
          <w:sz w:val="24"/>
          <w:highlight w:val="none"/>
        </w:rPr>
      </w:pPr>
      <w:bookmarkStart w:id="76" w:name="_Toc245897284"/>
      <w:bookmarkStart w:id="77" w:name="_Toc243906324"/>
      <w:bookmarkStart w:id="78" w:name="_Toc233274824"/>
      <w:bookmarkStart w:id="79" w:name="_Toc243907584"/>
      <w:r>
        <w:rPr>
          <w:rFonts w:hint="eastAsia" w:ascii="宋体" w:hAnsi="宋体" w:eastAsia="宋体" w:cs="宋体"/>
          <w:sz w:val="24"/>
          <w:highlight w:val="none"/>
        </w:rPr>
        <w:t>13、投标文件的语言及计量单位</w:t>
      </w:r>
      <w:bookmarkEnd w:id="76"/>
      <w:bookmarkEnd w:id="77"/>
      <w:bookmarkEnd w:id="78"/>
      <w:bookmarkEnd w:id="79"/>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13.1 投标文件及投标人和采购人及采购代理机构就有关招标的所有文件和来往函件，应以中文书写。投标人可以提交用其他语言（原文）打印的资料，但必须翻译成中文，当原文和译文（中文）之间存有差异和/或矛盾时，以中文为准。</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13.2 除在招标文件的项目采购需求中另有规定外，计量单位应使用中华人民共和国法定计量单位（国际单位制和国家选定的其它计量单位）。如投标人采用其它计量单位，需事先得到采购人的同意。</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14、知识产权</w:t>
      </w:r>
    </w:p>
    <w:p>
      <w:pPr>
        <w:pStyle w:val="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14.1投标人应保证在本项目使用的任何产品和服务时，不会产生因第三方提出侵犯其专利权、商标权或其它知识产权而引起的法律和经济纠纷，如因专利权、商标权或其它知识产权而引起法律和经济纠纷，由投标人承担所有相关责任。</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szCs w:val="24"/>
          <w:highlight w:val="none"/>
        </w:rPr>
        <w:t>14.2 采购人享有本项目实施过程中产生的知识成果及知识产权。</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spacing w:line="360" w:lineRule="auto"/>
        <w:ind w:firstLine="460" w:firstLineChars="192"/>
        <w:rPr>
          <w:rFonts w:hint="eastAsia" w:ascii="宋体" w:hAnsi="宋体" w:eastAsia="宋体" w:cs="宋体"/>
          <w:sz w:val="24"/>
          <w:highlight w:val="none"/>
        </w:rPr>
      </w:pPr>
      <w:r>
        <w:rPr>
          <w:rFonts w:hint="eastAsia" w:ascii="宋体" w:hAnsi="宋体" w:eastAsia="宋体" w:cs="宋体"/>
          <w:sz w:val="24"/>
          <w:highlight w:val="none"/>
        </w:rPr>
        <w:t xml:space="preserve">14.4 投标人如采用其所不拥有的知识产权，则在其商务报价中必须包括合法获取该知识产权的相关费用。 </w:t>
      </w:r>
    </w:p>
    <w:p>
      <w:pPr>
        <w:pStyle w:val="8"/>
        <w:spacing w:line="324" w:lineRule="auto"/>
        <w:ind w:firstLine="482" w:firstLineChars="200"/>
        <w:outlineLvl w:val="1"/>
        <w:rPr>
          <w:rFonts w:hint="eastAsia" w:ascii="宋体" w:hAnsi="宋体" w:eastAsia="宋体" w:cs="宋体"/>
          <w:b/>
          <w:sz w:val="24"/>
          <w:highlight w:val="none"/>
        </w:rPr>
      </w:pPr>
      <w:bookmarkStart w:id="80" w:name="_Toc233274825"/>
      <w:bookmarkStart w:id="81" w:name="_Toc243906325"/>
      <w:bookmarkStart w:id="82" w:name="_Toc245897285"/>
      <w:bookmarkStart w:id="83" w:name="_Toc243907585"/>
      <w:r>
        <w:rPr>
          <w:rFonts w:hint="eastAsia" w:ascii="宋体" w:hAnsi="宋体" w:eastAsia="宋体" w:cs="宋体"/>
          <w:b/>
          <w:bCs/>
          <w:sz w:val="24"/>
          <w:highlight w:val="none"/>
        </w:rPr>
        <w:t>15、</w:t>
      </w:r>
      <w:bookmarkEnd w:id="80"/>
      <w:bookmarkEnd w:id="81"/>
      <w:bookmarkEnd w:id="82"/>
      <w:bookmarkEnd w:id="83"/>
      <w:r>
        <w:rPr>
          <w:rFonts w:hint="eastAsia" w:ascii="宋体" w:hAnsi="宋体" w:eastAsia="宋体" w:cs="宋体"/>
          <w:b/>
          <w:bCs/>
          <w:sz w:val="24"/>
          <w:highlight w:val="none"/>
        </w:rPr>
        <w:t>投标文</w:t>
      </w:r>
      <w:r>
        <w:rPr>
          <w:rFonts w:hint="eastAsia" w:ascii="宋体" w:hAnsi="宋体" w:eastAsia="宋体" w:cs="宋体"/>
          <w:b/>
          <w:sz w:val="24"/>
          <w:highlight w:val="none"/>
        </w:rPr>
        <w:t>件的组成：投标文件</w:t>
      </w:r>
      <w:r>
        <w:rPr>
          <w:rFonts w:hint="eastAsia" w:ascii="宋体" w:hAnsi="宋体" w:eastAsia="宋体" w:cs="宋体"/>
          <w:b/>
          <w:sz w:val="24"/>
          <w:highlight w:val="none"/>
          <w:lang w:val="zh-CN"/>
        </w:rPr>
        <w:t>以标项为单位、结合各标项评分表分别编制并提交。各标项投标文件均</w:t>
      </w:r>
      <w:r>
        <w:rPr>
          <w:rFonts w:hint="eastAsia" w:ascii="宋体" w:hAnsi="宋体" w:eastAsia="宋体" w:cs="宋体"/>
          <w:b/>
          <w:sz w:val="24"/>
          <w:highlight w:val="none"/>
        </w:rPr>
        <w:t>由资格证明文件、商务、技术部分组成，装订成一册。投标文件均为明标</w:t>
      </w:r>
      <w:r>
        <w:rPr>
          <w:rFonts w:hint="eastAsia" w:ascii="宋体" w:hAnsi="宋体" w:eastAsia="宋体" w:cs="宋体"/>
          <w:b/>
          <w:sz w:val="24"/>
          <w:highlight w:val="none"/>
          <w:lang w:val="zh-CN"/>
        </w:rPr>
        <w:t>，需编制目录及页码</w:t>
      </w:r>
      <w:r>
        <w:rPr>
          <w:rFonts w:hint="eastAsia" w:ascii="宋体" w:hAnsi="宋体" w:eastAsia="宋体" w:cs="宋体"/>
          <w:b/>
          <w:sz w:val="24"/>
          <w:highlight w:val="none"/>
        </w:rPr>
        <w:t>。各投标人应对照第三章“项目采购需求”及第六章“评标办法（综合评分法）”提供必要的证明资料，投标文件应包括以下内容（但不限于以下内容）：</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15.1资格证明文件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资格证明文件应简要客观反映企业面貌，使采购人对其有感性了解，必须如实提供，如发现失实之处将影响其中标。资格证明文件包括但不仅限于以下内容，投标人对照第六章“1、资格性审查”提供必要的证明材料：</w:t>
      </w:r>
    </w:p>
    <w:p>
      <w:pPr>
        <w:numPr>
          <w:ilvl w:val="0"/>
          <w:numId w:val="2"/>
        </w:numPr>
        <w:spacing w:line="360" w:lineRule="auto"/>
        <w:ind w:left="5" w:firstLine="415"/>
        <w:jc w:val="left"/>
        <w:rPr>
          <w:rFonts w:hint="eastAsia" w:ascii="宋体" w:hAnsi="宋体" w:eastAsia="宋体" w:cs="宋体"/>
          <w:highlight w:val="none"/>
        </w:rPr>
      </w:pPr>
      <w:r>
        <w:rPr>
          <w:rFonts w:hint="eastAsia" w:ascii="宋体" w:hAnsi="宋体" w:eastAsia="宋体" w:cs="宋体"/>
          <w:bCs/>
          <w:sz w:val="24"/>
          <w:highlight w:val="none"/>
        </w:rPr>
        <w:t>资格性/符合性自查表</w:t>
      </w:r>
      <w:r>
        <w:rPr>
          <w:rFonts w:hint="eastAsia" w:ascii="宋体" w:hAnsi="宋体" w:eastAsia="宋体" w:cs="宋体"/>
          <w:sz w:val="24"/>
          <w:highlight w:val="none"/>
        </w:rPr>
        <w:t>（详见文件格式1）；</w:t>
      </w:r>
    </w:p>
    <w:p>
      <w:pPr>
        <w:numPr>
          <w:ilvl w:val="0"/>
          <w:numId w:val="2"/>
        </w:numPr>
        <w:tabs>
          <w:tab w:val="left" w:pos="0"/>
        </w:tabs>
        <w:spacing w:line="360" w:lineRule="auto"/>
        <w:ind w:left="5" w:firstLine="415"/>
        <w:jc w:val="left"/>
        <w:rPr>
          <w:rFonts w:hint="eastAsia" w:ascii="宋体" w:hAnsi="宋体" w:eastAsia="宋体" w:cs="宋体"/>
          <w:bCs/>
          <w:sz w:val="24"/>
          <w:highlight w:val="none"/>
        </w:rPr>
      </w:pPr>
      <w:r>
        <w:rPr>
          <w:rFonts w:hint="eastAsia" w:ascii="宋体" w:hAnsi="宋体" w:eastAsia="宋体" w:cs="宋体"/>
          <w:bCs/>
          <w:sz w:val="24"/>
          <w:highlight w:val="none"/>
        </w:rPr>
        <w:t>法定代表人资格证明书</w:t>
      </w:r>
      <w:r>
        <w:rPr>
          <w:rFonts w:hint="eastAsia" w:ascii="宋体" w:hAnsi="宋体" w:eastAsia="宋体" w:cs="宋体"/>
          <w:sz w:val="24"/>
          <w:highlight w:val="none"/>
        </w:rPr>
        <w:t>（详见格式2）；</w:t>
      </w:r>
    </w:p>
    <w:p>
      <w:pPr>
        <w:numPr>
          <w:ilvl w:val="0"/>
          <w:numId w:val="2"/>
        </w:numPr>
        <w:spacing w:line="360" w:lineRule="auto"/>
        <w:ind w:left="5" w:firstLine="415"/>
        <w:rPr>
          <w:rFonts w:hint="eastAsia" w:ascii="宋体" w:hAnsi="宋体" w:eastAsia="宋体" w:cs="宋体"/>
          <w:sz w:val="24"/>
          <w:highlight w:val="none"/>
        </w:rPr>
      </w:pPr>
      <w:r>
        <w:rPr>
          <w:rFonts w:hint="eastAsia" w:ascii="宋体" w:hAnsi="宋体" w:eastAsia="宋体" w:cs="宋体"/>
          <w:bCs/>
          <w:sz w:val="24"/>
          <w:highlight w:val="none"/>
        </w:rPr>
        <w:t>法定代表人授权委托书</w:t>
      </w:r>
      <w:r>
        <w:rPr>
          <w:rFonts w:hint="eastAsia" w:ascii="宋体" w:hAnsi="宋体" w:eastAsia="宋体" w:cs="宋体"/>
          <w:sz w:val="24"/>
          <w:highlight w:val="none"/>
        </w:rPr>
        <w:t>（详见格式3）；</w:t>
      </w:r>
    </w:p>
    <w:p>
      <w:pPr>
        <w:numPr>
          <w:ilvl w:val="0"/>
          <w:numId w:val="2"/>
        </w:numPr>
        <w:spacing w:line="360" w:lineRule="auto"/>
        <w:ind w:left="5" w:firstLine="415"/>
        <w:rPr>
          <w:rFonts w:hint="eastAsia" w:ascii="宋体" w:hAnsi="宋体" w:eastAsia="宋体" w:cs="宋体"/>
          <w:sz w:val="24"/>
          <w:highlight w:val="none"/>
        </w:rPr>
      </w:pPr>
      <w:r>
        <w:rPr>
          <w:rFonts w:hint="eastAsia" w:ascii="宋体" w:hAnsi="宋体" w:eastAsia="宋体" w:cs="宋体"/>
          <w:sz w:val="24"/>
          <w:highlight w:val="none"/>
        </w:rPr>
        <w:t>有效期内的三证合一企业营业执照（复印件）；</w:t>
      </w:r>
    </w:p>
    <w:p>
      <w:pPr>
        <w:numPr>
          <w:ilvl w:val="0"/>
          <w:numId w:val="2"/>
        </w:numPr>
        <w:spacing w:line="360" w:lineRule="auto"/>
        <w:ind w:left="5" w:firstLine="415"/>
        <w:rPr>
          <w:rFonts w:hint="eastAsia" w:ascii="宋体" w:hAnsi="宋体" w:eastAsia="宋体" w:cs="宋体"/>
          <w:sz w:val="24"/>
          <w:highlight w:val="none"/>
        </w:rPr>
      </w:pPr>
      <w:r>
        <w:rPr>
          <w:rFonts w:hint="eastAsia" w:ascii="宋体" w:hAnsi="宋体" w:eastAsia="宋体" w:cs="宋体"/>
          <w:sz w:val="24"/>
          <w:highlight w:val="none"/>
        </w:rPr>
        <w:t>投标人基本情况表（详见格式4）；</w:t>
      </w:r>
    </w:p>
    <w:p>
      <w:pPr>
        <w:numPr>
          <w:ilvl w:val="0"/>
          <w:numId w:val="2"/>
        </w:numPr>
        <w:spacing w:line="360" w:lineRule="auto"/>
        <w:ind w:left="5" w:firstLine="415"/>
        <w:rPr>
          <w:rFonts w:hint="eastAsia" w:ascii="宋体" w:hAnsi="宋体" w:eastAsia="宋体" w:cs="宋体"/>
          <w:sz w:val="24"/>
          <w:highlight w:val="none"/>
        </w:rPr>
      </w:pPr>
      <w:r>
        <w:rPr>
          <w:rFonts w:hint="eastAsia" w:ascii="宋体" w:hAnsi="宋体" w:eastAsia="宋体" w:cs="宋体"/>
          <w:sz w:val="24"/>
          <w:highlight w:val="none"/>
        </w:rPr>
        <w:t>提供近三年（自2019年1月1日至今）（以合同签订的时间为准）类似项目业绩证明（复印件）（详见格式10）；</w:t>
      </w:r>
    </w:p>
    <w:p>
      <w:pPr>
        <w:numPr>
          <w:ilvl w:val="0"/>
          <w:numId w:val="2"/>
        </w:numPr>
        <w:spacing w:line="360" w:lineRule="auto"/>
        <w:ind w:left="5" w:firstLine="415"/>
        <w:rPr>
          <w:rFonts w:hint="eastAsia" w:ascii="宋体" w:hAnsi="宋体" w:eastAsia="宋体" w:cs="宋体"/>
          <w:sz w:val="24"/>
          <w:highlight w:val="none"/>
        </w:rPr>
      </w:pPr>
      <w:r>
        <w:rPr>
          <w:rFonts w:hint="eastAsia" w:ascii="宋体" w:hAnsi="宋体" w:eastAsia="宋体" w:cs="宋体"/>
          <w:sz w:val="24"/>
          <w:highlight w:val="none"/>
        </w:rPr>
        <w:t>诚信声明（详见格式5）；</w:t>
      </w:r>
    </w:p>
    <w:p>
      <w:pPr>
        <w:numPr>
          <w:ilvl w:val="0"/>
          <w:numId w:val="2"/>
        </w:numPr>
        <w:spacing w:line="360" w:lineRule="auto"/>
        <w:ind w:left="5" w:firstLine="415"/>
        <w:rPr>
          <w:rFonts w:hint="eastAsia" w:ascii="宋体" w:hAnsi="宋体" w:eastAsia="宋体" w:cs="宋体"/>
          <w:b/>
          <w:sz w:val="24"/>
          <w:highlight w:val="none"/>
        </w:rPr>
      </w:pPr>
      <w:r>
        <w:rPr>
          <w:rFonts w:hint="eastAsia" w:ascii="宋体" w:hAnsi="宋体" w:eastAsia="宋体" w:cs="宋体"/>
          <w:b/>
          <w:bCs/>
          <w:sz w:val="24"/>
          <w:highlight w:val="none"/>
        </w:rPr>
        <w:t>投标人根据政府采购公告中资格要求提供相应的证明材料</w:t>
      </w:r>
      <w:r>
        <w:rPr>
          <w:rFonts w:hint="eastAsia" w:ascii="宋体" w:hAnsi="宋体" w:eastAsia="宋体" w:cs="宋体"/>
          <w:sz w:val="24"/>
          <w:highlight w:val="none"/>
        </w:rPr>
        <w:t>。</w:t>
      </w:r>
    </w:p>
    <w:p>
      <w:pPr>
        <w:spacing w:line="360" w:lineRule="auto"/>
        <w:ind w:firstLine="480" w:firstLineChars="200"/>
        <w:jc w:val="left"/>
        <w:rPr>
          <w:rFonts w:hint="eastAsia" w:ascii="宋体" w:hAnsi="宋体" w:eastAsia="宋体" w:cs="宋体"/>
          <w:bCs/>
          <w:sz w:val="24"/>
          <w:highlight w:val="none"/>
        </w:rPr>
      </w:pPr>
    </w:p>
    <w:p>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15.2 商务部分主要包括但不限于以下内容：</w:t>
      </w:r>
    </w:p>
    <w:p>
      <w:pPr>
        <w:pStyle w:val="6"/>
        <w:numPr>
          <w:ilvl w:val="0"/>
          <w:numId w:val="3"/>
        </w:numPr>
        <w:tabs>
          <w:tab w:val="left" w:pos="0"/>
        </w:tabs>
        <w:overflowPunct w:val="0"/>
        <w:spacing w:line="360" w:lineRule="auto"/>
        <w:ind w:left="5" w:firstLine="41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投标函（详见格式6）；</w:t>
      </w:r>
    </w:p>
    <w:p>
      <w:pPr>
        <w:pStyle w:val="6"/>
        <w:numPr>
          <w:ilvl w:val="0"/>
          <w:numId w:val="3"/>
        </w:numPr>
        <w:tabs>
          <w:tab w:val="left" w:pos="0"/>
        </w:tabs>
        <w:overflowPunct w:val="0"/>
        <w:spacing w:line="360" w:lineRule="auto"/>
        <w:ind w:left="5" w:firstLine="41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开标一览表（详见格式7）；投标货物名称、数量、规格及报价明细表（详见格式7-1）</w:t>
      </w:r>
    </w:p>
    <w:p>
      <w:pPr>
        <w:pStyle w:val="6"/>
        <w:numPr>
          <w:ilvl w:val="0"/>
          <w:numId w:val="3"/>
        </w:numPr>
        <w:tabs>
          <w:tab w:val="left" w:pos="0"/>
        </w:tabs>
        <w:overflowPunct w:val="0"/>
        <w:spacing w:line="360" w:lineRule="auto"/>
        <w:ind w:left="5" w:firstLine="41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商务条款偏离表（详见格式8）；</w:t>
      </w:r>
    </w:p>
    <w:p>
      <w:pPr>
        <w:pStyle w:val="6"/>
        <w:numPr>
          <w:ilvl w:val="0"/>
          <w:numId w:val="3"/>
        </w:numPr>
        <w:tabs>
          <w:tab w:val="left" w:pos="0"/>
        </w:tabs>
        <w:overflowPunct w:val="0"/>
        <w:spacing w:line="360" w:lineRule="auto"/>
        <w:ind w:left="5" w:firstLine="41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中小企业声明函（详见格式9）；</w:t>
      </w:r>
    </w:p>
    <w:p>
      <w:pPr>
        <w:pStyle w:val="6"/>
        <w:numPr>
          <w:ilvl w:val="0"/>
          <w:numId w:val="3"/>
        </w:numPr>
        <w:tabs>
          <w:tab w:val="left" w:pos="0"/>
        </w:tabs>
        <w:overflowPunct w:val="0"/>
        <w:spacing w:line="360" w:lineRule="auto"/>
        <w:ind w:left="5" w:firstLine="41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上一年度经审计的财务报告/报表（包括资产负债表、损益表、利润表、现金流量表及财务状况说明书，新成立的公司提供情况说明）；</w:t>
      </w:r>
    </w:p>
    <w:p>
      <w:pPr>
        <w:pStyle w:val="6"/>
        <w:numPr>
          <w:ilvl w:val="0"/>
          <w:numId w:val="3"/>
        </w:numPr>
        <w:tabs>
          <w:tab w:val="left" w:pos="0"/>
        </w:tabs>
        <w:overflowPunct w:val="0"/>
        <w:spacing w:line="360" w:lineRule="auto"/>
        <w:ind w:left="5" w:firstLine="41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近三个月依法缴纳税收和社会保障资金的良好记录的证明材料（附复印件）；</w:t>
      </w:r>
    </w:p>
    <w:p>
      <w:pPr>
        <w:numPr>
          <w:ilvl w:val="0"/>
          <w:numId w:val="3"/>
        </w:numPr>
        <w:spacing w:line="360" w:lineRule="auto"/>
        <w:ind w:left="5" w:firstLine="415"/>
        <w:rPr>
          <w:rFonts w:hint="eastAsia" w:ascii="宋体" w:hAnsi="宋体" w:eastAsia="宋体" w:cs="宋体"/>
          <w:sz w:val="24"/>
          <w:highlight w:val="none"/>
        </w:rPr>
      </w:pPr>
      <w:r>
        <w:rPr>
          <w:rFonts w:hint="eastAsia" w:ascii="宋体" w:hAnsi="宋体" w:eastAsia="宋体" w:cs="宋体"/>
          <w:sz w:val="24"/>
          <w:highlight w:val="none"/>
        </w:rPr>
        <w:t>企业近三年（2019年1月1日至今）的获奖、荣誉证书等能够体现企业信誉及其它与本项目有关的能证明企业实力的各项证明资料；</w:t>
      </w:r>
    </w:p>
    <w:p>
      <w:pPr>
        <w:pStyle w:val="6"/>
        <w:numPr>
          <w:ilvl w:val="0"/>
          <w:numId w:val="3"/>
        </w:numPr>
        <w:tabs>
          <w:tab w:val="left" w:pos="0"/>
        </w:tabs>
        <w:overflowPunct w:val="0"/>
        <w:spacing w:line="360" w:lineRule="auto"/>
        <w:ind w:left="5" w:firstLine="41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售后服务承诺书及培训计划</w:t>
      </w:r>
    </w:p>
    <w:p>
      <w:pPr>
        <w:pStyle w:val="6"/>
        <w:tabs>
          <w:tab w:val="left" w:pos="0"/>
        </w:tabs>
        <w:overflowPunct w:val="0"/>
        <w:spacing w:line="360" w:lineRule="auto"/>
        <w:ind w:left="420" w:firstLine="0"/>
        <w:jc w:val="both"/>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 供应商认为有必要提供的声明及文件资料</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15.3</w:t>
      </w:r>
      <w:r>
        <w:rPr>
          <w:rFonts w:hint="eastAsia" w:ascii="宋体" w:hAnsi="宋体" w:eastAsia="宋体" w:cs="宋体"/>
          <w:b/>
          <w:bCs/>
          <w:kern w:val="0"/>
          <w:sz w:val="24"/>
          <w:highlight w:val="none"/>
        </w:rPr>
        <w:t>技术部分主要包括但不限于以下内容：</w:t>
      </w:r>
    </w:p>
    <w:p>
      <w:pPr>
        <w:pStyle w:val="29"/>
        <w:spacing w:line="520" w:lineRule="exact"/>
        <w:ind w:firstLine="360" w:firstLineChars="15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（1）产品的详细技术参数说明</w:t>
      </w:r>
    </w:p>
    <w:p>
      <w:pPr>
        <w:pStyle w:val="29"/>
        <w:snapToGrid w:val="0"/>
        <w:spacing w:line="52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所投产品必须提供国家权威部门出具的检验报告和对外印刷的宣传彩页作为其技术指标的支持资料（国家无需检测的设备可以不提供检验报告）。对未提供技术支持资料的，或参数与其提供的技术支持资料不一致的，均视为偏离。</w:t>
      </w:r>
    </w:p>
    <w:p>
      <w:pPr>
        <w:spacing w:line="360" w:lineRule="auto"/>
        <w:ind w:left="420"/>
        <w:rPr>
          <w:rFonts w:hint="eastAsia" w:ascii="宋体" w:hAnsi="宋体" w:eastAsia="宋体" w:cs="宋体"/>
          <w:sz w:val="24"/>
          <w:highlight w:val="none"/>
        </w:rPr>
      </w:pPr>
      <w:r>
        <w:rPr>
          <w:rFonts w:hint="eastAsia" w:ascii="宋体" w:hAnsi="宋体" w:eastAsia="宋体" w:cs="宋体"/>
          <w:sz w:val="24"/>
          <w:highlight w:val="none"/>
        </w:rPr>
        <w:t>（2）售后服务能力情况；</w:t>
      </w:r>
    </w:p>
    <w:p>
      <w:pPr>
        <w:spacing w:line="360" w:lineRule="auto"/>
        <w:ind w:left="420"/>
        <w:rPr>
          <w:rFonts w:hint="eastAsia" w:ascii="宋体" w:hAnsi="宋体" w:eastAsia="宋体" w:cs="宋体"/>
          <w:sz w:val="24"/>
          <w:highlight w:val="none"/>
        </w:rPr>
      </w:pPr>
      <w:r>
        <w:rPr>
          <w:rFonts w:hint="eastAsia" w:ascii="宋体" w:hAnsi="宋体" w:eastAsia="宋体" w:cs="宋体"/>
          <w:sz w:val="24"/>
          <w:highlight w:val="none"/>
        </w:rPr>
        <w:t>（3）技术规格响应偏离表（详见格式11）；</w:t>
      </w:r>
    </w:p>
    <w:p>
      <w:pPr>
        <w:spacing w:line="360" w:lineRule="auto"/>
        <w:ind w:left="420"/>
        <w:rPr>
          <w:rFonts w:hint="eastAsia" w:ascii="宋体" w:hAnsi="宋体" w:eastAsia="宋体" w:cs="宋体"/>
          <w:sz w:val="24"/>
          <w:highlight w:val="none"/>
        </w:rPr>
      </w:pPr>
      <w:r>
        <w:rPr>
          <w:rFonts w:hint="eastAsia" w:ascii="宋体" w:hAnsi="宋体" w:eastAsia="宋体" w:cs="宋体"/>
          <w:sz w:val="24"/>
          <w:highlight w:val="none"/>
        </w:rPr>
        <w:t>（4）备品备件及专用工具清单</w:t>
      </w:r>
    </w:p>
    <w:p>
      <w:pPr>
        <w:spacing w:line="360" w:lineRule="auto"/>
        <w:ind w:left="420"/>
        <w:rPr>
          <w:rFonts w:hint="eastAsia" w:ascii="宋体" w:hAnsi="宋体" w:eastAsia="宋体" w:cs="宋体"/>
          <w:sz w:val="24"/>
          <w:highlight w:val="none"/>
        </w:rPr>
      </w:pPr>
      <w:r>
        <w:rPr>
          <w:rFonts w:hint="eastAsia" w:ascii="宋体" w:hAnsi="宋体" w:eastAsia="宋体" w:cs="宋体"/>
          <w:sz w:val="24"/>
          <w:highlight w:val="none"/>
        </w:rPr>
        <w:t>（5）产品样册、说明书、图纸技术资料及产品质量获奖荣誉证书复印件、投标货物的试(检)验报告、鉴定证书（复印件）、执行的制造、验收标准等内容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（6）供应商认为有必要提供的声明及文件资料</w:t>
      </w:r>
    </w:p>
    <w:p>
      <w:pPr>
        <w:pStyle w:val="8"/>
        <w:spacing w:line="360" w:lineRule="auto"/>
        <w:ind w:left="479" w:leftChars="228"/>
        <w:rPr>
          <w:rFonts w:hint="eastAsia" w:ascii="宋体" w:hAnsi="宋体" w:eastAsia="宋体" w:cs="宋体"/>
          <w:b/>
          <w:sz w:val="24"/>
          <w:highlight w:val="none"/>
        </w:rPr>
      </w:pPr>
      <w:r>
        <w:rPr>
          <w:rFonts w:hint="eastAsia" w:ascii="宋体" w:hAnsi="宋体" w:eastAsia="宋体" w:cs="宋体"/>
          <w:b/>
          <w:sz w:val="24"/>
          <w:highlight w:val="none"/>
        </w:rPr>
        <w:t>特别说明：①上述各种证件、证书复印件须加盖投标人公章。如未按要求加盖投标人公</w:t>
      </w:r>
    </w:p>
    <w:p>
      <w:pPr>
        <w:pStyle w:val="8"/>
        <w:spacing w:line="360" w:lineRule="auto"/>
        <w:rPr>
          <w:rFonts w:hint="eastAsia" w:ascii="宋体" w:hAnsi="宋体" w:eastAsia="宋体" w:cs="宋体"/>
          <w:b/>
          <w:sz w:val="24"/>
          <w:highlight w:val="none"/>
        </w:rPr>
      </w:pPr>
      <w:r>
        <w:rPr>
          <w:rFonts w:hint="eastAsia" w:ascii="宋体" w:hAnsi="宋体" w:eastAsia="宋体" w:cs="宋体"/>
          <w:b/>
          <w:sz w:val="24"/>
          <w:highlight w:val="none"/>
        </w:rPr>
        <w:t>章者，可能导致其投标文件无效。</w:t>
      </w:r>
    </w:p>
    <w:p>
      <w:pPr>
        <w:pStyle w:val="8"/>
        <w:spacing w:line="360" w:lineRule="auto"/>
        <w:ind w:firstLine="482" w:firstLineChars="200"/>
        <w:rPr>
          <w:rFonts w:hint="eastAsia" w:ascii="宋体" w:hAnsi="宋体" w:eastAsia="宋体" w:cs="宋体"/>
          <w:sz w:val="24"/>
          <w:highlight w:val="none"/>
          <w:lang w:eastAsia="zh-CN"/>
        </w:rPr>
      </w:pPr>
      <w:r>
        <w:rPr>
          <w:rFonts w:hint="eastAsia" w:ascii="宋体" w:hAnsi="宋体" w:eastAsia="宋体" w:cs="宋体"/>
          <w:b/>
          <w:sz w:val="24"/>
          <w:highlight w:val="none"/>
        </w:rPr>
        <w:t>② 投标人应如实提供投标资料，并保证真实可靠，不得弄虚作假。若中标的，取消其中标资格</w:t>
      </w:r>
      <w:r>
        <w:rPr>
          <w:rFonts w:hint="eastAsia" w:ascii="宋体" w:hAnsi="宋体" w:eastAsia="宋体" w:cs="宋体"/>
          <w:b/>
          <w:sz w:val="24"/>
          <w:highlight w:val="none"/>
          <w:lang w:eastAsia="zh-CN"/>
        </w:rPr>
        <w:t>。</w:t>
      </w:r>
    </w:p>
    <w:p>
      <w:pPr>
        <w:pStyle w:val="8"/>
        <w:spacing w:line="360" w:lineRule="auto"/>
        <w:ind w:firstLine="480"/>
        <w:outlineLvl w:val="1"/>
        <w:rPr>
          <w:rFonts w:hint="eastAsia" w:ascii="宋体" w:hAnsi="宋体" w:eastAsia="宋体" w:cs="宋体"/>
          <w:sz w:val="24"/>
          <w:highlight w:val="none"/>
        </w:rPr>
      </w:pPr>
      <w:bookmarkStart w:id="84" w:name="_Toc245897286"/>
      <w:bookmarkStart w:id="85" w:name="_Toc243907587"/>
      <w:bookmarkStart w:id="86" w:name="_Toc246216196"/>
      <w:bookmarkStart w:id="87" w:name="_Toc233274827"/>
      <w:bookmarkStart w:id="88" w:name="_Toc243906326"/>
      <w:r>
        <w:rPr>
          <w:rFonts w:hint="eastAsia" w:ascii="宋体" w:hAnsi="宋体" w:eastAsia="宋体" w:cs="宋体"/>
          <w:sz w:val="24"/>
          <w:highlight w:val="none"/>
        </w:rPr>
        <w:t>16、投标文件格式</w:t>
      </w:r>
      <w:bookmarkEnd w:id="84"/>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16.1 投标人应按招标文件提供的格式及商务报价说明完整地填写所提供的合同项目、服务以及单价等内容。</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16.2 投标人提供的投标文件应当使用招标文件所提供投标文件格式（表格可按照同样格式扩展），并保证所提供的资料的真实性。未提供格式的，投标人可自行编制。</w:t>
      </w:r>
    </w:p>
    <w:p>
      <w:pPr>
        <w:pStyle w:val="8"/>
        <w:spacing w:line="360" w:lineRule="auto"/>
        <w:ind w:firstLine="480" w:firstLineChars="200"/>
        <w:outlineLvl w:val="1"/>
        <w:rPr>
          <w:rFonts w:hint="eastAsia" w:ascii="宋体" w:hAnsi="宋体" w:eastAsia="宋体" w:cs="宋体"/>
          <w:sz w:val="24"/>
          <w:highlight w:val="none"/>
        </w:rPr>
      </w:pPr>
      <w:r>
        <w:rPr>
          <w:rFonts w:hint="eastAsia" w:ascii="宋体" w:hAnsi="宋体" w:eastAsia="宋体" w:cs="宋体"/>
          <w:sz w:val="24"/>
          <w:highlight w:val="none"/>
        </w:rPr>
        <w:t>16.3 招标文件中分标项的，</w:t>
      </w:r>
      <w:r>
        <w:rPr>
          <w:rFonts w:hint="eastAsia" w:ascii="宋体" w:hAnsi="宋体" w:eastAsia="宋体" w:cs="宋体"/>
          <w:bCs/>
          <w:sz w:val="24"/>
          <w:highlight w:val="none"/>
          <w:lang w:val="zh-CN"/>
        </w:rPr>
        <w:t>投标人须针对本单位所投标项分别编制投标文件并单独提交。</w:t>
      </w:r>
      <w:r>
        <w:rPr>
          <w:rFonts w:hint="eastAsia" w:ascii="宋体" w:hAnsi="宋体" w:eastAsia="宋体" w:cs="宋体"/>
          <w:bCs/>
          <w:sz w:val="24"/>
          <w:highlight w:val="none"/>
        </w:rPr>
        <w:t>投标人应当按照招标文件的要求编制投标文件。投标文件应当对招标文件提出的要求和条件作出明确响应。</w:t>
      </w:r>
    </w:p>
    <w:p>
      <w:pPr>
        <w:pStyle w:val="8"/>
        <w:spacing w:line="360" w:lineRule="auto"/>
        <w:ind w:firstLine="480" w:firstLineChars="200"/>
        <w:outlineLvl w:val="1"/>
        <w:rPr>
          <w:rFonts w:hint="eastAsia" w:ascii="宋体" w:hAnsi="宋体" w:eastAsia="宋体" w:cs="宋体"/>
          <w:sz w:val="24"/>
          <w:highlight w:val="none"/>
        </w:rPr>
      </w:pPr>
      <w:r>
        <w:rPr>
          <w:rFonts w:hint="eastAsia" w:ascii="宋体" w:hAnsi="宋体" w:eastAsia="宋体" w:cs="宋体"/>
          <w:sz w:val="24"/>
          <w:highlight w:val="none"/>
        </w:rPr>
        <w:t>17、商务报价</w:t>
      </w:r>
      <w:bookmarkEnd w:id="85"/>
      <w:bookmarkEnd w:id="86"/>
      <w:bookmarkEnd w:id="87"/>
      <w:bookmarkEnd w:id="88"/>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投标人的商务报价应是为采购人提供全部服务，以及技术规范及标准、项目采购需求及合同条款、本招标文件约定的所有费用的总和。供应商应按招标文件所附的《开标一览表》和《投标产品名称、数量、规格及报价明细表》中的项目，标明拟提供货物和服务的单价和总价。如单价和总价不符，以单价累计为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任何因投标人忽视或误解招标范围、技术规范及标准、项目采购需求及合同条款和项目现场情况，若中标，采购人将不予批准由此而产生的索赔或合同履行期限延长申请。</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商务报价中不得包含技术规范及标准、项目采购需求及合同条款、本招标文件要求以外的其他内容。否则，在评审时报价不予核减，若中标，在授予合同或结算时，采购人有权将此部分费用从中标价或合同主要条款中扣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17.2商务报价总价应包括的内容和计价因素</w:t>
      </w:r>
    </w:p>
    <w:p>
      <w:pPr>
        <w:pStyle w:val="2"/>
        <w:spacing w:line="360" w:lineRule="auto"/>
        <w:ind w:firstLine="480" w:firstLineChars="200"/>
        <w:rPr>
          <w:rFonts w:hint="eastAsia" w:ascii="宋体" w:hAnsi="宋体" w:eastAsia="宋体" w:cs="宋体"/>
          <w:b/>
          <w:bCs/>
          <w:kern w:val="2"/>
          <w:szCs w:val="24"/>
          <w:highlight w:val="none"/>
        </w:rPr>
      </w:pPr>
      <w:r>
        <w:rPr>
          <w:rFonts w:hint="eastAsia" w:ascii="宋体" w:hAnsi="宋体" w:eastAsia="宋体" w:cs="宋体"/>
          <w:highlight w:val="none"/>
        </w:rPr>
        <w:t>（1）完成</w:t>
      </w:r>
      <w:r>
        <w:rPr>
          <w:rFonts w:hint="eastAsia" w:ascii="宋体" w:hAnsi="宋体" w:eastAsia="宋体" w:cs="宋体"/>
          <w:highlight w:val="none"/>
          <w:lang w:eastAsia="zh-CN"/>
        </w:rPr>
        <w:t>克拉玛依市中心医院碘[125I]密封籽源项目</w:t>
      </w:r>
      <w:r>
        <w:rPr>
          <w:rFonts w:hint="eastAsia" w:ascii="宋体" w:hAnsi="宋体" w:eastAsia="宋体" w:cs="宋体"/>
          <w:highlight w:val="none"/>
        </w:rPr>
        <w:t>所需</w:t>
      </w:r>
      <w:r>
        <w:rPr>
          <w:rFonts w:hint="eastAsia" w:ascii="宋体" w:hAnsi="宋体" w:eastAsia="宋体" w:cs="宋体"/>
          <w:highlight w:val="none"/>
          <w:lang w:eastAsia="zh-CN"/>
        </w:rPr>
        <w:t>货物</w:t>
      </w:r>
      <w:r>
        <w:rPr>
          <w:rFonts w:hint="eastAsia" w:ascii="宋体" w:hAnsi="宋体" w:eastAsia="宋体" w:cs="宋体"/>
          <w:b/>
          <w:bCs/>
          <w:kern w:val="2"/>
          <w:szCs w:val="24"/>
          <w:highlight w:val="none"/>
        </w:rPr>
        <w:t>的供应、保险、税费、仓储运输、现场保管及装卸（卸至需方指定地点）、现场搬运（含二次搬运），安装调试、运行、检验及验收、移交、原有设备拆除并运至指定地点等工作，向采购人提交技术参数、技术资料（包括操作手册、维修手册及其他相关资料等）、技术咨询、用户人员培训、缺陷修补、质量保修期内的维保、售后服务等保证</w:t>
      </w:r>
      <w:r>
        <w:rPr>
          <w:rFonts w:hint="eastAsia" w:ascii="宋体" w:hAnsi="宋体" w:eastAsia="宋体" w:cs="宋体"/>
          <w:b/>
          <w:bCs/>
          <w:kern w:val="2"/>
          <w:szCs w:val="24"/>
          <w:highlight w:val="none"/>
          <w:lang w:eastAsia="zh-CN"/>
        </w:rPr>
        <w:t>克拉玛依市中心医院碘[125I]密封籽源项目</w:t>
      </w:r>
      <w:r>
        <w:rPr>
          <w:rFonts w:hint="eastAsia" w:ascii="宋体" w:hAnsi="宋体" w:eastAsia="宋体" w:cs="宋体"/>
          <w:b/>
          <w:bCs/>
          <w:kern w:val="2"/>
          <w:szCs w:val="24"/>
          <w:highlight w:val="none"/>
        </w:rPr>
        <w:t>验收合格并能正常交付使用以及合同条款、项目采购需求、本招标文件约定的全部内容及保修责任和义务。</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投标人根据对本招标文件、技术规范和标准、项目采购需求、合同条款的理解，应达到的技术指标、检验及验收标准等要求，结合市场情况进行商务报价。投标人应充分考虑合同执行期内的市场风险和国家政策性调整风险等因素对商务报价的影响。</w:t>
      </w:r>
    </w:p>
    <w:p>
      <w:pPr>
        <w:pStyle w:val="2"/>
        <w:spacing w:line="360" w:lineRule="auto"/>
        <w:ind w:firstLine="480" w:firstLineChars="200"/>
        <w:rPr>
          <w:rFonts w:hint="eastAsia" w:ascii="宋体" w:hAnsi="宋体" w:eastAsia="宋体" w:cs="宋体"/>
          <w:highlight w:val="none"/>
        </w:rPr>
      </w:pPr>
      <w:r>
        <w:rPr>
          <w:rFonts w:hint="eastAsia" w:ascii="宋体" w:hAnsi="宋体" w:eastAsia="宋体" w:cs="宋体"/>
          <w:kern w:val="2"/>
          <w:szCs w:val="24"/>
          <w:highlight w:val="none"/>
        </w:rPr>
        <w:t xml:space="preserve">备品备件及专用工具：供应商应免费提供质量保修期内必备的备品备件及专用工具，并列出随机必备的备品备件及专用工具清单，无论中标人在投标报价中列明的数量多少，在质量保修期内招标人均无需另行支付费用。 </w:t>
      </w:r>
    </w:p>
    <w:p>
      <w:pPr>
        <w:spacing w:line="360" w:lineRule="auto"/>
        <w:ind w:firstLine="480" w:firstLineChars="200"/>
        <w:rPr>
          <w:rFonts w:hint="eastAsia" w:ascii="宋体" w:hAnsi="宋体" w:eastAsia="宋体" w:cs="宋体"/>
          <w:sz w:val="24"/>
          <w:highlight w:val="none"/>
        </w:rPr>
      </w:pPr>
      <w:bookmarkStart w:id="89" w:name="_Toc246216197"/>
      <w:bookmarkStart w:id="90" w:name="_Toc243907588"/>
      <w:bookmarkStart w:id="91" w:name="_Toc243906327"/>
      <w:bookmarkStart w:id="92" w:name="_Toc233274828"/>
      <w:r>
        <w:rPr>
          <w:rFonts w:hint="eastAsia" w:ascii="宋体" w:hAnsi="宋体" w:eastAsia="宋体" w:cs="宋体"/>
          <w:sz w:val="24"/>
          <w:highlight w:val="none"/>
        </w:rPr>
        <w:t>17.3投标人应按照招标文件所附的格式完整地填写商务报价一览表，投标人应对招标范围内的全部内容进行报价。</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17.4投标人若中标，不得以任何理由在合同执行期间予以价格调整。任何包含价格调整的要求将被认为是非响应而予以拒绝。</w:t>
      </w:r>
    </w:p>
    <w:bookmarkEnd w:id="89"/>
    <w:bookmarkEnd w:id="90"/>
    <w:bookmarkEnd w:id="91"/>
    <w:bookmarkEnd w:id="92"/>
    <w:p>
      <w:pPr>
        <w:pStyle w:val="8"/>
        <w:spacing w:line="360" w:lineRule="auto"/>
        <w:ind w:firstLine="480" w:firstLineChars="200"/>
        <w:outlineLvl w:val="1"/>
        <w:rPr>
          <w:rFonts w:hint="eastAsia" w:ascii="宋体" w:hAnsi="宋体" w:eastAsia="宋体" w:cs="宋体"/>
          <w:sz w:val="24"/>
          <w:highlight w:val="none"/>
        </w:rPr>
      </w:pPr>
      <w:bookmarkStart w:id="93" w:name="_Toc245897288"/>
      <w:r>
        <w:rPr>
          <w:rFonts w:hint="eastAsia" w:ascii="宋体" w:hAnsi="宋体" w:eastAsia="宋体" w:cs="宋体"/>
          <w:sz w:val="24"/>
          <w:highlight w:val="none"/>
        </w:rPr>
        <w:t>18、商务报价货币</w:t>
      </w:r>
      <w:bookmarkEnd w:id="93"/>
    </w:p>
    <w:p>
      <w:pPr>
        <w:pStyle w:val="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18.1商务报价一览表和投标文件中的所有报价一律使用人民币（RMB）填报。</w:t>
      </w:r>
    </w:p>
    <w:p>
      <w:pPr>
        <w:pStyle w:val="8"/>
        <w:spacing w:line="360" w:lineRule="auto"/>
        <w:ind w:firstLine="480" w:firstLineChars="200"/>
        <w:outlineLvl w:val="1"/>
        <w:rPr>
          <w:rFonts w:hint="eastAsia" w:ascii="宋体" w:hAnsi="宋体" w:eastAsia="宋体" w:cs="宋体"/>
          <w:sz w:val="24"/>
          <w:highlight w:val="none"/>
        </w:rPr>
      </w:pPr>
      <w:bookmarkStart w:id="94" w:name="_Toc243907589"/>
      <w:bookmarkStart w:id="95" w:name="_Toc233274829"/>
      <w:bookmarkStart w:id="96" w:name="_Toc243906328"/>
      <w:bookmarkStart w:id="97" w:name="_Toc245897289"/>
      <w:r>
        <w:rPr>
          <w:rFonts w:hint="eastAsia" w:ascii="宋体" w:hAnsi="宋体" w:eastAsia="宋体" w:cs="宋体"/>
          <w:sz w:val="24"/>
          <w:highlight w:val="none"/>
        </w:rPr>
        <w:t>19、投标人资格证明文件</w:t>
      </w:r>
      <w:bookmarkEnd w:id="94"/>
      <w:bookmarkEnd w:id="95"/>
      <w:bookmarkEnd w:id="96"/>
      <w:bookmarkEnd w:id="97"/>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19.1 投标人必须提交证明其有资格参加招标和中标后有能力履行合同的文件。</w:t>
      </w:r>
    </w:p>
    <w:p>
      <w:pPr>
        <w:pStyle w:val="8"/>
        <w:spacing w:line="360" w:lineRule="auto"/>
        <w:ind w:firstLine="480" w:firstLineChars="200"/>
        <w:outlineLvl w:val="1"/>
        <w:rPr>
          <w:rFonts w:hint="eastAsia" w:ascii="宋体" w:hAnsi="宋体" w:eastAsia="宋体" w:cs="宋体"/>
          <w:sz w:val="24"/>
          <w:highlight w:val="none"/>
        </w:rPr>
      </w:pPr>
      <w:bookmarkStart w:id="98" w:name="_Toc243907590"/>
      <w:bookmarkStart w:id="99" w:name="_Toc245897290"/>
      <w:bookmarkStart w:id="100" w:name="_Toc233274830"/>
      <w:bookmarkStart w:id="101" w:name="_Toc243906329"/>
      <w:r>
        <w:rPr>
          <w:rFonts w:hint="eastAsia" w:ascii="宋体" w:hAnsi="宋体" w:eastAsia="宋体" w:cs="宋体"/>
          <w:sz w:val="24"/>
          <w:highlight w:val="none"/>
        </w:rPr>
        <w:t>20、提供的货物符合招标文件规定的技术</w:t>
      </w:r>
      <w:bookmarkEnd w:id="98"/>
      <w:bookmarkEnd w:id="99"/>
      <w:bookmarkEnd w:id="100"/>
      <w:bookmarkEnd w:id="101"/>
      <w:r>
        <w:rPr>
          <w:rFonts w:hint="eastAsia" w:ascii="宋体" w:hAnsi="宋体" w:eastAsia="宋体" w:cs="宋体"/>
          <w:sz w:val="24"/>
          <w:highlight w:val="none"/>
        </w:rPr>
        <w:t>投标文件</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20.1 投标人须提交证明其拟供货物和服务符合招标文件、技术规范及标准、项目采购需求规定的技术投标文件，作为投标文件的一部分；</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20.2上述文件可以是文字资料、图纸和数据，并须提供货物主要技术性能的详细描述及设备清单和所提供服务的详细说明；</w:t>
      </w:r>
    </w:p>
    <w:p>
      <w:pPr>
        <w:spacing w:line="360" w:lineRule="auto"/>
        <w:ind w:firstLine="481"/>
        <w:rPr>
          <w:rFonts w:hint="eastAsia" w:ascii="宋体" w:hAnsi="宋体" w:eastAsia="宋体" w:cs="宋体"/>
          <w:sz w:val="24"/>
          <w:highlight w:val="none"/>
        </w:rPr>
      </w:pPr>
      <w:r>
        <w:rPr>
          <w:rFonts w:hint="eastAsia" w:ascii="宋体" w:hAnsi="宋体" w:eastAsia="宋体" w:cs="宋体"/>
          <w:sz w:val="24"/>
          <w:highlight w:val="none"/>
        </w:rPr>
        <w:t>20.3投标人应逐条对招标文件、项目采购需求及合同条款等进行仔细阅读，提出自己提供的货物和服务是否对其做出了实质性的响应。</w:t>
      </w:r>
    </w:p>
    <w:p>
      <w:pPr>
        <w:pStyle w:val="8"/>
        <w:spacing w:line="360" w:lineRule="auto"/>
        <w:ind w:firstLine="480" w:firstLineChars="200"/>
        <w:outlineLvl w:val="1"/>
        <w:rPr>
          <w:rFonts w:hint="eastAsia" w:ascii="宋体" w:hAnsi="宋体" w:eastAsia="宋体" w:cs="宋体"/>
          <w:sz w:val="24"/>
          <w:highlight w:val="none"/>
        </w:rPr>
      </w:pPr>
      <w:bookmarkStart w:id="102" w:name="_Toc233274831"/>
      <w:bookmarkStart w:id="103" w:name="_Toc245897291"/>
      <w:bookmarkStart w:id="104" w:name="_Toc243906330"/>
      <w:bookmarkStart w:id="105" w:name="_Toc243907591"/>
      <w:r>
        <w:rPr>
          <w:rFonts w:hint="eastAsia" w:ascii="宋体" w:hAnsi="宋体" w:eastAsia="宋体" w:cs="宋体"/>
          <w:sz w:val="24"/>
          <w:highlight w:val="none"/>
        </w:rPr>
        <w:t>21、投标文件有效期</w:t>
      </w:r>
      <w:bookmarkEnd w:id="102"/>
      <w:bookmarkEnd w:id="103"/>
      <w:bookmarkEnd w:id="104"/>
      <w:bookmarkEnd w:id="105"/>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21.1投标文件有效期为递交投标文件截止之日起90天（日历日）。投标人的投标文件有效期比规定的有效期短的，将被视为非响应而予以拒绝。</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21.2 特殊情况下，在原有效期届满之前，采购人可征得投标人的同意延长其有效期，这种要求与答复均应以书面形式。投标人拒绝延长的，其投标文件失效。同意延长有效期的投标人，既不要求也不允许其修改投标文件。</w:t>
      </w:r>
    </w:p>
    <w:p>
      <w:pPr>
        <w:pStyle w:val="8"/>
        <w:spacing w:line="360" w:lineRule="auto"/>
        <w:ind w:firstLine="480" w:firstLineChars="200"/>
        <w:outlineLvl w:val="1"/>
        <w:rPr>
          <w:rFonts w:hint="eastAsia" w:ascii="宋体" w:hAnsi="宋体" w:eastAsia="宋体" w:cs="宋体"/>
          <w:sz w:val="24"/>
          <w:highlight w:val="none"/>
        </w:rPr>
      </w:pPr>
      <w:bookmarkStart w:id="106" w:name="_Toc233274832"/>
      <w:bookmarkStart w:id="107" w:name="_Toc243907592"/>
      <w:bookmarkStart w:id="108" w:name="_Toc245897292"/>
      <w:bookmarkStart w:id="109" w:name="_Toc243906331"/>
      <w:r>
        <w:rPr>
          <w:rFonts w:hint="eastAsia" w:ascii="宋体" w:hAnsi="宋体" w:eastAsia="宋体" w:cs="宋体"/>
          <w:sz w:val="24"/>
          <w:highlight w:val="none"/>
        </w:rPr>
        <w:t>22、投标文件的签署及规定</w:t>
      </w:r>
      <w:bookmarkEnd w:id="106"/>
      <w:bookmarkEnd w:id="107"/>
      <w:bookmarkEnd w:id="108"/>
      <w:bookmarkEnd w:id="109"/>
    </w:p>
    <w:p>
      <w:pPr>
        <w:spacing w:line="288"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22.1</w:t>
      </w:r>
      <w:r>
        <w:rPr>
          <w:rFonts w:hint="eastAsia" w:ascii="宋体" w:hAnsi="宋体" w:eastAsia="宋体" w:cs="宋体"/>
          <w:kern w:val="0"/>
          <w:sz w:val="24"/>
          <w:highlight w:val="none"/>
        </w:rPr>
        <w:t>供应商提交的响应文件必须唯一有效，</w:t>
      </w:r>
      <w:r>
        <w:rPr>
          <w:rFonts w:hint="eastAsia" w:ascii="宋体" w:hAnsi="宋体" w:eastAsia="宋体" w:cs="宋体"/>
          <w:sz w:val="24"/>
          <w:highlight w:val="none"/>
        </w:rPr>
        <w:t>投标人均应使用CA数字证书加盖投标人的单位电子印章和（或）法定代表人的个人电子印章或电子签名。</w:t>
      </w:r>
    </w:p>
    <w:p>
      <w:pPr>
        <w:pStyle w:val="8"/>
        <w:spacing w:line="45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22.2 除供应商对错误做必要修改外，响应文件中不许有增删、涂改或改写。若确有修改必须由签署响应文件的委托代理人签字或盖章。</w:t>
      </w:r>
    </w:p>
    <w:p>
      <w:pPr>
        <w:pStyle w:val="8"/>
        <w:spacing w:line="450" w:lineRule="exact"/>
        <w:jc w:val="center"/>
        <w:outlineLvl w:val="1"/>
        <w:rPr>
          <w:rFonts w:hint="eastAsia" w:ascii="宋体" w:hAnsi="宋体" w:eastAsia="宋体" w:cs="宋体"/>
          <w:b/>
          <w:bCs/>
          <w:sz w:val="28"/>
          <w:szCs w:val="28"/>
          <w:highlight w:val="none"/>
        </w:rPr>
      </w:pPr>
    </w:p>
    <w:bookmarkEnd w:id="71"/>
    <w:p>
      <w:pPr>
        <w:pStyle w:val="8"/>
        <w:spacing w:line="360" w:lineRule="auto"/>
        <w:jc w:val="center"/>
        <w:outlineLvl w:val="1"/>
        <w:rPr>
          <w:rFonts w:hint="eastAsia" w:ascii="宋体" w:hAnsi="宋体" w:eastAsia="宋体" w:cs="宋体"/>
          <w:b/>
          <w:bCs/>
          <w:sz w:val="28"/>
          <w:szCs w:val="28"/>
          <w:highlight w:val="none"/>
        </w:rPr>
      </w:pPr>
      <w:bookmarkStart w:id="110" w:name="_Toc243907594"/>
      <w:bookmarkStart w:id="111" w:name="_Toc243906333"/>
      <w:bookmarkStart w:id="112" w:name="_Toc246216203"/>
      <w:bookmarkStart w:id="113" w:name="_Toc233274834"/>
      <w:r>
        <w:rPr>
          <w:rFonts w:hint="eastAsia" w:ascii="宋体" w:hAnsi="宋体" w:eastAsia="宋体" w:cs="宋体"/>
          <w:b/>
          <w:bCs/>
          <w:sz w:val="28"/>
          <w:szCs w:val="28"/>
          <w:highlight w:val="none"/>
        </w:rPr>
        <w:t>四、投标文件的递交、修改和撤回</w:t>
      </w:r>
      <w:bookmarkEnd w:id="110"/>
      <w:bookmarkEnd w:id="111"/>
      <w:bookmarkEnd w:id="112"/>
      <w:bookmarkEnd w:id="113"/>
    </w:p>
    <w:p>
      <w:pPr>
        <w:widowControl/>
        <w:spacing w:line="450" w:lineRule="exact"/>
        <w:ind w:firstLine="482" w:firstLineChars="200"/>
        <w:jc w:val="left"/>
        <w:rPr>
          <w:rFonts w:hint="eastAsia" w:ascii="宋体" w:hAnsi="宋体" w:eastAsia="宋体" w:cs="宋体"/>
          <w:b/>
          <w:sz w:val="24"/>
          <w:highlight w:val="none"/>
        </w:rPr>
      </w:pPr>
      <w:bookmarkStart w:id="114" w:name="_Toc245897295"/>
      <w:bookmarkStart w:id="115" w:name="_Toc243907595"/>
      <w:bookmarkStart w:id="116" w:name="_Toc233274835"/>
      <w:bookmarkStart w:id="117" w:name="_Toc243906334"/>
      <w:bookmarkStart w:id="118" w:name="_Toc245897296"/>
      <w:bookmarkStart w:id="119" w:name="_Toc243907596"/>
      <w:bookmarkStart w:id="120" w:name="_Toc233274836"/>
      <w:bookmarkStart w:id="121" w:name="_Toc243906335"/>
      <w:r>
        <w:rPr>
          <w:rFonts w:hint="eastAsia" w:ascii="宋体" w:hAnsi="宋体" w:eastAsia="宋体" w:cs="宋体"/>
          <w:b/>
          <w:sz w:val="24"/>
          <w:highlight w:val="none"/>
        </w:rPr>
        <w:t>23、</w:t>
      </w:r>
      <w:bookmarkEnd w:id="114"/>
      <w:bookmarkEnd w:id="115"/>
      <w:bookmarkEnd w:id="116"/>
      <w:bookmarkEnd w:id="117"/>
      <w:r>
        <w:rPr>
          <w:rFonts w:hint="eastAsia" w:ascii="宋体" w:hAnsi="宋体" w:eastAsia="宋体" w:cs="宋体"/>
          <w:b/>
          <w:sz w:val="24"/>
          <w:highlight w:val="none"/>
        </w:rPr>
        <w:t>递交响应文件截止时间</w:t>
      </w:r>
    </w:p>
    <w:p>
      <w:pPr>
        <w:widowControl/>
        <w:spacing w:line="450" w:lineRule="exact"/>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23.1所有响应文件都必须按招标人在供应商须知前附表中规定的时间将生成的“电子加密投标文件”上传递交至“政府采购云平台（www.zcygov.cn）”。</w:t>
      </w:r>
    </w:p>
    <w:p>
      <w:pPr>
        <w:spacing w:line="450" w:lineRule="exact"/>
        <w:ind w:firstLine="482" w:firstLineChars="200"/>
        <w:rPr>
          <w:rFonts w:hint="eastAsia" w:ascii="宋体" w:hAnsi="宋体" w:eastAsia="宋体" w:cs="宋体"/>
          <w:sz w:val="24"/>
          <w:highlight w:val="none"/>
        </w:rPr>
      </w:pPr>
      <w:r>
        <w:rPr>
          <w:rFonts w:hint="eastAsia" w:ascii="宋体" w:hAnsi="宋体" w:eastAsia="宋体" w:cs="宋体"/>
          <w:b/>
          <w:bCs/>
          <w:sz w:val="24"/>
          <w:highlight w:val="none"/>
        </w:rPr>
        <w:t>23.2投标截止时间以后上传递交的投标文件将被“政府采购云平台”拒收，采购人（或采购代理机构）不对后果负责</w:t>
      </w:r>
      <w:r>
        <w:rPr>
          <w:rFonts w:hint="eastAsia" w:ascii="宋体" w:hAnsi="宋体" w:eastAsia="宋体" w:cs="宋体"/>
          <w:sz w:val="24"/>
          <w:highlight w:val="none"/>
        </w:rPr>
        <w:t>。</w:t>
      </w:r>
    </w:p>
    <w:p>
      <w:pPr>
        <w:pStyle w:val="8"/>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24、递交投标文件截止时间</w:t>
      </w:r>
      <w:bookmarkEnd w:id="118"/>
      <w:bookmarkEnd w:id="119"/>
      <w:bookmarkEnd w:id="120"/>
      <w:bookmarkEnd w:id="121"/>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szCs w:val="24"/>
          <w:highlight w:val="none"/>
        </w:rPr>
        <w:t>24.1 所有投标文件都必须按采购人</w:t>
      </w:r>
      <w:r>
        <w:rPr>
          <w:rFonts w:hint="eastAsia" w:ascii="宋体" w:hAnsi="宋体" w:eastAsia="宋体" w:cs="宋体"/>
          <w:sz w:val="24"/>
          <w:highlight w:val="none"/>
        </w:rPr>
        <w:t>在投标人须知前附表中规定的截止时间之前上传。</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24.2出现因招标文件的修改推迟截止日期时，则按采购代理机构修改通知规定的时间递交投标文件。在此情况下，采购人和采购代理机构与投标人之间受截止期制约的所有权利和义务应延长至新的截止期。</w:t>
      </w:r>
    </w:p>
    <w:p>
      <w:pPr>
        <w:pStyle w:val="8"/>
        <w:spacing w:line="360" w:lineRule="auto"/>
        <w:ind w:firstLine="480" w:firstLineChars="200"/>
        <w:outlineLvl w:val="1"/>
        <w:rPr>
          <w:rFonts w:hint="eastAsia" w:ascii="宋体" w:hAnsi="宋体" w:eastAsia="宋体" w:cs="宋体"/>
          <w:sz w:val="24"/>
          <w:highlight w:val="none"/>
        </w:rPr>
      </w:pPr>
      <w:bookmarkStart w:id="122" w:name="_Toc243906336"/>
      <w:bookmarkStart w:id="123" w:name="_Toc233274837"/>
      <w:bookmarkStart w:id="124" w:name="_Toc243907597"/>
      <w:bookmarkStart w:id="125" w:name="_Toc245897297"/>
      <w:r>
        <w:rPr>
          <w:rFonts w:hint="eastAsia" w:ascii="宋体" w:hAnsi="宋体" w:eastAsia="宋体" w:cs="宋体"/>
          <w:sz w:val="24"/>
          <w:highlight w:val="none"/>
        </w:rPr>
        <w:t>25、迟交的</w:t>
      </w:r>
      <w:bookmarkEnd w:id="122"/>
      <w:bookmarkEnd w:id="123"/>
      <w:bookmarkEnd w:id="124"/>
      <w:bookmarkEnd w:id="125"/>
      <w:r>
        <w:rPr>
          <w:rFonts w:hint="eastAsia" w:ascii="宋体" w:hAnsi="宋体" w:eastAsia="宋体" w:cs="宋体"/>
          <w:sz w:val="24"/>
          <w:highlight w:val="none"/>
        </w:rPr>
        <w:t>投标文件</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25.1 采购人将拒绝并原封退回在其规定的截止时间后送达的投标文件。</w:t>
      </w:r>
    </w:p>
    <w:p>
      <w:pPr>
        <w:pStyle w:val="8"/>
        <w:spacing w:line="360" w:lineRule="auto"/>
        <w:ind w:firstLine="480" w:firstLineChars="200"/>
        <w:outlineLvl w:val="1"/>
        <w:rPr>
          <w:rFonts w:hint="eastAsia" w:ascii="宋体" w:hAnsi="宋体" w:eastAsia="宋体" w:cs="宋体"/>
          <w:sz w:val="24"/>
          <w:highlight w:val="none"/>
        </w:rPr>
      </w:pPr>
      <w:bookmarkStart w:id="126" w:name="_Toc243907598"/>
      <w:bookmarkStart w:id="127" w:name="_Toc233274838"/>
      <w:bookmarkStart w:id="128" w:name="_Toc245897298"/>
      <w:bookmarkStart w:id="129" w:name="_Toc243906337"/>
      <w:r>
        <w:rPr>
          <w:rFonts w:hint="eastAsia" w:ascii="宋体" w:hAnsi="宋体" w:eastAsia="宋体" w:cs="宋体"/>
          <w:sz w:val="24"/>
          <w:highlight w:val="none"/>
        </w:rPr>
        <w:t>26、投标文件的修改和撤回</w:t>
      </w:r>
      <w:bookmarkEnd w:id="126"/>
      <w:bookmarkEnd w:id="127"/>
      <w:bookmarkEnd w:id="128"/>
      <w:bookmarkEnd w:id="129"/>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26.1 投标人在提交投标文件后可在截止时间前对其投标文件进行修改或撤回，但采购人须在截止时间之前收到该修改或撤回的书面通知，该通知须有法定代表人或经有效授权的委托代理人签字或盖章。</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26.2 投标人对投标文件修改的书面材料或撤回的通知应按第22条和第23条规定进行编写、密封、标记和递交，并注明“修改投标文件”或“撤回投标文件”字样。</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26.3截止时间之后，投标人不得对投标文件做任何修改。</w:t>
      </w:r>
    </w:p>
    <w:p>
      <w:pPr>
        <w:pStyle w:val="8"/>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26.4 投标人不得在截止时间起至投标文件有效期期满前撤回投标文件。</w:t>
      </w:r>
    </w:p>
    <w:p>
      <w:pPr>
        <w:spacing w:line="360" w:lineRule="auto"/>
        <w:ind w:firstLine="480" w:firstLineChars="200"/>
        <w:outlineLvl w:val="1"/>
        <w:rPr>
          <w:rFonts w:hint="eastAsia" w:ascii="宋体" w:hAnsi="宋体" w:eastAsia="宋体" w:cs="宋体"/>
          <w:sz w:val="24"/>
          <w:highlight w:val="none"/>
        </w:rPr>
      </w:pPr>
      <w:bookmarkStart w:id="130" w:name="_Toc233274839"/>
      <w:bookmarkStart w:id="131" w:name="_Toc243906338"/>
      <w:bookmarkStart w:id="132" w:name="_Toc243907599"/>
      <w:bookmarkStart w:id="133" w:name="_Toc245897299"/>
      <w:r>
        <w:rPr>
          <w:rFonts w:hint="eastAsia" w:ascii="宋体" w:hAnsi="宋体" w:eastAsia="宋体" w:cs="宋体"/>
          <w:sz w:val="24"/>
          <w:highlight w:val="none"/>
        </w:rPr>
        <w:t>27、递交</w:t>
      </w:r>
      <w:bookmarkEnd w:id="130"/>
      <w:bookmarkEnd w:id="131"/>
      <w:bookmarkEnd w:id="132"/>
      <w:bookmarkEnd w:id="133"/>
      <w:r>
        <w:rPr>
          <w:rFonts w:hint="eastAsia" w:ascii="宋体" w:hAnsi="宋体" w:eastAsia="宋体" w:cs="宋体"/>
          <w:sz w:val="24"/>
          <w:highlight w:val="none"/>
        </w:rPr>
        <w:t>投标文件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27.1投标人应按本投标人须知前附表第7项规定的时间及地点递交投标文件。</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27.2有下列情形之一的，采购人不予接收其投标文件：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27.2.1供应商在递交响应文件截止时间后上传或未上传到指定地点的响应文件；</w:t>
      </w:r>
    </w:p>
    <w:p>
      <w:pPr>
        <w:spacing w:line="360" w:lineRule="auto"/>
        <w:jc w:val="center"/>
        <w:outlineLvl w:val="1"/>
        <w:rPr>
          <w:rFonts w:hint="eastAsia" w:ascii="宋体" w:hAnsi="宋体" w:eastAsia="宋体" w:cs="宋体"/>
          <w:b/>
          <w:bCs/>
          <w:sz w:val="28"/>
          <w:szCs w:val="28"/>
          <w:highlight w:val="none"/>
        </w:rPr>
      </w:pPr>
      <w:bookmarkStart w:id="134" w:name="_Toc233274840"/>
      <w:bookmarkStart w:id="135" w:name="_Toc243907600"/>
      <w:bookmarkStart w:id="136" w:name="_Toc246216209"/>
      <w:bookmarkStart w:id="137" w:name="_Toc243906339"/>
      <w:r>
        <w:rPr>
          <w:rFonts w:hint="eastAsia" w:ascii="宋体" w:hAnsi="宋体" w:eastAsia="宋体" w:cs="宋体"/>
          <w:b/>
          <w:bCs/>
          <w:sz w:val="28"/>
          <w:szCs w:val="28"/>
          <w:highlight w:val="none"/>
        </w:rPr>
        <w:t xml:space="preserve"> 五、</w:t>
      </w:r>
      <w:bookmarkEnd w:id="134"/>
      <w:bookmarkEnd w:id="135"/>
      <w:bookmarkEnd w:id="136"/>
      <w:bookmarkEnd w:id="137"/>
      <w:r>
        <w:rPr>
          <w:rFonts w:hint="eastAsia" w:ascii="宋体" w:hAnsi="宋体" w:eastAsia="宋体" w:cs="宋体"/>
          <w:b/>
          <w:bCs/>
          <w:sz w:val="28"/>
          <w:szCs w:val="28"/>
          <w:highlight w:val="none"/>
        </w:rPr>
        <w:t>开标、评标、确定中标供应商</w:t>
      </w:r>
    </w:p>
    <w:p>
      <w:pPr>
        <w:spacing w:line="360" w:lineRule="auto"/>
        <w:ind w:firstLine="480" w:firstLineChars="200"/>
        <w:outlineLvl w:val="1"/>
        <w:rPr>
          <w:rFonts w:hint="eastAsia" w:ascii="宋体" w:hAnsi="宋体" w:eastAsia="宋体" w:cs="宋体"/>
          <w:sz w:val="24"/>
          <w:szCs w:val="20"/>
          <w:highlight w:val="none"/>
        </w:rPr>
      </w:pPr>
      <w:bookmarkStart w:id="138" w:name="_Toc243906340"/>
      <w:bookmarkStart w:id="139" w:name="_Toc233274841"/>
      <w:bookmarkStart w:id="140" w:name="_Toc245897301"/>
      <w:bookmarkStart w:id="141" w:name="_Toc243907601"/>
      <w:r>
        <w:rPr>
          <w:rFonts w:hint="eastAsia" w:ascii="宋体" w:hAnsi="宋体" w:eastAsia="宋体" w:cs="宋体"/>
          <w:sz w:val="24"/>
          <w:szCs w:val="20"/>
          <w:highlight w:val="none"/>
        </w:rPr>
        <w:t>28、</w:t>
      </w:r>
      <w:bookmarkEnd w:id="138"/>
      <w:bookmarkEnd w:id="139"/>
      <w:bookmarkEnd w:id="140"/>
      <w:bookmarkEnd w:id="141"/>
      <w:r>
        <w:rPr>
          <w:rFonts w:hint="eastAsia" w:ascii="宋体" w:hAnsi="宋体" w:eastAsia="宋体" w:cs="宋体"/>
          <w:sz w:val="24"/>
          <w:szCs w:val="20"/>
          <w:highlight w:val="none"/>
        </w:rPr>
        <w:t>开标会议</w:t>
      </w:r>
    </w:p>
    <w:p>
      <w:pPr>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28.1采购人在本投标人须知前附表规定的时间和地点组织开标会议。</w:t>
      </w:r>
    </w:p>
    <w:p>
      <w:pPr>
        <w:spacing w:line="45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28.2</w:t>
      </w:r>
      <w:r>
        <w:rPr>
          <w:rStyle w:val="20"/>
          <w:rFonts w:hint="eastAsia" w:ascii="宋体" w:hAnsi="宋体" w:eastAsia="宋体" w:cs="宋体"/>
          <w:b w:val="0"/>
          <w:sz w:val="24"/>
          <w:highlight w:val="none"/>
        </w:rPr>
        <w:t>开标由招标代理机构主持，财政部门和有关监督部门可视情况派员现场监督</w:t>
      </w:r>
      <w:r>
        <w:rPr>
          <w:rFonts w:hint="eastAsia" w:ascii="宋体" w:hAnsi="宋体" w:eastAsia="宋体" w:cs="宋体"/>
          <w:sz w:val="24"/>
          <w:highlight w:val="none"/>
        </w:rPr>
        <w:t>。</w:t>
      </w:r>
    </w:p>
    <w:p>
      <w:pPr>
        <w:pStyle w:val="15"/>
        <w:spacing w:before="75" w:beforeAutospacing="0" w:after="75" w:afterAutospacing="0" w:line="360" w:lineRule="auto"/>
        <w:ind w:firstLine="482" w:firstLineChars="200"/>
        <w:rPr>
          <w:rStyle w:val="20"/>
          <w:rFonts w:hint="eastAsia" w:ascii="宋体" w:hAnsi="宋体" w:eastAsia="宋体" w:cs="宋体"/>
          <w:bCs/>
          <w:highlight w:val="none"/>
        </w:rPr>
      </w:pPr>
      <w:r>
        <w:rPr>
          <w:rFonts w:hint="eastAsia" w:ascii="宋体" w:hAnsi="宋体" w:eastAsia="宋体" w:cs="宋体"/>
          <w:b/>
          <w:bCs/>
          <w:highlight w:val="none"/>
        </w:rPr>
        <w:t>28.3</w:t>
      </w:r>
      <w:r>
        <w:rPr>
          <w:rStyle w:val="20"/>
          <w:rFonts w:hint="eastAsia" w:ascii="宋体" w:hAnsi="宋体" w:eastAsia="宋体" w:cs="宋体"/>
          <w:bCs/>
          <w:highlight w:val="none"/>
        </w:rPr>
        <w:t>本次采用不见面开标方式，在规定的投标截止时间（开标时间）和投标人须知前附表规定的地点开标。投标人的法定代表人或其委托代理人无需到达开标现场，仅需在任意地点通过政采云不见面开标系统，使用CA密钥完成远程解密、提疑澄清、开标唱标、结果公布等交互环节。</w:t>
      </w:r>
    </w:p>
    <w:p>
      <w:pPr>
        <w:spacing w:line="360" w:lineRule="auto"/>
        <w:ind w:firstLine="480" w:firstLineChars="200"/>
        <w:outlineLvl w:val="1"/>
        <w:rPr>
          <w:rFonts w:hint="eastAsia" w:ascii="宋体" w:hAnsi="宋体" w:eastAsia="宋体" w:cs="宋体"/>
          <w:sz w:val="24"/>
          <w:szCs w:val="20"/>
          <w:highlight w:val="none"/>
        </w:rPr>
      </w:pPr>
      <w:bookmarkStart w:id="142" w:name="_Toc243907602"/>
      <w:bookmarkStart w:id="143" w:name="_Toc233274842"/>
      <w:bookmarkStart w:id="144" w:name="_Toc243906341"/>
      <w:bookmarkStart w:id="145" w:name="_Toc245897302"/>
      <w:r>
        <w:rPr>
          <w:rFonts w:hint="eastAsia" w:ascii="宋体" w:hAnsi="宋体" w:eastAsia="宋体" w:cs="宋体"/>
          <w:sz w:val="24"/>
          <w:szCs w:val="20"/>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spacing w:line="360" w:lineRule="auto"/>
        <w:ind w:firstLine="480" w:firstLineChars="200"/>
        <w:outlineLvl w:val="1"/>
        <w:rPr>
          <w:rFonts w:hint="eastAsia" w:ascii="宋体" w:hAnsi="宋体" w:eastAsia="宋体" w:cs="宋体"/>
          <w:sz w:val="24"/>
          <w:szCs w:val="20"/>
          <w:highlight w:val="none"/>
        </w:rPr>
      </w:pPr>
      <w:r>
        <w:rPr>
          <w:rFonts w:hint="eastAsia" w:ascii="宋体" w:hAnsi="宋体" w:eastAsia="宋体" w:cs="宋体"/>
          <w:sz w:val="24"/>
          <w:szCs w:val="20"/>
          <w:highlight w:val="none"/>
        </w:rPr>
        <w:t>28.4投标文件的解密：投标人登录政采云平台，在开标时间后30分钟内（</w:t>
      </w:r>
      <w:r>
        <w:rPr>
          <w:rFonts w:hint="eastAsia" w:ascii="宋体" w:hAnsi="宋体" w:eastAsia="宋体" w:cs="宋体"/>
          <w:kern w:val="0"/>
          <w:sz w:val="24"/>
          <w:highlight w:val="none"/>
        </w:rPr>
        <w:t>2022年</w:t>
      </w:r>
      <w:r>
        <w:rPr>
          <w:rFonts w:hint="eastAsia" w:ascii="宋体" w:hAnsi="宋体" w:cs="宋体"/>
          <w:kern w:val="0"/>
          <w:sz w:val="24"/>
          <w:highlight w:val="none"/>
          <w:lang w:val="en-US" w:eastAsia="zh-CN"/>
        </w:rPr>
        <w:t>11</w:t>
      </w:r>
      <w:r>
        <w:rPr>
          <w:rFonts w:hint="eastAsia" w:ascii="宋体" w:hAnsi="宋体" w:eastAsia="宋体" w:cs="宋体"/>
          <w:kern w:val="0"/>
          <w:sz w:val="24"/>
          <w:highlight w:val="none"/>
        </w:rPr>
        <w:t>月</w:t>
      </w:r>
      <w:r>
        <w:rPr>
          <w:rFonts w:hint="eastAsia" w:ascii="宋体" w:hAnsi="宋体" w:cs="宋体"/>
          <w:kern w:val="0"/>
          <w:sz w:val="24"/>
          <w:highlight w:val="none"/>
          <w:lang w:val="en-US" w:eastAsia="zh-CN"/>
        </w:rPr>
        <w:t>30</w:t>
      </w:r>
      <w:r>
        <w:rPr>
          <w:rFonts w:hint="eastAsia" w:ascii="宋体" w:hAnsi="宋体" w:eastAsia="宋体" w:cs="宋体"/>
          <w:kern w:val="0"/>
          <w:sz w:val="24"/>
          <w:highlight w:val="none"/>
        </w:rPr>
        <w:t>日10:30-11：00</w:t>
      </w:r>
      <w:r>
        <w:rPr>
          <w:rFonts w:hint="eastAsia" w:ascii="宋体" w:hAnsi="宋体" w:eastAsia="宋体" w:cs="宋体"/>
          <w:kern w:val="0"/>
          <w:sz w:val="24"/>
          <w:highlight w:val="none"/>
          <w:lang w:eastAsia="zh-CN"/>
        </w:rPr>
        <w:t>）</w:t>
      </w:r>
      <w:r>
        <w:rPr>
          <w:rFonts w:hint="eastAsia" w:ascii="宋体" w:hAnsi="宋体" w:eastAsia="宋体" w:cs="宋体"/>
          <w:sz w:val="24"/>
          <w:szCs w:val="20"/>
          <w:highlight w:val="none"/>
        </w:rPr>
        <w:t>用“项目采购-开标评标”功能进行解密投标文件。若投标人在规定时间内（</w:t>
      </w:r>
      <w:r>
        <w:rPr>
          <w:rFonts w:hint="eastAsia" w:ascii="宋体" w:hAnsi="宋体" w:eastAsia="宋体" w:cs="宋体"/>
          <w:kern w:val="0"/>
          <w:sz w:val="24"/>
          <w:highlight w:val="none"/>
        </w:rPr>
        <w:t>2022年</w:t>
      </w:r>
      <w:r>
        <w:rPr>
          <w:rFonts w:hint="eastAsia" w:ascii="宋体" w:hAnsi="宋体" w:cs="宋体"/>
          <w:kern w:val="0"/>
          <w:sz w:val="24"/>
          <w:highlight w:val="none"/>
          <w:lang w:val="en-US" w:eastAsia="zh-CN"/>
        </w:rPr>
        <w:t>11</w:t>
      </w:r>
      <w:r>
        <w:rPr>
          <w:rFonts w:hint="eastAsia" w:ascii="宋体" w:hAnsi="宋体" w:eastAsia="宋体" w:cs="宋体"/>
          <w:kern w:val="0"/>
          <w:sz w:val="24"/>
          <w:highlight w:val="none"/>
        </w:rPr>
        <w:t>月</w:t>
      </w:r>
      <w:r>
        <w:rPr>
          <w:rFonts w:hint="eastAsia" w:ascii="宋体" w:hAnsi="宋体" w:cs="宋体"/>
          <w:kern w:val="0"/>
          <w:sz w:val="24"/>
          <w:highlight w:val="none"/>
          <w:lang w:val="en-US" w:eastAsia="zh-CN"/>
        </w:rPr>
        <w:t>30</w:t>
      </w:r>
      <w:r>
        <w:rPr>
          <w:rFonts w:hint="eastAsia" w:ascii="宋体" w:hAnsi="宋体" w:eastAsia="宋体" w:cs="宋体"/>
          <w:kern w:val="0"/>
          <w:sz w:val="24"/>
          <w:highlight w:val="none"/>
        </w:rPr>
        <w:t>日10:30-11：00</w:t>
      </w:r>
      <w:r>
        <w:rPr>
          <w:rFonts w:hint="eastAsia" w:ascii="宋体" w:hAnsi="宋体" w:eastAsia="宋体" w:cs="宋体"/>
          <w:sz w:val="24"/>
          <w:szCs w:val="20"/>
          <w:highlight w:val="none"/>
        </w:rPr>
        <w:t>）未按时解密的，视为无效投标。解密与加密投标文件须使用同一个CA。</w:t>
      </w:r>
    </w:p>
    <w:p>
      <w:pPr>
        <w:spacing w:line="360" w:lineRule="auto"/>
        <w:ind w:firstLine="480" w:firstLineChars="200"/>
        <w:outlineLvl w:val="1"/>
        <w:rPr>
          <w:rFonts w:hint="eastAsia" w:ascii="宋体" w:hAnsi="宋体" w:eastAsia="宋体" w:cs="宋体"/>
          <w:sz w:val="24"/>
          <w:szCs w:val="20"/>
          <w:highlight w:val="none"/>
        </w:rPr>
      </w:pPr>
      <w:r>
        <w:rPr>
          <w:rFonts w:hint="eastAsia" w:ascii="宋体" w:hAnsi="宋体" w:eastAsia="宋体" w:cs="宋体"/>
          <w:sz w:val="24"/>
          <w:szCs w:val="20"/>
          <w:highlight w:val="none"/>
        </w:rPr>
        <w:t>28.5投标人应在开启报价20分钟内进行签字确认。</w:t>
      </w:r>
    </w:p>
    <w:p>
      <w:pPr>
        <w:spacing w:line="360" w:lineRule="auto"/>
        <w:ind w:firstLine="480" w:firstLineChars="200"/>
        <w:outlineLvl w:val="1"/>
        <w:rPr>
          <w:rFonts w:hint="eastAsia" w:ascii="宋体" w:hAnsi="宋体" w:eastAsia="宋体" w:cs="宋体"/>
          <w:sz w:val="24"/>
          <w:szCs w:val="20"/>
          <w:highlight w:val="none"/>
        </w:rPr>
      </w:pPr>
      <w:r>
        <w:rPr>
          <w:rFonts w:hint="eastAsia" w:ascii="宋体" w:hAnsi="宋体" w:eastAsia="宋体" w:cs="宋体"/>
          <w:sz w:val="24"/>
          <w:szCs w:val="20"/>
          <w:highlight w:val="none"/>
        </w:rPr>
        <w:t>28.6开标完毕，进行下一步评标。</w:t>
      </w:r>
    </w:p>
    <w:p>
      <w:pPr>
        <w:spacing w:line="360" w:lineRule="auto"/>
        <w:ind w:firstLine="480" w:firstLineChars="200"/>
        <w:outlineLvl w:val="1"/>
        <w:rPr>
          <w:rFonts w:hint="eastAsia" w:ascii="宋体" w:hAnsi="宋体" w:eastAsia="宋体" w:cs="宋体"/>
          <w:sz w:val="24"/>
          <w:szCs w:val="20"/>
          <w:highlight w:val="none"/>
        </w:rPr>
      </w:pPr>
      <w:r>
        <w:rPr>
          <w:rFonts w:hint="eastAsia" w:ascii="宋体" w:hAnsi="宋体" w:eastAsia="宋体" w:cs="宋体"/>
          <w:sz w:val="24"/>
          <w:szCs w:val="20"/>
          <w:highlight w:val="none"/>
        </w:rPr>
        <w:t>29、</w:t>
      </w:r>
      <w:bookmarkEnd w:id="142"/>
      <w:bookmarkEnd w:id="143"/>
      <w:bookmarkEnd w:id="144"/>
      <w:bookmarkEnd w:id="145"/>
      <w:r>
        <w:rPr>
          <w:rFonts w:hint="eastAsia" w:ascii="宋体" w:hAnsi="宋体" w:eastAsia="宋体" w:cs="宋体"/>
          <w:sz w:val="24"/>
          <w:szCs w:val="20"/>
          <w:highlight w:val="none"/>
        </w:rPr>
        <w:t>评标委员会</w:t>
      </w:r>
    </w:p>
    <w:p>
      <w:pPr>
        <w:widowControl/>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29.1评标委员会成员组成：按照</w:t>
      </w:r>
      <w:r>
        <w:rPr>
          <w:rFonts w:hint="eastAsia" w:ascii="宋体" w:hAnsi="宋体" w:eastAsia="宋体" w:cs="宋体"/>
          <w:sz w:val="24"/>
          <w:highlight w:val="none"/>
        </w:rPr>
        <w:t>《中华人民共和国政府采购法》、《中华人民共和国政府采购法实施条例》、《政府采购货物和服务招标投标管理办法》</w:t>
      </w:r>
      <w:r>
        <w:rPr>
          <w:rFonts w:hint="eastAsia" w:ascii="宋体" w:hAnsi="宋体" w:eastAsia="宋体" w:cs="宋体"/>
          <w:sz w:val="24"/>
          <w:szCs w:val="20"/>
          <w:highlight w:val="none"/>
        </w:rPr>
        <w:t>及相关法律、法规规定组建</w:t>
      </w:r>
      <w:r>
        <w:rPr>
          <w:rFonts w:hint="eastAsia" w:ascii="宋体" w:hAnsi="宋体" w:eastAsia="宋体" w:cs="宋体"/>
          <w:sz w:val="24"/>
          <w:highlight w:val="none"/>
        </w:rPr>
        <w:t>，由采购人代表和评审专家组成</w:t>
      </w:r>
      <w:r>
        <w:rPr>
          <w:rFonts w:hint="eastAsia" w:ascii="宋体" w:hAnsi="宋体" w:eastAsia="宋体" w:cs="宋体"/>
          <w:sz w:val="24"/>
          <w:szCs w:val="20"/>
          <w:highlight w:val="none"/>
        </w:rPr>
        <w:t>。评标委员会将负责对投标人提交的投标文件进行公开、评审，确保公开、评审过程公正、合法、保密，并向采购人推荐中标候选人。</w:t>
      </w:r>
    </w:p>
    <w:p>
      <w:pPr>
        <w:spacing w:line="360" w:lineRule="auto"/>
        <w:ind w:firstLine="482" w:firstLineChars="200"/>
        <w:outlineLvl w:val="1"/>
        <w:rPr>
          <w:rFonts w:hint="eastAsia" w:ascii="宋体" w:hAnsi="宋体" w:eastAsia="宋体" w:cs="宋体"/>
          <w:b/>
          <w:sz w:val="24"/>
          <w:highlight w:val="none"/>
        </w:rPr>
      </w:pPr>
      <w:bookmarkStart w:id="146" w:name="_Toc245897306"/>
      <w:bookmarkStart w:id="147" w:name="_Toc243907607"/>
      <w:bookmarkStart w:id="148" w:name="_Toc233274845"/>
      <w:bookmarkStart w:id="149" w:name="_Toc243906346"/>
      <w:bookmarkStart w:id="150" w:name="_Toc243906344"/>
      <w:bookmarkStart w:id="151" w:name="_Toc243907605"/>
      <w:bookmarkStart w:id="152" w:name="_Toc245897304"/>
      <w:bookmarkStart w:id="153" w:name="_Toc233274843"/>
      <w:r>
        <w:rPr>
          <w:rFonts w:hint="eastAsia" w:ascii="宋体" w:hAnsi="宋体" w:eastAsia="宋体" w:cs="宋体"/>
          <w:b/>
          <w:sz w:val="24"/>
          <w:highlight w:val="none"/>
        </w:rPr>
        <w:t>30、重大偏离</w:t>
      </w:r>
      <w:bookmarkEnd w:id="146"/>
      <w:bookmarkEnd w:id="147"/>
      <w:bookmarkEnd w:id="148"/>
      <w:bookmarkEnd w:id="149"/>
    </w:p>
    <w:p>
      <w:pPr>
        <w:spacing w:line="360" w:lineRule="auto"/>
        <w:ind w:firstLine="482" w:firstLineChars="200"/>
        <w:rPr>
          <w:rFonts w:hint="eastAsia" w:ascii="宋体" w:hAnsi="宋体" w:eastAsia="宋体" w:cs="宋体"/>
          <w:b/>
          <w:sz w:val="24"/>
          <w:highlight w:val="none"/>
        </w:rPr>
      </w:pPr>
      <w:bookmarkStart w:id="154" w:name="_Toc233274846"/>
      <w:bookmarkStart w:id="155" w:name="_Toc245897307"/>
      <w:bookmarkStart w:id="156" w:name="_Toc243906347"/>
      <w:bookmarkStart w:id="157" w:name="_Toc243907608"/>
      <w:r>
        <w:rPr>
          <w:rFonts w:hint="eastAsia" w:ascii="宋体" w:hAnsi="宋体" w:eastAsia="宋体" w:cs="宋体"/>
          <w:b/>
          <w:sz w:val="24"/>
          <w:highlight w:val="none"/>
        </w:rPr>
        <w:t>重大偏离是指实质上影响合同的招标范围、质量和性能、服务期、投标保证金等，或者实质上不满足招标文件的要求，而且限制了采购人的权力或减轻了投标人的义务。纠正或承认这些偏离将会对其他实质上投标要求的投标人合理的竞争地位产生不公正的影响。</w:t>
      </w:r>
    </w:p>
    <w:p>
      <w:pPr>
        <w:spacing w:line="360" w:lineRule="auto"/>
        <w:ind w:firstLine="482" w:firstLineChars="200"/>
        <w:outlineLvl w:val="1"/>
        <w:rPr>
          <w:rFonts w:hint="eastAsia" w:ascii="宋体" w:hAnsi="宋体" w:eastAsia="宋体" w:cs="宋体"/>
          <w:b/>
          <w:sz w:val="24"/>
          <w:highlight w:val="none"/>
        </w:rPr>
      </w:pPr>
      <w:r>
        <w:rPr>
          <w:rFonts w:hint="eastAsia" w:ascii="宋体" w:hAnsi="宋体" w:eastAsia="宋体" w:cs="宋体"/>
          <w:b/>
          <w:sz w:val="24"/>
          <w:highlight w:val="none"/>
        </w:rPr>
        <w:t>31、</w:t>
      </w:r>
      <w:bookmarkEnd w:id="154"/>
      <w:bookmarkEnd w:id="155"/>
      <w:bookmarkEnd w:id="156"/>
      <w:bookmarkEnd w:id="157"/>
      <w:r>
        <w:rPr>
          <w:rFonts w:hint="eastAsia" w:ascii="宋体" w:hAnsi="宋体" w:eastAsia="宋体" w:cs="宋体"/>
          <w:b/>
          <w:sz w:val="24"/>
          <w:highlight w:val="none"/>
        </w:rPr>
        <w:t>废标</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在招标采购中，出现下列情形之一的，应予废标：</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31.1符合专业条件的投标人或者对招标文件每标项作实质响应的投标人不足三家的；</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31.2出现影响采购公正的违法、违规行为的；</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31.3投标人的报价均超过了采购预算，采购人不能支付的；</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31.4因重大变故，采购任务取消的；</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31.5《中华人民共和国政府采购法》及相关法律法规及招标文件明确规定废标的其他情形。</w:t>
      </w:r>
      <w:bookmarkStart w:id="158" w:name="_Toc243907609"/>
      <w:bookmarkStart w:id="159" w:name="_Toc245897308"/>
      <w:bookmarkStart w:id="160" w:name="_Toc233274847"/>
      <w:bookmarkStart w:id="161" w:name="_Toc243906348"/>
    </w:p>
    <w:p>
      <w:pPr>
        <w:spacing w:line="360" w:lineRule="auto"/>
        <w:ind w:firstLine="482" w:firstLineChars="200"/>
        <w:outlineLvl w:val="1"/>
        <w:rPr>
          <w:rFonts w:hint="eastAsia" w:ascii="宋体" w:hAnsi="宋体" w:eastAsia="宋体" w:cs="宋体"/>
          <w:b/>
          <w:sz w:val="24"/>
          <w:highlight w:val="none"/>
        </w:rPr>
      </w:pPr>
      <w:r>
        <w:rPr>
          <w:rFonts w:hint="eastAsia" w:ascii="宋体" w:hAnsi="宋体" w:eastAsia="宋体" w:cs="宋体"/>
          <w:b/>
          <w:sz w:val="24"/>
          <w:highlight w:val="none"/>
        </w:rPr>
        <w:t>32、投标人串通投标</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有下列情形之一的，视为投标人串通投标，其投标无效：</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32.1不同投标人的投标文件由同一单位或者个人编制；</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32.2不同投标人委托同一单位或者个人办理投标事宜；</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32.3不同投标人的投标文件载明的项目管理成员或者联系人员为同一人；</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32.4不同投标人的投标文件异常一致或者投标报价呈规律性差异；</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32.5不同投标人的投标文件相互混装；</w:t>
      </w:r>
    </w:p>
    <w:p>
      <w:pPr>
        <w:spacing w:line="360" w:lineRule="auto"/>
        <w:ind w:firstLine="482" w:firstLineChars="200"/>
        <w:rPr>
          <w:rFonts w:hint="eastAsia" w:ascii="宋体" w:hAnsi="宋体" w:eastAsia="宋体" w:cs="宋体"/>
          <w:bCs/>
          <w:sz w:val="24"/>
          <w:highlight w:val="none"/>
        </w:rPr>
      </w:pPr>
      <w:r>
        <w:rPr>
          <w:rFonts w:hint="eastAsia" w:ascii="宋体" w:hAnsi="宋体" w:eastAsia="宋体" w:cs="宋体"/>
          <w:b/>
          <w:sz w:val="24"/>
          <w:highlight w:val="none"/>
        </w:rPr>
        <w:t>32.6不同投标人的投标保证金从同一单位或者个人的账户转出。</w:t>
      </w:r>
    </w:p>
    <w:p>
      <w:pPr>
        <w:spacing w:line="360" w:lineRule="auto"/>
        <w:ind w:firstLine="482" w:firstLineChars="200"/>
        <w:outlineLvl w:val="1"/>
        <w:rPr>
          <w:rFonts w:hint="eastAsia" w:ascii="宋体" w:hAnsi="宋体" w:eastAsia="宋体" w:cs="宋体"/>
          <w:b/>
          <w:sz w:val="24"/>
          <w:highlight w:val="none"/>
        </w:rPr>
      </w:pPr>
      <w:r>
        <w:rPr>
          <w:rFonts w:hint="eastAsia" w:ascii="宋体" w:hAnsi="宋体" w:eastAsia="宋体" w:cs="宋体"/>
          <w:b/>
          <w:sz w:val="24"/>
          <w:highlight w:val="none"/>
        </w:rPr>
        <w:t>33、投标无效：投标人存在下列情况之一的，其投标无效:</w:t>
      </w:r>
    </w:p>
    <w:p>
      <w:pPr>
        <w:spacing w:line="360" w:lineRule="auto"/>
        <w:ind w:firstLine="482" w:firstLineChars="200"/>
        <w:outlineLvl w:val="1"/>
        <w:rPr>
          <w:rFonts w:hint="eastAsia" w:ascii="宋体" w:hAnsi="宋体" w:eastAsia="宋体" w:cs="宋体"/>
          <w:b/>
          <w:sz w:val="24"/>
          <w:highlight w:val="none"/>
        </w:rPr>
      </w:pPr>
      <w:r>
        <w:rPr>
          <w:rFonts w:hint="eastAsia" w:ascii="宋体" w:hAnsi="宋体" w:eastAsia="宋体" w:cs="宋体"/>
          <w:b/>
          <w:sz w:val="24"/>
          <w:highlight w:val="none"/>
        </w:rPr>
        <w:t>33.1未按照招标文件的规定提交投标保证金的；</w:t>
      </w:r>
    </w:p>
    <w:p>
      <w:pPr>
        <w:spacing w:line="360" w:lineRule="auto"/>
        <w:ind w:firstLine="482" w:firstLineChars="200"/>
        <w:outlineLvl w:val="1"/>
        <w:rPr>
          <w:rFonts w:hint="eastAsia" w:ascii="宋体" w:hAnsi="宋体" w:eastAsia="宋体" w:cs="宋体"/>
          <w:b/>
          <w:sz w:val="24"/>
          <w:highlight w:val="none"/>
        </w:rPr>
      </w:pPr>
      <w:r>
        <w:rPr>
          <w:rFonts w:hint="eastAsia" w:ascii="宋体" w:hAnsi="宋体" w:eastAsia="宋体" w:cs="宋体"/>
          <w:b/>
          <w:sz w:val="24"/>
          <w:highlight w:val="none"/>
        </w:rPr>
        <w:t>33.2投标文件未按招标文件要求签署、盖章的；</w:t>
      </w:r>
    </w:p>
    <w:p>
      <w:pPr>
        <w:spacing w:line="360" w:lineRule="auto"/>
        <w:ind w:firstLine="482" w:firstLineChars="200"/>
        <w:outlineLvl w:val="1"/>
        <w:rPr>
          <w:rFonts w:hint="eastAsia" w:ascii="宋体" w:hAnsi="宋体" w:eastAsia="宋体" w:cs="宋体"/>
          <w:b/>
          <w:sz w:val="24"/>
          <w:highlight w:val="none"/>
        </w:rPr>
      </w:pPr>
      <w:r>
        <w:rPr>
          <w:rFonts w:hint="eastAsia" w:ascii="宋体" w:hAnsi="宋体" w:eastAsia="宋体" w:cs="宋体"/>
          <w:b/>
          <w:sz w:val="24"/>
          <w:highlight w:val="none"/>
        </w:rPr>
        <w:t>33.3不具备招标文件中规定的资格要求的；</w:t>
      </w:r>
    </w:p>
    <w:p>
      <w:pPr>
        <w:spacing w:line="360" w:lineRule="auto"/>
        <w:ind w:firstLine="482" w:firstLineChars="200"/>
        <w:outlineLvl w:val="1"/>
        <w:rPr>
          <w:rFonts w:hint="eastAsia" w:ascii="宋体" w:hAnsi="宋体" w:eastAsia="宋体" w:cs="宋体"/>
          <w:b/>
          <w:sz w:val="24"/>
          <w:highlight w:val="none"/>
        </w:rPr>
      </w:pPr>
      <w:r>
        <w:rPr>
          <w:rFonts w:hint="eastAsia" w:ascii="宋体" w:hAnsi="宋体" w:eastAsia="宋体" w:cs="宋体"/>
          <w:b/>
          <w:sz w:val="24"/>
          <w:highlight w:val="none"/>
        </w:rPr>
        <w:t>33.4报价超过招标文件中规定的预算金额或者最高限价的；</w:t>
      </w:r>
    </w:p>
    <w:p>
      <w:pPr>
        <w:spacing w:line="360" w:lineRule="auto"/>
        <w:ind w:firstLine="482" w:firstLineChars="200"/>
        <w:outlineLvl w:val="1"/>
        <w:rPr>
          <w:rFonts w:hint="eastAsia" w:ascii="宋体" w:hAnsi="宋体" w:eastAsia="宋体" w:cs="宋体"/>
          <w:b/>
          <w:sz w:val="24"/>
          <w:highlight w:val="none"/>
        </w:rPr>
      </w:pPr>
      <w:r>
        <w:rPr>
          <w:rFonts w:hint="eastAsia" w:ascii="宋体" w:hAnsi="宋体" w:eastAsia="宋体" w:cs="宋体"/>
          <w:b/>
          <w:sz w:val="24"/>
          <w:highlight w:val="none"/>
        </w:rPr>
        <w:t>33.5投标文件含有采购人不能接受的附加条件的;</w:t>
      </w:r>
    </w:p>
    <w:p>
      <w:pPr>
        <w:spacing w:line="360" w:lineRule="auto"/>
        <w:ind w:firstLine="482" w:firstLineChars="200"/>
        <w:outlineLvl w:val="1"/>
        <w:rPr>
          <w:rFonts w:hint="eastAsia" w:ascii="宋体" w:hAnsi="宋体" w:eastAsia="宋体" w:cs="宋体"/>
          <w:b/>
          <w:sz w:val="24"/>
          <w:highlight w:val="none"/>
        </w:rPr>
      </w:pPr>
      <w:r>
        <w:rPr>
          <w:rFonts w:hint="eastAsia" w:ascii="宋体" w:hAnsi="宋体" w:eastAsia="宋体" w:cs="宋体"/>
          <w:b/>
          <w:sz w:val="24"/>
          <w:highlight w:val="none"/>
        </w:rPr>
        <w:t>33.6《中华人民共和国政府采购法》、《中华人民共和国政府采购法实施条例》、《政府采购货物和服务招标投标管理办法》及相关法律法规及招标文件明确规定可以作无效投标文件的其他情形。</w:t>
      </w:r>
    </w:p>
    <w:p>
      <w:pPr>
        <w:spacing w:line="360" w:lineRule="auto"/>
        <w:ind w:firstLine="482" w:firstLineChars="200"/>
        <w:outlineLvl w:val="1"/>
        <w:rPr>
          <w:rFonts w:hint="eastAsia" w:ascii="宋体" w:hAnsi="宋体" w:eastAsia="宋体" w:cs="宋体"/>
          <w:b/>
          <w:sz w:val="24"/>
          <w:highlight w:val="none"/>
        </w:rPr>
      </w:pPr>
      <w:r>
        <w:rPr>
          <w:rFonts w:hint="eastAsia" w:ascii="宋体" w:hAnsi="宋体" w:eastAsia="宋体" w:cs="宋体"/>
          <w:b/>
          <w:sz w:val="24"/>
          <w:highlight w:val="none"/>
        </w:rPr>
        <w:t>34、</w:t>
      </w:r>
      <w:bookmarkEnd w:id="158"/>
      <w:bookmarkEnd w:id="159"/>
      <w:bookmarkEnd w:id="160"/>
      <w:bookmarkEnd w:id="161"/>
      <w:r>
        <w:rPr>
          <w:rFonts w:hint="eastAsia" w:ascii="宋体" w:hAnsi="宋体" w:eastAsia="宋体" w:cs="宋体"/>
          <w:b/>
          <w:sz w:val="24"/>
          <w:highlight w:val="none"/>
        </w:rPr>
        <w:t>评标方法</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34.1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投标人，拒绝参与政府采购活动，同时对信用信息查询记录和证据进行打印存档。</w:t>
      </w:r>
    </w:p>
    <w:bookmarkEnd w:id="150"/>
    <w:bookmarkEnd w:id="151"/>
    <w:bookmarkEnd w:id="152"/>
    <w:bookmarkEnd w:id="153"/>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34.2本项目评审采用综合评分法，并严格按照招标文件的要求和条件进行。</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34.2.1投标文件符合性审查：由评标委员会评委对符合资格的各投标人投标文件进行符合性审查。符合性审查是从投标文件的有效性、完整性和对招标文件的响应程度进行审查。未通过符合性审查的投标人其投标文件将按照无效投标处理。</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34.2.1.1澄清有关问题。对投标文件中含义不明确、同类问题表述不一致或者有明显文字和计算错误的内容，评标委员会可以书面形式要求投标人作出必要的澄清、说明或者纠正。</w:t>
      </w:r>
    </w:p>
    <w:p>
      <w:pPr>
        <w:pStyle w:val="8"/>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34.2.1.2比较与评价。评标委员会应当按照招标文件中规定的评标方法和标准，对符合性审查合格的投标文件进行商务和技术评估，综合比较与评价。</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34.3综合评分法是指投标文件满足招标文件全部实质性要求，且按照评审因素的量化指标评审得分最高的投标人为中标候选人的评标方法。</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34.4评标分值：总分值为100分，其中价格部分分值为30分，其余商务、技术部分分值为70分。具体评标方法详本招标文件第六章“评标方法（综合评分法）”</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34.5商务报价错误的修正</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34.5.1如果发现商务报价存在计算或表达上错误，则按下列原则进行修正：</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（1）开标时，投标文件中开标一览表(报价表)内容与投标文件中明细表内容不一致的，以开标一览表(报价表)为准。</w:t>
      </w:r>
    </w:p>
    <w:p>
      <w:pPr>
        <w:spacing w:line="360" w:lineRule="auto"/>
        <w:ind w:firstLine="480" w:firstLineChars="200"/>
        <w:rPr>
          <w:rFonts w:hint="eastAsia" w:ascii="宋体" w:hAnsi="宋体" w:eastAsia="宋体" w:cs="宋体"/>
          <w:sz w:val="24"/>
          <w:highlight w:val="none"/>
        </w:rPr>
      </w:pPr>
      <w:bookmarkStart w:id="162" w:name="_Toc224623557"/>
      <w:bookmarkStart w:id="163" w:name="_Toc224624628"/>
      <w:bookmarkStart w:id="164" w:name="_Toc224620150"/>
      <w:bookmarkStart w:id="165" w:name="_Toc224622928"/>
      <w:bookmarkStart w:id="166" w:name="_Toc224623451"/>
      <w:bookmarkStart w:id="167" w:name="_Toc243907606"/>
      <w:bookmarkStart w:id="168" w:name="_Toc224623663"/>
      <w:bookmarkStart w:id="169" w:name="_Toc224620071"/>
      <w:bookmarkStart w:id="170" w:name="_Toc243906345"/>
      <w:bookmarkStart w:id="171" w:name="_Toc224624767"/>
      <w:bookmarkStart w:id="172" w:name="_Toc224624488"/>
      <w:bookmarkStart w:id="173" w:name="_Toc245897305"/>
      <w:r>
        <w:rPr>
          <w:rFonts w:hint="eastAsia" w:ascii="宋体" w:hAnsi="宋体" w:eastAsia="宋体" w:cs="宋体"/>
          <w:sz w:val="24"/>
          <w:highlight w:val="none"/>
        </w:rPr>
        <w:t>（2）投标文件的大写金额和小写金额不一致的，以大写金额为准；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总价金额与按单价汇总金额不一致的，以单价金额计算结果为准；单价金额小数点或者百分比有明显错位的，以开标一览表的总价为准，并修改单价；对不同文字文本投标文件的解释发生异议的，以中文文本为准。</w:t>
      </w:r>
    </w:p>
    <w:p>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34.5.2同时出现两种以上不一致的，按照前款规定的顺序修正。修正后的报价按照财政部公布第87号令 《政府采购货物和服务招标投标管理办法》第五十一条第二款的规定经投标人确认后产生约束力，投标人不确认的，其投标无效。</w:t>
      </w:r>
    </w:p>
    <w:bookmarkEnd w:id="162"/>
    <w:bookmarkEnd w:id="163"/>
    <w:bookmarkEnd w:id="164"/>
    <w:bookmarkEnd w:id="165"/>
    <w:bookmarkEnd w:id="166"/>
    <w:bookmarkEnd w:id="167"/>
    <w:bookmarkEnd w:id="168"/>
    <w:bookmarkEnd w:id="169"/>
    <w:bookmarkEnd w:id="170"/>
    <w:bookmarkEnd w:id="171"/>
    <w:bookmarkEnd w:id="172"/>
    <w:bookmarkEnd w:id="173"/>
    <w:p>
      <w:pPr>
        <w:spacing w:line="360" w:lineRule="auto"/>
        <w:ind w:firstLine="482" w:firstLineChars="200"/>
        <w:outlineLvl w:val="1"/>
        <w:rPr>
          <w:rFonts w:hint="eastAsia" w:ascii="宋体" w:hAnsi="宋体" w:eastAsia="宋体" w:cs="宋体"/>
          <w:b/>
          <w:bCs/>
          <w:sz w:val="24"/>
          <w:highlight w:val="none"/>
        </w:rPr>
      </w:pPr>
      <w:r>
        <w:rPr>
          <w:rFonts w:hint="eastAsia" w:ascii="宋体" w:hAnsi="宋体" w:eastAsia="宋体" w:cs="宋体"/>
          <w:b/>
          <w:bCs/>
          <w:sz w:val="24"/>
          <w:highlight w:val="none"/>
        </w:rPr>
        <w:t>34.6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35、推荐各标项中标候选供应商</w:t>
      </w:r>
    </w:p>
    <w:p>
      <w:pPr>
        <w:spacing w:line="360" w:lineRule="auto"/>
        <w:ind w:firstLine="482" w:firstLineChars="200"/>
        <w:outlineLvl w:val="1"/>
        <w:rPr>
          <w:rFonts w:hint="eastAsia" w:ascii="宋体" w:hAnsi="宋体" w:eastAsia="宋体" w:cs="宋体"/>
          <w:b/>
          <w:sz w:val="24"/>
          <w:highlight w:val="none"/>
        </w:rPr>
      </w:pPr>
      <w:r>
        <w:rPr>
          <w:rFonts w:hint="eastAsia" w:ascii="宋体" w:hAnsi="宋体" w:eastAsia="宋体" w:cs="宋体"/>
          <w:b/>
          <w:sz w:val="24"/>
          <w:highlight w:val="none"/>
        </w:rPr>
        <w:t>35.1各标项投标人的综合得分由高至低排序，综合得分排列前3名的投标人被推荐为该标项中标候选供应商。综合得分相同的，则按照投标报价由低到高的顺序推荐；如综合得分且投标报价得分均相同，则按各标项商务、技术部分得分由高至低顺序推荐，如出现各标项综合评审得分、投标报价得分且商务、技术部分得分也均相同时，则由评标委员会投票确定其排序。</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注：评分计算保留两位小数，第三位小数四舍五入。</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35.2评标委员会评审专家复核。评标小组评分汇总结束后，评标小组应当进行评审复核，对拟推荐为中标候选人的、报价最低的、投标人资格审查未通过的、投标人投标文件作无效处理的重点复核。</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35.3确定各标项中标供应商</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35.3.1招标代理机构应当在评标结束后2个工作日内将评标报告送采购人确认。</w:t>
      </w:r>
    </w:p>
    <w:p>
      <w:pPr>
        <w:spacing w:line="360" w:lineRule="auto"/>
        <w:ind w:firstLine="482" w:firstLineChars="200"/>
        <w:rPr>
          <w:rFonts w:hint="eastAsia" w:ascii="宋体" w:hAnsi="宋体" w:eastAsia="宋体" w:cs="宋体"/>
          <w:b/>
          <w:sz w:val="24"/>
          <w:highlight w:val="none"/>
        </w:rPr>
      </w:pPr>
      <w:bookmarkStart w:id="174" w:name="_Toc233274848"/>
      <w:bookmarkStart w:id="175" w:name="_Toc243907610"/>
      <w:bookmarkStart w:id="176" w:name="_Toc245897309"/>
      <w:bookmarkStart w:id="177" w:name="_Toc243906349"/>
      <w:r>
        <w:rPr>
          <w:rFonts w:hint="eastAsia" w:ascii="宋体" w:hAnsi="宋体" w:eastAsia="宋体" w:cs="宋体"/>
          <w:b/>
          <w:sz w:val="24"/>
          <w:highlight w:val="none"/>
        </w:rPr>
        <w:t>35.3.2采购人应当在收到评标报告后5个工作日内，根据评标报告中推荐的中标候选供应商及有关规定确定中标供应商。</w:t>
      </w:r>
    </w:p>
    <w:bookmarkEnd w:id="174"/>
    <w:bookmarkEnd w:id="175"/>
    <w:bookmarkEnd w:id="176"/>
    <w:bookmarkEnd w:id="177"/>
    <w:p>
      <w:pPr>
        <w:spacing w:line="360" w:lineRule="auto"/>
        <w:ind w:firstLine="480" w:firstLineChars="200"/>
        <w:outlineLvl w:val="1"/>
        <w:rPr>
          <w:rFonts w:hint="eastAsia" w:ascii="宋体" w:hAnsi="宋体" w:eastAsia="宋体" w:cs="宋体"/>
          <w:sz w:val="24"/>
          <w:highlight w:val="none"/>
        </w:rPr>
      </w:pPr>
      <w:bookmarkStart w:id="178" w:name="_Toc243907611"/>
      <w:bookmarkStart w:id="179" w:name="_Toc243906350"/>
      <w:bookmarkStart w:id="180" w:name="_Toc233274849"/>
      <w:bookmarkStart w:id="181" w:name="_Toc245897310"/>
      <w:r>
        <w:rPr>
          <w:rFonts w:hint="eastAsia" w:ascii="宋体" w:hAnsi="宋体" w:eastAsia="宋体" w:cs="宋体"/>
          <w:sz w:val="24"/>
          <w:highlight w:val="none"/>
        </w:rPr>
        <w:t>36、采购人依法接受和拒绝任一或所有投标人的权力</w:t>
      </w:r>
    </w:p>
    <w:p>
      <w:pPr>
        <w:spacing w:line="360" w:lineRule="auto"/>
        <w:ind w:firstLine="480" w:firstLineChars="200"/>
        <w:outlineLvl w:val="1"/>
        <w:rPr>
          <w:rFonts w:hint="eastAsia" w:ascii="宋体" w:hAnsi="宋体" w:eastAsia="宋体" w:cs="宋体"/>
          <w:sz w:val="24"/>
          <w:highlight w:val="none"/>
        </w:rPr>
      </w:pPr>
      <w:r>
        <w:rPr>
          <w:rFonts w:hint="eastAsia" w:ascii="宋体" w:hAnsi="宋体" w:eastAsia="宋体" w:cs="宋体"/>
          <w:sz w:val="24"/>
          <w:highlight w:val="none"/>
        </w:rPr>
        <w:t>采购人保留确定中标供应商之前的任何时候依法接受或拒绝任一或所有投标人的权力，对受影响的投标人不承担任何责任，也无义务向受影响的投标人解释采取这一行动的理由。</w:t>
      </w:r>
    </w:p>
    <w:p>
      <w:pPr>
        <w:spacing w:line="360" w:lineRule="auto"/>
        <w:ind w:firstLine="480" w:firstLineChars="200"/>
        <w:outlineLvl w:val="1"/>
        <w:rPr>
          <w:rFonts w:hint="eastAsia" w:ascii="宋体" w:hAnsi="宋体" w:eastAsia="宋体" w:cs="宋体"/>
          <w:sz w:val="24"/>
          <w:highlight w:val="none"/>
        </w:rPr>
      </w:pPr>
      <w:r>
        <w:rPr>
          <w:rFonts w:hint="eastAsia" w:ascii="宋体" w:hAnsi="宋体" w:eastAsia="宋体" w:cs="宋体"/>
          <w:sz w:val="24"/>
          <w:highlight w:val="none"/>
        </w:rPr>
        <w:t>36、中标通知书</w:t>
      </w:r>
    </w:p>
    <w:p>
      <w:pPr>
        <w:spacing w:line="360" w:lineRule="auto"/>
        <w:ind w:firstLine="480" w:firstLineChars="200"/>
        <w:outlineLvl w:val="1"/>
        <w:rPr>
          <w:rFonts w:hint="eastAsia" w:ascii="宋体" w:hAnsi="宋体" w:eastAsia="宋体" w:cs="宋体"/>
          <w:sz w:val="24"/>
          <w:highlight w:val="none"/>
        </w:rPr>
      </w:pPr>
      <w:r>
        <w:rPr>
          <w:rFonts w:hint="eastAsia" w:ascii="宋体" w:hAnsi="宋体" w:eastAsia="宋体" w:cs="宋体"/>
          <w:sz w:val="24"/>
          <w:highlight w:val="none"/>
        </w:rPr>
        <w:t>36.1采购人确定中标供应商后，及时通知招标代理机构，招标代理机构将按程序公告成交结果，同时向中标供应商发出中标通知书，中标通知书一经发出即发生法律效力。</w:t>
      </w:r>
    </w:p>
    <w:p>
      <w:pPr>
        <w:spacing w:line="360" w:lineRule="auto"/>
        <w:ind w:firstLine="480" w:firstLineChars="200"/>
        <w:outlineLvl w:val="1"/>
        <w:rPr>
          <w:rFonts w:hint="eastAsia" w:ascii="宋体" w:hAnsi="宋体" w:eastAsia="宋体" w:cs="宋体"/>
          <w:sz w:val="24"/>
          <w:highlight w:val="none"/>
        </w:rPr>
      </w:pPr>
      <w:r>
        <w:rPr>
          <w:rFonts w:hint="eastAsia" w:ascii="宋体" w:hAnsi="宋体" w:eastAsia="宋体" w:cs="宋体"/>
          <w:sz w:val="24"/>
          <w:highlight w:val="none"/>
        </w:rPr>
        <w:t>36.2《中标通知书》将是合同的组成部分。</w:t>
      </w:r>
    </w:p>
    <w:p>
      <w:pPr>
        <w:spacing w:line="360" w:lineRule="auto"/>
        <w:ind w:firstLine="480" w:firstLineChars="200"/>
        <w:outlineLvl w:val="1"/>
        <w:rPr>
          <w:rFonts w:hint="eastAsia" w:ascii="宋体" w:hAnsi="宋体" w:eastAsia="宋体" w:cs="宋体"/>
          <w:sz w:val="24"/>
          <w:highlight w:val="none"/>
        </w:rPr>
      </w:pPr>
      <w:r>
        <w:rPr>
          <w:rFonts w:hint="eastAsia" w:ascii="宋体" w:hAnsi="宋体" w:eastAsia="宋体" w:cs="宋体"/>
          <w:sz w:val="24"/>
          <w:highlight w:val="none"/>
        </w:rPr>
        <w:t>36.3采购人将通知其他未成交的投标人。并按照法律法规相关规定退还其投标保证金。</w:t>
      </w:r>
    </w:p>
    <w:p>
      <w:pPr>
        <w:spacing w:line="360" w:lineRule="auto"/>
        <w:ind w:firstLine="480" w:firstLineChars="200"/>
        <w:outlineLvl w:val="1"/>
        <w:rPr>
          <w:rFonts w:hint="eastAsia" w:ascii="宋体" w:hAnsi="宋体" w:eastAsia="宋体" w:cs="宋体"/>
          <w:sz w:val="24"/>
          <w:highlight w:val="none"/>
        </w:rPr>
      </w:pPr>
      <w:r>
        <w:rPr>
          <w:rFonts w:hint="eastAsia" w:ascii="宋体" w:hAnsi="宋体" w:eastAsia="宋体" w:cs="宋体"/>
          <w:sz w:val="24"/>
          <w:highlight w:val="none"/>
        </w:rPr>
        <w:t>38、纪律与保密事项</w:t>
      </w:r>
      <w:bookmarkEnd w:id="178"/>
      <w:bookmarkEnd w:id="179"/>
      <w:bookmarkEnd w:id="180"/>
      <w:bookmarkEnd w:id="181"/>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38.1凡参与公开招标的有关人员均应自觉接受有关主管部门的监督，不得向他人透露可能影响公平竞争的有关公开的其他情况。</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38.2领取本招标文件及其它相关资料者，应对文件进行保密，不得用作本次公开以外的任何用途。由采购人向投标人提供的技术资料和所有其它资料，均视为保密资料，除非得到采购人的同意，不得向第三方透露。</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38.3投标人不得与采购人串通公开，不得向采购人或者评标委员会成员行贿谋取中标，不得以他人名义参与公开或者以其它任何方式弄虚作假骗取参与公开；投标人不得以任何方式干扰、影响评标工作。如果投标人或者其他利害关系人通过捏造事实、伪造证明材料等方式提出质疑，干扰政府采购活动正常进行的，属于严重不良行为，采购人、招标代理机构将提请财政部门将其列入不良行为记录名单，并依法予以处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38.4投标人不得在公开采购过程中互相串通、结盟、损害公开的公正性和竞争性，或以任何方式影响其他投标人参与正当公开。扰乱公开市场，破坏公平竞争原则。如投标人在公开招标过程中互相串通，一经查实，将取消公开招标资格并不予退还其投标保证金。</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38.5 公开之日起直至授予中标供应商合同为止，凡属于对投标文件的审查、澄清、评价、比较有关的资料和中标供应商的推荐情况及与评审有关的其他任何情况均严格保密。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38.6从公开之日起至授予合同期间，投标人试图向评标委员会、招标代理机构施加任何影响或对采购人的比较及授予合同的决定进行影响，都可能导致其投标文件被拒绝。</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38.7除投标人被要求对投标文件进行澄清外，从公开之时起至授予合同期间，投标人不得就与其投标文件有关的事项主动与评标委员会、招标代理机构以及采购人联系。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38.8中标供应商确定后，采购人不对未中标供应商就评审过程以及未能中标原因作出任何解释，未中标供应商不得向评标委员会或其他有关人员询问评审过程的情况和索取评审过程的资料。</w:t>
      </w:r>
    </w:p>
    <w:p>
      <w:pPr>
        <w:pStyle w:val="8"/>
        <w:spacing w:line="360" w:lineRule="auto"/>
        <w:jc w:val="center"/>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六、授予合同</w:t>
      </w:r>
    </w:p>
    <w:p>
      <w:pPr>
        <w:pStyle w:val="8"/>
        <w:spacing w:line="360" w:lineRule="auto"/>
        <w:ind w:firstLine="480" w:firstLineChars="200"/>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39、授予合同标准</w:t>
      </w:r>
    </w:p>
    <w:p>
      <w:pPr>
        <w:pStyle w:val="8"/>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39.1本招标项目的采购合同将授予按本须知第35条确定</w:t>
      </w:r>
      <w:r>
        <w:rPr>
          <w:rFonts w:hint="eastAsia" w:ascii="宋体" w:hAnsi="宋体" w:eastAsia="宋体" w:cs="宋体"/>
          <w:sz w:val="24"/>
          <w:szCs w:val="24"/>
          <w:highlight w:val="none"/>
        </w:rPr>
        <w:t>中标</w:t>
      </w:r>
      <w:r>
        <w:rPr>
          <w:rFonts w:hint="eastAsia" w:ascii="宋体" w:hAnsi="宋体" w:eastAsia="宋体" w:cs="宋体"/>
          <w:bCs/>
          <w:sz w:val="24"/>
          <w:szCs w:val="24"/>
          <w:highlight w:val="none"/>
        </w:rPr>
        <w:t>供应商。</w:t>
      </w:r>
    </w:p>
    <w:p>
      <w:pPr>
        <w:pStyle w:val="8"/>
        <w:spacing w:line="360" w:lineRule="auto"/>
        <w:ind w:firstLine="480" w:firstLineChars="200"/>
        <w:outlineLvl w:val="1"/>
        <w:rPr>
          <w:rFonts w:hint="eastAsia" w:ascii="宋体" w:hAnsi="宋体" w:eastAsia="宋体" w:cs="宋体"/>
          <w:sz w:val="24"/>
          <w:szCs w:val="24"/>
          <w:highlight w:val="none"/>
        </w:rPr>
      </w:pPr>
      <w:bookmarkStart w:id="182" w:name="_Toc243907620"/>
      <w:bookmarkStart w:id="183" w:name="_Toc243906357"/>
      <w:bookmarkStart w:id="184" w:name="_Toc233274855"/>
      <w:bookmarkStart w:id="185" w:name="_Toc245897317"/>
      <w:r>
        <w:rPr>
          <w:rFonts w:hint="eastAsia" w:ascii="宋体" w:hAnsi="宋体" w:eastAsia="宋体" w:cs="宋体"/>
          <w:sz w:val="24"/>
          <w:szCs w:val="24"/>
          <w:highlight w:val="none"/>
        </w:rPr>
        <w:t>40、签订合同</w:t>
      </w:r>
      <w:bookmarkEnd w:id="182"/>
      <w:bookmarkEnd w:id="183"/>
      <w:bookmarkEnd w:id="184"/>
      <w:bookmarkEnd w:id="185"/>
    </w:p>
    <w:p>
      <w:pPr>
        <w:pStyle w:val="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40.1中标供应商应当自中标通知书发出之日起三十日内，按照招标文件和中标供应商的投标文件订立书面合同。中标供应商不得要求订立背离本投标文件合同条款等投标文件实质性内容的其他协议。</w:t>
      </w:r>
    </w:p>
    <w:p>
      <w:pPr>
        <w:pStyle w:val="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40.2 中标通知书、中标供应商的投标文件及其技术规范及标准、项目采购需求、本招标文件（含修改文件或补充文件）及答疑纪要等，均为签订合同的依据。</w:t>
      </w:r>
    </w:p>
    <w:p>
      <w:pPr>
        <w:pStyle w:val="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40.3采购人如不按本须知40.1条规定与中标供应商签订合同，或者采购人、中标供应商签订背离合同实质性内容的协议，由监督管理部门责令其改正。</w:t>
      </w:r>
    </w:p>
    <w:p>
      <w:pPr>
        <w:pStyle w:val="8"/>
        <w:tabs>
          <w:tab w:val="left" w:pos="777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40.4中标供应商如不按本须知40.1条规定与采购人签订合同，则按违约处理，采购人将有权取消中标供应商资格，不予退还其投标保证金，给采购人造成损失超过投标保证金数额的，还应当予以赔偿，同时依法承担相应的法律责任。</w:t>
      </w:r>
    </w:p>
    <w:p>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40.5中标供应商因不可抗力或者自身原因不能履行政府采购合同的，采购人可以按照评审报告推荐的中标候选人名单排序，确定下一候选人为中标供应商，也可以重新开展政府采购活动。</w:t>
      </w:r>
    </w:p>
    <w:p>
      <w:pPr>
        <w:spacing w:line="360" w:lineRule="auto"/>
        <w:ind w:firstLine="480" w:firstLineChars="200"/>
        <w:outlineLvl w:val="1"/>
        <w:rPr>
          <w:rFonts w:hint="eastAsia" w:ascii="宋体" w:hAnsi="宋体" w:eastAsia="宋体" w:cs="宋体"/>
          <w:sz w:val="24"/>
          <w:highlight w:val="none"/>
        </w:rPr>
      </w:pPr>
      <w:bookmarkStart w:id="186" w:name="_Toc245897318"/>
      <w:bookmarkStart w:id="187" w:name="_Toc243907621"/>
      <w:r>
        <w:rPr>
          <w:rFonts w:hint="eastAsia" w:ascii="宋体" w:hAnsi="宋体" w:eastAsia="宋体" w:cs="宋体"/>
          <w:sz w:val="24"/>
          <w:highlight w:val="none"/>
        </w:rPr>
        <w:t>41、合同的签订准则</w:t>
      </w:r>
      <w:bookmarkEnd w:id="186"/>
      <w:bookmarkEnd w:id="187"/>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41.1合同签订必须由采购人、中标供应商双方法定代表人或其委托代理人签署并加盖法人公章后方能生效。</w:t>
      </w:r>
    </w:p>
    <w:p>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41.2合同转包（实质性要求）</w:t>
      </w:r>
    </w:p>
    <w:p>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本采购项目严禁中标供应商将任何政府采购合同义务转包。本项目所称转包，是指中标供应商将政府采购合同义务转让给第三人，并退出现有政府采购合同当事人双方的权利义务关系，受让人（即第三人）成为政府采购合同的另一方当事人的行为。</w:t>
      </w:r>
    </w:p>
    <w:p>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中标供应商转包的，视同拒绝履行政府采购合同义务，将依法追究法律责任。</w:t>
      </w:r>
    </w:p>
    <w:p>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42、验收</w:t>
      </w:r>
    </w:p>
    <w:p>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42.1本项目采购人将严格按照政府采购相关法律法规以及《克拉玛依市政府采购项目需求论证和履约验收管理办法》（克财发〔2016〕9号）的要求进行验收。</w:t>
      </w:r>
    </w:p>
    <w:p>
      <w:pPr>
        <w:snapToGrid w:val="0"/>
        <w:spacing w:line="360" w:lineRule="auto"/>
        <w:ind w:firstLine="562" w:firstLineChars="200"/>
        <w:jc w:val="center"/>
        <w:rPr>
          <w:rFonts w:hint="eastAsia" w:ascii="宋体" w:hAnsi="宋体" w:eastAsia="宋体" w:cs="宋体"/>
          <w:sz w:val="24"/>
          <w:highlight w:val="none"/>
        </w:rPr>
      </w:pPr>
      <w:r>
        <w:rPr>
          <w:rFonts w:hint="eastAsia" w:ascii="宋体" w:hAnsi="宋体" w:eastAsia="宋体" w:cs="宋体"/>
          <w:b/>
          <w:bCs/>
          <w:kern w:val="0"/>
          <w:sz w:val="28"/>
          <w:szCs w:val="28"/>
          <w:highlight w:val="none"/>
        </w:rPr>
        <w:t>七、询问、质疑、投诉</w:t>
      </w:r>
    </w:p>
    <w:p>
      <w:pPr>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43、询问</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43.1投标人对采购活动事项有疑问的，可以向采购人或采购代理机构提出询问，采购人或采购代理机构应当在三个工作日内对投标人依法提出的询问作出答复，但答复的内容不得涉及商业秘密。</w:t>
      </w:r>
    </w:p>
    <w:p>
      <w:pPr>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44、质疑</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44.1 投标人认为招标文件、采购过程和中标结果使自己的合法权益受到损害的，可以在知道或者应知其权益受到损害之日起七个工作日内，将质疑文件原件和必要的证明材料送达采购代理机构。</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44.2上述应知其权益受到损害之日是指：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（1）对招标文件提出质疑的，为招标文件公告期限届满之日起计算；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（2）对采购过程提出质疑的，自采购程序环节结束之日起计算；</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（3）对中标结果提出质疑的，自中标或者中标结果公告期限届满之日起计算。</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44.3质疑投标人在法定质疑期内应当一次性提出针对同一采购环节提出质疑。</w:t>
      </w:r>
    </w:p>
    <w:p>
      <w:pPr>
        <w:pStyle w:val="24"/>
        <w:spacing w:line="360" w:lineRule="auto"/>
        <w:ind w:left="1"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44.4质疑文件应包括以下主要内容，并按照“谁主张、谁举证”的原则，附上相关证明材料。否则，招标代理机构不予受理【财政部发布了《政府采购投标人质疑函范本》和《政府采购投标人投诉书范本》，两范本指投标人提出质疑、投诉人提起投诉时，应提交的质疑函、投诉书和必要的证明材料（下载路径：中国政府采购网→下载专区）】：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（1）投标人的姓名或者名称、地址、邮编、联系人及联系电话（包括座机、手机、传真号码等）；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（2）质疑项目的名称、招标文件编号、包号、招标公告发布时间、递交投标文件或投标文件截止时间；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（3）具体、明确的质疑事项和与质疑事项相关的请求；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（5）必要的法律依据；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（6）提起质疑的日期；</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（8）投标人委托代理质疑的，应当提交授权委托书，并载明代理人的姓名或者名称、代理事项、具体权限、期限和相关事项。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44.5质疑投标人是指直接参加本项目采购活动的投标人，未参加政府采购活动的投标人或在采购活动中自身权益未受到损害的投标人所提出的质疑不予受理。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44.6采购人、招标代理机构在收到投标人的书面质疑后将及时组织调查核实，在七个工作日内作出答复，并以书面形式通知质疑投标人和其他有关投标人，答复的内容不涉及商业秘密。</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45、投诉</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45.1 质疑投标人对采购人、招标代理机构的答复不满意，或采购人、招标代理机构未在规定的时间内作出答复的，可以在答复期满后十五个工作日内向采购项目同级财政部门提起投诉。</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45.2投标人投诉的事项不得超出已质疑事项的范围，但基于质疑答复内容提出的投诉事项除外。</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46、诚实信用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46.1投标人不得虚假质疑和恶意质疑，并对质疑内容的真实性承担责任。如果投标人或者其他利害关系人通过捏造事实、伪造证明材料等方式提出质疑，干扰政府采购活动正常进行的，属于严重不良行为，采购人、招标代理机构将提请财政部门将其列入不良行为记录名单，并依法予以处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46.2 投标人不得虚假承诺，否则，按照提供虚假材料谋取中标处理。</w:t>
      </w:r>
    </w:p>
    <w:p>
      <w:pPr>
        <w:snapToGrid w:val="0"/>
        <w:spacing w:line="360" w:lineRule="auto"/>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八、义务、工作纪律</w:t>
      </w:r>
    </w:p>
    <w:p>
      <w:pPr>
        <w:tabs>
          <w:tab w:val="left" w:pos="766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47、采购人或者招标代理机构负责组织评标工作，并履行下列职责：</w:t>
      </w:r>
    </w:p>
    <w:p>
      <w:pPr>
        <w:tabs>
          <w:tab w:val="left" w:pos="766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47.1核对评审专家身份和采购人代表授权函，对评审专家在政府采购活动中的职责履行情况予以记录，并及时将有关违法违规行为向财政部门报告；</w:t>
      </w:r>
    </w:p>
    <w:p>
      <w:pPr>
        <w:tabs>
          <w:tab w:val="left" w:pos="766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47.2宣布评标纪律；</w:t>
      </w:r>
    </w:p>
    <w:p>
      <w:pPr>
        <w:tabs>
          <w:tab w:val="left" w:pos="7665"/>
        </w:tabs>
        <w:spacing w:line="360" w:lineRule="auto"/>
        <w:ind w:firstLine="240" w:firstLineChars="100"/>
        <w:rPr>
          <w:rFonts w:hint="eastAsia" w:ascii="宋体" w:hAnsi="宋体" w:eastAsia="宋体" w:cs="宋体"/>
          <w:bCs/>
          <w:sz w:val="24"/>
          <w:highlight w:val="none"/>
        </w:rPr>
      </w:pPr>
      <w:r>
        <w:rPr>
          <w:rFonts w:hint="eastAsia" w:ascii="宋体" w:hAnsi="宋体" w:eastAsia="宋体" w:cs="宋体"/>
          <w:bCs/>
          <w:sz w:val="24"/>
          <w:highlight w:val="none"/>
        </w:rPr>
        <w:t xml:space="preserve">  47.3公布投标人名单，告知评审专家应当回避的情形；</w:t>
      </w:r>
    </w:p>
    <w:p>
      <w:pPr>
        <w:tabs>
          <w:tab w:val="left" w:pos="7665"/>
        </w:tabs>
        <w:spacing w:line="360" w:lineRule="auto"/>
        <w:ind w:firstLine="240" w:firstLineChars="100"/>
        <w:rPr>
          <w:rFonts w:hint="eastAsia" w:ascii="宋体" w:hAnsi="宋体" w:eastAsia="宋体" w:cs="宋体"/>
          <w:bCs/>
          <w:sz w:val="24"/>
          <w:highlight w:val="none"/>
        </w:rPr>
      </w:pPr>
      <w:r>
        <w:rPr>
          <w:rFonts w:hint="eastAsia" w:ascii="宋体" w:hAnsi="宋体" w:eastAsia="宋体" w:cs="宋体"/>
          <w:bCs/>
          <w:sz w:val="24"/>
          <w:highlight w:val="none"/>
        </w:rPr>
        <w:t xml:space="preserve">  47.4组织评标委员会推选评标组长，采购人代表不得担任组长；</w:t>
      </w:r>
    </w:p>
    <w:p>
      <w:pPr>
        <w:tabs>
          <w:tab w:val="left" w:pos="7665"/>
        </w:tabs>
        <w:spacing w:line="360" w:lineRule="auto"/>
        <w:ind w:firstLine="240" w:firstLineChars="100"/>
        <w:rPr>
          <w:rFonts w:hint="eastAsia" w:ascii="宋体" w:hAnsi="宋体" w:eastAsia="宋体" w:cs="宋体"/>
          <w:bCs/>
          <w:sz w:val="24"/>
          <w:highlight w:val="none"/>
        </w:rPr>
      </w:pPr>
      <w:r>
        <w:rPr>
          <w:rFonts w:hint="eastAsia" w:ascii="宋体" w:hAnsi="宋体" w:eastAsia="宋体" w:cs="宋体"/>
          <w:bCs/>
          <w:sz w:val="24"/>
          <w:highlight w:val="none"/>
        </w:rPr>
        <w:t xml:space="preserve">  47.5在评标期间采取必要的通讯管理措施，保证评标活动不受外界干扰；</w:t>
      </w:r>
    </w:p>
    <w:p>
      <w:pPr>
        <w:tabs>
          <w:tab w:val="left" w:pos="7665"/>
        </w:tabs>
        <w:spacing w:line="360" w:lineRule="auto"/>
        <w:ind w:firstLine="240" w:firstLineChars="100"/>
        <w:rPr>
          <w:rFonts w:hint="eastAsia" w:ascii="宋体" w:hAnsi="宋体" w:eastAsia="宋体" w:cs="宋体"/>
          <w:bCs/>
          <w:sz w:val="24"/>
          <w:highlight w:val="none"/>
        </w:rPr>
      </w:pPr>
      <w:r>
        <w:rPr>
          <w:rFonts w:hint="eastAsia" w:ascii="宋体" w:hAnsi="宋体" w:eastAsia="宋体" w:cs="宋体"/>
          <w:bCs/>
          <w:sz w:val="24"/>
          <w:highlight w:val="none"/>
        </w:rPr>
        <w:t xml:space="preserve">  47.6根据评标委员会的要求介绍政府采购相关政策法规、招标文件；</w:t>
      </w:r>
    </w:p>
    <w:p>
      <w:pPr>
        <w:tabs>
          <w:tab w:val="left" w:pos="7665"/>
        </w:tabs>
        <w:spacing w:line="360" w:lineRule="auto"/>
        <w:ind w:firstLine="240" w:firstLineChars="100"/>
        <w:rPr>
          <w:rFonts w:hint="eastAsia" w:ascii="宋体" w:hAnsi="宋体" w:eastAsia="宋体" w:cs="宋体"/>
          <w:bCs/>
          <w:sz w:val="24"/>
          <w:highlight w:val="none"/>
        </w:rPr>
      </w:pPr>
      <w:r>
        <w:rPr>
          <w:rFonts w:hint="eastAsia" w:ascii="宋体" w:hAnsi="宋体" w:eastAsia="宋体" w:cs="宋体"/>
          <w:bCs/>
          <w:sz w:val="24"/>
          <w:highlight w:val="none"/>
        </w:rPr>
        <w:t xml:space="preserve">  47.7维护评标秩序，监督评标委员会依照招标文件规定的评标程序、方法和标准进行独立评审，及时制止和纠正采购人代表、评审专家的倾向性言论或者违法违规行为；</w:t>
      </w:r>
    </w:p>
    <w:p>
      <w:pPr>
        <w:tabs>
          <w:tab w:val="left" w:pos="766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47.8核对评标结果，有本办法第六十四条规定情形的，要求评标委员会复核或者书面说明理由，评标委员会拒绝的，应予记录并向本级财政部门报告；</w:t>
      </w:r>
    </w:p>
    <w:p>
      <w:pPr>
        <w:tabs>
          <w:tab w:val="left" w:pos="7665"/>
        </w:tabs>
        <w:spacing w:line="360" w:lineRule="auto"/>
        <w:ind w:firstLine="240" w:firstLineChars="100"/>
        <w:rPr>
          <w:rFonts w:hint="eastAsia" w:ascii="宋体" w:hAnsi="宋体" w:eastAsia="宋体" w:cs="宋体"/>
          <w:bCs/>
          <w:sz w:val="24"/>
          <w:highlight w:val="none"/>
        </w:rPr>
      </w:pPr>
      <w:r>
        <w:rPr>
          <w:rFonts w:hint="eastAsia" w:ascii="宋体" w:hAnsi="宋体" w:eastAsia="宋体" w:cs="宋体"/>
          <w:bCs/>
          <w:sz w:val="24"/>
          <w:highlight w:val="none"/>
        </w:rPr>
        <w:t xml:space="preserve">  47.9评审工作完成后，按照规定向评审专家支付劳务报酬和异地评审差旅费，不得向评审专家以外的其他人员支付评审劳务报酬；</w:t>
      </w:r>
    </w:p>
    <w:p>
      <w:pPr>
        <w:tabs>
          <w:tab w:val="left" w:pos="7665"/>
        </w:tabs>
        <w:spacing w:line="360" w:lineRule="auto"/>
        <w:ind w:firstLine="240" w:firstLineChars="100"/>
        <w:rPr>
          <w:rFonts w:hint="eastAsia" w:ascii="宋体" w:hAnsi="宋体" w:eastAsia="宋体" w:cs="宋体"/>
          <w:bCs/>
          <w:sz w:val="24"/>
          <w:highlight w:val="none"/>
        </w:rPr>
      </w:pPr>
      <w:r>
        <w:rPr>
          <w:rFonts w:hint="eastAsia" w:ascii="宋体" w:hAnsi="宋体" w:eastAsia="宋体" w:cs="宋体"/>
          <w:bCs/>
          <w:sz w:val="24"/>
          <w:highlight w:val="none"/>
        </w:rPr>
        <w:t xml:space="preserve">  47.10处理与评标有关的其他事项。</w:t>
      </w:r>
    </w:p>
    <w:p>
      <w:pPr>
        <w:tabs>
          <w:tab w:val="left" w:pos="766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采购人可以在评标前说明项目背景和采购需求，说明内容不得含有歧视性、倾向性意见，不得超出招标文件所述范围。说明应当提交书面材料，并随招标文件一并存档。</w:t>
      </w:r>
    </w:p>
    <w:p>
      <w:pPr>
        <w:tabs>
          <w:tab w:val="left" w:pos="766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48、评标委员会在政府采购活动中应当遵守以下工作纪律：</w:t>
      </w:r>
    </w:p>
    <w:p>
      <w:pPr>
        <w:tabs>
          <w:tab w:val="left" w:pos="766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48.1不得参加与自己有《中华人民共和国政府采购法实施条例》第九条规定的利害关系的政府采购项目的评标活动。发现参加了与自己有利害关系的评审活动，须主动提出回避，退出评审；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48.2评审前，应当将通讯工具或者相关电子设备交由招标代理机构统一保管；</w:t>
      </w:r>
    </w:p>
    <w:p>
      <w:pPr>
        <w:tabs>
          <w:tab w:val="left" w:pos="766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48.3评审过程中，不得与外界联系，因发生不可预见情况，确实需要与外界联系的，应当在监督人员监督之下办理；</w:t>
      </w:r>
    </w:p>
    <w:p>
      <w:pPr>
        <w:tabs>
          <w:tab w:val="left" w:pos="766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48.4评审过程中，不得发表影响评审公正的倾向性、歧视性言论，不得征询或者接受采购人的倾向性意见，不得明示或暗示投标人在澄清时表达与其响应文件原义不同的意见，不得以招标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48.5在评审过程中和评审结束后，不得记录、复制或带走任何评审资料，不得向外界透露评审内容；</w:t>
      </w:r>
    </w:p>
    <w:p>
      <w:pPr>
        <w:tabs>
          <w:tab w:val="left" w:pos="766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48.6评审现场服从招标代理机构工作人员的管理，接受现场监督人员的合法监督；</w:t>
      </w:r>
    </w:p>
    <w:p>
      <w:pPr>
        <w:tabs>
          <w:tab w:val="left" w:pos="766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48.7遵守有关廉洁自律规定，不得私下接触投标人，不得收受投标人及有关业务单位和个人的财物或好处，不得接受招标代理机构的请托。</w:t>
      </w:r>
    </w:p>
    <w:p>
      <w:pPr>
        <w:tabs>
          <w:tab w:val="left" w:pos="766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49、评标委员会负责具体评标事务，并独立履行下列职责：</w:t>
      </w:r>
    </w:p>
    <w:p>
      <w:pPr>
        <w:tabs>
          <w:tab w:val="left" w:pos="766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49.1审查、评价投标文件是否符合招标文件的商务、技术等实质性要求；</w:t>
      </w:r>
    </w:p>
    <w:p>
      <w:pPr>
        <w:tabs>
          <w:tab w:val="left" w:pos="766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49.2要求投标人对投标文件有关事项作出澄清或者说明；</w:t>
      </w:r>
    </w:p>
    <w:p>
      <w:pPr>
        <w:tabs>
          <w:tab w:val="left" w:pos="766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49.3对投标文件进行比较和评价；</w:t>
      </w:r>
    </w:p>
    <w:p>
      <w:pPr>
        <w:tabs>
          <w:tab w:val="left" w:pos="766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49.4确定中标供应商名单，以及根据采购人委托直接确定中标供应商；</w:t>
      </w:r>
    </w:p>
    <w:p>
      <w:pPr>
        <w:tabs>
          <w:tab w:val="left" w:pos="766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49.5向采购人、招标代理机构或者有关部门报告评标中发现的违法行为。</w:t>
      </w:r>
    </w:p>
    <w:p>
      <w:pPr>
        <w:tabs>
          <w:tab w:val="left" w:pos="7665"/>
        </w:tabs>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50、采购代理服务费</w:t>
      </w:r>
    </w:p>
    <w:p>
      <w:pPr>
        <w:pStyle w:val="8"/>
        <w:adjustRightInd w:val="0"/>
        <w:snapToGrid w:val="0"/>
        <w:spacing w:line="360" w:lineRule="auto"/>
        <w:jc w:val="left"/>
        <w:rPr>
          <w:rFonts w:hint="eastAsia" w:ascii="宋体" w:hAnsi="宋体" w:eastAsia="宋体" w:cs="宋体"/>
          <w:b/>
          <w:sz w:val="28"/>
          <w:szCs w:val="28"/>
          <w:highlight w:val="none"/>
        </w:rPr>
      </w:pPr>
      <w:r>
        <w:rPr>
          <w:rFonts w:hint="eastAsia" w:ascii="宋体" w:hAnsi="宋体" w:eastAsia="宋体" w:cs="宋体"/>
          <w:b/>
          <w:sz w:val="24"/>
          <w:szCs w:val="24"/>
          <w:highlight w:val="none"/>
        </w:rPr>
        <w:t>50.1</w:t>
      </w:r>
      <w:r>
        <w:rPr>
          <w:rFonts w:hint="eastAsia" w:ascii="宋体" w:hAnsi="宋体" w:eastAsia="宋体" w:cs="宋体"/>
          <w:b/>
          <w:bCs/>
          <w:sz w:val="24"/>
          <w:szCs w:val="24"/>
          <w:highlight w:val="none"/>
          <w:lang w:val="en-US" w:eastAsia="zh-CN"/>
        </w:rPr>
        <w:t>经与采购人协商，本项目采购代理服务费由中标供应商在领取中标通知书同时向采购代理机构支付。</w:t>
      </w:r>
      <w:r>
        <w:rPr>
          <w:rFonts w:hint="eastAsia" w:hAnsi="宋体" w:cs="宋体"/>
          <w:b/>
          <w:bCs/>
          <w:sz w:val="24"/>
          <w:szCs w:val="24"/>
          <w:highlight w:val="none"/>
          <w:lang w:val="en-US" w:eastAsia="zh-CN"/>
        </w:rPr>
        <w:t>代理费金额为中标金额的0.3%</w:t>
      </w:r>
    </w:p>
    <w:p>
      <w:pPr>
        <w:pStyle w:val="8"/>
        <w:adjustRightInd w:val="0"/>
        <w:snapToGrid w:val="0"/>
        <w:spacing w:line="360" w:lineRule="auto"/>
        <w:jc w:val="center"/>
        <w:rPr>
          <w:rFonts w:hint="eastAsia" w:ascii="宋体" w:hAnsi="宋体" w:eastAsia="宋体" w:cs="宋体"/>
          <w:b/>
          <w:sz w:val="28"/>
          <w:szCs w:val="28"/>
          <w:highlight w:val="none"/>
        </w:rPr>
      </w:pPr>
    </w:p>
    <w:p>
      <w:pPr>
        <w:pStyle w:val="8"/>
        <w:adjustRightInd w:val="0"/>
        <w:snapToGrid w:val="0"/>
        <w:spacing w:line="360" w:lineRule="auto"/>
        <w:jc w:val="center"/>
        <w:rPr>
          <w:rFonts w:hint="eastAsia" w:ascii="宋体" w:hAnsi="宋体" w:eastAsia="宋体" w:cs="宋体"/>
          <w:b/>
          <w:sz w:val="28"/>
          <w:szCs w:val="28"/>
          <w:highlight w:val="none"/>
        </w:rPr>
      </w:pPr>
    </w:p>
    <w:p>
      <w:pPr>
        <w:pStyle w:val="8"/>
        <w:adjustRightInd w:val="0"/>
        <w:snapToGrid w:val="0"/>
        <w:spacing w:line="360" w:lineRule="auto"/>
        <w:jc w:val="center"/>
        <w:rPr>
          <w:rFonts w:hint="eastAsia" w:ascii="宋体" w:hAnsi="宋体" w:eastAsia="宋体" w:cs="宋体"/>
          <w:b/>
          <w:sz w:val="28"/>
          <w:szCs w:val="28"/>
          <w:highlight w:val="none"/>
        </w:rPr>
      </w:pPr>
    </w:p>
    <w:p>
      <w:pPr>
        <w:pStyle w:val="8"/>
        <w:adjustRightInd w:val="0"/>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第三章  项目采购需求</w:t>
      </w:r>
    </w:p>
    <w:p>
      <w:pPr>
        <w:spacing w:line="360" w:lineRule="auto"/>
        <w:ind w:firstLine="482" w:firstLineChars="200"/>
        <w:rPr>
          <w:rFonts w:hint="eastAsia" w:ascii="宋体" w:hAnsi="宋体" w:eastAsia="宋体" w:cs="宋体"/>
          <w:b/>
          <w:bCs/>
          <w:sz w:val="24"/>
          <w:highlight w:val="none"/>
        </w:rPr>
      </w:pPr>
      <w:bookmarkStart w:id="188" w:name="_Toc490672253"/>
      <w:r>
        <w:rPr>
          <w:rFonts w:hint="eastAsia" w:ascii="宋体" w:hAnsi="宋体" w:eastAsia="宋体" w:cs="宋体"/>
          <w:b/>
          <w:bCs/>
          <w:sz w:val="24"/>
          <w:highlight w:val="none"/>
        </w:rPr>
        <w:t>1、总则</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1.1本章条款仅限于</w:t>
      </w:r>
      <w:r>
        <w:rPr>
          <w:rFonts w:hint="eastAsia" w:ascii="宋体" w:hAnsi="宋体" w:eastAsia="宋体" w:cs="宋体"/>
          <w:sz w:val="24"/>
          <w:highlight w:val="none"/>
          <w:lang w:eastAsia="zh-CN"/>
        </w:rPr>
        <w:t>克拉玛依市中心医院碘[125I]密封籽源项目</w:t>
      </w:r>
      <w:r>
        <w:rPr>
          <w:rFonts w:hint="eastAsia" w:ascii="宋体" w:hAnsi="宋体" w:eastAsia="宋体" w:cs="宋体"/>
          <w:sz w:val="24"/>
          <w:highlight w:val="none"/>
        </w:rPr>
        <w:t>的采购。</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本章条款提出的是最低限度的技术要求，并未对一切技术细节做出规定，也未引述有关规范条文，投标人不得以本文件未提出要求为理由而规避国家和行业强制规范、标准的规定，投标人应保证提供符合本章条款和相关标准的服务。</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1.3如果投标人没有以书面形式对本章条款提出异议，采购人就可以认为投标人提供的成果符合本章条款的要求。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1.4投标人在投标文件中，应对招标文件中的服务进行详细的说明。</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1.5在签订合同之后，采购人有权提出因规范标准有变化而产生的一些补充要求。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1.6本章条款使用标准如与投标人所执行标准发生矛盾时，按较高标准执行。</w:t>
      </w:r>
    </w:p>
    <w:p>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2、执行的规范和标准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本项目必须遵循国家规范和标准并应按最新版本执行，若标准、规范出现矛盾时，以最新、最高标准规范执行。</w:t>
      </w:r>
    </w:p>
    <w:p>
      <w:pPr>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3、项目基本情况和采购标的需实现的功能或目标</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碘[125I]密封籽源的表观活度从0.3mCi到1.0mCi，主要发射27.4和31.4Kev的X射线和35.5Kev的γ射线。它长期、间歇地作用于无法切除、未浸润、生长速率慢、对低、中度放射线敏感的肿瘤，通过射线杀伤肿瘤细胞。既适用于像前列腺癌或不可手术的肿瘤的治疗，也可以用于原发肿瘤切除后残余病灶的植入治疗，例如表皮、腹腔和胸腔肿瘤治疗，通常还可以治疗头部、颈部、肺、胰腺和前列腺（中期）的肿瘤治疗。本品也适用于经放射线外照射治疗残留的肿瘤以及复发的肿瘤。</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碘[125I]密封籽源可以通过18号注射针（或使用配有18号或更大规格注射针的植入器）经皮植入或手术中放置于肿瘤达到治疗的目的。治疗剂量取决于肿瘤体积、肿瘤位置以及接受放射治疗的历史。实际操作时其植入量应建立在植入的总活度计算、组织内植入的确切部位和放射剂量的分布评价的基础上。每个籽源的剂量分配并非相同，这种差别应该在计算用量时加以考虑，同时应考虑碘-125的半衰期（59.43天）。</w:t>
      </w:r>
    </w:p>
    <w:bookmarkEnd w:id="188"/>
    <w:p>
      <w:pPr>
        <w:numPr>
          <w:ilvl w:val="0"/>
          <w:numId w:val="0"/>
        </w:numPr>
        <w:spacing w:line="360" w:lineRule="auto"/>
        <w:ind w:left="630" w:leftChars="0"/>
        <w:jc w:val="lef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4、</w:t>
      </w:r>
      <w:r>
        <w:rPr>
          <w:rFonts w:hint="eastAsia" w:ascii="宋体" w:hAnsi="宋体" w:eastAsia="宋体" w:cs="宋体"/>
          <w:b/>
          <w:bCs/>
          <w:sz w:val="24"/>
          <w:highlight w:val="none"/>
        </w:rPr>
        <w:t>采购需求</w:t>
      </w:r>
    </w:p>
    <w:tbl>
      <w:tblPr>
        <w:tblStyle w:val="17"/>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510"/>
        <w:gridCol w:w="709"/>
        <w:gridCol w:w="1275"/>
        <w:gridCol w:w="1431"/>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43" w:type="dxa"/>
            <w:vAlign w:val="center"/>
          </w:tcPr>
          <w:p>
            <w:pPr>
              <w:overflowPunct w:val="0"/>
              <w:spacing w:line="500" w:lineRule="exact"/>
              <w:jc w:val="center"/>
              <w:rPr>
                <w:rFonts w:hint="eastAsia" w:ascii="宋体" w:hAnsi="宋体" w:eastAsia="宋体" w:cs="宋体"/>
                <w:b/>
                <w:highlight w:val="none"/>
              </w:rPr>
            </w:pPr>
            <w:r>
              <w:rPr>
                <w:rFonts w:hint="eastAsia" w:ascii="宋体" w:hAnsi="宋体" w:eastAsia="宋体" w:cs="宋体"/>
                <w:b/>
                <w:highlight w:val="none"/>
              </w:rPr>
              <w:t>序号</w:t>
            </w:r>
          </w:p>
        </w:tc>
        <w:tc>
          <w:tcPr>
            <w:tcW w:w="2510" w:type="dxa"/>
            <w:vAlign w:val="center"/>
          </w:tcPr>
          <w:p>
            <w:pPr>
              <w:overflowPunct w:val="0"/>
              <w:spacing w:line="500" w:lineRule="exact"/>
              <w:jc w:val="center"/>
              <w:rPr>
                <w:rFonts w:hint="eastAsia" w:ascii="宋体" w:hAnsi="宋体" w:eastAsia="宋体" w:cs="宋体"/>
                <w:b/>
                <w:highlight w:val="none"/>
              </w:rPr>
            </w:pPr>
            <w:r>
              <w:rPr>
                <w:rFonts w:hint="eastAsia" w:ascii="宋体" w:hAnsi="宋体" w:eastAsia="宋体" w:cs="宋体"/>
                <w:b/>
                <w:highlight w:val="none"/>
              </w:rPr>
              <w:t>设备名称</w:t>
            </w:r>
          </w:p>
        </w:tc>
        <w:tc>
          <w:tcPr>
            <w:tcW w:w="709" w:type="dxa"/>
            <w:vAlign w:val="center"/>
          </w:tcPr>
          <w:p>
            <w:pPr>
              <w:overflowPunct w:val="0"/>
              <w:spacing w:line="500" w:lineRule="exact"/>
              <w:jc w:val="center"/>
              <w:rPr>
                <w:rFonts w:hint="eastAsia" w:ascii="宋体" w:hAnsi="宋体" w:eastAsia="宋体" w:cs="宋体"/>
                <w:b/>
                <w:highlight w:val="none"/>
              </w:rPr>
            </w:pPr>
            <w:r>
              <w:rPr>
                <w:rFonts w:hint="eastAsia" w:ascii="宋体" w:hAnsi="宋体" w:eastAsia="宋体" w:cs="宋体"/>
                <w:b/>
                <w:highlight w:val="none"/>
              </w:rPr>
              <w:t>单位</w:t>
            </w:r>
          </w:p>
        </w:tc>
        <w:tc>
          <w:tcPr>
            <w:tcW w:w="1275" w:type="dxa"/>
            <w:vAlign w:val="center"/>
          </w:tcPr>
          <w:p>
            <w:pPr>
              <w:overflowPunct w:val="0"/>
              <w:spacing w:line="500" w:lineRule="exact"/>
              <w:rPr>
                <w:rFonts w:hint="eastAsia" w:ascii="宋体" w:hAnsi="宋体" w:eastAsia="宋体" w:cs="宋体"/>
                <w:b/>
                <w:highlight w:val="none"/>
              </w:rPr>
            </w:pPr>
            <w:r>
              <w:rPr>
                <w:rFonts w:hint="eastAsia" w:ascii="宋体" w:hAnsi="宋体" w:eastAsia="宋体" w:cs="宋体"/>
                <w:b/>
                <w:highlight w:val="none"/>
              </w:rPr>
              <w:t>数量</w:t>
            </w:r>
          </w:p>
        </w:tc>
        <w:tc>
          <w:tcPr>
            <w:tcW w:w="1431" w:type="dxa"/>
            <w:vAlign w:val="center"/>
          </w:tcPr>
          <w:p>
            <w:pPr>
              <w:overflowPunct w:val="0"/>
              <w:spacing w:line="500" w:lineRule="exact"/>
              <w:jc w:val="center"/>
              <w:rPr>
                <w:rFonts w:hint="eastAsia" w:ascii="宋体" w:hAnsi="宋体" w:eastAsia="宋体" w:cs="宋体"/>
                <w:b/>
                <w:highlight w:val="none"/>
              </w:rPr>
            </w:pPr>
            <w:r>
              <w:rPr>
                <w:rFonts w:hint="eastAsia" w:ascii="宋体" w:hAnsi="宋体" w:eastAsia="宋体" w:cs="宋体"/>
                <w:b/>
                <w:highlight w:val="none"/>
              </w:rPr>
              <w:t>预算（元）</w:t>
            </w:r>
          </w:p>
        </w:tc>
        <w:tc>
          <w:tcPr>
            <w:tcW w:w="2106" w:type="dxa"/>
            <w:vAlign w:val="center"/>
          </w:tcPr>
          <w:p>
            <w:pPr>
              <w:overflowPunct w:val="0"/>
              <w:spacing w:line="500" w:lineRule="exact"/>
              <w:jc w:val="center"/>
              <w:rPr>
                <w:rFonts w:hint="eastAsia" w:ascii="宋体" w:hAnsi="宋体" w:eastAsia="宋体" w:cs="宋体"/>
                <w:b/>
                <w:highlight w:val="none"/>
              </w:rPr>
            </w:pPr>
            <w:r>
              <w:rPr>
                <w:rFonts w:hint="eastAsia" w:ascii="宋体" w:hAnsi="宋体" w:eastAsia="宋体" w:cs="宋体"/>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43" w:type="dxa"/>
            <w:vAlign w:val="center"/>
          </w:tcPr>
          <w:p>
            <w:pPr>
              <w:spacing w:line="360" w:lineRule="auto"/>
              <w:ind w:firstLine="480" w:firstLineChars="20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510"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碘[125I]密封籽源</w:t>
            </w:r>
          </w:p>
        </w:tc>
        <w:tc>
          <w:tcPr>
            <w:tcW w:w="70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粒</w:t>
            </w:r>
          </w:p>
        </w:tc>
        <w:tc>
          <w:tcPr>
            <w:tcW w:w="1275"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4000粒</w:t>
            </w:r>
          </w:p>
        </w:tc>
        <w:tc>
          <w:tcPr>
            <w:tcW w:w="143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1500000</w:t>
            </w:r>
          </w:p>
        </w:tc>
        <w:tc>
          <w:tcPr>
            <w:tcW w:w="2106"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面向中小企业</w:t>
            </w:r>
          </w:p>
        </w:tc>
      </w:tr>
    </w:tbl>
    <w:p>
      <w:pPr>
        <w:numPr>
          <w:ilvl w:val="0"/>
          <w:numId w:val="4"/>
        </w:numPr>
        <w:spacing w:line="360" w:lineRule="auto"/>
        <w:ind w:left="630" w:leftChars="0"/>
        <w:jc w:val="lef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货物技术及服务标准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5.1</w:t>
      </w:r>
      <w:r>
        <w:rPr>
          <w:rFonts w:hint="eastAsia" w:ascii="宋体" w:hAnsi="宋体" w:eastAsia="宋体" w:cs="宋体"/>
          <w:sz w:val="24"/>
          <w:highlight w:val="none"/>
        </w:rPr>
        <w:t>必须满足的技术及服务标准</w:t>
      </w:r>
    </w:p>
    <w:p>
      <w:pPr>
        <w:numPr>
          <w:ilvl w:val="0"/>
          <w:numId w:val="5"/>
        </w:numPr>
        <w:spacing w:line="360" w:lineRule="auto"/>
        <w:ind w:left="479" w:leftChars="228" w:firstLine="0" w:firstLineChars="0"/>
        <w:rPr>
          <w:rFonts w:hint="eastAsia" w:ascii="宋体" w:hAnsi="宋体" w:eastAsia="宋体" w:cs="宋体"/>
          <w:sz w:val="24"/>
          <w:highlight w:val="none"/>
        </w:rPr>
      </w:pPr>
      <w:r>
        <w:rPr>
          <w:rFonts w:hint="eastAsia" w:ascii="宋体" w:hAnsi="宋体" w:eastAsia="宋体" w:cs="宋体"/>
          <w:sz w:val="24"/>
          <w:highlight w:val="none"/>
        </w:rPr>
        <w:t>活度范围：3.7-222MBq(0.1-6.0mCi)。</w:t>
      </w:r>
      <w:r>
        <w:rPr>
          <w:rFonts w:hint="eastAsia" w:ascii="宋体" w:hAnsi="宋体" w:eastAsia="宋体" w:cs="宋体"/>
          <w:sz w:val="24"/>
          <w:highlight w:val="none"/>
        </w:rPr>
        <w:br w:type="textWrapping"/>
      </w:r>
      <w:r>
        <w:rPr>
          <w:rFonts w:hint="eastAsia" w:ascii="宋体" w:hAnsi="宋体" w:eastAsia="宋体" w:cs="宋体"/>
          <w:sz w:val="24"/>
          <w:highlight w:val="none"/>
        </w:rPr>
        <w:t>2、尺寸规格：外径0.8mm 长度4.5mm。</w:t>
      </w:r>
      <w:r>
        <w:rPr>
          <w:rFonts w:hint="eastAsia" w:ascii="宋体" w:hAnsi="宋体" w:eastAsia="宋体" w:cs="宋体"/>
          <w:sz w:val="24"/>
          <w:highlight w:val="none"/>
        </w:rPr>
        <w:br w:type="textWrapping"/>
      </w:r>
      <w:r>
        <w:rPr>
          <w:rFonts w:hint="eastAsia" w:ascii="宋体" w:hAnsi="宋体" w:eastAsia="宋体" w:cs="宋体"/>
          <w:sz w:val="24"/>
          <w:highlight w:val="none"/>
        </w:rPr>
        <w:t>3、外观：外观光滑不漏穿，无毛刺，无变形。</w:t>
      </w:r>
      <w:r>
        <w:rPr>
          <w:rFonts w:hint="eastAsia" w:ascii="宋体" w:hAnsi="宋体" w:eastAsia="宋体" w:cs="宋体"/>
          <w:sz w:val="24"/>
          <w:highlight w:val="none"/>
        </w:rPr>
        <w:br w:type="textWrapping"/>
      </w:r>
      <w:r>
        <w:rPr>
          <w:rFonts w:hint="eastAsia" w:ascii="宋体" w:hAnsi="宋体" w:eastAsia="宋体" w:cs="宋体"/>
          <w:sz w:val="24"/>
          <w:highlight w:val="none"/>
        </w:rPr>
        <w:t>4、碘[125I]纯度：≥99.9%。</w:t>
      </w:r>
      <w:r>
        <w:rPr>
          <w:rFonts w:hint="eastAsia" w:ascii="宋体" w:hAnsi="宋体" w:eastAsia="宋体" w:cs="宋体"/>
          <w:sz w:val="24"/>
          <w:highlight w:val="none"/>
        </w:rPr>
        <w:br w:type="textWrapping"/>
      </w:r>
      <w:r>
        <w:rPr>
          <w:rFonts w:hint="eastAsia" w:ascii="宋体" w:hAnsi="宋体" w:eastAsia="宋体" w:cs="宋体"/>
          <w:sz w:val="24"/>
          <w:highlight w:val="none"/>
        </w:rPr>
        <w:t>5、表观放射性活度：在与标准源标定的相同条件下测定，每粒籽源的等效放射性活度，按标示时间，应为标示活度的95.0%-105.0%。</w:t>
      </w:r>
      <w:r>
        <w:rPr>
          <w:rFonts w:hint="eastAsia" w:ascii="宋体" w:hAnsi="宋体" w:eastAsia="宋体" w:cs="宋体"/>
          <w:sz w:val="24"/>
          <w:highlight w:val="none"/>
        </w:rPr>
        <w:br w:type="textWrapping"/>
      </w:r>
      <w:r>
        <w:rPr>
          <w:rFonts w:hint="eastAsia" w:ascii="宋体" w:hAnsi="宋体" w:eastAsia="宋体" w:cs="宋体"/>
          <w:sz w:val="24"/>
          <w:highlight w:val="none"/>
        </w:rPr>
        <w:t>6、贮藏：置铅容器内，密封保存。铅容器表面辐射水平符合规定。</w:t>
      </w:r>
    </w:p>
    <w:p>
      <w:pPr>
        <w:numPr>
          <w:ilvl w:val="0"/>
          <w:numId w:val="0"/>
        </w:numPr>
        <w:spacing w:line="360" w:lineRule="auto"/>
        <w:ind w:leftChars="228"/>
        <w:rPr>
          <w:rFonts w:hint="eastAsia" w:ascii="宋体" w:hAnsi="宋体" w:eastAsia="宋体" w:cs="宋体"/>
          <w:sz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、由供货商负责按照国家安全相关规定回收处置废弃粒子和包装物等.</w:t>
      </w:r>
      <w:r>
        <w:rPr>
          <w:rFonts w:hint="eastAsia" w:ascii="宋体" w:hAnsi="宋体" w:eastAsia="宋体" w:cs="宋体"/>
          <w:sz w:val="24"/>
          <w:highlight w:val="none"/>
        </w:rPr>
        <w:br w:type="textWrapping"/>
      </w:r>
      <w:r>
        <w:rPr>
          <w:rFonts w:hint="eastAsia" w:ascii="宋体" w:hAnsi="宋体" w:cs="宋体"/>
          <w:sz w:val="24"/>
          <w:highlight w:val="none"/>
          <w:lang w:val="en-US" w:eastAsia="zh-CN"/>
        </w:rPr>
        <w:t>8</w:t>
      </w:r>
      <w:r>
        <w:rPr>
          <w:rFonts w:hint="eastAsia" w:ascii="宋体" w:hAnsi="宋体" w:eastAsia="宋体" w:cs="宋体"/>
          <w:sz w:val="24"/>
          <w:highlight w:val="none"/>
        </w:rPr>
        <w:t>、半衰期：59.40-60.01天。</w:t>
      </w:r>
      <w:r>
        <w:rPr>
          <w:rFonts w:hint="eastAsia" w:ascii="宋体" w:hAnsi="宋体" w:eastAsia="宋体" w:cs="宋体"/>
          <w:sz w:val="24"/>
          <w:highlight w:val="none"/>
        </w:rPr>
        <w:br w:type="textWrapping"/>
      </w:r>
      <w:r>
        <w:rPr>
          <w:rFonts w:hint="eastAsia" w:ascii="宋体" w:hAnsi="宋体" w:cs="宋体"/>
          <w:sz w:val="24"/>
          <w:highlight w:val="none"/>
          <w:lang w:val="en-US" w:eastAsia="zh-CN"/>
        </w:rPr>
        <w:t>9</w:t>
      </w:r>
      <w:r>
        <w:rPr>
          <w:rFonts w:hint="eastAsia" w:ascii="宋体" w:hAnsi="宋体" w:eastAsia="宋体" w:cs="宋体"/>
          <w:sz w:val="24"/>
          <w:highlight w:val="none"/>
        </w:rPr>
        <w:t>、放射性核纯度：其主要光子能量为27.4KeV，31.4KeV和35.5KeV。</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（1）碘[125I]密封籽源，确保籽源的密封完整性，保证籽源没有泄露；（2）籽源常规活度范围：0.3mci-0.8mci；（3）籽源大小：0.8mmx4.5mm。（4）籽源包壳材料：为电子束或激光焊封的高纯钛管。</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（2）供应商成交后必须提供 《放射性同位素转让协议》《废物处理方案》《铅罐保证回收/处理流程》《I125籽源售后服务说明》资料，办理放射性药品转让审批后方能进行供货。如因供应商原因无法办理相关手续，视为无能力履约，中标无效。</w:t>
      </w:r>
    </w:p>
    <w:p>
      <w:pPr>
        <w:spacing w:line="360" w:lineRule="auto"/>
        <w:ind w:firstLine="480" w:firstLineChars="200"/>
        <w:rPr>
          <w:rFonts w:hint="eastAsia" w:ascii="宋体" w:hAnsi="宋体" w:eastAsia="宋体" w:cs="宋体"/>
          <w:sz w:val="24"/>
          <w:highlight w:val="none"/>
        </w:rPr>
      </w:pP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执行标准：中国药典；</w:t>
      </w:r>
    </w:p>
    <w:p>
      <w:pPr>
        <w:spacing w:line="360" w:lineRule="auto"/>
        <w:ind w:left="479" w:leftChars="228" w:firstLine="0" w:firstLineChars="0"/>
        <w:rPr>
          <w:rFonts w:hint="eastAsia" w:ascii="宋体" w:hAnsi="宋体" w:eastAsia="宋体" w:cs="宋体"/>
          <w:sz w:val="24"/>
          <w:highlight w:val="none"/>
        </w:rPr>
      </w:pPr>
      <w:r>
        <w:rPr>
          <w:rFonts w:hint="eastAsia" w:ascii="宋体" w:hAnsi="宋体" w:eastAsia="宋体" w:cs="宋体"/>
          <w:sz w:val="24"/>
          <w:highlight w:val="none"/>
        </w:rPr>
        <w:t>2、一般性技术及服务标准</w:t>
      </w:r>
    </w:p>
    <w:p>
      <w:pPr>
        <w:spacing w:line="360" w:lineRule="auto"/>
        <w:ind w:left="479" w:leftChars="228" w:firstLine="0" w:firstLineChars="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产品质量能够保证，需附供货清单和籽源检测参数，能够满足临床需求；</w:t>
      </w:r>
    </w:p>
    <w:p>
      <w:pPr>
        <w:spacing w:line="360" w:lineRule="auto"/>
        <w:ind w:left="479" w:leftChars="228" w:firstLine="0" w:firstLineChars="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按照临床工作需求，中标人在接到采购需求订单后，及时生产并发货;</w:t>
      </w:r>
    </w:p>
    <w:p>
      <w:pPr>
        <w:spacing w:line="360" w:lineRule="auto"/>
        <w:ind w:left="479" w:leftChars="228" w:firstLine="0" w:firstLineChars="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铅制的防护罐装在泡沫盒内，邮寄费、运输费、包装费、包装回收费均由中标人承担。</w:t>
      </w:r>
    </w:p>
    <w:p>
      <w:pPr>
        <w:spacing w:line="360" w:lineRule="auto"/>
        <w:ind w:left="479" w:leftChars="228" w:firstLine="0" w:firstLineChars="0"/>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籽源标签内容包括：籽源的名称、生产批号、籽源数量、籽源的放射性活度、标定日期和生产单位。</w:t>
      </w:r>
    </w:p>
    <w:p>
      <w:pPr>
        <w:spacing w:line="360" w:lineRule="auto"/>
        <w:ind w:left="479" w:leftChars="228" w:firstLine="0" w:firstLineChars="0"/>
        <w:rPr>
          <w:rFonts w:hint="eastAsia" w:ascii="宋体" w:hAnsi="宋体" w:eastAsia="宋体" w:cs="宋体"/>
          <w:sz w:val="24"/>
          <w:highlight w:val="none"/>
        </w:rPr>
      </w:pPr>
      <w:r>
        <w:rPr>
          <w:rFonts w:hint="eastAsia" w:ascii="宋体" w:hAnsi="宋体" w:eastAsia="宋体" w:cs="宋体"/>
          <w:sz w:val="24"/>
          <w:highlight w:val="none"/>
        </w:rPr>
        <w:t>5、碘[125I]密封籽源生产企业具备甲级生产场所。</w:t>
      </w:r>
      <w:r>
        <w:rPr>
          <w:rFonts w:hint="eastAsia" w:ascii="宋体" w:hAnsi="宋体" w:eastAsia="宋体" w:cs="宋体"/>
          <w:sz w:val="24"/>
          <w:highlight w:val="none"/>
        </w:rPr>
        <w:br w:type="textWrapping"/>
      </w:r>
      <w:r>
        <w:rPr>
          <w:rFonts w:hint="eastAsia" w:ascii="宋体" w:hAnsi="宋体" w:eastAsia="宋体" w:cs="宋体"/>
          <w:sz w:val="24"/>
          <w:highlight w:val="none"/>
        </w:rPr>
        <w:t>6、产品获得国外权威机构认证（提供证明材料）。</w:t>
      </w:r>
      <w:r>
        <w:rPr>
          <w:rFonts w:hint="eastAsia" w:ascii="宋体" w:hAnsi="宋体" w:eastAsia="宋体" w:cs="宋体"/>
          <w:sz w:val="24"/>
          <w:highlight w:val="none"/>
        </w:rPr>
        <w:br w:type="textWrapping"/>
      </w:r>
      <w:r>
        <w:rPr>
          <w:rFonts w:hint="eastAsia" w:ascii="宋体" w:hAnsi="宋体" w:eastAsia="宋体" w:cs="宋体"/>
          <w:sz w:val="24"/>
          <w:highlight w:val="none"/>
        </w:rPr>
        <w:t>7、供应商提供线上电子订单服务，包括线上下单、跟踪、线上签收。</w:t>
      </w:r>
    </w:p>
    <w:p>
      <w:pPr>
        <w:pStyle w:val="6"/>
        <w:spacing w:line="360" w:lineRule="auto"/>
        <w:rPr>
          <w:rFonts w:hint="eastAsia" w:ascii="宋体" w:hAnsi="宋体" w:eastAsia="宋体" w:cs="宋体"/>
          <w:sz w:val="24"/>
          <w:szCs w:val="24"/>
          <w:highlight w:val="none"/>
        </w:rPr>
      </w:pPr>
    </w:p>
    <w:p>
      <w:pPr>
        <w:pStyle w:val="8"/>
        <w:adjustRightInd w:val="0"/>
        <w:snapToGrid w:val="0"/>
        <w:spacing w:line="360" w:lineRule="auto"/>
        <w:jc w:val="center"/>
        <w:rPr>
          <w:rFonts w:hint="eastAsia" w:ascii="宋体" w:hAnsi="宋体" w:eastAsia="宋体" w:cs="宋体"/>
          <w:b/>
          <w:sz w:val="28"/>
          <w:szCs w:val="28"/>
          <w:highlight w:val="none"/>
        </w:rPr>
      </w:pPr>
    </w:p>
    <w:p>
      <w:pPr>
        <w:numPr>
          <w:ilvl w:val="0"/>
          <w:numId w:val="0"/>
        </w:numPr>
        <w:spacing w:line="360" w:lineRule="auto"/>
        <w:ind w:left="630" w:leftChars="0"/>
        <w:jc w:val="lef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6、交货期</w:t>
      </w:r>
    </w:p>
    <w:p>
      <w:pPr>
        <w:numPr>
          <w:ilvl w:val="0"/>
          <w:numId w:val="0"/>
        </w:numPr>
        <w:spacing w:line="360" w:lineRule="auto"/>
        <w:ind w:left="630" w:leftChars="0"/>
        <w:jc w:val="left"/>
        <w:rPr>
          <w:rFonts w:hint="eastAsia" w:ascii="宋体" w:hAnsi="宋体" w:eastAsia="宋体" w:cs="宋体"/>
          <w:sz w:val="24"/>
          <w:highlight w:val="none"/>
        </w:rPr>
      </w:pPr>
      <w:r>
        <w:rPr>
          <w:rFonts w:hint="eastAsia" w:ascii="宋体" w:hAnsi="宋体" w:eastAsia="宋体" w:cs="宋体"/>
          <w:sz w:val="24"/>
          <w:highlight w:val="none"/>
        </w:rPr>
        <w:t>中标人应在采购合同签订后，按照中心医院临床需求分批次按照医院需求数量供货。接到中心医院订货通知后7日内配送之</w:t>
      </w:r>
      <w:r>
        <w:rPr>
          <w:rFonts w:hint="eastAsia" w:ascii="宋体" w:hAnsi="宋体" w:eastAsia="宋体" w:cs="宋体"/>
          <w:sz w:val="24"/>
          <w:szCs w:val="24"/>
          <w:lang w:eastAsia="zh-CN"/>
        </w:rPr>
        <w:t>克拉玛依市</w:t>
      </w:r>
      <w:r>
        <w:rPr>
          <w:rFonts w:ascii="宋体" w:hAnsi="宋体" w:eastAsia="宋体" w:cs="宋体"/>
          <w:sz w:val="24"/>
          <w:szCs w:val="24"/>
        </w:rPr>
        <w:t>中心医院指定地点</w:t>
      </w:r>
      <w:r>
        <w:rPr>
          <w:rFonts w:hint="eastAsia" w:ascii="宋体" w:hAnsi="宋体" w:eastAsia="宋体" w:cs="宋体"/>
          <w:sz w:val="24"/>
          <w:highlight w:val="none"/>
        </w:rPr>
        <w:t>。</w:t>
      </w:r>
    </w:p>
    <w:p>
      <w:pPr>
        <w:numPr>
          <w:ilvl w:val="0"/>
          <w:numId w:val="0"/>
        </w:numPr>
        <w:spacing w:line="360" w:lineRule="auto"/>
        <w:ind w:left="630" w:leftChars="0"/>
        <w:jc w:val="lef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7、交货地点</w:t>
      </w:r>
    </w:p>
    <w:p>
      <w:pPr>
        <w:numPr>
          <w:ilvl w:val="0"/>
          <w:numId w:val="0"/>
        </w:numPr>
        <w:spacing w:line="360" w:lineRule="auto"/>
        <w:ind w:left="630" w:leftChars="0"/>
        <w:jc w:val="left"/>
        <w:rPr>
          <w:rFonts w:ascii="宋体" w:hAnsi="宋体" w:eastAsia="宋体" w:cs="宋体"/>
          <w:sz w:val="24"/>
          <w:szCs w:val="24"/>
        </w:rPr>
      </w:pPr>
      <w:r>
        <w:rPr>
          <w:rFonts w:hint="eastAsia" w:ascii="宋体" w:hAnsi="宋体" w:eastAsia="宋体" w:cs="宋体"/>
          <w:sz w:val="24"/>
          <w:szCs w:val="24"/>
          <w:lang w:eastAsia="zh-CN"/>
        </w:rPr>
        <w:t>克拉玛依市</w:t>
      </w:r>
      <w:r>
        <w:rPr>
          <w:rFonts w:ascii="宋体" w:hAnsi="宋体" w:eastAsia="宋体" w:cs="宋体"/>
          <w:sz w:val="24"/>
          <w:szCs w:val="24"/>
        </w:rPr>
        <w:t>中心医院指定地点</w:t>
      </w:r>
    </w:p>
    <w:p>
      <w:pPr>
        <w:numPr>
          <w:ilvl w:val="0"/>
          <w:numId w:val="0"/>
        </w:numPr>
        <w:spacing w:line="360" w:lineRule="auto"/>
        <w:ind w:left="630" w:leftChars="0"/>
        <w:jc w:val="lef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8、验收方式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1、中标人应保证货物到达采购人所在地完好无损，如有缺漏、损坏，由供应商负责调换、补齐或赔偿。</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2、在规定时间内交货和验收，并经采购人确认。</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3、供应商提供的货物未达到招标文件规定要求，且对采购人造成损失的，由供应商承担一切责任，并赔偿所造成的损失。</w:t>
      </w:r>
    </w:p>
    <w:p>
      <w:pPr>
        <w:spacing w:line="360" w:lineRule="auto"/>
        <w:ind w:firstLine="480" w:firstLineChars="200"/>
        <w:rPr>
          <w:rFonts w:hint="eastAsia" w:ascii="宋体" w:hAnsi="宋体" w:eastAsia="宋体" w:cs="宋体"/>
          <w:color w:val="000000"/>
          <w:sz w:val="32"/>
          <w:szCs w:val="32"/>
          <w:highlight w:val="none"/>
        </w:rPr>
      </w:pPr>
      <w:r>
        <w:rPr>
          <w:rFonts w:hint="eastAsia" w:ascii="宋体" w:hAnsi="宋体" w:eastAsia="宋体" w:cs="宋体"/>
          <w:sz w:val="24"/>
          <w:highlight w:val="none"/>
        </w:rPr>
        <w:t>4、供应商须提供产品清单及出厂说明、合格证相关等资料。</w:t>
      </w:r>
    </w:p>
    <w:p>
      <w:pPr>
        <w:numPr>
          <w:ilvl w:val="0"/>
          <w:numId w:val="0"/>
        </w:numPr>
        <w:spacing w:line="360" w:lineRule="auto"/>
        <w:ind w:left="630" w:leftChars="0"/>
        <w:jc w:val="lef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9、产品质量保证期</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1、到货产品效期应为出厂日期不超过20天；</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2、投标产品属于国家规定“三包”范围的，其产品质量保证期不得低于“三包”规定。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3、投标人的质量保证期承诺优于国家“三包”规定的，按投标人实际承诺执行。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4、投标产品由制造商（指产品生产制造商，或其负责销售、售后服务机构，以下同）负责标准售后服务的，应当在投标文件中予以明确说明，并附制造商售后服务承诺。</w:t>
      </w:r>
    </w:p>
    <w:p>
      <w:pPr>
        <w:numPr>
          <w:ilvl w:val="0"/>
          <w:numId w:val="0"/>
        </w:numPr>
        <w:spacing w:line="360" w:lineRule="auto"/>
        <w:ind w:left="630" w:leftChars="0"/>
        <w:jc w:val="lef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10、售后服务内容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1、投标人和制造商在质量保证期内应当为采购人提供以下技术支持和服务：</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1.1电话咨询</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中标人和制造商应当为采购人提供技术援助电话，解答采购人在使用中遇到的问题，及时为采购人提出解决问题的建议。</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1.2现场响应</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采购人遇到使用及技术问题，电话咨询不能解决的，中标人和制造商应在24小时内到达现场进行处理，确保产品正常工作。</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1.3技术升级</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在质保期内，如果中标人和制造商的产品技术升级，供应商应及时通知采购人，如采购人有相应要求，中标人和制造商应对采购人购买的产品进行升级服务。</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2、质保期外服务要求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2.1质量保证期过后，供应商和制造商应同样提供免费电话咨询服务，并应承诺提供产品上门维护服务。</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2.2质量保证期过后，采购人需要继续由原供应商和制造商提供售后服务的，该供应商和制造商应以优惠价格提供售后服务。</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3、备品备件及易损件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中标人和制造商售后服务中，维修使用的备品备件及易损件应为原厂配件，未经采购人同意不得使用非原厂配件，常用的、容易损坏的备品备件及易损件的价格清单须在投标文件中列出。</w:t>
      </w:r>
    </w:p>
    <w:p>
      <w:pPr>
        <w:numPr>
          <w:ilvl w:val="0"/>
          <w:numId w:val="0"/>
        </w:numPr>
        <w:spacing w:line="360" w:lineRule="auto"/>
        <w:ind w:left="630" w:leftChars="0"/>
        <w:jc w:val="lef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11、付款方式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中标人按采购合同供货完成验收合格后，按季度结算。每季度末中标人提交发票等付款资料审核通过后结算。</w:t>
      </w:r>
    </w:p>
    <w:p>
      <w:pPr>
        <w:spacing w:line="360" w:lineRule="auto"/>
        <w:ind w:firstLine="480" w:firstLineChars="200"/>
        <w:rPr>
          <w:rFonts w:hint="eastAsia" w:ascii="宋体" w:hAnsi="宋体" w:eastAsia="宋体" w:cs="宋体"/>
          <w:sz w:val="24"/>
          <w:highlight w:val="none"/>
        </w:rPr>
      </w:pPr>
    </w:p>
    <w:p>
      <w:pPr>
        <w:pStyle w:val="8"/>
        <w:adjustRightInd w:val="0"/>
        <w:snapToGrid w:val="0"/>
        <w:spacing w:line="360" w:lineRule="auto"/>
        <w:jc w:val="center"/>
        <w:rPr>
          <w:rFonts w:hint="eastAsia" w:ascii="宋体" w:hAnsi="宋体" w:eastAsia="宋体" w:cs="宋体"/>
          <w:b/>
          <w:sz w:val="28"/>
          <w:szCs w:val="28"/>
          <w:highlight w:val="none"/>
          <w:lang w:val="en-US" w:eastAsia="zh-CN"/>
        </w:rPr>
      </w:pPr>
    </w:p>
    <w:p>
      <w:pPr>
        <w:pStyle w:val="8"/>
        <w:adjustRightInd w:val="0"/>
        <w:snapToGrid w:val="0"/>
        <w:spacing w:line="360" w:lineRule="auto"/>
        <w:jc w:val="center"/>
        <w:rPr>
          <w:rFonts w:hint="eastAsia" w:ascii="宋体" w:hAnsi="宋体" w:eastAsia="宋体" w:cs="宋体"/>
          <w:b/>
          <w:sz w:val="28"/>
          <w:szCs w:val="28"/>
          <w:highlight w:val="none"/>
        </w:rPr>
      </w:pPr>
    </w:p>
    <w:p>
      <w:pPr>
        <w:pStyle w:val="8"/>
        <w:adjustRightInd w:val="0"/>
        <w:snapToGrid w:val="0"/>
        <w:spacing w:line="360" w:lineRule="auto"/>
        <w:jc w:val="center"/>
        <w:rPr>
          <w:rFonts w:hint="eastAsia" w:ascii="宋体" w:hAnsi="宋体" w:eastAsia="宋体" w:cs="宋体"/>
          <w:b/>
          <w:sz w:val="28"/>
          <w:szCs w:val="28"/>
          <w:highlight w:val="none"/>
        </w:rPr>
      </w:pPr>
    </w:p>
    <w:p>
      <w:pPr>
        <w:pStyle w:val="8"/>
        <w:adjustRightInd w:val="0"/>
        <w:snapToGrid w:val="0"/>
        <w:spacing w:line="360" w:lineRule="auto"/>
        <w:jc w:val="center"/>
        <w:rPr>
          <w:rFonts w:hint="eastAsia" w:ascii="宋体" w:hAnsi="宋体" w:eastAsia="宋体" w:cs="宋体"/>
          <w:b/>
          <w:sz w:val="28"/>
          <w:szCs w:val="28"/>
          <w:highlight w:val="none"/>
        </w:rPr>
      </w:pPr>
    </w:p>
    <w:p>
      <w:pPr>
        <w:pStyle w:val="8"/>
        <w:adjustRightInd w:val="0"/>
        <w:snapToGrid w:val="0"/>
        <w:spacing w:line="360" w:lineRule="auto"/>
        <w:jc w:val="center"/>
        <w:rPr>
          <w:rFonts w:hint="eastAsia" w:ascii="宋体" w:hAnsi="宋体" w:eastAsia="宋体" w:cs="宋体"/>
          <w:b/>
          <w:sz w:val="28"/>
          <w:szCs w:val="28"/>
          <w:highlight w:val="none"/>
        </w:rPr>
      </w:pPr>
    </w:p>
    <w:p>
      <w:pPr>
        <w:pStyle w:val="8"/>
        <w:adjustRightInd w:val="0"/>
        <w:snapToGrid w:val="0"/>
        <w:spacing w:line="360" w:lineRule="auto"/>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t>第四章  合同条款（主要条款）</w:t>
      </w:r>
    </w:p>
    <w:p>
      <w:pPr>
        <w:spacing w:line="520" w:lineRule="atLeast"/>
        <w:ind w:right="32" w:firstLine="4819" w:firstLineChars="1500"/>
        <w:rPr>
          <w:rFonts w:hint="eastAsia" w:ascii="宋体" w:hAnsi="宋体" w:eastAsia="宋体" w:cs="宋体"/>
          <w:sz w:val="32"/>
          <w:szCs w:val="32"/>
          <w:highlight w:val="none"/>
        </w:rPr>
      </w:pPr>
      <w:r>
        <w:rPr>
          <w:rFonts w:hint="eastAsia" w:ascii="宋体" w:hAnsi="宋体" w:eastAsia="宋体" w:cs="宋体"/>
          <w:b/>
          <w:color w:val="000000"/>
          <w:sz w:val="32"/>
          <w:szCs w:val="32"/>
          <w:highlight w:val="none"/>
        </w:rPr>
        <w:t>合同编号：</w:t>
      </w:r>
    </w:p>
    <w:p>
      <w:pPr>
        <w:spacing w:line="520" w:lineRule="atLeast"/>
        <w:ind w:right="32"/>
        <w:rPr>
          <w:rFonts w:hint="eastAsia" w:ascii="宋体" w:hAnsi="宋体" w:eastAsia="宋体" w:cs="宋体"/>
          <w:b/>
          <w:bCs/>
          <w:sz w:val="32"/>
          <w:szCs w:val="32"/>
          <w:highlight w:val="none"/>
        </w:rPr>
      </w:pPr>
    </w:p>
    <w:p>
      <w:pPr>
        <w:spacing w:line="360" w:lineRule="auto"/>
        <w:rPr>
          <w:rFonts w:hint="eastAsia" w:ascii="宋体" w:hAnsi="宋体" w:eastAsia="宋体" w:cs="宋体"/>
          <w:b/>
          <w:bCs/>
          <w:color w:val="000000"/>
          <w:sz w:val="44"/>
          <w:szCs w:val="44"/>
          <w:highlight w:val="none"/>
        </w:rPr>
      </w:pPr>
    </w:p>
    <w:p>
      <w:pPr>
        <w:spacing w:line="360" w:lineRule="auto"/>
        <w:jc w:val="center"/>
        <w:rPr>
          <w:rFonts w:hint="eastAsia" w:ascii="宋体" w:hAnsi="宋体" w:eastAsia="宋体" w:cs="宋体"/>
          <w:b/>
          <w:bCs/>
          <w:color w:val="000000"/>
          <w:sz w:val="44"/>
          <w:szCs w:val="44"/>
          <w:highlight w:val="none"/>
        </w:rPr>
      </w:pPr>
    </w:p>
    <w:p>
      <w:pPr>
        <w:spacing w:line="360" w:lineRule="auto"/>
        <w:jc w:val="center"/>
        <w:rPr>
          <w:rFonts w:hint="eastAsia" w:ascii="宋体" w:hAnsi="宋体" w:eastAsia="宋体" w:cs="宋体"/>
          <w:b/>
          <w:bCs/>
          <w:color w:val="000000"/>
          <w:sz w:val="44"/>
          <w:szCs w:val="44"/>
          <w:highlight w:val="none"/>
        </w:rPr>
      </w:pPr>
    </w:p>
    <w:p>
      <w:pPr>
        <w:spacing w:line="360" w:lineRule="auto"/>
        <w:jc w:val="center"/>
        <w:rPr>
          <w:rFonts w:hint="eastAsia" w:ascii="宋体" w:hAnsi="宋体" w:eastAsia="宋体" w:cs="宋体"/>
          <w:b/>
          <w:bCs/>
          <w:color w:val="000000"/>
          <w:sz w:val="44"/>
          <w:szCs w:val="44"/>
          <w:highlight w:val="none"/>
        </w:rPr>
      </w:pPr>
    </w:p>
    <w:p>
      <w:pPr>
        <w:spacing w:line="360" w:lineRule="auto"/>
        <w:jc w:val="center"/>
        <w:rPr>
          <w:rFonts w:hint="eastAsia" w:ascii="宋体" w:hAnsi="宋体" w:eastAsia="宋体" w:cs="宋体"/>
          <w:b/>
          <w:bCs/>
          <w:color w:val="000000"/>
          <w:sz w:val="44"/>
          <w:szCs w:val="44"/>
          <w:highlight w:val="none"/>
        </w:rPr>
      </w:pPr>
    </w:p>
    <w:p>
      <w:pPr>
        <w:spacing w:line="360" w:lineRule="auto"/>
        <w:jc w:val="center"/>
        <w:rPr>
          <w:rFonts w:hint="eastAsia" w:ascii="宋体" w:hAnsi="宋体" w:eastAsia="宋体" w:cs="宋体"/>
          <w:b/>
          <w:bCs/>
          <w:color w:val="000000"/>
          <w:sz w:val="44"/>
          <w:szCs w:val="44"/>
          <w:highlight w:val="none"/>
        </w:rPr>
      </w:pPr>
      <w:r>
        <w:rPr>
          <w:rFonts w:hint="eastAsia" w:ascii="宋体" w:hAnsi="宋体" w:eastAsia="宋体" w:cs="宋体"/>
          <w:b/>
          <w:bCs/>
          <w:color w:val="000000"/>
          <w:sz w:val="44"/>
          <w:szCs w:val="44"/>
          <w:highlight w:val="none"/>
          <w:u w:val="single"/>
        </w:rPr>
        <w:t xml:space="preserve">          </w:t>
      </w:r>
      <w:r>
        <w:rPr>
          <w:rFonts w:hint="eastAsia" w:ascii="宋体" w:hAnsi="宋体" w:eastAsia="宋体" w:cs="宋体"/>
          <w:b/>
          <w:bCs/>
          <w:color w:val="000000"/>
          <w:sz w:val="44"/>
          <w:szCs w:val="44"/>
          <w:highlight w:val="none"/>
        </w:rPr>
        <w:t>采购合同</w:t>
      </w:r>
    </w:p>
    <w:p>
      <w:pPr>
        <w:spacing w:line="360" w:lineRule="auto"/>
        <w:rPr>
          <w:rFonts w:hint="eastAsia" w:ascii="宋体" w:hAnsi="宋体" w:eastAsia="宋体" w:cs="宋体"/>
          <w:b/>
          <w:bCs/>
          <w:sz w:val="32"/>
          <w:szCs w:val="32"/>
          <w:highlight w:val="none"/>
        </w:rPr>
      </w:pPr>
    </w:p>
    <w:p>
      <w:pPr>
        <w:spacing w:line="360" w:lineRule="auto"/>
        <w:jc w:val="center"/>
        <w:rPr>
          <w:rFonts w:hint="eastAsia" w:ascii="宋体" w:hAnsi="宋体" w:eastAsia="宋体" w:cs="宋体"/>
          <w:b/>
          <w:bCs/>
          <w:sz w:val="32"/>
          <w:szCs w:val="32"/>
          <w:highlight w:val="none"/>
        </w:rPr>
      </w:pPr>
    </w:p>
    <w:p>
      <w:pPr>
        <w:spacing w:line="360" w:lineRule="auto"/>
        <w:jc w:val="center"/>
        <w:rPr>
          <w:rFonts w:hint="eastAsia" w:ascii="宋体" w:hAnsi="宋体" w:eastAsia="宋体" w:cs="宋体"/>
          <w:b/>
          <w:bCs/>
          <w:sz w:val="32"/>
          <w:szCs w:val="32"/>
          <w:highlight w:val="none"/>
        </w:rPr>
      </w:pPr>
    </w:p>
    <w:p>
      <w:pPr>
        <w:spacing w:line="360" w:lineRule="auto"/>
        <w:jc w:val="center"/>
        <w:rPr>
          <w:rFonts w:hint="eastAsia" w:ascii="宋体" w:hAnsi="宋体" w:eastAsia="宋体" w:cs="宋体"/>
          <w:b/>
          <w:bCs/>
          <w:sz w:val="32"/>
          <w:szCs w:val="32"/>
          <w:highlight w:val="none"/>
        </w:rPr>
      </w:pPr>
    </w:p>
    <w:p>
      <w:pPr>
        <w:spacing w:line="360" w:lineRule="auto"/>
        <w:jc w:val="center"/>
        <w:rPr>
          <w:rFonts w:hint="eastAsia" w:ascii="宋体" w:hAnsi="宋体" w:eastAsia="宋体" w:cs="宋体"/>
          <w:b/>
          <w:bCs/>
          <w:sz w:val="32"/>
          <w:szCs w:val="32"/>
          <w:highlight w:val="none"/>
        </w:rPr>
      </w:pPr>
    </w:p>
    <w:p>
      <w:pPr>
        <w:spacing w:line="360" w:lineRule="auto"/>
        <w:jc w:val="center"/>
        <w:rPr>
          <w:rFonts w:hint="eastAsia" w:ascii="宋体" w:hAnsi="宋体" w:eastAsia="宋体" w:cs="宋体"/>
          <w:b/>
          <w:bCs/>
          <w:sz w:val="32"/>
          <w:szCs w:val="32"/>
          <w:highlight w:val="none"/>
        </w:rPr>
      </w:pPr>
    </w:p>
    <w:p>
      <w:pPr>
        <w:spacing w:line="360" w:lineRule="auto"/>
        <w:jc w:val="center"/>
        <w:rPr>
          <w:rFonts w:hint="eastAsia" w:ascii="宋体" w:hAnsi="宋体" w:eastAsia="宋体" w:cs="宋体"/>
          <w:b/>
          <w:bCs/>
          <w:sz w:val="32"/>
          <w:szCs w:val="32"/>
          <w:highlight w:val="none"/>
        </w:rPr>
      </w:pPr>
    </w:p>
    <w:p>
      <w:pPr>
        <w:spacing w:line="360" w:lineRule="auto"/>
        <w:ind w:firstLine="643" w:firstLineChars="200"/>
        <w:rPr>
          <w:rFonts w:hint="eastAsia" w:ascii="宋体" w:hAnsi="宋体" w:eastAsia="宋体" w:cs="宋体"/>
          <w:b/>
          <w:color w:val="000000"/>
          <w:sz w:val="32"/>
          <w:szCs w:val="32"/>
          <w:highlight w:val="none"/>
          <w:u w:val="single"/>
        </w:rPr>
      </w:pPr>
      <w:r>
        <w:rPr>
          <w:rFonts w:hint="eastAsia" w:ascii="宋体" w:hAnsi="宋体" w:eastAsia="宋体" w:cs="宋体"/>
          <w:b/>
          <w:color w:val="000000"/>
          <w:sz w:val="32"/>
          <w:szCs w:val="32"/>
          <w:highlight w:val="none"/>
        </w:rPr>
        <w:t>买方：</w:t>
      </w:r>
      <w:r>
        <w:rPr>
          <w:rFonts w:hint="eastAsia" w:ascii="宋体" w:hAnsi="宋体" w:eastAsia="宋体" w:cs="宋体"/>
          <w:b/>
          <w:color w:val="000000"/>
          <w:sz w:val="32"/>
          <w:szCs w:val="32"/>
          <w:highlight w:val="none"/>
          <w:u w:val="single"/>
        </w:rPr>
        <w:t>克拉玛依市中心医院</w:t>
      </w:r>
    </w:p>
    <w:p>
      <w:pPr>
        <w:spacing w:line="360" w:lineRule="auto"/>
        <w:ind w:firstLine="643" w:firstLineChars="200"/>
        <w:rPr>
          <w:rFonts w:hint="eastAsia" w:ascii="宋体" w:hAnsi="宋体" w:eastAsia="宋体" w:cs="宋体"/>
          <w:b/>
          <w:color w:val="000000"/>
          <w:sz w:val="32"/>
          <w:szCs w:val="32"/>
          <w:highlight w:val="none"/>
          <w:u w:val="single"/>
        </w:rPr>
      </w:pPr>
      <w:r>
        <w:rPr>
          <w:rFonts w:hint="eastAsia" w:ascii="宋体" w:hAnsi="宋体" w:eastAsia="宋体" w:cs="宋体"/>
          <w:b/>
          <w:color w:val="000000"/>
          <w:sz w:val="32"/>
          <w:szCs w:val="32"/>
          <w:highlight w:val="none"/>
        </w:rPr>
        <w:t>卖方：</w:t>
      </w:r>
    </w:p>
    <w:p>
      <w:pPr>
        <w:spacing w:line="360" w:lineRule="auto"/>
        <w:ind w:firstLine="636" w:firstLineChars="198"/>
        <w:rPr>
          <w:rFonts w:hint="eastAsia" w:ascii="宋体" w:hAnsi="宋体" w:eastAsia="宋体" w:cs="宋体"/>
          <w:b/>
          <w:color w:val="000000"/>
          <w:sz w:val="32"/>
          <w:szCs w:val="32"/>
          <w:highlight w:val="none"/>
        </w:rPr>
      </w:pPr>
    </w:p>
    <w:p>
      <w:pPr>
        <w:spacing w:line="360" w:lineRule="auto"/>
        <w:ind w:firstLine="643" w:firstLineChars="200"/>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签订日期：    年    月    日</w:t>
      </w:r>
    </w:p>
    <w:p>
      <w:pPr>
        <w:spacing w:line="360" w:lineRule="auto"/>
        <w:ind w:firstLine="643" w:firstLineChars="200"/>
        <w:rPr>
          <w:rFonts w:hint="eastAsia" w:ascii="宋体" w:hAnsi="宋体" w:eastAsia="宋体" w:cs="宋体"/>
          <w:b/>
          <w:bCs/>
          <w:sz w:val="32"/>
          <w:szCs w:val="32"/>
          <w:highlight w:val="none"/>
        </w:rPr>
      </w:pPr>
      <w:r>
        <w:rPr>
          <w:rFonts w:hint="eastAsia" w:ascii="宋体" w:hAnsi="宋体" w:eastAsia="宋体" w:cs="宋体"/>
          <w:b/>
          <w:color w:val="000000"/>
          <w:sz w:val="32"/>
          <w:szCs w:val="32"/>
          <w:highlight w:val="none"/>
        </w:rPr>
        <w:t>签订地点：</w:t>
      </w:r>
      <w:r>
        <w:rPr>
          <w:rFonts w:hint="eastAsia" w:ascii="宋体" w:hAnsi="宋体" w:eastAsia="宋体" w:cs="宋体"/>
          <w:b/>
          <w:bCs/>
          <w:color w:val="000000"/>
          <w:sz w:val="32"/>
          <w:szCs w:val="32"/>
          <w:highlight w:val="none"/>
          <w:u w:val="single"/>
        </w:rPr>
        <w:t>克拉玛依市克拉玛依区</w:t>
      </w:r>
    </w:p>
    <w:p>
      <w:pPr>
        <w:spacing w:line="360" w:lineRule="auto"/>
        <w:rPr>
          <w:rFonts w:hint="eastAsia" w:ascii="宋体" w:hAnsi="宋体" w:eastAsia="宋体" w:cs="宋体"/>
          <w:b/>
          <w:color w:val="000000"/>
          <w:sz w:val="24"/>
          <w:highlight w:val="none"/>
        </w:rPr>
        <w:sectPr>
          <w:footerReference r:id="rId8" w:type="even"/>
          <w:pgSz w:w="11906" w:h="16838"/>
          <w:pgMar w:top="1440" w:right="1800" w:bottom="1440" w:left="1800" w:header="851" w:footer="992" w:gutter="0"/>
          <w:pgNumType w:start="0"/>
          <w:cols w:space="720" w:num="1"/>
          <w:docGrid w:type="lines" w:linePitch="312" w:charSpace="0"/>
        </w:sectPr>
      </w:pPr>
    </w:p>
    <w:p>
      <w:pPr>
        <w:spacing w:line="360" w:lineRule="auto"/>
        <w:rPr>
          <w:rFonts w:hint="eastAsia" w:ascii="宋体" w:hAnsi="宋体" w:eastAsia="宋体" w:cs="宋体"/>
          <w:b/>
          <w:color w:val="000000"/>
          <w:sz w:val="24"/>
          <w:highlight w:val="none"/>
        </w:rPr>
        <w:sectPr>
          <w:type w:val="continuous"/>
          <w:pgSz w:w="11906" w:h="16838"/>
          <w:pgMar w:top="1440" w:right="1800" w:bottom="1440" w:left="1800" w:header="851" w:footer="992" w:gutter="0"/>
          <w:cols w:space="720" w:num="1"/>
          <w:docGrid w:type="lines" w:linePitch="312" w:charSpace="0"/>
        </w:sectPr>
      </w:pPr>
    </w:p>
    <w:p>
      <w:pPr>
        <w:spacing w:line="360" w:lineRule="auto"/>
        <w:rPr>
          <w:rFonts w:hint="eastAsia" w:ascii="宋体" w:hAnsi="宋体" w:eastAsia="宋体" w:cs="宋体"/>
          <w:b/>
          <w:color w:val="000000"/>
          <w:sz w:val="24"/>
          <w:highlight w:val="none"/>
        </w:rPr>
      </w:pPr>
    </w:p>
    <w:p>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44"/>
          <w:szCs w:val="44"/>
          <w:highlight w:val="none"/>
          <w:u w:val="single"/>
        </w:rPr>
        <w:t xml:space="preserve">         </w:t>
      </w:r>
      <w:r>
        <w:rPr>
          <w:rFonts w:hint="eastAsia" w:ascii="宋体" w:hAnsi="宋体" w:eastAsia="宋体" w:cs="宋体"/>
          <w:b/>
          <w:color w:val="000000"/>
          <w:sz w:val="44"/>
          <w:szCs w:val="44"/>
          <w:highlight w:val="none"/>
        </w:rPr>
        <w:t>采购合同</w:t>
      </w:r>
    </w:p>
    <w:p>
      <w:pPr>
        <w:spacing w:line="360" w:lineRule="auto"/>
        <w:ind w:firstLine="480" w:firstLineChars="200"/>
        <w:jc w:val="center"/>
        <w:rPr>
          <w:rFonts w:hint="eastAsia" w:ascii="宋体" w:hAnsi="宋体" w:eastAsia="宋体" w:cs="宋体"/>
          <w:bCs/>
          <w:color w:val="000000"/>
          <w:sz w:val="24"/>
          <w:highlight w:val="none"/>
        </w:rPr>
      </w:pPr>
    </w:p>
    <w:p>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买方（简称“甲方”）： 克拉玛依市中心医院</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住所地：克拉玛依市准噶尔路67号</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统一社会信用代码：12650200928900209A</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法定代表人（负责人）： </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联系人：</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联系电话：</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邮箱：</w:t>
      </w:r>
    </w:p>
    <w:p>
      <w:pPr>
        <w:adjustRightInd w:val="0"/>
        <w:snapToGrid w:val="0"/>
        <w:spacing w:line="360" w:lineRule="auto"/>
        <w:rPr>
          <w:rFonts w:hint="eastAsia" w:ascii="宋体" w:hAnsi="宋体" w:eastAsia="宋体" w:cs="宋体"/>
          <w:sz w:val="24"/>
          <w:highlight w:val="none"/>
        </w:rPr>
      </w:pP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卖方（简称“乙方”）：</w:t>
      </w:r>
    </w:p>
    <w:p>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住所地：</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统一社会信用代码：</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法定代表人（负责人）：</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联系人：</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联系电话：</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邮箱：</w:t>
      </w:r>
    </w:p>
    <w:p>
      <w:pPr>
        <w:adjustRightInd w:val="0"/>
        <w:snapToGrid w:val="0"/>
        <w:spacing w:line="360" w:lineRule="auto"/>
        <w:rPr>
          <w:rFonts w:hint="eastAsia" w:ascii="宋体" w:hAnsi="宋体" w:eastAsia="宋体" w:cs="宋体"/>
          <w:sz w:val="24"/>
          <w:highlight w:val="none"/>
        </w:rPr>
      </w:pPr>
    </w:p>
    <w:p>
      <w:pPr>
        <w:spacing w:line="360" w:lineRule="auto"/>
        <w:ind w:firstLine="480" w:firstLineChars="200"/>
        <w:rPr>
          <w:rStyle w:val="33"/>
          <w:rFonts w:hint="eastAsia" w:ascii="宋体" w:hAnsi="宋体" w:eastAsia="宋体" w:cs="宋体"/>
          <w:sz w:val="24"/>
          <w:highlight w:val="none"/>
        </w:rPr>
      </w:pPr>
      <w:r>
        <w:rPr>
          <w:rFonts w:hint="eastAsia" w:ascii="宋体" w:hAnsi="宋体" w:eastAsia="宋体" w:cs="宋体"/>
          <w:sz w:val="24"/>
          <w:highlight w:val="none"/>
        </w:rPr>
        <w:t>甲方和乙方以下合称“双方”，</w:t>
      </w:r>
      <w:r>
        <w:rPr>
          <w:rStyle w:val="33"/>
          <w:rFonts w:hint="eastAsia" w:ascii="宋体" w:hAnsi="宋体" w:eastAsia="宋体" w:cs="宋体"/>
          <w:sz w:val="24"/>
          <w:highlight w:val="none"/>
        </w:rPr>
        <w:t>单独称为“买方”、“卖方”或“甲方”、“乙方”。</w:t>
      </w:r>
    </w:p>
    <w:p>
      <w:pPr>
        <w:adjustRightInd w:val="0"/>
        <w:snapToGrid w:val="0"/>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根据</w:t>
      </w:r>
      <w:r>
        <w:rPr>
          <w:rStyle w:val="33"/>
          <w:rFonts w:hint="eastAsia" w:ascii="宋体" w:hAnsi="宋体" w:eastAsia="宋体" w:cs="宋体"/>
          <w:sz w:val="24"/>
          <w:highlight w:val="none"/>
          <w:u w:val="single"/>
        </w:rPr>
        <w:t>《中华人民共和国民法典》</w:t>
      </w:r>
      <w:r>
        <w:rPr>
          <w:rStyle w:val="33"/>
          <w:rFonts w:hint="eastAsia" w:ascii="宋体" w:hAnsi="宋体" w:eastAsia="宋体" w:cs="宋体"/>
          <w:sz w:val="24"/>
          <w:highlight w:val="none"/>
        </w:rPr>
        <w:t>及相关法律法规的规定，双方本着自愿、平等、公平、诚实信用的原则，甲方就【</w:t>
      </w:r>
      <w:r>
        <w:rPr>
          <w:rStyle w:val="33"/>
          <w:rFonts w:hint="eastAsia" w:ascii="宋体" w:hAnsi="宋体" w:eastAsia="宋体" w:cs="宋体"/>
          <w:sz w:val="24"/>
          <w:highlight w:val="none"/>
          <w:u w:val="single"/>
        </w:rPr>
        <w:t xml:space="preserve">         </w:t>
      </w:r>
      <w:r>
        <w:rPr>
          <w:rStyle w:val="33"/>
          <w:rFonts w:hint="eastAsia" w:ascii="宋体" w:hAnsi="宋体" w:eastAsia="宋体" w:cs="宋体"/>
          <w:sz w:val="24"/>
          <w:highlight w:val="none"/>
        </w:rPr>
        <w:t>采购】事宜协商一致，订立本合同，以资共同遵守。</w:t>
      </w:r>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甲乙双方已就本合同项下条款进行了充分协商，甲方对本合同条款已经尽到了说明的义务,乙方对本合同的所有条款均已充分注意并详细了解了双方的合同权利和义务,特别是对甲方免责、乙方放弃权利主张、乙方对违约责任的承担、合同的解除及终止等条款以及本合同文本中加粗字体内容,乙方也已充分了解并同意。</w:t>
      </w:r>
    </w:p>
    <w:p>
      <w:pPr>
        <w:adjustRightInd w:val="0"/>
        <w:snapToGrid w:val="0"/>
        <w:spacing w:line="360" w:lineRule="auto"/>
        <w:ind w:firstLine="480" w:firstLineChars="200"/>
        <w:rPr>
          <w:rStyle w:val="33"/>
          <w:rFonts w:hint="eastAsia" w:ascii="宋体" w:hAnsi="宋体" w:eastAsia="宋体" w:cs="宋体"/>
          <w:sz w:val="24"/>
          <w:highlight w:val="none"/>
        </w:rPr>
      </w:pPr>
    </w:p>
    <w:p>
      <w:pPr>
        <w:pStyle w:val="34"/>
        <w:rPr>
          <w:rStyle w:val="33"/>
          <w:rFonts w:hint="eastAsia" w:ascii="宋体" w:hAnsi="宋体" w:eastAsia="宋体" w:cs="宋体"/>
          <w:bCs w:val="0"/>
          <w:sz w:val="24"/>
          <w:highlight w:val="none"/>
        </w:rPr>
      </w:pPr>
      <w:bookmarkStart w:id="189" w:name="_Toc460851391"/>
      <w:bookmarkStart w:id="190" w:name="_Toc460587736"/>
      <w:bookmarkStart w:id="191" w:name="_Toc460920302"/>
      <w:r>
        <w:rPr>
          <w:rStyle w:val="33"/>
          <w:rFonts w:hint="eastAsia" w:ascii="宋体" w:hAnsi="宋体" w:eastAsia="宋体" w:cs="宋体"/>
          <w:bCs w:val="0"/>
          <w:sz w:val="24"/>
          <w:highlight w:val="none"/>
        </w:rPr>
        <w:t>1、采购</w:t>
      </w:r>
    </w:p>
    <w:p>
      <w:pPr>
        <w:adjustRightInd w:val="0"/>
        <w:snapToGrid w:val="0"/>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1.1本合同的采购期限为________年____月____日至________年____月____日止（“采购期间”）；买方在本采购期间内签发的订单均受本合同约束。</w:t>
      </w:r>
    </w:p>
    <w:p>
      <w:pPr>
        <w:adjustRightInd w:val="0"/>
        <w:snapToGrid w:val="0"/>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1.2采购期间内，卖方将依照本合同的约定向买方供应货物。供货方式为__</w:t>
      </w:r>
      <w:r>
        <w:rPr>
          <w:rStyle w:val="33"/>
          <w:rFonts w:hint="eastAsia" w:ascii="宋体" w:hAnsi="宋体" w:eastAsia="宋体" w:cs="宋体"/>
          <w:sz w:val="24"/>
          <w:highlight w:val="none"/>
          <w:u w:val="single"/>
        </w:rPr>
        <w:t>卖方送达</w:t>
      </w:r>
      <w:r>
        <w:rPr>
          <w:rStyle w:val="33"/>
          <w:rFonts w:hint="eastAsia" w:ascii="宋体" w:hAnsi="宋体" w:eastAsia="宋体" w:cs="宋体"/>
          <w:sz w:val="24"/>
          <w:highlight w:val="none"/>
        </w:rPr>
        <w:t>__。</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1.3合同价款</w:t>
      </w:r>
    </w:p>
    <w:p>
      <w:p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1.3.1买方向卖方采购的任何数量的货物均将执行本合同附件一《货物明细表》中约定的价格，如遇货物单价下调，买方有权根据市场价下调货物单价，买方下调单价的，应向卖方放出书面通知，卖方收到通知后3日内予以书面回复，逾期未回复的，视为同意买方的调价行为。</w:t>
      </w:r>
    </w:p>
    <w:p>
      <w:p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 xml:space="preserve">1.3.2 乙方提供给甲方的产品价格不应高于其同时期在同等条件下供应给任何第三方的相同产品价格,包括但不限于担保、质量、付款、产品使用及其他销售条件。 </w:t>
      </w:r>
    </w:p>
    <w:p>
      <w:pPr>
        <w:pStyle w:val="34"/>
        <w:rPr>
          <w:rStyle w:val="33"/>
          <w:rFonts w:hint="eastAsia" w:ascii="宋体" w:hAnsi="宋体" w:eastAsia="宋体" w:cs="宋体"/>
          <w:bCs w:val="0"/>
          <w:sz w:val="24"/>
          <w:highlight w:val="none"/>
        </w:rPr>
      </w:pPr>
      <w:r>
        <w:rPr>
          <w:rStyle w:val="33"/>
          <w:rFonts w:hint="eastAsia" w:ascii="宋体" w:hAnsi="宋体" w:eastAsia="宋体" w:cs="宋体"/>
          <w:bCs w:val="0"/>
          <w:sz w:val="24"/>
          <w:highlight w:val="none"/>
        </w:rPr>
        <w:t>2、合同标的及质量要求</w:t>
      </w:r>
      <w:bookmarkEnd w:id="189"/>
      <w:bookmarkEnd w:id="190"/>
      <w:bookmarkEnd w:id="191"/>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2.1合同标的</w:t>
      </w:r>
    </w:p>
    <w:p>
      <w:pPr>
        <w:spacing w:line="360" w:lineRule="auto"/>
        <w:ind w:firstLine="480" w:firstLineChars="200"/>
        <w:rPr>
          <w:rStyle w:val="33"/>
          <w:rFonts w:hint="eastAsia" w:ascii="宋体" w:hAnsi="宋体" w:eastAsia="宋体" w:cs="宋体"/>
          <w:color w:val="000000"/>
          <w:sz w:val="24"/>
          <w:highlight w:val="none"/>
        </w:rPr>
      </w:pPr>
      <w:r>
        <w:rPr>
          <w:rStyle w:val="33"/>
          <w:rFonts w:hint="eastAsia" w:ascii="宋体" w:hAnsi="宋体" w:eastAsia="宋体" w:cs="宋体"/>
          <w:sz w:val="24"/>
          <w:highlight w:val="none"/>
        </w:rPr>
        <w:t>本合同的标的为</w:t>
      </w:r>
      <w:r>
        <w:rPr>
          <w:rStyle w:val="33"/>
          <w:rFonts w:hint="eastAsia" w:ascii="宋体" w:hAnsi="宋体" w:eastAsia="宋体" w:cs="宋体"/>
          <w:sz w:val="24"/>
          <w:highlight w:val="none"/>
          <w:u w:val="single"/>
        </w:rPr>
        <w:t>（医用耗材/医用试剂）</w:t>
      </w:r>
      <w:r>
        <w:rPr>
          <w:rStyle w:val="33"/>
          <w:rFonts w:hint="eastAsia" w:ascii="宋体" w:hAnsi="宋体" w:eastAsia="宋体" w:cs="宋体"/>
          <w:sz w:val="24"/>
          <w:highlight w:val="none"/>
        </w:rPr>
        <w:t>，详见附件一《货物明细表》</w:t>
      </w:r>
      <w:r>
        <w:rPr>
          <w:rStyle w:val="33"/>
          <w:rFonts w:hint="eastAsia" w:ascii="宋体" w:hAnsi="宋体" w:eastAsia="宋体" w:cs="宋体"/>
          <w:color w:val="000000"/>
          <w:sz w:val="24"/>
          <w:highlight w:val="none"/>
        </w:rPr>
        <w:t>，每一批次的采购货物订单作为本合同附件。</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2.2质量要求</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2.2.1</w:t>
      </w:r>
      <w:r>
        <w:rPr>
          <w:rStyle w:val="33"/>
          <w:rFonts w:hint="eastAsia" w:ascii="宋体" w:hAnsi="宋体" w:eastAsia="宋体" w:cs="宋体"/>
          <w:b/>
          <w:sz w:val="24"/>
          <w:highlight w:val="none"/>
        </w:rPr>
        <w:t>货物的质量标准必须符合下列标准：</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2.2.1.1 甲方提出的产品接收标准及要求(详见附件一《货物明细表》);</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2.2.1.2 国家及产品生产、运输及出售地有关部门法律、法规、规章、规范性文件等规定的标准及要求;</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2.2.1.3 行业通用的或者依照产品性质应具备的质量、技术标准及要求;</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2.2.1.4 以上各标准及要求不一致的,以较高者为准；</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2.2.2卖方应从生产商或指定生产商采购符合法律规定及双方约定的标准及技术参数的货物，向买方提供产品合格证明，并对货物的质量负责。卖方是代理商而非生产商的，应当提供相应生产商的授权销售证明并提供复印件在买方处备案；</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2.2.3卖方应保证提供的货物（含配套货物（如有）等）均为全新、未经使用和内部均无瑕疵；</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2.2.4</w:t>
      </w:r>
      <w:bookmarkStart w:id="192" w:name="_Toc460851392"/>
      <w:bookmarkStart w:id="193" w:name="_Toc460920303"/>
      <w:bookmarkStart w:id="194" w:name="_Toc460587737"/>
      <w:r>
        <w:rPr>
          <w:rStyle w:val="33"/>
          <w:rFonts w:hint="eastAsia" w:ascii="宋体" w:hAnsi="宋体" w:eastAsia="宋体" w:cs="宋体"/>
          <w:b/>
          <w:sz w:val="24"/>
          <w:highlight w:val="none"/>
        </w:rPr>
        <w:t>卖方承诺本合同项下的产品与投标文件、书面/口头承诺、谈判过程中的展示样品（如有）完全一致或更好。</w:t>
      </w:r>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2.4 质量保证</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2.4.1 乙方应保证其向甲方提供的产品质量,不给甲方造成名誉、商誉等方面的负面影响,如乙方产品发生问题,甲方应于得知后以书面、邮件、微信等方式通知乙方。乙方应予积极协调解决,否则,因此导致甲方下列商誉损失的,乙方除赔偿实际损失外,还应按甲方实际损失的2倍向甲方承担违约金。甲方商誉损失包括:</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2.4.1.1司法机关出具判处甲方因此承担责任的生效判决书、裁定书或向甲方发出司法建议函；</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2.4.1.2 甲方因此被行政机关下达处罚通知书;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2.4.1.3 甲方因此被媒体曝光;或虽未被曝光,但社会公众已知悉乙方提供的产品或服务存在问题的;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2.4.1.4 所涉产品或服务可能被有关部门、机构、质量监督部门等公告的;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2.4.1.5 累计造成三起或以上的投诉且经甲方初步判定投诉成立。 </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2.4.2 为避免损失的扩大,甲方有权自行与第三方在国家司法机关,或行政机关或其他有关部门主持下达成调解或和解(甲方应通知乙方参与调解或和解过程,乙方应予以参加)。同时甲方有权从乙方未结货款中直接扣除前述调解或和解相应金额款项直接支付给第三方, 如乙方未结货款不足以支付前述调解或和解款项的,甲方有权根据调解书或和解书要求乙方直接付款给第三方。但无论甲方是否自行和解,均不免除乙方赔偿甲方实际损失和商誉损失(如有)的义务。</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2.4.3 乙方了解并同意,甲方对乙方产品及相关资质证明、权利文件等的要求、审查、检测, 均属于形式审查,并不能排除或减轻乙方产品质量问题及相关资质证明、权利文件虚假等违约责任,由此给甲方及其他相关方造成损失的,乙方应按本合同约定承担全部赔偿责任, 且不得以经过甲方相关审查、检测等作为其责任减免的理由。</w:t>
      </w:r>
    </w:p>
    <w:p>
      <w:pPr>
        <w:spacing w:line="360" w:lineRule="auto"/>
        <w:ind w:firstLine="482" w:firstLineChars="200"/>
        <w:rPr>
          <w:rStyle w:val="33"/>
          <w:rFonts w:hint="eastAsia" w:ascii="宋体" w:hAnsi="宋体" w:eastAsia="宋体" w:cs="宋体"/>
          <w:b/>
          <w:sz w:val="24"/>
          <w:highlight w:val="none"/>
        </w:rPr>
      </w:pPr>
      <w:r>
        <w:rPr>
          <w:rFonts w:hint="eastAsia" w:ascii="宋体" w:hAnsi="宋体" w:eastAsia="宋体" w:cs="宋体"/>
          <w:b/>
          <w:sz w:val="24"/>
          <w:highlight w:val="none"/>
        </w:rPr>
        <w:t xml:space="preserve">2.4.4 甲方有权自行或委托有资质的检验机构,不定期地对乙方供应的产品进行采样抽检，对抽检不合格的产品,乙方承担检测费用。且甲方有权立即取消乙方供应商资格。 </w:t>
      </w:r>
    </w:p>
    <w:p>
      <w:pPr>
        <w:spacing w:line="360" w:lineRule="auto"/>
        <w:ind w:firstLine="480" w:firstLineChars="200"/>
        <w:rPr>
          <w:rStyle w:val="33"/>
          <w:rFonts w:hint="eastAsia" w:ascii="宋体" w:hAnsi="宋体" w:eastAsia="宋体" w:cs="宋体"/>
          <w:bCs/>
          <w:sz w:val="24"/>
          <w:highlight w:val="none"/>
        </w:rPr>
      </w:pPr>
      <w:r>
        <w:rPr>
          <w:rStyle w:val="33"/>
          <w:rFonts w:hint="eastAsia" w:ascii="宋体" w:hAnsi="宋体" w:eastAsia="宋体" w:cs="宋体"/>
          <w:sz w:val="24"/>
          <w:highlight w:val="none"/>
        </w:rPr>
        <w:t>3、提交订单</w:t>
      </w:r>
    </w:p>
    <w:p>
      <w:pPr>
        <w:spacing w:line="360" w:lineRule="auto"/>
        <w:ind w:firstLine="480" w:firstLineChars="200"/>
        <w:outlineLvl w:val="0"/>
        <w:rPr>
          <w:rStyle w:val="33"/>
          <w:rFonts w:hint="eastAsia" w:ascii="宋体" w:hAnsi="宋体" w:eastAsia="宋体" w:cs="宋体"/>
          <w:sz w:val="24"/>
          <w:highlight w:val="none"/>
        </w:rPr>
      </w:pPr>
      <w:r>
        <w:rPr>
          <w:rStyle w:val="33"/>
          <w:rFonts w:hint="eastAsia" w:ascii="宋体" w:hAnsi="宋体" w:eastAsia="宋体" w:cs="宋体"/>
          <w:sz w:val="24"/>
          <w:highlight w:val="none"/>
        </w:rPr>
        <w:t>3.1就本合同项下任何批次的货物采购，买方应于其要求的交货日前</w:t>
      </w:r>
      <w:r>
        <w:rPr>
          <w:rStyle w:val="33"/>
          <w:rFonts w:hint="eastAsia" w:ascii="宋体" w:hAnsi="宋体" w:eastAsia="宋体" w:cs="宋体"/>
          <w:sz w:val="24"/>
          <w:highlight w:val="none"/>
          <w:u w:val="single"/>
        </w:rPr>
        <w:t>7</w:t>
      </w:r>
      <w:r>
        <w:rPr>
          <w:rStyle w:val="33"/>
          <w:rFonts w:hint="eastAsia" w:ascii="宋体" w:hAnsi="宋体" w:eastAsia="宋体" w:cs="宋体"/>
          <w:sz w:val="24"/>
          <w:highlight w:val="none"/>
        </w:rPr>
        <w:t>日向卖方提交根据本合同附件二格式生成的订单。卖方应于收到买方提交的订单后疆内3日/疆外7日内向买方送达货物，买方发出订单通知日为订单生效日。</w:t>
      </w:r>
    </w:p>
    <w:p>
      <w:pPr>
        <w:spacing w:line="360" w:lineRule="auto"/>
        <w:ind w:firstLine="480" w:firstLineChars="200"/>
        <w:outlineLvl w:val="0"/>
        <w:rPr>
          <w:rStyle w:val="33"/>
          <w:rFonts w:hint="eastAsia" w:ascii="宋体" w:hAnsi="宋体" w:eastAsia="宋体" w:cs="宋体"/>
          <w:sz w:val="24"/>
          <w:highlight w:val="none"/>
        </w:rPr>
      </w:pPr>
      <w:r>
        <w:rPr>
          <w:rStyle w:val="33"/>
          <w:rFonts w:hint="eastAsia" w:ascii="宋体" w:hAnsi="宋体" w:eastAsia="宋体" w:cs="宋体"/>
          <w:sz w:val="24"/>
          <w:highlight w:val="none"/>
        </w:rPr>
        <w:t>3.2除非买方以书面形式确认，卖方对买方任一订单的修改或变更要求均视为未被买方接受。</w:t>
      </w:r>
    </w:p>
    <w:p>
      <w:pPr>
        <w:pStyle w:val="34"/>
        <w:rPr>
          <w:rStyle w:val="33"/>
          <w:rFonts w:hint="eastAsia" w:ascii="宋体" w:hAnsi="宋体" w:eastAsia="宋体" w:cs="宋体"/>
          <w:bCs w:val="0"/>
          <w:sz w:val="24"/>
          <w:highlight w:val="none"/>
        </w:rPr>
      </w:pPr>
      <w:r>
        <w:rPr>
          <w:rStyle w:val="33"/>
          <w:rFonts w:hint="eastAsia" w:ascii="宋体" w:hAnsi="宋体" w:eastAsia="宋体" w:cs="宋体"/>
          <w:bCs w:val="0"/>
          <w:sz w:val="24"/>
          <w:highlight w:val="none"/>
        </w:rPr>
        <w:t>4、货物包装</w:t>
      </w:r>
      <w:bookmarkEnd w:id="192"/>
      <w:bookmarkEnd w:id="193"/>
      <w:bookmarkEnd w:id="194"/>
    </w:p>
    <w:p>
      <w:pPr>
        <w:spacing w:line="360" w:lineRule="auto"/>
        <w:ind w:firstLine="480" w:firstLineChars="200"/>
        <w:rPr>
          <w:rStyle w:val="33"/>
          <w:rFonts w:hint="eastAsia" w:ascii="宋体" w:hAnsi="宋体" w:eastAsia="宋体" w:cs="宋体"/>
          <w:b/>
          <w:bCs/>
          <w:color w:val="000000"/>
          <w:sz w:val="24"/>
          <w:highlight w:val="none"/>
        </w:rPr>
      </w:pPr>
      <w:r>
        <w:rPr>
          <w:rStyle w:val="33"/>
          <w:rFonts w:hint="eastAsia" w:ascii="宋体" w:hAnsi="宋体" w:eastAsia="宋体" w:cs="宋体"/>
          <w:sz w:val="24"/>
          <w:highlight w:val="none"/>
        </w:rPr>
        <w:t>4.1包装标准：本合同中约定的货物包装【必须符合国家规定的包装标准】，货物必须使用适于原厂标准出厂包装。包装费用由乙方单独承担,不得向甲方另计另收。包装必须坚固，适合远程及多次搬运，适宜于长途运输，防湿、防潮、防锈、防蚀、防震荡。</w:t>
      </w:r>
      <w:r>
        <w:rPr>
          <w:rStyle w:val="33"/>
          <w:rFonts w:hint="eastAsia" w:ascii="宋体" w:hAnsi="宋体" w:eastAsia="宋体" w:cs="宋体"/>
          <w:b/>
          <w:bCs/>
          <w:sz w:val="24"/>
          <w:highlight w:val="none"/>
        </w:rPr>
        <w:t>凡由于对货物包装不当或采取防护措施不充分致使货物损坏、丢失以致影响买方对货物的使用时，买方有权选择要求卖方降低价格或者在收到买方通知后</w:t>
      </w:r>
      <w:r>
        <w:rPr>
          <w:rStyle w:val="33"/>
          <w:rFonts w:hint="eastAsia" w:ascii="宋体" w:hAnsi="宋体" w:eastAsia="宋体" w:cs="宋体"/>
          <w:b/>
          <w:bCs/>
          <w:sz w:val="24"/>
          <w:highlight w:val="none"/>
          <w:u w:val="single"/>
        </w:rPr>
        <w:t>3</w:t>
      </w:r>
      <w:r>
        <w:rPr>
          <w:rStyle w:val="33"/>
          <w:rFonts w:hint="eastAsia" w:ascii="宋体" w:hAnsi="宋体" w:eastAsia="宋体" w:cs="宋体"/>
          <w:b/>
          <w:bCs/>
          <w:sz w:val="24"/>
          <w:highlight w:val="none"/>
        </w:rPr>
        <w:t>日内予以免费的修理、更换或补发货，并承担因此给买方造成的全部损失，</w:t>
      </w:r>
      <w:r>
        <w:rPr>
          <w:rStyle w:val="33"/>
          <w:rFonts w:hint="eastAsia" w:ascii="宋体" w:hAnsi="宋体" w:eastAsia="宋体" w:cs="宋体"/>
          <w:b/>
          <w:bCs/>
          <w:color w:val="000000"/>
          <w:sz w:val="24"/>
          <w:highlight w:val="none"/>
        </w:rPr>
        <w:t>否则，卖方应承担本合同第十五条约定的违约责任。</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4.2 包装物及标识的具体要求：</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4.2.1包括松散配件在内的所有包装箱应由卖方做出标记，注明合同号且应在包装箱的两侧显著标明下列内容：合同号、货物名称及件数、运输标记、收货人、目的地、箱号、毛重／净重、尺寸（长X宽X高）。此外，包装箱内应附有产品使用说明书或操作指南等说明。</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4.2.2按运输中每个集装箱的特性及不同要求，包装还应标明“小心轻放”，“此面向上”，“保持干燥”等中文字样。</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4.2.3卖方应对包装箱内的每种配件和辅料（如有）进行标签，注明“备件”或“工具”，并注明合同号、箱号，如任何配件与标的物分装，则该配件须注明配件名称、相应的标的物名称及其在安装图纸的编号。</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4.2.4如果包装箱内货物较重或体积较大，卖方应在包装箱上用行业贸易中通用的运输标志标出其重心位置和起吊位置，便于装卸和搬运。</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4.2.5如果卖方供应的货物属于易燃、易爆、有毒、有腐蚀性、有放射性的危险货物，则卖方应按国家有关危险货物规定对危险物品妥善包装，作出危险物的标志和标签，并将有关危险物品的名称、性质和防范措施书面材料提交买方。</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4.3每个包装箱应由卖方附装箱清单及发票。</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4.4 除双方另有约定外，上述货物包装费用由卖方承担。</w:t>
      </w:r>
    </w:p>
    <w:p>
      <w:pPr>
        <w:pStyle w:val="34"/>
        <w:rPr>
          <w:rStyle w:val="33"/>
          <w:rFonts w:hint="eastAsia" w:ascii="宋体" w:hAnsi="宋体" w:eastAsia="宋体" w:cs="宋体"/>
          <w:bCs w:val="0"/>
          <w:sz w:val="24"/>
          <w:highlight w:val="none"/>
        </w:rPr>
      </w:pPr>
      <w:bookmarkStart w:id="195" w:name="_Toc460587738"/>
      <w:bookmarkStart w:id="196" w:name="_Toc460920304"/>
      <w:bookmarkStart w:id="197" w:name="_Toc460851393"/>
      <w:r>
        <w:rPr>
          <w:rStyle w:val="33"/>
          <w:rFonts w:hint="eastAsia" w:ascii="宋体" w:hAnsi="宋体" w:eastAsia="宋体" w:cs="宋体"/>
          <w:bCs w:val="0"/>
          <w:sz w:val="24"/>
          <w:highlight w:val="none"/>
        </w:rPr>
        <w:t>5、货物运输和保险</w:t>
      </w:r>
      <w:bookmarkEnd w:id="195"/>
      <w:bookmarkEnd w:id="196"/>
      <w:bookmarkEnd w:id="197"/>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5.1运输方式： 本合同下货物运输方式为</w:t>
      </w:r>
      <w:r>
        <w:rPr>
          <w:rStyle w:val="33"/>
          <w:rFonts w:hint="eastAsia" w:ascii="宋体" w:hAnsi="宋体" w:eastAsia="宋体" w:cs="宋体"/>
          <w:sz w:val="24"/>
          <w:highlight w:val="none"/>
          <w:u w:val="single"/>
        </w:rPr>
        <w:t>航空/陆运</w:t>
      </w:r>
      <w:r>
        <w:rPr>
          <w:rStyle w:val="33"/>
          <w:rFonts w:hint="eastAsia" w:ascii="宋体" w:hAnsi="宋体" w:eastAsia="宋体" w:cs="宋体"/>
          <w:sz w:val="24"/>
          <w:highlight w:val="none"/>
        </w:rPr>
        <w:t>。</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5.2货运信息</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5.2.1货物发送地点：</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5.2.2货物到达地点：新疆克拉玛依市中心医院</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 xml:space="preserve">5.2.3收货人名称：             </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若履行过程中某一批次货物的到达地点、收货人等信息有所变化，以实际履行过程中订单标注的信息为准。</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5.3装运条款</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5.3.1</w:t>
      </w:r>
      <w:bookmarkStart w:id="198" w:name="_Toc460851394"/>
      <w:bookmarkStart w:id="199" w:name="_Toc460920305"/>
      <w:bookmarkStart w:id="200" w:name="_Toc460587739"/>
      <w:r>
        <w:rPr>
          <w:rStyle w:val="33"/>
          <w:rFonts w:hint="eastAsia" w:ascii="宋体" w:hAnsi="宋体" w:eastAsia="宋体" w:cs="宋体"/>
          <w:sz w:val="24"/>
          <w:highlight w:val="none"/>
        </w:rPr>
        <w:t>未经买方书面同意，卖方不得改变约定的或通常的运输路线、收货人及收货地点，否则引起的一切费用应由卖方承担。</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5.3.2卖方应于完成货物装运后24小时内发出装运通知，通知包括买方合同号、货物名称、数量、包装件数、毛重、净重、尺寸、运载工具名称、启运日期、单证号、承运人联系方式以及预计抵达目的地（港）日期等，以便买方安排接收货物。如因卖方未按时发出装运通知造成买方无法安排通关和接收货物等相关事宜，买方由此受到的所有损失和产生的所有费用应由卖方承担。</w:t>
      </w:r>
    </w:p>
    <w:p>
      <w:pPr>
        <w:spacing w:line="360" w:lineRule="auto"/>
        <w:ind w:firstLine="482" w:firstLineChars="200"/>
        <w:rPr>
          <w:rStyle w:val="33"/>
          <w:rFonts w:hint="eastAsia" w:ascii="宋体" w:hAnsi="宋体" w:eastAsia="宋体" w:cs="宋体"/>
          <w:b/>
          <w:bCs/>
          <w:sz w:val="24"/>
          <w:highlight w:val="none"/>
        </w:rPr>
      </w:pPr>
      <w:r>
        <w:rPr>
          <w:rStyle w:val="33"/>
          <w:rFonts w:hint="eastAsia" w:ascii="宋体" w:hAnsi="宋体" w:eastAsia="宋体" w:cs="宋体"/>
          <w:b/>
          <w:bCs/>
          <w:sz w:val="24"/>
          <w:highlight w:val="none"/>
        </w:rPr>
        <w:t>5.3.3 本合同项下的货物由卖方自行或委托有资质的第三方装运送货，卖方应按照本合同约定将货物运至【克拉玛依市中心医院或买方指定地点】，并承担货物交付前的全部风险和费用。因卖方的原因导致货物在运输过程中受损的，卖方应赔偿因此给买方造成的全部损失。乙方在送货和取货时,需要自行负责货物的运输和装卸, 并自行承担相应的费用,并根据甲方的指令或订单要求将货物送至指定地点,甲方有权根据实际情况对交货地点予以变更或新增,乙方对此不持有异议。</w:t>
      </w:r>
    </w:p>
    <w:p>
      <w:pPr>
        <w:spacing w:line="360" w:lineRule="auto"/>
        <w:ind w:firstLine="480" w:firstLineChars="200"/>
        <w:rPr>
          <w:rStyle w:val="33"/>
          <w:rFonts w:hint="eastAsia" w:ascii="宋体" w:hAnsi="宋体" w:eastAsia="宋体" w:cs="宋体"/>
          <w:bCs/>
          <w:sz w:val="24"/>
          <w:highlight w:val="none"/>
        </w:rPr>
      </w:pPr>
      <w:r>
        <w:rPr>
          <w:rStyle w:val="33"/>
          <w:rFonts w:hint="eastAsia" w:ascii="宋体" w:hAnsi="宋体" w:eastAsia="宋体" w:cs="宋体"/>
          <w:sz w:val="24"/>
          <w:highlight w:val="none"/>
        </w:rPr>
        <w:t>6、货物交付</w:t>
      </w:r>
      <w:bookmarkEnd w:id="198"/>
      <w:bookmarkEnd w:id="199"/>
      <w:bookmarkEnd w:id="200"/>
    </w:p>
    <w:p>
      <w:pPr>
        <w:pStyle w:val="35"/>
        <w:tabs>
          <w:tab w:val="left" w:pos="360"/>
        </w:tabs>
        <w:spacing w:before="0" w:after="0" w:line="360" w:lineRule="auto"/>
        <w:ind w:firstLine="480" w:firstLineChars="200"/>
        <w:rPr>
          <w:rStyle w:val="33"/>
          <w:rFonts w:hint="eastAsia" w:ascii="宋体" w:hAnsi="宋体" w:eastAsia="宋体" w:cs="宋体"/>
          <w:color w:val="auto"/>
          <w:sz w:val="24"/>
          <w:szCs w:val="24"/>
          <w:highlight w:val="none"/>
          <w:lang w:eastAsia="zh-CN"/>
        </w:rPr>
      </w:pPr>
      <w:r>
        <w:rPr>
          <w:rStyle w:val="33"/>
          <w:rFonts w:hint="eastAsia" w:ascii="宋体" w:hAnsi="宋体" w:eastAsia="宋体" w:cs="宋体"/>
          <w:color w:val="auto"/>
          <w:sz w:val="24"/>
          <w:szCs w:val="24"/>
          <w:highlight w:val="none"/>
          <w:lang w:eastAsia="zh-CN"/>
        </w:rPr>
        <w:t>6.1卖方应确保在买方订单要求的交货日期前向买方交付该批次全部货物。</w:t>
      </w:r>
    </w:p>
    <w:p>
      <w:pPr>
        <w:pStyle w:val="35"/>
        <w:tabs>
          <w:tab w:val="left" w:pos="360"/>
        </w:tabs>
        <w:spacing w:before="0" w:after="0" w:line="360" w:lineRule="auto"/>
        <w:ind w:firstLine="480" w:firstLineChars="200"/>
        <w:rPr>
          <w:rStyle w:val="33"/>
          <w:rFonts w:hint="eastAsia" w:ascii="宋体" w:hAnsi="宋体" w:eastAsia="宋体" w:cs="宋体"/>
          <w:color w:val="auto"/>
          <w:kern w:val="2"/>
          <w:sz w:val="24"/>
          <w:szCs w:val="24"/>
          <w:highlight w:val="none"/>
          <w:lang w:eastAsia="zh-CN"/>
        </w:rPr>
      </w:pPr>
      <w:r>
        <w:rPr>
          <w:rStyle w:val="33"/>
          <w:rFonts w:hint="eastAsia" w:ascii="宋体" w:hAnsi="宋体" w:eastAsia="宋体" w:cs="宋体"/>
          <w:color w:val="auto"/>
          <w:kern w:val="2"/>
          <w:sz w:val="24"/>
          <w:szCs w:val="24"/>
          <w:highlight w:val="none"/>
          <w:lang w:eastAsia="zh-CN"/>
        </w:rPr>
        <w:t>6.2买方将对运抵货物到达地点的货物和技术文件（包括产品合格证、供货清单、省（市）质量监督部门出具的验收报告、原产地证明等）按照本合同第8条进行核对和查验，并将根据核对和查验结果签署到货证明。卖方与买方对货物的交接并不视为买方认可货物质量。</w:t>
      </w:r>
    </w:p>
    <w:p>
      <w:pPr>
        <w:pStyle w:val="35"/>
        <w:tabs>
          <w:tab w:val="left" w:pos="360"/>
        </w:tabs>
        <w:spacing w:before="0" w:after="0" w:line="360" w:lineRule="auto"/>
        <w:ind w:firstLine="482" w:firstLineChars="200"/>
        <w:rPr>
          <w:rStyle w:val="33"/>
          <w:rFonts w:hint="eastAsia" w:ascii="宋体" w:hAnsi="宋体" w:eastAsia="宋体" w:cs="宋体"/>
          <w:b/>
          <w:color w:val="auto"/>
          <w:kern w:val="2"/>
          <w:sz w:val="24"/>
          <w:szCs w:val="24"/>
          <w:highlight w:val="none"/>
          <w:lang w:eastAsia="zh-CN"/>
        </w:rPr>
      </w:pPr>
      <w:r>
        <w:rPr>
          <w:rStyle w:val="33"/>
          <w:rFonts w:hint="eastAsia" w:ascii="宋体" w:hAnsi="宋体" w:eastAsia="宋体" w:cs="宋体"/>
          <w:b/>
          <w:color w:val="auto"/>
          <w:kern w:val="2"/>
          <w:sz w:val="24"/>
          <w:szCs w:val="24"/>
          <w:highlight w:val="none"/>
          <w:lang w:eastAsia="zh-CN"/>
        </w:rPr>
        <w:t>6.3每一订单项下货物的所有权和风险将在买方验收合格后转移。</w:t>
      </w:r>
    </w:p>
    <w:p>
      <w:pPr>
        <w:pStyle w:val="35"/>
        <w:tabs>
          <w:tab w:val="left" w:pos="360"/>
        </w:tabs>
        <w:spacing w:before="0" w:after="0" w:line="360" w:lineRule="auto"/>
        <w:ind w:firstLine="480" w:firstLineChars="200"/>
        <w:rPr>
          <w:rStyle w:val="33"/>
          <w:rFonts w:hint="eastAsia" w:ascii="宋体" w:hAnsi="宋体" w:eastAsia="宋体" w:cs="宋体"/>
          <w:color w:val="auto"/>
          <w:kern w:val="2"/>
          <w:sz w:val="24"/>
          <w:szCs w:val="24"/>
          <w:highlight w:val="none"/>
          <w:lang w:eastAsia="zh-CN"/>
        </w:rPr>
      </w:pPr>
      <w:r>
        <w:rPr>
          <w:rStyle w:val="33"/>
          <w:rFonts w:hint="eastAsia" w:ascii="宋体" w:hAnsi="宋体" w:eastAsia="宋体" w:cs="宋体"/>
          <w:color w:val="auto"/>
          <w:kern w:val="2"/>
          <w:sz w:val="24"/>
          <w:szCs w:val="24"/>
          <w:highlight w:val="none"/>
          <w:lang w:eastAsia="zh-CN"/>
        </w:rPr>
        <w:t>6.4在交付货物时，卖方应同时向买方提供货物出厂测试记录、质量合格证和产地证明，以及涉及该等货物安装、测试、运行等方面的技术文件。</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6.5如果卖方交付的货物不符合合同约定的，买方有权选择完全拒收已交付货物，或接受已交付货物并要求卖方在买方要求的特定时间内补足交货不足部分。卖方补足交货不足部分应被视作本合同项下的延迟交货，买方有权根据本合同约定要求卖方承担违约责任。</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6.6 卖方分批交付货物的，卖方对其中一批货物不交付或者交付不符合约定，致使该批货物不能实现合同目的的，买方有权就该批货物解除合同；卖方不交付其中一批货物或者交付不符合约定，致使今后其他各批货物的交付不能实现合同目的的，买方有权就该批以及今后其他各批货物解除本合同；买方如果就其中一批货物解除合同，该批货物与其他各批货物相互依存的，有权就已经交付和未交付的各批货物解除合同。</w:t>
      </w:r>
    </w:p>
    <w:p>
      <w:pPr>
        <w:pStyle w:val="34"/>
        <w:rPr>
          <w:rStyle w:val="33"/>
          <w:rFonts w:hint="eastAsia" w:ascii="宋体" w:hAnsi="宋体" w:eastAsia="宋体" w:cs="宋体"/>
          <w:bCs w:val="0"/>
          <w:sz w:val="24"/>
          <w:highlight w:val="none"/>
        </w:rPr>
      </w:pPr>
      <w:bookmarkStart w:id="201" w:name="_Toc460920306"/>
      <w:bookmarkStart w:id="202" w:name="_Toc460851395"/>
      <w:bookmarkStart w:id="203" w:name="_Toc460587740"/>
      <w:r>
        <w:rPr>
          <w:rStyle w:val="33"/>
          <w:rFonts w:hint="eastAsia" w:ascii="宋体" w:hAnsi="宋体" w:eastAsia="宋体" w:cs="宋体"/>
          <w:bCs w:val="0"/>
          <w:sz w:val="24"/>
          <w:highlight w:val="none"/>
        </w:rPr>
        <w:t>7、合同价款及支付方式</w:t>
      </w:r>
      <w:bookmarkEnd w:id="201"/>
      <w:bookmarkEnd w:id="202"/>
      <w:bookmarkEnd w:id="203"/>
    </w:p>
    <w:p>
      <w:pPr>
        <w:spacing w:line="360" w:lineRule="auto"/>
        <w:ind w:firstLine="480" w:firstLineChars="200"/>
        <w:rPr>
          <w:rStyle w:val="33"/>
          <w:rFonts w:hint="eastAsia" w:ascii="宋体" w:hAnsi="宋体" w:eastAsia="宋体" w:cs="宋体"/>
          <w:b/>
          <w:sz w:val="24"/>
          <w:highlight w:val="none"/>
        </w:rPr>
      </w:pPr>
      <w:r>
        <w:rPr>
          <w:rStyle w:val="33"/>
          <w:rFonts w:hint="eastAsia" w:ascii="宋体" w:hAnsi="宋体" w:eastAsia="宋体" w:cs="宋体"/>
          <w:sz w:val="24"/>
          <w:highlight w:val="none"/>
        </w:rPr>
        <w:t>7.1</w:t>
      </w:r>
      <w:r>
        <w:rPr>
          <w:rStyle w:val="33"/>
          <w:rFonts w:hint="eastAsia" w:ascii="宋体" w:hAnsi="宋体" w:eastAsia="宋体" w:cs="宋体"/>
          <w:b/>
          <w:sz w:val="24"/>
          <w:highlight w:val="none"/>
        </w:rPr>
        <w:t>价款结算以买卖双方签字确认的收货清单为基础，经实际使用科室确认后出具对账单。双方约定,有甲方授权人员及实际使用科室负责人签字并加盖甲方的专用印章的对账单是唯一的付款依据,无论甲方是否将乙方开具的增值税发票入账抵扣,均不视为甲方对发票项下的产品的收货确认。</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7.2本合同项下的价款结算按下列第</w:t>
      </w:r>
      <w:r>
        <w:rPr>
          <w:rStyle w:val="33"/>
          <w:rFonts w:hint="eastAsia" w:ascii="宋体" w:hAnsi="宋体" w:eastAsia="宋体" w:cs="宋体"/>
          <w:sz w:val="24"/>
          <w:highlight w:val="none"/>
          <w:u w:val="single"/>
        </w:rPr>
        <w:t xml:space="preserve">     </w:t>
      </w:r>
      <w:r>
        <w:rPr>
          <w:rStyle w:val="33"/>
          <w:rFonts w:hint="eastAsia" w:ascii="宋体" w:hAnsi="宋体" w:eastAsia="宋体" w:cs="宋体"/>
          <w:sz w:val="24"/>
          <w:highlight w:val="none"/>
        </w:rPr>
        <w:t>种方式执行：</w:t>
      </w:r>
    </w:p>
    <w:p>
      <w:pPr>
        <w:spacing w:line="360" w:lineRule="auto"/>
        <w:ind w:firstLine="482" w:firstLineChars="200"/>
        <w:rPr>
          <w:rStyle w:val="33"/>
          <w:rFonts w:hint="eastAsia" w:ascii="宋体" w:hAnsi="宋体" w:eastAsia="宋体" w:cs="宋体"/>
          <w:sz w:val="24"/>
          <w:highlight w:val="none"/>
        </w:rPr>
      </w:pPr>
      <w:r>
        <w:rPr>
          <w:rStyle w:val="33"/>
          <w:rFonts w:hint="eastAsia" w:ascii="宋体" w:hAnsi="宋体" w:eastAsia="宋体" w:cs="宋体"/>
          <w:b/>
          <w:sz w:val="24"/>
          <w:highlight w:val="none"/>
        </w:rPr>
        <w:t>7.2.1按月结算，具体约定如下</w:t>
      </w:r>
      <w:r>
        <w:rPr>
          <w:rStyle w:val="33"/>
          <w:rFonts w:hint="eastAsia" w:ascii="宋体" w:hAnsi="宋体" w:eastAsia="宋体" w:cs="宋体"/>
          <w:sz w:val="24"/>
          <w:highlight w:val="none"/>
        </w:rPr>
        <w:t>：_</w:t>
      </w:r>
      <w:r>
        <w:rPr>
          <w:rStyle w:val="33"/>
          <w:rFonts w:hint="eastAsia" w:ascii="宋体" w:hAnsi="宋体" w:eastAsia="宋体" w:cs="宋体"/>
          <w:sz w:val="24"/>
          <w:highlight w:val="none"/>
          <w:u w:val="single"/>
        </w:rPr>
        <w:t>甲方、乙方之间的货款按月进行结算。双方应在次月第 7 个工作日前完成上一个结算周期金额的对账,并于 20 日(遇法定节假日顺延)支付上一结算周期的款项。甲乙双方经对账有异议的，该笔货款付款时间相应顺延</w:t>
      </w:r>
      <w:r>
        <w:rPr>
          <w:rStyle w:val="33"/>
          <w:rFonts w:hint="eastAsia" w:ascii="宋体" w:hAnsi="宋体" w:eastAsia="宋体" w:cs="宋体"/>
          <w:sz w:val="24"/>
          <w:highlight w:val="none"/>
        </w:rPr>
        <w:t>。</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 xml:space="preserve">7.2.2 </w:t>
      </w:r>
      <w:r>
        <w:rPr>
          <w:rStyle w:val="33"/>
          <w:rFonts w:hint="eastAsia" w:ascii="宋体" w:hAnsi="宋体" w:eastAsia="宋体" w:cs="宋体"/>
          <w:b/>
          <w:sz w:val="24"/>
          <w:highlight w:val="none"/>
        </w:rPr>
        <w:t>按季结算，具体约定如下</w:t>
      </w:r>
      <w:r>
        <w:rPr>
          <w:rStyle w:val="33"/>
          <w:rFonts w:hint="eastAsia" w:ascii="宋体" w:hAnsi="宋体" w:eastAsia="宋体" w:cs="宋体"/>
          <w:sz w:val="24"/>
          <w:highlight w:val="none"/>
        </w:rPr>
        <w:t>：</w:t>
      </w:r>
      <w:r>
        <w:rPr>
          <w:rStyle w:val="33"/>
          <w:rFonts w:hint="eastAsia" w:ascii="宋体" w:hAnsi="宋体" w:eastAsia="宋体" w:cs="宋体"/>
          <w:sz w:val="24"/>
          <w:highlight w:val="none"/>
          <w:u w:val="single"/>
        </w:rPr>
        <w:t>甲方、乙方之间的货款按季进行结算。双方应在季末第 7 个工作日前完成上一个结算周期金额的对账,并于 20 日(遇法定节假日顺延)支付上一结算周期的款项。甲乙双方经对账有异议的，该笔货款付款时间相应顺延</w:t>
      </w:r>
      <w:r>
        <w:rPr>
          <w:rStyle w:val="33"/>
          <w:rFonts w:hint="eastAsia" w:ascii="宋体" w:hAnsi="宋体" w:eastAsia="宋体" w:cs="宋体"/>
          <w:sz w:val="24"/>
          <w:highlight w:val="none"/>
        </w:rPr>
        <w:t>。</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7.2.3 其他方式：。</w:t>
      </w:r>
    </w:p>
    <w:p>
      <w:pPr>
        <w:spacing w:line="360" w:lineRule="auto"/>
        <w:ind w:firstLine="480" w:firstLineChars="200"/>
        <w:rPr>
          <w:rStyle w:val="33"/>
          <w:rFonts w:hint="eastAsia" w:ascii="宋体" w:hAnsi="宋体" w:eastAsia="宋体" w:cs="宋体"/>
          <w:b/>
          <w:sz w:val="24"/>
          <w:highlight w:val="none"/>
        </w:rPr>
      </w:pPr>
      <w:r>
        <w:rPr>
          <w:rStyle w:val="33"/>
          <w:rFonts w:hint="eastAsia" w:ascii="宋体" w:hAnsi="宋体" w:eastAsia="宋体" w:cs="宋体"/>
          <w:sz w:val="24"/>
          <w:highlight w:val="none"/>
        </w:rPr>
        <w:t>7.4</w:t>
      </w:r>
      <w:r>
        <w:rPr>
          <w:rStyle w:val="33"/>
          <w:rFonts w:hint="eastAsia" w:ascii="宋体" w:hAnsi="宋体" w:eastAsia="宋体" w:cs="宋体"/>
          <w:b/>
          <w:sz w:val="24"/>
          <w:highlight w:val="none"/>
        </w:rPr>
        <w:t>本合同确定及根据本合同约定调整的货物单价均包括本合同项下货物及相关配件、辅件的价格、增值税及其他相关税费、运输费、保险费、装卸费、包装费、包装物回收费以及安装及调试过程中发生的一切费用。</w:t>
      </w:r>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7.5就每一期货款的支付，卖方应当向买方出示以下文件：</w:t>
      </w:r>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7.5.1买方签发的《货物验收合格证明》；</w:t>
      </w:r>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7.5.2 符合国家规定的全额增值税发票；</w:t>
      </w:r>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7.5.3 双方签字盖章后的《对账单》。</w:t>
      </w:r>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7.6甲乙双方签订的合同及协议中所列费用、违约金及其它乙方应付款项以账扣方式实现,并且甲方不需另行通知乙方。甲方支付给乙方的货款可先扣除已对账的乙方应付款项(包括但不限于:各项费用、违约金,退货款等)及双方确认的质保金,若乙方结算后的账款余额不足抵扣质保金和未支付的乙方应付款项(即结算时,已发生但未对账的费用),则不足部分的金额由乙方于 10 日内另行支付。但甲乙双方另有约定适用付现方式的不适用本条。</w:t>
      </w:r>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7.7 乙方在收到甲方付款后的 60 日内对当期付款中进货、退货、已扣除款项应详细审核,若有异议应在该 60 日内向甲方书面提出异议,若乙方没有在该 60 日内提出任何异议,即视为乙方接受且放弃向甲方再主张该款项的权利</w:t>
      </w:r>
    </w:p>
    <w:p>
      <w:pPr>
        <w:spacing w:line="360" w:lineRule="auto"/>
        <w:ind w:firstLine="482" w:firstLineChars="200"/>
        <w:rPr>
          <w:rStyle w:val="33"/>
          <w:rFonts w:hint="eastAsia" w:ascii="宋体" w:hAnsi="宋体" w:eastAsia="宋体" w:cs="宋体"/>
          <w:b/>
          <w:color w:val="000000" w:themeColor="text1"/>
          <w:sz w:val="24"/>
          <w:highlight w:val="none"/>
          <w14:textFill>
            <w14:solidFill>
              <w14:schemeClr w14:val="tx1"/>
            </w14:solidFill>
          </w14:textFill>
        </w:rPr>
      </w:pPr>
      <w:r>
        <w:rPr>
          <w:rStyle w:val="33"/>
          <w:rFonts w:hint="eastAsia" w:ascii="宋体" w:hAnsi="宋体" w:eastAsia="宋体" w:cs="宋体"/>
          <w:b/>
          <w:color w:val="000000" w:themeColor="text1"/>
          <w:sz w:val="24"/>
          <w:highlight w:val="none"/>
          <w14:textFill>
            <w14:solidFill>
              <w14:schemeClr w14:val="tx1"/>
            </w14:solidFill>
          </w14:textFill>
        </w:rPr>
        <w:t>7.8 账款确认函:是由乙方确认,截止该对账日期之前的,甲方已支付的及甲方从货款中扣除的款项已经由乙方提供了相应服务。除对账确认函确认的未结款外,甲乙双方在该对账日期以前的业务往来中的债权债务已经全部结清、付清。该账款确认函作为双方在该对账之前账款已经核对清楚的证明,双方对于账款确认函已确认的部分无需再重新对账。乙方应予每年年底和停止合作时交付账款确认函,未按约定提交的,甲方有权暂停支付货款。</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7.9履约保证金</w:t>
      </w:r>
    </w:p>
    <w:p>
      <w:pPr>
        <w:spacing w:line="360" w:lineRule="auto"/>
        <w:ind w:firstLine="480" w:firstLineChars="200"/>
        <w:rPr>
          <w:rStyle w:val="33"/>
          <w:rFonts w:hint="eastAsia" w:ascii="宋体" w:hAnsi="宋体" w:eastAsia="宋体" w:cs="宋体"/>
          <w:sz w:val="24"/>
          <w:highlight w:val="none"/>
          <w:lang w:eastAsia="zh-CN"/>
        </w:rPr>
      </w:pPr>
      <w:r>
        <w:rPr>
          <w:rStyle w:val="33"/>
          <w:rFonts w:hint="eastAsia" w:ascii="宋体" w:hAnsi="宋体" w:eastAsia="宋体" w:cs="宋体"/>
          <w:sz w:val="24"/>
          <w:highlight w:val="none"/>
          <w:lang w:eastAsia="zh-CN"/>
        </w:rPr>
        <w:t>无</w:t>
      </w:r>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7.10卖方提交单证的数量及内容应完整准确。如因卖方未按本合同约定提供单证致使买方不能通关及接收货物，买方由此受到的所有损失和产生的所有费用应由卖方承担。</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7.11本合同项下的价款由买方通过银行转账方式支付至卖方指定的下述银行账户，卖方应对其指定的下列账户信息的真实性、安全性、准确性负责。</w:t>
      </w:r>
    </w:p>
    <w:p>
      <w:pPr>
        <w:spacing w:line="360" w:lineRule="auto"/>
        <w:ind w:firstLine="480" w:firstLineChars="200"/>
        <w:rPr>
          <w:rStyle w:val="33"/>
          <w:rFonts w:hint="eastAsia" w:ascii="宋体" w:hAnsi="宋体" w:eastAsia="宋体" w:cs="宋体"/>
          <w:sz w:val="24"/>
          <w:highlight w:val="none"/>
          <w:u w:val="single"/>
        </w:rPr>
      </w:pPr>
      <w:r>
        <w:rPr>
          <w:rStyle w:val="33"/>
          <w:rFonts w:hint="eastAsia" w:ascii="宋体" w:hAnsi="宋体" w:eastAsia="宋体" w:cs="宋体"/>
          <w:sz w:val="24"/>
          <w:highlight w:val="none"/>
        </w:rPr>
        <w:t>收款人：</w:t>
      </w:r>
    </w:p>
    <w:p>
      <w:pPr>
        <w:spacing w:line="360" w:lineRule="auto"/>
        <w:ind w:firstLine="480" w:firstLineChars="200"/>
        <w:rPr>
          <w:rStyle w:val="33"/>
          <w:rFonts w:hint="eastAsia" w:ascii="宋体" w:hAnsi="宋体" w:eastAsia="宋体" w:cs="宋体"/>
          <w:sz w:val="24"/>
          <w:highlight w:val="none"/>
          <w:u w:val="single"/>
        </w:rPr>
      </w:pPr>
      <w:r>
        <w:rPr>
          <w:rStyle w:val="33"/>
          <w:rFonts w:hint="eastAsia" w:ascii="宋体" w:hAnsi="宋体" w:eastAsia="宋体" w:cs="宋体"/>
          <w:sz w:val="24"/>
          <w:highlight w:val="none"/>
        </w:rPr>
        <w:t>开户行：</w:t>
      </w:r>
    </w:p>
    <w:p>
      <w:pPr>
        <w:spacing w:line="360" w:lineRule="auto"/>
        <w:ind w:firstLine="480" w:firstLineChars="200"/>
        <w:rPr>
          <w:rStyle w:val="33"/>
          <w:rFonts w:hint="eastAsia" w:ascii="宋体" w:hAnsi="宋体" w:eastAsia="宋体" w:cs="宋体"/>
          <w:sz w:val="24"/>
          <w:highlight w:val="none"/>
          <w:u w:val="single"/>
        </w:rPr>
      </w:pPr>
      <w:r>
        <w:rPr>
          <w:rStyle w:val="33"/>
          <w:rFonts w:hint="eastAsia" w:ascii="宋体" w:hAnsi="宋体" w:eastAsia="宋体" w:cs="宋体"/>
          <w:sz w:val="24"/>
          <w:highlight w:val="none"/>
        </w:rPr>
        <w:t>帐  号：</w:t>
      </w:r>
    </w:p>
    <w:p>
      <w:pPr>
        <w:spacing w:line="360" w:lineRule="auto"/>
        <w:ind w:firstLine="480" w:firstLineChars="200"/>
        <w:rPr>
          <w:rStyle w:val="33"/>
          <w:rFonts w:hint="eastAsia" w:ascii="宋体" w:hAnsi="宋体" w:eastAsia="宋体" w:cs="宋体"/>
          <w:sz w:val="24"/>
          <w:highlight w:val="none"/>
          <w:u w:val="single"/>
        </w:rPr>
      </w:pPr>
      <w:r>
        <w:rPr>
          <w:rStyle w:val="33"/>
          <w:rFonts w:hint="eastAsia" w:ascii="宋体" w:hAnsi="宋体" w:eastAsia="宋体" w:cs="宋体"/>
          <w:sz w:val="24"/>
          <w:highlight w:val="none"/>
        </w:rPr>
        <w:t>税  号：</w:t>
      </w:r>
    </w:p>
    <w:p>
      <w:pPr>
        <w:spacing w:line="360" w:lineRule="auto"/>
        <w:ind w:firstLine="480" w:firstLineChars="200"/>
        <w:rPr>
          <w:rStyle w:val="33"/>
          <w:rFonts w:hint="eastAsia" w:ascii="宋体" w:hAnsi="宋体" w:eastAsia="宋体" w:cs="宋体"/>
          <w:b/>
          <w:color w:val="000000"/>
          <w:sz w:val="24"/>
          <w:highlight w:val="none"/>
        </w:rPr>
      </w:pPr>
      <w:r>
        <w:rPr>
          <w:rStyle w:val="33"/>
          <w:rFonts w:hint="eastAsia" w:ascii="宋体" w:hAnsi="宋体" w:eastAsia="宋体" w:cs="宋体"/>
          <w:sz w:val="24"/>
          <w:highlight w:val="none"/>
        </w:rPr>
        <w:t>如果卖方的开户银行和/或账号发生变更，卖方应于本合同约定的买方相关付款期限</w:t>
      </w:r>
      <w:r>
        <w:rPr>
          <w:rStyle w:val="33"/>
          <w:rFonts w:hint="eastAsia" w:ascii="宋体" w:hAnsi="宋体" w:eastAsia="宋体" w:cs="宋体"/>
          <w:sz w:val="24"/>
          <w:highlight w:val="none"/>
          <w:u w:val="single"/>
        </w:rPr>
        <w:t>30</w:t>
      </w:r>
      <w:r>
        <w:rPr>
          <w:rStyle w:val="33"/>
          <w:rFonts w:hint="eastAsia" w:ascii="宋体" w:hAnsi="宋体" w:eastAsia="宋体" w:cs="宋体"/>
          <w:sz w:val="24"/>
          <w:highlight w:val="none"/>
        </w:rPr>
        <w:t>日前，就该变化书面通知买方。</w:t>
      </w:r>
      <w:r>
        <w:rPr>
          <w:rStyle w:val="33"/>
          <w:rFonts w:hint="eastAsia" w:ascii="宋体" w:hAnsi="宋体" w:eastAsia="宋体" w:cs="宋体"/>
          <w:b/>
          <w:sz w:val="24"/>
          <w:highlight w:val="none"/>
        </w:rPr>
        <w:t>如因卖方未及时通知或通知有误而影响买方支付相应款项，买方将不承担逾期付款的任何责任</w:t>
      </w:r>
      <w:r>
        <w:rPr>
          <w:rStyle w:val="33"/>
          <w:rFonts w:hint="eastAsia" w:ascii="宋体" w:hAnsi="宋体" w:eastAsia="宋体" w:cs="宋体"/>
          <w:b/>
          <w:color w:val="000000"/>
          <w:sz w:val="24"/>
          <w:highlight w:val="none"/>
        </w:rPr>
        <w:t>。如因卖方未及时通知，导致买方按上述约定开户银行名称、地址和帐号完成付款后即视为买方已向卖方履行完付款义务。</w:t>
      </w:r>
    </w:p>
    <w:p>
      <w:pPr>
        <w:pStyle w:val="34"/>
        <w:rPr>
          <w:rStyle w:val="33"/>
          <w:rFonts w:hint="eastAsia" w:ascii="宋体" w:hAnsi="宋体" w:eastAsia="宋体" w:cs="宋体"/>
          <w:bCs w:val="0"/>
          <w:sz w:val="24"/>
          <w:highlight w:val="none"/>
        </w:rPr>
      </w:pPr>
      <w:bookmarkStart w:id="204" w:name="_Toc460587741"/>
      <w:bookmarkStart w:id="205" w:name="_Toc460851396"/>
      <w:bookmarkStart w:id="206" w:name="_Toc460920307"/>
      <w:r>
        <w:rPr>
          <w:rStyle w:val="33"/>
          <w:rFonts w:hint="eastAsia" w:ascii="宋体" w:hAnsi="宋体" w:eastAsia="宋体" w:cs="宋体"/>
          <w:bCs w:val="0"/>
          <w:sz w:val="24"/>
          <w:highlight w:val="none"/>
        </w:rPr>
        <w:t>8、到货验收</w:t>
      </w:r>
      <w:bookmarkEnd w:id="204"/>
      <w:bookmarkEnd w:id="205"/>
      <w:bookmarkEnd w:id="206"/>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8.1买卖双方应在货物交付后进行到货验收（设备类应经卖方调试完毕，正常运行后进行验收），买方如发现货物有短缺、损坏或不符合本合同及其附件规定的情形，双方应作详细的记录并签字。该记录应被视作买方向卖方提出减少合同价格、更换、补充或索赔的有效依据。</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8.2如发现因非买方的原因导致的短缺、损坏或不符合本合同及其附件规定的质量标准的情形，买方有权选择要求卖方减少合同价格、更换或补充。如卖方未能在交货期内更换或补充合同货物，则被视为迟延交付，卖方应承担违约责任。因更换或补充货物所发生的所有运输费、风险和检验费用均将由卖方承担。因迟延交付给买方造成的全部损失，应由卖方承担。</w:t>
      </w:r>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8.3如果买方有合理的初步证据表明，货物不符合标准，买方有权委托公证、商检机构对所交付的所有货物进行商检，卖方无条件认可买方所选择的公证、商检机构。对不符合标准的货物，有权要求卖方承担违约责任并就因此所受损失向卖方要求赔偿，买方所支付的公证、商检费用应由卖方承担。</w:t>
      </w:r>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8.4如果卖方不能在开箱检验日参加开箱检验，将被视为委托买方检验并认同买方单方开箱检验的结果，买方将有权单方开箱检验，检验的法律效力等同于本合同第8.1款约定的双方检验。</w:t>
      </w:r>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8.5如开箱验收后买方发现货物不符合本合同约定，买方应在开箱验收后</w:t>
      </w:r>
      <w:r>
        <w:rPr>
          <w:rStyle w:val="33"/>
          <w:rFonts w:hint="eastAsia" w:ascii="宋体" w:hAnsi="宋体" w:eastAsia="宋体" w:cs="宋体"/>
          <w:b/>
          <w:sz w:val="24"/>
          <w:highlight w:val="none"/>
          <w:u w:val="single"/>
        </w:rPr>
        <w:t>3</w:t>
      </w:r>
      <w:r>
        <w:rPr>
          <w:rStyle w:val="33"/>
          <w:rFonts w:hint="eastAsia" w:ascii="宋体" w:hAnsi="宋体" w:eastAsia="宋体" w:cs="宋体"/>
          <w:b/>
          <w:sz w:val="24"/>
          <w:highlight w:val="none"/>
        </w:rPr>
        <w:t>日内书面通知卖方。卖方应在接到通知后</w:t>
      </w:r>
      <w:r>
        <w:rPr>
          <w:rStyle w:val="33"/>
          <w:rFonts w:hint="eastAsia" w:ascii="宋体" w:hAnsi="宋体" w:eastAsia="宋体" w:cs="宋体"/>
          <w:b/>
          <w:sz w:val="24"/>
          <w:highlight w:val="none"/>
          <w:u w:val="single"/>
        </w:rPr>
        <w:t>3</w:t>
      </w:r>
      <w:r>
        <w:rPr>
          <w:rStyle w:val="33"/>
          <w:rFonts w:hint="eastAsia" w:ascii="宋体" w:hAnsi="宋体" w:eastAsia="宋体" w:cs="宋体"/>
          <w:b/>
          <w:sz w:val="24"/>
          <w:highlight w:val="none"/>
        </w:rPr>
        <w:t>日内答复，如逾期没有答复，以买方验收结果为准。如卖方对买方提出的索赔要求有异议，应在收到索赔通知的</w:t>
      </w:r>
      <w:r>
        <w:rPr>
          <w:rStyle w:val="33"/>
          <w:rFonts w:hint="eastAsia" w:ascii="宋体" w:hAnsi="宋体" w:eastAsia="宋体" w:cs="宋体"/>
          <w:b/>
          <w:sz w:val="24"/>
          <w:highlight w:val="none"/>
          <w:u w:val="single"/>
        </w:rPr>
        <w:t>2</w:t>
      </w:r>
      <w:r>
        <w:rPr>
          <w:rStyle w:val="33"/>
          <w:rFonts w:hint="eastAsia" w:ascii="宋体" w:hAnsi="宋体" w:eastAsia="宋体" w:cs="宋体"/>
          <w:b/>
          <w:sz w:val="24"/>
          <w:highlight w:val="none"/>
        </w:rPr>
        <w:t>日内采用书面的方式提出异议。如卖方未能在上述期限内提出书面异议，卖方将被视为接受了买方提出的上述索赔要求。</w:t>
      </w:r>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8.6买方依据本合同拒收的货物应由卖方自费运回，买方可以协助保管这些货物直到卖方做好运输准备（不得超过 7日），但是买方无此等协助保管的义务，且买方协助保管所发生的场地占用费、人员看管费等全部费用应有卖方承担。</w:t>
      </w:r>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8.7甲乙双方均认可,甲方对产品验收仅是初步的,甲方初步验收并签发《货物验收合格证明》的行为,仅系对所提交货物的数量、外箱包装、品项等表面状态的确认,不应被视为认可乙方所送产品，甲方在仓储、使用过程中任一相关环节发现产品质量不符合约定标准或存在瑕疵现象的均视为乙方违约交货。</w:t>
      </w:r>
    </w:p>
    <w:p>
      <w:pPr>
        <w:pStyle w:val="34"/>
        <w:rPr>
          <w:rStyle w:val="33"/>
          <w:rFonts w:hint="eastAsia" w:ascii="宋体" w:hAnsi="宋体" w:eastAsia="宋体" w:cs="宋体"/>
          <w:bCs w:val="0"/>
          <w:sz w:val="24"/>
          <w:highlight w:val="none"/>
        </w:rPr>
      </w:pPr>
      <w:bookmarkStart w:id="207" w:name="_Toc460920308"/>
      <w:bookmarkStart w:id="208" w:name="_Toc460587743"/>
      <w:bookmarkStart w:id="209" w:name="_Toc460851397"/>
      <w:r>
        <w:rPr>
          <w:rStyle w:val="33"/>
          <w:rFonts w:hint="eastAsia" w:ascii="宋体" w:hAnsi="宋体" w:eastAsia="宋体" w:cs="宋体"/>
          <w:bCs w:val="0"/>
          <w:sz w:val="24"/>
          <w:highlight w:val="none"/>
        </w:rPr>
        <w:t>9、双方的一般权利义务</w:t>
      </w:r>
      <w:bookmarkEnd w:id="207"/>
      <w:bookmarkEnd w:id="208"/>
      <w:bookmarkEnd w:id="209"/>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9.1买方的权利义务</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9.1.1要求卖方按照本合同确定的时间、地点、数量、价格、质量标准交付货物。</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9.1.2卖方或其委托的第三方将货物交付收货人之前，买方有权要求卖方中止运输、变更到达地或变更收货人，由此而导致的运输或储存费用变动的，按照多退少补的原则处理。</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9.1.3要求卖方按照本合同第4条的约定妥善包装货物。</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9.1.4买方有权根据本合同第8条的约定，就卖方提供货物存在的所有瑕疵通知卖方，并要求卖方承担相应的赔偿、更换或补充责任。</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9.1.5按约定按时足额支付货物价款。</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9.1.6买方有权在本合同内约定的物品出厂前派遣技术人员前往卖方工厂进行厂验和/或参与出厂测试。买方的上述行为并不免除卖方根据本合同及其附件应当承担的任何责任，并且买方检验人员届时对设备表示的任何意见，均不代表买方对设备质量的认可。</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9.1.7买方有权委任</w:t>
      </w:r>
      <w:r>
        <w:rPr>
          <w:rStyle w:val="33"/>
          <w:rFonts w:hint="eastAsia" w:ascii="宋体" w:hAnsi="宋体" w:eastAsia="宋体" w:cs="宋体"/>
          <w:sz w:val="24"/>
          <w:highlight w:val="none"/>
          <w:u w:val="single"/>
        </w:rPr>
        <w:t xml:space="preserve">    </w:t>
      </w:r>
      <w:r>
        <w:rPr>
          <w:rStyle w:val="33"/>
          <w:rFonts w:hint="eastAsia" w:ascii="宋体" w:hAnsi="宋体" w:eastAsia="宋体" w:cs="宋体"/>
          <w:sz w:val="24"/>
          <w:highlight w:val="none"/>
        </w:rPr>
        <w:t>作为买方的授权代表，在本合同有效期内决定与本合同履行有关的事项，具体授权范围为：</w:t>
      </w:r>
      <w:r>
        <w:rPr>
          <w:rStyle w:val="33"/>
          <w:rFonts w:hint="eastAsia" w:ascii="宋体" w:hAnsi="宋体" w:eastAsia="宋体" w:cs="宋体"/>
          <w:sz w:val="24"/>
          <w:highlight w:val="none"/>
          <w:u w:val="single"/>
        </w:rPr>
        <w:t>（注：本合同第九条项下的权利义务）</w:t>
      </w:r>
      <w:r>
        <w:rPr>
          <w:rStyle w:val="33"/>
          <w:rFonts w:hint="eastAsia" w:ascii="宋体" w:hAnsi="宋体" w:eastAsia="宋体" w:cs="宋体"/>
          <w:sz w:val="24"/>
          <w:highlight w:val="none"/>
        </w:rPr>
        <w:t>。买方及买方的授权代表以外的任何第三方对卖方及卖方的授权代表作出的意思表示对本合同当事人均无约束力。</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9.2卖方的权利义务</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9.2.1按照约定的时间、质量标准交付货物，并向买方发出到货通知，办理相应的交接手续。如果卖方没有通知或没有及时通知，对因没有通知或没有及时通知造成的损失应承担责任。</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9.2.2 按照本合同第4条的约定妥善包装、保管货物。</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9.2.3 应就双方约定的某种货物和备品备件保持足够库存，以确保买方对该货物的必要使用量。</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9.2.4卖方保证拥有货物的完整所有权（对货物中涉及/包括的部分第三方软件，卖方已取得其权利人合法有效授权，并有权转许可给买方使用），卖方有权将货物及货物中涉及/包括的部分第三方软件出售/许可给买方并具有提供货物及安装、技术支持等服务的本合同规定的履约能力。任何第三人不会基于所有权、抵押权、质押权、留置权或任何其他对货物的担保利益而向买方主张对货物的权利。并保证货物无任何偷漏税、走私、其他能够造成任何行政扣押或者司法冻结、查封的违法行为，否则卖方应自行承担因此而产生的法律责任，并赔偿买方的全部损失。</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9.2.5 卖方承诺，其出售的货物为全新的，适合本合同的目的并符合本合同及技术协议（若有）规定的技术规格和质量标准。</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9.2.6 卖方应及时参加货物（</w:t>
      </w:r>
      <w:r>
        <w:rPr>
          <w:rStyle w:val="33"/>
          <w:rFonts w:hint="eastAsia" w:ascii="宋体" w:hAnsi="宋体" w:eastAsia="宋体" w:cs="宋体"/>
          <w:color w:val="000000"/>
          <w:sz w:val="24"/>
          <w:highlight w:val="none"/>
        </w:rPr>
        <w:t>安装、调试</w:t>
      </w:r>
      <w:r>
        <w:rPr>
          <w:rStyle w:val="33"/>
          <w:rFonts w:hint="eastAsia" w:ascii="宋体" w:hAnsi="宋体" w:eastAsia="宋体" w:cs="宋体"/>
          <w:sz w:val="24"/>
          <w:highlight w:val="none"/>
        </w:rPr>
        <w:t>）验收。否则，由此而造成的货物不能按期投入正常使用的责任，应由卖方承担。</w:t>
      </w:r>
    </w:p>
    <w:p>
      <w:pPr>
        <w:spacing w:line="360" w:lineRule="auto"/>
        <w:ind w:firstLine="480" w:firstLineChars="200"/>
        <w:rPr>
          <w:rStyle w:val="33"/>
          <w:rFonts w:hint="eastAsia" w:ascii="宋体" w:hAnsi="宋体" w:eastAsia="宋体" w:cs="宋体"/>
          <w:b/>
          <w:bCs/>
          <w:sz w:val="24"/>
          <w:highlight w:val="none"/>
        </w:rPr>
      </w:pPr>
      <w:r>
        <w:rPr>
          <w:rStyle w:val="33"/>
          <w:rFonts w:hint="eastAsia" w:ascii="宋体" w:hAnsi="宋体" w:eastAsia="宋体" w:cs="宋体"/>
          <w:sz w:val="24"/>
          <w:highlight w:val="none"/>
        </w:rPr>
        <w:t>9.2.7 卖方有权委任</w:t>
      </w:r>
      <w:r>
        <w:rPr>
          <w:rStyle w:val="33"/>
          <w:rFonts w:hint="eastAsia" w:ascii="宋体" w:hAnsi="宋体" w:eastAsia="宋体" w:cs="宋体"/>
          <w:sz w:val="24"/>
          <w:highlight w:val="none"/>
          <w:u w:val="single"/>
        </w:rPr>
        <w:t xml:space="preserve">        </w:t>
      </w:r>
      <w:r>
        <w:rPr>
          <w:rStyle w:val="33"/>
          <w:rFonts w:hint="eastAsia" w:ascii="宋体" w:hAnsi="宋体" w:eastAsia="宋体" w:cs="宋体"/>
          <w:color w:val="000000"/>
          <w:sz w:val="24"/>
          <w:highlight w:val="none"/>
        </w:rPr>
        <w:t>作</w:t>
      </w:r>
      <w:r>
        <w:rPr>
          <w:rStyle w:val="33"/>
          <w:rFonts w:hint="eastAsia" w:ascii="宋体" w:hAnsi="宋体" w:eastAsia="宋体" w:cs="宋体"/>
          <w:sz w:val="24"/>
          <w:highlight w:val="none"/>
        </w:rPr>
        <w:t>为卖方的授权代表，在本合同有效期内决定与本合同履行有关的事项，</w:t>
      </w:r>
      <w:r>
        <w:rPr>
          <w:rStyle w:val="33"/>
          <w:rFonts w:hint="eastAsia" w:ascii="宋体" w:hAnsi="宋体" w:eastAsia="宋体" w:cs="宋体"/>
          <w:b/>
          <w:bCs/>
          <w:sz w:val="24"/>
          <w:highlight w:val="none"/>
        </w:rPr>
        <w:t>具体授权事宜由卖方向买方提交授权委托书。卖方应对其授权代表的行为承担责任。卖方更换授权代表，应在3日内以书面形式通知买方。</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9.2.8 在产品的合理使用期内，对未经使用不能被发现的隐藏质量瑕疵或缺陷，卖方应承担产品质量保证责任。</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9.2.9 其他约定：</w:t>
      </w:r>
      <w:r>
        <w:rPr>
          <w:rStyle w:val="33"/>
          <w:rFonts w:hint="eastAsia" w:ascii="宋体" w:hAnsi="宋体" w:eastAsia="宋体" w:cs="宋体"/>
          <w:sz w:val="24"/>
          <w:highlight w:val="none"/>
          <w:u w:val="single"/>
        </w:rPr>
        <w:t xml:space="preserve">             无                     </w:t>
      </w:r>
      <w:r>
        <w:rPr>
          <w:rStyle w:val="33"/>
          <w:rFonts w:hint="eastAsia" w:ascii="宋体" w:hAnsi="宋体" w:eastAsia="宋体" w:cs="宋体"/>
          <w:sz w:val="24"/>
          <w:highlight w:val="none"/>
        </w:rPr>
        <w:t>。</w:t>
      </w:r>
    </w:p>
    <w:p>
      <w:pPr>
        <w:pStyle w:val="34"/>
        <w:rPr>
          <w:rStyle w:val="33"/>
          <w:rFonts w:hint="eastAsia" w:ascii="宋体" w:hAnsi="宋体" w:eastAsia="宋体" w:cs="宋体"/>
          <w:bCs w:val="0"/>
          <w:sz w:val="24"/>
          <w:highlight w:val="none"/>
        </w:rPr>
      </w:pPr>
      <w:bookmarkStart w:id="210" w:name="_Toc460851398"/>
      <w:bookmarkStart w:id="211" w:name="_Toc460587744"/>
      <w:bookmarkStart w:id="212" w:name="_Toc460920309"/>
      <w:r>
        <w:rPr>
          <w:rStyle w:val="33"/>
          <w:rFonts w:hint="eastAsia" w:ascii="宋体" w:hAnsi="宋体" w:eastAsia="宋体" w:cs="宋体"/>
          <w:bCs w:val="0"/>
          <w:sz w:val="24"/>
          <w:highlight w:val="none"/>
        </w:rPr>
        <w:t>10、有效使用期限</w:t>
      </w:r>
      <w:bookmarkEnd w:id="210"/>
      <w:bookmarkEnd w:id="211"/>
      <w:bookmarkEnd w:id="212"/>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10.1卖方保证所提供货物的有效使用期限为相关规定或行业内部通行的标准。有效使用期限为卖方所提供货物包装物所明示的有效期。</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10.2有效使用期限内，卖方提供免费更换服务，不论是否因卖方原因，只要卖方提供的货物出现有效使用期达到买方所规定的近效期的情形，卖方均应在买方发出通知之后</w:t>
      </w:r>
      <w:r>
        <w:rPr>
          <w:rStyle w:val="33"/>
          <w:rFonts w:hint="eastAsia" w:ascii="宋体" w:hAnsi="宋体" w:eastAsia="宋体" w:cs="宋体"/>
          <w:sz w:val="24"/>
          <w:highlight w:val="none"/>
          <w:u w:val="single"/>
        </w:rPr>
        <w:t>24</w:t>
      </w:r>
      <w:r>
        <w:rPr>
          <w:rStyle w:val="33"/>
          <w:rFonts w:hint="eastAsia" w:ascii="宋体" w:hAnsi="宋体" w:eastAsia="宋体" w:cs="宋体"/>
          <w:sz w:val="24"/>
          <w:highlight w:val="none"/>
        </w:rPr>
        <w:t>小时之内予以响应，并负责在收到买方通知疆内</w:t>
      </w:r>
      <w:r>
        <w:rPr>
          <w:rStyle w:val="33"/>
          <w:rFonts w:hint="eastAsia" w:ascii="宋体" w:hAnsi="宋体" w:eastAsia="宋体" w:cs="宋体"/>
          <w:sz w:val="24"/>
          <w:highlight w:val="none"/>
          <w:u w:val="single"/>
        </w:rPr>
        <w:t>3日/疆外7</w:t>
      </w:r>
      <w:r>
        <w:rPr>
          <w:rStyle w:val="33"/>
          <w:rFonts w:hint="eastAsia" w:ascii="宋体" w:hAnsi="宋体" w:eastAsia="宋体" w:cs="宋体"/>
          <w:sz w:val="24"/>
          <w:highlight w:val="none"/>
        </w:rPr>
        <w:t>日之内将该货物更换完毕，以确保满足买方的正常使用，否则，卖方应赔偿买方因此遭受的一切损失。</w:t>
      </w:r>
    </w:p>
    <w:p>
      <w:pPr>
        <w:pStyle w:val="34"/>
        <w:rPr>
          <w:rStyle w:val="33"/>
          <w:rFonts w:hint="eastAsia" w:ascii="宋体" w:hAnsi="宋体" w:eastAsia="宋体" w:cs="宋体"/>
          <w:bCs w:val="0"/>
          <w:sz w:val="24"/>
          <w:highlight w:val="none"/>
        </w:rPr>
      </w:pPr>
      <w:bookmarkStart w:id="213" w:name="_Toc460587746"/>
      <w:bookmarkStart w:id="214" w:name="_Toc460851399"/>
      <w:bookmarkStart w:id="215" w:name="_Toc460920310"/>
      <w:r>
        <w:rPr>
          <w:rStyle w:val="33"/>
          <w:rFonts w:hint="eastAsia" w:ascii="宋体" w:hAnsi="宋体" w:eastAsia="宋体" w:cs="宋体"/>
          <w:bCs w:val="0"/>
          <w:sz w:val="24"/>
          <w:highlight w:val="none"/>
        </w:rPr>
        <w:t>11、</w:t>
      </w:r>
      <w:bookmarkEnd w:id="213"/>
      <w:bookmarkEnd w:id="214"/>
      <w:bookmarkEnd w:id="215"/>
      <w:bookmarkStart w:id="216" w:name="_Toc460587747"/>
      <w:bookmarkStart w:id="217" w:name="_Toc460920311"/>
      <w:bookmarkStart w:id="218" w:name="_Toc460851400"/>
      <w:r>
        <w:rPr>
          <w:rStyle w:val="33"/>
          <w:rFonts w:hint="eastAsia" w:ascii="宋体" w:hAnsi="宋体" w:eastAsia="宋体" w:cs="宋体"/>
          <w:bCs w:val="0"/>
          <w:sz w:val="24"/>
          <w:highlight w:val="none"/>
        </w:rPr>
        <w:t>税费</w:t>
      </w:r>
      <w:bookmarkEnd w:id="216"/>
      <w:bookmarkEnd w:id="217"/>
      <w:bookmarkEnd w:id="218"/>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11.1主管政府部门依据中国法律和规定向买方所征缴的与本合同的签订及对货物的购买、占有及使用有关的税费将由买方承担并缴纳。</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11.2主管政府部门依据中国法律和规定向卖方征收的与本合同有关的或在本合同履行过程中向卖方征收的所有税费将由卖方承担并缴纳。</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11.3主管政府部门向卖方征收的与本合同有关的或在本合同履行过程中向卖方征收的所有税费，按照中国有关部门的规定，需要由买方代扣代缴的，买方将按有关规定从应支付给卖方的款项中预扣并代扣代缴。</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11.4 在中国境外产生的与本合同有关的和/或与本合同执行有关的一切税费将由卖方承担并缴纳。</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11.5 合同执行过程中，双方约定增值税税率如与法律法规不符，按照不含税价格不变的原则，遵从法律规定适用增值税税率，重新计算确定合同价税合计金额。</w:t>
      </w:r>
    </w:p>
    <w:p>
      <w:pPr>
        <w:pStyle w:val="34"/>
        <w:rPr>
          <w:rStyle w:val="33"/>
          <w:rFonts w:hint="eastAsia" w:ascii="宋体" w:hAnsi="宋体" w:eastAsia="宋体" w:cs="宋体"/>
          <w:bCs w:val="0"/>
          <w:sz w:val="24"/>
          <w:highlight w:val="none"/>
        </w:rPr>
      </w:pPr>
      <w:bookmarkStart w:id="219" w:name="_Toc460920312"/>
      <w:bookmarkStart w:id="220" w:name="_Toc460587748"/>
      <w:bookmarkStart w:id="221" w:name="_Toc460851401"/>
      <w:r>
        <w:rPr>
          <w:rStyle w:val="33"/>
          <w:rFonts w:hint="eastAsia" w:ascii="宋体" w:hAnsi="宋体" w:eastAsia="宋体" w:cs="宋体"/>
          <w:bCs w:val="0"/>
          <w:sz w:val="24"/>
          <w:highlight w:val="none"/>
        </w:rPr>
        <w:t>12、保密</w:t>
      </w:r>
      <w:bookmarkEnd w:id="219"/>
      <w:bookmarkEnd w:id="220"/>
      <w:bookmarkEnd w:id="221"/>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双方对因订立和履行本合同所知悉的对方商业秘密互负保密义务。未经对方书面同意，一方不得以任何形式将其所知悉的对方商业秘密泄露给第三方，一方违反本约定应承担违约责任，并赔偿对方因此遭受的全部损失。本合同的变更、解除、履行完毕等不影响本条款的效力，在发生上述情形下，双方仍应履行保密义务。保密期限为自合同生效之日起十年。</w:t>
      </w:r>
    </w:p>
    <w:p>
      <w:pPr>
        <w:pStyle w:val="34"/>
        <w:rPr>
          <w:rStyle w:val="33"/>
          <w:rFonts w:hint="eastAsia" w:ascii="宋体" w:hAnsi="宋体" w:eastAsia="宋体" w:cs="宋体"/>
          <w:bCs w:val="0"/>
          <w:sz w:val="24"/>
          <w:highlight w:val="none"/>
        </w:rPr>
      </w:pPr>
      <w:bookmarkStart w:id="222" w:name="_Toc460851402"/>
      <w:bookmarkStart w:id="223" w:name="_Toc460920313"/>
      <w:bookmarkStart w:id="224" w:name="_Toc460587749"/>
      <w:r>
        <w:rPr>
          <w:rStyle w:val="33"/>
          <w:rFonts w:hint="eastAsia" w:ascii="宋体" w:hAnsi="宋体" w:eastAsia="宋体" w:cs="宋体"/>
          <w:bCs w:val="0"/>
          <w:sz w:val="24"/>
          <w:highlight w:val="none"/>
        </w:rPr>
        <w:t>13、知识产权</w:t>
      </w:r>
      <w:bookmarkEnd w:id="222"/>
      <w:bookmarkEnd w:id="223"/>
      <w:bookmarkEnd w:id="224"/>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13.1卖方确认，卖方基于本合同的约定向买方提供的货物（包括硬件和软件）的知识产权是卖方合法拥有/或经合法授权的权利，不会侵犯任何第三方的合法知识产权。卖方保证，卖方将采取措施保持上述权利的持续有效，并将积极地对侵犯卖方知识产权的侵权人采取各种反侵权措施（包括但不限于通过司法和行政等公力救济途径、谈判和发送警告等私力救济途径打击侵权行为）打击对卖方知识产权的侵害，因上述软件的知识产权侵权引发的一切法律后果由卖方自行承担。</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13.2卖方承诺在本合同中所采用的和提供给买方所有和/或使用的一切软件、硬件设备以及技术、方法、手段不存在任何权利瑕疵，不侵犯任何第三方的合法权益。卖方应承担因此给买方造成的一切损失。</w:t>
      </w:r>
    </w:p>
    <w:p>
      <w:pPr>
        <w:pStyle w:val="34"/>
        <w:rPr>
          <w:rStyle w:val="33"/>
          <w:rFonts w:hint="eastAsia" w:ascii="宋体" w:hAnsi="宋体" w:eastAsia="宋体" w:cs="宋体"/>
          <w:bCs w:val="0"/>
          <w:sz w:val="24"/>
          <w:highlight w:val="none"/>
        </w:rPr>
      </w:pPr>
      <w:bookmarkStart w:id="225" w:name="_Toc460851403"/>
      <w:bookmarkStart w:id="226" w:name="_Toc460920314"/>
      <w:bookmarkStart w:id="227" w:name="_Toc460587750"/>
      <w:r>
        <w:rPr>
          <w:rStyle w:val="33"/>
          <w:rFonts w:hint="eastAsia" w:ascii="宋体" w:hAnsi="宋体" w:eastAsia="宋体" w:cs="宋体"/>
          <w:bCs w:val="0"/>
          <w:sz w:val="24"/>
          <w:highlight w:val="none"/>
        </w:rPr>
        <w:t>14、不可抗力</w:t>
      </w:r>
      <w:bookmarkEnd w:id="225"/>
      <w:bookmarkEnd w:id="226"/>
      <w:bookmarkEnd w:id="227"/>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14.1</w:t>
      </w:r>
      <w:r>
        <w:rPr>
          <w:rStyle w:val="33"/>
          <w:rFonts w:hint="eastAsia" w:ascii="宋体" w:hAnsi="宋体" w:eastAsia="宋体" w:cs="宋体"/>
          <w:sz w:val="24"/>
          <w:highlight w:val="none"/>
        </w:rPr>
        <w:t>本合同所称不可抗力事件指合同当事人不能预见、不能避免、不能克服的客观情况，包括但不限于地震、水灾、雷击、雪灾等天灾，战争、恐怖袭击、内乱、严重威胁健康或安全的情形，火灾、极端恶劣天气。</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w:t>
      </w:r>
      <w:r>
        <w:rPr>
          <w:rStyle w:val="33"/>
          <w:rFonts w:hint="eastAsia" w:ascii="宋体" w:hAnsi="宋体" w:eastAsia="宋体" w:cs="宋体"/>
          <w:sz w:val="24"/>
          <w:highlight w:val="none"/>
        </w:rPr>
        <w:t>由于不可抗力原因，使双方或任何一方不能履行合同义务时，应采取有效措施，尽量避免或减少损失，将损失降低到最低程度。并在不可抗力发生后二十四小时内以书面形式通知对方，并在其后十日内向对方提供有效证明文件。</w:t>
      </w:r>
      <w:r>
        <w:rPr>
          <w:rFonts w:hint="eastAsia" w:ascii="宋体" w:hAnsi="宋体" w:eastAsia="宋体" w:cs="宋体"/>
          <w:sz w:val="24"/>
          <w:highlight w:val="none"/>
        </w:rPr>
        <w:t>一方未尽通知义务或未采取措施避免、减少损失的，应就扩大的损失承担相应的赔偿责任。</w:t>
      </w:r>
    </w:p>
    <w:p>
      <w:pPr>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14.3因不可抗力无法按期履行或不能履行本合同的，根据不可抗力的影响，部分或全部免除责任，但法律另有规定的除外。如发生延迟履行，在延迟履行期间发生不可抗力事件导致延迟履行方无法履行其合同义务，延迟履行方不能就延迟履行期间的不可抗力事件免责。</w:t>
      </w:r>
    </w:p>
    <w:p>
      <w:pPr>
        <w:spacing w:line="360" w:lineRule="auto"/>
        <w:ind w:firstLine="480" w:firstLineChars="200"/>
        <w:rPr>
          <w:rStyle w:val="33"/>
          <w:rFonts w:hint="eastAsia" w:ascii="宋体" w:hAnsi="宋体" w:eastAsia="宋体" w:cs="宋体"/>
          <w:sz w:val="24"/>
          <w:highlight w:val="none"/>
        </w:rPr>
      </w:pPr>
      <w:r>
        <w:rPr>
          <w:rFonts w:hint="eastAsia" w:ascii="宋体" w:hAnsi="宋体" w:eastAsia="宋体" w:cs="宋体"/>
          <w:sz w:val="24"/>
          <w:highlight w:val="none"/>
        </w:rPr>
        <w:t>14.4</w:t>
      </w:r>
      <w:bookmarkStart w:id="228" w:name="_Toc460587751"/>
      <w:bookmarkStart w:id="229" w:name="_Toc460851404"/>
      <w:bookmarkStart w:id="230" w:name="_Toc460920315"/>
      <w:r>
        <w:rPr>
          <w:rStyle w:val="33"/>
          <w:rFonts w:hint="eastAsia" w:ascii="宋体" w:hAnsi="宋体" w:eastAsia="宋体" w:cs="宋体"/>
          <w:sz w:val="24"/>
          <w:highlight w:val="none"/>
        </w:rPr>
        <w:t>因不可抗力致使合同无法按期履行或不能履行所造成的损失由双方各自承担。一方未尽通知义务或未采取措施避免、减少损失的，应就扩大的损失承担相应的赔偿责任。如果因不可抗力的影响致使本合同中止履行六十日或六十日以上时，双方应就继续履行本合同进行协商，协商不成则双方均有权终止本合同。当一方因上述原因终止本合同时，应当以书面的方式通知另一方。通知送达另一方时本合同终止。</w:t>
      </w:r>
    </w:p>
    <w:p>
      <w:pPr>
        <w:spacing w:line="360" w:lineRule="auto"/>
        <w:ind w:firstLine="360" w:firstLineChars="150"/>
        <w:rPr>
          <w:rStyle w:val="33"/>
          <w:rFonts w:hint="eastAsia" w:ascii="宋体" w:hAnsi="宋体" w:eastAsia="宋体" w:cs="宋体"/>
          <w:bCs/>
          <w:sz w:val="24"/>
          <w:highlight w:val="none"/>
        </w:rPr>
      </w:pPr>
      <w:r>
        <w:rPr>
          <w:rStyle w:val="33"/>
          <w:rFonts w:hint="eastAsia" w:ascii="宋体" w:hAnsi="宋体" w:eastAsia="宋体" w:cs="宋体"/>
          <w:sz w:val="24"/>
          <w:highlight w:val="none"/>
        </w:rPr>
        <w:t>15、违约责任</w:t>
      </w:r>
      <w:bookmarkEnd w:id="228"/>
      <w:bookmarkEnd w:id="229"/>
      <w:bookmarkEnd w:id="230"/>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15.1在检验、验收和有效期内，如发现货物存在质量瑕疵或不符合合同约定，买方有权向卖方提出索赔。卖方应根据买方的选择，采取下列一种或几种方式相结合解决上述索赔：</w:t>
      </w:r>
    </w:p>
    <w:p>
      <w:pPr>
        <w:spacing w:line="360" w:lineRule="auto"/>
        <w:ind w:firstLine="482" w:firstLineChars="200"/>
        <w:rPr>
          <w:rStyle w:val="33"/>
          <w:rFonts w:hint="eastAsia" w:ascii="宋体" w:hAnsi="宋体" w:eastAsia="宋体" w:cs="宋体"/>
          <w:b/>
          <w:color w:val="000000"/>
          <w:sz w:val="24"/>
          <w:highlight w:val="none"/>
        </w:rPr>
      </w:pPr>
      <w:r>
        <w:rPr>
          <w:rStyle w:val="33"/>
          <w:rFonts w:hint="eastAsia" w:ascii="宋体" w:hAnsi="宋体" w:eastAsia="宋体" w:cs="宋体"/>
          <w:b/>
          <w:sz w:val="24"/>
          <w:highlight w:val="none"/>
        </w:rPr>
        <w:t>15.1.1卖方同意退货并在收到货物后的</w:t>
      </w:r>
      <w:r>
        <w:rPr>
          <w:rStyle w:val="33"/>
          <w:rFonts w:hint="eastAsia" w:ascii="宋体" w:hAnsi="宋体" w:eastAsia="宋体" w:cs="宋体"/>
          <w:b/>
          <w:sz w:val="24"/>
          <w:highlight w:val="none"/>
          <w:u w:val="single"/>
        </w:rPr>
        <w:t>10</w:t>
      </w:r>
      <w:r>
        <w:rPr>
          <w:rStyle w:val="33"/>
          <w:rFonts w:hint="eastAsia" w:ascii="宋体" w:hAnsi="宋体" w:eastAsia="宋体" w:cs="宋体"/>
          <w:b/>
          <w:sz w:val="24"/>
          <w:highlight w:val="none"/>
        </w:rPr>
        <w:t>日内以合同约定的同种货币将价款退还买方，承担由此发生的一切损失和费用，包括利息、银行手续费、运费、保险费、检验费、仓储费、装卸费以及为保管和保护退回货物所需的其他必要费用，并承担合同</w:t>
      </w:r>
      <w:r>
        <w:rPr>
          <w:rStyle w:val="33"/>
          <w:rFonts w:hint="eastAsia" w:ascii="宋体" w:hAnsi="宋体" w:eastAsia="宋体" w:cs="宋体"/>
          <w:b/>
          <w:color w:val="000000"/>
          <w:sz w:val="24"/>
          <w:highlight w:val="none"/>
        </w:rPr>
        <w:t>有效期内已交付货物总价</w:t>
      </w:r>
      <w:r>
        <w:rPr>
          <w:rStyle w:val="33"/>
          <w:rFonts w:hint="eastAsia" w:ascii="宋体" w:hAnsi="宋体" w:eastAsia="宋体" w:cs="宋体"/>
          <w:b/>
          <w:color w:val="000000"/>
          <w:sz w:val="24"/>
          <w:highlight w:val="none"/>
          <w:u w:val="single"/>
        </w:rPr>
        <w:t>20%</w:t>
      </w:r>
      <w:r>
        <w:rPr>
          <w:rStyle w:val="33"/>
          <w:rFonts w:hint="eastAsia" w:ascii="宋体" w:hAnsi="宋体" w:eastAsia="宋体" w:cs="宋体"/>
          <w:b/>
          <w:color w:val="000000"/>
          <w:sz w:val="24"/>
          <w:highlight w:val="none"/>
        </w:rPr>
        <w:t>的违约金。</w:t>
      </w:r>
    </w:p>
    <w:p>
      <w:pPr>
        <w:spacing w:line="360" w:lineRule="auto"/>
        <w:ind w:firstLine="482" w:firstLineChars="200"/>
        <w:rPr>
          <w:rStyle w:val="33"/>
          <w:rFonts w:hint="eastAsia" w:ascii="宋体" w:hAnsi="宋体" w:eastAsia="宋体" w:cs="宋体"/>
          <w:b/>
          <w:color w:val="000000"/>
          <w:sz w:val="24"/>
          <w:highlight w:val="none"/>
        </w:rPr>
      </w:pPr>
      <w:r>
        <w:rPr>
          <w:rStyle w:val="33"/>
          <w:rFonts w:hint="eastAsia" w:ascii="宋体" w:hAnsi="宋体" w:eastAsia="宋体" w:cs="宋体"/>
          <w:b/>
          <w:color w:val="000000"/>
          <w:sz w:val="24"/>
          <w:highlight w:val="none"/>
        </w:rPr>
        <w:t>15.1.2根据货物质量问题可能使买方受到损失的情况，在收到买方通知后</w:t>
      </w:r>
      <w:r>
        <w:rPr>
          <w:rStyle w:val="33"/>
          <w:rFonts w:hint="eastAsia" w:ascii="宋体" w:hAnsi="宋体" w:eastAsia="宋体" w:cs="宋体"/>
          <w:b/>
          <w:color w:val="000000"/>
          <w:sz w:val="24"/>
          <w:highlight w:val="none"/>
          <w:u w:val="single"/>
        </w:rPr>
        <w:t>5</w:t>
      </w:r>
      <w:r>
        <w:rPr>
          <w:rStyle w:val="33"/>
          <w:rFonts w:hint="eastAsia" w:ascii="宋体" w:hAnsi="宋体" w:eastAsia="宋体" w:cs="宋体"/>
          <w:b/>
          <w:color w:val="000000"/>
          <w:sz w:val="24"/>
          <w:highlight w:val="none"/>
        </w:rPr>
        <w:t>日内或在买方提出要求之日起</w:t>
      </w:r>
      <w:r>
        <w:rPr>
          <w:rStyle w:val="33"/>
          <w:rFonts w:hint="eastAsia" w:ascii="宋体" w:hAnsi="宋体" w:eastAsia="宋体" w:cs="宋体"/>
          <w:b/>
          <w:color w:val="000000"/>
          <w:sz w:val="24"/>
          <w:highlight w:val="none"/>
          <w:u w:val="single"/>
        </w:rPr>
        <w:t>5</w:t>
      </w:r>
      <w:r>
        <w:rPr>
          <w:rStyle w:val="33"/>
          <w:rFonts w:hint="eastAsia" w:ascii="宋体" w:hAnsi="宋体" w:eastAsia="宋体" w:cs="宋体"/>
          <w:b/>
          <w:color w:val="000000"/>
          <w:sz w:val="24"/>
          <w:highlight w:val="none"/>
        </w:rPr>
        <w:t>日内更换存在质量问题的货物，承担由此产生的一切费用，赔偿买方受到的全部损失，并承担合同有效期内已交付货物总价</w:t>
      </w:r>
      <w:r>
        <w:rPr>
          <w:rStyle w:val="33"/>
          <w:rFonts w:hint="eastAsia" w:ascii="宋体" w:hAnsi="宋体" w:eastAsia="宋体" w:cs="宋体"/>
          <w:b/>
          <w:color w:val="000000"/>
          <w:sz w:val="24"/>
          <w:highlight w:val="none"/>
          <w:u w:val="single"/>
        </w:rPr>
        <w:t>20%</w:t>
      </w:r>
      <w:r>
        <w:rPr>
          <w:rStyle w:val="33"/>
          <w:rFonts w:hint="eastAsia" w:ascii="宋体" w:hAnsi="宋体" w:eastAsia="宋体" w:cs="宋体"/>
          <w:b/>
          <w:color w:val="000000"/>
          <w:sz w:val="24"/>
          <w:highlight w:val="none"/>
        </w:rPr>
        <w:t>的违约金。卖方所更换货物的有效使用期应为长效期。</w:t>
      </w:r>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15.2如卖方自接到买方索赔通知之日起</w:t>
      </w:r>
      <w:r>
        <w:rPr>
          <w:rStyle w:val="33"/>
          <w:rFonts w:hint="eastAsia" w:ascii="宋体" w:hAnsi="宋体" w:eastAsia="宋体" w:cs="宋体"/>
          <w:b/>
          <w:sz w:val="24"/>
          <w:highlight w:val="none"/>
          <w:u w:val="single"/>
        </w:rPr>
        <w:t>5</w:t>
      </w:r>
      <w:r>
        <w:rPr>
          <w:rStyle w:val="33"/>
          <w:rFonts w:hint="eastAsia" w:ascii="宋体" w:hAnsi="宋体" w:eastAsia="宋体" w:cs="宋体"/>
          <w:b/>
          <w:sz w:val="24"/>
          <w:highlight w:val="none"/>
        </w:rPr>
        <w:t>日内未做出任何答复，则视为卖方已接受买方提出的索赔。</w:t>
      </w:r>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15.3除不可抗力外，如因卖方原因造成迟延交货，每迟延交货</w:t>
      </w:r>
      <w:r>
        <w:rPr>
          <w:rStyle w:val="33"/>
          <w:rFonts w:hint="eastAsia" w:ascii="宋体" w:hAnsi="宋体" w:eastAsia="宋体" w:cs="宋体"/>
          <w:b/>
          <w:sz w:val="24"/>
          <w:highlight w:val="none"/>
          <w:u w:val="single"/>
        </w:rPr>
        <w:t>1</w:t>
      </w:r>
      <w:r>
        <w:rPr>
          <w:rStyle w:val="33"/>
          <w:rFonts w:hint="eastAsia" w:ascii="宋体" w:hAnsi="宋体" w:eastAsia="宋体" w:cs="宋体"/>
          <w:b/>
          <w:sz w:val="24"/>
          <w:highlight w:val="none"/>
        </w:rPr>
        <w:t>日，卖方应向买方支付相当于迟延交付的货物总价的</w:t>
      </w:r>
      <w:r>
        <w:rPr>
          <w:rStyle w:val="33"/>
          <w:rFonts w:hint="eastAsia" w:ascii="宋体" w:hAnsi="宋体" w:eastAsia="宋体" w:cs="宋体"/>
          <w:b/>
          <w:sz w:val="24"/>
          <w:highlight w:val="none"/>
          <w:u w:val="single"/>
        </w:rPr>
        <w:t>万分之五</w:t>
      </w:r>
      <w:r>
        <w:rPr>
          <w:rStyle w:val="33"/>
          <w:rFonts w:hint="eastAsia" w:ascii="宋体" w:hAnsi="宋体" w:eastAsia="宋体" w:cs="宋体"/>
          <w:b/>
          <w:sz w:val="24"/>
          <w:highlight w:val="none"/>
        </w:rPr>
        <w:t>的违约金。上述违约金的支付不解除卖方的发货/交货责任。如果卖方未能在约定的发货/交货期内按时交货，如该等违约金不足以弥补买方因此遭受的损失，卖方还应赔偿买方因此遭受的一切损失。</w:t>
      </w:r>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15.4如果迟延交货超过</w:t>
      </w:r>
      <w:r>
        <w:rPr>
          <w:rStyle w:val="33"/>
          <w:rFonts w:hint="eastAsia" w:ascii="宋体" w:hAnsi="宋体" w:eastAsia="宋体" w:cs="宋体"/>
          <w:b/>
          <w:sz w:val="24"/>
          <w:highlight w:val="none"/>
          <w:u w:val="single"/>
        </w:rPr>
        <w:t>30</w:t>
      </w:r>
      <w:r>
        <w:rPr>
          <w:rStyle w:val="33"/>
          <w:rFonts w:hint="eastAsia" w:ascii="宋体" w:hAnsi="宋体" w:eastAsia="宋体" w:cs="宋体"/>
          <w:b/>
          <w:sz w:val="24"/>
          <w:highlight w:val="none"/>
        </w:rPr>
        <w:t>日，则买方有权解除本合同。在买方解除本合同的情况下，卖方应退还买方已支付全部款项及自付款之日起至返还之日间的利息（按全国银行间同业拆借中心公布的贷款市场报价利率（LPR），赔偿买方受到的其他全部损失，并承担合同有效期内已交付货物总价20%的违约金。</w:t>
      </w:r>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15.5合同期内非买方原因，卖方部分或全部提交不了符合合同规定的标的物时，视为卖方根本性违约，买方有权要求卖方承担合同期内已付价款20%的违约金。</w:t>
      </w:r>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15.6在产品的有效使用期限内，因卖方交付的标的物部分或全部存在缺陷或瑕疵或不符合合同约定的，导致买方或第三方的人员伤亡、财产损失或其他侵权事件发生，卖方还应承担全部损害赔偿责任。</w:t>
      </w:r>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15.7在产品的有效使用期限内，若卖方未能按照本合同第10.2款约定及时开始或完成更换工作的，买方有权按照需更换物品金额5%要求卖方支付违约金，已支付货款的，买方有权要求卖方返还已支付的货款。</w:t>
      </w:r>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15.8卖方交付标的物的数量超出合同约定时，买方有权拒绝接收多交部分，卖方应当承担买方代为保管期间产生的人工、仓储等保管费用以及非因买方故意或重大过失造成的损失。</w:t>
      </w:r>
    </w:p>
    <w:p>
      <w:pPr>
        <w:spacing w:line="360" w:lineRule="auto"/>
        <w:ind w:firstLine="482" w:firstLineChars="200"/>
        <w:rPr>
          <w:rStyle w:val="33"/>
          <w:rFonts w:hint="eastAsia" w:ascii="宋体" w:hAnsi="宋体" w:eastAsia="宋体" w:cs="宋体"/>
          <w:b/>
          <w:sz w:val="24"/>
          <w:highlight w:val="none"/>
        </w:rPr>
      </w:pPr>
      <w:r>
        <w:rPr>
          <w:rStyle w:val="33"/>
          <w:rFonts w:hint="eastAsia" w:ascii="宋体" w:hAnsi="宋体" w:eastAsia="宋体" w:cs="宋体"/>
          <w:b/>
          <w:sz w:val="24"/>
          <w:highlight w:val="none"/>
        </w:rPr>
        <w:t>15.9买方有权从合同价款的任何一笔付款中直接扣除卖方应付给买方的违约金或赔偿金。</w:t>
      </w:r>
    </w:p>
    <w:p>
      <w:pPr>
        <w:spacing w:line="360" w:lineRule="auto"/>
        <w:ind w:firstLine="482" w:firstLineChars="200"/>
        <w:rPr>
          <w:rFonts w:hint="eastAsia" w:ascii="宋体" w:hAnsi="宋体" w:eastAsia="宋体" w:cs="宋体"/>
          <w:b/>
          <w:sz w:val="24"/>
          <w:highlight w:val="none"/>
        </w:rPr>
      </w:pPr>
      <w:r>
        <w:rPr>
          <w:rStyle w:val="33"/>
          <w:rFonts w:hint="eastAsia" w:ascii="宋体" w:hAnsi="宋体" w:eastAsia="宋体" w:cs="宋体"/>
          <w:b/>
          <w:sz w:val="24"/>
          <w:highlight w:val="none"/>
        </w:rPr>
        <w:t>15.10合同期内，非因卖方原因，买方无理由逾期付款的，卖方有权以未付金额为基数，按照全国银行间同业拆借中心公布的贷款市场报价利率（LPR）的2倍计算至款项付清为止</w:t>
      </w:r>
      <w:r>
        <w:rPr>
          <w:rFonts w:hint="eastAsia" w:ascii="宋体" w:hAnsi="宋体" w:eastAsia="宋体" w:cs="宋体"/>
          <w:b/>
          <w:sz w:val="24"/>
          <w:highlight w:val="none"/>
        </w:rPr>
        <w:t>。</w:t>
      </w:r>
    </w:p>
    <w:p>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15.11买卖双方确认,本合同项下买方的损失包括全部直接和间接损失,赔偿范围包括但不限于因卖方的违约使买方产生或支出的赔偿金、罚款罚金、和解费用、诉讼费、仲裁费、律师费、公证费、调查费、差旅费、食宿费等。</w:t>
      </w:r>
    </w:p>
    <w:p>
      <w:pPr>
        <w:pStyle w:val="34"/>
        <w:rPr>
          <w:rStyle w:val="33"/>
          <w:rFonts w:hint="eastAsia" w:ascii="宋体" w:hAnsi="宋体" w:eastAsia="宋体" w:cs="宋体"/>
          <w:bCs w:val="0"/>
          <w:sz w:val="24"/>
          <w:highlight w:val="none"/>
        </w:rPr>
      </w:pPr>
      <w:bookmarkStart w:id="231" w:name="_Toc460851405"/>
      <w:bookmarkStart w:id="232" w:name="_Toc460920316"/>
      <w:bookmarkStart w:id="233" w:name="_Toc460587752"/>
      <w:r>
        <w:rPr>
          <w:rStyle w:val="33"/>
          <w:rFonts w:hint="eastAsia" w:ascii="宋体" w:hAnsi="宋体" w:eastAsia="宋体" w:cs="宋体"/>
          <w:bCs w:val="0"/>
          <w:sz w:val="24"/>
          <w:highlight w:val="none"/>
        </w:rPr>
        <w:t>16、合同的变更与解除</w:t>
      </w:r>
      <w:bookmarkEnd w:id="231"/>
      <w:bookmarkEnd w:id="232"/>
      <w:bookmarkEnd w:id="233"/>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16.1经双方协商一致，可对本合同的条款和条件做出变更。合同变更应以书面方式作出。</w:t>
      </w:r>
    </w:p>
    <w:p>
      <w:pPr>
        <w:spacing w:line="360" w:lineRule="auto"/>
        <w:ind w:firstLine="482" w:firstLineChars="200"/>
        <w:rPr>
          <w:rStyle w:val="33"/>
          <w:rFonts w:hint="eastAsia" w:ascii="宋体" w:hAnsi="宋体" w:eastAsia="宋体" w:cs="宋体"/>
          <w:b/>
          <w:bCs/>
          <w:sz w:val="24"/>
          <w:highlight w:val="none"/>
        </w:rPr>
      </w:pPr>
      <w:r>
        <w:rPr>
          <w:rStyle w:val="33"/>
          <w:rFonts w:hint="eastAsia" w:ascii="宋体" w:hAnsi="宋体" w:eastAsia="宋体" w:cs="宋体"/>
          <w:b/>
          <w:bCs/>
          <w:sz w:val="24"/>
          <w:highlight w:val="none"/>
        </w:rPr>
        <w:t>16.2卖方严重违反其在本合同项下的义务或责任，自收到买方的违约通知之日起</w:t>
      </w:r>
      <w:r>
        <w:rPr>
          <w:rStyle w:val="33"/>
          <w:rFonts w:hint="eastAsia" w:ascii="宋体" w:hAnsi="宋体" w:eastAsia="宋体" w:cs="宋体"/>
          <w:b/>
          <w:bCs/>
          <w:sz w:val="24"/>
          <w:highlight w:val="none"/>
          <w:u w:val="single"/>
        </w:rPr>
        <w:t>10</w:t>
      </w:r>
      <w:r>
        <w:rPr>
          <w:rStyle w:val="33"/>
          <w:rFonts w:hint="eastAsia" w:ascii="宋体" w:hAnsi="宋体" w:eastAsia="宋体" w:cs="宋体"/>
          <w:b/>
          <w:bCs/>
          <w:sz w:val="24"/>
          <w:highlight w:val="none"/>
        </w:rPr>
        <w:t>日内仍未能改正的，买方有权书面通知卖方全部或部分解除本合同。</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16.3本合同全部或部分终止并不免除违约方应承担的违约责任，包括但不限于定金罚则、支付违约金、赔偿金。</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16.4卖方破产或因其他原因丧失清偿能力，在不损害或影响买方的任何行动权利和已采取或将采取的对买方补救措施的条件下，买方可在任何时候书面通知卖方终止合同而无须向卖方作任何补偿。</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16.5 解除本合同不影响合同解除前已生效的订单的效力。</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 xml:space="preserve">16.6 本合同因任何原因终止或解除后,双方均应办理退货/对账/结算等手续。具体包括: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16.6.1乙方应办理完毕产品清退事宜并经与甲方对账后,向甲方提交乙方盖章的《账款确认函》;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16.6.2 如有未结货款,在乙方办理完毕产品清退事宜并且提交《账款确认函》及相应未结货款的增值税票及本合同约定的其它结算手续(如有)后,甲方按照合同规定付款期限支付。 </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乙方未办理完毕产品清退手续、未提交相应增值税票及其它约定手续或者未提交《账款确认函》的,甲方有权暂停向乙方支付货款,甲方不属于违约不需承担延迟付款的责任。</w:t>
      </w:r>
    </w:p>
    <w:p>
      <w:pPr>
        <w:spacing w:line="360" w:lineRule="auto"/>
        <w:ind w:firstLine="482" w:firstLineChars="200"/>
        <w:rPr>
          <w:rStyle w:val="33"/>
          <w:rFonts w:hint="eastAsia" w:ascii="宋体" w:hAnsi="宋体" w:eastAsia="宋体" w:cs="宋体"/>
          <w:sz w:val="24"/>
          <w:highlight w:val="none"/>
        </w:rPr>
      </w:pPr>
      <w:r>
        <w:rPr>
          <w:rFonts w:hint="eastAsia" w:ascii="宋体" w:hAnsi="宋体" w:eastAsia="宋体" w:cs="宋体"/>
          <w:b/>
          <w:sz w:val="24"/>
          <w:highlight w:val="none"/>
        </w:rPr>
        <w:t>16.6.3 《账款确认函》需明确未结货款金额(如有),乙方承诺,除该笔未结货款外(如有),其它包括但不限于货款、费用、退货等问题均已核对清楚并已结清,乙方已无异议, 乙方若仍有遗漏或未核对的业务往来票据、单据一律作废,乙方放弃前述票据、单据所代表的全部债权。本承诺为不可撤销及不可更改。</w:t>
      </w:r>
    </w:p>
    <w:p>
      <w:pPr>
        <w:pStyle w:val="34"/>
        <w:rPr>
          <w:rStyle w:val="33"/>
          <w:rFonts w:hint="eastAsia" w:ascii="宋体" w:hAnsi="宋体" w:eastAsia="宋体" w:cs="宋体"/>
          <w:bCs w:val="0"/>
          <w:sz w:val="24"/>
          <w:highlight w:val="none"/>
        </w:rPr>
      </w:pPr>
      <w:bookmarkStart w:id="234" w:name="_Toc460851406"/>
      <w:bookmarkStart w:id="235" w:name="_Toc460920317"/>
      <w:bookmarkStart w:id="236" w:name="_Toc460587753"/>
      <w:r>
        <w:rPr>
          <w:rStyle w:val="33"/>
          <w:rFonts w:hint="eastAsia" w:ascii="宋体" w:hAnsi="宋体" w:eastAsia="宋体" w:cs="宋体"/>
          <w:bCs w:val="0"/>
          <w:sz w:val="24"/>
          <w:highlight w:val="none"/>
        </w:rPr>
        <w:t>17、完整性</w:t>
      </w:r>
      <w:bookmarkEnd w:id="234"/>
      <w:bookmarkEnd w:id="235"/>
      <w:bookmarkEnd w:id="236"/>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招标文件、投标文件、评标过程中的承诺文件、中标/入围通知书及本合同提及的相关文件或附于本合同的附件均是本合同的组成部分，且与本合同约定具有同等法律效力，本合同及其附件构成完整协议，并取代双方先前就本合同标的做出的一切口头及书面协议、传真和会议纪要。如附件与本合同不一致，以本合同为准。</w:t>
      </w:r>
    </w:p>
    <w:p>
      <w:pPr>
        <w:pStyle w:val="34"/>
        <w:rPr>
          <w:rStyle w:val="33"/>
          <w:rFonts w:hint="eastAsia" w:ascii="宋体" w:hAnsi="宋体" w:eastAsia="宋体" w:cs="宋体"/>
          <w:bCs w:val="0"/>
          <w:sz w:val="24"/>
          <w:highlight w:val="none"/>
        </w:rPr>
      </w:pPr>
      <w:bookmarkStart w:id="237" w:name="_Toc460920318"/>
      <w:bookmarkStart w:id="238" w:name="_Toc460851407"/>
      <w:bookmarkStart w:id="239" w:name="_Toc460587754"/>
      <w:r>
        <w:rPr>
          <w:rStyle w:val="33"/>
          <w:rFonts w:hint="eastAsia" w:ascii="宋体" w:hAnsi="宋体" w:eastAsia="宋体" w:cs="宋体"/>
          <w:bCs w:val="0"/>
          <w:sz w:val="24"/>
          <w:highlight w:val="none"/>
        </w:rPr>
        <w:t>18、修订</w:t>
      </w:r>
      <w:bookmarkEnd w:id="237"/>
      <w:bookmarkEnd w:id="238"/>
      <w:bookmarkEnd w:id="239"/>
    </w:p>
    <w:p>
      <w:pPr>
        <w:spacing w:line="360" w:lineRule="auto"/>
        <w:ind w:firstLine="480" w:firstLineChars="200"/>
        <w:rPr>
          <w:rStyle w:val="33"/>
          <w:rFonts w:hint="eastAsia" w:ascii="宋体" w:hAnsi="宋体" w:eastAsia="宋体" w:cs="宋体"/>
          <w:b/>
          <w:sz w:val="24"/>
          <w:highlight w:val="none"/>
        </w:rPr>
      </w:pPr>
      <w:r>
        <w:rPr>
          <w:rStyle w:val="33"/>
          <w:rFonts w:hint="eastAsia" w:ascii="宋体" w:hAnsi="宋体" w:eastAsia="宋体" w:cs="宋体"/>
          <w:sz w:val="24"/>
          <w:highlight w:val="none"/>
        </w:rPr>
        <w:t>任何对本合同的补充和条款的修改，都应经双方协商一致后，由双方授权代表签署书面协议。</w:t>
      </w:r>
    </w:p>
    <w:p>
      <w:pPr>
        <w:pStyle w:val="34"/>
        <w:rPr>
          <w:rStyle w:val="33"/>
          <w:rFonts w:hint="eastAsia" w:ascii="宋体" w:hAnsi="宋体" w:eastAsia="宋体" w:cs="宋体"/>
          <w:bCs w:val="0"/>
          <w:sz w:val="24"/>
          <w:highlight w:val="none"/>
        </w:rPr>
      </w:pPr>
      <w:bookmarkStart w:id="240" w:name="_Toc460587755"/>
      <w:bookmarkStart w:id="241" w:name="_Toc460920319"/>
      <w:bookmarkStart w:id="242" w:name="_Toc460851408"/>
      <w:r>
        <w:rPr>
          <w:rStyle w:val="33"/>
          <w:rFonts w:hint="eastAsia" w:ascii="宋体" w:hAnsi="宋体" w:eastAsia="宋体" w:cs="宋体"/>
          <w:bCs w:val="0"/>
          <w:sz w:val="24"/>
          <w:highlight w:val="none"/>
        </w:rPr>
        <w:t>19、适用法律及争议解决</w:t>
      </w:r>
      <w:bookmarkEnd w:id="240"/>
      <w:bookmarkEnd w:id="241"/>
      <w:bookmarkEnd w:id="242"/>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19.1本合同的订立、解释、履行及效力均受中国法律管辖。</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19.2凡因执行本合同发生的与本合同有关的一切争议，双方应首先尽最大努力友好协商解决。</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19.3</w:t>
      </w:r>
      <w:r>
        <w:rPr>
          <w:rFonts w:hint="eastAsia" w:ascii="宋体" w:hAnsi="宋体" w:eastAsia="宋体" w:cs="宋体"/>
          <w:bCs/>
          <w:sz w:val="24"/>
          <w:highlight w:val="none"/>
        </w:rPr>
        <w:t>因本合同引起的或与本合同有关的任何争议，双方自行协商解决；协商不成的，按以下第</w:t>
      </w:r>
      <w:r>
        <w:rPr>
          <w:rFonts w:hint="eastAsia" w:ascii="宋体" w:hAnsi="宋体" w:eastAsia="宋体" w:cs="宋体"/>
          <w:bCs/>
          <w:sz w:val="24"/>
          <w:highlight w:val="none"/>
          <w:u w:val="single"/>
        </w:rPr>
        <w:t>（1）</w:t>
      </w:r>
      <w:r>
        <w:rPr>
          <w:rFonts w:hint="eastAsia" w:ascii="宋体" w:hAnsi="宋体" w:eastAsia="宋体" w:cs="宋体"/>
          <w:bCs/>
          <w:sz w:val="24"/>
          <w:highlight w:val="none"/>
        </w:rPr>
        <w:t>种方式解决：</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（1）向</w:t>
      </w:r>
      <w:r>
        <w:rPr>
          <w:rFonts w:hint="eastAsia" w:ascii="宋体" w:hAnsi="宋体" w:eastAsia="宋体" w:cs="宋体"/>
          <w:bCs/>
          <w:sz w:val="24"/>
          <w:highlight w:val="none"/>
          <w:u w:val="single"/>
        </w:rPr>
        <w:t>买方所在地</w:t>
      </w:r>
      <w:r>
        <w:rPr>
          <w:rFonts w:hint="eastAsia" w:ascii="宋体" w:hAnsi="宋体" w:eastAsia="宋体" w:cs="宋体"/>
          <w:bCs/>
          <w:sz w:val="24"/>
          <w:highlight w:val="none"/>
        </w:rPr>
        <w:t>人民法院提起诉讼。</w:t>
      </w:r>
    </w:p>
    <w:p>
      <w:pPr>
        <w:spacing w:line="360" w:lineRule="auto"/>
        <w:ind w:firstLine="480" w:firstLineChars="200"/>
        <w:rPr>
          <w:rStyle w:val="33"/>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bCs/>
          <w:sz w:val="24"/>
          <w:highlight w:val="none"/>
        </w:rPr>
        <w:t>2）因关联交易合同发生争议，提交双方上级机关协调解决。</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19.4在仲裁或诉讼期间或调解期间，除提交仲裁或诉讼或调解的争议事项外，双方应继续履行本合同及本合同附件的其他内容。</w:t>
      </w:r>
    </w:p>
    <w:p>
      <w:pPr>
        <w:pStyle w:val="34"/>
        <w:rPr>
          <w:rStyle w:val="33"/>
          <w:rFonts w:hint="eastAsia" w:ascii="宋体" w:hAnsi="宋体" w:eastAsia="宋体" w:cs="宋体"/>
          <w:bCs w:val="0"/>
          <w:sz w:val="24"/>
          <w:highlight w:val="none"/>
        </w:rPr>
      </w:pPr>
      <w:bookmarkStart w:id="243" w:name="_Toc460587756"/>
      <w:bookmarkStart w:id="244" w:name="_Toc460851409"/>
      <w:bookmarkStart w:id="245" w:name="_Toc460920320"/>
      <w:r>
        <w:rPr>
          <w:rStyle w:val="33"/>
          <w:rFonts w:hint="eastAsia" w:ascii="宋体" w:hAnsi="宋体" w:eastAsia="宋体" w:cs="宋体"/>
          <w:bCs w:val="0"/>
          <w:sz w:val="24"/>
          <w:highlight w:val="none"/>
        </w:rPr>
        <w:t>20、通知</w:t>
      </w:r>
      <w:bookmarkEnd w:id="243"/>
      <w:bookmarkEnd w:id="244"/>
      <w:bookmarkEnd w:id="245"/>
    </w:p>
    <w:p>
      <w:pPr>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任何与本合同有关的各类文书（包括但不限于函件、通知、法律文书等）应按照合同扉页填写的联系信息以书面形式作出，由本合同一方以专人递送、电子邮件、邮递方式发出。通知以专人递送，于递交时视为送达；以电子邮件方式发出，于发件人邮箱显示邮件已发出时视为送达；以邮递方式发出，于邮件寄出后的第3个工作日视为送达。任何通知一经送达即行生效。</w:t>
      </w:r>
    </w:p>
    <w:p>
      <w:pPr>
        <w:spacing w:line="360" w:lineRule="auto"/>
        <w:ind w:firstLine="480" w:firstLineChars="200"/>
        <w:rPr>
          <w:rStyle w:val="33"/>
          <w:rFonts w:hint="eastAsia" w:ascii="宋体" w:hAnsi="宋体" w:eastAsia="宋体" w:cs="宋体"/>
          <w:sz w:val="24"/>
          <w:highlight w:val="none"/>
        </w:rPr>
      </w:pPr>
      <w:r>
        <w:rPr>
          <w:rFonts w:hint="eastAsia" w:ascii="宋体" w:hAnsi="宋体" w:eastAsia="宋体" w:cs="宋体"/>
          <w:sz w:val="24"/>
          <w:highlight w:val="none"/>
        </w:rPr>
        <w:t>任何一方对以上记载的联络及通讯方式信息作出修改、更换或变更的，必须3日内书面通知对方。如未书面通知的，任何一方以合同中记载的联络及通讯方式信息进行通知、函告、邮寄等活动均视为送达。</w:t>
      </w:r>
    </w:p>
    <w:p>
      <w:pPr>
        <w:pStyle w:val="34"/>
        <w:rPr>
          <w:rStyle w:val="33"/>
          <w:rFonts w:hint="eastAsia" w:ascii="宋体" w:hAnsi="宋体" w:eastAsia="宋体" w:cs="宋体"/>
          <w:bCs w:val="0"/>
          <w:sz w:val="24"/>
          <w:highlight w:val="none"/>
        </w:rPr>
      </w:pPr>
      <w:bookmarkStart w:id="246" w:name="_Toc460587757"/>
      <w:bookmarkStart w:id="247" w:name="_Toc460851410"/>
      <w:bookmarkStart w:id="248" w:name="_Toc460920321"/>
      <w:r>
        <w:rPr>
          <w:rStyle w:val="33"/>
          <w:rFonts w:hint="eastAsia" w:ascii="宋体" w:hAnsi="宋体" w:eastAsia="宋体" w:cs="宋体"/>
          <w:bCs w:val="0"/>
          <w:sz w:val="24"/>
          <w:highlight w:val="none"/>
        </w:rPr>
        <w:t>21、合同效力及其他约定</w:t>
      </w:r>
      <w:bookmarkEnd w:id="246"/>
      <w:bookmarkEnd w:id="247"/>
      <w:bookmarkEnd w:id="248"/>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21.1本合同的履行地为</w:t>
      </w:r>
      <w:r>
        <w:rPr>
          <w:rStyle w:val="33"/>
          <w:rFonts w:hint="eastAsia" w:ascii="宋体" w:hAnsi="宋体" w:eastAsia="宋体" w:cs="宋体"/>
          <w:sz w:val="24"/>
          <w:highlight w:val="none"/>
          <w:u w:val="single"/>
        </w:rPr>
        <w:t>新疆克拉玛依市克拉玛依区</w:t>
      </w:r>
      <w:r>
        <w:rPr>
          <w:rStyle w:val="33"/>
          <w:rFonts w:hint="eastAsia" w:ascii="宋体" w:hAnsi="宋体" w:eastAsia="宋体" w:cs="宋体"/>
          <w:sz w:val="24"/>
          <w:highlight w:val="none"/>
        </w:rPr>
        <w:t>。</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21.2本合同自双方法定代表人/负责人或其授权代表签字并加盖合同专用章之日起生效，至双方合同权利义务全部履行完毕之日终止。</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21.3本合同附件是本合同的组成部分，具有与本合同同等的法律效力。</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21.4本合同有效存续期内，卖方应严格防控卖方或其员工进行的各类商业贿赂行为。一经发现，买方有权单方面解除本合同，并要求卖方赔偿买方因合同解除所造成的损失。</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21.5未经双方一致同意，任何一方不得将本合同项下的任何权利、义务转让与任何第三方。</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21.6本合同未尽事宜，由买卖双方另行协商。</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21.7对于本合同项下的任何修改、补充及变更，均应由本合同的双方协商一致并以书面形式作出，经本合同的双方授权的代表签字并加盖各自的合同专用章后方为有效。该等修改、补充及变更的书面协议将构成本合同的组成部分，与本合同具有同等法律效力</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21.8本合同一式</w:t>
      </w:r>
      <w:r>
        <w:rPr>
          <w:rStyle w:val="33"/>
          <w:rFonts w:hint="eastAsia" w:ascii="宋体" w:hAnsi="宋体" w:eastAsia="宋体" w:cs="宋体"/>
          <w:sz w:val="24"/>
          <w:highlight w:val="none"/>
          <w:u w:val="single"/>
        </w:rPr>
        <w:t xml:space="preserve">    </w:t>
      </w:r>
      <w:r>
        <w:rPr>
          <w:rStyle w:val="33"/>
          <w:rFonts w:hint="eastAsia" w:ascii="宋体" w:hAnsi="宋体" w:eastAsia="宋体" w:cs="宋体"/>
          <w:sz w:val="24"/>
          <w:highlight w:val="none"/>
        </w:rPr>
        <w:t>份，买方执</w:t>
      </w:r>
      <w:r>
        <w:rPr>
          <w:rStyle w:val="33"/>
          <w:rFonts w:hint="eastAsia" w:ascii="宋体" w:hAnsi="宋体" w:eastAsia="宋体" w:cs="宋体"/>
          <w:sz w:val="24"/>
          <w:highlight w:val="none"/>
          <w:u w:val="single"/>
        </w:rPr>
        <w:t xml:space="preserve">   </w:t>
      </w:r>
      <w:r>
        <w:rPr>
          <w:rStyle w:val="33"/>
          <w:rFonts w:hint="eastAsia" w:ascii="宋体" w:hAnsi="宋体" w:eastAsia="宋体" w:cs="宋体"/>
          <w:sz w:val="24"/>
          <w:highlight w:val="none"/>
        </w:rPr>
        <w:t>份，卖方执</w:t>
      </w:r>
      <w:r>
        <w:rPr>
          <w:rStyle w:val="33"/>
          <w:rFonts w:hint="eastAsia" w:ascii="宋体" w:hAnsi="宋体" w:eastAsia="宋体" w:cs="宋体"/>
          <w:sz w:val="24"/>
          <w:highlight w:val="none"/>
          <w:u w:val="single"/>
        </w:rPr>
        <w:t xml:space="preserve">   </w:t>
      </w:r>
      <w:r>
        <w:rPr>
          <w:rStyle w:val="33"/>
          <w:rFonts w:hint="eastAsia" w:ascii="宋体" w:hAnsi="宋体" w:eastAsia="宋体" w:cs="宋体"/>
          <w:sz w:val="24"/>
          <w:highlight w:val="none"/>
        </w:rPr>
        <w:t>份，各份具有同等法律效力。</w:t>
      </w:r>
    </w:p>
    <w:p>
      <w:pPr>
        <w:spacing w:line="360" w:lineRule="auto"/>
        <w:ind w:firstLine="480" w:firstLineChars="200"/>
        <w:rPr>
          <w:rStyle w:val="33"/>
          <w:rFonts w:hint="eastAsia" w:ascii="宋体" w:hAnsi="宋体" w:eastAsia="宋体" w:cs="宋体"/>
          <w:sz w:val="24"/>
          <w:highlight w:val="none"/>
        </w:rPr>
      </w:pPr>
      <w:r>
        <w:rPr>
          <w:rStyle w:val="33"/>
          <w:rFonts w:hint="eastAsia" w:ascii="宋体" w:hAnsi="宋体" w:eastAsia="宋体" w:cs="宋体"/>
          <w:sz w:val="24"/>
          <w:highlight w:val="none"/>
        </w:rPr>
        <w:t>21.9其他约定：</w:t>
      </w:r>
      <w:r>
        <w:rPr>
          <w:rStyle w:val="33"/>
          <w:rFonts w:hint="eastAsia" w:ascii="宋体" w:hAnsi="宋体" w:eastAsia="宋体" w:cs="宋体"/>
          <w:sz w:val="24"/>
          <w:highlight w:val="none"/>
          <w:u w:val="single"/>
        </w:rPr>
        <w:t xml:space="preserve">           无                   </w:t>
      </w:r>
      <w:r>
        <w:rPr>
          <w:rFonts w:hint="eastAsia" w:ascii="宋体" w:hAnsi="宋体" w:eastAsia="宋体" w:cs="宋体"/>
          <w:sz w:val="24"/>
          <w:highlight w:val="none"/>
        </w:rPr>
        <w:t>。</w:t>
      </w:r>
    </w:p>
    <w:p>
      <w:pPr>
        <w:snapToGrid w:val="0"/>
        <w:spacing w:line="360" w:lineRule="auto"/>
        <w:rPr>
          <w:rFonts w:hint="eastAsia" w:ascii="宋体" w:hAnsi="宋体" w:eastAsia="宋体" w:cs="宋体"/>
          <w:sz w:val="24"/>
          <w:highlight w:val="none"/>
        </w:rPr>
      </w:pPr>
      <w:bookmarkStart w:id="249" w:name="_Toc460587758"/>
      <w:bookmarkStart w:id="250" w:name="_Toc460851411"/>
      <w:bookmarkStart w:id="251" w:name="_Toc460920322"/>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（以下无正文，为合同签署页及附件）</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买方（盖章）： 克拉玛依市中心医院</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法定代表人(负责人)（签字）：</w:t>
      </w:r>
    </w:p>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或授权代理人（签字）：</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日期：    年    月    日</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卖方（盖章）：</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法定代表人(负责人)（签字）：</w:t>
      </w:r>
    </w:p>
    <w:p>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或授权代理人（签字）：</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日期：    年    月    日</w:t>
      </w:r>
    </w:p>
    <w:bookmarkEnd w:id="249"/>
    <w:bookmarkEnd w:id="250"/>
    <w:bookmarkEnd w:id="251"/>
    <w:p>
      <w:pPr>
        <w:spacing w:line="500" w:lineRule="exact"/>
        <w:rPr>
          <w:rStyle w:val="33"/>
          <w:rFonts w:hint="eastAsia" w:ascii="宋体" w:hAnsi="宋体" w:eastAsia="宋体" w:cs="宋体"/>
          <w:sz w:val="24"/>
          <w:highlight w:val="none"/>
        </w:rPr>
        <w:sectPr>
          <w:footerReference r:id="rId9" w:type="default"/>
          <w:pgSz w:w="11906" w:h="16838"/>
          <w:pgMar w:top="1440" w:right="1800" w:bottom="1440" w:left="1800" w:header="851" w:footer="992" w:gutter="0"/>
          <w:cols w:space="720" w:num="1"/>
          <w:docGrid w:type="lines" w:linePitch="312" w:charSpace="0"/>
        </w:sectPr>
      </w:pPr>
    </w:p>
    <w:p>
      <w:pPr>
        <w:pStyle w:val="36"/>
        <w:numPr>
          <w:ilvl w:val="0"/>
          <w:numId w:val="0"/>
        </w:numPr>
        <w:rPr>
          <w:rFonts w:hint="eastAsia" w:ascii="宋体" w:hAnsi="宋体" w:eastAsia="宋体" w:cs="宋体"/>
          <w:sz w:val="24"/>
          <w:szCs w:val="24"/>
          <w:highlight w:val="none"/>
          <w:lang w:eastAsia="zh-CN"/>
        </w:rPr>
      </w:pPr>
      <w:bookmarkStart w:id="252" w:name="_Toc460851412"/>
      <w:bookmarkStart w:id="253" w:name="_Toc460920323"/>
      <w:bookmarkStart w:id="254" w:name="_Toc359080255"/>
      <w:bookmarkStart w:id="255" w:name="_Toc290842500"/>
      <w:bookmarkStart w:id="256" w:name="_Toc460587759"/>
      <w:r>
        <w:rPr>
          <w:rFonts w:hint="eastAsia" w:ascii="宋体" w:hAnsi="宋体" w:eastAsia="宋体" w:cs="宋体"/>
          <w:sz w:val="24"/>
          <w:szCs w:val="24"/>
          <w:highlight w:val="none"/>
          <w:lang w:eastAsia="zh-CN"/>
        </w:rPr>
        <w:t>附件一：货物明细</w:t>
      </w:r>
      <w:bookmarkEnd w:id="252"/>
      <w:bookmarkEnd w:id="253"/>
      <w:bookmarkEnd w:id="254"/>
      <w:bookmarkEnd w:id="255"/>
      <w:bookmarkEnd w:id="256"/>
      <w:r>
        <w:rPr>
          <w:rFonts w:hint="eastAsia" w:ascii="宋体" w:hAnsi="宋体" w:eastAsia="宋体" w:cs="宋体"/>
          <w:sz w:val="24"/>
          <w:szCs w:val="24"/>
          <w:highlight w:val="none"/>
          <w:lang w:eastAsia="zh-CN"/>
        </w:rPr>
        <w:t>表</w:t>
      </w:r>
    </w:p>
    <w:p>
      <w:pPr>
        <w:pStyle w:val="37"/>
        <w:numPr>
          <w:ilvl w:val="1"/>
          <w:numId w:val="0"/>
        </w:numPr>
        <w:ind w:right="480"/>
        <w:jc w:val="center"/>
        <w:rPr>
          <w:rFonts w:hint="eastAsia" w:ascii="宋体" w:hAnsi="宋体" w:eastAsia="宋体" w:cs="宋体"/>
          <w:szCs w:val="24"/>
          <w:highlight w:val="none"/>
          <w:lang w:eastAsia="zh-CN"/>
        </w:rPr>
      </w:pPr>
    </w:p>
    <w:tbl>
      <w:tblPr>
        <w:tblStyle w:val="17"/>
        <w:tblW w:w="10436" w:type="dxa"/>
        <w:jc w:val="center"/>
        <w:tblLayout w:type="fixed"/>
        <w:tblCellMar>
          <w:top w:w="0" w:type="dxa"/>
          <w:left w:w="108" w:type="dxa"/>
          <w:bottom w:w="0" w:type="dxa"/>
          <w:right w:w="108" w:type="dxa"/>
        </w:tblCellMar>
      </w:tblPr>
      <w:tblGrid>
        <w:gridCol w:w="690"/>
        <w:gridCol w:w="1916"/>
        <w:gridCol w:w="2073"/>
        <w:gridCol w:w="806"/>
        <w:gridCol w:w="1382"/>
        <w:gridCol w:w="1267"/>
        <w:gridCol w:w="1151"/>
        <w:gridCol w:w="1151"/>
      </w:tblGrid>
      <w:tr>
        <w:tblPrEx>
          <w:tblCellMar>
            <w:top w:w="0" w:type="dxa"/>
            <w:left w:w="108" w:type="dxa"/>
            <w:bottom w:w="0" w:type="dxa"/>
            <w:right w:w="108" w:type="dxa"/>
          </w:tblCellMar>
        </w:tblPrEx>
        <w:trPr>
          <w:trHeight w:val="823"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19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物资名称</w:t>
            </w:r>
          </w:p>
        </w:tc>
        <w:tc>
          <w:tcPr>
            <w:tcW w:w="20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注册证名称</w:t>
            </w:r>
          </w:p>
        </w:tc>
        <w:tc>
          <w:tcPr>
            <w:tcW w:w="80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规格型号</w:t>
            </w:r>
          </w:p>
        </w:tc>
        <w:tc>
          <w:tcPr>
            <w:tcW w:w="138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生产厂家</w:t>
            </w:r>
          </w:p>
        </w:tc>
        <w:tc>
          <w:tcPr>
            <w:tcW w:w="126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计量单位</w:t>
            </w:r>
          </w:p>
        </w:tc>
        <w:tc>
          <w:tcPr>
            <w:tcW w:w="115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单价（含税价）（元）</w:t>
            </w:r>
          </w:p>
        </w:tc>
        <w:tc>
          <w:tcPr>
            <w:tcW w:w="115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备注</w:t>
            </w:r>
          </w:p>
        </w:tc>
      </w:tr>
      <w:tr>
        <w:tblPrEx>
          <w:tblCellMar>
            <w:top w:w="0" w:type="dxa"/>
            <w:left w:w="108" w:type="dxa"/>
            <w:bottom w:w="0" w:type="dxa"/>
            <w:right w:w="108" w:type="dxa"/>
          </w:tblCellMar>
        </w:tblPrEx>
        <w:trPr>
          <w:trHeight w:val="411" w:hRule="atLeast"/>
          <w:jc w:val="center"/>
        </w:trPr>
        <w:tc>
          <w:tcPr>
            <w:tcW w:w="69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916"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207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806"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382"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26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151" w:type="dxa"/>
            <w:tcBorders>
              <w:top w:val="nil"/>
              <w:left w:val="nil"/>
              <w:bottom w:val="single" w:color="auto" w:sz="4" w:space="0"/>
              <w:right w:val="single" w:color="auto" w:sz="4" w:space="0"/>
            </w:tcBorders>
            <w:vAlign w:val="center"/>
          </w:tcPr>
          <w:p>
            <w:pPr>
              <w:rPr>
                <w:rFonts w:hint="eastAsia" w:ascii="宋体" w:hAnsi="宋体" w:eastAsia="宋体" w:cs="宋体"/>
                <w:color w:val="000000"/>
                <w:sz w:val="24"/>
                <w:highlight w:val="none"/>
              </w:rPr>
            </w:pPr>
          </w:p>
        </w:tc>
        <w:tc>
          <w:tcPr>
            <w:tcW w:w="1151" w:type="dxa"/>
            <w:tcBorders>
              <w:top w:val="nil"/>
              <w:left w:val="nil"/>
              <w:bottom w:val="single" w:color="auto" w:sz="4" w:space="0"/>
              <w:right w:val="single" w:color="auto" w:sz="4" w:space="0"/>
            </w:tcBorders>
          </w:tcPr>
          <w:p>
            <w:pPr>
              <w:rPr>
                <w:rFonts w:hint="eastAsia" w:ascii="宋体" w:hAnsi="宋体" w:eastAsia="宋体" w:cs="宋体"/>
                <w:color w:val="000000"/>
                <w:sz w:val="24"/>
                <w:highlight w:val="none"/>
              </w:rPr>
            </w:pPr>
          </w:p>
        </w:tc>
      </w:tr>
      <w:tr>
        <w:tblPrEx>
          <w:tblCellMar>
            <w:top w:w="0" w:type="dxa"/>
            <w:left w:w="108" w:type="dxa"/>
            <w:bottom w:w="0" w:type="dxa"/>
            <w:right w:w="108" w:type="dxa"/>
          </w:tblCellMar>
        </w:tblPrEx>
        <w:trPr>
          <w:trHeight w:val="411" w:hRule="atLeast"/>
          <w:jc w:val="center"/>
        </w:trPr>
        <w:tc>
          <w:tcPr>
            <w:tcW w:w="69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1916"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207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806"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382"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26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151" w:type="dxa"/>
            <w:tcBorders>
              <w:top w:val="nil"/>
              <w:left w:val="nil"/>
              <w:bottom w:val="single" w:color="auto" w:sz="4" w:space="0"/>
              <w:right w:val="single" w:color="auto" w:sz="4" w:space="0"/>
            </w:tcBorders>
            <w:vAlign w:val="center"/>
          </w:tcPr>
          <w:p>
            <w:pPr>
              <w:rPr>
                <w:rFonts w:hint="eastAsia" w:ascii="宋体" w:hAnsi="宋体" w:eastAsia="宋体" w:cs="宋体"/>
                <w:color w:val="000000"/>
                <w:sz w:val="24"/>
                <w:highlight w:val="none"/>
              </w:rPr>
            </w:pPr>
          </w:p>
        </w:tc>
        <w:tc>
          <w:tcPr>
            <w:tcW w:w="1151" w:type="dxa"/>
            <w:tcBorders>
              <w:top w:val="nil"/>
              <w:left w:val="nil"/>
              <w:bottom w:val="single" w:color="auto" w:sz="4" w:space="0"/>
              <w:right w:val="single" w:color="auto" w:sz="4" w:space="0"/>
            </w:tcBorders>
          </w:tcPr>
          <w:p>
            <w:pPr>
              <w:rPr>
                <w:rFonts w:hint="eastAsia" w:ascii="宋体" w:hAnsi="宋体" w:eastAsia="宋体" w:cs="宋体"/>
                <w:color w:val="000000"/>
                <w:sz w:val="24"/>
                <w:highlight w:val="none"/>
              </w:rPr>
            </w:pPr>
          </w:p>
        </w:tc>
      </w:tr>
      <w:tr>
        <w:tblPrEx>
          <w:tblCellMar>
            <w:top w:w="0" w:type="dxa"/>
            <w:left w:w="108" w:type="dxa"/>
            <w:bottom w:w="0" w:type="dxa"/>
            <w:right w:w="108" w:type="dxa"/>
          </w:tblCellMar>
        </w:tblPrEx>
        <w:trPr>
          <w:trHeight w:val="411" w:hRule="atLeast"/>
          <w:jc w:val="center"/>
        </w:trPr>
        <w:tc>
          <w:tcPr>
            <w:tcW w:w="69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p>
        </w:tc>
        <w:tc>
          <w:tcPr>
            <w:tcW w:w="1916"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207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806"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382"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26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151" w:type="dxa"/>
            <w:tcBorders>
              <w:top w:val="nil"/>
              <w:left w:val="nil"/>
              <w:bottom w:val="single" w:color="auto" w:sz="4" w:space="0"/>
              <w:right w:val="single" w:color="auto" w:sz="4" w:space="0"/>
            </w:tcBorders>
            <w:vAlign w:val="center"/>
          </w:tcPr>
          <w:p>
            <w:pPr>
              <w:rPr>
                <w:rFonts w:hint="eastAsia" w:ascii="宋体" w:hAnsi="宋体" w:eastAsia="宋体" w:cs="宋体"/>
                <w:color w:val="000000"/>
                <w:sz w:val="24"/>
                <w:highlight w:val="none"/>
              </w:rPr>
            </w:pPr>
          </w:p>
        </w:tc>
        <w:tc>
          <w:tcPr>
            <w:tcW w:w="1151" w:type="dxa"/>
            <w:tcBorders>
              <w:top w:val="nil"/>
              <w:left w:val="nil"/>
              <w:bottom w:val="single" w:color="auto" w:sz="4" w:space="0"/>
              <w:right w:val="single" w:color="auto" w:sz="4" w:space="0"/>
            </w:tcBorders>
          </w:tcPr>
          <w:p>
            <w:pPr>
              <w:rPr>
                <w:rFonts w:hint="eastAsia" w:ascii="宋体" w:hAnsi="宋体" w:eastAsia="宋体" w:cs="宋体"/>
                <w:color w:val="000000"/>
                <w:sz w:val="24"/>
                <w:highlight w:val="none"/>
              </w:rPr>
            </w:pPr>
          </w:p>
        </w:tc>
      </w:tr>
      <w:tr>
        <w:tblPrEx>
          <w:tblCellMar>
            <w:top w:w="0" w:type="dxa"/>
            <w:left w:w="108" w:type="dxa"/>
            <w:bottom w:w="0" w:type="dxa"/>
            <w:right w:w="108" w:type="dxa"/>
          </w:tblCellMar>
        </w:tblPrEx>
        <w:trPr>
          <w:trHeight w:val="411" w:hRule="atLeast"/>
          <w:jc w:val="center"/>
        </w:trPr>
        <w:tc>
          <w:tcPr>
            <w:tcW w:w="69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w:t>
            </w:r>
          </w:p>
        </w:tc>
        <w:tc>
          <w:tcPr>
            <w:tcW w:w="1916"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207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806"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382"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26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151" w:type="dxa"/>
            <w:tcBorders>
              <w:top w:val="nil"/>
              <w:left w:val="nil"/>
              <w:bottom w:val="single" w:color="auto" w:sz="4" w:space="0"/>
              <w:right w:val="single" w:color="auto" w:sz="4" w:space="0"/>
            </w:tcBorders>
            <w:vAlign w:val="center"/>
          </w:tcPr>
          <w:p>
            <w:pPr>
              <w:rPr>
                <w:rFonts w:hint="eastAsia" w:ascii="宋体" w:hAnsi="宋体" w:eastAsia="宋体" w:cs="宋体"/>
                <w:color w:val="000000"/>
                <w:sz w:val="24"/>
                <w:highlight w:val="none"/>
              </w:rPr>
            </w:pPr>
          </w:p>
        </w:tc>
        <w:tc>
          <w:tcPr>
            <w:tcW w:w="1151" w:type="dxa"/>
            <w:tcBorders>
              <w:top w:val="nil"/>
              <w:left w:val="nil"/>
              <w:bottom w:val="single" w:color="auto" w:sz="4" w:space="0"/>
              <w:right w:val="single" w:color="auto" w:sz="4" w:space="0"/>
            </w:tcBorders>
          </w:tcPr>
          <w:p>
            <w:pPr>
              <w:rPr>
                <w:rFonts w:hint="eastAsia" w:ascii="宋体" w:hAnsi="宋体" w:eastAsia="宋体" w:cs="宋体"/>
                <w:color w:val="000000"/>
                <w:sz w:val="24"/>
                <w:highlight w:val="none"/>
              </w:rPr>
            </w:pPr>
          </w:p>
        </w:tc>
      </w:tr>
      <w:tr>
        <w:tblPrEx>
          <w:tblCellMar>
            <w:top w:w="0" w:type="dxa"/>
            <w:left w:w="108" w:type="dxa"/>
            <w:bottom w:w="0" w:type="dxa"/>
            <w:right w:w="108" w:type="dxa"/>
          </w:tblCellMar>
        </w:tblPrEx>
        <w:trPr>
          <w:trHeight w:val="411" w:hRule="atLeast"/>
          <w:jc w:val="center"/>
        </w:trPr>
        <w:tc>
          <w:tcPr>
            <w:tcW w:w="69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w:t>
            </w:r>
          </w:p>
        </w:tc>
        <w:tc>
          <w:tcPr>
            <w:tcW w:w="1916"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207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806"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382"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26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151" w:type="dxa"/>
            <w:tcBorders>
              <w:top w:val="nil"/>
              <w:left w:val="nil"/>
              <w:bottom w:val="single" w:color="auto" w:sz="4" w:space="0"/>
              <w:right w:val="single" w:color="auto" w:sz="4" w:space="0"/>
            </w:tcBorders>
            <w:vAlign w:val="center"/>
          </w:tcPr>
          <w:p>
            <w:pPr>
              <w:rPr>
                <w:rFonts w:hint="eastAsia" w:ascii="宋体" w:hAnsi="宋体" w:eastAsia="宋体" w:cs="宋体"/>
                <w:color w:val="000000"/>
                <w:sz w:val="24"/>
                <w:highlight w:val="none"/>
              </w:rPr>
            </w:pPr>
          </w:p>
        </w:tc>
        <w:tc>
          <w:tcPr>
            <w:tcW w:w="1151" w:type="dxa"/>
            <w:tcBorders>
              <w:top w:val="nil"/>
              <w:left w:val="nil"/>
              <w:bottom w:val="single" w:color="auto" w:sz="4" w:space="0"/>
              <w:right w:val="single" w:color="auto" w:sz="4" w:space="0"/>
            </w:tcBorders>
          </w:tcPr>
          <w:p>
            <w:pPr>
              <w:rPr>
                <w:rFonts w:hint="eastAsia" w:ascii="宋体" w:hAnsi="宋体" w:eastAsia="宋体" w:cs="宋体"/>
                <w:color w:val="000000"/>
                <w:sz w:val="24"/>
                <w:highlight w:val="none"/>
              </w:rPr>
            </w:pPr>
          </w:p>
        </w:tc>
      </w:tr>
      <w:tr>
        <w:tblPrEx>
          <w:tblCellMar>
            <w:top w:w="0" w:type="dxa"/>
            <w:left w:w="108" w:type="dxa"/>
            <w:bottom w:w="0" w:type="dxa"/>
            <w:right w:w="108" w:type="dxa"/>
          </w:tblCellMar>
        </w:tblPrEx>
        <w:trPr>
          <w:trHeight w:val="411" w:hRule="atLeast"/>
          <w:jc w:val="center"/>
        </w:trPr>
        <w:tc>
          <w:tcPr>
            <w:tcW w:w="69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w:t>
            </w:r>
          </w:p>
        </w:tc>
        <w:tc>
          <w:tcPr>
            <w:tcW w:w="1916"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207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806"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382"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26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151" w:type="dxa"/>
            <w:tcBorders>
              <w:top w:val="nil"/>
              <w:left w:val="nil"/>
              <w:bottom w:val="single" w:color="auto" w:sz="4" w:space="0"/>
              <w:right w:val="single" w:color="auto" w:sz="4" w:space="0"/>
            </w:tcBorders>
            <w:vAlign w:val="center"/>
          </w:tcPr>
          <w:p>
            <w:pPr>
              <w:rPr>
                <w:rFonts w:hint="eastAsia" w:ascii="宋体" w:hAnsi="宋体" w:eastAsia="宋体" w:cs="宋体"/>
                <w:color w:val="000000"/>
                <w:sz w:val="24"/>
                <w:highlight w:val="none"/>
              </w:rPr>
            </w:pPr>
          </w:p>
        </w:tc>
        <w:tc>
          <w:tcPr>
            <w:tcW w:w="1151" w:type="dxa"/>
            <w:tcBorders>
              <w:top w:val="nil"/>
              <w:left w:val="nil"/>
              <w:bottom w:val="single" w:color="auto" w:sz="4" w:space="0"/>
              <w:right w:val="single" w:color="auto" w:sz="4" w:space="0"/>
            </w:tcBorders>
          </w:tcPr>
          <w:p>
            <w:pPr>
              <w:rPr>
                <w:rFonts w:hint="eastAsia" w:ascii="宋体" w:hAnsi="宋体" w:eastAsia="宋体" w:cs="宋体"/>
                <w:color w:val="000000"/>
                <w:sz w:val="24"/>
                <w:highlight w:val="none"/>
              </w:rPr>
            </w:pPr>
          </w:p>
        </w:tc>
      </w:tr>
      <w:tr>
        <w:tblPrEx>
          <w:tblCellMar>
            <w:top w:w="0" w:type="dxa"/>
            <w:left w:w="108" w:type="dxa"/>
            <w:bottom w:w="0" w:type="dxa"/>
            <w:right w:w="108" w:type="dxa"/>
          </w:tblCellMar>
        </w:tblPrEx>
        <w:trPr>
          <w:trHeight w:val="411" w:hRule="atLeast"/>
          <w:jc w:val="center"/>
        </w:trPr>
        <w:tc>
          <w:tcPr>
            <w:tcW w:w="69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w:t>
            </w:r>
          </w:p>
        </w:tc>
        <w:tc>
          <w:tcPr>
            <w:tcW w:w="1916"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207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806"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382"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26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151" w:type="dxa"/>
            <w:tcBorders>
              <w:top w:val="nil"/>
              <w:left w:val="nil"/>
              <w:bottom w:val="single" w:color="auto" w:sz="4" w:space="0"/>
              <w:right w:val="single" w:color="auto" w:sz="4" w:space="0"/>
            </w:tcBorders>
            <w:vAlign w:val="center"/>
          </w:tcPr>
          <w:p>
            <w:pPr>
              <w:rPr>
                <w:rFonts w:hint="eastAsia" w:ascii="宋体" w:hAnsi="宋体" w:eastAsia="宋体" w:cs="宋体"/>
                <w:color w:val="000000"/>
                <w:sz w:val="24"/>
                <w:highlight w:val="none"/>
              </w:rPr>
            </w:pPr>
          </w:p>
        </w:tc>
        <w:tc>
          <w:tcPr>
            <w:tcW w:w="1151" w:type="dxa"/>
            <w:tcBorders>
              <w:top w:val="nil"/>
              <w:left w:val="nil"/>
              <w:bottom w:val="single" w:color="auto" w:sz="4" w:space="0"/>
              <w:right w:val="single" w:color="auto" w:sz="4" w:space="0"/>
            </w:tcBorders>
          </w:tcPr>
          <w:p>
            <w:pPr>
              <w:rPr>
                <w:rFonts w:hint="eastAsia" w:ascii="宋体" w:hAnsi="宋体" w:eastAsia="宋体" w:cs="宋体"/>
                <w:color w:val="000000"/>
                <w:sz w:val="24"/>
                <w:highlight w:val="none"/>
              </w:rPr>
            </w:pPr>
          </w:p>
        </w:tc>
      </w:tr>
      <w:tr>
        <w:tblPrEx>
          <w:tblCellMar>
            <w:top w:w="0" w:type="dxa"/>
            <w:left w:w="108" w:type="dxa"/>
            <w:bottom w:w="0" w:type="dxa"/>
            <w:right w:w="108" w:type="dxa"/>
          </w:tblCellMar>
        </w:tblPrEx>
        <w:trPr>
          <w:trHeight w:val="434" w:hRule="atLeast"/>
          <w:jc w:val="center"/>
        </w:trPr>
        <w:tc>
          <w:tcPr>
            <w:tcW w:w="69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8</w:t>
            </w:r>
          </w:p>
        </w:tc>
        <w:tc>
          <w:tcPr>
            <w:tcW w:w="1916"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207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806"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382"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26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151" w:type="dxa"/>
            <w:tcBorders>
              <w:top w:val="nil"/>
              <w:left w:val="nil"/>
              <w:bottom w:val="single" w:color="auto" w:sz="4" w:space="0"/>
              <w:right w:val="single" w:color="auto" w:sz="4" w:space="0"/>
            </w:tcBorders>
            <w:vAlign w:val="center"/>
          </w:tcPr>
          <w:p>
            <w:pPr>
              <w:rPr>
                <w:rFonts w:hint="eastAsia" w:ascii="宋体" w:hAnsi="宋体" w:eastAsia="宋体" w:cs="宋体"/>
                <w:color w:val="000000"/>
                <w:sz w:val="24"/>
                <w:highlight w:val="none"/>
              </w:rPr>
            </w:pPr>
          </w:p>
        </w:tc>
        <w:tc>
          <w:tcPr>
            <w:tcW w:w="1151" w:type="dxa"/>
            <w:tcBorders>
              <w:top w:val="nil"/>
              <w:left w:val="nil"/>
              <w:bottom w:val="single" w:color="auto" w:sz="4" w:space="0"/>
              <w:right w:val="single" w:color="auto" w:sz="4" w:space="0"/>
            </w:tcBorders>
          </w:tcPr>
          <w:p>
            <w:pPr>
              <w:rPr>
                <w:rFonts w:hint="eastAsia" w:ascii="宋体" w:hAnsi="宋体" w:eastAsia="宋体" w:cs="宋体"/>
                <w:color w:val="000000"/>
                <w:sz w:val="24"/>
                <w:highlight w:val="none"/>
              </w:rPr>
            </w:pPr>
          </w:p>
        </w:tc>
      </w:tr>
    </w:tbl>
    <w:p>
      <w:pPr>
        <w:pStyle w:val="36"/>
        <w:numPr>
          <w:ilvl w:val="0"/>
          <w:numId w:val="0"/>
        </w:numPr>
        <w:rPr>
          <w:rStyle w:val="33"/>
          <w:rFonts w:hint="eastAsia" w:ascii="宋体" w:hAnsi="宋体" w:eastAsia="宋体" w:cs="宋体"/>
          <w:kern w:val="2"/>
          <w:sz w:val="24"/>
          <w:szCs w:val="24"/>
          <w:highlight w:val="none"/>
          <w:lang w:eastAsia="zh-CN"/>
        </w:rPr>
      </w:pPr>
    </w:p>
    <w:p>
      <w:pPr>
        <w:pStyle w:val="36"/>
        <w:numPr>
          <w:ilvl w:val="0"/>
          <w:numId w:val="0"/>
        </w:numPr>
        <w:rPr>
          <w:rFonts w:hint="eastAsia" w:ascii="宋体" w:hAnsi="宋体" w:eastAsia="宋体" w:cs="宋体"/>
          <w:b w:val="0"/>
          <w:bCs/>
          <w:sz w:val="24"/>
          <w:szCs w:val="24"/>
          <w:highlight w:val="none"/>
          <w:lang w:eastAsia="zh-CN"/>
        </w:rPr>
      </w:pPr>
      <w:r>
        <w:rPr>
          <w:rFonts w:hint="eastAsia" w:ascii="宋体" w:hAnsi="宋体" w:eastAsia="宋体" w:cs="宋体"/>
          <w:sz w:val="24"/>
          <w:szCs w:val="24"/>
          <w:highlight w:val="none"/>
          <w:lang w:eastAsia="zh-CN"/>
        </w:rPr>
        <w:t>附件二：订单</w:t>
      </w:r>
    </w:p>
    <w:p>
      <w:pPr>
        <w:pStyle w:val="36"/>
        <w:numPr>
          <w:ilvl w:val="0"/>
          <w:numId w:val="0"/>
        </w:numPr>
        <w:ind w:firstLine="480" w:firstLineChars="200"/>
        <w:rPr>
          <w:rStyle w:val="33"/>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1.</w:t>
      </w:r>
      <w:r>
        <w:rPr>
          <w:rStyle w:val="33"/>
          <w:rFonts w:hint="eastAsia" w:ascii="宋体" w:hAnsi="宋体" w:eastAsia="宋体" w:cs="宋体"/>
          <w:b w:val="0"/>
          <w:bCs/>
          <w:kern w:val="2"/>
          <w:sz w:val="24"/>
          <w:szCs w:val="24"/>
          <w:highlight w:val="none"/>
          <w:lang w:eastAsia="zh-CN"/>
        </w:rPr>
        <w:t>卖方应于  年  月  日前，于     （交货地点）向买方交付下列货物：</w:t>
      </w:r>
    </w:p>
    <w:p>
      <w:pPr>
        <w:widowControl/>
        <w:jc w:val="center"/>
        <w:rPr>
          <w:rFonts w:hint="eastAsia" w:ascii="宋体" w:hAnsi="宋体" w:eastAsia="宋体" w:cs="宋体"/>
          <w:sz w:val="24"/>
          <w:highlight w:val="none"/>
        </w:rPr>
      </w:pPr>
      <w:r>
        <w:rPr>
          <w:rFonts w:hint="eastAsia" w:ascii="宋体" w:hAnsi="宋体" w:eastAsia="宋体" w:cs="宋体"/>
          <w:b/>
          <w:color w:val="000000"/>
          <w:kern w:val="0"/>
          <w:sz w:val="24"/>
          <w:highlight w:val="none"/>
        </w:rPr>
        <w:t>订单编号：</w:t>
      </w:r>
    </w:p>
    <w:tbl>
      <w:tblPr>
        <w:tblStyle w:val="17"/>
        <w:tblW w:w="11136" w:type="dxa"/>
        <w:jc w:val="center"/>
        <w:tblLayout w:type="fixed"/>
        <w:tblCellMar>
          <w:top w:w="0" w:type="dxa"/>
          <w:left w:w="108" w:type="dxa"/>
          <w:bottom w:w="0" w:type="dxa"/>
          <w:right w:w="108" w:type="dxa"/>
        </w:tblCellMar>
      </w:tblPr>
      <w:tblGrid>
        <w:gridCol w:w="790"/>
        <w:gridCol w:w="1395"/>
        <w:gridCol w:w="1263"/>
        <w:gridCol w:w="1977"/>
        <w:gridCol w:w="1046"/>
        <w:gridCol w:w="1062"/>
        <w:gridCol w:w="1279"/>
        <w:gridCol w:w="1162"/>
        <w:gridCol w:w="1162"/>
      </w:tblGrid>
      <w:tr>
        <w:tblPrEx>
          <w:tblCellMar>
            <w:top w:w="0" w:type="dxa"/>
            <w:left w:w="108" w:type="dxa"/>
            <w:bottom w:w="0" w:type="dxa"/>
            <w:right w:w="108" w:type="dxa"/>
          </w:tblCellMar>
        </w:tblPrEx>
        <w:trPr>
          <w:trHeight w:val="52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物资名称</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规格型号</w:t>
            </w:r>
          </w:p>
        </w:tc>
        <w:tc>
          <w:tcPr>
            <w:tcW w:w="197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生产商（品牌）名称</w:t>
            </w:r>
          </w:p>
        </w:tc>
        <w:tc>
          <w:tcPr>
            <w:tcW w:w="104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单位</w:t>
            </w:r>
          </w:p>
        </w:tc>
        <w:tc>
          <w:tcPr>
            <w:tcW w:w="106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数量</w:t>
            </w:r>
          </w:p>
        </w:tc>
        <w:tc>
          <w:tcPr>
            <w:tcW w:w="127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单价（元）</w:t>
            </w:r>
          </w:p>
        </w:tc>
        <w:tc>
          <w:tcPr>
            <w:tcW w:w="116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金额（元）</w:t>
            </w:r>
          </w:p>
        </w:tc>
        <w:tc>
          <w:tcPr>
            <w:tcW w:w="116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交货时间</w:t>
            </w:r>
          </w:p>
        </w:tc>
      </w:tr>
      <w:tr>
        <w:tblPrEx>
          <w:tblCellMar>
            <w:top w:w="0" w:type="dxa"/>
            <w:left w:w="108" w:type="dxa"/>
            <w:bottom w:w="0" w:type="dxa"/>
            <w:right w:w="108" w:type="dxa"/>
          </w:tblCellMar>
        </w:tblPrEx>
        <w:trPr>
          <w:trHeight w:val="398" w:hRule="atLeast"/>
          <w:jc w:val="center"/>
        </w:trPr>
        <w:tc>
          <w:tcPr>
            <w:tcW w:w="79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395"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26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97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04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sz w:val="24"/>
                <w:highlight w:val="none"/>
              </w:rPr>
            </w:pPr>
          </w:p>
        </w:tc>
        <w:tc>
          <w:tcPr>
            <w:tcW w:w="1062"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279"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162" w:type="dxa"/>
            <w:tcBorders>
              <w:top w:val="nil"/>
              <w:left w:val="nil"/>
              <w:bottom w:val="single" w:color="auto" w:sz="4" w:space="0"/>
              <w:right w:val="single" w:color="auto" w:sz="4" w:space="0"/>
            </w:tcBorders>
            <w:vAlign w:val="center"/>
          </w:tcPr>
          <w:p>
            <w:pPr>
              <w:rPr>
                <w:rFonts w:hint="eastAsia" w:ascii="宋体" w:hAnsi="宋体" w:eastAsia="宋体" w:cs="宋体"/>
                <w:color w:val="000000"/>
                <w:sz w:val="24"/>
                <w:highlight w:val="none"/>
              </w:rPr>
            </w:pPr>
          </w:p>
        </w:tc>
        <w:tc>
          <w:tcPr>
            <w:tcW w:w="1162" w:type="dxa"/>
            <w:tcBorders>
              <w:top w:val="nil"/>
              <w:left w:val="nil"/>
              <w:bottom w:val="single" w:color="auto" w:sz="4" w:space="0"/>
              <w:right w:val="single" w:color="auto" w:sz="4" w:space="0"/>
            </w:tcBorders>
          </w:tcPr>
          <w:p>
            <w:pPr>
              <w:rPr>
                <w:rFonts w:hint="eastAsia" w:ascii="宋体" w:hAnsi="宋体" w:eastAsia="宋体" w:cs="宋体"/>
                <w:color w:val="000000"/>
                <w:sz w:val="24"/>
                <w:highlight w:val="none"/>
              </w:rPr>
            </w:pPr>
          </w:p>
        </w:tc>
      </w:tr>
      <w:tr>
        <w:tblPrEx>
          <w:tblCellMar>
            <w:top w:w="0" w:type="dxa"/>
            <w:left w:w="108" w:type="dxa"/>
            <w:bottom w:w="0" w:type="dxa"/>
            <w:right w:w="108" w:type="dxa"/>
          </w:tblCellMar>
        </w:tblPrEx>
        <w:trPr>
          <w:trHeight w:val="398" w:hRule="atLeast"/>
          <w:jc w:val="center"/>
        </w:trPr>
        <w:tc>
          <w:tcPr>
            <w:tcW w:w="79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1395"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26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97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04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sz w:val="24"/>
                <w:highlight w:val="none"/>
              </w:rPr>
            </w:pPr>
          </w:p>
        </w:tc>
        <w:tc>
          <w:tcPr>
            <w:tcW w:w="1062"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279"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162" w:type="dxa"/>
            <w:tcBorders>
              <w:top w:val="nil"/>
              <w:left w:val="nil"/>
              <w:bottom w:val="single" w:color="auto" w:sz="4" w:space="0"/>
              <w:right w:val="single" w:color="auto" w:sz="4" w:space="0"/>
            </w:tcBorders>
            <w:vAlign w:val="center"/>
          </w:tcPr>
          <w:p>
            <w:pPr>
              <w:rPr>
                <w:rFonts w:hint="eastAsia" w:ascii="宋体" w:hAnsi="宋体" w:eastAsia="宋体" w:cs="宋体"/>
                <w:color w:val="000000"/>
                <w:sz w:val="24"/>
                <w:highlight w:val="none"/>
              </w:rPr>
            </w:pPr>
          </w:p>
        </w:tc>
        <w:tc>
          <w:tcPr>
            <w:tcW w:w="1162" w:type="dxa"/>
            <w:tcBorders>
              <w:top w:val="nil"/>
              <w:left w:val="nil"/>
              <w:bottom w:val="single" w:color="auto" w:sz="4" w:space="0"/>
              <w:right w:val="single" w:color="auto" w:sz="4" w:space="0"/>
            </w:tcBorders>
          </w:tcPr>
          <w:p>
            <w:pPr>
              <w:rPr>
                <w:rFonts w:hint="eastAsia" w:ascii="宋体" w:hAnsi="宋体" w:eastAsia="宋体" w:cs="宋体"/>
                <w:color w:val="000000"/>
                <w:sz w:val="24"/>
                <w:highlight w:val="none"/>
              </w:rPr>
            </w:pPr>
          </w:p>
        </w:tc>
      </w:tr>
      <w:tr>
        <w:tblPrEx>
          <w:tblCellMar>
            <w:top w:w="0" w:type="dxa"/>
            <w:left w:w="108" w:type="dxa"/>
            <w:bottom w:w="0" w:type="dxa"/>
            <w:right w:w="108" w:type="dxa"/>
          </w:tblCellMar>
        </w:tblPrEx>
        <w:trPr>
          <w:trHeight w:val="398" w:hRule="atLeast"/>
          <w:jc w:val="center"/>
        </w:trPr>
        <w:tc>
          <w:tcPr>
            <w:tcW w:w="79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p>
        </w:tc>
        <w:tc>
          <w:tcPr>
            <w:tcW w:w="1395"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26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97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04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sz w:val="24"/>
                <w:highlight w:val="none"/>
              </w:rPr>
            </w:pPr>
          </w:p>
        </w:tc>
        <w:tc>
          <w:tcPr>
            <w:tcW w:w="1062"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279"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162" w:type="dxa"/>
            <w:tcBorders>
              <w:top w:val="nil"/>
              <w:left w:val="nil"/>
              <w:bottom w:val="single" w:color="auto" w:sz="4" w:space="0"/>
              <w:right w:val="single" w:color="auto" w:sz="4" w:space="0"/>
            </w:tcBorders>
            <w:vAlign w:val="center"/>
          </w:tcPr>
          <w:p>
            <w:pPr>
              <w:rPr>
                <w:rFonts w:hint="eastAsia" w:ascii="宋体" w:hAnsi="宋体" w:eastAsia="宋体" w:cs="宋体"/>
                <w:color w:val="000000"/>
                <w:sz w:val="24"/>
                <w:highlight w:val="none"/>
              </w:rPr>
            </w:pPr>
          </w:p>
        </w:tc>
        <w:tc>
          <w:tcPr>
            <w:tcW w:w="1162" w:type="dxa"/>
            <w:tcBorders>
              <w:top w:val="nil"/>
              <w:left w:val="nil"/>
              <w:bottom w:val="single" w:color="auto" w:sz="4" w:space="0"/>
              <w:right w:val="single" w:color="auto" w:sz="4" w:space="0"/>
            </w:tcBorders>
          </w:tcPr>
          <w:p>
            <w:pPr>
              <w:rPr>
                <w:rFonts w:hint="eastAsia" w:ascii="宋体" w:hAnsi="宋体" w:eastAsia="宋体" w:cs="宋体"/>
                <w:color w:val="000000"/>
                <w:sz w:val="24"/>
                <w:highlight w:val="none"/>
              </w:rPr>
            </w:pPr>
          </w:p>
        </w:tc>
      </w:tr>
      <w:tr>
        <w:tblPrEx>
          <w:tblCellMar>
            <w:top w:w="0" w:type="dxa"/>
            <w:left w:w="108" w:type="dxa"/>
            <w:bottom w:w="0" w:type="dxa"/>
            <w:right w:w="108" w:type="dxa"/>
          </w:tblCellMar>
        </w:tblPrEx>
        <w:trPr>
          <w:trHeight w:val="398" w:hRule="atLeast"/>
          <w:jc w:val="center"/>
        </w:trPr>
        <w:tc>
          <w:tcPr>
            <w:tcW w:w="79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w:t>
            </w:r>
          </w:p>
        </w:tc>
        <w:tc>
          <w:tcPr>
            <w:tcW w:w="1395"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263"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977"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04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sz w:val="24"/>
                <w:highlight w:val="none"/>
              </w:rPr>
            </w:pPr>
          </w:p>
        </w:tc>
        <w:tc>
          <w:tcPr>
            <w:tcW w:w="1062"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279"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highlight w:val="none"/>
              </w:rPr>
            </w:pPr>
          </w:p>
        </w:tc>
        <w:tc>
          <w:tcPr>
            <w:tcW w:w="1162" w:type="dxa"/>
            <w:tcBorders>
              <w:top w:val="nil"/>
              <w:left w:val="nil"/>
              <w:bottom w:val="single" w:color="auto" w:sz="4" w:space="0"/>
              <w:right w:val="single" w:color="auto" w:sz="4" w:space="0"/>
            </w:tcBorders>
            <w:vAlign w:val="center"/>
          </w:tcPr>
          <w:p>
            <w:pPr>
              <w:rPr>
                <w:rFonts w:hint="eastAsia" w:ascii="宋体" w:hAnsi="宋体" w:eastAsia="宋体" w:cs="宋体"/>
                <w:color w:val="000000"/>
                <w:sz w:val="24"/>
                <w:highlight w:val="none"/>
              </w:rPr>
            </w:pPr>
          </w:p>
        </w:tc>
        <w:tc>
          <w:tcPr>
            <w:tcW w:w="1162" w:type="dxa"/>
            <w:tcBorders>
              <w:top w:val="nil"/>
              <w:left w:val="nil"/>
              <w:bottom w:val="single" w:color="auto" w:sz="4" w:space="0"/>
              <w:right w:val="single" w:color="auto" w:sz="4" w:space="0"/>
            </w:tcBorders>
          </w:tcPr>
          <w:p>
            <w:pPr>
              <w:rPr>
                <w:rFonts w:hint="eastAsia" w:ascii="宋体" w:hAnsi="宋体" w:eastAsia="宋体" w:cs="宋体"/>
                <w:color w:val="000000"/>
                <w:sz w:val="24"/>
                <w:highlight w:val="none"/>
              </w:rPr>
            </w:pPr>
          </w:p>
        </w:tc>
      </w:tr>
      <w:tr>
        <w:tblPrEx>
          <w:tblCellMar>
            <w:top w:w="0" w:type="dxa"/>
            <w:left w:w="108" w:type="dxa"/>
            <w:bottom w:w="0" w:type="dxa"/>
            <w:right w:w="108" w:type="dxa"/>
          </w:tblCellMar>
        </w:tblPrEx>
        <w:trPr>
          <w:trHeight w:val="428" w:hRule="atLeast"/>
          <w:jc w:val="center"/>
        </w:trPr>
        <w:tc>
          <w:tcPr>
            <w:tcW w:w="79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合计</w:t>
            </w:r>
          </w:p>
        </w:tc>
        <w:tc>
          <w:tcPr>
            <w:tcW w:w="10346" w:type="dxa"/>
            <w:gridSpan w:val="8"/>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金额：         元（大写：            元整）</w:t>
            </w:r>
          </w:p>
        </w:tc>
      </w:tr>
    </w:tbl>
    <w:p>
      <w:pPr>
        <w:pStyle w:val="37"/>
        <w:numPr>
          <w:ilvl w:val="0"/>
          <w:numId w:val="0"/>
        </w:numPr>
        <w:tabs>
          <w:tab w:val="clear" w:pos="1134"/>
        </w:tabs>
        <w:spacing w:before="100" w:beforeAutospacing="1" w:line="240" w:lineRule="exact"/>
        <w:ind w:left="567"/>
        <w:rPr>
          <w:rStyle w:val="33"/>
          <w:rFonts w:hint="eastAsia" w:ascii="宋体" w:hAnsi="宋体" w:eastAsia="宋体" w:cs="宋体"/>
          <w:kern w:val="2"/>
          <w:sz w:val="24"/>
          <w:szCs w:val="24"/>
          <w:highlight w:val="none"/>
          <w:lang w:eastAsia="zh-CN"/>
        </w:rPr>
      </w:pPr>
      <w:r>
        <w:rPr>
          <w:rStyle w:val="33"/>
          <w:rFonts w:hint="eastAsia" w:ascii="宋体" w:hAnsi="宋体" w:eastAsia="宋体" w:cs="宋体"/>
          <w:kern w:val="2"/>
          <w:sz w:val="24"/>
          <w:szCs w:val="24"/>
          <w:highlight w:val="none"/>
          <w:lang w:eastAsia="zh-CN"/>
        </w:rPr>
        <w:t>2.本订单视为双方于________年____月____日签订的《买卖合同》的一部分。除非本订单另有约定和说明，《买卖合同》的条款和条件均适用于本订单。</w:t>
      </w:r>
    </w:p>
    <w:p>
      <w:pPr>
        <w:pStyle w:val="37"/>
        <w:numPr>
          <w:ilvl w:val="0"/>
          <w:numId w:val="0"/>
        </w:numPr>
        <w:spacing w:before="100" w:beforeAutospacing="1" w:line="240" w:lineRule="exact"/>
        <w:ind w:left="1134" w:hanging="567"/>
        <w:rPr>
          <w:rStyle w:val="33"/>
          <w:rFonts w:hint="eastAsia" w:ascii="宋体" w:hAnsi="宋体" w:eastAsia="宋体" w:cs="宋体"/>
          <w:kern w:val="2"/>
          <w:sz w:val="24"/>
          <w:szCs w:val="24"/>
          <w:highlight w:val="none"/>
          <w:lang w:eastAsia="zh-CN"/>
        </w:rPr>
      </w:pPr>
      <w:r>
        <w:rPr>
          <w:rStyle w:val="33"/>
          <w:rFonts w:hint="eastAsia" w:ascii="宋体" w:hAnsi="宋体" w:eastAsia="宋体" w:cs="宋体"/>
          <w:kern w:val="2"/>
          <w:sz w:val="24"/>
          <w:szCs w:val="24"/>
          <w:highlight w:val="none"/>
          <w:lang w:eastAsia="zh-CN"/>
        </w:rPr>
        <w:t>3.买方委托代理人签字：________________________________________</w:t>
      </w:r>
    </w:p>
    <w:p>
      <w:pPr>
        <w:pStyle w:val="37"/>
        <w:numPr>
          <w:ilvl w:val="0"/>
          <w:numId w:val="0"/>
        </w:numPr>
        <w:tabs>
          <w:tab w:val="clear" w:pos="1134"/>
        </w:tabs>
        <w:spacing w:before="100" w:beforeAutospacing="1" w:line="240" w:lineRule="exact"/>
        <w:ind w:left="1134" w:hanging="567"/>
        <w:rPr>
          <w:rStyle w:val="33"/>
          <w:rFonts w:hint="eastAsia" w:ascii="宋体" w:hAnsi="宋体" w:eastAsia="宋体" w:cs="宋体"/>
          <w:kern w:val="2"/>
          <w:sz w:val="24"/>
          <w:szCs w:val="24"/>
          <w:highlight w:val="none"/>
          <w:lang w:eastAsia="zh-CN"/>
        </w:rPr>
      </w:pPr>
      <w:r>
        <w:rPr>
          <w:rStyle w:val="33"/>
          <w:rFonts w:hint="eastAsia" w:ascii="宋体" w:hAnsi="宋体" w:eastAsia="宋体" w:cs="宋体"/>
          <w:kern w:val="2"/>
          <w:sz w:val="24"/>
          <w:szCs w:val="24"/>
          <w:highlight w:val="none"/>
          <w:lang w:eastAsia="zh-CN"/>
        </w:rPr>
        <w:t>4.买方单位加盖印章：_________________________</w:t>
      </w:r>
    </w:p>
    <w:p>
      <w:pPr>
        <w:pStyle w:val="37"/>
        <w:numPr>
          <w:ilvl w:val="0"/>
          <w:numId w:val="0"/>
        </w:numPr>
        <w:tabs>
          <w:tab w:val="clear" w:pos="1134"/>
        </w:tabs>
        <w:spacing w:before="100" w:beforeAutospacing="1" w:line="240" w:lineRule="exact"/>
        <w:ind w:left="1134" w:hanging="567"/>
        <w:rPr>
          <w:rFonts w:hint="eastAsia" w:ascii="宋体" w:hAnsi="宋体" w:eastAsia="宋体" w:cs="宋体"/>
          <w:kern w:val="2"/>
          <w:szCs w:val="24"/>
          <w:highlight w:val="none"/>
          <w:lang w:eastAsia="zh-CN"/>
        </w:rPr>
      </w:pPr>
      <w:r>
        <w:rPr>
          <w:rStyle w:val="33"/>
          <w:rFonts w:hint="eastAsia" w:ascii="宋体" w:hAnsi="宋体" w:eastAsia="宋体" w:cs="宋体"/>
          <w:kern w:val="2"/>
          <w:sz w:val="24"/>
          <w:szCs w:val="24"/>
          <w:highlight w:val="none"/>
          <w:lang w:eastAsia="zh-CN"/>
        </w:rPr>
        <w:t>5.订单日期：____________________________</w:t>
      </w:r>
    </w:p>
    <w:p>
      <w:pPr>
        <w:spacing w:line="440" w:lineRule="exact"/>
        <w:jc w:val="center"/>
        <w:rPr>
          <w:rFonts w:hint="eastAsia" w:ascii="宋体" w:hAnsi="宋体" w:eastAsia="宋体" w:cs="宋体"/>
          <w:b/>
          <w:bCs/>
          <w:sz w:val="28"/>
          <w:szCs w:val="28"/>
          <w:highlight w:val="none"/>
        </w:rPr>
      </w:pPr>
      <w:r>
        <w:rPr>
          <w:rFonts w:hint="eastAsia" w:ascii="宋体" w:hAnsi="宋体" w:eastAsia="宋体" w:cs="宋体"/>
          <w:b/>
          <w:sz w:val="28"/>
          <w:szCs w:val="28"/>
          <w:highlight w:val="none"/>
        </w:rPr>
        <w:t xml:space="preserve">第五章 </w:t>
      </w:r>
      <w:r>
        <w:rPr>
          <w:rFonts w:hint="eastAsia" w:ascii="宋体" w:hAnsi="宋体" w:eastAsia="宋体" w:cs="宋体"/>
          <w:b/>
          <w:bCs/>
          <w:sz w:val="28"/>
          <w:szCs w:val="28"/>
          <w:highlight w:val="none"/>
        </w:rPr>
        <w:t xml:space="preserve"> 投标文件格式</w:t>
      </w:r>
    </w:p>
    <w:p>
      <w:pPr>
        <w:spacing w:line="360" w:lineRule="auto"/>
        <w:jc w:val="left"/>
        <w:rPr>
          <w:rFonts w:hint="eastAsia" w:ascii="宋体" w:hAnsi="宋体" w:eastAsia="宋体" w:cs="宋体"/>
          <w:sz w:val="24"/>
          <w:highlight w:val="none"/>
        </w:rPr>
      </w:pPr>
    </w:p>
    <w:p>
      <w:pPr>
        <w:pStyle w:val="5"/>
        <w:spacing w:before="0" w:after="0" w:line="360" w:lineRule="auto"/>
        <w:ind w:firstLine="482" w:firstLineChars="200"/>
        <w:rPr>
          <w:rFonts w:hint="eastAsia" w:ascii="宋体" w:hAnsi="宋体" w:eastAsia="宋体" w:cs="宋体"/>
          <w:sz w:val="24"/>
          <w:highlight w:val="none"/>
        </w:rPr>
      </w:pPr>
      <w:r>
        <w:rPr>
          <w:rFonts w:hint="eastAsia" w:ascii="宋体" w:hAnsi="宋体" w:eastAsia="宋体" w:cs="宋体"/>
          <w:sz w:val="24"/>
          <w:highlight w:val="none"/>
        </w:rPr>
        <w:t>投标文件封面</w:t>
      </w:r>
    </w:p>
    <w:p>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 xml:space="preserve">格式1   </w:t>
      </w:r>
      <w:r>
        <w:rPr>
          <w:rFonts w:hint="eastAsia" w:ascii="宋体" w:hAnsi="宋体" w:eastAsia="宋体" w:cs="宋体"/>
          <w:bCs/>
          <w:sz w:val="24"/>
          <w:highlight w:val="none"/>
        </w:rPr>
        <w:t>资格性/符合性自查表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格式2   法定代表人资格证明书</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格式3   法定代表人授权委托书</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格式4   投标人基本情况表</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格式5   诚信声明</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 xml:space="preserve">格式6   </w:t>
      </w:r>
      <w:r>
        <w:rPr>
          <w:rFonts w:hint="eastAsia" w:ascii="宋体" w:hAnsi="宋体" w:eastAsia="宋体" w:cs="宋体"/>
          <w:sz w:val="24"/>
          <w:highlight w:val="none"/>
        </w:rPr>
        <w:t>投标函</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格式7   开标一览表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格式8   商务条款偏离表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格式9   中小企业声明函</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格式10  近三年（2019年1月1日至今）同类项目业绩表</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格式11  技术条款偏离表</w:t>
      </w:r>
    </w:p>
    <w:p>
      <w:pPr>
        <w:pStyle w:val="2"/>
        <w:rPr>
          <w:rFonts w:hint="default" w:eastAsia="宋体"/>
          <w:lang w:val="en-US" w:eastAsia="zh-CN"/>
        </w:rPr>
      </w:pPr>
      <w:r>
        <w:rPr>
          <w:rFonts w:hint="eastAsia" w:ascii="宋体" w:hAnsi="宋体" w:cs="宋体"/>
          <w:bCs/>
          <w:sz w:val="24"/>
          <w:highlight w:val="none"/>
          <w:lang w:val="en-US" w:eastAsia="zh-CN"/>
        </w:rPr>
        <w:t xml:space="preserve">    格式12  其他</w:t>
      </w:r>
    </w:p>
    <w:p>
      <w:pPr>
        <w:spacing w:line="360" w:lineRule="auto"/>
        <w:jc w:val="center"/>
        <w:rPr>
          <w:rFonts w:hint="eastAsia" w:ascii="宋体" w:hAnsi="宋体" w:eastAsia="宋体" w:cs="宋体"/>
          <w:b/>
          <w:bCs/>
          <w:sz w:val="36"/>
          <w:szCs w:val="36"/>
          <w:highlight w:val="none"/>
        </w:rPr>
      </w:pPr>
    </w:p>
    <w:p>
      <w:pPr>
        <w:spacing w:line="360" w:lineRule="auto"/>
        <w:jc w:val="center"/>
        <w:rPr>
          <w:rFonts w:hint="eastAsia" w:ascii="宋体" w:hAnsi="宋体" w:eastAsia="宋体" w:cs="宋体"/>
          <w:b/>
          <w:bCs/>
          <w:sz w:val="36"/>
          <w:szCs w:val="36"/>
          <w:highlight w:val="none"/>
        </w:rPr>
      </w:pPr>
    </w:p>
    <w:p>
      <w:pPr>
        <w:spacing w:line="360" w:lineRule="auto"/>
        <w:jc w:val="center"/>
        <w:rPr>
          <w:rFonts w:hint="eastAsia" w:ascii="宋体" w:hAnsi="宋体" w:eastAsia="宋体" w:cs="宋体"/>
          <w:b/>
          <w:bCs/>
          <w:sz w:val="36"/>
          <w:szCs w:val="36"/>
          <w:highlight w:val="none"/>
        </w:rPr>
      </w:pPr>
    </w:p>
    <w:p>
      <w:pPr>
        <w:spacing w:line="360" w:lineRule="auto"/>
        <w:jc w:val="center"/>
        <w:rPr>
          <w:rFonts w:hint="eastAsia" w:ascii="宋体" w:hAnsi="宋体" w:eastAsia="宋体" w:cs="宋体"/>
          <w:b/>
          <w:bCs/>
          <w:sz w:val="36"/>
          <w:szCs w:val="36"/>
          <w:highlight w:val="none"/>
        </w:rPr>
      </w:pPr>
    </w:p>
    <w:p>
      <w:pPr>
        <w:spacing w:line="360" w:lineRule="auto"/>
        <w:jc w:val="center"/>
        <w:rPr>
          <w:rFonts w:hint="eastAsia" w:ascii="宋体" w:hAnsi="宋体" w:eastAsia="宋体" w:cs="宋体"/>
          <w:b/>
          <w:bCs/>
          <w:sz w:val="36"/>
          <w:szCs w:val="36"/>
          <w:highlight w:val="none"/>
        </w:rPr>
      </w:pPr>
    </w:p>
    <w:p>
      <w:pPr>
        <w:spacing w:line="480" w:lineRule="auto"/>
        <w:rPr>
          <w:rFonts w:hint="eastAsia" w:ascii="宋体" w:hAnsi="宋体" w:eastAsia="宋体" w:cs="宋体"/>
          <w:b/>
          <w:sz w:val="52"/>
          <w:szCs w:val="52"/>
          <w:highlight w:val="none"/>
        </w:rPr>
      </w:pPr>
    </w:p>
    <w:p>
      <w:pPr>
        <w:pStyle w:val="7"/>
        <w:rPr>
          <w:rFonts w:hint="eastAsia" w:ascii="宋体" w:hAnsi="宋体" w:eastAsia="宋体" w:cs="宋体"/>
          <w:sz w:val="52"/>
          <w:szCs w:val="52"/>
          <w:highlight w:val="none"/>
        </w:rPr>
      </w:pPr>
    </w:p>
    <w:p>
      <w:pPr>
        <w:rPr>
          <w:rFonts w:hint="eastAsia" w:ascii="宋体" w:hAnsi="宋体" w:eastAsia="宋体" w:cs="宋体"/>
          <w:highlight w:val="none"/>
        </w:rPr>
      </w:pPr>
    </w:p>
    <w:p>
      <w:pPr>
        <w:spacing w:line="480" w:lineRule="auto"/>
        <w:jc w:val="center"/>
        <w:rPr>
          <w:rFonts w:hint="eastAsia" w:ascii="宋体" w:hAnsi="宋体" w:eastAsia="宋体" w:cs="宋体"/>
          <w:b/>
          <w:sz w:val="52"/>
          <w:szCs w:val="52"/>
          <w:highlight w:val="none"/>
          <w:lang w:eastAsia="zh-CN"/>
        </w:rPr>
      </w:pPr>
      <w:r>
        <w:rPr>
          <w:rFonts w:hint="eastAsia" w:ascii="宋体" w:hAnsi="宋体" w:eastAsia="宋体" w:cs="宋体"/>
          <w:b/>
          <w:sz w:val="52"/>
          <w:szCs w:val="52"/>
          <w:highlight w:val="none"/>
          <w:lang w:eastAsia="zh-CN"/>
        </w:rPr>
        <w:t>克拉玛依市中心医院</w:t>
      </w:r>
    </w:p>
    <w:p>
      <w:pPr>
        <w:spacing w:line="480" w:lineRule="auto"/>
        <w:jc w:val="center"/>
        <w:rPr>
          <w:rFonts w:hint="eastAsia" w:ascii="宋体" w:hAnsi="宋体" w:eastAsia="宋体" w:cs="宋体"/>
          <w:b/>
          <w:sz w:val="52"/>
          <w:szCs w:val="52"/>
          <w:highlight w:val="none"/>
          <w:lang w:eastAsia="zh-CN"/>
        </w:rPr>
      </w:pPr>
      <w:r>
        <w:rPr>
          <w:rFonts w:hint="eastAsia" w:ascii="宋体" w:hAnsi="宋体" w:eastAsia="宋体" w:cs="宋体"/>
          <w:b/>
          <w:sz w:val="52"/>
          <w:szCs w:val="52"/>
          <w:highlight w:val="none"/>
          <w:lang w:eastAsia="zh-CN"/>
        </w:rPr>
        <w:t>碘[125I]密封籽源项目</w:t>
      </w:r>
    </w:p>
    <w:p>
      <w:pPr>
        <w:spacing w:line="480" w:lineRule="auto"/>
        <w:jc w:val="center"/>
        <w:rPr>
          <w:rFonts w:hint="eastAsia" w:ascii="宋体" w:hAnsi="宋体" w:eastAsia="宋体" w:cs="宋体"/>
          <w:highlight w:val="none"/>
        </w:rPr>
      </w:pPr>
      <w:r>
        <w:rPr>
          <w:rFonts w:hint="eastAsia" w:ascii="宋体" w:hAnsi="宋体" w:eastAsia="宋体" w:cs="宋体"/>
          <w:b/>
          <w:sz w:val="52"/>
          <w:szCs w:val="52"/>
          <w:highlight w:val="none"/>
        </w:rPr>
        <w:t>（标项</w:t>
      </w:r>
      <w:r>
        <w:rPr>
          <w:rFonts w:hint="eastAsia" w:ascii="宋体" w:hAnsi="宋体" w:eastAsia="宋体" w:cs="宋体"/>
          <w:b/>
          <w:sz w:val="52"/>
          <w:szCs w:val="52"/>
          <w:highlight w:val="none"/>
          <w:u w:val="single"/>
        </w:rPr>
        <w:t xml:space="preserve">   </w:t>
      </w:r>
      <w:r>
        <w:rPr>
          <w:rFonts w:hint="eastAsia" w:ascii="宋体" w:hAnsi="宋体" w:eastAsia="宋体" w:cs="宋体"/>
          <w:b/>
          <w:sz w:val="52"/>
          <w:szCs w:val="52"/>
          <w:highlight w:val="none"/>
        </w:rPr>
        <w:t>：</w:t>
      </w:r>
      <w:r>
        <w:rPr>
          <w:rFonts w:hint="eastAsia" w:ascii="宋体" w:hAnsi="宋体" w:eastAsia="宋体" w:cs="宋体"/>
          <w:b/>
          <w:sz w:val="52"/>
          <w:szCs w:val="52"/>
          <w:highlight w:val="none"/>
          <w:u w:val="single"/>
        </w:rPr>
        <w:t xml:space="preserve">      </w:t>
      </w:r>
      <w:r>
        <w:rPr>
          <w:rFonts w:hint="eastAsia" w:ascii="宋体" w:hAnsi="宋体" w:eastAsia="宋体" w:cs="宋体"/>
          <w:b/>
          <w:sz w:val="52"/>
          <w:szCs w:val="52"/>
          <w:highlight w:val="none"/>
        </w:rPr>
        <w:t>）</w:t>
      </w:r>
    </w:p>
    <w:p>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投  标  文  件</w:t>
      </w:r>
    </w:p>
    <w:p>
      <w:pPr>
        <w:overflowPunct w:val="0"/>
        <w:spacing w:line="500" w:lineRule="exact"/>
        <w:jc w:val="center"/>
        <w:rPr>
          <w:rFonts w:hint="eastAsia" w:ascii="宋体" w:hAnsi="宋体" w:eastAsia="宋体" w:cs="宋体"/>
          <w:b/>
          <w:kern w:val="0"/>
          <w:sz w:val="30"/>
          <w:szCs w:val="30"/>
          <w:highlight w:val="none"/>
        </w:rPr>
      </w:pPr>
    </w:p>
    <w:p>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（招标文件编号：</w:t>
      </w:r>
      <w:r>
        <w:rPr>
          <w:rFonts w:hint="eastAsia" w:ascii="宋体" w:hAnsi="宋体" w:eastAsia="宋体" w:cs="宋体"/>
          <w:b/>
          <w:sz w:val="30"/>
          <w:szCs w:val="30"/>
          <w:highlight w:val="none"/>
          <w:lang w:eastAsia="zh-CN"/>
        </w:rPr>
        <w:t>XJZJ-2022(采购）-021</w:t>
      </w:r>
      <w:r>
        <w:rPr>
          <w:rFonts w:hint="eastAsia" w:ascii="宋体" w:hAnsi="宋体" w:eastAsia="宋体" w:cs="宋体"/>
          <w:b/>
          <w:sz w:val="30"/>
          <w:szCs w:val="30"/>
          <w:highlight w:val="none"/>
        </w:rPr>
        <w:t>）</w:t>
      </w:r>
    </w:p>
    <w:p>
      <w:pPr>
        <w:pStyle w:val="7"/>
        <w:jc w:val="center"/>
        <w:rPr>
          <w:rFonts w:hint="eastAsia" w:ascii="宋体" w:hAnsi="宋体" w:eastAsia="宋体" w:cs="宋体"/>
          <w:bCs w:val="0"/>
          <w:sz w:val="30"/>
          <w:szCs w:val="30"/>
          <w:highlight w:val="none"/>
        </w:rPr>
      </w:pPr>
    </w:p>
    <w:p>
      <w:pPr>
        <w:pStyle w:val="7"/>
        <w:rPr>
          <w:rFonts w:hint="eastAsia" w:ascii="宋体" w:hAnsi="宋体" w:eastAsia="宋体" w:cs="宋体"/>
          <w:highlight w:val="none"/>
        </w:rPr>
      </w:pPr>
    </w:p>
    <w:p>
      <w:pPr>
        <w:rPr>
          <w:rFonts w:hint="eastAsia" w:ascii="宋体" w:hAnsi="宋体" w:eastAsia="宋体" w:cs="宋体"/>
          <w:highlight w:val="none"/>
        </w:rPr>
      </w:pPr>
    </w:p>
    <w:p>
      <w:pPr>
        <w:pStyle w:val="7"/>
        <w:rPr>
          <w:rFonts w:hint="eastAsia" w:ascii="宋体" w:hAnsi="宋体" w:eastAsia="宋体" w:cs="宋体"/>
          <w:highlight w:val="none"/>
        </w:rPr>
      </w:pPr>
    </w:p>
    <w:p>
      <w:pPr>
        <w:rPr>
          <w:rFonts w:hint="eastAsia" w:ascii="宋体" w:hAnsi="宋体" w:eastAsia="宋体" w:cs="宋体"/>
          <w:highlight w:val="none"/>
        </w:rPr>
      </w:pPr>
    </w:p>
    <w:p>
      <w:pPr>
        <w:spacing w:line="360" w:lineRule="auto"/>
        <w:ind w:firstLine="602"/>
        <w:rPr>
          <w:rFonts w:hint="eastAsia" w:ascii="宋体" w:hAnsi="宋体" w:eastAsia="宋体" w:cs="宋体"/>
          <w:b/>
          <w:sz w:val="30"/>
          <w:szCs w:val="30"/>
          <w:highlight w:val="none"/>
        </w:rPr>
      </w:pPr>
      <w:r>
        <w:rPr>
          <w:rFonts w:hint="eastAsia" w:ascii="宋体" w:hAnsi="宋体" w:eastAsia="宋体" w:cs="宋体"/>
          <w:b/>
          <w:sz w:val="30"/>
          <w:szCs w:val="30"/>
          <w:highlight w:val="none"/>
        </w:rPr>
        <w:t>投标人： （单位名称）盖章</w:t>
      </w:r>
    </w:p>
    <w:p>
      <w:pPr>
        <w:spacing w:line="360" w:lineRule="auto"/>
        <w:rPr>
          <w:rFonts w:hint="eastAsia" w:ascii="宋体" w:hAnsi="宋体" w:eastAsia="宋体" w:cs="宋体"/>
          <w:b/>
          <w:sz w:val="30"/>
          <w:szCs w:val="30"/>
          <w:highlight w:val="none"/>
        </w:rPr>
      </w:pPr>
    </w:p>
    <w:p>
      <w:pPr>
        <w:spacing w:line="360" w:lineRule="auto"/>
        <w:ind w:firstLine="602"/>
        <w:rPr>
          <w:rFonts w:hint="eastAsia" w:ascii="宋体" w:hAnsi="宋体" w:eastAsia="宋体" w:cs="宋体"/>
          <w:b/>
          <w:sz w:val="30"/>
          <w:szCs w:val="30"/>
          <w:highlight w:val="none"/>
        </w:rPr>
      </w:pPr>
      <w:r>
        <w:rPr>
          <w:rFonts w:hint="eastAsia" w:ascii="宋体" w:hAnsi="宋体" w:eastAsia="宋体" w:cs="宋体"/>
          <w:b/>
          <w:sz w:val="30"/>
          <w:szCs w:val="30"/>
          <w:highlight w:val="none"/>
        </w:rPr>
        <w:t>单位地址：</w:t>
      </w:r>
    </w:p>
    <w:p>
      <w:pPr>
        <w:spacing w:line="360" w:lineRule="auto"/>
        <w:ind w:firstLine="602"/>
        <w:rPr>
          <w:rFonts w:hint="eastAsia" w:ascii="宋体" w:hAnsi="宋体" w:eastAsia="宋体" w:cs="宋体"/>
          <w:b/>
          <w:sz w:val="30"/>
          <w:szCs w:val="30"/>
          <w:highlight w:val="none"/>
        </w:rPr>
      </w:pPr>
    </w:p>
    <w:p>
      <w:pPr>
        <w:pStyle w:val="8"/>
        <w:ind w:firstLine="602" w:firstLineChars="200"/>
        <w:outlineLvl w:val="0"/>
        <w:rPr>
          <w:rFonts w:hint="eastAsia" w:ascii="宋体" w:hAnsi="宋体" w:eastAsia="宋体" w:cs="宋体"/>
          <w:sz w:val="24"/>
          <w:highlight w:val="none"/>
        </w:rPr>
      </w:pPr>
      <w:r>
        <w:rPr>
          <w:rFonts w:hint="eastAsia" w:ascii="宋体" w:hAnsi="宋体" w:eastAsia="宋体" w:cs="宋体"/>
          <w:b/>
          <w:sz w:val="30"/>
          <w:szCs w:val="30"/>
          <w:highlight w:val="none"/>
        </w:rPr>
        <w:t>联系人：                   联系电话：</w:t>
      </w:r>
    </w:p>
    <w:p>
      <w:pPr>
        <w:pStyle w:val="8"/>
        <w:outlineLvl w:val="0"/>
        <w:rPr>
          <w:rFonts w:hint="eastAsia" w:ascii="宋体" w:hAnsi="宋体" w:eastAsia="宋体" w:cs="宋体"/>
          <w:sz w:val="24"/>
          <w:highlight w:val="none"/>
        </w:rPr>
      </w:pPr>
    </w:p>
    <w:p>
      <w:pPr>
        <w:tabs>
          <w:tab w:val="left" w:pos="360"/>
          <w:tab w:val="left" w:pos="1800"/>
        </w:tabs>
        <w:spacing w:line="360" w:lineRule="auto"/>
        <w:rPr>
          <w:rFonts w:hint="eastAsia" w:ascii="宋体" w:hAnsi="宋体" w:eastAsia="宋体" w:cs="宋体"/>
          <w:b/>
          <w:bCs/>
          <w:sz w:val="24"/>
          <w:highlight w:val="none"/>
        </w:rPr>
      </w:pPr>
    </w:p>
    <w:p>
      <w:pPr>
        <w:pStyle w:val="14"/>
        <w:rPr>
          <w:rFonts w:hint="eastAsia" w:ascii="宋体" w:hAnsi="宋体" w:eastAsia="宋体" w:cs="宋体"/>
          <w:highlight w:val="none"/>
        </w:rPr>
      </w:pPr>
    </w:p>
    <w:p>
      <w:pPr>
        <w:pStyle w:val="2"/>
        <w:rPr>
          <w:rFonts w:hint="eastAsia" w:ascii="宋体" w:hAnsi="宋体" w:eastAsia="宋体" w:cs="宋体"/>
          <w:highlight w:val="none"/>
        </w:rPr>
      </w:pPr>
    </w:p>
    <w:p>
      <w:pPr>
        <w:pStyle w:val="7"/>
        <w:rPr>
          <w:rFonts w:hint="eastAsia" w:ascii="宋体" w:hAnsi="宋体" w:eastAsia="宋体" w:cs="宋体"/>
          <w:highlight w:val="none"/>
        </w:rPr>
      </w:pPr>
    </w:p>
    <w:p>
      <w:pPr>
        <w:spacing w:line="360" w:lineRule="auto"/>
        <w:ind w:left="812" w:hanging="812" w:hangingChars="337"/>
        <w:jc w:val="center"/>
        <w:rPr>
          <w:rFonts w:hint="eastAsia" w:ascii="宋体" w:hAnsi="宋体" w:eastAsia="宋体" w:cs="宋体"/>
          <w:bCs/>
          <w:sz w:val="32"/>
          <w:szCs w:val="32"/>
          <w:highlight w:val="none"/>
        </w:rPr>
      </w:pPr>
      <w:r>
        <w:rPr>
          <w:rFonts w:hint="eastAsia" w:ascii="宋体" w:hAnsi="宋体" w:eastAsia="宋体" w:cs="宋体"/>
          <w:b/>
          <w:bCs/>
          <w:sz w:val="24"/>
          <w:highlight w:val="none"/>
        </w:rPr>
        <w:t xml:space="preserve">格式1 </w:t>
      </w:r>
      <w:r>
        <w:rPr>
          <w:rFonts w:hint="eastAsia" w:ascii="宋体" w:hAnsi="宋体" w:eastAsia="宋体" w:cs="宋体"/>
          <w:b/>
          <w:sz w:val="24"/>
          <w:highlight w:val="none"/>
        </w:rPr>
        <w:t>资格性/符合性自查表</w:t>
      </w:r>
    </w:p>
    <w:tbl>
      <w:tblPr>
        <w:tblStyle w:val="17"/>
        <w:tblW w:w="9668"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734"/>
        <w:gridCol w:w="3295"/>
        <w:gridCol w:w="2106"/>
        <w:gridCol w:w="2533"/>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43" w:hRule="atLeast"/>
          <w:jc w:val="center"/>
        </w:trPr>
        <w:tc>
          <w:tcPr>
            <w:tcW w:w="1734" w:type="dxa"/>
            <w:tcBorders>
              <w:top w:val="outset" w:color="111111" w:sz="6" w:space="0"/>
              <w:left w:val="outset" w:color="111111" w:sz="6" w:space="0"/>
              <w:bottom w:val="outset" w:color="111111" w:sz="6" w:space="0"/>
              <w:right w:val="outset" w:color="111111" w:sz="6" w:space="0"/>
            </w:tcBorders>
            <w:vAlign w:val="center"/>
          </w:tcPr>
          <w:p>
            <w:pPr>
              <w:jc w:val="center"/>
              <w:rPr>
                <w:rFonts w:hint="eastAsia" w:ascii="宋体" w:hAnsi="宋体" w:eastAsia="宋体" w:cs="宋体"/>
                <w:sz w:val="24"/>
                <w:highlight w:val="none"/>
              </w:rPr>
            </w:pPr>
            <w:r>
              <w:rPr>
                <w:rFonts w:hint="eastAsia" w:ascii="宋体" w:hAnsi="宋体" w:eastAsia="宋体" w:cs="宋体"/>
                <w:b/>
                <w:bCs/>
                <w:spacing w:val="10"/>
                <w:sz w:val="24"/>
                <w:highlight w:val="none"/>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jc w:val="center"/>
              <w:rPr>
                <w:rFonts w:hint="eastAsia" w:ascii="宋体" w:hAnsi="宋体" w:eastAsia="宋体" w:cs="宋体"/>
                <w:b/>
                <w:bCs/>
                <w:spacing w:val="10"/>
                <w:sz w:val="24"/>
                <w:highlight w:val="none"/>
              </w:rPr>
            </w:pPr>
            <w:r>
              <w:rPr>
                <w:rFonts w:hint="eastAsia" w:ascii="宋体" w:hAnsi="宋体" w:eastAsia="宋体" w:cs="宋体"/>
                <w:b/>
                <w:bCs/>
                <w:spacing w:val="10"/>
                <w:sz w:val="24"/>
                <w:highlight w:val="none"/>
              </w:rPr>
              <w:t>招标文件要求</w:t>
            </w:r>
          </w:p>
          <w:p>
            <w:pPr>
              <w:jc w:val="center"/>
              <w:rPr>
                <w:rFonts w:hint="eastAsia" w:ascii="宋体" w:hAnsi="宋体" w:eastAsia="宋体" w:cs="宋体"/>
                <w:sz w:val="24"/>
                <w:highlight w:val="none"/>
              </w:rPr>
            </w:pPr>
            <w:r>
              <w:rPr>
                <w:rFonts w:hint="eastAsia" w:ascii="宋体" w:hAnsi="宋体" w:eastAsia="宋体" w:cs="宋体"/>
                <w:sz w:val="24"/>
                <w:highlight w:val="none"/>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jc w:val="center"/>
              <w:rPr>
                <w:rFonts w:hint="eastAsia" w:ascii="宋体" w:hAnsi="宋体" w:eastAsia="宋体" w:cs="宋体"/>
                <w:sz w:val="24"/>
                <w:highlight w:val="none"/>
              </w:rPr>
            </w:pPr>
            <w:r>
              <w:rPr>
                <w:rFonts w:hint="eastAsia" w:ascii="宋体" w:hAnsi="宋体" w:eastAsia="宋体" w:cs="宋体"/>
                <w:b/>
                <w:bCs/>
                <w:spacing w:val="10"/>
                <w:sz w:val="24"/>
                <w:highlight w:val="none"/>
              </w:rPr>
              <w:t>自查结论</w:t>
            </w:r>
          </w:p>
        </w:tc>
        <w:tc>
          <w:tcPr>
            <w:tcW w:w="2533" w:type="dxa"/>
            <w:tcBorders>
              <w:top w:val="outset" w:color="111111" w:sz="6" w:space="0"/>
              <w:left w:val="outset" w:color="111111" w:sz="6" w:space="0"/>
              <w:bottom w:val="outset" w:color="111111" w:sz="6" w:space="0"/>
              <w:right w:val="outset" w:color="111111" w:sz="6" w:space="0"/>
            </w:tcBorders>
            <w:vAlign w:val="center"/>
          </w:tcPr>
          <w:p>
            <w:pPr>
              <w:jc w:val="center"/>
              <w:rPr>
                <w:rFonts w:hint="eastAsia" w:ascii="宋体" w:hAnsi="宋体" w:eastAsia="宋体" w:cs="宋体"/>
                <w:sz w:val="24"/>
                <w:highlight w:val="none"/>
              </w:rPr>
            </w:pPr>
            <w:r>
              <w:rPr>
                <w:rFonts w:hint="eastAsia" w:ascii="宋体" w:hAnsi="宋体" w:eastAsia="宋体" w:cs="宋体"/>
                <w:b/>
                <w:bCs/>
                <w:spacing w:val="10"/>
                <w:sz w:val="24"/>
                <w:highlight w:val="none"/>
              </w:rPr>
              <w:t>证明材料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r>
              <w:rPr>
                <w:rFonts w:hint="eastAsia" w:ascii="宋体" w:hAnsi="宋体" w:eastAsia="宋体" w:cs="宋体"/>
                <w:highlight w:val="none"/>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r>
              <w:rPr>
                <w:rFonts w:hint="eastAsia" w:ascii="宋体" w:hAnsi="宋体" w:eastAsia="宋体" w:cs="宋体"/>
                <w:highlight w:val="none"/>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hint="eastAsia" w:ascii="宋体" w:hAnsi="宋体" w:eastAsia="宋体" w:cs="宋体"/>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r>
              <w:rPr>
                <w:rFonts w:hint="eastAsia" w:ascii="宋体" w:hAnsi="宋体" w:eastAsia="宋体" w:cs="宋体"/>
                <w:highlight w:val="none"/>
              </w:rPr>
              <w:sym w:font="Wingdings 2" w:char="00A3"/>
            </w:r>
            <w:r>
              <w:rPr>
                <w:rFonts w:hint="eastAsia" w:ascii="宋体" w:hAnsi="宋体" w:eastAsia="宋体" w:cs="宋体"/>
                <w:highlight w:val="none"/>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r>
              <w:rPr>
                <w:rFonts w:hint="eastAsia" w:ascii="宋体" w:hAnsi="宋体" w:eastAsia="宋体" w:cs="宋体"/>
                <w:highlight w:val="none"/>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hint="eastAsia" w:ascii="宋体" w:hAnsi="宋体" w:eastAsia="宋体" w:cs="宋体"/>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highlight w:val="none"/>
              </w:rPr>
            </w:pPr>
            <w:r>
              <w:rPr>
                <w:rFonts w:hint="eastAsia" w:ascii="宋体" w:hAnsi="宋体" w:eastAsia="宋体" w:cs="宋体"/>
                <w:highlight w:val="none"/>
              </w:rPr>
              <w:sym w:font="Wingdings 2" w:char="00A3"/>
            </w:r>
            <w:r>
              <w:rPr>
                <w:rFonts w:hint="eastAsia" w:ascii="宋体" w:hAnsi="宋体" w:eastAsia="宋体" w:cs="宋体"/>
                <w:highlight w:val="none"/>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highlight w:val="none"/>
              </w:rPr>
            </w:pPr>
            <w:r>
              <w:rPr>
                <w:rFonts w:hint="eastAsia" w:ascii="宋体" w:hAnsi="宋体" w:eastAsia="宋体" w:cs="宋体"/>
                <w:highlight w:val="none"/>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hint="eastAsia" w:ascii="宋体" w:hAnsi="宋体" w:eastAsia="宋体" w:cs="宋体"/>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r>
              <w:rPr>
                <w:rFonts w:hint="eastAsia" w:ascii="宋体" w:hAnsi="宋体" w:eastAsia="宋体" w:cs="宋体"/>
                <w:highlight w:val="none"/>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r>
              <w:rPr>
                <w:rFonts w:hint="eastAsia" w:ascii="宋体" w:hAnsi="宋体" w:eastAsia="宋体" w:cs="宋体"/>
                <w:highlight w:val="none"/>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r>
              <w:rPr>
                <w:rFonts w:hint="eastAsia" w:ascii="宋体" w:hAnsi="宋体" w:eastAsia="宋体" w:cs="宋体"/>
                <w:highlight w:val="none"/>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r>
              <w:rPr>
                <w:rFonts w:hint="eastAsia" w:ascii="宋体" w:hAnsi="宋体" w:eastAsia="宋体" w:cs="宋体"/>
                <w:highlight w:val="none"/>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hint="eastAsia" w:ascii="宋体" w:hAnsi="宋体" w:eastAsia="宋体" w:cs="宋体"/>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r>
              <w:rPr>
                <w:rFonts w:hint="eastAsia" w:ascii="宋体" w:hAnsi="宋体" w:eastAsia="宋体" w:cs="宋体"/>
                <w:highlight w:val="none"/>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r>
              <w:rPr>
                <w:rFonts w:hint="eastAsia" w:ascii="宋体" w:hAnsi="宋体" w:eastAsia="宋体" w:cs="宋体"/>
                <w:highlight w:val="none"/>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hint="eastAsia" w:ascii="宋体" w:hAnsi="宋体" w:eastAsia="宋体" w:cs="宋体"/>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r>
              <w:rPr>
                <w:rFonts w:hint="eastAsia" w:ascii="宋体" w:hAnsi="宋体" w:eastAsia="宋体" w:cs="宋体"/>
                <w:highlight w:val="none"/>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r>
              <w:rPr>
                <w:rFonts w:hint="eastAsia" w:ascii="宋体" w:hAnsi="宋体" w:eastAsia="宋体" w:cs="宋体"/>
                <w:highlight w:val="none"/>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hint="eastAsia" w:ascii="宋体" w:hAnsi="宋体" w:eastAsia="宋体" w:cs="宋体"/>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r>
              <w:rPr>
                <w:rFonts w:hint="eastAsia" w:ascii="宋体" w:hAnsi="宋体" w:eastAsia="宋体" w:cs="宋体"/>
                <w:highlight w:val="none"/>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r>
              <w:rPr>
                <w:rFonts w:hint="eastAsia" w:ascii="宋体" w:hAnsi="宋体" w:eastAsia="宋体" w:cs="宋体"/>
                <w:highlight w:val="none"/>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hint="eastAsia" w:ascii="宋体" w:hAnsi="宋体" w:eastAsia="宋体" w:cs="宋体"/>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r>
              <w:rPr>
                <w:rFonts w:hint="eastAsia" w:ascii="宋体" w:hAnsi="宋体" w:eastAsia="宋体" w:cs="宋体"/>
                <w:highlight w:val="none"/>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r>
              <w:rPr>
                <w:rFonts w:hint="eastAsia" w:ascii="宋体" w:hAnsi="宋体" w:eastAsia="宋体" w:cs="宋体"/>
                <w:highlight w:val="none"/>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hint="eastAsia" w:ascii="宋体" w:hAnsi="宋体" w:eastAsia="宋体" w:cs="宋体"/>
                <w:sz w:val="24"/>
                <w:highlight w:val="none"/>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r>
              <w:rPr>
                <w:rFonts w:hint="eastAsia" w:ascii="宋体" w:hAnsi="宋体" w:eastAsia="宋体" w:cs="宋体"/>
                <w:highlight w:val="none"/>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hint="eastAsia" w:ascii="宋体" w:hAnsi="宋体" w:eastAsia="宋体" w:cs="宋体"/>
                <w:sz w:val="24"/>
                <w:highlight w:val="none"/>
              </w:rPr>
            </w:pPr>
            <w:r>
              <w:rPr>
                <w:rFonts w:hint="eastAsia" w:ascii="宋体" w:hAnsi="宋体" w:eastAsia="宋体" w:cs="宋体"/>
                <w:highlight w:val="none"/>
              </w:rPr>
              <w:t>见投标文件第（）页</w:t>
            </w:r>
          </w:p>
        </w:tc>
      </w:tr>
    </w:tbl>
    <w:p>
      <w:pPr>
        <w:pStyle w:val="6"/>
        <w:spacing w:line="360" w:lineRule="auto"/>
        <w:ind w:firstLine="0"/>
        <w:rPr>
          <w:rFonts w:hint="eastAsia" w:ascii="宋体" w:hAnsi="宋体" w:eastAsia="宋体" w:cs="宋体"/>
          <w:b/>
          <w:sz w:val="24"/>
          <w:szCs w:val="24"/>
          <w:highlight w:val="none"/>
        </w:rPr>
      </w:pPr>
      <w:r>
        <w:rPr>
          <w:rFonts w:hint="eastAsia" w:ascii="宋体" w:hAnsi="宋体" w:eastAsia="宋体" w:cs="宋体"/>
          <w:b/>
          <w:sz w:val="24"/>
          <w:szCs w:val="24"/>
          <w:highlight w:val="none"/>
        </w:rPr>
        <w:t>注：1、以上材料将作为投标人有效性审核的重要内容之一，投标人必须严格按照其内容及序列要求在投标文件中对应如实提供，对资格性和符合性证明文件的任何缺漏和不符合项将会直接导致投标文件无效！投标人根据自查结论在对应的□打“√”。</w:t>
      </w:r>
    </w:p>
    <w:p>
      <w:pPr>
        <w:pStyle w:val="6"/>
        <w:numPr>
          <w:ilvl w:val="0"/>
          <w:numId w:val="6"/>
        </w:numPr>
        <w:spacing w:line="360" w:lineRule="auto"/>
        <w:ind w:firstLine="0"/>
        <w:rPr>
          <w:rFonts w:hint="eastAsia" w:ascii="宋体" w:hAnsi="宋体" w:eastAsia="宋体" w:cs="宋体"/>
          <w:b/>
          <w:sz w:val="24"/>
          <w:szCs w:val="24"/>
          <w:highlight w:val="none"/>
        </w:rPr>
      </w:pPr>
      <w:r>
        <w:rPr>
          <w:rFonts w:hint="eastAsia" w:ascii="宋体" w:hAnsi="宋体" w:eastAsia="宋体" w:cs="宋体"/>
          <w:b/>
          <w:sz w:val="24"/>
          <w:szCs w:val="24"/>
          <w:highlight w:val="none"/>
        </w:rPr>
        <w:t>各投标人按此表格式填写，表格不够时可自行添加。</w:t>
      </w:r>
    </w:p>
    <w:p>
      <w:pPr>
        <w:pStyle w:val="7"/>
        <w:rPr>
          <w:rFonts w:hint="eastAsia" w:ascii="宋体" w:hAnsi="宋体" w:eastAsia="宋体" w:cs="宋体"/>
          <w:highlight w:val="none"/>
        </w:rPr>
      </w:pPr>
    </w:p>
    <w:p>
      <w:pPr>
        <w:pStyle w:val="14"/>
        <w:rPr>
          <w:rFonts w:hint="eastAsia" w:ascii="宋体" w:hAnsi="宋体" w:eastAsia="宋体" w:cs="宋体"/>
          <w:highlight w:val="none"/>
        </w:rPr>
      </w:pPr>
    </w:p>
    <w:p>
      <w:pPr>
        <w:pStyle w:val="14"/>
        <w:rPr>
          <w:rFonts w:hint="eastAsia" w:ascii="宋体" w:hAnsi="宋体" w:eastAsia="宋体" w:cs="宋体"/>
          <w:highlight w:val="none"/>
        </w:rPr>
      </w:pPr>
    </w:p>
    <w:p>
      <w:pPr>
        <w:tabs>
          <w:tab w:val="left" w:pos="360"/>
          <w:tab w:val="left" w:pos="1800"/>
        </w:tabs>
        <w:spacing w:line="360" w:lineRule="auto"/>
        <w:jc w:val="center"/>
        <w:rPr>
          <w:rFonts w:hint="eastAsia" w:ascii="宋体" w:hAnsi="宋体" w:eastAsia="宋体" w:cs="宋体"/>
          <w:bCs/>
          <w:sz w:val="24"/>
          <w:highlight w:val="none"/>
        </w:rPr>
      </w:pPr>
      <w:r>
        <w:rPr>
          <w:rFonts w:hint="eastAsia" w:ascii="宋体" w:hAnsi="宋体" w:eastAsia="宋体" w:cs="宋体"/>
          <w:b/>
          <w:bCs/>
          <w:sz w:val="24"/>
          <w:highlight w:val="none"/>
        </w:rPr>
        <w:t>格式2 法定代表人资格证明书</w:t>
      </w:r>
    </w:p>
    <w:p>
      <w:pPr>
        <w:shd w:val="clear" w:color="auto" w:fill="FFFFFF"/>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单位名称：</w:t>
      </w:r>
    </w:p>
    <w:p>
      <w:pPr>
        <w:shd w:val="clear" w:color="auto" w:fill="FFFFFF"/>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所属行业：</w:t>
      </w:r>
    </w:p>
    <w:p>
      <w:pPr>
        <w:shd w:val="clear" w:color="auto" w:fill="FFFFFF"/>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地址：</w:t>
      </w:r>
    </w:p>
    <w:p>
      <w:pPr>
        <w:shd w:val="clear" w:color="auto" w:fill="FFFFFF"/>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营业期限：</w:t>
      </w:r>
    </w:p>
    <w:p>
      <w:pPr>
        <w:shd w:val="clear" w:color="auto" w:fill="FFFFFF"/>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成立时间：</w:t>
      </w:r>
    </w:p>
    <w:p>
      <w:pPr>
        <w:shd w:val="clear" w:color="auto" w:fill="FFFFFF"/>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经营范围：</w:t>
      </w:r>
    </w:p>
    <w:p>
      <w:pPr>
        <w:tabs>
          <w:tab w:val="left" w:pos="360"/>
          <w:tab w:val="left" w:pos="720"/>
          <w:tab w:val="left" w:pos="900"/>
          <w:tab w:val="left" w:pos="1800"/>
        </w:tabs>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姓名：        性别：       年龄：         职务： </w:t>
      </w:r>
    </w:p>
    <w:p>
      <w:pPr>
        <w:tabs>
          <w:tab w:val="left" w:pos="360"/>
          <w:tab w:val="left" w:pos="1800"/>
        </w:tabs>
        <w:spacing w:line="480" w:lineRule="auto"/>
        <w:ind w:firstLine="480" w:firstLineChars="200"/>
        <w:jc w:val="left"/>
        <w:rPr>
          <w:rFonts w:hint="eastAsia" w:ascii="宋体" w:hAnsi="宋体" w:eastAsia="宋体" w:cs="宋体"/>
          <w:highlight w:val="none"/>
        </w:rPr>
      </w:pP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投标人名称）的法定代表。</w:t>
      </w:r>
    </w:p>
    <w:tbl>
      <w:tblPr>
        <w:tblStyle w:val="17"/>
        <w:tblW w:w="85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1" w:hRule="atLeast"/>
          <w:jc w:val="center"/>
        </w:trPr>
        <w:tc>
          <w:tcPr>
            <w:tcW w:w="8580" w:type="dxa"/>
          </w:tcPr>
          <w:p>
            <w:pPr>
              <w:tabs>
                <w:tab w:val="left" w:pos="360"/>
                <w:tab w:val="left" w:pos="1800"/>
              </w:tabs>
              <w:spacing w:line="480" w:lineRule="auto"/>
              <w:jc w:val="center"/>
              <w:rPr>
                <w:rFonts w:hint="eastAsia" w:ascii="宋体" w:hAnsi="宋体" w:eastAsia="宋体" w:cs="宋体"/>
                <w:sz w:val="24"/>
                <w:highlight w:val="none"/>
              </w:rPr>
            </w:pPr>
          </w:p>
          <w:p>
            <w:pPr>
              <w:tabs>
                <w:tab w:val="left" w:pos="360"/>
                <w:tab w:val="left" w:pos="1800"/>
              </w:tabs>
              <w:spacing w:line="480" w:lineRule="auto"/>
              <w:jc w:val="center"/>
              <w:rPr>
                <w:rFonts w:hint="eastAsia" w:ascii="宋体" w:hAnsi="宋体" w:eastAsia="宋体" w:cs="宋体"/>
                <w:sz w:val="24"/>
                <w:highlight w:val="none"/>
              </w:rPr>
            </w:pPr>
          </w:p>
          <w:p>
            <w:pPr>
              <w:tabs>
                <w:tab w:val="left" w:pos="360"/>
                <w:tab w:val="left" w:pos="1800"/>
              </w:tabs>
              <w:spacing w:line="480" w:lineRule="auto"/>
              <w:jc w:val="center"/>
              <w:rPr>
                <w:rFonts w:hint="eastAsia" w:ascii="宋体" w:hAnsi="宋体" w:eastAsia="宋体" w:cs="宋体"/>
                <w:sz w:val="24"/>
                <w:highlight w:val="none"/>
              </w:rPr>
            </w:pPr>
            <w:r>
              <w:rPr>
                <w:rFonts w:hint="eastAsia" w:ascii="宋体" w:hAnsi="宋体" w:eastAsia="宋体" w:cs="宋体"/>
                <w:sz w:val="24"/>
                <w:highlight w:val="none"/>
              </w:rPr>
              <w:t>法定代表人身份证复印件或扫描件（正、反两面）</w:t>
            </w:r>
          </w:p>
        </w:tc>
      </w:tr>
    </w:tbl>
    <w:p>
      <w:pPr>
        <w:tabs>
          <w:tab w:val="left" w:pos="360"/>
          <w:tab w:val="left" w:pos="1800"/>
        </w:tabs>
        <w:spacing w:line="480" w:lineRule="auto"/>
        <w:ind w:firstLine="720" w:firstLineChars="300"/>
        <w:rPr>
          <w:rFonts w:hint="eastAsia" w:ascii="宋体" w:hAnsi="宋体" w:eastAsia="宋体" w:cs="宋体"/>
          <w:sz w:val="24"/>
          <w:highlight w:val="none"/>
        </w:rPr>
      </w:pPr>
    </w:p>
    <w:p>
      <w:pPr>
        <w:tabs>
          <w:tab w:val="left" w:pos="360"/>
          <w:tab w:val="left" w:pos="1800"/>
        </w:tabs>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特此证明。</w:t>
      </w:r>
    </w:p>
    <w:p>
      <w:pPr>
        <w:tabs>
          <w:tab w:val="left" w:pos="360"/>
          <w:tab w:val="left" w:pos="1800"/>
        </w:tabs>
        <w:spacing w:line="480" w:lineRule="auto"/>
        <w:ind w:firstLine="480" w:firstLineChars="200"/>
        <w:rPr>
          <w:rFonts w:hint="eastAsia" w:ascii="宋体" w:hAnsi="宋体" w:eastAsia="宋体" w:cs="宋体"/>
          <w:sz w:val="24"/>
          <w:highlight w:val="none"/>
        </w:rPr>
      </w:pPr>
    </w:p>
    <w:p>
      <w:pPr>
        <w:tabs>
          <w:tab w:val="left" w:pos="360"/>
          <w:tab w:val="left" w:pos="1800"/>
        </w:tabs>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投标人：（盖章）</w:t>
      </w:r>
    </w:p>
    <w:p>
      <w:pPr>
        <w:shd w:val="clear" w:color="auto" w:fill="FFFFFF"/>
        <w:tabs>
          <w:tab w:val="left" w:pos="3780"/>
        </w:tabs>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法定代表人（签字或盖章）：</w:t>
      </w:r>
    </w:p>
    <w:p>
      <w:pPr>
        <w:tabs>
          <w:tab w:val="left" w:pos="360"/>
          <w:tab w:val="left" w:pos="1800"/>
        </w:tabs>
        <w:spacing w:line="48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日期：    年   月   日</w:t>
      </w:r>
    </w:p>
    <w:p>
      <w:pPr>
        <w:rPr>
          <w:rFonts w:hint="eastAsia" w:ascii="宋体" w:hAnsi="宋体" w:eastAsia="宋体" w:cs="宋体"/>
          <w:b/>
          <w:bCs/>
          <w:sz w:val="24"/>
          <w:highlight w:val="none"/>
        </w:rPr>
      </w:pPr>
      <w:r>
        <w:rPr>
          <w:rFonts w:hint="eastAsia" w:ascii="宋体" w:hAnsi="宋体" w:eastAsia="宋体" w:cs="宋体"/>
          <w:b/>
          <w:bCs/>
          <w:sz w:val="24"/>
          <w:highlight w:val="none"/>
        </w:rPr>
        <w:br w:type="page"/>
      </w:r>
    </w:p>
    <w:p>
      <w:pPr>
        <w:tabs>
          <w:tab w:val="left" w:pos="360"/>
          <w:tab w:val="left" w:pos="1800"/>
        </w:tabs>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格式3  法定代表人授权委托书</w:t>
      </w:r>
    </w:p>
    <w:p>
      <w:pPr>
        <w:tabs>
          <w:tab w:val="left" w:pos="360"/>
          <w:tab w:val="left" w:pos="1800"/>
        </w:tabs>
        <w:spacing w:line="480" w:lineRule="auto"/>
        <w:ind w:left="19" w:leftChars="9" w:firstLine="458" w:firstLineChars="191"/>
        <w:rPr>
          <w:rFonts w:hint="eastAsia" w:ascii="宋体" w:hAnsi="宋体" w:eastAsia="宋体" w:cs="宋体"/>
          <w:sz w:val="24"/>
          <w:highlight w:val="none"/>
        </w:rPr>
      </w:pPr>
    </w:p>
    <w:p>
      <w:pPr>
        <w:tabs>
          <w:tab w:val="left" w:pos="360"/>
          <w:tab w:val="left" w:pos="1800"/>
        </w:tabs>
        <w:spacing w:line="480" w:lineRule="auto"/>
        <w:ind w:left="19" w:leftChars="9" w:firstLine="458" w:firstLineChars="191"/>
        <w:rPr>
          <w:rFonts w:hint="eastAsia" w:ascii="宋体" w:hAnsi="宋体" w:eastAsia="宋体" w:cs="宋体"/>
          <w:sz w:val="24"/>
          <w:highlight w:val="none"/>
        </w:rPr>
      </w:pPr>
      <w:r>
        <w:rPr>
          <w:rFonts w:hint="eastAsia" w:ascii="宋体" w:hAnsi="宋体" w:eastAsia="宋体" w:cs="宋体"/>
          <w:sz w:val="24"/>
          <w:highlight w:val="none"/>
        </w:rPr>
        <w:t>本授权委托书声明：我</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（姓名）系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（投标人名称）的法定代表人，现授权委托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（投标人名称）的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（姓名）为我公司代理人，以本公司的名义参加</w:t>
      </w:r>
    </w:p>
    <w:p>
      <w:pPr>
        <w:tabs>
          <w:tab w:val="left" w:pos="360"/>
          <w:tab w:val="left" w:pos="1800"/>
        </w:tabs>
        <w:spacing w:line="48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（项目名称）的投标活动。代理人在参加整个招标投标活动所签署的一切文件和处理与之相关的一切事物，我均予承认。</w:t>
      </w:r>
    </w:p>
    <w:p>
      <w:pPr>
        <w:tabs>
          <w:tab w:val="left" w:pos="360"/>
          <w:tab w:val="left" w:pos="1800"/>
        </w:tabs>
        <w:spacing w:line="48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本授权委托书期限自</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日起至</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日止。被授权人在授权书有效期内签署的所有文件不因授权期限的终止而失效。</w:t>
      </w:r>
    </w:p>
    <w:p>
      <w:pPr>
        <w:tabs>
          <w:tab w:val="left" w:pos="360"/>
          <w:tab w:val="left" w:pos="1800"/>
        </w:tabs>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委托代理人无转委权。特此委托。</w:t>
      </w:r>
    </w:p>
    <w:p>
      <w:pPr>
        <w:tabs>
          <w:tab w:val="left" w:pos="360"/>
          <w:tab w:val="left" w:pos="1800"/>
        </w:tabs>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委托代理人：            性别：           年龄：</w:t>
      </w:r>
    </w:p>
    <w:p>
      <w:pPr>
        <w:tabs>
          <w:tab w:val="left" w:pos="360"/>
          <w:tab w:val="left" w:pos="1800"/>
        </w:tabs>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单位：                  部门：           职务：</w:t>
      </w:r>
    </w:p>
    <w:tbl>
      <w:tblPr>
        <w:tblStyle w:val="17"/>
        <w:tblW w:w="87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1" w:hRule="atLeast"/>
          <w:jc w:val="center"/>
        </w:trPr>
        <w:tc>
          <w:tcPr>
            <w:tcW w:w="8760" w:type="dxa"/>
          </w:tcPr>
          <w:p>
            <w:pPr>
              <w:tabs>
                <w:tab w:val="left" w:pos="360"/>
                <w:tab w:val="left" w:pos="1800"/>
              </w:tabs>
              <w:spacing w:line="360" w:lineRule="auto"/>
              <w:jc w:val="center"/>
              <w:rPr>
                <w:rFonts w:hint="eastAsia" w:ascii="宋体" w:hAnsi="宋体" w:eastAsia="宋体" w:cs="宋体"/>
                <w:sz w:val="24"/>
                <w:highlight w:val="none"/>
              </w:rPr>
            </w:pPr>
          </w:p>
          <w:p>
            <w:pPr>
              <w:tabs>
                <w:tab w:val="left" w:pos="360"/>
                <w:tab w:val="left" w:pos="1800"/>
              </w:tabs>
              <w:spacing w:line="360" w:lineRule="auto"/>
              <w:jc w:val="center"/>
              <w:rPr>
                <w:rFonts w:hint="eastAsia" w:ascii="宋体" w:hAnsi="宋体" w:eastAsia="宋体" w:cs="宋体"/>
                <w:sz w:val="24"/>
                <w:highlight w:val="none"/>
              </w:rPr>
            </w:pPr>
          </w:p>
          <w:p>
            <w:pPr>
              <w:tabs>
                <w:tab w:val="left" w:pos="360"/>
                <w:tab w:val="left" w:pos="1800"/>
              </w:tabs>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委托代理人身份证复印件或扫描件（正、反两面）</w:t>
            </w:r>
          </w:p>
        </w:tc>
      </w:tr>
    </w:tbl>
    <w:p>
      <w:pPr>
        <w:tabs>
          <w:tab w:val="left" w:pos="360"/>
          <w:tab w:val="left" w:pos="1800"/>
        </w:tabs>
        <w:spacing w:line="360" w:lineRule="auto"/>
        <w:ind w:firstLine="3600"/>
        <w:rPr>
          <w:rFonts w:hint="eastAsia" w:ascii="宋体" w:hAnsi="宋体" w:eastAsia="宋体" w:cs="宋体"/>
          <w:sz w:val="24"/>
          <w:highlight w:val="none"/>
        </w:rPr>
      </w:pPr>
    </w:p>
    <w:p>
      <w:pPr>
        <w:tabs>
          <w:tab w:val="left" w:pos="360"/>
          <w:tab w:val="left" w:pos="1800"/>
        </w:tabs>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投标人：（盖章）</w:t>
      </w:r>
    </w:p>
    <w:p>
      <w:pPr>
        <w:tabs>
          <w:tab w:val="left" w:pos="360"/>
          <w:tab w:val="left" w:pos="1800"/>
        </w:tabs>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法定代表：（签字或盖章）</w:t>
      </w:r>
    </w:p>
    <w:p>
      <w:pPr>
        <w:tabs>
          <w:tab w:val="left" w:pos="360"/>
          <w:tab w:val="left" w:pos="1800"/>
        </w:tabs>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委托代理人：（签字或盖章）</w:t>
      </w:r>
    </w:p>
    <w:p>
      <w:pPr>
        <w:tabs>
          <w:tab w:val="left" w:pos="360"/>
          <w:tab w:val="left" w:pos="1800"/>
        </w:tabs>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日期：      年     月     日</w:t>
      </w:r>
    </w:p>
    <w:p>
      <w:pPr>
        <w:tabs>
          <w:tab w:val="left" w:pos="360"/>
          <w:tab w:val="left" w:pos="1800"/>
        </w:tabs>
        <w:spacing w:line="360" w:lineRule="auto"/>
        <w:ind w:firstLine="3600"/>
        <w:rPr>
          <w:rFonts w:hint="eastAsia" w:ascii="宋体" w:hAnsi="宋体" w:eastAsia="宋体" w:cs="宋体"/>
          <w:sz w:val="24"/>
          <w:highlight w:val="none"/>
        </w:rPr>
      </w:pPr>
    </w:p>
    <w:p>
      <w:pPr>
        <w:pStyle w:val="7"/>
        <w:spacing w:before="0" w:after="0" w:line="360" w:lineRule="auto"/>
        <w:jc w:val="center"/>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格式4  投标人基本情况表</w:t>
      </w:r>
    </w:p>
    <w:tbl>
      <w:tblPr>
        <w:tblStyle w:val="17"/>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549"/>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728" w:type="dxa"/>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投标人名称</w:t>
            </w:r>
          </w:p>
        </w:tc>
        <w:tc>
          <w:tcPr>
            <w:tcW w:w="7668" w:type="dxa"/>
            <w:gridSpan w:val="5"/>
            <w:vAlign w:val="center"/>
          </w:tcPr>
          <w:p>
            <w:pPr>
              <w:spacing w:line="36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728" w:type="dxa"/>
            <w:vAlign w:val="center"/>
          </w:tcPr>
          <w:p>
            <w:pPr>
              <w:spacing w:line="360" w:lineRule="auto"/>
              <w:ind w:firstLine="240" w:firstLineChars="100"/>
              <w:jc w:val="center"/>
              <w:rPr>
                <w:rFonts w:hint="eastAsia" w:ascii="宋体" w:hAnsi="宋体" w:eastAsia="宋体" w:cs="宋体"/>
                <w:bCs/>
                <w:sz w:val="24"/>
                <w:highlight w:val="none"/>
              </w:rPr>
            </w:pPr>
            <w:r>
              <w:rPr>
                <w:rFonts w:hint="eastAsia" w:ascii="宋体" w:hAnsi="宋体" w:eastAsia="宋体" w:cs="宋体"/>
                <w:bCs/>
                <w:sz w:val="24"/>
                <w:highlight w:val="none"/>
              </w:rPr>
              <w:t>地 址</w:t>
            </w:r>
          </w:p>
        </w:tc>
        <w:tc>
          <w:tcPr>
            <w:tcW w:w="7668" w:type="dxa"/>
            <w:gridSpan w:val="5"/>
            <w:vAlign w:val="center"/>
          </w:tcPr>
          <w:p>
            <w:pPr>
              <w:spacing w:line="36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28" w:type="dxa"/>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主管部门</w:t>
            </w:r>
          </w:p>
        </w:tc>
        <w:tc>
          <w:tcPr>
            <w:tcW w:w="1380" w:type="dxa"/>
            <w:vAlign w:val="center"/>
          </w:tcPr>
          <w:p>
            <w:pPr>
              <w:spacing w:line="360" w:lineRule="auto"/>
              <w:jc w:val="center"/>
              <w:rPr>
                <w:rFonts w:hint="eastAsia" w:ascii="宋体" w:hAnsi="宋体" w:eastAsia="宋体" w:cs="宋体"/>
                <w:bCs/>
                <w:sz w:val="24"/>
                <w:highlight w:val="none"/>
              </w:rPr>
            </w:pPr>
          </w:p>
        </w:tc>
        <w:tc>
          <w:tcPr>
            <w:tcW w:w="1549" w:type="dxa"/>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法定代表人</w:t>
            </w:r>
          </w:p>
        </w:tc>
        <w:tc>
          <w:tcPr>
            <w:tcW w:w="1549" w:type="dxa"/>
            <w:vAlign w:val="center"/>
          </w:tcPr>
          <w:p>
            <w:pPr>
              <w:spacing w:line="360" w:lineRule="auto"/>
              <w:jc w:val="center"/>
              <w:rPr>
                <w:rFonts w:hint="eastAsia" w:ascii="宋体" w:hAnsi="宋体" w:eastAsia="宋体" w:cs="宋体"/>
                <w:bCs/>
                <w:sz w:val="24"/>
                <w:highlight w:val="none"/>
              </w:rPr>
            </w:pPr>
          </w:p>
        </w:tc>
        <w:tc>
          <w:tcPr>
            <w:tcW w:w="1583" w:type="dxa"/>
            <w:vAlign w:val="center"/>
          </w:tcPr>
          <w:p>
            <w:pPr>
              <w:spacing w:line="360" w:lineRule="auto"/>
              <w:ind w:firstLine="240" w:firstLineChars="100"/>
              <w:jc w:val="center"/>
              <w:rPr>
                <w:rFonts w:hint="eastAsia" w:ascii="宋体" w:hAnsi="宋体" w:eastAsia="宋体" w:cs="宋体"/>
                <w:bCs/>
                <w:sz w:val="24"/>
                <w:highlight w:val="none"/>
              </w:rPr>
            </w:pPr>
            <w:r>
              <w:rPr>
                <w:rFonts w:hint="eastAsia" w:ascii="宋体" w:hAnsi="宋体" w:eastAsia="宋体" w:cs="宋体"/>
                <w:bCs/>
                <w:sz w:val="24"/>
                <w:highlight w:val="none"/>
              </w:rPr>
              <w:t>职 务</w:t>
            </w:r>
          </w:p>
        </w:tc>
        <w:tc>
          <w:tcPr>
            <w:tcW w:w="1607" w:type="dxa"/>
            <w:vAlign w:val="center"/>
          </w:tcPr>
          <w:p>
            <w:pPr>
              <w:spacing w:line="36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728" w:type="dxa"/>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注册时间</w:t>
            </w:r>
          </w:p>
        </w:tc>
        <w:tc>
          <w:tcPr>
            <w:tcW w:w="2929" w:type="dxa"/>
            <w:gridSpan w:val="2"/>
            <w:vAlign w:val="center"/>
          </w:tcPr>
          <w:p>
            <w:pPr>
              <w:spacing w:line="360" w:lineRule="auto"/>
              <w:jc w:val="center"/>
              <w:rPr>
                <w:rFonts w:hint="eastAsia" w:ascii="宋体" w:hAnsi="宋体" w:eastAsia="宋体" w:cs="宋体"/>
                <w:bCs/>
                <w:sz w:val="24"/>
                <w:highlight w:val="none"/>
              </w:rPr>
            </w:pPr>
          </w:p>
        </w:tc>
        <w:tc>
          <w:tcPr>
            <w:tcW w:w="1549" w:type="dxa"/>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经济类型</w:t>
            </w:r>
          </w:p>
        </w:tc>
        <w:tc>
          <w:tcPr>
            <w:tcW w:w="3190" w:type="dxa"/>
            <w:gridSpan w:val="2"/>
            <w:vAlign w:val="center"/>
          </w:tcPr>
          <w:p>
            <w:pPr>
              <w:spacing w:line="36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营业执照号</w:t>
            </w:r>
          </w:p>
        </w:tc>
        <w:tc>
          <w:tcPr>
            <w:tcW w:w="4739" w:type="dxa"/>
            <w:gridSpan w:val="3"/>
            <w:vAlign w:val="center"/>
          </w:tcPr>
          <w:p>
            <w:pPr>
              <w:spacing w:line="36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近三年内（2019年1月1日至今）经营活动中有无重大违法纪录</w:t>
            </w:r>
          </w:p>
        </w:tc>
        <w:tc>
          <w:tcPr>
            <w:tcW w:w="4739" w:type="dxa"/>
            <w:gridSpan w:val="3"/>
            <w:vAlign w:val="center"/>
          </w:tcPr>
          <w:p>
            <w:pPr>
              <w:spacing w:line="36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是否依法缴纳税收</w:t>
            </w:r>
          </w:p>
        </w:tc>
        <w:tc>
          <w:tcPr>
            <w:tcW w:w="2929" w:type="dxa"/>
            <w:gridSpan w:val="2"/>
            <w:vAlign w:val="center"/>
          </w:tcPr>
          <w:p>
            <w:pPr>
              <w:spacing w:line="360" w:lineRule="auto"/>
              <w:jc w:val="center"/>
              <w:rPr>
                <w:rFonts w:hint="eastAsia" w:ascii="宋体" w:hAnsi="宋体" w:eastAsia="宋体" w:cs="宋体"/>
                <w:bCs/>
                <w:sz w:val="24"/>
                <w:highlight w:val="none"/>
              </w:rPr>
            </w:pPr>
          </w:p>
        </w:tc>
        <w:tc>
          <w:tcPr>
            <w:tcW w:w="1549" w:type="dxa"/>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是否依法缴纳社会保障资金</w:t>
            </w:r>
          </w:p>
        </w:tc>
        <w:tc>
          <w:tcPr>
            <w:tcW w:w="3190" w:type="dxa"/>
            <w:gridSpan w:val="2"/>
            <w:vAlign w:val="center"/>
          </w:tcPr>
          <w:p>
            <w:pPr>
              <w:spacing w:line="36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728" w:type="dxa"/>
            <w:vMerge w:val="restart"/>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单</w:t>
            </w:r>
          </w:p>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位</w:t>
            </w:r>
          </w:p>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概</w:t>
            </w:r>
          </w:p>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况</w:t>
            </w:r>
          </w:p>
        </w:tc>
        <w:tc>
          <w:tcPr>
            <w:tcW w:w="1380" w:type="dxa"/>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注册资本</w:t>
            </w:r>
          </w:p>
        </w:tc>
        <w:tc>
          <w:tcPr>
            <w:tcW w:w="1549" w:type="dxa"/>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万元</w:t>
            </w:r>
          </w:p>
        </w:tc>
        <w:tc>
          <w:tcPr>
            <w:tcW w:w="1549" w:type="dxa"/>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占地面积</w:t>
            </w:r>
          </w:p>
        </w:tc>
        <w:tc>
          <w:tcPr>
            <w:tcW w:w="3190" w:type="dxa"/>
            <w:gridSpan w:val="2"/>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728" w:type="dxa"/>
            <w:vMerge w:val="continue"/>
            <w:vAlign w:val="center"/>
          </w:tcPr>
          <w:p>
            <w:pPr>
              <w:spacing w:line="360" w:lineRule="auto"/>
              <w:jc w:val="center"/>
              <w:rPr>
                <w:rFonts w:hint="eastAsia" w:ascii="宋体" w:hAnsi="宋体" w:eastAsia="宋体" w:cs="宋体"/>
                <w:bCs/>
                <w:sz w:val="24"/>
                <w:highlight w:val="none"/>
              </w:rPr>
            </w:pPr>
          </w:p>
        </w:tc>
        <w:tc>
          <w:tcPr>
            <w:tcW w:w="1380" w:type="dxa"/>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职工总数</w:t>
            </w:r>
          </w:p>
        </w:tc>
        <w:tc>
          <w:tcPr>
            <w:tcW w:w="1549" w:type="dxa"/>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人</w:t>
            </w:r>
          </w:p>
        </w:tc>
        <w:tc>
          <w:tcPr>
            <w:tcW w:w="1549" w:type="dxa"/>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建筑面积</w:t>
            </w:r>
          </w:p>
        </w:tc>
        <w:tc>
          <w:tcPr>
            <w:tcW w:w="3190" w:type="dxa"/>
            <w:gridSpan w:val="2"/>
            <w:vAlign w:val="center"/>
          </w:tcPr>
          <w:p>
            <w:pPr>
              <w:spacing w:line="360" w:lineRule="auto"/>
              <w:ind w:firstLine="1800" w:firstLineChars="750"/>
              <w:jc w:val="center"/>
              <w:rPr>
                <w:rFonts w:hint="eastAsia" w:ascii="宋体" w:hAnsi="宋体" w:eastAsia="宋体" w:cs="宋体"/>
                <w:bCs/>
                <w:sz w:val="24"/>
                <w:highlight w:val="none"/>
              </w:rPr>
            </w:pPr>
            <w:r>
              <w:rPr>
                <w:rFonts w:hint="eastAsia" w:ascii="宋体" w:hAnsi="宋体" w:eastAsia="宋体" w:cs="宋体"/>
                <w:bCs/>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728" w:type="dxa"/>
            <w:vMerge w:val="continue"/>
            <w:vAlign w:val="center"/>
          </w:tcPr>
          <w:p>
            <w:pPr>
              <w:spacing w:line="360" w:lineRule="auto"/>
              <w:jc w:val="center"/>
              <w:rPr>
                <w:rFonts w:hint="eastAsia" w:ascii="宋体" w:hAnsi="宋体" w:eastAsia="宋体" w:cs="宋体"/>
                <w:bCs/>
                <w:sz w:val="24"/>
                <w:highlight w:val="none"/>
              </w:rPr>
            </w:pPr>
          </w:p>
        </w:tc>
        <w:tc>
          <w:tcPr>
            <w:tcW w:w="1380" w:type="dxa"/>
            <w:vMerge w:val="restart"/>
            <w:vAlign w:val="center"/>
          </w:tcPr>
          <w:p>
            <w:pPr>
              <w:spacing w:line="360" w:lineRule="auto"/>
              <w:ind w:firstLine="240" w:firstLineChars="100"/>
              <w:jc w:val="center"/>
              <w:rPr>
                <w:rFonts w:hint="eastAsia" w:ascii="宋体" w:hAnsi="宋体" w:eastAsia="宋体" w:cs="宋体"/>
                <w:bCs/>
                <w:sz w:val="24"/>
                <w:highlight w:val="none"/>
              </w:rPr>
            </w:pPr>
            <w:r>
              <w:rPr>
                <w:rFonts w:hint="eastAsia" w:ascii="宋体" w:hAnsi="宋体" w:eastAsia="宋体" w:cs="宋体"/>
                <w:bCs/>
                <w:sz w:val="24"/>
                <w:highlight w:val="none"/>
              </w:rPr>
              <w:t>资产</w:t>
            </w:r>
          </w:p>
          <w:p>
            <w:pPr>
              <w:spacing w:line="360" w:lineRule="auto"/>
              <w:ind w:firstLine="240" w:firstLineChars="100"/>
              <w:jc w:val="center"/>
              <w:rPr>
                <w:rFonts w:hint="eastAsia" w:ascii="宋体" w:hAnsi="宋体" w:eastAsia="宋体" w:cs="宋体"/>
                <w:bCs/>
                <w:sz w:val="24"/>
                <w:highlight w:val="none"/>
              </w:rPr>
            </w:pPr>
            <w:r>
              <w:rPr>
                <w:rFonts w:hint="eastAsia" w:ascii="宋体" w:hAnsi="宋体" w:eastAsia="宋体" w:cs="宋体"/>
                <w:bCs/>
                <w:sz w:val="24"/>
                <w:highlight w:val="none"/>
              </w:rPr>
              <w:t>情况</w:t>
            </w:r>
          </w:p>
        </w:tc>
        <w:tc>
          <w:tcPr>
            <w:tcW w:w="3098" w:type="dxa"/>
            <w:gridSpan w:val="2"/>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净资产：        万元</w:t>
            </w:r>
          </w:p>
        </w:tc>
        <w:tc>
          <w:tcPr>
            <w:tcW w:w="3190" w:type="dxa"/>
            <w:gridSpan w:val="2"/>
            <w:vMerge w:val="restart"/>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固定资产原值 ：      万元</w:t>
            </w:r>
          </w:p>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728" w:type="dxa"/>
            <w:vMerge w:val="continue"/>
            <w:vAlign w:val="center"/>
          </w:tcPr>
          <w:p>
            <w:pPr>
              <w:spacing w:line="360" w:lineRule="auto"/>
              <w:jc w:val="center"/>
              <w:rPr>
                <w:rFonts w:hint="eastAsia" w:ascii="宋体" w:hAnsi="宋体" w:eastAsia="宋体" w:cs="宋体"/>
                <w:bCs/>
                <w:sz w:val="24"/>
                <w:highlight w:val="none"/>
              </w:rPr>
            </w:pPr>
          </w:p>
        </w:tc>
        <w:tc>
          <w:tcPr>
            <w:tcW w:w="1380" w:type="dxa"/>
            <w:vMerge w:val="continue"/>
            <w:vAlign w:val="center"/>
          </w:tcPr>
          <w:p>
            <w:pPr>
              <w:spacing w:line="360" w:lineRule="auto"/>
              <w:jc w:val="center"/>
              <w:rPr>
                <w:rFonts w:hint="eastAsia" w:ascii="宋体" w:hAnsi="宋体" w:eastAsia="宋体" w:cs="宋体"/>
                <w:bCs/>
                <w:sz w:val="24"/>
                <w:highlight w:val="none"/>
              </w:rPr>
            </w:pPr>
          </w:p>
        </w:tc>
        <w:tc>
          <w:tcPr>
            <w:tcW w:w="3098" w:type="dxa"/>
            <w:gridSpan w:val="2"/>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负 债：         万元</w:t>
            </w:r>
          </w:p>
        </w:tc>
        <w:tc>
          <w:tcPr>
            <w:tcW w:w="3190" w:type="dxa"/>
            <w:gridSpan w:val="2"/>
            <w:vMerge w:val="continue"/>
            <w:vAlign w:val="center"/>
          </w:tcPr>
          <w:p>
            <w:pPr>
              <w:spacing w:line="36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vAlign w:val="center"/>
          </w:tcPr>
          <w:p>
            <w:pPr>
              <w:spacing w:line="360" w:lineRule="auto"/>
              <w:ind w:firstLine="120" w:firstLineChars="50"/>
              <w:jc w:val="center"/>
              <w:rPr>
                <w:rFonts w:hint="eastAsia" w:ascii="宋体" w:hAnsi="宋体" w:eastAsia="宋体" w:cs="宋体"/>
                <w:bCs/>
                <w:sz w:val="24"/>
                <w:highlight w:val="none"/>
              </w:rPr>
            </w:pPr>
            <w:r>
              <w:rPr>
                <w:rFonts w:hint="eastAsia" w:ascii="宋体" w:hAnsi="宋体" w:eastAsia="宋体" w:cs="宋体"/>
                <w:bCs/>
                <w:sz w:val="24"/>
                <w:highlight w:val="none"/>
              </w:rPr>
              <w:t>财务状况</w:t>
            </w:r>
          </w:p>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（最近三年2019年至2021年）</w:t>
            </w:r>
          </w:p>
        </w:tc>
        <w:tc>
          <w:tcPr>
            <w:tcW w:w="1380" w:type="dxa"/>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年份</w:t>
            </w:r>
          </w:p>
        </w:tc>
        <w:tc>
          <w:tcPr>
            <w:tcW w:w="1549" w:type="dxa"/>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主营收入</w:t>
            </w:r>
          </w:p>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（万元）</w:t>
            </w:r>
          </w:p>
        </w:tc>
        <w:tc>
          <w:tcPr>
            <w:tcW w:w="1549" w:type="dxa"/>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收入总额</w:t>
            </w:r>
          </w:p>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（万元）</w:t>
            </w:r>
          </w:p>
        </w:tc>
        <w:tc>
          <w:tcPr>
            <w:tcW w:w="1583" w:type="dxa"/>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利润总额</w:t>
            </w:r>
          </w:p>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（万元）</w:t>
            </w:r>
          </w:p>
        </w:tc>
        <w:tc>
          <w:tcPr>
            <w:tcW w:w="1607" w:type="dxa"/>
            <w:vAlign w:val="center"/>
          </w:tcPr>
          <w:p>
            <w:pPr>
              <w:spacing w:line="360" w:lineRule="auto"/>
              <w:ind w:firstLine="240" w:firstLineChars="100"/>
              <w:jc w:val="center"/>
              <w:rPr>
                <w:rFonts w:hint="eastAsia" w:ascii="宋体" w:hAnsi="宋体" w:eastAsia="宋体" w:cs="宋体"/>
                <w:bCs/>
                <w:sz w:val="24"/>
                <w:highlight w:val="none"/>
              </w:rPr>
            </w:pPr>
            <w:r>
              <w:rPr>
                <w:rFonts w:hint="eastAsia" w:ascii="宋体" w:hAnsi="宋体" w:eastAsia="宋体" w:cs="宋体"/>
                <w:bCs/>
                <w:sz w:val="24"/>
                <w:highlight w:val="none"/>
              </w:rPr>
              <w:t>净利润</w:t>
            </w:r>
          </w:p>
          <w:p>
            <w:pPr>
              <w:spacing w:line="360" w:lineRule="auto"/>
              <w:ind w:firstLine="240" w:firstLineChars="100"/>
              <w:jc w:val="center"/>
              <w:rPr>
                <w:rFonts w:hint="eastAsia" w:ascii="宋体" w:hAnsi="宋体" w:eastAsia="宋体" w:cs="宋体"/>
                <w:bCs/>
                <w:sz w:val="24"/>
                <w:highlight w:val="none"/>
              </w:rPr>
            </w:pPr>
            <w:r>
              <w:rPr>
                <w:rFonts w:hint="eastAsia" w:ascii="宋体" w:hAnsi="宋体" w:eastAsia="宋体" w:cs="宋体"/>
                <w:bCs/>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vAlign w:val="center"/>
          </w:tcPr>
          <w:p>
            <w:pPr>
              <w:spacing w:line="360" w:lineRule="auto"/>
              <w:jc w:val="center"/>
              <w:rPr>
                <w:rFonts w:hint="eastAsia" w:ascii="宋体" w:hAnsi="宋体" w:eastAsia="宋体" w:cs="宋体"/>
                <w:bCs/>
                <w:sz w:val="24"/>
                <w:highlight w:val="none"/>
              </w:rPr>
            </w:pPr>
          </w:p>
        </w:tc>
        <w:tc>
          <w:tcPr>
            <w:tcW w:w="1380" w:type="dxa"/>
            <w:vAlign w:val="center"/>
          </w:tcPr>
          <w:p>
            <w:pPr>
              <w:spacing w:line="360" w:lineRule="auto"/>
              <w:jc w:val="center"/>
              <w:rPr>
                <w:rFonts w:hint="eastAsia" w:ascii="宋体" w:hAnsi="宋体" w:eastAsia="宋体" w:cs="宋体"/>
                <w:bCs/>
                <w:sz w:val="24"/>
                <w:highlight w:val="none"/>
              </w:rPr>
            </w:pPr>
          </w:p>
        </w:tc>
        <w:tc>
          <w:tcPr>
            <w:tcW w:w="1549" w:type="dxa"/>
            <w:vAlign w:val="center"/>
          </w:tcPr>
          <w:p>
            <w:pPr>
              <w:spacing w:line="360" w:lineRule="auto"/>
              <w:jc w:val="center"/>
              <w:rPr>
                <w:rFonts w:hint="eastAsia" w:ascii="宋体" w:hAnsi="宋体" w:eastAsia="宋体" w:cs="宋体"/>
                <w:bCs/>
                <w:sz w:val="24"/>
                <w:highlight w:val="none"/>
              </w:rPr>
            </w:pPr>
          </w:p>
        </w:tc>
        <w:tc>
          <w:tcPr>
            <w:tcW w:w="1549" w:type="dxa"/>
            <w:vAlign w:val="center"/>
          </w:tcPr>
          <w:p>
            <w:pPr>
              <w:spacing w:line="360" w:lineRule="auto"/>
              <w:jc w:val="center"/>
              <w:rPr>
                <w:rFonts w:hint="eastAsia" w:ascii="宋体" w:hAnsi="宋体" w:eastAsia="宋体" w:cs="宋体"/>
                <w:bCs/>
                <w:sz w:val="24"/>
                <w:highlight w:val="none"/>
              </w:rPr>
            </w:pPr>
          </w:p>
        </w:tc>
        <w:tc>
          <w:tcPr>
            <w:tcW w:w="1583" w:type="dxa"/>
            <w:vAlign w:val="center"/>
          </w:tcPr>
          <w:p>
            <w:pPr>
              <w:spacing w:line="360" w:lineRule="auto"/>
              <w:jc w:val="center"/>
              <w:rPr>
                <w:rFonts w:hint="eastAsia" w:ascii="宋体" w:hAnsi="宋体" w:eastAsia="宋体" w:cs="宋体"/>
                <w:bCs/>
                <w:sz w:val="24"/>
                <w:highlight w:val="none"/>
              </w:rPr>
            </w:pPr>
          </w:p>
        </w:tc>
        <w:tc>
          <w:tcPr>
            <w:tcW w:w="1607" w:type="dxa"/>
            <w:vAlign w:val="center"/>
          </w:tcPr>
          <w:p>
            <w:pPr>
              <w:spacing w:line="36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vAlign w:val="center"/>
          </w:tcPr>
          <w:p>
            <w:pPr>
              <w:spacing w:line="360" w:lineRule="auto"/>
              <w:jc w:val="center"/>
              <w:rPr>
                <w:rFonts w:hint="eastAsia" w:ascii="宋体" w:hAnsi="宋体" w:eastAsia="宋体" w:cs="宋体"/>
                <w:bCs/>
                <w:sz w:val="24"/>
                <w:highlight w:val="none"/>
              </w:rPr>
            </w:pPr>
          </w:p>
        </w:tc>
        <w:tc>
          <w:tcPr>
            <w:tcW w:w="1380" w:type="dxa"/>
            <w:vAlign w:val="center"/>
          </w:tcPr>
          <w:p>
            <w:pPr>
              <w:spacing w:line="360" w:lineRule="auto"/>
              <w:jc w:val="center"/>
              <w:rPr>
                <w:rFonts w:hint="eastAsia" w:ascii="宋体" w:hAnsi="宋体" w:eastAsia="宋体" w:cs="宋体"/>
                <w:bCs/>
                <w:sz w:val="24"/>
                <w:highlight w:val="none"/>
              </w:rPr>
            </w:pPr>
          </w:p>
        </w:tc>
        <w:tc>
          <w:tcPr>
            <w:tcW w:w="1549" w:type="dxa"/>
            <w:vAlign w:val="center"/>
          </w:tcPr>
          <w:p>
            <w:pPr>
              <w:spacing w:line="360" w:lineRule="auto"/>
              <w:jc w:val="center"/>
              <w:rPr>
                <w:rFonts w:hint="eastAsia" w:ascii="宋体" w:hAnsi="宋体" w:eastAsia="宋体" w:cs="宋体"/>
                <w:bCs/>
                <w:sz w:val="24"/>
                <w:highlight w:val="none"/>
              </w:rPr>
            </w:pPr>
          </w:p>
        </w:tc>
        <w:tc>
          <w:tcPr>
            <w:tcW w:w="1549" w:type="dxa"/>
            <w:vAlign w:val="center"/>
          </w:tcPr>
          <w:p>
            <w:pPr>
              <w:spacing w:line="360" w:lineRule="auto"/>
              <w:jc w:val="center"/>
              <w:rPr>
                <w:rFonts w:hint="eastAsia" w:ascii="宋体" w:hAnsi="宋体" w:eastAsia="宋体" w:cs="宋体"/>
                <w:bCs/>
                <w:sz w:val="24"/>
                <w:highlight w:val="none"/>
              </w:rPr>
            </w:pPr>
          </w:p>
        </w:tc>
        <w:tc>
          <w:tcPr>
            <w:tcW w:w="1583" w:type="dxa"/>
            <w:vAlign w:val="center"/>
          </w:tcPr>
          <w:p>
            <w:pPr>
              <w:spacing w:line="360" w:lineRule="auto"/>
              <w:jc w:val="center"/>
              <w:rPr>
                <w:rFonts w:hint="eastAsia" w:ascii="宋体" w:hAnsi="宋体" w:eastAsia="宋体" w:cs="宋体"/>
                <w:bCs/>
                <w:sz w:val="24"/>
                <w:highlight w:val="none"/>
              </w:rPr>
            </w:pPr>
          </w:p>
        </w:tc>
        <w:tc>
          <w:tcPr>
            <w:tcW w:w="1607" w:type="dxa"/>
            <w:vAlign w:val="center"/>
          </w:tcPr>
          <w:p>
            <w:pPr>
              <w:spacing w:line="36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1728" w:type="dxa"/>
            <w:vMerge w:val="continue"/>
            <w:vAlign w:val="center"/>
          </w:tcPr>
          <w:p>
            <w:pPr>
              <w:spacing w:line="360" w:lineRule="auto"/>
              <w:jc w:val="center"/>
              <w:rPr>
                <w:rFonts w:hint="eastAsia" w:ascii="宋体" w:hAnsi="宋体" w:eastAsia="宋体" w:cs="宋体"/>
                <w:bCs/>
                <w:sz w:val="24"/>
                <w:highlight w:val="none"/>
              </w:rPr>
            </w:pPr>
          </w:p>
        </w:tc>
        <w:tc>
          <w:tcPr>
            <w:tcW w:w="1380" w:type="dxa"/>
            <w:vAlign w:val="center"/>
          </w:tcPr>
          <w:p>
            <w:pPr>
              <w:spacing w:line="360" w:lineRule="auto"/>
              <w:jc w:val="center"/>
              <w:rPr>
                <w:rFonts w:hint="eastAsia" w:ascii="宋体" w:hAnsi="宋体" w:eastAsia="宋体" w:cs="宋体"/>
                <w:bCs/>
                <w:sz w:val="24"/>
                <w:highlight w:val="none"/>
              </w:rPr>
            </w:pPr>
          </w:p>
        </w:tc>
        <w:tc>
          <w:tcPr>
            <w:tcW w:w="1549" w:type="dxa"/>
            <w:vAlign w:val="center"/>
          </w:tcPr>
          <w:p>
            <w:pPr>
              <w:spacing w:line="360" w:lineRule="auto"/>
              <w:jc w:val="center"/>
              <w:rPr>
                <w:rFonts w:hint="eastAsia" w:ascii="宋体" w:hAnsi="宋体" w:eastAsia="宋体" w:cs="宋体"/>
                <w:bCs/>
                <w:sz w:val="24"/>
                <w:highlight w:val="none"/>
              </w:rPr>
            </w:pPr>
          </w:p>
        </w:tc>
        <w:tc>
          <w:tcPr>
            <w:tcW w:w="1549" w:type="dxa"/>
            <w:vAlign w:val="center"/>
          </w:tcPr>
          <w:p>
            <w:pPr>
              <w:spacing w:line="360" w:lineRule="auto"/>
              <w:jc w:val="center"/>
              <w:rPr>
                <w:rFonts w:hint="eastAsia" w:ascii="宋体" w:hAnsi="宋体" w:eastAsia="宋体" w:cs="宋体"/>
                <w:bCs/>
                <w:sz w:val="24"/>
                <w:highlight w:val="none"/>
              </w:rPr>
            </w:pPr>
          </w:p>
        </w:tc>
        <w:tc>
          <w:tcPr>
            <w:tcW w:w="1583" w:type="dxa"/>
            <w:vAlign w:val="center"/>
          </w:tcPr>
          <w:p>
            <w:pPr>
              <w:spacing w:line="360" w:lineRule="auto"/>
              <w:jc w:val="center"/>
              <w:rPr>
                <w:rFonts w:hint="eastAsia" w:ascii="宋体" w:hAnsi="宋体" w:eastAsia="宋体" w:cs="宋体"/>
                <w:bCs/>
                <w:sz w:val="24"/>
                <w:highlight w:val="none"/>
              </w:rPr>
            </w:pPr>
          </w:p>
        </w:tc>
        <w:tc>
          <w:tcPr>
            <w:tcW w:w="1607" w:type="dxa"/>
            <w:vAlign w:val="center"/>
          </w:tcPr>
          <w:p>
            <w:pPr>
              <w:spacing w:line="36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经营范围</w:t>
            </w:r>
          </w:p>
        </w:tc>
        <w:tc>
          <w:tcPr>
            <w:tcW w:w="7668" w:type="dxa"/>
            <w:gridSpan w:val="5"/>
            <w:vAlign w:val="center"/>
          </w:tcPr>
          <w:p>
            <w:pPr>
              <w:spacing w:line="360" w:lineRule="auto"/>
              <w:jc w:val="cente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728" w:type="dxa"/>
            <w:vAlign w:val="center"/>
          </w:tcPr>
          <w:p>
            <w:pPr>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备注</w:t>
            </w:r>
          </w:p>
        </w:tc>
        <w:tc>
          <w:tcPr>
            <w:tcW w:w="7668" w:type="dxa"/>
            <w:gridSpan w:val="5"/>
            <w:vAlign w:val="center"/>
          </w:tcPr>
          <w:p>
            <w:pPr>
              <w:spacing w:line="360" w:lineRule="auto"/>
              <w:jc w:val="center"/>
              <w:rPr>
                <w:rFonts w:hint="eastAsia" w:ascii="宋体" w:hAnsi="宋体" w:eastAsia="宋体" w:cs="宋体"/>
                <w:bCs/>
                <w:sz w:val="24"/>
                <w:highlight w:val="none"/>
              </w:rPr>
            </w:pPr>
          </w:p>
        </w:tc>
      </w:tr>
    </w:tbl>
    <w:p>
      <w:pPr>
        <w:spacing w:line="48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我们保证上述声明中的资料和数据是真实的、正确的，我们同意如贵方要求，可以出示相关证明文件。</w:t>
      </w:r>
    </w:p>
    <w:p>
      <w:pPr>
        <w:spacing w:line="48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投标人（盖章）：</w:t>
      </w:r>
    </w:p>
    <w:p>
      <w:pPr>
        <w:spacing w:line="480" w:lineRule="auto"/>
        <w:ind w:firstLine="480" w:firstLineChars="200"/>
        <w:rPr>
          <w:rFonts w:hint="eastAsia" w:ascii="宋体" w:hAnsi="宋体" w:eastAsia="宋体" w:cs="宋体"/>
          <w:b/>
          <w:sz w:val="24"/>
          <w:highlight w:val="none"/>
        </w:rPr>
      </w:pPr>
      <w:r>
        <w:rPr>
          <w:rFonts w:hint="eastAsia" w:ascii="宋体" w:hAnsi="宋体" w:eastAsia="宋体" w:cs="宋体"/>
          <w:bCs/>
          <w:sz w:val="24"/>
          <w:highlight w:val="none"/>
        </w:rPr>
        <w:t>法定代表人或委托代理人（签字或盖章）：</w:t>
      </w:r>
    </w:p>
    <w:p>
      <w:pPr>
        <w:tabs>
          <w:tab w:val="left" w:pos="6300"/>
        </w:tabs>
        <w:snapToGrid w:val="0"/>
        <w:spacing w:line="500" w:lineRule="exact"/>
        <w:jc w:val="center"/>
        <w:rPr>
          <w:rFonts w:hint="eastAsia" w:ascii="宋体" w:hAnsi="宋体" w:eastAsia="宋体" w:cs="宋体"/>
          <w:b/>
          <w:bCs/>
          <w:sz w:val="24"/>
          <w:highlight w:val="none"/>
        </w:rPr>
      </w:pPr>
      <w:r>
        <w:rPr>
          <w:rFonts w:hint="eastAsia" w:ascii="宋体" w:hAnsi="宋体" w:eastAsia="宋体" w:cs="宋体"/>
          <w:b/>
          <w:sz w:val="24"/>
          <w:highlight w:val="none"/>
        </w:rPr>
        <w:t xml:space="preserve">格式5  </w:t>
      </w:r>
      <w:r>
        <w:rPr>
          <w:rFonts w:hint="eastAsia" w:ascii="宋体" w:hAnsi="宋体" w:eastAsia="宋体" w:cs="宋体"/>
          <w:b/>
          <w:bCs/>
          <w:sz w:val="24"/>
          <w:highlight w:val="none"/>
        </w:rPr>
        <w:t xml:space="preserve"> 诚信声明</w:t>
      </w:r>
    </w:p>
    <w:p>
      <w:pPr>
        <w:tabs>
          <w:tab w:val="left" w:pos="6300"/>
        </w:tabs>
        <w:snapToGrid w:val="0"/>
        <w:spacing w:line="500" w:lineRule="exact"/>
        <w:ind w:firstLine="570"/>
        <w:rPr>
          <w:rFonts w:hint="eastAsia" w:ascii="宋体" w:hAnsi="宋体" w:eastAsia="宋体" w:cs="宋体"/>
          <w:sz w:val="24"/>
          <w:highlight w:val="none"/>
        </w:rPr>
      </w:pPr>
    </w:p>
    <w:p>
      <w:pPr>
        <w:spacing w:line="48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采购项目名称：                 </w:t>
      </w:r>
    </w:p>
    <w:p>
      <w:pPr>
        <w:spacing w:line="480" w:lineRule="auto"/>
        <w:ind w:firstLine="480" w:firstLineChars="200"/>
        <w:rPr>
          <w:rFonts w:hint="eastAsia" w:ascii="宋体" w:hAnsi="宋体" w:eastAsia="宋体" w:cs="宋体"/>
          <w:bCs/>
          <w:sz w:val="24"/>
          <w:highlight w:val="none"/>
        </w:rPr>
      </w:pPr>
    </w:p>
    <w:p>
      <w:pPr>
        <w:spacing w:line="48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致：（采购代理机构名称）</w:t>
      </w:r>
    </w:p>
    <w:p>
      <w:pPr>
        <w:spacing w:line="48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投标人名称）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投标人资格条件。我方对以上声明负全部法律责任。</w:t>
      </w:r>
    </w:p>
    <w:p>
      <w:pPr>
        <w:spacing w:line="48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特此声明。</w:t>
      </w:r>
    </w:p>
    <w:p>
      <w:pPr>
        <w:spacing w:line="480" w:lineRule="auto"/>
        <w:ind w:firstLine="480" w:firstLineChars="200"/>
        <w:rPr>
          <w:rFonts w:hint="eastAsia" w:ascii="宋体" w:hAnsi="宋体" w:eastAsia="宋体" w:cs="宋体"/>
          <w:bCs/>
          <w:sz w:val="24"/>
          <w:highlight w:val="none"/>
        </w:rPr>
      </w:pPr>
    </w:p>
    <w:p>
      <w:pPr>
        <w:spacing w:line="480" w:lineRule="auto"/>
        <w:ind w:firstLine="480" w:firstLineChars="200"/>
        <w:rPr>
          <w:rFonts w:hint="eastAsia" w:ascii="宋体" w:hAnsi="宋体" w:eastAsia="宋体" w:cs="宋体"/>
          <w:bCs/>
          <w:sz w:val="24"/>
          <w:highlight w:val="none"/>
        </w:rPr>
      </w:pPr>
    </w:p>
    <w:p>
      <w:pPr>
        <w:spacing w:line="480" w:lineRule="auto"/>
        <w:ind w:firstLine="480" w:firstLineChars="200"/>
        <w:rPr>
          <w:rFonts w:hint="eastAsia" w:ascii="宋体" w:hAnsi="宋体" w:eastAsia="宋体" w:cs="宋体"/>
          <w:bCs/>
          <w:sz w:val="24"/>
          <w:highlight w:val="none"/>
        </w:rPr>
      </w:pPr>
    </w:p>
    <w:p>
      <w:pPr>
        <w:spacing w:line="48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（投标人公章）</w:t>
      </w:r>
    </w:p>
    <w:p>
      <w:pPr>
        <w:spacing w:line="48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年   月   日</w:t>
      </w:r>
    </w:p>
    <w:p>
      <w:pPr>
        <w:tabs>
          <w:tab w:val="left" w:pos="6300"/>
        </w:tabs>
        <w:snapToGrid w:val="0"/>
        <w:spacing w:line="360" w:lineRule="auto"/>
        <w:ind w:firstLine="570"/>
        <w:rPr>
          <w:rFonts w:hint="eastAsia" w:ascii="宋体" w:hAnsi="宋体" w:eastAsia="宋体" w:cs="宋体"/>
          <w:sz w:val="24"/>
          <w:highlight w:val="none"/>
        </w:rPr>
      </w:pPr>
      <w:r>
        <w:rPr>
          <w:rFonts w:hint="eastAsia" w:ascii="宋体" w:hAnsi="宋体" w:eastAsia="宋体" w:cs="宋体"/>
          <w:sz w:val="24"/>
          <w:highlight w:val="none"/>
        </w:rPr>
        <w:br w:type="page"/>
      </w:r>
    </w:p>
    <w:p>
      <w:pPr>
        <w:pStyle w:val="5"/>
        <w:jc w:val="center"/>
        <w:rPr>
          <w:rFonts w:hint="eastAsia" w:ascii="宋体" w:hAnsi="宋体" w:eastAsia="宋体" w:cs="宋体"/>
          <w:sz w:val="24"/>
          <w:highlight w:val="none"/>
        </w:rPr>
      </w:pPr>
      <w:r>
        <w:rPr>
          <w:rFonts w:hint="eastAsia" w:ascii="宋体" w:hAnsi="宋体" w:eastAsia="宋体" w:cs="宋体"/>
          <w:sz w:val="24"/>
          <w:highlight w:val="none"/>
        </w:rPr>
        <w:t>格式6  投标函</w:t>
      </w:r>
    </w:p>
    <w:p>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kern w:val="0"/>
          <w:sz w:val="24"/>
          <w:highlight w:val="none"/>
        </w:rPr>
        <w:t>致：</w:t>
      </w:r>
      <w:r>
        <w:rPr>
          <w:rFonts w:hint="eastAsia" w:ascii="宋体" w:hAnsi="宋体" w:eastAsia="宋体" w:cs="宋体"/>
          <w:b/>
          <w:kern w:val="0"/>
          <w:sz w:val="24"/>
          <w:highlight w:val="none"/>
          <w:u w:val="single"/>
        </w:rPr>
        <w:t>克拉玛依市中心医院</w:t>
      </w:r>
    </w:p>
    <w:p>
      <w:pPr>
        <w:pStyle w:val="10"/>
        <w:ind w:left="0" w:firstLine="480" w:firstLineChars="200"/>
        <w:rPr>
          <w:rFonts w:hint="eastAsia" w:ascii="宋体" w:hAnsi="宋体" w:eastAsia="宋体" w:cs="宋体"/>
          <w:b w:val="0"/>
          <w:bCs/>
          <w:highlight w:val="none"/>
        </w:rPr>
      </w:pPr>
      <w:r>
        <w:rPr>
          <w:rFonts w:hint="eastAsia" w:ascii="宋体" w:hAnsi="宋体" w:eastAsia="宋体" w:cs="宋体"/>
          <w:b w:val="0"/>
          <w:bCs/>
          <w:highlight w:val="none"/>
        </w:rPr>
        <w:t>我方全面研究了</w:t>
      </w:r>
      <w:r>
        <w:rPr>
          <w:rFonts w:hint="eastAsia" w:ascii="宋体" w:hAnsi="宋体" w:eastAsia="宋体" w:cs="宋体"/>
          <w:bCs/>
          <w:highlight w:val="none"/>
        </w:rPr>
        <w:t>“</w:t>
      </w:r>
      <w:r>
        <w:rPr>
          <w:rFonts w:hint="eastAsia" w:ascii="宋体" w:hAnsi="宋体" w:eastAsia="宋体" w:cs="宋体"/>
          <w:bCs/>
          <w:highlight w:val="none"/>
          <w:u w:val="single"/>
        </w:rPr>
        <w:t xml:space="preserve">           </w:t>
      </w:r>
      <w:r>
        <w:rPr>
          <w:rFonts w:hint="eastAsia" w:ascii="宋体" w:hAnsi="宋体" w:eastAsia="宋体" w:cs="宋体"/>
          <w:bCs/>
          <w:highlight w:val="none"/>
        </w:rPr>
        <w:t>”</w:t>
      </w:r>
      <w:r>
        <w:rPr>
          <w:rFonts w:hint="eastAsia" w:ascii="宋体" w:hAnsi="宋体" w:eastAsia="宋体" w:cs="宋体"/>
          <w:b w:val="0"/>
          <w:bCs/>
          <w:highlight w:val="none"/>
        </w:rPr>
        <w:t>项目招标文件（招标文件编号：</w:t>
      </w:r>
      <w:r>
        <w:rPr>
          <w:rFonts w:hint="eastAsia" w:ascii="宋体" w:hAnsi="宋体" w:eastAsia="宋体" w:cs="宋体"/>
          <w:b w:val="0"/>
          <w:bCs/>
          <w:highlight w:val="none"/>
          <w:u w:val="single"/>
        </w:rPr>
        <w:t xml:space="preserve">        </w:t>
      </w:r>
      <w:r>
        <w:rPr>
          <w:rFonts w:hint="eastAsia" w:ascii="宋体" w:hAnsi="宋体" w:eastAsia="宋体" w:cs="宋体"/>
          <w:b w:val="0"/>
          <w:bCs/>
          <w:highlight w:val="none"/>
        </w:rPr>
        <w:t>），决定参加本项目投标。我方授权</w:t>
      </w:r>
      <w:r>
        <w:rPr>
          <w:rFonts w:hint="eastAsia" w:ascii="宋体" w:hAnsi="宋体" w:eastAsia="宋体" w:cs="宋体"/>
          <w:b w:val="0"/>
          <w:bCs/>
          <w:highlight w:val="none"/>
          <w:u w:val="single"/>
        </w:rPr>
        <w:t xml:space="preserve">        </w:t>
      </w:r>
      <w:r>
        <w:rPr>
          <w:rFonts w:hint="eastAsia" w:ascii="宋体" w:hAnsi="宋体" w:eastAsia="宋体" w:cs="宋体"/>
          <w:b w:val="0"/>
          <w:bCs/>
          <w:highlight w:val="none"/>
        </w:rPr>
        <w:t>（姓名、职务）代表我方</w:t>
      </w:r>
      <w:r>
        <w:rPr>
          <w:rFonts w:hint="eastAsia" w:ascii="宋体" w:hAnsi="宋体" w:eastAsia="宋体" w:cs="宋体"/>
          <w:b w:val="0"/>
          <w:bCs/>
          <w:highlight w:val="none"/>
          <w:u w:val="single"/>
        </w:rPr>
        <w:t xml:space="preserve">                 </w:t>
      </w:r>
      <w:r>
        <w:rPr>
          <w:rFonts w:hint="eastAsia" w:ascii="宋体" w:hAnsi="宋体" w:eastAsia="宋体" w:cs="宋体"/>
          <w:b w:val="0"/>
          <w:bCs/>
          <w:highlight w:val="none"/>
        </w:rPr>
        <w:t>全权处理本项目投标的有关事宜。</w:t>
      </w:r>
    </w:p>
    <w:p>
      <w:pPr>
        <w:pStyle w:val="10"/>
        <w:numPr>
          <w:ilvl w:val="0"/>
          <w:numId w:val="7"/>
        </w:numPr>
        <w:ind w:left="0" w:firstLine="480" w:firstLineChars="200"/>
        <w:rPr>
          <w:rFonts w:hint="eastAsia" w:ascii="宋体" w:hAnsi="宋体" w:eastAsia="宋体" w:cs="宋体"/>
          <w:b w:val="0"/>
          <w:bCs/>
          <w:highlight w:val="none"/>
        </w:rPr>
      </w:pPr>
      <w:r>
        <w:rPr>
          <w:rFonts w:hint="eastAsia" w:ascii="宋体" w:hAnsi="宋体" w:eastAsia="宋体" w:cs="宋体"/>
          <w:b w:val="0"/>
          <w:bCs/>
          <w:highlight w:val="none"/>
        </w:rPr>
        <w:t>我方自愿按照招标文件规定的各项要求向采购人提供所需货物和服务。商务报价为￥</w:t>
      </w:r>
      <w:r>
        <w:rPr>
          <w:rFonts w:hint="eastAsia" w:ascii="宋体" w:hAnsi="宋体" w:eastAsia="宋体" w:cs="宋体"/>
          <w:b w:val="0"/>
          <w:bCs/>
          <w:highlight w:val="none"/>
          <w:u w:val="single"/>
        </w:rPr>
        <w:t xml:space="preserve">   </w:t>
      </w:r>
      <w:r>
        <w:rPr>
          <w:rFonts w:hint="eastAsia" w:ascii="宋体" w:hAnsi="宋体" w:eastAsia="宋体" w:cs="宋体"/>
          <w:b w:val="0"/>
          <w:bCs/>
          <w:highlight w:val="none"/>
        </w:rPr>
        <w:t>万元（大写：人民币</w:t>
      </w:r>
      <w:r>
        <w:rPr>
          <w:rFonts w:hint="eastAsia" w:ascii="宋体" w:hAnsi="宋体" w:eastAsia="宋体" w:cs="宋体"/>
          <w:b w:val="0"/>
          <w:bCs/>
          <w:highlight w:val="none"/>
          <w:u w:val="single"/>
        </w:rPr>
        <w:t xml:space="preserve">        </w:t>
      </w:r>
      <w:r>
        <w:rPr>
          <w:rFonts w:hint="eastAsia" w:ascii="宋体" w:hAnsi="宋体" w:eastAsia="宋体" w:cs="宋体"/>
          <w:b w:val="0"/>
          <w:bCs/>
          <w:highlight w:val="none"/>
        </w:rPr>
        <w:t>）。</w:t>
      </w:r>
    </w:p>
    <w:p>
      <w:pPr>
        <w:pStyle w:val="10"/>
        <w:numPr>
          <w:ilvl w:val="0"/>
          <w:numId w:val="7"/>
        </w:numPr>
        <w:ind w:left="0" w:firstLine="480" w:firstLineChars="200"/>
        <w:rPr>
          <w:rFonts w:hint="eastAsia" w:ascii="宋体" w:hAnsi="宋体" w:eastAsia="宋体" w:cs="宋体"/>
          <w:b w:val="0"/>
          <w:bCs/>
          <w:highlight w:val="none"/>
        </w:rPr>
      </w:pPr>
      <w:r>
        <w:rPr>
          <w:rFonts w:hint="eastAsia" w:ascii="宋体" w:hAnsi="宋体" w:eastAsia="宋体" w:cs="宋体"/>
          <w:b w:val="0"/>
          <w:bCs/>
          <w:highlight w:val="none"/>
        </w:rPr>
        <w:t>我方承诺本项目投标有效期：递交投标文件截止日起</w:t>
      </w:r>
      <w:r>
        <w:rPr>
          <w:rFonts w:hint="eastAsia" w:ascii="宋体" w:hAnsi="宋体" w:eastAsia="宋体" w:cs="宋体"/>
          <w:b w:val="0"/>
          <w:bCs/>
          <w:highlight w:val="none"/>
          <w:u w:val="single"/>
        </w:rPr>
        <w:t>90</w:t>
      </w:r>
      <w:r>
        <w:rPr>
          <w:rFonts w:hint="eastAsia" w:ascii="宋体" w:hAnsi="宋体" w:eastAsia="宋体" w:cs="宋体"/>
          <w:b w:val="0"/>
          <w:bCs/>
          <w:highlight w:val="none"/>
        </w:rPr>
        <w:t>天（日历日）。</w:t>
      </w:r>
    </w:p>
    <w:p>
      <w:pPr>
        <w:pStyle w:val="10"/>
        <w:numPr>
          <w:ilvl w:val="0"/>
          <w:numId w:val="7"/>
        </w:numPr>
        <w:ind w:left="0" w:firstLine="480" w:firstLineChars="200"/>
        <w:rPr>
          <w:rFonts w:hint="eastAsia" w:ascii="宋体" w:hAnsi="宋体" w:eastAsia="宋体" w:cs="宋体"/>
          <w:b w:val="0"/>
          <w:bCs/>
          <w:highlight w:val="none"/>
        </w:rPr>
      </w:pPr>
      <w:r>
        <w:rPr>
          <w:rFonts w:hint="eastAsia" w:ascii="宋体" w:hAnsi="宋体" w:eastAsia="宋体" w:cs="宋体"/>
          <w:b w:val="0"/>
          <w:bCs/>
          <w:highlight w:val="none"/>
        </w:rPr>
        <w:t>一旦我方中标，我方将严格履行合同规定的责任和义务，保证按采购人要求及我方承诺完成所需服务及应尽义务。</w:t>
      </w:r>
    </w:p>
    <w:p>
      <w:pPr>
        <w:pStyle w:val="10"/>
        <w:numPr>
          <w:ilvl w:val="0"/>
          <w:numId w:val="7"/>
        </w:numPr>
        <w:ind w:left="0" w:firstLine="480" w:firstLineChars="200"/>
        <w:rPr>
          <w:rFonts w:hint="eastAsia" w:ascii="宋体" w:hAnsi="宋体" w:eastAsia="宋体" w:cs="宋体"/>
          <w:b w:val="0"/>
          <w:bCs/>
          <w:highlight w:val="none"/>
        </w:rPr>
      </w:pPr>
      <w:r>
        <w:rPr>
          <w:rFonts w:hint="eastAsia" w:ascii="宋体" w:hAnsi="宋体" w:eastAsia="宋体" w:cs="宋体"/>
          <w:b w:val="0"/>
          <w:bCs/>
          <w:highlight w:val="none"/>
        </w:rPr>
        <w:t>我方愿意提供采购人可能另外要求的，与公开有关的文件资料，并保证我方已提供和将要提供的文件资料是真实、准确的。</w:t>
      </w:r>
    </w:p>
    <w:p>
      <w:pPr>
        <w:pStyle w:val="10"/>
        <w:numPr>
          <w:ilvl w:val="0"/>
          <w:numId w:val="7"/>
        </w:numPr>
        <w:ind w:left="0" w:firstLine="480" w:firstLineChars="200"/>
        <w:rPr>
          <w:rFonts w:hint="eastAsia" w:ascii="宋体" w:hAnsi="宋体" w:eastAsia="宋体" w:cs="宋体"/>
          <w:b w:val="0"/>
          <w:bCs/>
          <w:highlight w:val="none"/>
        </w:rPr>
      </w:pPr>
      <w:r>
        <w:rPr>
          <w:rFonts w:hint="eastAsia" w:ascii="宋体" w:hAnsi="宋体" w:eastAsia="宋体" w:cs="宋体"/>
          <w:b w:val="0"/>
          <w:bCs/>
          <w:highlight w:val="none"/>
        </w:rPr>
        <w:t>我方完全理解你们将不受必须接受你们所收到的最低投标价及其它任何投标文件的约束。</w:t>
      </w:r>
    </w:p>
    <w:p>
      <w:pPr>
        <w:spacing w:line="360" w:lineRule="auto"/>
        <w:ind w:firstLine="480" w:firstLineChars="200"/>
        <w:rPr>
          <w:rFonts w:hint="eastAsia" w:ascii="宋体" w:hAnsi="宋体" w:eastAsia="宋体" w:cs="宋体"/>
          <w:bCs/>
          <w:sz w:val="24"/>
          <w:highlight w:val="none"/>
        </w:rPr>
      </w:pPr>
    </w:p>
    <w:p>
      <w:pPr>
        <w:pStyle w:val="10"/>
        <w:ind w:left="0" w:firstLine="480" w:firstLineChars="200"/>
        <w:rPr>
          <w:rFonts w:hint="eastAsia" w:ascii="宋体" w:hAnsi="宋体" w:eastAsia="宋体" w:cs="宋体"/>
          <w:b w:val="0"/>
          <w:bCs/>
          <w:highlight w:val="none"/>
        </w:rPr>
      </w:pPr>
      <w:r>
        <w:rPr>
          <w:rFonts w:hint="eastAsia" w:ascii="宋体" w:hAnsi="宋体" w:eastAsia="宋体" w:cs="宋体"/>
          <w:b w:val="0"/>
          <w:bCs/>
          <w:highlight w:val="none"/>
        </w:rPr>
        <w:t>投标人名称（盖章）：</w:t>
      </w:r>
    </w:p>
    <w:p>
      <w:pPr>
        <w:pStyle w:val="10"/>
        <w:ind w:left="0" w:firstLine="480" w:firstLineChars="200"/>
        <w:rPr>
          <w:rFonts w:hint="eastAsia" w:ascii="宋体" w:hAnsi="宋体" w:eastAsia="宋体" w:cs="宋体"/>
          <w:b w:val="0"/>
          <w:bCs/>
          <w:highlight w:val="none"/>
        </w:rPr>
      </w:pPr>
      <w:r>
        <w:rPr>
          <w:rFonts w:hint="eastAsia" w:ascii="宋体" w:hAnsi="宋体" w:eastAsia="宋体" w:cs="宋体"/>
          <w:b w:val="0"/>
          <w:bCs/>
          <w:highlight w:val="none"/>
        </w:rPr>
        <w:t>法人代表人或委托代理人签字或盖章：</w:t>
      </w:r>
    </w:p>
    <w:p>
      <w:pPr>
        <w:pStyle w:val="10"/>
        <w:ind w:left="0" w:firstLine="480" w:firstLineChars="200"/>
        <w:rPr>
          <w:rFonts w:hint="eastAsia" w:ascii="宋体" w:hAnsi="宋体" w:eastAsia="宋体" w:cs="宋体"/>
          <w:b w:val="0"/>
          <w:bCs/>
          <w:highlight w:val="none"/>
        </w:rPr>
      </w:pPr>
      <w:r>
        <w:rPr>
          <w:rFonts w:hint="eastAsia" w:ascii="宋体" w:hAnsi="宋体" w:eastAsia="宋体" w:cs="宋体"/>
          <w:b w:val="0"/>
          <w:bCs/>
          <w:highlight w:val="none"/>
        </w:rPr>
        <w:t>通讯地址：</w:t>
      </w:r>
    </w:p>
    <w:p>
      <w:pPr>
        <w:pStyle w:val="10"/>
        <w:ind w:left="0" w:firstLine="480" w:firstLineChars="200"/>
        <w:rPr>
          <w:rFonts w:hint="eastAsia" w:ascii="宋体" w:hAnsi="宋体" w:eastAsia="宋体" w:cs="宋体"/>
          <w:b w:val="0"/>
          <w:bCs/>
          <w:highlight w:val="none"/>
        </w:rPr>
      </w:pPr>
      <w:r>
        <w:rPr>
          <w:rFonts w:hint="eastAsia" w:ascii="宋体" w:hAnsi="宋体" w:eastAsia="宋体" w:cs="宋体"/>
          <w:b w:val="0"/>
          <w:bCs/>
          <w:highlight w:val="none"/>
        </w:rPr>
        <w:t>邮政编码：</w:t>
      </w:r>
    </w:p>
    <w:p>
      <w:pPr>
        <w:pStyle w:val="10"/>
        <w:ind w:left="0" w:firstLine="480" w:firstLineChars="200"/>
        <w:rPr>
          <w:rFonts w:hint="eastAsia" w:ascii="宋体" w:hAnsi="宋体" w:eastAsia="宋体" w:cs="宋体"/>
          <w:b w:val="0"/>
          <w:bCs/>
          <w:highlight w:val="none"/>
        </w:rPr>
      </w:pPr>
      <w:r>
        <w:rPr>
          <w:rFonts w:hint="eastAsia" w:ascii="宋体" w:hAnsi="宋体" w:eastAsia="宋体" w:cs="宋体"/>
          <w:b w:val="0"/>
          <w:bCs/>
          <w:highlight w:val="none"/>
        </w:rPr>
        <w:t>联系电话：</w:t>
      </w:r>
    </w:p>
    <w:p>
      <w:pPr>
        <w:pStyle w:val="10"/>
        <w:ind w:left="0" w:firstLine="480" w:firstLineChars="200"/>
        <w:rPr>
          <w:rFonts w:hint="eastAsia" w:ascii="宋体" w:hAnsi="宋体" w:eastAsia="宋体" w:cs="宋体"/>
          <w:b w:val="0"/>
          <w:bCs/>
          <w:highlight w:val="none"/>
        </w:rPr>
      </w:pPr>
      <w:r>
        <w:rPr>
          <w:rFonts w:hint="eastAsia" w:ascii="宋体" w:hAnsi="宋体" w:eastAsia="宋体" w:cs="宋体"/>
          <w:b w:val="0"/>
          <w:bCs/>
          <w:highlight w:val="none"/>
        </w:rPr>
        <w:t>传    真：</w:t>
      </w:r>
    </w:p>
    <w:p>
      <w:pPr>
        <w:pStyle w:val="10"/>
        <w:ind w:left="0" w:firstLine="480" w:firstLineChars="200"/>
        <w:rPr>
          <w:rFonts w:hint="eastAsia" w:ascii="宋体" w:hAnsi="宋体" w:eastAsia="宋体" w:cs="宋体"/>
          <w:b w:val="0"/>
          <w:bCs/>
          <w:highlight w:val="none"/>
        </w:rPr>
      </w:pPr>
      <w:r>
        <w:rPr>
          <w:rFonts w:hint="eastAsia" w:ascii="宋体" w:hAnsi="宋体" w:eastAsia="宋体" w:cs="宋体"/>
          <w:b w:val="0"/>
          <w:bCs/>
          <w:highlight w:val="none"/>
        </w:rPr>
        <w:t>日    期：   年    月    日</w:t>
      </w:r>
    </w:p>
    <w:p>
      <w:pPr>
        <w:pStyle w:val="6"/>
        <w:spacing w:line="360" w:lineRule="auto"/>
        <w:ind w:firstLine="0"/>
        <w:jc w:val="both"/>
        <w:rPr>
          <w:rFonts w:hint="eastAsia" w:ascii="宋体" w:hAnsi="宋体" w:eastAsia="宋体" w:cs="宋体"/>
          <w:highlight w:val="none"/>
        </w:rPr>
      </w:pPr>
    </w:p>
    <w:p>
      <w:pPr>
        <w:spacing w:line="360" w:lineRule="auto"/>
        <w:jc w:val="center"/>
        <w:rPr>
          <w:rFonts w:hint="eastAsia" w:ascii="宋体" w:hAnsi="宋体" w:eastAsia="宋体" w:cs="宋体"/>
          <w:b/>
          <w:sz w:val="24"/>
          <w:highlight w:val="none"/>
        </w:rPr>
      </w:pPr>
    </w:p>
    <w:p>
      <w:pPr>
        <w:spacing w:line="360" w:lineRule="auto"/>
        <w:jc w:val="center"/>
        <w:rPr>
          <w:rFonts w:hint="eastAsia" w:ascii="宋体" w:hAnsi="宋体" w:eastAsia="宋体" w:cs="宋体"/>
          <w:b/>
          <w:sz w:val="24"/>
          <w:highlight w:val="none"/>
        </w:rPr>
      </w:pPr>
    </w:p>
    <w:p>
      <w:pPr>
        <w:spacing w:line="360" w:lineRule="auto"/>
        <w:rPr>
          <w:rFonts w:hint="eastAsia" w:ascii="宋体" w:hAnsi="宋体" w:eastAsia="宋体" w:cs="宋体"/>
          <w:b/>
          <w:sz w:val="24"/>
          <w:highlight w:val="none"/>
        </w:rPr>
      </w:pPr>
    </w:p>
    <w:p>
      <w:pPr>
        <w:pStyle w:val="5"/>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格式7 开标一览表</w:t>
      </w:r>
    </w:p>
    <w:p>
      <w:pPr>
        <w:pStyle w:val="5"/>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标项：                             </w:t>
      </w:r>
      <w:r>
        <w:rPr>
          <w:rFonts w:hint="eastAsia" w:ascii="宋体" w:hAnsi="宋体" w:eastAsia="宋体" w:cs="宋体"/>
          <w:b w:val="0"/>
          <w:bCs w:val="0"/>
          <w:sz w:val="24"/>
          <w:szCs w:val="24"/>
          <w:highlight w:val="none"/>
        </w:rPr>
        <w:t xml:space="preserve">币种：人民币 </w:t>
      </w:r>
      <w:r>
        <w:rPr>
          <w:rFonts w:hint="eastAsia" w:ascii="宋体" w:hAnsi="宋体" w:eastAsia="宋体" w:cs="宋体"/>
          <w:sz w:val="24"/>
          <w:szCs w:val="24"/>
          <w:highlight w:val="none"/>
        </w:rPr>
        <w:t xml:space="preserve">                                                </w:t>
      </w:r>
    </w:p>
    <w:tbl>
      <w:tblPr>
        <w:tblStyle w:val="17"/>
        <w:tblW w:w="10397" w:type="dxa"/>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3410"/>
        <w:gridCol w:w="772"/>
        <w:gridCol w:w="794"/>
        <w:gridCol w:w="1485"/>
        <w:gridCol w:w="1717"/>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1" w:hRule="atLeast"/>
        </w:trPr>
        <w:tc>
          <w:tcPr>
            <w:tcW w:w="720" w:type="dxa"/>
            <w:tcBorders>
              <w:top w:val="single" w:color="000000" w:sz="2" w:space="0"/>
              <w:left w:val="single" w:color="000000" w:sz="2" w:space="0"/>
              <w:right w:val="single" w:color="000000" w:sz="2" w:space="0"/>
            </w:tcBorders>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3410" w:type="dxa"/>
            <w:tcBorders>
              <w:top w:val="single" w:color="000000" w:sz="2" w:space="0"/>
              <w:left w:val="single" w:color="auto" w:sz="4" w:space="0"/>
              <w:right w:val="single" w:color="000000" w:sz="2" w:space="0"/>
            </w:tcBorders>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名称</w:t>
            </w:r>
          </w:p>
        </w:tc>
        <w:tc>
          <w:tcPr>
            <w:tcW w:w="772" w:type="dxa"/>
            <w:tcBorders>
              <w:top w:val="single" w:color="000000" w:sz="2" w:space="0"/>
              <w:left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数量</w:t>
            </w:r>
          </w:p>
        </w:tc>
        <w:tc>
          <w:tcPr>
            <w:tcW w:w="794" w:type="dxa"/>
            <w:tcBorders>
              <w:top w:val="single" w:color="000000" w:sz="2" w:space="0"/>
              <w:left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单位</w:t>
            </w:r>
          </w:p>
        </w:tc>
        <w:tc>
          <w:tcPr>
            <w:tcW w:w="1485" w:type="dxa"/>
            <w:tcBorders>
              <w:top w:val="single" w:color="000000" w:sz="2" w:space="0"/>
              <w:left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金额（元）</w:t>
            </w:r>
          </w:p>
        </w:tc>
        <w:tc>
          <w:tcPr>
            <w:tcW w:w="1717" w:type="dxa"/>
            <w:tcBorders>
              <w:top w:val="single" w:color="000000" w:sz="2" w:space="0"/>
              <w:left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产地、生产厂家、品牌、型号</w:t>
            </w:r>
          </w:p>
        </w:tc>
        <w:tc>
          <w:tcPr>
            <w:tcW w:w="1499" w:type="dxa"/>
            <w:tcBorders>
              <w:top w:val="single" w:color="000000" w:sz="2" w:space="0"/>
              <w:left w:val="single" w:color="auto" w:sz="4" w:space="0"/>
              <w:right w:val="single" w:color="000000" w:sz="2" w:space="0"/>
            </w:tcBorders>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5" w:hRule="atLeast"/>
        </w:trPr>
        <w:tc>
          <w:tcPr>
            <w:tcW w:w="720" w:type="dxa"/>
            <w:tcBorders>
              <w:top w:val="single" w:color="auto" w:sz="4" w:space="0"/>
              <w:left w:val="single" w:color="000000" w:sz="2" w:space="0"/>
              <w:right w:val="single" w:color="000000" w:sz="2" w:space="0"/>
            </w:tcBorders>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3410" w:type="dxa"/>
            <w:tcBorders>
              <w:top w:val="single" w:color="auto" w:sz="4" w:space="0"/>
              <w:left w:val="single" w:color="auto" w:sz="4" w:space="0"/>
              <w:right w:val="single" w:color="000000" w:sz="2" w:space="0"/>
            </w:tcBorders>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碘[125I]密封籽源</w:t>
            </w:r>
          </w:p>
        </w:tc>
        <w:tc>
          <w:tcPr>
            <w:tcW w:w="772" w:type="dxa"/>
            <w:tcBorders>
              <w:left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794" w:type="dxa"/>
            <w:tcBorders>
              <w:left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粒</w:t>
            </w:r>
          </w:p>
        </w:tc>
        <w:tc>
          <w:tcPr>
            <w:tcW w:w="1485" w:type="dxa"/>
            <w:tcBorders>
              <w:left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highlight w:val="none"/>
              </w:rPr>
            </w:pPr>
          </w:p>
        </w:tc>
        <w:tc>
          <w:tcPr>
            <w:tcW w:w="1717" w:type="dxa"/>
            <w:tcBorders>
              <w:left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highlight w:val="none"/>
              </w:rPr>
            </w:pPr>
          </w:p>
        </w:tc>
        <w:tc>
          <w:tcPr>
            <w:tcW w:w="1499" w:type="dxa"/>
            <w:tcBorders>
              <w:left w:val="single" w:color="auto" w:sz="4" w:space="0"/>
              <w:right w:val="single" w:color="000000" w:sz="2" w:space="0"/>
            </w:tcBorders>
            <w:vAlign w:val="center"/>
          </w:tcPr>
          <w:p>
            <w:pPr>
              <w:widowControl/>
              <w:spacing w:line="360" w:lineRule="auto"/>
              <w:jc w:val="center"/>
              <w:rPr>
                <w:rFonts w:hint="eastAsia" w:ascii="宋体" w:hAnsi="宋体" w:eastAsia="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2" w:hRule="atLeast"/>
        </w:trPr>
        <w:tc>
          <w:tcPr>
            <w:tcW w:w="720" w:type="dxa"/>
            <w:vMerge w:val="restart"/>
            <w:tcBorders>
              <w:top w:val="single" w:color="auto" w:sz="4" w:space="0"/>
              <w:left w:val="single" w:color="000000" w:sz="2" w:space="0"/>
              <w:right w:val="single" w:color="000000" w:sz="2" w:space="0"/>
            </w:tcBorders>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3</w:t>
            </w:r>
          </w:p>
        </w:tc>
        <w:tc>
          <w:tcPr>
            <w:tcW w:w="3410"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合计</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4000粒</w:t>
            </w:r>
            <w:r>
              <w:rPr>
                <w:rFonts w:hint="eastAsia" w:ascii="宋体" w:hAnsi="宋体" w:eastAsia="宋体" w:cs="宋体"/>
                <w:kern w:val="0"/>
                <w:sz w:val="24"/>
                <w:highlight w:val="none"/>
                <w:lang w:eastAsia="zh-CN"/>
              </w:rPr>
              <w:t>）</w:t>
            </w:r>
          </w:p>
        </w:tc>
        <w:tc>
          <w:tcPr>
            <w:tcW w:w="6267" w:type="dxa"/>
            <w:gridSpan w:val="5"/>
            <w:tcBorders>
              <w:top w:val="single" w:color="auto" w:sz="4" w:space="0"/>
              <w:left w:val="single" w:color="auto" w:sz="4" w:space="0"/>
              <w:bottom w:val="single" w:color="auto" w:sz="4" w:space="0"/>
              <w:right w:val="single" w:color="000000" w:sz="2" w:space="0"/>
            </w:tcBorders>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atLeast"/>
        </w:trPr>
        <w:tc>
          <w:tcPr>
            <w:tcW w:w="720" w:type="dxa"/>
            <w:vMerge w:val="continue"/>
            <w:tcBorders>
              <w:left w:val="single" w:color="000000" w:sz="2" w:space="0"/>
              <w:bottom w:val="single" w:color="auto" w:sz="4" w:space="0"/>
              <w:right w:val="single" w:color="000000" w:sz="2" w:space="0"/>
            </w:tcBorders>
            <w:vAlign w:val="center"/>
          </w:tcPr>
          <w:p>
            <w:pPr>
              <w:widowControl/>
              <w:spacing w:line="360" w:lineRule="auto"/>
              <w:jc w:val="center"/>
              <w:rPr>
                <w:rFonts w:hint="eastAsia" w:ascii="宋体" w:hAnsi="宋体" w:eastAsia="宋体" w:cs="宋体"/>
                <w:kern w:val="0"/>
                <w:sz w:val="24"/>
                <w:highlight w:val="none"/>
              </w:rPr>
            </w:pPr>
          </w:p>
        </w:tc>
        <w:tc>
          <w:tcPr>
            <w:tcW w:w="3410"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highlight w:val="none"/>
              </w:rPr>
            </w:pPr>
          </w:p>
        </w:tc>
        <w:tc>
          <w:tcPr>
            <w:tcW w:w="6267" w:type="dxa"/>
            <w:gridSpan w:val="5"/>
            <w:tcBorders>
              <w:top w:val="single" w:color="auto" w:sz="4" w:space="0"/>
              <w:left w:val="single" w:color="auto" w:sz="4" w:space="0"/>
              <w:bottom w:val="single" w:color="auto" w:sz="4" w:space="0"/>
              <w:right w:val="single" w:color="000000" w:sz="2" w:space="0"/>
            </w:tcBorders>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13" w:hRule="atLeast"/>
        </w:trPr>
        <w:tc>
          <w:tcPr>
            <w:tcW w:w="720" w:type="dxa"/>
            <w:tcBorders>
              <w:top w:val="single" w:color="auto" w:sz="4" w:space="0"/>
              <w:left w:val="single" w:color="000000" w:sz="2" w:space="0"/>
              <w:bottom w:val="single" w:color="000000" w:sz="2" w:space="0"/>
              <w:right w:val="single" w:color="000000" w:sz="2" w:space="0"/>
            </w:tcBorders>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4</w:t>
            </w:r>
          </w:p>
        </w:tc>
        <w:tc>
          <w:tcPr>
            <w:tcW w:w="3410" w:type="dxa"/>
            <w:tcBorders>
              <w:top w:val="single" w:color="auto" w:sz="4" w:space="0"/>
              <w:left w:val="single" w:color="auto" w:sz="4" w:space="0"/>
              <w:bottom w:val="single" w:color="000000" w:sz="2" w:space="0"/>
              <w:right w:val="single" w:color="auto" w:sz="4" w:space="0"/>
            </w:tcBorders>
            <w:vAlign w:val="center"/>
          </w:tcPr>
          <w:p>
            <w:pPr>
              <w:widowControl/>
              <w:spacing w:line="360" w:lineRule="auto"/>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交货期</w:t>
            </w:r>
          </w:p>
        </w:tc>
        <w:tc>
          <w:tcPr>
            <w:tcW w:w="6267" w:type="dxa"/>
            <w:gridSpan w:val="5"/>
            <w:tcBorders>
              <w:top w:val="single" w:color="auto" w:sz="4" w:space="0"/>
              <w:left w:val="single" w:color="auto" w:sz="4" w:space="0"/>
              <w:bottom w:val="single" w:color="000000" w:sz="2" w:space="0"/>
              <w:right w:val="single" w:color="000000" w:sz="2" w:space="0"/>
            </w:tcBorders>
            <w:vAlign w:val="center"/>
          </w:tcPr>
          <w:p>
            <w:pPr>
              <w:widowControl/>
              <w:spacing w:line="360" w:lineRule="auto"/>
              <w:jc w:val="center"/>
              <w:rPr>
                <w:rFonts w:hint="eastAsia" w:ascii="宋体" w:hAnsi="宋体" w:eastAsia="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2" w:hRule="atLeast"/>
        </w:trPr>
        <w:tc>
          <w:tcPr>
            <w:tcW w:w="720" w:type="dxa"/>
            <w:tcBorders>
              <w:top w:val="single" w:color="auto" w:sz="4" w:space="0"/>
              <w:left w:val="single" w:color="000000" w:sz="2" w:space="0"/>
              <w:bottom w:val="single" w:color="000000" w:sz="2" w:space="0"/>
              <w:right w:val="single" w:color="000000" w:sz="2" w:space="0"/>
            </w:tcBorders>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5</w:t>
            </w:r>
          </w:p>
        </w:tc>
        <w:tc>
          <w:tcPr>
            <w:tcW w:w="3410" w:type="dxa"/>
            <w:tcBorders>
              <w:top w:val="single" w:color="auto" w:sz="4" w:space="0"/>
              <w:left w:val="single" w:color="auto" w:sz="4" w:space="0"/>
              <w:bottom w:val="single" w:color="000000" w:sz="2" w:space="0"/>
              <w:right w:val="single" w:color="auto" w:sz="4" w:space="0"/>
            </w:tcBorders>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质量</w:t>
            </w:r>
            <w:r>
              <w:rPr>
                <w:rFonts w:hint="eastAsia" w:ascii="宋体" w:hAnsi="宋体" w:eastAsia="宋体" w:cs="宋体"/>
                <w:kern w:val="0"/>
                <w:sz w:val="24"/>
                <w:highlight w:val="none"/>
                <w:lang w:eastAsia="zh-CN"/>
              </w:rPr>
              <w:t>保证期</w:t>
            </w:r>
          </w:p>
        </w:tc>
        <w:tc>
          <w:tcPr>
            <w:tcW w:w="6267" w:type="dxa"/>
            <w:gridSpan w:val="5"/>
            <w:tcBorders>
              <w:top w:val="single" w:color="auto" w:sz="4" w:space="0"/>
              <w:left w:val="single" w:color="auto" w:sz="4" w:space="0"/>
              <w:bottom w:val="single" w:color="000000" w:sz="2" w:space="0"/>
              <w:right w:val="single" w:color="000000" w:sz="2" w:space="0"/>
            </w:tcBorders>
            <w:vAlign w:val="center"/>
          </w:tcPr>
          <w:p>
            <w:pPr>
              <w:widowControl/>
              <w:spacing w:line="360" w:lineRule="auto"/>
              <w:jc w:val="center"/>
              <w:rPr>
                <w:rFonts w:hint="eastAsia" w:ascii="宋体" w:hAnsi="宋体" w:eastAsia="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22" w:hRule="atLeast"/>
        </w:trPr>
        <w:tc>
          <w:tcPr>
            <w:tcW w:w="720" w:type="dxa"/>
            <w:tcBorders>
              <w:top w:val="single" w:color="auto" w:sz="4" w:space="0"/>
              <w:left w:val="single" w:color="000000" w:sz="2" w:space="0"/>
              <w:bottom w:val="single" w:color="000000" w:sz="2" w:space="0"/>
              <w:right w:val="single" w:color="000000" w:sz="2" w:space="0"/>
            </w:tcBorders>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6</w:t>
            </w:r>
          </w:p>
        </w:tc>
        <w:tc>
          <w:tcPr>
            <w:tcW w:w="3410" w:type="dxa"/>
            <w:tcBorders>
              <w:top w:val="single" w:color="auto" w:sz="4" w:space="0"/>
              <w:left w:val="single" w:color="auto" w:sz="4" w:space="0"/>
              <w:bottom w:val="single" w:color="000000" w:sz="2" w:space="0"/>
              <w:right w:val="single" w:color="000000" w:sz="2" w:space="0"/>
            </w:tcBorders>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供应商其它说明（由各供应商根据本采购项目要求自行列出需说明及承诺内容）</w:t>
            </w:r>
          </w:p>
        </w:tc>
        <w:tc>
          <w:tcPr>
            <w:tcW w:w="6267" w:type="dxa"/>
            <w:gridSpan w:val="5"/>
            <w:tcBorders>
              <w:top w:val="single" w:color="auto" w:sz="4" w:space="0"/>
              <w:left w:val="single" w:color="auto" w:sz="4" w:space="0"/>
              <w:bottom w:val="single" w:color="000000" w:sz="2" w:space="0"/>
              <w:right w:val="single" w:color="000000" w:sz="2" w:space="0"/>
            </w:tcBorders>
            <w:vAlign w:val="center"/>
          </w:tcPr>
          <w:p>
            <w:pPr>
              <w:widowControl/>
              <w:spacing w:line="360" w:lineRule="auto"/>
              <w:jc w:val="center"/>
              <w:rPr>
                <w:rFonts w:hint="eastAsia" w:ascii="宋体" w:hAnsi="宋体" w:eastAsia="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42" w:hRule="exact"/>
        </w:trPr>
        <w:tc>
          <w:tcPr>
            <w:tcW w:w="10397" w:type="dxa"/>
            <w:gridSpan w:val="7"/>
            <w:tcBorders>
              <w:top w:val="single" w:color="auto" w:sz="4" w:space="0"/>
              <w:left w:val="single" w:color="000000" w:sz="2" w:space="0"/>
              <w:bottom w:val="single" w:color="000000" w:sz="2" w:space="0"/>
              <w:right w:val="single" w:color="000000" w:sz="2" w:space="0"/>
            </w:tcBorders>
            <w:vAlign w:val="center"/>
          </w:tcPr>
          <w:p>
            <w:pPr>
              <w:widowControl/>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1、注：报价包含的内容：完成</w:t>
            </w:r>
            <w:r>
              <w:rPr>
                <w:rFonts w:hint="eastAsia" w:ascii="宋体" w:hAnsi="宋体" w:eastAsia="宋体" w:cs="宋体"/>
                <w:kern w:val="0"/>
                <w:sz w:val="24"/>
                <w:highlight w:val="none"/>
                <w:lang w:eastAsia="zh-CN"/>
              </w:rPr>
              <w:t>克拉玛依市中心医院碘[125I]密封籽源项目</w:t>
            </w:r>
            <w:r>
              <w:rPr>
                <w:rFonts w:hint="eastAsia" w:ascii="宋体" w:hAnsi="宋体" w:eastAsia="宋体" w:cs="宋体"/>
                <w:kern w:val="0"/>
                <w:sz w:val="24"/>
                <w:highlight w:val="none"/>
              </w:rPr>
              <w:t>的供应、现场保管及装卸（运至需方指定地点）、所需的所有材料、检验及验收、移交等工作，质量保修期内的维保、售后服务等保证</w:t>
            </w:r>
            <w:r>
              <w:rPr>
                <w:rFonts w:hint="eastAsia" w:ascii="宋体" w:hAnsi="宋体" w:eastAsia="宋体" w:cs="宋体"/>
                <w:kern w:val="0"/>
                <w:sz w:val="24"/>
                <w:highlight w:val="none"/>
                <w:lang w:eastAsia="zh-CN"/>
              </w:rPr>
              <w:t>克拉玛依市中心医院碘[125I]密封籽源项目</w:t>
            </w:r>
            <w:r>
              <w:rPr>
                <w:rFonts w:hint="eastAsia" w:ascii="宋体" w:hAnsi="宋体" w:eastAsia="宋体" w:cs="宋体"/>
                <w:kern w:val="0"/>
                <w:sz w:val="24"/>
                <w:highlight w:val="none"/>
              </w:rPr>
              <w:t>验收合格并能正常交付使用以及合同条款、项目采购需求、本招标文件约定的全部内容及保修责任和义务件约定的全部内容及保修责任和义务。</w:t>
            </w:r>
          </w:p>
          <w:p>
            <w:pPr>
              <w:widowControl/>
              <w:spacing w:line="360" w:lineRule="auto"/>
              <w:jc w:val="left"/>
              <w:rPr>
                <w:rFonts w:hint="eastAsia" w:ascii="宋体" w:hAnsi="宋体" w:eastAsia="宋体" w:cs="宋体"/>
                <w:kern w:val="0"/>
                <w:sz w:val="24"/>
                <w:highlight w:val="none"/>
              </w:rPr>
            </w:pPr>
          </w:p>
        </w:tc>
      </w:tr>
    </w:tbl>
    <w:p>
      <w:pPr>
        <w:widowControl/>
        <w:spacing w:line="360" w:lineRule="auto"/>
        <w:jc w:val="both"/>
        <w:rPr>
          <w:rFonts w:hint="eastAsia" w:ascii="宋体" w:hAnsi="宋体" w:eastAsia="宋体" w:cs="宋体"/>
          <w:kern w:val="0"/>
          <w:sz w:val="24"/>
          <w:highlight w:val="none"/>
        </w:rPr>
      </w:pPr>
    </w:p>
    <w:p>
      <w:pPr>
        <w:spacing w:line="54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 xml:space="preserve">供应商名称(盖章) </w:t>
      </w:r>
    </w:p>
    <w:p>
      <w:pPr>
        <w:spacing w:line="54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法定代表人或委托代理人（签字或盖章）：</w:t>
      </w:r>
    </w:p>
    <w:p>
      <w:pPr>
        <w:spacing w:line="54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日期：   年  月   日</w:t>
      </w:r>
    </w:p>
    <w:p>
      <w:pPr>
        <w:spacing w:line="360" w:lineRule="exact"/>
        <w:ind w:firstLine="482" w:firstLineChars="200"/>
        <w:rPr>
          <w:rFonts w:hint="eastAsia" w:ascii="宋体" w:hAnsi="宋体" w:eastAsia="宋体" w:cs="宋体"/>
          <w:b/>
          <w:sz w:val="24"/>
          <w:highlight w:val="none"/>
        </w:rPr>
      </w:pPr>
    </w:p>
    <w:p>
      <w:pPr>
        <w:pStyle w:val="5"/>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格式7-1投标产品名称、数量、规格及分项报价表</w:t>
      </w:r>
    </w:p>
    <w:p>
      <w:pPr>
        <w:pStyle w:val="30"/>
        <w:spacing w:afterLines="50"/>
        <w:ind w:firstLine="480"/>
        <w:rPr>
          <w:rFonts w:hint="eastAsia" w:ascii="宋体" w:hAnsi="宋体" w:eastAsia="宋体" w:cs="宋体"/>
          <w:b/>
          <w:sz w:val="24"/>
          <w:highlight w:val="none"/>
        </w:rPr>
      </w:pPr>
      <w:r>
        <w:rPr>
          <w:rFonts w:hint="eastAsia" w:ascii="宋体" w:hAnsi="宋体" w:eastAsia="宋体" w:cs="宋体"/>
          <w:sz w:val="24"/>
          <w:highlight w:val="none"/>
        </w:rPr>
        <w:t xml:space="preserve">（此表参照下表由各供应商按照招标货物内容、顺序编制填写，包括详细的产品配置清单、价格、供货范围、名称、规格、技术参数、主要配件的品牌及供货厂家等。）                            </w:t>
      </w:r>
    </w:p>
    <w:p>
      <w:pPr>
        <w:spacing w:beforeLines="50" w:line="460" w:lineRule="exact"/>
        <w:ind w:firstLine="482" w:firstLineChars="200"/>
        <w:rPr>
          <w:rFonts w:hint="eastAsia" w:ascii="宋体" w:hAnsi="宋体" w:eastAsia="宋体" w:cs="宋体"/>
          <w:b/>
          <w:sz w:val="24"/>
          <w:highlight w:val="none"/>
        </w:rPr>
      </w:pPr>
    </w:p>
    <w:tbl>
      <w:tblPr>
        <w:tblStyle w:val="17"/>
        <w:tblpPr w:leftFromText="180" w:rightFromText="180" w:vertAnchor="text" w:horzAnchor="page" w:tblpX="1095" w:tblpY="-89"/>
        <w:tblOverlap w:val="never"/>
        <w:tblW w:w="9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581"/>
        <w:gridCol w:w="1082"/>
        <w:gridCol w:w="827"/>
        <w:gridCol w:w="1167"/>
        <w:gridCol w:w="1156"/>
        <w:gridCol w:w="1529"/>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exact"/>
        </w:trPr>
        <w:tc>
          <w:tcPr>
            <w:tcW w:w="625" w:type="dxa"/>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581" w:type="dxa"/>
            <w:vAlign w:val="center"/>
          </w:tcPr>
          <w:p>
            <w:pPr>
              <w:spacing w:line="420" w:lineRule="exact"/>
              <w:ind w:firstLine="480"/>
              <w:jc w:val="center"/>
              <w:rPr>
                <w:rFonts w:hint="eastAsia" w:ascii="宋体" w:hAnsi="宋体" w:eastAsia="宋体" w:cs="宋体"/>
                <w:sz w:val="24"/>
                <w:highlight w:val="none"/>
              </w:rPr>
            </w:pPr>
            <w:r>
              <w:rPr>
                <w:rFonts w:hint="eastAsia" w:ascii="宋体" w:hAnsi="宋体" w:eastAsia="宋体" w:cs="宋体"/>
                <w:sz w:val="24"/>
                <w:highlight w:val="none"/>
              </w:rPr>
              <w:t>名 称</w:t>
            </w:r>
          </w:p>
        </w:tc>
        <w:tc>
          <w:tcPr>
            <w:tcW w:w="1082" w:type="dxa"/>
            <w:vAlign w:val="center"/>
          </w:tcPr>
          <w:p>
            <w:pPr>
              <w:spacing w:line="320" w:lineRule="exact"/>
              <w:jc w:val="center"/>
              <w:rPr>
                <w:rFonts w:hint="eastAsia" w:ascii="宋体" w:hAnsi="宋体" w:eastAsia="宋体" w:cs="宋体"/>
                <w:sz w:val="24"/>
                <w:highlight w:val="none"/>
              </w:rPr>
            </w:pPr>
            <w:r>
              <w:rPr>
                <w:rFonts w:hint="eastAsia" w:ascii="宋体" w:hAnsi="宋体" w:eastAsia="宋体" w:cs="宋体"/>
                <w:sz w:val="24"/>
                <w:highlight w:val="none"/>
              </w:rPr>
              <w:t>规格型号</w:t>
            </w:r>
          </w:p>
        </w:tc>
        <w:tc>
          <w:tcPr>
            <w:tcW w:w="827" w:type="dxa"/>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数量（标明单位）</w:t>
            </w:r>
          </w:p>
        </w:tc>
        <w:tc>
          <w:tcPr>
            <w:tcW w:w="1167" w:type="dxa"/>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单价（元）</w:t>
            </w:r>
          </w:p>
        </w:tc>
        <w:tc>
          <w:tcPr>
            <w:tcW w:w="1156" w:type="dxa"/>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合价（元）</w:t>
            </w:r>
          </w:p>
        </w:tc>
        <w:tc>
          <w:tcPr>
            <w:tcW w:w="1529" w:type="dxa"/>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生产厂家及品牌</w:t>
            </w:r>
          </w:p>
        </w:tc>
        <w:tc>
          <w:tcPr>
            <w:tcW w:w="1029" w:type="dxa"/>
            <w:vAlign w:val="center"/>
          </w:tcPr>
          <w:p>
            <w:pPr>
              <w:spacing w:line="42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exact"/>
        </w:trPr>
        <w:tc>
          <w:tcPr>
            <w:tcW w:w="625" w:type="dxa"/>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581" w:type="dxa"/>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（所投的全部货物内容）</w:t>
            </w:r>
          </w:p>
        </w:tc>
        <w:tc>
          <w:tcPr>
            <w:tcW w:w="1082" w:type="dxa"/>
            <w:vAlign w:val="center"/>
          </w:tcPr>
          <w:p>
            <w:pPr>
              <w:spacing w:line="420" w:lineRule="exact"/>
              <w:ind w:firstLine="480"/>
              <w:jc w:val="center"/>
              <w:rPr>
                <w:rFonts w:hint="eastAsia" w:ascii="宋体" w:hAnsi="宋体" w:eastAsia="宋体" w:cs="宋体"/>
                <w:sz w:val="24"/>
                <w:highlight w:val="none"/>
              </w:rPr>
            </w:pPr>
          </w:p>
        </w:tc>
        <w:tc>
          <w:tcPr>
            <w:tcW w:w="827" w:type="dxa"/>
            <w:vAlign w:val="center"/>
          </w:tcPr>
          <w:p>
            <w:pPr>
              <w:spacing w:line="420" w:lineRule="exact"/>
              <w:ind w:firstLine="480"/>
              <w:jc w:val="center"/>
              <w:rPr>
                <w:rFonts w:hint="eastAsia" w:ascii="宋体" w:hAnsi="宋体" w:eastAsia="宋体" w:cs="宋体"/>
                <w:sz w:val="24"/>
                <w:highlight w:val="none"/>
              </w:rPr>
            </w:pPr>
          </w:p>
        </w:tc>
        <w:tc>
          <w:tcPr>
            <w:tcW w:w="1167" w:type="dxa"/>
            <w:vAlign w:val="center"/>
          </w:tcPr>
          <w:p>
            <w:pPr>
              <w:spacing w:line="420" w:lineRule="exact"/>
              <w:ind w:firstLine="480"/>
              <w:jc w:val="center"/>
              <w:rPr>
                <w:rFonts w:hint="eastAsia" w:ascii="宋体" w:hAnsi="宋体" w:eastAsia="宋体" w:cs="宋体"/>
                <w:sz w:val="24"/>
                <w:highlight w:val="none"/>
              </w:rPr>
            </w:pPr>
          </w:p>
        </w:tc>
        <w:tc>
          <w:tcPr>
            <w:tcW w:w="1156" w:type="dxa"/>
            <w:vAlign w:val="center"/>
          </w:tcPr>
          <w:p>
            <w:pPr>
              <w:spacing w:line="420" w:lineRule="exact"/>
              <w:ind w:firstLine="480"/>
              <w:jc w:val="center"/>
              <w:rPr>
                <w:rFonts w:hint="eastAsia" w:ascii="宋体" w:hAnsi="宋体" w:eastAsia="宋体" w:cs="宋体"/>
                <w:sz w:val="24"/>
                <w:highlight w:val="none"/>
              </w:rPr>
            </w:pPr>
          </w:p>
        </w:tc>
        <w:tc>
          <w:tcPr>
            <w:tcW w:w="1529" w:type="dxa"/>
            <w:vAlign w:val="center"/>
          </w:tcPr>
          <w:p>
            <w:pPr>
              <w:spacing w:line="420" w:lineRule="exact"/>
              <w:ind w:firstLine="480"/>
              <w:jc w:val="center"/>
              <w:rPr>
                <w:rFonts w:hint="eastAsia" w:ascii="宋体" w:hAnsi="宋体" w:eastAsia="宋体" w:cs="宋体"/>
                <w:sz w:val="24"/>
                <w:highlight w:val="none"/>
              </w:rPr>
            </w:pPr>
          </w:p>
        </w:tc>
        <w:tc>
          <w:tcPr>
            <w:tcW w:w="1029" w:type="dxa"/>
            <w:vAlign w:val="center"/>
          </w:tcPr>
          <w:p>
            <w:pPr>
              <w:spacing w:line="420" w:lineRule="exact"/>
              <w:ind w:firstLine="480"/>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exact"/>
        </w:trPr>
        <w:tc>
          <w:tcPr>
            <w:tcW w:w="625" w:type="dxa"/>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581" w:type="dxa"/>
            <w:vAlign w:val="center"/>
          </w:tcPr>
          <w:p>
            <w:pPr>
              <w:spacing w:line="420" w:lineRule="exact"/>
              <w:ind w:firstLine="480"/>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1082" w:type="dxa"/>
            <w:vAlign w:val="center"/>
          </w:tcPr>
          <w:p>
            <w:pPr>
              <w:spacing w:line="420" w:lineRule="exact"/>
              <w:ind w:firstLine="480"/>
              <w:jc w:val="center"/>
              <w:rPr>
                <w:rFonts w:hint="eastAsia" w:ascii="宋体" w:hAnsi="宋体" w:eastAsia="宋体" w:cs="宋体"/>
                <w:sz w:val="24"/>
                <w:highlight w:val="none"/>
              </w:rPr>
            </w:pPr>
          </w:p>
        </w:tc>
        <w:tc>
          <w:tcPr>
            <w:tcW w:w="827" w:type="dxa"/>
            <w:vAlign w:val="center"/>
          </w:tcPr>
          <w:p>
            <w:pPr>
              <w:spacing w:line="420" w:lineRule="exact"/>
              <w:ind w:firstLine="480"/>
              <w:jc w:val="center"/>
              <w:rPr>
                <w:rFonts w:hint="eastAsia" w:ascii="宋体" w:hAnsi="宋体" w:eastAsia="宋体" w:cs="宋体"/>
                <w:sz w:val="24"/>
                <w:highlight w:val="none"/>
              </w:rPr>
            </w:pPr>
          </w:p>
        </w:tc>
        <w:tc>
          <w:tcPr>
            <w:tcW w:w="1167" w:type="dxa"/>
            <w:vAlign w:val="center"/>
          </w:tcPr>
          <w:p>
            <w:pPr>
              <w:spacing w:line="420" w:lineRule="exact"/>
              <w:ind w:firstLine="480"/>
              <w:jc w:val="center"/>
              <w:rPr>
                <w:rFonts w:hint="eastAsia" w:ascii="宋体" w:hAnsi="宋体" w:eastAsia="宋体" w:cs="宋体"/>
                <w:sz w:val="24"/>
                <w:highlight w:val="none"/>
              </w:rPr>
            </w:pPr>
          </w:p>
        </w:tc>
        <w:tc>
          <w:tcPr>
            <w:tcW w:w="1156" w:type="dxa"/>
            <w:vAlign w:val="center"/>
          </w:tcPr>
          <w:p>
            <w:pPr>
              <w:spacing w:line="420" w:lineRule="exact"/>
              <w:ind w:firstLine="480"/>
              <w:jc w:val="center"/>
              <w:rPr>
                <w:rFonts w:hint="eastAsia" w:ascii="宋体" w:hAnsi="宋体" w:eastAsia="宋体" w:cs="宋体"/>
                <w:sz w:val="24"/>
                <w:highlight w:val="none"/>
              </w:rPr>
            </w:pPr>
          </w:p>
        </w:tc>
        <w:tc>
          <w:tcPr>
            <w:tcW w:w="1529" w:type="dxa"/>
            <w:vAlign w:val="center"/>
          </w:tcPr>
          <w:p>
            <w:pPr>
              <w:spacing w:line="420" w:lineRule="exact"/>
              <w:ind w:firstLine="480"/>
              <w:jc w:val="center"/>
              <w:rPr>
                <w:rFonts w:hint="eastAsia" w:ascii="宋体" w:hAnsi="宋体" w:eastAsia="宋体" w:cs="宋体"/>
                <w:sz w:val="24"/>
                <w:highlight w:val="none"/>
              </w:rPr>
            </w:pPr>
          </w:p>
        </w:tc>
        <w:tc>
          <w:tcPr>
            <w:tcW w:w="1029" w:type="dxa"/>
            <w:vAlign w:val="center"/>
          </w:tcPr>
          <w:p>
            <w:pPr>
              <w:spacing w:line="420" w:lineRule="exact"/>
              <w:ind w:firstLine="480"/>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625" w:type="dxa"/>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581" w:type="dxa"/>
            <w:vAlign w:val="center"/>
          </w:tcPr>
          <w:p>
            <w:pPr>
              <w:spacing w:line="420" w:lineRule="exact"/>
              <w:ind w:firstLine="480"/>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1082" w:type="dxa"/>
            <w:vAlign w:val="center"/>
          </w:tcPr>
          <w:p>
            <w:pPr>
              <w:spacing w:line="420" w:lineRule="exact"/>
              <w:ind w:firstLine="480"/>
              <w:jc w:val="center"/>
              <w:rPr>
                <w:rFonts w:hint="eastAsia" w:ascii="宋体" w:hAnsi="宋体" w:eastAsia="宋体" w:cs="宋体"/>
                <w:sz w:val="24"/>
                <w:highlight w:val="none"/>
              </w:rPr>
            </w:pPr>
          </w:p>
        </w:tc>
        <w:tc>
          <w:tcPr>
            <w:tcW w:w="827" w:type="dxa"/>
            <w:vAlign w:val="center"/>
          </w:tcPr>
          <w:p>
            <w:pPr>
              <w:spacing w:line="420" w:lineRule="exact"/>
              <w:ind w:firstLine="480"/>
              <w:jc w:val="center"/>
              <w:rPr>
                <w:rFonts w:hint="eastAsia" w:ascii="宋体" w:hAnsi="宋体" w:eastAsia="宋体" w:cs="宋体"/>
                <w:sz w:val="24"/>
                <w:highlight w:val="none"/>
              </w:rPr>
            </w:pPr>
          </w:p>
        </w:tc>
        <w:tc>
          <w:tcPr>
            <w:tcW w:w="1167" w:type="dxa"/>
            <w:vAlign w:val="center"/>
          </w:tcPr>
          <w:p>
            <w:pPr>
              <w:spacing w:line="420" w:lineRule="exact"/>
              <w:ind w:firstLine="480"/>
              <w:jc w:val="center"/>
              <w:rPr>
                <w:rFonts w:hint="eastAsia" w:ascii="宋体" w:hAnsi="宋体" w:eastAsia="宋体" w:cs="宋体"/>
                <w:sz w:val="24"/>
                <w:highlight w:val="none"/>
              </w:rPr>
            </w:pPr>
          </w:p>
        </w:tc>
        <w:tc>
          <w:tcPr>
            <w:tcW w:w="1156" w:type="dxa"/>
            <w:vAlign w:val="center"/>
          </w:tcPr>
          <w:p>
            <w:pPr>
              <w:spacing w:line="420" w:lineRule="exact"/>
              <w:ind w:firstLine="480"/>
              <w:jc w:val="center"/>
              <w:rPr>
                <w:rFonts w:hint="eastAsia" w:ascii="宋体" w:hAnsi="宋体" w:eastAsia="宋体" w:cs="宋体"/>
                <w:sz w:val="24"/>
                <w:highlight w:val="none"/>
              </w:rPr>
            </w:pPr>
          </w:p>
        </w:tc>
        <w:tc>
          <w:tcPr>
            <w:tcW w:w="1529" w:type="dxa"/>
            <w:vAlign w:val="center"/>
          </w:tcPr>
          <w:p>
            <w:pPr>
              <w:spacing w:line="420" w:lineRule="exact"/>
              <w:ind w:firstLine="480"/>
              <w:jc w:val="center"/>
              <w:rPr>
                <w:rFonts w:hint="eastAsia" w:ascii="宋体" w:hAnsi="宋体" w:eastAsia="宋体" w:cs="宋体"/>
                <w:sz w:val="24"/>
                <w:highlight w:val="none"/>
              </w:rPr>
            </w:pPr>
          </w:p>
        </w:tc>
        <w:tc>
          <w:tcPr>
            <w:tcW w:w="1029" w:type="dxa"/>
            <w:vAlign w:val="center"/>
          </w:tcPr>
          <w:p>
            <w:pPr>
              <w:spacing w:line="420" w:lineRule="exact"/>
              <w:ind w:firstLine="480"/>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trPr>
        <w:tc>
          <w:tcPr>
            <w:tcW w:w="625" w:type="dxa"/>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2581" w:type="dxa"/>
            <w:vAlign w:val="center"/>
          </w:tcPr>
          <w:p>
            <w:pPr>
              <w:spacing w:line="420" w:lineRule="exact"/>
              <w:ind w:firstLine="480"/>
              <w:jc w:val="center"/>
              <w:rPr>
                <w:rFonts w:hint="eastAsia" w:ascii="宋体" w:hAnsi="宋体" w:eastAsia="宋体" w:cs="宋体"/>
                <w:sz w:val="24"/>
                <w:highlight w:val="none"/>
              </w:rPr>
            </w:pPr>
            <w:r>
              <w:rPr>
                <w:rFonts w:hint="eastAsia" w:ascii="宋体" w:hAnsi="宋体" w:eastAsia="宋体" w:cs="宋体"/>
                <w:sz w:val="24"/>
                <w:highlight w:val="none"/>
              </w:rPr>
              <w:t>备品备件</w:t>
            </w:r>
          </w:p>
        </w:tc>
        <w:tc>
          <w:tcPr>
            <w:tcW w:w="6790" w:type="dxa"/>
            <w:gridSpan w:val="6"/>
            <w:vAlign w:val="center"/>
          </w:tcPr>
          <w:p>
            <w:pPr>
              <w:spacing w:line="420" w:lineRule="exact"/>
              <w:ind w:firstLine="480"/>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trPr>
        <w:tc>
          <w:tcPr>
            <w:tcW w:w="625" w:type="dxa"/>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2581" w:type="dxa"/>
            <w:vAlign w:val="center"/>
          </w:tcPr>
          <w:p>
            <w:pPr>
              <w:spacing w:line="420" w:lineRule="exact"/>
              <w:ind w:firstLine="480"/>
              <w:jc w:val="center"/>
              <w:rPr>
                <w:rFonts w:hint="eastAsia" w:ascii="宋体" w:hAnsi="宋体" w:eastAsia="宋体" w:cs="宋体"/>
                <w:sz w:val="24"/>
                <w:highlight w:val="none"/>
              </w:rPr>
            </w:pPr>
            <w:r>
              <w:rPr>
                <w:rFonts w:hint="eastAsia" w:ascii="宋体" w:hAnsi="宋体" w:eastAsia="宋体" w:cs="宋体"/>
                <w:sz w:val="24"/>
                <w:highlight w:val="none"/>
              </w:rPr>
              <w:t>专用工具</w:t>
            </w:r>
          </w:p>
        </w:tc>
        <w:tc>
          <w:tcPr>
            <w:tcW w:w="6790" w:type="dxa"/>
            <w:gridSpan w:val="6"/>
            <w:vAlign w:val="center"/>
          </w:tcPr>
          <w:p>
            <w:pPr>
              <w:spacing w:line="420" w:lineRule="exact"/>
              <w:ind w:firstLine="480"/>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trPr>
        <w:tc>
          <w:tcPr>
            <w:tcW w:w="625" w:type="dxa"/>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2581" w:type="dxa"/>
            <w:vAlign w:val="center"/>
          </w:tcPr>
          <w:p>
            <w:pPr>
              <w:spacing w:line="420" w:lineRule="exact"/>
              <w:ind w:firstLine="480"/>
              <w:jc w:val="center"/>
              <w:rPr>
                <w:rFonts w:hint="eastAsia" w:ascii="宋体" w:hAnsi="宋体" w:eastAsia="宋体" w:cs="宋体"/>
                <w:sz w:val="24"/>
                <w:highlight w:val="none"/>
              </w:rPr>
            </w:pPr>
            <w:r>
              <w:rPr>
                <w:rFonts w:hint="eastAsia" w:ascii="宋体" w:hAnsi="宋体" w:eastAsia="宋体" w:cs="宋体"/>
                <w:sz w:val="24"/>
                <w:highlight w:val="none"/>
              </w:rPr>
              <w:t>安装调试费</w:t>
            </w:r>
          </w:p>
        </w:tc>
        <w:tc>
          <w:tcPr>
            <w:tcW w:w="6790" w:type="dxa"/>
            <w:gridSpan w:val="6"/>
            <w:vAlign w:val="center"/>
          </w:tcPr>
          <w:p>
            <w:pPr>
              <w:spacing w:line="420" w:lineRule="exact"/>
              <w:ind w:firstLine="480"/>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625" w:type="dxa"/>
            <w:vAlign w:val="center"/>
          </w:tcPr>
          <w:p>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2581" w:type="dxa"/>
            <w:vAlign w:val="center"/>
          </w:tcPr>
          <w:p>
            <w:pPr>
              <w:spacing w:line="420" w:lineRule="exact"/>
              <w:ind w:firstLine="480"/>
              <w:jc w:val="center"/>
              <w:rPr>
                <w:rFonts w:hint="eastAsia" w:ascii="宋体" w:hAnsi="宋体" w:eastAsia="宋体" w:cs="宋体"/>
                <w:sz w:val="24"/>
                <w:highlight w:val="none"/>
              </w:rPr>
            </w:pPr>
            <w:r>
              <w:rPr>
                <w:rFonts w:hint="eastAsia" w:ascii="宋体" w:hAnsi="宋体" w:eastAsia="宋体" w:cs="宋体"/>
                <w:sz w:val="24"/>
                <w:highlight w:val="none"/>
              </w:rPr>
              <w:t>运杂费</w:t>
            </w:r>
          </w:p>
        </w:tc>
        <w:tc>
          <w:tcPr>
            <w:tcW w:w="6790" w:type="dxa"/>
            <w:gridSpan w:val="6"/>
            <w:vAlign w:val="center"/>
          </w:tcPr>
          <w:p>
            <w:pPr>
              <w:spacing w:line="420" w:lineRule="exact"/>
              <w:ind w:firstLine="480"/>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exact"/>
        </w:trPr>
        <w:tc>
          <w:tcPr>
            <w:tcW w:w="625" w:type="dxa"/>
            <w:vAlign w:val="center"/>
          </w:tcPr>
          <w:p>
            <w:pPr>
              <w:spacing w:line="420" w:lineRule="exact"/>
              <w:jc w:val="center"/>
              <w:rPr>
                <w:rFonts w:hint="eastAsia" w:ascii="宋体" w:hAnsi="宋体" w:eastAsia="宋体" w:cs="宋体"/>
                <w:sz w:val="24"/>
                <w:highlight w:val="none"/>
              </w:rPr>
            </w:pPr>
          </w:p>
        </w:tc>
        <w:tc>
          <w:tcPr>
            <w:tcW w:w="2581" w:type="dxa"/>
            <w:vAlign w:val="center"/>
          </w:tcPr>
          <w:p>
            <w:pPr>
              <w:spacing w:line="420" w:lineRule="exact"/>
              <w:ind w:firstLine="480"/>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6790" w:type="dxa"/>
            <w:gridSpan w:val="6"/>
            <w:vAlign w:val="center"/>
          </w:tcPr>
          <w:p>
            <w:pPr>
              <w:spacing w:line="420" w:lineRule="exact"/>
              <w:ind w:firstLine="480"/>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exact"/>
        </w:trPr>
        <w:tc>
          <w:tcPr>
            <w:tcW w:w="3206" w:type="dxa"/>
            <w:gridSpan w:val="2"/>
            <w:vAlign w:val="center"/>
          </w:tcPr>
          <w:p>
            <w:pPr>
              <w:spacing w:line="420" w:lineRule="exact"/>
              <w:ind w:firstLine="480"/>
              <w:jc w:val="center"/>
              <w:rPr>
                <w:rFonts w:hint="eastAsia" w:ascii="宋体" w:hAnsi="宋体" w:eastAsia="宋体" w:cs="宋体"/>
                <w:sz w:val="24"/>
                <w:highlight w:val="none"/>
              </w:rPr>
            </w:pPr>
            <w:r>
              <w:rPr>
                <w:rFonts w:hint="eastAsia" w:ascii="宋体" w:hAnsi="宋体" w:eastAsia="宋体" w:cs="宋体"/>
                <w:sz w:val="24"/>
                <w:highlight w:val="none"/>
              </w:rPr>
              <w:t>合计总价（万元）</w:t>
            </w:r>
          </w:p>
        </w:tc>
        <w:tc>
          <w:tcPr>
            <w:tcW w:w="6790" w:type="dxa"/>
            <w:gridSpan w:val="6"/>
            <w:vAlign w:val="center"/>
          </w:tcPr>
          <w:p>
            <w:pPr>
              <w:spacing w:line="420" w:lineRule="exact"/>
              <w:ind w:firstLine="480"/>
              <w:jc w:val="center"/>
              <w:rPr>
                <w:rFonts w:hint="eastAsia" w:ascii="宋体" w:hAnsi="宋体" w:eastAsia="宋体" w:cs="宋体"/>
                <w:sz w:val="24"/>
                <w:highlight w:val="none"/>
              </w:rPr>
            </w:pPr>
          </w:p>
        </w:tc>
      </w:tr>
    </w:tbl>
    <w:p>
      <w:pPr>
        <w:spacing w:beforeLines="50" w:line="460" w:lineRule="exact"/>
        <w:rPr>
          <w:rFonts w:hint="eastAsia" w:ascii="宋体" w:hAnsi="宋体" w:eastAsia="宋体" w:cs="宋体"/>
          <w:sz w:val="24"/>
          <w:highlight w:val="none"/>
        </w:rPr>
      </w:pPr>
      <w:r>
        <w:rPr>
          <w:rFonts w:hint="eastAsia" w:ascii="宋体" w:hAnsi="宋体" w:eastAsia="宋体" w:cs="宋体"/>
          <w:b/>
          <w:sz w:val="24"/>
          <w:highlight w:val="none"/>
        </w:rPr>
        <w:t>注</w:t>
      </w:r>
      <w:r>
        <w:rPr>
          <w:rFonts w:hint="eastAsia" w:ascii="宋体" w:hAnsi="宋体" w:eastAsia="宋体" w:cs="宋体"/>
          <w:sz w:val="24"/>
          <w:highlight w:val="none"/>
        </w:rPr>
        <w:t>：1、如果按单价计算的结果与总价不一致，以单价为准修正总价。</w:t>
      </w:r>
    </w:p>
    <w:p>
      <w:pPr>
        <w:pStyle w:val="8"/>
        <w:spacing w:line="460" w:lineRule="exact"/>
        <w:ind w:right="-15"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2、供应商须参照第三章所列明的内容全部报价。如果不提供详细分项报价视为未实质性响应招标文件。</w:t>
      </w:r>
    </w:p>
    <w:p>
      <w:pPr>
        <w:spacing w:line="540" w:lineRule="exact"/>
        <w:ind w:firstLine="240" w:firstLineChars="100"/>
        <w:rPr>
          <w:rFonts w:hint="eastAsia" w:ascii="宋体" w:hAnsi="宋体" w:eastAsia="宋体" w:cs="宋体"/>
          <w:sz w:val="24"/>
          <w:highlight w:val="none"/>
        </w:rPr>
      </w:pPr>
    </w:p>
    <w:p>
      <w:pPr>
        <w:spacing w:line="540" w:lineRule="exact"/>
        <w:ind w:firstLine="240" w:firstLineChars="100"/>
        <w:rPr>
          <w:rFonts w:hint="eastAsia" w:ascii="宋体" w:hAnsi="宋体" w:eastAsia="宋体" w:cs="宋体"/>
          <w:sz w:val="24"/>
          <w:highlight w:val="none"/>
        </w:rPr>
      </w:pPr>
    </w:p>
    <w:p>
      <w:pPr>
        <w:spacing w:line="540" w:lineRule="exact"/>
        <w:ind w:firstLine="240" w:firstLineChars="100"/>
        <w:rPr>
          <w:rFonts w:hint="eastAsia" w:ascii="宋体" w:hAnsi="宋体" w:eastAsia="宋体" w:cs="宋体"/>
          <w:sz w:val="24"/>
          <w:highlight w:val="none"/>
        </w:rPr>
      </w:pPr>
    </w:p>
    <w:p>
      <w:pPr>
        <w:spacing w:line="54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 xml:space="preserve">供应商名称(盖章) </w:t>
      </w:r>
    </w:p>
    <w:p>
      <w:pPr>
        <w:spacing w:line="54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法定代表人或委托代理人（签字或盖章）：</w:t>
      </w:r>
    </w:p>
    <w:p>
      <w:pPr>
        <w:spacing w:line="54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日期：   年  月   日</w:t>
      </w:r>
    </w:p>
    <w:p>
      <w:pPr>
        <w:spacing w:line="360" w:lineRule="auto"/>
        <w:rPr>
          <w:rFonts w:hint="eastAsia" w:ascii="宋体" w:hAnsi="宋体" w:eastAsia="宋体" w:cs="宋体"/>
          <w:b/>
          <w:sz w:val="24"/>
          <w:highlight w:val="none"/>
        </w:rPr>
      </w:pPr>
    </w:p>
    <w:p>
      <w:pPr>
        <w:spacing w:line="360" w:lineRule="auto"/>
        <w:jc w:val="center"/>
        <w:rPr>
          <w:rFonts w:hint="eastAsia" w:ascii="宋体" w:hAnsi="宋体" w:eastAsia="宋体" w:cs="宋体"/>
          <w:b/>
          <w:sz w:val="28"/>
          <w:szCs w:val="28"/>
          <w:highlight w:val="none"/>
        </w:rPr>
      </w:pPr>
    </w:p>
    <w:p>
      <w:pPr>
        <w:spacing w:line="360" w:lineRule="auto"/>
        <w:rPr>
          <w:rFonts w:hint="eastAsia" w:ascii="宋体" w:hAnsi="宋体" w:eastAsia="宋体" w:cs="宋体"/>
          <w:b/>
          <w:sz w:val="24"/>
          <w:highlight w:val="none"/>
        </w:rPr>
      </w:pPr>
    </w:p>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格式8  商务条款偏离表</w:t>
      </w:r>
    </w:p>
    <w:p>
      <w:pPr>
        <w:spacing w:line="360" w:lineRule="auto"/>
        <w:rPr>
          <w:rFonts w:hint="eastAsia" w:ascii="宋体" w:hAnsi="宋体" w:eastAsia="宋体" w:cs="宋体"/>
          <w:b/>
          <w:bCs/>
          <w:sz w:val="24"/>
          <w:highlight w:val="none"/>
        </w:rPr>
      </w:pP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项目名称：                     标项：</w:t>
      </w:r>
    </w:p>
    <w:tbl>
      <w:tblPr>
        <w:tblStyle w:val="18"/>
        <w:tblW w:w="9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228"/>
        <w:gridCol w:w="2228"/>
        <w:gridCol w:w="2228"/>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228" w:type="dxa"/>
            <w:vAlign w:val="center"/>
          </w:tcPr>
          <w:p>
            <w:pPr>
              <w:jc w:val="center"/>
              <w:rPr>
                <w:rFonts w:hint="eastAsia" w:ascii="宋体" w:hAnsi="宋体" w:eastAsia="宋体" w:cs="宋体"/>
                <w:b/>
                <w:bCs/>
                <w:sz w:val="24"/>
                <w:highlight w:val="none"/>
              </w:rPr>
            </w:pPr>
            <w:r>
              <w:rPr>
                <w:rFonts w:hint="eastAsia" w:ascii="宋体" w:hAnsi="宋体" w:eastAsia="宋体" w:cs="宋体"/>
                <w:b/>
                <w:bCs/>
                <w:sz w:val="24"/>
                <w:highlight w:val="none"/>
              </w:rPr>
              <w:t>条款序号</w:t>
            </w:r>
          </w:p>
        </w:tc>
        <w:tc>
          <w:tcPr>
            <w:tcW w:w="2228" w:type="dxa"/>
            <w:vAlign w:val="center"/>
          </w:tcPr>
          <w:p>
            <w:pPr>
              <w:jc w:val="center"/>
              <w:rPr>
                <w:rFonts w:hint="eastAsia" w:ascii="宋体" w:hAnsi="宋体" w:eastAsia="宋体" w:cs="宋体"/>
                <w:b/>
                <w:bCs/>
                <w:sz w:val="24"/>
                <w:highlight w:val="none"/>
              </w:rPr>
            </w:pPr>
            <w:r>
              <w:rPr>
                <w:rFonts w:hint="eastAsia" w:ascii="宋体" w:hAnsi="宋体" w:eastAsia="宋体" w:cs="宋体"/>
                <w:b/>
                <w:bCs/>
                <w:sz w:val="24"/>
                <w:highlight w:val="none"/>
              </w:rPr>
              <w:t>招标商务条款</w:t>
            </w:r>
          </w:p>
        </w:tc>
        <w:tc>
          <w:tcPr>
            <w:tcW w:w="2228" w:type="dxa"/>
            <w:vAlign w:val="center"/>
          </w:tcPr>
          <w:p>
            <w:pPr>
              <w:jc w:val="center"/>
              <w:rPr>
                <w:rFonts w:hint="eastAsia" w:ascii="宋体" w:hAnsi="宋体" w:eastAsia="宋体" w:cs="宋体"/>
                <w:b/>
                <w:bCs/>
                <w:sz w:val="24"/>
                <w:highlight w:val="none"/>
              </w:rPr>
            </w:pPr>
            <w:r>
              <w:rPr>
                <w:rFonts w:hint="eastAsia" w:ascii="宋体" w:hAnsi="宋体" w:eastAsia="宋体" w:cs="宋体"/>
                <w:b/>
                <w:bCs/>
                <w:sz w:val="24"/>
                <w:highlight w:val="none"/>
              </w:rPr>
              <w:t>投标商务条款</w:t>
            </w:r>
          </w:p>
        </w:tc>
        <w:tc>
          <w:tcPr>
            <w:tcW w:w="2228" w:type="dxa"/>
            <w:vAlign w:val="center"/>
          </w:tcPr>
          <w:p>
            <w:pPr>
              <w:jc w:val="center"/>
              <w:rPr>
                <w:rFonts w:hint="eastAsia" w:ascii="宋体" w:hAnsi="宋体" w:eastAsia="宋体" w:cs="宋体"/>
                <w:b/>
                <w:bCs/>
                <w:sz w:val="24"/>
                <w:highlight w:val="none"/>
              </w:rPr>
            </w:pPr>
            <w:r>
              <w:rPr>
                <w:rFonts w:hint="eastAsia" w:ascii="宋体" w:hAnsi="宋体" w:eastAsia="宋体" w:cs="宋体"/>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rPr>
                <w:rFonts w:hint="eastAsia" w:ascii="宋体" w:hAnsi="宋体" w:eastAsia="宋体" w:cs="宋体"/>
                <w:b/>
                <w:bCs/>
                <w:sz w:val="24"/>
                <w:highlight w:val="none"/>
              </w:rPr>
            </w:pPr>
          </w:p>
        </w:tc>
        <w:tc>
          <w:tcPr>
            <w:tcW w:w="2228" w:type="dxa"/>
            <w:vAlign w:val="center"/>
          </w:tcPr>
          <w:p>
            <w:pPr>
              <w:rPr>
                <w:rFonts w:hint="eastAsia" w:ascii="宋体" w:hAnsi="宋体" w:eastAsia="宋体" w:cs="宋体"/>
                <w:b/>
                <w:bCs/>
                <w:sz w:val="24"/>
                <w:highlight w:val="none"/>
              </w:rPr>
            </w:pPr>
          </w:p>
        </w:tc>
        <w:tc>
          <w:tcPr>
            <w:tcW w:w="2228" w:type="dxa"/>
            <w:vAlign w:val="center"/>
          </w:tcPr>
          <w:p>
            <w:pPr>
              <w:rPr>
                <w:rFonts w:hint="eastAsia" w:ascii="宋体" w:hAnsi="宋体" w:eastAsia="宋体" w:cs="宋体"/>
                <w:b/>
                <w:bCs/>
                <w:sz w:val="24"/>
                <w:highlight w:val="none"/>
              </w:rPr>
            </w:pPr>
          </w:p>
        </w:tc>
        <w:tc>
          <w:tcPr>
            <w:tcW w:w="2228" w:type="dxa"/>
            <w:vAlign w:val="center"/>
          </w:tcPr>
          <w:p>
            <w:pPr>
              <w:rPr>
                <w:rFonts w:hint="eastAsia" w:ascii="宋体" w:hAnsi="宋体" w:eastAsia="宋体" w:cs="宋体"/>
                <w:b/>
                <w:bCs/>
                <w:sz w:val="24"/>
                <w:highlight w:val="none"/>
              </w:rPr>
            </w:pPr>
          </w:p>
        </w:tc>
        <w:tc>
          <w:tcPr>
            <w:tcW w:w="2228" w:type="dxa"/>
            <w:vAlign w:val="center"/>
          </w:tcPr>
          <w:p>
            <w:pPr>
              <w:rPr>
                <w:rFonts w:hint="eastAsia" w:ascii="宋体" w:hAnsi="宋体" w:eastAsia="宋体" w:cs="宋体"/>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r>
    </w:tbl>
    <w:p>
      <w:pPr>
        <w:rPr>
          <w:rFonts w:hint="eastAsia" w:ascii="宋体" w:hAnsi="宋体" w:eastAsia="宋体" w:cs="宋体"/>
          <w:highlight w:val="none"/>
        </w:rPr>
      </w:pPr>
    </w:p>
    <w:p>
      <w:pPr>
        <w:ind w:firstLine="482" w:firstLineChars="200"/>
        <w:rPr>
          <w:rFonts w:hint="eastAsia" w:ascii="宋体" w:hAnsi="宋体" w:eastAsia="宋体" w:cs="宋体"/>
          <w:bCs/>
          <w:sz w:val="24"/>
          <w:highlight w:val="none"/>
        </w:rPr>
      </w:pPr>
      <w:r>
        <w:rPr>
          <w:rFonts w:hint="eastAsia" w:ascii="宋体" w:hAnsi="宋体" w:eastAsia="宋体" w:cs="宋体"/>
          <w:b/>
          <w:bCs/>
          <w:sz w:val="24"/>
          <w:highlight w:val="none"/>
        </w:rPr>
        <w:t>注：投标人按此表格式列出不影响投标实质性响应的商务偏差，没有说明的其他条款将被认为完全满足招标文件的规定。</w:t>
      </w:r>
    </w:p>
    <w:p>
      <w:pPr>
        <w:pStyle w:val="8"/>
        <w:spacing w:line="360" w:lineRule="auto"/>
        <w:ind w:firstLine="480" w:firstLineChars="200"/>
        <w:rPr>
          <w:rFonts w:hint="eastAsia" w:ascii="宋体" w:hAnsi="宋体" w:eastAsia="宋体" w:cs="宋体"/>
          <w:bCs/>
          <w:sz w:val="24"/>
          <w:szCs w:val="24"/>
          <w:highlight w:val="none"/>
        </w:rPr>
      </w:pPr>
    </w:p>
    <w:p>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投标人(盖章)： </w:t>
      </w: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法定代表人或委托代理人（签字或盖章）：</w:t>
      </w: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日期：   年  月   日</w:t>
      </w:r>
    </w:p>
    <w:p>
      <w:pPr>
        <w:spacing w:line="360" w:lineRule="auto"/>
        <w:jc w:val="center"/>
        <w:rPr>
          <w:rFonts w:hint="eastAsia" w:ascii="宋体" w:hAnsi="宋体" w:eastAsia="宋体" w:cs="宋体"/>
          <w:b/>
          <w:sz w:val="24"/>
          <w:highlight w:val="none"/>
        </w:rPr>
      </w:pPr>
    </w:p>
    <w:p>
      <w:pPr>
        <w:spacing w:line="360" w:lineRule="auto"/>
        <w:jc w:val="center"/>
        <w:rPr>
          <w:rFonts w:hint="eastAsia" w:ascii="宋体" w:hAnsi="宋体" w:eastAsia="宋体" w:cs="宋体"/>
          <w:b/>
          <w:sz w:val="24"/>
          <w:highlight w:val="none"/>
        </w:rPr>
      </w:pPr>
    </w:p>
    <w:p>
      <w:pPr>
        <w:rPr>
          <w:rFonts w:hint="eastAsia" w:ascii="宋体" w:hAnsi="宋体" w:eastAsia="宋体" w:cs="宋体"/>
          <w:b/>
          <w:bCs/>
          <w:sz w:val="24"/>
          <w:highlight w:val="none"/>
        </w:rPr>
      </w:pPr>
    </w:p>
    <w:p>
      <w:pPr>
        <w:rPr>
          <w:rFonts w:hint="eastAsia" w:ascii="宋体" w:hAnsi="宋体" w:eastAsia="宋体" w:cs="宋体"/>
          <w:b/>
          <w:bCs/>
          <w:sz w:val="24"/>
          <w:highlight w:val="none"/>
        </w:rPr>
      </w:pPr>
    </w:p>
    <w:p>
      <w:pPr>
        <w:rPr>
          <w:rFonts w:hint="eastAsia" w:ascii="宋体" w:hAnsi="宋体" w:eastAsia="宋体" w:cs="宋体"/>
          <w:b/>
          <w:bCs/>
          <w:sz w:val="24"/>
          <w:highlight w:val="none"/>
        </w:rPr>
      </w:pPr>
    </w:p>
    <w:p>
      <w:pPr>
        <w:jc w:val="center"/>
        <w:rPr>
          <w:rFonts w:hint="eastAsia" w:ascii="宋体" w:hAnsi="宋体" w:eastAsia="宋体" w:cs="宋体"/>
          <w:b/>
          <w:bCs/>
          <w:sz w:val="24"/>
          <w:highlight w:val="none"/>
        </w:rPr>
      </w:pPr>
      <w:r>
        <w:rPr>
          <w:rFonts w:hint="eastAsia" w:ascii="宋体" w:hAnsi="宋体" w:eastAsia="宋体" w:cs="宋体"/>
          <w:b/>
          <w:bCs/>
          <w:sz w:val="24"/>
          <w:highlight w:val="none"/>
        </w:rPr>
        <w:t>格式9  中小企业声明函</w:t>
      </w:r>
    </w:p>
    <w:p>
      <w:pPr>
        <w:tabs>
          <w:tab w:val="left" w:pos="6300"/>
        </w:tabs>
        <w:snapToGrid w:val="0"/>
        <w:spacing w:line="500" w:lineRule="exact"/>
        <w:ind w:firstLine="720" w:firstLineChars="200"/>
        <w:jc w:val="center"/>
        <w:outlineLvl w:val="0"/>
        <w:rPr>
          <w:rFonts w:hint="eastAsia" w:ascii="宋体" w:hAnsi="宋体" w:eastAsia="宋体" w:cs="宋体"/>
          <w:sz w:val="36"/>
          <w:szCs w:val="36"/>
          <w:highlight w:val="none"/>
        </w:rPr>
      </w:pP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根据《政府采购促进中小企业发展暂行办法》（财库〔2011〕181号）、《工业和信息化部、国家统计局、国家发展和改革委员会、财政部关于印发中小企业划型标准规定的通知》（工信部联企业〔2011〕300号）的规定，本公司郑重声明：</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一、本公司为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（请填写：中型、小型、微型）企业。</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（一）本公司所属行业为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请填写：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（二）本公司从业人员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（三）本公司上年度营业收入</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二、本公司参加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单位的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项目采购活动提供本企业制造的货物。</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或者[本公司参加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单位的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项目采购活动提供其他</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（请填写：中型、小型、微型）企业制造的货物。]</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本公司对上述声明的真实性负责。如有虚假，将依法承担相应责任。</w:t>
      </w:r>
    </w:p>
    <w:p>
      <w:pPr>
        <w:spacing w:line="360" w:lineRule="auto"/>
        <w:ind w:firstLine="480"/>
        <w:rPr>
          <w:rFonts w:hint="eastAsia" w:ascii="宋体" w:hAnsi="宋体" w:eastAsia="宋体" w:cs="宋体"/>
          <w:sz w:val="24"/>
          <w:highlight w:val="none"/>
        </w:rPr>
      </w:pPr>
    </w:p>
    <w:p>
      <w:pPr>
        <w:spacing w:line="360" w:lineRule="auto"/>
        <w:ind w:firstLine="480"/>
        <w:rPr>
          <w:rFonts w:hint="eastAsia" w:ascii="宋体" w:hAnsi="宋体" w:eastAsia="宋体" w:cs="宋体"/>
          <w:sz w:val="24"/>
          <w:highlight w:val="none"/>
        </w:rPr>
      </w:pPr>
    </w:p>
    <w:p>
      <w:pPr>
        <w:spacing w:line="360" w:lineRule="auto"/>
        <w:ind w:firstLine="5280" w:firstLineChars="2200"/>
        <w:rPr>
          <w:rFonts w:hint="eastAsia" w:ascii="宋体" w:hAnsi="宋体" w:eastAsia="宋体" w:cs="宋体"/>
          <w:sz w:val="24"/>
          <w:highlight w:val="none"/>
        </w:rPr>
      </w:pPr>
      <w:r>
        <w:rPr>
          <w:rFonts w:hint="eastAsia" w:ascii="宋体" w:hAnsi="宋体" w:eastAsia="宋体" w:cs="宋体"/>
          <w:sz w:val="24"/>
          <w:highlight w:val="none"/>
        </w:rPr>
        <w:t>企业名称（盖章）：</w:t>
      </w:r>
    </w:p>
    <w:p>
      <w:pPr>
        <w:pStyle w:val="8"/>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Style w:val="8"/>
        <w:spacing w:line="360" w:lineRule="auto"/>
        <w:ind w:firstLine="5280" w:firstLineChars="2200"/>
        <w:rPr>
          <w:rFonts w:hint="eastAsia" w:ascii="宋体" w:hAnsi="宋体" w:eastAsia="宋体" w:cs="宋体"/>
          <w:sz w:val="24"/>
          <w:szCs w:val="24"/>
          <w:highlight w:val="none"/>
        </w:rPr>
        <w:sectPr>
          <w:footerReference r:id="rId10" w:type="default"/>
          <w:pgSz w:w="11907" w:h="16840"/>
          <w:pgMar w:top="1440" w:right="1077" w:bottom="1440" w:left="1077" w:header="964" w:footer="992" w:gutter="0"/>
          <w:cols w:space="720" w:num="1"/>
          <w:docGrid w:linePitch="354" w:charSpace="0"/>
        </w:sectPr>
      </w:pPr>
      <w:r>
        <w:rPr>
          <w:rFonts w:hint="eastAsia" w:ascii="宋体" w:hAnsi="宋体" w:eastAsia="宋体" w:cs="宋体"/>
          <w:sz w:val="24"/>
          <w:szCs w:val="24"/>
          <w:highlight w:val="none"/>
        </w:rPr>
        <w:t>日期：</w:t>
      </w:r>
    </w:p>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格式10  近三年（2019年1月1日至今）同类项目业绩表</w:t>
      </w:r>
    </w:p>
    <w:tbl>
      <w:tblPr>
        <w:tblStyle w:val="17"/>
        <w:tblW w:w="98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609"/>
        <w:gridCol w:w="10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tcBorders>
            <w:vAlign w:val="bottom"/>
          </w:tcPr>
          <w:p>
            <w:pPr>
              <w:spacing w:line="360" w:lineRule="auto"/>
              <w:ind w:firstLine="105" w:firstLineChars="50"/>
              <w:jc w:val="center"/>
              <w:rPr>
                <w:rFonts w:hint="eastAsia" w:ascii="宋体" w:hAnsi="宋体" w:eastAsia="宋体" w:cs="宋体"/>
                <w:b/>
                <w:highlight w:val="none"/>
              </w:rPr>
            </w:pPr>
            <w:r>
              <w:rPr>
                <w:rFonts w:hint="eastAsia" w:ascii="宋体" w:hAnsi="宋体" w:eastAsia="宋体" w:cs="宋体"/>
                <w:b/>
                <w:highlight w:val="none"/>
              </w:rPr>
              <w:t>年份</w:t>
            </w:r>
          </w:p>
        </w:tc>
        <w:tc>
          <w:tcPr>
            <w:tcW w:w="1440" w:type="dxa"/>
            <w:vAlign w:val="bottom"/>
          </w:tcPr>
          <w:p>
            <w:pPr>
              <w:spacing w:line="360" w:lineRule="auto"/>
              <w:jc w:val="center"/>
              <w:rPr>
                <w:rFonts w:hint="eastAsia" w:ascii="宋体" w:hAnsi="宋体" w:eastAsia="宋体" w:cs="宋体"/>
                <w:b/>
                <w:highlight w:val="none"/>
              </w:rPr>
            </w:pPr>
            <w:r>
              <w:rPr>
                <w:rFonts w:hint="eastAsia" w:ascii="宋体" w:hAnsi="宋体" w:eastAsia="宋体" w:cs="宋体"/>
                <w:b/>
                <w:highlight w:val="none"/>
              </w:rPr>
              <w:t>项目名称</w:t>
            </w:r>
          </w:p>
        </w:tc>
        <w:tc>
          <w:tcPr>
            <w:tcW w:w="1320" w:type="dxa"/>
            <w:vAlign w:val="bottom"/>
          </w:tcPr>
          <w:p>
            <w:pPr>
              <w:spacing w:line="360" w:lineRule="auto"/>
              <w:jc w:val="center"/>
              <w:rPr>
                <w:rFonts w:hint="eastAsia" w:ascii="宋体" w:hAnsi="宋体" w:eastAsia="宋体" w:cs="宋体"/>
                <w:b/>
                <w:highlight w:val="none"/>
              </w:rPr>
            </w:pPr>
            <w:r>
              <w:rPr>
                <w:rFonts w:hint="eastAsia" w:ascii="宋体" w:hAnsi="宋体" w:eastAsia="宋体" w:cs="宋体"/>
                <w:b/>
                <w:highlight w:val="none"/>
              </w:rPr>
              <w:t>用户名称</w:t>
            </w:r>
          </w:p>
        </w:tc>
        <w:tc>
          <w:tcPr>
            <w:tcW w:w="1161" w:type="dxa"/>
            <w:vAlign w:val="bottom"/>
          </w:tcPr>
          <w:p>
            <w:pPr>
              <w:spacing w:line="360" w:lineRule="auto"/>
              <w:jc w:val="center"/>
              <w:rPr>
                <w:rFonts w:hint="eastAsia" w:ascii="宋体" w:hAnsi="宋体" w:eastAsia="宋体" w:cs="宋体"/>
                <w:b/>
                <w:highlight w:val="none"/>
              </w:rPr>
            </w:pPr>
            <w:r>
              <w:rPr>
                <w:rFonts w:hint="eastAsia" w:ascii="宋体" w:hAnsi="宋体" w:eastAsia="宋体" w:cs="宋体"/>
                <w:b/>
                <w:highlight w:val="none"/>
              </w:rPr>
              <w:t>完成时间</w:t>
            </w:r>
          </w:p>
        </w:tc>
        <w:tc>
          <w:tcPr>
            <w:tcW w:w="1260" w:type="dxa"/>
            <w:vAlign w:val="bottom"/>
          </w:tcPr>
          <w:p>
            <w:pPr>
              <w:spacing w:line="360" w:lineRule="auto"/>
              <w:ind w:firstLine="105" w:firstLineChars="50"/>
              <w:jc w:val="center"/>
              <w:rPr>
                <w:rFonts w:hint="eastAsia" w:ascii="宋体" w:hAnsi="宋体" w:eastAsia="宋体" w:cs="宋体"/>
                <w:b/>
                <w:highlight w:val="none"/>
              </w:rPr>
            </w:pPr>
            <w:r>
              <w:rPr>
                <w:rFonts w:hint="eastAsia" w:ascii="宋体" w:hAnsi="宋体" w:eastAsia="宋体" w:cs="宋体"/>
                <w:b/>
                <w:highlight w:val="none"/>
              </w:rPr>
              <w:t>合同金额</w:t>
            </w:r>
          </w:p>
        </w:tc>
        <w:tc>
          <w:tcPr>
            <w:tcW w:w="1374" w:type="dxa"/>
            <w:gridSpan w:val="3"/>
            <w:tcBorders>
              <w:right w:val="single" w:color="auto" w:sz="4" w:space="0"/>
            </w:tcBorders>
            <w:vAlign w:val="bottom"/>
          </w:tcPr>
          <w:p>
            <w:pPr>
              <w:spacing w:line="360" w:lineRule="auto"/>
              <w:jc w:val="center"/>
              <w:rPr>
                <w:rFonts w:hint="eastAsia" w:ascii="宋体" w:hAnsi="宋体" w:eastAsia="宋体" w:cs="宋体"/>
                <w:b/>
                <w:highlight w:val="none"/>
              </w:rPr>
            </w:pPr>
            <w:r>
              <w:rPr>
                <w:rFonts w:hint="eastAsia" w:ascii="宋体" w:hAnsi="宋体" w:eastAsia="宋体" w:cs="宋体"/>
                <w:b/>
                <w:highlight w:val="none"/>
              </w:rPr>
              <w:t>完成项目质量</w:t>
            </w:r>
          </w:p>
        </w:tc>
        <w:tc>
          <w:tcPr>
            <w:tcW w:w="1609" w:type="dxa"/>
            <w:tcBorders>
              <w:left w:val="single" w:color="auto" w:sz="4" w:space="0"/>
            </w:tcBorders>
            <w:vAlign w:val="bottom"/>
          </w:tcPr>
          <w:p>
            <w:pPr>
              <w:spacing w:line="360" w:lineRule="auto"/>
              <w:jc w:val="center"/>
              <w:rPr>
                <w:rFonts w:hint="eastAsia" w:ascii="宋体" w:hAnsi="宋体" w:eastAsia="宋体" w:cs="宋体"/>
                <w:b/>
                <w:highlight w:val="none"/>
              </w:rPr>
            </w:pPr>
            <w:r>
              <w:rPr>
                <w:rFonts w:hint="eastAsia" w:ascii="宋体" w:hAnsi="宋体" w:eastAsia="宋体" w:cs="宋体"/>
                <w:b/>
                <w:highlight w:val="none"/>
              </w:rPr>
              <w:t>用户联系电话</w:t>
            </w:r>
          </w:p>
        </w:tc>
        <w:tc>
          <w:tcPr>
            <w:tcW w:w="1001" w:type="dxa"/>
            <w:tcBorders>
              <w:left w:val="single" w:color="auto" w:sz="4" w:space="0"/>
            </w:tcBorders>
            <w:vAlign w:val="bottom"/>
          </w:tcPr>
          <w:p>
            <w:pPr>
              <w:spacing w:line="360" w:lineRule="auto"/>
              <w:ind w:firstLine="103" w:firstLineChars="49"/>
              <w:jc w:val="center"/>
              <w:rPr>
                <w:rFonts w:hint="eastAsia" w:ascii="宋体" w:hAnsi="宋体" w:eastAsia="宋体" w:cs="宋体"/>
                <w:b/>
                <w:highlight w:val="none"/>
              </w:rPr>
            </w:pPr>
            <w:r>
              <w:rPr>
                <w:rFonts w:hint="eastAsia" w:ascii="宋体" w:hAnsi="宋体" w:eastAsia="宋体" w:cs="宋体"/>
                <w:b/>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hint="eastAsia" w:ascii="宋体" w:hAnsi="宋体" w:eastAsia="宋体" w:cs="宋体"/>
                <w:highlight w:val="none"/>
              </w:rPr>
            </w:pPr>
          </w:p>
        </w:tc>
        <w:tc>
          <w:tcPr>
            <w:tcW w:w="1440" w:type="dxa"/>
            <w:vAlign w:val="center"/>
          </w:tcPr>
          <w:p>
            <w:pPr>
              <w:spacing w:line="360" w:lineRule="auto"/>
              <w:jc w:val="center"/>
              <w:rPr>
                <w:rFonts w:hint="eastAsia" w:ascii="宋体" w:hAnsi="宋体" w:eastAsia="宋体" w:cs="宋体"/>
                <w:highlight w:val="none"/>
              </w:rPr>
            </w:pPr>
          </w:p>
        </w:tc>
        <w:tc>
          <w:tcPr>
            <w:tcW w:w="1320" w:type="dxa"/>
            <w:vAlign w:val="center"/>
          </w:tcPr>
          <w:p>
            <w:pPr>
              <w:spacing w:line="360" w:lineRule="auto"/>
              <w:jc w:val="center"/>
              <w:rPr>
                <w:rFonts w:hint="eastAsia" w:ascii="宋体" w:hAnsi="宋体" w:eastAsia="宋体" w:cs="宋体"/>
                <w:highlight w:val="none"/>
              </w:rPr>
            </w:pPr>
          </w:p>
        </w:tc>
        <w:tc>
          <w:tcPr>
            <w:tcW w:w="1161" w:type="dxa"/>
            <w:vAlign w:val="center"/>
          </w:tcPr>
          <w:p>
            <w:pPr>
              <w:spacing w:line="360" w:lineRule="auto"/>
              <w:jc w:val="center"/>
              <w:rPr>
                <w:rFonts w:hint="eastAsia" w:ascii="宋体" w:hAnsi="宋体" w:eastAsia="宋体" w:cs="宋体"/>
                <w:highlight w:val="none"/>
              </w:rPr>
            </w:pPr>
          </w:p>
        </w:tc>
        <w:tc>
          <w:tcPr>
            <w:tcW w:w="1260" w:type="dxa"/>
            <w:vAlign w:val="center"/>
          </w:tcPr>
          <w:p>
            <w:pPr>
              <w:spacing w:line="360" w:lineRule="auto"/>
              <w:jc w:val="center"/>
              <w:rPr>
                <w:rFonts w:hint="eastAsia" w:ascii="宋体" w:hAnsi="宋体" w:eastAsia="宋体" w:cs="宋体"/>
                <w:highlight w:val="none"/>
              </w:rPr>
            </w:pPr>
          </w:p>
        </w:tc>
        <w:tc>
          <w:tcPr>
            <w:tcW w:w="1374" w:type="dxa"/>
            <w:gridSpan w:val="3"/>
            <w:tcBorders>
              <w:right w:val="single" w:color="auto" w:sz="4" w:space="0"/>
            </w:tcBorders>
            <w:vAlign w:val="center"/>
          </w:tcPr>
          <w:p>
            <w:pPr>
              <w:spacing w:line="360" w:lineRule="auto"/>
              <w:jc w:val="center"/>
              <w:rPr>
                <w:rFonts w:hint="eastAsia" w:ascii="宋体" w:hAnsi="宋体" w:eastAsia="宋体" w:cs="宋体"/>
                <w:highlight w:val="none"/>
              </w:rPr>
            </w:pPr>
          </w:p>
        </w:tc>
        <w:tc>
          <w:tcPr>
            <w:tcW w:w="1609" w:type="dxa"/>
            <w:tcBorders>
              <w:left w:val="single" w:color="auto" w:sz="4" w:space="0"/>
            </w:tcBorders>
            <w:vAlign w:val="center"/>
          </w:tcPr>
          <w:p>
            <w:pPr>
              <w:spacing w:line="360" w:lineRule="auto"/>
              <w:jc w:val="center"/>
              <w:rPr>
                <w:rFonts w:hint="eastAsia" w:ascii="宋体" w:hAnsi="宋体" w:eastAsia="宋体" w:cs="宋体"/>
                <w:highlight w:val="none"/>
              </w:rPr>
            </w:pPr>
          </w:p>
        </w:tc>
        <w:tc>
          <w:tcPr>
            <w:tcW w:w="1001" w:type="dxa"/>
            <w:tcBorders>
              <w:left w:val="single" w:color="auto" w:sz="4" w:space="0"/>
            </w:tcBorders>
          </w:tcPr>
          <w:p>
            <w:pPr>
              <w:spacing w:line="360" w:lineRule="auto"/>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hint="eastAsia" w:ascii="宋体" w:hAnsi="宋体" w:eastAsia="宋体" w:cs="宋体"/>
                <w:highlight w:val="none"/>
              </w:rPr>
            </w:pPr>
          </w:p>
        </w:tc>
        <w:tc>
          <w:tcPr>
            <w:tcW w:w="1440" w:type="dxa"/>
            <w:vAlign w:val="center"/>
          </w:tcPr>
          <w:p>
            <w:pPr>
              <w:spacing w:line="360" w:lineRule="auto"/>
              <w:jc w:val="center"/>
              <w:rPr>
                <w:rFonts w:hint="eastAsia" w:ascii="宋体" w:hAnsi="宋体" w:eastAsia="宋体" w:cs="宋体"/>
                <w:highlight w:val="none"/>
              </w:rPr>
            </w:pPr>
          </w:p>
        </w:tc>
        <w:tc>
          <w:tcPr>
            <w:tcW w:w="1320" w:type="dxa"/>
            <w:vAlign w:val="center"/>
          </w:tcPr>
          <w:p>
            <w:pPr>
              <w:spacing w:line="360" w:lineRule="auto"/>
              <w:jc w:val="center"/>
              <w:rPr>
                <w:rFonts w:hint="eastAsia" w:ascii="宋体" w:hAnsi="宋体" w:eastAsia="宋体" w:cs="宋体"/>
                <w:highlight w:val="none"/>
              </w:rPr>
            </w:pPr>
          </w:p>
        </w:tc>
        <w:tc>
          <w:tcPr>
            <w:tcW w:w="1161" w:type="dxa"/>
            <w:vAlign w:val="center"/>
          </w:tcPr>
          <w:p>
            <w:pPr>
              <w:spacing w:line="360" w:lineRule="auto"/>
              <w:jc w:val="center"/>
              <w:rPr>
                <w:rFonts w:hint="eastAsia" w:ascii="宋体" w:hAnsi="宋体" w:eastAsia="宋体" w:cs="宋体"/>
                <w:highlight w:val="none"/>
              </w:rPr>
            </w:pPr>
          </w:p>
        </w:tc>
        <w:tc>
          <w:tcPr>
            <w:tcW w:w="1260" w:type="dxa"/>
            <w:vAlign w:val="center"/>
          </w:tcPr>
          <w:p>
            <w:pPr>
              <w:spacing w:line="360" w:lineRule="auto"/>
              <w:jc w:val="center"/>
              <w:rPr>
                <w:rFonts w:hint="eastAsia" w:ascii="宋体" w:hAnsi="宋体" w:eastAsia="宋体" w:cs="宋体"/>
                <w:highlight w:val="none"/>
              </w:rPr>
            </w:pPr>
          </w:p>
        </w:tc>
        <w:tc>
          <w:tcPr>
            <w:tcW w:w="1374" w:type="dxa"/>
            <w:gridSpan w:val="3"/>
            <w:tcBorders>
              <w:right w:val="single" w:color="auto" w:sz="4" w:space="0"/>
            </w:tcBorders>
            <w:vAlign w:val="center"/>
          </w:tcPr>
          <w:p>
            <w:pPr>
              <w:spacing w:line="360" w:lineRule="auto"/>
              <w:jc w:val="center"/>
              <w:rPr>
                <w:rFonts w:hint="eastAsia" w:ascii="宋体" w:hAnsi="宋体" w:eastAsia="宋体" w:cs="宋体"/>
                <w:highlight w:val="none"/>
              </w:rPr>
            </w:pPr>
          </w:p>
        </w:tc>
        <w:tc>
          <w:tcPr>
            <w:tcW w:w="1609" w:type="dxa"/>
            <w:tcBorders>
              <w:left w:val="single" w:color="auto" w:sz="4" w:space="0"/>
            </w:tcBorders>
            <w:vAlign w:val="center"/>
          </w:tcPr>
          <w:p>
            <w:pPr>
              <w:spacing w:line="360" w:lineRule="auto"/>
              <w:jc w:val="center"/>
              <w:rPr>
                <w:rFonts w:hint="eastAsia" w:ascii="宋体" w:hAnsi="宋体" w:eastAsia="宋体" w:cs="宋体"/>
                <w:highlight w:val="none"/>
              </w:rPr>
            </w:pPr>
          </w:p>
        </w:tc>
        <w:tc>
          <w:tcPr>
            <w:tcW w:w="1001" w:type="dxa"/>
            <w:tcBorders>
              <w:left w:val="single" w:color="auto" w:sz="4" w:space="0"/>
            </w:tcBorders>
          </w:tcPr>
          <w:p>
            <w:pPr>
              <w:spacing w:line="360" w:lineRule="auto"/>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hint="eastAsia" w:ascii="宋体" w:hAnsi="宋体" w:eastAsia="宋体" w:cs="宋体"/>
                <w:highlight w:val="none"/>
              </w:rPr>
            </w:pPr>
          </w:p>
        </w:tc>
        <w:tc>
          <w:tcPr>
            <w:tcW w:w="1440" w:type="dxa"/>
            <w:vAlign w:val="center"/>
          </w:tcPr>
          <w:p>
            <w:pPr>
              <w:spacing w:line="360" w:lineRule="auto"/>
              <w:jc w:val="center"/>
              <w:rPr>
                <w:rFonts w:hint="eastAsia" w:ascii="宋体" w:hAnsi="宋体" w:eastAsia="宋体" w:cs="宋体"/>
                <w:highlight w:val="none"/>
              </w:rPr>
            </w:pPr>
          </w:p>
        </w:tc>
        <w:tc>
          <w:tcPr>
            <w:tcW w:w="1320" w:type="dxa"/>
            <w:vAlign w:val="center"/>
          </w:tcPr>
          <w:p>
            <w:pPr>
              <w:spacing w:line="360" w:lineRule="auto"/>
              <w:jc w:val="center"/>
              <w:rPr>
                <w:rFonts w:hint="eastAsia" w:ascii="宋体" w:hAnsi="宋体" w:eastAsia="宋体" w:cs="宋体"/>
                <w:highlight w:val="none"/>
              </w:rPr>
            </w:pPr>
          </w:p>
        </w:tc>
        <w:tc>
          <w:tcPr>
            <w:tcW w:w="1161" w:type="dxa"/>
            <w:vAlign w:val="center"/>
          </w:tcPr>
          <w:p>
            <w:pPr>
              <w:spacing w:line="360" w:lineRule="auto"/>
              <w:jc w:val="center"/>
              <w:rPr>
                <w:rFonts w:hint="eastAsia" w:ascii="宋体" w:hAnsi="宋体" w:eastAsia="宋体" w:cs="宋体"/>
                <w:highlight w:val="none"/>
              </w:rPr>
            </w:pPr>
          </w:p>
        </w:tc>
        <w:tc>
          <w:tcPr>
            <w:tcW w:w="1260" w:type="dxa"/>
            <w:vAlign w:val="center"/>
          </w:tcPr>
          <w:p>
            <w:pPr>
              <w:spacing w:line="360" w:lineRule="auto"/>
              <w:jc w:val="center"/>
              <w:rPr>
                <w:rFonts w:hint="eastAsia" w:ascii="宋体" w:hAnsi="宋体" w:eastAsia="宋体" w:cs="宋体"/>
                <w:highlight w:val="none"/>
              </w:rPr>
            </w:pPr>
          </w:p>
        </w:tc>
        <w:tc>
          <w:tcPr>
            <w:tcW w:w="1374" w:type="dxa"/>
            <w:gridSpan w:val="3"/>
            <w:tcBorders>
              <w:right w:val="single" w:color="auto" w:sz="4" w:space="0"/>
            </w:tcBorders>
            <w:vAlign w:val="center"/>
          </w:tcPr>
          <w:p>
            <w:pPr>
              <w:spacing w:line="360" w:lineRule="auto"/>
              <w:jc w:val="center"/>
              <w:rPr>
                <w:rFonts w:hint="eastAsia" w:ascii="宋体" w:hAnsi="宋体" w:eastAsia="宋体" w:cs="宋体"/>
                <w:highlight w:val="none"/>
              </w:rPr>
            </w:pPr>
          </w:p>
        </w:tc>
        <w:tc>
          <w:tcPr>
            <w:tcW w:w="1609" w:type="dxa"/>
            <w:tcBorders>
              <w:left w:val="single" w:color="auto" w:sz="4" w:space="0"/>
            </w:tcBorders>
            <w:vAlign w:val="center"/>
          </w:tcPr>
          <w:p>
            <w:pPr>
              <w:spacing w:line="360" w:lineRule="auto"/>
              <w:jc w:val="center"/>
              <w:rPr>
                <w:rFonts w:hint="eastAsia" w:ascii="宋体" w:hAnsi="宋体" w:eastAsia="宋体" w:cs="宋体"/>
                <w:highlight w:val="none"/>
              </w:rPr>
            </w:pPr>
          </w:p>
        </w:tc>
        <w:tc>
          <w:tcPr>
            <w:tcW w:w="1001" w:type="dxa"/>
            <w:tcBorders>
              <w:left w:val="single" w:color="auto" w:sz="4" w:space="0"/>
            </w:tcBorders>
          </w:tcPr>
          <w:p>
            <w:pPr>
              <w:spacing w:line="360" w:lineRule="auto"/>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hint="eastAsia" w:ascii="宋体" w:hAnsi="宋体" w:eastAsia="宋体" w:cs="宋体"/>
                <w:highlight w:val="none"/>
              </w:rPr>
            </w:pPr>
          </w:p>
        </w:tc>
        <w:tc>
          <w:tcPr>
            <w:tcW w:w="1440" w:type="dxa"/>
            <w:tcBorders>
              <w:right w:val="single" w:color="auto" w:sz="4" w:space="0"/>
            </w:tcBorders>
            <w:vAlign w:val="center"/>
          </w:tcPr>
          <w:p>
            <w:pPr>
              <w:spacing w:line="360" w:lineRule="auto"/>
              <w:jc w:val="center"/>
              <w:rPr>
                <w:rFonts w:hint="eastAsia" w:ascii="宋体" w:hAnsi="宋体" w:eastAsia="宋体" w:cs="宋体"/>
                <w:highlight w:val="none"/>
              </w:rPr>
            </w:pPr>
          </w:p>
        </w:tc>
        <w:tc>
          <w:tcPr>
            <w:tcW w:w="1320" w:type="dxa"/>
            <w:tcBorders>
              <w:left w:val="single" w:color="auto" w:sz="4" w:space="0"/>
            </w:tcBorders>
            <w:vAlign w:val="center"/>
          </w:tcPr>
          <w:p>
            <w:pPr>
              <w:spacing w:line="360" w:lineRule="auto"/>
              <w:jc w:val="center"/>
              <w:rPr>
                <w:rFonts w:hint="eastAsia" w:ascii="宋体" w:hAnsi="宋体" w:eastAsia="宋体" w:cs="宋体"/>
                <w:highlight w:val="none"/>
              </w:rPr>
            </w:pPr>
          </w:p>
        </w:tc>
        <w:tc>
          <w:tcPr>
            <w:tcW w:w="1161" w:type="dxa"/>
            <w:vAlign w:val="center"/>
          </w:tcPr>
          <w:p>
            <w:pPr>
              <w:spacing w:line="360" w:lineRule="auto"/>
              <w:jc w:val="center"/>
              <w:rPr>
                <w:rFonts w:hint="eastAsia" w:ascii="宋体" w:hAnsi="宋体" w:eastAsia="宋体" w:cs="宋体"/>
                <w:highlight w:val="none"/>
              </w:rPr>
            </w:pPr>
          </w:p>
        </w:tc>
        <w:tc>
          <w:tcPr>
            <w:tcW w:w="1260" w:type="dxa"/>
            <w:vAlign w:val="center"/>
          </w:tcPr>
          <w:p>
            <w:pPr>
              <w:spacing w:line="360" w:lineRule="auto"/>
              <w:jc w:val="center"/>
              <w:rPr>
                <w:rFonts w:hint="eastAsia" w:ascii="宋体" w:hAnsi="宋体" w:eastAsia="宋体" w:cs="宋体"/>
                <w:highlight w:val="none"/>
              </w:rPr>
            </w:pPr>
          </w:p>
        </w:tc>
        <w:tc>
          <w:tcPr>
            <w:tcW w:w="1374" w:type="dxa"/>
            <w:gridSpan w:val="3"/>
            <w:tcBorders>
              <w:right w:val="single" w:color="auto" w:sz="4" w:space="0"/>
            </w:tcBorders>
            <w:vAlign w:val="center"/>
          </w:tcPr>
          <w:p>
            <w:pPr>
              <w:spacing w:line="360" w:lineRule="auto"/>
              <w:jc w:val="center"/>
              <w:rPr>
                <w:rFonts w:hint="eastAsia" w:ascii="宋体" w:hAnsi="宋体" w:eastAsia="宋体" w:cs="宋体"/>
                <w:highlight w:val="none"/>
              </w:rPr>
            </w:pPr>
          </w:p>
        </w:tc>
        <w:tc>
          <w:tcPr>
            <w:tcW w:w="1609" w:type="dxa"/>
            <w:tcBorders>
              <w:left w:val="single" w:color="auto" w:sz="4" w:space="0"/>
            </w:tcBorders>
            <w:vAlign w:val="center"/>
          </w:tcPr>
          <w:p>
            <w:pPr>
              <w:spacing w:line="360" w:lineRule="auto"/>
              <w:jc w:val="center"/>
              <w:rPr>
                <w:rFonts w:hint="eastAsia" w:ascii="宋体" w:hAnsi="宋体" w:eastAsia="宋体" w:cs="宋体"/>
                <w:highlight w:val="none"/>
              </w:rPr>
            </w:pPr>
          </w:p>
        </w:tc>
        <w:tc>
          <w:tcPr>
            <w:tcW w:w="1001" w:type="dxa"/>
            <w:tcBorders>
              <w:left w:val="single" w:color="auto" w:sz="4" w:space="0"/>
            </w:tcBorders>
          </w:tcPr>
          <w:p>
            <w:pPr>
              <w:spacing w:line="360" w:lineRule="auto"/>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right w:val="single" w:color="auto" w:sz="4" w:space="0"/>
            </w:tcBorders>
            <w:vAlign w:val="center"/>
          </w:tcPr>
          <w:p>
            <w:pPr>
              <w:spacing w:line="360" w:lineRule="auto"/>
              <w:rPr>
                <w:rFonts w:hint="eastAsia" w:ascii="宋体" w:hAnsi="宋体" w:eastAsia="宋体" w:cs="宋体"/>
                <w:highlight w:val="none"/>
              </w:rPr>
            </w:pPr>
          </w:p>
        </w:tc>
        <w:tc>
          <w:tcPr>
            <w:tcW w:w="1440" w:type="dxa"/>
            <w:tcBorders>
              <w:left w:val="single" w:color="auto" w:sz="4" w:space="0"/>
              <w:right w:val="single" w:color="auto" w:sz="4" w:space="0"/>
            </w:tcBorders>
            <w:vAlign w:val="center"/>
          </w:tcPr>
          <w:p>
            <w:pPr>
              <w:spacing w:line="360" w:lineRule="auto"/>
              <w:rPr>
                <w:rFonts w:hint="eastAsia" w:ascii="宋体" w:hAnsi="宋体" w:eastAsia="宋体" w:cs="宋体"/>
                <w:highlight w:val="none"/>
              </w:rPr>
            </w:pPr>
          </w:p>
        </w:tc>
        <w:tc>
          <w:tcPr>
            <w:tcW w:w="1320" w:type="dxa"/>
            <w:tcBorders>
              <w:left w:val="single" w:color="auto" w:sz="4" w:space="0"/>
              <w:right w:val="single" w:color="auto" w:sz="4" w:space="0"/>
            </w:tcBorders>
            <w:vAlign w:val="center"/>
          </w:tcPr>
          <w:p>
            <w:pPr>
              <w:spacing w:line="360" w:lineRule="auto"/>
              <w:rPr>
                <w:rFonts w:hint="eastAsia" w:ascii="宋体" w:hAnsi="宋体" w:eastAsia="宋体" w:cs="宋体"/>
                <w:highlight w:val="none"/>
              </w:rPr>
            </w:pPr>
          </w:p>
        </w:tc>
        <w:tc>
          <w:tcPr>
            <w:tcW w:w="1161" w:type="dxa"/>
            <w:tcBorders>
              <w:left w:val="single" w:color="auto" w:sz="4" w:space="0"/>
              <w:right w:val="single" w:color="auto" w:sz="4" w:space="0"/>
            </w:tcBorders>
            <w:vAlign w:val="center"/>
          </w:tcPr>
          <w:p>
            <w:pPr>
              <w:spacing w:line="360" w:lineRule="auto"/>
              <w:rPr>
                <w:rFonts w:hint="eastAsia" w:ascii="宋体" w:hAnsi="宋体" w:eastAsia="宋体" w:cs="宋体"/>
                <w:highlight w:val="none"/>
              </w:rPr>
            </w:pPr>
          </w:p>
        </w:tc>
        <w:tc>
          <w:tcPr>
            <w:tcW w:w="1269" w:type="dxa"/>
            <w:gridSpan w:val="2"/>
            <w:tcBorders>
              <w:left w:val="single" w:color="auto" w:sz="4" w:space="0"/>
              <w:right w:val="single" w:color="auto" w:sz="4" w:space="0"/>
            </w:tcBorders>
            <w:vAlign w:val="center"/>
          </w:tcPr>
          <w:p>
            <w:pPr>
              <w:spacing w:line="360" w:lineRule="auto"/>
              <w:rPr>
                <w:rFonts w:hint="eastAsia" w:ascii="宋体" w:hAnsi="宋体" w:eastAsia="宋体" w:cs="宋体"/>
                <w:highlight w:val="none"/>
              </w:rPr>
            </w:pPr>
          </w:p>
        </w:tc>
        <w:tc>
          <w:tcPr>
            <w:tcW w:w="1365" w:type="dxa"/>
            <w:gridSpan w:val="2"/>
            <w:tcBorders>
              <w:left w:val="single" w:color="auto" w:sz="4" w:space="0"/>
              <w:right w:val="single" w:color="auto" w:sz="4" w:space="0"/>
            </w:tcBorders>
            <w:vAlign w:val="center"/>
          </w:tcPr>
          <w:p>
            <w:pPr>
              <w:spacing w:line="360" w:lineRule="auto"/>
              <w:rPr>
                <w:rFonts w:hint="eastAsia" w:ascii="宋体" w:hAnsi="宋体" w:eastAsia="宋体" w:cs="宋体"/>
                <w:highlight w:val="none"/>
              </w:rPr>
            </w:pPr>
          </w:p>
        </w:tc>
        <w:tc>
          <w:tcPr>
            <w:tcW w:w="1609" w:type="dxa"/>
            <w:tcBorders>
              <w:left w:val="single" w:color="auto" w:sz="4" w:space="0"/>
            </w:tcBorders>
            <w:vAlign w:val="center"/>
          </w:tcPr>
          <w:p>
            <w:pPr>
              <w:spacing w:line="360" w:lineRule="auto"/>
              <w:rPr>
                <w:rFonts w:hint="eastAsia" w:ascii="宋体" w:hAnsi="宋体" w:eastAsia="宋体" w:cs="宋体"/>
                <w:highlight w:val="none"/>
              </w:rPr>
            </w:pPr>
          </w:p>
        </w:tc>
        <w:tc>
          <w:tcPr>
            <w:tcW w:w="1001" w:type="dxa"/>
            <w:tcBorders>
              <w:left w:val="single" w:color="auto" w:sz="4" w:space="0"/>
            </w:tcBorders>
          </w:tcPr>
          <w:p>
            <w:pPr>
              <w:spacing w:line="360" w:lineRule="auto"/>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rPr>
                <w:rFonts w:hint="eastAsia" w:ascii="宋体" w:hAnsi="宋体" w:eastAsia="宋体" w:cs="宋体"/>
                <w:highlight w:val="none"/>
              </w:rPr>
            </w:pPr>
          </w:p>
        </w:tc>
        <w:tc>
          <w:tcPr>
            <w:tcW w:w="1440" w:type="dxa"/>
            <w:vAlign w:val="center"/>
          </w:tcPr>
          <w:p>
            <w:pPr>
              <w:spacing w:line="360" w:lineRule="auto"/>
              <w:rPr>
                <w:rFonts w:hint="eastAsia" w:ascii="宋体" w:hAnsi="宋体" w:eastAsia="宋体" w:cs="宋体"/>
                <w:highlight w:val="none"/>
              </w:rPr>
            </w:pPr>
          </w:p>
        </w:tc>
        <w:tc>
          <w:tcPr>
            <w:tcW w:w="1320" w:type="dxa"/>
            <w:vAlign w:val="center"/>
          </w:tcPr>
          <w:p>
            <w:pPr>
              <w:spacing w:line="360" w:lineRule="auto"/>
              <w:rPr>
                <w:rFonts w:hint="eastAsia" w:ascii="宋体" w:hAnsi="宋体" w:eastAsia="宋体" w:cs="宋体"/>
                <w:highlight w:val="none"/>
              </w:rPr>
            </w:pPr>
          </w:p>
        </w:tc>
        <w:tc>
          <w:tcPr>
            <w:tcW w:w="1161" w:type="dxa"/>
            <w:vAlign w:val="center"/>
          </w:tcPr>
          <w:p>
            <w:pPr>
              <w:spacing w:line="360" w:lineRule="auto"/>
              <w:rPr>
                <w:rFonts w:hint="eastAsia" w:ascii="宋体" w:hAnsi="宋体" w:eastAsia="宋体" w:cs="宋体"/>
                <w:highlight w:val="none"/>
              </w:rPr>
            </w:pPr>
          </w:p>
        </w:tc>
        <w:tc>
          <w:tcPr>
            <w:tcW w:w="1269" w:type="dxa"/>
            <w:gridSpan w:val="2"/>
            <w:tcBorders>
              <w:right w:val="single" w:color="auto" w:sz="4" w:space="0"/>
            </w:tcBorders>
            <w:vAlign w:val="center"/>
          </w:tcPr>
          <w:p>
            <w:pPr>
              <w:spacing w:line="360" w:lineRule="auto"/>
              <w:rPr>
                <w:rFonts w:hint="eastAsia" w:ascii="宋体" w:hAnsi="宋体" w:eastAsia="宋体" w:cs="宋体"/>
                <w:highlight w:val="none"/>
              </w:rPr>
            </w:pPr>
          </w:p>
        </w:tc>
        <w:tc>
          <w:tcPr>
            <w:tcW w:w="1356" w:type="dxa"/>
            <w:tcBorders>
              <w:left w:val="single" w:color="auto" w:sz="4" w:space="0"/>
              <w:right w:val="single" w:color="auto" w:sz="4" w:space="0"/>
            </w:tcBorders>
            <w:vAlign w:val="center"/>
          </w:tcPr>
          <w:p>
            <w:pPr>
              <w:spacing w:line="360" w:lineRule="auto"/>
              <w:rPr>
                <w:rFonts w:hint="eastAsia" w:ascii="宋体" w:hAnsi="宋体" w:eastAsia="宋体" w:cs="宋体"/>
                <w:highlight w:val="none"/>
              </w:rPr>
            </w:pPr>
          </w:p>
        </w:tc>
        <w:tc>
          <w:tcPr>
            <w:tcW w:w="1618" w:type="dxa"/>
            <w:gridSpan w:val="2"/>
            <w:tcBorders>
              <w:left w:val="single" w:color="auto" w:sz="4" w:space="0"/>
            </w:tcBorders>
            <w:vAlign w:val="center"/>
          </w:tcPr>
          <w:p>
            <w:pPr>
              <w:spacing w:line="360" w:lineRule="auto"/>
              <w:rPr>
                <w:rFonts w:hint="eastAsia" w:ascii="宋体" w:hAnsi="宋体" w:eastAsia="宋体" w:cs="宋体"/>
                <w:highlight w:val="none"/>
              </w:rPr>
            </w:pPr>
          </w:p>
        </w:tc>
        <w:tc>
          <w:tcPr>
            <w:tcW w:w="1001" w:type="dxa"/>
            <w:tcBorders>
              <w:left w:val="single" w:color="auto" w:sz="4" w:space="0"/>
            </w:tcBorders>
          </w:tcPr>
          <w:p>
            <w:pPr>
              <w:spacing w:line="360" w:lineRule="auto"/>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hint="eastAsia" w:ascii="宋体" w:hAnsi="宋体" w:eastAsia="宋体" w:cs="宋体"/>
                <w:highlight w:val="none"/>
              </w:rPr>
            </w:pPr>
          </w:p>
        </w:tc>
        <w:tc>
          <w:tcPr>
            <w:tcW w:w="1440" w:type="dxa"/>
            <w:vAlign w:val="center"/>
          </w:tcPr>
          <w:p>
            <w:pPr>
              <w:spacing w:line="360" w:lineRule="auto"/>
              <w:jc w:val="center"/>
              <w:rPr>
                <w:rFonts w:hint="eastAsia" w:ascii="宋体" w:hAnsi="宋体" w:eastAsia="宋体" w:cs="宋体"/>
                <w:highlight w:val="none"/>
              </w:rPr>
            </w:pPr>
          </w:p>
        </w:tc>
        <w:tc>
          <w:tcPr>
            <w:tcW w:w="1320" w:type="dxa"/>
            <w:vAlign w:val="center"/>
          </w:tcPr>
          <w:p>
            <w:pPr>
              <w:spacing w:line="360" w:lineRule="auto"/>
              <w:jc w:val="center"/>
              <w:rPr>
                <w:rFonts w:hint="eastAsia" w:ascii="宋体" w:hAnsi="宋体" w:eastAsia="宋体" w:cs="宋体"/>
                <w:highlight w:val="none"/>
              </w:rPr>
            </w:pPr>
          </w:p>
        </w:tc>
        <w:tc>
          <w:tcPr>
            <w:tcW w:w="1161" w:type="dxa"/>
            <w:vAlign w:val="center"/>
          </w:tcPr>
          <w:p>
            <w:pPr>
              <w:spacing w:line="360" w:lineRule="auto"/>
              <w:jc w:val="center"/>
              <w:rPr>
                <w:rFonts w:hint="eastAsia" w:ascii="宋体" w:hAnsi="宋体" w:eastAsia="宋体" w:cs="宋体"/>
                <w:highlight w:val="none"/>
              </w:rPr>
            </w:pPr>
          </w:p>
        </w:tc>
        <w:tc>
          <w:tcPr>
            <w:tcW w:w="1269" w:type="dxa"/>
            <w:gridSpan w:val="2"/>
            <w:tcBorders>
              <w:right w:val="single" w:color="auto" w:sz="4" w:space="0"/>
            </w:tcBorders>
            <w:vAlign w:val="center"/>
          </w:tcPr>
          <w:p>
            <w:pPr>
              <w:spacing w:line="360" w:lineRule="auto"/>
              <w:jc w:val="center"/>
              <w:rPr>
                <w:rFonts w:hint="eastAsia" w:ascii="宋体" w:hAnsi="宋体" w:eastAsia="宋体" w:cs="宋体"/>
                <w:highlight w:val="none"/>
              </w:rPr>
            </w:pPr>
          </w:p>
        </w:tc>
        <w:tc>
          <w:tcPr>
            <w:tcW w:w="1356" w:type="dxa"/>
            <w:tcBorders>
              <w:left w:val="single" w:color="auto" w:sz="4" w:space="0"/>
              <w:right w:val="single" w:color="auto" w:sz="4" w:space="0"/>
            </w:tcBorders>
            <w:vAlign w:val="center"/>
          </w:tcPr>
          <w:p>
            <w:pPr>
              <w:spacing w:line="360" w:lineRule="auto"/>
              <w:jc w:val="center"/>
              <w:rPr>
                <w:rFonts w:hint="eastAsia" w:ascii="宋体" w:hAnsi="宋体" w:eastAsia="宋体" w:cs="宋体"/>
                <w:highlight w:val="none"/>
              </w:rPr>
            </w:pPr>
          </w:p>
        </w:tc>
        <w:tc>
          <w:tcPr>
            <w:tcW w:w="1618" w:type="dxa"/>
            <w:gridSpan w:val="2"/>
            <w:tcBorders>
              <w:left w:val="single" w:color="auto" w:sz="4" w:space="0"/>
            </w:tcBorders>
            <w:vAlign w:val="center"/>
          </w:tcPr>
          <w:p>
            <w:pPr>
              <w:spacing w:line="360" w:lineRule="auto"/>
              <w:jc w:val="center"/>
              <w:rPr>
                <w:rFonts w:hint="eastAsia" w:ascii="宋体" w:hAnsi="宋体" w:eastAsia="宋体" w:cs="宋体"/>
                <w:highlight w:val="none"/>
              </w:rPr>
            </w:pPr>
          </w:p>
        </w:tc>
        <w:tc>
          <w:tcPr>
            <w:tcW w:w="1001" w:type="dxa"/>
            <w:tcBorders>
              <w:left w:val="single" w:color="auto" w:sz="4" w:space="0"/>
            </w:tcBorders>
          </w:tcPr>
          <w:p>
            <w:pPr>
              <w:spacing w:line="360" w:lineRule="auto"/>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hint="eastAsia" w:ascii="宋体" w:hAnsi="宋体" w:eastAsia="宋体" w:cs="宋体"/>
                <w:highlight w:val="none"/>
              </w:rPr>
            </w:pPr>
          </w:p>
        </w:tc>
        <w:tc>
          <w:tcPr>
            <w:tcW w:w="1440" w:type="dxa"/>
            <w:vAlign w:val="center"/>
          </w:tcPr>
          <w:p>
            <w:pPr>
              <w:spacing w:line="360" w:lineRule="auto"/>
              <w:jc w:val="center"/>
              <w:rPr>
                <w:rFonts w:hint="eastAsia" w:ascii="宋体" w:hAnsi="宋体" w:eastAsia="宋体" w:cs="宋体"/>
                <w:highlight w:val="none"/>
              </w:rPr>
            </w:pPr>
          </w:p>
        </w:tc>
        <w:tc>
          <w:tcPr>
            <w:tcW w:w="1320" w:type="dxa"/>
            <w:vAlign w:val="center"/>
          </w:tcPr>
          <w:p>
            <w:pPr>
              <w:spacing w:line="360" w:lineRule="auto"/>
              <w:jc w:val="center"/>
              <w:rPr>
                <w:rFonts w:hint="eastAsia" w:ascii="宋体" w:hAnsi="宋体" w:eastAsia="宋体" w:cs="宋体"/>
                <w:highlight w:val="none"/>
              </w:rPr>
            </w:pPr>
          </w:p>
        </w:tc>
        <w:tc>
          <w:tcPr>
            <w:tcW w:w="1161" w:type="dxa"/>
            <w:vAlign w:val="center"/>
          </w:tcPr>
          <w:p>
            <w:pPr>
              <w:spacing w:line="360" w:lineRule="auto"/>
              <w:jc w:val="center"/>
              <w:rPr>
                <w:rFonts w:hint="eastAsia" w:ascii="宋体" w:hAnsi="宋体" w:eastAsia="宋体" w:cs="宋体"/>
                <w:highlight w:val="none"/>
              </w:rPr>
            </w:pPr>
          </w:p>
        </w:tc>
        <w:tc>
          <w:tcPr>
            <w:tcW w:w="1269" w:type="dxa"/>
            <w:gridSpan w:val="2"/>
            <w:tcBorders>
              <w:right w:val="single" w:color="auto" w:sz="4" w:space="0"/>
            </w:tcBorders>
            <w:vAlign w:val="center"/>
          </w:tcPr>
          <w:p>
            <w:pPr>
              <w:spacing w:line="360" w:lineRule="auto"/>
              <w:jc w:val="center"/>
              <w:rPr>
                <w:rFonts w:hint="eastAsia" w:ascii="宋体" w:hAnsi="宋体" w:eastAsia="宋体" w:cs="宋体"/>
                <w:highlight w:val="none"/>
              </w:rPr>
            </w:pPr>
          </w:p>
        </w:tc>
        <w:tc>
          <w:tcPr>
            <w:tcW w:w="1356" w:type="dxa"/>
            <w:tcBorders>
              <w:left w:val="single" w:color="auto" w:sz="4" w:space="0"/>
              <w:right w:val="single" w:color="auto" w:sz="4" w:space="0"/>
            </w:tcBorders>
            <w:vAlign w:val="center"/>
          </w:tcPr>
          <w:p>
            <w:pPr>
              <w:spacing w:line="360" w:lineRule="auto"/>
              <w:jc w:val="center"/>
              <w:rPr>
                <w:rFonts w:hint="eastAsia" w:ascii="宋体" w:hAnsi="宋体" w:eastAsia="宋体" w:cs="宋体"/>
                <w:highlight w:val="none"/>
              </w:rPr>
            </w:pPr>
          </w:p>
        </w:tc>
        <w:tc>
          <w:tcPr>
            <w:tcW w:w="1618" w:type="dxa"/>
            <w:gridSpan w:val="2"/>
            <w:tcBorders>
              <w:left w:val="single" w:color="auto" w:sz="4" w:space="0"/>
            </w:tcBorders>
            <w:vAlign w:val="center"/>
          </w:tcPr>
          <w:p>
            <w:pPr>
              <w:spacing w:line="360" w:lineRule="auto"/>
              <w:jc w:val="center"/>
              <w:rPr>
                <w:rFonts w:hint="eastAsia" w:ascii="宋体" w:hAnsi="宋体" w:eastAsia="宋体" w:cs="宋体"/>
                <w:highlight w:val="none"/>
              </w:rPr>
            </w:pPr>
          </w:p>
        </w:tc>
        <w:tc>
          <w:tcPr>
            <w:tcW w:w="1001" w:type="dxa"/>
            <w:tcBorders>
              <w:left w:val="single" w:color="auto" w:sz="4" w:space="0"/>
            </w:tcBorders>
          </w:tcPr>
          <w:p>
            <w:pPr>
              <w:spacing w:line="360" w:lineRule="auto"/>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bottom w:val="single" w:color="auto" w:sz="4" w:space="0"/>
            </w:tcBorders>
            <w:vAlign w:val="center"/>
          </w:tcPr>
          <w:p>
            <w:pPr>
              <w:spacing w:line="360" w:lineRule="auto"/>
              <w:jc w:val="center"/>
              <w:rPr>
                <w:rFonts w:hint="eastAsia" w:ascii="宋体" w:hAnsi="宋体" w:eastAsia="宋体" w:cs="宋体"/>
                <w:highlight w:val="none"/>
              </w:rPr>
            </w:pPr>
          </w:p>
        </w:tc>
        <w:tc>
          <w:tcPr>
            <w:tcW w:w="1440" w:type="dxa"/>
            <w:tcBorders>
              <w:bottom w:val="single" w:color="auto" w:sz="4" w:space="0"/>
            </w:tcBorders>
            <w:vAlign w:val="center"/>
          </w:tcPr>
          <w:p>
            <w:pPr>
              <w:spacing w:line="360" w:lineRule="auto"/>
              <w:jc w:val="center"/>
              <w:rPr>
                <w:rFonts w:hint="eastAsia" w:ascii="宋体" w:hAnsi="宋体" w:eastAsia="宋体" w:cs="宋体"/>
                <w:highlight w:val="none"/>
              </w:rPr>
            </w:pPr>
          </w:p>
        </w:tc>
        <w:tc>
          <w:tcPr>
            <w:tcW w:w="1320" w:type="dxa"/>
            <w:tcBorders>
              <w:bottom w:val="single" w:color="auto" w:sz="4" w:space="0"/>
            </w:tcBorders>
            <w:vAlign w:val="center"/>
          </w:tcPr>
          <w:p>
            <w:pPr>
              <w:spacing w:line="360" w:lineRule="auto"/>
              <w:jc w:val="center"/>
              <w:rPr>
                <w:rFonts w:hint="eastAsia" w:ascii="宋体" w:hAnsi="宋体" w:eastAsia="宋体" w:cs="宋体"/>
                <w:highlight w:val="none"/>
              </w:rPr>
            </w:pPr>
          </w:p>
        </w:tc>
        <w:tc>
          <w:tcPr>
            <w:tcW w:w="1161" w:type="dxa"/>
            <w:tcBorders>
              <w:bottom w:val="single" w:color="auto" w:sz="4" w:space="0"/>
            </w:tcBorders>
            <w:vAlign w:val="center"/>
          </w:tcPr>
          <w:p>
            <w:pPr>
              <w:spacing w:line="360" w:lineRule="auto"/>
              <w:jc w:val="center"/>
              <w:rPr>
                <w:rFonts w:hint="eastAsia" w:ascii="宋体" w:hAnsi="宋体" w:eastAsia="宋体" w:cs="宋体"/>
                <w:highlight w:val="none"/>
              </w:rPr>
            </w:pPr>
          </w:p>
        </w:tc>
        <w:tc>
          <w:tcPr>
            <w:tcW w:w="1269" w:type="dxa"/>
            <w:gridSpan w:val="2"/>
            <w:tcBorders>
              <w:bottom w:val="single" w:color="auto" w:sz="4" w:space="0"/>
              <w:right w:val="single" w:color="auto" w:sz="4" w:space="0"/>
            </w:tcBorders>
            <w:vAlign w:val="center"/>
          </w:tcPr>
          <w:p>
            <w:pPr>
              <w:spacing w:line="360" w:lineRule="auto"/>
              <w:jc w:val="center"/>
              <w:rPr>
                <w:rFonts w:hint="eastAsia" w:ascii="宋体" w:hAnsi="宋体" w:eastAsia="宋体" w:cs="宋体"/>
                <w:highlight w:val="none"/>
              </w:rPr>
            </w:pPr>
          </w:p>
        </w:tc>
        <w:tc>
          <w:tcPr>
            <w:tcW w:w="1356" w:type="dxa"/>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highlight w:val="none"/>
              </w:rPr>
            </w:pPr>
          </w:p>
        </w:tc>
        <w:tc>
          <w:tcPr>
            <w:tcW w:w="1618" w:type="dxa"/>
            <w:gridSpan w:val="2"/>
            <w:tcBorders>
              <w:left w:val="single" w:color="auto" w:sz="4" w:space="0"/>
              <w:bottom w:val="single" w:color="auto" w:sz="4" w:space="0"/>
            </w:tcBorders>
            <w:vAlign w:val="center"/>
          </w:tcPr>
          <w:p>
            <w:pPr>
              <w:spacing w:line="360" w:lineRule="auto"/>
              <w:jc w:val="center"/>
              <w:rPr>
                <w:rFonts w:hint="eastAsia" w:ascii="宋体" w:hAnsi="宋体" w:eastAsia="宋体" w:cs="宋体"/>
                <w:highlight w:val="none"/>
              </w:rPr>
            </w:pPr>
          </w:p>
        </w:tc>
        <w:tc>
          <w:tcPr>
            <w:tcW w:w="1001" w:type="dxa"/>
            <w:tcBorders>
              <w:left w:val="single" w:color="auto" w:sz="4" w:space="0"/>
              <w:bottom w:val="single" w:color="auto" w:sz="4" w:space="0"/>
            </w:tcBorders>
          </w:tcPr>
          <w:p>
            <w:pPr>
              <w:spacing w:line="360" w:lineRule="auto"/>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hint="eastAsia" w:ascii="宋体" w:hAnsi="宋体" w:eastAsia="宋体" w:cs="宋体"/>
                <w:highlight w:val="none"/>
              </w:rPr>
            </w:pPr>
          </w:p>
        </w:tc>
        <w:tc>
          <w:tcPr>
            <w:tcW w:w="1440" w:type="dxa"/>
            <w:tcBorders>
              <w:top w:val="single" w:color="auto" w:sz="4" w:space="0"/>
              <w:bottom w:val="single" w:color="auto" w:sz="4" w:space="0"/>
            </w:tcBorders>
            <w:vAlign w:val="center"/>
          </w:tcPr>
          <w:p>
            <w:pPr>
              <w:spacing w:line="360" w:lineRule="auto"/>
              <w:jc w:val="center"/>
              <w:rPr>
                <w:rFonts w:hint="eastAsia" w:ascii="宋体" w:hAnsi="宋体" w:eastAsia="宋体" w:cs="宋体"/>
                <w:highlight w:val="none"/>
              </w:rPr>
            </w:pPr>
          </w:p>
        </w:tc>
        <w:tc>
          <w:tcPr>
            <w:tcW w:w="1320" w:type="dxa"/>
            <w:tcBorders>
              <w:top w:val="single" w:color="auto" w:sz="4" w:space="0"/>
              <w:bottom w:val="single" w:color="auto" w:sz="4" w:space="0"/>
            </w:tcBorders>
            <w:vAlign w:val="center"/>
          </w:tcPr>
          <w:p>
            <w:pPr>
              <w:spacing w:line="360" w:lineRule="auto"/>
              <w:jc w:val="center"/>
              <w:rPr>
                <w:rFonts w:hint="eastAsia" w:ascii="宋体" w:hAnsi="宋体" w:eastAsia="宋体" w:cs="宋体"/>
                <w:highlight w:val="none"/>
              </w:rPr>
            </w:pPr>
          </w:p>
        </w:tc>
        <w:tc>
          <w:tcPr>
            <w:tcW w:w="1161" w:type="dxa"/>
            <w:tcBorders>
              <w:top w:val="single" w:color="auto" w:sz="4" w:space="0"/>
              <w:bottom w:val="single" w:color="auto" w:sz="4" w:space="0"/>
            </w:tcBorders>
            <w:vAlign w:val="center"/>
          </w:tcPr>
          <w:p>
            <w:pPr>
              <w:spacing w:line="360" w:lineRule="auto"/>
              <w:jc w:val="center"/>
              <w:rPr>
                <w:rFonts w:hint="eastAsia" w:ascii="宋体" w:hAnsi="宋体" w:eastAsia="宋体" w:cs="宋体"/>
                <w:highlight w:val="none"/>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highlight w:val="none"/>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hint="eastAsia" w:ascii="宋体" w:hAnsi="宋体" w:eastAsia="宋体" w:cs="宋体"/>
                <w:highlight w:val="none"/>
              </w:rPr>
            </w:pPr>
          </w:p>
        </w:tc>
        <w:tc>
          <w:tcPr>
            <w:tcW w:w="1001" w:type="dxa"/>
            <w:tcBorders>
              <w:top w:val="single" w:color="auto" w:sz="4" w:space="0"/>
              <w:left w:val="single" w:color="auto" w:sz="4" w:space="0"/>
              <w:bottom w:val="single" w:color="auto" w:sz="4" w:space="0"/>
            </w:tcBorders>
          </w:tcPr>
          <w:p>
            <w:pPr>
              <w:spacing w:line="360" w:lineRule="auto"/>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hint="eastAsia" w:ascii="宋体" w:hAnsi="宋体" w:eastAsia="宋体" w:cs="宋体"/>
                <w:highlight w:val="none"/>
              </w:rPr>
            </w:pPr>
          </w:p>
        </w:tc>
        <w:tc>
          <w:tcPr>
            <w:tcW w:w="1440" w:type="dxa"/>
            <w:tcBorders>
              <w:top w:val="single" w:color="auto" w:sz="4" w:space="0"/>
              <w:bottom w:val="single" w:color="auto" w:sz="4" w:space="0"/>
            </w:tcBorders>
            <w:vAlign w:val="center"/>
          </w:tcPr>
          <w:p>
            <w:pPr>
              <w:spacing w:line="360" w:lineRule="auto"/>
              <w:jc w:val="center"/>
              <w:rPr>
                <w:rFonts w:hint="eastAsia" w:ascii="宋体" w:hAnsi="宋体" w:eastAsia="宋体" w:cs="宋体"/>
                <w:highlight w:val="none"/>
              </w:rPr>
            </w:pPr>
          </w:p>
        </w:tc>
        <w:tc>
          <w:tcPr>
            <w:tcW w:w="1320" w:type="dxa"/>
            <w:tcBorders>
              <w:top w:val="single" w:color="auto" w:sz="4" w:space="0"/>
              <w:bottom w:val="single" w:color="auto" w:sz="4" w:space="0"/>
            </w:tcBorders>
            <w:vAlign w:val="center"/>
          </w:tcPr>
          <w:p>
            <w:pPr>
              <w:spacing w:line="360" w:lineRule="auto"/>
              <w:jc w:val="center"/>
              <w:rPr>
                <w:rFonts w:hint="eastAsia" w:ascii="宋体" w:hAnsi="宋体" w:eastAsia="宋体" w:cs="宋体"/>
                <w:highlight w:val="none"/>
              </w:rPr>
            </w:pPr>
          </w:p>
        </w:tc>
        <w:tc>
          <w:tcPr>
            <w:tcW w:w="1161" w:type="dxa"/>
            <w:tcBorders>
              <w:top w:val="single" w:color="auto" w:sz="4" w:space="0"/>
              <w:bottom w:val="single" w:color="auto" w:sz="4" w:space="0"/>
            </w:tcBorders>
            <w:vAlign w:val="center"/>
          </w:tcPr>
          <w:p>
            <w:pPr>
              <w:spacing w:line="360" w:lineRule="auto"/>
              <w:jc w:val="center"/>
              <w:rPr>
                <w:rFonts w:hint="eastAsia" w:ascii="宋体" w:hAnsi="宋体" w:eastAsia="宋体" w:cs="宋体"/>
                <w:highlight w:val="none"/>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highlight w:val="none"/>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hint="eastAsia" w:ascii="宋体" w:hAnsi="宋体" w:eastAsia="宋体" w:cs="宋体"/>
                <w:highlight w:val="none"/>
              </w:rPr>
            </w:pPr>
          </w:p>
        </w:tc>
        <w:tc>
          <w:tcPr>
            <w:tcW w:w="1001" w:type="dxa"/>
            <w:tcBorders>
              <w:top w:val="single" w:color="auto" w:sz="4" w:space="0"/>
              <w:left w:val="single" w:color="auto" w:sz="4" w:space="0"/>
              <w:bottom w:val="single" w:color="auto" w:sz="4" w:space="0"/>
            </w:tcBorders>
          </w:tcPr>
          <w:p>
            <w:pPr>
              <w:spacing w:line="360" w:lineRule="auto"/>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hint="eastAsia" w:ascii="宋体" w:hAnsi="宋体" w:eastAsia="宋体" w:cs="宋体"/>
                <w:highlight w:val="none"/>
              </w:rPr>
            </w:pPr>
          </w:p>
        </w:tc>
        <w:tc>
          <w:tcPr>
            <w:tcW w:w="1440" w:type="dxa"/>
            <w:tcBorders>
              <w:top w:val="single" w:color="auto" w:sz="4" w:space="0"/>
              <w:bottom w:val="single" w:color="auto" w:sz="4" w:space="0"/>
            </w:tcBorders>
            <w:vAlign w:val="center"/>
          </w:tcPr>
          <w:p>
            <w:pPr>
              <w:spacing w:line="360" w:lineRule="auto"/>
              <w:jc w:val="center"/>
              <w:rPr>
                <w:rFonts w:hint="eastAsia" w:ascii="宋体" w:hAnsi="宋体" w:eastAsia="宋体" w:cs="宋体"/>
                <w:highlight w:val="none"/>
              </w:rPr>
            </w:pPr>
          </w:p>
        </w:tc>
        <w:tc>
          <w:tcPr>
            <w:tcW w:w="1320" w:type="dxa"/>
            <w:tcBorders>
              <w:top w:val="single" w:color="auto" w:sz="4" w:space="0"/>
              <w:bottom w:val="single" w:color="auto" w:sz="4" w:space="0"/>
            </w:tcBorders>
            <w:vAlign w:val="center"/>
          </w:tcPr>
          <w:p>
            <w:pPr>
              <w:spacing w:line="360" w:lineRule="auto"/>
              <w:jc w:val="center"/>
              <w:rPr>
                <w:rFonts w:hint="eastAsia" w:ascii="宋体" w:hAnsi="宋体" w:eastAsia="宋体" w:cs="宋体"/>
                <w:highlight w:val="none"/>
              </w:rPr>
            </w:pPr>
          </w:p>
        </w:tc>
        <w:tc>
          <w:tcPr>
            <w:tcW w:w="1161" w:type="dxa"/>
            <w:tcBorders>
              <w:top w:val="single" w:color="auto" w:sz="4" w:space="0"/>
              <w:bottom w:val="single" w:color="auto" w:sz="4" w:space="0"/>
            </w:tcBorders>
            <w:vAlign w:val="center"/>
          </w:tcPr>
          <w:p>
            <w:pPr>
              <w:spacing w:line="360" w:lineRule="auto"/>
              <w:jc w:val="center"/>
              <w:rPr>
                <w:rFonts w:hint="eastAsia" w:ascii="宋体" w:hAnsi="宋体" w:eastAsia="宋体" w:cs="宋体"/>
                <w:highlight w:val="none"/>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highlight w:val="none"/>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hint="eastAsia" w:ascii="宋体" w:hAnsi="宋体" w:eastAsia="宋体" w:cs="宋体"/>
                <w:highlight w:val="none"/>
              </w:rPr>
            </w:pPr>
          </w:p>
        </w:tc>
        <w:tc>
          <w:tcPr>
            <w:tcW w:w="1001" w:type="dxa"/>
            <w:tcBorders>
              <w:top w:val="single" w:color="auto" w:sz="4" w:space="0"/>
              <w:left w:val="single" w:color="auto" w:sz="4" w:space="0"/>
              <w:bottom w:val="single" w:color="auto" w:sz="4" w:space="0"/>
            </w:tcBorders>
          </w:tcPr>
          <w:p>
            <w:pPr>
              <w:spacing w:line="360" w:lineRule="auto"/>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hint="eastAsia" w:ascii="宋体" w:hAnsi="宋体" w:eastAsia="宋体" w:cs="宋体"/>
                <w:highlight w:val="none"/>
              </w:rPr>
            </w:pPr>
          </w:p>
        </w:tc>
        <w:tc>
          <w:tcPr>
            <w:tcW w:w="1440" w:type="dxa"/>
            <w:tcBorders>
              <w:top w:val="single" w:color="auto" w:sz="4" w:space="0"/>
              <w:bottom w:val="single" w:color="auto" w:sz="4" w:space="0"/>
            </w:tcBorders>
            <w:vAlign w:val="center"/>
          </w:tcPr>
          <w:p>
            <w:pPr>
              <w:spacing w:line="360" w:lineRule="auto"/>
              <w:jc w:val="center"/>
              <w:rPr>
                <w:rFonts w:hint="eastAsia" w:ascii="宋体" w:hAnsi="宋体" w:eastAsia="宋体" w:cs="宋体"/>
                <w:highlight w:val="none"/>
              </w:rPr>
            </w:pPr>
          </w:p>
        </w:tc>
        <w:tc>
          <w:tcPr>
            <w:tcW w:w="1320" w:type="dxa"/>
            <w:tcBorders>
              <w:top w:val="single" w:color="auto" w:sz="4" w:space="0"/>
              <w:bottom w:val="single" w:color="auto" w:sz="4" w:space="0"/>
            </w:tcBorders>
            <w:vAlign w:val="center"/>
          </w:tcPr>
          <w:p>
            <w:pPr>
              <w:spacing w:line="360" w:lineRule="auto"/>
              <w:jc w:val="center"/>
              <w:rPr>
                <w:rFonts w:hint="eastAsia" w:ascii="宋体" w:hAnsi="宋体" w:eastAsia="宋体" w:cs="宋体"/>
                <w:highlight w:val="none"/>
              </w:rPr>
            </w:pPr>
          </w:p>
        </w:tc>
        <w:tc>
          <w:tcPr>
            <w:tcW w:w="1161" w:type="dxa"/>
            <w:tcBorders>
              <w:top w:val="single" w:color="auto" w:sz="4" w:space="0"/>
              <w:bottom w:val="single" w:color="auto" w:sz="4" w:space="0"/>
            </w:tcBorders>
            <w:vAlign w:val="center"/>
          </w:tcPr>
          <w:p>
            <w:pPr>
              <w:spacing w:line="360" w:lineRule="auto"/>
              <w:jc w:val="center"/>
              <w:rPr>
                <w:rFonts w:hint="eastAsia" w:ascii="宋体" w:hAnsi="宋体" w:eastAsia="宋体" w:cs="宋体"/>
                <w:highlight w:val="none"/>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highlight w:val="none"/>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hint="eastAsia" w:ascii="宋体" w:hAnsi="宋体" w:eastAsia="宋体" w:cs="宋体"/>
                <w:highlight w:val="none"/>
              </w:rPr>
            </w:pPr>
          </w:p>
        </w:tc>
        <w:tc>
          <w:tcPr>
            <w:tcW w:w="1001" w:type="dxa"/>
            <w:tcBorders>
              <w:top w:val="single" w:color="auto" w:sz="4" w:space="0"/>
              <w:left w:val="single" w:color="auto" w:sz="4" w:space="0"/>
              <w:bottom w:val="single" w:color="auto" w:sz="4" w:space="0"/>
            </w:tcBorders>
          </w:tcPr>
          <w:p>
            <w:pPr>
              <w:spacing w:line="360" w:lineRule="auto"/>
              <w:jc w:val="center"/>
              <w:rPr>
                <w:rFonts w:hint="eastAsia" w:ascii="宋体" w:hAnsi="宋体" w:eastAsia="宋体" w:cs="宋体"/>
                <w:highlight w:val="none"/>
              </w:rPr>
            </w:pPr>
          </w:p>
        </w:tc>
      </w:tr>
    </w:tbl>
    <w:p>
      <w:pPr>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注：投标人（仅限于投标人自身实施的）以上业绩需提供有关书面证明材料（如中标通知书/成交通知书或采购合同）。“合同金额”需提供合同复印件；</w:t>
      </w:r>
    </w:p>
    <w:p>
      <w:pPr>
        <w:ind w:firstLine="422" w:firstLineChars="200"/>
        <w:rPr>
          <w:rFonts w:hint="eastAsia" w:ascii="宋体" w:hAnsi="宋体" w:eastAsia="宋体" w:cs="宋体"/>
          <w:b/>
          <w:bCs/>
          <w:szCs w:val="21"/>
          <w:highlight w:val="none"/>
        </w:rPr>
      </w:pPr>
    </w:p>
    <w:p>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投标人(盖章)： </w:t>
      </w: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法定代表人或委托代理人（签字或盖章）：</w:t>
      </w: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日期：   年  月   日</w:t>
      </w:r>
    </w:p>
    <w:p>
      <w:pPr>
        <w:spacing w:line="360" w:lineRule="auto"/>
        <w:rPr>
          <w:rFonts w:hint="eastAsia" w:ascii="宋体" w:hAnsi="宋体" w:eastAsia="宋体" w:cs="宋体"/>
          <w:sz w:val="24"/>
          <w:szCs w:val="20"/>
          <w:highlight w:val="none"/>
        </w:rPr>
      </w:pPr>
    </w:p>
    <w:p>
      <w:pPr>
        <w:pStyle w:val="6"/>
        <w:spacing w:line="360" w:lineRule="auto"/>
        <w:ind w:firstLine="0"/>
        <w:jc w:val="center"/>
        <w:rPr>
          <w:rFonts w:hint="eastAsia" w:ascii="宋体" w:hAnsi="宋体" w:eastAsia="宋体" w:cs="宋体"/>
          <w:b/>
          <w:sz w:val="24"/>
          <w:szCs w:val="24"/>
          <w:highlight w:val="none"/>
        </w:rPr>
      </w:pPr>
    </w:p>
    <w:p>
      <w:pPr>
        <w:rPr>
          <w:rFonts w:hint="eastAsia" w:ascii="宋体" w:hAnsi="宋体" w:eastAsia="宋体" w:cs="宋体"/>
          <w:b/>
          <w:sz w:val="24"/>
          <w:highlight w:val="none"/>
        </w:rPr>
      </w:pPr>
    </w:p>
    <w:p>
      <w:pPr>
        <w:pStyle w:val="2"/>
        <w:rPr>
          <w:rFonts w:hint="eastAsia" w:ascii="宋体" w:hAnsi="宋体" w:eastAsia="宋体" w:cs="宋体"/>
          <w:b/>
          <w:szCs w:val="24"/>
          <w:highlight w:val="none"/>
        </w:rPr>
      </w:pPr>
    </w:p>
    <w:p>
      <w:pPr>
        <w:pStyle w:val="3"/>
        <w:rPr>
          <w:rFonts w:hint="eastAsia" w:ascii="宋体" w:hAnsi="宋体" w:eastAsia="宋体" w:cs="宋体"/>
          <w:b/>
          <w:sz w:val="24"/>
          <w:highlight w:val="none"/>
        </w:rPr>
      </w:pPr>
    </w:p>
    <w:p>
      <w:pPr>
        <w:spacing w:line="360" w:lineRule="auto"/>
        <w:rPr>
          <w:rFonts w:hint="eastAsia" w:ascii="宋体" w:hAnsi="宋体" w:eastAsia="宋体" w:cs="宋体"/>
          <w:b/>
          <w:sz w:val="24"/>
          <w:highlight w:val="none"/>
        </w:rPr>
      </w:pPr>
    </w:p>
    <w:p>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格式11  技术规格响应偏离表</w:t>
      </w:r>
    </w:p>
    <w:tbl>
      <w:tblPr>
        <w:tblStyle w:val="18"/>
        <w:tblW w:w="9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228"/>
        <w:gridCol w:w="2228"/>
        <w:gridCol w:w="2228"/>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228"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服务内容及要求</w:t>
            </w:r>
          </w:p>
        </w:tc>
        <w:tc>
          <w:tcPr>
            <w:tcW w:w="2228"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招标要求</w:t>
            </w:r>
          </w:p>
        </w:tc>
        <w:tc>
          <w:tcPr>
            <w:tcW w:w="2228"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投标规格</w:t>
            </w:r>
          </w:p>
        </w:tc>
        <w:tc>
          <w:tcPr>
            <w:tcW w:w="2228"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c>
          <w:tcPr>
            <w:tcW w:w="2228" w:type="dxa"/>
            <w:vAlign w:val="center"/>
          </w:tcPr>
          <w:p>
            <w:pPr>
              <w:spacing w:line="360" w:lineRule="auto"/>
              <w:jc w:val="center"/>
              <w:rPr>
                <w:rFonts w:hint="eastAsia" w:ascii="宋体" w:hAnsi="宋体" w:eastAsia="宋体" w:cs="宋体"/>
                <w:sz w:val="24"/>
                <w:highlight w:val="none"/>
              </w:rPr>
            </w:pPr>
          </w:p>
        </w:tc>
      </w:tr>
    </w:tbl>
    <w:p>
      <w:pPr>
        <w:ind w:left="482" w:hanging="482" w:hangingChars="200"/>
        <w:rPr>
          <w:rFonts w:hint="eastAsia" w:ascii="宋体" w:hAnsi="宋体" w:eastAsia="宋体" w:cs="宋体"/>
          <w:b/>
          <w:sz w:val="24"/>
          <w:highlight w:val="none"/>
        </w:rPr>
      </w:pPr>
      <w:r>
        <w:rPr>
          <w:rFonts w:hint="eastAsia" w:ascii="宋体" w:hAnsi="宋体" w:eastAsia="宋体" w:cs="宋体"/>
          <w:b/>
          <w:sz w:val="24"/>
          <w:highlight w:val="none"/>
        </w:rPr>
        <w:t>注：1、没有说明的其他条款将被认为完全满足本招标项目技术条款要求。</w:t>
      </w:r>
    </w:p>
    <w:p>
      <w:pPr>
        <w:ind w:left="482" w:hanging="482" w:hangingChars="200"/>
        <w:rPr>
          <w:rFonts w:hint="eastAsia" w:ascii="宋体" w:hAnsi="宋体" w:eastAsia="宋体" w:cs="宋体"/>
          <w:sz w:val="24"/>
          <w:highlight w:val="none"/>
        </w:rPr>
      </w:pPr>
      <w:r>
        <w:rPr>
          <w:rFonts w:hint="eastAsia" w:ascii="宋体" w:hAnsi="宋体" w:eastAsia="宋体" w:cs="宋体"/>
          <w:b/>
          <w:sz w:val="24"/>
          <w:highlight w:val="none"/>
        </w:rPr>
        <w:t>2、各投标人按此表格式自行填写，表格不够时可自行添加。</w:t>
      </w:r>
    </w:p>
    <w:p>
      <w:pPr>
        <w:ind w:left="480" w:hanging="480" w:hangingChars="200"/>
        <w:rPr>
          <w:rFonts w:hint="eastAsia" w:ascii="宋体" w:hAnsi="宋体" w:eastAsia="宋体" w:cs="宋体"/>
          <w:sz w:val="24"/>
          <w:highlight w:val="none"/>
        </w:rPr>
      </w:pPr>
    </w:p>
    <w:p>
      <w:pPr>
        <w:ind w:left="480" w:hanging="480" w:hangingChars="200"/>
        <w:rPr>
          <w:rFonts w:hint="eastAsia" w:ascii="宋体" w:hAnsi="宋体" w:eastAsia="宋体" w:cs="宋体"/>
          <w:sz w:val="24"/>
          <w:highlight w:val="none"/>
        </w:rPr>
      </w:pPr>
    </w:p>
    <w:p>
      <w:pPr>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 xml:space="preserve">投标人(盖章)： </w:t>
      </w:r>
    </w:p>
    <w:p>
      <w:pPr>
        <w:ind w:left="480" w:hanging="480" w:hangingChars="200"/>
        <w:rPr>
          <w:rFonts w:hint="eastAsia" w:ascii="宋体" w:hAnsi="宋体" w:eastAsia="宋体" w:cs="宋体"/>
          <w:sz w:val="24"/>
          <w:highlight w:val="none"/>
        </w:rPr>
      </w:pPr>
    </w:p>
    <w:p>
      <w:pPr>
        <w:ind w:left="480" w:hanging="480" w:hangingChars="200"/>
        <w:rPr>
          <w:rFonts w:hint="eastAsia" w:ascii="宋体" w:hAnsi="宋体" w:eastAsia="宋体" w:cs="宋体"/>
          <w:sz w:val="24"/>
          <w:highlight w:val="none"/>
        </w:rPr>
      </w:pPr>
    </w:p>
    <w:p>
      <w:pPr>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法定代表人或委托代理人（签字或盖章）：</w:t>
      </w:r>
    </w:p>
    <w:p>
      <w:pPr>
        <w:ind w:left="480" w:hanging="480" w:hangingChars="200"/>
        <w:rPr>
          <w:rFonts w:hint="eastAsia" w:ascii="宋体" w:hAnsi="宋体" w:eastAsia="宋体" w:cs="宋体"/>
          <w:sz w:val="24"/>
          <w:highlight w:val="none"/>
        </w:rPr>
      </w:pPr>
    </w:p>
    <w:p>
      <w:pPr>
        <w:ind w:left="480" w:hanging="480" w:hangingChars="200"/>
        <w:rPr>
          <w:rFonts w:hint="eastAsia" w:ascii="宋体" w:hAnsi="宋体" w:eastAsia="宋体" w:cs="宋体"/>
          <w:sz w:val="24"/>
          <w:highlight w:val="none"/>
        </w:rPr>
      </w:pPr>
    </w:p>
    <w:p>
      <w:pPr>
        <w:ind w:left="480" w:hanging="480" w:hangingChars="200"/>
        <w:rPr>
          <w:rFonts w:hint="eastAsia" w:ascii="宋体" w:hAnsi="宋体" w:eastAsia="宋体" w:cs="宋体"/>
          <w:sz w:val="24"/>
          <w:highlight w:val="none"/>
        </w:rPr>
      </w:pPr>
      <w:r>
        <w:rPr>
          <w:rFonts w:hint="eastAsia" w:ascii="宋体" w:hAnsi="宋体" w:eastAsia="宋体" w:cs="宋体"/>
          <w:sz w:val="24"/>
          <w:highlight w:val="none"/>
        </w:rPr>
        <w:t>日期：   年  月   日</w:t>
      </w:r>
    </w:p>
    <w:p>
      <w:pPr>
        <w:spacing w:line="360" w:lineRule="auto"/>
        <w:jc w:val="center"/>
        <w:rPr>
          <w:rFonts w:hint="eastAsia" w:ascii="宋体" w:hAnsi="宋体" w:eastAsia="宋体" w:cs="宋体"/>
          <w:b/>
          <w:sz w:val="24"/>
          <w:highlight w:val="none"/>
        </w:rPr>
      </w:pPr>
    </w:p>
    <w:p>
      <w:pPr>
        <w:pStyle w:val="7"/>
        <w:rPr>
          <w:rFonts w:hint="eastAsia" w:ascii="宋体" w:hAnsi="宋体" w:eastAsia="宋体" w:cs="宋体"/>
          <w:highlight w:val="none"/>
        </w:rPr>
      </w:pPr>
    </w:p>
    <w:p>
      <w:pPr>
        <w:rPr>
          <w:rFonts w:hint="eastAsia" w:ascii="宋体" w:hAnsi="宋体" w:eastAsia="宋体" w:cs="宋体"/>
          <w:highlight w:val="none"/>
        </w:rPr>
      </w:pPr>
    </w:p>
    <w:p>
      <w:pPr>
        <w:spacing w:line="360" w:lineRule="auto"/>
        <w:rPr>
          <w:rFonts w:hint="eastAsia" w:ascii="宋体" w:hAnsi="宋体" w:eastAsia="宋体" w:cs="宋体"/>
          <w:b/>
          <w:sz w:val="24"/>
          <w:highlight w:val="none"/>
        </w:rPr>
      </w:pPr>
    </w:p>
    <w:p>
      <w:pPr>
        <w:spacing w:line="360" w:lineRule="auto"/>
        <w:jc w:val="center"/>
        <w:rPr>
          <w:rFonts w:hint="eastAsia" w:ascii="宋体" w:hAnsi="宋体" w:eastAsia="宋体" w:cs="宋体"/>
          <w:b/>
          <w:sz w:val="24"/>
          <w:highlight w:val="none"/>
        </w:rPr>
      </w:pPr>
    </w:p>
    <w:p>
      <w:pPr>
        <w:spacing w:line="360" w:lineRule="auto"/>
        <w:jc w:val="center"/>
        <w:rPr>
          <w:rFonts w:hint="eastAsia" w:ascii="宋体" w:hAnsi="宋体" w:eastAsia="宋体" w:cs="宋体"/>
          <w:b/>
          <w:sz w:val="24"/>
          <w:highlight w:val="none"/>
        </w:rPr>
      </w:pPr>
    </w:p>
    <w:p>
      <w:pPr>
        <w:spacing w:line="360" w:lineRule="auto"/>
        <w:ind w:firstLine="2530" w:firstLineChars="9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第六章  </w:t>
      </w:r>
      <w:r>
        <w:rPr>
          <w:rFonts w:hint="eastAsia" w:ascii="宋体" w:hAnsi="宋体" w:eastAsia="宋体" w:cs="宋体"/>
          <w:b/>
          <w:sz w:val="28"/>
          <w:szCs w:val="28"/>
          <w:highlight w:val="none"/>
        </w:rPr>
        <w:t>评审标准（综合评分法）</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1、资格性审查</w:t>
      </w:r>
    </w:p>
    <w:tbl>
      <w:tblPr>
        <w:tblStyle w:val="17"/>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847"/>
        <w:gridCol w:w="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92" w:type="dxa"/>
            <w:vAlign w:val="center"/>
          </w:tcPr>
          <w:p>
            <w:pPr>
              <w:spacing w:line="288"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847" w:type="dxa"/>
            <w:vAlign w:val="center"/>
          </w:tcPr>
          <w:p>
            <w:pPr>
              <w:spacing w:line="288" w:lineRule="auto"/>
              <w:jc w:val="center"/>
              <w:rPr>
                <w:rFonts w:hint="eastAsia" w:ascii="宋体" w:hAnsi="宋体" w:eastAsia="宋体" w:cs="宋体"/>
                <w:sz w:val="24"/>
                <w:highlight w:val="none"/>
              </w:rPr>
            </w:pPr>
            <w:r>
              <w:rPr>
                <w:rFonts w:hint="eastAsia" w:ascii="宋体" w:hAnsi="宋体" w:eastAsia="宋体" w:cs="宋体"/>
                <w:sz w:val="24"/>
                <w:highlight w:val="none"/>
              </w:rPr>
              <w:t>评审因素</w:t>
            </w:r>
          </w:p>
        </w:tc>
        <w:tc>
          <w:tcPr>
            <w:tcW w:w="3940" w:type="dxa"/>
            <w:vAlign w:val="center"/>
          </w:tcPr>
          <w:p>
            <w:pPr>
              <w:spacing w:line="288" w:lineRule="auto"/>
              <w:jc w:val="center"/>
              <w:rPr>
                <w:rFonts w:hint="eastAsia" w:ascii="宋体" w:hAnsi="宋体" w:eastAsia="宋体" w:cs="宋体"/>
                <w:sz w:val="24"/>
                <w:highlight w:val="none"/>
              </w:rPr>
            </w:pPr>
            <w:r>
              <w:rPr>
                <w:rFonts w:hint="eastAsia" w:ascii="宋体" w:hAnsi="宋体" w:eastAsia="宋体" w:cs="宋体"/>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992" w:type="dxa"/>
            <w:vAlign w:val="center"/>
          </w:tcPr>
          <w:p>
            <w:pPr>
              <w:widowControl/>
              <w:spacing w:line="288"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4847" w:type="dxa"/>
            <w:vAlign w:val="center"/>
          </w:tcPr>
          <w:p>
            <w:pPr>
              <w:widowControl/>
              <w:spacing w:line="288"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具有独立承担民事责任的能力；</w:t>
            </w:r>
          </w:p>
        </w:tc>
        <w:tc>
          <w:tcPr>
            <w:tcW w:w="3940" w:type="dxa"/>
            <w:vAlign w:val="center"/>
          </w:tcPr>
          <w:p>
            <w:pPr>
              <w:widowControl/>
              <w:spacing w:line="288"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992" w:type="dxa"/>
            <w:vAlign w:val="center"/>
          </w:tcPr>
          <w:p>
            <w:pPr>
              <w:spacing w:line="288"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2</w:t>
            </w:r>
          </w:p>
        </w:tc>
        <w:tc>
          <w:tcPr>
            <w:tcW w:w="4847" w:type="dxa"/>
            <w:vAlign w:val="center"/>
          </w:tcPr>
          <w:p>
            <w:pPr>
              <w:widowControl/>
              <w:spacing w:line="288"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具有良好的商业信誉和健全的财务会计制度；</w:t>
            </w:r>
          </w:p>
        </w:tc>
        <w:tc>
          <w:tcPr>
            <w:tcW w:w="3940" w:type="dxa"/>
            <w:vAlign w:val="center"/>
          </w:tcPr>
          <w:p>
            <w:pPr>
              <w:widowControl/>
              <w:spacing w:line="288" w:lineRule="auto"/>
              <w:rPr>
                <w:rFonts w:hint="eastAsia" w:ascii="宋体" w:hAnsi="宋体" w:eastAsia="宋体" w:cs="宋体"/>
                <w:sz w:val="24"/>
                <w:highlight w:val="none"/>
                <w:lang w:eastAsia="zh-CN"/>
              </w:rPr>
            </w:pPr>
            <w:r>
              <w:rPr>
                <w:rFonts w:hint="eastAsia" w:ascii="宋体" w:hAnsi="宋体" w:eastAsia="宋体" w:cs="宋体"/>
                <w:sz w:val="24"/>
                <w:highlight w:val="none"/>
              </w:rPr>
              <w:t>（信用查询：按照《财政部关于在政府采购活动中查询及使用信用记录有关问题的通知》（财库〔2016〕125号）的要求，根据开标当日“信用中国”（</w:t>
            </w:r>
            <w:r>
              <w:rPr>
                <w:rFonts w:hint="eastAsia" w:ascii="宋体" w:hAnsi="宋体" w:eastAsia="宋体" w:cs="宋体"/>
                <w:sz w:val="24"/>
                <w:highlight w:val="none"/>
              </w:rPr>
              <w:drawing>
                <wp:inline distT="0" distB="0" distL="0" distR="0">
                  <wp:extent cx="190500" cy="142875"/>
                  <wp:effectExtent l="0" t="0" r="13970" b="3175"/>
                  <wp:docPr id="9" name="图片 9"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DOCUME~1\ADMINI~1\LOCALS~1\Temp\%W@GJ$ACOF(TYDYECOKVDYB.png"/>
                          <pic:cNvPicPr>
                            <a:picLocks noChangeAspect="1" noChangeArrowheads="1"/>
                          </pic:cNvPicPr>
                        </pic:nvPicPr>
                        <pic:blipFill>
                          <a:blip r:embed="rId13"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int="eastAsia" w:ascii="宋体" w:hAnsi="宋体" w:eastAsia="宋体" w:cs="宋体"/>
                <w:sz w:val="24"/>
                <w:highlight w:val="none"/>
              </w:rPr>
              <w:t>www.creditchina.gov.cn）、“中国政府采购网”（</w:t>
            </w:r>
            <w:r>
              <w:rPr>
                <w:rFonts w:hint="eastAsia" w:ascii="宋体" w:hAnsi="宋体" w:eastAsia="宋体" w:cs="宋体"/>
                <w:sz w:val="24"/>
                <w:highlight w:val="none"/>
              </w:rPr>
              <w:drawing>
                <wp:inline distT="0" distB="0" distL="0" distR="0">
                  <wp:extent cx="190500" cy="142875"/>
                  <wp:effectExtent l="0" t="0" r="13970" b="3175"/>
                  <wp:docPr id="2" name="图片 2"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1\ADMINI~1\LOCALS~1\Temp\%W@GJ$ACOF(TYDYECOKVDYB.png"/>
                          <pic:cNvPicPr>
                            <a:picLocks noChangeAspect="1" noChangeArrowheads="1"/>
                          </pic:cNvPicPr>
                        </pic:nvPicPr>
                        <pic:blipFill>
                          <a:blip r:embed="rId13"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int="eastAsia" w:ascii="宋体" w:hAnsi="宋体" w:eastAsia="宋体" w:cs="宋体"/>
                <w:sz w:val="24"/>
                <w:highlight w:val="none"/>
              </w:rPr>
              <w:t>www.ccgp.gov.cn）、“中国执行信息公开网”（www.shixin.court.gov.cn）、“克拉玛依诚信网”（http://cxw.klmy.gov.cn/Pages/default.aspx）的查询结果，对列入失信被执行人、重大税收违法案件当事人名单、政府采购严重违法失信行为记录名单及其他不符合《中华人民共和国政府采购法》第二十二条规定条件的供应商，拒绝其参与政府采购活动。）</w:t>
            </w:r>
            <w:r>
              <w:rPr>
                <w:rFonts w:hint="eastAsia" w:ascii="宋体" w:hAnsi="宋体" w:eastAsia="宋体" w:cs="宋体"/>
                <w:sz w:val="24"/>
                <w:highlight w:val="none"/>
                <w:lang w:eastAsia="zh-CN"/>
              </w:rPr>
              <w:t>及财务会计制度</w:t>
            </w:r>
          </w:p>
          <w:p>
            <w:pPr>
              <w:widowControl/>
              <w:spacing w:line="288" w:lineRule="auto"/>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992" w:type="dxa"/>
            <w:vAlign w:val="center"/>
          </w:tcPr>
          <w:p>
            <w:pPr>
              <w:spacing w:line="288"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3</w:t>
            </w:r>
          </w:p>
        </w:tc>
        <w:tc>
          <w:tcPr>
            <w:tcW w:w="4847" w:type="dxa"/>
            <w:vAlign w:val="center"/>
          </w:tcPr>
          <w:p>
            <w:pPr>
              <w:widowControl/>
              <w:spacing w:line="288" w:lineRule="auto"/>
              <w:rPr>
                <w:rFonts w:hint="eastAsia" w:ascii="宋体" w:hAnsi="宋体" w:eastAsia="宋体" w:cs="宋体"/>
                <w:sz w:val="24"/>
                <w:highlight w:val="none"/>
              </w:rPr>
            </w:pPr>
            <w:r>
              <w:rPr>
                <w:rFonts w:hint="eastAsia" w:ascii="宋体" w:hAnsi="宋体" w:eastAsia="宋体" w:cs="宋体"/>
                <w:sz w:val="24"/>
                <w:highlight w:val="none"/>
              </w:rPr>
              <w:t>具有履行合同所必需的设备和专业技术能力；</w:t>
            </w:r>
          </w:p>
        </w:tc>
        <w:tc>
          <w:tcPr>
            <w:tcW w:w="3940" w:type="dxa"/>
            <w:vAlign w:val="center"/>
          </w:tcPr>
          <w:p>
            <w:pPr>
              <w:widowControl/>
              <w:spacing w:line="288" w:lineRule="auto"/>
              <w:rPr>
                <w:rFonts w:hint="eastAsia" w:ascii="宋体" w:hAnsi="宋体" w:eastAsia="宋体" w:cs="宋体"/>
                <w:sz w:val="24"/>
                <w:highlight w:val="none"/>
              </w:rPr>
            </w:pPr>
            <w:r>
              <w:rPr>
                <w:rFonts w:hint="eastAsia" w:ascii="宋体" w:hAnsi="宋体" w:eastAsia="宋体" w:cs="宋体"/>
                <w:sz w:val="24"/>
                <w:highlight w:val="none"/>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992" w:type="dxa"/>
            <w:vAlign w:val="center"/>
          </w:tcPr>
          <w:p>
            <w:pPr>
              <w:spacing w:line="288"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4</w:t>
            </w:r>
          </w:p>
        </w:tc>
        <w:tc>
          <w:tcPr>
            <w:tcW w:w="4847" w:type="dxa"/>
            <w:vAlign w:val="center"/>
          </w:tcPr>
          <w:p>
            <w:pPr>
              <w:widowControl/>
              <w:spacing w:line="288" w:lineRule="auto"/>
              <w:rPr>
                <w:rFonts w:hint="eastAsia" w:ascii="宋体" w:hAnsi="宋体" w:eastAsia="宋体" w:cs="宋体"/>
                <w:sz w:val="24"/>
                <w:highlight w:val="none"/>
              </w:rPr>
            </w:pPr>
            <w:r>
              <w:rPr>
                <w:rFonts w:hint="eastAsia" w:ascii="宋体" w:hAnsi="宋体" w:eastAsia="宋体" w:cs="宋体"/>
                <w:sz w:val="24"/>
                <w:highlight w:val="none"/>
              </w:rPr>
              <w:t>有依法缴纳税收和社会保障资金的良好记录</w:t>
            </w:r>
          </w:p>
        </w:tc>
        <w:tc>
          <w:tcPr>
            <w:tcW w:w="3940" w:type="dxa"/>
            <w:vAlign w:val="center"/>
          </w:tcPr>
          <w:p>
            <w:pPr>
              <w:widowControl/>
              <w:spacing w:line="288" w:lineRule="auto"/>
              <w:rPr>
                <w:rFonts w:hint="eastAsia" w:ascii="宋体" w:hAnsi="宋体" w:eastAsia="宋体" w:cs="宋体"/>
                <w:sz w:val="24"/>
                <w:highlight w:val="none"/>
              </w:rPr>
            </w:pPr>
            <w:r>
              <w:rPr>
                <w:rFonts w:hint="eastAsia" w:ascii="宋体" w:hAnsi="宋体" w:eastAsia="宋体" w:cs="宋体"/>
                <w:sz w:val="24"/>
                <w:highlight w:val="none"/>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92" w:type="dxa"/>
            <w:vAlign w:val="center"/>
          </w:tcPr>
          <w:p>
            <w:pPr>
              <w:spacing w:line="288"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p>
        </w:tc>
        <w:tc>
          <w:tcPr>
            <w:tcW w:w="4847" w:type="dxa"/>
            <w:vAlign w:val="center"/>
          </w:tcPr>
          <w:p>
            <w:pPr>
              <w:widowControl/>
              <w:spacing w:line="288" w:lineRule="auto"/>
              <w:rPr>
                <w:rFonts w:hint="eastAsia" w:ascii="宋体" w:hAnsi="宋体" w:eastAsia="宋体" w:cs="宋体"/>
                <w:sz w:val="24"/>
                <w:highlight w:val="none"/>
              </w:rPr>
            </w:pPr>
            <w:r>
              <w:rPr>
                <w:rFonts w:hint="eastAsia" w:ascii="宋体" w:hAnsi="宋体" w:eastAsia="宋体" w:cs="宋体"/>
                <w:sz w:val="24"/>
                <w:highlight w:val="none"/>
              </w:rPr>
              <w:t>参加政府采购活动前三年内，未因违法经营受到刑事处罚或者责令停产停业、吊销许可证或者执照、较大数额罚款等行政处罚。（超过100万元的项目，须提供市人民检察院出具的《检察机关查询行贿犯罪档案结果告知函》。本地办理地点：市人民检察院，联系电话：0990-6220522）。</w:t>
            </w:r>
            <w:r>
              <w:rPr>
                <w:rFonts w:hint="eastAsia" w:ascii="宋体" w:hAnsi="宋体" w:eastAsia="宋体" w:cs="宋体"/>
                <w:sz w:val="24"/>
                <w:highlight w:val="none"/>
              </w:rPr>
              <w:tab/>
            </w:r>
          </w:p>
          <w:p>
            <w:pPr>
              <w:widowControl/>
              <w:spacing w:line="288" w:lineRule="auto"/>
              <w:rPr>
                <w:rFonts w:hint="eastAsia" w:ascii="宋体" w:hAnsi="宋体" w:eastAsia="宋体" w:cs="宋体"/>
                <w:sz w:val="24"/>
                <w:highlight w:val="none"/>
              </w:rPr>
            </w:pPr>
          </w:p>
        </w:tc>
        <w:tc>
          <w:tcPr>
            <w:tcW w:w="3940" w:type="dxa"/>
            <w:vAlign w:val="center"/>
          </w:tcPr>
          <w:p>
            <w:pPr>
              <w:widowControl/>
              <w:spacing w:line="288" w:lineRule="auto"/>
              <w:rPr>
                <w:rFonts w:hint="eastAsia" w:ascii="宋体" w:hAnsi="宋体" w:eastAsia="宋体" w:cs="宋体"/>
                <w:sz w:val="24"/>
                <w:highlight w:val="none"/>
              </w:rPr>
            </w:pPr>
            <w:r>
              <w:rPr>
                <w:rFonts w:hint="eastAsia" w:ascii="宋体" w:hAnsi="宋体" w:eastAsia="宋体" w:cs="宋体"/>
                <w:sz w:val="24"/>
                <w:highlight w:val="none"/>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92" w:type="dxa"/>
            <w:vAlign w:val="center"/>
          </w:tcPr>
          <w:p>
            <w:pPr>
              <w:spacing w:line="288"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p>
        </w:tc>
        <w:tc>
          <w:tcPr>
            <w:tcW w:w="4847" w:type="dxa"/>
            <w:vAlign w:val="center"/>
          </w:tcPr>
          <w:p>
            <w:pPr>
              <w:widowControl/>
              <w:spacing w:line="288" w:lineRule="auto"/>
              <w:rPr>
                <w:rFonts w:hint="eastAsia" w:ascii="宋体" w:hAnsi="宋体" w:eastAsia="宋体" w:cs="宋体"/>
                <w:sz w:val="24"/>
                <w:highlight w:val="none"/>
              </w:rPr>
            </w:pPr>
            <w:r>
              <w:rPr>
                <w:rFonts w:hint="eastAsia" w:ascii="宋体" w:hAnsi="宋体" w:eastAsia="宋体" w:cs="宋体"/>
                <w:sz w:val="24"/>
                <w:highlight w:val="none"/>
              </w:rPr>
              <w:t>供应商具有《放射性药品经营企业许可证》</w:t>
            </w:r>
          </w:p>
          <w:p>
            <w:pPr>
              <w:widowControl/>
              <w:spacing w:line="288" w:lineRule="auto"/>
              <w:rPr>
                <w:rFonts w:hint="eastAsia" w:ascii="宋体" w:hAnsi="宋体" w:eastAsia="宋体" w:cs="宋体"/>
                <w:sz w:val="24"/>
                <w:highlight w:val="none"/>
              </w:rPr>
            </w:pPr>
          </w:p>
        </w:tc>
        <w:tc>
          <w:tcPr>
            <w:tcW w:w="3940" w:type="dxa"/>
            <w:vAlign w:val="center"/>
          </w:tcPr>
          <w:p>
            <w:pPr>
              <w:widowControl/>
              <w:spacing w:line="288" w:lineRule="auto"/>
              <w:rPr>
                <w:rFonts w:hint="eastAsia" w:ascii="宋体" w:hAnsi="宋体" w:eastAsia="宋体" w:cs="宋体"/>
                <w:sz w:val="24"/>
                <w:highlight w:val="none"/>
              </w:rPr>
            </w:pPr>
            <w:r>
              <w:rPr>
                <w:rFonts w:hint="eastAsia" w:ascii="宋体" w:hAnsi="宋体" w:eastAsia="宋体" w:cs="宋体"/>
                <w:sz w:val="24"/>
                <w:highlight w:val="none"/>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92" w:type="dxa"/>
            <w:vAlign w:val="center"/>
          </w:tcPr>
          <w:p>
            <w:pPr>
              <w:spacing w:line="288"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w:t>
            </w:r>
          </w:p>
        </w:tc>
        <w:tc>
          <w:tcPr>
            <w:tcW w:w="4847" w:type="dxa"/>
            <w:vAlign w:val="center"/>
          </w:tcPr>
          <w:p>
            <w:pPr>
              <w:widowControl/>
              <w:spacing w:line="288" w:lineRule="auto"/>
              <w:rPr>
                <w:rFonts w:hint="eastAsia" w:ascii="宋体" w:hAnsi="宋体" w:eastAsia="宋体" w:cs="宋体"/>
                <w:sz w:val="24"/>
                <w:highlight w:val="none"/>
              </w:rPr>
            </w:pPr>
            <w:r>
              <w:rPr>
                <w:rFonts w:hint="eastAsia" w:ascii="宋体" w:hAnsi="宋体" w:eastAsia="宋体" w:cs="宋体"/>
                <w:sz w:val="24"/>
                <w:highlight w:val="none"/>
              </w:rPr>
              <w:t>产品具有国药准字批准文号；</w:t>
            </w:r>
          </w:p>
          <w:p>
            <w:pPr>
              <w:widowControl/>
              <w:spacing w:line="288" w:lineRule="auto"/>
              <w:rPr>
                <w:rFonts w:hint="eastAsia" w:ascii="宋体" w:hAnsi="宋体" w:eastAsia="宋体" w:cs="宋体"/>
                <w:sz w:val="24"/>
                <w:highlight w:val="none"/>
              </w:rPr>
            </w:pPr>
          </w:p>
        </w:tc>
        <w:tc>
          <w:tcPr>
            <w:tcW w:w="3940" w:type="dxa"/>
            <w:vAlign w:val="center"/>
          </w:tcPr>
          <w:p>
            <w:pPr>
              <w:widowControl/>
              <w:spacing w:line="288" w:lineRule="auto"/>
              <w:rPr>
                <w:rFonts w:hint="eastAsia" w:ascii="宋体" w:hAnsi="宋体" w:eastAsia="宋体" w:cs="宋体"/>
                <w:sz w:val="24"/>
                <w:highlight w:val="none"/>
              </w:rPr>
            </w:pPr>
            <w:r>
              <w:rPr>
                <w:rFonts w:hint="eastAsia" w:ascii="宋体" w:hAnsi="宋体" w:eastAsia="宋体" w:cs="宋体"/>
                <w:sz w:val="24"/>
                <w:highlight w:val="none"/>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92" w:type="dxa"/>
            <w:vAlign w:val="center"/>
          </w:tcPr>
          <w:p>
            <w:pPr>
              <w:spacing w:line="288"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w:t>
            </w:r>
          </w:p>
        </w:tc>
        <w:tc>
          <w:tcPr>
            <w:tcW w:w="4847" w:type="dxa"/>
            <w:vAlign w:val="center"/>
          </w:tcPr>
          <w:p>
            <w:pPr>
              <w:widowControl/>
              <w:spacing w:line="288" w:lineRule="auto"/>
              <w:rPr>
                <w:rFonts w:hint="eastAsia" w:ascii="宋体" w:hAnsi="宋体" w:eastAsia="宋体" w:cs="宋体"/>
                <w:sz w:val="24"/>
                <w:highlight w:val="none"/>
              </w:rPr>
            </w:pPr>
            <w:r>
              <w:rPr>
                <w:rFonts w:hint="eastAsia" w:ascii="宋体" w:hAnsi="宋体" w:eastAsia="宋体" w:cs="宋体"/>
                <w:sz w:val="24"/>
                <w:highlight w:val="none"/>
              </w:rPr>
              <w:t>生产厂家的具有碘[125I]密封籽源生产资质的企业</w:t>
            </w:r>
          </w:p>
        </w:tc>
        <w:tc>
          <w:tcPr>
            <w:tcW w:w="3940" w:type="dxa"/>
            <w:vAlign w:val="center"/>
          </w:tcPr>
          <w:p>
            <w:pPr>
              <w:widowControl/>
              <w:spacing w:line="288" w:lineRule="auto"/>
              <w:rPr>
                <w:rFonts w:hint="eastAsia" w:ascii="宋体" w:hAnsi="宋体" w:eastAsia="宋体" w:cs="宋体"/>
                <w:sz w:val="24"/>
                <w:highlight w:val="none"/>
              </w:rPr>
            </w:pPr>
            <w:r>
              <w:rPr>
                <w:rFonts w:hint="eastAsia" w:ascii="宋体" w:hAnsi="宋体" w:eastAsia="宋体" w:cs="宋体"/>
                <w:sz w:val="24"/>
                <w:highlight w:val="none"/>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92" w:type="dxa"/>
            <w:vAlign w:val="center"/>
          </w:tcPr>
          <w:p>
            <w:pPr>
              <w:spacing w:line="288"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w:t>
            </w:r>
          </w:p>
        </w:tc>
        <w:tc>
          <w:tcPr>
            <w:tcW w:w="4847" w:type="dxa"/>
            <w:vAlign w:val="center"/>
          </w:tcPr>
          <w:p>
            <w:pPr>
              <w:widowControl/>
              <w:spacing w:line="288" w:lineRule="auto"/>
              <w:rPr>
                <w:rFonts w:hint="eastAsia" w:ascii="宋体" w:hAnsi="宋体" w:eastAsia="宋体" w:cs="宋体"/>
                <w:sz w:val="24"/>
                <w:highlight w:val="none"/>
              </w:rPr>
            </w:pPr>
            <w:r>
              <w:rPr>
                <w:rFonts w:hint="eastAsia" w:ascii="宋体" w:hAnsi="宋体" w:eastAsia="宋体" w:cs="宋体"/>
                <w:sz w:val="24"/>
                <w:highlight w:val="none"/>
              </w:rPr>
              <w:t>生产厂家具有辐射安全许可证（副本内活动种类和范围须含有碘[125I]密封籽源）；《放射性药品生产企业许可证》</w:t>
            </w:r>
          </w:p>
          <w:p>
            <w:pPr>
              <w:widowControl/>
              <w:spacing w:line="288" w:lineRule="auto"/>
              <w:rPr>
                <w:rFonts w:hint="eastAsia" w:ascii="宋体" w:hAnsi="宋体" w:eastAsia="宋体" w:cs="宋体"/>
                <w:sz w:val="24"/>
                <w:highlight w:val="none"/>
              </w:rPr>
            </w:pPr>
          </w:p>
        </w:tc>
        <w:tc>
          <w:tcPr>
            <w:tcW w:w="3940" w:type="dxa"/>
            <w:vAlign w:val="center"/>
          </w:tcPr>
          <w:p>
            <w:pPr>
              <w:widowControl/>
              <w:spacing w:line="288" w:lineRule="auto"/>
              <w:rPr>
                <w:rFonts w:hint="eastAsia" w:ascii="宋体" w:hAnsi="宋体" w:eastAsia="宋体" w:cs="宋体"/>
                <w:sz w:val="24"/>
                <w:highlight w:val="none"/>
              </w:rPr>
            </w:pPr>
            <w:r>
              <w:rPr>
                <w:rFonts w:hint="eastAsia" w:ascii="宋体" w:hAnsi="宋体" w:eastAsia="宋体" w:cs="宋体"/>
                <w:sz w:val="24"/>
                <w:highlight w:val="none"/>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92" w:type="dxa"/>
            <w:vAlign w:val="center"/>
          </w:tcPr>
          <w:p>
            <w:pPr>
              <w:spacing w:line="288"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4847" w:type="dxa"/>
            <w:vAlign w:val="center"/>
          </w:tcPr>
          <w:p>
            <w:pPr>
              <w:widowControl/>
              <w:spacing w:line="288" w:lineRule="auto"/>
              <w:rPr>
                <w:rFonts w:hint="eastAsia" w:ascii="宋体" w:hAnsi="宋体" w:eastAsia="宋体" w:cs="宋体"/>
                <w:sz w:val="24"/>
                <w:highlight w:val="none"/>
              </w:rPr>
            </w:pPr>
            <w:r>
              <w:rPr>
                <w:rFonts w:hint="eastAsia" w:ascii="宋体" w:hAnsi="宋体" w:eastAsia="宋体" w:cs="宋体"/>
                <w:sz w:val="24"/>
                <w:highlight w:val="none"/>
              </w:rPr>
              <w:t>供应商所投货物的制造商须</w:t>
            </w:r>
            <w:r>
              <w:rPr>
                <w:rFonts w:hint="eastAsia" w:ascii="宋体" w:hAnsi="宋体" w:eastAsia="宋体" w:cs="宋体"/>
                <w:sz w:val="24"/>
                <w:highlight w:val="none"/>
                <w:lang w:eastAsia="zh-CN"/>
              </w:rPr>
              <w:t>为</w:t>
            </w:r>
            <w:r>
              <w:rPr>
                <w:rFonts w:hint="eastAsia" w:ascii="宋体" w:hAnsi="宋体" w:eastAsia="宋体" w:cs="宋体"/>
                <w:sz w:val="24"/>
                <w:highlight w:val="none"/>
              </w:rPr>
              <w:t>中小企业</w:t>
            </w:r>
          </w:p>
        </w:tc>
        <w:tc>
          <w:tcPr>
            <w:tcW w:w="3940" w:type="dxa"/>
            <w:vAlign w:val="center"/>
          </w:tcPr>
          <w:p>
            <w:pPr>
              <w:widowControl/>
              <w:spacing w:line="288" w:lineRule="auto"/>
              <w:rPr>
                <w:rFonts w:hint="eastAsia" w:ascii="宋体" w:hAnsi="宋体" w:eastAsia="宋体" w:cs="宋体"/>
                <w:sz w:val="24"/>
                <w:highlight w:val="none"/>
              </w:rPr>
            </w:pPr>
            <w:r>
              <w:rPr>
                <w:rFonts w:hint="eastAsia" w:ascii="宋体" w:hAnsi="宋体" w:eastAsia="宋体" w:cs="宋体"/>
                <w:sz w:val="24"/>
                <w:highlight w:val="none"/>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92" w:type="dxa"/>
            <w:vAlign w:val="center"/>
          </w:tcPr>
          <w:p>
            <w:pPr>
              <w:spacing w:line="288"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w:t>
            </w:r>
          </w:p>
        </w:tc>
        <w:tc>
          <w:tcPr>
            <w:tcW w:w="4847" w:type="dxa"/>
            <w:vAlign w:val="center"/>
          </w:tcPr>
          <w:p>
            <w:pPr>
              <w:widowControl/>
              <w:spacing w:line="288"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本项目不接受联合体投标</w:t>
            </w:r>
          </w:p>
        </w:tc>
        <w:tc>
          <w:tcPr>
            <w:tcW w:w="3940" w:type="dxa"/>
            <w:vAlign w:val="center"/>
          </w:tcPr>
          <w:p>
            <w:pPr>
              <w:widowControl/>
              <w:spacing w:line="288" w:lineRule="auto"/>
              <w:rPr>
                <w:rFonts w:hint="eastAsia" w:ascii="宋体" w:hAnsi="宋体" w:eastAsia="宋体" w:cs="宋体"/>
                <w:sz w:val="24"/>
                <w:highlight w:val="none"/>
              </w:rPr>
            </w:pPr>
            <w:r>
              <w:rPr>
                <w:rFonts w:hint="eastAsia" w:ascii="宋体" w:hAnsi="宋体" w:eastAsia="宋体" w:cs="宋体"/>
                <w:sz w:val="24"/>
                <w:highlight w:val="none"/>
              </w:rPr>
              <w:t>符合招标文件规定</w:t>
            </w:r>
          </w:p>
        </w:tc>
      </w:tr>
    </w:tbl>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2、符合性审查</w:t>
      </w:r>
    </w:p>
    <w:tbl>
      <w:tblPr>
        <w:tblStyle w:val="17"/>
        <w:tblW w:w="10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240"/>
        <w:gridCol w:w="2365"/>
        <w:gridCol w:w="5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9" w:type="dxa"/>
            <w:vAlign w:val="center"/>
          </w:tcPr>
          <w:p>
            <w:pPr>
              <w:spacing w:line="288"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3605" w:type="dxa"/>
            <w:gridSpan w:val="2"/>
            <w:vAlign w:val="center"/>
          </w:tcPr>
          <w:p>
            <w:pPr>
              <w:spacing w:line="288"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评审因素</w:t>
            </w:r>
          </w:p>
        </w:tc>
        <w:tc>
          <w:tcPr>
            <w:tcW w:w="5815" w:type="dxa"/>
            <w:vAlign w:val="center"/>
          </w:tcPr>
          <w:p>
            <w:pPr>
              <w:spacing w:line="288"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679" w:type="dxa"/>
            <w:vMerge w:val="restart"/>
            <w:vAlign w:val="center"/>
          </w:tcPr>
          <w:p>
            <w:pPr>
              <w:spacing w:line="288"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1240" w:type="dxa"/>
            <w:vMerge w:val="restart"/>
            <w:vAlign w:val="center"/>
          </w:tcPr>
          <w:p>
            <w:pPr>
              <w:spacing w:line="288"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有效性审查</w:t>
            </w:r>
          </w:p>
        </w:tc>
        <w:tc>
          <w:tcPr>
            <w:tcW w:w="2365" w:type="dxa"/>
            <w:vAlign w:val="center"/>
          </w:tcPr>
          <w:p>
            <w:pPr>
              <w:spacing w:line="288" w:lineRule="auto"/>
              <w:rPr>
                <w:rFonts w:hint="eastAsia" w:ascii="宋体" w:hAnsi="宋体" w:eastAsia="宋体" w:cs="宋体"/>
                <w:kern w:val="0"/>
                <w:sz w:val="24"/>
                <w:highlight w:val="none"/>
              </w:rPr>
            </w:pPr>
            <w:r>
              <w:rPr>
                <w:rFonts w:hint="eastAsia" w:ascii="宋体" w:hAnsi="宋体" w:eastAsia="宋体" w:cs="宋体"/>
                <w:sz w:val="24"/>
                <w:highlight w:val="none"/>
                <w:lang w:val="zh-CN"/>
              </w:rPr>
              <w:t>投标文件</w:t>
            </w:r>
            <w:r>
              <w:rPr>
                <w:rFonts w:hint="eastAsia" w:ascii="宋体" w:hAnsi="宋体" w:eastAsia="宋体" w:cs="宋体"/>
                <w:sz w:val="24"/>
                <w:highlight w:val="none"/>
              </w:rPr>
              <w:t>签署</w:t>
            </w:r>
          </w:p>
        </w:tc>
        <w:tc>
          <w:tcPr>
            <w:tcW w:w="5815" w:type="dxa"/>
            <w:vAlign w:val="center"/>
          </w:tcPr>
          <w:p>
            <w:pPr>
              <w:spacing w:line="288" w:lineRule="auto"/>
              <w:rPr>
                <w:rFonts w:hint="eastAsia" w:ascii="宋体" w:hAnsi="宋体" w:eastAsia="宋体" w:cs="宋体"/>
                <w:kern w:val="0"/>
                <w:sz w:val="24"/>
                <w:highlight w:val="none"/>
              </w:rPr>
            </w:pPr>
            <w:r>
              <w:rPr>
                <w:rFonts w:hint="eastAsia" w:ascii="宋体" w:hAnsi="宋体" w:eastAsia="宋体" w:cs="宋体"/>
                <w:sz w:val="24"/>
                <w:highlight w:val="none"/>
                <w:lang w:val="zh-CN"/>
              </w:rPr>
              <w:t>投标文件</w:t>
            </w:r>
            <w:r>
              <w:rPr>
                <w:rFonts w:hint="eastAsia" w:ascii="宋体" w:hAnsi="宋体" w:eastAsia="宋体" w:cs="宋体"/>
                <w:sz w:val="24"/>
                <w:highlight w:val="none"/>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79" w:type="dxa"/>
            <w:vMerge w:val="continue"/>
            <w:vAlign w:val="center"/>
          </w:tcPr>
          <w:p>
            <w:pPr>
              <w:spacing w:line="288" w:lineRule="auto"/>
              <w:jc w:val="center"/>
              <w:rPr>
                <w:rFonts w:hint="eastAsia" w:ascii="宋体" w:hAnsi="宋体" w:eastAsia="宋体" w:cs="宋体"/>
                <w:kern w:val="0"/>
                <w:sz w:val="24"/>
                <w:highlight w:val="none"/>
              </w:rPr>
            </w:pPr>
          </w:p>
        </w:tc>
        <w:tc>
          <w:tcPr>
            <w:tcW w:w="1240" w:type="dxa"/>
            <w:vMerge w:val="continue"/>
            <w:vAlign w:val="center"/>
          </w:tcPr>
          <w:p>
            <w:pPr>
              <w:spacing w:line="288" w:lineRule="auto"/>
              <w:jc w:val="center"/>
              <w:rPr>
                <w:rFonts w:hint="eastAsia" w:ascii="宋体" w:hAnsi="宋体" w:eastAsia="宋体" w:cs="宋体"/>
                <w:kern w:val="0"/>
                <w:sz w:val="24"/>
                <w:highlight w:val="none"/>
              </w:rPr>
            </w:pPr>
          </w:p>
        </w:tc>
        <w:tc>
          <w:tcPr>
            <w:tcW w:w="2365" w:type="dxa"/>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rPr>
              <w:t>法定代表人身份证明及授权委托书</w:t>
            </w:r>
          </w:p>
        </w:tc>
        <w:tc>
          <w:tcPr>
            <w:tcW w:w="5815" w:type="dxa"/>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rPr>
              <w:t>法定代表人身份证明及授权委托书有效，且符合招标文件规定的格式，签字或盖章齐全。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79" w:type="dxa"/>
            <w:vMerge w:val="continue"/>
            <w:vAlign w:val="center"/>
          </w:tcPr>
          <w:p>
            <w:pPr>
              <w:spacing w:line="288" w:lineRule="auto"/>
              <w:jc w:val="center"/>
              <w:rPr>
                <w:rFonts w:hint="eastAsia" w:ascii="宋体" w:hAnsi="宋体" w:eastAsia="宋体" w:cs="宋体"/>
                <w:kern w:val="0"/>
                <w:sz w:val="24"/>
                <w:highlight w:val="none"/>
              </w:rPr>
            </w:pPr>
          </w:p>
        </w:tc>
        <w:tc>
          <w:tcPr>
            <w:tcW w:w="1240" w:type="dxa"/>
            <w:vMerge w:val="continue"/>
            <w:vAlign w:val="center"/>
          </w:tcPr>
          <w:p>
            <w:pPr>
              <w:spacing w:line="288" w:lineRule="auto"/>
              <w:jc w:val="center"/>
              <w:rPr>
                <w:rFonts w:hint="eastAsia" w:ascii="宋体" w:hAnsi="宋体" w:eastAsia="宋体" w:cs="宋体"/>
                <w:kern w:val="0"/>
                <w:sz w:val="24"/>
                <w:highlight w:val="none"/>
              </w:rPr>
            </w:pPr>
          </w:p>
        </w:tc>
        <w:tc>
          <w:tcPr>
            <w:tcW w:w="2365" w:type="dxa"/>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投标方案</w:t>
            </w:r>
          </w:p>
        </w:tc>
        <w:tc>
          <w:tcPr>
            <w:tcW w:w="5815" w:type="dxa"/>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679" w:type="dxa"/>
            <w:vMerge w:val="continue"/>
            <w:vAlign w:val="center"/>
          </w:tcPr>
          <w:p>
            <w:pPr>
              <w:spacing w:line="288" w:lineRule="auto"/>
              <w:jc w:val="center"/>
              <w:rPr>
                <w:rFonts w:hint="eastAsia" w:ascii="宋体" w:hAnsi="宋体" w:eastAsia="宋体" w:cs="宋体"/>
                <w:kern w:val="0"/>
                <w:sz w:val="24"/>
                <w:highlight w:val="none"/>
              </w:rPr>
            </w:pPr>
          </w:p>
        </w:tc>
        <w:tc>
          <w:tcPr>
            <w:tcW w:w="1240" w:type="dxa"/>
            <w:vMerge w:val="continue"/>
            <w:vAlign w:val="center"/>
          </w:tcPr>
          <w:p>
            <w:pPr>
              <w:spacing w:line="288" w:lineRule="auto"/>
              <w:jc w:val="center"/>
              <w:rPr>
                <w:rFonts w:hint="eastAsia" w:ascii="宋体" w:hAnsi="宋体" w:eastAsia="宋体" w:cs="宋体"/>
                <w:kern w:val="0"/>
                <w:sz w:val="24"/>
                <w:highlight w:val="none"/>
              </w:rPr>
            </w:pPr>
          </w:p>
        </w:tc>
        <w:tc>
          <w:tcPr>
            <w:tcW w:w="2365" w:type="dxa"/>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报价唯一</w:t>
            </w:r>
          </w:p>
        </w:tc>
        <w:tc>
          <w:tcPr>
            <w:tcW w:w="5815" w:type="dxa"/>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9" w:type="dxa"/>
            <w:vMerge w:val="restart"/>
            <w:vAlign w:val="center"/>
          </w:tcPr>
          <w:p>
            <w:pPr>
              <w:spacing w:line="288"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w:t>
            </w:r>
          </w:p>
        </w:tc>
        <w:tc>
          <w:tcPr>
            <w:tcW w:w="1240" w:type="dxa"/>
            <w:vMerge w:val="restart"/>
            <w:vAlign w:val="center"/>
          </w:tcPr>
          <w:p>
            <w:pPr>
              <w:spacing w:line="288"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完整性审查</w:t>
            </w:r>
          </w:p>
        </w:tc>
        <w:tc>
          <w:tcPr>
            <w:tcW w:w="2365" w:type="dxa"/>
            <w:vAlign w:val="center"/>
          </w:tcPr>
          <w:p>
            <w:pPr>
              <w:spacing w:line="288" w:lineRule="auto"/>
              <w:rPr>
                <w:rFonts w:hint="eastAsia" w:ascii="宋体" w:hAnsi="宋体" w:eastAsia="宋体" w:cs="宋体"/>
                <w:kern w:val="0"/>
                <w:sz w:val="24"/>
                <w:highlight w:val="none"/>
              </w:rPr>
            </w:pPr>
            <w:r>
              <w:rPr>
                <w:rFonts w:hint="eastAsia" w:ascii="宋体" w:hAnsi="宋体" w:eastAsia="宋体" w:cs="宋体"/>
                <w:sz w:val="24"/>
                <w:highlight w:val="none"/>
                <w:lang w:val="zh-CN"/>
              </w:rPr>
              <w:t>投标文件份数</w:t>
            </w:r>
          </w:p>
        </w:tc>
        <w:tc>
          <w:tcPr>
            <w:tcW w:w="5815" w:type="dxa"/>
            <w:vAlign w:val="center"/>
          </w:tcPr>
          <w:p>
            <w:pPr>
              <w:spacing w:line="288" w:lineRule="auto"/>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投标文件正本、副本、电子版等投标文件数量符合</w:t>
            </w:r>
            <w:r>
              <w:rPr>
                <w:rFonts w:hint="eastAsia" w:ascii="宋体" w:hAnsi="宋体" w:eastAsia="宋体" w:cs="宋体"/>
                <w:kern w:val="0"/>
                <w:sz w:val="24"/>
                <w:highlight w:val="none"/>
              </w:rPr>
              <w:t>招标</w:t>
            </w:r>
            <w:r>
              <w:rPr>
                <w:rFonts w:hint="eastAsia" w:ascii="宋体" w:hAnsi="宋体" w:eastAsia="宋体" w:cs="宋体"/>
                <w:kern w:val="0"/>
                <w:sz w:val="24"/>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79" w:type="dxa"/>
            <w:vMerge w:val="continue"/>
            <w:vAlign w:val="center"/>
          </w:tcPr>
          <w:p>
            <w:pPr>
              <w:spacing w:line="288" w:lineRule="auto"/>
              <w:jc w:val="center"/>
              <w:rPr>
                <w:rFonts w:hint="eastAsia" w:ascii="宋体" w:hAnsi="宋体" w:eastAsia="宋体" w:cs="宋体"/>
                <w:kern w:val="0"/>
                <w:sz w:val="24"/>
                <w:highlight w:val="none"/>
              </w:rPr>
            </w:pPr>
          </w:p>
        </w:tc>
        <w:tc>
          <w:tcPr>
            <w:tcW w:w="1240" w:type="dxa"/>
            <w:vMerge w:val="continue"/>
            <w:vAlign w:val="center"/>
          </w:tcPr>
          <w:p>
            <w:pPr>
              <w:spacing w:line="288" w:lineRule="auto"/>
              <w:jc w:val="center"/>
              <w:rPr>
                <w:rFonts w:hint="eastAsia" w:ascii="宋体" w:hAnsi="宋体" w:eastAsia="宋体" w:cs="宋体"/>
                <w:kern w:val="0"/>
                <w:sz w:val="24"/>
                <w:highlight w:val="none"/>
              </w:rPr>
            </w:pPr>
          </w:p>
        </w:tc>
        <w:tc>
          <w:tcPr>
            <w:tcW w:w="2365" w:type="dxa"/>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投标文件内容</w:t>
            </w:r>
          </w:p>
        </w:tc>
        <w:tc>
          <w:tcPr>
            <w:tcW w:w="5815" w:type="dxa"/>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79" w:type="dxa"/>
            <w:vMerge w:val="restart"/>
            <w:vAlign w:val="center"/>
          </w:tcPr>
          <w:p>
            <w:pPr>
              <w:spacing w:line="288"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3</w:t>
            </w:r>
          </w:p>
        </w:tc>
        <w:tc>
          <w:tcPr>
            <w:tcW w:w="1240" w:type="dxa"/>
            <w:vMerge w:val="restart"/>
            <w:vAlign w:val="center"/>
          </w:tcPr>
          <w:p>
            <w:pPr>
              <w:spacing w:line="288" w:lineRule="auto"/>
              <w:jc w:val="center"/>
              <w:rPr>
                <w:rFonts w:hint="eastAsia" w:ascii="宋体" w:hAnsi="宋体" w:eastAsia="宋体" w:cs="宋体"/>
                <w:sz w:val="24"/>
                <w:highlight w:val="none"/>
                <w:lang w:val="zh-CN"/>
              </w:rPr>
            </w:pPr>
            <w:r>
              <w:rPr>
                <w:rFonts w:hint="eastAsia" w:ascii="宋体" w:hAnsi="宋体" w:eastAsia="宋体" w:cs="宋体"/>
                <w:kern w:val="0"/>
                <w:sz w:val="24"/>
                <w:highlight w:val="none"/>
              </w:rPr>
              <w:t>招标文件的响应程度审查</w:t>
            </w:r>
          </w:p>
        </w:tc>
        <w:tc>
          <w:tcPr>
            <w:tcW w:w="2365" w:type="dxa"/>
            <w:vAlign w:val="center"/>
          </w:tcPr>
          <w:p>
            <w:pPr>
              <w:spacing w:line="288" w:lineRule="auto"/>
              <w:rPr>
                <w:rFonts w:hint="eastAsia" w:ascii="宋体" w:hAnsi="宋体" w:eastAsia="宋体" w:cs="宋体"/>
                <w:kern w:val="0"/>
                <w:sz w:val="24"/>
                <w:highlight w:val="none"/>
              </w:rPr>
            </w:pPr>
            <w:r>
              <w:rPr>
                <w:rFonts w:hint="eastAsia" w:ascii="宋体" w:hAnsi="宋体" w:eastAsia="宋体" w:cs="宋体"/>
                <w:sz w:val="24"/>
                <w:highlight w:val="none"/>
                <w:lang w:val="zh-CN"/>
              </w:rPr>
              <w:t>投标文件</w:t>
            </w:r>
            <w:r>
              <w:rPr>
                <w:rFonts w:hint="eastAsia" w:ascii="宋体" w:hAnsi="宋体" w:eastAsia="宋体" w:cs="宋体"/>
                <w:kern w:val="0"/>
                <w:sz w:val="24"/>
                <w:highlight w:val="none"/>
              </w:rPr>
              <w:t>内容</w:t>
            </w:r>
          </w:p>
        </w:tc>
        <w:tc>
          <w:tcPr>
            <w:tcW w:w="5815" w:type="dxa"/>
            <w:vAlign w:val="center"/>
          </w:tcPr>
          <w:p>
            <w:pPr>
              <w:pStyle w:val="9"/>
              <w:spacing w:line="288" w:lineRule="auto"/>
              <w:ind w:left="0" w:leftChars="0"/>
              <w:rPr>
                <w:rFonts w:hint="eastAsia" w:ascii="宋体" w:hAnsi="宋体" w:eastAsia="宋体" w:cs="宋体"/>
                <w:kern w:val="0"/>
                <w:sz w:val="24"/>
                <w:highlight w:val="none"/>
              </w:rPr>
            </w:pPr>
            <w:r>
              <w:rPr>
                <w:rFonts w:hint="eastAsia" w:ascii="宋体" w:hAnsi="宋体" w:eastAsia="宋体" w:cs="宋体"/>
                <w:kern w:val="0"/>
                <w:sz w:val="24"/>
                <w:highlight w:val="none"/>
              </w:rPr>
              <w:t>对招标文件规定的全部内容作出响应。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9" w:type="dxa"/>
            <w:vMerge w:val="continue"/>
            <w:vAlign w:val="center"/>
          </w:tcPr>
          <w:p>
            <w:pPr>
              <w:spacing w:line="288" w:lineRule="auto"/>
              <w:jc w:val="center"/>
              <w:rPr>
                <w:rFonts w:hint="eastAsia" w:ascii="宋体" w:hAnsi="宋体" w:eastAsia="宋体" w:cs="宋体"/>
                <w:kern w:val="0"/>
                <w:sz w:val="24"/>
                <w:highlight w:val="none"/>
              </w:rPr>
            </w:pPr>
          </w:p>
        </w:tc>
        <w:tc>
          <w:tcPr>
            <w:tcW w:w="1240" w:type="dxa"/>
            <w:vMerge w:val="continue"/>
            <w:vAlign w:val="center"/>
          </w:tcPr>
          <w:p>
            <w:pPr>
              <w:spacing w:line="288" w:lineRule="auto"/>
              <w:rPr>
                <w:rFonts w:hint="eastAsia" w:ascii="宋体" w:hAnsi="宋体" w:eastAsia="宋体" w:cs="宋体"/>
                <w:sz w:val="24"/>
                <w:highlight w:val="none"/>
                <w:lang w:val="zh-CN"/>
              </w:rPr>
            </w:pPr>
          </w:p>
        </w:tc>
        <w:tc>
          <w:tcPr>
            <w:tcW w:w="2365" w:type="dxa"/>
            <w:vAlign w:val="center"/>
          </w:tcPr>
          <w:p>
            <w:pPr>
              <w:spacing w:line="288" w:lineRule="auto"/>
              <w:rPr>
                <w:rFonts w:hint="eastAsia" w:ascii="宋体" w:hAnsi="宋体" w:eastAsia="宋体" w:cs="宋体"/>
                <w:kern w:val="0"/>
                <w:sz w:val="24"/>
                <w:highlight w:val="none"/>
              </w:rPr>
            </w:pPr>
            <w:r>
              <w:rPr>
                <w:rFonts w:hint="eastAsia" w:ascii="宋体" w:hAnsi="宋体" w:eastAsia="宋体" w:cs="宋体"/>
                <w:sz w:val="24"/>
                <w:highlight w:val="none"/>
                <w:lang w:val="zh-CN"/>
              </w:rPr>
              <w:t>投标文件</w:t>
            </w:r>
            <w:r>
              <w:rPr>
                <w:rFonts w:hint="eastAsia" w:ascii="宋体" w:hAnsi="宋体" w:eastAsia="宋体" w:cs="宋体"/>
                <w:kern w:val="0"/>
                <w:sz w:val="24"/>
                <w:highlight w:val="none"/>
              </w:rPr>
              <w:t>有效期</w:t>
            </w:r>
          </w:p>
        </w:tc>
        <w:tc>
          <w:tcPr>
            <w:tcW w:w="5815" w:type="dxa"/>
            <w:vAlign w:val="center"/>
          </w:tcPr>
          <w:p>
            <w:pPr>
              <w:spacing w:line="288" w:lineRule="auto"/>
              <w:rPr>
                <w:rFonts w:hint="eastAsia" w:ascii="宋体" w:hAnsi="宋体" w:eastAsia="宋体" w:cs="宋体"/>
                <w:kern w:val="0"/>
                <w:sz w:val="24"/>
                <w:highlight w:val="none"/>
              </w:rPr>
            </w:pPr>
            <w:r>
              <w:rPr>
                <w:rFonts w:hint="eastAsia" w:ascii="宋体" w:hAnsi="宋体" w:eastAsia="宋体" w:cs="宋体"/>
                <w:kern w:val="0"/>
                <w:sz w:val="24"/>
                <w:highlight w:val="none"/>
              </w:rPr>
              <w:t>满足招标文件</w:t>
            </w:r>
            <w:r>
              <w:rPr>
                <w:rFonts w:hint="eastAsia" w:ascii="宋体" w:hAnsi="宋体" w:eastAsia="宋体" w:cs="宋体"/>
                <w:sz w:val="24"/>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9" w:type="dxa"/>
            <w:vMerge w:val="continue"/>
            <w:vAlign w:val="center"/>
          </w:tcPr>
          <w:p>
            <w:pPr>
              <w:spacing w:line="288" w:lineRule="auto"/>
              <w:jc w:val="center"/>
              <w:rPr>
                <w:rFonts w:hint="eastAsia" w:ascii="宋体" w:hAnsi="宋体" w:eastAsia="宋体" w:cs="宋体"/>
                <w:kern w:val="0"/>
                <w:sz w:val="24"/>
                <w:highlight w:val="none"/>
              </w:rPr>
            </w:pPr>
          </w:p>
        </w:tc>
        <w:tc>
          <w:tcPr>
            <w:tcW w:w="1240" w:type="dxa"/>
            <w:vMerge w:val="continue"/>
            <w:vAlign w:val="center"/>
          </w:tcPr>
          <w:p>
            <w:pPr>
              <w:spacing w:line="288" w:lineRule="auto"/>
              <w:rPr>
                <w:rFonts w:hint="eastAsia" w:ascii="宋体" w:hAnsi="宋体" w:eastAsia="宋体" w:cs="宋体"/>
                <w:sz w:val="24"/>
                <w:highlight w:val="none"/>
                <w:lang w:val="zh-CN"/>
              </w:rPr>
            </w:pPr>
          </w:p>
        </w:tc>
        <w:tc>
          <w:tcPr>
            <w:tcW w:w="2365" w:type="dxa"/>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送货期</w:t>
            </w:r>
          </w:p>
        </w:tc>
        <w:tc>
          <w:tcPr>
            <w:tcW w:w="5815" w:type="dxa"/>
            <w:vAlign w:val="center"/>
          </w:tcPr>
          <w:p>
            <w:pPr>
              <w:spacing w:line="288" w:lineRule="auto"/>
              <w:rPr>
                <w:rFonts w:hint="eastAsia" w:ascii="宋体" w:hAnsi="宋体" w:eastAsia="宋体" w:cs="宋体"/>
                <w:sz w:val="24"/>
                <w:highlight w:val="none"/>
              </w:rPr>
            </w:pPr>
            <w:r>
              <w:rPr>
                <w:rFonts w:hint="eastAsia" w:ascii="宋体" w:hAnsi="宋体" w:eastAsia="宋体" w:cs="宋体"/>
                <w:sz w:val="24"/>
                <w:highlight w:val="none"/>
                <w:lang w:val="zh-CN"/>
              </w:rPr>
              <w:t>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9" w:type="dxa"/>
            <w:vMerge w:val="continue"/>
            <w:vAlign w:val="center"/>
          </w:tcPr>
          <w:p>
            <w:pPr>
              <w:spacing w:line="288" w:lineRule="auto"/>
              <w:jc w:val="center"/>
              <w:rPr>
                <w:rFonts w:hint="eastAsia" w:ascii="宋体" w:hAnsi="宋体" w:eastAsia="宋体" w:cs="宋体"/>
                <w:kern w:val="0"/>
                <w:sz w:val="24"/>
                <w:highlight w:val="none"/>
              </w:rPr>
            </w:pPr>
          </w:p>
        </w:tc>
        <w:tc>
          <w:tcPr>
            <w:tcW w:w="1240" w:type="dxa"/>
            <w:vMerge w:val="continue"/>
            <w:vAlign w:val="center"/>
          </w:tcPr>
          <w:p>
            <w:pPr>
              <w:spacing w:line="288" w:lineRule="auto"/>
              <w:rPr>
                <w:rFonts w:hint="eastAsia" w:ascii="宋体" w:hAnsi="宋体" w:eastAsia="宋体" w:cs="宋体"/>
                <w:sz w:val="24"/>
                <w:highlight w:val="none"/>
                <w:lang w:val="zh-CN"/>
              </w:rPr>
            </w:pPr>
          </w:p>
        </w:tc>
        <w:tc>
          <w:tcPr>
            <w:tcW w:w="2365" w:type="dxa"/>
            <w:vAlign w:val="center"/>
          </w:tcPr>
          <w:p>
            <w:pPr>
              <w:spacing w:line="288" w:lineRule="auto"/>
              <w:rPr>
                <w:rFonts w:hint="eastAsia" w:ascii="宋体" w:hAnsi="宋体" w:eastAsia="宋体" w:cs="宋体"/>
                <w:sz w:val="24"/>
                <w:highlight w:val="none"/>
              </w:rPr>
            </w:pPr>
            <w:r>
              <w:rPr>
                <w:rFonts w:hint="eastAsia" w:ascii="宋体" w:hAnsi="宋体" w:eastAsia="宋体" w:cs="宋体"/>
                <w:sz w:val="24"/>
                <w:highlight w:val="none"/>
                <w:lang w:val="zh-CN"/>
              </w:rPr>
              <w:t>其他</w:t>
            </w:r>
          </w:p>
        </w:tc>
        <w:tc>
          <w:tcPr>
            <w:tcW w:w="5815" w:type="dxa"/>
            <w:vAlign w:val="center"/>
          </w:tcPr>
          <w:p>
            <w:pPr>
              <w:spacing w:line="288" w:lineRule="auto"/>
              <w:rPr>
                <w:rFonts w:hint="eastAsia" w:ascii="宋体" w:hAnsi="宋体" w:eastAsia="宋体" w:cs="宋体"/>
                <w:sz w:val="24"/>
                <w:highlight w:val="none"/>
              </w:rPr>
            </w:pPr>
            <w:r>
              <w:rPr>
                <w:rFonts w:hint="eastAsia" w:ascii="宋体" w:hAnsi="宋体" w:eastAsia="宋体" w:cs="宋体"/>
                <w:sz w:val="24"/>
                <w:highlight w:val="none"/>
                <w:lang w:val="zh-CN"/>
              </w:rPr>
              <w:t>满足招标文件相关规定。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9" w:type="dxa"/>
            <w:vMerge w:val="continue"/>
            <w:vAlign w:val="center"/>
          </w:tcPr>
          <w:p>
            <w:pPr>
              <w:spacing w:line="288" w:lineRule="auto"/>
              <w:jc w:val="center"/>
              <w:rPr>
                <w:rFonts w:hint="eastAsia" w:ascii="宋体" w:hAnsi="宋体" w:eastAsia="宋体" w:cs="宋体"/>
                <w:kern w:val="0"/>
                <w:sz w:val="24"/>
                <w:highlight w:val="none"/>
              </w:rPr>
            </w:pPr>
          </w:p>
        </w:tc>
        <w:tc>
          <w:tcPr>
            <w:tcW w:w="1240" w:type="dxa"/>
            <w:vMerge w:val="continue"/>
            <w:vAlign w:val="center"/>
          </w:tcPr>
          <w:p>
            <w:pPr>
              <w:spacing w:line="288" w:lineRule="auto"/>
              <w:rPr>
                <w:rFonts w:hint="eastAsia" w:ascii="宋体" w:hAnsi="宋体" w:eastAsia="宋体" w:cs="宋体"/>
                <w:sz w:val="24"/>
                <w:highlight w:val="none"/>
                <w:lang w:val="zh-CN"/>
              </w:rPr>
            </w:pPr>
          </w:p>
        </w:tc>
        <w:tc>
          <w:tcPr>
            <w:tcW w:w="2365" w:type="dxa"/>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必须满足的技术及服务标准</w:t>
            </w:r>
          </w:p>
        </w:tc>
        <w:tc>
          <w:tcPr>
            <w:tcW w:w="5815" w:type="dxa"/>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满足招标文件相关规定。</w:t>
            </w:r>
          </w:p>
        </w:tc>
      </w:tr>
    </w:tbl>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注：以上评审内容，有一项不通过者，视为投标人初步评审不通过，未通过</w:t>
      </w:r>
      <w:r>
        <w:rPr>
          <w:rFonts w:hint="eastAsia" w:ascii="宋体" w:hAnsi="宋体" w:eastAsia="宋体" w:cs="宋体"/>
          <w:b/>
          <w:sz w:val="24"/>
          <w:szCs w:val="22"/>
          <w:highlight w:val="none"/>
        </w:rPr>
        <w:t>初审</w:t>
      </w:r>
      <w:r>
        <w:rPr>
          <w:rFonts w:hint="eastAsia" w:ascii="宋体" w:hAnsi="宋体" w:eastAsia="宋体" w:cs="宋体"/>
          <w:b/>
          <w:sz w:val="24"/>
          <w:highlight w:val="none"/>
        </w:rPr>
        <w:t>的其投标文件将按照无效响应处理。</w:t>
      </w: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3、评标办法（综合评分法）</w:t>
      </w:r>
    </w:p>
    <w:tbl>
      <w:tblPr>
        <w:tblStyle w:val="17"/>
        <w:tblpPr w:leftFromText="180" w:rightFromText="180" w:vertAnchor="text" w:horzAnchor="page" w:tblpX="1158" w:tblpY="249"/>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257"/>
        <w:gridCol w:w="676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45" w:type="dxa"/>
            <w:noWrap w:val="0"/>
            <w:textDirection w:val="tbRlV"/>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序号</w:t>
            </w:r>
          </w:p>
        </w:tc>
        <w:tc>
          <w:tcPr>
            <w:tcW w:w="1257"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评审指标         (100)</w:t>
            </w:r>
          </w:p>
        </w:tc>
        <w:tc>
          <w:tcPr>
            <w:tcW w:w="6765"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评审标准</w:t>
            </w:r>
          </w:p>
        </w:tc>
        <w:tc>
          <w:tcPr>
            <w:tcW w:w="750"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445" w:type="dxa"/>
            <w:noWrap w:val="0"/>
            <w:textDirection w:val="lrTbV"/>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1</w:t>
            </w:r>
          </w:p>
        </w:tc>
        <w:tc>
          <w:tcPr>
            <w:tcW w:w="1257"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投标报价 （30分）</w:t>
            </w:r>
          </w:p>
        </w:tc>
        <w:tc>
          <w:tcPr>
            <w:tcW w:w="6765"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本项目中的价格分统一采用低价优先法计算，即满足招标文件要求且投标价格最低的投标报价为评标基准价，其价格分为满分30分。其他投标人的价格分统一按照下列公式计算：投标报价得分=(评标基准价／投标报价)×</w:t>
            </w:r>
            <w:r>
              <w:rPr>
                <w:rFonts w:hint="eastAsia" w:ascii="宋体" w:hAnsi="宋体" w:eastAsia="宋体" w:cs="宋体"/>
                <w:sz w:val="24"/>
                <w:highlight w:val="none"/>
                <w:lang w:val="en-US" w:eastAsia="zh-CN"/>
              </w:rPr>
              <w:t>30%</w:t>
            </w:r>
            <w:r>
              <w:rPr>
                <w:rFonts w:hint="eastAsia" w:ascii="宋体" w:hAnsi="宋体" w:eastAsia="宋体" w:cs="宋体"/>
                <w:sz w:val="24"/>
                <w:highlight w:val="none"/>
                <w:lang w:val="zh-CN"/>
              </w:rPr>
              <w:t>*100。</w:t>
            </w:r>
          </w:p>
        </w:tc>
        <w:tc>
          <w:tcPr>
            <w:tcW w:w="750"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45" w:type="dxa"/>
            <w:vMerge w:val="restart"/>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2</w:t>
            </w:r>
          </w:p>
        </w:tc>
        <w:tc>
          <w:tcPr>
            <w:tcW w:w="1257" w:type="dxa"/>
            <w:vMerge w:val="restart"/>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企业综合实力（13分）</w:t>
            </w:r>
          </w:p>
        </w:tc>
        <w:tc>
          <w:tcPr>
            <w:tcW w:w="6765"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企业实力较强，经营情况良好，财务审计报告完善（附相关证明材料）。</w:t>
            </w:r>
          </w:p>
        </w:tc>
        <w:tc>
          <w:tcPr>
            <w:tcW w:w="750"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0</w:t>
            </w:r>
            <w:r>
              <w:rPr>
                <w:rFonts w:hint="eastAsia" w:ascii="宋体" w:hAnsi="宋体" w:eastAsia="宋体" w:cs="宋体"/>
                <w:sz w:val="24"/>
                <w:highlight w:val="none"/>
                <w:lang w:val="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45" w:type="dxa"/>
            <w:vMerge w:val="continue"/>
            <w:noWrap w:val="0"/>
            <w:vAlign w:val="center"/>
          </w:tcPr>
          <w:p>
            <w:pPr>
              <w:spacing w:line="288" w:lineRule="auto"/>
              <w:rPr>
                <w:rFonts w:hint="eastAsia" w:ascii="宋体" w:hAnsi="宋体" w:eastAsia="宋体" w:cs="宋体"/>
                <w:sz w:val="24"/>
                <w:highlight w:val="none"/>
                <w:lang w:val="zh-CN"/>
              </w:rPr>
            </w:pPr>
          </w:p>
        </w:tc>
        <w:tc>
          <w:tcPr>
            <w:tcW w:w="1257" w:type="dxa"/>
            <w:vMerge w:val="continue"/>
            <w:noWrap w:val="0"/>
            <w:vAlign w:val="center"/>
          </w:tcPr>
          <w:p>
            <w:pPr>
              <w:spacing w:line="288" w:lineRule="auto"/>
              <w:rPr>
                <w:rFonts w:hint="eastAsia" w:ascii="宋体" w:hAnsi="宋体" w:eastAsia="宋体" w:cs="宋体"/>
                <w:sz w:val="24"/>
                <w:highlight w:val="none"/>
                <w:lang w:val="zh-CN"/>
              </w:rPr>
            </w:pPr>
          </w:p>
        </w:tc>
        <w:tc>
          <w:tcPr>
            <w:tcW w:w="6765"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针对采购项目，专业技术人员配置齐全，能保证项目正常运行。</w:t>
            </w:r>
          </w:p>
        </w:tc>
        <w:tc>
          <w:tcPr>
            <w:tcW w:w="750"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0</w:t>
            </w:r>
            <w:r>
              <w:rPr>
                <w:rFonts w:hint="eastAsia" w:ascii="宋体" w:hAnsi="宋体" w:eastAsia="宋体" w:cs="宋体"/>
                <w:sz w:val="24"/>
                <w:highlight w:val="none"/>
                <w:lang w:val="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445" w:type="dxa"/>
            <w:vMerge w:val="continue"/>
            <w:noWrap w:val="0"/>
            <w:vAlign w:val="center"/>
          </w:tcPr>
          <w:p>
            <w:pPr>
              <w:spacing w:line="288" w:lineRule="auto"/>
              <w:rPr>
                <w:rFonts w:hint="eastAsia" w:ascii="宋体" w:hAnsi="宋体" w:eastAsia="宋体" w:cs="宋体"/>
                <w:sz w:val="24"/>
                <w:highlight w:val="none"/>
                <w:lang w:val="zh-CN"/>
              </w:rPr>
            </w:pPr>
          </w:p>
        </w:tc>
        <w:tc>
          <w:tcPr>
            <w:tcW w:w="1257" w:type="dxa"/>
            <w:vMerge w:val="continue"/>
            <w:noWrap w:val="0"/>
            <w:vAlign w:val="center"/>
          </w:tcPr>
          <w:p>
            <w:pPr>
              <w:spacing w:line="288" w:lineRule="auto"/>
              <w:rPr>
                <w:rFonts w:hint="eastAsia" w:ascii="宋体" w:hAnsi="宋体" w:eastAsia="宋体" w:cs="宋体"/>
                <w:sz w:val="24"/>
                <w:highlight w:val="none"/>
                <w:lang w:val="zh-CN"/>
              </w:rPr>
            </w:pPr>
          </w:p>
        </w:tc>
        <w:tc>
          <w:tcPr>
            <w:tcW w:w="6765"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企业信用等级</w:t>
            </w:r>
            <w:r>
              <w:rPr>
                <w:rFonts w:hint="eastAsia" w:ascii="宋体" w:hAnsi="宋体" w:eastAsia="宋体" w:cs="宋体"/>
                <w:sz w:val="24"/>
                <w:highlight w:val="none"/>
                <w:lang w:val="en-US" w:eastAsia="zh-CN"/>
              </w:rPr>
              <w:t>1分</w:t>
            </w:r>
            <w:r>
              <w:rPr>
                <w:rFonts w:hint="eastAsia" w:ascii="宋体" w:hAnsi="宋体" w:eastAsia="宋体" w:cs="宋体"/>
                <w:sz w:val="24"/>
                <w:highlight w:val="none"/>
                <w:lang w:val="zh-CN"/>
              </w:rPr>
              <w:t>、商业信誉</w:t>
            </w:r>
            <w:r>
              <w:rPr>
                <w:rFonts w:hint="eastAsia" w:ascii="宋体" w:hAnsi="宋体" w:eastAsia="宋体" w:cs="宋体"/>
                <w:sz w:val="24"/>
                <w:highlight w:val="none"/>
                <w:lang w:val="en-US" w:eastAsia="zh-CN"/>
              </w:rPr>
              <w:t>1分</w:t>
            </w:r>
            <w:r>
              <w:rPr>
                <w:rFonts w:hint="eastAsia" w:ascii="宋体" w:hAnsi="宋体" w:eastAsia="宋体" w:cs="宋体"/>
                <w:sz w:val="24"/>
                <w:highlight w:val="none"/>
                <w:lang w:val="zh-CN"/>
              </w:rPr>
              <w:t>、生产企业具有国际质量体系认证</w:t>
            </w:r>
            <w:r>
              <w:rPr>
                <w:rFonts w:hint="eastAsia" w:ascii="宋体" w:hAnsi="宋体" w:eastAsia="宋体" w:cs="宋体"/>
                <w:sz w:val="24"/>
                <w:highlight w:val="none"/>
                <w:lang w:val="en-US" w:eastAsia="zh-CN"/>
              </w:rPr>
              <w:t>2分</w:t>
            </w:r>
            <w:r>
              <w:rPr>
                <w:rFonts w:hint="eastAsia" w:ascii="宋体" w:hAnsi="宋体" w:eastAsia="宋体" w:cs="宋体"/>
                <w:sz w:val="24"/>
                <w:highlight w:val="none"/>
                <w:lang w:val="zh-CN"/>
              </w:rPr>
              <w:t>、国内质量体系认证</w:t>
            </w:r>
            <w:r>
              <w:rPr>
                <w:rFonts w:hint="eastAsia" w:ascii="宋体" w:hAnsi="宋体" w:eastAsia="宋体" w:cs="宋体"/>
                <w:sz w:val="24"/>
                <w:highlight w:val="none"/>
                <w:lang w:val="en-US" w:eastAsia="zh-CN"/>
              </w:rPr>
              <w:t>1分</w:t>
            </w:r>
            <w:r>
              <w:rPr>
                <w:rFonts w:hint="eastAsia" w:ascii="宋体" w:hAnsi="宋体" w:eastAsia="宋体" w:cs="宋体"/>
                <w:sz w:val="24"/>
                <w:highlight w:val="none"/>
                <w:lang w:val="zh-CN"/>
              </w:rPr>
              <w:t>，以此推断投标人的企业信誉，并能提供真实证明文件的得1-5分；不提供的得0分。</w:t>
            </w:r>
          </w:p>
        </w:tc>
        <w:tc>
          <w:tcPr>
            <w:tcW w:w="750"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445" w:type="dxa"/>
            <w:vMerge w:val="restart"/>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3</w:t>
            </w:r>
          </w:p>
        </w:tc>
        <w:tc>
          <w:tcPr>
            <w:tcW w:w="1257" w:type="dxa"/>
            <w:vMerge w:val="restart"/>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企业业绩与信誉（12分）</w:t>
            </w:r>
          </w:p>
        </w:tc>
        <w:tc>
          <w:tcPr>
            <w:tcW w:w="6765"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近三年（自201</w:t>
            </w:r>
            <w:r>
              <w:rPr>
                <w:rFonts w:hint="eastAsia" w:ascii="宋体" w:hAnsi="宋体" w:cs="宋体"/>
                <w:sz w:val="24"/>
                <w:highlight w:val="none"/>
                <w:lang w:val="en-US" w:eastAsia="zh-CN"/>
              </w:rPr>
              <w:t>9</w:t>
            </w:r>
            <w:r>
              <w:rPr>
                <w:rFonts w:hint="eastAsia" w:ascii="宋体" w:hAnsi="宋体" w:eastAsia="宋体" w:cs="宋体"/>
                <w:sz w:val="24"/>
                <w:highlight w:val="none"/>
                <w:lang w:val="zh-CN"/>
              </w:rPr>
              <w:t>年1月1日至今）内具有同类项目业绩（附相关证明材料并加盖公章）每项加1分，最多得6分，无证明材料得0分。</w:t>
            </w:r>
          </w:p>
        </w:tc>
        <w:tc>
          <w:tcPr>
            <w:tcW w:w="750"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45" w:type="dxa"/>
            <w:vMerge w:val="continue"/>
            <w:noWrap w:val="0"/>
            <w:vAlign w:val="center"/>
          </w:tcPr>
          <w:p>
            <w:pPr>
              <w:spacing w:line="288" w:lineRule="auto"/>
              <w:rPr>
                <w:rFonts w:hint="eastAsia" w:ascii="宋体" w:hAnsi="宋体" w:eastAsia="宋体" w:cs="宋体"/>
                <w:sz w:val="24"/>
                <w:highlight w:val="none"/>
                <w:lang w:val="zh-CN"/>
              </w:rPr>
            </w:pPr>
          </w:p>
        </w:tc>
        <w:tc>
          <w:tcPr>
            <w:tcW w:w="1257" w:type="dxa"/>
            <w:vMerge w:val="continue"/>
            <w:noWrap w:val="0"/>
            <w:vAlign w:val="center"/>
          </w:tcPr>
          <w:p>
            <w:pPr>
              <w:spacing w:line="288" w:lineRule="auto"/>
              <w:rPr>
                <w:rFonts w:hint="eastAsia" w:ascii="宋体" w:hAnsi="宋体" w:eastAsia="宋体" w:cs="宋体"/>
                <w:sz w:val="24"/>
                <w:highlight w:val="none"/>
                <w:lang w:val="zh-CN"/>
              </w:rPr>
            </w:pPr>
          </w:p>
        </w:tc>
        <w:tc>
          <w:tcPr>
            <w:tcW w:w="6765"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企业信誉度较高，售后反馈意见良好。每</w:t>
            </w:r>
            <w:r>
              <w:rPr>
                <w:rFonts w:hint="eastAsia" w:ascii="宋体" w:hAnsi="宋体" w:cs="宋体"/>
                <w:sz w:val="24"/>
                <w:highlight w:val="none"/>
                <w:lang w:val="zh-CN"/>
              </w:rPr>
              <w:t>提供一</w:t>
            </w:r>
            <w:r>
              <w:rPr>
                <w:rFonts w:hint="eastAsia" w:ascii="宋体" w:hAnsi="宋体" w:eastAsia="宋体" w:cs="宋体"/>
                <w:sz w:val="24"/>
                <w:highlight w:val="none"/>
                <w:lang w:val="zh-CN"/>
              </w:rPr>
              <w:t>项</w:t>
            </w:r>
            <w:r>
              <w:rPr>
                <w:rFonts w:hint="eastAsia" w:ascii="宋体" w:hAnsi="宋体" w:cs="宋体"/>
                <w:sz w:val="24"/>
                <w:highlight w:val="none"/>
                <w:lang w:val="zh-CN"/>
              </w:rPr>
              <w:t>反馈意见</w:t>
            </w:r>
            <w:r>
              <w:rPr>
                <w:rFonts w:hint="eastAsia" w:ascii="宋体" w:hAnsi="宋体" w:eastAsia="宋体" w:cs="宋体"/>
                <w:sz w:val="24"/>
                <w:highlight w:val="none"/>
                <w:lang w:val="zh-CN"/>
              </w:rPr>
              <w:t>加1分，0-3分（附相关证明材料加盖公章）</w:t>
            </w:r>
          </w:p>
        </w:tc>
        <w:tc>
          <w:tcPr>
            <w:tcW w:w="750"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445" w:type="dxa"/>
            <w:vMerge w:val="continue"/>
            <w:noWrap w:val="0"/>
            <w:vAlign w:val="center"/>
          </w:tcPr>
          <w:p>
            <w:pPr>
              <w:spacing w:line="288" w:lineRule="auto"/>
              <w:rPr>
                <w:rFonts w:hint="eastAsia" w:ascii="宋体" w:hAnsi="宋体" w:eastAsia="宋体" w:cs="宋体"/>
                <w:sz w:val="24"/>
                <w:highlight w:val="none"/>
                <w:lang w:val="zh-CN"/>
              </w:rPr>
            </w:pPr>
          </w:p>
        </w:tc>
        <w:tc>
          <w:tcPr>
            <w:tcW w:w="1257" w:type="dxa"/>
            <w:vMerge w:val="continue"/>
            <w:noWrap w:val="0"/>
            <w:vAlign w:val="center"/>
          </w:tcPr>
          <w:p>
            <w:pPr>
              <w:spacing w:line="288" w:lineRule="auto"/>
              <w:rPr>
                <w:rFonts w:hint="eastAsia" w:ascii="宋体" w:hAnsi="宋体" w:eastAsia="宋体" w:cs="宋体"/>
                <w:sz w:val="24"/>
                <w:highlight w:val="none"/>
                <w:lang w:val="zh-CN"/>
              </w:rPr>
            </w:pPr>
          </w:p>
        </w:tc>
        <w:tc>
          <w:tcPr>
            <w:tcW w:w="6765"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近三年（自201</w:t>
            </w:r>
            <w:r>
              <w:rPr>
                <w:rFonts w:hint="eastAsia" w:ascii="宋体" w:hAnsi="宋体" w:cs="宋体"/>
                <w:sz w:val="24"/>
                <w:highlight w:val="none"/>
                <w:lang w:val="en-US" w:eastAsia="zh-CN"/>
              </w:rPr>
              <w:t>9</w:t>
            </w:r>
            <w:r>
              <w:rPr>
                <w:rFonts w:hint="eastAsia" w:ascii="宋体" w:hAnsi="宋体" w:eastAsia="宋体" w:cs="宋体"/>
                <w:sz w:val="24"/>
                <w:highlight w:val="none"/>
                <w:lang w:val="zh-CN"/>
              </w:rPr>
              <w:t>年1月1日至今）的获奖、荣誉证书等能够体现企业信誉及其它与本项目有关的能证明企业实力的各项证明资料（附相关证明材料加盖公章），每项加1分，0-3分。</w:t>
            </w:r>
          </w:p>
        </w:tc>
        <w:tc>
          <w:tcPr>
            <w:tcW w:w="750"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445"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4</w:t>
            </w:r>
          </w:p>
        </w:tc>
        <w:tc>
          <w:tcPr>
            <w:tcW w:w="1257"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项目组织配置与服务方案（3分）</w:t>
            </w:r>
          </w:p>
        </w:tc>
        <w:tc>
          <w:tcPr>
            <w:tcW w:w="6765"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完全响应项目采购需求，提供完整详尽的工作组织、人员配备、实施计划及时间进度安排，并按照计划进度开展工作。计划详细安排合理的得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lang w:val="zh-CN"/>
              </w:rPr>
              <w:t>-3分，基本详细合理的得0-1分。</w:t>
            </w:r>
          </w:p>
        </w:tc>
        <w:tc>
          <w:tcPr>
            <w:tcW w:w="750"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445"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5</w:t>
            </w:r>
          </w:p>
        </w:tc>
        <w:tc>
          <w:tcPr>
            <w:tcW w:w="1257"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供货方案及保证措施（15分）</w:t>
            </w:r>
          </w:p>
        </w:tc>
        <w:tc>
          <w:tcPr>
            <w:tcW w:w="6765" w:type="dxa"/>
            <w:noWrap w:val="0"/>
            <w:vAlign w:val="center"/>
          </w:tcPr>
          <w:p>
            <w:pPr>
              <w:numPr>
                <w:ilvl w:val="0"/>
                <w:numId w:val="8"/>
              </w:num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根据投标人编制的供货方案详细及齐全程度、组织方案是否合理，包括配送安全管理制度；</w:t>
            </w:r>
            <w:r>
              <w:rPr>
                <w:rFonts w:hint="eastAsia" w:ascii="宋体" w:hAnsi="宋体" w:eastAsia="宋体" w:cs="宋体"/>
                <w:sz w:val="24"/>
                <w:highlight w:val="none"/>
                <w:lang w:val="en-US" w:eastAsia="zh-CN"/>
              </w:rPr>
              <w:t>0-5分</w:t>
            </w:r>
          </w:p>
          <w:p>
            <w:pPr>
              <w:numPr>
                <w:ilvl w:val="0"/>
                <w:numId w:val="8"/>
              </w:num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配送服务计划和措施；</w:t>
            </w:r>
            <w:r>
              <w:rPr>
                <w:rFonts w:hint="eastAsia" w:ascii="宋体" w:hAnsi="宋体" w:eastAsia="宋体" w:cs="宋体"/>
                <w:sz w:val="24"/>
                <w:highlight w:val="none"/>
                <w:lang w:val="en-US" w:eastAsia="zh-CN"/>
              </w:rPr>
              <w:t>0-5分</w:t>
            </w:r>
          </w:p>
          <w:p>
            <w:pPr>
              <w:numPr>
                <w:ilvl w:val="0"/>
                <w:numId w:val="8"/>
              </w:num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自然灾害和突发意外等情况下的应急预案。</w:t>
            </w:r>
            <w:r>
              <w:rPr>
                <w:rFonts w:hint="eastAsia" w:ascii="宋体" w:hAnsi="宋体" w:eastAsia="宋体" w:cs="宋体"/>
                <w:sz w:val="24"/>
                <w:highlight w:val="none"/>
                <w:lang w:val="en-US" w:eastAsia="zh-CN"/>
              </w:rPr>
              <w:t>0-5分</w:t>
            </w:r>
          </w:p>
          <w:p>
            <w:pPr>
              <w:numPr>
                <w:ilvl w:val="0"/>
                <w:numId w:val="0"/>
              </w:num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安全性和可行可靠等方面进行评分。</w:t>
            </w:r>
          </w:p>
        </w:tc>
        <w:tc>
          <w:tcPr>
            <w:tcW w:w="750"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445" w:type="dxa"/>
            <w:vMerge w:val="restart"/>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6</w:t>
            </w:r>
          </w:p>
        </w:tc>
        <w:tc>
          <w:tcPr>
            <w:tcW w:w="1257" w:type="dxa"/>
            <w:vMerge w:val="restart"/>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质量保证措施（10分）</w:t>
            </w:r>
          </w:p>
        </w:tc>
        <w:tc>
          <w:tcPr>
            <w:tcW w:w="6765"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质量保证体系的建立健全程度、质量管理方案及解决质量问题的措施等。措施完善可行的得3-5，保证措施基本完善可行的得1-3分，无保证措施的不得分。</w:t>
            </w:r>
          </w:p>
        </w:tc>
        <w:tc>
          <w:tcPr>
            <w:tcW w:w="750"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445" w:type="dxa"/>
            <w:vMerge w:val="continue"/>
            <w:noWrap w:val="0"/>
            <w:vAlign w:val="center"/>
          </w:tcPr>
          <w:p>
            <w:pPr>
              <w:spacing w:line="288" w:lineRule="auto"/>
              <w:rPr>
                <w:rFonts w:hint="eastAsia" w:ascii="宋体" w:hAnsi="宋体" w:eastAsia="宋体" w:cs="宋体"/>
                <w:sz w:val="24"/>
                <w:highlight w:val="none"/>
                <w:lang w:val="zh-CN"/>
              </w:rPr>
            </w:pPr>
          </w:p>
        </w:tc>
        <w:tc>
          <w:tcPr>
            <w:tcW w:w="1257" w:type="dxa"/>
            <w:vMerge w:val="continue"/>
            <w:noWrap w:val="0"/>
            <w:vAlign w:val="center"/>
          </w:tcPr>
          <w:p>
            <w:pPr>
              <w:spacing w:line="288" w:lineRule="auto"/>
              <w:rPr>
                <w:rFonts w:hint="eastAsia" w:ascii="宋体" w:hAnsi="宋体" w:eastAsia="宋体" w:cs="宋体"/>
                <w:sz w:val="24"/>
                <w:highlight w:val="none"/>
                <w:lang w:val="zh-CN"/>
              </w:rPr>
            </w:pPr>
          </w:p>
        </w:tc>
        <w:tc>
          <w:tcPr>
            <w:tcW w:w="6765"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投标人负责提供保证采购需求的数量、质量符合采购人及国家规定的相关标准；有切实可行的保证措施。保证措施完善可行的得3-5，保证措施基本完善可行的得1-3分，无保证措施的不得分。</w:t>
            </w:r>
          </w:p>
        </w:tc>
        <w:tc>
          <w:tcPr>
            <w:tcW w:w="750"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445"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7</w:t>
            </w:r>
          </w:p>
        </w:tc>
        <w:tc>
          <w:tcPr>
            <w:tcW w:w="1257"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产品质量认证（8分）</w:t>
            </w:r>
          </w:p>
        </w:tc>
        <w:tc>
          <w:tcPr>
            <w:tcW w:w="6765"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获得国际权威机构认证的得5分；获得国内权威机构认证的得0-3分；两项齐全的得8分。</w:t>
            </w:r>
          </w:p>
        </w:tc>
        <w:tc>
          <w:tcPr>
            <w:tcW w:w="750"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445"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8</w:t>
            </w:r>
          </w:p>
        </w:tc>
        <w:tc>
          <w:tcPr>
            <w:tcW w:w="1257"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服务及实质性的承诺</w:t>
            </w:r>
          </w:p>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（6）</w:t>
            </w:r>
          </w:p>
        </w:tc>
        <w:tc>
          <w:tcPr>
            <w:tcW w:w="6765"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根据投标人对项目实施过程中的服务及实质性承诺及有效措施等内容进行评分。能提出实施过程中可能存在的问题并提出了明确详细的合理性建议得4-6分，较明确合理的得3-4分，一般基本明确的得1-2分，未明确的不得分。</w:t>
            </w:r>
          </w:p>
        </w:tc>
        <w:tc>
          <w:tcPr>
            <w:tcW w:w="750"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445"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9</w:t>
            </w:r>
          </w:p>
        </w:tc>
        <w:tc>
          <w:tcPr>
            <w:tcW w:w="1257"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投标文件编制质量及答辩情况（3）</w:t>
            </w:r>
          </w:p>
        </w:tc>
        <w:tc>
          <w:tcPr>
            <w:tcW w:w="6765"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投标人根据招标文件条款和要求认真组织编写投标文件及相关工作。投标文件编制水平高，根据技术方案内容详细完整情况得1-3分。</w:t>
            </w:r>
          </w:p>
        </w:tc>
        <w:tc>
          <w:tcPr>
            <w:tcW w:w="750"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467" w:type="dxa"/>
            <w:gridSpan w:val="3"/>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评审得分合计</w:t>
            </w:r>
          </w:p>
        </w:tc>
        <w:tc>
          <w:tcPr>
            <w:tcW w:w="750" w:type="dxa"/>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467" w:type="dxa"/>
            <w:gridSpan w:val="3"/>
            <w:noWrap w:val="0"/>
            <w:vAlign w:val="center"/>
          </w:tcPr>
          <w:p>
            <w:pPr>
              <w:spacing w:line="288"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注：评分计算结果保留两位小数，第三位小数四舍五入。</w:t>
            </w:r>
          </w:p>
        </w:tc>
        <w:tc>
          <w:tcPr>
            <w:tcW w:w="750" w:type="dxa"/>
            <w:noWrap w:val="0"/>
            <w:vAlign w:val="center"/>
          </w:tcPr>
          <w:p>
            <w:pPr>
              <w:spacing w:line="288" w:lineRule="auto"/>
              <w:rPr>
                <w:rFonts w:hint="eastAsia" w:ascii="宋体" w:hAnsi="宋体" w:eastAsia="宋体" w:cs="宋体"/>
                <w:sz w:val="24"/>
                <w:highlight w:val="none"/>
                <w:lang w:val="zh-CN"/>
              </w:rPr>
            </w:pPr>
          </w:p>
        </w:tc>
      </w:tr>
    </w:tbl>
    <w:p>
      <w:pPr>
        <w:spacing w:line="288" w:lineRule="auto"/>
        <w:rPr>
          <w:rFonts w:hint="eastAsia" w:ascii="宋体" w:hAnsi="宋体" w:eastAsia="宋体" w:cs="宋体"/>
          <w:sz w:val="24"/>
          <w:highlight w:val="none"/>
          <w:lang w:val="zh-CN"/>
        </w:rPr>
      </w:pPr>
    </w:p>
    <w:p>
      <w:pPr>
        <w:spacing w:line="288" w:lineRule="auto"/>
        <w:rPr>
          <w:rFonts w:hint="eastAsia" w:ascii="宋体" w:hAnsi="宋体" w:eastAsia="宋体" w:cs="宋体"/>
          <w:sz w:val="24"/>
          <w:highlight w:val="none"/>
          <w:lang w:val="zh-CN"/>
        </w:rPr>
      </w:pPr>
    </w:p>
    <w:p>
      <w:pPr>
        <w:spacing w:line="288" w:lineRule="auto"/>
        <w:rPr>
          <w:rFonts w:hint="eastAsia" w:ascii="宋体" w:hAnsi="宋体" w:eastAsia="宋体" w:cs="宋体"/>
          <w:sz w:val="24"/>
          <w:highlight w:val="none"/>
          <w:lang w:val="zh-CN"/>
        </w:rPr>
      </w:pPr>
    </w:p>
    <w:p>
      <w:pPr>
        <w:spacing w:line="288" w:lineRule="auto"/>
        <w:rPr>
          <w:rFonts w:hint="eastAsia" w:ascii="宋体" w:hAnsi="宋体" w:eastAsia="宋体" w:cs="宋体"/>
          <w:sz w:val="24"/>
          <w:highlight w:val="none"/>
          <w:lang w:val="zh-CN"/>
        </w:rPr>
      </w:pPr>
    </w:p>
    <w:p>
      <w:pPr>
        <w:spacing w:line="288" w:lineRule="auto"/>
        <w:rPr>
          <w:rFonts w:hint="eastAsia" w:ascii="宋体" w:hAnsi="宋体" w:eastAsia="宋体" w:cs="宋体"/>
          <w:sz w:val="24"/>
          <w:highlight w:val="none"/>
          <w:lang w:val="zh-CN"/>
        </w:rPr>
      </w:pPr>
    </w:p>
    <w:p>
      <w:pPr>
        <w:spacing w:line="288" w:lineRule="auto"/>
        <w:rPr>
          <w:rFonts w:hint="eastAsia" w:ascii="宋体" w:hAnsi="宋体" w:eastAsia="宋体" w:cs="宋体"/>
          <w:sz w:val="24"/>
          <w:highlight w:val="none"/>
          <w:lang w:val="zh-CN"/>
        </w:rPr>
      </w:pPr>
    </w:p>
    <w:p>
      <w:pPr>
        <w:spacing w:line="288" w:lineRule="auto"/>
        <w:rPr>
          <w:rFonts w:hint="eastAsia" w:ascii="宋体" w:hAnsi="宋体" w:eastAsia="宋体" w:cs="宋体"/>
          <w:sz w:val="24"/>
          <w:highlight w:val="none"/>
          <w:lang w:val="zh-CN"/>
        </w:rPr>
      </w:pPr>
    </w:p>
    <w:p>
      <w:pPr>
        <w:spacing w:line="288" w:lineRule="auto"/>
        <w:rPr>
          <w:rFonts w:hint="eastAsia" w:ascii="宋体" w:hAnsi="宋体" w:eastAsia="宋体" w:cs="宋体"/>
          <w:sz w:val="24"/>
          <w:highlight w:val="none"/>
          <w:lang w:val="zh-CN"/>
        </w:rPr>
      </w:pPr>
    </w:p>
    <w:p>
      <w:pPr>
        <w:spacing w:line="288" w:lineRule="auto"/>
        <w:rPr>
          <w:rFonts w:hint="eastAsia" w:ascii="宋体" w:hAnsi="宋体" w:eastAsia="宋体" w:cs="宋体"/>
          <w:sz w:val="24"/>
          <w:highlight w:val="none"/>
          <w:lang w:val="zh-CN"/>
        </w:rPr>
      </w:pPr>
    </w:p>
    <w:sectPr>
      <w:footerReference r:id="rId11"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Webdings"/>
    <w:panose1 w:val="05020102010507070707"/>
    <w:charset w:val="02"/>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28</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2</w:t>
    </w:r>
    <w:r>
      <w:rPr>
        <w:lang w:val="zh-CN"/>
      </w:rP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text" w:hAnchor="margin" w:xAlign="center" w:y="1"/>
      <w:rPr>
        <w:rStyle w:val="21"/>
      </w:rPr>
    </w:pPr>
    <w:r>
      <w:fldChar w:fldCharType="begin"/>
    </w:r>
    <w:r>
      <w:rPr>
        <w:rStyle w:val="21"/>
      </w:rPr>
      <w:instrText xml:space="preserve">PAGE  </w:instrText>
    </w:r>
    <w: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1"/>
      </w:rPr>
      <w:id w:val="-516075798"/>
      <w:docPartObj>
        <w:docPartGallery w:val="autotext"/>
      </w:docPartObj>
    </w:sdtPr>
    <w:sdtEndPr>
      <w:rPr>
        <w:rStyle w:val="21"/>
      </w:rPr>
    </w:sdtEndPr>
    <w:sdtContent>
      <w:p>
        <w:pPr>
          <w:pStyle w:val="11"/>
          <w:framePr w:wrap="auto" w:vAnchor="text" w:hAnchor="margin" w:xAlign="center" w:y="1"/>
          <w:rPr>
            <w:rStyle w:val="21"/>
          </w:rPr>
        </w:pPr>
        <w:r>
          <w:rPr>
            <w:rStyle w:val="21"/>
          </w:rPr>
          <w:fldChar w:fldCharType="begin"/>
        </w:r>
        <w:r>
          <w:rPr>
            <w:rStyle w:val="21"/>
          </w:rPr>
          <w:instrText xml:space="preserve"> PAGE </w:instrText>
        </w:r>
        <w:r>
          <w:rPr>
            <w:rStyle w:val="21"/>
          </w:rPr>
          <w:fldChar w:fldCharType="separate"/>
        </w:r>
        <w:r>
          <w:rPr>
            <w:rStyle w:val="21"/>
          </w:rPr>
          <w:t>17</w:t>
        </w:r>
        <w:r>
          <w:rPr>
            <w:rStyle w:val="21"/>
          </w:rPr>
          <w:fldChar w:fldCharType="end"/>
        </w:r>
      </w:p>
    </w:sdtContent>
  </w:sdt>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6840" w:firstLineChars="38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1"/>
                          </w:pPr>
                          <w:r>
                            <w:fldChar w:fldCharType="begin"/>
                          </w:r>
                          <w:r>
                            <w:instrText xml:space="preserve"> PAGE  \* MERGEFORMAT </w:instrText>
                          </w:r>
                          <w:r>
                            <w:fldChar w:fldCharType="separate"/>
                          </w:r>
                          <w:r>
                            <w:t>45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a2odgBAACwAwAADgAAAGRycy9lMm9Eb2MueG1srVNLbtswEN0XyB0I&#10;7mPJD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Xxrah2AEAALADAAAOAAAAAAAAAAEAIAAA&#10;AB4BAABkcnMvZTJvRG9jLnhtbFBLBQYAAAAABgAGAFkBAABo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45</w:t>
                    </w:r>
                    <w:r>
                      <w:fldChar w:fldCharType="end"/>
                    </w:r>
                  </w:p>
                </w:txbxContent>
              </v:textbox>
            </v:shape>
          </w:pict>
        </mc:Fallback>
      </mc:AlternateContent>
    </w:r>
    <w:r>
      <w:rPr>
        <w:rFonts w:hint="eastAsia"/>
      </w:rPr>
      <w:t>新疆卓捷工程造价咨询有限公司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1"/>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rZctgBAACwAwAADgAAAGRycy9lMm9Eb2MueG1srVNLbtswEN0XyB0I&#10;7mPJR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Latly2AEAALADAAAOAAAAAAAAAAEAIAAA&#10;AB4BAABkcnMvZTJvRG9jLnhtbFBLBQYAAAAABgAGAFkBAABo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80" w:firstLineChars="1600"/>
      <w:jc w:val="left"/>
      <w:rPr>
        <w:rFonts w:hint="eastAsia" w:eastAsia="宋体"/>
        <w:lang w:eastAsia="zh-CN"/>
      </w:rPr>
    </w:pPr>
    <w:bookmarkStart w:id="257" w:name="_1343059473"/>
    <w:bookmarkEnd w:id="257"/>
    <w:r>
      <w:rPr>
        <w:rFonts w:hint="eastAsia"/>
        <w:lang w:eastAsia="zh-CN"/>
      </w:rPr>
      <w:t>克拉玛依市中心医院碘[125I]密封籽源项目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fldChar w:fldCharType="begin"/>
    </w:r>
    <w:r>
      <w:instrText xml:space="preserve"> PAGE   \* MERGEFORMAT </w:instrText>
    </w:r>
    <w:r>
      <w:fldChar w:fldCharType="separate"/>
    </w:r>
    <w:r>
      <w:rPr>
        <w:lang w:val="zh-CN"/>
      </w:rPr>
      <w:t>2</w:t>
    </w:r>
    <w:r>
      <w:rPr>
        <w:lang w:val="zh-CN"/>
      </w:rPr>
      <w:fldChar w:fldCharType="end"/>
    </w: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43CB1"/>
    <w:multiLevelType w:val="singleLevel"/>
    <w:tmpl w:val="9FA43CB1"/>
    <w:lvl w:ilvl="0" w:tentative="0">
      <w:start w:val="5"/>
      <w:numFmt w:val="decimal"/>
      <w:suff w:val="nothing"/>
      <w:lvlText w:val="%1、"/>
      <w:lvlJc w:val="left"/>
    </w:lvl>
  </w:abstractNum>
  <w:abstractNum w:abstractNumId="1">
    <w:nsid w:val="A98BEA3D"/>
    <w:multiLevelType w:val="singleLevel"/>
    <w:tmpl w:val="A98BEA3D"/>
    <w:lvl w:ilvl="0" w:tentative="0">
      <w:start w:val="2"/>
      <w:numFmt w:val="decimal"/>
      <w:suff w:val="nothing"/>
      <w:lvlText w:val="%1、"/>
      <w:lvlJc w:val="left"/>
    </w:lvl>
  </w:abstractNum>
  <w:abstractNum w:abstractNumId="2">
    <w:nsid w:val="EB64DF87"/>
    <w:multiLevelType w:val="singleLevel"/>
    <w:tmpl w:val="EB64DF87"/>
    <w:lvl w:ilvl="0" w:tentative="0">
      <w:start w:val="1"/>
      <w:numFmt w:val="decimal"/>
      <w:lvlText w:val="(%1)"/>
      <w:lvlJc w:val="left"/>
      <w:pPr>
        <w:ind w:left="425" w:hanging="425"/>
      </w:pPr>
      <w:rPr>
        <w:rFonts w:hint="default"/>
      </w:rPr>
    </w:lvl>
  </w:abstractNum>
  <w:abstractNum w:abstractNumId="3">
    <w:nsid w:val="EC92FA4E"/>
    <w:multiLevelType w:val="singleLevel"/>
    <w:tmpl w:val="EC92FA4E"/>
    <w:lvl w:ilvl="0" w:tentative="0">
      <w:start w:val="1"/>
      <w:numFmt w:val="decimal"/>
      <w:suff w:val="nothing"/>
      <w:lvlText w:val="%1、"/>
      <w:lvlJc w:val="left"/>
    </w:lvl>
  </w:abstractNum>
  <w:abstractNum w:abstractNumId="4">
    <w:nsid w:val="00000006"/>
    <w:multiLevelType w:val="multilevel"/>
    <w:tmpl w:val="00000006"/>
    <w:lvl w:ilvl="0" w:tentative="0">
      <w:start w:val="1"/>
      <w:numFmt w:val="chineseCountingThousand"/>
      <w:pStyle w:val="36"/>
      <w:lvlText w:val="%1、"/>
      <w:lvlJc w:val="left"/>
      <w:pPr>
        <w:tabs>
          <w:tab w:val="left" w:pos="567"/>
        </w:tabs>
        <w:ind w:left="567" w:hanging="567"/>
      </w:pPr>
      <w:rPr>
        <w:rFonts w:hint="default"/>
      </w:rPr>
    </w:lvl>
    <w:lvl w:ilvl="1" w:tentative="0">
      <w:start w:val="1"/>
      <w:numFmt w:val="decimal"/>
      <w:pStyle w:val="37"/>
      <w:lvlText w:val="%2."/>
      <w:lvlJc w:val="left"/>
      <w:pPr>
        <w:tabs>
          <w:tab w:val="left" w:pos="1134"/>
        </w:tabs>
        <w:ind w:left="1134" w:hanging="567"/>
      </w:pPr>
      <w:rPr>
        <w:rFonts w:hint="eastAsia"/>
        <w:b w:val="0"/>
        <w:color w:val="000000"/>
      </w:rPr>
    </w:lvl>
    <w:lvl w:ilvl="2" w:tentative="0">
      <w:start w:val="1"/>
      <w:numFmt w:val="lowerLetter"/>
      <w:lvlText w:val="(%3)"/>
      <w:lvlJc w:val="left"/>
      <w:pPr>
        <w:tabs>
          <w:tab w:val="left" w:pos="1701"/>
        </w:tabs>
        <w:ind w:left="1701" w:hanging="567"/>
      </w:pPr>
      <w:rPr>
        <w:rFonts w:hint="default" w:ascii="Arial" w:hAnsi="Arial"/>
        <w:sz w:val="24"/>
        <w:szCs w:val="24"/>
      </w:rPr>
    </w:lvl>
    <w:lvl w:ilvl="3" w:tentative="0">
      <w:start w:val="1"/>
      <w:numFmt w:val="lowerRoman"/>
      <w:lvlText w:val="(%4)"/>
      <w:lvlJc w:val="left"/>
      <w:pPr>
        <w:tabs>
          <w:tab w:val="left" w:pos="2268"/>
        </w:tabs>
        <w:ind w:left="2268" w:hanging="567"/>
      </w:pPr>
      <w:rPr>
        <w:rFonts w:hint="default" w:ascii="Arial" w:hAnsi="Arial"/>
        <w:b w:val="0"/>
        <w:i w:val="0"/>
        <w:sz w:val="20"/>
      </w:rPr>
    </w:lvl>
    <w:lvl w:ilvl="4" w:tentative="0">
      <w:start w:val="1"/>
      <w:numFmt w:val="upperLetter"/>
      <w:lvlText w:val="(%5)"/>
      <w:lvlJc w:val="left"/>
      <w:pPr>
        <w:tabs>
          <w:tab w:val="left" w:pos="2835"/>
        </w:tabs>
        <w:ind w:left="2835" w:hanging="567"/>
      </w:pPr>
      <w:rPr>
        <w:rFonts w:hint="default" w:ascii="Arial" w:hAnsi="Arial"/>
        <w:sz w:val="20"/>
      </w:rPr>
    </w:lvl>
    <w:lvl w:ilvl="5" w:tentative="0">
      <w:start w:val="1"/>
      <w:numFmt w:val="chineseCountingThousand"/>
      <w:lvlText w:val="附录 %6"/>
      <w:lvlJc w:val="left"/>
      <w:pPr>
        <w:tabs>
          <w:tab w:val="left" w:pos="567"/>
        </w:tabs>
        <w:ind w:left="567" w:hanging="567"/>
      </w:pPr>
      <w:rPr>
        <w:rFonts w:hint="eastAsia"/>
      </w:rPr>
    </w:lvl>
    <w:lvl w:ilvl="6" w:tentative="0">
      <w:start w:val="1"/>
      <w:numFmt w:val="decimal"/>
      <w:lvlText w:val="%7"/>
      <w:lvlJc w:val="left"/>
      <w:pPr>
        <w:tabs>
          <w:tab w:val="left" w:pos="567"/>
        </w:tabs>
        <w:ind w:left="1134" w:hanging="567"/>
      </w:pPr>
      <w:rPr>
        <w:rFonts w:hint="eastAsia"/>
      </w:rPr>
    </w:lvl>
    <w:lvl w:ilvl="7" w:tentative="0">
      <w:start w:val="1"/>
      <w:numFmt w:val="upperLetter"/>
      <w:lvlText w:val="附件 %8"/>
      <w:lvlJc w:val="left"/>
      <w:pPr>
        <w:tabs>
          <w:tab w:val="left" w:pos="567"/>
        </w:tabs>
        <w:ind w:left="0" w:firstLine="0"/>
      </w:pPr>
      <w:rPr>
        <w:rFonts w:hint="eastAsia"/>
      </w:rPr>
    </w:lvl>
    <w:lvl w:ilvl="8" w:tentative="0">
      <w:start w:val="1"/>
      <w:numFmt w:val="chineseCountingThousand"/>
      <w:lvlText w:val="第%9部分"/>
      <w:lvlJc w:val="left"/>
      <w:pPr>
        <w:tabs>
          <w:tab w:val="left" w:pos="567"/>
        </w:tabs>
        <w:ind w:left="567" w:hanging="567"/>
      </w:pPr>
      <w:rPr>
        <w:rFonts w:hint="eastAsia"/>
      </w:rPr>
    </w:lvl>
  </w:abstractNum>
  <w:abstractNum w:abstractNumId="5">
    <w:nsid w:val="2DFBC158"/>
    <w:multiLevelType w:val="singleLevel"/>
    <w:tmpl w:val="2DFBC158"/>
    <w:lvl w:ilvl="0" w:tentative="0">
      <w:start w:val="1"/>
      <w:numFmt w:val="decimal"/>
      <w:suff w:val="nothing"/>
      <w:lvlText w:val="%1、"/>
      <w:lvlJc w:val="left"/>
    </w:lvl>
  </w:abstractNum>
  <w:abstractNum w:abstractNumId="6">
    <w:nsid w:val="4350FE7A"/>
    <w:multiLevelType w:val="singleLevel"/>
    <w:tmpl w:val="4350FE7A"/>
    <w:lvl w:ilvl="0" w:tentative="0">
      <w:start w:val="1"/>
      <w:numFmt w:val="decimal"/>
      <w:suff w:val="nothing"/>
      <w:lvlText w:val="%1、"/>
      <w:lvlJc w:val="left"/>
    </w:lvl>
  </w:abstractNum>
  <w:abstractNum w:abstractNumId="7">
    <w:nsid w:val="5CB4A51C"/>
    <w:multiLevelType w:val="singleLevel"/>
    <w:tmpl w:val="5CB4A51C"/>
    <w:lvl w:ilvl="0" w:tentative="0">
      <w:start w:val="1"/>
      <w:numFmt w:val="decimal"/>
      <w:lvlText w:val="(%1)"/>
      <w:lvlJc w:val="left"/>
      <w:pPr>
        <w:ind w:left="425" w:hanging="425"/>
      </w:pPr>
      <w:rPr>
        <w:rFonts w:hint="default"/>
      </w:rPr>
    </w:lvl>
  </w:abstractNum>
  <w:num w:numId="1">
    <w:abstractNumId w:val="4"/>
  </w:num>
  <w:num w:numId="2">
    <w:abstractNumId w:val="7"/>
  </w:num>
  <w:num w:numId="3">
    <w:abstractNumId w:val="2"/>
  </w:num>
  <w:num w:numId="4">
    <w:abstractNumId w:val="0"/>
  </w:num>
  <w:num w:numId="5">
    <w:abstractNumId w:val="6"/>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jNiY2RmODY2ZjExZDJiZTkyODJmYWJhMGVlNDcifQ=="/>
  </w:docVars>
  <w:rsids>
    <w:rsidRoot w:val="00250308"/>
    <w:rsid w:val="00101B98"/>
    <w:rsid w:val="00250308"/>
    <w:rsid w:val="008245E5"/>
    <w:rsid w:val="00BD244A"/>
    <w:rsid w:val="00BF503F"/>
    <w:rsid w:val="00C1736A"/>
    <w:rsid w:val="00DC4E88"/>
    <w:rsid w:val="01185A0A"/>
    <w:rsid w:val="03BA2E83"/>
    <w:rsid w:val="050B0D65"/>
    <w:rsid w:val="05615275"/>
    <w:rsid w:val="05AF5758"/>
    <w:rsid w:val="064160D3"/>
    <w:rsid w:val="0656050A"/>
    <w:rsid w:val="0825634E"/>
    <w:rsid w:val="082B28A3"/>
    <w:rsid w:val="0B07180B"/>
    <w:rsid w:val="0B9510F4"/>
    <w:rsid w:val="0E8357AF"/>
    <w:rsid w:val="0FF40A01"/>
    <w:rsid w:val="10802373"/>
    <w:rsid w:val="10D118CA"/>
    <w:rsid w:val="11E1356E"/>
    <w:rsid w:val="12D26FB8"/>
    <w:rsid w:val="157618B1"/>
    <w:rsid w:val="175759E5"/>
    <w:rsid w:val="175B58E8"/>
    <w:rsid w:val="18DB27F2"/>
    <w:rsid w:val="18EE3120"/>
    <w:rsid w:val="197A01D6"/>
    <w:rsid w:val="198829FA"/>
    <w:rsid w:val="19A326B3"/>
    <w:rsid w:val="1A3A33F9"/>
    <w:rsid w:val="1A8F274D"/>
    <w:rsid w:val="1AB44A1E"/>
    <w:rsid w:val="1F605859"/>
    <w:rsid w:val="20081CEC"/>
    <w:rsid w:val="202D04AD"/>
    <w:rsid w:val="20D529C8"/>
    <w:rsid w:val="21884C03"/>
    <w:rsid w:val="2231619F"/>
    <w:rsid w:val="23637525"/>
    <w:rsid w:val="23C952D5"/>
    <w:rsid w:val="253675DA"/>
    <w:rsid w:val="284651E9"/>
    <w:rsid w:val="2D62353A"/>
    <w:rsid w:val="2F714E2E"/>
    <w:rsid w:val="2FAC047A"/>
    <w:rsid w:val="30D251AE"/>
    <w:rsid w:val="315667E6"/>
    <w:rsid w:val="324D55D3"/>
    <w:rsid w:val="3320613D"/>
    <w:rsid w:val="33EA214A"/>
    <w:rsid w:val="34DB03E2"/>
    <w:rsid w:val="35A64FF2"/>
    <w:rsid w:val="36061016"/>
    <w:rsid w:val="37D54385"/>
    <w:rsid w:val="3A3B1E79"/>
    <w:rsid w:val="3B9F2F15"/>
    <w:rsid w:val="3C215F09"/>
    <w:rsid w:val="3C594B3E"/>
    <w:rsid w:val="3D476D34"/>
    <w:rsid w:val="3FD40807"/>
    <w:rsid w:val="4064606A"/>
    <w:rsid w:val="40833636"/>
    <w:rsid w:val="4252652B"/>
    <w:rsid w:val="42551CE8"/>
    <w:rsid w:val="44192F9F"/>
    <w:rsid w:val="45A7273D"/>
    <w:rsid w:val="45E00BE3"/>
    <w:rsid w:val="46337C01"/>
    <w:rsid w:val="464D3001"/>
    <w:rsid w:val="477640E8"/>
    <w:rsid w:val="49364C69"/>
    <w:rsid w:val="49FF7561"/>
    <w:rsid w:val="4DE60D60"/>
    <w:rsid w:val="4DF87681"/>
    <w:rsid w:val="504D3F74"/>
    <w:rsid w:val="50DE1AD8"/>
    <w:rsid w:val="51EC2EB0"/>
    <w:rsid w:val="546B2A3F"/>
    <w:rsid w:val="5472490F"/>
    <w:rsid w:val="55A048FF"/>
    <w:rsid w:val="562128FD"/>
    <w:rsid w:val="56A56EFC"/>
    <w:rsid w:val="56F96406"/>
    <w:rsid w:val="57120CBD"/>
    <w:rsid w:val="57396B0E"/>
    <w:rsid w:val="58CE3CA0"/>
    <w:rsid w:val="58DE337E"/>
    <w:rsid w:val="5A471BE4"/>
    <w:rsid w:val="5B5453ED"/>
    <w:rsid w:val="5B906E08"/>
    <w:rsid w:val="5D590BB3"/>
    <w:rsid w:val="5DE80B25"/>
    <w:rsid w:val="5E1216FE"/>
    <w:rsid w:val="5E2044B5"/>
    <w:rsid w:val="5E272363"/>
    <w:rsid w:val="626A746E"/>
    <w:rsid w:val="637107A3"/>
    <w:rsid w:val="637E3274"/>
    <w:rsid w:val="65777EDA"/>
    <w:rsid w:val="6613285B"/>
    <w:rsid w:val="6656283E"/>
    <w:rsid w:val="666E17C7"/>
    <w:rsid w:val="66D27D29"/>
    <w:rsid w:val="67AC64F8"/>
    <w:rsid w:val="67D22E92"/>
    <w:rsid w:val="68E75895"/>
    <w:rsid w:val="6A686D54"/>
    <w:rsid w:val="6B0234DF"/>
    <w:rsid w:val="6B734162"/>
    <w:rsid w:val="6C0D4258"/>
    <w:rsid w:val="6C414357"/>
    <w:rsid w:val="6D012BF6"/>
    <w:rsid w:val="6FC71F7F"/>
    <w:rsid w:val="70C65FC2"/>
    <w:rsid w:val="73657957"/>
    <w:rsid w:val="74324FA0"/>
    <w:rsid w:val="74F022CD"/>
    <w:rsid w:val="751E7BDB"/>
    <w:rsid w:val="778C5AA3"/>
    <w:rsid w:val="77996933"/>
    <w:rsid w:val="782964B6"/>
    <w:rsid w:val="790630F9"/>
    <w:rsid w:val="79604737"/>
    <w:rsid w:val="7A000D96"/>
    <w:rsid w:val="7DD576F5"/>
    <w:rsid w:val="F69C44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spacing w:before="260" w:after="260" w:line="415"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5"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jc w:val="left"/>
    </w:pPr>
    <w:rPr>
      <w:kern w:val="0"/>
      <w:sz w:val="24"/>
      <w:szCs w:val="20"/>
    </w:rPr>
  </w:style>
  <w:style w:type="paragraph" w:styleId="3">
    <w:name w:val="Body Text Indent"/>
    <w:basedOn w:val="1"/>
    <w:next w:val="1"/>
    <w:qFormat/>
    <w:uiPriority w:val="0"/>
    <w:pPr>
      <w:spacing w:after="120"/>
      <w:ind w:left="420" w:leftChars="200"/>
    </w:pPr>
    <w:rPr>
      <w:rFonts w:ascii="Calibri" w:hAnsi="Calibri" w:cs="黑体"/>
    </w:rPr>
  </w:style>
  <w:style w:type="paragraph" w:styleId="6">
    <w:name w:val="Normal Indent"/>
    <w:basedOn w:val="1"/>
    <w:next w:val="1"/>
    <w:qFormat/>
    <w:uiPriority w:val="0"/>
    <w:pPr>
      <w:widowControl/>
      <w:ind w:firstLine="420"/>
      <w:jc w:val="left"/>
    </w:pPr>
    <w:rPr>
      <w:rFonts w:ascii="Calibri" w:hAnsi="Calibri" w:cs="黑体"/>
      <w:szCs w:val="22"/>
    </w:rPr>
  </w:style>
  <w:style w:type="paragraph" w:styleId="8">
    <w:name w:val="Plain Text"/>
    <w:basedOn w:val="1"/>
    <w:next w:val="1"/>
    <w:qFormat/>
    <w:uiPriority w:val="0"/>
    <w:rPr>
      <w:rFonts w:ascii="宋体" w:hAnsi="Courier New" w:cs="黑体"/>
      <w:szCs w:val="22"/>
    </w:rPr>
  </w:style>
  <w:style w:type="paragraph" w:styleId="9">
    <w:name w:val="Date"/>
    <w:basedOn w:val="1"/>
    <w:next w:val="1"/>
    <w:qFormat/>
    <w:uiPriority w:val="0"/>
    <w:pPr>
      <w:ind w:left="100" w:leftChars="2500"/>
    </w:pPr>
    <w:rPr>
      <w:rFonts w:ascii="Calibri" w:hAnsi="Calibri" w:cs="黑体"/>
    </w:rPr>
  </w:style>
  <w:style w:type="paragraph" w:styleId="10">
    <w:name w:val="Body Text Indent 2"/>
    <w:basedOn w:val="1"/>
    <w:qFormat/>
    <w:uiPriority w:val="0"/>
    <w:pPr>
      <w:spacing w:line="360" w:lineRule="auto"/>
      <w:ind w:left="839" w:hanging="839" w:hangingChars="355"/>
    </w:pPr>
    <w:rPr>
      <w:b/>
      <w:sz w:val="24"/>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index 7"/>
    <w:basedOn w:val="1"/>
    <w:next w:val="1"/>
    <w:semiHidden/>
    <w:qFormat/>
    <w:uiPriority w:val="0"/>
    <w:pPr>
      <w:ind w:left="2520"/>
    </w:p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3"/>
    <w:unhideWhenUsed/>
    <w:qFormat/>
    <w:uiPriority w:val="99"/>
    <w:pPr>
      <w:ind w:firstLine="420" w:firstLineChars="20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basedOn w:val="19"/>
    <w:qFormat/>
    <w:uiPriority w:val="0"/>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采购正文"/>
    <w:link w:val="28"/>
    <w:qFormat/>
    <w:uiPriority w:val="0"/>
    <w:pPr>
      <w:widowControl w:val="0"/>
      <w:autoSpaceDE w:val="0"/>
      <w:autoSpaceDN w:val="0"/>
      <w:spacing w:line="560" w:lineRule="exact"/>
      <w:ind w:firstLine="480" w:firstLineChars="200"/>
      <w:contextualSpacing/>
      <w:jc w:val="both"/>
    </w:pPr>
    <w:rPr>
      <w:rFonts w:ascii="仿宋" w:hAnsi="仿宋" w:eastAsia="仿宋" w:cs="Times New Roman"/>
      <w:kern w:val="24"/>
      <w:sz w:val="24"/>
      <w:szCs w:val="24"/>
      <w:lang w:val="en-US" w:eastAsia="zh-CN" w:bidi="ar-SA"/>
    </w:rPr>
  </w:style>
  <w:style w:type="paragraph" w:styleId="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Normal Indent1"/>
    <w:basedOn w:val="1"/>
    <w:unhideWhenUsed/>
    <w:qFormat/>
    <w:uiPriority w:val="99"/>
    <w:pPr>
      <w:ind w:firstLine="420" w:firstLineChars="200"/>
    </w:pPr>
  </w:style>
  <w:style w:type="character" w:customStyle="1" w:styleId="28">
    <w:name w:val="采购正文 Char"/>
    <w:basedOn w:val="19"/>
    <w:link w:val="25"/>
    <w:qFormat/>
    <w:uiPriority w:val="0"/>
    <w:rPr>
      <w:rFonts w:ascii="仿宋" w:hAnsi="仿宋" w:eastAsia="仿宋"/>
      <w:kern w:val="24"/>
      <w:sz w:val="24"/>
      <w:szCs w:val="24"/>
      <w:lang w:val="en-US" w:eastAsia="zh-CN" w:bidi="ar-SA"/>
    </w:rPr>
  </w:style>
  <w:style w:type="paragraph" w:customStyle="1" w:styleId="29">
    <w:name w:val="Default Text"/>
    <w:qFormat/>
    <w:uiPriority w:val="99"/>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3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1">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2">
    <w:name w:val="表格文字"/>
    <w:basedOn w:val="1"/>
    <w:qFormat/>
    <w:uiPriority w:val="0"/>
    <w:pPr>
      <w:jc w:val="left"/>
    </w:pPr>
    <w:rPr>
      <w:bCs/>
      <w:spacing w:val="10"/>
      <w:sz w:val="24"/>
    </w:rPr>
  </w:style>
  <w:style w:type="character" w:customStyle="1" w:styleId="33">
    <w:name w:val="样式 宋体 四号"/>
    <w:qFormat/>
    <w:uiPriority w:val="0"/>
    <w:rPr>
      <w:rFonts w:hint="eastAsia" w:ascii="宋体" w:hAnsi="宋体" w:eastAsia="仿宋_GB2312"/>
      <w:sz w:val="28"/>
    </w:rPr>
  </w:style>
  <w:style w:type="paragraph" w:customStyle="1" w:styleId="34">
    <w:name w:val="样式 标题 1 + 黑体 四号"/>
    <w:basedOn w:val="4"/>
    <w:qFormat/>
    <w:uiPriority w:val="0"/>
    <w:pPr>
      <w:spacing w:before="0" w:after="0" w:line="480" w:lineRule="auto"/>
    </w:pPr>
    <w:rPr>
      <w:rFonts w:ascii="宋体" w:hAnsi="黑体"/>
      <w:sz w:val="24"/>
      <w:szCs w:val="24"/>
    </w:rPr>
  </w:style>
  <w:style w:type="paragraph" w:customStyle="1" w:styleId="35">
    <w:name w:val="Instruction - Caution"/>
    <w:basedOn w:val="2"/>
    <w:qFormat/>
    <w:uiPriority w:val="0"/>
    <w:pPr>
      <w:widowControl/>
      <w:spacing w:before="60" w:after="60" w:line="200" w:lineRule="atLeast"/>
      <w:jc w:val="left"/>
    </w:pPr>
    <w:rPr>
      <w:rFonts w:ascii="Arial" w:hAnsi="Arial"/>
      <w:color w:val="000000"/>
      <w:kern w:val="0"/>
      <w:sz w:val="16"/>
      <w:szCs w:val="20"/>
      <w:lang w:eastAsia="en-US"/>
    </w:rPr>
  </w:style>
  <w:style w:type="paragraph" w:customStyle="1" w:styleId="36">
    <w:name w:val="K&amp;W heading 1"/>
    <w:basedOn w:val="1"/>
    <w:next w:val="37"/>
    <w:qFormat/>
    <w:uiPriority w:val="0"/>
    <w:pPr>
      <w:numPr>
        <w:ilvl w:val="0"/>
        <w:numId w:val="1"/>
      </w:numPr>
      <w:spacing w:after="360" w:line="320" w:lineRule="exact"/>
      <w:outlineLvl w:val="0"/>
    </w:pPr>
    <w:rPr>
      <w:rFonts w:ascii="Arial" w:hAnsi="Arial" w:eastAsia="楷体_GB2312"/>
      <w:b/>
      <w:kern w:val="0"/>
      <w:sz w:val="28"/>
      <w:szCs w:val="20"/>
      <w:lang w:eastAsia="en-US"/>
    </w:rPr>
  </w:style>
  <w:style w:type="paragraph" w:customStyle="1" w:styleId="37">
    <w:name w:val="K&amp;W heading 2"/>
    <w:basedOn w:val="1"/>
    <w:qFormat/>
    <w:uiPriority w:val="0"/>
    <w:pPr>
      <w:numPr>
        <w:ilvl w:val="1"/>
        <w:numId w:val="1"/>
      </w:numPr>
      <w:spacing w:after="360" w:line="320" w:lineRule="exact"/>
      <w:outlineLvl w:val="1"/>
    </w:pPr>
    <w:rPr>
      <w:rFonts w:ascii="Arial" w:hAnsi="Arial" w:eastAsia="楷体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36729</Words>
  <Characters>39423</Characters>
  <Lines>227</Lines>
  <Paragraphs>64</Paragraphs>
  <TotalTime>10</TotalTime>
  <ScaleCrop>false</ScaleCrop>
  <LinksUpToDate>false</LinksUpToDate>
  <CharactersWithSpaces>40708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2022-05-23T11:41:00Z</dcterms:created>
  <dc:creator>Administrator</dc:creator>
  <cp:lastModifiedBy>李豆豆</cp:lastModifiedBy>
  <cp:lastPrinted>2021-12-24T13:55:00Z</cp:lastPrinted>
  <dcterms:modified xsi:type="dcterms:W3CDTF">2022-11-10T03:23:51Z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A56B4F88C85C4163B916C0B33F2F375D</vt:lpwstr>
  </property>
</Properties>
</file>