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7"/>
        <w:shd w:val="clear" w:color="auto" w:fill="FFFFFF"/>
        <w:spacing w:line="360" w:lineRule="auto"/>
        <w:jc w:val="center"/>
        <w:rPr>
          <w:rFonts w:hint="eastAsia" w:ascii="仿宋" w:hAnsi="仿宋" w:eastAsia="仿宋" w:cs="仿宋"/>
          <w:color w:val="auto"/>
          <w:kern w:val="2"/>
          <w:sz w:val="32"/>
          <w:szCs w:val="32"/>
        </w:rPr>
      </w:pPr>
    </w:p>
    <w:p>
      <w:pPr>
        <w:pStyle w:val="327"/>
        <w:shd w:val="clear" w:color="auto" w:fill="FFFFFF"/>
        <w:spacing w:line="360" w:lineRule="auto"/>
        <w:jc w:val="center"/>
        <w:rPr>
          <w:rFonts w:hint="eastAsia" w:ascii="仿宋" w:hAnsi="仿宋" w:eastAsia="仿宋" w:cs="仿宋"/>
          <w:color w:val="auto"/>
          <w:kern w:val="2"/>
          <w:sz w:val="32"/>
          <w:szCs w:val="32"/>
        </w:rPr>
      </w:pPr>
    </w:p>
    <w:p>
      <w:pPr>
        <w:pStyle w:val="327"/>
        <w:shd w:val="clear" w:color="auto" w:fill="FFFFFF"/>
        <w:spacing w:line="360" w:lineRule="auto"/>
        <w:jc w:val="center"/>
        <w:rPr>
          <w:rFonts w:hint="eastAsia" w:ascii="仿宋" w:hAnsi="仿宋" w:eastAsia="仿宋" w:cs="仿宋"/>
          <w:color w:val="auto"/>
          <w:kern w:val="2"/>
          <w:sz w:val="32"/>
          <w:szCs w:val="32"/>
        </w:rPr>
      </w:pPr>
    </w:p>
    <w:p>
      <w:pPr>
        <w:pStyle w:val="327"/>
        <w:shd w:val="clear" w:color="auto" w:fill="FFFFFF"/>
        <w:spacing w:line="360" w:lineRule="auto"/>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招标文件</w:t>
      </w:r>
    </w:p>
    <w:p>
      <w:pPr>
        <w:pStyle w:val="327"/>
        <w:shd w:val="clear" w:color="auto" w:fill="FFFFFF"/>
        <w:spacing w:line="400" w:lineRule="exact"/>
        <w:jc w:val="center"/>
        <w:rPr>
          <w:rFonts w:hint="default" w:ascii="仿宋" w:hAnsi="仿宋" w:eastAsia="仿宋" w:cs="仿宋"/>
          <w:b/>
          <w:bCs/>
          <w:color w:val="auto"/>
          <w:kern w:val="2"/>
          <w:sz w:val="40"/>
          <w:szCs w:val="40"/>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lang w:val="en-US" w:eastAsia="zh-CN"/>
        </w:rPr>
        <w:t>XJLY22HW057</w:t>
      </w:r>
    </w:p>
    <w:p>
      <w:pPr>
        <w:pStyle w:val="327"/>
        <w:shd w:val="clear" w:color="auto" w:fill="FFFFFF"/>
        <w:spacing w:line="400" w:lineRule="exact"/>
        <w:jc w:val="center"/>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2"/>
          <w:szCs w:val="32"/>
        </w:rPr>
      </w:pPr>
    </w:p>
    <w:tbl>
      <w:tblPr>
        <w:tblStyle w:val="60"/>
        <w:tblW w:w="8802"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3168"/>
        <w:gridCol w:w="5634"/>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36"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zh-CN"/>
              </w:rPr>
              <w:t>项</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目    名    称：</w:t>
            </w:r>
          </w:p>
        </w:tc>
        <w:tc>
          <w:tcPr>
            <w:tcW w:w="5634" w:type="dxa"/>
            <w:noWrap w:val="0"/>
            <w:vAlign w:val="center"/>
          </w:tcPr>
          <w:p>
            <w:pPr>
              <w:spacing w:line="56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新疆维吾尔自治区分析测试研究院2022年试剂耗材采购项目</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1"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zh-CN"/>
              </w:rPr>
              <w:t>采</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购</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单</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位（盖章）：</w:t>
            </w:r>
          </w:p>
        </w:tc>
        <w:tc>
          <w:tcPr>
            <w:tcW w:w="5634" w:type="dxa"/>
            <w:noWrap w:val="0"/>
            <w:vAlign w:val="center"/>
          </w:tcPr>
          <w:p>
            <w:pPr>
              <w:spacing w:line="560" w:lineRule="exact"/>
              <w:rPr>
                <w:rFonts w:hint="eastAsia" w:ascii="仿宋" w:hAnsi="仿宋" w:eastAsia="仿宋" w:cs="仿宋"/>
                <w:b/>
                <w:bCs/>
                <w:sz w:val="28"/>
                <w:szCs w:val="28"/>
              </w:rPr>
            </w:pPr>
            <w:r>
              <w:rPr>
                <w:rFonts w:hint="eastAsia" w:ascii="仿宋" w:hAnsi="仿宋" w:eastAsia="仿宋" w:cs="仿宋"/>
                <w:b/>
                <w:bCs/>
                <w:sz w:val="28"/>
                <w:szCs w:val="28"/>
                <w:lang w:eastAsia="zh-CN"/>
              </w:rPr>
              <w:t>新疆维吾尔自治区分析测试研究院</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69"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zh-CN"/>
              </w:rPr>
              <w:t>联       系       人：</w:t>
            </w:r>
          </w:p>
        </w:tc>
        <w:tc>
          <w:tcPr>
            <w:tcW w:w="5634" w:type="dxa"/>
            <w:noWrap w:val="0"/>
            <w:vAlign w:val="center"/>
          </w:tcPr>
          <w:p>
            <w:pPr>
              <w:spacing w:line="56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汤主任</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61"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sz w:val="28"/>
                <w:szCs w:val="28"/>
                <w:lang w:val="zh-CN"/>
              </w:rPr>
            </w:pPr>
            <w:r>
              <w:rPr>
                <w:rFonts w:hint="eastAsia" w:ascii="仿宋" w:hAnsi="仿宋" w:eastAsia="仿宋" w:cs="仿宋"/>
                <w:b/>
                <w:bCs/>
                <w:sz w:val="28"/>
                <w:szCs w:val="28"/>
                <w:lang w:val="zh-CN"/>
              </w:rPr>
              <w:t>联</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系</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电    话：</w:t>
            </w:r>
          </w:p>
        </w:tc>
        <w:tc>
          <w:tcPr>
            <w:tcW w:w="5634" w:type="dxa"/>
            <w:noWrap w:val="0"/>
            <w:vAlign w:val="center"/>
          </w:tcPr>
          <w:p>
            <w:pPr>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0991-3193958</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p>
        </w:tc>
        <w:tc>
          <w:tcPr>
            <w:tcW w:w="5634"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p>
        </w:tc>
        <w:tc>
          <w:tcPr>
            <w:tcW w:w="5634"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p>
        </w:tc>
        <w:tc>
          <w:tcPr>
            <w:tcW w:w="5634"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57"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招标代理机构 （盖章）：</w:t>
            </w:r>
          </w:p>
        </w:tc>
        <w:tc>
          <w:tcPr>
            <w:tcW w:w="5634" w:type="dxa"/>
            <w:noWrap w:val="0"/>
            <w:vAlign w:val="center"/>
          </w:tcPr>
          <w:p>
            <w:pPr>
              <w:spacing w:line="560" w:lineRule="exac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新疆凌云天成工程管理咨询有限公司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联       系       人：</w:t>
            </w:r>
          </w:p>
        </w:tc>
        <w:tc>
          <w:tcPr>
            <w:tcW w:w="5634" w:type="dxa"/>
            <w:noWrap w:val="0"/>
            <w:vAlign w:val="center"/>
          </w:tcPr>
          <w:p>
            <w:pPr>
              <w:spacing w:line="560" w:lineRule="exact"/>
              <w:rPr>
                <w:rFonts w:hint="eastAsia" w:ascii="仿宋" w:hAnsi="仿宋" w:eastAsia="仿宋" w:cs="仿宋"/>
                <w:b/>
                <w:bCs/>
                <w:color w:val="000000"/>
                <w:sz w:val="28"/>
                <w:szCs w:val="28"/>
                <w:u w:val="single"/>
                <w:lang w:val="en-US" w:eastAsia="zh-CN"/>
              </w:rPr>
            </w:pPr>
            <w:r>
              <w:rPr>
                <w:rFonts w:hint="eastAsia" w:ascii="仿宋" w:hAnsi="仿宋" w:eastAsia="仿宋" w:cs="仿宋"/>
                <w:b/>
                <w:bCs/>
                <w:color w:val="000000"/>
                <w:sz w:val="28"/>
                <w:szCs w:val="28"/>
                <w:lang w:eastAsia="zh-CN"/>
              </w:rPr>
              <w:t>许蕊</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4"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lang w:val="zh-CN"/>
              </w:rPr>
            </w:pPr>
            <w:r>
              <w:rPr>
                <w:rFonts w:hint="eastAsia" w:ascii="仿宋" w:hAnsi="仿宋" w:eastAsia="仿宋" w:cs="仿宋"/>
                <w:b/>
                <w:bCs/>
                <w:sz w:val="28"/>
                <w:szCs w:val="28"/>
                <w:lang w:val="zh-CN"/>
              </w:rPr>
              <w:t>联</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系</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电    话：</w:t>
            </w:r>
          </w:p>
        </w:tc>
        <w:tc>
          <w:tcPr>
            <w:tcW w:w="5634" w:type="dxa"/>
            <w:noWrap w:val="0"/>
            <w:vAlign w:val="center"/>
          </w:tcPr>
          <w:p>
            <w:pPr>
              <w:spacing w:line="560" w:lineRule="exac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0991-3193958</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3" w:hRule="atLeast"/>
          <w:jc w:val="center"/>
        </w:trPr>
        <w:tc>
          <w:tcPr>
            <w:tcW w:w="3168" w:type="dxa"/>
            <w:noWrap w:val="0"/>
            <w:vAlign w:val="center"/>
          </w:tcPr>
          <w:p>
            <w:pPr>
              <w:autoSpaceDE w:val="0"/>
              <w:autoSpaceDN w:val="0"/>
              <w:adjustRightInd w:val="0"/>
              <w:spacing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zh-CN"/>
              </w:rPr>
              <w:t>详    细    地    址：</w:t>
            </w:r>
          </w:p>
        </w:tc>
        <w:tc>
          <w:tcPr>
            <w:tcW w:w="5634" w:type="dxa"/>
            <w:noWrap w:val="0"/>
            <w:vAlign w:val="center"/>
          </w:tcPr>
          <w:p>
            <w:pPr>
              <w:spacing w:line="560" w:lineRule="exac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乌鲁木齐市新市区北京南路高新街217号盈科广场B座2709室</w:t>
            </w:r>
          </w:p>
        </w:tc>
      </w:tr>
    </w:tbl>
    <w:p>
      <w:pPr>
        <w:pStyle w:val="327"/>
        <w:shd w:val="clear" w:color="auto" w:fill="FFFFFF"/>
        <w:spacing w:line="400" w:lineRule="exact"/>
        <w:jc w:val="center"/>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2"/>
          <w:szCs w:val="32"/>
        </w:rPr>
      </w:pPr>
    </w:p>
    <w:p>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4" w:type="default"/>
          <w:footerReference r:id="rId5" w:type="default"/>
          <w:pgSz w:w="11907" w:h="16840"/>
          <w:pgMar w:top="1460" w:right="1680" w:bottom="1400" w:left="1680" w:header="1191" w:footer="567" w:gutter="0"/>
          <w:pgNumType w:start="61"/>
          <w:cols w:space="720" w:num="1"/>
        </w:sectPr>
      </w:pPr>
    </w:p>
    <w:p>
      <w:pPr>
        <w:pStyle w:val="47"/>
        <w:numPr>
          <w:ilvl w:val="0"/>
          <w:numId w:val="0"/>
        </w:numPr>
        <w:rPr>
          <w:rFonts w:hint="eastAsia"/>
        </w:rPr>
      </w:pPr>
    </w:p>
    <w:p>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pPr>
        <w:pStyle w:val="43"/>
        <w:tabs>
          <w:tab w:val="right" w:leader="dot" w:pos="8547"/>
          <w:tab w:val="clear" w:pos="420"/>
          <w:tab w:val="clear" w:pos="1050"/>
          <w:tab w:val="clear" w:pos="8302"/>
        </w:tabs>
        <w:rPr>
          <w:rFonts w:hint="eastAsia" w:ascii="仿宋" w:hAnsi="仿宋" w:eastAsia="仿宋" w:cs="仿宋"/>
        </w:rPr>
      </w:pP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_Toc4282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_Toc5383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_Toc20898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_Toc20898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_Toc6343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_Toc26746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end"/>
      </w:r>
    </w:p>
    <w:p>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pPr>
        <w:widowControl/>
        <w:shd w:val="clear" w:color="auto" w:fill="FFFFFF"/>
        <w:spacing w:line="400" w:lineRule="exact"/>
        <w:jc w:val="center"/>
        <w:rPr>
          <w:rFonts w:hint="eastAsia" w:ascii="仿宋" w:hAnsi="仿宋" w:eastAsia="仿宋" w:cs="仿宋"/>
          <w:kern w:val="0"/>
          <w:szCs w:val="21"/>
        </w:rPr>
      </w:pPr>
    </w:p>
    <w:p>
      <w:pPr>
        <w:pStyle w:val="47"/>
        <w:rPr>
          <w:rFonts w:hint="eastAsia"/>
        </w:rPr>
        <w:sectPr>
          <w:footerReference r:id="rId6" w:type="default"/>
          <w:pgSz w:w="11907" w:h="16840"/>
          <w:pgMar w:top="1460" w:right="1680" w:bottom="1400" w:left="1680" w:header="1134" w:footer="1212" w:gutter="0"/>
          <w:pgNumType w:start="1"/>
          <w:cols w:space="720" w:num="1"/>
        </w:sectPr>
      </w:pPr>
    </w:p>
    <w:p>
      <w:pPr>
        <w:pStyle w:val="47"/>
        <w:numPr>
          <w:ilvl w:val="0"/>
          <w:numId w:val="0"/>
        </w:numPr>
        <w:rPr>
          <w:rFonts w:hint="eastAsia"/>
        </w:rPr>
      </w:pPr>
    </w:p>
    <w:p>
      <w:pPr>
        <w:pStyle w:val="2"/>
        <w:rPr>
          <w:rFonts w:hint="eastAsia"/>
        </w:rPr>
      </w:pPr>
      <w:bookmarkStart w:id="0" w:name="_Toc25745"/>
      <w:bookmarkStart w:id="1" w:name="_Toc4282"/>
      <w:r>
        <w:rPr>
          <w:rFonts w:hint="eastAsia"/>
        </w:rPr>
        <w:t xml:space="preserve">第一章 </w:t>
      </w:r>
      <w:bookmarkEnd w:id="0"/>
      <w:r>
        <w:rPr>
          <w:rFonts w:hint="eastAsia"/>
        </w:rPr>
        <w:t>招标公告</w:t>
      </w:r>
      <w:bookmarkEnd w:id="1"/>
    </w:p>
    <w:p>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eastAsia="zh-CN"/>
        </w:rPr>
        <w:t>新疆维吾尔自治区分析测试研究院2022年试剂耗材采购项目</w:t>
      </w:r>
      <w:r>
        <w:rPr>
          <w:rFonts w:hint="eastAsia" w:ascii="仿宋" w:hAnsi="仿宋" w:eastAsia="仿宋" w:cs="仿宋"/>
          <w:b/>
          <w:bCs/>
          <w:kern w:val="0"/>
          <w:sz w:val="28"/>
          <w:szCs w:val="28"/>
        </w:rPr>
        <w:t>公开招标公告</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项目概况</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zh-CN"/>
        </w:rPr>
        <w:t>新疆维吾尔自治区分析测试研究院2022年试剂耗材采购项目</w:t>
      </w:r>
      <w:r>
        <w:rPr>
          <w:rFonts w:hint="eastAsia" w:ascii="仿宋" w:hAnsi="仿宋" w:eastAsia="仿宋" w:cs="仿宋"/>
          <w:kern w:val="0"/>
          <w:sz w:val="24"/>
        </w:rPr>
        <w:t>的潜在供应商应在</w:t>
      </w:r>
      <w:r>
        <w:rPr>
          <w:rFonts w:hint="eastAsia" w:ascii="仿宋" w:hAnsi="仿宋" w:eastAsia="仿宋" w:cs="仿宋"/>
          <w:kern w:val="0"/>
          <w:sz w:val="24"/>
          <w:lang w:eastAsia="zh-CN"/>
        </w:rPr>
        <w:t>乌鲁木齐市新市区北京南路高新街217号盈科广场B座2709室</w:t>
      </w:r>
      <w:r>
        <w:rPr>
          <w:rFonts w:hint="eastAsia" w:ascii="仿宋" w:hAnsi="仿宋" w:eastAsia="仿宋" w:cs="仿宋"/>
          <w:kern w:val="0"/>
          <w:sz w:val="24"/>
        </w:rPr>
        <w:t>获取采购文件，并于</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2</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01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u w:val="single"/>
          <w:lang w:val="en-US" w:eastAsia="zh-CN"/>
        </w:rPr>
        <w:t>11</w:t>
      </w:r>
      <w:r>
        <w:rPr>
          <w:rFonts w:hint="eastAsia" w:ascii="仿宋" w:hAnsi="仿宋" w:eastAsia="仿宋" w:cs="仿宋"/>
          <w:kern w:val="0"/>
          <w:sz w:val="24"/>
          <w:u w:val="single"/>
        </w:rPr>
        <w:t>:00</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一、项目基本情况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项目编号：</w:t>
      </w:r>
      <w:r>
        <w:rPr>
          <w:rFonts w:hint="eastAsia" w:ascii="仿宋" w:hAnsi="仿宋" w:eastAsia="仿宋" w:cs="仿宋"/>
          <w:kern w:val="0"/>
          <w:sz w:val="24"/>
          <w:lang w:val="en-US" w:eastAsia="zh-CN"/>
        </w:rPr>
        <w:t>XJLY22HW057</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eastAsia="zh-CN"/>
        </w:rPr>
        <w:t>新疆维吾尔自治区分析测试研究院2022年试剂耗材采购项目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eastAsia="zh-CN"/>
        </w:rPr>
        <w:t>公开招标</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2000000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2000000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采购需求：</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标项一</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数量：不限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420000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w:t>
      </w:r>
      <w:r>
        <w:rPr>
          <w:rFonts w:hint="eastAsia" w:ascii="仿宋" w:hAnsi="仿宋" w:eastAsia="仿宋" w:cs="仿宋"/>
          <w:kern w:val="0"/>
          <w:sz w:val="24"/>
          <w:lang w:val="en-US" w:eastAsia="zh-CN"/>
        </w:rPr>
        <w:t>试剂、耗材、危化品</w:t>
      </w:r>
      <w:r>
        <w:rPr>
          <w:rFonts w:hint="eastAsia" w:ascii="仿宋" w:hAnsi="仿宋" w:eastAsia="仿宋" w:cs="仿宋"/>
          <w:kern w:val="0"/>
          <w:sz w:val="24"/>
        </w:rPr>
        <w:t>（具体详见招标文件）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标项二</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数量：不限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850000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简要规格描述：试剂</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标品</w:t>
      </w:r>
      <w:r>
        <w:rPr>
          <w:rFonts w:hint="eastAsia" w:ascii="仿宋" w:hAnsi="仿宋" w:eastAsia="仿宋" w:cs="仿宋"/>
          <w:kern w:val="0"/>
          <w:sz w:val="24"/>
        </w:rPr>
        <w:t>（具体详见招标文件）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标项三</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数量：不限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450000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简要规格描述：标品</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耗材</w:t>
      </w:r>
      <w:r>
        <w:rPr>
          <w:rFonts w:hint="eastAsia" w:ascii="仿宋" w:hAnsi="仿宋" w:eastAsia="仿宋" w:cs="仿宋"/>
          <w:kern w:val="0"/>
          <w:sz w:val="24"/>
        </w:rPr>
        <w:t>（具体详见招标文件）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标项四</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数量：不限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170000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简要规格描述：</w:t>
      </w:r>
      <w:r>
        <w:rPr>
          <w:rFonts w:hint="eastAsia" w:ascii="仿宋" w:hAnsi="仿宋" w:eastAsia="仿宋" w:cs="仿宋"/>
          <w:kern w:val="0"/>
          <w:sz w:val="24"/>
          <w:lang w:val="en-US" w:eastAsia="zh-CN"/>
        </w:rPr>
        <w:t>气体</w:t>
      </w:r>
      <w:r>
        <w:rPr>
          <w:rFonts w:hint="eastAsia" w:ascii="仿宋" w:hAnsi="仿宋" w:eastAsia="仿宋" w:cs="仿宋"/>
          <w:kern w:val="0"/>
          <w:sz w:val="24"/>
        </w:rPr>
        <w:t>（具体详见招标文件）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备注：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标项五</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数量：不限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110000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简要规格描述：</w:t>
      </w:r>
      <w:r>
        <w:rPr>
          <w:rFonts w:hint="eastAsia" w:ascii="仿宋" w:hAnsi="仿宋" w:eastAsia="仿宋" w:cs="仿宋"/>
          <w:kern w:val="0"/>
          <w:sz w:val="24"/>
          <w:lang w:val="en-US" w:eastAsia="zh-CN"/>
        </w:rPr>
        <w:t>微生物试剂、微生物耗材</w:t>
      </w:r>
      <w:r>
        <w:rPr>
          <w:rFonts w:hint="eastAsia" w:ascii="仿宋" w:hAnsi="仿宋" w:eastAsia="仿宋" w:cs="仿宋"/>
          <w:kern w:val="0"/>
          <w:sz w:val="24"/>
        </w:rPr>
        <w:t>（具体详见招标文件）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备注：</w:t>
      </w:r>
    </w:p>
    <w:p>
      <w:pPr>
        <w:pStyle w:val="71"/>
        <w:rPr>
          <w:rFonts w:hint="eastAsia" w:ascii="仿宋" w:hAnsi="仿宋" w:eastAsia="仿宋" w:cs="仿宋"/>
          <w:kern w:val="0"/>
          <w:sz w:val="24"/>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合同履约期限：详见</w:t>
      </w:r>
      <w:r>
        <w:rPr>
          <w:rFonts w:hint="eastAsia" w:ascii="仿宋" w:hAnsi="仿宋" w:eastAsia="仿宋" w:cs="仿宋"/>
          <w:kern w:val="0"/>
          <w:sz w:val="24"/>
          <w:lang w:eastAsia="zh-CN"/>
        </w:rPr>
        <w:t>招标</w:t>
      </w:r>
      <w:r>
        <w:rPr>
          <w:rFonts w:hint="eastAsia" w:ascii="仿宋" w:hAnsi="仿宋" w:eastAsia="仿宋" w:cs="仿宋"/>
          <w:kern w:val="0"/>
          <w:sz w:val="24"/>
        </w:rPr>
        <w:t>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2.落实政府采购政策需满足的资格要求：</w:t>
      </w:r>
      <w:r>
        <w:rPr>
          <w:rFonts w:hint="eastAsia" w:ascii="仿宋" w:hAnsi="仿宋" w:eastAsia="仿宋" w:cs="仿宋"/>
          <w:kern w:val="0"/>
          <w:sz w:val="24"/>
          <w:lang w:eastAsia="zh-CN"/>
        </w:rPr>
        <w:t>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3.本项目的特定资格要求：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标项一、二、三、四、五：</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）有效的工商营业执照（事业单位法人证书）、税务登记证、组织机构代码证或“三证合一”的营业执照（事业单位法人证书）；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供应商须提供在“信用中国”（www.creditchina.gov.cn/）上未被列入失信被执行人、</w:t>
      </w:r>
      <w:r>
        <w:rPr>
          <w:rFonts w:hint="eastAsia" w:ascii="仿宋" w:hAnsi="仿宋" w:eastAsia="仿宋" w:cs="仿宋"/>
          <w:kern w:val="0"/>
          <w:sz w:val="24"/>
          <w:lang w:eastAsia="zh-CN"/>
        </w:rPr>
        <w:t>重大税收违法失信主体</w:t>
      </w:r>
      <w:r>
        <w:rPr>
          <w:rFonts w:hint="eastAsia" w:ascii="仿宋" w:hAnsi="仿宋" w:eastAsia="仿宋" w:cs="仿宋"/>
          <w:kern w:val="0"/>
          <w:sz w:val="24"/>
        </w:rPr>
        <w:t>名单以及</w:t>
      </w:r>
      <w:r>
        <w:rPr>
          <w:rFonts w:hint="eastAsia" w:ascii="仿宋" w:hAnsi="仿宋" w:eastAsia="仿宋" w:cs="仿宋"/>
          <w:kern w:val="0"/>
          <w:sz w:val="24"/>
          <w:lang w:val="en-US" w:eastAsia="zh-CN"/>
        </w:rPr>
        <w:t>政府采购违法失信记录、</w:t>
      </w:r>
      <w:r>
        <w:rPr>
          <w:rFonts w:hint="eastAsia" w:ascii="仿宋" w:hAnsi="仿宋" w:eastAsia="仿宋" w:cs="仿宋"/>
          <w:kern w:val="0"/>
          <w:sz w:val="24"/>
        </w:rPr>
        <w:t>中国政府采购网（www.ccgp.gov.cn/）政府采购严重违法失信行为（自本公告发出之时不在处罚期内的）的网页打印件（网页打印件须自</w:t>
      </w:r>
      <w:r>
        <w:rPr>
          <w:rFonts w:hint="eastAsia" w:ascii="仿宋" w:hAnsi="仿宋" w:eastAsia="仿宋" w:cs="仿宋"/>
          <w:kern w:val="0"/>
          <w:sz w:val="24"/>
          <w:lang w:eastAsia="zh-CN"/>
        </w:rPr>
        <w:t>招标</w:t>
      </w:r>
      <w:r>
        <w:rPr>
          <w:rFonts w:hint="eastAsia" w:ascii="仿宋" w:hAnsi="仿宋" w:eastAsia="仿宋" w:cs="仿宋"/>
          <w:kern w:val="0"/>
          <w:sz w:val="24"/>
        </w:rPr>
        <w:t>文件发布之日起至投标截止时间从上述网站中打印，需提供上述网站截图并加盖投标人鲜章）；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w:t>
      </w:r>
      <w:r>
        <w:rPr>
          <w:rFonts w:hint="eastAsia" w:ascii="仿宋" w:hAnsi="仿宋" w:eastAsia="仿宋" w:cs="仿宋"/>
          <w:kern w:val="0"/>
          <w:sz w:val="24"/>
        </w:rPr>
        <w:t>本项目不接受联合体投标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三、获取采购文件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12</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13</w:t>
      </w:r>
      <w:r>
        <w:rPr>
          <w:rFonts w:hint="eastAsia" w:ascii="仿宋" w:hAnsi="仿宋" w:eastAsia="仿宋" w:cs="仿宋"/>
          <w:kern w:val="0"/>
          <w:sz w:val="24"/>
        </w:rPr>
        <w:t>日至202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12</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20</w:t>
      </w:r>
      <w:r>
        <w:rPr>
          <w:rFonts w:hint="eastAsia" w:ascii="仿宋" w:hAnsi="仿宋" w:eastAsia="仿宋" w:cs="仿宋"/>
          <w:kern w:val="0"/>
          <w:sz w:val="24"/>
        </w:rPr>
        <w:t>日，每天上午10:00至</w:t>
      </w:r>
      <w:r>
        <w:rPr>
          <w:rFonts w:hint="eastAsia" w:ascii="仿宋" w:hAnsi="仿宋" w:eastAsia="仿宋" w:cs="仿宋"/>
          <w:kern w:val="0"/>
          <w:sz w:val="24"/>
          <w:lang w:val="en-US" w:eastAsia="zh-CN"/>
        </w:rPr>
        <w:t>13</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0，下午1</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val="en-US" w:eastAsia="zh-CN"/>
        </w:rPr>
        <w:t>30</w:t>
      </w:r>
      <w:r>
        <w:rPr>
          <w:rFonts w:hint="eastAsia" w:ascii="仿宋" w:hAnsi="仿宋" w:eastAsia="仿宋" w:cs="仿宋"/>
          <w:kern w:val="0"/>
          <w:sz w:val="24"/>
        </w:rPr>
        <w:t>至</w:t>
      </w:r>
      <w:r>
        <w:rPr>
          <w:rFonts w:hint="eastAsia" w:ascii="仿宋" w:hAnsi="仿宋" w:eastAsia="仿宋" w:cs="仿宋"/>
          <w:kern w:val="0"/>
          <w:sz w:val="24"/>
          <w:lang w:val="en-US" w:eastAsia="zh-CN"/>
        </w:rPr>
        <w:t>18</w:t>
      </w:r>
      <w:r>
        <w:rPr>
          <w:rFonts w:hint="eastAsia" w:ascii="仿宋" w:hAnsi="仿宋" w:eastAsia="仿宋" w:cs="仿宋"/>
          <w:kern w:val="0"/>
          <w:sz w:val="24"/>
        </w:rPr>
        <w:t>:00（北京时间，法定节假日除外）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地点：</w:t>
      </w:r>
      <w:r>
        <w:rPr>
          <w:rFonts w:hint="eastAsia" w:ascii="仿宋" w:hAnsi="仿宋" w:eastAsia="仿宋" w:cs="仿宋"/>
          <w:kern w:val="0"/>
          <w:sz w:val="24"/>
          <w:lang w:eastAsia="zh-CN"/>
        </w:rPr>
        <w:t>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方式：</w:t>
      </w:r>
      <w:r>
        <w:rPr>
          <w:rFonts w:hint="eastAsia" w:ascii="仿宋" w:hAnsi="仿宋" w:eastAsia="仿宋" w:cs="仿宋"/>
          <w:kern w:val="0"/>
          <w:sz w:val="24"/>
          <w:lang w:eastAsia="zh-CN"/>
        </w:rPr>
        <w:t>现场报名</w:t>
      </w:r>
      <w:r>
        <w:rPr>
          <w:rFonts w:hint="eastAsia" w:ascii="仿宋" w:hAnsi="仿宋" w:eastAsia="仿宋" w:cs="仿宋"/>
          <w:kern w:val="0"/>
          <w:sz w:val="24"/>
          <w:lang w:val="en-US" w:eastAsia="zh-CN"/>
        </w:rPr>
        <w:t>/邮箱报名</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四、响应文件提交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2</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01</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地点：</w:t>
      </w:r>
      <w:r>
        <w:rPr>
          <w:rFonts w:hint="eastAsia" w:ascii="仿宋" w:hAnsi="仿宋" w:eastAsia="仿宋" w:cs="仿宋"/>
          <w:kern w:val="0"/>
          <w:sz w:val="24"/>
          <w:lang w:eastAsia="zh-CN"/>
        </w:rPr>
        <w:t>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bookmarkStart w:id="24" w:name="_GoBack"/>
      <w:bookmarkEnd w:id="24"/>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01</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地点：</w:t>
      </w:r>
      <w:r>
        <w:rPr>
          <w:rFonts w:hint="eastAsia" w:ascii="仿宋" w:hAnsi="仿宋" w:eastAsia="仿宋" w:cs="仿宋"/>
          <w:kern w:val="0"/>
          <w:sz w:val="24"/>
          <w:lang w:eastAsia="zh-CN"/>
        </w:rPr>
        <w:t>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七、其他补充事宜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称：新疆维吾尔自治区分析测试研究院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地 址：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联系方式：0991-3193958</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称：新疆凌云天成工程管理咨询有限公司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联系方式：0991-3193958</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项目联系人：许蕊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电 话：0991-3193958</w:t>
      </w:r>
    </w:p>
    <w:p>
      <w:pPr>
        <w:widowControl/>
        <w:spacing w:line="420" w:lineRule="exact"/>
        <w:ind w:firstLine="480" w:firstLineChars="200"/>
        <w:jc w:val="left"/>
        <w:rPr>
          <w:rFonts w:ascii="仿宋" w:hAnsi="仿宋" w:eastAsia="仿宋" w:cs="仿宋"/>
          <w:kern w:val="0"/>
          <w:sz w:val="24"/>
        </w:rPr>
      </w:pPr>
    </w:p>
    <w:p>
      <w:pPr>
        <w:rPr>
          <w:rStyle w:val="216"/>
          <w:rFonts w:hint="eastAsia" w:ascii="仿宋" w:hAnsi="仿宋" w:eastAsia="仿宋" w:cs="仿宋"/>
          <w:szCs w:val="21"/>
        </w:rPr>
      </w:pPr>
      <w:r>
        <w:br w:type="page"/>
      </w:r>
    </w:p>
    <w:p>
      <w:pPr>
        <w:pStyle w:val="2"/>
        <w:rPr>
          <w:rFonts w:hint="eastAsia"/>
        </w:rPr>
      </w:pPr>
      <w:bookmarkStart w:id="2" w:name="_Toc5383"/>
      <w:r>
        <w:rPr>
          <w:rFonts w:hint="eastAsia"/>
        </w:rPr>
        <w:fldChar w:fldCharType="begin"/>
      </w:r>
      <w:r>
        <w:rPr>
          <w:rFonts w:hint="eastAsia"/>
        </w:rPr>
        <w:instrText xml:space="preserve"> HYPERLINK \l "_Toc14326" </w:instrText>
      </w:r>
      <w:r>
        <w:rPr>
          <w:rFonts w:hint="eastAsia"/>
        </w:rPr>
        <w:fldChar w:fldCharType="separate"/>
      </w:r>
      <w:r>
        <w:rPr>
          <w:rFonts w:hint="eastAsia"/>
        </w:rPr>
        <w:t>第二章 投标人须知</w:t>
      </w:r>
      <w:r>
        <w:rPr>
          <w:rFonts w:hint="eastAsia"/>
        </w:rPr>
        <w:fldChar w:fldCharType="end"/>
      </w:r>
      <w:bookmarkEnd w:id="2"/>
    </w:p>
    <w:p>
      <w:pPr>
        <w:jc w:val="center"/>
        <w:rPr>
          <w:rFonts w:hint="eastAsia" w:ascii="仿宋" w:hAnsi="仿宋" w:eastAsia="仿宋" w:cs="仿宋"/>
          <w:b/>
          <w:bCs/>
          <w:sz w:val="24"/>
        </w:rPr>
      </w:pPr>
      <w:r>
        <w:rPr>
          <w:rFonts w:hint="eastAsia" w:ascii="仿宋" w:hAnsi="仿宋" w:eastAsia="仿宋" w:cs="仿宋"/>
          <w:b/>
          <w:bCs/>
          <w:sz w:val="24"/>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2245"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条款名称</w:t>
            </w:r>
          </w:p>
        </w:tc>
        <w:tc>
          <w:tcPr>
            <w:tcW w:w="6961"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w:t>
            </w:r>
          </w:p>
        </w:tc>
        <w:tc>
          <w:tcPr>
            <w:tcW w:w="6961"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新疆维吾尔自治区分析测试研究院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采购代理机构</w:t>
            </w:r>
          </w:p>
        </w:tc>
        <w:tc>
          <w:tcPr>
            <w:tcW w:w="6961"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招标代理机构：</w:t>
            </w:r>
            <w:r>
              <w:rPr>
                <w:rFonts w:hint="eastAsia" w:ascii="仿宋" w:hAnsi="仿宋" w:eastAsia="仿宋" w:cs="仿宋"/>
                <w:sz w:val="24"/>
                <w:lang w:eastAsia="zh-CN"/>
              </w:rPr>
              <w:t>新疆凌云天成工程管理咨询有限公司</w:t>
            </w:r>
          </w:p>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许蕊</w:t>
            </w:r>
          </w:p>
          <w:p>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kern w:val="0"/>
                <w:sz w:val="24"/>
                <w:lang w:eastAsia="zh-CN"/>
              </w:rPr>
              <w:t>0991-3193958</w:t>
            </w:r>
            <w:r>
              <w:rPr>
                <w:rFonts w:hint="eastAsia" w:ascii="仿宋" w:hAnsi="仿宋" w:eastAsia="仿宋" w:cs="仿宋"/>
                <w:kern w:val="0"/>
                <w:sz w:val="24"/>
                <w:lang w:val="en-US" w:eastAsia="zh-CN"/>
              </w:rPr>
              <w:t>/18160590706</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地址：乌鲁木齐市新市区北京南路高新街217号盈科广场B座2709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采购项目名称</w:t>
            </w:r>
          </w:p>
        </w:tc>
        <w:tc>
          <w:tcPr>
            <w:tcW w:w="6961" w:type="dxa"/>
            <w:noWrap w:val="0"/>
            <w:vAlign w:val="center"/>
          </w:tcPr>
          <w:p>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lang w:eastAsia="zh-CN"/>
              </w:rPr>
              <w:t>新疆维吾尔自治区分析测试研究院2022年试剂耗材采购项目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采购项目编号</w:t>
            </w:r>
          </w:p>
        </w:tc>
        <w:tc>
          <w:tcPr>
            <w:tcW w:w="6961" w:type="dxa"/>
            <w:noWrap w:val="0"/>
            <w:vAlign w:val="center"/>
          </w:tcPr>
          <w:p>
            <w:pPr>
              <w:adjustRightInd w:val="0"/>
              <w:snapToGrid w:val="0"/>
              <w:spacing w:line="400" w:lineRule="exact"/>
              <w:rPr>
                <w:rFonts w:hint="default" w:ascii="仿宋" w:hAnsi="仿宋" w:eastAsia="仿宋" w:cs="仿宋"/>
                <w:sz w:val="24"/>
                <w:lang w:val="en-US" w:eastAsia="zh-CN"/>
              </w:rPr>
            </w:pPr>
            <w:r>
              <w:rPr>
                <w:rFonts w:hint="default" w:ascii="仿宋" w:hAnsi="仿宋" w:eastAsia="仿宋" w:cs="仿宋"/>
                <w:sz w:val="24"/>
                <w:lang w:val="en-US" w:eastAsia="zh-CN"/>
              </w:rPr>
              <w:t>XJLY22HW057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项目地点</w:t>
            </w:r>
          </w:p>
        </w:tc>
        <w:tc>
          <w:tcPr>
            <w:tcW w:w="6961"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新疆维吾尔自治区分析测试研究院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采购内容及预算</w:t>
            </w:r>
          </w:p>
        </w:tc>
        <w:tc>
          <w:tcPr>
            <w:tcW w:w="6961" w:type="dxa"/>
            <w:noWrap w:val="0"/>
            <w:vAlign w:val="center"/>
          </w:tcPr>
          <w:p>
            <w:pPr>
              <w:adjustRightInd w:val="0"/>
              <w:snapToGrid w:val="0"/>
              <w:spacing w:line="400" w:lineRule="exact"/>
              <w:rPr>
                <w:rFonts w:hint="default" w:eastAsia="宋体"/>
                <w:lang w:val="en-US" w:eastAsia="zh-CN"/>
              </w:rPr>
            </w:pPr>
            <w:r>
              <w:rPr>
                <w:rFonts w:hint="eastAsia" w:ascii="仿宋" w:hAnsi="仿宋" w:eastAsia="仿宋" w:cs="仿宋"/>
                <w:sz w:val="24"/>
                <w:lang w:val="en-US" w:eastAsia="zh-CN"/>
              </w:rPr>
              <w:t>详见采购需求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245" w:type="dxa"/>
            <w:noWrap w:val="0"/>
            <w:vAlign w:val="center"/>
          </w:tcPr>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lang w:eastAsia="zh-CN"/>
              </w:rPr>
              <w:t>供货期</w:t>
            </w:r>
            <w:r>
              <w:rPr>
                <w:rFonts w:hint="eastAsia" w:ascii="仿宋" w:hAnsi="仿宋" w:eastAsia="仿宋" w:cs="仿宋"/>
                <w:sz w:val="24"/>
                <w:highlight w:val="none"/>
              </w:rPr>
              <w:t>及质保期</w:t>
            </w:r>
          </w:p>
        </w:tc>
        <w:tc>
          <w:tcPr>
            <w:tcW w:w="6961" w:type="dxa"/>
            <w:noWrap w:val="0"/>
            <w:vAlign w:val="center"/>
          </w:tcPr>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一年</w:t>
            </w:r>
            <w:r>
              <w:rPr>
                <w:rFonts w:hint="eastAsia" w:ascii="仿宋" w:hAnsi="仿宋" w:eastAsia="仿宋" w:cs="仿宋"/>
                <w:sz w:val="24"/>
                <w:highlight w:val="none"/>
              </w:rPr>
              <w:t>。</w:t>
            </w:r>
          </w:p>
          <w:p>
            <w:pPr>
              <w:adjustRightInd w:val="0"/>
              <w:snapToGrid w:val="0"/>
              <w:spacing w:line="400" w:lineRule="exact"/>
              <w:rPr>
                <w:rFonts w:ascii="仿宋" w:hAnsi="仿宋" w:eastAsia="仿宋" w:cs="仿宋"/>
                <w:sz w:val="24"/>
                <w:highlight w:val="none"/>
              </w:rPr>
            </w:pPr>
            <w:r>
              <w:rPr>
                <w:rFonts w:hint="eastAsia" w:ascii="仿宋" w:hAnsi="仿宋" w:eastAsia="仿宋" w:cs="仿宋"/>
                <w:sz w:val="24"/>
                <w:highlight w:val="none"/>
              </w:rPr>
              <w:t>质保期：</w:t>
            </w:r>
            <w:r>
              <w:rPr>
                <w:rFonts w:hint="eastAsia" w:ascii="仿宋" w:hAnsi="仿宋" w:eastAsia="仿宋" w:cs="仿宋"/>
                <w:sz w:val="24"/>
                <w:highlight w:val="none"/>
                <w:lang w:val="en-US" w:eastAsia="zh-CN"/>
              </w:rPr>
              <w:t>一年</w:t>
            </w:r>
            <w:r>
              <w:rPr>
                <w:rFonts w:hint="eastAsia" w:ascii="仿宋" w:hAnsi="仿宋" w:eastAsia="仿宋" w:cs="仿宋"/>
                <w:sz w:val="24"/>
                <w:highlight w:val="none"/>
              </w:rPr>
              <w:t>（自交货验收合格之日起）。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6961" w:type="dxa"/>
            <w:noWrap w:val="0"/>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245" w:type="dxa"/>
            <w:noWrap w:val="0"/>
            <w:vAlign w:val="center"/>
          </w:tcPr>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付款方式</w:t>
            </w:r>
          </w:p>
        </w:tc>
        <w:tc>
          <w:tcPr>
            <w:tcW w:w="6961" w:type="dxa"/>
            <w:noWrap w:val="0"/>
            <w:vAlign w:val="center"/>
          </w:tcPr>
          <w:p>
            <w:pPr>
              <w:adjustRightInd w:val="0"/>
              <w:snapToGrid w:val="0"/>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rPr>
              <w:t>第一批</w:t>
            </w:r>
            <w:r>
              <w:rPr>
                <w:rFonts w:hint="eastAsia" w:ascii="仿宋" w:hAnsi="仿宋" w:eastAsia="仿宋" w:cs="仿宋"/>
                <w:sz w:val="24"/>
                <w:highlight w:val="none"/>
                <w:lang w:eastAsia="zh-CN"/>
              </w:rPr>
              <w:t>耗材</w:t>
            </w:r>
            <w:r>
              <w:rPr>
                <w:rFonts w:hint="eastAsia" w:ascii="仿宋" w:hAnsi="仿宋" w:eastAsia="仿宋" w:cs="仿宋"/>
                <w:sz w:val="24"/>
                <w:highlight w:val="none"/>
              </w:rPr>
              <w:t>到货验收合格</w:t>
            </w:r>
            <w:r>
              <w:rPr>
                <w:rFonts w:hint="eastAsia" w:ascii="仿宋" w:hAnsi="仿宋" w:eastAsia="仿宋" w:cs="仿宋"/>
                <w:sz w:val="24"/>
                <w:highlight w:val="none"/>
                <w:lang w:eastAsia="zh-CN"/>
              </w:rPr>
              <w:t>后支付合同价款的</w:t>
            </w:r>
            <w:r>
              <w:rPr>
                <w:rFonts w:hint="eastAsia" w:ascii="仿宋" w:hAnsi="仿宋" w:eastAsia="仿宋" w:cs="仿宋"/>
                <w:sz w:val="24"/>
                <w:highlight w:val="none"/>
              </w:rPr>
              <w:t>30%，</w:t>
            </w:r>
            <w:r>
              <w:rPr>
                <w:rFonts w:hint="eastAsia" w:ascii="仿宋" w:hAnsi="仿宋" w:eastAsia="仿宋" w:cs="仿宋"/>
                <w:sz w:val="24"/>
                <w:highlight w:val="none"/>
                <w:lang w:eastAsia="zh-CN"/>
              </w:rPr>
              <w:t>全部耗材</w:t>
            </w:r>
            <w:r>
              <w:rPr>
                <w:rFonts w:hint="eastAsia" w:ascii="仿宋" w:hAnsi="仿宋" w:eastAsia="仿宋" w:cs="仿宋"/>
                <w:sz w:val="24"/>
                <w:highlight w:val="none"/>
              </w:rPr>
              <w:t>供货完毕并验收合格</w:t>
            </w:r>
            <w:r>
              <w:rPr>
                <w:rFonts w:hint="eastAsia" w:ascii="仿宋" w:hAnsi="仿宋" w:eastAsia="仿宋" w:cs="仿宋"/>
                <w:sz w:val="24"/>
                <w:highlight w:val="none"/>
                <w:lang w:eastAsia="zh-CN"/>
              </w:rPr>
              <w:t>后支</w:t>
            </w:r>
            <w:r>
              <w:rPr>
                <w:rFonts w:hint="eastAsia" w:ascii="仿宋" w:hAnsi="仿宋" w:eastAsia="仿宋" w:cs="仿宋"/>
                <w:sz w:val="24"/>
                <w:highlight w:val="none"/>
              </w:rPr>
              <w:t>付</w:t>
            </w:r>
            <w:r>
              <w:rPr>
                <w:rFonts w:hint="eastAsia" w:ascii="仿宋" w:hAnsi="仿宋" w:eastAsia="仿宋" w:cs="仿宋"/>
                <w:sz w:val="24"/>
                <w:highlight w:val="none"/>
                <w:lang w:eastAsia="zh-CN"/>
              </w:rPr>
              <w:t>合同价款的</w:t>
            </w:r>
            <w:r>
              <w:rPr>
                <w:rFonts w:hint="eastAsia" w:ascii="仿宋" w:hAnsi="仿宋" w:eastAsia="仿宋" w:cs="仿宋"/>
                <w:sz w:val="24"/>
                <w:highlight w:val="none"/>
              </w:rPr>
              <w:t>70%</w:t>
            </w:r>
            <w:r>
              <w:rPr>
                <w:rFonts w:hint="eastAsia" w:ascii="仿宋" w:hAnsi="仿宋" w:eastAsia="仿宋" w:cs="仿宋"/>
                <w:sz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联合体投标</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投标人资格要求</w:t>
            </w:r>
          </w:p>
        </w:tc>
        <w:tc>
          <w:tcPr>
            <w:tcW w:w="6961" w:type="dxa"/>
            <w:noWrap w:val="0"/>
            <w:vAlign w:val="center"/>
          </w:tcPr>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1.满足《中华人民共和国政府采购法》第二十二条规定；</w:t>
            </w:r>
          </w:p>
          <w:p>
            <w:pPr>
              <w:widowControl/>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2.落实政府采购政策需满足的资格要求：</w:t>
            </w:r>
            <w:r>
              <w:rPr>
                <w:rFonts w:hint="eastAsia" w:ascii="仿宋" w:hAnsi="仿宋" w:eastAsia="仿宋" w:cs="仿宋"/>
                <w:sz w:val="24"/>
                <w:lang w:eastAsia="zh-CN"/>
              </w:rPr>
              <w:t>无；</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3.本项目的特定资格要求：</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）有效的工商营业执照（事业单位法人证书）、税务登记证、组织机构代码证或“三证合一”的营业执照（事业单位法人证书）；</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kern w:val="0"/>
                <w:sz w:val="24"/>
              </w:rPr>
              <w:t>供应商须提供在“信用中国”（www.creditchina.gov.cn/）上未被列入失信被执行人、</w:t>
            </w:r>
            <w:r>
              <w:rPr>
                <w:rFonts w:hint="eastAsia" w:ascii="仿宋" w:hAnsi="仿宋" w:eastAsia="仿宋" w:cs="仿宋"/>
                <w:kern w:val="0"/>
                <w:sz w:val="24"/>
                <w:lang w:eastAsia="zh-CN"/>
              </w:rPr>
              <w:t>重大税收违法失信主体</w:t>
            </w:r>
            <w:r>
              <w:rPr>
                <w:rFonts w:hint="eastAsia" w:ascii="仿宋" w:hAnsi="仿宋" w:eastAsia="仿宋" w:cs="仿宋"/>
                <w:kern w:val="0"/>
                <w:sz w:val="24"/>
              </w:rPr>
              <w:t>名单以及</w:t>
            </w:r>
            <w:r>
              <w:rPr>
                <w:rFonts w:hint="eastAsia" w:ascii="仿宋" w:hAnsi="仿宋" w:eastAsia="仿宋" w:cs="仿宋"/>
                <w:kern w:val="0"/>
                <w:sz w:val="24"/>
                <w:lang w:val="en-US" w:eastAsia="zh-CN"/>
              </w:rPr>
              <w:t>政府采购违法失信记录、</w:t>
            </w:r>
            <w:r>
              <w:rPr>
                <w:rFonts w:hint="eastAsia" w:ascii="仿宋" w:hAnsi="仿宋" w:eastAsia="仿宋" w:cs="仿宋"/>
                <w:kern w:val="0"/>
                <w:sz w:val="24"/>
              </w:rPr>
              <w:t>中国政府采购网（www.ccgp.gov.cn/）政府采购严重违法失信行为（自本公告发出之时不在处罚期内的）的网页打印件（网页打印件须自</w:t>
            </w:r>
            <w:r>
              <w:rPr>
                <w:rFonts w:hint="eastAsia" w:ascii="仿宋" w:hAnsi="仿宋" w:eastAsia="仿宋" w:cs="仿宋"/>
                <w:kern w:val="0"/>
                <w:sz w:val="24"/>
                <w:lang w:eastAsia="zh-CN"/>
              </w:rPr>
              <w:t>招标</w:t>
            </w:r>
            <w:r>
              <w:rPr>
                <w:rFonts w:hint="eastAsia" w:ascii="仿宋" w:hAnsi="仿宋" w:eastAsia="仿宋" w:cs="仿宋"/>
                <w:kern w:val="0"/>
                <w:sz w:val="24"/>
              </w:rPr>
              <w:t>文件发布之日起至投标截止时间从上述网站中打印，需提供上述网站截图并加盖投标人鲜章）</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）单位负责人为同一人或者存在直接控股、管理关系的不同供应商，不得参加同一合同项下的政府采购活动；</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本项目不接受联合体投标</w:t>
            </w:r>
            <w:r>
              <w:rPr>
                <w:rFonts w:hint="eastAsia" w:ascii="仿宋" w:hAnsi="仿宋" w:eastAsia="仿宋" w:cs="仿宋"/>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投标截止时间及开标时间</w:t>
            </w:r>
          </w:p>
        </w:tc>
        <w:tc>
          <w:tcPr>
            <w:tcW w:w="6961" w:type="dxa"/>
            <w:noWrap w:val="0"/>
            <w:vAlign w:val="center"/>
          </w:tcPr>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2</w:t>
            </w:r>
            <w:r>
              <w:rPr>
                <w:rFonts w:hint="eastAsia" w:ascii="仿宋" w:hAnsi="仿宋" w:eastAsia="仿宋" w:cs="仿宋"/>
                <w:sz w:val="24"/>
              </w:rPr>
              <w:t>年</w:t>
            </w:r>
            <w:r>
              <w:rPr>
                <w:rFonts w:hint="eastAsia" w:ascii="仿宋" w:hAnsi="仿宋" w:eastAsia="仿宋" w:cs="仿宋"/>
                <w:sz w:val="24"/>
                <w:u w:val="single"/>
                <w:lang w:val="en-US" w:eastAsia="zh-CN"/>
              </w:rPr>
              <w:t>01</w:t>
            </w:r>
            <w:r>
              <w:rPr>
                <w:rFonts w:hint="eastAsia" w:ascii="仿宋" w:hAnsi="仿宋" w:eastAsia="仿宋" w:cs="仿宋"/>
                <w:sz w:val="24"/>
              </w:rPr>
              <w:t>月</w:t>
            </w:r>
            <w:r>
              <w:rPr>
                <w:rFonts w:hint="eastAsia" w:ascii="仿宋" w:hAnsi="仿宋" w:eastAsia="仿宋" w:cs="仿宋"/>
                <w:sz w:val="24"/>
                <w:u w:val="single"/>
                <w:lang w:val="en-US" w:eastAsia="zh-CN"/>
              </w:rPr>
              <w:t>04</w:t>
            </w:r>
            <w:r>
              <w:rPr>
                <w:rFonts w:hint="eastAsia" w:ascii="仿宋" w:hAnsi="仿宋" w:eastAsia="仿宋" w:cs="仿宋"/>
                <w:sz w:val="24"/>
              </w:rPr>
              <w:t>日1</w:t>
            </w:r>
            <w:r>
              <w:rPr>
                <w:rFonts w:hint="eastAsia" w:ascii="仿宋" w:hAnsi="仿宋" w:eastAsia="仿宋" w:cs="仿宋"/>
                <w:sz w:val="24"/>
                <w:lang w:val="en-US" w:eastAsia="zh-CN"/>
              </w:rPr>
              <w:t>1</w:t>
            </w:r>
            <w:r>
              <w:rPr>
                <w:rFonts w:hint="eastAsia" w:ascii="仿宋" w:hAnsi="仿宋" w:eastAsia="仿宋" w:cs="仿宋"/>
                <w:sz w:val="24"/>
              </w:rPr>
              <w:t>:00(北京时间)</w:t>
            </w:r>
          </w:p>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投标人</w:t>
            </w:r>
            <w:r>
              <w:rPr>
                <w:rFonts w:hint="eastAsia" w:ascii="仿宋" w:hAnsi="仿宋" w:eastAsia="仿宋" w:cs="仿宋"/>
                <w:sz w:val="24"/>
              </w:rPr>
              <w:t>应按招标规定的响应截止时间前递交投标文件，迟交的文件将被拒绝接收。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16</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递交投标文件地点及开标地点</w:t>
            </w:r>
          </w:p>
        </w:tc>
        <w:tc>
          <w:tcPr>
            <w:tcW w:w="6961" w:type="dxa"/>
            <w:noWrap w:val="0"/>
            <w:vAlign w:val="center"/>
          </w:tcPr>
          <w:p>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乌鲁木齐市新市区北京南路高新街217号盈科广场B座2709室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投标有效期</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245" w:type="dxa"/>
            <w:noWrap w:val="0"/>
            <w:vAlign w:val="center"/>
          </w:tcPr>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履约担保</w:t>
            </w:r>
          </w:p>
        </w:tc>
        <w:tc>
          <w:tcPr>
            <w:tcW w:w="6961" w:type="dxa"/>
            <w:noWrap w:val="0"/>
            <w:vAlign w:val="center"/>
          </w:tcPr>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履约保证金金额：合同金额的</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履约保证金递交：中标单位收到《中标通知书》且签订合同同时，向采购人缴纳；</w:t>
            </w:r>
          </w:p>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履约保证金形式：支票、汇票、银行转账等非现金形式；（中标单位未按招标文件规定缴纳履约保证金的，其投标保证金将不予退还。）</w:t>
            </w:r>
          </w:p>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245" w:type="dxa"/>
            <w:noWrap w:val="0"/>
            <w:vAlign w:val="center"/>
          </w:tcPr>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投标保证金</w:t>
            </w:r>
          </w:p>
        </w:tc>
        <w:tc>
          <w:tcPr>
            <w:tcW w:w="6961" w:type="dxa"/>
            <w:noWrap w:val="0"/>
            <w:vAlign w:val="center"/>
          </w:tcPr>
          <w:p>
            <w:pPr>
              <w:pStyle w:val="29"/>
              <w:ind w:firstLine="0" w:firstLineChars="0"/>
              <w:rPr>
                <w:rFonts w:hint="default"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1、每包采购预算的2%</w:t>
            </w:r>
          </w:p>
          <w:p>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2、投标保证金缴纳形式：</w:t>
            </w:r>
            <w:r>
              <w:rPr>
                <w:rFonts w:hint="eastAsia" w:ascii="仿宋" w:hAnsi="仿宋" w:eastAsia="仿宋" w:cs="仿宋"/>
                <w:b w:val="0"/>
                <w:bCs w:val="0"/>
                <w:sz w:val="24"/>
              </w:rPr>
              <w:t>转账或银行电汇</w:t>
            </w:r>
            <w:r>
              <w:rPr>
                <w:rFonts w:hint="eastAsia" w:ascii="仿宋" w:hAnsi="仿宋" w:eastAsia="仿宋" w:cs="仿宋"/>
                <w:b w:val="0"/>
                <w:bCs w:val="0"/>
                <w:sz w:val="24"/>
                <w:lang w:eastAsia="zh-CN"/>
              </w:rPr>
              <w:t>等</w:t>
            </w:r>
          </w:p>
          <w:p>
            <w:pPr>
              <w:adjustRightInd w:val="0"/>
              <w:snapToGrid w:val="0"/>
              <w:spacing w:line="400" w:lineRule="exact"/>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3、保证金截止时间：</w:t>
            </w:r>
            <w:r>
              <w:rPr>
                <w:rFonts w:hint="eastAsia" w:ascii="仿宋" w:hAnsi="仿宋" w:eastAsia="仿宋" w:cs="仿宋"/>
                <w:b w:val="0"/>
                <w:bCs w:val="0"/>
                <w:sz w:val="24"/>
              </w:rPr>
              <w:t>投标截止时间前</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（投标保证金未按规定时间缴纳或提交金额不足的，将被视为无效投标,其投标文件将被拒绝。投标人应充分考虑资金在途时间）</w:t>
            </w:r>
          </w:p>
          <w:p>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4、保证金缴纳账户信息：</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帐户名称：新疆凌云天成工程管理咨询有限公司</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开户行行号：302881000115</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帐号</w:t>
            </w:r>
            <w:r>
              <w:rPr>
                <w:rFonts w:hint="eastAsia" w:ascii="仿宋" w:hAnsi="仿宋" w:eastAsia="仿宋" w:cs="仿宋"/>
                <w:b w:val="0"/>
                <w:bCs w:val="0"/>
                <w:sz w:val="24"/>
                <w:lang w:eastAsia="zh-CN"/>
              </w:rPr>
              <w:t>：</w:t>
            </w:r>
            <w:r>
              <w:rPr>
                <w:rFonts w:hint="eastAsia" w:ascii="仿宋" w:hAnsi="仿宋" w:eastAsia="仿宋" w:cs="仿宋"/>
                <w:b w:val="0"/>
                <w:bCs w:val="0"/>
                <w:sz w:val="24"/>
              </w:rPr>
              <w:t xml:space="preserve"> 8113701013600070647 （</w:t>
            </w:r>
            <w:r>
              <w:rPr>
                <w:rFonts w:hint="eastAsia" w:ascii="仿宋" w:hAnsi="仿宋" w:eastAsia="仿宋" w:cs="仿宋"/>
                <w:b w:val="0"/>
                <w:bCs w:val="0"/>
                <w:sz w:val="24"/>
                <w:lang w:val="en-US" w:eastAsia="zh-CN"/>
              </w:rPr>
              <w:t>转账</w:t>
            </w:r>
            <w:r>
              <w:rPr>
                <w:rFonts w:hint="eastAsia" w:ascii="仿宋" w:hAnsi="仿宋" w:eastAsia="仿宋" w:cs="仿宋"/>
                <w:b w:val="0"/>
                <w:bCs w:val="0"/>
                <w:sz w:val="24"/>
              </w:rPr>
              <w:t>时请在汇款备注栏注明</w:t>
            </w:r>
            <w:r>
              <w:rPr>
                <w:rFonts w:hint="eastAsia" w:ascii="仿宋" w:hAnsi="仿宋" w:eastAsia="仿宋" w:cs="仿宋"/>
                <w:b w:val="0"/>
                <w:bCs w:val="0"/>
                <w:sz w:val="24"/>
                <w:lang w:eastAsia="zh-CN"/>
              </w:rPr>
              <w:t>项目名称、项目</w:t>
            </w:r>
            <w:r>
              <w:rPr>
                <w:rFonts w:hint="eastAsia" w:ascii="仿宋" w:hAnsi="仿宋" w:eastAsia="仿宋" w:cs="仿宋"/>
                <w:b w:val="0"/>
                <w:bCs w:val="0"/>
                <w:sz w:val="24"/>
              </w:rPr>
              <w:t>编号</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标包号</w:t>
            </w:r>
            <w:r>
              <w:rPr>
                <w:rFonts w:hint="eastAsia" w:ascii="仿宋" w:hAnsi="仿宋" w:eastAsia="仿宋" w:cs="仿宋"/>
                <w:b w:val="0"/>
                <w:bCs w:val="0"/>
                <w:sz w:val="24"/>
              </w:rPr>
              <w:t>）</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开户银行：中信银行乌鲁木齐河北路支行</w:t>
            </w:r>
          </w:p>
          <w:p>
            <w:pPr>
              <w:adjustRightInd w:val="0"/>
              <w:snapToGrid w:val="0"/>
              <w:spacing w:line="400" w:lineRule="exact"/>
              <w:rPr>
                <w:rFonts w:hint="eastAsia" w:ascii="仿宋" w:hAnsi="仿宋" w:eastAsia="仿宋" w:cs="仿宋"/>
                <w:b w:val="0"/>
                <w:bCs w:val="0"/>
                <w:sz w:val="24"/>
              </w:rPr>
            </w:pPr>
            <w:r>
              <w:rPr>
                <w:rFonts w:hint="eastAsia" w:ascii="仿宋" w:hAnsi="仿宋" w:eastAsia="仿宋" w:cs="仿宋"/>
                <w:b w:val="0"/>
                <w:bCs w:val="0"/>
                <w:sz w:val="24"/>
              </w:rPr>
              <w:t>注：投标人递交投标保证金时，须注明“项目名称、项目</w:t>
            </w:r>
            <w:r>
              <w:rPr>
                <w:rFonts w:hint="eastAsia" w:ascii="仿宋" w:hAnsi="仿宋" w:eastAsia="仿宋" w:cs="仿宋"/>
                <w:b w:val="0"/>
                <w:bCs w:val="0"/>
                <w:sz w:val="24"/>
                <w:lang w:eastAsia="zh-CN"/>
              </w:rPr>
              <w:t>包号</w:t>
            </w:r>
            <w:r>
              <w:rPr>
                <w:rFonts w:hint="eastAsia" w:ascii="仿宋" w:hAnsi="仿宋" w:eastAsia="仿宋" w:cs="仿宋"/>
                <w:b w:val="0"/>
                <w:bCs w:val="0"/>
                <w:sz w:val="24"/>
              </w:rPr>
              <w:t>”（如有字符限制可自行简写）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20</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投标文件份数</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正本壹份，副本肆份，开标一览表一份（单独密封包装），电子版U盘一份（包含投标文件所有内容）。</w:t>
            </w:r>
          </w:p>
          <w:p>
            <w:pPr>
              <w:adjustRightInd w:val="0"/>
              <w:snapToGrid w:val="0"/>
              <w:spacing w:line="400" w:lineRule="exact"/>
              <w:rPr>
                <w:rFonts w:hint="eastAsia"/>
              </w:rPr>
            </w:pPr>
            <w:r>
              <w:rPr>
                <w:rFonts w:hint="eastAsia" w:ascii="仿宋" w:hAnsi="仿宋" w:eastAsia="仿宋" w:cs="仿宋"/>
                <w:sz w:val="24"/>
              </w:rPr>
              <w:t>投标文件采用</w:t>
            </w:r>
            <w:r>
              <w:rPr>
                <w:rFonts w:hint="eastAsia" w:ascii="仿宋" w:hAnsi="仿宋" w:eastAsia="仿宋" w:cs="仿宋"/>
                <w:sz w:val="24"/>
                <w:u w:val="single"/>
              </w:rPr>
              <w:t>死页胶装方式</w:t>
            </w:r>
            <w:r>
              <w:rPr>
                <w:rFonts w:hint="eastAsia" w:ascii="仿宋" w:hAnsi="仿宋" w:eastAsia="仿宋" w:cs="仿宋"/>
                <w:sz w:val="24"/>
              </w:rPr>
              <w:t>装订,装订应牢固、不易拆散，不得采用活页装订。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投标文件的密封</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正本、副本可以密封在同一文件袋中；电子文件U盘单独密封；</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开标一览表单独密封。</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2、投标文件密封袋上应标明：</w:t>
            </w:r>
            <w:r>
              <w:rPr>
                <w:rFonts w:hint="eastAsia" w:ascii="仿宋" w:hAnsi="仿宋" w:eastAsia="仿宋" w:cs="仿宋"/>
                <w:sz w:val="24"/>
              </w:rPr>
              <w:t>项目名称；项目编号；投标人名称、联系人、联系电话、单位地址；并注明“  年  月  日  时  分开标前不准启封”、“投标文件”、“开标一览表”、“电子版”等字样。</w:t>
            </w:r>
          </w:p>
          <w:p>
            <w:pPr>
              <w:adjustRightInd w:val="0"/>
              <w:snapToGrid w:val="0"/>
              <w:spacing w:line="400" w:lineRule="exact"/>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所有外层密封袋的封口处应粘贴牢固，并</w:t>
            </w:r>
            <w:r>
              <w:rPr>
                <w:rFonts w:hint="eastAsia" w:ascii="仿宋" w:hAnsi="仿宋" w:eastAsia="仿宋" w:cs="仿宋"/>
                <w:kern w:val="0"/>
                <w:sz w:val="24"/>
                <w:lang w:val="en-US" w:eastAsia="zh-CN"/>
              </w:rPr>
              <w:t>加贴封条，封口处</w:t>
            </w:r>
            <w:r>
              <w:rPr>
                <w:rFonts w:hint="eastAsia" w:ascii="仿宋" w:hAnsi="仿宋" w:eastAsia="仿宋" w:cs="仿宋"/>
                <w:kern w:val="0"/>
                <w:sz w:val="24"/>
              </w:rPr>
              <w:t>加盖</w:t>
            </w:r>
            <w:r>
              <w:rPr>
                <w:rFonts w:hint="eastAsia" w:ascii="仿宋" w:hAnsi="仿宋" w:eastAsia="仿宋" w:cs="仿宋"/>
                <w:kern w:val="0"/>
                <w:sz w:val="24"/>
                <w:lang w:eastAsia="zh-CN"/>
              </w:rPr>
              <w:t>投标人</w:t>
            </w:r>
            <w:r>
              <w:rPr>
                <w:rFonts w:hint="eastAsia" w:ascii="仿宋" w:hAnsi="仿宋" w:eastAsia="仿宋" w:cs="仿宋"/>
                <w:kern w:val="0"/>
                <w:sz w:val="24"/>
              </w:rPr>
              <w:t>印章</w:t>
            </w:r>
            <w:r>
              <w:rPr>
                <w:rFonts w:hint="eastAsia" w:ascii="仿宋" w:hAnsi="仿宋" w:eastAsia="仿宋" w:cs="仿宋"/>
                <w:kern w:val="0"/>
                <w:sz w:val="24"/>
                <w:lang w:eastAsia="zh-CN"/>
              </w:rPr>
              <w:t>。</w:t>
            </w:r>
          </w:p>
          <w:p>
            <w:pPr>
              <w:adjustRightInd w:val="0"/>
              <w:snapToGrid w:val="0"/>
              <w:spacing w:line="400" w:lineRule="exact"/>
              <w:rPr>
                <w:rFonts w:hint="eastAsia" w:ascii="仿宋" w:hAnsi="仿宋" w:eastAsia="仿宋" w:cs="仿宋"/>
                <w:kern w:val="0"/>
                <w:sz w:val="24"/>
                <w:lang w:eastAsia="zh-CN"/>
              </w:rPr>
            </w:pPr>
            <w:r>
              <w:rPr>
                <w:rFonts w:hint="eastAsia" w:ascii="仿宋" w:hAnsi="仿宋" w:eastAsia="仿宋" w:cs="仿宋"/>
                <w:kern w:val="0"/>
                <w:sz w:val="24"/>
                <w:lang w:eastAsia="zh-CN"/>
              </w:rPr>
              <w:t>注：未按上述要求密封的投标文件将被拒绝接收。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9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2</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资格审查资料</w:t>
            </w:r>
          </w:p>
        </w:tc>
        <w:tc>
          <w:tcPr>
            <w:tcW w:w="6961" w:type="dxa"/>
            <w:noWrap w:val="0"/>
            <w:vAlign w:val="center"/>
          </w:tcPr>
          <w:p>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开标现场授权委托人随身携带以下证件以备现场查验：</w:t>
            </w:r>
            <w:r>
              <w:rPr>
                <w:rFonts w:hint="eastAsia" w:ascii="仿宋" w:hAnsi="仿宋" w:eastAsia="仿宋" w:cs="仿宋"/>
                <w:b/>
                <w:bCs/>
                <w:sz w:val="24"/>
              </w:rPr>
              <w:t>营业执照；法人授权委托书及被委托人身份证（法定代表人投标提供法定代表人身份证明及身份证）；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招标文件发布之日起至投标截止时间从上述网站中打印，需提供上述网站截图并加盖投标人鲜章）；投标保证金缴纳凭证。</w:t>
            </w:r>
          </w:p>
          <w:p>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以上资料原件或加盖公章的复印件，如有缺项、未按要求提供的情况，视为投标商不响应本次招标，资格审查将不予通过。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3</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政府采购政策支持</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1、本项目为非专门面向中小企业（含中型、小型、微型企业）采购项目，根据《政府采购促进中小企业发展管理办法》（财库﹝2020﹞46号）文件的规定，评标时将给予此类企业进行价格</w:t>
            </w:r>
            <w:r>
              <w:rPr>
                <w:rFonts w:hint="eastAsia" w:ascii="仿宋" w:hAnsi="仿宋" w:eastAsia="仿宋" w:cs="仿宋"/>
                <w:sz w:val="24"/>
                <w:lang w:val="en-US" w:eastAsia="zh-CN"/>
              </w:rPr>
              <w:t>10</w:t>
            </w:r>
            <w:r>
              <w:rPr>
                <w:rFonts w:hint="eastAsia" w:ascii="仿宋" w:hAnsi="仿宋" w:eastAsia="仿宋" w:cs="仿宋"/>
                <w:sz w:val="24"/>
              </w:rPr>
              <w:t>%的优惠，监狱企业、残疾人福利性单位视同为小微企业，用优惠后的价格参与评审。</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2、落实其他政府采购政策条款：详见中华人民共和国财政部、中华人民共和国工业和信息化部《政府采购促进中小企业发展管理办法》（财库﹝2020﹞46号）文件。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4</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代理服务费</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本项目代理服务费由中标人支付，收费标准参照国家发展计划委员会文件（计价格[2002]1980号文）和（发改办价格[2003]857号文件）。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2245"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特别说明</w:t>
            </w:r>
          </w:p>
        </w:tc>
        <w:tc>
          <w:tcPr>
            <w:tcW w:w="6961"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特别说明：</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2.采购人若发现</w:t>
            </w:r>
            <w:r>
              <w:rPr>
                <w:rFonts w:hint="eastAsia" w:ascii="仿宋" w:hAnsi="仿宋" w:eastAsia="仿宋" w:cs="仿宋"/>
                <w:sz w:val="24"/>
                <w:lang w:val="en-US" w:eastAsia="zh-CN"/>
              </w:rPr>
              <w:t>中标</w:t>
            </w:r>
            <w:r>
              <w:rPr>
                <w:rFonts w:hint="eastAsia" w:ascii="仿宋" w:hAnsi="仿宋" w:eastAsia="仿宋" w:cs="仿宋"/>
                <w:sz w:val="24"/>
              </w:rPr>
              <w:t>候选供应商在投标过程中提供虚假证明文件，故意隐瞒公司不良信誉和财务状况，以及其他可能对合同圆满履行造成风险的因素等，则按规定取消其成交资格，监管部门依法进行处理。</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招标文件中如出现前后不一致情况，均以前附表内容为准。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注意事项</w:t>
            </w:r>
          </w:p>
        </w:tc>
        <w:tc>
          <w:tcPr>
            <w:tcW w:w="9206" w:type="dxa"/>
            <w:gridSpan w:val="2"/>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sz w:val="24"/>
                <w:lang w:eastAsia="zh-CN"/>
              </w:rPr>
              <w:t>实施</w:t>
            </w:r>
            <w:r>
              <w:rPr>
                <w:rFonts w:hint="eastAsia" w:ascii="仿宋" w:hAnsi="仿宋" w:eastAsia="仿宋" w:cs="仿宋"/>
                <w:sz w:val="24"/>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6</w:t>
            </w:r>
          </w:p>
        </w:tc>
        <w:tc>
          <w:tcPr>
            <w:tcW w:w="2245"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备注</w:t>
            </w:r>
          </w:p>
        </w:tc>
        <w:tc>
          <w:tcPr>
            <w:tcW w:w="6961" w:type="dxa"/>
            <w:noWrap w:val="0"/>
            <w:vAlign w:val="center"/>
          </w:tcPr>
          <w:p>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w:t>
            </w:r>
          </w:p>
        </w:tc>
      </w:tr>
    </w:tbl>
    <w:p>
      <w:pPr>
        <w:jc w:val="center"/>
        <w:rPr>
          <w:rFonts w:hint="eastAsia" w:ascii="仿宋" w:hAnsi="仿宋" w:eastAsia="仿宋" w:cs="仿宋"/>
          <w:b/>
          <w:bCs/>
          <w:sz w:val="24"/>
        </w:rPr>
      </w:pPr>
    </w:p>
    <w:p>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sz w:val="24"/>
          <w:u w:val="single"/>
          <w:lang w:eastAsia="zh-CN"/>
        </w:rPr>
        <w:t>新疆维吾尔自治区分析测试研究院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1.4.3供货期、投标有效期符合招标文件要求；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2.1本采购项目采购内容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5.1 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6.1</w:t>
      </w:r>
      <w:r>
        <w:rPr>
          <w:rFonts w:hint="eastAsia" w:ascii="仿宋" w:hAnsi="仿宋" w:eastAsia="仿宋" w:cs="仿宋"/>
          <w:kern w:val="0"/>
          <w:sz w:val="24"/>
        </w:rPr>
        <w:t>采购单位的资金通过“前附表”所述的方式获得，并将部分资金用于本项目合同下的合格支付。</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9.1 投标人开标会代表为法定代表人的，须持有法定代表人身份证明书和法定代表人身份证（原件）；投标人开标会代表不是投标人的法定代表人的，须持有授权委托书和授权代表人的身份证（原件）。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10.1投标须知前附表中接受联合体投标的，投标人可以联合体形式投标；否则联合体投标视为无效投标。招标项目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接受联合体投标的，除应符合本章第7.1</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招标的最小单位是标段。招标文件未分标段的，投标人须对全部招标内容投标，不得部分投标；招标文件分标段的，投标人应当以标段为单位编制并分别提交投标文件。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12.2凡符合资格要求并有意参加竞标的投标人，按招标公告获取招标文件要求提交的材料后，在代理机构处获取。</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本项目变更、更正、澄清等信息将通过采购补充文件发送投标人获取招标文件时预留的邮箱</w:t>
      </w:r>
      <w:r>
        <w:rPr>
          <w:rFonts w:hint="eastAsia" w:ascii="仿宋" w:hAnsi="仿宋" w:eastAsia="仿宋" w:cs="仿宋"/>
          <w:sz w:val="24"/>
        </w:rPr>
        <w:t>），</w:t>
      </w:r>
      <w:r>
        <w:rPr>
          <w:rFonts w:hint="eastAsia" w:ascii="仿宋" w:hAnsi="仿宋" w:eastAsia="仿宋" w:cs="仿宋"/>
          <w:bCs/>
          <w:sz w:val="24"/>
        </w:rPr>
        <w:t>投标人对索取书面修改或者澄清文件或者查阅电子修改或者澄清文件的行为自行承担责任；在投标截止时间后递交的投标文件视为无效投标文件。</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建设工程达到合格标准，按照规范要求，实际中所采用的工艺所需的所有费用包括风险因素构成全部费用，按技术规范要求完成一个规定计量单位的工程量所需的其他一切费用，并包括未描述但过程中又必须发生的工程内容所需的费用。</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（四）总价金额与按单价汇总金额不一致的，以单价金额计算结果为准。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投标保证金</w:t>
      </w:r>
      <w:r>
        <w:rPr>
          <w:rFonts w:hint="eastAsia" w:ascii="仿宋" w:hAnsi="仿宋" w:eastAsia="仿宋" w:cs="仿宋"/>
          <w:kern w:val="0"/>
          <w:sz w:val="24"/>
          <w:lang w:eastAsia="zh-CN"/>
        </w:rPr>
        <w:t>应当以支票、汇票、本票或者金融机构、担保机构出具的保函等非现金形式提交</w:t>
      </w:r>
      <w:r>
        <w:rPr>
          <w:rFonts w:hint="eastAsia" w:ascii="仿宋" w:hAnsi="仿宋" w:eastAsia="仿宋" w:cs="仿宋"/>
          <w:kern w:val="0"/>
          <w:sz w:val="24"/>
        </w:rPr>
        <w:t>。凡未按招标文件要求提交投标保证金的，将视为非实质性响应性投标而被拒绝。</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15.6 中标人的投标保证金，自采购合同签订之日起5个工作日内退还。</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
          <w:kern w:val="0"/>
          <w:sz w:val="24"/>
        </w:rPr>
        <w:t>下列任何情况发生时，投标保证金将被没收：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 投标人在规定的投标有效期内撤回其投标；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15.8 </w:t>
      </w:r>
      <w:r>
        <w:rPr>
          <w:rFonts w:hint="eastAsia" w:ascii="仿宋" w:hAnsi="仿宋" w:eastAsia="仿宋" w:cs="仿宋"/>
          <w:b/>
          <w:kern w:val="0"/>
          <w:sz w:val="24"/>
        </w:rPr>
        <w:t>投标人办理投标保证金退款申请手续须提供以下资料：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15.8.1 </w:t>
      </w:r>
      <w:r>
        <w:rPr>
          <w:rFonts w:hint="eastAsia" w:ascii="仿宋" w:hAnsi="仿宋" w:eastAsia="仿宋" w:cs="仿宋"/>
          <w:kern w:val="0"/>
          <w:sz w:val="24"/>
          <w:lang w:val="en-US" w:eastAsia="zh-CN"/>
        </w:rPr>
        <w:t>中标单位需公示合同后提供下列资料，未中标单位直接提供下列资料</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15.8.2 保证金收据</w:t>
      </w:r>
      <w:r>
        <w:rPr>
          <w:rFonts w:hint="eastAsia" w:ascii="仿宋" w:hAnsi="仿宋" w:eastAsia="仿宋" w:cs="仿宋"/>
          <w:kern w:val="0"/>
          <w:sz w:val="24"/>
          <w:lang w:val="en-US" w:eastAsia="zh-CN"/>
        </w:rPr>
        <w:t>及退款申请单</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因投标人资料提供不及时导致的退款延误采购人及代理机构不承担责任</w:t>
      </w:r>
      <w:r>
        <w:rPr>
          <w:rFonts w:hint="eastAsia" w:ascii="仿宋" w:hAnsi="仿宋" w:eastAsia="仿宋" w:cs="仿宋"/>
          <w:kern w:val="0"/>
          <w:sz w:val="24"/>
        </w:rPr>
        <w:t>。</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16. 招标答疑会和集中踏勘</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18.1投标人提交的投标文件及投标人与采购代理机构就有关投标的所有来往函电均使用中文。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pPr>
        <w:shd w:val="clear" w:color="auto" w:fill="FFFFFF"/>
        <w:spacing w:line="400" w:lineRule="exact"/>
        <w:ind w:firstLine="487" w:firstLineChars="202"/>
        <w:outlineLvl w:val="0"/>
        <w:rPr>
          <w:rFonts w:hint="eastAsia" w:ascii="仿宋" w:hAnsi="仿宋" w:eastAsia="仿宋" w:cs="仿宋"/>
          <w:b/>
          <w:kern w:val="0"/>
          <w:sz w:val="24"/>
        </w:rPr>
      </w:pPr>
      <w:bookmarkStart w:id="3" w:name="_Toc4995"/>
      <w:r>
        <w:rPr>
          <w:rFonts w:hint="eastAsia" w:ascii="仿宋" w:hAnsi="仿宋" w:eastAsia="仿宋" w:cs="仿宋"/>
          <w:b/>
          <w:kern w:val="0"/>
          <w:sz w:val="24"/>
        </w:rPr>
        <w:t>20. 投标文件的组成</w:t>
      </w:r>
      <w:bookmarkEnd w:id="3"/>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w:t>
      </w:r>
      <w:r>
        <w:rPr>
          <w:rFonts w:hint="eastAsia" w:ascii="仿宋" w:hAnsi="仿宋" w:eastAsia="仿宋" w:cs="仿宋"/>
          <w:bCs/>
          <w:kern w:val="0"/>
          <w:sz w:val="24"/>
          <w:lang w:eastAsia="zh-CN"/>
        </w:rPr>
        <w:t>报价</w:t>
      </w:r>
      <w:r>
        <w:rPr>
          <w:rFonts w:hint="eastAsia" w:ascii="仿宋" w:hAnsi="仿宋" w:eastAsia="仿宋" w:cs="仿宋"/>
          <w:bCs/>
          <w:kern w:val="0"/>
          <w:sz w:val="24"/>
        </w:rPr>
        <w:t>部分</w:t>
      </w:r>
      <w:r>
        <w:rPr>
          <w:rFonts w:hint="eastAsia" w:ascii="仿宋" w:hAnsi="仿宋" w:eastAsia="仿宋" w:cs="仿宋"/>
          <w:b/>
          <w:bCs/>
          <w:kern w:val="0"/>
          <w:sz w:val="24"/>
        </w:rPr>
        <w:t>。</w:t>
      </w:r>
    </w:p>
    <w:p>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pPr>
        <w:shd w:val="clear" w:color="auto" w:fill="FFFFFF"/>
        <w:spacing w:line="400" w:lineRule="exact"/>
        <w:ind w:firstLine="484" w:firstLineChars="202"/>
        <w:rPr>
          <w:rFonts w:hint="eastAsia" w:ascii="仿宋" w:hAnsi="仿宋" w:eastAsia="仿宋" w:cs="仿宋"/>
          <w:kern w:val="0"/>
          <w:sz w:val="24"/>
        </w:rPr>
      </w:pPr>
      <w:bookmarkStart w:id="4" w:name="_Hlk519798401"/>
      <w:r>
        <w:rPr>
          <w:rFonts w:hint="eastAsia" w:ascii="仿宋" w:hAnsi="仿宋" w:eastAsia="仿宋" w:cs="仿宋"/>
          <w:kern w:val="0"/>
          <w:sz w:val="24"/>
        </w:rPr>
        <w:t>（1）投标函；</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（2）法定代表人身份证明书；</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（3）法定代表人授权委托书；</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（4）投标报价一览表；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（5）明细报价表；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（6）投标人的资格证明材料；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kern w:val="0"/>
          <w:sz w:val="24"/>
          <w:lang w:val="en-US" w:eastAsia="zh-CN"/>
        </w:rPr>
        <w:t>投标保证金缴纳凭证</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kern w:val="0"/>
          <w:sz w:val="24"/>
          <w:lang w:val="en-US" w:eastAsia="zh-CN"/>
        </w:rPr>
        <w:t>项目人员配备情况表</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（9）投标人近三年相关项目业绩表（201</w:t>
      </w:r>
      <w:r>
        <w:rPr>
          <w:rFonts w:hint="eastAsia" w:ascii="仿宋" w:hAnsi="仿宋" w:eastAsia="仿宋" w:cs="仿宋"/>
          <w:kern w:val="0"/>
          <w:sz w:val="24"/>
          <w:lang w:val="en-US" w:eastAsia="zh-CN"/>
        </w:rPr>
        <w:t>9</w:t>
      </w:r>
      <w:r>
        <w:rPr>
          <w:rFonts w:hint="eastAsia" w:ascii="仿宋" w:hAnsi="仿宋" w:eastAsia="仿宋" w:cs="仿宋"/>
          <w:kern w:val="0"/>
          <w:sz w:val="24"/>
        </w:rPr>
        <w:t>年1月至今）；</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（10）商务、技术条款偏离表；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（11）有关投标产品的证明、检测报告或产品鉴定证书</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（12）技术方案；</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（13）</w:t>
      </w:r>
      <w:r>
        <w:rPr>
          <w:rFonts w:hint="eastAsia" w:ascii="仿宋" w:hAnsi="仿宋" w:eastAsia="仿宋" w:cs="仿宋"/>
          <w:kern w:val="0"/>
          <w:sz w:val="24"/>
          <w:lang w:val="en-US" w:eastAsia="zh-CN"/>
        </w:rPr>
        <w:t>投标人认为需要提交的其他商务技术资料</w:t>
      </w:r>
    </w:p>
    <w:bookmarkEnd w:id="4"/>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招标文件要求提供的所有证书、合同、获奖表彰文件等招标要求的证明资料，均使用复印件，特别说明为原件的除外。</w:t>
      </w:r>
      <w:r>
        <w:rPr>
          <w:rFonts w:hint="eastAsia" w:ascii="仿宋" w:hAnsi="仿宋" w:eastAsia="仿宋" w:cs="仿宋"/>
          <w:sz w:val="24"/>
        </w:rPr>
        <w:t>本招标文件规定的投标文件编制中所需提交的证明材料复印件须加盖投标人公章,</w:t>
      </w:r>
      <w:r>
        <w:rPr>
          <w:rFonts w:hint="eastAsia" w:ascii="仿宋" w:hAnsi="仿宋" w:eastAsia="仿宋" w:cs="仿宋"/>
          <w:kern w:val="0"/>
          <w:sz w:val="24"/>
        </w:rPr>
        <w:t>否则视为非实质响应招标文件</w:t>
      </w:r>
      <w:r>
        <w:rPr>
          <w:rFonts w:hint="eastAsia" w:ascii="仿宋" w:hAnsi="仿宋" w:eastAsia="仿宋" w:cs="仿宋"/>
          <w:sz w:val="24"/>
        </w:rPr>
        <w:t>。</w:t>
      </w:r>
    </w:p>
    <w:p>
      <w:pPr>
        <w:shd w:val="clear" w:color="auto" w:fill="FFFFFF"/>
        <w:spacing w:line="400" w:lineRule="exact"/>
        <w:ind w:firstLine="484" w:firstLineChars="202"/>
        <w:outlineLvl w:val="0"/>
        <w:rPr>
          <w:rFonts w:hint="eastAsia" w:ascii="仿宋" w:hAnsi="仿宋" w:eastAsia="仿宋" w:cs="仿宋"/>
          <w:sz w:val="24"/>
        </w:rPr>
      </w:pPr>
      <w:bookmarkStart w:id="5"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5"/>
    </w:p>
    <w:p>
      <w:pPr>
        <w:shd w:val="clear" w:color="auto" w:fill="FFFFFF"/>
        <w:spacing w:line="400" w:lineRule="exact"/>
        <w:ind w:firstLine="484" w:firstLineChars="202"/>
        <w:outlineLvl w:val="0"/>
        <w:rPr>
          <w:rFonts w:hint="eastAsia" w:ascii="仿宋" w:hAnsi="仿宋" w:eastAsia="仿宋" w:cs="仿宋"/>
          <w:sz w:val="24"/>
        </w:rPr>
      </w:pPr>
      <w:bookmarkStart w:id="6"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6"/>
    </w:p>
    <w:p>
      <w:pPr>
        <w:shd w:val="clear" w:color="auto" w:fill="FFFFFF"/>
        <w:spacing w:line="400" w:lineRule="exact"/>
        <w:ind w:firstLine="484" w:firstLineChars="202"/>
        <w:outlineLvl w:val="0"/>
        <w:rPr>
          <w:rFonts w:hint="eastAsia" w:ascii="仿宋" w:hAnsi="仿宋" w:eastAsia="仿宋" w:cs="仿宋"/>
          <w:sz w:val="24"/>
        </w:rPr>
      </w:pPr>
      <w:bookmarkStart w:id="7"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7"/>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22.1 投标人应当按照本须知前附表规定的份数提交投标文件。否则视为非实质响应招标文件的投标。</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22.2 投标文件均须印刷体打印。</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22.3 投标文件格式、内容、签署和盖章、标识、封装等均应符合招标文件要求，投标文件未按照上述规定编制，初步评审将不予已通过。</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.4 </w:t>
      </w:r>
      <w:r>
        <w:rPr>
          <w:rFonts w:hint="eastAsia" w:ascii="仿宋" w:hAnsi="仿宋" w:eastAsia="仿宋" w:cs="仿宋"/>
          <w:b/>
          <w:sz w:val="24"/>
        </w:rPr>
        <w:t>发生下列情况之一者，应在资格性、符合性检查时按照无效投标处理：</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23. 投标文件的封装与标记</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23.1投标人应当按照本须知前附表规定的封装及标记要求封装标记投标文件；</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bCs/>
          <w:sz w:val="24"/>
        </w:rPr>
        <w:t>23.2</w:t>
      </w:r>
      <w:r>
        <w:rPr>
          <w:rFonts w:hint="eastAsia" w:ascii="仿宋" w:hAnsi="仿宋" w:eastAsia="仿宋" w:cs="仿宋"/>
          <w:b/>
          <w:bCs/>
          <w:sz w:val="24"/>
        </w:rPr>
        <w:t>投标人须将投标文件的商务部分、技术部分、</w:t>
      </w:r>
      <w:r>
        <w:rPr>
          <w:rFonts w:hint="eastAsia" w:ascii="仿宋" w:hAnsi="仿宋" w:eastAsia="仿宋" w:cs="仿宋"/>
          <w:b/>
          <w:bCs/>
          <w:sz w:val="24"/>
          <w:lang w:eastAsia="zh-CN"/>
        </w:rPr>
        <w:t>报价</w:t>
      </w:r>
      <w:r>
        <w:rPr>
          <w:rFonts w:hint="eastAsia" w:ascii="仿宋" w:hAnsi="仿宋" w:eastAsia="仿宋" w:cs="仿宋"/>
          <w:b/>
          <w:bCs/>
          <w:sz w:val="24"/>
        </w:rPr>
        <w:t>部分合并装订、标识、密封后提交（如内容多可分册装订，标明投标文件第x包第xx分册）。</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23.3为方便评委查看，投标人投标文件须编制目录、页码。</w:t>
      </w:r>
    </w:p>
    <w:p>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lang w:val="en-US" w:eastAsia="zh-CN"/>
        </w:rPr>
        <w:t>23.4</w:t>
      </w:r>
      <w:r>
        <w:rPr>
          <w:rFonts w:hint="eastAsia" w:ascii="仿宋" w:hAnsi="仿宋" w:eastAsia="仿宋" w:cs="仿宋"/>
          <w:kern w:val="0"/>
          <w:sz w:val="24"/>
        </w:rPr>
        <w:t>未按照招标文件关于投标文件编制</w:t>
      </w:r>
      <w:r>
        <w:rPr>
          <w:rFonts w:hint="eastAsia" w:ascii="仿宋" w:hAnsi="仿宋" w:eastAsia="仿宋" w:cs="仿宋"/>
          <w:sz w:val="24"/>
        </w:rPr>
        <w:t>规定格式、内容和密封、签署、盖章、标识及提交要求</w:t>
      </w:r>
      <w:r>
        <w:rPr>
          <w:rFonts w:hint="eastAsia" w:ascii="仿宋" w:hAnsi="仿宋" w:eastAsia="仿宋" w:cs="仿宋"/>
          <w:kern w:val="0"/>
          <w:sz w:val="24"/>
        </w:rPr>
        <w:t>的投标文件将被拒绝，并退还给投标人。</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24. 投标文件的提交</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投标人应当按照本投标须知前附表所规定的地点，于投标截止时间前提交投标文件。</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25. 投标文件提交的截止时间</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25.1 投标文件提交的截止时间详见本投标须知前附表规定。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 采购人可按本招标文件第13条规定以修改补充通知的方式，酌情延长提交投标书的截止时间。在上述情况下，采购人与投标人在原投标截止时间前的全部权力和义务，将适用于延长后新的投标截止时间。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25.3 至投标文件递交截止时间，采购人收到的投标文件少于3个的，采购人将依法重新组织招标。评标过程中有效投标人少于3个的，参照执行。</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26. 迟交的投标文件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投标人在本投标须知前附表规定的投标截止时间以后送达的投标文件将被拒绝并退回投标人。</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投标文件的补充、修改与撤回</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27.1 投标人可以在投标须知前附表规定的投标截止时间之前，可以以书面形式补充、修改或撤回已提交的投标文件。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27.2 投标人对投标文件的补充、修改或撤回，应按本招标文件第23条的规定编制、密封、标识和提交，并在封套上清楚标明“补充”、“修改”或“撤回”字样。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27.3 在投标截止时间之后，投标人不得补充、修改投标文件。</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28. 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 招标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仿宋" w:hAnsi="仿宋" w:eastAsia="仿宋" w:cs="仿宋"/>
          <w:b/>
          <w:kern w:val="0"/>
          <w:sz w:val="24"/>
        </w:rPr>
        <w:t>在开标前不得开启投标文件。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 开标程序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28.2.1投标人不足3家的，不得开标。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开标由采购人或采购代理机构主持；</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28.2.3 宣读开标纪律，介绍采购人和监督人；</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 监督人随机抽取的投标人代表检查并宣布各投标人提交投标文件的“送达时间、封装、标识、签字、盖章、密封”等情况；</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28.2.5 招标人对投标人进行资格查验；合格投标人不足3家的，不得评标；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28.2.6 经审查确认无误后，由采购人或采购代理机构工作人员按</w:t>
      </w:r>
      <w:r>
        <w:rPr>
          <w:rFonts w:hint="eastAsia" w:ascii="仿宋" w:hAnsi="仿宋" w:eastAsia="仿宋" w:cs="仿宋"/>
          <w:kern w:val="0"/>
          <w:sz w:val="24"/>
          <w:lang w:eastAsia="zh-CN"/>
        </w:rPr>
        <w:t>任意</w:t>
      </w:r>
      <w:r>
        <w:rPr>
          <w:rFonts w:hint="eastAsia" w:ascii="仿宋" w:hAnsi="仿宋" w:eastAsia="仿宋" w:cs="仿宋"/>
          <w:kern w:val="0"/>
          <w:sz w:val="24"/>
        </w:rPr>
        <w:t>顺序当众拆启投标文件的《开标一览表》，宣读开标一览表中投标人的名称及</w:t>
      </w:r>
      <w:r>
        <w:rPr>
          <w:rFonts w:hint="eastAsia" w:ascii="仿宋" w:hAnsi="仿宋" w:eastAsia="仿宋" w:cs="仿宋"/>
          <w:kern w:val="0"/>
          <w:sz w:val="24"/>
          <w:lang w:eastAsia="zh-CN"/>
        </w:rPr>
        <w:t>供货期</w:t>
      </w:r>
      <w:r>
        <w:rPr>
          <w:rFonts w:hint="eastAsia" w:ascii="仿宋" w:hAnsi="仿宋" w:eastAsia="仿宋" w:cs="仿宋"/>
          <w:kern w:val="0"/>
          <w:sz w:val="24"/>
        </w:rPr>
        <w:t>、</w:t>
      </w:r>
      <w:r>
        <w:rPr>
          <w:rFonts w:hint="eastAsia" w:ascii="仿宋" w:hAnsi="仿宋" w:eastAsia="仿宋" w:cs="仿宋"/>
          <w:kern w:val="0"/>
          <w:sz w:val="24"/>
          <w:lang w:eastAsia="zh-CN"/>
        </w:rPr>
        <w:t>质保期</w:t>
      </w:r>
      <w:r>
        <w:rPr>
          <w:rFonts w:hint="eastAsia" w:ascii="仿宋" w:hAnsi="仿宋" w:eastAsia="仿宋" w:cs="仿宋"/>
          <w:kern w:val="0"/>
          <w:sz w:val="24"/>
        </w:rPr>
        <w:t>、投标总报价等招标文件规定的需要宣布的其他内容；如唱标人宣读的内容与投标文件不一致时，投标人代表应当当场提出。</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28.2.7 按本招标文件第25条已提交了可接受的撤回通知的投标文件及无效投标文件将不予开封。</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28.2.8 投标人代表对开标过程和开标记录有疑义，以及认为采购人、采购代理机构相关工作人员有需要回避的情形的，应当场提出询问或者回避申请。投标人未参加开标的，视同认可开标结果。</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采购人或采购代理机构应对开标过程进行记录，由参加开标的各投标人代表和相关工作人员签字确认后随招标文件一并存档。</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29. 资格查验</w:t>
      </w:r>
    </w:p>
    <w:p>
      <w:pPr>
        <w:autoSpaceDE w:val="0"/>
        <w:autoSpaceDN w:val="0"/>
        <w:adjustRightInd w:val="0"/>
        <w:spacing w:line="400" w:lineRule="exact"/>
        <w:ind w:firstLine="480" w:firstLineChars="200"/>
        <w:jc w:val="left"/>
        <w:rPr>
          <w:rFonts w:hint="eastAsia" w:ascii="仿宋" w:hAnsi="仿宋" w:eastAsia="仿宋" w:cs="仿宋"/>
          <w:sz w:val="24"/>
          <w:lang w:val="zh-CN"/>
        </w:rPr>
      </w:pPr>
      <w:r>
        <w:rPr>
          <w:rFonts w:hint="eastAsia" w:ascii="仿宋" w:hAnsi="仿宋" w:eastAsia="仿宋" w:cs="仿宋"/>
          <w:kern w:val="0"/>
          <w:sz w:val="24"/>
        </w:rPr>
        <w:t xml:space="preserve">29.1 </w:t>
      </w:r>
      <w:r>
        <w:rPr>
          <w:rFonts w:hint="eastAsia" w:ascii="仿宋" w:hAnsi="仿宋" w:eastAsia="仿宋" w:cs="仿宋"/>
          <w:b/>
          <w:bCs/>
          <w:kern w:val="0"/>
          <w:sz w:val="24"/>
        </w:rPr>
        <w:t>开标前，请各投标人委派开标代表随身携带身份证，并按须知前附表要求提供资格审查资料。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29.2 </w:t>
      </w:r>
      <w:r>
        <w:rPr>
          <w:rFonts w:hint="eastAsia" w:ascii="仿宋" w:hAnsi="仿宋" w:eastAsia="仿宋" w:cs="仿宋"/>
          <w:b/>
          <w:bCs/>
          <w:kern w:val="0"/>
          <w:sz w:val="24"/>
        </w:rPr>
        <w:t>开标现场提供资格查验资料齐全、满足招标文件封装、标识、签字和盖章要求的投标人为合格有效投标人。</w:t>
      </w:r>
    </w:p>
    <w:p>
      <w:pPr>
        <w:pStyle w:val="109"/>
        <w:spacing w:line="400" w:lineRule="exact"/>
        <w:ind w:firstLine="468" w:firstLineChars="200"/>
        <w:rPr>
          <w:rFonts w:hint="eastAsia" w:ascii="仿宋" w:hAnsi="仿宋" w:eastAsia="仿宋" w:cs="仿宋"/>
          <w:lang w:val="en-US" w:eastAsia="zh-CN"/>
        </w:rPr>
      </w:pPr>
      <w:r>
        <w:rPr>
          <w:rFonts w:hint="eastAsia" w:ascii="仿宋" w:hAnsi="仿宋" w:eastAsia="仿宋" w:cs="仿宋"/>
          <w:szCs w:val="24"/>
          <w:lang w:val="en-US" w:eastAsia="zh-CN"/>
        </w:rPr>
        <w:t xml:space="preserve">29.3 </w:t>
      </w:r>
      <w:r>
        <w:rPr>
          <w:rFonts w:hint="eastAsia" w:ascii="仿宋" w:hAnsi="仿宋" w:eastAsia="仿宋" w:cs="仿宋"/>
          <w:b/>
          <w:bCs/>
          <w:szCs w:val="24"/>
          <w:lang w:val="en-US" w:eastAsia="zh-CN"/>
        </w:rPr>
        <w:t>开标现场资格审查资料不齐全、不满足招标文件要求的投标人，资格审查不通过，属于无效投标。</w:t>
      </w:r>
    </w:p>
    <w:p>
      <w:pPr>
        <w:shd w:val="clear" w:color="auto" w:fill="FFFFFF"/>
        <w:spacing w:line="400" w:lineRule="exact"/>
        <w:ind w:firstLine="487" w:firstLineChars="202"/>
        <w:outlineLvl w:val="0"/>
        <w:rPr>
          <w:rFonts w:hint="eastAsia" w:ascii="仿宋" w:hAnsi="仿宋" w:eastAsia="仿宋" w:cs="仿宋"/>
          <w:b/>
          <w:kern w:val="0"/>
          <w:sz w:val="24"/>
        </w:rPr>
      </w:pPr>
      <w:bookmarkStart w:id="8" w:name="_Toc12275"/>
      <w:r>
        <w:rPr>
          <w:rFonts w:hint="eastAsia" w:ascii="仿宋" w:hAnsi="仿宋" w:eastAsia="仿宋" w:cs="仿宋"/>
          <w:b/>
          <w:kern w:val="0"/>
          <w:sz w:val="24"/>
        </w:rPr>
        <w:t>（六） 评标</w:t>
      </w:r>
      <w:bookmarkEnd w:id="8"/>
    </w:p>
    <w:p>
      <w:pPr>
        <w:shd w:val="clear" w:color="auto" w:fill="FFFFFF"/>
        <w:spacing w:line="400" w:lineRule="exact"/>
        <w:ind w:firstLine="487" w:firstLineChars="202"/>
        <w:outlineLvl w:val="0"/>
        <w:rPr>
          <w:rFonts w:hint="eastAsia" w:ascii="仿宋" w:hAnsi="仿宋" w:eastAsia="仿宋" w:cs="仿宋"/>
          <w:b/>
          <w:kern w:val="0"/>
          <w:sz w:val="24"/>
        </w:rPr>
      </w:pPr>
      <w:bookmarkStart w:id="9" w:name="_Toc26065"/>
      <w:r>
        <w:rPr>
          <w:rFonts w:hint="eastAsia" w:ascii="仿宋" w:hAnsi="仿宋" w:eastAsia="仿宋" w:cs="仿宋"/>
          <w:b/>
          <w:kern w:val="0"/>
          <w:sz w:val="24"/>
        </w:rPr>
        <w:t>30. 评标委员会与评标</w:t>
      </w:r>
      <w:bookmarkEnd w:id="9"/>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评标工作由采购人依法组建的评标委员会负责。评标委员会的名单在评标结果公告前应当保密。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30.2 本项目评标委员会由</w:t>
      </w:r>
      <w:r>
        <w:rPr>
          <w:rFonts w:hint="eastAsia" w:ascii="仿宋" w:hAnsi="仿宋" w:eastAsia="仿宋" w:cs="仿宋"/>
          <w:kern w:val="0"/>
          <w:sz w:val="24"/>
          <w:lang w:val="en-US" w:eastAsia="zh-CN"/>
        </w:rPr>
        <w:t>5</w:t>
      </w:r>
      <w:r>
        <w:rPr>
          <w:rFonts w:hint="eastAsia" w:ascii="仿宋" w:hAnsi="仿宋" w:eastAsia="仿宋" w:cs="仿宋"/>
          <w:kern w:val="0"/>
          <w:sz w:val="24"/>
        </w:rPr>
        <w:t>人</w:t>
      </w:r>
      <w:r>
        <w:rPr>
          <w:rFonts w:hint="eastAsia" w:ascii="仿宋" w:hAnsi="仿宋" w:eastAsia="仿宋" w:cs="仿宋"/>
          <w:kern w:val="0"/>
          <w:sz w:val="24"/>
          <w:lang w:eastAsia="zh-CN"/>
        </w:rPr>
        <w:t>或</w:t>
      </w:r>
      <w:r>
        <w:rPr>
          <w:rFonts w:hint="eastAsia" w:ascii="仿宋" w:hAnsi="仿宋" w:eastAsia="仿宋" w:cs="仿宋"/>
          <w:kern w:val="0"/>
          <w:sz w:val="24"/>
          <w:lang w:val="en-US" w:eastAsia="zh-CN"/>
        </w:rPr>
        <w:t>5人以上单数</w:t>
      </w:r>
      <w:r>
        <w:rPr>
          <w:rFonts w:hint="eastAsia" w:ascii="仿宋" w:hAnsi="仿宋" w:eastAsia="仿宋" w:cs="仿宋"/>
          <w:kern w:val="0"/>
          <w:sz w:val="24"/>
        </w:rPr>
        <w:t>组成；</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30.3 开标结束后，开始评标，评标采用保密方式进行。</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30.4 评标委员会主任由评标委员会成员推举产生，并与评标委员会其他成员有同等的权利和义务。采购人代表不得担任评标委员会主任。</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30.5 评标委员会成员应当客观、公正地履行职责，遵守职业道德，对所提出的评审意见承担个人责任。</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30.6 评标委员会根据招标文件确定的评比标准和方法，对投标文件进行系统地评审和比较。招标文件中没有规定的标准和方法不得作为评标的依据。</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30.7 在评标过程中，评标委员会发现投标人以他人的名义投标、串通投标、以行贿手段谋取中标或者以其他弄虚作假方式投标的，该投标人的投标应作无效标处理。</w:t>
      </w:r>
    </w:p>
    <w:p>
      <w:pPr>
        <w:shd w:val="clear" w:color="auto" w:fill="FFFFFF"/>
        <w:spacing w:line="400" w:lineRule="exact"/>
        <w:ind w:firstLine="487" w:firstLineChars="202"/>
        <w:outlineLvl w:val="0"/>
        <w:rPr>
          <w:rFonts w:hint="eastAsia" w:ascii="仿宋" w:hAnsi="仿宋" w:eastAsia="仿宋" w:cs="仿宋"/>
          <w:b/>
          <w:kern w:val="0"/>
          <w:sz w:val="24"/>
        </w:rPr>
      </w:pPr>
      <w:bookmarkStart w:id="10" w:name="_Toc30759"/>
      <w:r>
        <w:rPr>
          <w:rFonts w:hint="eastAsia" w:ascii="仿宋" w:hAnsi="仿宋" w:eastAsia="仿宋" w:cs="仿宋"/>
          <w:b/>
          <w:kern w:val="0"/>
          <w:sz w:val="24"/>
        </w:rPr>
        <w:t>31. 投标文件的澄清</w:t>
      </w:r>
      <w:bookmarkEnd w:id="10"/>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31.2 投标人未按照要求对投标文件进行澄清、说明或者补正的，评标委员会可以否决其投标。</w:t>
      </w:r>
    </w:p>
    <w:p>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32. 投标文件的评审、比较</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 投标文件符合性审查</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32.1.1评标委员会应当对符合资格的投标人的投标文件进行符合性审查，以确定其是否满足招标文件的实质性要求。通过资格审查的投标人的投标文件进入详细评审。</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 投标文件的详细评审</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32.2.2 评审中，评标委员会可对投标文件中含义不明确、同类问题表述不一致或者有明显文字和计算错误的内容，评标委员会应当以书面形式要求投标人作出必要的澄清、说明或者补正。</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投标人的澄清、说明或者补正应当采用书面形式，并加盖公章，或者由法定代表人或其授权的代表签字。投标人的澄清、说明或者补正不得超出投标文件的范围或者改变投标文件的实质性内容。</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32.2.6评标结果汇总完成后，除下列情形外，任何人不得修改评标结果：</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00" w:lineRule="exact"/>
        <w:ind w:firstLine="480" w:firstLineChars="200"/>
        <w:rPr>
          <w:rFonts w:hint="eastAsia" w:ascii="仿宋" w:hAnsi="仿宋" w:eastAsia="仿宋" w:cs="仿宋"/>
          <w:bCs/>
          <w:color w:val="auto"/>
          <w:kern w:val="0"/>
          <w:sz w:val="24"/>
          <w:highlight w:val="none"/>
        </w:rPr>
      </w:pPr>
      <w:r>
        <w:rPr>
          <w:rFonts w:hint="eastAsia" w:ascii="仿宋" w:hAnsi="仿宋" w:eastAsia="仿宋" w:cs="仿宋"/>
          <w:kern w:val="0"/>
          <w:sz w:val="24"/>
        </w:rPr>
        <w:t>32.2.7 评标委员会依据投标须知前附表规定的评标方法，对投标人的投标文件进行评审和比较，</w:t>
      </w:r>
      <w:r>
        <w:rPr>
          <w:rFonts w:hint="eastAsia" w:ascii="仿宋" w:hAnsi="仿宋" w:eastAsia="仿宋" w:cs="仿宋"/>
          <w:bCs/>
          <w:kern w:val="0"/>
          <w:sz w:val="24"/>
        </w:rPr>
        <w:t>投标人最终得分等于商务</w:t>
      </w:r>
      <w:r>
        <w:rPr>
          <w:rFonts w:hint="eastAsia" w:ascii="仿宋" w:hAnsi="仿宋" w:eastAsia="仿宋" w:cs="仿宋"/>
          <w:bCs/>
          <w:kern w:val="0"/>
          <w:sz w:val="24"/>
          <w:lang w:eastAsia="zh-CN"/>
        </w:rPr>
        <w:t>部分</w:t>
      </w:r>
      <w:r>
        <w:rPr>
          <w:rFonts w:hint="eastAsia" w:ascii="仿宋" w:hAnsi="仿宋" w:eastAsia="仿宋" w:cs="仿宋"/>
          <w:bCs/>
          <w:kern w:val="0"/>
          <w:sz w:val="24"/>
        </w:rPr>
        <w:t>、技术</w:t>
      </w:r>
      <w:r>
        <w:rPr>
          <w:rFonts w:hint="eastAsia" w:ascii="仿宋" w:hAnsi="仿宋" w:eastAsia="仿宋" w:cs="仿宋"/>
          <w:bCs/>
          <w:kern w:val="0"/>
          <w:sz w:val="24"/>
          <w:lang w:eastAsia="zh-CN"/>
        </w:rPr>
        <w:t>部分</w:t>
      </w:r>
      <w:r>
        <w:rPr>
          <w:rFonts w:hint="eastAsia" w:ascii="仿宋" w:hAnsi="仿宋" w:eastAsia="仿宋" w:cs="仿宋"/>
          <w:bCs/>
          <w:kern w:val="0"/>
          <w:sz w:val="24"/>
        </w:rPr>
        <w:t>、</w:t>
      </w:r>
      <w:r>
        <w:rPr>
          <w:rFonts w:hint="eastAsia" w:ascii="仿宋" w:hAnsi="仿宋" w:eastAsia="仿宋" w:cs="仿宋"/>
          <w:bCs/>
          <w:kern w:val="0"/>
          <w:sz w:val="24"/>
          <w:lang w:eastAsia="zh-CN"/>
        </w:rPr>
        <w:t>报价部分</w:t>
      </w:r>
      <w:r>
        <w:rPr>
          <w:rFonts w:hint="eastAsia" w:ascii="仿宋" w:hAnsi="仿宋" w:eastAsia="仿宋" w:cs="仿宋"/>
          <w:bCs/>
          <w:kern w:val="0"/>
          <w:sz w:val="24"/>
        </w:rPr>
        <w:t>得分之和。评标委员会确定投标人最终得分向采购人提出书面报告，并推荐合格的中标候选人。</w:t>
      </w:r>
      <w:r>
        <w:rPr>
          <w:rFonts w:hint="eastAsia" w:ascii="仿宋" w:hAnsi="仿宋" w:eastAsia="仿宋" w:cs="仿宋"/>
          <w:bCs/>
          <w:color w:val="auto"/>
          <w:kern w:val="0"/>
          <w:sz w:val="24"/>
          <w:highlight w:val="none"/>
          <w:lang w:eastAsia="zh-CN"/>
        </w:rPr>
        <w:t>评标委员会</w:t>
      </w:r>
      <w:r>
        <w:rPr>
          <w:rFonts w:hint="eastAsia" w:ascii="仿宋" w:hAnsi="仿宋" w:eastAsia="仿宋" w:cs="仿宋"/>
          <w:bCs/>
          <w:color w:val="auto"/>
          <w:kern w:val="0"/>
          <w:sz w:val="24"/>
          <w:highlight w:val="none"/>
        </w:rPr>
        <w:t>根据评审结果，按评审后得分由高到低的顺序排列</w:t>
      </w:r>
      <w:r>
        <w:rPr>
          <w:rFonts w:hint="eastAsia" w:ascii="仿宋" w:hAnsi="仿宋" w:eastAsia="仿宋" w:cs="仿宋"/>
          <w:bCs/>
          <w:color w:val="auto"/>
          <w:kern w:val="0"/>
          <w:sz w:val="24"/>
          <w:highlight w:val="none"/>
          <w:lang w:eastAsia="zh-CN"/>
        </w:rPr>
        <w:t>中标候选人</w:t>
      </w:r>
      <w:r>
        <w:rPr>
          <w:rFonts w:hint="eastAsia" w:ascii="仿宋" w:hAnsi="仿宋" w:eastAsia="仿宋" w:cs="仿宋"/>
          <w:bCs/>
          <w:color w:val="auto"/>
          <w:kern w:val="0"/>
          <w:sz w:val="24"/>
          <w:highlight w:val="none"/>
        </w:rPr>
        <w:t>名次。投标文件满足招标文件全部实质性要求，且按照评审因素的量化指标评审得分最高的投标人为排名第一的中标候选人</w:t>
      </w:r>
      <w:r>
        <w:rPr>
          <w:rFonts w:hint="eastAsia" w:ascii="仿宋" w:hAnsi="仿宋" w:eastAsia="仿宋" w:cs="仿宋"/>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r>
        <w:rPr>
          <w:rFonts w:hint="eastAsia" w:ascii="仿宋" w:hAnsi="仿宋" w:eastAsia="仿宋" w:cs="仿宋"/>
          <w:bCs/>
          <w:color w:val="auto"/>
          <w:kern w:val="0"/>
          <w:sz w:val="24"/>
          <w:highlight w:val="none"/>
        </w:rPr>
        <w:t>。</w:t>
      </w:r>
    </w:p>
    <w:p>
      <w:pPr>
        <w:shd w:val="clear" w:color="auto" w:fill="FFFFFF"/>
        <w:spacing w:line="400" w:lineRule="exact"/>
        <w:ind w:firstLine="480" w:firstLineChars="200"/>
        <w:rPr>
          <w:rFonts w:hint="eastAsia" w:ascii="仿宋" w:hAnsi="仿宋" w:eastAsia="仿宋" w:cs="仿宋"/>
          <w:bCs/>
          <w:kern w:val="0"/>
          <w:sz w:val="24"/>
        </w:rPr>
      </w:pPr>
      <w:bookmarkStart w:id="11" w:name="_Toc520393969"/>
      <w:r>
        <w:rPr>
          <w:rFonts w:hint="eastAsia" w:ascii="仿宋" w:hAnsi="仿宋" w:eastAsia="仿宋" w:cs="仿宋"/>
          <w:bCs/>
          <w:color w:val="auto"/>
          <w:kern w:val="0"/>
          <w:sz w:val="24"/>
          <w:highlight w:val="none"/>
          <w:lang w:val="en-US" w:eastAsia="zh-CN"/>
        </w:rPr>
        <w:t xml:space="preserve">32.2.8 </w:t>
      </w:r>
      <w:r>
        <w:rPr>
          <w:rFonts w:hint="eastAsia" w:ascii="仿宋" w:hAnsi="仿宋" w:eastAsia="仿宋" w:cs="仿宋"/>
          <w:bCs/>
          <w:color w:val="auto"/>
          <w:kern w:val="0"/>
          <w:sz w:val="24"/>
          <w:highlight w:val="none"/>
        </w:rPr>
        <w:t>排名第一的</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候选人为</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11"/>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w:t>
      </w:r>
      <w:r>
        <w:rPr>
          <w:rFonts w:hint="eastAsia" w:ascii="仿宋" w:hAnsi="仿宋" w:eastAsia="仿宋" w:cs="仿宋"/>
          <w:kern w:val="0"/>
          <w:sz w:val="24"/>
          <w:lang w:eastAsia="zh-CN"/>
        </w:rPr>
        <w:t>部分</w:t>
      </w:r>
      <w:r>
        <w:rPr>
          <w:rFonts w:hint="eastAsia" w:ascii="仿宋" w:hAnsi="仿宋" w:eastAsia="仿宋" w:cs="仿宋"/>
          <w:kern w:val="0"/>
          <w:sz w:val="24"/>
        </w:rPr>
        <w:t>、技术</w:t>
      </w:r>
      <w:r>
        <w:rPr>
          <w:rFonts w:hint="eastAsia" w:ascii="仿宋" w:hAnsi="仿宋" w:eastAsia="仿宋" w:cs="仿宋"/>
          <w:kern w:val="0"/>
          <w:sz w:val="24"/>
          <w:lang w:eastAsia="zh-CN"/>
        </w:rPr>
        <w:t>部分</w:t>
      </w:r>
      <w:r>
        <w:rPr>
          <w:rFonts w:hint="eastAsia" w:ascii="仿宋" w:hAnsi="仿宋" w:eastAsia="仿宋" w:cs="仿宋"/>
          <w:kern w:val="0"/>
          <w:sz w:val="24"/>
        </w:rPr>
        <w:t>等，能否最大限度满足招标文件中规定的各项要求和评价标准进行评估。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w:t>
      </w:r>
      <w:r>
        <w:rPr>
          <w:rFonts w:hint="eastAsia" w:ascii="仿宋" w:hAnsi="仿宋" w:eastAsia="仿宋" w:cs="仿宋"/>
          <w:kern w:val="0"/>
          <w:sz w:val="24"/>
          <w:lang w:eastAsia="zh-CN"/>
        </w:rPr>
        <w:t>资格性和</w:t>
      </w:r>
      <w:r>
        <w:rPr>
          <w:rFonts w:hint="eastAsia" w:ascii="仿宋" w:hAnsi="仿宋" w:eastAsia="仿宋" w:cs="仿宋"/>
          <w:kern w:val="0"/>
          <w:sz w:val="24"/>
        </w:rPr>
        <w:t>符合性审查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pPr>
        <w:pStyle w:val="2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34、质疑处理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34.3.3对中标或者成交结果提出质疑的，为中标或者成交结果公告期限届满之日。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rPr>
        <w:t>35</w:t>
      </w:r>
      <w:r>
        <w:rPr>
          <w:rFonts w:hint="eastAsia" w:ascii="仿宋" w:hAnsi="仿宋" w:eastAsia="仿宋" w:cs="仿宋"/>
          <w:kern w:val="0"/>
          <w:sz w:val="24"/>
          <w:lang w:val="zh-CN"/>
        </w:rPr>
        <w:t>.1 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pPr>
        <w:pStyle w:val="2"/>
        <w:rPr>
          <w:rStyle w:val="72"/>
          <w:rFonts w:hint="eastAsia"/>
          <w:b/>
        </w:rPr>
      </w:pPr>
      <w:r>
        <w:rPr>
          <w:rFonts w:hint="eastAsia" w:cs="仿宋"/>
          <w:b w:val="0"/>
          <w:bCs/>
          <w:szCs w:val="32"/>
        </w:rPr>
        <w:br w:type="page"/>
      </w:r>
      <w:bookmarkStart w:id="12" w:name="_Toc8521"/>
      <w:r>
        <w:rPr>
          <w:rStyle w:val="72"/>
          <w:rFonts w:hint="eastAsia"/>
          <w:b/>
        </w:rPr>
        <w:fldChar w:fldCharType="begin"/>
      </w:r>
      <w:r>
        <w:rPr>
          <w:rStyle w:val="72"/>
          <w:rFonts w:hint="eastAsia"/>
          <w:b/>
        </w:rPr>
        <w:instrText xml:space="preserve"> HYPERLINK \l "_Toc4069" </w:instrText>
      </w:r>
      <w:r>
        <w:rPr>
          <w:rStyle w:val="72"/>
          <w:rFonts w:hint="eastAsia"/>
          <w:b/>
        </w:rPr>
        <w:fldChar w:fldCharType="separate"/>
      </w:r>
      <w:r>
        <w:rPr>
          <w:rStyle w:val="72"/>
          <w:rFonts w:hint="eastAsia"/>
          <w:b/>
        </w:rPr>
        <w:t>第三章 评标办法</w:t>
      </w:r>
      <w:r>
        <w:rPr>
          <w:rStyle w:val="72"/>
          <w:rFonts w:hint="eastAsia"/>
          <w:b/>
        </w:rPr>
        <w:fldChar w:fldCharType="end"/>
      </w:r>
      <w:bookmarkEnd w:id="12"/>
    </w:p>
    <w:p>
      <w:pPr>
        <w:pStyle w:val="109"/>
        <w:numPr>
          <w:ilvl w:val="0"/>
          <w:numId w:val="13"/>
        </w:numPr>
        <w:jc w:val="center"/>
        <w:rPr>
          <w:rFonts w:hint="eastAsia" w:ascii="仿宋" w:hAnsi="仿宋" w:eastAsia="仿宋" w:cs="仿宋"/>
          <w:b/>
          <w:bCs/>
          <w:szCs w:val="24"/>
          <w:lang w:val="en-US" w:eastAsia="zh-CN"/>
        </w:rPr>
      </w:pPr>
      <w:r>
        <w:rPr>
          <w:rFonts w:hint="eastAsia" w:ascii="仿宋" w:hAnsi="仿宋" w:eastAsia="仿宋" w:cs="仿宋"/>
          <w:b/>
          <w:bCs/>
          <w:szCs w:val="24"/>
          <w:lang w:val="en-US" w:eastAsia="zh-CN"/>
        </w:rPr>
        <w:t>资格审查</w:t>
      </w:r>
    </w:p>
    <w:tbl>
      <w:tblPr>
        <w:tblStyle w:val="60"/>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98"/>
        <w:gridCol w:w="3861"/>
        <w:gridCol w:w="996"/>
        <w:gridCol w:w="996"/>
        <w:gridCol w:w="99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17"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4359" w:type="dxa"/>
            <w:gridSpan w:val="2"/>
            <w:tcBorders>
              <w:bottom w:val="single" w:color="auto" w:sz="4" w:space="0"/>
            </w:tcBorders>
            <w:noWrap w:val="0"/>
            <w:vAlign w:val="center"/>
          </w:tcPr>
          <w:p>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评  审  内  容</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投标人1</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投标人2</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投标人3</w:t>
            </w:r>
          </w:p>
        </w:tc>
        <w:tc>
          <w:tcPr>
            <w:tcW w:w="872"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717" w:type="dxa"/>
            <w:vMerge w:val="restart"/>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b/>
                <w:sz w:val="24"/>
              </w:rPr>
              <w:t>资格审查</w:t>
            </w: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3861" w:type="dxa"/>
            <w:noWrap w:val="0"/>
            <w:vAlign w:val="center"/>
          </w:tcPr>
          <w:p>
            <w:pPr>
              <w:shd w:val="clear" w:color="auto" w:fill="FFFFFF"/>
              <w:spacing w:line="440" w:lineRule="exact"/>
              <w:rPr>
                <w:rFonts w:hint="eastAsia" w:ascii="仿宋" w:hAnsi="仿宋" w:eastAsia="仿宋" w:cs="仿宋"/>
                <w:sz w:val="24"/>
              </w:rPr>
            </w:pPr>
            <w:r>
              <w:rPr>
                <w:rFonts w:hint="eastAsia" w:ascii="仿宋" w:hAnsi="仿宋" w:eastAsia="仿宋" w:cs="仿宋"/>
                <w:b/>
                <w:bCs/>
                <w:sz w:val="24"/>
              </w:rPr>
              <w:t>营业执照</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3861" w:type="dxa"/>
            <w:noWrap w:val="0"/>
            <w:vAlign w:val="center"/>
          </w:tcPr>
          <w:p>
            <w:pPr>
              <w:shd w:val="clear" w:color="auto" w:fill="FFFFFF"/>
              <w:spacing w:line="440" w:lineRule="exact"/>
              <w:rPr>
                <w:rFonts w:hint="eastAsia" w:ascii="仿宋" w:hAnsi="仿宋" w:eastAsia="仿宋" w:cs="仿宋"/>
                <w:sz w:val="24"/>
              </w:rPr>
            </w:pPr>
            <w:r>
              <w:rPr>
                <w:rFonts w:hint="eastAsia" w:ascii="仿宋" w:hAnsi="仿宋" w:eastAsia="仿宋" w:cs="仿宋"/>
                <w:b/>
                <w:bCs/>
                <w:sz w:val="24"/>
              </w:rPr>
              <w:t>法定代表人身份证明书及法定代表人身份证或授权委托书及授权人身份证</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3861" w:type="dxa"/>
            <w:noWrap w:val="0"/>
            <w:vAlign w:val="center"/>
          </w:tcPr>
          <w:p>
            <w:pPr>
              <w:shd w:val="clear" w:color="auto" w:fill="FFFFFF"/>
              <w:spacing w:line="440" w:lineRule="exact"/>
              <w:rPr>
                <w:rFonts w:hint="eastAsia" w:ascii="仿宋" w:hAnsi="仿宋" w:eastAsia="仿宋" w:cs="仿宋"/>
                <w:b/>
                <w:bCs/>
                <w:sz w:val="24"/>
              </w:rPr>
            </w:pPr>
            <w:r>
              <w:rPr>
                <w:rFonts w:hint="eastAsia" w:ascii="仿宋" w:hAnsi="仿宋" w:eastAsia="仿宋" w:cs="仿宋"/>
                <w:b/>
                <w:bCs/>
                <w:sz w:val="24"/>
              </w:rPr>
              <w:t>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招标文件发布之日起至投标截止时间从上述网站中打印，需提供上述网站截图并加盖投标人鲜章）；</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3861" w:type="dxa"/>
            <w:noWrap w:val="0"/>
            <w:vAlign w:val="center"/>
          </w:tcPr>
          <w:p>
            <w:pPr>
              <w:shd w:val="clear" w:color="auto" w:fill="FFFFFF"/>
              <w:spacing w:line="440" w:lineRule="exact"/>
              <w:rPr>
                <w:rFonts w:hint="eastAsia" w:ascii="仿宋" w:hAnsi="仿宋" w:eastAsia="仿宋" w:cs="仿宋"/>
                <w:sz w:val="24"/>
              </w:rPr>
            </w:pPr>
            <w:r>
              <w:rPr>
                <w:rFonts w:hint="eastAsia" w:ascii="仿宋" w:hAnsi="仿宋" w:eastAsia="仿宋" w:cs="仿宋"/>
                <w:b/>
                <w:bCs/>
                <w:sz w:val="24"/>
              </w:rPr>
              <w:t>投标保证金缴纳凭证</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936" w:type="dxa"/>
            <w:gridSpan w:val="7"/>
            <w:noWrap w:val="0"/>
            <w:vAlign w:val="center"/>
          </w:tcPr>
          <w:p>
            <w:pPr>
              <w:shd w:val="clear" w:color="auto" w:fill="FFFFFF"/>
              <w:spacing w:line="440" w:lineRule="exact"/>
              <w:rPr>
                <w:rFonts w:hint="eastAsia" w:ascii="仿宋" w:hAnsi="仿宋" w:eastAsia="仿宋" w:cs="仿宋"/>
                <w:b/>
                <w:sz w:val="24"/>
              </w:rPr>
            </w:pPr>
            <w:r>
              <w:rPr>
                <w:rFonts w:hint="eastAsia" w:ascii="仿宋" w:hAnsi="仿宋" w:eastAsia="仿宋" w:cs="仿宋"/>
                <w:sz w:val="24"/>
              </w:rPr>
              <w:t>结论：是否通过资格审查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8936" w:type="dxa"/>
            <w:gridSpan w:val="7"/>
            <w:noWrap w:val="0"/>
            <w:vAlign w:val="center"/>
          </w:tcPr>
          <w:p>
            <w:pPr>
              <w:shd w:val="clear" w:color="auto" w:fill="FFFFFF"/>
              <w:spacing w:line="440" w:lineRule="exact"/>
              <w:rPr>
                <w:rFonts w:hint="eastAsia" w:ascii="仿宋" w:hAnsi="仿宋" w:eastAsia="仿宋" w:cs="仿宋"/>
                <w:sz w:val="24"/>
              </w:rPr>
            </w:pPr>
            <w:r>
              <w:rPr>
                <w:rFonts w:hint="eastAsia" w:ascii="仿宋" w:hAnsi="仿宋" w:eastAsia="仿宋" w:cs="仿宋"/>
                <w:b/>
                <w:sz w:val="24"/>
              </w:rPr>
              <w:t>监督人签字：</w:t>
            </w:r>
          </w:p>
        </w:tc>
      </w:tr>
    </w:tbl>
    <w:p>
      <w:pPr>
        <w:pStyle w:val="109"/>
        <w:rPr>
          <w:rFonts w:hint="eastAsia" w:ascii="仿宋" w:hAnsi="仿宋" w:eastAsia="仿宋" w:cs="仿宋"/>
          <w:b/>
          <w:bCs/>
          <w:szCs w:val="24"/>
          <w:lang w:val="en-US" w:eastAsia="zh-CN"/>
        </w:rPr>
      </w:pPr>
    </w:p>
    <w:p>
      <w:pPr>
        <w:pStyle w:val="109"/>
        <w:rPr>
          <w:rFonts w:hint="eastAsia" w:ascii="仿宋" w:hAnsi="仿宋" w:eastAsia="仿宋" w:cs="仿宋"/>
          <w:b/>
          <w:bCs/>
          <w:szCs w:val="24"/>
          <w:lang w:val="en-US" w:eastAsia="zh-CN"/>
        </w:rPr>
      </w:pPr>
    </w:p>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lang w:eastAsia="zh-CN"/>
        </w:rPr>
        <w:t>二、资格性和</w:t>
      </w:r>
      <w:r>
        <w:rPr>
          <w:rFonts w:hint="eastAsia" w:ascii="仿宋" w:hAnsi="仿宋" w:eastAsia="仿宋" w:cs="仿宋"/>
          <w:b/>
          <w:sz w:val="24"/>
        </w:rPr>
        <w:t>符合性审查</w:t>
      </w:r>
    </w:p>
    <w:p>
      <w:pPr>
        <w:spacing w:line="52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资格性审查表</w:t>
      </w:r>
    </w:p>
    <w:tbl>
      <w:tblPr>
        <w:tblStyle w:val="6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189" w:type="dxa"/>
            <w:gridSpan w:val="2"/>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检查因素</w:t>
            </w:r>
          </w:p>
        </w:tc>
        <w:tc>
          <w:tcPr>
            <w:tcW w:w="5815"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68" w:type="dxa"/>
            <w:vMerge w:val="restart"/>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符合《中华人民共和国政府采购法》第二十二条规定</w:t>
            </w:r>
          </w:p>
        </w:tc>
        <w:tc>
          <w:tcPr>
            <w:tcW w:w="2221"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815" w:type="dxa"/>
            <w:noWrap w:val="0"/>
            <w:vAlign w:val="center"/>
          </w:tcPr>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bidi="ar-SA"/>
              </w:rPr>
              <w:t>如</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是企业（包括合伙企业），应提供在工商部门注册的有效“企业法人营业执照”或“营业执照”；如</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是事业单位，应提供有效的“事业单位法人证书”；</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是非企业专业服务机构的，应提供执业许可证等证明文件；如</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是个体工商户，应提供有效的“个体工商户营业执照”；如</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34" w:type="dxa"/>
            <w:vMerge w:val="continue"/>
            <w:noWrap w:val="0"/>
            <w:vAlign w:val="center"/>
          </w:tcPr>
          <w:p>
            <w:pPr>
              <w:jc w:val="center"/>
              <w:rPr>
                <w:rFonts w:ascii="仿宋" w:hAnsi="仿宋" w:eastAsia="仿宋" w:cs="仿宋"/>
                <w:color w:val="auto"/>
                <w:sz w:val="21"/>
                <w:szCs w:val="21"/>
                <w:highlight w:val="none"/>
              </w:rPr>
            </w:pPr>
          </w:p>
        </w:tc>
        <w:tc>
          <w:tcPr>
            <w:tcW w:w="968" w:type="dxa"/>
            <w:vMerge w:val="continue"/>
            <w:noWrap w:val="0"/>
            <w:vAlign w:val="center"/>
          </w:tcPr>
          <w:p>
            <w:pPr>
              <w:rPr>
                <w:rFonts w:ascii="仿宋" w:hAnsi="仿宋" w:eastAsia="仿宋" w:cs="仿宋"/>
                <w:color w:val="auto"/>
                <w:sz w:val="21"/>
                <w:szCs w:val="21"/>
                <w:highlight w:val="none"/>
              </w:rPr>
            </w:pPr>
          </w:p>
        </w:tc>
        <w:tc>
          <w:tcPr>
            <w:tcW w:w="2221"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（2）具有良好的商业信誉和健全的财务会计制度</w:t>
            </w:r>
          </w:p>
        </w:tc>
        <w:tc>
          <w:tcPr>
            <w:tcW w:w="5815" w:type="dxa"/>
            <w:noWrap w:val="0"/>
            <w:vAlign w:val="center"/>
          </w:tcPr>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应提供上一年度财务报告，或其基本开户银行出具的资信证明。其他组织和自然人，没有财务报告，提供银行出具的资信证明。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34" w:type="dxa"/>
            <w:vMerge w:val="continue"/>
            <w:noWrap w:val="0"/>
            <w:vAlign w:val="center"/>
          </w:tcPr>
          <w:p>
            <w:pPr>
              <w:jc w:val="center"/>
              <w:rPr>
                <w:rFonts w:ascii="仿宋" w:hAnsi="仿宋" w:eastAsia="仿宋" w:cs="仿宋"/>
                <w:color w:val="auto"/>
                <w:sz w:val="21"/>
                <w:szCs w:val="21"/>
                <w:highlight w:val="none"/>
              </w:rPr>
            </w:pPr>
          </w:p>
        </w:tc>
        <w:tc>
          <w:tcPr>
            <w:tcW w:w="968" w:type="dxa"/>
            <w:vMerge w:val="continue"/>
            <w:noWrap w:val="0"/>
            <w:vAlign w:val="center"/>
          </w:tcPr>
          <w:p>
            <w:pPr>
              <w:rPr>
                <w:rFonts w:ascii="仿宋" w:hAnsi="仿宋" w:eastAsia="仿宋" w:cs="仿宋"/>
                <w:color w:val="auto"/>
                <w:sz w:val="21"/>
                <w:szCs w:val="21"/>
                <w:highlight w:val="none"/>
              </w:rPr>
            </w:pPr>
          </w:p>
        </w:tc>
        <w:tc>
          <w:tcPr>
            <w:tcW w:w="2221"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（3）具有履行合同所必须的设备和专业技术能力</w:t>
            </w:r>
          </w:p>
        </w:tc>
        <w:tc>
          <w:tcPr>
            <w:tcW w:w="5815" w:type="dxa"/>
            <w:noWrap w:val="0"/>
            <w:vAlign w:val="center"/>
          </w:tcPr>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jc w:val="center"/>
              <w:rPr>
                <w:rFonts w:ascii="仿宋" w:hAnsi="仿宋" w:eastAsia="仿宋" w:cs="仿宋"/>
                <w:color w:val="auto"/>
                <w:sz w:val="21"/>
                <w:szCs w:val="21"/>
                <w:highlight w:val="none"/>
              </w:rPr>
            </w:pPr>
          </w:p>
        </w:tc>
        <w:tc>
          <w:tcPr>
            <w:tcW w:w="968" w:type="dxa"/>
            <w:vMerge w:val="continue"/>
            <w:noWrap w:val="0"/>
            <w:vAlign w:val="center"/>
          </w:tcPr>
          <w:p>
            <w:pPr>
              <w:rPr>
                <w:rFonts w:ascii="仿宋" w:hAnsi="仿宋" w:eastAsia="仿宋" w:cs="仿宋"/>
                <w:color w:val="auto"/>
                <w:sz w:val="21"/>
                <w:szCs w:val="21"/>
                <w:highlight w:val="none"/>
              </w:rPr>
            </w:pPr>
          </w:p>
        </w:tc>
        <w:tc>
          <w:tcPr>
            <w:tcW w:w="2221"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（4）有依法缴纳税收和社会保障金的良好记录</w:t>
            </w:r>
          </w:p>
        </w:tc>
        <w:tc>
          <w:tcPr>
            <w:tcW w:w="5815" w:type="dxa"/>
            <w:noWrap w:val="0"/>
            <w:vAlign w:val="center"/>
          </w:tcPr>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依法缴纳税收的证明材料：本项目</w:t>
            </w:r>
            <w:r>
              <w:rPr>
                <w:rFonts w:hint="eastAsia" w:ascii="仿宋" w:hAnsi="仿宋" w:eastAsia="仿宋" w:cs="仿宋"/>
                <w:color w:val="auto"/>
                <w:sz w:val="21"/>
                <w:szCs w:val="21"/>
                <w:highlight w:val="none"/>
                <w:lang w:eastAsia="zh-CN" w:bidi="ar-SA"/>
              </w:rPr>
              <w:t>投标</w:t>
            </w:r>
            <w:r>
              <w:rPr>
                <w:rFonts w:hint="eastAsia" w:ascii="仿宋" w:hAnsi="仿宋" w:eastAsia="仿宋" w:cs="仿宋"/>
                <w:color w:val="auto"/>
                <w:sz w:val="21"/>
                <w:szCs w:val="21"/>
                <w:highlight w:val="none"/>
                <w:lang w:bidi="ar-SA"/>
              </w:rPr>
              <w:t>截止时间前6个月内（至少提供1个月）缴纳税收的凭据（完税证、缴款书、印花税票、银行代扣（代缴）转账凭证等均可）；</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依法缴纳社会保障资金的证明材料：本项目</w:t>
            </w:r>
            <w:r>
              <w:rPr>
                <w:rFonts w:hint="eastAsia" w:ascii="仿宋" w:hAnsi="仿宋" w:eastAsia="仿宋" w:cs="仿宋"/>
                <w:color w:val="auto"/>
                <w:sz w:val="21"/>
                <w:szCs w:val="21"/>
                <w:highlight w:val="none"/>
                <w:lang w:eastAsia="zh-CN" w:bidi="ar-SA"/>
              </w:rPr>
              <w:t>投标</w:t>
            </w:r>
            <w:r>
              <w:rPr>
                <w:rFonts w:hint="eastAsia" w:ascii="仿宋" w:hAnsi="仿宋" w:eastAsia="仿宋" w:cs="仿宋"/>
                <w:color w:val="auto"/>
                <w:sz w:val="21"/>
                <w:szCs w:val="21"/>
                <w:highlight w:val="none"/>
                <w:lang w:bidi="ar-SA"/>
              </w:rPr>
              <w:t>截止时间时间前6个月内（至少提供1个月）缴纳社会保险的凭据（专用收据或社会保险交纳清单）；</w:t>
            </w:r>
            <w:r>
              <w:rPr>
                <w:rFonts w:hint="eastAsia" w:ascii="仿宋" w:hAnsi="仿宋" w:eastAsia="仿宋" w:cs="仿宋"/>
                <w:color w:val="auto"/>
                <w:sz w:val="21"/>
                <w:szCs w:val="21"/>
                <w:highlight w:val="none"/>
                <w:lang w:eastAsia="zh-CN" w:bidi="ar-SA"/>
              </w:rPr>
              <w:t>投标人</w:t>
            </w:r>
            <w:r>
              <w:rPr>
                <w:rFonts w:hint="eastAsia" w:ascii="仿宋" w:hAnsi="仿宋" w:eastAsia="仿宋" w:cs="仿宋"/>
                <w:color w:val="auto"/>
                <w:sz w:val="21"/>
                <w:szCs w:val="21"/>
                <w:highlight w:val="none"/>
                <w:lang w:bidi="ar-SA"/>
              </w:rPr>
              <w:t>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pPr>
              <w:jc w:val="center"/>
              <w:rPr>
                <w:rFonts w:ascii="仿宋" w:hAnsi="仿宋" w:eastAsia="仿宋" w:cs="仿宋"/>
                <w:color w:val="auto"/>
                <w:sz w:val="21"/>
                <w:szCs w:val="21"/>
                <w:highlight w:val="none"/>
              </w:rPr>
            </w:pPr>
          </w:p>
        </w:tc>
        <w:tc>
          <w:tcPr>
            <w:tcW w:w="968" w:type="dxa"/>
            <w:vMerge w:val="continue"/>
            <w:noWrap w:val="0"/>
            <w:vAlign w:val="center"/>
          </w:tcPr>
          <w:p>
            <w:pPr>
              <w:rPr>
                <w:rFonts w:ascii="仿宋" w:hAnsi="仿宋" w:eastAsia="仿宋" w:cs="仿宋"/>
                <w:color w:val="auto"/>
                <w:sz w:val="21"/>
                <w:szCs w:val="21"/>
                <w:highlight w:val="none"/>
              </w:rPr>
            </w:pPr>
          </w:p>
        </w:tc>
        <w:tc>
          <w:tcPr>
            <w:tcW w:w="2221"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（5）参加政府采购活动近3年内，在经营活动中没有重大违法记录</w:t>
            </w:r>
          </w:p>
        </w:tc>
        <w:tc>
          <w:tcPr>
            <w:tcW w:w="5815" w:type="dxa"/>
            <w:noWrap w:val="0"/>
            <w:vAlign w:val="center"/>
          </w:tcPr>
          <w:p>
            <w:pP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bidi="ar-SA"/>
              </w:rPr>
              <w:t>参加政府采购活动前3年内在经营活动中没有重大违法记录的书面声明（格式自拟）</w:t>
            </w:r>
            <w:r>
              <w:rPr>
                <w:rFonts w:hint="eastAsia" w:ascii="仿宋" w:hAnsi="仿宋" w:eastAsia="仿宋" w:cs="仿宋"/>
                <w:color w:val="auto"/>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189" w:type="dxa"/>
            <w:gridSpan w:val="2"/>
            <w:noWrap w:val="0"/>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信用查询</w:t>
            </w:r>
          </w:p>
        </w:tc>
        <w:tc>
          <w:tcPr>
            <w:tcW w:w="5815" w:type="dxa"/>
            <w:noWrap w:val="0"/>
            <w:vAlign w:val="center"/>
          </w:tcPr>
          <w:p>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bidi="ar-SA"/>
              </w:rPr>
              <w:t>投标人未被“信用中国”网站（www.creditchina.gov.cn）列入失信被执行人、重大税收违法失信主体名单以及</w:t>
            </w:r>
            <w:r>
              <w:rPr>
                <w:rFonts w:hint="eastAsia" w:ascii="仿宋" w:hAnsi="仿宋" w:eastAsia="仿宋" w:cs="仿宋"/>
                <w:color w:val="auto"/>
                <w:sz w:val="21"/>
                <w:szCs w:val="21"/>
                <w:highlight w:val="none"/>
              </w:rPr>
              <w:t>未处于中国政府采购网</w:t>
            </w:r>
            <w:r>
              <w:rPr>
                <w:rFonts w:hint="eastAsia" w:ascii="仿宋" w:hAnsi="仿宋" w:eastAsia="仿宋" w:cs="仿宋"/>
                <w:color w:val="auto"/>
                <w:sz w:val="21"/>
                <w:szCs w:val="21"/>
                <w:highlight w:val="none"/>
                <w:lang w:val="en-US"/>
              </w:rPr>
              <w:t>(www.ccgp.gov.cn)“</w:t>
            </w:r>
            <w:r>
              <w:rPr>
                <w:rFonts w:hint="eastAsia" w:ascii="仿宋" w:hAnsi="仿宋" w:eastAsia="仿宋" w:cs="仿宋"/>
                <w:color w:val="auto"/>
                <w:sz w:val="21"/>
                <w:szCs w:val="21"/>
                <w:highlight w:val="none"/>
              </w:rPr>
              <w:t>政府采购严重违法失信行为信息记录</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rPr>
              <w:t>中的禁止参加政府采购活动期间</w:t>
            </w:r>
            <w:r>
              <w:rPr>
                <w:rFonts w:hint="eastAsia" w:ascii="仿宋" w:hAnsi="仿宋" w:eastAsia="仿宋" w:cs="仿宋"/>
                <w:color w:val="auto"/>
                <w:sz w:val="21"/>
                <w:szCs w:val="21"/>
                <w:highlight w:val="none"/>
                <w:lang w:val="en-US"/>
              </w:rPr>
              <w:t>；</w:t>
            </w:r>
          </w:p>
        </w:tc>
      </w:tr>
    </w:tbl>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sz w:val="24"/>
        </w:rPr>
        <w:br w:type="page"/>
      </w:r>
      <w:r>
        <w:rPr>
          <w:rFonts w:hint="eastAsia" w:ascii="仿宋" w:hAnsi="仿宋" w:eastAsia="仿宋" w:cs="仿宋"/>
          <w:b/>
          <w:sz w:val="24"/>
        </w:rPr>
        <w:t>符合性审查</w:t>
      </w:r>
      <w:r>
        <w:rPr>
          <w:rFonts w:hint="eastAsia" w:ascii="仿宋" w:hAnsi="仿宋" w:eastAsia="仿宋" w:cs="仿宋"/>
          <w:b/>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261" w:type="dxa"/>
            <w:gridSpan w:val="2"/>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评标因素</w:t>
            </w:r>
          </w:p>
        </w:tc>
        <w:tc>
          <w:tcPr>
            <w:tcW w:w="5870" w:type="dxa"/>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75" w:type="dxa"/>
            <w:vMerge w:val="restart"/>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93" w:type="dxa"/>
            <w:vMerge w:val="restart"/>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w:t>
            </w:r>
          </w:p>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w:t>
            </w: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文件签署</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提交的</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文件“格式、内容、标识、签字、盖章”等符合</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文件要求；</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文件上法定代表人</w:t>
            </w:r>
            <w:r>
              <w:rPr>
                <w:rFonts w:hint="eastAsia" w:ascii="仿宋" w:hAnsi="仿宋" w:eastAsia="仿宋" w:cs="仿宋"/>
                <w:color w:val="auto"/>
                <w:sz w:val="21"/>
                <w:szCs w:val="21"/>
                <w:highlight w:val="none"/>
                <w:lang w:eastAsia="zh-CN"/>
              </w:rPr>
              <w:t>的签章、</w:t>
            </w:r>
            <w:r>
              <w:rPr>
                <w:rFonts w:hint="eastAsia" w:ascii="仿宋" w:hAnsi="仿宋" w:eastAsia="仿宋" w:cs="仿宋"/>
                <w:color w:val="auto"/>
                <w:sz w:val="21"/>
                <w:szCs w:val="21"/>
                <w:highlight w:val="none"/>
              </w:rPr>
              <w:t>其授权代理人的签字、</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的单位章齐全符合</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jc w:val="cente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5870" w:type="dxa"/>
            <w:noWrap w:val="0"/>
            <w:vAlign w:val="center"/>
          </w:tcPr>
          <w:p>
            <w:p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文件规定的格式并按</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要求签字和盖章</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jc w:val="cente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报价唯一</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jc w:val="cente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保证金</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按时、足额缴纳</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993" w:type="dxa"/>
            <w:vMerge w:val="restart"/>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完整性</w:t>
            </w:r>
          </w:p>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w:t>
            </w:r>
          </w:p>
        </w:tc>
        <w:tc>
          <w:tcPr>
            <w:tcW w:w="2268" w:type="dxa"/>
            <w:noWrap w:val="0"/>
            <w:vAlign w:val="center"/>
          </w:tcPr>
          <w:p>
            <w:p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eastAsia="zh-CN"/>
              </w:rPr>
              <w:t>封面及份数</w:t>
            </w:r>
          </w:p>
        </w:tc>
        <w:tc>
          <w:tcPr>
            <w:tcW w:w="5870" w:type="dxa"/>
            <w:noWrap w:val="0"/>
            <w:vAlign w:val="center"/>
          </w:tcPr>
          <w:p>
            <w:p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文件封面右上角注明“正本”或“副本”字样</w:t>
            </w:r>
            <w:r>
              <w:rPr>
                <w:rFonts w:hint="eastAsia" w:ascii="仿宋" w:hAnsi="仿宋" w:eastAsia="仿宋" w:cs="仿宋"/>
                <w:color w:val="auto"/>
                <w:sz w:val="21"/>
                <w:szCs w:val="21"/>
                <w:highlight w:val="none"/>
                <w:lang w:eastAsia="zh-CN"/>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jc w:val="cente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文件内容</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供货期及质保期</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技术</w:t>
            </w:r>
            <w:r>
              <w:rPr>
                <w:rFonts w:hint="eastAsia" w:ascii="仿宋" w:hAnsi="仿宋" w:eastAsia="仿宋" w:cs="仿宋"/>
                <w:color w:val="auto"/>
                <w:sz w:val="21"/>
                <w:szCs w:val="21"/>
                <w:highlight w:val="none"/>
              </w:rPr>
              <w:t>方案</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有效期</w:t>
            </w:r>
          </w:p>
        </w:tc>
        <w:tc>
          <w:tcPr>
            <w:tcW w:w="5870"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5" w:type="dxa"/>
            <w:vMerge w:val="continue"/>
            <w:noWrap w:val="0"/>
            <w:vAlign w:val="center"/>
          </w:tcPr>
          <w:p>
            <w:pPr>
              <w:jc w:val="center"/>
              <w:rPr>
                <w:rFonts w:hint="eastAsia" w:ascii="仿宋" w:hAnsi="仿宋" w:eastAsia="仿宋" w:cs="仿宋"/>
                <w:color w:val="auto"/>
                <w:sz w:val="21"/>
                <w:szCs w:val="21"/>
                <w:highlight w:val="none"/>
              </w:rPr>
            </w:pPr>
          </w:p>
        </w:tc>
        <w:tc>
          <w:tcPr>
            <w:tcW w:w="993" w:type="dxa"/>
            <w:vMerge w:val="continue"/>
            <w:noWrap w:val="0"/>
            <w:vAlign w:val="center"/>
          </w:tcPr>
          <w:p>
            <w:pPr>
              <w:rPr>
                <w:rFonts w:hint="eastAsia" w:ascii="仿宋" w:hAnsi="仿宋" w:eastAsia="仿宋" w:cs="仿宋"/>
                <w:color w:val="auto"/>
                <w:sz w:val="21"/>
                <w:szCs w:val="21"/>
                <w:highlight w:val="none"/>
              </w:rPr>
            </w:pPr>
          </w:p>
        </w:tc>
        <w:tc>
          <w:tcPr>
            <w:tcW w:w="2268" w:type="dxa"/>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5870" w:type="dxa"/>
            <w:tcBorders>
              <w:bottom w:val="single" w:color="auto" w:sz="4" w:space="0"/>
            </w:tcBorders>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文件未附有采购人不能接受的附加条件及法律、法规和</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文件规定的其他无效情形</w:t>
            </w:r>
            <w:r>
              <w:rPr>
                <w:rFonts w:hint="eastAsia" w:ascii="仿宋" w:hAnsi="仿宋" w:eastAsia="仿宋" w:cs="仿宋"/>
                <w:color w:val="auto"/>
                <w:sz w:val="21"/>
                <w:szCs w:val="21"/>
                <w:highlight w:val="none"/>
                <w:lang w:eastAsia="zh-CN"/>
              </w:rPr>
              <w:t>；满足“投标须知”规定的实质性要求。</w:t>
            </w:r>
          </w:p>
        </w:tc>
      </w:tr>
    </w:tbl>
    <w:p>
      <w:pPr>
        <w:shd w:val="clear" w:color="auto" w:fill="FFFFFF"/>
        <w:spacing w:line="400" w:lineRule="exact"/>
        <w:jc w:val="both"/>
        <w:rPr>
          <w:rFonts w:hint="eastAsia" w:ascii="仿宋" w:hAnsi="仿宋" w:eastAsia="仿宋" w:cs="仿宋"/>
          <w:b/>
          <w:bCs/>
          <w:sz w:val="32"/>
          <w:szCs w:val="32"/>
        </w:rPr>
      </w:pPr>
    </w:p>
    <w:p>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49"/>
        <w:gridCol w:w="6185"/>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评审项目</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1、综合评分法中的价格分统一采用低价优先法计算，即满足招标文件要求且投标价格最低的投标报价为基准价，其价格分为满分。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2、其他投标单位的投标报价得分计算公式如下：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投标报价得分=（评标基准价／投标报价）×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0；小数点后保留二位，四舍五入。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color w:val="auto"/>
                <w:sz w:val="24"/>
                <w:szCs w:val="24"/>
                <w:highlight w:val="none"/>
              </w:rPr>
            </w:pPr>
            <w:r>
              <w:rPr>
                <w:rFonts w:hint="eastAsia" w:ascii="仿宋" w:hAnsi="仿宋" w:eastAsia="仿宋" w:cs="仿宋"/>
                <w:color w:val="auto"/>
                <w:sz w:val="24"/>
                <w:szCs w:val="24"/>
                <w:highlight w:val="none"/>
                <w:lang w:val="en-US" w:eastAsia="zh-CN"/>
              </w:rPr>
              <w:t>注：投标报价超过采购预算价的按无效投标处理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投标人近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2019年1月至今</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承担过同类产品项目业绩</w:t>
            </w:r>
            <w:r>
              <w:rPr>
                <w:rFonts w:hint="eastAsia" w:ascii="仿宋" w:hAnsi="仿宋" w:eastAsia="仿宋" w:cs="仿宋"/>
                <w:color w:val="auto"/>
                <w:sz w:val="24"/>
                <w:szCs w:val="24"/>
                <w:highlight w:val="none"/>
                <w:lang w:val="zh-CN"/>
              </w:rPr>
              <w:t>，每提供一项有效业绩计</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val="zh-CN"/>
              </w:rPr>
              <w:t>，最多计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eastAsia="zh-CN"/>
              </w:rPr>
              <w:t>投标人或生产厂家具有国家级实验室供货业绩，每提供一项有效业绩得1分，最多计5分。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注：有效业绩的证明材料需提供合同</w:t>
            </w:r>
            <w:r>
              <w:rPr>
                <w:rFonts w:hint="eastAsia" w:ascii="仿宋" w:hAnsi="仿宋" w:eastAsia="仿宋" w:cs="仿宋"/>
                <w:b/>
                <w:bCs/>
                <w:color w:val="auto"/>
                <w:sz w:val="24"/>
                <w:szCs w:val="24"/>
                <w:highlight w:val="none"/>
                <w:lang w:val="en-US" w:eastAsia="zh-CN"/>
              </w:rPr>
              <w:t>或中标（成交）通知书</w:t>
            </w:r>
            <w:r>
              <w:rPr>
                <w:rFonts w:hint="eastAsia" w:ascii="仿宋" w:hAnsi="仿宋" w:eastAsia="仿宋" w:cs="仿宋"/>
                <w:b/>
                <w:bCs/>
                <w:color w:val="auto"/>
                <w:sz w:val="24"/>
                <w:szCs w:val="24"/>
                <w:highlight w:val="none"/>
                <w:lang w:val="zh-CN"/>
              </w:rPr>
              <w:t>，未提供业绩证明材料或是经评标委员会认定为无效业绩的，本项不得分。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84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企业信誉</w:t>
            </w:r>
          </w:p>
        </w:tc>
        <w:tc>
          <w:tcPr>
            <w:tcW w:w="61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企业信誉度较高，售后反馈意见良好，提供不少于3份反馈意见良好的证明材料（</w:t>
            </w:r>
            <w:r>
              <w:rPr>
                <w:rFonts w:hint="eastAsia" w:ascii="仿宋" w:hAnsi="仿宋" w:eastAsia="仿宋" w:cs="仿宋"/>
                <w:b w:val="0"/>
                <w:bCs w:val="0"/>
                <w:color w:val="auto"/>
                <w:sz w:val="24"/>
                <w:szCs w:val="24"/>
                <w:lang w:val="en-US" w:eastAsia="zh-CN"/>
              </w:rPr>
              <w:t>甲方评价意见良好</w:t>
            </w:r>
            <w:r>
              <w:rPr>
                <w:rFonts w:hint="eastAsia" w:ascii="仿宋" w:hAnsi="仿宋" w:eastAsia="仿宋" w:cs="仿宋"/>
                <w:b w:val="0"/>
                <w:bCs w:val="0"/>
                <w:color w:val="auto"/>
                <w:sz w:val="24"/>
                <w:szCs w:val="24"/>
                <w:lang w:val="zh-CN" w:eastAsia="zh-CN"/>
              </w:rPr>
              <w:t>），少于3份不得分，提供3份得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eastAsia="zh-CN"/>
              </w:rPr>
              <w:t>分，每多提供一份加1分，本项最多计4分。（一个项目仅限提供一份反馈材料并加盖公章）</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4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生产供应能力</w:t>
            </w:r>
          </w:p>
        </w:tc>
        <w:tc>
          <w:tcPr>
            <w:tcW w:w="61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根据投标人提供的生产厂家供应能力证明，包括但不限于：①生产厂家的生产场地、②生产加工设备、③检测设备。</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针对以上3项内容进行评审，逐项打分，每项1分，共3分：每项评审标准：①生产供应能力证明材料内容全面详细、具体、合理、针对性强、有利于项目履约得</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eastAsia="zh-CN"/>
              </w:rPr>
              <w:t>分；②生产供应能力证明材料内容不够全面、不够详细、不够具体、不够合理，针对性有所欠缺得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val="zh-CN" w:eastAsia="zh-CN"/>
              </w:rPr>
              <w:t>分；③无法达到采购要求或未提供相应证明材料每项得0分。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bCs/>
                <w:color w:val="auto"/>
                <w:sz w:val="24"/>
                <w:szCs w:val="24"/>
                <w:lang w:val="zh-CN" w:eastAsia="zh-CN"/>
              </w:rPr>
              <w:t>注：须提供生产场地产权证明或租赁合同证明、厂房及设备照片等相关证明文件复印件，并加盖投标人公章。</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产品性能</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rPr>
            </w:pPr>
            <w:r>
              <w:rPr>
                <w:rFonts w:hint="eastAsia" w:ascii="仿宋" w:hAnsi="仿宋" w:eastAsia="仿宋" w:cs="仿宋"/>
                <w:sz w:val="24"/>
                <w:szCs w:val="24"/>
              </w:rPr>
              <w:t>投标方在</w:t>
            </w:r>
            <w:r>
              <w:rPr>
                <w:rFonts w:hint="eastAsia" w:ascii="仿宋" w:hAnsi="仿宋" w:eastAsia="仿宋" w:cs="仿宋"/>
                <w:sz w:val="24"/>
                <w:szCs w:val="24"/>
                <w:lang w:val="en-US" w:eastAsia="zh-CN"/>
              </w:rPr>
              <w:t>制作投标文件过程</w:t>
            </w:r>
            <w:r>
              <w:rPr>
                <w:rFonts w:hint="eastAsia" w:ascii="仿宋" w:hAnsi="仿宋" w:eastAsia="仿宋" w:cs="仿宋"/>
                <w:sz w:val="24"/>
                <w:szCs w:val="24"/>
              </w:rPr>
              <w:t>中应充分考虑用户需求，在产品选型过程中，提供的投标产品应是功能、质量、产品配置、性能优良，并满足用户对产品功能、质量、使用、操作等方面的需求，且满足招标文件技术参数和技术规格要求的产品，评审委员会根据投标人所投产品的技术参数、配置、质量和性能等进行评审，全部技术指标完全满足参数要求，正规厂家生产，标识齐全规范，</w:t>
            </w:r>
            <w:r>
              <w:rPr>
                <w:rFonts w:hint="eastAsia" w:ascii="仿宋" w:hAnsi="仿宋" w:eastAsia="仿宋" w:cs="仿宋"/>
                <w:sz w:val="24"/>
                <w:szCs w:val="24"/>
                <w:lang w:eastAsia="zh-CN"/>
              </w:rPr>
              <w:t>无</w:t>
            </w:r>
            <w:r>
              <w:rPr>
                <w:rFonts w:hint="eastAsia" w:ascii="仿宋" w:hAnsi="仿宋" w:eastAsia="仿宋" w:cs="仿宋"/>
                <w:sz w:val="24"/>
                <w:szCs w:val="24"/>
                <w:lang w:val="en-US" w:eastAsia="zh-CN"/>
              </w:rPr>
              <w:t>非实质性</w:t>
            </w:r>
            <w:r>
              <w:rPr>
                <w:rFonts w:hint="eastAsia" w:ascii="仿宋" w:hAnsi="仿宋" w:eastAsia="仿宋" w:cs="仿宋"/>
                <w:sz w:val="24"/>
                <w:szCs w:val="24"/>
                <w:lang w:eastAsia="zh-CN"/>
              </w:rPr>
              <w:t>负偏离，</w:t>
            </w:r>
            <w:r>
              <w:rPr>
                <w:rFonts w:hint="eastAsia" w:ascii="仿宋" w:hAnsi="仿宋" w:eastAsia="仿宋" w:cs="仿宋"/>
                <w:sz w:val="24"/>
                <w:szCs w:val="24"/>
              </w:rPr>
              <w:t>得</w:t>
            </w:r>
            <w:r>
              <w:rPr>
                <w:rFonts w:hint="eastAsia" w:ascii="仿宋" w:hAnsi="仿宋" w:eastAsia="仿宋" w:cs="仿宋"/>
                <w:sz w:val="24"/>
                <w:szCs w:val="24"/>
                <w:lang w:val="en-US" w:eastAsia="zh-CN"/>
              </w:rPr>
              <w:t>30</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每有一项不满足扣1分，扣完为止。</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注：提供相关佐证材料（包括但不限于国家认证认可的第三方检测机构出具的检测报告、技术白皮书、</w:t>
            </w:r>
            <w:r>
              <w:rPr>
                <w:rFonts w:hint="eastAsia" w:ascii="仿宋" w:hAnsi="仿宋" w:eastAsia="仿宋" w:cs="仿宋"/>
                <w:b/>
                <w:bCs/>
                <w:sz w:val="24"/>
                <w:szCs w:val="24"/>
              </w:rPr>
              <w:t>官网截图</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厂家公开发布的印刷资料、产品彩页、产品说明书等），</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服务</w:t>
            </w:r>
            <w:r>
              <w:rPr>
                <w:rFonts w:hint="eastAsia" w:ascii="仿宋" w:hAnsi="仿宋" w:eastAsia="仿宋" w:cs="仿宋"/>
                <w:sz w:val="24"/>
                <w:szCs w:val="24"/>
              </w:rPr>
              <w:t>方案</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根据投标人提供的服务方案内容，包括采购方案，供货方案，安全管理制度，质量控制方案，配送服务计划和措施（包括运输和仓储），自然灾害、交通意外等情况下的应急预案等，进行综合评审：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r>
              <w:rPr>
                <w:rFonts w:hint="eastAsia" w:ascii="仿宋" w:hAnsi="仿宋" w:eastAsia="仿宋" w:cs="仿宋"/>
                <w:kern w:val="0"/>
                <w:sz w:val="24"/>
                <w:szCs w:val="24"/>
              </w:rPr>
              <w:t>内容完整、描述清晰</w:t>
            </w:r>
            <w:r>
              <w:rPr>
                <w:rFonts w:hint="eastAsia" w:ascii="仿宋" w:hAnsi="仿宋" w:eastAsia="仿宋" w:cs="仿宋"/>
                <w:kern w:val="0"/>
                <w:sz w:val="24"/>
                <w:szCs w:val="24"/>
                <w:lang w:eastAsia="zh-CN"/>
              </w:rPr>
              <w:t>，</w:t>
            </w:r>
            <w:r>
              <w:rPr>
                <w:rFonts w:hint="eastAsia" w:ascii="仿宋" w:hAnsi="仿宋" w:eastAsia="仿宋" w:cs="仿宋"/>
                <w:color w:val="auto"/>
                <w:sz w:val="24"/>
                <w:szCs w:val="24"/>
                <w:lang w:val="en-US" w:eastAsia="zh-CN"/>
              </w:rPr>
              <w:t>科学合理，技术具有一定先进性及可靠性，可操作性强，完全符合项目需求，得8分；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r>
              <w:rPr>
                <w:rFonts w:hint="eastAsia" w:ascii="仿宋" w:hAnsi="仿宋" w:eastAsia="仿宋" w:cs="仿宋"/>
                <w:kern w:val="0"/>
                <w:sz w:val="24"/>
                <w:szCs w:val="24"/>
              </w:rPr>
              <w:t>内容</w:t>
            </w:r>
            <w:r>
              <w:rPr>
                <w:rFonts w:hint="eastAsia" w:ascii="仿宋" w:hAnsi="仿宋" w:eastAsia="仿宋" w:cs="仿宋"/>
                <w:kern w:val="0"/>
                <w:sz w:val="24"/>
                <w:szCs w:val="24"/>
                <w:lang w:eastAsia="zh-CN"/>
              </w:rPr>
              <w:t>较</w:t>
            </w:r>
            <w:r>
              <w:rPr>
                <w:rFonts w:hint="eastAsia" w:ascii="仿宋" w:hAnsi="仿宋" w:eastAsia="仿宋" w:cs="仿宋"/>
                <w:kern w:val="0"/>
                <w:sz w:val="24"/>
                <w:szCs w:val="24"/>
              </w:rPr>
              <w:t>完整、描述</w:t>
            </w:r>
            <w:r>
              <w:rPr>
                <w:rFonts w:hint="eastAsia" w:ascii="仿宋" w:hAnsi="仿宋" w:eastAsia="仿宋" w:cs="仿宋"/>
                <w:kern w:val="0"/>
                <w:sz w:val="24"/>
                <w:szCs w:val="24"/>
                <w:lang w:eastAsia="zh-CN"/>
              </w:rPr>
              <w:t>较</w:t>
            </w:r>
            <w:r>
              <w:rPr>
                <w:rFonts w:hint="eastAsia" w:ascii="仿宋" w:hAnsi="仿宋" w:eastAsia="仿宋" w:cs="仿宋"/>
                <w:kern w:val="0"/>
                <w:sz w:val="24"/>
                <w:szCs w:val="24"/>
              </w:rPr>
              <w:t>清晰</w:t>
            </w:r>
            <w:r>
              <w:rPr>
                <w:rFonts w:hint="eastAsia" w:ascii="仿宋" w:hAnsi="仿宋" w:eastAsia="仿宋" w:cs="仿宋"/>
                <w:kern w:val="0"/>
                <w:sz w:val="24"/>
                <w:szCs w:val="24"/>
                <w:lang w:eastAsia="zh-CN"/>
              </w:rPr>
              <w:t>，</w:t>
            </w:r>
            <w:r>
              <w:rPr>
                <w:rFonts w:hint="eastAsia" w:ascii="仿宋" w:hAnsi="仿宋" w:eastAsia="仿宋" w:cs="仿宋"/>
                <w:color w:val="auto"/>
                <w:sz w:val="24"/>
                <w:szCs w:val="24"/>
                <w:lang w:val="en-US" w:eastAsia="zh-CN"/>
              </w:rPr>
              <w:t>技术具有一定先进性及可靠性，可操作性较强，基本符合项目需求，得6分；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r>
              <w:rPr>
                <w:rFonts w:hint="eastAsia" w:ascii="仿宋" w:hAnsi="仿宋" w:eastAsia="仿宋" w:cs="仿宋"/>
                <w:kern w:val="0"/>
                <w:sz w:val="24"/>
                <w:szCs w:val="24"/>
              </w:rPr>
              <w:t>内容</w:t>
            </w:r>
            <w:r>
              <w:rPr>
                <w:rFonts w:hint="eastAsia" w:ascii="仿宋" w:hAnsi="仿宋" w:eastAsia="仿宋" w:cs="仿宋"/>
                <w:kern w:val="0"/>
                <w:sz w:val="24"/>
                <w:szCs w:val="24"/>
                <w:lang w:eastAsia="zh-CN"/>
              </w:rPr>
              <w:t>基本</w:t>
            </w:r>
            <w:r>
              <w:rPr>
                <w:rFonts w:hint="eastAsia" w:ascii="仿宋" w:hAnsi="仿宋" w:eastAsia="仿宋" w:cs="仿宋"/>
                <w:kern w:val="0"/>
                <w:sz w:val="24"/>
                <w:szCs w:val="24"/>
              </w:rPr>
              <w:t>完整、描述</w:t>
            </w:r>
            <w:r>
              <w:rPr>
                <w:rFonts w:hint="eastAsia" w:ascii="仿宋" w:hAnsi="仿宋" w:eastAsia="仿宋" w:cs="仿宋"/>
                <w:kern w:val="0"/>
                <w:sz w:val="24"/>
                <w:szCs w:val="24"/>
                <w:lang w:eastAsia="zh-CN"/>
              </w:rPr>
              <w:t>基本</w:t>
            </w:r>
            <w:r>
              <w:rPr>
                <w:rFonts w:hint="eastAsia" w:ascii="仿宋" w:hAnsi="仿宋" w:eastAsia="仿宋" w:cs="仿宋"/>
                <w:kern w:val="0"/>
                <w:sz w:val="24"/>
                <w:szCs w:val="24"/>
              </w:rPr>
              <w:t>清晰</w:t>
            </w:r>
            <w:r>
              <w:rPr>
                <w:rFonts w:hint="eastAsia" w:ascii="仿宋" w:hAnsi="仿宋" w:eastAsia="仿宋" w:cs="仿宋"/>
                <w:kern w:val="0"/>
                <w:sz w:val="24"/>
                <w:szCs w:val="24"/>
                <w:lang w:eastAsia="zh-CN"/>
              </w:rPr>
              <w:t>，</w:t>
            </w:r>
            <w:r>
              <w:rPr>
                <w:rFonts w:hint="eastAsia" w:ascii="仿宋" w:hAnsi="仿宋" w:eastAsia="仿宋" w:cs="仿宋"/>
                <w:color w:val="auto"/>
                <w:sz w:val="24"/>
                <w:szCs w:val="24"/>
                <w:lang w:val="en-US" w:eastAsia="zh-CN"/>
              </w:rPr>
              <w:t>具有可操作性，</w:t>
            </w:r>
            <w:r>
              <w:rPr>
                <w:rFonts w:hint="eastAsia" w:ascii="仿宋" w:hAnsi="仿宋" w:eastAsia="仿宋"/>
                <w:sz w:val="24"/>
                <w:szCs w:val="24"/>
                <w:lang w:eastAsia="zh-CN"/>
              </w:rPr>
              <w:t>虽存在部分内容表述不清但无实质性影响，</w:t>
            </w:r>
            <w:r>
              <w:rPr>
                <w:rFonts w:hint="eastAsia" w:ascii="仿宋" w:hAnsi="仿宋" w:eastAsia="仿宋" w:cs="仿宋"/>
                <w:color w:val="auto"/>
                <w:sz w:val="24"/>
                <w:szCs w:val="24"/>
                <w:lang w:val="en-US" w:eastAsia="zh-CN"/>
              </w:rPr>
              <w:t>得4分；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sz w:val="24"/>
                <w:szCs w:val="24"/>
                <w:lang w:eastAsia="zh-CN"/>
              </w:rPr>
              <w:t>提供了服务方案，</w:t>
            </w:r>
            <w:r>
              <w:rPr>
                <w:rFonts w:hint="eastAsia" w:ascii="仿宋" w:hAnsi="仿宋" w:eastAsia="仿宋"/>
                <w:sz w:val="24"/>
                <w:szCs w:val="24"/>
              </w:rPr>
              <w:t>但</w:t>
            </w:r>
            <w:r>
              <w:rPr>
                <w:rFonts w:hint="eastAsia" w:ascii="仿宋" w:hAnsi="仿宋" w:eastAsia="仿宋"/>
                <w:sz w:val="24"/>
                <w:szCs w:val="24"/>
                <w:lang w:eastAsia="zh-CN"/>
              </w:rPr>
              <w:t>方案简单，</w:t>
            </w:r>
            <w:r>
              <w:rPr>
                <w:rFonts w:hint="eastAsia" w:ascii="仿宋" w:hAnsi="仿宋" w:eastAsia="仿宋"/>
                <w:sz w:val="24"/>
                <w:szCs w:val="24"/>
              </w:rPr>
              <w:t>存在</w:t>
            </w:r>
            <w:r>
              <w:rPr>
                <w:rFonts w:hint="eastAsia" w:ascii="仿宋" w:hAnsi="仿宋" w:eastAsia="仿宋"/>
                <w:sz w:val="24"/>
                <w:szCs w:val="24"/>
                <w:lang w:eastAsia="zh-CN"/>
              </w:rPr>
              <w:t>缺漏项</w:t>
            </w:r>
            <w:r>
              <w:rPr>
                <w:rFonts w:hint="eastAsia" w:ascii="仿宋" w:hAnsi="仿宋" w:eastAsia="仿宋"/>
                <w:sz w:val="24"/>
                <w:szCs w:val="24"/>
              </w:rPr>
              <w:t>，得</w:t>
            </w:r>
            <w:r>
              <w:rPr>
                <w:rFonts w:hint="eastAsia" w:ascii="仿宋" w:hAnsi="仿宋" w:eastAsia="仿宋"/>
                <w:sz w:val="24"/>
                <w:szCs w:val="24"/>
                <w:lang w:val="en-US" w:eastAsia="zh-CN"/>
              </w:rPr>
              <w:t>1</w:t>
            </w:r>
            <w:r>
              <w:rPr>
                <w:rFonts w:hint="eastAsia" w:ascii="仿宋" w:hAnsi="仿宋" w:eastAsia="仿宋"/>
                <w:sz w:val="24"/>
                <w:szCs w:val="24"/>
              </w:rPr>
              <w:t>分</w:t>
            </w:r>
            <w:r>
              <w:rPr>
                <w:rFonts w:hint="eastAsia" w:ascii="仿宋" w:hAnsi="仿宋" w:eastAsia="仿宋"/>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ascii="仿宋" w:hAnsi="仿宋" w:eastAsia="仿宋"/>
                <w:sz w:val="24"/>
                <w:szCs w:val="24"/>
              </w:rPr>
              <w:t>方案不完整，不具备实施性</w:t>
            </w:r>
            <w:r>
              <w:rPr>
                <w:rFonts w:hint="eastAsia" w:ascii="仿宋" w:hAnsi="仿宋" w:eastAsia="仿宋"/>
                <w:sz w:val="24"/>
                <w:szCs w:val="24"/>
                <w:lang w:eastAsia="zh-CN"/>
              </w:rPr>
              <w:t>或未提供</w:t>
            </w:r>
            <w:r>
              <w:rPr>
                <w:rFonts w:hint="eastAsia" w:ascii="仿宋" w:hAnsi="仿宋" w:eastAsia="仿宋"/>
                <w:sz w:val="24"/>
                <w:szCs w:val="24"/>
              </w:rPr>
              <w:t>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管理水平、技术力量、人员配置</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根据投标人提供的针对本项目的管理、服务、技术人员及其它人员情况进行综合评审：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针对本项目的人员投入合理，人员岗位分工及职责划分明确，人员管理制度完善，得4分；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针对本项目的人员投入较合理，人员岗位分工及职责划分较明确，人员管理制度较完善，得3分；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针对本项目的人员投入及人员管理制度一般，得1分；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未提供的不得分。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注：需提供人员相关证明资料。</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售后服务</w:t>
            </w:r>
            <w:r>
              <w:rPr>
                <w:rFonts w:hint="eastAsia" w:ascii="仿宋" w:hAnsi="仿宋" w:eastAsia="仿宋" w:cs="仿宋"/>
                <w:sz w:val="24"/>
                <w:szCs w:val="24"/>
                <w:lang w:val="en-US" w:eastAsia="zh-CN"/>
              </w:rPr>
              <w:t>及培训方案</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1、根据各投标人提供的售后服务承诺和售后服务方案情况（包括货物出现质量问题时可免费退换；不能及时兑现服务承诺内容而影响买方使用时，卖方应给予的补偿；保修、售后人员配置情况；服务响应时间、到场时间、修复时间、应急处理等售后计划措施等），对其售后服务的专业性、可行性、快捷性、完整性</w:t>
            </w:r>
            <w:r>
              <w:rPr>
                <w:rFonts w:hint="eastAsia" w:ascii="仿宋" w:hAnsi="仿宋" w:eastAsia="仿宋"/>
                <w:sz w:val="24"/>
                <w:szCs w:val="24"/>
              </w:rPr>
              <w:t>等</w:t>
            </w:r>
            <w:r>
              <w:rPr>
                <w:rFonts w:hint="eastAsia" w:ascii="仿宋" w:hAnsi="仿宋" w:eastAsia="仿宋"/>
                <w:sz w:val="24"/>
                <w:szCs w:val="24"/>
                <w:lang w:val="en-US" w:eastAsia="zh-CN"/>
              </w:rPr>
              <w:t>，由评委根据方案描述综合评审。</w:t>
            </w:r>
          </w:p>
          <w:p>
            <w:pPr>
              <w:spacing w:line="280" w:lineRule="exact"/>
              <w:rPr>
                <w:rFonts w:hint="eastAsia" w:ascii="仿宋" w:hAnsi="仿宋" w:eastAsia="仿宋"/>
                <w:sz w:val="24"/>
                <w:szCs w:val="24"/>
              </w:rPr>
            </w:pPr>
            <w:r>
              <w:rPr>
                <w:rFonts w:hint="eastAsia" w:ascii="仿宋" w:hAnsi="仿宋" w:eastAsia="仿宋"/>
                <w:sz w:val="24"/>
                <w:szCs w:val="24"/>
              </w:rPr>
              <w:t>售后服务方案内容详实</w:t>
            </w:r>
            <w:r>
              <w:rPr>
                <w:rFonts w:hint="eastAsia" w:ascii="仿宋" w:hAnsi="仿宋" w:eastAsia="仿宋"/>
                <w:sz w:val="24"/>
                <w:szCs w:val="24"/>
                <w:lang w:eastAsia="zh-CN"/>
              </w:rPr>
              <w:t>，</w:t>
            </w:r>
            <w:r>
              <w:rPr>
                <w:rFonts w:hint="eastAsia" w:ascii="仿宋" w:hAnsi="仿宋" w:eastAsia="仿宋"/>
                <w:sz w:val="24"/>
                <w:szCs w:val="24"/>
              </w:rPr>
              <w:t>描述清晰</w:t>
            </w:r>
            <w:r>
              <w:rPr>
                <w:rFonts w:hint="eastAsia" w:ascii="仿宋" w:hAnsi="仿宋" w:eastAsia="仿宋"/>
                <w:sz w:val="24"/>
                <w:szCs w:val="24"/>
                <w:lang w:eastAsia="zh-CN"/>
              </w:rPr>
              <w:t>，</w:t>
            </w:r>
            <w:r>
              <w:rPr>
                <w:rFonts w:hint="eastAsia" w:ascii="仿宋" w:hAnsi="仿宋" w:eastAsia="仿宋"/>
                <w:sz w:val="24"/>
                <w:szCs w:val="24"/>
              </w:rPr>
              <w:t>具体合理</w:t>
            </w:r>
            <w:r>
              <w:rPr>
                <w:rFonts w:hint="eastAsia" w:ascii="仿宋" w:hAnsi="仿宋" w:eastAsia="仿宋"/>
                <w:sz w:val="24"/>
                <w:szCs w:val="24"/>
                <w:lang w:eastAsia="zh-CN"/>
              </w:rPr>
              <w:t>，</w:t>
            </w:r>
            <w:r>
              <w:rPr>
                <w:rFonts w:hint="eastAsia" w:ascii="仿宋" w:hAnsi="仿宋" w:eastAsia="仿宋"/>
                <w:sz w:val="24"/>
                <w:szCs w:val="24"/>
                <w:lang w:val="en-US" w:eastAsia="zh-CN"/>
              </w:rPr>
              <w:t>针对性强，可操作性强</w:t>
            </w:r>
            <w:r>
              <w:rPr>
                <w:rFonts w:hint="eastAsia" w:ascii="仿宋" w:hAnsi="仿宋" w:eastAsia="仿宋"/>
                <w:sz w:val="24"/>
                <w:szCs w:val="24"/>
              </w:rPr>
              <w:t>，</w:t>
            </w:r>
            <w:r>
              <w:rPr>
                <w:rFonts w:hint="eastAsia" w:ascii="仿宋" w:hAnsi="仿宋" w:eastAsia="仿宋"/>
                <w:sz w:val="24"/>
                <w:szCs w:val="24"/>
                <w:lang w:eastAsia="zh-CN"/>
              </w:rPr>
              <w:t>人员配备齐全合理，</w:t>
            </w:r>
            <w:r>
              <w:rPr>
                <w:rFonts w:hint="eastAsia" w:ascii="仿宋" w:hAnsi="仿宋" w:eastAsia="仿宋"/>
                <w:sz w:val="24"/>
                <w:szCs w:val="24"/>
              </w:rPr>
              <w:t>得</w:t>
            </w:r>
            <w:r>
              <w:rPr>
                <w:rFonts w:hint="eastAsia" w:ascii="仿宋" w:hAnsi="仿宋" w:eastAsia="仿宋"/>
                <w:sz w:val="24"/>
                <w:szCs w:val="24"/>
                <w:lang w:val="en-US" w:eastAsia="zh-CN"/>
              </w:rPr>
              <w:t>5</w:t>
            </w:r>
            <w:r>
              <w:rPr>
                <w:rFonts w:hint="eastAsia" w:ascii="仿宋" w:hAnsi="仿宋" w:eastAsia="仿宋"/>
                <w:sz w:val="24"/>
                <w:szCs w:val="24"/>
              </w:rPr>
              <w:t>分；</w:t>
            </w:r>
          </w:p>
          <w:p>
            <w:pPr>
              <w:spacing w:line="280" w:lineRule="exact"/>
              <w:rPr>
                <w:rFonts w:hint="eastAsia" w:ascii="仿宋" w:hAnsi="仿宋" w:eastAsia="仿宋"/>
                <w:sz w:val="24"/>
                <w:szCs w:val="24"/>
              </w:rPr>
            </w:pPr>
            <w:r>
              <w:rPr>
                <w:rFonts w:hint="eastAsia" w:ascii="仿宋" w:hAnsi="仿宋" w:eastAsia="仿宋"/>
                <w:sz w:val="24"/>
                <w:szCs w:val="24"/>
              </w:rPr>
              <w:t>售后服务方案内容</w:t>
            </w:r>
            <w:r>
              <w:rPr>
                <w:rFonts w:hint="eastAsia" w:ascii="仿宋" w:hAnsi="仿宋" w:eastAsia="仿宋"/>
                <w:sz w:val="24"/>
                <w:szCs w:val="24"/>
                <w:lang w:eastAsia="zh-CN"/>
              </w:rPr>
              <w:t>较详细，</w:t>
            </w:r>
            <w:r>
              <w:rPr>
                <w:rFonts w:hint="eastAsia" w:ascii="仿宋" w:hAnsi="仿宋" w:eastAsia="仿宋"/>
                <w:sz w:val="24"/>
                <w:szCs w:val="24"/>
              </w:rPr>
              <w:t>描述较清晰</w:t>
            </w:r>
            <w:r>
              <w:rPr>
                <w:rFonts w:hint="eastAsia" w:ascii="仿宋" w:hAnsi="仿宋" w:eastAsia="仿宋"/>
                <w:sz w:val="24"/>
                <w:szCs w:val="24"/>
                <w:lang w:val="en-US" w:eastAsia="zh-CN"/>
              </w:rPr>
              <w:t>，针对性、可操作性较强，</w:t>
            </w:r>
            <w:r>
              <w:rPr>
                <w:rFonts w:hint="eastAsia" w:ascii="仿宋" w:hAnsi="仿宋" w:eastAsia="仿宋"/>
                <w:sz w:val="24"/>
                <w:szCs w:val="24"/>
                <w:lang w:eastAsia="zh-CN"/>
              </w:rPr>
              <w:t>人员配备较合理，</w:t>
            </w:r>
            <w:r>
              <w:rPr>
                <w:rFonts w:hint="eastAsia" w:ascii="仿宋" w:hAnsi="仿宋" w:eastAsia="仿宋"/>
                <w:sz w:val="24"/>
                <w:szCs w:val="24"/>
              </w:rPr>
              <w:t>得</w:t>
            </w:r>
            <w:r>
              <w:rPr>
                <w:rFonts w:hint="eastAsia" w:ascii="仿宋" w:hAnsi="仿宋" w:eastAsia="仿宋"/>
                <w:sz w:val="24"/>
                <w:szCs w:val="24"/>
                <w:lang w:val="en-US" w:eastAsia="zh-CN"/>
              </w:rPr>
              <w:t>3</w:t>
            </w:r>
            <w:r>
              <w:rPr>
                <w:rFonts w:hint="eastAsia" w:ascii="仿宋" w:hAnsi="仿宋" w:eastAsia="仿宋"/>
                <w:sz w:val="24"/>
                <w:szCs w:val="24"/>
              </w:rPr>
              <w:t>分；</w:t>
            </w:r>
          </w:p>
          <w:p>
            <w:pPr>
              <w:spacing w:line="280" w:lineRule="exact"/>
              <w:rPr>
                <w:rFonts w:hint="default" w:ascii="仿宋" w:hAnsi="仿宋" w:eastAsia="仿宋"/>
                <w:sz w:val="24"/>
                <w:szCs w:val="24"/>
                <w:lang w:val="en-US" w:eastAsia="zh-CN"/>
              </w:rPr>
            </w:pPr>
            <w:r>
              <w:rPr>
                <w:rFonts w:hint="eastAsia" w:ascii="仿宋" w:hAnsi="仿宋" w:eastAsia="仿宋"/>
                <w:sz w:val="24"/>
                <w:szCs w:val="24"/>
              </w:rPr>
              <w:t>售后服务方案内容</w:t>
            </w:r>
            <w:r>
              <w:rPr>
                <w:rFonts w:hint="eastAsia" w:ascii="仿宋" w:hAnsi="仿宋" w:eastAsia="仿宋"/>
                <w:sz w:val="24"/>
                <w:szCs w:val="24"/>
                <w:lang w:eastAsia="zh-CN"/>
              </w:rPr>
              <w:t>一般，</w:t>
            </w:r>
            <w:r>
              <w:rPr>
                <w:rFonts w:hint="eastAsia" w:ascii="仿宋" w:hAnsi="仿宋" w:eastAsia="仿宋"/>
                <w:sz w:val="24"/>
                <w:szCs w:val="24"/>
              </w:rPr>
              <w:t>描述基本清晰</w:t>
            </w:r>
            <w:r>
              <w:rPr>
                <w:rFonts w:hint="eastAsia" w:ascii="仿宋" w:hAnsi="仿宋" w:eastAsia="仿宋"/>
                <w:sz w:val="24"/>
                <w:szCs w:val="24"/>
                <w:lang w:val="en-US" w:eastAsia="zh-CN"/>
              </w:rPr>
              <w:t>，</w:t>
            </w:r>
            <w:r>
              <w:rPr>
                <w:rFonts w:hint="eastAsia" w:ascii="仿宋" w:hAnsi="仿宋" w:eastAsia="仿宋"/>
                <w:sz w:val="24"/>
                <w:szCs w:val="24"/>
                <w:lang w:eastAsia="zh-CN"/>
              </w:rPr>
              <w:t>虽存在部分内容表述不清但无实质性影响，得</w:t>
            </w:r>
            <w:r>
              <w:rPr>
                <w:rFonts w:hint="eastAsia" w:ascii="仿宋" w:hAnsi="仿宋" w:eastAsia="仿宋"/>
                <w:sz w:val="24"/>
                <w:szCs w:val="24"/>
                <w:lang w:val="en-US" w:eastAsia="zh-CN"/>
              </w:rPr>
              <w:t>1分；</w:t>
            </w:r>
          </w:p>
          <w:p>
            <w:pPr>
              <w:spacing w:line="280" w:lineRule="exact"/>
              <w:rPr>
                <w:rFonts w:hint="eastAsia" w:ascii="仿宋" w:hAnsi="仿宋" w:eastAsia="仿宋"/>
                <w:sz w:val="24"/>
                <w:szCs w:val="24"/>
              </w:rPr>
            </w:pPr>
            <w:r>
              <w:rPr>
                <w:rFonts w:hint="eastAsia" w:ascii="仿宋" w:hAnsi="仿宋" w:eastAsia="仿宋"/>
                <w:sz w:val="24"/>
                <w:szCs w:val="24"/>
              </w:rPr>
              <w:t>方案不完整，不具备实施性</w:t>
            </w:r>
            <w:r>
              <w:rPr>
                <w:rFonts w:hint="eastAsia" w:ascii="仿宋" w:hAnsi="仿宋" w:eastAsia="仿宋"/>
                <w:sz w:val="24"/>
                <w:szCs w:val="24"/>
                <w:lang w:eastAsia="zh-CN"/>
              </w:rPr>
              <w:t>或未提供</w:t>
            </w:r>
            <w:r>
              <w:rPr>
                <w:rFonts w:hint="eastAsia" w:ascii="仿宋" w:hAnsi="仿宋" w:eastAsia="仿宋"/>
                <w:sz w:val="24"/>
                <w:szCs w:val="24"/>
              </w:rPr>
              <w:t>的不得分。</w:t>
            </w:r>
          </w:p>
          <w:p>
            <w:pPr>
              <w:spacing w:line="2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供货方能保证用户单位完全掌握</w:t>
            </w:r>
            <w:r>
              <w:rPr>
                <w:rFonts w:hint="eastAsia" w:ascii="仿宋" w:hAnsi="仿宋" w:eastAsia="仿宋" w:cs="仿宋"/>
                <w:sz w:val="24"/>
                <w:szCs w:val="24"/>
                <w:lang w:eastAsia="zh-CN"/>
              </w:rPr>
              <w:t>材料</w:t>
            </w:r>
            <w:r>
              <w:rPr>
                <w:rFonts w:hint="eastAsia" w:ascii="仿宋" w:hAnsi="仿宋" w:eastAsia="仿宋" w:cs="仿宋"/>
                <w:sz w:val="24"/>
                <w:szCs w:val="24"/>
              </w:rPr>
              <w:t>正常使用和基础维护，</w:t>
            </w:r>
            <w:r>
              <w:rPr>
                <w:rFonts w:hint="eastAsia" w:ascii="仿宋" w:hAnsi="仿宋" w:eastAsia="仿宋" w:cs="仿宋"/>
                <w:color w:val="000000"/>
                <w:sz w:val="24"/>
              </w:rPr>
              <w:t>为用户提供材料的使用说明书、日常维护和相关知识的应用培训</w:t>
            </w:r>
            <w:r>
              <w:rPr>
                <w:rFonts w:hint="eastAsia" w:ascii="仿宋" w:hAnsi="仿宋" w:eastAsia="仿宋" w:cs="仿宋"/>
                <w:color w:val="000000"/>
                <w:sz w:val="24"/>
                <w:lang w:eastAsia="zh-CN"/>
              </w:rPr>
              <w:t>，</w:t>
            </w:r>
            <w:r>
              <w:rPr>
                <w:rFonts w:hint="eastAsia" w:ascii="仿宋" w:hAnsi="仿宋" w:eastAsia="仿宋" w:cs="仿宋"/>
                <w:sz w:val="24"/>
                <w:szCs w:val="24"/>
              </w:rPr>
              <w:t>有完整的培训计划，充分满足用户要求，</w:t>
            </w:r>
            <w:r>
              <w:rPr>
                <w:rFonts w:hint="eastAsia" w:ascii="仿宋" w:hAnsi="仿宋" w:eastAsia="仿宋" w:cs="仿宋"/>
                <w:sz w:val="24"/>
                <w:szCs w:val="24"/>
                <w:lang w:eastAsia="zh-CN"/>
              </w:rPr>
              <w:t>方案</w:t>
            </w:r>
            <w:r>
              <w:rPr>
                <w:rFonts w:hint="eastAsia" w:ascii="仿宋" w:hAnsi="仿宋" w:eastAsia="仿宋" w:cs="仿宋"/>
                <w:sz w:val="24"/>
                <w:szCs w:val="24"/>
              </w:rPr>
              <w:t>完备合理</w:t>
            </w:r>
            <w:r>
              <w:rPr>
                <w:rFonts w:hint="eastAsia" w:ascii="仿宋" w:hAnsi="仿宋" w:eastAsia="仿宋" w:cs="仿宋"/>
                <w:sz w:val="24"/>
                <w:szCs w:val="24"/>
                <w:lang w:eastAsia="zh-CN"/>
              </w:rPr>
              <w:t>，描述清晰，可操作性强，</w:t>
            </w:r>
            <w:r>
              <w:rPr>
                <w:rFonts w:hint="eastAsia" w:ascii="仿宋" w:hAnsi="仿宋" w:eastAsia="仿宋" w:cs="仿宋"/>
                <w:sz w:val="24"/>
                <w:szCs w:val="24"/>
              </w:rPr>
              <w:t>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pPr>
              <w:spacing w:line="280" w:lineRule="exact"/>
              <w:rPr>
                <w:rFonts w:hint="eastAsia" w:ascii="仿宋" w:hAnsi="仿宋" w:eastAsia="仿宋"/>
                <w:sz w:val="24"/>
                <w:szCs w:val="24"/>
              </w:rPr>
            </w:pPr>
            <w:r>
              <w:rPr>
                <w:rFonts w:hint="eastAsia" w:ascii="仿宋" w:hAnsi="仿宋" w:eastAsia="仿宋" w:cs="仿宋"/>
                <w:sz w:val="24"/>
                <w:szCs w:val="24"/>
                <w:lang w:eastAsia="zh-CN"/>
              </w:rPr>
              <w:t>方案较完整，</w:t>
            </w:r>
            <w:r>
              <w:rPr>
                <w:rFonts w:hint="eastAsia" w:ascii="仿宋" w:hAnsi="仿宋" w:eastAsia="仿宋"/>
                <w:sz w:val="24"/>
                <w:szCs w:val="24"/>
                <w:lang w:eastAsia="zh-CN"/>
              </w:rPr>
              <w:t>虽存在部分内容表述不清但无实质性影响，</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spacing w:line="280" w:lineRule="exact"/>
              <w:rPr>
                <w:rFonts w:hint="eastAsia"/>
                <w:lang w:val="en-US" w:eastAsia="zh-CN"/>
              </w:rPr>
            </w:pPr>
            <w:r>
              <w:rPr>
                <w:rFonts w:hint="eastAsia" w:ascii="仿宋" w:hAnsi="仿宋" w:eastAsia="仿宋"/>
                <w:sz w:val="24"/>
                <w:szCs w:val="24"/>
                <w:lang w:eastAsia="zh-CN"/>
              </w:rPr>
              <w:t>方案简单，存在缺漏项或未提供的不得分。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优惠方案</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提供附加优惠方案（如赠送试剂、</w:t>
            </w:r>
            <w:r>
              <w:rPr>
                <w:rFonts w:hint="eastAsia" w:ascii="仿宋" w:hAnsi="仿宋" w:eastAsia="仿宋"/>
                <w:color w:val="auto"/>
                <w:sz w:val="24"/>
                <w:szCs w:val="24"/>
                <w:highlight w:val="none"/>
                <w:lang w:val="en-US" w:eastAsia="zh-CN"/>
              </w:rPr>
              <w:t>耗材试用装等</w:t>
            </w:r>
            <w:r>
              <w:rPr>
                <w:rFonts w:hint="eastAsia" w:ascii="仿宋" w:hAnsi="仿宋" w:eastAsia="仿宋"/>
                <w:sz w:val="24"/>
                <w:szCs w:val="24"/>
                <w:highlight w:val="none"/>
                <w:lang w:val="en-US" w:eastAsia="zh-CN"/>
              </w:rPr>
              <w:t>）的每提供一项得2分，满分6分。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6分</w:t>
            </w:r>
          </w:p>
        </w:tc>
      </w:tr>
    </w:tbl>
    <w:p>
      <w:pPr>
        <w:pStyle w:val="2"/>
        <w:numPr>
          <w:ilvl w:val="0"/>
          <w:numId w:val="0"/>
        </w:numPr>
        <w:jc w:val="center"/>
        <w:rPr>
          <w:rFonts w:hint="default" w:cs="仿宋"/>
          <w:szCs w:val="32"/>
          <w:lang w:val="en-US" w:eastAsia="zh-CN"/>
        </w:rPr>
      </w:pPr>
      <w:bookmarkStart w:id="13" w:name="_Toc20898"/>
      <w:r>
        <w:rPr>
          <w:rFonts w:hint="eastAsia" w:cs="仿宋"/>
          <w:szCs w:val="32"/>
          <w:lang w:val="en-US" w:eastAsia="zh-CN"/>
        </w:rPr>
        <w:t xml:space="preserve">第四章  </w:t>
      </w:r>
      <w:r>
        <w:rPr>
          <w:rFonts w:hint="eastAsia" w:cs="仿宋"/>
          <w:szCs w:val="32"/>
        </w:rPr>
        <w:t>采购需求</w:t>
      </w:r>
      <w:bookmarkEnd w:id="13"/>
      <w:r>
        <w:rPr>
          <w:rFonts w:hint="eastAsia" w:cs="仿宋"/>
          <w:szCs w:val="32"/>
          <w:lang w:val="en-US" w:eastAsia="zh-CN"/>
        </w:rPr>
        <w:t xml:space="preserve">                                                             </w:t>
      </w:r>
      <w:bookmarkStart w:id="14" w:name="_Toc6343"/>
      <w:r>
        <w:rPr>
          <w:rFonts w:hint="eastAsia" w:cs="仿宋"/>
          <w:szCs w:val="32"/>
          <w:lang w:val="en-US" w:eastAsia="zh-CN"/>
        </w:rPr>
        <w:t>第一包</w:t>
      </w:r>
    </w:p>
    <w:p>
      <w:pPr>
        <w:pStyle w:val="2"/>
        <w:numPr>
          <w:ilvl w:val="0"/>
          <w:numId w:val="0"/>
        </w:numPr>
        <w:jc w:val="center"/>
        <w:rPr>
          <w:rFonts w:hint="eastAsia" w:cs="仿宋"/>
          <w:szCs w:val="32"/>
        </w:rPr>
      </w:pPr>
      <w:r>
        <w:rPr>
          <w:rFonts w:hint="eastAsia" w:cs="仿宋"/>
          <w:szCs w:val="32"/>
          <w:lang w:val="en-US" w:eastAsia="zh-CN"/>
        </w:rPr>
        <w:t>试剂</w:t>
      </w:r>
      <w:r>
        <w:rPr>
          <w:rFonts w:hint="eastAsia" w:cs="仿宋"/>
          <w:b w:val="0"/>
          <w:bCs/>
          <w:sz w:val="22"/>
          <w:szCs w:val="22"/>
          <w:lang w:val="en-US" w:eastAsia="zh-CN"/>
        </w:rPr>
        <w:t xml:space="preserve"> </w:t>
      </w:r>
      <w:r>
        <w:rPr>
          <w:rFonts w:hint="eastAsia" w:cs="仿宋"/>
          <w:szCs w:val="32"/>
          <w:lang w:val="en-US" w:eastAsia="zh-CN"/>
        </w:rPr>
        <w:t xml:space="preserve"> </w:t>
      </w:r>
      <w:r>
        <w:rPr>
          <w:rFonts w:hint="eastAsia" w:cs="仿宋"/>
          <w:b w:val="0"/>
          <w:bCs/>
          <w:sz w:val="22"/>
          <w:szCs w:val="22"/>
          <w:lang w:val="en-US" w:eastAsia="zh-CN"/>
        </w:rPr>
        <w:t xml:space="preserve">                  </w:t>
      </w:r>
    </w:p>
    <w:tbl>
      <w:tblPr>
        <w:tblStyle w:val="60"/>
        <w:tblW w:w="9058" w:type="dxa"/>
        <w:jc w:val="center"/>
        <w:shd w:val="clear" w:color="auto" w:fill="auto"/>
        <w:tblLayout w:type="fixed"/>
        <w:tblCellMar>
          <w:top w:w="0" w:type="dxa"/>
          <w:left w:w="0" w:type="dxa"/>
          <w:bottom w:w="0" w:type="dxa"/>
          <w:right w:w="0" w:type="dxa"/>
        </w:tblCellMar>
      </w:tblPr>
      <w:tblGrid>
        <w:gridCol w:w="828"/>
        <w:gridCol w:w="5882"/>
        <w:gridCol w:w="2348"/>
      </w:tblGrid>
      <w:tr>
        <w:tblPrEx>
          <w:shd w:val="clear" w:color="auto" w:fill="auto"/>
          <w:tblCellMar>
            <w:top w:w="0" w:type="dxa"/>
            <w:left w:w="0" w:type="dxa"/>
            <w:bottom w:w="0" w:type="dxa"/>
            <w:right w:w="0" w:type="dxa"/>
          </w:tblCellMar>
        </w:tblPrEx>
        <w:trPr>
          <w:trHeight w:val="27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82"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348"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硼酸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溴甲酚绿</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乙腈（分析）</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咪唑</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三苯基膦</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N,N-二甲基甲酰胺</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盐酸多巴胺</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HCL缓冲液</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金标乙腈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金标甲醇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无水硫酸镁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六水合硝酸钴</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2-甲基咪唑</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对苯二甲酸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135苯三甲酸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乙醇胺</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单层氨基化Ti3C2</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正庚烷（色谱纯）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谷氨酸钠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无水碳酸钠（分析）</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N,N-二甲基乙酰胺</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金标乙腈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金标甲醇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正庚烷（色谱纯）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色谱乙腈（金标）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分析纯乙酸乙酯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分析纯正己烷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95%酒精</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吐温20</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分析乙腈</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色谱乙腈（金标）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色谱甲醇（金标）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硫酸亚铁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液体石蜡</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甲基红</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溴甲酚绿</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硼酸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草酸铵</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镁条</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硫酸亚铁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优级无水乙醇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腌菜盐</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淀粉</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连二亚硫酸钠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奎林试剂</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二乙烯三胺五乙酸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邻菲罗啉</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柠檬酸钠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诺顿软化盐</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50袋</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0.2%盐酸副玫瑰苯胺溶液</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焦磷酸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高纯铁粉（&gt;99.8%)</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锡粉</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草酸钾（AR）</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酚酞(AR）</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甲醛溶液（37%-40%）</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纯铁助溶剂C型</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锡粉</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乙酰丙酮</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碳酸氢钠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铬酸钾</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氯化钡</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萘酚绿B</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酸性铬蓝K</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氯化铵</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氨水</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钙指示剂[2-羟基-1（2-羟基-4-磺酸-1-萘偶氮基）-3-萘甲酸]</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丙三醇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87</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氧化镁</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88</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乙酸钙</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89</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乙酸铵</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氯化锶</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91</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六偏磷酸钠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变色硅胶</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3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甲醇（金标）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96</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乙腈（分析）</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97</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无水氯化钙</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海藻酸钠</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99</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中性蛋白酶</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101</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壳聚糖</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102</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103</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石油醚</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104</w:t>
            </w:r>
          </w:p>
        </w:tc>
        <w:tc>
          <w:tcPr>
            <w:tcW w:w="5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95%乙醇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2桶</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二氯甲烷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108</w:t>
            </w:r>
          </w:p>
        </w:tc>
        <w:tc>
          <w:tcPr>
            <w:tcW w:w="58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无水乙醇</w:t>
            </w:r>
          </w:p>
        </w:tc>
        <w:tc>
          <w:tcPr>
            <w:tcW w:w="234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109</w:t>
            </w:r>
          </w:p>
        </w:tc>
        <w:tc>
          <w:tcPr>
            <w:tcW w:w="58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乙腈分析纯</w:t>
            </w:r>
          </w:p>
        </w:tc>
        <w:tc>
          <w:tcPr>
            <w:tcW w:w="2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2箱</w:t>
            </w:r>
          </w:p>
        </w:tc>
      </w:tr>
      <w:tr>
        <w:tblPrEx>
          <w:shd w:val="clear" w:color="auto" w:fill="auto"/>
          <w:tblCellMar>
            <w:top w:w="0" w:type="dxa"/>
            <w:left w:w="0" w:type="dxa"/>
            <w:bottom w:w="0" w:type="dxa"/>
            <w:right w:w="0" w:type="dxa"/>
          </w:tblCellMar>
        </w:tblPrEx>
        <w:trPr>
          <w:trHeight w:val="648" w:hRule="atLeast"/>
          <w:jc w:val="center"/>
        </w:trPr>
        <w:tc>
          <w:tcPr>
            <w:tcW w:w="9058" w:type="dxa"/>
            <w:gridSpan w:val="3"/>
            <w:tcBorders>
              <w:top w:val="single" w:color="auto" w:sz="4" w:space="0"/>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tbl>
            <w:tblPr>
              <w:tblStyle w:val="60"/>
              <w:tblW w:w="9382" w:type="dxa"/>
              <w:tblInd w:w="0" w:type="dxa"/>
              <w:shd w:val="clear" w:color="auto" w:fill="auto"/>
              <w:tblLayout w:type="fixed"/>
              <w:tblCellMar>
                <w:top w:w="0" w:type="dxa"/>
                <w:left w:w="0" w:type="dxa"/>
                <w:bottom w:w="0" w:type="dxa"/>
                <w:right w:w="0" w:type="dxa"/>
              </w:tblCellMar>
            </w:tblPr>
            <w:tblGrid>
              <w:gridCol w:w="15"/>
              <w:gridCol w:w="505"/>
              <w:gridCol w:w="5950"/>
              <w:gridCol w:w="2912"/>
            </w:tblGrid>
            <w:tr>
              <w:tblPrEx>
                <w:shd w:val="clear" w:color="auto" w:fill="auto"/>
                <w:tblCellMar>
                  <w:top w:w="0" w:type="dxa"/>
                  <w:left w:w="0" w:type="dxa"/>
                  <w:bottom w:w="0" w:type="dxa"/>
                  <w:right w:w="0" w:type="dxa"/>
                </w:tblCellMar>
              </w:tblPrEx>
              <w:trPr>
                <w:gridBefore w:val="1"/>
                <w:wBefore w:w="15" w:type="dxa"/>
                <w:trHeight w:val="957" w:hRule="atLeast"/>
              </w:trPr>
              <w:tc>
                <w:tcPr>
                  <w:tcW w:w="9367" w:type="dxa"/>
                  <w:gridSpan w:val="3"/>
                  <w:tcBorders>
                    <w:top w:val="single" w:color="auto" w:sz="4" w:space="0"/>
                    <w:left w:val="nil"/>
                    <w:bottom w:val="single" w:color="auto" w:sz="4" w:space="0"/>
                    <w:right w:val="nil"/>
                  </w:tcBorders>
                  <w:shd w:val="clear" w:color="auto" w:fill="auto"/>
                  <w:noWrap/>
                  <w:tcMar>
                    <w:top w:w="15" w:type="dxa"/>
                    <w:left w:w="15" w:type="dxa"/>
                    <w:right w:w="15" w:type="dxa"/>
                  </w:tcMar>
                  <w:vAlign w:val="center"/>
                </w:tcPr>
                <w:p>
                  <w:pPr>
                    <w:pStyle w:val="2"/>
                    <w:numPr>
                      <w:ilvl w:val="0"/>
                      <w:numId w:val="0"/>
                    </w:numPr>
                    <w:jc w:val="center"/>
                    <w:rPr>
                      <w:rFonts w:hint="default" w:ascii="宋体" w:hAnsi="宋体" w:cs="宋体"/>
                      <w:i w:val="0"/>
                      <w:color w:val="000000"/>
                      <w:kern w:val="0"/>
                      <w:sz w:val="22"/>
                      <w:szCs w:val="22"/>
                      <w:u w:val="none"/>
                      <w:lang w:val="en-US" w:eastAsia="zh-CN" w:bidi="ar"/>
                    </w:rPr>
                  </w:pPr>
                  <w:r>
                    <w:rPr>
                      <w:rFonts w:hint="eastAsia" w:cs="仿宋"/>
                      <w:szCs w:val="32"/>
                      <w:lang w:val="en-US" w:eastAsia="zh-CN"/>
                    </w:rPr>
                    <w:t xml:space="preserve">耗材  </w:t>
                  </w:r>
                </w:p>
              </w:tc>
            </w:tr>
            <w:tr>
              <w:tblPrEx>
                <w:shd w:val="clear" w:color="auto" w:fill="auto"/>
                <w:tblCellMar>
                  <w:top w:w="0" w:type="dxa"/>
                  <w:left w:w="0" w:type="dxa"/>
                  <w:bottom w:w="0" w:type="dxa"/>
                  <w:right w:w="0" w:type="dxa"/>
                </w:tblCellMar>
              </w:tblPrEx>
              <w:trPr>
                <w:gridAfter w:val="1"/>
                <w:wAfter w:w="2912" w:type="dxa"/>
                <w:trHeight w:val="270" w:hRule="atLeast"/>
              </w:trPr>
              <w:tc>
                <w:tcPr>
                  <w:tcW w:w="5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5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离心管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gridBefore w:val="1"/>
                <w:wBefore w:w="15" w:type="dxa"/>
                <w:trHeight w:val="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刷子中</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刷子小</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弯钩漏斗</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一次性注射器</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3箱</w:t>
                  </w:r>
                </w:p>
              </w:tc>
            </w:tr>
            <w:tr>
              <w:tblPrEx>
                <w:shd w:val="clear" w:color="auto" w:fill="auto"/>
                <w:tblCellMar>
                  <w:top w:w="0" w:type="dxa"/>
                  <w:left w:w="0" w:type="dxa"/>
                  <w:bottom w:w="0" w:type="dxa"/>
                  <w:right w:w="0" w:type="dxa"/>
                </w:tblCellMar>
              </w:tblPrEx>
              <w:trPr>
                <w:gridBefore w:val="1"/>
                <w:wBefore w:w="15" w:type="dxa"/>
                <w:trHeight w:val="33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1ml枪尖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5包</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200uL枪尖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5包</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精密酒精计（0.1%）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附温比重瓶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30套</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硅胶管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硬质试管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铁丝笼（内有若干小格，每格可插一个试管）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三角瓶（广口瓶）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钠灯</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铝盒</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水桶金属</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50ml碱式滴定管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筛子盖子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筛子底盘</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G4坩埚</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塑料烧杯</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双圈定性滤纸</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双圈定量15</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双圈定量9</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一次性塑料滴管5ml</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一次性塑料滴管10ml</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100ml具塞塑料瓶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250ml具塞塑料瓶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500ml具塞塑料瓶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800个</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铁架台</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单沸式蒸馏装置（测醋不挥发酸）</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10目筛子（尼龙）</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3套</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100目筛子（尼龙）</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3套</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塑料铲子</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碳硫分析仪样品杯</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1000个</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双圈定量滤纸（慢速）</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塑料盆</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1.5离心管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50离心管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比色管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封口膜</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10包</w:t>
                  </w:r>
                </w:p>
              </w:tc>
            </w:tr>
            <w:tr>
              <w:tblPrEx>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1.5ml离心管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2包</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玻璃梨型分液漏斗5000ml</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四氟挥发油提取器</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全玻蒸馏器</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密度瓶附温度计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滴定管棕</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滴定管棕</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滴定管棕</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三角瓶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大肚移液管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大肚移液管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大肚移液管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刻度移液管</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量筒</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容量瓶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容量瓶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容量瓶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容量瓶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瓷蒸发皿</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洗瓶</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500ml量筒</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1ml带滤芯的枪尖</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无菌平皿</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15箱</w:t>
                  </w:r>
                </w:p>
              </w:tc>
            </w:tr>
          </w:tbl>
          <w:p>
            <w:pPr>
              <w:pStyle w:val="71"/>
              <w:rPr>
                <w:rFonts w:hint="eastAsia"/>
              </w:rPr>
            </w:pPr>
          </w:p>
          <w:p>
            <w:pPr>
              <w:pStyle w:val="71"/>
              <w:rPr>
                <w:rFonts w:hint="eastAsia"/>
              </w:rPr>
            </w:pPr>
          </w:p>
          <w:p>
            <w:pPr>
              <w:pStyle w:val="71"/>
              <w:rPr>
                <w:rFonts w:hint="eastAsia"/>
              </w:rPr>
            </w:pPr>
          </w:p>
          <w:tbl>
            <w:tblPr>
              <w:tblStyle w:val="60"/>
              <w:tblW w:w="7476" w:type="dxa"/>
              <w:jc w:val="center"/>
              <w:shd w:val="clear" w:color="auto" w:fill="auto"/>
              <w:tblLayout w:type="fixed"/>
              <w:tblCellMar>
                <w:top w:w="0" w:type="dxa"/>
                <w:left w:w="0" w:type="dxa"/>
                <w:bottom w:w="0" w:type="dxa"/>
                <w:right w:w="0" w:type="dxa"/>
              </w:tblCellMar>
            </w:tblPr>
            <w:tblGrid>
              <w:gridCol w:w="812"/>
              <w:gridCol w:w="5334"/>
              <w:gridCol w:w="1330"/>
            </w:tblGrid>
            <w:tr>
              <w:tblPrEx>
                <w:tblCellMar>
                  <w:top w:w="0" w:type="dxa"/>
                  <w:left w:w="0" w:type="dxa"/>
                  <w:bottom w:w="0" w:type="dxa"/>
                  <w:right w:w="0" w:type="dxa"/>
                </w:tblCellMar>
              </w:tblPrEx>
              <w:trPr>
                <w:trHeight w:val="270" w:hRule="atLeast"/>
                <w:jc w:val="center"/>
              </w:trPr>
              <w:tc>
                <w:tcPr>
                  <w:tcW w:w="7476" w:type="dxa"/>
                  <w:gridSpan w:val="3"/>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pStyle w:val="2"/>
                    <w:numPr>
                      <w:ilvl w:val="0"/>
                      <w:numId w:val="0"/>
                    </w:numPr>
                    <w:jc w:val="center"/>
                    <w:rPr>
                      <w:rFonts w:hint="default" w:cs="仿宋"/>
                      <w:szCs w:val="32"/>
                      <w:lang w:val="en-US" w:eastAsia="zh-CN"/>
                    </w:rPr>
                  </w:pPr>
                  <w:r>
                    <w:rPr>
                      <w:rFonts w:hint="eastAsia" w:cs="仿宋"/>
                      <w:szCs w:val="32"/>
                      <w:lang w:val="en-US" w:eastAsia="zh-CN"/>
                    </w:rPr>
                    <w:t xml:space="preserve">（危化品） </w:t>
                  </w:r>
                </w:p>
                <w:p>
                  <w:pPr>
                    <w:pStyle w:val="2"/>
                    <w:numPr>
                      <w:ilvl w:val="0"/>
                      <w:numId w:val="0"/>
                    </w:numPr>
                    <w:jc w:val="center"/>
                    <w:rPr>
                      <w:rFonts w:hint="default" w:ascii="宋体" w:hAnsi="宋体" w:eastAsia="宋体" w:cs="宋体"/>
                      <w:b/>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334"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33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默克硝酸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分析硝酸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硼氢化钾</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盐酸（分析纯）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20瓶</w:t>
                  </w:r>
                </w:p>
              </w:tc>
            </w:tr>
            <w:tr>
              <w:tblPrEx>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三氯甲烷（分析纯）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20瓶</w:t>
                  </w:r>
                </w:p>
              </w:tc>
            </w:tr>
            <w:tr>
              <w:tblPrEx>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20瓶</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硝酸（默克）</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16瓶</w:t>
                  </w:r>
                </w:p>
              </w:tc>
            </w:tr>
            <w:tr>
              <w:tblPrEx>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硝酸（分析纯）</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12瓶</w:t>
                  </w:r>
                </w:p>
              </w:tc>
            </w:tr>
            <w:tr>
              <w:tblPrEx>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过氧化氢</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6瓶</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无水乙醚</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10桶</w:t>
                  </w:r>
                </w:p>
              </w:tc>
            </w:tr>
          </w:tbl>
          <w:p>
            <w:pPr>
              <w:pStyle w:val="71"/>
              <w:rPr>
                <w:rFonts w:hint="eastAsi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r>
              <w:rPr>
                <w:rFonts w:hint="eastAsia" w:ascii="仿宋" w:hAnsi="仿宋" w:eastAsia="仿宋" w:cs="仿宋"/>
                <w:b/>
                <w:kern w:val="44"/>
                <w:sz w:val="32"/>
                <w:szCs w:val="32"/>
                <w:lang w:val="en-US" w:eastAsia="zh-CN" w:bidi="ar-SA"/>
              </w:rPr>
              <w:t xml:space="preserve">第二包  </w:t>
            </w:r>
          </w:p>
          <w:p>
            <w:pPr>
              <w:keepNext w:val="0"/>
              <w:keepLines w:val="0"/>
              <w:widowControl/>
              <w:suppressLineNumbers w:val="0"/>
              <w:jc w:val="center"/>
              <w:textAlignment w:val="bottom"/>
              <w:rPr>
                <w:rFonts w:hint="default" w:ascii="仿宋" w:hAnsi="仿宋" w:eastAsia="仿宋" w:cs="仿宋"/>
                <w:b/>
                <w:kern w:val="44"/>
                <w:sz w:val="32"/>
                <w:szCs w:val="32"/>
                <w:lang w:val="en-US" w:eastAsia="zh-CN" w:bidi="ar-SA"/>
              </w:rPr>
            </w:pPr>
            <w:r>
              <w:rPr>
                <w:rFonts w:hint="eastAsia" w:ascii="仿宋" w:hAnsi="仿宋" w:eastAsia="仿宋" w:cs="仿宋"/>
                <w:b/>
                <w:kern w:val="44"/>
                <w:sz w:val="32"/>
                <w:szCs w:val="32"/>
                <w:lang w:val="en-US" w:eastAsia="zh-CN" w:bidi="ar-SA"/>
              </w:rPr>
              <w:t>试剂</w:t>
            </w:r>
          </w:p>
          <w:p>
            <w:pPr>
              <w:keepNext w:val="0"/>
              <w:keepLines w:val="0"/>
              <w:widowControl/>
              <w:suppressLineNumbers w:val="0"/>
              <w:jc w:val="center"/>
              <w:textAlignment w:val="bottom"/>
              <w:rPr>
                <w:rFonts w:hint="default" w:ascii="仿宋" w:hAnsi="仿宋" w:eastAsia="仿宋" w:cs="仿宋"/>
                <w:b/>
                <w:kern w:val="44"/>
                <w:sz w:val="32"/>
                <w:szCs w:val="32"/>
                <w:lang w:val="en-US" w:eastAsia="zh-CN" w:bidi="ar-SA"/>
              </w:rPr>
            </w:pPr>
          </w:p>
        </w:tc>
      </w:tr>
      <w:tr>
        <w:tblPrEx>
          <w:shd w:val="clear" w:color="auto" w:fill="auto"/>
          <w:tblCellMar>
            <w:top w:w="0" w:type="dxa"/>
            <w:left w:w="0" w:type="dxa"/>
            <w:bottom w:w="0" w:type="dxa"/>
            <w:right w:w="0" w:type="dxa"/>
          </w:tblCellMar>
        </w:tblPrEx>
        <w:trPr>
          <w:trHeight w:val="27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82"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348"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拉曼光谱增强试剂</w:t>
            </w:r>
          </w:p>
        </w:tc>
        <w:tc>
          <w:tcPr>
            <w:tcW w:w="23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8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3-氨丙基三乙氧基硅烷</w:t>
            </w:r>
          </w:p>
        </w:tc>
        <w:tc>
          <w:tcPr>
            <w:tcW w:w="234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3-丙基三甲氧基硅烷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乙二醇二甲基丙烯酸酯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丹磺酰氯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9-芴基甲基三氯甲烷（FMOC-CI)</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36%甲醛溶液（优级，不含有聚合物）</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亚铁氰化钾（优级）</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次氯酸钠（优级）</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硫酸亚铁（优级）</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淀粉（优级）</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5-二十烷基间苯二酚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5-二十五烷基间苯二酚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5-二十一烷基间苯二酚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木犀草素200mg</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圣草酚100mg</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十九烷酸甲酯</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甜菜碱</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2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柱层层析硅胶</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pPr>
        <w:pStyle w:val="16"/>
        <w:ind w:left="0" w:leftChars="0" w:firstLine="0" w:firstLineChars="0"/>
        <w:jc w:val="both"/>
        <w:rPr>
          <w:rFonts w:hint="eastAsia" w:ascii="仿宋" w:hAnsi="仿宋" w:eastAsia="仿宋" w:cs="仿宋"/>
          <w:b/>
          <w:bCs/>
          <w:color w:val="auto"/>
          <w:sz w:val="30"/>
          <w:szCs w:val="30"/>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tbl>
      <w:tblPr>
        <w:tblStyle w:val="60"/>
        <w:tblW w:w="9510" w:type="dxa"/>
        <w:tblInd w:w="0" w:type="dxa"/>
        <w:shd w:val="clear" w:color="auto" w:fill="auto"/>
        <w:tblLayout w:type="fixed"/>
        <w:tblCellMar>
          <w:top w:w="0" w:type="dxa"/>
          <w:left w:w="0" w:type="dxa"/>
          <w:bottom w:w="0" w:type="dxa"/>
          <w:right w:w="0" w:type="dxa"/>
        </w:tblCellMar>
      </w:tblPr>
      <w:tblGrid>
        <w:gridCol w:w="520"/>
        <w:gridCol w:w="5937"/>
        <w:gridCol w:w="2825"/>
        <w:gridCol w:w="228"/>
      </w:tblGrid>
      <w:tr>
        <w:tblPrEx>
          <w:shd w:val="clear" w:color="auto" w:fill="auto"/>
          <w:tblCellMar>
            <w:top w:w="0" w:type="dxa"/>
            <w:left w:w="0" w:type="dxa"/>
            <w:bottom w:w="0" w:type="dxa"/>
            <w:right w:w="0" w:type="dxa"/>
          </w:tblCellMar>
        </w:tblPrEx>
        <w:trPr>
          <w:trHeight w:val="638" w:hRule="atLeast"/>
        </w:trPr>
        <w:tc>
          <w:tcPr>
            <w:tcW w:w="9510" w:type="dxa"/>
            <w:gridSpan w:val="4"/>
            <w:tcBorders>
              <w:top w:val="single" w:color="auto" w:sz="4" w:space="0"/>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bottom"/>
              <w:rPr>
                <w:rFonts w:hint="eastAsia" w:ascii="仿宋" w:hAnsi="仿宋" w:eastAsia="仿宋" w:cs="仿宋"/>
                <w:b/>
                <w:kern w:val="44"/>
                <w:sz w:val="32"/>
                <w:szCs w:val="32"/>
                <w:lang w:val="en-US" w:eastAsia="zh-CN" w:bidi="ar-SA"/>
              </w:rPr>
            </w:pPr>
            <w:r>
              <w:rPr>
                <w:rFonts w:hint="eastAsia" w:ascii="仿宋" w:hAnsi="仿宋" w:eastAsia="仿宋" w:cs="仿宋"/>
                <w:b/>
                <w:kern w:val="44"/>
                <w:sz w:val="32"/>
                <w:szCs w:val="32"/>
                <w:lang w:val="en-US" w:eastAsia="zh-CN" w:bidi="ar-SA"/>
              </w:rPr>
              <w:t>标品</w:t>
            </w:r>
          </w:p>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gridAfter w:val="1"/>
          <w:wAfter w:w="228" w:type="dxa"/>
          <w:trHeight w:val="270" w:hRule="atLeast"/>
        </w:trPr>
        <w:tc>
          <w:tcPr>
            <w:tcW w:w="5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37"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825"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地西泮、哒螨灵等54项</w:t>
            </w:r>
          </w:p>
        </w:tc>
        <w:tc>
          <w:tcPr>
            <w:tcW w:w="2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氢氧化钠滴定、依诺沙星</w:t>
            </w:r>
          </w:p>
        </w:tc>
        <w:tc>
          <w:tcPr>
            <w:tcW w:w="28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苯并荧蒽、苯并芘、火锅混标21项</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氯丙嗪D6、金霉素、嘧霉胺 8项</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高效氯氟氰、芴菌酯、倍硫磷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噻菌灵</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新红</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赤藓红</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甜蜜素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脱氢乙酸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棉酚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六号溶剂</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1,2-丙二醇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偶氮二甲酰胺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果糖</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蔗糖</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葡萄糖</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乙基麦芽酚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2种（吗啡、可待因）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氘代磺胺邻二苯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氘代磺胺间二苯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芴菌酯、乙螨唑精甲霜灵等16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氯霉素D5</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5种精神药物</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8种沙星类混标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玉米赤霉烯酮</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2，4-滴</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噁唑菌酮</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赤藓红</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诱惑红</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组胺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磷酸组胺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1，二氨基庚（组胺内标）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羟基灭螨醌</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质控样（孔雀石绿、无色孔雀石绿）</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草甘膦</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1，2-C13N15草甘膦（内标）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3-甲基喹噁啉-2-羧酸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喹噁啉-2-羧酸-d4（内标）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螺螨酯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阿斯巴甜</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唑螨酯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氟硅唑</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叔丁基对苯二酚（TBHQ）</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对羟基苯甲酸甲酯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对羟基苯甲酸乙酯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叔戊醇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1，3丙二醇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二甲硝基咪唑代谢物-D3（内标）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醚菌酯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那红地那非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红地那非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伐他那非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羟基豪莫西地那非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西地那非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豪莫西地那非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氨基他达拉非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他达拉非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硫代艾地那非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伪伐地那非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那莫西地那非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丙森锌</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嘧菌环胺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戊唑醇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吡唑醚菌酯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黄曲霉毒素B1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3-羟基克百威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代森锰锌</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咖啡因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氢氧化钠标准滴定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盐酸滴定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EDTA滴定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二氧化硅标准</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钙标准</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铬标准</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水中总有机碳</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铯标准溶液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水中挥发酚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锌标准物质</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土壤GSS-52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土壤GSS-53</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土壤GSS-50</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土壤GSS-51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食用油过氧化值酸价质控</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氢氧化钾滴定液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钾标准溶液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水质钾钠钙镁质控样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钼标准溶液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盐酸标准液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24种混标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水中氰</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硫代硫酸钠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食用油过氧化值酸价质控</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高锰酸钾滴定液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草酸钠滴定液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硫酸盐标准液体</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碘酸钾标液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氢氧化钠滴定液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氯化甲基汞</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亚砷酸根质控样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砷酸根质控</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36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益蛏</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3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麻花铝质控</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高锰酸钾指数</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氢氧化钾溶液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酸价过氧化值</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水中总磷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水质铜0.559mg/L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水质铜1.36mg/L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水质锌0.498mg/L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水质锌1.19mg/L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水质亚硝酸盐（以氮计）</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溴酸盐标准溶液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水中氰化物</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氢氧化钾滴定溶液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水质电导率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硝酸银滴定溶液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水质总硬度</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硫代硫酸钠滴定溶液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碘滴定溶液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铁标准溶液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铜标准溶液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24种元素混标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铂钴色度</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钾标准溶液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钛标准溶液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钒标准溶液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硒标准溶液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锑标准溶液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铟标准溶液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碘离子标准溶液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亚硝酸根标准溶液（以亚硝酸根计）</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水质钾、钠、钙、镁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麻花 铝质控样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土壤电导率质控样品RMU059</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氯化钾标准溶液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GBW07494（HTSB-2）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硝酸银标准溶液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EDTA标液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土壤质控样HTSB-6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土壤机械组成NCS072023</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土壤机械组成NCS072024</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硼标准溶液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钠标准溶液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铝标准溶液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锰标准溶液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铁标准溶液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钴标准溶液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砷标准溶液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锶标准溶液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钡标准溶液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贡标准溶液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铊标准溶液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锡标准溶液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磷标准溶液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硅标准溶液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钼标准溶液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食用油酸价、过氧化值质控</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14瓶</w:t>
            </w:r>
          </w:p>
        </w:tc>
      </w:tr>
    </w:tbl>
    <w:p>
      <w:pPr>
        <w:bidi w:val="0"/>
        <w:rPr>
          <w:rFonts w:hint="eastAsia"/>
        </w:rPr>
      </w:pPr>
      <w:r>
        <w:rPr>
          <w:rFonts w:hint="eastAsia"/>
        </w:rPr>
        <w:br w:type="page"/>
      </w:r>
    </w:p>
    <w:tbl>
      <w:tblPr>
        <w:tblStyle w:val="60"/>
        <w:tblW w:w="9510" w:type="dxa"/>
        <w:tblInd w:w="0" w:type="dxa"/>
        <w:shd w:val="clear" w:color="auto" w:fill="auto"/>
        <w:tblLayout w:type="fixed"/>
        <w:tblCellMar>
          <w:top w:w="0" w:type="dxa"/>
          <w:left w:w="0" w:type="dxa"/>
          <w:bottom w:w="0" w:type="dxa"/>
          <w:right w:w="0" w:type="dxa"/>
        </w:tblCellMar>
      </w:tblPr>
      <w:tblGrid>
        <w:gridCol w:w="520"/>
        <w:gridCol w:w="5937"/>
        <w:gridCol w:w="2825"/>
        <w:gridCol w:w="228"/>
      </w:tblGrid>
      <w:tr>
        <w:tblPrEx>
          <w:shd w:val="clear" w:color="auto" w:fill="auto"/>
          <w:tblCellMar>
            <w:top w:w="0" w:type="dxa"/>
            <w:left w:w="0" w:type="dxa"/>
            <w:bottom w:w="0" w:type="dxa"/>
            <w:right w:w="0" w:type="dxa"/>
          </w:tblCellMar>
        </w:tblPrEx>
        <w:trPr>
          <w:trHeight w:val="540" w:hRule="atLeast"/>
        </w:trPr>
        <w:tc>
          <w:tcPr>
            <w:tcW w:w="9510" w:type="dxa"/>
            <w:gridSpan w:val="4"/>
            <w:tcBorders>
              <w:top w:val="nil"/>
              <w:left w:val="nil"/>
              <w:bottom w:val="nil"/>
              <w:right w:val="nil"/>
            </w:tcBorders>
            <w:shd w:val="clear" w:color="auto" w:fill="auto"/>
            <w:noWrap/>
            <w:tcMar>
              <w:top w:w="15" w:type="dxa"/>
              <w:left w:w="15" w:type="dxa"/>
              <w:right w:w="15" w:type="dxa"/>
            </w:tcMar>
            <w:vAlign w:val="center"/>
          </w:tcPr>
          <w:p>
            <w:pPr>
              <w:pStyle w:val="71"/>
              <w:jc w:val="center"/>
              <w:rPr>
                <w:rFonts w:hint="eastAsia"/>
                <w:b/>
                <w:bCs/>
                <w:sz w:val="28"/>
                <w:szCs w:val="24"/>
                <w:lang w:val="en-US" w:eastAsia="zh-CN"/>
              </w:rPr>
            </w:pPr>
            <w:r>
              <w:rPr>
                <w:rFonts w:hint="eastAsia"/>
                <w:b/>
                <w:bCs/>
                <w:sz w:val="28"/>
                <w:szCs w:val="24"/>
                <w:lang w:val="en-US" w:eastAsia="zh-CN"/>
              </w:rPr>
              <w:t>第三包</w:t>
            </w:r>
          </w:p>
          <w:p>
            <w:pPr>
              <w:pStyle w:val="71"/>
              <w:jc w:val="center"/>
              <w:rPr>
                <w:rFonts w:hint="default" w:ascii="宋体" w:hAnsi="宋体" w:eastAsia="宋体" w:cs="宋体"/>
                <w:b/>
                <w:i w:val="0"/>
                <w:color w:val="000000"/>
                <w:sz w:val="44"/>
                <w:szCs w:val="44"/>
                <w:u w:val="none"/>
                <w:lang w:val="en-US"/>
              </w:rPr>
            </w:pPr>
            <w:r>
              <w:rPr>
                <w:rFonts w:hint="eastAsia"/>
                <w:b/>
                <w:bCs/>
                <w:sz w:val="28"/>
                <w:szCs w:val="24"/>
                <w:lang w:val="en-US" w:eastAsia="zh-CN"/>
              </w:rPr>
              <w:t xml:space="preserve">标品   </w:t>
            </w:r>
          </w:p>
        </w:tc>
      </w:tr>
      <w:tr>
        <w:tblPrEx>
          <w:shd w:val="clear" w:color="auto" w:fill="auto"/>
          <w:tblCellMar>
            <w:top w:w="0" w:type="dxa"/>
            <w:left w:w="0" w:type="dxa"/>
            <w:bottom w:w="0" w:type="dxa"/>
            <w:right w:w="0" w:type="dxa"/>
          </w:tblCellMar>
        </w:tblPrEx>
        <w:trPr>
          <w:gridAfter w:val="1"/>
          <w:wAfter w:w="228" w:type="dxa"/>
          <w:trHeight w:val="270" w:hRule="atLeast"/>
        </w:trPr>
        <w:tc>
          <w:tcPr>
            <w:tcW w:w="5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37"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825"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氧氟沙星、炔螨特21项</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19支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孔雀D5</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孔雀D6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盐酸标准滴定液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咪鲜胺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毒死蜱</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59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甲基对硫磷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17支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59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二甲戊灵</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氯氰菊酯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尼卡巴嗪</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那他霉素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狄氏剂</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己唑醇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甲氧滴滴涕</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罗红霉素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烯唑醇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氯丙嗪-D6内标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己唑醇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咯菌腈</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醚菊酯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腈菌唑</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吡丙醚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邻苯基苯酚</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敌百虫</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氟环唑</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炔螨特</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叔戊醇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唑虫酰胺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替米考星</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4，4-二硝基均二苯脲（外标）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4，5-二硝基均二苯脲（内标）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地美硝唑-D3（内标）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联苯肼酯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双甲脒</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金刚烷胺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克百威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展青霉素</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苯甲酸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蝇毒磷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溴螨酯</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喹氧灵</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戊菌唑</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苯霜灵</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11支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氟环唑</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甲苯氟磺胺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克菌丹</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氟苯嘧啶醇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三环锡</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三唑锡</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苯氟磺胺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α-亚麻酸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亚油酸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脱氧雪腐镰刀菌烯醇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乙霉威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茚虫威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虱螨脲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烯啶虫胺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甲氧虫酰肼</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氟铃脲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噻虫啉</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异丙甲草胺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噻螨酮</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四螨嗪</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草铵膦</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硫线磷</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杀虫脒</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苯酰菌胺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PCB198内标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高锰酸盐指数</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71</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二氧化硫（甲醛法）20ml空气监测标样（水剂）0.561mg/L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72</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二氧化硫（甲醛法）20ml空气监测标样（水剂）0.487mg/L</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73</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吸收液中二氧化硫质量控制样品ZW303</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2瓶</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74</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吸收液中二氧化硫质量控制样品ZW304</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75</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粉尘中游离二氧化硅质控样品（焦磷酸法）</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76</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粉尘中游离二氧化硅质控样品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77</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镁标准溶液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78</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镍标准溶液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79</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镉标准溶液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铅标准溶液</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2支</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81</w:t>
            </w:r>
          </w:p>
        </w:tc>
        <w:tc>
          <w:tcPr>
            <w:tcW w:w="593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挥发酚标准溶液</w:t>
            </w:r>
          </w:p>
        </w:tc>
        <w:tc>
          <w:tcPr>
            <w:tcW w:w="28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228" w:type="dxa"/>
          <w:trHeight w:val="285"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82</w:t>
            </w:r>
          </w:p>
        </w:tc>
        <w:tc>
          <w:tcPr>
            <w:tcW w:w="59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脱氧野尻霉素（DNJ）</w:t>
            </w:r>
          </w:p>
        </w:tc>
        <w:tc>
          <w:tcPr>
            <w:tcW w:w="2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19支</w:t>
            </w:r>
          </w:p>
        </w:tc>
      </w:tr>
    </w:tbl>
    <w:p>
      <w:pPr>
        <w:pStyle w:val="71"/>
        <w:jc w:val="center"/>
        <w:rPr>
          <w:rFonts w:hint="default"/>
          <w:b/>
          <w:bCs/>
          <w:sz w:val="28"/>
          <w:szCs w:val="24"/>
          <w:lang w:val="en-US" w:eastAsia="zh-CN"/>
        </w:rPr>
      </w:pPr>
      <w:r>
        <w:rPr>
          <w:rFonts w:hint="eastAsia"/>
          <w:b/>
          <w:bCs/>
          <w:sz w:val="28"/>
          <w:szCs w:val="24"/>
          <w:lang w:val="en-US" w:eastAsia="zh-CN"/>
        </w:rPr>
        <w:t xml:space="preserve">耗材   </w:t>
      </w:r>
    </w:p>
    <w:tbl>
      <w:tblPr>
        <w:tblStyle w:val="60"/>
        <w:tblW w:w="8574" w:type="dxa"/>
        <w:tblInd w:w="0" w:type="dxa"/>
        <w:shd w:val="clear" w:color="auto" w:fill="auto"/>
        <w:tblLayout w:type="fixed"/>
        <w:tblCellMar>
          <w:top w:w="0" w:type="dxa"/>
          <w:left w:w="0" w:type="dxa"/>
          <w:bottom w:w="0" w:type="dxa"/>
          <w:right w:w="0" w:type="dxa"/>
        </w:tblCellMar>
      </w:tblPr>
      <w:tblGrid>
        <w:gridCol w:w="15"/>
        <w:gridCol w:w="505"/>
        <w:gridCol w:w="1527"/>
        <w:gridCol w:w="3304"/>
        <w:gridCol w:w="1119"/>
        <w:gridCol w:w="1691"/>
        <w:gridCol w:w="413"/>
      </w:tblGrid>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序号</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项目</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分散固相萃取净化管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2000支</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固相萃取提取包</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2000包</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液相色谱柱C18 4.6*250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液质色谱柱BEH 2.1*100，1.7um</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进样小瓶</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有机相滤头</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6000个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盐酸克伦特罗检测盒</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高敏农药速测卡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分散固相萃取净化管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分散固相萃取提取包</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螺纹样品瓶</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7088农药速测卡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苯并芘分子印迹柱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农药速测卡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进样小瓶+盖</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农药速测卡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17盒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二氧化硫速测盒</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脱氧雪腐镰刀菌烯醇免疫亲和柱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玉米赤霉烯酮免疫亲和柱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CAX阳离子交换柱AG50W-X8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赭曲霉毒素A免疫亲和柱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苯并</w:t>
            </w:r>
            <w:r>
              <w:rPr>
                <w:rFonts w:ascii="微软雅黑" w:hAnsi="微软雅黑" w:eastAsia="微软雅黑" w:cs="微软雅黑"/>
                <w:i w:val="0"/>
                <w:color w:val="000000"/>
                <w:kern w:val="0"/>
                <w:sz w:val="22"/>
                <w:szCs w:val="22"/>
                <w:u w:val="none"/>
                <w:lang w:val="en-US" w:eastAsia="zh-CN" w:bidi="ar"/>
              </w:rPr>
              <w:t>［</w:t>
            </w:r>
            <w:r>
              <w:rPr>
                <w:rFonts w:ascii="Arial" w:hAnsi="Arial" w:eastAsia="宋体" w:cs="Arial"/>
                <w:i w:val="0"/>
                <w:color w:val="000000"/>
                <w:kern w:val="0"/>
                <w:sz w:val="22"/>
                <w:szCs w:val="22"/>
                <w:u w:val="none"/>
                <w:lang w:val="en-US" w:eastAsia="zh-CN" w:bidi="ar"/>
              </w:rPr>
              <w:t>α</w:t>
            </w:r>
            <w:r>
              <w:rPr>
                <w:rFonts w:ascii="微软雅黑" w:hAnsi="微软雅黑" w:eastAsia="微软雅黑" w:cs="微软雅黑"/>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芘分子印迹柱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23</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黄曲霉毒素B1免疫亲和柱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黄曲霉毒素B1净化柱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分散固相萃取柱净化管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3000支</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分散固相萃取柱提取包</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3000个</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27</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进样针</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5支</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色谱柱（Carbohydrate)</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5根</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29</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黄曲霉毒素B1免疫亲和柱</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59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过滤膜CNW</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2盒</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31</w:t>
            </w:r>
          </w:p>
        </w:tc>
        <w:tc>
          <w:tcPr>
            <w:tcW w:w="5950" w:type="dxa"/>
            <w:gridSpan w:val="3"/>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内衬管（平底）安捷伦</w:t>
            </w:r>
          </w:p>
        </w:tc>
        <w:tc>
          <w:tcPr>
            <w:tcW w:w="2104"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15包</w:t>
            </w:r>
          </w:p>
        </w:tc>
      </w:tr>
      <w:tr>
        <w:tblPrEx>
          <w:shd w:val="clear" w:color="auto" w:fill="auto"/>
          <w:tblCellMar>
            <w:top w:w="0" w:type="dxa"/>
            <w:left w:w="0" w:type="dxa"/>
            <w:bottom w:w="0" w:type="dxa"/>
            <w:right w:w="0" w:type="dxa"/>
          </w:tblCellMar>
        </w:tblPrEx>
        <w:trPr>
          <w:gridBefore w:val="1"/>
          <w:wBefore w:w="15" w:type="dxa"/>
          <w:trHeight w:val="285" w:hRule="atLeast"/>
        </w:trPr>
        <w:tc>
          <w:tcPr>
            <w:tcW w:w="5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32</w:t>
            </w:r>
          </w:p>
        </w:tc>
        <w:tc>
          <w:tcPr>
            <w:tcW w:w="595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安捷伦液相氘灯</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r>
      <w:tr>
        <w:tblPrEx>
          <w:shd w:val="clear" w:color="auto" w:fill="auto"/>
          <w:tblCellMar>
            <w:top w:w="0" w:type="dxa"/>
            <w:left w:w="0" w:type="dxa"/>
            <w:bottom w:w="0" w:type="dxa"/>
            <w:right w:w="0" w:type="dxa"/>
          </w:tblCellMar>
        </w:tblPrEx>
        <w:trPr>
          <w:gridAfter w:val="1"/>
          <w:wAfter w:w="413" w:type="dxa"/>
          <w:trHeight w:val="600" w:hRule="atLeast"/>
          <w:jc w:val="center"/>
        </w:trPr>
        <w:tc>
          <w:tcPr>
            <w:tcW w:w="8161" w:type="dxa"/>
            <w:gridSpan w:val="6"/>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第</w:t>
            </w:r>
            <w:r>
              <w:rPr>
                <w:rFonts w:hint="eastAsia" w:ascii="宋体" w:hAnsi="宋体" w:cs="宋体"/>
                <w:b/>
                <w:i w:val="0"/>
                <w:color w:val="000000"/>
                <w:kern w:val="0"/>
                <w:sz w:val="22"/>
                <w:szCs w:val="22"/>
                <w:u w:val="none"/>
                <w:lang w:val="en-US" w:eastAsia="zh-CN" w:bidi="ar"/>
              </w:rPr>
              <w:t>四</w:t>
            </w:r>
            <w:r>
              <w:rPr>
                <w:rFonts w:hint="eastAsia" w:ascii="宋体" w:hAnsi="宋体" w:eastAsia="宋体" w:cs="宋体"/>
                <w:b/>
                <w:i w:val="0"/>
                <w:color w:val="000000"/>
                <w:kern w:val="0"/>
                <w:sz w:val="22"/>
                <w:szCs w:val="22"/>
                <w:u w:val="none"/>
                <w:lang w:val="en-US" w:eastAsia="zh-CN" w:bidi="ar"/>
              </w:rPr>
              <w:t>包</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气体</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 xml:space="preserve"> </w:t>
            </w:r>
            <w:r>
              <w:rPr>
                <w:rFonts w:hint="eastAsia" w:ascii="宋体" w:hAnsi="宋体" w:cs="宋体"/>
                <w:b/>
                <w:i w:val="0"/>
                <w:color w:val="000000"/>
                <w:kern w:val="0"/>
                <w:sz w:val="22"/>
                <w:szCs w:val="22"/>
                <w:u w:val="none"/>
                <w:lang w:val="en-US" w:eastAsia="zh-CN" w:bidi="ar"/>
              </w:rPr>
              <w:t>170000元</w:t>
            </w:r>
          </w:p>
        </w:tc>
      </w:tr>
      <w:tr>
        <w:tblPrEx>
          <w:shd w:val="clear" w:color="auto" w:fill="auto"/>
          <w:tblCellMar>
            <w:top w:w="0" w:type="dxa"/>
            <w:left w:w="0" w:type="dxa"/>
            <w:bottom w:w="0" w:type="dxa"/>
            <w:right w:w="0" w:type="dxa"/>
          </w:tblCellMar>
        </w:tblPrEx>
        <w:trPr>
          <w:gridAfter w:val="1"/>
          <w:wAfter w:w="413" w:type="dxa"/>
          <w:trHeight w:val="600"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304"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gridAfter w:val="1"/>
          <w:wAfter w:w="413" w:type="dxa"/>
          <w:trHeight w:val="440"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10"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80"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80"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413" w:type="dxa"/>
          <w:trHeight w:val="40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高纯氦气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413" w:type="dxa"/>
          <w:trHeight w:val="37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9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高纯氧气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高纯氧气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40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高纯乙炔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413" w:type="dxa"/>
          <w:trHeight w:val="51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高纯氧气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高纯乙炔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413" w:type="dxa"/>
          <w:trHeight w:val="36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高纯氦气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9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413" w:type="dxa"/>
          <w:trHeight w:val="39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6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34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6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413" w:type="dxa"/>
          <w:trHeight w:val="34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高纯氦气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9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高纯氦气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39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37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高纯乙炔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gridAfter w:val="1"/>
          <w:wAfter w:w="413" w:type="dxa"/>
          <w:trHeight w:val="46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8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gridAfter w:val="1"/>
          <w:wAfter w:w="413" w:type="dxa"/>
          <w:trHeight w:val="45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高纯氢气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2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46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合成空气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gridAfter w:val="1"/>
          <w:wAfter w:w="413" w:type="dxa"/>
          <w:trHeight w:val="46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413" w:type="dxa"/>
          <w:trHeight w:val="43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gridAfter w:val="1"/>
          <w:wAfter w:w="413" w:type="dxa"/>
          <w:trHeight w:val="46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高纯氮气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gridAfter w:val="1"/>
          <w:wAfter w:w="413" w:type="dxa"/>
          <w:trHeight w:val="514"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高纯氩气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CellMar>
            <w:top w:w="0" w:type="dxa"/>
            <w:left w:w="0" w:type="dxa"/>
            <w:bottom w:w="0" w:type="dxa"/>
            <w:right w:w="0" w:type="dxa"/>
          </w:tblCellMar>
        </w:tblPrEx>
        <w:trPr>
          <w:gridAfter w:val="1"/>
          <w:wAfter w:w="413" w:type="dxa"/>
          <w:trHeight w:val="419" w:hRule="atLeast"/>
          <w:jc w:val="center"/>
        </w:trPr>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高纯乙炔</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r>
    </w:tbl>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rPr>
          <w:rFonts w:hint="eastAsia"/>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第五包</w:t>
      </w:r>
    </w:p>
    <w:tbl>
      <w:tblPr>
        <w:tblStyle w:val="60"/>
        <w:tblW w:w="8778" w:type="dxa"/>
        <w:jc w:val="center"/>
        <w:shd w:val="clear" w:color="auto" w:fill="auto"/>
        <w:tblLayout w:type="fixed"/>
        <w:tblCellMar>
          <w:top w:w="0" w:type="dxa"/>
          <w:left w:w="0" w:type="dxa"/>
          <w:bottom w:w="0" w:type="dxa"/>
          <w:right w:w="0" w:type="dxa"/>
        </w:tblCellMar>
      </w:tblPr>
      <w:tblGrid>
        <w:gridCol w:w="732"/>
        <w:gridCol w:w="7213"/>
        <w:gridCol w:w="833"/>
      </w:tblGrid>
      <w:tr>
        <w:tblPrEx>
          <w:tblCellMar>
            <w:top w:w="0" w:type="dxa"/>
            <w:left w:w="0" w:type="dxa"/>
            <w:bottom w:w="0" w:type="dxa"/>
            <w:right w:w="0" w:type="dxa"/>
          </w:tblCellMar>
        </w:tblPrEx>
        <w:trPr>
          <w:trHeight w:val="270" w:hRule="atLeast"/>
          <w:jc w:val="center"/>
        </w:trPr>
        <w:tc>
          <w:tcPr>
            <w:tcW w:w="8778" w:type="dxa"/>
            <w:gridSpan w:val="3"/>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（微生物试剂）</w:t>
            </w:r>
            <w:r>
              <w:rPr>
                <w:rFonts w:hint="eastAsia" w:ascii="宋体" w:hAnsi="宋体" w:cs="宋体"/>
                <w:b/>
                <w:i w:val="0"/>
                <w:color w:val="000000"/>
                <w:kern w:val="0"/>
                <w:sz w:val="22"/>
                <w:szCs w:val="22"/>
                <w:u w:val="none"/>
                <w:lang w:val="en-US" w:eastAsia="zh-CN" w:bidi="ar"/>
              </w:rPr>
              <w:t xml:space="preserve"> </w:t>
            </w:r>
          </w:p>
        </w:tc>
      </w:tr>
      <w:tr>
        <w:tblPrEx>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33"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植物乳杆菌</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嗜酸乳杆菌</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MRS培养基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营养琼脂培养基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卵磷脂培养基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绿脓杆菌鉴定套卡</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液体培养基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十六烷基溴化培养基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肠道菌增菌肉汤（北京路桥）</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麦康凯琼脂MAC（北京路桥）</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致泻大肠埃希氏菌生化鉴定试剂盒（北京路桥）</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氯硝胺18%甘油琼脂</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3瓶</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无水葡萄糖</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5瓶</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丙三醇（甘油）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3盒</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15</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亚碲酸钾卵黄增菌液</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10瓶</w:t>
            </w:r>
          </w:p>
        </w:tc>
      </w:tr>
      <w:tr>
        <w:tblPrEx>
          <w:shd w:val="clear" w:color="auto" w:fill="auto"/>
          <w:tblCellMar>
            <w:top w:w="0" w:type="dxa"/>
            <w:left w:w="0" w:type="dxa"/>
            <w:bottom w:w="0" w:type="dxa"/>
            <w:right w:w="0"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16</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冻干血浆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5瓶</w:t>
            </w:r>
          </w:p>
        </w:tc>
      </w:tr>
    </w:tbl>
    <w:tbl>
      <w:tblPr>
        <w:tblStyle w:val="60"/>
        <w:tblpPr w:leftFromText="180" w:rightFromText="180" w:vertAnchor="text" w:horzAnchor="page" w:tblpX="1608" w:tblpY="218"/>
        <w:tblOverlap w:val="never"/>
        <w:tblW w:w="8745" w:type="dxa"/>
        <w:tblInd w:w="0" w:type="dxa"/>
        <w:shd w:val="clear" w:color="auto" w:fill="auto"/>
        <w:tblLayout w:type="fixed"/>
        <w:tblCellMar>
          <w:top w:w="0" w:type="dxa"/>
          <w:left w:w="0" w:type="dxa"/>
          <w:bottom w:w="0" w:type="dxa"/>
          <w:right w:w="0" w:type="dxa"/>
        </w:tblCellMar>
      </w:tblPr>
      <w:tblGrid>
        <w:gridCol w:w="886"/>
        <w:gridCol w:w="7034"/>
        <w:gridCol w:w="825"/>
      </w:tblGrid>
      <w:tr>
        <w:tblPrEx>
          <w:shd w:val="clear" w:color="auto" w:fill="auto"/>
          <w:tblCellMar>
            <w:top w:w="0" w:type="dxa"/>
            <w:left w:w="0" w:type="dxa"/>
            <w:bottom w:w="0" w:type="dxa"/>
            <w:right w:w="0" w:type="dxa"/>
          </w:tblCellMar>
        </w:tblPrEx>
        <w:trPr>
          <w:trHeight w:val="270" w:hRule="atLeast"/>
        </w:trPr>
        <w:tc>
          <w:tcPr>
            <w:tcW w:w="8745" w:type="dxa"/>
            <w:gridSpan w:val="3"/>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（微生物耗材）</w:t>
            </w:r>
            <w:r>
              <w:rPr>
                <w:rFonts w:hint="eastAsia" w:ascii="宋体" w:hAnsi="宋体" w:cs="宋体"/>
                <w:b/>
                <w:i w:val="0"/>
                <w:color w:val="000000"/>
                <w:kern w:val="0"/>
                <w:sz w:val="22"/>
                <w:szCs w:val="22"/>
                <w:u w:val="none"/>
                <w:lang w:val="en-US" w:eastAsia="zh-CN" w:bidi="ar"/>
              </w:rPr>
              <w:t xml:space="preserve"> </w:t>
            </w:r>
          </w:p>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val="0"/>
                <w:bCs/>
                <w:i w:val="0"/>
                <w:color w:val="000000"/>
                <w:kern w:val="0"/>
                <w:sz w:val="20"/>
                <w:szCs w:val="20"/>
                <w:u w:val="none"/>
                <w:lang w:val="en-US" w:eastAsia="zh-CN" w:bidi="ar"/>
              </w:rPr>
              <w:t xml:space="preserve"> </w:t>
            </w:r>
          </w:p>
        </w:tc>
      </w:tr>
      <w:tr>
        <w:tblPrEx>
          <w:shd w:val="clear" w:color="auto" w:fill="auto"/>
          <w:tblCellMar>
            <w:top w:w="0" w:type="dxa"/>
            <w:left w:w="0" w:type="dxa"/>
            <w:bottom w:w="0" w:type="dxa"/>
            <w:right w:w="0"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7034"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25"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餐具大肠杆菌试纸片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营养肉汤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PH试纸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大肠生化鉴定卡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伊红美蓝</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结晶紫胆盐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革兰氏染色液</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餐具试纸片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50包</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乳酸菌产气袋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锥形瓶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70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无菌培养皿</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MRS培养基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MC培养基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7.5%肉汤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无菌平皿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10箱</w:t>
            </w:r>
          </w:p>
        </w:tc>
      </w:tr>
      <w:tr>
        <w:tblPrEx>
          <w:shd w:val="clear" w:color="auto" w:fill="auto"/>
          <w:tblCellMar>
            <w:top w:w="0" w:type="dxa"/>
            <w:left w:w="0" w:type="dxa"/>
            <w:bottom w:w="0" w:type="dxa"/>
            <w:right w:w="0"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7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菌落总数测试片（适用于GB4789.2-2022）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2"/>
                <w:szCs w:val="22"/>
                <w:u w:val="none"/>
                <w:lang w:val="en-US" w:eastAsia="zh-CN" w:bidi="ar"/>
              </w:rPr>
              <w:t>50包</w:t>
            </w:r>
          </w:p>
        </w:tc>
      </w:tr>
    </w:tbl>
    <w:p/>
    <w:p>
      <w:pPr>
        <w:pStyle w:val="71"/>
        <w:ind w:left="0" w:leftChars="0" w:firstLine="0" w:firstLineChars="0"/>
        <w:rPr>
          <w:rFonts w:hint="eastAsia"/>
        </w:rPr>
      </w:pPr>
    </w:p>
    <w:p>
      <w:pPr>
        <w:pStyle w:val="2"/>
        <w:rPr>
          <w:rFonts w:hint="eastAsia" w:cs="仿宋"/>
          <w:bCs/>
        </w:rPr>
      </w:pPr>
    </w:p>
    <w:p>
      <w:pPr>
        <w:pStyle w:val="2"/>
        <w:rPr>
          <w:rFonts w:hint="eastAsia" w:cs="仿宋"/>
          <w:b w:val="0"/>
          <w:bCs/>
          <w:szCs w:val="32"/>
        </w:rPr>
      </w:pPr>
      <w:r>
        <w:rPr>
          <w:rFonts w:hint="eastAsia" w:cs="仿宋"/>
          <w:bCs/>
        </w:rPr>
        <w:fldChar w:fldCharType="begin"/>
      </w:r>
      <w:r>
        <w:rPr>
          <w:rFonts w:hint="eastAsia" w:cs="仿宋"/>
          <w:bCs/>
        </w:rPr>
        <w:instrText xml:space="preserve"> HYPERLINK \l "_Toc15797" </w:instrText>
      </w:r>
      <w:r>
        <w:rPr>
          <w:rFonts w:hint="eastAsia" w:cs="仿宋"/>
          <w:bCs/>
        </w:rPr>
        <w:fldChar w:fldCharType="separate"/>
      </w:r>
      <w:r>
        <w:rPr>
          <w:rFonts w:hint="eastAsia" w:cs="仿宋"/>
          <w:bCs/>
          <w:szCs w:val="32"/>
        </w:rPr>
        <w:t xml:space="preserve">第五章 </w:t>
      </w:r>
      <w:r>
        <w:rPr>
          <w:rFonts w:hint="eastAsia" w:cs="仿宋"/>
          <w:bCs/>
          <w:szCs w:val="32"/>
        </w:rPr>
        <w:fldChar w:fldCharType="end"/>
      </w:r>
      <w:r>
        <w:rPr>
          <w:rFonts w:hint="eastAsia" w:cs="仿宋"/>
          <w:bCs/>
          <w:szCs w:val="32"/>
        </w:rPr>
        <w:t>合同格式</w:t>
      </w:r>
      <w:bookmarkEnd w:id="14"/>
    </w:p>
    <w:p>
      <w:pPr>
        <w:spacing w:line="360" w:lineRule="auto"/>
        <w:jc w:val="center"/>
        <w:rPr>
          <w:rFonts w:hint="eastAsia" w:ascii="仿宋" w:hAnsi="仿宋" w:eastAsia="仿宋" w:cs="仿宋"/>
          <w:b/>
          <w:bCs/>
          <w:sz w:val="28"/>
          <w:szCs w:val="21"/>
        </w:rPr>
      </w:pPr>
      <w:r>
        <w:rPr>
          <w:rFonts w:hint="eastAsia" w:ascii="仿宋" w:hAnsi="仿宋" w:eastAsia="仿宋" w:cs="仿宋"/>
          <w:b/>
          <w:bCs/>
          <w:color w:val="000000"/>
          <w:szCs w:val="21"/>
        </w:rPr>
        <w:t>（注：此合同仅供参考，具体的合同签订双方可根据项目的具体要求进行修订）</w:t>
      </w:r>
    </w:p>
    <w:p>
      <w:pPr>
        <w:spacing w:line="300" w:lineRule="exact"/>
        <w:rPr>
          <w:rFonts w:hint="eastAsia" w:ascii="仿宋" w:hAnsi="仿宋" w:eastAsia="仿宋"/>
          <w:color w:val="000000"/>
          <w:sz w:val="28"/>
          <w:szCs w:val="28"/>
        </w:rPr>
      </w:pPr>
    </w:p>
    <w:p>
      <w:pPr>
        <w:spacing w:line="300" w:lineRule="exact"/>
        <w:rPr>
          <w:rFonts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签约地点：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签约日期：  年   月   日</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hint="eastAsia" w:ascii="仿宋" w:hAnsi="仿宋" w:eastAsia="仿宋"/>
          <w:sz w:val="30"/>
          <w:szCs w:val="30"/>
        </w:rPr>
      </w:pPr>
      <w:r>
        <w:rPr>
          <w:rFonts w:hint="eastAsia" w:ascii="仿宋" w:hAnsi="仿宋" w:eastAsia="仿宋"/>
          <w:sz w:val="30"/>
          <w:szCs w:val="30"/>
        </w:rPr>
        <w:t>合同编号：</w:t>
      </w:r>
    </w:p>
    <w:p>
      <w:pPr>
        <w:spacing w:line="560" w:lineRule="exact"/>
        <w:rPr>
          <w:rFonts w:ascii="仿宋" w:hAnsi="仿宋" w:eastAsia="仿宋"/>
          <w:sz w:val="30"/>
          <w:szCs w:val="30"/>
        </w:rPr>
      </w:pPr>
    </w:p>
    <w:p>
      <w:pPr>
        <w:spacing w:line="560" w:lineRule="exact"/>
        <w:rPr>
          <w:rFonts w:ascii="仿宋" w:hAnsi="仿宋" w:eastAsia="仿宋"/>
          <w:sz w:val="24"/>
        </w:rPr>
      </w:pPr>
    </w:p>
    <w:p>
      <w:pPr>
        <w:spacing w:line="560" w:lineRule="exact"/>
        <w:rPr>
          <w:rFonts w:ascii="仿宋" w:hAnsi="仿宋" w:eastAsia="仿宋"/>
          <w:sz w:val="24"/>
        </w:rPr>
      </w:pPr>
    </w:p>
    <w:p>
      <w:pPr>
        <w:spacing w:line="360" w:lineRule="auto"/>
        <w:jc w:val="center"/>
        <w:rPr>
          <w:rFonts w:hint="eastAsia" w:ascii="仿宋" w:hAnsi="仿宋" w:eastAsia="仿宋" w:cs="宋体"/>
          <w:sz w:val="36"/>
          <w:szCs w:val="36"/>
        </w:rPr>
      </w:pPr>
      <w:r>
        <w:rPr>
          <w:rFonts w:hint="eastAsia" w:ascii="仿宋" w:hAnsi="仿宋" w:eastAsia="仿宋" w:cs="宋体"/>
          <w:sz w:val="36"/>
          <w:szCs w:val="36"/>
        </w:rPr>
        <w:t>二零二</w:t>
      </w:r>
      <w:r>
        <w:rPr>
          <w:rFonts w:hint="eastAsia" w:ascii="仿宋" w:hAnsi="仿宋" w:eastAsia="仿宋" w:cs="宋体"/>
          <w:sz w:val="36"/>
          <w:szCs w:val="36"/>
          <w:lang w:eastAsia="zh-CN"/>
        </w:rPr>
        <w:t>二</w:t>
      </w:r>
      <w:r>
        <w:rPr>
          <w:rFonts w:hint="eastAsia" w:ascii="仿宋" w:hAnsi="仿宋" w:eastAsia="仿宋" w:cs="宋体"/>
          <w:sz w:val="36"/>
          <w:szCs w:val="36"/>
        </w:rPr>
        <w:t>年  月</w:t>
      </w:r>
    </w:p>
    <w:p>
      <w:pPr>
        <w:spacing w:line="360" w:lineRule="auto"/>
        <w:jc w:val="center"/>
        <w:rPr>
          <w:rFonts w:hint="eastAsia" w:ascii="仿宋" w:hAnsi="仿宋" w:eastAsia="仿宋" w:cs="宋体"/>
          <w:sz w:val="36"/>
          <w:szCs w:val="36"/>
        </w:rPr>
      </w:pPr>
    </w:p>
    <w:p>
      <w:pPr>
        <w:spacing w:line="360" w:lineRule="auto"/>
        <w:jc w:val="center"/>
        <w:rPr>
          <w:rFonts w:hint="eastAsia" w:ascii="仿宋" w:hAnsi="仿宋" w:eastAsia="仿宋" w:cs="宋体"/>
          <w:sz w:val="36"/>
          <w:szCs w:val="36"/>
        </w:rPr>
      </w:pPr>
    </w:p>
    <w:p>
      <w:pPr>
        <w:spacing w:line="360" w:lineRule="auto"/>
        <w:jc w:val="center"/>
        <w:rPr>
          <w:rFonts w:hint="eastAsia" w:ascii="仿宋" w:hAnsi="仿宋" w:eastAsia="仿宋" w:cs="宋体"/>
          <w:sz w:val="36"/>
          <w:szCs w:val="36"/>
        </w:rPr>
      </w:pPr>
      <w:r>
        <w:rPr>
          <w:rFonts w:hint="eastAsia" w:ascii="仿宋" w:hAnsi="仿宋" w:eastAsia="仿宋" w:cs="宋体"/>
          <w:sz w:val="36"/>
          <w:szCs w:val="36"/>
        </w:rPr>
        <w:br w:type="page"/>
      </w:r>
    </w:p>
    <w:p>
      <w:pPr>
        <w:spacing w:line="520" w:lineRule="exact"/>
        <w:rPr>
          <w:rFonts w:ascii="仿宋" w:hAnsi="仿宋" w:eastAsia="仿宋"/>
          <w:sz w:val="24"/>
        </w:rPr>
      </w:pPr>
      <w:r>
        <w:rPr>
          <w:rFonts w:hint="eastAsia" w:ascii="仿宋" w:hAnsi="仿宋" w:eastAsia="仿宋"/>
          <w:sz w:val="24"/>
        </w:rPr>
        <w:t>甲方（买方）：</w:t>
      </w:r>
    </w:p>
    <w:p>
      <w:pPr>
        <w:spacing w:line="520" w:lineRule="exact"/>
        <w:rPr>
          <w:rFonts w:ascii="仿宋" w:hAnsi="仿宋" w:eastAsia="仿宋"/>
          <w:sz w:val="24"/>
        </w:rPr>
      </w:pPr>
      <w:r>
        <w:rPr>
          <w:rFonts w:hint="eastAsia" w:ascii="仿宋" w:hAnsi="仿宋" w:eastAsia="仿宋"/>
          <w:sz w:val="24"/>
        </w:rPr>
        <w:t>地址：</w:t>
      </w:r>
    </w:p>
    <w:p>
      <w:pPr>
        <w:spacing w:line="520" w:lineRule="exact"/>
        <w:rPr>
          <w:rFonts w:hint="eastAsia" w:ascii="仿宋" w:hAnsi="仿宋" w:eastAsia="仿宋"/>
          <w:sz w:val="24"/>
        </w:rPr>
      </w:pPr>
      <w:r>
        <w:rPr>
          <w:rFonts w:hint="eastAsia" w:ascii="仿宋" w:hAnsi="仿宋" w:eastAsia="仿宋"/>
          <w:sz w:val="24"/>
        </w:rPr>
        <w:t>电话：</w:t>
      </w:r>
    </w:p>
    <w:p>
      <w:pPr>
        <w:spacing w:line="520" w:lineRule="exact"/>
        <w:rPr>
          <w:rFonts w:ascii="仿宋" w:hAnsi="仿宋" w:eastAsia="仿宋"/>
          <w:sz w:val="24"/>
        </w:rPr>
      </w:pPr>
    </w:p>
    <w:p>
      <w:pPr>
        <w:spacing w:line="520" w:lineRule="exact"/>
        <w:rPr>
          <w:rFonts w:ascii="仿宋" w:hAnsi="仿宋" w:eastAsia="仿宋"/>
          <w:sz w:val="24"/>
        </w:rPr>
      </w:pPr>
      <w:r>
        <w:rPr>
          <w:rFonts w:hint="eastAsia" w:ascii="仿宋" w:hAnsi="仿宋" w:eastAsia="仿宋"/>
          <w:sz w:val="24"/>
        </w:rPr>
        <w:t>乙方（卖</w:t>
      </w:r>
      <w:r>
        <w:rPr>
          <w:rFonts w:ascii="仿宋" w:hAnsi="仿宋" w:eastAsia="仿宋"/>
          <w:sz w:val="24"/>
        </w:rPr>
        <w:t>方</w:t>
      </w:r>
      <w:r>
        <w:rPr>
          <w:rFonts w:hint="eastAsia" w:ascii="仿宋" w:hAnsi="仿宋" w:eastAsia="仿宋"/>
          <w:sz w:val="24"/>
        </w:rPr>
        <w:t>）</w:t>
      </w:r>
      <w:r>
        <w:rPr>
          <w:rFonts w:ascii="仿宋" w:hAnsi="仿宋" w:eastAsia="仿宋"/>
          <w:sz w:val="24"/>
        </w:rPr>
        <w:t>：</w:t>
      </w:r>
    </w:p>
    <w:p>
      <w:pPr>
        <w:spacing w:line="520" w:lineRule="exact"/>
        <w:rPr>
          <w:rFonts w:ascii="仿宋" w:hAnsi="仿宋" w:eastAsia="仿宋"/>
          <w:sz w:val="24"/>
        </w:rPr>
      </w:pPr>
      <w:r>
        <w:rPr>
          <w:rFonts w:hint="eastAsia" w:ascii="仿宋" w:hAnsi="仿宋" w:eastAsia="仿宋"/>
          <w:sz w:val="24"/>
        </w:rPr>
        <w:t>地址：</w:t>
      </w:r>
    </w:p>
    <w:p>
      <w:pPr>
        <w:spacing w:line="520" w:lineRule="exact"/>
        <w:rPr>
          <w:rFonts w:hint="eastAsia" w:ascii="仿宋" w:hAnsi="仿宋" w:eastAsia="仿宋"/>
          <w:sz w:val="24"/>
        </w:rPr>
      </w:pPr>
      <w:r>
        <w:rPr>
          <w:rFonts w:hint="eastAsia" w:ascii="仿宋" w:hAnsi="仿宋" w:eastAsia="仿宋"/>
          <w:sz w:val="24"/>
        </w:rPr>
        <w:t>电话：</w:t>
      </w:r>
    </w:p>
    <w:p>
      <w:pPr>
        <w:spacing w:line="520" w:lineRule="exact"/>
        <w:ind w:firstLine="480" w:firstLineChars="200"/>
        <w:rPr>
          <w:rFonts w:ascii="仿宋" w:hAnsi="仿宋" w:eastAsia="仿宋"/>
          <w:sz w:val="24"/>
        </w:rPr>
      </w:pPr>
      <w:r>
        <w:rPr>
          <w:rFonts w:hint="eastAsia" w:ascii="仿宋" w:hAnsi="仿宋" w:eastAsia="仿宋"/>
          <w:sz w:val="24"/>
          <w:u w:val="single"/>
          <w:lang w:val="en-US" w:eastAsia="zh-CN"/>
        </w:rPr>
        <w:t xml:space="preserve">        </w:t>
      </w:r>
      <w:r>
        <w:rPr>
          <w:rFonts w:hint="eastAsia" w:ascii="仿宋" w:hAnsi="仿宋" w:eastAsia="仿宋"/>
          <w:sz w:val="24"/>
        </w:rPr>
        <w:t>（以下简称甲方）与</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（以下简称乙方）就</w:t>
      </w:r>
      <w:r>
        <w:rPr>
          <w:rFonts w:ascii="仿宋" w:hAnsi="仿宋" w:eastAsia="仿宋"/>
          <w:sz w:val="24"/>
          <w:u w:val="single"/>
        </w:rPr>
        <w:t xml:space="preserve">    </w:t>
      </w:r>
      <w:r>
        <w:rPr>
          <w:rFonts w:hint="eastAsia" w:ascii="仿宋" w:hAnsi="仿宋" w:eastAsia="仿宋"/>
          <w:sz w:val="24"/>
        </w:rPr>
        <w:t>采购安装事宜，根据《中华人民共和国政府采购法》、《中华人民共和国民法典》等规定，本着平等、自愿、互利、互惠的原则，经各方协商一致，订立本合同。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sz w:val="24"/>
        </w:rPr>
      </w:pPr>
    </w:p>
    <w:p>
      <w:pPr>
        <w:tabs>
          <w:tab w:val="center" w:pos="4394"/>
          <w:tab w:val="left" w:pos="6889"/>
        </w:tabs>
        <w:spacing w:line="520" w:lineRule="exact"/>
        <w:ind w:firstLine="482" w:firstLineChars="200"/>
        <w:jc w:val="left"/>
        <w:rPr>
          <w:rFonts w:ascii="仿宋" w:hAnsi="仿宋" w:eastAsia="仿宋"/>
          <w:b/>
          <w:sz w:val="24"/>
        </w:rPr>
      </w:pPr>
      <w:r>
        <w:rPr>
          <w:rFonts w:ascii="仿宋" w:hAnsi="仿宋" w:eastAsia="仿宋"/>
          <w:b/>
          <w:sz w:val="24"/>
        </w:rPr>
        <w:tab/>
      </w:r>
      <w:r>
        <w:rPr>
          <w:rFonts w:hint="eastAsia" w:ascii="仿宋" w:hAnsi="仿宋" w:eastAsia="仿宋"/>
          <w:b/>
          <w:sz w:val="24"/>
        </w:rPr>
        <w:t>第一部分 通用条款</w:t>
      </w:r>
      <w:r>
        <w:rPr>
          <w:rFonts w:ascii="仿宋" w:hAnsi="仿宋" w:eastAsia="仿宋"/>
          <w:b/>
          <w:sz w:val="24"/>
        </w:rPr>
        <w:tab/>
      </w:r>
    </w:p>
    <w:p>
      <w:pPr>
        <w:spacing w:line="520" w:lineRule="exact"/>
        <w:ind w:firstLine="360" w:firstLineChars="150"/>
        <w:jc w:val="left"/>
        <w:rPr>
          <w:rFonts w:ascii="仿宋" w:hAnsi="仿宋" w:eastAsia="仿宋"/>
          <w:sz w:val="24"/>
        </w:rPr>
      </w:pPr>
      <w:r>
        <w:rPr>
          <w:rFonts w:hint="eastAsia" w:ascii="仿宋" w:hAnsi="仿宋" w:eastAsia="仿宋"/>
          <w:sz w:val="24"/>
        </w:rPr>
        <w:t>在此供应的货物，乙方同意做如下保证</w:t>
      </w:r>
      <w:r>
        <w:rPr>
          <w:rFonts w:ascii="仿宋" w:hAnsi="仿宋" w:eastAsia="仿宋"/>
          <w:sz w:val="24"/>
        </w:rPr>
        <w:t>:</w:t>
      </w:r>
    </w:p>
    <w:p>
      <w:pPr>
        <w:spacing w:line="520" w:lineRule="exact"/>
        <w:ind w:firstLine="360" w:firstLineChars="150"/>
        <w:jc w:val="left"/>
        <w:rPr>
          <w:rFonts w:ascii="仿宋" w:hAnsi="仿宋" w:eastAsia="仿宋"/>
          <w:sz w:val="24"/>
        </w:rPr>
      </w:pPr>
      <w:r>
        <w:rPr>
          <w:rFonts w:hint="eastAsia" w:ascii="仿宋" w:hAnsi="仿宋" w:eastAsia="仿宋"/>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sz w:val="24"/>
        </w:rPr>
      </w:pPr>
      <w:r>
        <w:rPr>
          <w:rFonts w:hint="eastAsia" w:ascii="仿宋" w:hAnsi="仿宋" w:eastAsia="仿宋"/>
          <w:sz w:val="24"/>
        </w:rPr>
        <w:t>二、不能将甲方全部或部分付款看作是对有缺陷的工艺或不合格货物的认可。</w:t>
      </w:r>
    </w:p>
    <w:p>
      <w:pPr>
        <w:spacing w:line="520" w:lineRule="exact"/>
        <w:ind w:firstLine="360" w:firstLineChars="150"/>
        <w:jc w:val="left"/>
        <w:rPr>
          <w:rFonts w:ascii="仿宋" w:hAnsi="仿宋" w:eastAsia="仿宋"/>
          <w:sz w:val="24"/>
        </w:rPr>
      </w:pPr>
      <w:r>
        <w:rPr>
          <w:rFonts w:hint="eastAsia" w:ascii="仿宋" w:hAnsi="仿宋" w:eastAsia="仿宋"/>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sz w:val="24"/>
        </w:rPr>
      </w:pPr>
      <w:r>
        <w:rPr>
          <w:rFonts w:hint="eastAsia" w:ascii="仿宋" w:hAnsi="仿宋" w:eastAsia="仿宋"/>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sz w:val="24"/>
        </w:rPr>
      </w:pPr>
      <w:r>
        <w:rPr>
          <w:rFonts w:hint="eastAsia" w:ascii="仿宋" w:hAnsi="仿宋" w:eastAsia="仿宋"/>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sz w:val="24"/>
        </w:rPr>
      </w:pPr>
      <w:r>
        <w:rPr>
          <w:rFonts w:hint="eastAsia" w:ascii="仿宋" w:hAnsi="仿宋" w:eastAsia="仿宋"/>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sz w:val="24"/>
        </w:rPr>
      </w:pPr>
    </w:p>
    <w:p>
      <w:pPr>
        <w:spacing w:line="520" w:lineRule="exact"/>
        <w:ind w:firstLine="360" w:firstLineChars="150"/>
        <w:jc w:val="left"/>
        <w:rPr>
          <w:rFonts w:ascii="仿宋" w:hAnsi="仿宋" w:eastAsia="仿宋"/>
          <w:sz w:val="24"/>
        </w:rPr>
      </w:pPr>
      <w:r>
        <w:rPr>
          <w:rFonts w:hint="eastAsia" w:ascii="仿宋" w:hAnsi="仿宋" w:eastAsia="仿宋"/>
          <w:sz w:val="24"/>
        </w:rPr>
        <w:t>五、甲方有要求乙方延迟一段合理时间再行交货的权利。</w:t>
      </w:r>
      <w:r>
        <w:rPr>
          <w:rFonts w:ascii="仿宋" w:hAnsi="仿宋" w:eastAsia="仿宋"/>
          <w:sz w:val="24"/>
        </w:rPr>
        <w:t xml:space="preserve"> </w:t>
      </w:r>
      <w:r>
        <w:rPr>
          <w:rFonts w:hint="eastAsia"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七、在项目终止或甲方订立本合同所依据的本项目合同终止时，甲方经书面通知可解除本合同，此种情况不作违约处理。</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八、所有交付到甲方现场的货物必须附有交货单。签字的交货单必须附在所有发票上作为本合同付款的前提条件。</w:t>
      </w:r>
      <w:r>
        <w:rPr>
          <w:rFonts w:ascii="仿宋" w:hAnsi="仿宋" w:eastAsia="仿宋"/>
          <w:sz w:val="24"/>
        </w:rPr>
        <w:t xml:space="preserve"> </w:t>
      </w:r>
      <w:r>
        <w:rPr>
          <w:rFonts w:hint="eastAsia"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sz w:val="24"/>
        </w:rPr>
        <w:t xml:space="preserve"> </w:t>
      </w:r>
      <w:r>
        <w:rPr>
          <w:rFonts w:hint="eastAsia"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十二、因乙方全部或部分违约导致双方发生的诉讼</w:t>
      </w:r>
      <w:r>
        <w:rPr>
          <w:rFonts w:ascii="仿宋" w:hAnsi="仿宋" w:eastAsia="仿宋"/>
          <w:sz w:val="24"/>
        </w:rPr>
        <w:t>/</w:t>
      </w:r>
      <w:r>
        <w:rPr>
          <w:rFonts w:hint="eastAsia" w:ascii="仿宋" w:hAnsi="仿宋" w:eastAsia="仿宋"/>
          <w:sz w:val="24"/>
        </w:rPr>
        <w:t>仲裁或甲方与第三方发生的诉讼</w:t>
      </w:r>
      <w:r>
        <w:rPr>
          <w:rFonts w:ascii="仿宋" w:hAnsi="仿宋" w:eastAsia="仿宋"/>
          <w:sz w:val="24"/>
        </w:rPr>
        <w:t>/</w:t>
      </w:r>
      <w:r>
        <w:rPr>
          <w:rFonts w:hint="eastAsia" w:ascii="仿宋" w:hAnsi="仿宋" w:eastAsia="仿宋"/>
          <w:sz w:val="24"/>
        </w:rPr>
        <w:t>仲裁，乙方同意承担甲方因此而支出的全部诉讼费、律师费、调查费、交通费及其他合理费用。</w:t>
      </w:r>
      <w:r>
        <w:rPr>
          <w:rFonts w:ascii="仿宋" w:hAnsi="仿宋" w:eastAsia="仿宋"/>
          <w:sz w:val="24"/>
        </w:rPr>
        <w:t xml:space="preserve"> </w:t>
      </w:r>
      <w:r>
        <w:rPr>
          <w:rFonts w:hint="eastAsia"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十三、未经甲方书面同意，乙方不得将本合同的工作内容全部或部分转让给任何第三人。</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sz w:val="24"/>
        </w:rPr>
      </w:pPr>
      <w:r>
        <w:rPr>
          <w:rFonts w:hint="eastAsia" w:ascii="仿宋" w:hAnsi="仿宋" w:eastAsia="仿宋"/>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sz w:val="24"/>
        </w:rPr>
        <w:t xml:space="preserve"> </w:t>
      </w:r>
    </w:p>
    <w:p>
      <w:pPr>
        <w:spacing w:line="520" w:lineRule="exact"/>
        <w:ind w:firstLine="482" w:firstLineChars="200"/>
        <w:jc w:val="center"/>
        <w:rPr>
          <w:rFonts w:ascii="仿宋" w:hAnsi="仿宋" w:eastAsia="仿宋"/>
          <w:b/>
          <w:sz w:val="24"/>
        </w:rPr>
      </w:pPr>
      <w:r>
        <w:rPr>
          <w:rFonts w:hint="eastAsia" w:ascii="仿宋" w:hAnsi="仿宋" w:eastAsia="仿宋"/>
          <w:b/>
          <w:sz w:val="24"/>
        </w:rPr>
        <w:t>第二部分 专用条款</w:t>
      </w:r>
    </w:p>
    <w:p>
      <w:pPr>
        <w:spacing w:line="520" w:lineRule="exact"/>
        <w:ind w:firstLine="361" w:firstLineChars="150"/>
        <w:jc w:val="left"/>
        <w:rPr>
          <w:rFonts w:ascii="仿宋" w:hAnsi="仿宋" w:eastAsia="仿宋"/>
          <w:b/>
          <w:sz w:val="24"/>
        </w:rPr>
      </w:pPr>
      <w:r>
        <w:rPr>
          <w:rFonts w:hint="eastAsia" w:ascii="仿宋" w:hAnsi="仿宋" w:eastAsia="仿宋"/>
          <w:b/>
          <w:sz w:val="24"/>
        </w:rPr>
        <w:t>一、</w:t>
      </w:r>
      <w:r>
        <w:rPr>
          <w:rFonts w:ascii="仿宋" w:hAnsi="仿宋" w:eastAsia="仿宋"/>
          <w:b/>
          <w:sz w:val="24"/>
        </w:rPr>
        <w:t xml:space="preserve"> </w:t>
      </w:r>
      <w:r>
        <w:rPr>
          <w:rFonts w:hint="eastAsia" w:ascii="仿宋" w:hAnsi="仿宋" w:eastAsia="仿宋"/>
          <w:b/>
          <w:sz w:val="24"/>
        </w:rPr>
        <w:t>合同标的</w:t>
      </w:r>
      <w:r>
        <w:rPr>
          <w:rFonts w:ascii="仿宋" w:hAnsi="仿宋" w:eastAsia="仿宋"/>
          <w:b/>
          <w:sz w:val="24"/>
        </w:rPr>
        <w:t xml:space="preserve"> </w:t>
      </w:r>
    </w:p>
    <w:p>
      <w:pPr>
        <w:spacing w:line="520" w:lineRule="exact"/>
        <w:ind w:firstLine="360" w:firstLineChars="150"/>
        <w:jc w:val="left"/>
        <w:rPr>
          <w:rFonts w:ascii="仿宋" w:hAnsi="仿宋" w:eastAsia="仿宋"/>
          <w:sz w:val="24"/>
        </w:rPr>
      </w:pPr>
      <w:r>
        <w:rPr>
          <w:rFonts w:ascii="仿宋" w:hAnsi="仿宋" w:eastAsia="仿宋"/>
          <w:sz w:val="24"/>
        </w:rPr>
        <w:t>1</w:t>
      </w:r>
      <w:r>
        <w:rPr>
          <w:rFonts w:hint="eastAsia" w:ascii="仿宋" w:hAnsi="仿宋" w:eastAsia="仿宋"/>
          <w:sz w:val="24"/>
        </w:rPr>
        <w:t>、货物</w:t>
      </w:r>
      <w:r>
        <w:rPr>
          <w:rFonts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sz w:val="24"/>
        </w:rPr>
        <w:t xml:space="preserve"> </w:t>
      </w:r>
      <w:r>
        <w:rPr>
          <w:rFonts w:hint="eastAsia" w:ascii="仿宋" w:hAnsi="仿宋" w:eastAsia="仿宋"/>
          <w:sz w:val="24"/>
        </w:rPr>
        <w:t xml:space="preserve">                 </w:t>
      </w:r>
    </w:p>
    <w:p>
      <w:pPr>
        <w:spacing w:line="520" w:lineRule="exact"/>
        <w:ind w:firstLine="360" w:firstLineChars="150"/>
        <w:jc w:val="left"/>
        <w:rPr>
          <w:rFonts w:ascii="仿宋" w:hAnsi="仿宋" w:eastAsia="仿宋"/>
          <w:sz w:val="24"/>
        </w:rPr>
      </w:pPr>
      <w:r>
        <w:rPr>
          <w:rFonts w:hint="eastAsia" w:ascii="仿宋" w:hAnsi="仿宋" w:eastAsia="仿宋"/>
          <w:sz w:val="24"/>
        </w:rPr>
        <w:t>注</w:t>
      </w:r>
      <w:r>
        <w:rPr>
          <w:rFonts w:ascii="仿宋" w:hAnsi="仿宋" w:eastAsia="仿宋"/>
          <w:sz w:val="24"/>
        </w:rPr>
        <w:t>:</w:t>
      </w:r>
      <w:r>
        <w:rPr>
          <w:rFonts w:hint="eastAsia" w:ascii="仿宋" w:hAnsi="仿宋" w:eastAsia="仿宋"/>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 w:hAnsi="仿宋" w:eastAsia="仿宋"/>
          <w:sz w:val="24"/>
        </w:rPr>
      </w:pPr>
      <w:r>
        <w:rPr>
          <w:rFonts w:hint="eastAsia" w:ascii="仿宋" w:hAnsi="仿宋" w:eastAsia="仿宋"/>
          <w:sz w:val="24"/>
        </w:rPr>
        <w:t>2、数量及价格：详细技术要求见附件</w:t>
      </w:r>
    </w:p>
    <w:p>
      <w:pPr>
        <w:spacing w:line="520" w:lineRule="exact"/>
        <w:ind w:firstLine="480" w:firstLineChars="200"/>
        <w:jc w:val="left"/>
        <w:rPr>
          <w:rFonts w:ascii="仿宋" w:hAnsi="仿宋" w:eastAsia="仿宋"/>
          <w:sz w:val="24"/>
        </w:rPr>
      </w:pPr>
    </w:p>
    <w:tbl>
      <w:tblPr>
        <w:tblStyle w:val="60"/>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764"/>
        <w:gridCol w:w="1244"/>
        <w:gridCol w:w="836"/>
        <w:gridCol w:w="1045"/>
        <w:gridCol w:w="700"/>
        <w:gridCol w:w="648"/>
        <w:gridCol w:w="1030"/>
        <w:gridCol w:w="802"/>
        <w:gridCol w:w="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szCs w:val="21"/>
              </w:rPr>
            </w:pPr>
            <w:r>
              <w:rPr>
                <w:rFonts w:hint="eastAsia" w:ascii="仿宋" w:hAnsi="仿宋" w:eastAsia="仿宋"/>
                <w:szCs w:val="21"/>
              </w:rPr>
              <w:t>序号</w:t>
            </w:r>
          </w:p>
        </w:tc>
        <w:tc>
          <w:tcPr>
            <w:tcW w:w="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szCs w:val="21"/>
              </w:rPr>
            </w:pPr>
            <w:r>
              <w:rPr>
                <w:rFonts w:hint="eastAsia" w:ascii="仿宋" w:hAnsi="仿宋" w:eastAsia="仿宋"/>
                <w:szCs w:val="21"/>
              </w:rPr>
              <w:t>物品名称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Cs w:val="21"/>
              </w:rPr>
            </w:pPr>
            <w:r>
              <w:rPr>
                <w:rFonts w:hint="eastAsia" w:ascii="仿宋" w:hAnsi="仿宋" w:eastAsia="仿宋"/>
                <w:szCs w:val="21"/>
              </w:rPr>
              <w:t>生产厂家或</w:t>
            </w:r>
          </w:p>
          <w:p>
            <w:pPr>
              <w:spacing w:line="520" w:lineRule="exact"/>
              <w:jc w:val="center"/>
              <w:rPr>
                <w:rFonts w:ascii="仿宋" w:hAnsi="仿宋" w:eastAsia="仿宋"/>
                <w:szCs w:val="21"/>
              </w:rPr>
            </w:pPr>
            <w:r>
              <w:rPr>
                <w:rFonts w:hint="eastAsia" w:ascii="仿宋" w:hAnsi="仿宋" w:eastAsia="仿宋"/>
                <w:szCs w:val="21"/>
              </w:rPr>
              <w:t>品牌</w:t>
            </w: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Cs w:val="21"/>
              </w:rPr>
            </w:pPr>
            <w:r>
              <w:rPr>
                <w:rFonts w:hint="eastAsia" w:ascii="仿宋" w:hAnsi="仿宋" w:eastAsia="仿宋"/>
                <w:szCs w:val="21"/>
              </w:rPr>
              <w:t>规格</w:t>
            </w:r>
          </w:p>
          <w:p>
            <w:pPr>
              <w:spacing w:line="520" w:lineRule="exact"/>
              <w:jc w:val="center"/>
              <w:rPr>
                <w:rFonts w:ascii="仿宋" w:hAnsi="仿宋" w:eastAsia="仿宋"/>
                <w:szCs w:val="21"/>
              </w:rPr>
            </w:pPr>
            <w:r>
              <w:rPr>
                <w:rFonts w:hint="eastAsia" w:ascii="仿宋" w:hAnsi="仿宋" w:eastAsia="仿宋"/>
                <w:szCs w:val="21"/>
              </w:rPr>
              <w:t>型号</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Cs w:val="21"/>
              </w:rPr>
            </w:pPr>
            <w:r>
              <w:rPr>
                <w:rFonts w:hint="eastAsia" w:ascii="仿宋" w:hAnsi="仿宋" w:eastAsia="仿宋"/>
                <w:szCs w:val="21"/>
              </w:rPr>
              <w:t>技术</w:t>
            </w:r>
          </w:p>
          <w:p>
            <w:pPr>
              <w:spacing w:line="520" w:lineRule="exact"/>
              <w:jc w:val="center"/>
              <w:rPr>
                <w:rFonts w:ascii="仿宋" w:hAnsi="仿宋" w:eastAsia="仿宋"/>
                <w:szCs w:val="21"/>
              </w:rPr>
            </w:pPr>
            <w:r>
              <w:rPr>
                <w:rFonts w:hint="eastAsia" w:ascii="仿宋" w:hAnsi="仿宋" w:eastAsia="仿宋"/>
                <w:szCs w:val="21"/>
              </w:rPr>
              <w:t>参数</w:t>
            </w: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 w:hAnsi="仿宋" w:eastAsia="仿宋"/>
                <w:szCs w:val="21"/>
              </w:rPr>
            </w:pPr>
          </w:p>
          <w:p>
            <w:pPr>
              <w:spacing w:line="520" w:lineRule="exact"/>
              <w:rPr>
                <w:rFonts w:hint="eastAsia" w:ascii="仿宋" w:hAnsi="仿宋" w:eastAsia="仿宋"/>
                <w:szCs w:val="21"/>
              </w:rPr>
            </w:pPr>
            <w:r>
              <w:rPr>
                <w:rFonts w:hint="eastAsia" w:ascii="仿宋" w:hAnsi="仿宋" w:eastAsia="仿宋"/>
                <w:szCs w:val="21"/>
              </w:rPr>
              <w:t>单位</w:t>
            </w: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Cs w:val="21"/>
              </w:rPr>
            </w:pPr>
            <w:r>
              <w:rPr>
                <w:rFonts w:hint="eastAsia" w:ascii="仿宋" w:hAnsi="仿宋" w:eastAsia="仿宋"/>
                <w:szCs w:val="21"/>
              </w:rPr>
              <w:t>数量</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Cs w:val="21"/>
              </w:rPr>
            </w:pPr>
            <w:r>
              <w:rPr>
                <w:rFonts w:hint="eastAsia" w:ascii="仿宋" w:hAnsi="仿宋" w:eastAsia="仿宋"/>
                <w:szCs w:val="21"/>
              </w:rPr>
              <w:t>含税</w:t>
            </w:r>
          </w:p>
          <w:p>
            <w:pPr>
              <w:spacing w:line="520" w:lineRule="exact"/>
              <w:jc w:val="center"/>
              <w:rPr>
                <w:rFonts w:ascii="仿宋" w:hAnsi="仿宋" w:eastAsia="仿宋"/>
                <w:szCs w:val="21"/>
              </w:rPr>
            </w:pPr>
            <w:r>
              <w:rPr>
                <w:rFonts w:hint="eastAsia" w:ascii="仿宋" w:hAnsi="仿宋" w:eastAsia="仿宋"/>
                <w:szCs w:val="21"/>
              </w:rPr>
              <w:t>单价</w:t>
            </w:r>
          </w:p>
          <w:p>
            <w:pPr>
              <w:spacing w:line="520" w:lineRule="exact"/>
              <w:jc w:val="center"/>
              <w:rPr>
                <w:rFonts w:ascii="仿宋" w:hAnsi="仿宋" w:eastAsia="仿宋"/>
                <w:szCs w:val="21"/>
              </w:rPr>
            </w:pPr>
            <w:r>
              <w:rPr>
                <w:rFonts w:hint="eastAsia" w:ascii="仿宋" w:hAnsi="仿宋" w:eastAsia="仿宋"/>
                <w:szCs w:val="21"/>
              </w:rPr>
              <w:t>(元)</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仿宋" w:hAnsi="仿宋" w:eastAsia="仿宋"/>
                <w:szCs w:val="21"/>
              </w:rPr>
            </w:pPr>
            <w:r>
              <w:rPr>
                <w:rFonts w:hint="eastAsia" w:ascii="仿宋" w:hAnsi="仿宋" w:eastAsia="仿宋"/>
                <w:szCs w:val="21"/>
              </w:rPr>
              <w:t>合计</w:t>
            </w: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 w:hAnsi="仿宋" w:eastAsia="仿宋"/>
                <w:szCs w:val="21"/>
              </w:rPr>
            </w:pPr>
          </w:p>
          <w:p>
            <w:pPr>
              <w:spacing w:line="520" w:lineRule="exact"/>
              <w:ind w:firstLine="105" w:firstLineChars="50"/>
              <w:rPr>
                <w:rFonts w:hint="eastAsia"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sz w:val="24"/>
              </w:rPr>
            </w:pPr>
            <w:r>
              <w:rPr>
                <w:rFonts w:hint="eastAsia" w:ascii="仿宋" w:hAnsi="仿宋" w:eastAsia="仿宋"/>
                <w:sz w:val="24"/>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sz w:val="24"/>
              </w:rPr>
            </w:pPr>
            <w:r>
              <w:rPr>
                <w:rFonts w:hint="eastAsia" w:ascii="仿宋" w:hAnsi="仿宋" w:eastAsia="仿宋"/>
                <w:sz w:val="24"/>
              </w:rPr>
              <w:t>2</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sz w:val="24"/>
              </w:rPr>
            </w:pPr>
            <w:r>
              <w:rPr>
                <w:rFonts w:hint="eastAsia" w:ascii="仿宋" w:hAnsi="仿宋" w:eastAsia="仿宋"/>
                <w:sz w:val="24"/>
              </w:rPr>
              <w:t>3</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13" w:type="dxa"/>
            <w:gridSpan w:val="10"/>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hint="eastAsia" w:ascii="仿宋" w:hAnsi="仿宋" w:eastAsia="仿宋"/>
                <w:sz w:val="24"/>
              </w:rPr>
            </w:pPr>
            <w:r>
              <w:rPr>
                <w:rFonts w:hint="eastAsia" w:ascii="仿宋" w:hAnsi="仿宋" w:eastAsia="仿宋"/>
                <w:sz w:val="24"/>
              </w:rPr>
              <w:t>总计：人民币（大写）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13" w:type="dxa"/>
            <w:gridSpan w:val="10"/>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 w:hAnsi="仿宋" w:eastAsia="仿宋"/>
                <w:sz w:val="24"/>
              </w:rPr>
            </w:pPr>
            <w:r>
              <w:rPr>
                <w:rFonts w:hint="eastAsia" w:ascii="仿宋" w:hAnsi="仿宋" w:eastAsia="仿宋"/>
                <w:sz w:val="24"/>
              </w:rPr>
              <w:t>说明：含运输费、装卸费、技术指导、含增值税</w:t>
            </w:r>
          </w:p>
        </w:tc>
      </w:tr>
    </w:tbl>
    <w:p>
      <w:pPr>
        <w:spacing w:line="520" w:lineRule="exact"/>
        <w:jc w:val="left"/>
        <w:rPr>
          <w:rFonts w:hint="eastAsia" w:ascii="仿宋" w:hAnsi="仿宋" w:eastAsia="仿宋"/>
          <w:sz w:val="24"/>
        </w:rPr>
      </w:pPr>
    </w:p>
    <w:p>
      <w:pPr>
        <w:spacing w:line="520" w:lineRule="exact"/>
        <w:ind w:firstLine="360" w:firstLineChars="150"/>
        <w:jc w:val="left"/>
        <w:rPr>
          <w:rFonts w:ascii="仿宋" w:hAnsi="仿宋" w:eastAsia="仿宋"/>
          <w:sz w:val="24"/>
        </w:rPr>
      </w:pPr>
      <w:r>
        <w:rPr>
          <w:rFonts w:hint="eastAsia" w:ascii="仿宋" w:hAnsi="仿宋" w:eastAsia="仿宋"/>
          <w:sz w:val="24"/>
        </w:rPr>
        <w:t>3、本合同为固定单价，合同总价为人民币大写：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元整（小写：</w:t>
      </w:r>
      <w:r>
        <w:rPr>
          <w:rFonts w:ascii="Calibri" w:hAnsi="Calibri" w:eastAsia="仿宋" w:cs="Calibri"/>
          <w:sz w:val="24"/>
        </w:rPr>
        <w:t>¥</w:t>
      </w:r>
      <w:r>
        <w:rPr>
          <w:rFonts w:ascii="仿宋" w:hAnsi="仿宋" w:eastAsia="仿宋"/>
          <w:sz w:val="24"/>
          <w:u w:val="single"/>
        </w:rPr>
        <w:t xml:space="preserve">          </w:t>
      </w:r>
      <w:r>
        <w:rPr>
          <w:rFonts w:hint="eastAsia" w:ascii="仿宋" w:hAnsi="仿宋" w:eastAsia="仿宋"/>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566" w:firstLineChars="236"/>
        <w:rPr>
          <w:rFonts w:hint="eastAsia" w:ascii="仿宋" w:hAnsi="仿宋" w:eastAsia="仿宋"/>
          <w:bCs/>
          <w:sz w:val="24"/>
        </w:rPr>
      </w:pPr>
      <w:r>
        <w:rPr>
          <w:rFonts w:hint="eastAsia" w:ascii="仿宋" w:hAnsi="仿宋" w:eastAsia="仿宋"/>
          <w:sz w:val="24"/>
        </w:rPr>
        <w:t xml:space="preserve">4、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但因产品升级换代而改变产品规格、参数的情形除外，此种情形需形成书面情况说明，并由双方盖章或签字确认后执行。  </w:t>
      </w:r>
    </w:p>
    <w:p>
      <w:pPr>
        <w:spacing w:line="520" w:lineRule="exact"/>
        <w:ind w:firstLine="361" w:firstLineChars="150"/>
        <w:rPr>
          <w:rFonts w:ascii="仿宋" w:hAnsi="仿宋" w:eastAsia="仿宋"/>
          <w:b/>
          <w:sz w:val="24"/>
        </w:rPr>
      </w:pPr>
      <w:r>
        <w:rPr>
          <w:rFonts w:hint="eastAsia" w:ascii="仿宋" w:hAnsi="仿宋" w:eastAsia="仿宋"/>
          <w:b/>
          <w:sz w:val="24"/>
        </w:rPr>
        <w:t>二、质量保证</w:t>
      </w:r>
    </w:p>
    <w:p>
      <w:pPr>
        <w:spacing w:line="520" w:lineRule="exact"/>
        <w:ind w:firstLine="360" w:firstLineChars="150"/>
        <w:rPr>
          <w:rFonts w:hint="eastAsia" w:ascii="仿宋" w:hAnsi="仿宋" w:eastAsia="仿宋"/>
          <w:sz w:val="24"/>
        </w:rPr>
      </w:pPr>
      <w:r>
        <w:rPr>
          <w:rFonts w:ascii="仿宋" w:hAnsi="仿宋" w:eastAsia="仿宋"/>
          <w:sz w:val="24"/>
        </w:rPr>
        <w:t>1</w:t>
      </w:r>
      <w:r>
        <w:rPr>
          <w:rFonts w:hint="eastAsia" w:ascii="仿宋" w:hAnsi="仿宋" w:eastAsia="仿宋"/>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sz w:val="24"/>
        </w:rPr>
      </w:pPr>
      <w:r>
        <w:rPr>
          <w:rFonts w:ascii="仿宋" w:hAnsi="仿宋" w:eastAsia="仿宋"/>
          <w:sz w:val="24"/>
        </w:rPr>
        <w:t>2</w:t>
      </w:r>
      <w:r>
        <w:rPr>
          <w:rFonts w:hint="eastAsia" w:ascii="仿宋" w:hAnsi="仿宋" w:eastAsia="仿宋"/>
          <w:sz w:val="24"/>
        </w:rPr>
        <w:t>、乙方保证本合同货物是符合国家技术规格和国家质量标准的出厂原装合格产品，产品型号、数量、规格及技术、质量标准、售后服务必须满足甲方和自治区政府采购合同定点采购要求。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sz w:val="24"/>
        </w:rPr>
      </w:pPr>
      <w:r>
        <w:rPr>
          <w:rFonts w:ascii="仿宋" w:hAnsi="仿宋" w:eastAsia="仿宋"/>
          <w:sz w:val="24"/>
        </w:rPr>
        <w:t>3</w:t>
      </w:r>
      <w:r>
        <w:rPr>
          <w:rFonts w:hint="eastAsia" w:ascii="仿宋" w:hAnsi="仿宋" w:eastAsia="仿宋"/>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sz w:val="24"/>
        </w:rPr>
      </w:pPr>
      <w:r>
        <w:rPr>
          <w:rFonts w:ascii="仿宋" w:hAnsi="仿宋" w:eastAsia="仿宋"/>
          <w:sz w:val="24"/>
        </w:rPr>
        <w:t>4</w:t>
      </w:r>
      <w:r>
        <w:rPr>
          <w:rFonts w:hint="eastAsia" w:ascii="仿宋" w:hAnsi="仿宋" w:eastAsia="仿宋"/>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1" w:firstLineChars="150"/>
        <w:rPr>
          <w:rFonts w:ascii="仿宋" w:hAnsi="仿宋" w:eastAsia="仿宋"/>
          <w:b/>
          <w:sz w:val="24"/>
        </w:rPr>
      </w:pPr>
      <w:r>
        <w:rPr>
          <w:rFonts w:hint="eastAsia" w:ascii="仿宋" w:hAnsi="仿宋" w:eastAsia="仿宋"/>
          <w:b/>
          <w:sz w:val="24"/>
        </w:rPr>
        <w:t>三、质量保证期</w:t>
      </w:r>
    </w:p>
    <w:p>
      <w:pPr>
        <w:spacing w:line="520" w:lineRule="exact"/>
        <w:ind w:firstLine="360" w:firstLineChars="150"/>
        <w:rPr>
          <w:rFonts w:ascii="仿宋" w:hAnsi="仿宋" w:eastAsia="仿宋"/>
          <w:sz w:val="24"/>
        </w:rPr>
      </w:pPr>
      <w:r>
        <w:rPr>
          <w:rFonts w:hint="eastAsia" w:ascii="仿宋" w:hAnsi="仿宋" w:eastAsia="仿宋"/>
          <w:sz w:val="24"/>
        </w:rPr>
        <w:t>1、合同内货物质保期至少为</w:t>
      </w:r>
      <w:r>
        <w:rPr>
          <w:rFonts w:hint="eastAsia" w:ascii="仿宋" w:hAnsi="仿宋" w:eastAsia="仿宋"/>
          <w:sz w:val="24"/>
          <w:u w:val="single"/>
        </w:rPr>
        <w:t xml:space="preserve">    </w:t>
      </w:r>
      <w:r>
        <w:rPr>
          <w:rFonts w:hint="eastAsia" w:ascii="仿宋" w:hAnsi="仿宋" w:eastAsia="仿宋"/>
          <w:sz w:val="24"/>
        </w:rPr>
        <w:t>年，质保期自甲方书面验收合格后，乙方开具发票之日起计算。具体质保期以相关产品生产厂家提供的质保期为准。生产厂家提供的质保期少于</w:t>
      </w:r>
      <w:r>
        <w:rPr>
          <w:rFonts w:hint="eastAsia" w:ascii="仿宋" w:hAnsi="仿宋" w:eastAsia="仿宋"/>
          <w:sz w:val="24"/>
          <w:u w:val="single"/>
        </w:rPr>
        <w:t xml:space="preserve">    </w:t>
      </w:r>
      <w:r>
        <w:rPr>
          <w:rFonts w:hint="eastAsia" w:ascii="仿宋" w:hAnsi="仿宋" w:eastAsia="仿宋"/>
          <w:sz w:val="24"/>
        </w:rPr>
        <w:t>年的，以</w:t>
      </w:r>
      <w:r>
        <w:rPr>
          <w:rFonts w:hint="eastAsia" w:ascii="仿宋" w:hAnsi="仿宋" w:eastAsia="仿宋"/>
          <w:sz w:val="24"/>
          <w:u w:val="single"/>
        </w:rPr>
        <w:t xml:space="preserve">    </w:t>
      </w:r>
      <w:r>
        <w:rPr>
          <w:rFonts w:hint="eastAsia" w:ascii="仿宋" w:hAnsi="仿宋" w:eastAsia="仿宋"/>
          <w:sz w:val="24"/>
        </w:rPr>
        <w:t>年为准；生产厂家提供的质保期长于</w:t>
      </w:r>
      <w:r>
        <w:rPr>
          <w:rFonts w:hint="eastAsia" w:ascii="仿宋" w:hAnsi="仿宋" w:eastAsia="仿宋"/>
          <w:sz w:val="24"/>
          <w:u w:val="single"/>
        </w:rPr>
        <w:t xml:space="preserve">   </w:t>
      </w:r>
      <w:r>
        <w:rPr>
          <w:rFonts w:hint="eastAsia" w:ascii="仿宋" w:hAnsi="仿宋" w:eastAsia="仿宋"/>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sz w:val="24"/>
        </w:rPr>
      </w:pPr>
      <w:r>
        <w:rPr>
          <w:rFonts w:hint="eastAsia" w:ascii="仿宋" w:hAnsi="仿宋" w:eastAsia="仿宋"/>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pacing w:line="520" w:lineRule="exact"/>
        <w:ind w:firstLine="361" w:firstLineChars="150"/>
        <w:rPr>
          <w:rFonts w:ascii="仿宋" w:hAnsi="仿宋" w:eastAsia="仿宋"/>
          <w:b/>
          <w:sz w:val="24"/>
        </w:rPr>
      </w:pPr>
      <w:r>
        <w:rPr>
          <w:rFonts w:hint="eastAsia" w:ascii="仿宋" w:hAnsi="仿宋" w:eastAsia="仿宋"/>
          <w:b/>
          <w:sz w:val="24"/>
        </w:rPr>
        <w:t>四、交货（或安装）时间、地点</w:t>
      </w:r>
    </w:p>
    <w:p>
      <w:pPr>
        <w:spacing w:line="520" w:lineRule="exact"/>
        <w:ind w:firstLine="360" w:firstLineChars="150"/>
        <w:rPr>
          <w:rFonts w:hint="eastAsia" w:ascii="仿宋" w:hAnsi="仿宋" w:eastAsia="仿宋"/>
          <w:sz w:val="24"/>
        </w:rPr>
      </w:pPr>
      <w:r>
        <w:rPr>
          <w:rFonts w:hint="eastAsia" w:ascii="仿宋" w:hAnsi="仿宋" w:eastAsia="仿宋"/>
          <w:sz w:val="24"/>
        </w:rPr>
        <w:t>1、乙方于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日前将货物送达（并安装调试完毕）至以下指定地点：</w:t>
      </w:r>
      <w:r>
        <w:rPr>
          <w:rFonts w:hint="eastAsia" w:ascii="仿宋" w:hAnsi="仿宋" w:eastAsia="仿宋"/>
          <w:sz w:val="24"/>
          <w:u w:val="single"/>
        </w:rPr>
        <w:t xml:space="preserve">                          </w:t>
      </w:r>
      <w:r>
        <w:rPr>
          <w:rFonts w:hint="eastAsia" w:ascii="仿宋" w:hAnsi="仿宋" w:eastAsia="仿宋"/>
          <w:sz w:val="24"/>
        </w:rPr>
        <w:t>，并确保在</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天内配合甲方完成验收工作。</w:t>
      </w:r>
    </w:p>
    <w:p>
      <w:pPr>
        <w:spacing w:line="520" w:lineRule="exact"/>
        <w:ind w:firstLine="360" w:firstLineChars="150"/>
        <w:rPr>
          <w:rFonts w:ascii="仿宋" w:hAnsi="仿宋" w:eastAsia="仿宋"/>
          <w:sz w:val="24"/>
          <w:u w:val="single"/>
        </w:rPr>
      </w:pPr>
      <w:r>
        <w:rPr>
          <w:rFonts w:hint="eastAsia" w:ascii="仿宋" w:hAnsi="仿宋" w:eastAsia="仿宋"/>
          <w:sz w:val="24"/>
        </w:rPr>
        <w:t>2、到货地点和接货单位（或接货人）</w:t>
      </w:r>
      <w:r>
        <w:rPr>
          <w:rFonts w:hint="eastAsia" w:ascii="仿宋" w:hAnsi="仿宋" w:eastAsia="仿宋"/>
          <w:sz w:val="24"/>
          <w:u w:val="single"/>
        </w:rPr>
        <w:t xml:space="preserve">             </w:t>
      </w:r>
      <w:r>
        <w:rPr>
          <w:rFonts w:hint="eastAsia" w:ascii="仿宋" w:hAnsi="仿宋" w:eastAsia="仿宋"/>
          <w:sz w:val="24"/>
        </w:rPr>
        <w:t>。甲方指定的接货人为：姓名：</w:t>
      </w:r>
      <w:r>
        <w:rPr>
          <w:rFonts w:hint="eastAsia" w:ascii="仿宋" w:hAnsi="仿宋" w:eastAsia="仿宋"/>
          <w:sz w:val="24"/>
          <w:u w:val="single"/>
        </w:rPr>
        <w:t xml:space="preserve">     </w:t>
      </w:r>
      <w:r>
        <w:rPr>
          <w:rFonts w:hint="eastAsia" w:ascii="仿宋" w:hAnsi="仿宋" w:eastAsia="仿宋"/>
          <w:sz w:val="24"/>
        </w:rPr>
        <w:t>，身份证号：</w:t>
      </w:r>
      <w:r>
        <w:rPr>
          <w:rFonts w:hint="eastAsia" w:ascii="仿宋" w:hAnsi="仿宋" w:eastAsia="仿宋"/>
          <w:sz w:val="24"/>
          <w:u w:val="single"/>
        </w:rPr>
        <w:t xml:space="preserve">            </w:t>
      </w:r>
      <w:r>
        <w:rPr>
          <w:rFonts w:hint="eastAsia" w:ascii="仿宋" w:hAnsi="仿宋" w:eastAsia="仿宋"/>
          <w:sz w:val="24"/>
        </w:rPr>
        <w:t>；双方明确，除该指定接货人外，其他任何人员（包括甲方的其他任何工作人员）签署的接货单，甲方均不予认可。</w:t>
      </w:r>
    </w:p>
    <w:p>
      <w:pPr>
        <w:spacing w:line="520" w:lineRule="exact"/>
        <w:rPr>
          <w:rFonts w:ascii="仿宋" w:hAnsi="仿宋" w:eastAsia="仿宋"/>
          <w:sz w:val="24"/>
        </w:rPr>
      </w:pPr>
      <w:r>
        <w:rPr>
          <w:rFonts w:hint="eastAsia" w:ascii="仿宋" w:hAnsi="仿宋" w:eastAsia="仿宋"/>
          <w:sz w:val="24"/>
        </w:rPr>
        <w:t xml:space="preserve">   3、在交付时，乙方必须向甲方提供保修凭证等一切相关资料及配件，否则，甲方有权不予付款且不承担违约责任。</w:t>
      </w:r>
    </w:p>
    <w:p>
      <w:pPr>
        <w:spacing w:line="520" w:lineRule="exact"/>
        <w:ind w:firstLine="360" w:firstLineChars="150"/>
        <w:rPr>
          <w:rFonts w:hint="eastAsia" w:ascii="仿宋" w:hAnsi="仿宋" w:eastAsia="仿宋"/>
          <w:sz w:val="24"/>
        </w:rPr>
      </w:pPr>
      <w:r>
        <w:rPr>
          <w:rFonts w:hint="eastAsia" w:ascii="仿宋" w:hAnsi="仿宋" w:eastAsia="仿宋"/>
          <w:sz w:val="24"/>
        </w:rPr>
        <w:t>4、货物交付完成且经甲方验收合格前，本合同项下商品的损毁灭失风险由乙方承担，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乙方应承担货物外观验收完成之日前毁损灭失风险。</w:t>
      </w:r>
    </w:p>
    <w:p>
      <w:pPr>
        <w:spacing w:line="520" w:lineRule="exact"/>
        <w:ind w:firstLine="360" w:firstLineChars="150"/>
        <w:rPr>
          <w:rFonts w:hint="eastAsia" w:ascii="仿宋" w:hAnsi="仿宋" w:eastAsia="仿宋"/>
          <w:sz w:val="24"/>
        </w:rPr>
      </w:pPr>
      <w:r>
        <w:rPr>
          <w:rFonts w:hint="eastAsia" w:ascii="仿宋" w:hAnsi="仿宋" w:eastAsia="仿宋"/>
          <w:sz w:val="24"/>
        </w:rPr>
        <w:t>5、在安装期间，因物件发生的事故及人身伤亡，由乙方承担责任。与甲方无关，甲方不付相关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w:t>
      </w:r>
    </w:p>
    <w:p>
      <w:pPr>
        <w:spacing w:line="520" w:lineRule="exact"/>
        <w:ind w:firstLine="361" w:firstLineChars="150"/>
        <w:rPr>
          <w:rFonts w:ascii="仿宋" w:hAnsi="仿宋" w:eastAsia="仿宋"/>
          <w:b/>
          <w:sz w:val="24"/>
        </w:rPr>
      </w:pPr>
      <w:r>
        <w:rPr>
          <w:rFonts w:hint="eastAsia" w:ascii="仿宋" w:hAnsi="仿宋" w:eastAsia="仿宋"/>
          <w:b/>
          <w:sz w:val="24"/>
        </w:rPr>
        <w:t>五、产品包装及运输</w:t>
      </w:r>
    </w:p>
    <w:p>
      <w:pPr>
        <w:spacing w:line="520" w:lineRule="exact"/>
        <w:ind w:firstLine="360" w:firstLineChars="150"/>
        <w:rPr>
          <w:rFonts w:ascii="仿宋" w:hAnsi="仿宋" w:eastAsia="仿宋" w:cs="Bookman Old Style"/>
          <w:bCs/>
          <w:sz w:val="24"/>
        </w:rPr>
      </w:pPr>
      <w:r>
        <w:rPr>
          <w:rFonts w:hint="eastAsia" w:ascii="仿宋" w:hAnsi="仿宋" w:eastAsia="仿宋" w:cs="Bookman Old Style"/>
          <w:bCs/>
          <w:sz w:val="24"/>
        </w:rPr>
        <w:t>１、包装必须与运输方式相适应，包装方式的确定和包装费用均由乙方负责</w:t>
      </w:r>
      <w:r>
        <w:rPr>
          <w:rFonts w:ascii="仿宋" w:hAnsi="仿宋" w:eastAsia="仿宋" w:cs="Bookman Old Style"/>
          <w:bCs/>
          <w:sz w:val="24"/>
        </w:rPr>
        <w:t>;</w:t>
      </w:r>
      <w:r>
        <w:rPr>
          <w:rFonts w:hint="eastAsia" w:ascii="仿宋" w:hAnsi="仿宋" w:eastAsia="仿宋" w:cs="Bookman Old Style"/>
          <w:bCs/>
          <w:sz w:val="24"/>
        </w:rPr>
        <w:t>由于不适当的包装而造成的货物有任何的损坏由乙方负责。</w:t>
      </w:r>
      <w:r>
        <w:rPr>
          <w:rFonts w:ascii="仿宋" w:hAnsi="仿宋" w:eastAsia="仿宋" w:cs="Bookman Old Style"/>
          <w:bCs/>
          <w:sz w:val="24"/>
        </w:rPr>
        <w:t xml:space="preserve"> </w:t>
      </w:r>
    </w:p>
    <w:p>
      <w:pPr>
        <w:spacing w:line="520" w:lineRule="exact"/>
        <w:ind w:firstLine="360" w:firstLineChars="150"/>
        <w:rPr>
          <w:rFonts w:ascii="仿宋" w:hAnsi="仿宋" w:eastAsia="仿宋" w:cs="Bookman Old Style"/>
          <w:bCs/>
          <w:sz w:val="24"/>
        </w:rPr>
      </w:pPr>
      <w:r>
        <w:rPr>
          <w:rFonts w:hint="eastAsia" w:ascii="仿宋" w:hAnsi="仿宋" w:eastAsia="仿宋" w:cs="Bookman Old Style"/>
          <w:bCs/>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sz w:val="24"/>
        </w:rPr>
        <w:t xml:space="preserve"> </w:t>
      </w:r>
    </w:p>
    <w:p>
      <w:pPr>
        <w:spacing w:line="520" w:lineRule="exact"/>
        <w:ind w:firstLine="360" w:firstLineChars="150"/>
        <w:rPr>
          <w:rFonts w:ascii="仿宋" w:hAnsi="仿宋" w:eastAsia="仿宋" w:cs="Bookman Old Style"/>
          <w:bCs/>
          <w:sz w:val="24"/>
        </w:rPr>
      </w:pPr>
      <w:r>
        <w:rPr>
          <w:rFonts w:hint="eastAsia" w:ascii="仿宋" w:hAnsi="仿宋" w:eastAsia="仿宋" w:cs="Bookman Old Style"/>
          <w:bCs/>
          <w:sz w:val="24"/>
        </w:rPr>
        <w:t>3、包装费、运输费、装卸费和保险费均已包含在合同单价内。</w:t>
      </w:r>
    </w:p>
    <w:p>
      <w:pPr>
        <w:spacing w:line="520" w:lineRule="exact"/>
        <w:ind w:firstLine="360" w:firstLineChars="150"/>
        <w:rPr>
          <w:rFonts w:ascii="仿宋" w:hAnsi="仿宋" w:eastAsia="仿宋" w:cs="Bookman Old Style"/>
          <w:bCs/>
          <w:sz w:val="24"/>
        </w:rPr>
      </w:pPr>
      <w:r>
        <w:rPr>
          <w:rFonts w:hint="eastAsia" w:ascii="仿宋" w:hAnsi="仿宋" w:eastAsia="仿宋" w:cs="Bookman Old Style"/>
          <w:bCs/>
          <w:sz w:val="24"/>
        </w:rPr>
        <w:t>4、运输途中的货物安全问题均由乙方负责。</w:t>
      </w:r>
    </w:p>
    <w:p>
      <w:pPr>
        <w:spacing w:line="520" w:lineRule="exact"/>
        <w:ind w:firstLine="361" w:firstLineChars="150"/>
        <w:rPr>
          <w:rFonts w:ascii="仿宋" w:hAnsi="仿宋" w:eastAsia="仿宋" w:cs="Bookman Old Style"/>
          <w:bCs/>
          <w:sz w:val="24"/>
        </w:rPr>
      </w:pPr>
      <w:r>
        <w:rPr>
          <w:rFonts w:hint="eastAsia" w:ascii="仿宋" w:hAnsi="仿宋" w:eastAsia="仿宋"/>
          <w:b/>
          <w:sz w:val="24"/>
        </w:rPr>
        <w:t>六、验收</w:t>
      </w:r>
    </w:p>
    <w:p>
      <w:pPr>
        <w:spacing w:line="520" w:lineRule="exact"/>
        <w:ind w:firstLine="360" w:firstLineChars="150"/>
        <w:rPr>
          <w:rFonts w:ascii="仿宋" w:hAnsi="仿宋" w:eastAsia="仿宋"/>
          <w:sz w:val="24"/>
        </w:rPr>
      </w:pPr>
      <w:r>
        <w:rPr>
          <w:rFonts w:ascii="仿宋" w:hAnsi="仿宋" w:eastAsia="仿宋"/>
          <w:sz w:val="24"/>
        </w:rPr>
        <w:t>1</w:t>
      </w:r>
      <w:r>
        <w:rPr>
          <w:rFonts w:hint="eastAsia" w:ascii="仿宋" w:hAnsi="仿宋" w:eastAsia="仿宋"/>
          <w:sz w:val="24"/>
        </w:rPr>
        <w:t>、在交货前，乙方应确保制造商对货物的有关内在和外观质量、规格、性能、数量和重量进行准确的和全面的检验，并出具货物符合合同规定的验收单。该验收单将作为申请付款单据的必要条件。但不应视为是对质量、规格、性能、数量的最终定论。</w:t>
      </w:r>
    </w:p>
    <w:p>
      <w:pPr>
        <w:spacing w:line="520" w:lineRule="exact"/>
        <w:ind w:firstLine="360" w:firstLineChars="150"/>
        <w:rPr>
          <w:rFonts w:ascii="仿宋" w:hAnsi="仿宋" w:eastAsia="仿宋"/>
          <w:sz w:val="24"/>
        </w:rPr>
      </w:pPr>
      <w:r>
        <w:rPr>
          <w:rFonts w:ascii="仿宋" w:hAnsi="仿宋" w:eastAsia="仿宋"/>
          <w:sz w:val="24"/>
        </w:rPr>
        <w:t>2</w:t>
      </w:r>
      <w:r>
        <w:rPr>
          <w:rFonts w:hint="eastAsia" w:ascii="仿宋" w:hAnsi="仿宋" w:eastAsia="仿宋"/>
          <w:sz w:val="24"/>
        </w:rPr>
        <w:t>、数量</w:t>
      </w:r>
      <w:r>
        <w:rPr>
          <w:rFonts w:ascii="仿宋" w:hAnsi="仿宋" w:eastAsia="仿宋"/>
          <w:sz w:val="24"/>
        </w:rPr>
        <w:t xml:space="preserve">: </w:t>
      </w:r>
      <w:r>
        <w:rPr>
          <w:rFonts w:hint="eastAsia" w:ascii="仿宋" w:hAnsi="仿宋" w:eastAsia="仿宋"/>
          <w:sz w:val="24"/>
        </w:rPr>
        <w:t>乙方交货时，甲乙双方应各指定一名工作人员对货物数量进行统计，交货完成后，就甲方验收合格的货物数量，由双方各自指定的工作人员在交货清单上签字确认，交货清单一式两份，作为今后双方结算的依据。</w:t>
      </w:r>
      <w:r>
        <w:rPr>
          <w:rFonts w:ascii="仿宋" w:hAnsi="仿宋" w:eastAsia="仿宋"/>
          <w:sz w:val="24"/>
        </w:rPr>
        <w:t xml:space="preserve"> </w:t>
      </w:r>
    </w:p>
    <w:p>
      <w:pPr>
        <w:spacing w:line="520" w:lineRule="exact"/>
        <w:ind w:firstLine="360" w:firstLineChars="150"/>
        <w:rPr>
          <w:rFonts w:ascii="仿宋" w:hAnsi="仿宋" w:eastAsia="仿宋"/>
          <w:sz w:val="24"/>
        </w:rPr>
      </w:pPr>
      <w:r>
        <w:rPr>
          <w:rFonts w:ascii="仿宋" w:hAnsi="仿宋" w:eastAsia="仿宋"/>
          <w:sz w:val="24"/>
        </w:rPr>
        <w:t>3、</w:t>
      </w:r>
      <w:r>
        <w:rPr>
          <w:rFonts w:hint="eastAsia" w:ascii="仿宋" w:hAnsi="仿宋" w:eastAsia="仿宋"/>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sz w:val="24"/>
        </w:rPr>
        <w:t xml:space="preserve"> </w:t>
      </w:r>
    </w:p>
    <w:p>
      <w:pPr>
        <w:spacing w:line="520" w:lineRule="exact"/>
        <w:ind w:firstLine="360" w:firstLineChars="150"/>
        <w:rPr>
          <w:rFonts w:ascii="仿宋" w:hAnsi="仿宋" w:eastAsia="仿宋"/>
          <w:sz w:val="24"/>
        </w:rPr>
      </w:pPr>
      <w:r>
        <w:rPr>
          <w:rFonts w:ascii="仿宋" w:hAnsi="仿宋" w:eastAsia="仿宋"/>
          <w:sz w:val="24"/>
        </w:rPr>
        <w:t>4、</w:t>
      </w:r>
      <w:r>
        <w:rPr>
          <w:rFonts w:hint="eastAsia" w:ascii="仿宋" w:hAnsi="仿宋" w:eastAsia="仿宋"/>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1" w:firstLineChars="150"/>
        <w:rPr>
          <w:rFonts w:ascii="仿宋" w:hAnsi="仿宋" w:eastAsia="仿宋"/>
          <w:b/>
          <w:sz w:val="24"/>
        </w:rPr>
      </w:pPr>
      <w:r>
        <w:rPr>
          <w:rFonts w:hint="eastAsia" w:ascii="仿宋" w:hAnsi="仿宋" w:eastAsia="仿宋"/>
          <w:b/>
          <w:sz w:val="24"/>
        </w:rPr>
        <w:t>七、售后服务</w:t>
      </w:r>
    </w:p>
    <w:p>
      <w:pPr>
        <w:spacing w:line="520" w:lineRule="exact"/>
        <w:ind w:firstLine="360" w:firstLineChars="150"/>
        <w:rPr>
          <w:rFonts w:ascii="仿宋" w:hAnsi="仿宋" w:eastAsia="仿宋"/>
          <w:sz w:val="24"/>
        </w:rPr>
      </w:pPr>
      <w:r>
        <w:rPr>
          <w:rFonts w:hint="eastAsia" w:ascii="仿宋" w:hAnsi="仿宋" w:eastAsia="仿宋"/>
          <w:sz w:val="24"/>
        </w:rPr>
        <w:t>上述产品的免费保修期为交货并验收合格后</w:t>
      </w:r>
      <w:r>
        <w:rPr>
          <w:rFonts w:hint="eastAsia" w:ascii="仿宋" w:hAnsi="仿宋" w:eastAsia="仿宋"/>
          <w:sz w:val="24"/>
          <w:u w:val="single"/>
        </w:rPr>
        <w:t xml:space="preserve">         </w:t>
      </w:r>
      <w:r>
        <w:rPr>
          <w:rFonts w:hint="eastAsia" w:ascii="仿宋" w:hAnsi="仿宋" w:eastAsia="仿宋"/>
          <w:sz w:val="24"/>
        </w:rPr>
        <w:t>；</w:t>
      </w:r>
    </w:p>
    <w:p>
      <w:pPr>
        <w:spacing w:line="520" w:lineRule="exact"/>
        <w:ind w:firstLine="360" w:firstLineChars="150"/>
        <w:rPr>
          <w:rFonts w:ascii="仿宋" w:hAnsi="仿宋" w:eastAsia="仿宋"/>
          <w:sz w:val="24"/>
        </w:rPr>
      </w:pPr>
      <w:r>
        <w:rPr>
          <w:rFonts w:hint="eastAsia" w:ascii="仿宋" w:hAnsi="仿宋" w:eastAsia="仿宋"/>
          <w:sz w:val="24"/>
        </w:rPr>
        <w:t>免费更换时间为交货并验收合格后</w:t>
      </w:r>
      <w:r>
        <w:rPr>
          <w:rFonts w:hint="eastAsia" w:ascii="仿宋" w:hAnsi="仿宋" w:eastAsia="仿宋"/>
          <w:sz w:val="24"/>
          <w:u w:val="single"/>
        </w:rPr>
        <w:t xml:space="preserve">                </w:t>
      </w:r>
      <w:r>
        <w:rPr>
          <w:rFonts w:hint="eastAsia" w:ascii="仿宋" w:hAnsi="仿宋" w:eastAsia="仿宋"/>
          <w:sz w:val="24"/>
        </w:rPr>
        <w:t>；</w:t>
      </w:r>
    </w:p>
    <w:p>
      <w:pPr>
        <w:spacing w:line="520" w:lineRule="exact"/>
        <w:ind w:firstLine="360" w:firstLineChars="150"/>
        <w:rPr>
          <w:rFonts w:ascii="仿宋" w:hAnsi="仿宋" w:eastAsia="仿宋"/>
          <w:sz w:val="24"/>
          <w:u w:val="single"/>
        </w:rPr>
      </w:pPr>
      <w:r>
        <w:rPr>
          <w:rFonts w:hint="eastAsia" w:ascii="仿宋" w:hAnsi="仿宋" w:eastAsia="仿宋"/>
          <w:sz w:val="24"/>
        </w:rPr>
        <w:t>乙方售后服务联系人</w:t>
      </w:r>
      <w:r>
        <w:rPr>
          <w:rFonts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w:t>
      </w:r>
    </w:p>
    <w:p>
      <w:pPr>
        <w:spacing w:line="520" w:lineRule="exact"/>
        <w:ind w:firstLine="360" w:firstLineChars="150"/>
        <w:rPr>
          <w:rFonts w:ascii="仿宋" w:hAnsi="仿宋" w:eastAsia="仿宋"/>
          <w:sz w:val="24"/>
          <w:u w:val="single"/>
        </w:rPr>
      </w:pPr>
      <w:r>
        <w:rPr>
          <w:rFonts w:hint="eastAsia" w:ascii="仿宋" w:hAnsi="仿宋" w:eastAsia="仿宋"/>
          <w:sz w:val="24"/>
        </w:rPr>
        <w:t>联系电话</w:t>
      </w:r>
      <w:r>
        <w:rPr>
          <w:rFonts w:hint="eastAsia" w:ascii="仿宋" w:hAnsi="仿宋" w:eastAsia="仿宋"/>
          <w:sz w:val="24"/>
          <w:u w:val="single"/>
        </w:rPr>
        <w:t xml:space="preserve">                      。</w:t>
      </w:r>
      <w:r>
        <w:rPr>
          <w:rFonts w:ascii="仿宋" w:hAnsi="仿宋" w:eastAsia="仿宋"/>
          <w:sz w:val="24"/>
        </w:rPr>
        <w:t xml:space="preserve"> </w:t>
      </w:r>
    </w:p>
    <w:p>
      <w:pPr>
        <w:spacing w:line="520" w:lineRule="exact"/>
        <w:ind w:firstLine="361" w:firstLineChars="150"/>
        <w:rPr>
          <w:rFonts w:ascii="仿宋" w:hAnsi="仿宋" w:eastAsia="仿宋"/>
          <w:b/>
          <w:sz w:val="24"/>
        </w:rPr>
      </w:pPr>
      <w:r>
        <w:rPr>
          <w:rFonts w:hint="eastAsia" w:ascii="仿宋" w:hAnsi="仿宋" w:eastAsia="仿宋"/>
          <w:b/>
          <w:sz w:val="24"/>
        </w:rPr>
        <w:t>八、货款的支付</w:t>
      </w:r>
    </w:p>
    <w:p>
      <w:pPr>
        <w:spacing w:line="520" w:lineRule="exact"/>
        <w:ind w:firstLine="360" w:firstLineChars="150"/>
        <w:rPr>
          <w:rFonts w:hint="eastAsia" w:ascii="仿宋" w:hAnsi="仿宋" w:eastAsia="仿宋"/>
          <w:sz w:val="24"/>
        </w:rPr>
      </w:pPr>
      <w:r>
        <w:rPr>
          <w:rFonts w:hint="eastAsia" w:ascii="仿宋" w:hAnsi="仿宋" w:eastAsia="仿宋"/>
          <w:sz w:val="24"/>
        </w:rPr>
        <w:t>1、原则上不支付预付款。</w:t>
      </w:r>
      <w:r>
        <w:rPr>
          <w:rFonts w:hint="eastAsia" w:ascii="仿宋" w:hAnsi="仿宋" w:eastAsia="仿宋"/>
          <w:sz w:val="24"/>
          <w:lang w:eastAsia="zh-CN"/>
        </w:rPr>
        <w:t>合同签订后</w:t>
      </w:r>
      <w:r>
        <w:rPr>
          <w:rFonts w:hint="eastAsia" w:ascii="仿宋" w:hAnsi="仿宋" w:eastAsia="仿宋"/>
          <w:sz w:val="24"/>
        </w:rPr>
        <w:t>第一批</w:t>
      </w:r>
      <w:r>
        <w:rPr>
          <w:rFonts w:hint="eastAsia" w:ascii="仿宋" w:hAnsi="仿宋" w:eastAsia="仿宋"/>
          <w:sz w:val="24"/>
          <w:lang w:eastAsia="zh-CN"/>
        </w:rPr>
        <w:t>耗材</w:t>
      </w:r>
      <w:r>
        <w:rPr>
          <w:rFonts w:hint="eastAsia" w:ascii="仿宋" w:hAnsi="仿宋" w:eastAsia="仿宋"/>
          <w:sz w:val="24"/>
        </w:rPr>
        <w:t>到货验收合格</w:t>
      </w:r>
      <w:r>
        <w:rPr>
          <w:rFonts w:hint="eastAsia" w:ascii="仿宋" w:hAnsi="仿宋" w:eastAsia="仿宋"/>
          <w:sz w:val="24"/>
          <w:lang w:eastAsia="zh-CN"/>
        </w:rPr>
        <w:t>后支付合同价款的</w:t>
      </w:r>
      <w:r>
        <w:rPr>
          <w:rFonts w:hint="eastAsia" w:ascii="仿宋" w:hAnsi="仿宋" w:eastAsia="仿宋"/>
          <w:sz w:val="24"/>
        </w:rPr>
        <w:t>30%，</w:t>
      </w:r>
      <w:r>
        <w:rPr>
          <w:rFonts w:hint="eastAsia" w:ascii="仿宋" w:hAnsi="仿宋" w:eastAsia="仿宋"/>
          <w:sz w:val="24"/>
          <w:lang w:eastAsia="zh-CN"/>
        </w:rPr>
        <w:t>全部耗材</w:t>
      </w:r>
      <w:r>
        <w:rPr>
          <w:rFonts w:hint="eastAsia" w:ascii="仿宋" w:hAnsi="仿宋" w:eastAsia="仿宋"/>
          <w:sz w:val="24"/>
        </w:rPr>
        <w:t>供货完毕并验收合格</w:t>
      </w:r>
      <w:r>
        <w:rPr>
          <w:rFonts w:hint="eastAsia" w:ascii="仿宋" w:hAnsi="仿宋" w:eastAsia="仿宋"/>
          <w:sz w:val="24"/>
          <w:lang w:eastAsia="zh-CN"/>
        </w:rPr>
        <w:t>后支</w:t>
      </w:r>
      <w:r>
        <w:rPr>
          <w:rFonts w:hint="eastAsia" w:ascii="仿宋" w:hAnsi="仿宋" w:eastAsia="仿宋"/>
          <w:sz w:val="24"/>
        </w:rPr>
        <w:t>付</w:t>
      </w:r>
      <w:r>
        <w:rPr>
          <w:rFonts w:hint="eastAsia" w:ascii="仿宋" w:hAnsi="仿宋" w:eastAsia="仿宋"/>
          <w:sz w:val="24"/>
          <w:lang w:eastAsia="zh-CN"/>
        </w:rPr>
        <w:t>合同价款的</w:t>
      </w:r>
      <w:r>
        <w:rPr>
          <w:rFonts w:hint="eastAsia" w:ascii="仿宋" w:hAnsi="仿宋" w:eastAsia="仿宋"/>
          <w:sz w:val="24"/>
        </w:rPr>
        <w:t>70%</w:t>
      </w:r>
      <w:r>
        <w:rPr>
          <w:rFonts w:hint="eastAsia" w:ascii="仿宋" w:hAnsi="仿宋" w:eastAsia="仿宋"/>
          <w:sz w:val="24"/>
          <w:lang w:eastAsia="zh-CN"/>
        </w:rPr>
        <w:t>。</w:t>
      </w:r>
    </w:p>
    <w:p>
      <w:pPr>
        <w:spacing w:line="520" w:lineRule="exact"/>
        <w:ind w:firstLine="360" w:firstLineChars="150"/>
        <w:rPr>
          <w:rFonts w:hint="eastAsia" w:ascii="仿宋" w:hAnsi="仿宋" w:eastAsia="仿宋"/>
          <w:sz w:val="24"/>
        </w:rPr>
      </w:pPr>
      <w:r>
        <w:rPr>
          <w:rFonts w:hint="eastAsia" w:ascii="仿宋" w:hAnsi="仿宋" w:eastAsia="仿宋"/>
          <w:sz w:val="24"/>
        </w:rPr>
        <w:t>2、甲方支付上述任何一笔款项前，乙方应提供符合甲方财务做账要求的正规增值税发票，否则，甲方有权拒付款项且不承担违约责任。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sz w:val="24"/>
        </w:rPr>
      </w:pPr>
      <w:r>
        <w:rPr>
          <w:rFonts w:hint="eastAsia" w:ascii="仿宋" w:hAnsi="仿宋" w:eastAsia="仿宋"/>
          <w:sz w:val="24"/>
        </w:rPr>
        <w:t>3、乙方银行账户信息：</w:t>
      </w:r>
    </w:p>
    <w:p>
      <w:pPr>
        <w:spacing w:line="520" w:lineRule="exact"/>
        <w:ind w:firstLine="560"/>
        <w:rPr>
          <w:rFonts w:ascii="仿宋" w:hAnsi="仿宋" w:eastAsia="仿宋"/>
          <w:sz w:val="24"/>
          <w:u w:val="single"/>
        </w:rPr>
      </w:pPr>
      <w:r>
        <w:rPr>
          <w:rFonts w:hint="eastAsia" w:ascii="仿宋" w:hAnsi="仿宋" w:eastAsia="仿宋"/>
          <w:sz w:val="24"/>
        </w:rPr>
        <w:t>开 户 行：</w:t>
      </w:r>
      <w:r>
        <w:rPr>
          <w:rFonts w:hint="eastAsia" w:ascii="仿宋" w:hAnsi="仿宋" w:eastAsia="仿宋"/>
          <w:sz w:val="24"/>
          <w:u w:val="single"/>
        </w:rPr>
        <w:t xml:space="preserve">                   </w:t>
      </w:r>
    </w:p>
    <w:p>
      <w:pPr>
        <w:spacing w:line="520" w:lineRule="exact"/>
        <w:ind w:firstLine="560"/>
        <w:rPr>
          <w:rFonts w:ascii="仿宋" w:hAnsi="仿宋" w:eastAsia="仿宋"/>
          <w:sz w:val="24"/>
          <w:u w:val="single"/>
        </w:rPr>
      </w:pPr>
      <w:r>
        <w:rPr>
          <w:rFonts w:hint="eastAsia" w:ascii="仿宋" w:hAnsi="仿宋" w:eastAsia="仿宋"/>
          <w:sz w:val="24"/>
        </w:rPr>
        <w:t>账户名称：</w:t>
      </w:r>
      <w:r>
        <w:rPr>
          <w:rFonts w:hint="eastAsia" w:ascii="仿宋" w:hAnsi="仿宋" w:eastAsia="仿宋"/>
          <w:sz w:val="24"/>
          <w:u w:val="single"/>
        </w:rPr>
        <w:t xml:space="preserve">                   </w:t>
      </w:r>
      <w:r>
        <w:rPr>
          <w:rFonts w:hint="eastAsia" w:ascii="仿宋" w:hAnsi="仿宋" w:eastAsia="仿宋"/>
          <w:sz w:val="24"/>
        </w:rPr>
        <w:t xml:space="preserve">                </w:t>
      </w:r>
    </w:p>
    <w:p>
      <w:pPr>
        <w:spacing w:line="520" w:lineRule="exact"/>
        <w:ind w:firstLine="560"/>
        <w:rPr>
          <w:rFonts w:ascii="仿宋" w:hAnsi="仿宋" w:eastAsia="仿宋"/>
          <w:sz w:val="24"/>
          <w:u w:val="single"/>
        </w:rPr>
      </w:pPr>
      <w:r>
        <w:rPr>
          <w:rFonts w:hint="eastAsia" w:ascii="仿宋" w:hAnsi="仿宋" w:eastAsia="仿宋"/>
          <w:sz w:val="24"/>
        </w:rPr>
        <w:t>银行账号：</w:t>
      </w:r>
      <w:r>
        <w:rPr>
          <w:rFonts w:hint="eastAsia" w:ascii="仿宋" w:hAnsi="仿宋" w:eastAsia="仿宋"/>
          <w:sz w:val="24"/>
          <w:u w:val="single"/>
        </w:rPr>
        <w:t xml:space="preserve">                   </w:t>
      </w:r>
      <w:r>
        <w:rPr>
          <w:rFonts w:hint="eastAsia" w:ascii="仿宋" w:hAnsi="仿宋" w:eastAsia="仿宋"/>
          <w:sz w:val="24"/>
        </w:rPr>
        <w:t xml:space="preserve">               </w:t>
      </w:r>
    </w:p>
    <w:p>
      <w:pPr>
        <w:spacing w:line="520" w:lineRule="exact"/>
        <w:ind w:firstLine="480" w:firstLineChars="200"/>
        <w:jc w:val="left"/>
        <w:rPr>
          <w:rFonts w:hint="eastAsia" w:ascii="仿宋" w:hAnsi="仿宋" w:eastAsia="仿宋"/>
          <w:sz w:val="24"/>
        </w:rPr>
      </w:pPr>
      <w:r>
        <w:rPr>
          <w:rFonts w:hint="eastAsia" w:ascii="仿宋" w:hAnsi="仿宋" w:eastAsia="仿宋"/>
          <w:sz w:val="24"/>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r>
        <w:rPr>
          <w:rFonts w:ascii="仿宋" w:hAnsi="仿宋" w:eastAsia="仿宋"/>
          <w:sz w:val="24"/>
        </w:rPr>
        <w:t xml:space="preserve"> </w:t>
      </w:r>
    </w:p>
    <w:p>
      <w:pPr>
        <w:spacing w:line="520" w:lineRule="exact"/>
        <w:ind w:firstLine="361" w:firstLineChars="150"/>
        <w:rPr>
          <w:rFonts w:ascii="仿宋" w:hAnsi="仿宋" w:eastAsia="仿宋"/>
          <w:b/>
          <w:sz w:val="24"/>
        </w:rPr>
      </w:pPr>
      <w:r>
        <w:rPr>
          <w:rFonts w:hint="eastAsia" w:ascii="仿宋" w:hAnsi="仿宋" w:eastAsia="仿宋"/>
          <w:b/>
          <w:sz w:val="24"/>
        </w:rPr>
        <w:t>九、违约责任</w:t>
      </w:r>
    </w:p>
    <w:p>
      <w:pPr>
        <w:spacing w:line="520" w:lineRule="exact"/>
        <w:ind w:firstLine="360" w:firstLineChars="150"/>
        <w:rPr>
          <w:rFonts w:ascii="仿宋" w:hAnsi="仿宋" w:eastAsia="仿宋"/>
          <w:sz w:val="24"/>
        </w:rPr>
      </w:pPr>
      <w:r>
        <w:rPr>
          <w:rFonts w:hint="eastAsia" w:ascii="仿宋" w:hAnsi="仿宋" w:eastAsia="仿宋"/>
          <w:sz w:val="24"/>
        </w:rPr>
        <w:t>1、甲方违约责任</w:t>
      </w:r>
    </w:p>
    <w:p>
      <w:pPr>
        <w:spacing w:line="520" w:lineRule="exact"/>
        <w:ind w:firstLine="360" w:firstLineChars="150"/>
        <w:rPr>
          <w:rFonts w:ascii="仿宋" w:hAnsi="仿宋" w:eastAsia="仿宋"/>
          <w:sz w:val="24"/>
        </w:rPr>
      </w:pPr>
      <w:r>
        <w:rPr>
          <w:rFonts w:hint="eastAsia" w:ascii="仿宋" w:hAnsi="仿宋" w:eastAsia="仿宋"/>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 w:hAnsi="仿宋" w:eastAsia="仿宋"/>
          <w:sz w:val="24"/>
        </w:rPr>
      </w:pPr>
      <w:r>
        <w:rPr>
          <w:rFonts w:hint="eastAsia" w:ascii="仿宋" w:hAnsi="仿宋" w:eastAsia="仿宋"/>
          <w:sz w:val="24"/>
        </w:rPr>
        <w:t>2、乙方违约责任</w:t>
      </w:r>
    </w:p>
    <w:p>
      <w:pPr>
        <w:spacing w:line="520" w:lineRule="exact"/>
        <w:ind w:firstLine="360" w:firstLineChars="150"/>
        <w:rPr>
          <w:rFonts w:ascii="仿宋" w:hAnsi="仿宋" w:eastAsia="仿宋"/>
          <w:sz w:val="24"/>
        </w:rPr>
      </w:pPr>
      <w:r>
        <w:rPr>
          <w:rFonts w:hint="eastAsia" w:ascii="仿宋" w:hAnsi="仿宋" w:eastAsia="仿宋"/>
          <w:sz w:val="24"/>
        </w:rPr>
        <w:t>1）乙方应严格按照合同约定的时间交货并完成安装调试等一切相关工作，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w:t>
      </w:r>
      <w:r>
        <w:rPr>
          <w:rFonts w:ascii="仿宋" w:hAnsi="仿宋" w:eastAsia="仿宋"/>
          <w:sz w:val="24"/>
        </w:rPr>
        <w:t>0%</w:t>
      </w:r>
      <w:r>
        <w:rPr>
          <w:rFonts w:hint="eastAsia" w:ascii="仿宋" w:hAnsi="仿宋" w:eastAsia="仿宋"/>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sz w:val="24"/>
        </w:rPr>
      </w:pPr>
      <w:r>
        <w:rPr>
          <w:rFonts w:hint="eastAsia" w:ascii="仿宋" w:hAnsi="仿宋" w:eastAsia="仿宋"/>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sz w:val="24"/>
        </w:rPr>
      </w:pPr>
      <w:r>
        <w:rPr>
          <w:rFonts w:ascii="仿宋" w:hAnsi="仿宋" w:eastAsia="仿宋"/>
          <w:sz w:val="24"/>
        </w:rPr>
        <w:t>3</w:t>
      </w:r>
      <w:r>
        <w:rPr>
          <w:rFonts w:hint="eastAsia" w:ascii="仿宋" w:hAnsi="仿宋" w:eastAsia="仿宋"/>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sz w:val="24"/>
        </w:rPr>
      </w:pPr>
      <w:r>
        <w:rPr>
          <w:rFonts w:ascii="仿宋" w:hAnsi="仿宋" w:eastAsia="仿宋"/>
          <w:sz w:val="24"/>
        </w:rPr>
        <w:t>4</w:t>
      </w:r>
      <w:r>
        <w:rPr>
          <w:rFonts w:hint="eastAsia" w:ascii="仿宋" w:hAnsi="仿宋" w:eastAsia="仿宋"/>
          <w:sz w:val="24"/>
        </w:rPr>
        <w:t>）乙方在协议供货有效期内违反本有关质量保证及售后服务的，甲方有权要求乙方支付合同总价款2</w:t>
      </w:r>
      <w:r>
        <w:rPr>
          <w:rFonts w:ascii="仿宋" w:hAnsi="仿宋" w:eastAsia="仿宋"/>
          <w:sz w:val="24"/>
        </w:rPr>
        <w:t>0%</w:t>
      </w:r>
      <w:r>
        <w:rPr>
          <w:rFonts w:hint="eastAsia" w:ascii="仿宋" w:hAnsi="仿宋" w:eastAsia="仿宋"/>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cs="Bookman Old Style"/>
          <w:sz w:val="24"/>
        </w:rPr>
      </w:pPr>
      <w:r>
        <w:rPr>
          <w:rFonts w:ascii="仿宋" w:hAnsi="仿宋" w:eastAsia="仿宋" w:cs="Bookman Old Style"/>
          <w:sz w:val="24"/>
        </w:rPr>
        <w:t>5</w:t>
      </w:r>
      <w:r>
        <w:rPr>
          <w:rFonts w:hint="eastAsia" w:ascii="仿宋" w:hAnsi="仿宋" w:eastAsia="仿宋" w:cs="Bookman Old Style"/>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cs="Bookman Old Style"/>
          <w:sz w:val="24"/>
        </w:rPr>
      </w:pPr>
      <w:r>
        <w:rPr>
          <w:rFonts w:hint="eastAsia" w:ascii="仿宋" w:hAnsi="仿宋" w:eastAsia="仿宋" w:cs="Bookman Old Style"/>
          <w:sz w:val="24"/>
        </w:rPr>
        <w:t>6）</w:t>
      </w:r>
      <w:r>
        <w:rPr>
          <w:rFonts w:hint="eastAsia" w:ascii="仿宋" w:hAnsi="仿宋" w:eastAsia="仿宋"/>
          <w:sz w:val="24"/>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ind w:firstLine="361" w:firstLineChars="150"/>
        <w:rPr>
          <w:rFonts w:ascii="仿宋" w:hAnsi="仿宋" w:eastAsia="仿宋" w:cs="Bookman Old Style"/>
          <w:b/>
          <w:sz w:val="24"/>
        </w:rPr>
      </w:pPr>
      <w:r>
        <w:rPr>
          <w:rFonts w:hint="eastAsia" w:ascii="仿宋" w:hAnsi="仿宋" w:eastAsia="仿宋" w:cs="Bookman Old Style"/>
          <w:b/>
          <w:sz w:val="24"/>
        </w:rPr>
        <w:t>十、不可抗力</w:t>
      </w:r>
    </w:p>
    <w:p>
      <w:pPr>
        <w:spacing w:line="520" w:lineRule="exact"/>
        <w:ind w:firstLine="360" w:firstLineChars="150"/>
        <w:rPr>
          <w:rFonts w:ascii="仿宋" w:hAnsi="仿宋" w:eastAsia="仿宋" w:cs="Bookman Old Style"/>
          <w:bCs/>
          <w:sz w:val="24"/>
        </w:rPr>
      </w:pPr>
      <w:r>
        <w:rPr>
          <w:rFonts w:hint="eastAsia" w:ascii="仿宋" w:hAnsi="仿宋" w:eastAsia="仿宋" w:cs="Bookman Old Style"/>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sz w:val="24"/>
        </w:rPr>
      </w:pPr>
      <w:r>
        <w:rPr>
          <w:rFonts w:ascii="仿宋" w:hAnsi="仿宋" w:eastAsia="仿宋" w:cs="Bookman Old Style"/>
          <w:bCs/>
          <w:sz w:val="24"/>
        </w:rPr>
        <w:t>2</w:t>
      </w:r>
      <w:r>
        <w:rPr>
          <w:rFonts w:hint="eastAsia" w:ascii="仿宋" w:hAnsi="仿宋" w:eastAsia="仿宋" w:cs="Bookman Old Style"/>
          <w:bCs/>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1" w:firstLineChars="150"/>
        <w:rPr>
          <w:rFonts w:ascii="仿宋" w:hAnsi="仿宋" w:eastAsia="仿宋" w:cs="Bookman Old Style"/>
          <w:b/>
          <w:sz w:val="24"/>
        </w:rPr>
      </w:pPr>
      <w:r>
        <w:rPr>
          <w:rFonts w:hint="eastAsia" w:ascii="仿宋" w:hAnsi="仿宋" w:eastAsia="仿宋" w:cs="Bookman Old Style"/>
          <w:b/>
          <w:sz w:val="24"/>
        </w:rPr>
        <w:t>十一、争议解决</w:t>
      </w:r>
    </w:p>
    <w:p>
      <w:pPr>
        <w:spacing w:line="520" w:lineRule="exact"/>
        <w:ind w:firstLine="360" w:firstLineChars="150"/>
        <w:rPr>
          <w:rFonts w:ascii="仿宋" w:hAnsi="仿宋" w:eastAsia="仿宋" w:cs="Bookman Old Style"/>
          <w:sz w:val="24"/>
        </w:rPr>
      </w:pPr>
      <w:r>
        <w:rPr>
          <w:rFonts w:hint="eastAsia" w:ascii="仿宋" w:hAnsi="仿宋" w:eastAsia="仿宋" w:cs="Bookman Old Style"/>
          <w:sz w:val="24"/>
        </w:rPr>
        <w:t>本合同如发生纠纷，当事人双方应当及时协商解决，协商不成时，可向甲方所在地人民法院起诉。</w:t>
      </w:r>
    </w:p>
    <w:p>
      <w:pPr>
        <w:spacing w:line="520" w:lineRule="exact"/>
        <w:ind w:firstLine="361" w:firstLineChars="150"/>
        <w:rPr>
          <w:rFonts w:hint="eastAsia" w:ascii="仿宋" w:hAnsi="仿宋" w:eastAsia="仿宋" w:cs="Bookman Old Style"/>
          <w:b/>
          <w:bCs/>
          <w:sz w:val="24"/>
        </w:rPr>
      </w:pPr>
      <w:r>
        <w:rPr>
          <w:rFonts w:hint="eastAsia" w:ascii="仿宋" w:hAnsi="仿宋" w:eastAsia="仿宋" w:cs="Bookman Old Style"/>
          <w:b/>
          <w:bCs/>
          <w:sz w:val="24"/>
        </w:rPr>
        <w:t>十二、合同的文本及生效</w:t>
      </w:r>
    </w:p>
    <w:p>
      <w:pPr>
        <w:spacing w:line="520" w:lineRule="exact"/>
        <w:ind w:firstLine="360" w:firstLineChars="150"/>
        <w:rPr>
          <w:rFonts w:ascii="仿宋" w:hAnsi="仿宋" w:eastAsia="仿宋" w:cs="Bookman Old Style"/>
          <w:bCs/>
          <w:sz w:val="24"/>
        </w:rPr>
      </w:pPr>
      <w:r>
        <w:rPr>
          <w:rFonts w:ascii="仿宋" w:hAnsi="仿宋" w:eastAsia="仿宋" w:cs="Bookman Old Style"/>
          <w:bCs/>
          <w:sz w:val="24"/>
        </w:rPr>
        <w:t>1</w:t>
      </w:r>
      <w:r>
        <w:rPr>
          <w:rFonts w:hint="eastAsia" w:ascii="仿宋" w:hAnsi="仿宋" w:eastAsia="仿宋" w:cs="Bookman Old Style"/>
          <w:bCs/>
          <w:sz w:val="24"/>
        </w:rPr>
        <w:t>、本合同一式陆份，甲方执肆份、乙方执贰份。</w:t>
      </w:r>
    </w:p>
    <w:p>
      <w:pPr>
        <w:spacing w:line="520" w:lineRule="exact"/>
        <w:ind w:firstLine="360" w:firstLineChars="150"/>
        <w:rPr>
          <w:rFonts w:ascii="仿宋" w:hAnsi="仿宋" w:eastAsia="仿宋" w:cs="Bookman Old Style"/>
          <w:bCs/>
          <w:sz w:val="24"/>
        </w:rPr>
      </w:pPr>
      <w:r>
        <w:rPr>
          <w:rFonts w:ascii="仿宋" w:hAnsi="仿宋" w:eastAsia="仿宋" w:cs="Bookman Old Style"/>
          <w:bCs/>
          <w:sz w:val="24"/>
        </w:rPr>
        <w:t>2</w:t>
      </w:r>
      <w:r>
        <w:rPr>
          <w:rFonts w:hint="eastAsia" w:ascii="仿宋" w:hAnsi="仿宋" w:eastAsia="仿宋" w:cs="Bookman Old Style"/>
          <w:bCs/>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sz w:val="24"/>
        </w:rPr>
      </w:pPr>
      <w:r>
        <w:rPr>
          <w:rFonts w:hint="eastAsia" w:ascii="仿宋" w:hAnsi="仿宋" w:eastAsia="仿宋" w:cs="Bookman Old Style"/>
          <w:bCs/>
          <w:sz w:val="24"/>
        </w:rPr>
        <w:t>3、合同内容如遇国家法律、法规及政策另有规定的，从其规定。</w:t>
      </w:r>
    </w:p>
    <w:p>
      <w:pPr>
        <w:spacing w:line="520" w:lineRule="exact"/>
        <w:ind w:firstLine="361" w:firstLineChars="150"/>
        <w:rPr>
          <w:rFonts w:ascii="仿宋" w:hAnsi="仿宋" w:eastAsia="仿宋"/>
          <w:b/>
          <w:sz w:val="24"/>
        </w:rPr>
      </w:pPr>
      <w:r>
        <w:rPr>
          <w:rFonts w:hint="eastAsia" w:ascii="仿宋" w:hAnsi="仿宋" w:eastAsia="仿宋"/>
          <w:b/>
          <w:sz w:val="24"/>
        </w:rPr>
        <w:t>十三、其他约定事项</w:t>
      </w:r>
    </w:p>
    <w:p>
      <w:pPr>
        <w:spacing w:line="520" w:lineRule="exact"/>
        <w:ind w:firstLine="360" w:firstLineChars="150"/>
        <w:rPr>
          <w:rFonts w:hint="eastAsia" w:ascii="仿宋" w:hAnsi="仿宋" w:eastAsia="仿宋" w:cs="Bookman Old Style"/>
          <w:sz w:val="24"/>
        </w:rPr>
      </w:pPr>
      <w:r>
        <w:rPr>
          <w:rFonts w:hint="eastAsia" w:ascii="仿宋" w:hAnsi="仿宋" w:eastAsia="仿宋" w:cs="Bookman Old Style"/>
          <w:sz w:val="24"/>
        </w:rPr>
        <w:t>1、和本合同相关的双方往来函件(包括传真件、电子邮件)与原件具有同等的法律效力，修改无效。</w:t>
      </w:r>
    </w:p>
    <w:p>
      <w:pPr>
        <w:spacing w:line="520" w:lineRule="exact"/>
        <w:ind w:firstLine="360" w:firstLineChars="150"/>
        <w:rPr>
          <w:rFonts w:hint="eastAsia" w:ascii="仿宋" w:hAnsi="仿宋" w:eastAsia="仿宋" w:cs="Bookman Old Style"/>
          <w:sz w:val="24"/>
        </w:rPr>
      </w:pPr>
      <w:r>
        <w:rPr>
          <w:rFonts w:ascii="仿宋" w:hAnsi="仿宋" w:eastAsia="仿宋" w:cs="Bookman Old Style"/>
          <w:sz w:val="24"/>
        </w:rPr>
        <w:t>2</w:t>
      </w:r>
      <w:r>
        <w:rPr>
          <w:rFonts w:hint="eastAsia" w:ascii="仿宋" w:hAnsi="仿宋" w:eastAsia="仿宋" w:cs="Bookman Old Style"/>
          <w:sz w:val="24"/>
        </w:rPr>
        <w:t>、与本合同有关的招投标文件、答疑附件、合同附件均是本合同不可分割的组成部分，与本合同具有同等法律效力，其他未尽事宜从其规定。</w:t>
      </w:r>
    </w:p>
    <w:p>
      <w:pPr>
        <w:spacing w:line="520" w:lineRule="exact"/>
        <w:ind w:firstLine="360" w:firstLineChars="150"/>
        <w:rPr>
          <w:rFonts w:hint="eastAsia" w:ascii="仿宋" w:hAnsi="仿宋" w:eastAsia="仿宋" w:cs="Bookman Old Style"/>
          <w:sz w:val="24"/>
        </w:rPr>
      </w:pPr>
      <w:r>
        <w:rPr>
          <w:rFonts w:ascii="仿宋" w:hAnsi="仿宋" w:eastAsia="仿宋" w:cs="Bookman Old Style"/>
          <w:sz w:val="24"/>
        </w:rPr>
        <w:t>3</w:t>
      </w:r>
      <w:r>
        <w:rPr>
          <w:rFonts w:hint="eastAsia" w:ascii="仿宋" w:hAnsi="仿宋" w:eastAsia="仿宋" w:cs="Bookman Old Style"/>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sz w:val="24"/>
        </w:rPr>
      </w:pPr>
      <w:r>
        <w:rPr>
          <w:rFonts w:ascii="仿宋" w:hAnsi="仿宋" w:eastAsia="仿宋" w:cs="Bookman Old Style"/>
          <w:sz w:val="24"/>
        </w:rPr>
        <w:t>4</w:t>
      </w:r>
      <w:r>
        <w:rPr>
          <w:rFonts w:hint="eastAsia" w:ascii="仿宋" w:hAnsi="仿宋" w:eastAsia="仿宋" w:cs="Bookman Old Style"/>
          <w:sz w:val="24"/>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cs="Bookman Old Style"/>
          <w:sz w:val="24"/>
        </w:rPr>
      </w:pPr>
      <w:r>
        <w:rPr>
          <w:rFonts w:hint="eastAsia" w:ascii="仿宋" w:hAnsi="仿宋" w:eastAsia="仿宋"/>
          <w:sz w:val="24"/>
        </w:rPr>
        <w:t>（以下无正文，为本合同签署页）</w:t>
      </w: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hint="eastAsia" w:ascii="仿宋" w:hAnsi="仿宋" w:eastAsia="仿宋"/>
          <w:sz w:val="24"/>
        </w:rPr>
      </w:pPr>
    </w:p>
    <w:p>
      <w:pPr>
        <w:spacing w:line="520" w:lineRule="exact"/>
        <w:rPr>
          <w:rFonts w:ascii="仿宋" w:hAnsi="仿宋" w:eastAsia="仿宋"/>
          <w:sz w:val="24"/>
        </w:rPr>
      </w:pPr>
      <w:r>
        <w:rPr>
          <w:rFonts w:hint="eastAsia" w:ascii="仿宋" w:hAnsi="仿宋" w:eastAsia="仿宋"/>
          <w:sz w:val="24"/>
        </w:rPr>
        <w:t>甲方（盖章）：</w:t>
      </w:r>
      <w:r>
        <w:rPr>
          <w:rFonts w:ascii="仿宋" w:hAnsi="仿宋" w:eastAsia="仿宋"/>
          <w:sz w:val="24"/>
        </w:rPr>
        <w:t xml:space="preserve">         </w:t>
      </w:r>
      <w:r>
        <w:rPr>
          <w:rFonts w:hint="eastAsia" w:ascii="仿宋" w:hAnsi="仿宋" w:eastAsia="仿宋"/>
          <w:sz w:val="24"/>
        </w:rPr>
        <w:t xml:space="preserve">                 乙</w:t>
      </w:r>
      <w:r>
        <w:rPr>
          <w:rFonts w:ascii="仿宋" w:hAnsi="仿宋" w:eastAsia="仿宋"/>
          <w:sz w:val="24"/>
        </w:rPr>
        <w:t>方（盖章）：</w:t>
      </w:r>
    </w:p>
    <w:p>
      <w:pPr>
        <w:spacing w:line="520" w:lineRule="exact"/>
        <w:rPr>
          <w:rFonts w:ascii="仿宋" w:hAnsi="仿宋" w:eastAsia="仿宋"/>
          <w:sz w:val="24"/>
        </w:rPr>
      </w:pPr>
      <w:r>
        <w:rPr>
          <w:rFonts w:hint="eastAsia" w:ascii="仿宋" w:hAnsi="仿宋" w:eastAsia="仿宋"/>
          <w:sz w:val="24"/>
        </w:rPr>
        <w:t>法人或授权代表（签字）：                法人或授权代表（签字）：</w:t>
      </w:r>
    </w:p>
    <w:p>
      <w:pPr>
        <w:spacing w:line="520" w:lineRule="exact"/>
        <w:rPr>
          <w:rFonts w:ascii="仿宋" w:hAnsi="仿宋" w:eastAsia="仿宋"/>
          <w:sz w:val="24"/>
        </w:rPr>
      </w:pPr>
      <w:r>
        <w:rPr>
          <w:rFonts w:hint="eastAsia" w:ascii="仿宋" w:hAnsi="仿宋" w:eastAsia="仿宋"/>
          <w:sz w:val="24"/>
        </w:rPr>
        <w:t>地址：</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地址：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p>
    <w:p>
      <w:pPr>
        <w:spacing w:line="520" w:lineRule="exact"/>
        <w:rPr>
          <w:rFonts w:ascii="仿宋" w:hAnsi="仿宋" w:eastAsia="仿宋"/>
          <w:sz w:val="24"/>
        </w:rPr>
      </w:pPr>
      <w:r>
        <w:rPr>
          <w:rFonts w:hint="eastAsia" w:ascii="仿宋" w:hAnsi="仿宋" w:eastAsia="仿宋"/>
          <w:sz w:val="24"/>
        </w:rPr>
        <w:t>电话：</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电话：</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p>
    <w:p>
      <w:pPr>
        <w:rPr>
          <w:rFonts w:hint="eastAsia"/>
        </w:rPr>
      </w:pPr>
      <w:r>
        <w:rPr>
          <w:rFonts w:hint="eastAsia" w:ascii="仿宋" w:hAnsi="仿宋" w:eastAsia="仿宋"/>
          <w:sz w:val="24"/>
        </w:rPr>
        <w:t>日期：</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日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日期：</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日  </w:t>
      </w:r>
      <w:r>
        <w:rPr>
          <w:rFonts w:hint="eastAsia" w:ascii="仿宋" w:hAnsi="仿宋" w:eastAsia="仿宋"/>
          <w:sz w:val="24"/>
        </w:rPr>
        <w:t xml:space="preserve">        </w:t>
      </w:r>
    </w:p>
    <w:p>
      <w:pPr>
        <w:pStyle w:val="2"/>
        <w:rPr>
          <w:rFonts w:hint="eastAsia" w:cs="仿宋"/>
          <w:b w:val="0"/>
          <w:bCs/>
          <w:szCs w:val="32"/>
        </w:rPr>
      </w:pPr>
      <w:r>
        <w:rPr>
          <w:rFonts w:hint="eastAsia" w:cs="仿宋"/>
          <w:b w:val="0"/>
          <w:bCs/>
          <w:szCs w:val="32"/>
        </w:rPr>
        <w:br w:type="page"/>
      </w:r>
      <w:bookmarkStart w:id="15" w:name="_Toc26746"/>
      <w:r>
        <w:rPr>
          <w:rFonts w:hint="eastAsia" w:cs="仿宋"/>
          <w:bCs/>
        </w:rPr>
        <w:fldChar w:fldCharType="begin"/>
      </w:r>
      <w:r>
        <w:rPr>
          <w:rFonts w:hint="eastAsia" w:cs="仿宋"/>
          <w:bCs/>
        </w:rPr>
        <w:instrText xml:space="preserve"> HYPERLINK \l "_Toc26330" </w:instrText>
      </w:r>
      <w:r>
        <w:rPr>
          <w:rFonts w:hint="eastAsia" w:cs="仿宋"/>
          <w:bCs/>
        </w:rPr>
        <w:fldChar w:fldCharType="separate"/>
      </w:r>
      <w:r>
        <w:rPr>
          <w:rFonts w:hint="eastAsia" w:cs="仿宋"/>
          <w:bCs/>
          <w:szCs w:val="32"/>
        </w:rPr>
        <w:t>第六章 投标文件格式</w:t>
      </w:r>
      <w:r>
        <w:rPr>
          <w:rFonts w:hint="eastAsia" w:cs="仿宋"/>
          <w:bCs/>
          <w:szCs w:val="32"/>
        </w:rPr>
        <w:fldChar w:fldCharType="end"/>
      </w:r>
      <w:bookmarkEnd w:id="15"/>
    </w:p>
    <w:p>
      <w:pPr>
        <w:shd w:val="clear" w:color="auto" w:fill="FFFFFF"/>
        <w:spacing w:line="440" w:lineRule="exact"/>
        <w:jc w:val="center"/>
        <w:rPr>
          <w:rFonts w:hint="eastAsia" w:ascii="仿宋" w:hAnsi="仿宋" w:eastAsia="仿宋" w:cs="仿宋"/>
          <w:bCs/>
          <w:szCs w:val="21"/>
        </w:rPr>
      </w:pPr>
    </w:p>
    <w:p>
      <w:pPr>
        <w:widowControl/>
        <w:spacing w:line="440" w:lineRule="exact"/>
        <w:jc w:val="left"/>
        <w:rPr>
          <w:rFonts w:hint="eastAsia" w:ascii="仿宋" w:hAnsi="仿宋" w:eastAsia="仿宋" w:cs="仿宋"/>
          <w:sz w:val="24"/>
          <w:lang w:val="zh-CN"/>
        </w:rPr>
      </w:pPr>
    </w:p>
    <w:p>
      <w:pPr>
        <w:widowControl/>
        <w:spacing w:line="440" w:lineRule="exact"/>
        <w:jc w:val="left"/>
        <w:rPr>
          <w:rFonts w:hint="eastAsia" w:ascii="仿宋" w:hAnsi="仿宋" w:eastAsia="仿宋" w:cs="仿宋"/>
          <w:sz w:val="24"/>
          <w:lang w:val="zh-CN"/>
        </w:rPr>
      </w:pPr>
      <w:r>
        <w:rPr>
          <w:rFonts w:hint="eastAsia" w:ascii="仿宋" w:hAnsi="仿宋" w:eastAsia="仿宋" w:cs="仿宋"/>
          <w:sz w:val="24"/>
          <w:lang w:val="zh-CN"/>
        </w:rPr>
        <w:t>（封面示例）</w:t>
      </w:r>
    </w:p>
    <w:p>
      <w:pPr>
        <w:shd w:val="clear" w:color="auto" w:fill="FFFFFF"/>
        <w:spacing w:line="440" w:lineRule="exact"/>
        <w:ind w:firstLine="420"/>
        <w:jc w:val="right"/>
        <w:outlineLvl w:val="0"/>
        <w:rPr>
          <w:rFonts w:hint="eastAsia" w:ascii="仿宋" w:hAnsi="仿宋" w:eastAsia="仿宋" w:cs="仿宋"/>
          <w:bCs/>
          <w:sz w:val="24"/>
          <w:lang w:val="zh-CN"/>
        </w:rPr>
      </w:pPr>
      <w:bookmarkStart w:id="16" w:name="_Toc16621"/>
    </w:p>
    <w:p>
      <w:pPr>
        <w:shd w:val="clear" w:color="auto" w:fill="FFFFFF"/>
        <w:spacing w:line="440" w:lineRule="exact"/>
        <w:ind w:firstLine="420"/>
        <w:jc w:val="right"/>
        <w:outlineLvl w:val="0"/>
        <w:rPr>
          <w:rFonts w:hint="eastAsia" w:ascii="仿宋" w:hAnsi="仿宋" w:eastAsia="仿宋" w:cs="仿宋"/>
          <w:bCs/>
          <w:sz w:val="24"/>
          <w:lang w:val="zh-CN"/>
        </w:rPr>
      </w:pPr>
      <w:r>
        <w:rPr>
          <w:rFonts w:hint="eastAsia" w:ascii="仿宋" w:hAnsi="仿宋" w:eastAsia="仿宋" w:cs="仿宋"/>
          <w:bCs/>
          <w:sz w:val="24"/>
          <w:lang w:val="zh-CN"/>
        </w:rPr>
        <w:t>正本</w:t>
      </w:r>
      <w:bookmarkEnd w:id="16"/>
      <w:r>
        <w:rPr>
          <w:rFonts w:hint="eastAsia" w:ascii="仿宋" w:hAnsi="仿宋" w:eastAsia="仿宋" w:cs="仿宋"/>
          <w:bCs/>
          <w:sz w:val="24"/>
          <w:lang w:val="zh-CN"/>
        </w:rPr>
        <w:t>或副本</w:t>
      </w:r>
    </w:p>
    <w:p>
      <w:pPr>
        <w:shd w:val="clear" w:color="auto" w:fill="FFFFFF"/>
        <w:spacing w:line="440" w:lineRule="exact"/>
        <w:ind w:firstLine="420"/>
        <w:jc w:val="center"/>
        <w:rPr>
          <w:rFonts w:hint="eastAsia" w:ascii="仿宋" w:hAnsi="仿宋" w:eastAsia="仿宋" w:cs="仿宋"/>
          <w:bCs/>
          <w:sz w:val="24"/>
          <w:lang w:val="zh-CN"/>
        </w:rPr>
      </w:pPr>
    </w:p>
    <w:p>
      <w:pPr>
        <w:rPr>
          <w:rFonts w:hint="eastAsia"/>
          <w:lang w:val="zh-CN"/>
        </w:rPr>
      </w:pPr>
    </w:p>
    <w:p>
      <w:pPr>
        <w:jc w:val="center"/>
        <w:rPr>
          <w:rFonts w:hint="eastAsia" w:ascii="仿宋" w:hAnsi="仿宋" w:eastAsia="仿宋" w:cs="仿宋"/>
          <w:b/>
          <w:bCs/>
          <w:sz w:val="36"/>
          <w:szCs w:val="44"/>
          <w:lang w:val="en-US" w:eastAsia="zh-CN"/>
        </w:rPr>
      </w:pPr>
      <w:r>
        <w:rPr>
          <w:rFonts w:hint="eastAsia" w:ascii="仿宋" w:hAnsi="仿宋" w:eastAsia="仿宋" w:cs="仿宋"/>
          <w:b/>
          <w:bCs/>
          <w:sz w:val="36"/>
          <w:szCs w:val="44"/>
          <w:lang w:val="zh-CN"/>
        </w:rPr>
        <w:t>新疆维吾尔自治区分析测试研究院2022年试剂耗材采购项目</w:t>
      </w:r>
    </w:p>
    <w:p>
      <w:pPr>
        <w:shd w:val="clear" w:color="auto" w:fill="FFFFFF"/>
        <w:spacing w:line="440" w:lineRule="exact"/>
        <w:ind w:firstLine="420"/>
        <w:jc w:val="center"/>
        <w:outlineLvl w:val="0"/>
        <w:rPr>
          <w:rFonts w:hint="eastAsia" w:ascii="仿宋" w:hAnsi="仿宋" w:eastAsia="仿宋" w:cs="仿宋"/>
          <w:b/>
          <w:bCs/>
          <w:sz w:val="32"/>
          <w:szCs w:val="32"/>
        </w:rPr>
      </w:pPr>
      <w:bookmarkStart w:id="17" w:name="_Toc31774"/>
    </w:p>
    <w:p>
      <w:pPr>
        <w:shd w:val="clear" w:color="auto" w:fill="FFFFFF"/>
        <w:spacing w:line="440" w:lineRule="exact"/>
        <w:ind w:firstLine="420"/>
        <w:jc w:val="center"/>
        <w:outlineLvl w:val="0"/>
        <w:rPr>
          <w:rFonts w:hint="default" w:ascii="仿宋" w:hAnsi="仿宋" w:eastAsia="仿宋" w:cs="仿宋"/>
          <w:b/>
          <w:sz w:val="36"/>
          <w:szCs w:val="36"/>
          <w:lang w:val="en-US" w:eastAsia="zh-CN"/>
        </w:rPr>
      </w:pPr>
      <w:r>
        <w:rPr>
          <w:rFonts w:hint="eastAsia" w:ascii="仿宋" w:hAnsi="仿宋" w:eastAsia="仿宋" w:cs="仿宋"/>
          <w:b/>
          <w:bCs/>
          <w:sz w:val="32"/>
          <w:szCs w:val="32"/>
        </w:rPr>
        <w:t>项目编号：</w:t>
      </w:r>
    </w:p>
    <w:p>
      <w:pPr>
        <w:shd w:val="clear" w:color="auto" w:fill="FFFFFF"/>
        <w:spacing w:line="440" w:lineRule="exact"/>
        <w:ind w:firstLine="420"/>
        <w:jc w:val="center"/>
        <w:outlineLvl w:val="0"/>
        <w:rPr>
          <w:rFonts w:hint="eastAsia" w:ascii="仿宋" w:hAnsi="仿宋" w:eastAsia="仿宋" w:cs="仿宋"/>
          <w:b/>
          <w:sz w:val="36"/>
          <w:szCs w:val="36"/>
          <w:lang w:val="zh-CN"/>
        </w:rPr>
      </w:pPr>
    </w:p>
    <w:p>
      <w:pPr>
        <w:pStyle w:val="28"/>
        <w:rPr>
          <w:rFonts w:hint="eastAsia" w:ascii="仿宋" w:hAnsi="仿宋" w:eastAsia="仿宋" w:cs="仿宋"/>
          <w:b/>
          <w:sz w:val="36"/>
          <w:szCs w:val="36"/>
          <w:lang w:val="zh-CN"/>
        </w:rPr>
      </w:pPr>
    </w:p>
    <w:p>
      <w:pPr>
        <w:pStyle w:val="29"/>
        <w:ind w:firstLine="361"/>
        <w:rPr>
          <w:rFonts w:hint="eastAsia" w:ascii="仿宋" w:hAnsi="仿宋" w:eastAsia="仿宋" w:cs="仿宋"/>
          <w:b/>
          <w:sz w:val="36"/>
          <w:szCs w:val="36"/>
          <w:lang w:val="zh-CN"/>
        </w:rPr>
      </w:pPr>
    </w:p>
    <w:p>
      <w:pPr>
        <w:pStyle w:val="29"/>
        <w:ind w:firstLine="361"/>
        <w:rPr>
          <w:rFonts w:hint="eastAsia" w:ascii="仿宋" w:hAnsi="仿宋" w:eastAsia="仿宋" w:cs="仿宋"/>
          <w:b/>
          <w:sz w:val="36"/>
          <w:szCs w:val="36"/>
          <w:lang w:val="zh-CN"/>
        </w:rPr>
      </w:pPr>
    </w:p>
    <w:p>
      <w:pPr>
        <w:shd w:val="clear" w:color="auto" w:fill="FFFFFF"/>
        <w:spacing w:line="440" w:lineRule="exact"/>
        <w:ind w:firstLine="420"/>
        <w:jc w:val="center"/>
        <w:outlineLvl w:val="0"/>
        <w:rPr>
          <w:rFonts w:hint="eastAsia" w:ascii="仿宋" w:hAnsi="仿宋" w:eastAsia="仿宋" w:cs="仿宋"/>
          <w:b/>
          <w:sz w:val="36"/>
          <w:szCs w:val="36"/>
          <w:lang w:val="zh-CN"/>
        </w:rPr>
      </w:pPr>
      <w:r>
        <w:rPr>
          <w:rFonts w:hint="eastAsia" w:ascii="仿宋" w:hAnsi="仿宋" w:eastAsia="仿宋" w:cs="仿宋"/>
          <w:b/>
          <w:sz w:val="36"/>
          <w:szCs w:val="36"/>
          <w:lang w:val="zh-CN"/>
        </w:rPr>
        <w:t>投 标 文 件</w:t>
      </w:r>
      <w:bookmarkEnd w:id="17"/>
    </w:p>
    <w:p>
      <w:pPr>
        <w:shd w:val="clear" w:color="auto" w:fill="FFFFFF"/>
        <w:spacing w:line="440" w:lineRule="exact"/>
        <w:ind w:firstLine="420"/>
        <w:jc w:val="center"/>
        <w:rPr>
          <w:rFonts w:hint="eastAsia" w:ascii="仿宋" w:hAnsi="仿宋" w:eastAsia="仿宋" w:cs="仿宋"/>
          <w:b/>
          <w:bCs/>
          <w:sz w:val="24"/>
          <w:lang w:val="zh-CN"/>
        </w:rPr>
      </w:pPr>
    </w:p>
    <w:p>
      <w:pPr>
        <w:shd w:val="clear" w:color="auto" w:fill="FFFFFF"/>
        <w:spacing w:line="440" w:lineRule="exact"/>
        <w:ind w:firstLine="420"/>
        <w:jc w:val="center"/>
        <w:rPr>
          <w:rFonts w:hint="eastAsia" w:ascii="仿宋" w:hAnsi="仿宋" w:eastAsia="仿宋" w:cs="仿宋"/>
          <w:b/>
          <w:bCs/>
          <w:sz w:val="24"/>
          <w:lang w:val="zh-CN"/>
        </w:rPr>
      </w:pPr>
    </w:p>
    <w:p>
      <w:pPr>
        <w:shd w:val="clear" w:color="auto" w:fill="FFFFFF"/>
        <w:spacing w:line="440" w:lineRule="exact"/>
        <w:ind w:firstLine="420"/>
        <w:jc w:val="center"/>
        <w:rPr>
          <w:rFonts w:hint="eastAsia" w:ascii="仿宋" w:hAnsi="仿宋" w:eastAsia="仿宋" w:cs="仿宋"/>
          <w:b/>
          <w:bCs/>
          <w:sz w:val="24"/>
          <w:lang w:val="zh-CN"/>
        </w:rPr>
      </w:pPr>
    </w:p>
    <w:p>
      <w:pPr>
        <w:shd w:val="clear" w:color="auto" w:fill="FFFFFF"/>
        <w:spacing w:line="440" w:lineRule="exact"/>
        <w:ind w:firstLine="420"/>
        <w:jc w:val="center"/>
        <w:rPr>
          <w:rFonts w:hint="eastAsia" w:ascii="仿宋" w:hAnsi="仿宋" w:eastAsia="仿宋" w:cs="仿宋"/>
          <w:b/>
          <w:bCs/>
          <w:sz w:val="24"/>
          <w:lang w:val="zh-CN"/>
        </w:rPr>
      </w:pP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投标人（盖公章）：×××公司</w:t>
      </w: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rPr>
        <w:t>法定代表人或授权代理人（签章）：</w:t>
      </w: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地址：</w:t>
      </w: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联系人：</w:t>
      </w: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联系电话：</w:t>
      </w:r>
    </w:p>
    <w:p>
      <w:pPr>
        <w:shd w:val="clear" w:color="auto" w:fill="FFFFFF"/>
        <w:spacing w:line="44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时间：×年×月×日</w:t>
      </w:r>
    </w:p>
    <w:p>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pPr>
        <w:spacing w:line="4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目录</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（1）投标函；</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（2）法定代表人身份证明书；</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（3）法定代表人授权委托书；</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（4）投标报价一览表；</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（5）明细报价表；</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（6）投标人的资格证明材料；</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（7）</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sz w:val="24"/>
        </w:rPr>
        <w:t>投标人近三年相关项目业绩表（201</w:t>
      </w:r>
      <w:r>
        <w:rPr>
          <w:rFonts w:hint="eastAsia" w:ascii="仿宋" w:hAnsi="仿宋" w:eastAsia="仿宋" w:cs="仿宋"/>
          <w:bCs/>
          <w:sz w:val="24"/>
          <w:lang w:val="en-US" w:eastAsia="zh-CN"/>
        </w:rPr>
        <w:t>9</w:t>
      </w:r>
      <w:r>
        <w:rPr>
          <w:rFonts w:hint="eastAsia" w:ascii="仿宋" w:hAnsi="仿宋" w:eastAsia="仿宋" w:cs="仿宋"/>
          <w:bCs/>
          <w:sz w:val="24"/>
        </w:rPr>
        <w:t>年1月至今）</w:t>
      </w:r>
      <w:r>
        <w:rPr>
          <w:rFonts w:hint="eastAsia" w:ascii="仿宋" w:hAnsi="仿宋" w:eastAsia="仿宋" w:cs="仿宋"/>
          <w:bCs/>
          <w:sz w:val="24"/>
          <w:szCs w:val="24"/>
        </w:rPr>
        <w:t>；</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（10）商务、技术条款偏离表；</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（11）有关投标产品的证明、检测报告或产品鉴定证书</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（12）技术方案；</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（13）</w:t>
      </w:r>
      <w:r>
        <w:rPr>
          <w:rFonts w:hint="eastAsia" w:ascii="仿宋" w:hAnsi="仿宋" w:eastAsia="仿宋" w:cs="仿宋"/>
          <w:bCs/>
          <w:sz w:val="24"/>
          <w:szCs w:val="24"/>
          <w:lang w:val="en-US" w:eastAsia="zh-CN"/>
        </w:rPr>
        <w:t>投标人认为需要提交的其他商务技术资料</w:t>
      </w:r>
    </w:p>
    <w:p>
      <w:pPr>
        <w:ind w:firstLine="480" w:firstLineChars="200"/>
        <w:rPr>
          <w:rFonts w:hint="eastAsia" w:ascii="仿宋" w:hAnsi="仿宋" w:eastAsia="仿宋" w:cs="仿宋"/>
          <w:bCs/>
          <w:sz w:val="24"/>
          <w:szCs w:val="24"/>
        </w:rPr>
      </w:pPr>
    </w:p>
    <w:p>
      <w:pPr>
        <w:ind w:firstLine="482" w:firstLineChars="200"/>
        <w:rPr>
          <w:rFonts w:hint="eastAsia" w:ascii="仿宋" w:hAnsi="仿宋" w:eastAsia="仿宋" w:cs="仿宋"/>
          <w:b/>
          <w:sz w:val="24"/>
        </w:rPr>
      </w:pPr>
    </w:p>
    <w:p>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pPr>
        <w:ind w:firstLine="420" w:firstLineChars="200"/>
        <w:rPr>
          <w:rFonts w:hint="eastAsia" w:ascii="仿宋" w:hAnsi="仿宋" w:eastAsia="仿宋" w:cs="仿宋"/>
          <w:bCs/>
          <w:szCs w:val="21"/>
        </w:rPr>
      </w:pPr>
    </w:p>
    <w:p>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投标函</w:t>
      </w:r>
    </w:p>
    <w:p>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7、一旦我方中标，我方承诺按采购人要求提供全额增值税专用发票。</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Cs/>
          <w:sz w:val="24"/>
        </w:rPr>
      </w:pPr>
      <w:r>
        <w:rPr>
          <w:rFonts w:hint="eastAsia"/>
        </w:rPr>
        <w:br w:type="page"/>
      </w:r>
    </w:p>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法定代表人身份证明书</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
          <w:bCs/>
          <w:szCs w:val="21"/>
        </w:rPr>
      </w:pPr>
    </w:p>
    <w:p>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法定代表人授权委托书</w:t>
      </w: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ind w:firstLine="420" w:firstLineChars="200"/>
        <w:rPr>
          <w:rFonts w:hint="eastAsia" w:ascii="仿宋" w:hAnsi="仿宋" w:eastAsia="仿宋" w:cs="仿宋"/>
          <w:sz w:val="24"/>
        </w:rPr>
      </w:pPr>
      <w:r>
        <w:rPr>
          <w:rFonts w:hint="eastAsia" w:ascii="仿宋" w:hAnsi="仿宋" w:eastAsia="仿宋" w:cs="仿宋"/>
          <w:szCs w:val="21"/>
        </w:rPr>
        <w:br w:type="page"/>
      </w:r>
    </w:p>
    <w:p>
      <w:pPr>
        <w:shd w:val="clear" w:color="auto" w:fill="FFFFFF"/>
        <w:spacing w:line="440" w:lineRule="exact"/>
        <w:jc w:val="center"/>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投标报价一览表</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noWrap w:val="0"/>
            <w:vAlign w:val="center"/>
          </w:tcPr>
          <w:p>
            <w:pPr>
              <w:shd w:val="clear" w:color="auto" w:fill="FFFFFF"/>
              <w:tabs>
                <w:tab w:val="left" w:pos="3780"/>
              </w:tabs>
              <w:spacing w:line="4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投标总价</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lang w:eastAsia="zh-CN"/>
              </w:rPr>
              <w:t>供货期</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noWrap w:val="0"/>
            <w:vAlign w:val="center"/>
          </w:tcPr>
          <w:p>
            <w:pPr>
              <w:shd w:val="clear" w:color="auto" w:fill="FFFFFF"/>
              <w:autoSpaceDE w:val="0"/>
              <w:autoSpaceDN w:val="0"/>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bl>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1、投标总报价</w:t>
      </w:r>
      <w:r>
        <w:rPr>
          <w:rFonts w:hint="eastAsia" w:ascii="仿宋" w:hAnsi="仿宋" w:eastAsia="仿宋" w:cs="仿宋"/>
          <w:bCs/>
          <w:sz w:val="24"/>
        </w:rPr>
        <w:t>以元为单位，小数点后保留2位。</w:t>
      </w:r>
    </w:p>
    <w:p>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2、报价应包含货物的采购、包装、运输、装卸、保险、验收、检验等一切费用。</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3、投标人必须自行考虑本项目在实施期间的一切可能产生的费用。在合同执行过程中，招标人将不再另行支付与本项目相关的任何费用（非本项目要求的其它内容除外）。</w:t>
      </w:r>
    </w:p>
    <w:p>
      <w:pPr>
        <w:shd w:val="clear" w:color="auto" w:fill="FFFFFF"/>
        <w:tabs>
          <w:tab w:val="left" w:pos="3780"/>
        </w:tabs>
        <w:spacing w:line="440" w:lineRule="exact"/>
        <w:rPr>
          <w:rFonts w:hint="eastAsia" w:ascii="仿宋" w:hAnsi="仿宋" w:eastAsia="仿宋" w:cs="仿宋"/>
          <w:b/>
          <w:bCs/>
          <w:sz w:val="24"/>
        </w:rPr>
      </w:pPr>
      <w:r>
        <w:rPr>
          <w:rFonts w:hint="eastAsia" w:ascii="仿宋" w:hAnsi="仿宋" w:eastAsia="仿宋" w:cs="仿宋"/>
          <w:b/>
          <w:bCs/>
          <w:sz w:val="24"/>
        </w:rPr>
        <w:t>4、此表除在投标文件中提供外，还应按“投标人须知前附表”的规定密封标记单独提交一份。</w:t>
      </w:r>
    </w:p>
    <w:p>
      <w:pPr>
        <w:shd w:val="clear" w:color="auto" w:fill="FFFFFF"/>
        <w:tabs>
          <w:tab w:val="left" w:pos="3780"/>
        </w:tabs>
        <w:spacing w:line="440" w:lineRule="exac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60" w:lineRule="atLeast"/>
        <w:rPr>
          <w:rFonts w:hint="eastAsia"/>
          <w:sz w:val="24"/>
        </w:rPr>
      </w:pPr>
      <w:r>
        <w:rPr>
          <w:rFonts w:hint="eastAsia"/>
        </w:rPr>
        <w:br w:type="page"/>
      </w:r>
    </w:p>
    <w:p>
      <w:pPr>
        <w:spacing w:line="460" w:lineRule="atLeast"/>
        <w:jc w:val="center"/>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明细报价表</w:t>
      </w:r>
    </w:p>
    <w:p>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项目名称：</w:t>
      </w:r>
    </w:p>
    <w:p>
      <w:pPr>
        <w:pStyle w:val="327"/>
        <w:spacing w:line="440" w:lineRule="exact"/>
        <w:ind w:left="208" w:leftChars="99" w:firstLine="120" w:firstLineChars="50"/>
        <w:jc w:val="both"/>
        <w:rPr>
          <w:rFonts w:hint="eastAsia" w:ascii="仿宋" w:hAnsi="仿宋" w:eastAsia="仿宋" w:cs="仿宋"/>
          <w:bCs/>
          <w:color w:val="auto"/>
          <w:kern w:val="2"/>
          <w:sz w:val="24"/>
        </w:rPr>
      </w:pPr>
      <w:r>
        <w:rPr>
          <w:rFonts w:hint="eastAsia" w:ascii="仿宋" w:hAnsi="仿宋" w:eastAsia="仿宋" w:cs="仿宋"/>
          <w:bCs/>
          <w:color w:val="auto"/>
          <w:kern w:val="2"/>
          <w:sz w:val="24"/>
        </w:rPr>
        <w:t>项目编号：</w:t>
      </w:r>
    </w:p>
    <w:tbl>
      <w:tblPr>
        <w:tblStyle w:val="60"/>
        <w:tblW w:w="9069" w:type="dxa"/>
        <w:tblInd w:w="354" w:type="dxa"/>
        <w:tblLayout w:type="fixed"/>
        <w:tblCellMar>
          <w:top w:w="0" w:type="dxa"/>
          <w:left w:w="0" w:type="dxa"/>
          <w:bottom w:w="0" w:type="dxa"/>
          <w:right w:w="0" w:type="dxa"/>
        </w:tblCellMar>
      </w:tblPr>
      <w:tblGrid>
        <w:gridCol w:w="1435"/>
        <w:gridCol w:w="1442"/>
        <w:gridCol w:w="1337"/>
        <w:gridCol w:w="1087"/>
        <w:gridCol w:w="771"/>
        <w:gridCol w:w="1136"/>
        <w:gridCol w:w="936"/>
        <w:gridCol w:w="925"/>
      </w:tblGrid>
      <w:tr>
        <w:tblPrEx>
          <w:tblCellMar>
            <w:top w:w="0" w:type="dxa"/>
            <w:left w:w="0" w:type="dxa"/>
            <w:bottom w:w="0" w:type="dxa"/>
            <w:right w:w="0" w:type="dxa"/>
          </w:tblCellMar>
        </w:tblPrEx>
        <w:trPr>
          <w:trHeight w:val="711" w:hRule="atLeast"/>
        </w:trPr>
        <w:tc>
          <w:tcPr>
            <w:tcW w:w="143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序号</w:t>
            </w:r>
          </w:p>
        </w:tc>
        <w:tc>
          <w:tcPr>
            <w:tcW w:w="144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货物名称</w:t>
            </w:r>
          </w:p>
        </w:tc>
        <w:tc>
          <w:tcPr>
            <w:tcW w:w="13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规格型号</w:t>
            </w:r>
          </w:p>
        </w:tc>
        <w:tc>
          <w:tcPr>
            <w:tcW w:w="108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制造商</w:t>
            </w:r>
          </w:p>
        </w:tc>
        <w:tc>
          <w:tcPr>
            <w:tcW w:w="77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数量</w:t>
            </w:r>
          </w:p>
        </w:tc>
        <w:tc>
          <w:tcPr>
            <w:tcW w:w="113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单价（元）</w:t>
            </w:r>
          </w:p>
        </w:tc>
        <w:tc>
          <w:tcPr>
            <w:tcW w:w="93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合计（元）</w:t>
            </w:r>
          </w:p>
        </w:tc>
        <w:tc>
          <w:tcPr>
            <w:tcW w:w="9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tblPrEx>
          <w:tblCellMar>
            <w:top w:w="0" w:type="dxa"/>
            <w:left w:w="0" w:type="dxa"/>
            <w:bottom w:w="0" w:type="dxa"/>
            <w:right w:w="0" w:type="dxa"/>
          </w:tblCellMar>
        </w:tblPrEx>
        <w:trPr>
          <w:trHeight w:val="565" w:hRule="atLeast"/>
        </w:trPr>
        <w:tc>
          <w:tcPr>
            <w:tcW w:w="143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144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13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left="143" w:firstLine="480"/>
              <w:jc w:val="center"/>
              <w:rPr>
                <w:rFonts w:hint="eastAsia" w:ascii="仿宋" w:hAnsi="仿宋" w:eastAsia="仿宋" w:cs="仿宋"/>
                <w:kern w:val="0"/>
                <w:sz w:val="24"/>
              </w:rPr>
            </w:pPr>
          </w:p>
        </w:tc>
        <w:tc>
          <w:tcPr>
            <w:tcW w:w="10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7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113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93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9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trHeight w:val="565" w:hRule="atLeast"/>
        </w:trPr>
        <w:tc>
          <w:tcPr>
            <w:tcW w:w="143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442"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33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08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77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13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93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925"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trHeight w:val="555" w:hRule="atLeast"/>
        </w:trPr>
        <w:tc>
          <w:tcPr>
            <w:tcW w:w="143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14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仿宋" w:hAnsi="仿宋" w:eastAsia="仿宋" w:cs="仿宋"/>
                <w:kern w:val="0"/>
                <w:sz w:val="24"/>
              </w:rPr>
            </w:pP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7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11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c>
          <w:tcPr>
            <w:tcW w:w="92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trHeight w:val="555" w:hRule="atLeast"/>
        </w:trPr>
        <w:tc>
          <w:tcPr>
            <w:tcW w:w="143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总计</w:t>
            </w:r>
          </w:p>
        </w:tc>
        <w:tc>
          <w:tcPr>
            <w:tcW w:w="7634" w:type="dxa"/>
            <w:gridSpan w:val="7"/>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40" w:lineRule="exact"/>
              <w:rPr>
                <w:rFonts w:hint="eastAsia" w:ascii="仿宋" w:hAnsi="仿宋" w:eastAsia="仿宋" w:cs="仿宋"/>
                <w:b/>
                <w:bCs/>
                <w:sz w:val="24"/>
              </w:rPr>
            </w:pPr>
            <w:r>
              <w:rPr>
                <w:rFonts w:hint="eastAsia" w:ascii="仿宋" w:hAnsi="仿宋" w:eastAsia="仿宋" w:cs="仿宋"/>
                <w:b/>
                <w:bCs/>
                <w:sz w:val="24"/>
              </w:rPr>
              <w:t>大写：</w:t>
            </w:r>
          </w:p>
          <w:p>
            <w:pPr>
              <w:widowControl/>
              <w:spacing w:line="440" w:lineRule="exact"/>
              <w:rPr>
                <w:rFonts w:hint="eastAsia" w:ascii="仿宋" w:hAnsi="仿宋" w:eastAsia="仿宋" w:cs="仿宋"/>
                <w:kern w:val="0"/>
                <w:sz w:val="24"/>
              </w:rPr>
            </w:pPr>
            <w:r>
              <w:rPr>
                <w:rFonts w:hint="eastAsia" w:ascii="仿宋" w:hAnsi="仿宋" w:eastAsia="仿宋" w:cs="仿宋"/>
                <w:b/>
                <w:bCs/>
                <w:sz w:val="24"/>
              </w:rPr>
              <w:t>小写：</w:t>
            </w:r>
          </w:p>
        </w:tc>
      </w:tr>
    </w:tbl>
    <w:p>
      <w:pPr>
        <w:pStyle w:val="32"/>
        <w:rPr>
          <w:rFonts w:hint="eastAsia" w:ascii="仿宋" w:hAnsi="仿宋" w:eastAsia="仿宋" w:cs="仿宋"/>
          <w:sz w:val="24"/>
          <w:szCs w:val="24"/>
        </w:rPr>
      </w:pPr>
    </w:p>
    <w:p>
      <w:pPr>
        <w:pStyle w:val="32"/>
        <w:rPr>
          <w:rFonts w:hint="eastAsia" w:ascii="仿宋" w:hAnsi="仿宋" w:eastAsia="仿宋" w:cs="仿宋"/>
          <w:sz w:val="24"/>
          <w:szCs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40" w:lineRule="exact"/>
        <w:rPr>
          <w:rFonts w:hint="eastAsia" w:ascii="仿宋" w:hAnsi="仿宋" w:eastAsia="仿宋" w:cs="仿宋"/>
          <w:b/>
          <w:sz w:val="24"/>
        </w:rPr>
      </w:pPr>
    </w:p>
    <w:p>
      <w:pPr>
        <w:spacing w:line="440" w:lineRule="exact"/>
        <w:rPr>
          <w:rFonts w:hint="eastAsia" w:ascii="仿宋" w:hAnsi="仿宋" w:eastAsia="仿宋" w:cs="仿宋"/>
          <w:b/>
          <w:szCs w:val="21"/>
        </w:rPr>
      </w:pPr>
    </w:p>
    <w:p>
      <w:pPr>
        <w:pStyle w:val="16"/>
        <w:ind w:firstLine="400"/>
        <w:rPr>
          <w:rFonts w:hint="eastAsia" w:ascii="仿宋" w:hAnsi="仿宋" w:eastAsia="仿宋" w:cs="仿宋"/>
          <w:szCs w:val="21"/>
        </w:rPr>
      </w:pPr>
    </w:p>
    <w:p>
      <w:pPr>
        <w:widowControl/>
        <w:spacing w:line="440" w:lineRule="exact"/>
        <w:jc w:val="left"/>
        <w:rPr>
          <w:rFonts w:hint="eastAsia" w:ascii="仿宋" w:hAnsi="仿宋" w:eastAsia="仿宋" w:cs="仿宋"/>
          <w:sz w:val="24"/>
        </w:rPr>
      </w:pPr>
      <w:r>
        <w:rPr>
          <w:rFonts w:hint="eastAsia"/>
        </w:rPr>
        <w:br w:type="page"/>
      </w:r>
    </w:p>
    <w:p>
      <w:pPr>
        <w:spacing w:line="460" w:lineRule="atLeas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6、投标人的资格证明材料</w:t>
      </w:r>
    </w:p>
    <w:p>
      <w:pPr>
        <w:shd w:val="clear" w:color="auto" w:fill="FFFFFF"/>
        <w:spacing w:line="440" w:lineRule="exact"/>
        <w:jc w:val="center"/>
        <w:rPr>
          <w:rFonts w:hint="eastAsia" w:ascii="仿宋" w:hAnsi="仿宋" w:eastAsia="仿宋" w:cs="仿宋"/>
          <w:bCs/>
          <w:sz w:val="24"/>
        </w:rPr>
      </w:pPr>
      <w:bookmarkStart w:id="18" w:name="_Toc60925523"/>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投标人基本情况表</w:t>
      </w:r>
      <w:bookmarkEnd w:id="18"/>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bl>
    <w:p>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pPr>
        <w:spacing w:line="588" w:lineRule="exact"/>
        <w:rPr>
          <w:rFonts w:hint="eastAsia" w:ascii="仿宋" w:hAnsi="仿宋" w:eastAsia="仿宋" w:cs="仿宋"/>
          <w:spacing w:val="6"/>
          <w:sz w:val="24"/>
        </w:rPr>
      </w:pPr>
      <w:r>
        <w:rPr>
          <w:rFonts w:hint="eastAsia" w:ascii="仿宋" w:hAnsi="仿宋" w:eastAsia="仿宋" w:cs="仿宋"/>
          <w:szCs w:val="21"/>
        </w:rPr>
        <w:br w:type="page"/>
      </w:r>
      <w:r>
        <w:rPr>
          <w:rStyle w:val="63"/>
          <w:rFonts w:hint="eastAsia" w:ascii="仿宋" w:hAnsi="仿宋" w:eastAsia="仿宋" w:cs="仿宋"/>
          <w:kern w:val="0"/>
          <w:sz w:val="24"/>
        </w:rPr>
        <w:t>附表一、</w:t>
      </w:r>
    </w:p>
    <w:p>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pPr>
        <w:ind w:left="1280"/>
        <w:rPr>
          <w:rFonts w:hint="eastAsia" w:ascii="仿宋" w:hAnsi="仿宋" w:eastAsia="仿宋" w:cs="仿宋"/>
          <w:sz w:val="32"/>
          <w:szCs w:val="32"/>
        </w:rPr>
      </w:pP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w:t>
      </w:r>
      <w:r>
        <w:rPr>
          <w:rStyle w:val="70"/>
          <w:rFonts w:hint="eastAsia" w:ascii="仿宋" w:hAnsi="仿宋" w:eastAsia="仿宋" w:cs="仿宋"/>
          <w:sz w:val="24"/>
        </w:rPr>
        <w:footnoteReference w:id="0"/>
      </w:r>
      <w:r>
        <w:rPr>
          <w:rFonts w:hint="eastAsia" w:ascii="仿宋" w:hAnsi="仿宋" w:eastAsia="仿宋" w:cs="仿宋"/>
          <w:sz w:val="24"/>
        </w:rPr>
        <w:t>，属于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企业名称（盖章）：</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日期：</w:t>
      </w: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p>
    <w:p>
      <w:pPr>
        <w:snapToGrid w:val="0"/>
        <w:spacing w:line="336" w:lineRule="auto"/>
        <w:ind w:firstLine="640" w:firstLineChars="200"/>
        <w:rPr>
          <w:rFonts w:ascii="仿宋" w:hAnsi="仿宋" w:eastAsia="仿宋"/>
          <w:sz w:val="32"/>
          <w:szCs w:val="32"/>
        </w:rPr>
      </w:pPr>
    </w:p>
    <w:p>
      <w:pPr>
        <w:widowControl/>
        <w:jc w:val="left"/>
        <w:rPr>
          <w:rStyle w:val="63"/>
          <w:rFonts w:hint="eastAsia" w:ascii="仿宋" w:hAnsi="仿宋" w:eastAsia="仿宋" w:cs="仿宋"/>
          <w:kern w:val="0"/>
          <w:szCs w:val="21"/>
        </w:rPr>
      </w:pPr>
      <w:r>
        <w:rPr>
          <w:rStyle w:val="63"/>
          <w:rFonts w:hint="eastAsia" w:ascii="仿宋" w:hAnsi="仿宋" w:eastAsia="仿宋" w:cs="仿宋"/>
          <w:kern w:val="0"/>
          <w:szCs w:val="21"/>
        </w:rPr>
        <w:br w:type="page"/>
      </w:r>
    </w:p>
    <w:p>
      <w:pPr>
        <w:spacing w:line="588" w:lineRule="exact"/>
        <w:rPr>
          <w:rFonts w:hint="eastAsia" w:ascii="仿宋" w:hAnsi="仿宋" w:eastAsia="仿宋" w:cs="仿宋"/>
          <w:spacing w:val="6"/>
          <w:sz w:val="24"/>
        </w:rPr>
      </w:pPr>
      <w:r>
        <w:rPr>
          <w:rStyle w:val="63"/>
          <w:rFonts w:hint="eastAsia" w:ascii="仿宋" w:hAnsi="仿宋" w:eastAsia="仿宋" w:cs="仿宋"/>
          <w:kern w:val="0"/>
          <w:sz w:val="24"/>
        </w:rPr>
        <w:t>附表二、</w:t>
      </w:r>
    </w:p>
    <w:p>
      <w:pPr>
        <w:spacing w:line="588" w:lineRule="exact"/>
        <w:jc w:val="center"/>
        <w:rPr>
          <w:rFonts w:hint="eastAsia" w:ascii="仿宋" w:hAnsi="仿宋" w:eastAsia="仿宋" w:cs="仿宋"/>
          <w:b/>
          <w:spacing w:val="6"/>
          <w:sz w:val="24"/>
        </w:rPr>
      </w:pPr>
      <w:bookmarkStart w:id="19" w:name="OLE_LINK14"/>
      <w:bookmarkStart w:id="20" w:name="OLE_LINK13"/>
      <w:r>
        <w:rPr>
          <w:rFonts w:hint="eastAsia" w:ascii="仿宋" w:hAnsi="仿宋" w:eastAsia="仿宋" w:cs="仿宋"/>
          <w:b/>
          <w:spacing w:val="6"/>
          <w:sz w:val="24"/>
        </w:rPr>
        <w:t>残疾人福利性单位声明函</w:t>
      </w:r>
    </w:p>
    <w:bookmarkEnd w:id="19"/>
    <w:bookmarkEnd w:id="20"/>
    <w:p>
      <w:pPr>
        <w:spacing w:line="588" w:lineRule="exact"/>
        <w:rPr>
          <w:rFonts w:hint="eastAsia" w:ascii="仿宋" w:hAnsi="仿宋" w:eastAsia="仿宋" w:cs="仿宋"/>
          <w:b/>
          <w:spacing w:val="6"/>
          <w:sz w:val="24"/>
        </w:rPr>
      </w:pP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pPr>
        <w:spacing w:line="588" w:lineRule="exact"/>
        <w:ind w:firstLine="504" w:firstLineChars="200"/>
        <w:rPr>
          <w:rFonts w:hint="eastAsia" w:ascii="仿宋" w:hAnsi="仿宋" w:eastAsia="仿宋" w:cs="仿宋"/>
          <w:spacing w:val="6"/>
          <w:sz w:val="24"/>
        </w:rPr>
      </w:pPr>
    </w:p>
    <w:p>
      <w:pPr>
        <w:spacing w:line="588" w:lineRule="exact"/>
        <w:ind w:firstLine="504" w:firstLineChars="200"/>
        <w:rPr>
          <w:rFonts w:hint="eastAsia" w:ascii="仿宋" w:hAnsi="仿宋" w:eastAsia="仿宋" w:cs="仿宋"/>
          <w:spacing w:val="6"/>
          <w:sz w:val="24"/>
        </w:rPr>
      </w:pP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pPr>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widowControl/>
        <w:jc w:val="left"/>
        <w:rPr>
          <w:rStyle w:val="63"/>
          <w:rFonts w:hint="eastAsia" w:ascii="仿宋" w:hAnsi="仿宋" w:eastAsia="仿宋" w:cs="仿宋"/>
          <w:kern w:val="0"/>
          <w:sz w:val="24"/>
        </w:rPr>
      </w:pPr>
      <w:r>
        <w:rPr>
          <w:rStyle w:val="63"/>
          <w:rFonts w:hint="eastAsia" w:ascii="仿宋" w:hAnsi="仿宋" w:eastAsia="仿宋" w:cs="仿宋"/>
          <w:kern w:val="0"/>
          <w:sz w:val="24"/>
        </w:rPr>
        <w:t>附表三、</w:t>
      </w:r>
    </w:p>
    <w:p>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pPr>
        <w:pStyle w:val="55"/>
        <w:spacing w:line="360" w:lineRule="auto"/>
        <w:ind w:firstLine="480" w:firstLineChars="200"/>
        <w:rPr>
          <w:rStyle w:val="63"/>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pPr>
        <w:shd w:val="clear" w:color="auto" w:fill="FFFFFF"/>
        <w:tabs>
          <w:tab w:val="left" w:pos="3780"/>
        </w:tabs>
        <w:spacing w:line="440" w:lineRule="exact"/>
        <w:jc w:val="center"/>
        <w:rPr>
          <w:rFonts w:hint="eastAsia" w:ascii="仿宋" w:hAnsi="仿宋" w:eastAsia="仿宋" w:cs="仿宋"/>
          <w:sz w:val="24"/>
        </w:rPr>
      </w:pPr>
    </w:p>
    <w:p>
      <w:pPr>
        <w:shd w:val="clear" w:color="auto" w:fill="FFFFFF"/>
        <w:spacing w:line="440" w:lineRule="exact"/>
        <w:rPr>
          <w:rFonts w:hint="eastAsia" w:ascii="仿宋" w:hAnsi="仿宋" w:eastAsia="仿宋" w:cs="仿宋"/>
          <w:b/>
          <w:bCs/>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2</w:t>
      </w:r>
      <w:r>
        <w:rPr>
          <w:rFonts w:hint="eastAsia" w:ascii="仿宋" w:hAnsi="仿宋" w:eastAsia="仿宋" w:cs="仿宋"/>
          <w:bCs/>
          <w:sz w:val="24"/>
          <w:lang w:eastAsia="zh-CN"/>
        </w:rPr>
        <w:t>）资格文件声明函</w:t>
      </w:r>
    </w:p>
    <w:p>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pPr>
        <w:pStyle w:val="28"/>
        <w:spacing w:before="139" w:line="240" w:lineRule="auto"/>
        <w:ind w:left="298" w:right="346" w:firstLine="420"/>
        <w:rPr>
          <w:rFonts w:hint="eastAsia" w:ascii="仿宋" w:hAnsi="仿宋" w:eastAsia="仿宋" w:cs="仿宋"/>
          <w:sz w:val="24"/>
          <w:szCs w:val="24"/>
        </w:rPr>
      </w:pPr>
      <w:r>
        <w:rPr>
          <w:rFonts w:hint="eastAsia" w:ascii="仿宋" w:hAnsi="仿宋" w:eastAsia="仿宋" w:cs="仿宋"/>
          <w:sz w:val="24"/>
          <w:szCs w:val="24"/>
        </w:rPr>
        <w:t>关于贵方采购项目名称：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】投标邀请，本签字人愿意参加投标响应，并声明：</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一、本公司（企业）具备《中华人民共和国政府采购法》第二十二条规定的条件：</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pStyle w:val="28"/>
        <w:spacing w:line="240" w:lineRule="auto"/>
        <w:ind w:left="58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pPr>
        <w:pStyle w:val="28"/>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本公司（企业）的单位负责人与所参投的本采购项目包组的其他供应商的单位负责人不为同一人且与其他供应商之间不存在直接控股、管理关系。</w:t>
      </w:r>
    </w:p>
    <w:p>
      <w:pPr>
        <w:pStyle w:val="28"/>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28"/>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本公司（企业）承诺在本次招标采购活动中，如有违法、违规、弄虚作假行为，所造成的损失、不良后果及法律责任，一律由我公司（企业）承担。</w:t>
      </w:r>
    </w:p>
    <w:p>
      <w:pPr>
        <w:ind w:left="708" w:right="7390" w:firstLine="9"/>
        <w:jc w:val="left"/>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仿宋" w:hAnsi="仿宋" w:eastAsia="仿宋" w:cs="仿宋"/>
          <w:b/>
          <w:sz w:val="24"/>
        </w:rPr>
      </w:pPr>
      <w:r>
        <w:rPr>
          <w:rFonts w:hint="eastAsia" w:ascii="仿宋" w:hAnsi="仿宋" w:eastAsia="仿宋" w:cs="仿宋"/>
          <w:b/>
          <w:sz w:val="24"/>
        </w:rPr>
        <w:t>备注：</w:t>
      </w:r>
    </w:p>
    <w:p>
      <w:pPr>
        <w:pStyle w:val="391"/>
        <w:numPr>
          <w:ilvl w:val="1"/>
          <w:numId w:val="14"/>
        </w:numPr>
        <w:tabs>
          <w:tab w:val="left" w:pos="928"/>
        </w:tabs>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本声明函必须提供且内容不得擅自删改，否则视为无效投标。</w:t>
      </w:r>
    </w:p>
    <w:p>
      <w:pPr>
        <w:pStyle w:val="391"/>
        <w:numPr>
          <w:ilvl w:val="1"/>
          <w:numId w:val="14"/>
        </w:numPr>
        <w:tabs>
          <w:tab w:val="left" w:pos="928"/>
        </w:tabs>
        <w:spacing w:before="137"/>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本声明函如有虚假或与事实不符的，作无效投标处理。</w:t>
      </w:r>
    </w:p>
    <w:p>
      <w:pPr>
        <w:shd w:val="clear" w:color="auto" w:fill="FFFFFF"/>
        <w:spacing w:line="440" w:lineRule="exac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pPr>
        <w:autoSpaceDE w:val="0"/>
        <w:autoSpaceDN w:val="0"/>
        <w:adjustRightInd w:val="0"/>
        <w:spacing w:line="480" w:lineRule="exact"/>
        <w:ind w:left="118"/>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3</w:t>
      </w:r>
      <w:r>
        <w:rPr>
          <w:rFonts w:hint="eastAsia" w:ascii="仿宋" w:hAnsi="仿宋" w:eastAsia="仿宋" w:cs="仿宋"/>
          <w:bCs/>
          <w:sz w:val="24"/>
          <w:lang w:eastAsia="zh-CN"/>
        </w:rPr>
        <w:t>)反商业贿赂承诺书</w:t>
      </w: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lang w:val="en-US" w:eastAsia="zh-CN"/>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80" w:lineRule="exact"/>
        <w:ind w:left="118"/>
        <w:jc w:val="center"/>
        <w:rPr>
          <w:rFonts w:hint="eastAsia" w:ascii="仿宋" w:hAnsi="仿宋" w:eastAsia="仿宋" w:cs="仿宋"/>
          <w:bCs/>
          <w:kern w:val="0"/>
          <w:sz w:val="24"/>
        </w:rPr>
      </w:pPr>
    </w:p>
    <w:p>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法定代表人或其委托代理人（签字盖章）：</w:t>
      </w:r>
    </w:p>
    <w:p>
      <w:pPr>
        <w:spacing w:line="520" w:lineRule="exac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pPr>
        <w:shd w:val="clear" w:color="auto" w:fill="FFFFFF"/>
        <w:tabs>
          <w:tab w:val="left" w:pos="996"/>
        </w:tabs>
        <w:spacing w:line="440" w:lineRule="exact"/>
        <w:rPr>
          <w:rFonts w:hint="eastAsia" w:ascii="仿宋" w:hAnsi="仿宋" w:eastAsia="仿宋" w:cs="仿宋"/>
          <w:szCs w:val="21"/>
        </w:rPr>
      </w:pPr>
    </w:p>
    <w:p>
      <w:pPr>
        <w:pStyle w:val="71"/>
        <w:ind w:left="0" w:leftChars="0" w:firstLine="0" w:firstLineChars="0"/>
        <w:jc w:val="center"/>
        <w:rPr>
          <w:rFonts w:hint="eastAsia"/>
        </w:rPr>
      </w:pPr>
      <w:r>
        <w:rPr>
          <w:rFonts w:hint="eastAsia"/>
        </w:rPr>
        <w:br w:type="page"/>
      </w:r>
      <w:r>
        <w:rPr>
          <w:rFonts w:hint="eastAsia" w:ascii="仿宋" w:hAnsi="仿宋" w:eastAsia="仿宋" w:cs="仿宋"/>
          <w:bCs/>
          <w:kern w:val="2"/>
          <w:sz w:val="24"/>
          <w:szCs w:val="24"/>
          <w:lang w:val="en-US" w:eastAsia="zh-CN" w:bidi="ar-SA"/>
        </w:rPr>
        <w:t>(4)投标人认为需要提交的其他资格证明资料</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shd w:val="clear" w:color="auto" w:fill="FFFFFF"/>
        <w:spacing w:line="440" w:lineRule="exact"/>
        <w:jc w:val="center"/>
        <w:rPr>
          <w:rFonts w:hint="eastAsia" w:ascii="仿宋" w:hAnsi="仿宋" w:eastAsia="仿宋" w:cs="仿宋"/>
          <w:szCs w:val="21"/>
          <w:lang w:val="en-US" w:eastAsia="zh-CN"/>
        </w:rPr>
      </w:pPr>
      <w:r>
        <w:rPr>
          <w:rFonts w:hint="eastAsia" w:ascii="仿宋" w:hAnsi="仿宋" w:eastAsia="仿宋" w:cs="仿宋"/>
          <w:szCs w:val="21"/>
        </w:rPr>
        <w:br w:type="page"/>
      </w:r>
      <w:r>
        <w:rPr>
          <w:rFonts w:hint="eastAsia" w:ascii="仿宋" w:hAnsi="仿宋" w:eastAsia="仿宋" w:cs="仿宋"/>
          <w:bCs/>
          <w:kern w:val="2"/>
          <w:sz w:val="24"/>
          <w:szCs w:val="24"/>
          <w:lang w:val="en-US" w:eastAsia="zh-CN" w:bidi="ar-SA"/>
        </w:rPr>
        <w:t>7、投标保证金缴纳凭证</w:t>
      </w:r>
    </w:p>
    <w:p>
      <w:pPr>
        <w:shd w:val="clear" w:color="auto" w:fill="FFFFFF"/>
        <w:spacing w:line="440" w:lineRule="exact"/>
        <w:rPr>
          <w:rFonts w:hint="eastAsia" w:ascii="仿宋" w:hAnsi="仿宋" w:eastAsia="仿宋" w:cs="仿宋"/>
          <w:szCs w:val="21"/>
        </w:rPr>
      </w:pPr>
    </w:p>
    <w:p>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w:t>
      </w:r>
      <w:r>
        <w:rPr>
          <w:rFonts w:hint="eastAsia" w:ascii="仿宋" w:hAnsi="仿宋" w:eastAsia="仿宋" w:cs="仿宋"/>
          <w:b/>
          <w:bCs/>
          <w:kern w:val="0"/>
          <w:sz w:val="24"/>
          <w:lang w:eastAsia="zh-CN"/>
        </w:rPr>
        <w:t>投标</w:t>
      </w:r>
      <w:r>
        <w:rPr>
          <w:rFonts w:hint="eastAsia" w:ascii="仿宋" w:hAnsi="仿宋" w:eastAsia="仿宋" w:cs="仿宋"/>
          <w:b/>
          <w:bCs/>
          <w:kern w:val="0"/>
          <w:sz w:val="24"/>
        </w:rPr>
        <w:t>保证金汇款凭证复印件加盖公章</w:t>
      </w:r>
    </w:p>
    <w:p>
      <w:pPr>
        <w:shd w:val="clear" w:color="auto" w:fill="FFFFFF"/>
        <w:spacing w:line="440" w:lineRule="exact"/>
        <w:rPr>
          <w:rFonts w:hint="eastAsia" w:ascii="仿宋" w:hAnsi="仿宋" w:eastAsia="仿宋" w:cs="仿宋"/>
          <w:szCs w:val="21"/>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szCs w:val="21"/>
        </w:rPr>
        <w:br w:type="page"/>
      </w:r>
      <w:r>
        <w:rPr>
          <w:rFonts w:hint="eastAsia" w:ascii="仿宋" w:hAnsi="仿宋" w:eastAsia="仿宋" w:cs="仿宋"/>
          <w:bCs/>
          <w:kern w:val="2"/>
          <w:sz w:val="24"/>
          <w:szCs w:val="24"/>
          <w:lang w:val="en-US" w:eastAsia="zh-CN" w:bidi="ar-SA"/>
        </w:rPr>
        <w:t>8、项目人员配备情况表</w:t>
      </w:r>
    </w:p>
    <w:p>
      <w:pPr>
        <w:pStyle w:val="28"/>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28"/>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拟承担工作内容</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56"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2659" w:type="dxa"/>
            <w:gridSpan w:val="2"/>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执业资格（培训）证书</w:t>
            </w:r>
          </w:p>
        </w:tc>
        <w:tc>
          <w:tcPr>
            <w:tcW w:w="798"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证书名称及范围</w:t>
            </w: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798"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bl>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必须如实填写此表格，并提供相关证书等复印件证明文件。</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Cs w:val="21"/>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pPr>
        <w:spacing w:line="440" w:lineRule="exact"/>
        <w:jc w:val="center"/>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投标人近三年相关项目业绩表（201</w:t>
      </w:r>
      <w:r>
        <w:rPr>
          <w:rFonts w:hint="eastAsia" w:ascii="仿宋" w:hAnsi="仿宋" w:eastAsia="仿宋" w:cs="仿宋"/>
          <w:bCs/>
          <w:sz w:val="24"/>
          <w:lang w:val="en-US" w:eastAsia="zh-CN"/>
        </w:rPr>
        <w:t>9</w:t>
      </w:r>
      <w:r>
        <w:rPr>
          <w:rFonts w:hint="eastAsia" w:ascii="仿宋" w:hAnsi="仿宋" w:eastAsia="仿宋" w:cs="仿宋"/>
          <w:bCs/>
          <w:sz w:val="24"/>
        </w:rPr>
        <w:t>年1月至今）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bl>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1.投标人须提供合同或中标通知书复印件作为证明材料。</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pPr>
        <w:widowControl/>
        <w:spacing w:line="440" w:lineRule="exact"/>
        <w:jc w:val="lef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widowControl/>
        <w:jc w:val="left"/>
        <w:rPr>
          <w:rFonts w:hint="eastAsia" w:ascii="仿宋" w:hAnsi="仿宋" w:eastAsia="仿宋" w:cs="仿宋"/>
          <w:szCs w:val="21"/>
        </w:rPr>
      </w:pPr>
      <w:r>
        <w:rPr>
          <w:rFonts w:hint="eastAsia" w:ascii="仿宋" w:hAnsi="仿宋" w:eastAsia="仿宋" w:cs="仿宋"/>
          <w:szCs w:val="21"/>
        </w:rPr>
        <w:br w:type="page"/>
      </w:r>
    </w:p>
    <w:p>
      <w:pPr>
        <w:spacing w:line="360" w:lineRule="auto"/>
        <w:jc w:val="center"/>
        <w:rPr>
          <w:rFonts w:hint="eastAsia" w:ascii="仿宋" w:hAnsi="仿宋" w:eastAsia="仿宋" w:cs="仿宋"/>
          <w:kern w:val="0"/>
          <w:sz w:val="24"/>
        </w:rPr>
      </w:pPr>
      <w:r>
        <w:rPr>
          <w:rFonts w:hint="eastAsia" w:ascii="仿宋" w:hAnsi="仿宋" w:eastAsia="仿宋" w:cs="仿宋"/>
          <w:kern w:val="0"/>
          <w:sz w:val="24"/>
          <w:lang w:val="en-US" w:eastAsia="zh-CN"/>
        </w:rPr>
        <w:t>10、</w:t>
      </w:r>
      <w:r>
        <w:rPr>
          <w:rFonts w:hint="eastAsia" w:ascii="仿宋" w:hAnsi="仿宋" w:eastAsia="仿宋" w:cs="仿宋"/>
          <w:kern w:val="0"/>
          <w:sz w:val="24"/>
        </w:rPr>
        <w:t>商务、技术响应与偏离表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noWrap w:val="0"/>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bl>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说明：1、“响应与偏离”应注明“响应”或“偏离”；</w:t>
      </w:r>
    </w:p>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w:t>
      </w:r>
      <w:r>
        <w:rPr>
          <w:rFonts w:hint="eastAsia" w:ascii="仿宋" w:hAnsi="仿宋" w:eastAsia="仿宋" w:cs="仿宋"/>
          <w:b/>
          <w:bCs/>
          <w:kern w:val="0"/>
          <w:sz w:val="24"/>
          <w:lang w:eastAsia="zh-CN"/>
        </w:rPr>
        <w:t>供货期</w:t>
      </w:r>
      <w:r>
        <w:rPr>
          <w:rFonts w:hint="eastAsia" w:ascii="仿宋" w:hAnsi="仿宋" w:eastAsia="仿宋" w:cs="仿宋"/>
          <w:b/>
          <w:bCs/>
          <w:kern w:val="0"/>
          <w:sz w:val="24"/>
        </w:rPr>
        <w:t>、质保期等，技术条款包括第四章采购需求中的内容。</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pStyle w:val="47"/>
        <w:numPr>
          <w:ilvl w:val="0"/>
          <w:numId w:val="0"/>
        </w:numPr>
        <w:jc w:val="center"/>
        <w:rPr>
          <w:rFonts w:hint="eastAsia" w:ascii="仿宋" w:hAnsi="仿宋" w:eastAsia="仿宋" w:cs="仿宋"/>
          <w:b w:val="0"/>
          <w:bCs/>
          <w:sz w:val="24"/>
          <w:szCs w:val="24"/>
        </w:rPr>
      </w:pPr>
      <w:r>
        <w:rPr>
          <w:rFonts w:hint="eastAsia" w:ascii="仿宋" w:hAnsi="仿宋" w:eastAsia="仿宋" w:cs="仿宋"/>
          <w:szCs w:val="21"/>
        </w:rPr>
        <w:br w:type="page"/>
      </w:r>
    </w:p>
    <w:p>
      <w:pPr>
        <w:pStyle w:val="47"/>
        <w:numPr>
          <w:ilvl w:val="0"/>
          <w:numId w:val="0"/>
        </w:num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rPr>
        <w:t>有关投标产品的证明、检测报告或产品鉴定证书</w:t>
      </w:r>
    </w:p>
    <w:p>
      <w:pPr>
        <w:pStyle w:val="47"/>
        <w:numPr>
          <w:ilvl w:val="0"/>
          <w:numId w:val="0"/>
        </w:numPr>
        <w:rPr>
          <w:rFonts w:hint="eastAsia" w:ascii="仿宋" w:hAnsi="仿宋" w:eastAsia="仿宋" w:cs="仿宋"/>
          <w:sz w:val="24"/>
          <w:szCs w:val="24"/>
        </w:rPr>
      </w:pPr>
    </w:p>
    <w:p>
      <w:pPr>
        <w:pStyle w:val="47"/>
        <w:numPr>
          <w:ilvl w:val="0"/>
          <w:numId w:val="0"/>
        </w:numPr>
        <w:rPr>
          <w:rFonts w:hint="eastAsia" w:ascii="仿宋" w:hAnsi="仿宋" w:eastAsia="仿宋" w:cs="仿宋"/>
          <w:sz w:val="24"/>
          <w:szCs w:val="24"/>
        </w:rPr>
      </w:pPr>
    </w:p>
    <w:p>
      <w:pPr>
        <w:pStyle w:val="47"/>
        <w:numPr>
          <w:ilvl w:val="0"/>
          <w:numId w:val="0"/>
        </w:numPr>
        <w:rPr>
          <w:rFonts w:hint="eastAsia" w:ascii="仿宋" w:hAnsi="仿宋" w:eastAsia="仿宋" w:cs="仿宋"/>
          <w:sz w:val="24"/>
          <w:szCs w:val="24"/>
        </w:rPr>
      </w:pPr>
      <w:r>
        <w:rPr>
          <w:rFonts w:hint="eastAsia" w:ascii="仿宋" w:hAnsi="仿宋" w:eastAsia="仿宋" w:cs="仿宋"/>
          <w:sz w:val="24"/>
          <w:szCs w:val="24"/>
        </w:rPr>
        <w:t>注：附投标产品的证明文件、检测报告或产品鉴定证书的复印件(并加盖投标单位章)等相关证明资料。</w:t>
      </w:r>
    </w:p>
    <w:p>
      <w:pPr>
        <w:tabs>
          <w:tab w:val="center" w:pos="4832"/>
          <w:tab w:val="left" w:pos="7140"/>
        </w:tabs>
        <w:jc w:val="center"/>
        <w:outlineLvl w:val="1"/>
        <w:rPr>
          <w:rFonts w:hint="eastAsia" w:ascii="仿宋" w:hAnsi="仿宋" w:eastAsia="仿宋" w:cs="仿宋"/>
          <w:bCs/>
          <w:kern w:val="0"/>
          <w:szCs w:val="21"/>
        </w:rPr>
      </w:pPr>
      <w:r>
        <w:rPr>
          <w:rFonts w:hint="eastAsia" w:ascii="仿宋" w:hAnsi="仿宋" w:eastAsia="仿宋" w:cs="仿宋"/>
          <w:szCs w:val="21"/>
        </w:rPr>
        <w:br w:type="page"/>
      </w:r>
      <w:bookmarkStart w:id="21" w:name="_Toc60925526"/>
    </w:p>
    <w:p>
      <w:pPr>
        <w:tabs>
          <w:tab w:val="center" w:pos="4832"/>
          <w:tab w:val="left" w:pos="7140"/>
        </w:tabs>
        <w:jc w:val="center"/>
        <w:outlineLvl w:val="1"/>
        <w:rPr>
          <w:rFonts w:hint="eastAsia" w:ascii="仿宋" w:hAnsi="仿宋" w:eastAsia="仿宋" w:cs="仿宋"/>
          <w:b w:val="0"/>
          <w:bCs/>
          <w:sz w:val="24"/>
        </w:rPr>
      </w:pPr>
      <w:r>
        <w:rPr>
          <w:rFonts w:hint="eastAsia" w:ascii="仿宋" w:hAnsi="仿宋" w:eastAsia="仿宋" w:cs="仿宋"/>
          <w:b w:val="0"/>
          <w:bCs/>
          <w:sz w:val="24"/>
          <w:lang w:val="en-US" w:eastAsia="zh-CN"/>
        </w:rPr>
        <w:t>12、</w:t>
      </w:r>
      <w:r>
        <w:rPr>
          <w:rFonts w:hint="eastAsia" w:ascii="仿宋" w:hAnsi="仿宋" w:eastAsia="仿宋" w:cs="仿宋"/>
          <w:b w:val="0"/>
          <w:bCs/>
          <w:sz w:val="24"/>
        </w:rPr>
        <w:t>技术方案</w:t>
      </w:r>
      <w:bookmarkEnd w:id="21"/>
    </w:p>
    <w:p>
      <w:pPr>
        <w:spacing w:line="360" w:lineRule="auto"/>
        <w:ind w:firstLine="480" w:firstLineChars="200"/>
        <w:rPr>
          <w:rFonts w:hint="eastAsia" w:ascii="仿宋" w:hAnsi="仿宋" w:eastAsia="仿宋" w:cs="仿宋"/>
          <w:sz w:val="24"/>
        </w:rPr>
      </w:pPr>
      <w:bookmarkStart w:id="22" w:name="_Toc375218897"/>
      <w:r>
        <w:rPr>
          <w:rFonts w:hint="eastAsia" w:ascii="仿宋" w:hAnsi="仿宋" w:eastAsia="仿宋" w:cs="仿宋"/>
          <w:bCs/>
          <w:sz w:val="24"/>
        </w:rPr>
        <w:t>投标人须提交拟完成本项目的技术方案，技术方案的格式和内容由投标人根据本项目的具体情况及评分标准</w:t>
      </w:r>
      <w:r>
        <w:rPr>
          <w:rFonts w:hint="eastAsia" w:ascii="仿宋" w:hAnsi="仿宋" w:eastAsia="仿宋" w:cs="仿宋"/>
          <w:sz w:val="24"/>
        </w:rPr>
        <w:t>自行拟定</w:t>
      </w:r>
      <w:bookmarkStart w:id="23" w:name="_Toc375218899"/>
      <w:r>
        <w:rPr>
          <w:rFonts w:hint="eastAsia" w:ascii="仿宋" w:hAnsi="仿宋" w:eastAsia="仿宋" w:cs="仿宋"/>
          <w:sz w:val="24"/>
        </w:rPr>
        <w:t>。</w:t>
      </w:r>
    </w:p>
    <w:bookmarkEnd w:id="22"/>
    <w:bookmarkEnd w:id="23"/>
    <w:p>
      <w:pPr>
        <w:spacing w:line="360" w:lineRule="auto"/>
        <w:ind w:firstLine="480" w:firstLineChars="200"/>
        <w:rPr>
          <w:rFonts w:hint="eastAsia" w:ascii="仿宋" w:hAnsi="仿宋" w:eastAsia="仿宋" w:cs="仿宋"/>
          <w:sz w:val="24"/>
        </w:rPr>
      </w:pPr>
    </w:p>
    <w:p>
      <w:pPr>
        <w:pStyle w:val="47"/>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pPr>
        <w:pStyle w:val="47"/>
        <w:numPr>
          <w:ilvl w:val="0"/>
          <w:numId w:val="0"/>
        </w:numPr>
        <w:jc w:val="center"/>
        <w:rPr>
          <w:rFonts w:hint="eastAsia" w:ascii="仿宋" w:hAnsi="仿宋" w:eastAsia="仿宋" w:cs="仿宋"/>
          <w:b/>
          <w:bCs/>
          <w:sz w:val="22"/>
          <w:szCs w:val="22"/>
        </w:rPr>
      </w:pPr>
      <w:r>
        <w:rPr>
          <w:rFonts w:hint="eastAsia" w:ascii="仿宋" w:hAnsi="仿宋" w:eastAsia="仿宋" w:cs="仿宋"/>
          <w:bCs/>
          <w:sz w:val="24"/>
          <w:szCs w:val="24"/>
          <w:lang w:val="en-US" w:eastAsia="zh-CN"/>
        </w:rPr>
        <w:t>13、投标人认为需要提交的其他商务技术资料</w:t>
      </w:r>
    </w:p>
    <w:sectPr>
      <w:footerReference r:id="rId7" w:type="default"/>
      <w:pgSz w:w="11906" w:h="16838"/>
      <w:pgMar w:top="680" w:right="1276" w:bottom="1712" w:left="1417" w:header="703" w:footer="850"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Bookman Old Style">
    <w:altName w:val="Segoe Print"/>
    <w:panose1 w:val="02050604050505020204"/>
    <w:charset w:val="00"/>
    <w:family w:val="roman"/>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1"/>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4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ZnsscBAACZ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NZnsscBAACZAwAADgAAAAAAAAABACAAAAAeAQAAZHJzL2Uyb0RvYy54&#10;bWxQSwUGAAAAAAYABgBZAQAAVwUAAAAA&#10;">
              <v:fill on="f" focussize="0,0"/>
              <v:stroke on="f"/>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39700"/>
              <wp:effectExtent l="0" t="0" r="0" b="0"/>
              <wp:wrapNone/>
              <wp:docPr id="7" name="Text Box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77</w:t>
                          </w:r>
                          <w:r>
                            <w:fldChar w:fldCharType="end"/>
                          </w:r>
                        </w:p>
                      </w:txbxContent>
                    </wps:txbx>
                    <wps:bodyPr wrap="square" lIns="0" tIns="0" rIns="0" bIns="0" upright="1"/>
                  </wps:wsp>
                </a:graphicData>
              </a:graphic>
            </wp:anchor>
          </w:drawing>
        </mc:Choice>
        <mc:Fallback>
          <w:pict>
            <v:shape id="Text Box 3" o:spid="_x0000_s1026" o:spt="202" type="#_x0000_t202" style="position:absolute;left:0pt;margin-top:0pt;height:11pt;width:13.1pt;mso-position-horizontal:center;mso-position-horizontal-relative:margin;z-index:251660288;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fSswbS&#10;AAAAAwEAAA8AAAAAAAAAAQAgAAAAIgAAAGRycy9kb3ducmV2LnhtbFBLAQIUABQAAAAIAIdO4kAC&#10;XrlFtAEAAH4DAAAOAAAAAAAAAAEAIAAAACEBAABkcnMvZTJvRG9jLnhtbFBLBQYAAAAABgAGAFkB&#10;AABHBQAAAAA=&#10;">
              <v:fill on="f" focussize="0,0"/>
              <v:stroke on="f"/>
              <v:imagedata o:title=""/>
              <o:lock v:ext="edit" aspectratio="f"/>
              <v:textbox inset="0mm,0mm,0mm,0mm">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77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7"/>
        <w:numPr>
          <w:ilvl w:val="0"/>
          <w:numId w:val="0"/>
        </w:numPr>
      </w:pPr>
      <w:r>
        <w:rPr>
          <w:rStyle w:val="7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hint="default"/>
        <w:lang w:val="en-US" w:eastAsia="zh-CN"/>
      </w:rPr>
    </w:pPr>
    <w:r>
      <w:rPr>
        <w:rFonts w:hint="default"/>
        <w:lang w:val="en-US" w:eastAsia="zh-CN"/>
      </w:rPr>
      <w:t>新疆凌云天成工程管理咨询有限公司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0EDB2900"/>
    <w:multiLevelType w:val="multilevel"/>
    <w:tmpl w:val="0EDB2900"/>
    <w:lvl w:ilvl="0" w:tentative="0">
      <w:start w:val="1"/>
      <w:numFmt w:val="bullet"/>
      <w:pStyle w:val="40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7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621"/>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413"/>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62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5E346C8"/>
    <w:multiLevelType w:val="singleLevel"/>
    <w:tmpl w:val="45E346C8"/>
    <w:lvl w:ilvl="0" w:tentative="0">
      <w:start w:val="4"/>
      <w:numFmt w:val="japaneseCounting"/>
      <w:pStyle w:val="47"/>
      <w:lvlText w:val="（%1）"/>
      <w:lvlJc w:val="left"/>
      <w:pPr>
        <w:tabs>
          <w:tab w:val="left" w:pos="1080"/>
        </w:tabs>
        <w:ind w:left="1080" w:hanging="1080"/>
      </w:pPr>
      <w:rPr>
        <w:rFonts w:hint="eastAsia"/>
      </w:rPr>
    </w:lvl>
  </w:abstractNum>
  <w:abstractNum w:abstractNumId="9">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75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7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43DEE2C"/>
    <w:multiLevelType w:val="singleLevel"/>
    <w:tmpl w:val="743DEE2C"/>
    <w:lvl w:ilvl="0" w:tentative="0">
      <w:start w:val="1"/>
      <w:numFmt w:val="chineseCounting"/>
      <w:suff w:val="nothing"/>
      <w:lvlText w:val="%1、"/>
      <w:lvlJc w:val="left"/>
      <w:rPr>
        <w:rFonts w:hint="eastAsia"/>
      </w:rPr>
    </w:lvl>
  </w:abstractNum>
  <w:abstractNum w:abstractNumId="13">
    <w:nsid w:val="7E3B679F"/>
    <w:multiLevelType w:val="multilevel"/>
    <w:tmpl w:val="7E3B679F"/>
    <w:lvl w:ilvl="0" w:tentative="0">
      <w:start w:val="1"/>
      <w:numFmt w:val="chineseCountingThousand"/>
      <w:pStyle w:val="284"/>
      <w:lvlText w:val="%1."/>
      <w:lvlJc w:val="left"/>
      <w:pPr>
        <w:ind w:left="0" w:firstLine="0"/>
      </w:pPr>
      <w:rPr>
        <w:rFonts w:hint="default"/>
        <w:color w:val="auto"/>
        <w:sz w:val="44"/>
      </w:rPr>
    </w:lvl>
    <w:lvl w:ilvl="1" w:tentative="0">
      <w:start w:val="1"/>
      <w:numFmt w:val="decimal"/>
      <w:pStyle w:val="277"/>
      <w:lvlText w:val="%2"/>
      <w:lvlJc w:val="left"/>
      <w:pPr>
        <w:ind w:left="0" w:firstLine="0"/>
      </w:pPr>
      <w:rPr>
        <w:rFonts w:hint="eastAsia"/>
      </w:rPr>
    </w:lvl>
    <w:lvl w:ilvl="2" w:tentative="0">
      <w:start w:val="1"/>
      <w:numFmt w:val="decimal"/>
      <w:pStyle w:val="651"/>
      <w:lvlText w:val="%2.%3"/>
      <w:lvlJc w:val="left"/>
      <w:pPr>
        <w:ind w:left="0" w:firstLine="0"/>
      </w:pPr>
      <w:rPr>
        <w:rFonts w:hint="eastAsia"/>
      </w:rPr>
    </w:lvl>
    <w:lvl w:ilvl="3" w:tentative="0">
      <w:start w:val="1"/>
      <w:numFmt w:val="decimal"/>
      <w:pStyle w:val="126"/>
      <w:lvlText w:val="%2.%3.%4"/>
      <w:lvlJc w:val="left"/>
      <w:pPr>
        <w:ind w:left="0" w:firstLine="0"/>
      </w:pPr>
      <w:rPr>
        <w:rFonts w:hint="eastAsia"/>
      </w:rPr>
    </w:lvl>
    <w:lvl w:ilvl="4" w:tentative="0">
      <w:start w:val="1"/>
      <w:numFmt w:val="decimal"/>
      <w:pStyle w:val="32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8"/>
  </w:num>
  <w:num w:numId="3">
    <w:abstractNumId w:val="7"/>
  </w:num>
  <w:num w:numId="4">
    <w:abstractNumId w:val="13"/>
  </w:num>
  <w:num w:numId="5">
    <w:abstractNumId w:val="2"/>
  </w:num>
  <w:num w:numId="6">
    <w:abstractNumId w:val="3"/>
  </w:num>
  <w:num w:numId="7">
    <w:abstractNumId w:val="1"/>
  </w:num>
  <w:num w:numId="8">
    <w:abstractNumId w:val="5"/>
  </w:num>
  <w:num w:numId="9">
    <w:abstractNumId w:val="6"/>
  </w:num>
  <w:num w:numId="10">
    <w:abstractNumId w:val="4"/>
  </w:num>
  <w:num w:numId="11">
    <w:abstractNumId w:val="11"/>
  </w:num>
  <w:num w:numId="12">
    <w:abstractNumId w:val="10"/>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WZkYWZlYmYyNjFkYTQwYWU4ZGEyOWY4ZGI3ZWYifQ=="/>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738EB"/>
    <w:rsid w:val="005745C6"/>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5215CF"/>
    <w:rsid w:val="0166473D"/>
    <w:rsid w:val="01C83B94"/>
    <w:rsid w:val="01F03FB8"/>
    <w:rsid w:val="02247ACE"/>
    <w:rsid w:val="022A76DA"/>
    <w:rsid w:val="0231342E"/>
    <w:rsid w:val="024912E2"/>
    <w:rsid w:val="02542444"/>
    <w:rsid w:val="02B40E52"/>
    <w:rsid w:val="02D82D98"/>
    <w:rsid w:val="03335377"/>
    <w:rsid w:val="03565B1C"/>
    <w:rsid w:val="035B5DBF"/>
    <w:rsid w:val="03B07937"/>
    <w:rsid w:val="03C51043"/>
    <w:rsid w:val="03FD14B1"/>
    <w:rsid w:val="04357A7B"/>
    <w:rsid w:val="047D569A"/>
    <w:rsid w:val="049162CB"/>
    <w:rsid w:val="05B5619B"/>
    <w:rsid w:val="05DA1A5A"/>
    <w:rsid w:val="063B7F01"/>
    <w:rsid w:val="06A40584"/>
    <w:rsid w:val="06D4640B"/>
    <w:rsid w:val="06F168B5"/>
    <w:rsid w:val="07266CF0"/>
    <w:rsid w:val="073C6CB6"/>
    <w:rsid w:val="077A3CEC"/>
    <w:rsid w:val="07A57586"/>
    <w:rsid w:val="08100FB4"/>
    <w:rsid w:val="0869448C"/>
    <w:rsid w:val="089A1325"/>
    <w:rsid w:val="08A95B6D"/>
    <w:rsid w:val="092035E5"/>
    <w:rsid w:val="094457C4"/>
    <w:rsid w:val="09975029"/>
    <w:rsid w:val="09C2002A"/>
    <w:rsid w:val="0A101F09"/>
    <w:rsid w:val="0A5F2116"/>
    <w:rsid w:val="0A6028AA"/>
    <w:rsid w:val="0A965452"/>
    <w:rsid w:val="0AC138BD"/>
    <w:rsid w:val="0AF10F01"/>
    <w:rsid w:val="0BC70A77"/>
    <w:rsid w:val="0C3A6446"/>
    <w:rsid w:val="0C414E03"/>
    <w:rsid w:val="0C8B7B98"/>
    <w:rsid w:val="0CB72F9A"/>
    <w:rsid w:val="0CDE7251"/>
    <w:rsid w:val="0CE2106D"/>
    <w:rsid w:val="0D1E6DD1"/>
    <w:rsid w:val="0D24141E"/>
    <w:rsid w:val="0D315184"/>
    <w:rsid w:val="0D434F52"/>
    <w:rsid w:val="0D733911"/>
    <w:rsid w:val="0D8742F9"/>
    <w:rsid w:val="0DAA498D"/>
    <w:rsid w:val="0E471675"/>
    <w:rsid w:val="0E720264"/>
    <w:rsid w:val="0F8C0AAB"/>
    <w:rsid w:val="0FA92023"/>
    <w:rsid w:val="10482BD9"/>
    <w:rsid w:val="105706E7"/>
    <w:rsid w:val="10D00CD6"/>
    <w:rsid w:val="10F75AED"/>
    <w:rsid w:val="110D6A04"/>
    <w:rsid w:val="112A5CCB"/>
    <w:rsid w:val="11860C60"/>
    <w:rsid w:val="11875F13"/>
    <w:rsid w:val="118E4F1C"/>
    <w:rsid w:val="118F65E6"/>
    <w:rsid w:val="119A6ABC"/>
    <w:rsid w:val="12BC3742"/>
    <w:rsid w:val="12CF620B"/>
    <w:rsid w:val="12DF229C"/>
    <w:rsid w:val="130E45E7"/>
    <w:rsid w:val="13146843"/>
    <w:rsid w:val="14744293"/>
    <w:rsid w:val="149B156A"/>
    <w:rsid w:val="15532C3D"/>
    <w:rsid w:val="155F41A4"/>
    <w:rsid w:val="15C27D14"/>
    <w:rsid w:val="16163E61"/>
    <w:rsid w:val="162D5424"/>
    <w:rsid w:val="166C5148"/>
    <w:rsid w:val="16893F4C"/>
    <w:rsid w:val="168B5923"/>
    <w:rsid w:val="16C96EE3"/>
    <w:rsid w:val="16DA72B6"/>
    <w:rsid w:val="17161A32"/>
    <w:rsid w:val="17336C4C"/>
    <w:rsid w:val="178B5FFE"/>
    <w:rsid w:val="17A56F65"/>
    <w:rsid w:val="17BE7D1C"/>
    <w:rsid w:val="17C8329E"/>
    <w:rsid w:val="188576AC"/>
    <w:rsid w:val="18C60A1B"/>
    <w:rsid w:val="18F27B86"/>
    <w:rsid w:val="18F60FD3"/>
    <w:rsid w:val="1946725C"/>
    <w:rsid w:val="19551A7A"/>
    <w:rsid w:val="19880789"/>
    <w:rsid w:val="1A097900"/>
    <w:rsid w:val="1A412D36"/>
    <w:rsid w:val="1A7E422C"/>
    <w:rsid w:val="1A951883"/>
    <w:rsid w:val="1AA452EF"/>
    <w:rsid w:val="1AED33EA"/>
    <w:rsid w:val="1B304996"/>
    <w:rsid w:val="1B507478"/>
    <w:rsid w:val="1BD7197C"/>
    <w:rsid w:val="1C185D6B"/>
    <w:rsid w:val="1C1D1C92"/>
    <w:rsid w:val="1C30192F"/>
    <w:rsid w:val="1C3138AB"/>
    <w:rsid w:val="1C874A89"/>
    <w:rsid w:val="1CAD18F2"/>
    <w:rsid w:val="1D3224DC"/>
    <w:rsid w:val="1D61352C"/>
    <w:rsid w:val="1D817721"/>
    <w:rsid w:val="1D8520A8"/>
    <w:rsid w:val="1DC212A8"/>
    <w:rsid w:val="1E010B19"/>
    <w:rsid w:val="1E53796B"/>
    <w:rsid w:val="1EAC11B7"/>
    <w:rsid w:val="1EDA7B78"/>
    <w:rsid w:val="1EEB2585"/>
    <w:rsid w:val="1F4305F0"/>
    <w:rsid w:val="1F735893"/>
    <w:rsid w:val="1F834A14"/>
    <w:rsid w:val="1FBC3B37"/>
    <w:rsid w:val="201B29AB"/>
    <w:rsid w:val="20453738"/>
    <w:rsid w:val="20842E13"/>
    <w:rsid w:val="211D715D"/>
    <w:rsid w:val="2134310B"/>
    <w:rsid w:val="2160130F"/>
    <w:rsid w:val="21614E9E"/>
    <w:rsid w:val="218A1ACF"/>
    <w:rsid w:val="21A84D2E"/>
    <w:rsid w:val="21C7025E"/>
    <w:rsid w:val="21EC7741"/>
    <w:rsid w:val="222B2CA2"/>
    <w:rsid w:val="2235750C"/>
    <w:rsid w:val="22DE09AE"/>
    <w:rsid w:val="23041D08"/>
    <w:rsid w:val="232779F1"/>
    <w:rsid w:val="235B66B5"/>
    <w:rsid w:val="23707CDE"/>
    <w:rsid w:val="23A16834"/>
    <w:rsid w:val="23A62383"/>
    <w:rsid w:val="23BA511E"/>
    <w:rsid w:val="23C815DE"/>
    <w:rsid w:val="23DF445E"/>
    <w:rsid w:val="23E1787A"/>
    <w:rsid w:val="23E521B7"/>
    <w:rsid w:val="23EA427B"/>
    <w:rsid w:val="24166B45"/>
    <w:rsid w:val="242D008D"/>
    <w:rsid w:val="24676915"/>
    <w:rsid w:val="246B18E7"/>
    <w:rsid w:val="248278CC"/>
    <w:rsid w:val="248D5970"/>
    <w:rsid w:val="24AC7F5A"/>
    <w:rsid w:val="2507150F"/>
    <w:rsid w:val="253011CF"/>
    <w:rsid w:val="255B06FF"/>
    <w:rsid w:val="25875D27"/>
    <w:rsid w:val="25AD6D9B"/>
    <w:rsid w:val="26045ADD"/>
    <w:rsid w:val="26205F09"/>
    <w:rsid w:val="26477021"/>
    <w:rsid w:val="27751CD1"/>
    <w:rsid w:val="279710F9"/>
    <w:rsid w:val="27B5758F"/>
    <w:rsid w:val="27C0618B"/>
    <w:rsid w:val="27F94C8C"/>
    <w:rsid w:val="283803EE"/>
    <w:rsid w:val="285C06C5"/>
    <w:rsid w:val="286A0F65"/>
    <w:rsid w:val="28745E2A"/>
    <w:rsid w:val="28D22CB7"/>
    <w:rsid w:val="28DF788E"/>
    <w:rsid w:val="28F36B95"/>
    <w:rsid w:val="293D2655"/>
    <w:rsid w:val="297407D1"/>
    <w:rsid w:val="29A34B99"/>
    <w:rsid w:val="2A1235CC"/>
    <w:rsid w:val="2A2D1228"/>
    <w:rsid w:val="2A3355FF"/>
    <w:rsid w:val="2A8F3840"/>
    <w:rsid w:val="2AAF7240"/>
    <w:rsid w:val="2AD34B5F"/>
    <w:rsid w:val="2AD41DE1"/>
    <w:rsid w:val="2B142B1B"/>
    <w:rsid w:val="2B326508"/>
    <w:rsid w:val="2B327D31"/>
    <w:rsid w:val="2B9C7DB2"/>
    <w:rsid w:val="2BC9162B"/>
    <w:rsid w:val="2C1372A0"/>
    <w:rsid w:val="2C195013"/>
    <w:rsid w:val="2C547D57"/>
    <w:rsid w:val="2C7374A3"/>
    <w:rsid w:val="2C783443"/>
    <w:rsid w:val="2CB55696"/>
    <w:rsid w:val="2D0D47AB"/>
    <w:rsid w:val="2D984240"/>
    <w:rsid w:val="2D9B39F2"/>
    <w:rsid w:val="2DDE272B"/>
    <w:rsid w:val="2DFC2769"/>
    <w:rsid w:val="2DFD4BAB"/>
    <w:rsid w:val="2E050F29"/>
    <w:rsid w:val="2ECB5873"/>
    <w:rsid w:val="2F046A57"/>
    <w:rsid w:val="2F275F5D"/>
    <w:rsid w:val="2F2C1A95"/>
    <w:rsid w:val="2F395E76"/>
    <w:rsid w:val="2F47063D"/>
    <w:rsid w:val="2F4E6A13"/>
    <w:rsid w:val="2F5B66CE"/>
    <w:rsid w:val="2F6F1B8C"/>
    <w:rsid w:val="2FA1634B"/>
    <w:rsid w:val="2FA441DB"/>
    <w:rsid w:val="2FBA4943"/>
    <w:rsid w:val="2FED1242"/>
    <w:rsid w:val="301B540D"/>
    <w:rsid w:val="30C63279"/>
    <w:rsid w:val="313535B9"/>
    <w:rsid w:val="315D1084"/>
    <w:rsid w:val="315D39D4"/>
    <w:rsid w:val="31A95B5E"/>
    <w:rsid w:val="31D766C2"/>
    <w:rsid w:val="321343EE"/>
    <w:rsid w:val="325A0E68"/>
    <w:rsid w:val="32A50401"/>
    <w:rsid w:val="32B51751"/>
    <w:rsid w:val="32C06A8B"/>
    <w:rsid w:val="32F8532C"/>
    <w:rsid w:val="338F343D"/>
    <w:rsid w:val="3396129A"/>
    <w:rsid w:val="33991271"/>
    <w:rsid w:val="33CB74FA"/>
    <w:rsid w:val="34316AED"/>
    <w:rsid w:val="34CB0BB5"/>
    <w:rsid w:val="34F34F5A"/>
    <w:rsid w:val="356C2FF0"/>
    <w:rsid w:val="35854D8B"/>
    <w:rsid w:val="359325E7"/>
    <w:rsid w:val="359C108A"/>
    <w:rsid w:val="35CC0C8F"/>
    <w:rsid w:val="35D02BA5"/>
    <w:rsid w:val="361316EE"/>
    <w:rsid w:val="362D776A"/>
    <w:rsid w:val="365F0CB6"/>
    <w:rsid w:val="367311FE"/>
    <w:rsid w:val="36E06D86"/>
    <w:rsid w:val="36E651FB"/>
    <w:rsid w:val="37074CA8"/>
    <w:rsid w:val="373F57B5"/>
    <w:rsid w:val="377A6117"/>
    <w:rsid w:val="37BE108B"/>
    <w:rsid w:val="37D92736"/>
    <w:rsid w:val="37E15CB1"/>
    <w:rsid w:val="37F7453C"/>
    <w:rsid w:val="386C5AA3"/>
    <w:rsid w:val="388F698F"/>
    <w:rsid w:val="38B9167F"/>
    <w:rsid w:val="39C474DF"/>
    <w:rsid w:val="39E21D7F"/>
    <w:rsid w:val="3A3D2878"/>
    <w:rsid w:val="3AF85078"/>
    <w:rsid w:val="3B093A09"/>
    <w:rsid w:val="3B1E1326"/>
    <w:rsid w:val="3B342764"/>
    <w:rsid w:val="3B5A5570"/>
    <w:rsid w:val="3B6C7458"/>
    <w:rsid w:val="3BE338E1"/>
    <w:rsid w:val="3C67025D"/>
    <w:rsid w:val="3CA17098"/>
    <w:rsid w:val="3CE91A18"/>
    <w:rsid w:val="3D15116B"/>
    <w:rsid w:val="3D6F5A9F"/>
    <w:rsid w:val="3DA72447"/>
    <w:rsid w:val="3DD1389B"/>
    <w:rsid w:val="3E231A9E"/>
    <w:rsid w:val="3EF86E2A"/>
    <w:rsid w:val="3F0120EA"/>
    <w:rsid w:val="3F091C63"/>
    <w:rsid w:val="3F172111"/>
    <w:rsid w:val="3FB35324"/>
    <w:rsid w:val="3FCE63A8"/>
    <w:rsid w:val="3FD414E4"/>
    <w:rsid w:val="3FE34565"/>
    <w:rsid w:val="3FFA217D"/>
    <w:rsid w:val="3FFD282E"/>
    <w:rsid w:val="403569E2"/>
    <w:rsid w:val="40B901A8"/>
    <w:rsid w:val="40DB614F"/>
    <w:rsid w:val="4180400E"/>
    <w:rsid w:val="41DE664A"/>
    <w:rsid w:val="41F17721"/>
    <w:rsid w:val="4200124E"/>
    <w:rsid w:val="42AE707D"/>
    <w:rsid w:val="42CC23F7"/>
    <w:rsid w:val="43173FBE"/>
    <w:rsid w:val="433E1849"/>
    <w:rsid w:val="443C6F3A"/>
    <w:rsid w:val="44717E54"/>
    <w:rsid w:val="449C0743"/>
    <w:rsid w:val="44D81D15"/>
    <w:rsid w:val="44F970E6"/>
    <w:rsid w:val="456E2D33"/>
    <w:rsid w:val="45774DEB"/>
    <w:rsid w:val="46217297"/>
    <w:rsid w:val="462C7EFF"/>
    <w:rsid w:val="46362CB1"/>
    <w:rsid w:val="46B42D1A"/>
    <w:rsid w:val="46D80CC4"/>
    <w:rsid w:val="472678C0"/>
    <w:rsid w:val="474464C9"/>
    <w:rsid w:val="476F7E7B"/>
    <w:rsid w:val="47DC69C1"/>
    <w:rsid w:val="47FC5EF2"/>
    <w:rsid w:val="48042A70"/>
    <w:rsid w:val="481A5643"/>
    <w:rsid w:val="488C0A9C"/>
    <w:rsid w:val="4924024A"/>
    <w:rsid w:val="493C1681"/>
    <w:rsid w:val="49507FFC"/>
    <w:rsid w:val="498B355B"/>
    <w:rsid w:val="49902920"/>
    <w:rsid w:val="49D66F3F"/>
    <w:rsid w:val="49E60293"/>
    <w:rsid w:val="49FD1F96"/>
    <w:rsid w:val="4A046A89"/>
    <w:rsid w:val="4A267ED1"/>
    <w:rsid w:val="4A496763"/>
    <w:rsid w:val="4A4E1181"/>
    <w:rsid w:val="4A901D0E"/>
    <w:rsid w:val="4AA057AA"/>
    <w:rsid w:val="4AC565AE"/>
    <w:rsid w:val="4B2A1C26"/>
    <w:rsid w:val="4B3442D7"/>
    <w:rsid w:val="4B4B3AC2"/>
    <w:rsid w:val="4B8E1CDD"/>
    <w:rsid w:val="4BA55F65"/>
    <w:rsid w:val="4BC82845"/>
    <w:rsid w:val="4BDA60D4"/>
    <w:rsid w:val="4BE75F1F"/>
    <w:rsid w:val="4C13454D"/>
    <w:rsid w:val="4C1545D2"/>
    <w:rsid w:val="4C27660E"/>
    <w:rsid w:val="4C45636E"/>
    <w:rsid w:val="4C4B02DE"/>
    <w:rsid w:val="4D092076"/>
    <w:rsid w:val="4D3276EB"/>
    <w:rsid w:val="4D51296B"/>
    <w:rsid w:val="4D7A10F8"/>
    <w:rsid w:val="4D9C08E3"/>
    <w:rsid w:val="4E165041"/>
    <w:rsid w:val="4E3721EE"/>
    <w:rsid w:val="4E493050"/>
    <w:rsid w:val="4E9F43D2"/>
    <w:rsid w:val="4EA83158"/>
    <w:rsid w:val="4EE43792"/>
    <w:rsid w:val="4EF16480"/>
    <w:rsid w:val="4F334479"/>
    <w:rsid w:val="4F497530"/>
    <w:rsid w:val="4F583E14"/>
    <w:rsid w:val="4F8D3DC7"/>
    <w:rsid w:val="4FA15887"/>
    <w:rsid w:val="503415FA"/>
    <w:rsid w:val="504D351A"/>
    <w:rsid w:val="50796036"/>
    <w:rsid w:val="50EA61DB"/>
    <w:rsid w:val="5123149A"/>
    <w:rsid w:val="51476ECF"/>
    <w:rsid w:val="515F45AB"/>
    <w:rsid w:val="519B777A"/>
    <w:rsid w:val="51A72EFC"/>
    <w:rsid w:val="51B431FD"/>
    <w:rsid w:val="51BD3F5D"/>
    <w:rsid w:val="51F133E9"/>
    <w:rsid w:val="51F4771F"/>
    <w:rsid w:val="51FF0643"/>
    <w:rsid w:val="520143BB"/>
    <w:rsid w:val="52562A82"/>
    <w:rsid w:val="52C246A1"/>
    <w:rsid w:val="52CE67D6"/>
    <w:rsid w:val="52CF6267"/>
    <w:rsid w:val="52D7511B"/>
    <w:rsid w:val="52DF544A"/>
    <w:rsid w:val="539A609B"/>
    <w:rsid w:val="53A652E3"/>
    <w:rsid w:val="53D766AA"/>
    <w:rsid w:val="546A1027"/>
    <w:rsid w:val="546A435B"/>
    <w:rsid w:val="548239CE"/>
    <w:rsid w:val="54B571A7"/>
    <w:rsid w:val="54DB57C6"/>
    <w:rsid w:val="54DD04D0"/>
    <w:rsid w:val="54EC5550"/>
    <w:rsid w:val="54EF1117"/>
    <w:rsid w:val="554C55EF"/>
    <w:rsid w:val="55850F34"/>
    <w:rsid w:val="558C2D92"/>
    <w:rsid w:val="55B7231A"/>
    <w:rsid w:val="560D0200"/>
    <w:rsid w:val="563F1656"/>
    <w:rsid w:val="56563B7E"/>
    <w:rsid w:val="569A05BB"/>
    <w:rsid w:val="56BA4A51"/>
    <w:rsid w:val="5722514B"/>
    <w:rsid w:val="57556DB4"/>
    <w:rsid w:val="57BA6F69"/>
    <w:rsid w:val="58232CAE"/>
    <w:rsid w:val="58512B76"/>
    <w:rsid w:val="586C0AA8"/>
    <w:rsid w:val="58CE0D6F"/>
    <w:rsid w:val="58EA796C"/>
    <w:rsid w:val="596A6CE9"/>
    <w:rsid w:val="597044CB"/>
    <w:rsid w:val="59A833AB"/>
    <w:rsid w:val="59D377DE"/>
    <w:rsid w:val="59F27101"/>
    <w:rsid w:val="5A413E24"/>
    <w:rsid w:val="5A5A4790"/>
    <w:rsid w:val="5A980C37"/>
    <w:rsid w:val="5A9949F3"/>
    <w:rsid w:val="5B034BF6"/>
    <w:rsid w:val="5B5865A8"/>
    <w:rsid w:val="5B5B54E2"/>
    <w:rsid w:val="5B5F0035"/>
    <w:rsid w:val="5B6A5FC9"/>
    <w:rsid w:val="5BF92675"/>
    <w:rsid w:val="5C2E0402"/>
    <w:rsid w:val="5C4B1059"/>
    <w:rsid w:val="5C8D11FE"/>
    <w:rsid w:val="5CCF0F18"/>
    <w:rsid w:val="5CDD294E"/>
    <w:rsid w:val="5D3F66DF"/>
    <w:rsid w:val="5D647B7D"/>
    <w:rsid w:val="5D743C22"/>
    <w:rsid w:val="5D756F8D"/>
    <w:rsid w:val="5D806B3B"/>
    <w:rsid w:val="5D880DBA"/>
    <w:rsid w:val="5DD53BF3"/>
    <w:rsid w:val="5E327224"/>
    <w:rsid w:val="5E3E24F3"/>
    <w:rsid w:val="5E43718C"/>
    <w:rsid w:val="5E5A0E2E"/>
    <w:rsid w:val="5EF445E0"/>
    <w:rsid w:val="5F00133D"/>
    <w:rsid w:val="5F1F04EF"/>
    <w:rsid w:val="5F4C7024"/>
    <w:rsid w:val="5F526B75"/>
    <w:rsid w:val="5F742670"/>
    <w:rsid w:val="5F8040C1"/>
    <w:rsid w:val="605D010C"/>
    <w:rsid w:val="60867CE6"/>
    <w:rsid w:val="609F74E8"/>
    <w:rsid w:val="60BF3DBF"/>
    <w:rsid w:val="60F457A7"/>
    <w:rsid w:val="6101478E"/>
    <w:rsid w:val="6148168F"/>
    <w:rsid w:val="617F7C40"/>
    <w:rsid w:val="61991BE0"/>
    <w:rsid w:val="61B256D1"/>
    <w:rsid w:val="61BC20AC"/>
    <w:rsid w:val="61EA1EF7"/>
    <w:rsid w:val="623560E3"/>
    <w:rsid w:val="62367ECA"/>
    <w:rsid w:val="62787AD3"/>
    <w:rsid w:val="62C17B2D"/>
    <w:rsid w:val="62D71EFE"/>
    <w:rsid w:val="63357EB3"/>
    <w:rsid w:val="6367071F"/>
    <w:rsid w:val="63A36B31"/>
    <w:rsid w:val="63A6497A"/>
    <w:rsid w:val="63ED7C0E"/>
    <w:rsid w:val="63EF1B7A"/>
    <w:rsid w:val="644F0FB6"/>
    <w:rsid w:val="64761478"/>
    <w:rsid w:val="64847AB0"/>
    <w:rsid w:val="64B23139"/>
    <w:rsid w:val="64D07098"/>
    <w:rsid w:val="65171D19"/>
    <w:rsid w:val="65227D5E"/>
    <w:rsid w:val="65605F45"/>
    <w:rsid w:val="656767D3"/>
    <w:rsid w:val="65882615"/>
    <w:rsid w:val="65AF625D"/>
    <w:rsid w:val="65BE5C89"/>
    <w:rsid w:val="65D62028"/>
    <w:rsid w:val="664E469F"/>
    <w:rsid w:val="66664B2F"/>
    <w:rsid w:val="66733D92"/>
    <w:rsid w:val="667747F4"/>
    <w:rsid w:val="66862C89"/>
    <w:rsid w:val="66946DC4"/>
    <w:rsid w:val="66A54C79"/>
    <w:rsid w:val="66A55D6D"/>
    <w:rsid w:val="66B92DA3"/>
    <w:rsid w:val="6708306A"/>
    <w:rsid w:val="673A7F29"/>
    <w:rsid w:val="67627252"/>
    <w:rsid w:val="67707A32"/>
    <w:rsid w:val="678F4246"/>
    <w:rsid w:val="67AC0E26"/>
    <w:rsid w:val="686A6296"/>
    <w:rsid w:val="68773EF6"/>
    <w:rsid w:val="687D57B5"/>
    <w:rsid w:val="6880489C"/>
    <w:rsid w:val="68A4068B"/>
    <w:rsid w:val="690A79D3"/>
    <w:rsid w:val="697C2595"/>
    <w:rsid w:val="69A76B40"/>
    <w:rsid w:val="69AF6752"/>
    <w:rsid w:val="6A216345"/>
    <w:rsid w:val="6A2E3D63"/>
    <w:rsid w:val="6A712A53"/>
    <w:rsid w:val="6AA60E0E"/>
    <w:rsid w:val="6AB75CE9"/>
    <w:rsid w:val="6AC540A6"/>
    <w:rsid w:val="6ACA414C"/>
    <w:rsid w:val="6AD5472B"/>
    <w:rsid w:val="6AF5135F"/>
    <w:rsid w:val="6B057EF2"/>
    <w:rsid w:val="6B6356D9"/>
    <w:rsid w:val="6B901C1E"/>
    <w:rsid w:val="6BB51F5E"/>
    <w:rsid w:val="6BBC47BD"/>
    <w:rsid w:val="6BCA6EC3"/>
    <w:rsid w:val="6BCE244D"/>
    <w:rsid w:val="6BD8102F"/>
    <w:rsid w:val="6BF53F5F"/>
    <w:rsid w:val="6C3A3A8D"/>
    <w:rsid w:val="6C652711"/>
    <w:rsid w:val="6C9630D7"/>
    <w:rsid w:val="6CBC1355"/>
    <w:rsid w:val="6CE86F56"/>
    <w:rsid w:val="6D007CBE"/>
    <w:rsid w:val="6D2A360E"/>
    <w:rsid w:val="6D52414D"/>
    <w:rsid w:val="6DAF318F"/>
    <w:rsid w:val="6DBB3A65"/>
    <w:rsid w:val="6DC237A8"/>
    <w:rsid w:val="6DD00F60"/>
    <w:rsid w:val="6E513AEE"/>
    <w:rsid w:val="6EC6021D"/>
    <w:rsid w:val="6EE45F81"/>
    <w:rsid w:val="6F00613A"/>
    <w:rsid w:val="6F1C591A"/>
    <w:rsid w:val="6F480478"/>
    <w:rsid w:val="6F573CB0"/>
    <w:rsid w:val="6F616041"/>
    <w:rsid w:val="6F9D41C4"/>
    <w:rsid w:val="6FA653FB"/>
    <w:rsid w:val="6FDD1AFE"/>
    <w:rsid w:val="6FEC7FA1"/>
    <w:rsid w:val="70085EEB"/>
    <w:rsid w:val="70206C28"/>
    <w:rsid w:val="704B33EC"/>
    <w:rsid w:val="7071060F"/>
    <w:rsid w:val="708741CD"/>
    <w:rsid w:val="71D46F3F"/>
    <w:rsid w:val="71F118FE"/>
    <w:rsid w:val="72223149"/>
    <w:rsid w:val="7230646A"/>
    <w:rsid w:val="727016C1"/>
    <w:rsid w:val="72895317"/>
    <w:rsid w:val="7290531B"/>
    <w:rsid w:val="72985CC8"/>
    <w:rsid w:val="72C76B03"/>
    <w:rsid w:val="734F7D4B"/>
    <w:rsid w:val="735F4E72"/>
    <w:rsid w:val="737E7670"/>
    <w:rsid w:val="73820117"/>
    <w:rsid w:val="73F40F27"/>
    <w:rsid w:val="73F70735"/>
    <w:rsid w:val="7404062C"/>
    <w:rsid w:val="740B61A3"/>
    <w:rsid w:val="7420334D"/>
    <w:rsid w:val="743A4040"/>
    <w:rsid w:val="7454418F"/>
    <w:rsid w:val="74785904"/>
    <w:rsid w:val="74906F6A"/>
    <w:rsid w:val="7496678D"/>
    <w:rsid w:val="749B2AF9"/>
    <w:rsid w:val="74E753FA"/>
    <w:rsid w:val="74F15553"/>
    <w:rsid w:val="750218DB"/>
    <w:rsid w:val="753C6991"/>
    <w:rsid w:val="754B3078"/>
    <w:rsid w:val="756C6E5E"/>
    <w:rsid w:val="757028B1"/>
    <w:rsid w:val="75705B39"/>
    <w:rsid w:val="75A8074F"/>
    <w:rsid w:val="765C3616"/>
    <w:rsid w:val="7676510C"/>
    <w:rsid w:val="76A74C81"/>
    <w:rsid w:val="76C372DE"/>
    <w:rsid w:val="76D50207"/>
    <w:rsid w:val="76E16D3B"/>
    <w:rsid w:val="779007E2"/>
    <w:rsid w:val="7790461C"/>
    <w:rsid w:val="77AE4874"/>
    <w:rsid w:val="77B85D10"/>
    <w:rsid w:val="77D2238D"/>
    <w:rsid w:val="783518F6"/>
    <w:rsid w:val="784B3D3D"/>
    <w:rsid w:val="78550CFB"/>
    <w:rsid w:val="78A5534F"/>
    <w:rsid w:val="78AF2513"/>
    <w:rsid w:val="79312283"/>
    <w:rsid w:val="799E680F"/>
    <w:rsid w:val="79F137E1"/>
    <w:rsid w:val="7A2D2707"/>
    <w:rsid w:val="7A4E496D"/>
    <w:rsid w:val="7A732E5D"/>
    <w:rsid w:val="7AB51E9F"/>
    <w:rsid w:val="7AD26045"/>
    <w:rsid w:val="7AEE597E"/>
    <w:rsid w:val="7B266373"/>
    <w:rsid w:val="7B2A4102"/>
    <w:rsid w:val="7B5C33E6"/>
    <w:rsid w:val="7B660B49"/>
    <w:rsid w:val="7B9D5233"/>
    <w:rsid w:val="7BD02C2C"/>
    <w:rsid w:val="7BD628B3"/>
    <w:rsid w:val="7C263E4B"/>
    <w:rsid w:val="7C5C4760"/>
    <w:rsid w:val="7CB13CD2"/>
    <w:rsid w:val="7CDB5353"/>
    <w:rsid w:val="7D1D1F29"/>
    <w:rsid w:val="7D1F1B92"/>
    <w:rsid w:val="7D235A97"/>
    <w:rsid w:val="7D3E6783"/>
    <w:rsid w:val="7D620562"/>
    <w:rsid w:val="7D6704C4"/>
    <w:rsid w:val="7DCF536B"/>
    <w:rsid w:val="7E096B41"/>
    <w:rsid w:val="7EDA195C"/>
    <w:rsid w:val="7F107E0B"/>
    <w:rsid w:val="7F405C73"/>
    <w:rsid w:val="7F55643D"/>
    <w:rsid w:val="7F626B4E"/>
    <w:rsid w:val="7F845667"/>
    <w:rsid w:val="7F9E648B"/>
    <w:rsid w:val="7FCC2F11"/>
    <w:rsid w:val="7FCE4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3">
    <w:name w:val="heading 2"/>
    <w:basedOn w:val="1"/>
    <w:next w:val="1"/>
    <w:link w:val="73"/>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74"/>
    <w:qFormat/>
    <w:uiPriority w:val="0"/>
    <w:pPr>
      <w:keepNext/>
      <w:keepLines/>
      <w:spacing w:before="260" w:after="260" w:line="360" w:lineRule="auto"/>
      <w:ind w:left="171" w:leftChars="171"/>
      <w:outlineLvl w:val="2"/>
    </w:pPr>
    <w:rPr>
      <w:rFonts w:eastAsia="Arial Unicode MS"/>
      <w:b/>
      <w:kern w:val="0"/>
      <w:sz w:val="20"/>
      <w:szCs w:val="20"/>
    </w:rPr>
  </w:style>
  <w:style w:type="paragraph" w:styleId="5">
    <w:name w:val="heading 4"/>
    <w:basedOn w:val="1"/>
    <w:next w:val="1"/>
    <w:link w:val="75"/>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76"/>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81"/>
    <w:qFormat/>
    <w:uiPriority w:val="99"/>
    <w:pPr>
      <w:ind w:firstLine="420" w:firstLineChars="200"/>
    </w:pPr>
    <w:rPr>
      <w:kern w:val="0"/>
      <w:sz w:val="20"/>
    </w:rPr>
  </w:style>
  <w:style w:type="paragraph" w:styleId="17">
    <w:name w:val="caption"/>
    <w:basedOn w:val="1"/>
    <w:next w:val="1"/>
    <w:link w:val="82"/>
    <w:qFormat/>
    <w:uiPriority w:val="0"/>
    <w:pPr>
      <w:widowControl/>
      <w:jc w:val="left"/>
    </w:pPr>
    <w:rPr>
      <w:rFonts w:ascii="Arial" w:hAnsi="Arial" w:eastAsia="黑体"/>
      <w:kern w:val="0"/>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83"/>
    <w:qFormat/>
    <w:uiPriority w:val="99"/>
    <w:pPr>
      <w:shd w:val="clear" w:color="auto" w:fill="000080"/>
    </w:pPr>
    <w:rPr>
      <w:kern w:val="0"/>
      <w:sz w:val="20"/>
    </w:rPr>
  </w:style>
  <w:style w:type="paragraph" w:styleId="21">
    <w:name w:val="toa heading"/>
    <w:basedOn w:val="1"/>
    <w:next w:val="1"/>
    <w:qFormat/>
    <w:uiPriority w:val="0"/>
    <w:pPr>
      <w:spacing w:before="120"/>
    </w:pPr>
    <w:rPr>
      <w:rFonts w:ascii="Cambria" w:hAnsi="Cambria"/>
      <w:sz w:val="24"/>
    </w:rPr>
  </w:style>
  <w:style w:type="paragraph" w:styleId="22">
    <w:name w:val="annotation text"/>
    <w:basedOn w:val="1"/>
    <w:link w:val="84"/>
    <w:unhideWhenUsed/>
    <w:qFormat/>
    <w:uiPriority w:val="0"/>
    <w:pPr>
      <w:jc w:val="left"/>
    </w:pPr>
    <w:rPr>
      <w:kern w:val="0"/>
      <w:sz w:val="20"/>
    </w:rPr>
  </w:style>
  <w:style w:type="paragraph" w:styleId="23">
    <w:name w:val="index 6"/>
    <w:basedOn w:val="1"/>
    <w:next w:val="1"/>
    <w:qFormat/>
    <w:uiPriority w:val="99"/>
    <w:pPr>
      <w:ind w:left="2100"/>
    </w:pPr>
  </w:style>
  <w:style w:type="paragraph" w:styleId="24">
    <w:name w:val="Salutation"/>
    <w:basedOn w:val="1"/>
    <w:next w:val="1"/>
    <w:link w:val="85"/>
    <w:qFormat/>
    <w:uiPriority w:val="0"/>
    <w:rPr>
      <w:kern w:val="0"/>
      <w:sz w:val="20"/>
    </w:rPr>
  </w:style>
  <w:style w:type="paragraph" w:styleId="25">
    <w:name w:val="Body Text 3"/>
    <w:basedOn w:val="1"/>
    <w:link w:val="86"/>
    <w:unhideWhenUsed/>
    <w:qFormat/>
    <w:uiPriority w:val="0"/>
    <w:pPr>
      <w:spacing w:beforeLines="50" w:afterLines="50" w:line="360" w:lineRule="auto"/>
    </w:pPr>
    <w:rPr>
      <w:kern w:val="0"/>
      <w:sz w:val="16"/>
      <w:szCs w:val="16"/>
    </w:rPr>
  </w:style>
  <w:style w:type="paragraph" w:styleId="26">
    <w:name w:val="Closing"/>
    <w:basedOn w:val="1"/>
    <w:link w:val="87"/>
    <w:qFormat/>
    <w:uiPriority w:val="0"/>
    <w:pPr>
      <w:ind w:left="100" w:leftChars="2100"/>
    </w:pPr>
    <w:rPr>
      <w:rFonts w:ascii="宋体" w:hAnsi="宋体"/>
      <w:b/>
      <w:kern w:val="0"/>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88"/>
    <w:unhideWhenUsed/>
    <w:qFormat/>
    <w:uiPriority w:val="0"/>
    <w:pPr>
      <w:spacing w:after="120"/>
    </w:pPr>
    <w:rPr>
      <w:kern w:val="0"/>
      <w:sz w:val="20"/>
    </w:rPr>
  </w:style>
  <w:style w:type="paragraph" w:styleId="29">
    <w:name w:val="Body Text First Indent"/>
    <w:basedOn w:val="28"/>
    <w:link w:val="89"/>
    <w:qFormat/>
    <w:uiPriority w:val="0"/>
    <w:pPr>
      <w:ind w:firstLine="420" w:firstLineChars="100"/>
    </w:pPr>
    <w:rPr>
      <w:rFonts w:ascii="宋体"/>
      <w:color w:val="000000"/>
      <w:kern w:val="0"/>
      <w:sz w:val="20"/>
      <w:szCs w:val="32"/>
    </w:rPr>
  </w:style>
  <w:style w:type="paragraph" w:styleId="30">
    <w:name w:val="Body Text Indent"/>
    <w:basedOn w:val="1"/>
    <w:link w:val="90"/>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1">
    <w:name w:val="List 2"/>
    <w:basedOn w:val="1"/>
    <w:next w:val="32"/>
    <w:qFormat/>
    <w:uiPriority w:val="0"/>
    <w:pPr>
      <w:spacing w:beforeLines="50" w:afterLines="50" w:line="360" w:lineRule="auto"/>
      <w:ind w:left="100" w:leftChars="200" w:hanging="200" w:hangingChars="200"/>
    </w:pPr>
    <w:rPr>
      <w:sz w:val="24"/>
    </w:rPr>
  </w:style>
  <w:style w:type="paragraph" w:styleId="32">
    <w:name w:val="Plain Text"/>
    <w:basedOn w:val="1"/>
    <w:link w:val="91"/>
    <w:qFormat/>
    <w:uiPriority w:val="0"/>
    <w:rPr>
      <w:rFonts w:ascii="宋体" w:hAnsi="Courier New"/>
      <w:kern w:val="0"/>
      <w:sz w:val="20"/>
      <w:szCs w:val="21"/>
    </w:rPr>
  </w:style>
  <w:style w:type="paragraph" w:styleId="33">
    <w:name w:val="Block Text"/>
    <w:basedOn w:val="1"/>
    <w:qFormat/>
    <w:uiPriority w:val="0"/>
    <w:pPr>
      <w:spacing w:beforeLines="50" w:afterLines="50" w:line="360" w:lineRule="auto"/>
      <w:ind w:left="1440" w:leftChars="700" w:right="1440" w:rightChars="700"/>
    </w:pPr>
    <w:rPr>
      <w:sz w:val="24"/>
    </w:rPr>
  </w:style>
  <w:style w:type="paragraph" w:styleId="34">
    <w:name w:val="toc 5"/>
    <w:basedOn w:val="1"/>
    <w:next w:val="1"/>
    <w:qFormat/>
    <w:uiPriority w:val="39"/>
    <w:pPr>
      <w:ind w:left="840"/>
      <w:jc w:val="left"/>
    </w:pPr>
    <w:rPr>
      <w:sz w:val="18"/>
      <w:szCs w:val="18"/>
    </w:rPr>
  </w:style>
  <w:style w:type="paragraph" w:styleId="35">
    <w:name w:val="toc 3"/>
    <w:basedOn w:val="1"/>
    <w:next w:val="1"/>
    <w:qFormat/>
    <w:uiPriority w:val="39"/>
    <w:pPr>
      <w:ind w:left="420"/>
      <w:jc w:val="left"/>
    </w:pPr>
    <w:rPr>
      <w:i/>
      <w:iCs/>
      <w:sz w:val="20"/>
      <w:szCs w:val="20"/>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92"/>
    <w:qFormat/>
    <w:uiPriority w:val="0"/>
    <w:pPr>
      <w:ind w:left="100" w:leftChars="2500"/>
    </w:pPr>
    <w:rPr>
      <w:rFonts w:eastAsia="仿宋_GB2312"/>
      <w:color w:val="000000"/>
      <w:kern w:val="0"/>
      <w:sz w:val="28"/>
    </w:rPr>
  </w:style>
  <w:style w:type="paragraph" w:styleId="38">
    <w:name w:val="Body Text Indent 2"/>
    <w:basedOn w:val="1"/>
    <w:link w:val="93"/>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9">
    <w:name w:val="endnote text"/>
    <w:basedOn w:val="1"/>
    <w:link w:val="94"/>
    <w:qFormat/>
    <w:uiPriority w:val="0"/>
    <w:pPr>
      <w:snapToGrid w:val="0"/>
      <w:jc w:val="left"/>
    </w:pPr>
    <w:rPr>
      <w:rFonts w:ascii="Calibri" w:hAnsi="Calibri" w:eastAsia="宋体" w:cs="Times New Roman"/>
      <w:szCs w:val="22"/>
    </w:rPr>
  </w:style>
  <w:style w:type="paragraph" w:styleId="40">
    <w:name w:val="Balloon Text"/>
    <w:basedOn w:val="1"/>
    <w:link w:val="95"/>
    <w:qFormat/>
    <w:uiPriority w:val="0"/>
    <w:rPr>
      <w:kern w:val="0"/>
      <w:sz w:val="18"/>
      <w:szCs w:val="18"/>
    </w:rPr>
  </w:style>
  <w:style w:type="paragraph" w:styleId="41">
    <w:name w:val="footer"/>
    <w:basedOn w:val="1"/>
    <w:link w:val="96"/>
    <w:unhideWhenUsed/>
    <w:qFormat/>
    <w:uiPriority w:val="99"/>
    <w:pPr>
      <w:tabs>
        <w:tab w:val="center" w:pos="4153"/>
        <w:tab w:val="right" w:pos="8306"/>
      </w:tabs>
      <w:snapToGrid w:val="0"/>
      <w:jc w:val="left"/>
    </w:pPr>
    <w:rPr>
      <w:kern w:val="0"/>
      <w:sz w:val="18"/>
      <w:szCs w:val="18"/>
    </w:rPr>
  </w:style>
  <w:style w:type="paragraph" w:styleId="42">
    <w:name w:val="header"/>
    <w:basedOn w:val="1"/>
    <w:link w:val="9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toc 4"/>
    <w:basedOn w:val="1"/>
    <w:next w:val="1"/>
    <w:qFormat/>
    <w:uiPriority w:val="39"/>
    <w:pPr>
      <w:ind w:left="630"/>
      <w:jc w:val="left"/>
    </w:pPr>
    <w:rPr>
      <w:sz w:val="18"/>
      <w:szCs w:val="18"/>
    </w:rPr>
  </w:style>
  <w:style w:type="paragraph" w:styleId="45">
    <w:name w:val="Subtitle"/>
    <w:basedOn w:val="1"/>
    <w:next w:val="1"/>
    <w:link w:val="98"/>
    <w:qFormat/>
    <w:uiPriority w:val="0"/>
    <w:pPr>
      <w:spacing w:before="240" w:after="60" w:line="312" w:lineRule="auto"/>
      <w:jc w:val="center"/>
      <w:outlineLvl w:val="1"/>
    </w:pPr>
    <w:rPr>
      <w:rFonts w:ascii="Cambria" w:hAnsi="Cambria"/>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qFormat/>
    <w:uiPriority w:val="0"/>
    <w:pPr>
      <w:numPr>
        <w:ilvl w:val="0"/>
        <w:numId w:val="2"/>
      </w:numPr>
      <w:snapToGrid w:val="0"/>
      <w:ind w:left="0" w:firstLine="0"/>
      <w:jc w:val="left"/>
    </w:pPr>
    <w:rPr>
      <w:sz w:val="18"/>
      <w:szCs w:val="18"/>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99"/>
    <w:qFormat/>
    <w:uiPriority w:val="0"/>
    <w:pPr>
      <w:ind w:firstLine="480" w:firstLineChars="200"/>
    </w:pPr>
    <w:rPr>
      <w:rFonts w:ascii="幼圆" w:eastAsia="幼圆"/>
      <w:kern w:val="0"/>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Body Text 2"/>
    <w:basedOn w:val="1"/>
    <w:link w:val="100"/>
    <w:qFormat/>
    <w:uiPriority w:val="0"/>
    <w:pPr>
      <w:jc w:val="center"/>
    </w:pPr>
    <w:rPr>
      <w:rFonts w:ascii="宋体" w:hAnsi="宋体"/>
      <w:kern w:val="0"/>
      <w:sz w:val="24"/>
    </w:rPr>
  </w:style>
  <w:style w:type="paragraph" w:styleId="54">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102"/>
    <w:qFormat/>
    <w:uiPriority w:val="0"/>
    <w:pPr>
      <w:spacing w:before="240" w:after="60"/>
      <w:jc w:val="center"/>
      <w:outlineLvl w:val="0"/>
    </w:pPr>
    <w:rPr>
      <w:rFonts w:ascii="Arial" w:hAnsi="Arial"/>
      <w:b/>
      <w:bCs/>
      <w:kern w:val="0"/>
      <w:sz w:val="32"/>
      <w:szCs w:val="32"/>
    </w:rPr>
  </w:style>
  <w:style w:type="paragraph" w:styleId="58">
    <w:name w:val="annotation subject"/>
    <w:basedOn w:val="22"/>
    <w:next w:val="22"/>
    <w:link w:val="103"/>
    <w:qFormat/>
    <w:uiPriority w:val="0"/>
    <w:rPr>
      <w:b/>
      <w:kern w:val="0"/>
      <w:sz w:val="20"/>
      <w:szCs w:val="20"/>
    </w:rPr>
  </w:style>
  <w:style w:type="paragraph" w:styleId="59">
    <w:name w:val="Body Text First Indent 2"/>
    <w:basedOn w:val="30"/>
    <w:link w:val="104"/>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0"/>
    <w:rPr>
      <w:sz w:val="21"/>
    </w:rPr>
  </w:style>
  <w:style w:type="character" w:styleId="70">
    <w:name w:val="footnote reference"/>
    <w:unhideWhenUsed/>
    <w:qFormat/>
    <w:uiPriority w:val="99"/>
    <w:rPr>
      <w:vertAlign w:val="superscript"/>
    </w:rPr>
  </w:style>
  <w:style w:type="paragraph" w:customStyle="1" w:styleId="71">
    <w:name w:val="正文缩进1"/>
    <w:basedOn w:val="1"/>
    <w:qFormat/>
    <w:uiPriority w:val="0"/>
    <w:pPr>
      <w:spacing w:line="360" w:lineRule="auto"/>
      <w:ind w:firstLine="200" w:firstLineChars="200"/>
      <w:jc w:val="left"/>
    </w:pPr>
    <w:rPr>
      <w:rFonts w:ascii="宋体" w:hAnsi="宋体"/>
      <w:sz w:val="24"/>
      <w:szCs w:val="22"/>
    </w:rPr>
  </w:style>
  <w:style w:type="character" w:customStyle="1" w:styleId="72">
    <w:name w:val="标题 1 字符"/>
    <w:link w:val="2"/>
    <w:qFormat/>
    <w:uiPriority w:val="0"/>
    <w:rPr>
      <w:rFonts w:ascii="仿宋" w:hAnsi="仿宋" w:eastAsia="仿宋" w:cs="Times New Roman"/>
      <w:b/>
      <w:kern w:val="44"/>
      <w:sz w:val="32"/>
      <w:szCs w:val="20"/>
    </w:rPr>
  </w:style>
  <w:style w:type="character" w:customStyle="1" w:styleId="73">
    <w:name w:val="标题 2 字符"/>
    <w:link w:val="3"/>
    <w:qFormat/>
    <w:uiPriority w:val="0"/>
    <w:rPr>
      <w:rFonts w:ascii="Arial" w:hAnsi="Arial" w:eastAsia="黑体" w:cs="Times New Roman"/>
      <w:b/>
      <w:bCs/>
      <w:sz w:val="32"/>
      <w:szCs w:val="32"/>
    </w:rPr>
  </w:style>
  <w:style w:type="character" w:customStyle="1" w:styleId="74">
    <w:name w:val="标题 3 字符"/>
    <w:link w:val="4"/>
    <w:qFormat/>
    <w:uiPriority w:val="0"/>
    <w:rPr>
      <w:rFonts w:ascii="Times New Roman" w:hAnsi="Times New Roman" w:eastAsia="Arial Unicode MS" w:cs="Times New Roman"/>
      <w:b/>
      <w:szCs w:val="20"/>
    </w:rPr>
  </w:style>
  <w:style w:type="character" w:customStyle="1" w:styleId="75">
    <w:name w:val="标题 4 字符"/>
    <w:link w:val="5"/>
    <w:qFormat/>
    <w:uiPriority w:val="0"/>
    <w:rPr>
      <w:rFonts w:ascii="Cambria" w:hAnsi="Cambria" w:eastAsia="宋体" w:cs="Times New Roman"/>
      <w:b/>
      <w:bCs/>
      <w:sz w:val="28"/>
      <w:szCs w:val="28"/>
    </w:rPr>
  </w:style>
  <w:style w:type="character" w:customStyle="1" w:styleId="76">
    <w:name w:val="标题 5 字符"/>
    <w:link w:val="6"/>
    <w:qFormat/>
    <w:uiPriority w:val="0"/>
    <w:rPr>
      <w:rFonts w:ascii="Calibri" w:hAnsi="Calibri" w:eastAsia="宋体" w:cs="Times New Roman"/>
      <w:b/>
      <w:bCs/>
      <w:sz w:val="28"/>
      <w:szCs w:val="28"/>
    </w:rPr>
  </w:style>
  <w:style w:type="character" w:customStyle="1" w:styleId="77">
    <w:name w:val="标题 6 字符"/>
    <w:link w:val="7"/>
    <w:qFormat/>
    <w:uiPriority w:val="0"/>
    <w:rPr>
      <w:rFonts w:ascii="Arial" w:hAnsi="Arial" w:eastAsia="黑体" w:cs="Times New Roman"/>
      <w:b/>
      <w:bCs/>
      <w:kern w:val="0"/>
      <w:sz w:val="24"/>
      <w:szCs w:val="24"/>
    </w:rPr>
  </w:style>
  <w:style w:type="character" w:customStyle="1" w:styleId="78">
    <w:name w:val="标题 7 字符"/>
    <w:link w:val="8"/>
    <w:qFormat/>
    <w:uiPriority w:val="0"/>
    <w:rPr>
      <w:rFonts w:ascii="Times New Roman" w:hAnsi="Times New Roman" w:eastAsia="宋体" w:cs="Times New Roman"/>
      <w:b/>
      <w:bCs/>
      <w:kern w:val="0"/>
      <w:sz w:val="24"/>
      <w:szCs w:val="24"/>
    </w:rPr>
  </w:style>
  <w:style w:type="character" w:customStyle="1" w:styleId="79">
    <w:name w:val="标题 8 字符"/>
    <w:link w:val="9"/>
    <w:qFormat/>
    <w:uiPriority w:val="0"/>
    <w:rPr>
      <w:rFonts w:ascii="Arial" w:hAnsi="Arial" w:eastAsia="黑体" w:cs="Times New Roman"/>
      <w:kern w:val="0"/>
      <w:sz w:val="24"/>
      <w:szCs w:val="24"/>
    </w:rPr>
  </w:style>
  <w:style w:type="character" w:customStyle="1" w:styleId="80">
    <w:name w:val="标题 9 字符"/>
    <w:link w:val="10"/>
    <w:qFormat/>
    <w:uiPriority w:val="0"/>
    <w:rPr>
      <w:rFonts w:ascii="Arial" w:hAnsi="Arial" w:eastAsia="黑体" w:cs="Times New Roman"/>
      <w:kern w:val="0"/>
      <w:szCs w:val="21"/>
    </w:rPr>
  </w:style>
  <w:style w:type="character" w:customStyle="1" w:styleId="81">
    <w:name w:val="正文缩进 字符"/>
    <w:link w:val="16"/>
    <w:qFormat/>
    <w:uiPriority w:val="99"/>
    <w:rPr>
      <w:szCs w:val="24"/>
    </w:rPr>
  </w:style>
  <w:style w:type="character" w:customStyle="1" w:styleId="82">
    <w:name w:val="题注 字符"/>
    <w:link w:val="17"/>
    <w:qFormat/>
    <w:locked/>
    <w:uiPriority w:val="0"/>
    <w:rPr>
      <w:rFonts w:ascii="Arial" w:hAnsi="Arial" w:eastAsia="黑体"/>
    </w:rPr>
  </w:style>
  <w:style w:type="character" w:customStyle="1" w:styleId="83">
    <w:name w:val="文档结构图 字符"/>
    <w:link w:val="20"/>
    <w:qFormat/>
    <w:uiPriority w:val="99"/>
    <w:rPr>
      <w:szCs w:val="24"/>
      <w:shd w:val="clear" w:color="auto" w:fill="000080"/>
    </w:rPr>
  </w:style>
  <w:style w:type="character" w:customStyle="1" w:styleId="84">
    <w:name w:val="批注文字 字符"/>
    <w:link w:val="22"/>
    <w:qFormat/>
    <w:uiPriority w:val="0"/>
    <w:rPr>
      <w:rFonts w:ascii="Times New Roman" w:hAnsi="Times New Roman" w:eastAsia="宋体" w:cs="Times New Roman"/>
      <w:szCs w:val="24"/>
    </w:rPr>
  </w:style>
  <w:style w:type="character" w:customStyle="1" w:styleId="85">
    <w:name w:val="称呼 字符"/>
    <w:link w:val="24"/>
    <w:qFormat/>
    <w:uiPriority w:val="0"/>
    <w:rPr>
      <w:szCs w:val="24"/>
    </w:rPr>
  </w:style>
  <w:style w:type="character" w:customStyle="1" w:styleId="86">
    <w:name w:val="正文文本 3 字符"/>
    <w:link w:val="25"/>
    <w:qFormat/>
    <w:uiPriority w:val="0"/>
    <w:rPr>
      <w:sz w:val="16"/>
      <w:szCs w:val="16"/>
    </w:rPr>
  </w:style>
  <w:style w:type="character" w:customStyle="1" w:styleId="87">
    <w:name w:val="结束语 字符"/>
    <w:link w:val="26"/>
    <w:qFormat/>
    <w:uiPriority w:val="0"/>
    <w:rPr>
      <w:rFonts w:ascii="宋体" w:hAnsi="宋体"/>
      <w:b/>
      <w:sz w:val="24"/>
      <w:szCs w:val="24"/>
    </w:rPr>
  </w:style>
  <w:style w:type="character" w:customStyle="1" w:styleId="88">
    <w:name w:val="正文文本 字符"/>
    <w:link w:val="28"/>
    <w:qFormat/>
    <w:uiPriority w:val="0"/>
    <w:rPr>
      <w:rFonts w:ascii="Times New Roman" w:hAnsi="Times New Roman" w:eastAsia="宋体" w:cs="Times New Roman"/>
      <w:szCs w:val="24"/>
    </w:rPr>
  </w:style>
  <w:style w:type="character" w:customStyle="1" w:styleId="89">
    <w:name w:val="正文文本首行缩进 字符"/>
    <w:link w:val="29"/>
    <w:qFormat/>
    <w:uiPriority w:val="0"/>
    <w:rPr>
      <w:rFonts w:ascii="宋体"/>
      <w:color w:val="000000"/>
      <w:szCs w:val="32"/>
    </w:rPr>
  </w:style>
  <w:style w:type="character" w:customStyle="1" w:styleId="90">
    <w:name w:val="正文文本缩进 字符"/>
    <w:link w:val="30"/>
    <w:qFormat/>
    <w:uiPriority w:val="99"/>
    <w:rPr>
      <w:rFonts w:ascii="宋体"/>
      <w:color w:val="000000"/>
      <w:sz w:val="32"/>
      <w:szCs w:val="32"/>
    </w:rPr>
  </w:style>
  <w:style w:type="character" w:customStyle="1" w:styleId="91">
    <w:name w:val="纯文本 字符"/>
    <w:link w:val="32"/>
    <w:qFormat/>
    <w:uiPriority w:val="0"/>
    <w:rPr>
      <w:rFonts w:ascii="宋体" w:hAnsi="Courier New" w:cs="Courier New"/>
      <w:szCs w:val="21"/>
    </w:rPr>
  </w:style>
  <w:style w:type="character" w:customStyle="1" w:styleId="92">
    <w:name w:val="日期 字符"/>
    <w:link w:val="37"/>
    <w:qFormat/>
    <w:uiPriority w:val="0"/>
    <w:rPr>
      <w:rFonts w:eastAsia="仿宋_GB2312"/>
      <w:color w:val="000000"/>
      <w:sz w:val="28"/>
      <w:szCs w:val="24"/>
    </w:rPr>
  </w:style>
  <w:style w:type="character" w:customStyle="1" w:styleId="93">
    <w:name w:val="正文文本缩进 2 字符"/>
    <w:link w:val="38"/>
    <w:qFormat/>
    <w:uiPriority w:val="0"/>
    <w:rPr>
      <w:rFonts w:ascii="幼圆" w:eastAsia="幼圆"/>
      <w:color w:val="000000"/>
      <w:sz w:val="30"/>
      <w:szCs w:val="32"/>
    </w:rPr>
  </w:style>
  <w:style w:type="character" w:customStyle="1" w:styleId="94">
    <w:name w:val="尾注文本 字符"/>
    <w:link w:val="39"/>
    <w:qFormat/>
    <w:uiPriority w:val="0"/>
  </w:style>
  <w:style w:type="character" w:customStyle="1" w:styleId="95">
    <w:name w:val="批注框文本 字符"/>
    <w:link w:val="40"/>
    <w:qFormat/>
    <w:uiPriority w:val="0"/>
    <w:rPr>
      <w:sz w:val="18"/>
      <w:szCs w:val="18"/>
    </w:rPr>
  </w:style>
  <w:style w:type="character" w:customStyle="1" w:styleId="96">
    <w:name w:val="页脚 字符"/>
    <w:link w:val="41"/>
    <w:qFormat/>
    <w:uiPriority w:val="99"/>
    <w:rPr>
      <w:rFonts w:ascii="Times New Roman" w:hAnsi="Times New Roman" w:eastAsia="宋体" w:cs="Times New Roman"/>
      <w:sz w:val="18"/>
      <w:szCs w:val="18"/>
    </w:rPr>
  </w:style>
  <w:style w:type="character" w:customStyle="1" w:styleId="97">
    <w:name w:val="页眉 字符"/>
    <w:link w:val="42"/>
    <w:qFormat/>
    <w:uiPriority w:val="99"/>
    <w:rPr>
      <w:rFonts w:ascii="Times New Roman" w:hAnsi="Times New Roman" w:eastAsia="宋体" w:cs="Times New Roman"/>
      <w:sz w:val="18"/>
      <w:szCs w:val="18"/>
    </w:rPr>
  </w:style>
  <w:style w:type="character" w:customStyle="1" w:styleId="98">
    <w:name w:val="副标题 字符"/>
    <w:link w:val="45"/>
    <w:qFormat/>
    <w:uiPriority w:val="0"/>
    <w:rPr>
      <w:rFonts w:ascii="Cambria" w:hAnsi="Cambria"/>
      <w:b/>
      <w:bCs/>
      <w:kern w:val="28"/>
      <w:sz w:val="32"/>
      <w:szCs w:val="32"/>
    </w:rPr>
  </w:style>
  <w:style w:type="character" w:customStyle="1" w:styleId="99">
    <w:name w:val="正文文本缩进 3 字符"/>
    <w:link w:val="49"/>
    <w:qFormat/>
    <w:uiPriority w:val="0"/>
    <w:rPr>
      <w:rFonts w:ascii="幼圆" w:eastAsia="幼圆"/>
      <w:sz w:val="24"/>
      <w:szCs w:val="32"/>
    </w:rPr>
  </w:style>
  <w:style w:type="character" w:customStyle="1" w:styleId="100">
    <w:name w:val="正文文本 2 字符"/>
    <w:link w:val="53"/>
    <w:qFormat/>
    <w:uiPriority w:val="0"/>
    <w:rPr>
      <w:rFonts w:ascii="宋体" w:hAnsi="宋体"/>
      <w:sz w:val="24"/>
      <w:szCs w:val="24"/>
    </w:rPr>
  </w:style>
  <w:style w:type="character" w:customStyle="1" w:styleId="101">
    <w:name w:val="HTML 预设格式 字符"/>
    <w:link w:val="54"/>
    <w:qFormat/>
    <w:uiPriority w:val="99"/>
    <w:rPr>
      <w:rFonts w:ascii="宋体" w:hAnsi="宋体" w:cs="宋体"/>
      <w:sz w:val="24"/>
      <w:szCs w:val="24"/>
    </w:rPr>
  </w:style>
  <w:style w:type="character" w:customStyle="1" w:styleId="102">
    <w:name w:val="标题 字符"/>
    <w:link w:val="57"/>
    <w:qFormat/>
    <w:uiPriority w:val="0"/>
    <w:rPr>
      <w:rFonts w:ascii="Arial" w:hAnsi="Arial"/>
      <w:b/>
      <w:bCs/>
      <w:sz w:val="32"/>
      <w:szCs w:val="32"/>
    </w:rPr>
  </w:style>
  <w:style w:type="character" w:customStyle="1" w:styleId="103">
    <w:name w:val="批注主题 字符"/>
    <w:link w:val="58"/>
    <w:qFormat/>
    <w:uiPriority w:val="0"/>
    <w:rPr>
      <w:b/>
    </w:rPr>
  </w:style>
  <w:style w:type="character" w:customStyle="1" w:styleId="104">
    <w:name w:val="正文文本首行缩进 2 字符"/>
    <w:link w:val="59"/>
    <w:qFormat/>
    <w:uiPriority w:val="0"/>
    <w:rPr>
      <w:rFonts w:ascii="仿宋_GB2312" w:eastAsia="仿宋_GB2312"/>
      <w:sz w:val="24"/>
      <w:szCs w:val="24"/>
    </w:rPr>
  </w:style>
  <w:style w:type="paragraph" w:customStyle="1" w:styleId="105">
    <w:name w:val="标题 5（有编号）（绿盟科技）"/>
    <w:basedOn w:val="1"/>
    <w:next w:val="10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07">
    <w:name w:val="正文文本 Char3"/>
    <w:semiHidden/>
    <w:qFormat/>
    <w:uiPriority w:val="99"/>
    <w:rPr>
      <w:rFonts w:ascii="Times New Roman" w:hAnsi="Times New Roman" w:eastAsia="宋体" w:cs="Times New Roman"/>
      <w:szCs w:val="24"/>
    </w:rPr>
  </w:style>
  <w:style w:type="character" w:customStyle="1" w:styleId="108">
    <w:name w:val="批注文字 Char1"/>
    <w:qFormat/>
    <w:uiPriority w:val="0"/>
    <w:rPr>
      <w:rFonts w:ascii="Times New Roman" w:hAnsi="Times New Roman" w:eastAsia="宋体" w:cs="Times New Roman"/>
      <w:szCs w:val="24"/>
    </w:rPr>
  </w:style>
  <w:style w:type="paragraph" w:customStyle="1" w:styleId="109">
    <w:name w:val="Style1"/>
    <w:basedOn w:val="1"/>
    <w:qFormat/>
    <w:uiPriority w:val="0"/>
    <w:pPr>
      <w:widowControl/>
      <w:tabs>
        <w:tab w:val="left" w:pos="-720"/>
      </w:tabs>
    </w:pPr>
    <w:rPr>
      <w:spacing w:val="-3"/>
      <w:kern w:val="0"/>
      <w:sz w:val="24"/>
      <w:szCs w:val="20"/>
      <w:lang w:val="en-AU" w:eastAsia="en-US"/>
    </w:rPr>
  </w:style>
  <w:style w:type="character" w:customStyle="1" w:styleId="110">
    <w:name w:val="页脚 Char1"/>
    <w:semiHidden/>
    <w:qFormat/>
    <w:uiPriority w:val="0"/>
    <w:rPr>
      <w:rFonts w:ascii="Times New Roman" w:hAnsi="Times New Roman" w:eastAsia="宋体" w:cs="Times New Roman"/>
      <w:sz w:val="18"/>
      <w:szCs w:val="18"/>
    </w:rPr>
  </w:style>
  <w:style w:type="character" w:customStyle="1" w:styleId="111">
    <w:name w:val="正文文本缩进 Char2"/>
    <w:qFormat/>
    <w:uiPriority w:val="0"/>
    <w:rPr>
      <w:rFonts w:ascii="宋体"/>
      <w:color w:val="000000"/>
      <w:sz w:val="32"/>
      <w:szCs w:val="32"/>
    </w:rPr>
  </w:style>
  <w:style w:type="character" w:customStyle="1" w:styleId="112">
    <w:name w:val="Table Text Char1"/>
    <w:qFormat/>
    <w:uiPriority w:val="0"/>
    <w:rPr>
      <w:rFonts w:ascii="Arial" w:hAnsi="Arial" w:eastAsia="宋体" w:cs="Arial"/>
      <w:snapToGrid w:val="0"/>
      <w:sz w:val="21"/>
      <w:szCs w:val="21"/>
      <w:lang w:val="en-US" w:eastAsia="zh-CN" w:bidi="ar-SA"/>
    </w:rPr>
  </w:style>
  <w:style w:type="character" w:customStyle="1" w:styleId="113">
    <w:name w:val="正文首行缩进 2 Char"/>
    <w:qFormat/>
    <w:uiPriority w:val="0"/>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B正文 Char"/>
    <w:link w:val="116"/>
    <w:qFormat/>
    <w:locked/>
    <w:uiPriority w:val="0"/>
    <w:rPr>
      <w:rFonts w:ascii="宋体" w:hAnsi="宋体"/>
      <w:sz w:val="24"/>
    </w:rPr>
  </w:style>
  <w:style w:type="paragraph" w:customStyle="1" w:styleId="116">
    <w:name w:val="B正文"/>
    <w:basedOn w:val="1"/>
    <w:link w:val="115"/>
    <w:qFormat/>
    <w:uiPriority w:val="0"/>
    <w:pPr>
      <w:widowControl/>
      <w:spacing w:line="360" w:lineRule="auto"/>
      <w:ind w:firstLine="200" w:firstLineChars="200"/>
    </w:pPr>
    <w:rPr>
      <w:rFonts w:ascii="宋体" w:hAnsi="宋体"/>
      <w:kern w:val="0"/>
      <w:sz w:val="24"/>
      <w:szCs w:val="20"/>
    </w:rPr>
  </w:style>
  <w:style w:type="character" w:customStyle="1" w:styleId="117">
    <w:name w:val="font11"/>
    <w:qFormat/>
    <w:uiPriority w:val="0"/>
    <w:rPr>
      <w:rFonts w:hint="eastAsia" w:ascii="宋体" w:hAnsi="宋体" w:eastAsia="宋体" w:cs="宋体"/>
      <w:color w:val="000000"/>
      <w:sz w:val="20"/>
      <w:szCs w:val="20"/>
      <w:u w:val="none"/>
    </w:rPr>
  </w:style>
  <w:style w:type="character" w:customStyle="1" w:styleId="118">
    <w:name w:val="结束语 Char1"/>
    <w:qFormat/>
    <w:uiPriority w:val="0"/>
    <w:rPr>
      <w:kern w:val="2"/>
      <w:sz w:val="21"/>
      <w:szCs w:val="24"/>
    </w:rPr>
  </w:style>
  <w:style w:type="character" w:customStyle="1" w:styleId="119">
    <w:name w:val="常规 Char"/>
    <w:link w:val="120"/>
    <w:qFormat/>
    <w:uiPriority w:val="0"/>
    <w:rPr>
      <w:rFonts w:ascii="Tahoma" w:hAnsi="Tahoma"/>
      <w:color w:val="000000"/>
      <w:sz w:val="28"/>
      <w:szCs w:val="21"/>
    </w:rPr>
  </w:style>
  <w:style w:type="paragraph" w:customStyle="1" w:styleId="120">
    <w:name w:val="常规"/>
    <w:basedOn w:val="1"/>
    <w:link w:val="119"/>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1">
    <w:name w:val="ca-251"/>
    <w:qFormat/>
    <w:uiPriority w:val="0"/>
    <w:rPr>
      <w:rFonts w:hint="default" w:ascii="Times New Roman" w:hAnsi="Times New Roman" w:cs="Times New Roman"/>
      <w:sz w:val="24"/>
      <w:szCs w:val="24"/>
    </w:rPr>
  </w:style>
  <w:style w:type="character" w:customStyle="1" w:styleId="122">
    <w:name w:val="font91"/>
    <w:qFormat/>
    <w:uiPriority w:val="0"/>
    <w:rPr>
      <w:rFonts w:hint="eastAsia" w:ascii="宋体" w:hAnsi="宋体" w:eastAsia="宋体" w:cs="宋体"/>
      <w:color w:val="000000"/>
      <w:sz w:val="20"/>
      <w:szCs w:val="20"/>
      <w:u w:val="none"/>
    </w:rPr>
  </w:style>
  <w:style w:type="character" w:customStyle="1" w:styleId="123">
    <w:name w:val="正文文本缩进 Char1"/>
    <w:qFormat/>
    <w:uiPriority w:val="0"/>
    <w:rPr>
      <w:rFonts w:ascii="楷体_GB2312" w:eastAsia="楷体_GB2312"/>
      <w:kern w:val="2"/>
      <w:sz w:val="28"/>
      <w:szCs w:val="31"/>
    </w:rPr>
  </w:style>
  <w:style w:type="character" w:customStyle="1" w:styleId="124">
    <w:name w:val="Char Char5"/>
    <w:qFormat/>
    <w:uiPriority w:val="0"/>
    <w:rPr>
      <w:rFonts w:ascii="Times New Roman" w:hAnsi="Times New Roman" w:eastAsia="宋体"/>
      <w:sz w:val="18"/>
    </w:rPr>
  </w:style>
  <w:style w:type="character" w:customStyle="1" w:styleId="125">
    <w:name w:val="四级大纲 Char"/>
    <w:link w:val="126"/>
    <w:qFormat/>
    <w:uiPriority w:val="0"/>
    <w:rPr>
      <w:rFonts w:ascii="Calibri" w:hAnsi="Calibri"/>
      <w:b/>
      <w:kern w:val="2"/>
      <w:sz w:val="30"/>
      <w:szCs w:val="22"/>
      <w:lang w:val="en-US" w:eastAsia="zh-CN" w:bidi="ar-SA"/>
    </w:rPr>
  </w:style>
  <w:style w:type="paragraph" w:customStyle="1" w:styleId="126">
    <w:name w:val="四级大纲"/>
    <w:next w:val="127"/>
    <w:link w:val="125"/>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7">
    <w:name w:val="正文小四"/>
    <w:link w:val="128"/>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8">
    <w:name w:val="正文小四 Char"/>
    <w:link w:val="127"/>
    <w:qFormat/>
    <w:uiPriority w:val="0"/>
    <w:rPr>
      <w:rFonts w:ascii="宋体" w:hAnsi="宋体"/>
      <w:sz w:val="24"/>
      <w:lang w:bidi="ar-SA"/>
    </w:rPr>
  </w:style>
  <w:style w:type="character" w:customStyle="1" w:styleId="129">
    <w:name w:val="Table Text Char"/>
    <w:link w:val="130"/>
    <w:qFormat/>
    <w:uiPriority w:val="0"/>
    <w:rPr>
      <w:rFonts w:ascii="Arial" w:hAnsi="Arial"/>
      <w:kern w:val="2"/>
      <w:sz w:val="18"/>
      <w:szCs w:val="22"/>
      <w:lang w:val="en-US" w:eastAsia="zh-CN" w:bidi="ar-SA"/>
    </w:rPr>
  </w:style>
  <w:style w:type="paragraph" w:customStyle="1" w:styleId="130">
    <w:name w:val="Table Text"/>
    <w:link w:val="129"/>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word21"/>
    <w:qFormat/>
    <w:uiPriority w:val="0"/>
    <w:rPr>
      <w:b/>
      <w:bCs/>
      <w:color w:val="194D7C"/>
      <w:spacing w:val="400"/>
      <w:sz w:val="24"/>
      <w:szCs w:val="24"/>
    </w:rPr>
  </w:style>
  <w:style w:type="character" w:customStyle="1" w:styleId="132">
    <w:name w:val="页眉 Char1"/>
    <w:semiHidden/>
    <w:qFormat/>
    <w:uiPriority w:val="99"/>
    <w:rPr>
      <w:rFonts w:ascii="Times New Roman" w:hAnsi="Times New Roman" w:eastAsia="宋体" w:cs="Times New Roman"/>
      <w:sz w:val="18"/>
      <w:szCs w:val="18"/>
    </w:rPr>
  </w:style>
  <w:style w:type="character" w:customStyle="1" w:styleId="133">
    <w:name w:val="尾注文本 Char"/>
    <w:qFormat/>
    <w:uiPriority w:val="0"/>
    <w:rPr>
      <w:rFonts w:ascii="Times New Roman" w:hAnsi="Times New Roman" w:eastAsia="宋体" w:cs="Times New Roman"/>
      <w:szCs w:val="24"/>
    </w:rPr>
  </w:style>
  <w:style w:type="character" w:customStyle="1" w:styleId="134">
    <w:name w:val="纯文本 Char"/>
    <w:qFormat/>
    <w:uiPriority w:val="0"/>
    <w:rPr>
      <w:rFonts w:ascii="宋体" w:hAnsi="Courier New" w:eastAsia="宋体" w:cs="Courier New"/>
      <w:szCs w:val="21"/>
    </w:rPr>
  </w:style>
  <w:style w:type="character" w:customStyle="1" w:styleId="135">
    <w:name w:val="文档正文 Char"/>
    <w:link w:val="136"/>
    <w:qFormat/>
    <w:uiPriority w:val="0"/>
    <w:rPr>
      <w:rFonts w:ascii="Arial" w:eastAsia="长城仿宋"/>
      <w:sz w:val="28"/>
    </w:rPr>
  </w:style>
  <w:style w:type="paragraph" w:customStyle="1" w:styleId="136">
    <w:name w:val="文档正文"/>
    <w:basedOn w:val="1"/>
    <w:link w:val="135"/>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7">
    <w:name w:val="z-窗体底端 Char1"/>
    <w:qFormat/>
    <w:uiPriority w:val="0"/>
    <w:rPr>
      <w:rFonts w:ascii="Arial" w:hAnsi="Arial" w:cs="Arial"/>
      <w:vanish/>
      <w:kern w:val="2"/>
      <w:sz w:val="16"/>
      <w:szCs w:val="16"/>
    </w:rPr>
  </w:style>
  <w:style w:type="character" w:customStyle="1" w:styleId="138">
    <w:name w:val="正文缩进 Char1"/>
    <w:qFormat/>
    <w:uiPriority w:val="0"/>
    <w:rPr>
      <w:rFonts w:eastAsia="宋体"/>
      <w:kern w:val="2"/>
      <w:sz w:val="21"/>
      <w:szCs w:val="24"/>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font61"/>
    <w:qFormat/>
    <w:uiPriority w:val="0"/>
    <w:rPr>
      <w:rFonts w:hint="default" w:ascii="Times New Roman" w:hAnsi="Times New Roman" w:cs="Times New Roman"/>
      <w:color w:val="000000"/>
      <w:sz w:val="20"/>
      <w:szCs w:val="20"/>
      <w:u w:val="none"/>
    </w:rPr>
  </w:style>
  <w:style w:type="character" w:customStyle="1" w:styleId="141">
    <w:name w:val="标题 Char1"/>
    <w:qFormat/>
    <w:uiPriority w:val="0"/>
    <w:rPr>
      <w:rFonts w:ascii="Cambria" w:hAnsi="Cambria" w:cs="Times New Roman"/>
      <w:b/>
      <w:bCs/>
      <w:kern w:val="2"/>
      <w:sz w:val="32"/>
      <w:szCs w:val="32"/>
    </w:rPr>
  </w:style>
  <w:style w:type="character" w:customStyle="1" w:styleId="142">
    <w:name w:val="正文文本 2 Char"/>
    <w:qFormat/>
    <w:uiPriority w:val="0"/>
    <w:rPr>
      <w:rFonts w:ascii="Times New Roman" w:hAnsi="Times New Roman" w:eastAsia="宋体" w:cs="Times New Roman"/>
      <w:szCs w:val="24"/>
    </w:rPr>
  </w:style>
  <w:style w:type="character" w:customStyle="1" w:styleId="143">
    <w:name w:val="font01"/>
    <w:qFormat/>
    <w:uiPriority w:val="0"/>
    <w:rPr>
      <w:rFonts w:hint="eastAsia" w:ascii="宋体" w:hAnsi="宋体" w:eastAsia="宋体" w:cs="宋体"/>
      <w:color w:val="000000"/>
      <w:sz w:val="24"/>
      <w:szCs w:val="24"/>
      <w:u w:val="none"/>
      <w:vertAlign w:val="superscript"/>
    </w:rPr>
  </w:style>
  <w:style w:type="character" w:customStyle="1" w:styleId="144">
    <w:name w:val="3zw1"/>
    <w:qFormat/>
    <w:uiPriority w:val="0"/>
    <w:rPr>
      <w:color w:val="000000"/>
      <w:sz w:val="21"/>
      <w:szCs w:val="21"/>
    </w:rPr>
  </w:style>
  <w:style w:type="character" w:customStyle="1" w:styleId="145">
    <w:name w:val="段 Char"/>
    <w:link w:val="146"/>
    <w:qFormat/>
    <w:locked/>
    <w:uiPriority w:val="0"/>
    <w:rPr>
      <w:rFonts w:ascii="宋体" w:hAnsi="宋体"/>
      <w:kern w:val="2"/>
      <w:sz w:val="21"/>
      <w:szCs w:val="22"/>
      <w:lang w:val="en-US" w:eastAsia="zh-CN" w:bidi="ar-SA"/>
    </w:rPr>
  </w:style>
  <w:style w:type="paragraph" w:customStyle="1" w:styleId="146">
    <w:name w:val="段"/>
    <w:link w:val="145"/>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7">
    <w:name w:val="正文文本缩进 3 Char"/>
    <w:qFormat/>
    <w:uiPriority w:val="0"/>
    <w:rPr>
      <w:rFonts w:ascii="Times New Roman" w:hAnsi="Times New Roman" w:eastAsia="宋体" w:cs="Times New Roman"/>
      <w:sz w:val="16"/>
      <w:szCs w:val="16"/>
    </w:rPr>
  </w:style>
  <w:style w:type="character" w:customStyle="1" w:styleId="148">
    <w:name w:val="标题 3 Char1"/>
    <w:qFormat/>
    <w:uiPriority w:val="0"/>
    <w:rPr>
      <w:b/>
      <w:bCs/>
      <w:kern w:val="2"/>
      <w:sz w:val="32"/>
      <w:szCs w:val="32"/>
    </w:rPr>
  </w:style>
  <w:style w:type="character" w:customStyle="1" w:styleId="149">
    <w:name w:val="正文文本 Char2"/>
    <w:qFormat/>
    <w:uiPriority w:val="0"/>
    <w:rPr>
      <w:rFonts w:ascii="宋体"/>
      <w:color w:val="000000"/>
      <w:sz w:val="28"/>
      <w:szCs w:val="32"/>
    </w:rPr>
  </w:style>
  <w:style w:type="character" w:customStyle="1" w:styleId="150">
    <w:name w:val="样式 宋体"/>
    <w:qFormat/>
    <w:uiPriority w:val="0"/>
    <w:rPr>
      <w:rFonts w:ascii="宋体" w:hAnsi="宋体" w:eastAsia="宋体"/>
      <w:sz w:val="24"/>
      <w:szCs w:val="24"/>
    </w:rPr>
  </w:style>
  <w:style w:type="character" w:customStyle="1" w:styleId="151">
    <w:name w:val="z-窗体底端 Char"/>
    <w:qFormat/>
    <w:uiPriority w:val="99"/>
    <w:rPr>
      <w:rFonts w:ascii="Arial" w:hAnsi="Arial" w:cs="Arial"/>
      <w:vanish/>
      <w:sz w:val="16"/>
      <w:szCs w:val="16"/>
    </w:rPr>
  </w:style>
  <w:style w:type="character" w:customStyle="1" w:styleId="152">
    <w:name w:val="标题 Char"/>
    <w:qFormat/>
    <w:uiPriority w:val="0"/>
    <w:rPr>
      <w:rFonts w:ascii="Cambria" w:hAnsi="Cambria" w:eastAsia="宋体" w:cs="Times New Roman"/>
      <w:b/>
      <w:bCs/>
      <w:sz w:val="32"/>
      <w:szCs w:val="32"/>
    </w:rPr>
  </w:style>
  <w:style w:type="character" w:customStyle="1" w:styleId="153">
    <w:name w:val="content021"/>
    <w:qFormat/>
    <w:uiPriority w:val="0"/>
    <w:rPr>
      <w:color w:val="444444"/>
      <w:spacing w:val="330"/>
      <w:sz w:val="21"/>
      <w:szCs w:val="21"/>
      <w:u w:val="none"/>
    </w:rPr>
  </w:style>
  <w:style w:type="character" w:customStyle="1" w:styleId="154">
    <w:name w:val="Char Char3"/>
    <w:semiHidden/>
    <w:qFormat/>
    <w:uiPriority w:val="0"/>
    <w:rPr>
      <w:sz w:val="18"/>
      <w:szCs w:val="18"/>
    </w:rPr>
  </w:style>
  <w:style w:type="character" w:customStyle="1" w:styleId="155">
    <w:name w:val="正文文本 Char1"/>
    <w:qFormat/>
    <w:uiPriority w:val="0"/>
    <w:rPr>
      <w:rFonts w:ascii="楷体_GB2312" w:eastAsia="楷体_GB2312"/>
      <w:kern w:val="2"/>
      <w:sz w:val="28"/>
    </w:rPr>
  </w:style>
  <w:style w:type="character" w:customStyle="1" w:styleId="156">
    <w:name w:val="text_12_black1"/>
    <w:qFormat/>
    <w:uiPriority w:val="0"/>
    <w:rPr>
      <w:rFonts w:hint="default" w:ascii="ˎ̥" w:hAnsi="ˎ̥"/>
      <w:color w:val="333333"/>
      <w:sz w:val="18"/>
      <w:szCs w:val="18"/>
      <w:u w:val="none"/>
    </w:rPr>
  </w:style>
  <w:style w:type="character" w:customStyle="1" w:styleId="157">
    <w:name w:val="正文缩进(ALT+Z) Char"/>
    <w:link w:val="158"/>
    <w:qFormat/>
    <w:uiPriority w:val="0"/>
    <w:rPr>
      <w:sz w:val="24"/>
      <w:szCs w:val="24"/>
    </w:rPr>
  </w:style>
  <w:style w:type="paragraph" w:customStyle="1" w:styleId="158">
    <w:name w:val="正文缩进(ALT+Z)"/>
    <w:basedOn w:val="1"/>
    <w:link w:val="157"/>
    <w:qFormat/>
    <w:uiPriority w:val="0"/>
    <w:pPr>
      <w:spacing w:line="360" w:lineRule="auto"/>
      <w:ind w:firstLine="200" w:firstLineChars="200"/>
    </w:pPr>
    <w:rPr>
      <w:kern w:val="0"/>
      <w:sz w:val="24"/>
    </w:rPr>
  </w:style>
  <w:style w:type="character" w:customStyle="1" w:styleId="159">
    <w:name w:val="正文文本 3 Char1"/>
    <w:qFormat/>
    <w:uiPriority w:val="0"/>
    <w:rPr>
      <w:kern w:val="2"/>
      <w:sz w:val="16"/>
      <w:szCs w:val="16"/>
    </w:rPr>
  </w:style>
  <w:style w:type="character" w:customStyle="1" w:styleId="160">
    <w:name w:val="text_12_subject1"/>
    <w:qFormat/>
    <w:uiPriority w:val="0"/>
    <w:rPr>
      <w:rFonts w:hint="default" w:ascii="ˎ̥" w:hAnsi="ˎ̥"/>
      <w:b/>
      <w:bCs/>
      <w:color w:val="006699"/>
      <w:sz w:val="18"/>
      <w:szCs w:val="18"/>
      <w:u w:val="none"/>
    </w:rPr>
  </w:style>
  <w:style w:type="character" w:customStyle="1" w:styleId="161">
    <w:name w:val="z71"/>
    <w:qFormat/>
    <w:uiPriority w:val="0"/>
    <w:rPr>
      <w:spacing w:val="300"/>
      <w:sz w:val="18"/>
      <w:szCs w:val="18"/>
    </w:rPr>
  </w:style>
  <w:style w:type="character" w:customStyle="1" w:styleId="162">
    <w:name w:val="15"/>
    <w:qFormat/>
    <w:uiPriority w:val="0"/>
    <w:rPr>
      <w:rFonts w:hint="default" w:ascii="Times New Roman" w:hAnsi="Times New Roman" w:cs="Times New Roman"/>
      <w:color w:val="0000FF"/>
      <w:u w:val="single"/>
    </w:rPr>
  </w:style>
  <w:style w:type="character" w:customStyle="1" w:styleId="163">
    <w:name w:val="chanpinname"/>
    <w:qFormat/>
    <w:uiPriority w:val="0"/>
  </w:style>
  <w:style w:type="character" w:customStyle="1" w:styleId="164">
    <w:name w:val="结束语 Char"/>
    <w:qFormat/>
    <w:uiPriority w:val="0"/>
    <w:rPr>
      <w:rFonts w:ascii="Times New Roman" w:hAnsi="Times New Roman" w:eastAsia="宋体" w:cs="Times New Roman"/>
      <w:szCs w:val="24"/>
    </w:rPr>
  </w:style>
  <w:style w:type="character" w:customStyle="1" w:styleId="165">
    <w:name w:val="副标题 Char1"/>
    <w:qFormat/>
    <w:uiPriority w:val="0"/>
    <w:rPr>
      <w:rFonts w:ascii="Cambria" w:hAnsi="Cambria" w:cs="Times New Roman"/>
      <w:b/>
      <w:bCs/>
      <w:kern w:val="28"/>
      <w:sz w:val="32"/>
      <w:szCs w:val="32"/>
    </w:rPr>
  </w:style>
  <w:style w:type="character" w:customStyle="1" w:styleId="166">
    <w:name w:val="font31"/>
    <w:qFormat/>
    <w:uiPriority w:val="0"/>
    <w:rPr>
      <w:rFonts w:hint="default" w:ascii="Times New Roman" w:hAnsi="Times New Roman" w:cs="Times New Roman"/>
      <w:color w:val="000000"/>
      <w:sz w:val="20"/>
      <w:szCs w:val="20"/>
      <w:u w:val="none"/>
    </w:rPr>
  </w:style>
  <w:style w:type="character" w:customStyle="1" w:styleId="167">
    <w:name w:val="font81"/>
    <w:qFormat/>
    <w:uiPriority w:val="0"/>
    <w:rPr>
      <w:rFonts w:hint="eastAsia" w:ascii="宋体" w:hAnsi="宋体" w:eastAsia="宋体" w:cs="宋体"/>
      <w:color w:val="000000"/>
      <w:sz w:val="20"/>
      <w:szCs w:val="20"/>
      <w:u w:val="none"/>
    </w:rPr>
  </w:style>
  <w:style w:type="character" w:customStyle="1" w:styleId="168">
    <w:name w:val="short_text"/>
    <w:qFormat/>
    <w:uiPriority w:val="0"/>
  </w:style>
  <w:style w:type="character" w:customStyle="1" w:styleId="169">
    <w:name w:val="称呼 Char"/>
    <w:qFormat/>
    <w:uiPriority w:val="0"/>
    <w:rPr>
      <w:rFonts w:ascii="Times New Roman" w:hAnsi="Times New Roman" w:eastAsia="宋体" w:cs="Times New Roman"/>
      <w:szCs w:val="24"/>
    </w:rPr>
  </w:style>
  <w:style w:type="character" w:customStyle="1" w:styleId="170">
    <w:name w:val="txt"/>
    <w:qFormat/>
    <w:uiPriority w:val="0"/>
  </w:style>
  <w:style w:type="character" w:customStyle="1" w:styleId="171">
    <w:name w:val="font71"/>
    <w:qFormat/>
    <w:uiPriority w:val="0"/>
    <w:rPr>
      <w:rFonts w:hint="eastAsia" w:ascii="宋体" w:hAnsi="宋体" w:eastAsia="宋体" w:cs="宋体"/>
      <w:color w:val="000000"/>
      <w:sz w:val="20"/>
      <w:szCs w:val="20"/>
      <w:u w:val="none"/>
    </w:rPr>
  </w:style>
  <w:style w:type="character" w:customStyle="1" w:styleId="172">
    <w:name w:val="文档结构图 Char"/>
    <w:qFormat/>
    <w:uiPriority w:val="99"/>
    <w:rPr>
      <w:rFonts w:ascii="宋体" w:hAnsi="Times New Roman" w:eastAsia="宋体" w:cs="Times New Roman"/>
      <w:sz w:val="18"/>
      <w:szCs w:val="18"/>
    </w:rPr>
  </w:style>
  <w:style w:type="character" w:customStyle="1" w:styleId="173">
    <w:name w:val="hang1"/>
    <w:qFormat/>
    <w:uiPriority w:val="0"/>
  </w:style>
  <w:style w:type="character" w:customStyle="1" w:styleId="174">
    <w:name w:val="悬挂2 Char"/>
    <w:link w:val="175"/>
    <w:qFormat/>
    <w:uiPriority w:val="0"/>
    <w:rPr>
      <w:rFonts w:ascii="Calibri" w:hAnsi="Calibri"/>
      <w:kern w:val="2"/>
      <w:sz w:val="21"/>
      <w:szCs w:val="21"/>
      <w:lang w:val="en-US" w:eastAsia="zh-CN" w:bidi="ar-SA"/>
    </w:rPr>
  </w:style>
  <w:style w:type="paragraph" w:customStyle="1" w:styleId="175">
    <w:name w:val="悬挂2"/>
    <w:link w:val="174"/>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6">
    <w:name w:val="z21"/>
    <w:qFormat/>
    <w:uiPriority w:val="0"/>
    <w:rPr>
      <w:color w:val="000000"/>
      <w:spacing w:val="255"/>
      <w:sz w:val="18"/>
      <w:szCs w:val="18"/>
    </w:rPr>
  </w:style>
  <w:style w:type="character" w:customStyle="1" w:styleId="177">
    <w:name w:val="Table Heading Char"/>
    <w:link w:val="178"/>
    <w:qFormat/>
    <w:uiPriority w:val="0"/>
    <w:rPr>
      <w:rFonts w:ascii="Arial" w:hAnsi="Arial" w:eastAsia="黑体" w:cs="Book Antiqua"/>
      <w:bCs/>
      <w:snapToGrid w:val="0"/>
      <w:szCs w:val="21"/>
    </w:rPr>
  </w:style>
  <w:style w:type="paragraph" w:customStyle="1" w:styleId="178">
    <w:name w:val="Table Heading"/>
    <w:basedOn w:val="1"/>
    <w:link w:val="177"/>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79">
    <w:name w:val="悬挂1 Char"/>
    <w:link w:val="180"/>
    <w:qFormat/>
    <w:uiPriority w:val="0"/>
    <w:rPr>
      <w:rFonts w:ascii="Calibri" w:hAnsi="Calibri"/>
      <w:kern w:val="2"/>
      <w:sz w:val="21"/>
      <w:szCs w:val="21"/>
      <w:lang w:val="en-US" w:eastAsia="zh-CN" w:bidi="ar-SA"/>
    </w:rPr>
  </w:style>
  <w:style w:type="paragraph" w:customStyle="1" w:styleId="180">
    <w:name w:val="悬挂1"/>
    <w:link w:val="179"/>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1">
    <w:name w:val="myp1111"/>
    <w:qFormat/>
    <w:uiPriority w:val="0"/>
    <w:rPr>
      <w:rFonts w:hint="default" w:ascii="ˎ̥" w:hAnsi="ˎ̥"/>
      <w:color w:val="000000"/>
      <w:sz w:val="15"/>
      <w:szCs w:val="15"/>
      <w:u w:val="none"/>
    </w:rPr>
  </w:style>
  <w:style w:type="character" w:customStyle="1" w:styleId="182">
    <w:name w:val="ca-231"/>
    <w:qFormat/>
    <w:uiPriority w:val="0"/>
    <w:rPr>
      <w:rFonts w:hint="eastAsia" w:ascii="宋体" w:hAnsi="宋体" w:eastAsia="宋体"/>
      <w:sz w:val="24"/>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无间隔 Char"/>
    <w:link w:val="185"/>
    <w:qFormat/>
    <w:locked/>
    <w:uiPriority w:val="0"/>
    <w:rPr>
      <w:rFonts w:ascii="Calibri" w:hAnsi="Calibri"/>
    </w:rPr>
  </w:style>
  <w:style w:type="paragraph" w:customStyle="1" w:styleId="185">
    <w:name w:val="No Spacing"/>
    <w:basedOn w:val="1"/>
    <w:link w:val="184"/>
    <w:qFormat/>
    <w:uiPriority w:val="0"/>
    <w:rPr>
      <w:rFonts w:ascii="Calibri" w:hAnsi="Calibri"/>
      <w:kern w:val="0"/>
      <w:sz w:val="20"/>
      <w:szCs w:val="20"/>
    </w:rPr>
  </w:style>
  <w:style w:type="character" w:customStyle="1" w:styleId="186">
    <w:name w:val="正文2级 Char"/>
    <w:link w:val="187"/>
    <w:qFormat/>
    <w:uiPriority w:val="0"/>
    <w:rPr>
      <w:rFonts w:ascii="Calibri" w:hAnsi="Calibri"/>
      <w:bCs/>
      <w:kern w:val="44"/>
      <w:sz w:val="24"/>
      <w:szCs w:val="44"/>
      <w:lang w:val="en-US" w:eastAsia="zh-CN" w:bidi="ar-SA"/>
    </w:rPr>
  </w:style>
  <w:style w:type="paragraph" w:customStyle="1" w:styleId="187">
    <w:name w:val="正文2级"/>
    <w:link w:val="186"/>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8">
    <w:name w:val="页眉 Char2"/>
    <w:semiHidden/>
    <w:qFormat/>
    <w:uiPriority w:val="99"/>
    <w:rPr>
      <w:rFonts w:ascii="Times New Roman" w:hAnsi="Times New Roman" w:eastAsia="宋体" w:cs="Times New Roman"/>
      <w:sz w:val="18"/>
      <w:szCs w:val="18"/>
    </w:rPr>
  </w:style>
  <w:style w:type="character" w:customStyle="1" w:styleId="189">
    <w:name w:val="prod_content_font_011"/>
    <w:qFormat/>
    <w:uiPriority w:val="0"/>
    <w:rPr>
      <w:rFonts w:hint="default" w:ascii="Verdana" w:hAnsi="Verdana"/>
      <w:color w:val="5E5E5E"/>
      <w:sz w:val="17"/>
      <w:szCs w:val="17"/>
    </w:rPr>
  </w:style>
  <w:style w:type="character" w:customStyle="1" w:styleId="190">
    <w:name w:val="普通 (Web) Char"/>
    <w:link w:val="191"/>
    <w:qFormat/>
    <w:uiPriority w:val="99"/>
    <w:rPr>
      <w:rFonts w:ascii="宋体" w:hAnsi="宋体"/>
      <w:sz w:val="24"/>
      <w:szCs w:val="24"/>
    </w:rPr>
  </w:style>
  <w:style w:type="paragraph" w:customStyle="1" w:styleId="191">
    <w:name w:val="普通 (Web)"/>
    <w:basedOn w:val="1"/>
    <w:link w:val="190"/>
    <w:qFormat/>
    <w:uiPriority w:val="99"/>
    <w:pPr>
      <w:widowControl/>
      <w:spacing w:before="100" w:beforeAutospacing="1" w:after="100" w:afterAutospacing="1"/>
      <w:jc w:val="left"/>
    </w:pPr>
    <w:rPr>
      <w:rFonts w:ascii="宋体" w:hAnsi="宋体"/>
      <w:kern w:val="0"/>
      <w:sz w:val="24"/>
    </w:rPr>
  </w:style>
  <w:style w:type="character" w:customStyle="1" w:styleId="192">
    <w:name w:val="尾注文本 Char1"/>
    <w:qFormat/>
    <w:uiPriority w:val="99"/>
    <w:rPr>
      <w:kern w:val="2"/>
      <w:sz w:val="21"/>
      <w:szCs w:val="24"/>
    </w:rPr>
  </w:style>
  <w:style w:type="character" w:customStyle="1" w:styleId="193">
    <w:name w:val="正文首行缩进 2 Char1"/>
    <w:qFormat/>
    <w:uiPriority w:val="0"/>
  </w:style>
  <w:style w:type="character" w:customStyle="1" w:styleId="194">
    <w:name w:val="表格标题(居中) Char"/>
    <w:link w:val="195"/>
    <w:qFormat/>
    <w:uiPriority w:val="0"/>
    <w:rPr>
      <w:rFonts w:eastAsia="黑体"/>
      <w:sz w:val="24"/>
    </w:rPr>
  </w:style>
  <w:style w:type="paragraph" w:customStyle="1" w:styleId="195">
    <w:name w:val="表格标题(居中)"/>
    <w:basedOn w:val="1"/>
    <w:link w:val="194"/>
    <w:qFormat/>
    <w:uiPriority w:val="0"/>
    <w:pPr>
      <w:snapToGrid w:val="0"/>
      <w:spacing w:line="300" w:lineRule="auto"/>
      <w:jc w:val="center"/>
    </w:pPr>
    <w:rPr>
      <w:rFonts w:eastAsia="黑体"/>
      <w:kern w:val="0"/>
      <w:sz w:val="24"/>
      <w:szCs w:val="20"/>
    </w:rPr>
  </w:style>
  <w:style w:type="character" w:customStyle="1" w:styleId="196">
    <w:name w:val="副标题 Char"/>
    <w:qFormat/>
    <w:uiPriority w:val="0"/>
    <w:rPr>
      <w:rFonts w:ascii="Cambria" w:hAnsi="Cambria" w:eastAsia="宋体" w:cs="Times New Roman"/>
      <w:b/>
      <w:bCs/>
      <w:kern w:val="28"/>
      <w:sz w:val="32"/>
      <w:szCs w:val="32"/>
    </w:rPr>
  </w:style>
  <w:style w:type="character" w:customStyle="1" w:styleId="197">
    <w:name w:val="Figure Text Char"/>
    <w:link w:val="198"/>
    <w:qFormat/>
    <w:uiPriority w:val="0"/>
    <w:rPr>
      <w:rFonts w:ascii="Arial" w:hAnsi="Arial" w:cs="Arial"/>
      <w:kern w:val="2"/>
      <w:sz w:val="18"/>
      <w:szCs w:val="18"/>
      <w:lang w:val="en-US" w:eastAsia="en-US" w:bidi="ar-SA"/>
    </w:rPr>
  </w:style>
  <w:style w:type="paragraph" w:customStyle="1" w:styleId="198">
    <w:name w:val="Figure Text"/>
    <w:link w:val="197"/>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199">
    <w:name w:val="批注框文本 Char"/>
    <w:qFormat/>
    <w:uiPriority w:val="0"/>
    <w:rPr>
      <w:rFonts w:ascii="Times New Roman" w:hAnsi="Times New Roman" w:eastAsia="宋体" w:cs="Times New Roman"/>
      <w:sz w:val="18"/>
      <w:szCs w:val="18"/>
    </w:rPr>
  </w:style>
  <w:style w:type="character" w:customStyle="1" w:styleId="200">
    <w:name w:val="日期 Char"/>
    <w:qFormat/>
    <w:uiPriority w:val="0"/>
    <w:rPr>
      <w:rFonts w:ascii="Times New Roman" w:hAnsi="Times New Roman" w:eastAsia="宋体" w:cs="Times New Roman"/>
      <w:szCs w:val="24"/>
    </w:rPr>
  </w:style>
  <w:style w:type="character" w:customStyle="1" w:styleId="201">
    <w:name w:val="contentheaderrev1"/>
    <w:qFormat/>
    <w:uiPriority w:val="0"/>
    <w:rPr>
      <w:rFonts w:hint="default" w:ascii="Arial" w:hAnsi="Arial" w:cs="Arial"/>
      <w:b/>
      <w:bCs/>
      <w:color w:val="FFFFFF"/>
      <w:sz w:val="18"/>
      <w:szCs w:val="18"/>
      <w:u w:val="none"/>
    </w:rPr>
  </w:style>
  <w:style w:type="character" w:customStyle="1" w:styleId="202">
    <w:name w:val="批注框文本 Char1"/>
    <w:qFormat/>
    <w:locked/>
    <w:uiPriority w:val="0"/>
    <w:rPr>
      <w:sz w:val="18"/>
      <w:szCs w:val="18"/>
    </w:rPr>
  </w:style>
  <w:style w:type="character" w:customStyle="1" w:styleId="203">
    <w:name w:val="font21"/>
    <w:qFormat/>
    <w:uiPriority w:val="0"/>
    <w:rPr>
      <w:rFonts w:hint="eastAsia" w:ascii="宋体" w:hAnsi="宋体" w:eastAsia="宋体" w:cs="宋体"/>
      <w:color w:val="000000"/>
      <w:sz w:val="24"/>
      <w:szCs w:val="24"/>
      <w:u w:val="none"/>
    </w:rPr>
  </w:style>
  <w:style w:type="character" w:customStyle="1" w:styleId="204">
    <w:name w:val="缩进 Char"/>
    <w:link w:val="205"/>
    <w:qFormat/>
    <w:uiPriority w:val="0"/>
    <w:rPr>
      <w:rFonts w:ascii="Calibri" w:hAnsi="Calibri"/>
      <w:color w:val="0000FF"/>
      <w:kern w:val="2"/>
      <w:sz w:val="21"/>
      <w:szCs w:val="18"/>
      <w:lang w:val="en-US" w:eastAsia="zh-CN" w:bidi="ar-SA"/>
    </w:rPr>
  </w:style>
  <w:style w:type="paragraph" w:customStyle="1" w:styleId="205">
    <w:name w:val="缩进"/>
    <w:link w:val="204"/>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6">
    <w:name w:val="表中左小5 Char"/>
    <w:link w:val="207"/>
    <w:qFormat/>
    <w:uiPriority w:val="0"/>
    <w:rPr>
      <w:rFonts w:ascii="Calibri" w:hAnsi="Calibri"/>
      <w:color w:val="0000FF"/>
      <w:kern w:val="2"/>
      <w:sz w:val="18"/>
      <w:szCs w:val="18"/>
      <w:lang w:val="en-US" w:eastAsia="zh-CN" w:bidi="ar-SA"/>
    </w:rPr>
  </w:style>
  <w:style w:type="paragraph" w:customStyle="1" w:styleId="207">
    <w:name w:val="表中左小5"/>
    <w:link w:val="206"/>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8">
    <w:name w:val="HTML 预设格式 Char"/>
    <w:qFormat/>
    <w:uiPriority w:val="99"/>
    <w:rPr>
      <w:rFonts w:ascii="Courier New" w:hAnsi="Courier New" w:eastAsia="宋体" w:cs="Courier New"/>
      <w:sz w:val="20"/>
      <w:szCs w:val="20"/>
    </w:rPr>
  </w:style>
  <w:style w:type="character" w:customStyle="1" w:styleId="209">
    <w:name w:val="hei12"/>
    <w:qFormat/>
    <w:uiPriority w:val="0"/>
  </w:style>
  <w:style w:type="character" w:customStyle="1" w:styleId="210">
    <w:name w:val="首行缩进 Char Char1"/>
    <w:link w:val="211"/>
    <w:qFormat/>
    <w:locked/>
    <w:uiPriority w:val="0"/>
    <w:rPr>
      <w:sz w:val="24"/>
      <w:szCs w:val="24"/>
    </w:rPr>
  </w:style>
  <w:style w:type="paragraph" w:customStyle="1" w:styleId="211">
    <w:name w:val="首行缩进 Char"/>
    <w:basedOn w:val="1"/>
    <w:next w:val="16"/>
    <w:link w:val="210"/>
    <w:qFormat/>
    <w:uiPriority w:val="0"/>
    <w:pPr>
      <w:spacing w:line="300" w:lineRule="auto"/>
      <w:ind w:firstLine="420"/>
    </w:pPr>
    <w:rPr>
      <w:kern w:val="0"/>
      <w:sz w:val="24"/>
    </w:rPr>
  </w:style>
  <w:style w:type="character" w:customStyle="1" w:styleId="212">
    <w:name w:val="正文首行缩进 Char"/>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批注主题 Char"/>
    <w:qFormat/>
    <w:uiPriority w:val="0"/>
    <w:rPr>
      <w:b/>
      <w:bCs/>
    </w:rPr>
  </w:style>
  <w:style w:type="character" w:customStyle="1" w:styleId="215">
    <w:name w:val="abcde1"/>
    <w:qFormat/>
    <w:uiPriority w:val="0"/>
    <w:rPr>
      <w:spacing w:val="400"/>
      <w:sz w:val="26"/>
      <w:szCs w:val="26"/>
    </w:rPr>
  </w:style>
  <w:style w:type="character" w:customStyle="1" w:styleId="21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7">
    <w:name w:val="font51"/>
    <w:qFormat/>
    <w:uiPriority w:val="0"/>
    <w:rPr>
      <w:rFonts w:hint="eastAsia" w:ascii="宋体" w:hAnsi="宋体" w:eastAsia="宋体" w:cs="宋体"/>
      <w:color w:val="000000"/>
      <w:sz w:val="20"/>
      <w:szCs w:val="20"/>
      <w:u w:val="none"/>
    </w:rPr>
  </w:style>
  <w:style w:type="character" w:customStyle="1" w:styleId="218">
    <w:name w:val="样式 目录 2 + 宋体 Char"/>
    <w:link w:val="219"/>
    <w:qFormat/>
    <w:uiPriority w:val="0"/>
    <w:rPr>
      <w:rFonts w:ascii="宋体" w:hAnsi="宋体"/>
      <w:sz w:val="28"/>
    </w:rPr>
  </w:style>
  <w:style w:type="paragraph" w:customStyle="1" w:styleId="219">
    <w:name w:val="样式 目录 2 + 宋体"/>
    <w:basedOn w:val="28"/>
    <w:next w:val="28"/>
    <w:link w:val="218"/>
    <w:qFormat/>
    <w:uiPriority w:val="0"/>
    <w:rPr>
      <w:rFonts w:ascii="宋体" w:hAnsi="宋体"/>
      <w:kern w:val="0"/>
      <w:sz w:val="28"/>
      <w:szCs w:val="20"/>
    </w:rPr>
  </w:style>
  <w:style w:type="character" w:customStyle="1" w:styleId="220">
    <w:name w:val="未处理的提及2"/>
    <w:unhideWhenUsed/>
    <w:qFormat/>
    <w:uiPriority w:val="99"/>
    <w:rPr>
      <w:color w:val="605E5C"/>
      <w:shd w:val="clear" w:color="auto" w:fill="E1DFDD"/>
    </w:rPr>
  </w:style>
  <w:style w:type="character" w:customStyle="1" w:styleId="221">
    <w:name w:val="ca-131"/>
    <w:qFormat/>
    <w:uiPriority w:val="0"/>
    <w:rPr>
      <w:rFonts w:hint="default" w:ascii="Times New Roman" w:hAnsi="Times New Roman" w:cs="Times New Roman"/>
      <w:sz w:val="21"/>
      <w:szCs w:val="21"/>
    </w:rPr>
  </w:style>
  <w:style w:type="character" w:customStyle="1" w:styleId="222">
    <w:name w:val="页脚 Char2"/>
    <w:semiHidden/>
    <w:qFormat/>
    <w:uiPriority w:val="99"/>
    <w:rPr>
      <w:rFonts w:ascii="Times New Roman" w:hAnsi="Times New Roman" w:eastAsia="宋体" w:cs="Times New Roman"/>
      <w:sz w:val="18"/>
      <w:szCs w:val="18"/>
    </w:rPr>
  </w:style>
  <w:style w:type="character" w:customStyle="1" w:styleId="223">
    <w:name w:val="悬挂22 Char"/>
    <w:link w:val="224"/>
    <w:qFormat/>
    <w:uiPriority w:val="0"/>
    <w:rPr>
      <w:rFonts w:ascii="Calibri" w:hAnsi="Calibri"/>
      <w:color w:val="FF0000"/>
      <w:kern w:val="2"/>
      <w:sz w:val="21"/>
      <w:szCs w:val="28"/>
      <w:lang w:val="en-US" w:eastAsia="zh-CN" w:bidi="ar-SA"/>
    </w:rPr>
  </w:style>
  <w:style w:type="paragraph" w:customStyle="1" w:styleId="224">
    <w:name w:val="悬挂22"/>
    <w:link w:val="223"/>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5">
    <w:name w:val="z-窗体底端 Char2"/>
    <w:link w:val="226"/>
    <w:qFormat/>
    <w:uiPriority w:val="99"/>
    <w:rPr>
      <w:rFonts w:ascii="Arial" w:hAnsi="Arial" w:cs="Arial"/>
      <w:vanish/>
      <w:sz w:val="16"/>
      <w:szCs w:val="16"/>
    </w:rPr>
  </w:style>
  <w:style w:type="paragraph" w:customStyle="1" w:styleId="226">
    <w:name w:val="z-窗体底端1"/>
    <w:basedOn w:val="1"/>
    <w:next w:val="1"/>
    <w:link w:val="225"/>
    <w:unhideWhenUsed/>
    <w:qFormat/>
    <w:uiPriority w:val="99"/>
    <w:pPr>
      <w:widowControl/>
      <w:pBdr>
        <w:top w:val="single" w:color="auto" w:sz="6" w:space="1"/>
      </w:pBdr>
      <w:jc w:val="center"/>
    </w:pPr>
    <w:rPr>
      <w:rFonts w:ascii="Arial" w:hAnsi="Arial"/>
      <w:vanish/>
      <w:kern w:val="0"/>
      <w:sz w:val="16"/>
      <w:szCs w:val="16"/>
    </w:rPr>
  </w:style>
  <w:style w:type="character" w:customStyle="1" w:styleId="227">
    <w:name w:val="apple-converted-space"/>
    <w:qFormat/>
    <w:uiPriority w:val="0"/>
  </w:style>
  <w:style w:type="character" w:customStyle="1" w:styleId="228">
    <w:name w:val="段 Char Char"/>
    <w:qFormat/>
    <w:uiPriority w:val="0"/>
    <w:rPr>
      <w:rFonts w:ascii="宋体"/>
      <w:sz w:val="21"/>
      <w:lang w:val="en-US" w:eastAsia="zh-CN" w:bidi="ar-SA"/>
    </w:rPr>
  </w:style>
  <w:style w:type="character" w:customStyle="1" w:styleId="229">
    <w:name w:val="unnamed11"/>
    <w:qFormat/>
    <w:uiPriority w:val="0"/>
    <w:rPr>
      <w:sz w:val="20"/>
      <w:szCs w:val="20"/>
    </w:rPr>
  </w:style>
  <w:style w:type="character" w:customStyle="1" w:styleId="230">
    <w:name w:val="param-name"/>
    <w:qFormat/>
    <w:uiPriority w:val="0"/>
  </w:style>
  <w:style w:type="character" w:customStyle="1" w:styleId="231">
    <w:name w:val="正文文本 3 Char"/>
    <w:qFormat/>
    <w:uiPriority w:val="0"/>
    <w:rPr>
      <w:rFonts w:ascii="Times New Roman" w:hAnsi="Times New Roman" w:eastAsia="宋体" w:cs="Times New Roman"/>
      <w:sz w:val="16"/>
      <w:szCs w:val="16"/>
    </w:rPr>
  </w:style>
  <w:style w:type="character" w:customStyle="1" w:styleId="232">
    <w:name w:val="正文缩进2格 Char"/>
    <w:link w:val="233"/>
    <w:qFormat/>
    <w:uiPriority w:val="0"/>
    <w:rPr>
      <w:rFonts w:ascii="仿宋_GB2312" w:hAnsi="宋体" w:eastAsia="仿宋_GB2312"/>
      <w:sz w:val="31"/>
    </w:rPr>
  </w:style>
  <w:style w:type="paragraph" w:customStyle="1" w:styleId="233">
    <w:name w:val="正文缩进2格"/>
    <w:basedOn w:val="1"/>
    <w:link w:val="232"/>
    <w:qFormat/>
    <w:uiPriority w:val="0"/>
    <w:pPr>
      <w:spacing w:line="600" w:lineRule="exact"/>
      <w:ind w:firstLine="639" w:firstLineChars="206"/>
    </w:pPr>
    <w:rPr>
      <w:rFonts w:ascii="仿宋_GB2312" w:hAnsi="宋体" w:eastAsia="仿宋_GB2312"/>
      <w:kern w:val="0"/>
      <w:sz w:val="31"/>
      <w:szCs w:val="20"/>
    </w:rPr>
  </w:style>
  <w:style w:type="character" w:customStyle="1" w:styleId="234">
    <w:name w:val="line14pj"/>
    <w:qFormat/>
    <w:uiPriority w:val="0"/>
  </w:style>
  <w:style w:type="character" w:customStyle="1" w:styleId="235">
    <w:name w:val="正文新 Char"/>
    <w:link w:val="236"/>
    <w:qFormat/>
    <w:uiPriority w:val="0"/>
    <w:rPr>
      <w:rFonts w:ascii="宋体" w:hAnsi="宋体"/>
      <w:sz w:val="28"/>
    </w:rPr>
  </w:style>
  <w:style w:type="paragraph" w:customStyle="1" w:styleId="236">
    <w:name w:val="正文新"/>
    <w:basedOn w:val="1"/>
    <w:link w:val="235"/>
    <w:qFormat/>
    <w:uiPriority w:val="0"/>
    <w:pPr>
      <w:spacing w:line="360" w:lineRule="auto"/>
      <w:ind w:firstLine="200" w:firstLineChars="200"/>
      <w:jc w:val="left"/>
    </w:pPr>
    <w:rPr>
      <w:rFonts w:ascii="宋体" w:hAnsi="宋体"/>
      <w:kern w:val="0"/>
      <w:sz w:val="28"/>
      <w:szCs w:val="20"/>
    </w:rPr>
  </w:style>
  <w:style w:type="character" w:customStyle="1" w:styleId="237">
    <w:name w:val="HTML 预设格式 Char1"/>
    <w:semiHidden/>
    <w:qFormat/>
    <w:uiPriority w:val="0"/>
    <w:rPr>
      <w:rFonts w:ascii="Courier New" w:hAnsi="Courier New" w:eastAsia="宋体" w:cs="Courier New"/>
      <w:sz w:val="20"/>
      <w:szCs w:val="20"/>
    </w:rPr>
  </w:style>
  <w:style w:type="character" w:customStyle="1" w:styleId="238">
    <w:name w:val="Table Description Char Char"/>
    <w:link w:val="239"/>
    <w:qFormat/>
    <w:uiPriority w:val="0"/>
    <w:rPr>
      <w:rFonts w:ascii="Arial" w:hAnsi="Arial" w:eastAsia="黑体"/>
      <w:kern w:val="2"/>
      <w:sz w:val="18"/>
      <w:szCs w:val="22"/>
      <w:lang w:val="en-US" w:eastAsia="zh-CN" w:bidi="ar-SA"/>
    </w:rPr>
  </w:style>
  <w:style w:type="paragraph" w:customStyle="1" w:styleId="239">
    <w:name w:val="Table Description"/>
    <w:next w:val="1"/>
    <w:link w:val="238"/>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0">
    <w:name w:val="表格非标题文字 Char"/>
    <w:link w:val="241"/>
    <w:qFormat/>
    <w:uiPriority w:val="0"/>
    <w:rPr>
      <w:rFonts w:ascii="Arial" w:hAnsi="Arial"/>
      <w:kern w:val="2"/>
      <w:sz w:val="18"/>
      <w:szCs w:val="21"/>
      <w:lang w:val="en-US" w:eastAsia="zh-CN" w:bidi="ar-SA"/>
    </w:rPr>
  </w:style>
  <w:style w:type="paragraph" w:customStyle="1" w:styleId="241">
    <w:name w:val="表格非标题文字"/>
    <w:link w:val="240"/>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2">
    <w:name w:val="纯文本 Char1"/>
    <w:qFormat/>
    <w:uiPriority w:val="0"/>
    <w:rPr>
      <w:rFonts w:ascii="宋体" w:hAnsi="Courier New" w:cs="Courier New"/>
      <w:kern w:val="2"/>
      <w:sz w:val="21"/>
      <w:szCs w:val="21"/>
    </w:rPr>
  </w:style>
  <w:style w:type="character" w:customStyle="1" w:styleId="243">
    <w:name w:val="正文文本缩进 2 Char"/>
    <w:qFormat/>
    <w:uiPriority w:val="0"/>
    <w:rPr>
      <w:rFonts w:ascii="Times New Roman" w:hAnsi="Times New Roman" w:eastAsia="宋体" w:cs="Times New Roman"/>
      <w:szCs w:val="24"/>
    </w:rPr>
  </w:style>
  <w:style w:type="paragraph" w:customStyle="1" w:styleId="24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5">
    <w:name w:val="默认段落字体 Para Char Char Char Char Char Char Char Char Char Char Char Char Char Char"/>
    <w:basedOn w:val="20"/>
    <w:qFormat/>
    <w:uiPriority w:val="0"/>
    <w:rPr>
      <w:rFonts w:ascii="Tahoma" w:hAnsi="Tahoma"/>
      <w:sz w:val="24"/>
    </w:rPr>
  </w:style>
  <w:style w:type="paragraph" w:customStyle="1" w:styleId="246">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8">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49">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250">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1">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2">
    <w:name w:val="三级无"/>
    <w:basedOn w:val="253"/>
    <w:qFormat/>
    <w:uiPriority w:val="0"/>
    <w:pPr>
      <w:spacing w:beforeLines="0" w:afterLines="0"/>
    </w:pPr>
    <w:rPr>
      <w:rFonts w:ascii="宋体" w:eastAsia="宋体"/>
    </w:rPr>
  </w:style>
  <w:style w:type="paragraph" w:customStyle="1" w:styleId="253">
    <w:name w:val="三级条标题"/>
    <w:basedOn w:val="254"/>
    <w:next w:val="1"/>
    <w:qFormat/>
    <w:uiPriority w:val="0"/>
    <w:pPr>
      <w:outlineLvl w:val="4"/>
    </w:pPr>
  </w:style>
  <w:style w:type="paragraph" w:customStyle="1" w:styleId="254">
    <w:name w:val="二级条标题"/>
    <w:basedOn w:val="255"/>
    <w:next w:val="1"/>
    <w:qFormat/>
    <w:uiPriority w:val="0"/>
    <w:pPr>
      <w:outlineLvl w:val="3"/>
    </w:pPr>
  </w:style>
  <w:style w:type="paragraph" w:customStyle="1" w:styleId="255">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样式3"/>
    <w:qFormat/>
    <w:uiPriority w:val="0"/>
    <w:pPr>
      <w:spacing w:line="300" w:lineRule="auto"/>
    </w:pPr>
    <w:rPr>
      <w:rFonts w:ascii="Times New Roman" w:hAnsi="Times New Roman" w:eastAsia="宋体" w:cs="Times New Roman"/>
      <w:lang w:val="en-US" w:eastAsia="zh-CN" w:bidi="ar-SA"/>
    </w:rPr>
  </w:style>
  <w:style w:type="paragraph" w:customStyle="1" w:styleId="257">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标题2"/>
    <w:basedOn w:val="1"/>
    <w:qFormat/>
    <w:uiPriority w:val="0"/>
    <w:pPr>
      <w:spacing w:beforeLines="50" w:afterLines="50" w:line="300" w:lineRule="exact"/>
    </w:pPr>
    <w:rPr>
      <w:b/>
      <w:bCs/>
    </w:rPr>
  </w:style>
  <w:style w:type="paragraph" w:customStyle="1" w:styleId="26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CM20"/>
    <w:basedOn w:val="264"/>
    <w:next w:val="264"/>
    <w:qFormat/>
    <w:uiPriority w:val="0"/>
    <w:pPr>
      <w:spacing w:after="115"/>
    </w:pPr>
    <w:rPr>
      <w:rFonts w:ascii=".a..DD.." w:eastAsia=".a..DD.."/>
      <w:color w:val="auto"/>
      <w:szCs w:val="24"/>
    </w:rPr>
  </w:style>
  <w:style w:type="paragraph" w:customStyle="1" w:styleId="2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7">
    <w:name w:val="样式 标题 1H1Header1h1标题4L1bocLevel 1 Topic Heading标书1Secti..."/>
    <w:basedOn w:val="2"/>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8">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69">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271">
    <w:name w:val="Body Text 21"/>
    <w:basedOn w:val="1"/>
    <w:qFormat/>
    <w:uiPriority w:val="0"/>
    <w:pPr>
      <w:adjustRightInd w:val="0"/>
      <w:spacing w:line="240" w:lineRule="exact"/>
      <w:textAlignment w:val="baseline"/>
    </w:pPr>
    <w:rPr>
      <w:rFonts w:ascii="宋体"/>
      <w:kern w:val="0"/>
      <w:sz w:val="18"/>
      <w:szCs w:val="20"/>
    </w:rPr>
  </w:style>
  <w:style w:type="paragraph" w:customStyle="1" w:styleId="27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3">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75">
    <w:name w:val="样式 标题 1 + 非加粗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二级大纲"/>
    <w:next w:val="127"/>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书目1"/>
    <w:basedOn w:val="1"/>
    <w:next w:val="1"/>
    <w:unhideWhenUsed/>
    <w:qFormat/>
    <w:uiPriority w:val="37"/>
    <w:pPr>
      <w:spacing w:line="360" w:lineRule="auto"/>
      <w:ind w:firstLine="200" w:firstLineChars="200"/>
      <w:jc w:val="left"/>
    </w:pPr>
    <w:rPr>
      <w:sz w:val="24"/>
    </w:rPr>
  </w:style>
  <w:style w:type="paragraph" w:customStyle="1" w:styleId="282">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4">
    <w:name w:val="手动目录"/>
    <w:basedOn w:val="1"/>
    <w:qFormat/>
    <w:uiPriority w:val="0"/>
    <w:pPr>
      <w:numPr>
        <w:ilvl w:val="0"/>
        <w:numId w:val="4"/>
      </w:numPr>
      <w:spacing w:line="360" w:lineRule="auto"/>
    </w:pPr>
    <w:rPr>
      <w:sz w:val="24"/>
    </w:rPr>
  </w:style>
  <w:style w:type="paragraph" w:customStyle="1" w:styleId="2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项目编号2级"/>
    <w:basedOn w:val="290"/>
    <w:qFormat/>
    <w:uiPriority w:val="0"/>
    <w:pPr>
      <w:tabs>
        <w:tab w:val="left" w:pos="840"/>
      </w:tabs>
    </w:pPr>
  </w:style>
  <w:style w:type="paragraph" w:customStyle="1" w:styleId="290">
    <w:name w:val="项目编号1级"/>
    <w:basedOn w:val="291"/>
    <w:qFormat/>
    <w:uiPriority w:val="0"/>
    <w:pPr>
      <w:tabs>
        <w:tab w:val="left" w:pos="840"/>
      </w:tabs>
      <w:ind w:left="840" w:hanging="420" w:firstLineChars="0"/>
    </w:pPr>
  </w:style>
  <w:style w:type="paragraph" w:customStyle="1" w:styleId="291">
    <w:name w:val="正文缩进2"/>
    <w:basedOn w:val="1"/>
    <w:qFormat/>
    <w:uiPriority w:val="0"/>
    <w:pPr>
      <w:spacing w:line="360" w:lineRule="auto"/>
      <w:ind w:firstLine="200" w:firstLineChars="200"/>
    </w:pPr>
  </w:style>
  <w:style w:type="paragraph" w:customStyle="1" w:styleId="2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5">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0">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样式 标题 2 + 段前: 0.5 行 段后: 0.5 行1"/>
    <w:basedOn w:val="3"/>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2">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3">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6">
    <w:name w:val="样式 标题 1 +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8">
    <w:name w:val="表格内容五号(V1)"/>
    <w:basedOn w:val="1"/>
    <w:qFormat/>
    <w:uiPriority w:val="0"/>
    <w:pPr>
      <w:jc w:val="center"/>
    </w:pPr>
    <w:rPr>
      <w:rFonts w:cs="Arial Unicode MS"/>
      <w:kern w:val="0"/>
      <w:szCs w:val="21"/>
    </w:rPr>
  </w:style>
  <w:style w:type="paragraph" w:customStyle="1" w:styleId="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正文悬挂缩进6"/>
    <w:basedOn w:val="311"/>
    <w:qFormat/>
    <w:uiPriority w:val="0"/>
    <w:pPr>
      <w:tabs>
        <w:tab w:val="left" w:pos="1259"/>
      </w:tabs>
      <w:ind w:left="600" w:leftChars="600"/>
    </w:pPr>
  </w:style>
  <w:style w:type="paragraph" w:customStyle="1" w:styleId="311">
    <w:name w:val="正文悬挂缩进4"/>
    <w:basedOn w:val="1"/>
    <w:qFormat/>
    <w:uiPriority w:val="0"/>
    <w:pPr>
      <w:spacing w:line="360" w:lineRule="auto"/>
      <w:ind w:left="839"/>
    </w:pPr>
  </w:style>
  <w:style w:type="paragraph" w:customStyle="1" w:styleId="312">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4">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5">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316">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7">
    <w:name w:val="样式 标题 2 + 段前: 0.5 行 段后: 0.5 行"/>
    <w:basedOn w:val="3"/>
    <w:qFormat/>
    <w:uiPriority w:val="0"/>
    <w:pPr>
      <w:tabs>
        <w:tab w:val="left" w:pos="1320"/>
      </w:tabs>
      <w:spacing w:beforeLines="50" w:afterLines="50" w:line="360" w:lineRule="auto"/>
      <w:jc w:val="left"/>
    </w:pPr>
    <w:rPr>
      <w:rFonts w:cs="宋体"/>
      <w:b w:val="0"/>
      <w:kern w:val="0"/>
      <w:szCs w:val="20"/>
    </w:rPr>
  </w:style>
  <w:style w:type="paragraph" w:customStyle="1" w:styleId="318">
    <w:name w:val="Char Char Char"/>
    <w:basedOn w:val="1"/>
    <w:qFormat/>
    <w:uiPriority w:val="0"/>
    <w:rPr>
      <w:rFonts w:ascii="Tahoma" w:hAnsi="Tahoma" w:cs="Angsana New"/>
      <w:sz w:val="24"/>
      <w:szCs w:val="20"/>
    </w:rPr>
  </w:style>
  <w:style w:type="paragraph" w:customStyle="1" w:styleId="31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0">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1">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3">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6">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8">
    <w:name w:val="五级大纲"/>
    <w:next w:val="127"/>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29">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3">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4">
    <w:name w:val="默认段落字体 Para Char Char Char Char Char Char Char"/>
    <w:basedOn w:val="1"/>
    <w:qFormat/>
    <w:uiPriority w:val="0"/>
    <w:pPr>
      <w:jc w:val="left"/>
    </w:pPr>
    <w:rPr>
      <w:rFonts w:ascii="Tahoma" w:hAnsi="Tahoma"/>
      <w:sz w:val="24"/>
      <w:szCs w:val="20"/>
    </w:rPr>
  </w:style>
  <w:style w:type="paragraph" w:customStyle="1" w:styleId="335">
    <w:name w:val="GP正文(首行缩进)"/>
    <w:basedOn w:val="1"/>
    <w:qFormat/>
    <w:uiPriority w:val="0"/>
    <w:pPr>
      <w:spacing w:line="360" w:lineRule="auto"/>
      <w:ind w:firstLine="200" w:firstLineChars="200"/>
      <w:jc w:val="left"/>
    </w:pPr>
    <w:rPr>
      <w:sz w:val="24"/>
      <w:szCs w:val="21"/>
    </w:rPr>
  </w:style>
  <w:style w:type="paragraph" w:customStyle="1" w:styleId="33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表格(五号)"/>
    <w:basedOn w:val="1"/>
    <w:qFormat/>
    <w:uiPriority w:val="0"/>
    <w:pPr>
      <w:adjustRightInd w:val="0"/>
      <w:snapToGrid w:val="0"/>
      <w:spacing w:before="60" w:after="60"/>
      <w:ind w:left="11"/>
      <w:jc w:val="center"/>
    </w:pPr>
    <w:rPr>
      <w:kern w:val="0"/>
      <w:szCs w:val="20"/>
    </w:rPr>
  </w:style>
  <w:style w:type="paragraph" w:customStyle="1" w:styleId="338">
    <w:name w:val="表格2"/>
    <w:basedOn w:val="1"/>
    <w:qFormat/>
    <w:uiPriority w:val="0"/>
    <w:pPr>
      <w:snapToGrid w:val="0"/>
      <w:jc w:val="center"/>
    </w:pPr>
    <w:rPr>
      <w:rFonts w:ascii="Arial" w:hAnsi="Arial" w:cs="Arial"/>
      <w:snapToGrid w:val="0"/>
      <w:kern w:val="0"/>
      <w:sz w:val="24"/>
    </w:rPr>
  </w:style>
  <w:style w:type="paragraph" w:customStyle="1" w:styleId="33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0">
    <w:name w:val="10"/>
    <w:basedOn w:val="1"/>
    <w:qFormat/>
    <w:uiPriority w:val="0"/>
    <w:pPr>
      <w:spacing w:line="360" w:lineRule="auto"/>
      <w:ind w:firstLine="454"/>
    </w:pPr>
    <w:rPr>
      <w:rFonts w:ascii="Tahoma" w:hAnsi="Tahoma"/>
      <w:sz w:val="24"/>
      <w:szCs w:val="20"/>
    </w:rPr>
  </w:style>
  <w:style w:type="paragraph" w:customStyle="1" w:styleId="341">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2">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3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6">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4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0">
    <w:name w:val="WPSOffice手动目录 1"/>
    <w:qFormat/>
    <w:uiPriority w:val="0"/>
    <w:rPr>
      <w:rFonts w:ascii="Times New Roman" w:hAnsi="Times New Roman" w:eastAsia="宋体" w:cs="Times New Roman"/>
      <w:lang w:val="en-US" w:eastAsia="zh-CN" w:bidi="ar-SA"/>
    </w:rPr>
  </w:style>
  <w:style w:type="paragraph" w:customStyle="1" w:styleId="351">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5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4">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7">
    <w:name w:val="def正文"/>
    <w:basedOn w:val="28"/>
    <w:qFormat/>
    <w:uiPriority w:val="0"/>
    <w:pPr>
      <w:widowControl/>
      <w:spacing w:after="0" w:line="360" w:lineRule="auto"/>
      <w:ind w:firstLine="482"/>
    </w:pPr>
    <w:rPr>
      <w:rFonts w:hAnsi="Calibri" w:eastAsia="宋体" w:cs="Times New Roman"/>
      <w:b/>
      <w:color w:val="000000"/>
      <w:sz w:val="24"/>
    </w:rPr>
  </w:style>
  <w:style w:type="paragraph" w:customStyle="1" w:styleId="358">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59">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表格标题1"/>
    <w:basedOn w:val="36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364">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6">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36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1">
    <w:name w:val="标正文"/>
    <w:basedOn w:val="1"/>
    <w:qFormat/>
    <w:uiPriority w:val="0"/>
    <w:pPr>
      <w:ind w:firstLine="480" w:firstLineChars="200"/>
    </w:pPr>
  </w:style>
  <w:style w:type="paragraph" w:customStyle="1" w:styleId="372">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5">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paragraph" w:customStyle="1" w:styleId="376">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不缩进"/>
    <w:basedOn w:val="1"/>
    <w:qFormat/>
    <w:uiPriority w:val="0"/>
    <w:pPr>
      <w:spacing w:line="360" w:lineRule="auto"/>
      <w:jc w:val="center"/>
    </w:pPr>
    <w:rPr>
      <w:b/>
      <w:bCs/>
      <w:sz w:val="28"/>
      <w:szCs w:val="21"/>
    </w:rPr>
  </w:style>
  <w:style w:type="paragraph" w:customStyle="1" w:styleId="3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
    <w:name w:val="小标"/>
    <w:basedOn w:val="1"/>
    <w:qFormat/>
    <w:uiPriority w:val="0"/>
    <w:rPr>
      <w:rFonts w:hint="eastAsia" w:ascii="黑体" w:eastAsia="黑体"/>
      <w:spacing w:val="20"/>
      <w:szCs w:val="20"/>
    </w:rPr>
  </w:style>
  <w:style w:type="paragraph" w:customStyle="1" w:styleId="38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2">
    <w:name w:val="标书正文"/>
    <w:basedOn w:val="1"/>
    <w:qFormat/>
    <w:uiPriority w:val="0"/>
    <w:pPr>
      <w:spacing w:line="360" w:lineRule="auto"/>
      <w:ind w:firstLine="497" w:firstLineChars="207"/>
    </w:pPr>
    <w:rPr>
      <w:sz w:val="24"/>
      <w:szCs w:val="20"/>
    </w:rPr>
  </w:style>
  <w:style w:type="paragraph" w:customStyle="1" w:styleId="38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5">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6">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9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1">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92">
    <w:name w:val="CM2"/>
    <w:basedOn w:val="264"/>
    <w:next w:val="264"/>
    <w:qFormat/>
    <w:uiPriority w:val="0"/>
    <w:pPr>
      <w:spacing w:line="623" w:lineRule="atLeast"/>
    </w:pPr>
    <w:rPr>
      <w:rFonts w:ascii=".a..DD.." w:eastAsia=".a..DD.."/>
      <w:color w:val="auto"/>
      <w:szCs w:val="24"/>
    </w:rPr>
  </w:style>
  <w:style w:type="paragraph" w:customStyle="1" w:styleId="393">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样式 标题 2 + 段前: 0.5 行 段后: 0.5 行2"/>
    <w:basedOn w:val="3"/>
    <w:qFormat/>
    <w:uiPriority w:val="0"/>
    <w:pPr>
      <w:tabs>
        <w:tab w:val="left" w:pos="1320"/>
      </w:tabs>
      <w:spacing w:beforeLines="50" w:afterLines="50" w:line="360" w:lineRule="auto"/>
      <w:jc w:val="left"/>
    </w:pPr>
    <w:rPr>
      <w:rFonts w:cs="宋体"/>
      <w:kern w:val="0"/>
      <w:sz w:val="36"/>
      <w:szCs w:val="20"/>
    </w:rPr>
  </w:style>
  <w:style w:type="paragraph" w:customStyle="1" w:styleId="397">
    <w:name w:val="一级"/>
    <w:basedOn w:val="127"/>
    <w:next w:val="127"/>
    <w:qFormat/>
    <w:uiPriority w:val="0"/>
    <w:pPr>
      <w:tabs>
        <w:tab w:val="left" w:pos="360"/>
        <w:tab w:val="left" w:pos="780"/>
      </w:tabs>
      <w:ind w:left="780" w:hanging="360" w:firstLineChars="0"/>
      <w:jc w:val="center"/>
      <w:outlineLvl w:val="0"/>
    </w:pPr>
    <w:rPr>
      <w:b/>
      <w:sz w:val="44"/>
    </w:rPr>
  </w:style>
  <w:style w:type="paragraph" w:customStyle="1" w:styleId="39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1">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3">
    <w:name w:val="Sub Item List"/>
    <w:basedOn w:val="1"/>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7">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0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0">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3"/>
    <w:basedOn w:val="413"/>
    <w:qFormat/>
    <w:uiPriority w:val="0"/>
    <w:pPr>
      <w:numPr>
        <w:ilvl w:val="0"/>
        <w:numId w:val="0"/>
      </w:numPr>
      <w:tabs>
        <w:tab w:val="left" w:pos="902"/>
      </w:tabs>
      <w:ind w:left="902" w:hanging="420"/>
    </w:pPr>
  </w:style>
  <w:style w:type="paragraph" w:customStyle="1" w:styleId="413">
    <w:name w:val="表2"/>
    <w:basedOn w:val="414"/>
    <w:qFormat/>
    <w:uiPriority w:val="0"/>
    <w:pPr>
      <w:numPr>
        <w:ilvl w:val="0"/>
        <w:numId w:val="8"/>
      </w:numPr>
    </w:pPr>
  </w:style>
  <w:style w:type="paragraph" w:customStyle="1" w:styleId="414">
    <w:name w:val="表1"/>
    <w:basedOn w:val="415"/>
    <w:qFormat/>
    <w:uiPriority w:val="0"/>
  </w:style>
  <w:style w:type="paragraph" w:customStyle="1" w:styleId="415">
    <w:name w:val="表格样式"/>
    <w:basedOn w:val="1"/>
    <w:qFormat/>
    <w:uiPriority w:val="0"/>
    <w:pPr>
      <w:spacing w:before="156" w:after="156"/>
      <w:jc w:val="center"/>
    </w:pPr>
    <w:rPr>
      <w:rFonts w:ascii="宋体" w:hAnsi="宋体" w:cs="宋体"/>
      <w:b/>
      <w:bCs/>
      <w:kern w:val="0"/>
      <w:szCs w:val="20"/>
    </w:rPr>
  </w:style>
  <w:style w:type="paragraph" w:customStyle="1" w:styleId="416">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7">
    <w:name w:val="Char Char Char Char1"/>
    <w:basedOn w:val="1"/>
    <w:qFormat/>
    <w:uiPriority w:val="0"/>
    <w:rPr>
      <w:rFonts w:ascii="仿宋_GB2312" w:eastAsia="仿宋_GB2312"/>
      <w:b/>
      <w:sz w:val="32"/>
      <w:szCs w:val="32"/>
    </w:rPr>
  </w:style>
  <w:style w:type="paragraph" w:customStyle="1" w:styleId="418">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1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0">
    <w:name w:val="样式 样式 标题 + 段前: 0.5 行 段后: 0.5 行 + 段前: 0.5 行 段后: 0.5 行"/>
    <w:basedOn w:val="421"/>
    <w:qFormat/>
    <w:uiPriority w:val="0"/>
    <w:pPr>
      <w:spacing w:beforeLines="50" w:afterLines="50" w:line="360" w:lineRule="auto"/>
    </w:pPr>
    <w:rPr>
      <w:rFonts w:eastAsia="黑体" w:cs="宋体"/>
      <w:sz w:val="72"/>
      <w:szCs w:val="20"/>
      <w:u w:val="double"/>
    </w:rPr>
  </w:style>
  <w:style w:type="paragraph" w:customStyle="1" w:styleId="421">
    <w:name w:val="样式 标题 + 段前: 0.5 行 段后: 0.5 行"/>
    <w:basedOn w:val="57"/>
    <w:qFormat/>
    <w:uiPriority w:val="0"/>
  </w:style>
  <w:style w:type="paragraph" w:customStyle="1" w:styleId="422">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423">
    <w:name w:val="说明正文"/>
    <w:basedOn w:val="1"/>
    <w:qFormat/>
    <w:uiPriority w:val="0"/>
    <w:pPr>
      <w:spacing w:line="360" w:lineRule="auto"/>
      <w:ind w:firstLine="480" w:firstLineChars="200"/>
    </w:pPr>
    <w:rPr>
      <w:rFonts w:ascii="宋体" w:hAnsi="宋体"/>
      <w:sz w:val="24"/>
    </w:rPr>
  </w:style>
  <w:style w:type="paragraph" w:customStyle="1" w:styleId="42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5">
    <w:name w:val="Char Char Char Char Char Char Char"/>
    <w:basedOn w:val="1"/>
    <w:qFormat/>
    <w:uiPriority w:val="0"/>
  </w:style>
  <w:style w:type="paragraph" w:customStyle="1" w:styleId="4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8">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9">
    <w:name w:val="默认段落字体 Para Char"/>
    <w:basedOn w:val="1"/>
    <w:qFormat/>
    <w:uiPriority w:val="0"/>
  </w:style>
  <w:style w:type="paragraph" w:customStyle="1" w:styleId="43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432">
    <w:name w:val="正文居中小5"/>
    <w:basedOn w:val="1"/>
    <w:qFormat/>
    <w:uiPriority w:val="0"/>
    <w:pPr>
      <w:spacing w:line="360" w:lineRule="auto"/>
      <w:jc w:val="center"/>
    </w:pPr>
    <w:rPr>
      <w:rFonts w:ascii="Arial" w:hAnsi="Arial"/>
      <w:sz w:val="18"/>
    </w:rPr>
  </w:style>
  <w:style w:type="paragraph" w:customStyle="1" w:styleId="43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434">
    <w:name w:val="小四 段落 宋体 Char Char"/>
    <w:basedOn w:val="374"/>
    <w:qFormat/>
    <w:uiPriority w:val="0"/>
  </w:style>
  <w:style w:type="paragraph" w:customStyle="1" w:styleId="43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7">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TOC 标题2"/>
    <w:basedOn w:val="2"/>
    <w:next w:val="1"/>
    <w:qFormat/>
    <w:uiPriority w:val="39"/>
    <w:pPr>
      <w:adjustRightInd/>
      <w:spacing w:before="340" w:after="330" w:line="578" w:lineRule="auto"/>
      <w:jc w:val="both"/>
      <w:textAlignment w:val="auto"/>
      <w:outlineLvl w:val="9"/>
    </w:pPr>
    <w:rPr>
      <w:bCs/>
      <w:sz w:val="44"/>
      <w:szCs w:val="44"/>
    </w:rPr>
  </w:style>
  <w:style w:type="paragraph" w:customStyle="1" w:styleId="440">
    <w:name w:val="样式 小四 首行缩进:  2 字符"/>
    <w:basedOn w:val="1"/>
    <w:qFormat/>
    <w:uiPriority w:val="0"/>
    <w:pPr>
      <w:spacing w:line="300" w:lineRule="auto"/>
      <w:ind w:firstLine="480" w:firstLineChars="200"/>
    </w:pPr>
    <w:rPr>
      <w:sz w:val="24"/>
      <w:szCs w:val="20"/>
    </w:rPr>
  </w:style>
  <w:style w:type="paragraph" w:customStyle="1" w:styleId="44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2">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3">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46">
    <w:name w:val="标题3"/>
    <w:basedOn w:val="1"/>
    <w:qFormat/>
    <w:uiPriority w:val="0"/>
    <w:pPr>
      <w:spacing w:beforeLines="50" w:afterLines="50" w:line="300" w:lineRule="exact"/>
    </w:pPr>
    <w:rPr>
      <w:b/>
      <w:bCs/>
    </w:rPr>
  </w:style>
  <w:style w:type="paragraph" w:customStyle="1" w:styleId="4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49">
    <w:name w:val="Absatz2AL"/>
    <w:basedOn w:val="28"/>
    <w:next w:val="1"/>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2">
    <w:name w:val="样式5"/>
    <w:basedOn w:val="21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二级无"/>
    <w:basedOn w:val="254"/>
    <w:qFormat/>
    <w:uiPriority w:val="0"/>
    <w:pPr>
      <w:spacing w:beforeLines="0" w:afterLines="0"/>
    </w:pPr>
    <w:rPr>
      <w:rFonts w:ascii="宋体" w:eastAsia="宋体"/>
    </w:rPr>
  </w:style>
  <w:style w:type="paragraph" w:customStyle="1" w:styleId="4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6">
    <w:name w:val="Figure Description"/>
    <w:basedOn w:val="1"/>
    <w:next w:val="120"/>
    <w:qFormat/>
    <w:uiPriority w:val="0"/>
    <w:pPr>
      <w:keepNext/>
      <w:keepLines/>
      <w:spacing w:afterLines="100" w:line="360" w:lineRule="auto"/>
      <w:jc w:val="center"/>
    </w:pPr>
    <w:rPr>
      <w:rFonts w:ascii="Tahoma" w:hAnsi="Tahoma"/>
      <w:sz w:val="24"/>
    </w:rPr>
  </w:style>
  <w:style w:type="paragraph" w:customStyle="1" w:styleId="4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8">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0">
    <w:name w:val="1"/>
    <w:basedOn w:val="42"/>
    <w:qFormat/>
    <w:uiPriority w:val="0"/>
    <w:pPr>
      <w:pBdr>
        <w:bottom w:val="none" w:color="auto" w:sz="0" w:space="0"/>
      </w:pBdr>
    </w:pPr>
    <w:rPr>
      <w:rFonts w:ascii="Calibri" w:hAnsi="Calibri" w:eastAsia="华文新魏"/>
      <w:kern w:val="0"/>
      <w:sz w:val="21"/>
      <w:szCs w:val="20"/>
    </w:rPr>
  </w:style>
  <w:style w:type="paragraph" w:customStyle="1" w:styleId="461">
    <w:name w:val="TOC 标题3"/>
    <w:basedOn w:val="2"/>
    <w:next w:val="1"/>
    <w:unhideWhenUsed/>
    <w:qFormat/>
    <w:uiPriority w:val="39"/>
    <w:pPr>
      <w:outlineLvl w:val="9"/>
    </w:pPr>
  </w:style>
  <w:style w:type="paragraph" w:customStyle="1" w:styleId="462">
    <w:name w:val="TOC 标题1"/>
    <w:basedOn w:val="2"/>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46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6">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7">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8">
    <w:name w:val="Figure"/>
    <w:basedOn w:val="1"/>
    <w:next w:val="456"/>
    <w:qFormat/>
    <w:uiPriority w:val="0"/>
    <w:pPr>
      <w:keepNext/>
      <w:ind w:left="1701"/>
    </w:pPr>
  </w:style>
  <w:style w:type="paragraph" w:customStyle="1" w:styleId="46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7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Char Char Char Char Char Char Char1"/>
    <w:basedOn w:val="1"/>
    <w:qFormat/>
    <w:uiPriority w:val="0"/>
  </w:style>
  <w:style w:type="paragraph" w:customStyle="1" w:styleId="480">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1">
    <w:name w:val="正文居中"/>
    <w:basedOn w:val="1"/>
    <w:next w:val="38"/>
    <w:qFormat/>
    <w:uiPriority w:val="0"/>
    <w:pPr>
      <w:adjustRightInd w:val="0"/>
      <w:snapToGrid w:val="0"/>
      <w:ind w:firstLine="480" w:firstLineChars="200"/>
    </w:pPr>
    <w:rPr>
      <w:rFonts w:ascii="宋体" w:hAnsi="宋体"/>
      <w:sz w:val="24"/>
    </w:rPr>
  </w:style>
  <w:style w:type="paragraph" w:customStyle="1" w:styleId="48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5">
    <w:name w:val="Char2"/>
    <w:basedOn w:val="1"/>
    <w:qFormat/>
    <w:uiPriority w:val="0"/>
    <w:pPr>
      <w:jc w:val="center"/>
    </w:pPr>
    <w:rPr>
      <w:rFonts w:ascii="宋体" w:hAnsi="宋体"/>
      <w:b/>
      <w:szCs w:val="21"/>
    </w:rPr>
  </w:style>
  <w:style w:type="paragraph" w:customStyle="1" w:styleId="486">
    <w:name w:val="Item Step in Table"/>
    <w:basedOn w:val="1"/>
    <w:qFormat/>
    <w:uiPriority w:val="0"/>
    <w:pPr>
      <w:tabs>
        <w:tab w:val="left" w:pos="420"/>
      </w:tabs>
      <w:ind w:left="420" w:hanging="420"/>
      <w:jc w:val="left"/>
    </w:pPr>
    <w:rPr>
      <w:rFonts w:ascii="Tahoma" w:hAnsi="Tahoma"/>
      <w:sz w:val="28"/>
      <w:szCs w:val="21"/>
    </w:rPr>
  </w:style>
  <w:style w:type="paragraph" w:customStyle="1" w:styleId="487">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标题 1l1I1heading 1h11st levell1+toc 1Chapter title1He..."/>
    <w:basedOn w:val="2"/>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8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3">
    <w:name w:val="正"/>
    <w:basedOn w:val="1"/>
    <w:qFormat/>
    <w:uiPriority w:val="0"/>
    <w:pPr>
      <w:ind w:firstLine="525"/>
    </w:pPr>
    <w:rPr>
      <w:spacing w:val="20"/>
      <w:szCs w:val="20"/>
    </w:rPr>
  </w:style>
  <w:style w:type="paragraph" w:customStyle="1" w:styleId="494">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7">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8">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4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1">
    <w:name w:val="Table Paragraph"/>
    <w:basedOn w:val="1"/>
    <w:qFormat/>
    <w:uiPriority w:val="1"/>
    <w:rPr>
      <w:rFonts w:ascii="宋体" w:hAnsi="宋体" w:cs="宋体"/>
      <w:lang w:val="zh-CN" w:bidi="zh-CN"/>
    </w:rPr>
  </w:style>
  <w:style w:type="paragraph" w:customStyle="1" w:styleId="502">
    <w:name w:val="正常"/>
    <w:qFormat/>
    <w:uiPriority w:val="0"/>
    <w:rPr>
      <w:rFonts w:ascii="Verdana" w:hAnsi="Verdana" w:eastAsia="宋体" w:cs="Times New Roman"/>
      <w:lang w:val="en-GB" w:eastAsia="en-US" w:bidi="ar-SA"/>
    </w:rPr>
  </w:style>
  <w:style w:type="paragraph" w:customStyle="1" w:styleId="50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4">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5">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3">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4">
    <w:name w:val="样式 样式 标题 5 + 段前: 0.5 行 段后: 0.5 行 + 段前: 0.5 行 段后: 0.5 行"/>
    <w:basedOn w:val="248"/>
    <w:qFormat/>
    <w:uiPriority w:val="0"/>
    <w:rPr>
      <w:bCs w:val="0"/>
    </w:rPr>
  </w:style>
  <w:style w:type="paragraph" w:customStyle="1" w:styleId="515">
    <w:name w:val="项目编号一级"/>
    <w:basedOn w:val="1"/>
    <w:qFormat/>
    <w:uiPriority w:val="0"/>
    <w:pPr>
      <w:tabs>
        <w:tab w:val="left" w:pos="900"/>
      </w:tabs>
      <w:spacing w:line="360" w:lineRule="auto"/>
      <w:ind w:left="900" w:hanging="420"/>
    </w:pPr>
  </w:style>
  <w:style w:type="paragraph" w:customStyle="1" w:styleId="516">
    <w:name w:val="四级无"/>
    <w:basedOn w:val="517"/>
    <w:qFormat/>
    <w:uiPriority w:val="0"/>
    <w:pPr>
      <w:tabs>
        <w:tab w:val="left" w:pos="360"/>
      </w:tabs>
      <w:spacing w:beforeLines="0" w:afterLines="0"/>
    </w:pPr>
    <w:rPr>
      <w:rFonts w:ascii="宋体" w:eastAsia="宋体"/>
    </w:rPr>
  </w:style>
  <w:style w:type="paragraph" w:customStyle="1" w:styleId="517">
    <w:name w:val="四级条标题"/>
    <w:basedOn w:val="253"/>
    <w:next w:val="1"/>
    <w:qFormat/>
    <w:uiPriority w:val="0"/>
    <w:pPr>
      <w:outlineLvl w:val="5"/>
    </w:pPr>
  </w:style>
  <w:style w:type="paragraph" w:customStyle="1" w:styleId="518">
    <w:name w:val="样式 小四 行距: 1.5 倍行距"/>
    <w:basedOn w:val="1"/>
    <w:qFormat/>
    <w:uiPriority w:val="0"/>
    <w:pPr>
      <w:tabs>
        <w:tab w:val="left" w:pos="740"/>
      </w:tabs>
      <w:ind w:left="1081" w:hanging="1081"/>
    </w:pPr>
  </w:style>
  <w:style w:type="paragraph" w:customStyle="1" w:styleId="519">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1">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3">
    <w:name w:val="列出段落2"/>
    <w:basedOn w:val="1"/>
    <w:qFormat/>
    <w:uiPriority w:val="0"/>
    <w:pPr>
      <w:ind w:firstLine="420" w:firstLineChars="200"/>
    </w:pPr>
  </w:style>
  <w:style w:type="paragraph" w:customStyle="1" w:styleId="52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5">
    <w:name w:val="列出段落1"/>
    <w:basedOn w:val="1"/>
    <w:qFormat/>
    <w:uiPriority w:val="34"/>
    <w:pPr>
      <w:ind w:firstLine="420" w:firstLineChars="200"/>
    </w:pPr>
    <w:rPr>
      <w:szCs w:val="20"/>
    </w:rPr>
  </w:style>
  <w:style w:type="paragraph" w:customStyle="1" w:styleId="52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529">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2">
    <w:name w:val="正文1"/>
    <w:basedOn w:val="1"/>
    <w:qFormat/>
    <w:uiPriority w:val="0"/>
    <w:pPr>
      <w:spacing w:line="360" w:lineRule="auto"/>
      <w:ind w:firstLine="200" w:firstLineChars="200"/>
    </w:pPr>
  </w:style>
  <w:style w:type="paragraph" w:customStyle="1" w:styleId="53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11"/>
    <w:basedOn w:val="1"/>
    <w:qFormat/>
    <w:uiPriority w:val="0"/>
  </w:style>
  <w:style w:type="paragraph" w:customStyle="1" w:styleId="53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WPS Plain"/>
    <w:qFormat/>
    <w:uiPriority w:val="0"/>
    <w:rPr>
      <w:rFonts w:ascii="Times New Roman" w:hAnsi="Times New Roman" w:eastAsia="宋体" w:cs="Times New Roman"/>
      <w:lang w:val="en-US" w:eastAsia="zh-CN" w:bidi="ar-SA"/>
    </w:rPr>
  </w:style>
  <w:style w:type="paragraph" w:customStyle="1" w:styleId="537">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8">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39">
    <w:name w:val="表头"/>
    <w:basedOn w:val="1"/>
    <w:qFormat/>
    <w:uiPriority w:val="0"/>
    <w:pPr>
      <w:autoSpaceDE w:val="0"/>
      <w:autoSpaceDN w:val="0"/>
      <w:adjustRightInd w:val="0"/>
      <w:jc w:val="center"/>
    </w:pPr>
    <w:rPr>
      <w:rFonts w:ascii="Arial" w:hAnsi="Arial"/>
      <w:kern w:val="0"/>
      <w:sz w:val="18"/>
    </w:rPr>
  </w:style>
  <w:style w:type="paragraph" w:customStyle="1" w:styleId="54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2">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单倍行距)"/>
    <w:basedOn w:val="1"/>
    <w:qFormat/>
    <w:uiPriority w:val="0"/>
    <w:pPr>
      <w:adjustRightInd w:val="0"/>
      <w:snapToGrid w:val="0"/>
      <w:jc w:val="center"/>
    </w:pPr>
  </w:style>
  <w:style w:type="paragraph" w:customStyle="1" w:styleId="54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4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7">
    <w:name w:val="表格正文2"/>
    <w:basedOn w:val="1"/>
    <w:qFormat/>
    <w:uiPriority w:val="0"/>
    <w:pPr>
      <w:adjustRightInd w:val="0"/>
      <w:snapToGrid w:val="0"/>
      <w:spacing w:line="400" w:lineRule="atLeast"/>
      <w:jc w:val="left"/>
    </w:pPr>
    <w:rPr>
      <w:sz w:val="24"/>
      <w:szCs w:val="20"/>
    </w:rPr>
  </w:style>
  <w:style w:type="paragraph" w:customStyle="1" w:styleId="5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9">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书目11"/>
    <w:basedOn w:val="1"/>
    <w:next w:val="1"/>
    <w:unhideWhenUsed/>
    <w:qFormat/>
    <w:uiPriority w:val="37"/>
    <w:pPr>
      <w:spacing w:line="360" w:lineRule="auto"/>
      <w:ind w:firstLine="200" w:firstLineChars="200"/>
      <w:jc w:val="left"/>
    </w:pPr>
    <w:rPr>
      <w:sz w:val="24"/>
    </w:rPr>
  </w:style>
  <w:style w:type="paragraph" w:customStyle="1" w:styleId="55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4">
    <w:name w:val="样式 样式 标题 2 + 段前: 0.5 行 段后: 0.5 行 + 段前: 0.5 行 段后: 0.5 行"/>
    <w:basedOn w:val="317"/>
    <w:qFormat/>
    <w:uiPriority w:val="0"/>
    <w:pPr>
      <w:spacing w:beforeLines="0" w:beforeAutospacing="1" w:afterLines="0" w:afterAutospacing="1"/>
      <w:ind w:left="576" w:hanging="576"/>
    </w:pPr>
    <w:rPr>
      <w:bCs w:val="0"/>
    </w:rPr>
  </w:style>
  <w:style w:type="paragraph" w:customStyle="1" w:styleId="555">
    <w:name w:val="样式 标题 2（x.x）节二级标题H2h2h212Header 2l2Level 2 HeadH2norm..."/>
    <w:basedOn w:val="3"/>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6">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8">
    <w:name w:val="样式 标题 2 + 宋体 小三 段前: 0 磅 段后: 12 磅 行距: 1.5 倍行距"/>
    <w:basedOn w:val="3"/>
    <w:qFormat/>
    <w:uiPriority w:val="0"/>
    <w:pPr>
      <w:numPr>
        <w:ilvl w:val="1"/>
        <w:numId w:val="9"/>
      </w:numPr>
      <w:spacing w:before="0" w:afterLines="100" w:line="360" w:lineRule="auto"/>
    </w:pPr>
    <w:rPr>
      <w:rFonts w:ascii="宋体" w:hAnsi="宋体" w:eastAsia="宋体" w:cs="宋体"/>
      <w:sz w:val="30"/>
      <w:szCs w:val="20"/>
    </w:rPr>
  </w:style>
  <w:style w:type="paragraph" w:customStyle="1" w:styleId="55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4">
    <w:name w:val="pa-10"/>
    <w:basedOn w:val="1"/>
    <w:qFormat/>
    <w:uiPriority w:val="0"/>
    <w:pPr>
      <w:widowControl/>
      <w:spacing w:line="280" w:lineRule="atLeast"/>
    </w:pPr>
    <w:rPr>
      <w:rFonts w:ascii="宋体" w:hAnsi="宋体" w:cs="宋体"/>
      <w:kern w:val="0"/>
      <w:sz w:val="24"/>
    </w:rPr>
  </w:style>
  <w:style w:type="paragraph" w:customStyle="1" w:styleId="56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6">
    <w:name w:val="CM19"/>
    <w:basedOn w:val="264"/>
    <w:next w:val="264"/>
    <w:qFormat/>
    <w:uiPriority w:val="0"/>
    <w:pPr>
      <w:spacing w:line="440" w:lineRule="atLeast"/>
    </w:pPr>
    <w:rPr>
      <w:rFonts w:ascii="方正小标宋简体" w:eastAsia="方正小标宋简体"/>
      <w:color w:val="auto"/>
      <w:szCs w:val="24"/>
    </w:rPr>
  </w:style>
  <w:style w:type="paragraph" w:customStyle="1" w:styleId="5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6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0">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1">
    <w:name w:val="文档控制号等"/>
    <w:basedOn w:val="1"/>
    <w:qFormat/>
    <w:uiPriority w:val="0"/>
    <w:pPr>
      <w:spacing w:line="360" w:lineRule="auto"/>
      <w:jc w:val="left"/>
    </w:pPr>
  </w:style>
  <w:style w:type="paragraph" w:customStyle="1" w:styleId="572">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3">
    <w:name w:val="标准小四"/>
    <w:basedOn w:val="1"/>
    <w:qFormat/>
    <w:uiPriority w:val="0"/>
    <w:pPr>
      <w:spacing w:line="360" w:lineRule="auto"/>
      <w:ind w:firstLine="480" w:firstLineChars="200"/>
    </w:pPr>
    <w:rPr>
      <w:rFonts w:ascii="Arial" w:hAnsi="Arial"/>
      <w:sz w:val="24"/>
      <w:szCs w:val="21"/>
    </w:rPr>
  </w:style>
  <w:style w:type="paragraph" w:customStyle="1" w:styleId="57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5">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7">
    <w:name w:val="样式 标题 1章节标题b1 + 段前: 6 磅"/>
    <w:basedOn w:val="2"/>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8">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9">
    <w:name w:val="列表 21"/>
    <w:basedOn w:val="1"/>
    <w:qFormat/>
    <w:uiPriority w:val="0"/>
    <w:pPr>
      <w:ind w:left="100" w:leftChars="200" w:hanging="200" w:hangingChars="200"/>
    </w:pPr>
  </w:style>
  <w:style w:type="paragraph" w:customStyle="1" w:styleId="58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58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4">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0">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2">
    <w:name w:val="DLP正文"/>
    <w:basedOn w:val="1"/>
    <w:qFormat/>
    <w:uiPriority w:val="0"/>
    <w:pPr>
      <w:snapToGrid w:val="0"/>
      <w:spacing w:line="360" w:lineRule="auto"/>
      <w:ind w:firstLine="473"/>
    </w:pPr>
    <w:rPr>
      <w:rFonts w:hAnsi="宋体"/>
      <w:sz w:val="24"/>
      <w:szCs w:val="22"/>
    </w:rPr>
  </w:style>
  <w:style w:type="paragraph" w:customStyle="1" w:styleId="59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4">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95">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97">
    <w:name w:val="表格1"/>
    <w:basedOn w:val="1"/>
    <w:qFormat/>
    <w:uiPriority w:val="0"/>
    <w:pPr>
      <w:tabs>
        <w:tab w:val="left" w:pos="203"/>
      </w:tabs>
      <w:spacing w:before="40" w:after="40"/>
      <w:jc w:val="center"/>
    </w:pPr>
    <w:rPr>
      <w:b/>
      <w:sz w:val="28"/>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0">
    <w:name w:val="目录"/>
    <w:basedOn w:val="1"/>
    <w:qFormat/>
    <w:uiPriority w:val="0"/>
    <w:pPr>
      <w:widowControl/>
      <w:jc w:val="center"/>
    </w:pPr>
    <w:rPr>
      <w:rFonts w:ascii="宋体"/>
      <w:b/>
      <w:kern w:val="0"/>
      <w:sz w:val="36"/>
      <w:szCs w:val="20"/>
    </w:rPr>
  </w:style>
  <w:style w:type="paragraph" w:customStyle="1" w:styleId="601">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4">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08">
    <w:name w:val="复选框1"/>
    <w:basedOn w:val="1"/>
    <w:qFormat/>
    <w:uiPriority w:val="0"/>
    <w:pPr>
      <w:widowControl/>
      <w:spacing w:before="360" w:after="360"/>
      <w:jc w:val="left"/>
    </w:pPr>
    <w:rPr>
      <w:kern w:val="0"/>
      <w:sz w:val="20"/>
      <w:szCs w:val="20"/>
    </w:rPr>
  </w:style>
  <w:style w:type="paragraph" w:customStyle="1" w:styleId="60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0">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3">
    <w:name w:val="表格标题3"/>
    <w:basedOn w:val="459"/>
    <w:qFormat/>
    <w:uiPriority w:val="0"/>
    <w:pPr>
      <w:tabs>
        <w:tab w:val="left" w:pos="570"/>
        <w:tab w:val="left" w:pos="720"/>
        <w:tab w:val="clear" w:pos="1620"/>
      </w:tabs>
      <w:ind w:left="570" w:hanging="570"/>
    </w:pPr>
  </w:style>
  <w:style w:type="paragraph" w:customStyle="1" w:styleId="614">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15">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0">
    <w:name w:val="Notes Text List in Tabl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1">
    <w:name w:val="警告"/>
    <w:basedOn w:val="1"/>
    <w:next w:val="120"/>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3">
    <w:name w:val="标准"/>
    <w:basedOn w:val="1"/>
    <w:qFormat/>
    <w:uiPriority w:val="0"/>
    <w:pPr>
      <w:autoSpaceDE w:val="0"/>
      <w:autoSpaceDN w:val="0"/>
      <w:adjustRightInd w:val="0"/>
      <w:ind w:firstLine="600"/>
      <w:textAlignment w:val="baseline"/>
    </w:pPr>
    <w:rPr>
      <w:kern w:val="0"/>
      <w:sz w:val="28"/>
      <w:szCs w:val="20"/>
    </w:rPr>
  </w:style>
  <w:style w:type="paragraph" w:customStyle="1" w:styleId="624">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6">
    <w:name w:val="yd正文"/>
    <w:basedOn w:val="1"/>
    <w:qFormat/>
    <w:uiPriority w:val="0"/>
    <w:pPr>
      <w:widowControl/>
      <w:spacing w:line="360" w:lineRule="auto"/>
      <w:ind w:firstLine="482"/>
    </w:pPr>
    <w:rPr>
      <w:rFonts w:ascii="宋体" w:hAnsi="Arial Unicode MS"/>
      <w:bCs/>
      <w:kern w:val="0"/>
      <w:sz w:val="24"/>
    </w:rPr>
  </w:style>
  <w:style w:type="paragraph" w:customStyle="1" w:styleId="62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8">
    <w:name w:val="样式 标题 1章H11. heading 1标准章Alt+1h1Huvudrubrikh11h12h13h..."/>
    <w:basedOn w:val="1"/>
    <w:qFormat/>
    <w:uiPriority w:val="0"/>
  </w:style>
  <w:style w:type="paragraph" w:customStyle="1" w:styleId="62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1">
    <w:name w:val="Char1"/>
    <w:basedOn w:val="1"/>
    <w:qFormat/>
    <w:uiPriority w:val="0"/>
  </w:style>
  <w:style w:type="paragraph" w:customStyle="1" w:styleId="632">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634">
    <w:name w:val="表项"/>
    <w:next w:val="63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7">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3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640">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1">
    <w:name w:val="一级无"/>
    <w:basedOn w:val="255"/>
    <w:qFormat/>
    <w:uiPriority w:val="0"/>
    <w:pPr>
      <w:spacing w:beforeLines="0" w:afterLines="0"/>
    </w:pPr>
    <w:rPr>
      <w:rFonts w:ascii="宋体" w:eastAsia="宋体"/>
    </w:rPr>
  </w:style>
  <w:style w:type="paragraph" w:customStyle="1" w:styleId="642">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4">
    <w:name w:val="pa-13"/>
    <w:basedOn w:val="1"/>
    <w:qFormat/>
    <w:uiPriority w:val="0"/>
    <w:pPr>
      <w:widowControl/>
      <w:spacing w:line="240" w:lineRule="atLeast"/>
    </w:pPr>
    <w:rPr>
      <w:rFonts w:ascii="宋体" w:hAnsi="宋体" w:cs="宋体"/>
      <w:kern w:val="0"/>
      <w:sz w:val="24"/>
    </w:rPr>
  </w:style>
  <w:style w:type="paragraph" w:customStyle="1" w:styleId="645">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6">
    <w:name w:val="默认段落字体 Para Char Char Char Char"/>
    <w:basedOn w:val="1"/>
    <w:qFormat/>
    <w:uiPriority w:val="0"/>
    <w:rPr>
      <w:szCs w:val="20"/>
    </w:rPr>
  </w:style>
  <w:style w:type="paragraph" w:customStyle="1" w:styleId="64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4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0">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1">
    <w:name w:val="三级大纲"/>
    <w:next w:val="127"/>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3">
    <w:name w:val="五级条标题"/>
    <w:basedOn w:val="517"/>
    <w:next w:val="1"/>
    <w:qFormat/>
    <w:uiPriority w:val="0"/>
    <w:pPr>
      <w:outlineLvl w:val="6"/>
    </w:pPr>
  </w:style>
  <w:style w:type="paragraph" w:customStyle="1" w:styleId="65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6">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65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658">
    <w:name w:val="样式6"/>
    <w:basedOn w:val="1"/>
    <w:qFormat/>
    <w:uiPriority w:val="0"/>
    <w:pPr>
      <w:widowControl/>
      <w:tabs>
        <w:tab w:val="left" w:pos="1800"/>
      </w:tabs>
      <w:spacing w:beforeLines="50" w:afterLines="50"/>
      <w:ind w:left="1800" w:firstLine="899" w:firstLineChars="428"/>
    </w:pPr>
    <w:rPr>
      <w:kern w:val="0"/>
    </w:rPr>
  </w:style>
  <w:style w:type="paragraph" w:customStyle="1" w:styleId="659">
    <w:name w:val="Char"/>
    <w:basedOn w:val="1"/>
    <w:qFormat/>
    <w:uiPriority w:val="0"/>
    <w:rPr>
      <w:rFonts w:ascii="Tahoma" w:hAnsi="Tahoma" w:cs="仿宋_GB2312"/>
      <w:sz w:val="24"/>
      <w:szCs w:val="28"/>
    </w:rPr>
  </w:style>
  <w:style w:type="paragraph" w:customStyle="1" w:styleId="660">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6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3">
    <w:name w:val="表文"/>
    <w:basedOn w:val="1"/>
    <w:qFormat/>
    <w:uiPriority w:val="0"/>
    <w:pPr>
      <w:spacing w:line="300" w:lineRule="auto"/>
      <w:jc w:val="center"/>
      <w:textAlignment w:val="baseline"/>
    </w:pPr>
    <w:rPr>
      <w:kern w:val="0"/>
      <w:szCs w:val="20"/>
    </w:rPr>
  </w:style>
  <w:style w:type="paragraph" w:customStyle="1" w:styleId="66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6">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69">
    <w:name w:val="Char21"/>
    <w:basedOn w:val="1"/>
    <w:qFormat/>
    <w:uiPriority w:val="0"/>
  </w:style>
  <w:style w:type="paragraph" w:customStyle="1" w:styleId="670">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2">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4">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8">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7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2">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3">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4">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7">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0">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1">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3">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4">
    <w:name w:val="标题1"/>
    <w:basedOn w:val="2"/>
    <w:qFormat/>
    <w:uiPriority w:val="0"/>
    <w:pPr>
      <w:tabs>
        <w:tab w:val="left" w:pos="839"/>
      </w:tabs>
      <w:spacing w:line="360" w:lineRule="auto"/>
      <w:ind w:left="1276" w:hanging="425"/>
    </w:pPr>
    <w:rPr>
      <w:rFonts w:ascii="黑体" w:hAnsi="宋体" w:eastAsia="黑体"/>
      <w:kern w:val="11"/>
      <w:sz w:val="28"/>
    </w:rPr>
  </w:style>
  <w:style w:type="paragraph" w:customStyle="1" w:styleId="695">
    <w:name w:val="CM3"/>
    <w:basedOn w:val="264"/>
    <w:next w:val="264"/>
    <w:qFormat/>
    <w:uiPriority w:val="0"/>
    <w:pPr>
      <w:spacing w:line="626" w:lineRule="atLeast"/>
    </w:pPr>
    <w:rPr>
      <w:rFonts w:ascii=".a..DD.." w:eastAsia=".a..DD.."/>
      <w:color w:val="auto"/>
      <w:szCs w:val="24"/>
    </w:rPr>
  </w:style>
  <w:style w:type="paragraph" w:customStyle="1" w:styleId="69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9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0">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2">
    <w:name w:val="Block"/>
    <w:basedOn w:val="1"/>
    <w:next w:val="120"/>
    <w:qFormat/>
    <w:uiPriority w:val="0"/>
    <w:pPr>
      <w:tabs>
        <w:tab w:val="left" w:pos="0"/>
      </w:tabs>
    </w:pPr>
    <w:rPr>
      <w:rFonts w:ascii="Arial" w:hAnsi="Arial" w:eastAsia="楷体_GB2312"/>
      <w:color w:val="000080"/>
      <w:sz w:val="28"/>
      <w:szCs w:val="28"/>
    </w:rPr>
  </w:style>
  <w:style w:type="paragraph" w:customStyle="1" w:styleId="70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6">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我的正文格式"/>
    <w:basedOn w:val="1"/>
    <w:next w:val="1"/>
    <w:qFormat/>
    <w:uiPriority w:val="0"/>
    <w:pPr>
      <w:snapToGrid w:val="0"/>
      <w:spacing w:line="288" w:lineRule="auto"/>
      <w:ind w:left="540" w:hanging="540" w:hangingChars="225"/>
    </w:pPr>
    <w:rPr>
      <w:sz w:val="24"/>
    </w:rPr>
  </w:style>
  <w:style w:type="paragraph" w:customStyle="1" w:styleId="709">
    <w:name w:val="Char1 Char Char Char"/>
    <w:basedOn w:val="1"/>
    <w:qFormat/>
    <w:uiPriority w:val="0"/>
    <w:rPr>
      <w:rFonts w:ascii="Tahoma" w:hAnsi="Tahoma"/>
      <w:sz w:val="24"/>
      <w:szCs w:val="20"/>
    </w:rPr>
  </w:style>
  <w:style w:type="paragraph" w:customStyle="1" w:styleId="710">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711">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4">
    <w:name w:val="Item List in Table"/>
    <w:basedOn w:val="1"/>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6">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7">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718">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0">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2">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723">
    <w:name w:val="版权所有"/>
    <w:basedOn w:val="1"/>
    <w:qFormat/>
    <w:uiPriority w:val="0"/>
    <w:pPr>
      <w:spacing w:beforeLines="100" w:afterLines="100" w:line="360" w:lineRule="auto"/>
    </w:pPr>
    <w:rPr>
      <w:rFonts w:ascii="Arial" w:hAnsi="Arial" w:eastAsia="黑体"/>
      <w:b/>
      <w:sz w:val="30"/>
      <w:u w:val="single"/>
    </w:rPr>
  </w:style>
  <w:style w:type="paragraph" w:customStyle="1" w:styleId="724">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5">
    <w:name w:val="表身（中）"/>
    <w:basedOn w:val="635"/>
    <w:qFormat/>
    <w:uiPriority w:val="0"/>
    <w:pPr>
      <w:jc w:val="center"/>
    </w:pPr>
  </w:style>
  <w:style w:type="paragraph" w:customStyle="1" w:styleId="72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7">
    <w:name w:val="_Style 20"/>
    <w:basedOn w:val="1"/>
    <w:qFormat/>
    <w:uiPriority w:val="0"/>
    <w:rPr>
      <w:rFonts w:ascii="Tahoma" w:hAnsi="Tahoma"/>
      <w:sz w:val="24"/>
      <w:szCs w:val="20"/>
    </w:rPr>
  </w:style>
  <w:style w:type="paragraph" w:customStyle="1" w:styleId="72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2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0">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4">
    <w:name w:val="_Style 56"/>
    <w:basedOn w:val="1"/>
    <w:qFormat/>
    <w:uiPriority w:val="0"/>
    <w:pPr>
      <w:ind w:firstLine="420" w:firstLineChars="200"/>
    </w:pPr>
    <w:rPr>
      <w:rFonts w:ascii="Calibri" w:hAnsi="Calibri"/>
      <w:szCs w:val="22"/>
    </w:rPr>
  </w:style>
  <w:style w:type="paragraph" w:customStyle="1" w:styleId="73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6">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39">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7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3">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4">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74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8">
    <w:name w:val="样式 首行缩进:  2 字符2 + 居中"/>
    <w:basedOn w:val="657"/>
    <w:qFormat/>
    <w:uiPriority w:val="0"/>
    <w:pPr>
      <w:adjustRightInd/>
      <w:snapToGrid/>
      <w:ind w:firstLine="0" w:firstLineChars="0"/>
      <w:jc w:val="center"/>
    </w:pPr>
    <w:rPr>
      <w:sz w:val="28"/>
      <w:szCs w:val="20"/>
    </w:rPr>
  </w:style>
  <w:style w:type="paragraph" w:customStyle="1" w:styleId="74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4">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5">
    <w:name w:val="样式 标题 1 + 段前: 1 行 段后: 1 行1"/>
    <w:basedOn w:val="2"/>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6">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7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59">
    <w:name w:val="样式 样式 标题 2 + 段前: 0.5 行 段后: 0.5 行2 + 段前: 0.5 行 段后: 0.5 行"/>
    <w:basedOn w:val="396"/>
    <w:qFormat/>
    <w:uiPriority w:val="0"/>
    <w:rPr>
      <w:b w:val="0"/>
    </w:rPr>
  </w:style>
  <w:style w:type="paragraph" w:customStyle="1" w:styleId="760">
    <w:name w:val="首行缩进"/>
    <w:basedOn w:val="1"/>
    <w:qFormat/>
    <w:uiPriority w:val="0"/>
    <w:pPr>
      <w:spacing w:after="120" w:line="360" w:lineRule="auto"/>
      <w:ind w:firstLine="480" w:firstLineChars="200"/>
    </w:pPr>
    <w:rPr>
      <w:sz w:val="24"/>
      <w:lang w:val="zh-CN"/>
    </w:rPr>
  </w:style>
  <w:style w:type="paragraph" w:customStyle="1" w:styleId="761">
    <w:name w:val="BodyText"/>
    <w:basedOn w:val="1"/>
    <w:qFormat/>
    <w:uiPriority w:val="99"/>
    <w:pPr>
      <w:spacing w:after="120"/>
      <w:textAlignment w:val="baseline"/>
    </w:pPr>
    <w:rPr>
      <w:rFonts w:ascii="Times New Roman" w:hAnsi="Times New Roman" w:cs="Times New Roman"/>
      <w:szCs w:val="24"/>
    </w:rPr>
  </w:style>
  <w:style w:type="table" w:customStyle="1" w:styleId="76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76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64">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5">
    <w:name w:val="font131"/>
    <w:qFormat/>
    <w:uiPriority w:val="0"/>
    <w:rPr>
      <w:rFonts w:hint="eastAsia" w:ascii="宋体" w:hAnsi="宋体" w:eastAsia="宋体" w:cs="宋体"/>
      <w:color w:val="FF0000"/>
      <w:sz w:val="16"/>
      <w:szCs w:val="16"/>
      <w:u w:val="none"/>
    </w:rPr>
  </w:style>
  <w:style w:type="paragraph" w:customStyle="1" w:styleId="76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7">
    <w:name w:val="font101"/>
    <w:basedOn w:val="62"/>
    <w:qFormat/>
    <w:uiPriority w:val="0"/>
    <w:rPr>
      <w:rFonts w:ascii="宋体" w:hAnsi="宋体" w:eastAsia="宋体" w:cs="宋体"/>
      <w:color w:val="000000"/>
      <w:sz w:val="20"/>
      <w:szCs w:val="20"/>
      <w:u w:val="none"/>
    </w:rPr>
  </w:style>
  <w:style w:type="character" w:customStyle="1" w:styleId="768">
    <w:name w:val="font112"/>
    <w:basedOn w:val="62"/>
    <w:qFormat/>
    <w:uiPriority w:val="0"/>
    <w:rPr>
      <w:rFonts w:ascii="Arial" w:hAnsi="Arial" w:cs="Arial"/>
      <w:color w:val="000000"/>
      <w:sz w:val="20"/>
      <w:szCs w:val="20"/>
      <w:u w:val="none"/>
    </w:rPr>
  </w:style>
  <w:style w:type="character" w:customStyle="1" w:styleId="769">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31920</Words>
  <Characters>34363</Characters>
  <Lines>594</Lines>
  <Paragraphs>167</Paragraphs>
  <TotalTime>0</TotalTime>
  <ScaleCrop>false</ScaleCrop>
  <LinksUpToDate>false</LinksUpToDate>
  <CharactersWithSpaces>35756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NTKO</cp:lastModifiedBy>
  <cp:lastPrinted>2022-02-23T03:32:00Z</cp:lastPrinted>
  <dcterms:modified xsi:type="dcterms:W3CDTF">2022-12-12T12:06:10Z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82834F3E9F014BDCA1253596436F928D</vt:lpwstr>
  </property>
  <property fmtid="{D5CDD505-2E9C-101B-9397-08002B2CF9AE}" pid="4" name="commondata">
    <vt:lpwstr>eyJoZGlkIjoiNjNlMTIyMGUxMGVjODUwYjk5NzcyMWQyMzBmZmQwNjQifQ==</vt:lpwstr>
  </property>
</Properties>
</file>