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KSS(GK)2022-025</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喀什市公安局办公用品、清洁用品及办公耗材采购项目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喀什市公安局</w:t>
      </w:r>
    </w:p>
    <w:p>
      <w:pPr>
        <w:tabs>
          <w:tab w:val="left" w:pos="2790"/>
        </w:tabs>
        <w:snapToGrid w:val="0"/>
      </w:pPr>
      <w:r>
        <w:rPr>
          <w:rFonts w:hint="eastAsia"/>
        </w:rPr>
        <w:t>项目类型：</w:t>
      </w:r>
      <w:r>
        <w:rPr>
          <w:rFonts w:hint="eastAsia" w:eastAsia="宋体"/>
          <w:lang w:eastAsia="zh-CN"/>
        </w:rPr>
        <w:t>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w:t>
      </w:r>
      <w:r>
        <w:rPr>
          <w:rFonts w:hint="eastAsia" w:eastAsia="宋体"/>
          <w:szCs w:val="21"/>
          <w:lang w:eastAsia="zh-CN"/>
        </w:rPr>
        <w:t>货物类</w:t>
      </w:r>
      <w:r>
        <w:rPr>
          <w:szCs w:val="21"/>
        </w:rPr>
        <w:t>、工程类项目。</w:t>
      </w:r>
    </w:p>
    <w:p>
      <w:pPr>
        <w:autoSpaceDE w:val="0"/>
        <w:autoSpaceDN w:val="0"/>
        <w:adjustRightInd w:val="0"/>
        <w:snapToGrid w:val="0"/>
        <w:spacing w:line="400" w:lineRule="exact"/>
        <w:jc w:val="both"/>
        <w:outlineLvl w:val="1"/>
        <w:rPr>
          <w:rFonts w:hint="eastAsia" w:ascii="宋体" w:cs="仿宋_GB2312"/>
          <w:b/>
          <w:sz w:val="28"/>
          <w:szCs w:val="28"/>
          <w:lang w:val="zh-CN"/>
        </w:rPr>
      </w:pPr>
    </w:p>
    <w:p>
      <w:pPr>
        <w:autoSpaceDE w:val="0"/>
        <w:autoSpaceDN w:val="0"/>
        <w:adjustRightInd w:val="0"/>
        <w:snapToGrid w:val="0"/>
        <w:spacing w:line="400" w:lineRule="exact"/>
        <w:jc w:val="center"/>
        <w:outlineLvl w:val="1"/>
        <w:rPr>
          <w:rFonts w:ascii="宋体" w:cs="仿宋_GB2312"/>
          <w:b/>
          <w:bCs/>
          <w:sz w:val="28"/>
          <w:szCs w:val="28"/>
          <w:highlight w:val="cyan"/>
          <w:lang w:val="zh-CN"/>
        </w:rPr>
      </w:pPr>
      <w:r>
        <w:rPr>
          <w:rFonts w:hint="eastAsia" w:ascii="宋体" w:cs="仿宋_GB2312"/>
          <w:b/>
          <w:sz w:val="28"/>
          <w:szCs w:val="28"/>
          <w:highlight w:val="cyan"/>
          <w:lang w:val="zh-CN"/>
        </w:rPr>
        <w:t>评标方法：综合评分法</w:t>
      </w:r>
      <w:r>
        <w:rPr>
          <w:rFonts w:hint="eastAsia" w:ascii="宋体" w:cs="仿宋_GB2312"/>
          <w:b/>
          <w:bCs/>
          <w:sz w:val="28"/>
          <w:szCs w:val="28"/>
          <w:highlight w:val="cyan"/>
          <w:lang w:val="zh-CN"/>
        </w:rPr>
        <w:t>（总计</w:t>
      </w:r>
      <w:r>
        <w:rPr>
          <w:rFonts w:hint="eastAsia" w:ascii="宋体" w:cs="仿宋_GB2312"/>
          <w:b/>
          <w:bCs/>
          <w:sz w:val="28"/>
          <w:szCs w:val="28"/>
          <w:highlight w:val="cyan"/>
        </w:rPr>
        <w:t>100</w:t>
      </w:r>
      <w:r>
        <w:rPr>
          <w:rFonts w:hint="eastAsia" w:ascii="宋体" w:cs="仿宋_GB2312"/>
          <w:b/>
          <w:bCs/>
          <w:sz w:val="28"/>
          <w:szCs w:val="28"/>
          <w:highlight w:val="cyan"/>
          <w:lang w:val="zh-CN"/>
        </w:rPr>
        <w:t>分）</w:t>
      </w:r>
    </w:p>
    <w:p>
      <w:pPr>
        <w:pStyle w:val="14"/>
        <w:rPr>
          <w:rFonts w:ascii="宋体" w:hAnsi="宋体"/>
          <w:szCs w:val="21"/>
          <w:highlight w:val="cyan"/>
        </w:rPr>
      </w:pPr>
    </w:p>
    <w:p>
      <w:pPr>
        <w:spacing w:line="440" w:lineRule="exact"/>
        <w:jc w:val="center"/>
        <w:outlineLvl w:val="0"/>
        <w:rPr>
          <w:rFonts w:ascii="Arial" w:hAnsi="Arial" w:cs="Arial"/>
          <w:b/>
          <w:sz w:val="24"/>
          <w:highlight w:val="cyan"/>
        </w:rPr>
      </w:pPr>
      <w:bookmarkStart w:id="0" w:name="_Toc523257134"/>
      <w:r>
        <w:rPr>
          <w:rFonts w:hint="eastAsia" w:ascii="宋体" w:hAnsi="宋体"/>
          <w:b/>
          <w:sz w:val="28"/>
          <w:szCs w:val="28"/>
          <w:highlight w:val="cyan"/>
        </w:rPr>
        <w:t>综合评分表</w:t>
      </w:r>
      <w:bookmarkEnd w:id="0"/>
    </w:p>
    <w:p>
      <w:pPr>
        <w:rPr>
          <w:rFonts w:ascii="Arial" w:hAnsi="Arial" w:cs="Arial"/>
          <w:b/>
          <w:sz w:val="24"/>
          <w:highlight w:val="cyan"/>
        </w:rPr>
      </w:pPr>
      <w:r>
        <w:rPr>
          <w:rFonts w:hint="eastAsia" w:ascii="Arial" w:hAnsi="Arial" w:cs="Arial"/>
          <w:b/>
          <w:sz w:val="24"/>
          <w:highlight w:val="cyan"/>
        </w:rPr>
        <w:t>价格部分（</w:t>
      </w:r>
      <w:r>
        <w:rPr>
          <w:rFonts w:hint="eastAsia" w:ascii="Arial" w:hAnsi="Arial" w:cs="Arial"/>
          <w:b/>
          <w:sz w:val="24"/>
          <w:highlight w:val="cyan"/>
          <w:lang w:val="en-US" w:eastAsia="zh-CN"/>
        </w:rPr>
        <w:t>3</w:t>
      </w:r>
      <w:r>
        <w:rPr>
          <w:rFonts w:hint="eastAsia" w:ascii="Arial" w:hAnsi="Arial" w:cs="Arial"/>
          <w:b/>
          <w:sz w:val="24"/>
          <w:highlight w:val="cyan"/>
        </w:rPr>
        <w:t>0分）</w:t>
      </w:r>
    </w:p>
    <w:tbl>
      <w:tblPr>
        <w:tblStyle w:val="18"/>
        <w:tblW w:w="9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801"/>
        <w:gridCol w:w="1032"/>
        <w:gridCol w:w="63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827" w:type="dxa"/>
            <w:noWrap w:val="0"/>
            <w:vAlign w:val="center"/>
          </w:tcPr>
          <w:p>
            <w:pPr>
              <w:spacing w:line="440" w:lineRule="exact"/>
              <w:jc w:val="center"/>
              <w:outlineLvl w:val="0"/>
              <w:rPr>
                <w:rFonts w:ascii="宋体" w:hAnsi="宋体"/>
                <w:bCs/>
                <w:sz w:val="22"/>
                <w:szCs w:val="20"/>
                <w:highlight w:val="cyan"/>
              </w:rPr>
            </w:pPr>
            <w:r>
              <w:rPr>
                <w:rFonts w:hint="eastAsia" w:ascii="宋体" w:hAnsi="宋体"/>
                <w:bCs/>
                <w:sz w:val="22"/>
                <w:szCs w:val="20"/>
                <w:highlight w:val="cyan"/>
              </w:rPr>
              <w:t>序号</w:t>
            </w:r>
          </w:p>
        </w:tc>
        <w:tc>
          <w:tcPr>
            <w:tcW w:w="1801" w:type="dxa"/>
            <w:noWrap w:val="0"/>
            <w:vAlign w:val="center"/>
          </w:tcPr>
          <w:p>
            <w:pPr>
              <w:spacing w:line="440" w:lineRule="exact"/>
              <w:jc w:val="center"/>
              <w:outlineLvl w:val="0"/>
              <w:rPr>
                <w:rFonts w:ascii="宋体" w:hAnsi="宋体"/>
                <w:bCs/>
                <w:sz w:val="22"/>
                <w:szCs w:val="20"/>
                <w:highlight w:val="cyan"/>
              </w:rPr>
            </w:pPr>
            <w:r>
              <w:rPr>
                <w:rFonts w:hint="eastAsia" w:ascii="宋体" w:hAnsi="宋体"/>
                <w:bCs/>
                <w:sz w:val="22"/>
                <w:szCs w:val="20"/>
                <w:highlight w:val="cyan"/>
              </w:rPr>
              <w:t>评审项目</w:t>
            </w:r>
          </w:p>
        </w:tc>
        <w:tc>
          <w:tcPr>
            <w:tcW w:w="1032" w:type="dxa"/>
            <w:noWrap w:val="0"/>
            <w:vAlign w:val="center"/>
          </w:tcPr>
          <w:p>
            <w:pPr>
              <w:spacing w:line="440" w:lineRule="exact"/>
              <w:jc w:val="center"/>
              <w:outlineLvl w:val="0"/>
              <w:rPr>
                <w:rFonts w:ascii="宋体" w:hAnsi="宋体"/>
                <w:bCs/>
                <w:sz w:val="22"/>
                <w:szCs w:val="20"/>
                <w:highlight w:val="cyan"/>
              </w:rPr>
            </w:pPr>
            <w:r>
              <w:rPr>
                <w:rFonts w:hint="eastAsia" w:ascii="宋体" w:hAnsi="宋体"/>
                <w:bCs/>
                <w:sz w:val="22"/>
                <w:szCs w:val="20"/>
                <w:highlight w:val="cyan"/>
              </w:rPr>
              <w:t>分值</w:t>
            </w:r>
          </w:p>
        </w:tc>
        <w:tc>
          <w:tcPr>
            <w:tcW w:w="6300" w:type="dxa"/>
            <w:noWrap w:val="0"/>
            <w:vAlign w:val="center"/>
          </w:tcPr>
          <w:p>
            <w:pPr>
              <w:spacing w:line="440" w:lineRule="exact"/>
              <w:jc w:val="center"/>
              <w:outlineLvl w:val="0"/>
              <w:rPr>
                <w:rFonts w:ascii="宋体" w:hAnsi="宋体"/>
                <w:bCs/>
                <w:sz w:val="22"/>
                <w:szCs w:val="20"/>
                <w:highlight w:val="cyan"/>
              </w:rPr>
            </w:pPr>
            <w:r>
              <w:rPr>
                <w:rFonts w:hint="eastAsia" w:ascii="宋体" w:hAnsi="宋体"/>
                <w:bCs/>
                <w:sz w:val="22"/>
                <w:szCs w:val="20"/>
                <w:highlight w:val="cyan"/>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0" w:hRule="atLeast"/>
          <w:jc w:val="center"/>
        </w:trPr>
        <w:tc>
          <w:tcPr>
            <w:tcW w:w="827" w:type="dxa"/>
            <w:noWrap w:val="0"/>
            <w:vAlign w:val="center"/>
          </w:tcPr>
          <w:p>
            <w:pPr>
              <w:spacing w:line="420" w:lineRule="exact"/>
              <w:jc w:val="center"/>
              <w:outlineLvl w:val="0"/>
              <w:rPr>
                <w:rFonts w:ascii="宋体" w:hAnsi="宋体"/>
                <w:bCs/>
                <w:szCs w:val="21"/>
                <w:highlight w:val="cyan"/>
              </w:rPr>
            </w:pPr>
            <w:r>
              <w:rPr>
                <w:rFonts w:hint="eastAsia" w:ascii="宋体" w:hAnsi="宋体"/>
                <w:bCs/>
                <w:szCs w:val="21"/>
                <w:highlight w:val="cyan"/>
              </w:rPr>
              <w:t>一</w:t>
            </w:r>
          </w:p>
        </w:tc>
        <w:tc>
          <w:tcPr>
            <w:tcW w:w="1801" w:type="dxa"/>
            <w:noWrap w:val="0"/>
            <w:vAlign w:val="center"/>
          </w:tcPr>
          <w:p>
            <w:pPr>
              <w:spacing w:line="420" w:lineRule="exact"/>
              <w:jc w:val="left"/>
              <w:outlineLvl w:val="0"/>
              <w:rPr>
                <w:rFonts w:ascii="宋体" w:hAnsi="宋体"/>
                <w:bCs/>
                <w:szCs w:val="21"/>
                <w:highlight w:val="cyan"/>
              </w:rPr>
            </w:pPr>
            <w:r>
              <w:rPr>
                <w:rFonts w:hint="eastAsia" w:ascii="宋体" w:hAnsi="宋体"/>
                <w:bCs/>
                <w:szCs w:val="21"/>
                <w:highlight w:val="cyan"/>
              </w:rPr>
              <w:t>价格部分</w:t>
            </w:r>
          </w:p>
        </w:tc>
        <w:tc>
          <w:tcPr>
            <w:tcW w:w="1032" w:type="dxa"/>
            <w:noWrap w:val="0"/>
            <w:vAlign w:val="center"/>
          </w:tcPr>
          <w:p>
            <w:pPr>
              <w:spacing w:line="420" w:lineRule="exact"/>
              <w:jc w:val="left"/>
              <w:outlineLvl w:val="0"/>
              <w:rPr>
                <w:rFonts w:ascii="宋体" w:hAnsi="宋体"/>
                <w:bCs/>
                <w:szCs w:val="21"/>
                <w:highlight w:val="cyan"/>
              </w:rPr>
            </w:pPr>
            <w:r>
              <w:rPr>
                <w:rFonts w:hint="eastAsia" w:ascii="宋体" w:hAnsi="宋体"/>
                <w:bCs/>
                <w:szCs w:val="21"/>
                <w:highlight w:val="cyan"/>
                <w:lang w:val="en-US" w:eastAsia="zh-CN"/>
              </w:rPr>
              <w:t>3</w:t>
            </w:r>
            <w:r>
              <w:rPr>
                <w:rFonts w:hint="eastAsia" w:ascii="宋体" w:hAnsi="宋体"/>
                <w:bCs/>
                <w:szCs w:val="21"/>
                <w:highlight w:val="cyan"/>
              </w:rPr>
              <w:t>0分</w:t>
            </w:r>
          </w:p>
        </w:tc>
        <w:tc>
          <w:tcPr>
            <w:tcW w:w="6300" w:type="dxa"/>
            <w:noWrap w:val="0"/>
            <w:vAlign w:val="center"/>
          </w:tcPr>
          <w:p>
            <w:pPr>
              <w:spacing w:line="420" w:lineRule="exact"/>
              <w:jc w:val="left"/>
              <w:outlineLvl w:val="0"/>
              <w:rPr>
                <w:highlight w:val="cyan"/>
              </w:rPr>
            </w:pPr>
            <w:r>
              <w:rPr>
                <w:rFonts w:hint="eastAsia"/>
                <w:highlight w:val="cyan"/>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highlight w:val="cyan"/>
              </w:rPr>
            </w:pPr>
            <w:r>
              <w:rPr>
                <w:rFonts w:hint="eastAsia"/>
                <w:highlight w:val="cyan"/>
              </w:rPr>
              <w:t>投标报价得分=(评标基准价／投标报价)×</w:t>
            </w:r>
            <w:r>
              <w:rPr>
                <w:rFonts w:hint="eastAsia" w:eastAsia="宋体"/>
                <w:highlight w:val="cyan"/>
                <w:lang w:val="en-US" w:eastAsia="zh-CN"/>
              </w:rPr>
              <w:t>30%</w:t>
            </w:r>
            <w:r>
              <w:rPr>
                <w:rFonts w:hint="eastAsia"/>
                <w:highlight w:val="cyan"/>
              </w:rPr>
              <w:t>×100。计算分数时四舍五入取小数点后两位,分数最高不超过</w:t>
            </w:r>
            <w:r>
              <w:rPr>
                <w:rFonts w:hint="eastAsia"/>
                <w:highlight w:val="cyan"/>
                <w:lang w:val="en-US" w:eastAsia="zh-CN"/>
              </w:rPr>
              <w:t>30</w:t>
            </w:r>
            <w:r>
              <w:rPr>
                <w:rFonts w:hint="eastAsia"/>
                <w:highlight w:val="cyan"/>
              </w:rPr>
              <w:t>分。</w:t>
            </w:r>
          </w:p>
          <w:p>
            <w:pPr>
              <w:spacing w:line="420" w:lineRule="exact"/>
              <w:jc w:val="left"/>
              <w:outlineLvl w:val="0"/>
              <w:rPr>
                <w:highlight w:val="cyan"/>
              </w:rPr>
            </w:pPr>
            <w:r>
              <w:rPr>
                <w:rFonts w:hint="eastAsia"/>
                <w:highlight w:val="cyan"/>
              </w:rPr>
              <w:t>评标过程中，不得去掉报价中的最低和最高报价。因落实政府采购政策进行价格调整的，以调整后的价格计算评标基准价和投标报价。</w:t>
            </w:r>
          </w:p>
        </w:tc>
      </w:tr>
    </w:tbl>
    <w:p>
      <w:pPr>
        <w:spacing w:line="420" w:lineRule="exact"/>
        <w:rPr>
          <w:rFonts w:ascii="Arial" w:hAnsi="Arial" w:cs="Arial"/>
          <w:b/>
          <w:sz w:val="24"/>
          <w:highlight w:val="cyan"/>
        </w:rPr>
      </w:pPr>
      <w:r>
        <w:rPr>
          <w:rFonts w:ascii="Arial" w:hAnsi="Arial" w:cs="Arial"/>
          <w:b/>
          <w:sz w:val="24"/>
          <w:highlight w:val="cyan"/>
        </w:rPr>
        <w:t>技术部分（</w:t>
      </w:r>
      <w:r>
        <w:rPr>
          <w:rFonts w:hint="eastAsia" w:ascii="Arial" w:hAnsi="Arial" w:cs="Arial"/>
          <w:b/>
          <w:sz w:val="24"/>
          <w:highlight w:val="cyan"/>
          <w:lang w:val="en-US" w:eastAsia="zh-CN"/>
        </w:rPr>
        <w:t>45</w:t>
      </w:r>
      <w:r>
        <w:rPr>
          <w:rFonts w:hint="eastAsia" w:ascii="Arial" w:hAnsi="Arial" w:cs="Arial"/>
          <w:b/>
          <w:sz w:val="24"/>
          <w:highlight w:val="cyan"/>
        </w:rPr>
        <w:t>分</w:t>
      </w:r>
      <w:r>
        <w:rPr>
          <w:rFonts w:ascii="Arial" w:hAnsi="Arial" w:cs="Arial"/>
          <w:b/>
          <w:sz w:val="24"/>
          <w:highlight w:val="cyan"/>
        </w:rPr>
        <w:t>）</w:t>
      </w:r>
    </w:p>
    <w:tbl>
      <w:tblPr>
        <w:tblStyle w:val="18"/>
        <w:tblpPr w:leftFromText="180" w:rightFromText="180" w:vertAnchor="text" w:horzAnchor="page" w:tblpX="1084" w:tblpY="136"/>
        <w:tblOverlap w:val="never"/>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764"/>
        <w:gridCol w:w="1069"/>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trPr>
        <w:tc>
          <w:tcPr>
            <w:tcW w:w="825" w:type="dxa"/>
            <w:tcBorders>
              <w:bottom w:val="single" w:color="auto" w:sz="4" w:space="0"/>
            </w:tcBorders>
            <w:noWrap w:val="0"/>
            <w:vAlign w:val="center"/>
          </w:tcPr>
          <w:p>
            <w:pPr>
              <w:pStyle w:val="29"/>
              <w:snapToGrid w:val="0"/>
              <w:spacing w:line="420" w:lineRule="exact"/>
              <w:ind w:firstLine="0" w:firstLineChars="0"/>
              <w:jc w:val="left"/>
              <w:rPr>
                <w:rFonts w:hint="default" w:ascii="宋体" w:hAnsi="宋体" w:eastAsia="宋体"/>
                <w:b w:val="0"/>
                <w:kern w:val="0"/>
                <w:sz w:val="24"/>
                <w:szCs w:val="24"/>
                <w:highlight w:val="cyan"/>
                <w:lang w:val="en-US" w:eastAsia="zh-CN"/>
              </w:rPr>
            </w:pPr>
            <w:r>
              <w:rPr>
                <w:rFonts w:hint="eastAsia" w:ascii="宋体" w:hAnsi="宋体" w:eastAsia="宋体"/>
                <w:b w:val="0"/>
                <w:kern w:val="0"/>
                <w:sz w:val="22"/>
                <w:szCs w:val="22"/>
                <w:highlight w:val="cyan"/>
                <w:lang w:val="en-US" w:eastAsia="zh-CN"/>
              </w:rPr>
              <w:t>序号</w:t>
            </w:r>
          </w:p>
        </w:tc>
        <w:tc>
          <w:tcPr>
            <w:tcW w:w="1764" w:type="dxa"/>
            <w:noWrap w:val="0"/>
            <w:vAlign w:val="center"/>
          </w:tcPr>
          <w:p>
            <w:pPr>
              <w:pStyle w:val="29"/>
              <w:snapToGrid w:val="0"/>
              <w:spacing w:line="420" w:lineRule="exact"/>
              <w:ind w:firstLine="0" w:firstLineChars="0"/>
              <w:rPr>
                <w:rFonts w:ascii="宋体" w:hAnsi="宋体" w:eastAsia="宋体"/>
                <w:b w:val="0"/>
                <w:kern w:val="0"/>
                <w:sz w:val="24"/>
                <w:szCs w:val="24"/>
                <w:highlight w:val="cyan"/>
              </w:rPr>
            </w:pPr>
            <w:r>
              <w:rPr>
                <w:rFonts w:hint="eastAsia" w:ascii="宋体" w:hAnsi="宋体" w:eastAsia="宋体"/>
                <w:b w:val="0"/>
                <w:kern w:val="0"/>
                <w:sz w:val="24"/>
                <w:szCs w:val="24"/>
                <w:highlight w:val="cyan"/>
              </w:rPr>
              <w:t>评审项目</w:t>
            </w:r>
          </w:p>
        </w:tc>
        <w:tc>
          <w:tcPr>
            <w:tcW w:w="1069" w:type="dxa"/>
            <w:noWrap w:val="0"/>
            <w:vAlign w:val="center"/>
          </w:tcPr>
          <w:p>
            <w:pPr>
              <w:pStyle w:val="29"/>
              <w:snapToGrid w:val="0"/>
              <w:spacing w:line="420" w:lineRule="exact"/>
              <w:ind w:firstLine="0" w:firstLineChars="0"/>
              <w:rPr>
                <w:rFonts w:ascii="宋体" w:hAnsi="宋体" w:eastAsia="宋体"/>
                <w:b w:val="0"/>
                <w:kern w:val="0"/>
                <w:sz w:val="24"/>
                <w:szCs w:val="24"/>
                <w:highlight w:val="cyan"/>
              </w:rPr>
            </w:pPr>
            <w:r>
              <w:rPr>
                <w:rFonts w:hint="eastAsia" w:ascii="宋体" w:hAnsi="宋体" w:eastAsia="宋体"/>
                <w:b w:val="0"/>
                <w:kern w:val="0"/>
                <w:sz w:val="24"/>
                <w:szCs w:val="24"/>
                <w:highlight w:val="cyan"/>
              </w:rPr>
              <w:t>分值</w:t>
            </w:r>
          </w:p>
        </w:tc>
        <w:tc>
          <w:tcPr>
            <w:tcW w:w="6293" w:type="dxa"/>
            <w:noWrap w:val="0"/>
            <w:vAlign w:val="center"/>
          </w:tcPr>
          <w:p>
            <w:pPr>
              <w:pStyle w:val="29"/>
              <w:snapToGrid w:val="0"/>
              <w:spacing w:line="420" w:lineRule="exact"/>
              <w:ind w:firstLine="0" w:firstLineChars="0"/>
              <w:rPr>
                <w:rFonts w:ascii="宋体" w:hAnsi="宋体" w:eastAsia="宋体"/>
                <w:b w:val="0"/>
                <w:kern w:val="0"/>
                <w:sz w:val="24"/>
                <w:szCs w:val="24"/>
                <w:highlight w:val="cyan"/>
              </w:rPr>
            </w:pPr>
            <w:r>
              <w:rPr>
                <w:rFonts w:hint="eastAsia" w:ascii="宋体" w:hAnsi="宋体" w:eastAsia="宋体" w:cs="宋体"/>
                <w:b w:val="0"/>
                <w:bCs w:val="0"/>
                <w:sz w:val="24"/>
                <w:szCs w:val="24"/>
                <w:highlight w:val="cya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pStyle w:val="29"/>
              <w:spacing w:line="420" w:lineRule="exact"/>
              <w:ind w:firstLine="0" w:firstLineChars="0"/>
              <w:rPr>
                <w:rFonts w:hint="eastAsia" w:ascii="宋体" w:hAnsi="宋体" w:eastAsia="宋体"/>
                <w:b w:val="0"/>
                <w:kern w:val="0"/>
                <w:sz w:val="21"/>
                <w:szCs w:val="21"/>
                <w:highlight w:val="cyan"/>
                <w:lang w:eastAsia="zh-CN"/>
              </w:rPr>
            </w:pPr>
            <w:r>
              <w:rPr>
                <w:rFonts w:hint="eastAsia" w:ascii="宋体" w:hAnsi="宋体" w:eastAsia="宋体"/>
                <w:b w:val="0"/>
                <w:kern w:val="0"/>
                <w:sz w:val="22"/>
                <w:szCs w:val="22"/>
                <w:highlight w:val="cyan"/>
                <w:lang w:val="en-US" w:eastAsia="zh-CN"/>
              </w:rPr>
              <w:t>二</w:t>
            </w:r>
          </w:p>
        </w:tc>
        <w:tc>
          <w:tcPr>
            <w:tcW w:w="1764" w:type="dxa"/>
            <w:tcBorders>
              <w:left w:val="single" w:color="auto" w:sz="4" w:space="0"/>
            </w:tcBorders>
            <w:noWrap w:val="0"/>
            <w:vAlign w:val="center"/>
          </w:tcPr>
          <w:p>
            <w:pPr>
              <w:pStyle w:val="29"/>
              <w:snapToGrid w:val="0"/>
              <w:spacing w:line="420" w:lineRule="exact"/>
              <w:ind w:firstLine="0" w:firstLineChars="0"/>
              <w:jc w:val="left"/>
              <w:rPr>
                <w:rFonts w:hint="eastAsia" w:ascii="宋体" w:hAnsi="宋体" w:eastAsia="宋体"/>
                <w:b w:val="0"/>
                <w:bCs/>
                <w:kern w:val="0"/>
                <w:sz w:val="21"/>
                <w:szCs w:val="21"/>
                <w:highlight w:val="cyan"/>
                <w:lang w:eastAsia="zh-CN"/>
              </w:rPr>
            </w:pPr>
            <w:r>
              <w:rPr>
                <w:rFonts w:hint="eastAsia" w:ascii="宋体" w:hAnsi="宋体" w:eastAsia="宋体"/>
                <w:b w:val="0"/>
                <w:bCs/>
                <w:kern w:val="0"/>
                <w:sz w:val="24"/>
                <w:szCs w:val="24"/>
                <w:highlight w:val="cyan"/>
                <w:lang w:val="en-US" w:eastAsia="zh-CN"/>
              </w:rPr>
              <w:t>技术参数</w:t>
            </w:r>
          </w:p>
        </w:tc>
        <w:tc>
          <w:tcPr>
            <w:tcW w:w="1069" w:type="dxa"/>
            <w:noWrap w:val="0"/>
            <w:vAlign w:val="center"/>
          </w:tcPr>
          <w:p>
            <w:pPr>
              <w:pStyle w:val="29"/>
              <w:snapToGrid w:val="0"/>
              <w:spacing w:line="420" w:lineRule="exact"/>
              <w:ind w:firstLine="0" w:firstLineChars="0"/>
              <w:rPr>
                <w:rFonts w:ascii="宋体" w:hAnsi="宋体" w:eastAsia="宋体"/>
                <w:b w:val="0"/>
                <w:kern w:val="0"/>
                <w:sz w:val="21"/>
                <w:szCs w:val="21"/>
                <w:highlight w:val="cyan"/>
              </w:rPr>
            </w:pPr>
            <w:r>
              <w:rPr>
                <w:rFonts w:hint="eastAsia" w:ascii="宋体" w:hAnsi="宋体" w:eastAsia="宋体"/>
                <w:b w:val="0"/>
                <w:kern w:val="0"/>
                <w:sz w:val="24"/>
                <w:szCs w:val="24"/>
                <w:highlight w:val="cyan"/>
                <w:lang w:val="en-US" w:eastAsia="zh-CN"/>
              </w:rPr>
              <w:t>25</w:t>
            </w:r>
            <w:r>
              <w:rPr>
                <w:rFonts w:hint="eastAsia" w:ascii="宋体" w:hAnsi="宋体" w:eastAsia="宋体"/>
                <w:b w:val="0"/>
                <w:kern w:val="0"/>
                <w:sz w:val="24"/>
                <w:szCs w:val="24"/>
                <w:highlight w:val="cyan"/>
              </w:rPr>
              <w:t>分</w:t>
            </w:r>
          </w:p>
        </w:tc>
        <w:tc>
          <w:tcPr>
            <w:tcW w:w="6293" w:type="dxa"/>
            <w:noWrap w:val="0"/>
            <w:vAlign w:val="center"/>
          </w:tcPr>
          <w:p>
            <w:pPr>
              <w:spacing w:line="420" w:lineRule="exact"/>
              <w:jc w:val="left"/>
              <w:outlineLvl w:val="0"/>
              <w:rPr>
                <w:rFonts w:hint="eastAsia" w:ascii="宋体" w:hAnsi="宋体" w:eastAsia="宋体"/>
                <w:bCs/>
                <w:szCs w:val="21"/>
                <w:highlight w:val="cyan"/>
                <w:lang w:eastAsia="zh-CN"/>
              </w:rPr>
            </w:pPr>
            <w:r>
              <w:rPr>
                <w:rFonts w:hint="eastAsia" w:ascii="Times New Roman" w:hAnsi="Times New Roman" w:eastAsia="Times New Roman" w:cs="Times New Roman"/>
                <w:highlight w:val="cyan"/>
                <w:lang w:val="en-US" w:eastAsia="zh-CN"/>
              </w:rPr>
              <w:t>根据各投标人所投产品技术性能以及对招标文件各项基本要求（招标内容技术参数具体要求）的逐项响应承诺等方面情况由评委进行评议打分，满足招标文件技术参数基础分20分，正偏离一项加1分，满分25分。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9"/>
              <w:spacing w:line="420" w:lineRule="exact"/>
              <w:ind w:firstLine="0" w:firstLineChars="0"/>
              <w:rPr>
                <w:rFonts w:hint="eastAsia" w:ascii="宋体" w:hAnsi="宋体" w:eastAsia="宋体"/>
                <w:b w:val="0"/>
                <w:kern w:val="0"/>
                <w:sz w:val="21"/>
                <w:szCs w:val="21"/>
                <w:highlight w:val="cyan"/>
              </w:rPr>
            </w:pPr>
          </w:p>
        </w:tc>
        <w:tc>
          <w:tcPr>
            <w:tcW w:w="1764" w:type="dxa"/>
            <w:tcBorders>
              <w:left w:val="single" w:color="auto" w:sz="4" w:space="0"/>
            </w:tcBorders>
            <w:noWrap w:val="0"/>
            <w:vAlign w:val="center"/>
          </w:tcPr>
          <w:p>
            <w:pPr>
              <w:pStyle w:val="29"/>
              <w:snapToGrid w:val="0"/>
              <w:spacing w:line="420" w:lineRule="exact"/>
              <w:ind w:firstLine="0" w:firstLineChars="0"/>
              <w:jc w:val="both"/>
              <w:rPr>
                <w:rFonts w:hint="eastAsia" w:ascii="宋体" w:hAnsi="宋体" w:eastAsia="宋体" w:cs="Times New Roman"/>
                <w:b w:val="0"/>
                <w:kern w:val="0"/>
                <w:sz w:val="22"/>
                <w:szCs w:val="22"/>
                <w:highlight w:val="cyan"/>
              </w:rPr>
            </w:pPr>
            <w:r>
              <w:rPr>
                <w:rFonts w:hint="eastAsia" w:ascii="宋体" w:hAnsi="宋体" w:eastAsia="宋体"/>
                <w:b w:val="0"/>
                <w:bCs/>
                <w:kern w:val="0"/>
                <w:sz w:val="22"/>
                <w:szCs w:val="22"/>
                <w:highlight w:val="cyan"/>
              </w:rPr>
              <w:t>项目实施计划</w:t>
            </w:r>
          </w:p>
        </w:tc>
        <w:tc>
          <w:tcPr>
            <w:tcW w:w="1069" w:type="dxa"/>
            <w:noWrap w:val="0"/>
            <w:vAlign w:val="center"/>
          </w:tcPr>
          <w:p>
            <w:pPr>
              <w:contextualSpacing/>
              <w:jc w:val="center"/>
              <w:rPr>
                <w:rFonts w:hint="eastAsia" w:ascii="宋体" w:hAnsi="宋体" w:eastAsia="宋体" w:cs="Times New Roman"/>
                <w:b w:val="0"/>
                <w:kern w:val="0"/>
                <w:sz w:val="21"/>
                <w:szCs w:val="21"/>
                <w:highlight w:val="cyan"/>
                <w:lang w:val="en-US" w:eastAsia="zh-CN"/>
              </w:rPr>
            </w:pPr>
            <w:r>
              <w:rPr>
                <w:rFonts w:hint="eastAsia" w:ascii="Arial" w:hAnsi="宋体" w:cs="Arial"/>
                <w:kern w:val="0"/>
                <w:sz w:val="24"/>
                <w:szCs w:val="24"/>
                <w:highlight w:val="cyan"/>
                <w:lang w:val="en-US" w:eastAsia="zh-CN"/>
              </w:rPr>
              <w:t>20</w:t>
            </w:r>
            <w:r>
              <w:rPr>
                <w:rFonts w:hint="eastAsia" w:ascii="Arial" w:hAnsi="宋体" w:cs="Arial"/>
                <w:kern w:val="0"/>
                <w:sz w:val="24"/>
                <w:szCs w:val="24"/>
                <w:highlight w:val="cyan"/>
              </w:rPr>
              <w:t>分</w:t>
            </w:r>
          </w:p>
        </w:tc>
        <w:tc>
          <w:tcPr>
            <w:tcW w:w="6293" w:type="dxa"/>
            <w:noWrap w:val="0"/>
            <w:vAlign w:val="center"/>
          </w:tcPr>
          <w:p>
            <w:pPr>
              <w:spacing w:line="420" w:lineRule="exact"/>
              <w:jc w:val="left"/>
              <w:outlineLvl w:val="0"/>
              <w:rPr>
                <w:rFonts w:hint="default" w:ascii="Times New Roman" w:hAnsi="Times New Roman" w:eastAsia="Times New Roman" w:cs="Times New Roman"/>
                <w:highlight w:val="cyan"/>
                <w:lang w:val="en-US" w:eastAsia="zh-CN"/>
              </w:rPr>
            </w:pPr>
            <w:r>
              <w:rPr>
                <w:rFonts w:hint="eastAsia" w:ascii="Times New Roman" w:hAnsi="Times New Roman" w:eastAsia="Times New Roman" w:cs="Times New Roman"/>
                <w:highlight w:val="cyan"/>
                <w:lang w:val="en-US" w:eastAsia="zh-CN"/>
              </w:rPr>
              <w:t>实施方案完整，对项目实施各阶段服务的重点、特点，以及招标人需注意的有关事项作出完整表述得20分</w:t>
            </w:r>
          </w:p>
          <w:p>
            <w:pPr>
              <w:spacing w:line="420" w:lineRule="exact"/>
              <w:jc w:val="left"/>
              <w:outlineLvl w:val="0"/>
              <w:rPr>
                <w:rFonts w:hint="default" w:ascii="Times New Roman" w:hAnsi="Times New Roman" w:eastAsia="Times New Roman" w:cs="Times New Roman"/>
                <w:highlight w:val="cyan"/>
                <w:lang w:val="en-US" w:eastAsia="zh-CN"/>
              </w:rPr>
            </w:pPr>
            <w:r>
              <w:rPr>
                <w:rFonts w:hint="eastAsia" w:ascii="Times New Roman" w:hAnsi="Times New Roman" w:eastAsia="Times New Roman" w:cs="Times New Roman"/>
                <w:highlight w:val="cyan"/>
                <w:lang w:val="en-US" w:eastAsia="zh-CN"/>
              </w:rPr>
              <w:t>实施方案较完整，对项目实施部分阶段服务的重点、特点，以及招标人需注意的有关事项作出表述得12分</w:t>
            </w:r>
          </w:p>
          <w:p>
            <w:pPr>
              <w:spacing w:line="420" w:lineRule="exact"/>
              <w:jc w:val="left"/>
              <w:outlineLvl w:val="0"/>
              <w:rPr>
                <w:rFonts w:hint="eastAsia" w:ascii="Times New Roman" w:hAnsi="Times New Roman" w:eastAsia="Times New Roman" w:cs="Times New Roman"/>
                <w:highlight w:val="cyan"/>
                <w:lang w:val="en-US" w:eastAsia="zh-CN"/>
              </w:rPr>
            </w:pPr>
            <w:r>
              <w:rPr>
                <w:rFonts w:hint="eastAsia" w:ascii="Times New Roman" w:hAnsi="Times New Roman" w:eastAsia="Times New Roman" w:cs="Times New Roman"/>
                <w:highlight w:val="cyan"/>
                <w:lang w:val="en-US" w:eastAsia="zh-CN"/>
              </w:rPr>
              <w:t>实施方案不完整，没有对项目实施各阶段服务的重点、特点，以及招标人需注意的有关事项作出表述得3分</w:t>
            </w:r>
          </w:p>
          <w:p>
            <w:pPr>
              <w:spacing w:line="420" w:lineRule="exact"/>
              <w:jc w:val="left"/>
              <w:outlineLvl w:val="0"/>
              <w:rPr>
                <w:rFonts w:hint="default"/>
                <w:lang w:val="en-US"/>
              </w:rPr>
            </w:pPr>
            <w:r>
              <w:rPr>
                <w:rFonts w:hint="eastAsia" w:ascii="Times New Roman" w:hAnsi="Times New Roman" w:eastAsia="Times New Roman" w:cs="Times New Roman"/>
                <w:highlight w:val="cyan"/>
                <w:lang w:val="en-US" w:eastAsia="zh-CN"/>
              </w:rPr>
              <w:t>未提供不得分</w:t>
            </w:r>
          </w:p>
        </w:tc>
      </w:tr>
    </w:tbl>
    <w:p>
      <w:pPr>
        <w:spacing w:line="420" w:lineRule="exact"/>
        <w:rPr>
          <w:rFonts w:ascii="Arial" w:hAnsi="Arial" w:cs="Arial"/>
          <w:b/>
          <w:szCs w:val="21"/>
          <w:highlight w:val="cyan"/>
        </w:rPr>
      </w:pPr>
    </w:p>
    <w:p>
      <w:pPr>
        <w:spacing w:line="420" w:lineRule="exact"/>
        <w:rPr>
          <w:rFonts w:ascii="Arial" w:hAnsi="Arial" w:cs="Arial"/>
          <w:b/>
          <w:szCs w:val="21"/>
          <w:highlight w:val="cyan"/>
        </w:rPr>
      </w:pPr>
      <w:r>
        <w:rPr>
          <w:rFonts w:ascii="Arial" w:hAnsi="Arial" w:cs="Arial"/>
          <w:b/>
          <w:szCs w:val="21"/>
          <w:highlight w:val="cyan"/>
        </w:rPr>
        <w:t>商务部分（</w:t>
      </w:r>
      <w:r>
        <w:rPr>
          <w:rFonts w:hint="eastAsia" w:ascii="Arial" w:hAnsi="Arial" w:cs="Arial"/>
          <w:b/>
          <w:szCs w:val="21"/>
          <w:highlight w:val="cyan"/>
          <w:lang w:val="en-US" w:eastAsia="zh-CN"/>
        </w:rPr>
        <w:t>25</w:t>
      </w:r>
      <w:r>
        <w:rPr>
          <w:rFonts w:ascii="Arial" w:hAnsi="Arial" w:cs="Arial"/>
          <w:b/>
          <w:szCs w:val="21"/>
          <w:highlight w:val="cyan"/>
        </w:rPr>
        <w:t>分）</w:t>
      </w:r>
    </w:p>
    <w:tbl>
      <w:tblPr>
        <w:tblStyle w:val="18"/>
        <w:tblpPr w:leftFromText="180" w:rightFromText="180" w:vertAnchor="text" w:horzAnchor="page" w:tblpX="1128" w:tblpY="57"/>
        <w:tblOverlap w:val="never"/>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5"/>
        <w:gridCol w:w="1134"/>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blHeader/>
        </w:trPr>
        <w:tc>
          <w:tcPr>
            <w:tcW w:w="675" w:type="dxa"/>
            <w:noWrap w:val="0"/>
            <w:vAlign w:val="top"/>
          </w:tcPr>
          <w:p>
            <w:pPr>
              <w:pStyle w:val="29"/>
              <w:spacing w:line="420" w:lineRule="exact"/>
              <w:ind w:firstLine="0" w:firstLineChars="0"/>
              <w:rPr>
                <w:rFonts w:hint="default" w:ascii="宋体" w:hAnsi="宋体" w:eastAsia="宋体"/>
                <w:b w:val="0"/>
                <w:kern w:val="0"/>
                <w:sz w:val="24"/>
                <w:szCs w:val="24"/>
                <w:highlight w:val="cyan"/>
                <w:lang w:val="en-US" w:eastAsia="zh-CN"/>
              </w:rPr>
            </w:pPr>
            <w:r>
              <w:rPr>
                <w:rFonts w:hint="eastAsia" w:ascii="宋体" w:hAnsi="宋体" w:eastAsia="宋体"/>
                <w:b w:val="0"/>
                <w:kern w:val="0"/>
                <w:sz w:val="22"/>
                <w:szCs w:val="22"/>
                <w:highlight w:val="cyan"/>
                <w:lang w:val="en-US" w:eastAsia="zh-CN"/>
              </w:rPr>
              <w:t>序号</w:t>
            </w:r>
          </w:p>
        </w:tc>
        <w:tc>
          <w:tcPr>
            <w:tcW w:w="1805" w:type="dxa"/>
            <w:noWrap w:val="0"/>
            <w:vAlign w:val="center"/>
          </w:tcPr>
          <w:p>
            <w:pPr>
              <w:pStyle w:val="29"/>
              <w:spacing w:line="420" w:lineRule="exact"/>
              <w:ind w:firstLine="0" w:firstLineChars="0"/>
              <w:rPr>
                <w:rFonts w:hint="eastAsia" w:ascii="宋体" w:hAnsi="宋体" w:eastAsia="宋体" w:cs="Times New Roman"/>
                <w:b w:val="0"/>
                <w:kern w:val="0"/>
                <w:sz w:val="24"/>
                <w:szCs w:val="24"/>
                <w:highlight w:val="cyan"/>
              </w:rPr>
            </w:pPr>
            <w:r>
              <w:rPr>
                <w:rFonts w:hint="eastAsia" w:ascii="宋体" w:hAnsi="宋体" w:eastAsia="宋体"/>
                <w:b w:val="0"/>
                <w:kern w:val="0"/>
                <w:sz w:val="24"/>
                <w:szCs w:val="24"/>
                <w:highlight w:val="cyan"/>
              </w:rPr>
              <w:t>评审项目</w:t>
            </w:r>
          </w:p>
        </w:tc>
        <w:tc>
          <w:tcPr>
            <w:tcW w:w="1134" w:type="dxa"/>
            <w:noWrap w:val="0"/>
            <w:vAlign w:val="center"/>
          </w:tcPr>
          <w:p>
            <w:pPr>
              <w:pStyle w:val="29"/>
              <w:spacing w:line="420" w:lineRule="exact"/>
              <w:ind w:firstLine="0" w:firstLineChars="0"/>
              <w:rPr>
                <w:rFonts w:hint="eastAsia" w:ascii="宋体" w:hAnsi="宋体" w:eastAsia="宋体" w:cs="Times New Roman"/>
                <w:b w:val="0"/>
                <w:kern w:val="0"/>
                <w:sz w:val="24"/>
                <w:szCs w:val="24"/>
                <w:highlight w:val="cyan"/>
              </w:rPr>
            </w:pPr>
            <w:r>
              <w:rPr>
                <w:rFonts w:hint="eastAsia" w:ascii="宋体" w:hAnsi="宋体" w:eastAsia="宋体"/>
                <w:b w:val="0"/>
                <w:kern w:val="0"/>
                <w:sz w:val="24"/>
                <w:szCs w:val="24"/>
                <w:highlight w:val="cyan"/>
              </w:rPr>
              <w:t>分值</w:t>
            </w:r>
          </w:p>
        </w:tc>
        <w:tc>
          <w:tcPr>
            <w:tcW w:w="6356" w:type="dxa"/>
            <w:noWrap w:val="0"/>
            <w:vAlign w:val="center"/>
          </w:tcPr>
          <w:p>
            <w:pPr>
              <w:pStyle w:val="29"/>
              <w:spacing w:line="420" w:lineRule="exact"/>
              <w:ind w:firstLine="0" w:firstLineChars="0"/>
              <w:rPr>
                <w:rFonts w:hint="eastAsia" w:ascii="宋体" w:hAnsi="宋体" w:eastAsia="宋体" w:cs="Times New Roman"/>
                <w:b w:val="0"/>
                <w:kern w:val="0"/>
                <w:sz w:val="24"/>
                <w:szCs w:val="24"/>
                <w:highlight w:val="cyan"/>
              </w:rPr>
            </w:pPr>
            <w:r>
              <w:rPr>
                <w:rFonts w:hint="eastAsia" w:ascii="宋体" w:hAnsi="宋体" w:eastAsia="宋体" w:cs="宋体"/>
                <w:b w:val="0"/>
                <w:bCs w:val="0"/>
                <w:sz w:val="24"/>
                <w:szCs w:val="24"/>
                <w:highlight w:val="cya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675" w:type="dxa"/>
            <w:vMerge w:val="restart"/>
            <w:noWrap w:val="0"/>
            <w:vAlign w:val="top"/>
          </w:tcPr>
          <w:p>
            <w:pPr>
              <w:pStyle w:val="29"/>
              <w:snapToGrid w:val="0"/>
              <w:spacing w:line="420" w:lineRule="exact"/>
              <w:ind w:firstLine="0" w:firstLineChars="0"/>
              <w:rPr>
                <w:rFonts w:ascii="宋体" w:hAnsi="宋体" w:eastAsia="宋体"/>
                <w:b w:val="0"/>
                <w:kern w:val="0"/>
                <w:sz w:val="24"/>
                <w:szCs w:val="24"/>
                <w:highlight w:val="cyan"/>
              </w:rPr>
            </w:pPr>
          </w:p>
        </w:tc>
        <w:tc>
          <w:tcPr>
            <w:tcW w:w="1805" w:type="dxa"/>
            <w:tcBorders>
              <w:bottom w:val="single" w:color="auto" w:sz="4" w:space="0"/>
            </w:tcBorders>
            <w:noWrap w:val="0"/>
            <w:vAlign w:val="center"/>
          </w:tcPr>
          <w:p>
            <w:pPr>
              <w:pStyle w:val="29"/>
              <w:snapToGrid w:val="0"/>
              <w:spacing w:line="420" w:lineRule="exact"/>
              <w:ind w:firstLine="0" w:firstLineChars="0"/>
              <w:jc w:val="left"/>
              <w:rPr>
                <w:rFonts w:hint="eastAsia" w:ascii="宋体" w:hAnsi="宋体" w:eastAsia="宋体"/>
                <w:b w:val="0"/>
                <w:kern w:val="0"/>
                <w:sz w:val="24"/>
                <w:szCs w:val="24"/>
                <w:highlight w:val="cyan"/>
                <w:lang w:val="en-US" w:eastAsia="zh-CN"/>
              </w:rPr>
            </w:pPr>
            <w:r>
              <w:rPr>
                <w:rFonts w:hint="eastAsia" w:ascii="宋体" w:hAnsi="宋体" w:eastAsia="宋体"/>
                <w:b w:val="0"/>
                <w:kern w:val="0"/>
                <w:sz w:val="24"/>
                <w:szCs w:val="24"/>
                <w:highlight w:val="cyan"/>
                <w:lang w:val="en-US" w:eastAsia="zh-CN"/>
              </w:rPr>
              <w:t>售后服务</w:t>
            </w:r>
          </w:p>
        </w:tc>
        <w:tc>
          <w:tcPr>
            <w:tcW w:w="1134" w:type="dxa"/>
            <w:tcBorders>
              <w:bottom w:val="single" w:color="auto" w:sz="4" w:space="0"/>
            </w:tcBorders>
            <w:noWrap w:val="0"/>
            <w:vAlign w:val="center"/>
          </w:tcPr>
          <w:p>
            <w:pPr>
              <w:contextualSpacing/>
              <w:jc w:val="center"/>
              <w:rPr>
                <w:rFonts w:hint="eastAsia" w:ascii="宋体" w:hAnsi="宋体" w:eastAsia="宋体"/>
                <w:b w:val="0"/>
                <w:kern w:val="0"/>
                <w:sz w:val="24"/>
                <w:szCs w:val="24"/>
                <w:highlight w:val="cyan"/>
                <w:lang w:val="en-US" w:eastAsia="zh-CN"/>
              </w:rPr>
            </w:pPr>
            <w:r>
              <w:rPr>
                <w:rFonts w:hint="eastAsia" w:ascii="Arial" w:hAnsi="宋体" w:cs="Arial"/>
                <w:kern w:val="0"/>
                <w:sz w:val="24"/>
                <w:szCs w:val="24"/>
                <w:highlight w:val="cyan"/>
                <w:lang w:val="en-US" w:eastAsia="zh-CN"/>
              </w:rPr>
              <w:t>20分</w:t>
            </w:r>
          </w:p>
        </w:tc>
        <w:tc>
          <w:tcPr>
            <w:tcW w:w="6356" w:type="dxa"/>
            <w:tcBorders>
              <w:bottom w:val="single" w:color="auto" w:sz="4" w:space="0"/>
            </w:tcBorders>
            <w:noWrap w:val="0"/>
            <w:vAlign w:val="center"/>
          </w:tcPr>
          <w:p>
            <w:pPr>
              <w:contextualSpacing/>
              <w:rPr>
                <w:rFonts w:hint="eastAsia" w:ascii="Arial" w:hAnsi="宋体" w:eastAsia="Times New Roman" w:cs="Arial"/>
                <w:color w:val="000000"/>
                <w:kern w:val="0"/>
                <w:sz w:val="24"/>
                <w:szCs w:val="24"/>
                <w:highlight w:val="cyan"/>
                <w:lang w:val="en-US" w:eastAsia="zh-CN"/>
              </w:rPr>
            </w:pPr>
            <w:r>
              <w:rPr>
                <w:rFonts w:hint="eastAsia" w:ascii="Arial" w:hAnsi="宋体" w:eastAsia="Times New Roman" w:cs="Arial"/>
                <w:color w:val="000000"/>
                <w:kern w:val="0"/>
                <w:sz w:val="24"/>
                <w:szCs w:val="24"/>
                <w:highlight w:val="cyan"/>
                <w:lang w:val="en-US" w:eastAsia="zh-CN"/>
              </w:rPr>
              <w:t>1、对各投标人售后服务流程、故障维修、质保期、人员配备、零配件供应、技术支持等进行综合打分：</w:t>
            </w:r>
          </w:p>
          <w:p>
            <w:pPr>
              <w:contextualSpacing/>
              <w:rPr>
                <w:rFonts w:hint="eastAsia" w:ascii="Arial" w:hAnsi="宋体" w:eastAsia="Times New Roman" w:cs="Arial"/>
                <w:color w:val="000000"/>
                <w:kern w:val="0"/>
                <w:sz w:val="24"/>
                <w:szCs w:val="24"/>
                <w:highlight w:val="cyan"/>
                <w:lang w:val="en-US" w:eastAsia="zh-CN"/>
              </w:rPr>
            </w:pPr>
            <w:r>
              <w:rPr>
                <w:rFonts w:hint="eastAsia" w:ascii="Arial" w:hAnsi="宋体" w:eastAsia="Times New Roman" w:cs="Arial"/>
                <w:color w:val="000000"/>
                <w:kern w:val="0"/>
                <w:sz w:val="24"/>
                <w:szCs w:val="24"/>
                <w:highlight w:val="cyan"/>
                <w:lang w:val="en-US" w:eastAsia="zh-CN"/>
              </w:rPr>
              <w:t>优：售后服务、故障维修、修复时间、项目维护方案及应急处理等售后计划措施方案完整合理，可行性强，完全满足或优于采购文件要求，得20分；</w:t>
            </w:r>
          </w:p>
          <w:p>
            <w:pPr>
              <w:contextualSpacing/>
              <w:rPr>
                <w:rFonts w:hint="eastAsia" w:ascii="Arial" w:hAnsi="宋体" w:eastAsia="Times New Roman" w:cs="Arial"/>
                <w:color w:val="000000"/>
                <w:kern w:val="0"/>
                <w:sz w:val="24"/>
                <w:szCs w:val="24"/>
                <w:highlight w:val="cyan"/>
                <w:lang w:val="en-US" w:eastAsia="zh-CN"/>
              </w:rPr>
            </w:pPr>
            <w:r>
              <w:rPr>
                <w:rFonts w:hint="eastAsia" w:ascii="Arial" w:hAnsi="宋体" w:eastAsia="Times New Roman" w:cs="Arial"/>
                <w:color w:val="000000"/>
                <w:kern w:val="0"/>
                <w:sz w:val="24"/>
                <w:szCs w:val="24"/>
                <w:highlight w:val="cyan"/>
                <w:lang w:val="en-US" w:eastAsia="zh-CN"/>
              </w:rPr>
              <w:t>良：售后服务、故障维修方案完整、可行性一般，基本符合采购文件要求，得12分；</w:t>
            </w:r>
          </w:p>
          <w:p>
            <w:pPr>
              <w:contextualSpacing/>
              <w:rPr>
                <w:rFonts w:hint="eastAsia" w:ascii="Arial" w:hAnsi="宋体" w:eastAsia="Times New Roman" w:cs="Arial"/>
                <w:color w:val="000000"/>
                <w:kern w:val="0"/>
                <w:sz w:val="24"/>
                <w:szCs w:val="24"/>
                <w:highlight w:val="cyan"/>
                <w:lang w:val="en-US" w:eastAsia="zh-CN"/>
              </w:rPr>
            </w:pPr>
            <w:r>
              <w:rPr>
                <w:rFonts w:hint="eastAsia" w:ascii="Arial" w:hAnsi="宋体" w:eastAsia="Times New Roman" w:cs="Arial"/>
                <w:color w:val="000000"/>
                <w:kern w:val="0"/>
                <w:sz w:val="24"/>
                <w:szCs w:val="24"/>
                <w:highlight w:val="cyan"/>
                <w:lang w:val="en-US" w:eastAsia="zh-CN"/>
              </w:rPr>
              <w:t>差：售后服务、故障维修方案基本完整、可行性较差，不符合采购文件要求，得3分。</w:t>
            </w:r>
          </w:p>
          <w:p>
            <w:pPr>
              <w:pStyle w:val="24"/>
              <w:numPr>
                <w:ilvl w:val="0"/>
                <w:numId w:val="0"/>
              </w:numPr>
              <w:jc w:val="both"/>
              <w:rPr>
                <w:rFonts w:hint="eastAsia" w:ascii="Arial" w:hAnsi="宋体" w:eastAsia="Times New Roman" w:cs="Arial"/>
                <w:color w:val="000000"/>
                <w:kern w:val="0"/>
                <w:sz w:val="24"/>
                <w:szCs w:val="24"/>
                <w:highlight w:val="cyan"/>
                <w:lang w:val="en-US" w:eastAsia="zh-CN"/>
              </w:rPr>
            </w:pPr>
            <w:r>
              <w:rPr>
                <w:rFonts w:hint="eastAsia" w:ascii="Arial" w:hAnsi="宋体" w:eastAsia="Times New Roman" w:cs="Arial"/>
                <w:color w:val="000000"/>
                <w:kern w:val="0"/>
                <w:sz w:val="24"/>
                <w:szCs w:val="24"/>
                <w:highlight w:val="cyan"/>
                <w:lang w:val="en-US" w:eastAsia="zh-CN"/>
              </w:rPr>
              <w:t>（提供场地、人员配备的证明材料或相应承诺）</w:t>
            </w:r>
          </w:p>
          <w:p>
            <w:pPr>
              <w:pStyle w:val="24"/>
              <w:numPr>
                <w:ilvl w:val="0"/>
                <w:numId w:val="0"/>
              </w:numPr>
              <w:jc w:val="both"/>
              <w:rPr>
                <w:rFonts w:hint="eastAsia" w:ascii="Arial" w:hAnsi="宋体" w:eastAsia="Times New Roman" w:cs="Arial"/>
                <w:color w:val="000000"/>
                <w:kern w:val="0"/>
                <w:sz w:val="24"/>
                <w:szCs w:val="24"/>
                <w:highlight w:val="cyan"/>
                <w:lang w:val="en-US" w:eastAsia="zh-CN"/>
              </w:rPr>
            </w:pPr>
            <w:r>
              <w:rPr>
                <w:rFonts w:hint="eastAsia" w:ascii="Times New Roman" w:hAnsi="Times New Roman" w:eastAsia="Times New Roman" w:cs="Times New Roman"/>
                <w:highlight w:val="cyan"/>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675" w:type="dxa"/>
            <w:vMerge w:val="continue"/>
            <w:tcBorders>
              <w:bottom w:val="single" w:color="auto" w:sz="4" w:space="0"/>
            </w:tcBorders>
            <w:noWrap w:val="0"/>
            <w:vAlign w:val="top"/>
          </w:tcPr>
          <w:p>
            <w:pPr>
              <w:pStyle w:val="29"/>
              <w:snapToGrid w:val="0"/>
              <w:spacing w:line="420" w:lineRule="exact"/>
              <w:ind w:firstLine="0" w:firstLineChars="0"/>
              <w:rPr>
                <w:rFonts w:ascii="宋体" w:hAnsi="宋体" w:eastAsia="宋体"/>
                <w:b w:val="0"/>
                <w:kern w:val="0"/>
                <w:sz w:val="24"/>
                <w:szCs w:val="24"/>
                <w:highlight w:val="cyan"/>
              </w:rPr>
            </w:pPr>
          </w:p>
        </w:tc>
        <w:tc>
          <w:tcPr>
            <w:tcW w:w="1805" w:type="dxa"/>
            <w:tcBorders>
              <w:bottom w:val="single" w:color="auto" w:sz="4" w:space="0"/>
            </w:tcBorders>
            <w:noWrap w:val="0"/>
            <w:vAlign w:val="center"/>
          </w:tcPr>
          <w:p>
            <w:pPr>
              <w:pStyle w:val="29"/>
              <w:snapToGrid w:val="0"/>
              <w:spacing w:line="420" w:lineRule="exact"/>
              <w:ind w:firstLine="0" w:firstLineChars="0"/>
              <w:jc w:val="left"/>
              <w:rPr>
                <w:rFonts w:hint="default" w:ascii="宋体" w:hAnsi="宋体" w:eastAsia="宋体"/>
                <w:b w:val="0"/>
                <w:kern w:val="0"/>
                <w:sz w:val="24"/>
                <w:szCs w:val="24"/>
                <w:highlight w:val="cyan"/>
                <w:lang w:val="en-US" w:eastAsia="zh-CN"/>
              </w:rPr>
            </w:pPr>
            <w:r>
              <w:rPr>
                <w:rFonts w:hint="eastAsia" w:ascii="宋体" w:hAnsi="宋体" w:eastAsia="宋体"/>
                <w:b w:val="0"/>
                <w:kern w:val="0"/>
                <w:sz w:val="24"/>
                <w:szCs w:val="24"/>
                <w:highlight w:val="cyan"/>
                <w:lang w:val="en-US" w:eastAsia="zh-CN"/>
              </w:rPr>
              <w:t>质保承诺</w:t>
            </w:r>
          </w:p>
        </w:tc>
        <w:tc>
          <w:tcPr>
            <w:tcW w:w="1134" w:type="dxa"/>
            <w:tcBorders>
              <w:bottom w:val="single" w:color="auto" w:sz="4" w:space="0"/>
            </w:tcBorders>
            <w:noWrap w:val="0"/>
            <w:vAlign w:val="center"/>
          </w:tcPr>
          <w:p>
            <w:pPr>
              <w:contextualSpacing/>
              <w:jc w:val="center"/>
              <w:rPr>
                <w:rFonts w:hint="eastAsia" w:ascii="Arial" w:hAnsi="宋体" w:cs="Arial"/>
                <w:kern w:val="0"/>
                <w:sz w:val="24"/>
                <w:szCs w:val="24"/>
                <w:highlight w:val="cyan"/>
                <w:lang w:val="en-US" w:eastAsia="zh-CN"/>
              </w:rPr>
            </w:pPr>
            <w:r>
              <w:rPr>
                <w:rFonts w:hint="eastAsia" w:ascii="Arial" w:hAnsi="宋体" w:cs="Arial"/>
                <w:kern w:val="0"/>
                <w:sz w:val="24"/>
                <w:szCs w:val="24"/>
                <w:highlight w:val="cyan"/>
                <w:lang w:val="en-US" w:eastAsia="zh-CN"/>
              </w:rPr>
              <w:t>5分</w:t>
            </w:r>
          </w:p>
        </w:tc>
        <w:tc>
          <w:tcPr>
            <w:tcW w:w="6356" w:type="dxa"/>
            <w:tcBorders>
              <w:bottom w:val="single" w:color="auto" w:sz="4" w:space="0"/>
            </w:tcBorders>
            <w:noWrap w:val="0"/>
            <w:vAlign w:val="center"/>
          </w:tcPr>
          <w:p>
            <w:pPr>
              <w:contextualSpacing/>
              <w:rPr>
                <w:rFonts w:hint="eastAsia" w:ascii="Arial" w:hAnsi="宋体" w:eastAsia="Times New Roman" w:cs="Arial"/>
                <w:color w:val="000000"/>
                <w:kern w:val="0"/>
                <w:sz w:val="24"/>
                <w:szCs w:val="24"/>
                <w:highlight w:val="cyan"/>
              </w:rPr>
            </w:pPr>
            <w:r>
              <w:rPr>
                <w:rFonts w:hint="eastAsia" w:ascii="Arial" w:hAnsi="宋体" w:cs="Arial"/>
                <w:color w:val="000000"/>
                <w:kern w:val="0"/>
                <w:sz w:val="24"/>
                <w:szCs w:val="24"/>
                <w:highlight w:val="cyan"/>
              </w:rPr>
              <w:t>供应商提供质保年限最短为两年得</w:t>
            </w:r>
            <w:r>
              <w:rPr>
                <w:rFonts w:hint="eastAsia" w:ascii="Arial" w:hAnsi="宋体" w:eastAsia="宋体" w:cs="Arial"/>
                <w:color w:val="000000"/>
                <w:kern w:val="0"/>
                <w:sz w:val="24"/>
                <w:szCs w:val="24"/>
                <w:highlight w:val="cyan"/>
                <w:lang w:val="en-US" w:eastAsia="zh-CN"/>
              </w:rPr>
              <w:t>3</w:t>
            </w:r>
            <w:r>
              <w:rPr>
                <w:rFonts w:hint="eastAsia" w:ascii="Arial" w:hAnsi="宋体" w:cs="Arial"/>
                <w:color w:val="000000"/>
                <w:kern w:val="0"/>
                <w:sz w:val="24"/>
                <w:szCs w:val="24"/>
                <w:highlight w:val="cyan"/>
              </w:rPr>
              <w:t>分，每增加一年得1分，最高得</w:t>
            </w:r>
            <w:r>
              <w:rPr>
                <w:rFonts w:hint="eastAsia" w:ascii="Arial" w:hAnsi="宋体" w:cs="Arial"/>
                <w:color w:val="000000"/>
                <w:kern w:val="0"/>
                <w:sz w:val="24"/>
                <w:szCs w:val="24"/>
                <w:highlight w:val="cyan"/>
                <w:lang w:val="en-US" w:eastAsia="zh-CN"/>
              </w:rPr>
              <w:t>5</w:t>
            </w:r>
            <w:r>
              <w:rPr>
                <w:rFonts w:hint="eastAsia" w:ascii="Arial" w:hAnsi="宋体" w:cs="Arial"/>
                <w:color w:val="000000"/>
                <w:kern w:val="0"/>
                <w:sz w:val="24"/>
                <w:szCs w:val="24"/>
                <w:highlight w:val="cy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970" w:type="dxa"/>
            <w:gridSpan w:val="4"/>
            <w:tcBorders>
              <w:top w:val="single" w:color="auto" w:sz="4" w:space="0"/>
              <w:bottom w:val="single" w:color="auto" w:sz="4" w:space="0"/>
              <w:right w:val="single" w:color="auto" w:sz="4" w:space="0"/>
            </w:tcBorders>
            <w:noWrap w:val="0"/>
            <w:vAlign w:val="center"/>
          </w:tcPr>
          <w:p>
            <w:pPr>
              <w:contextualSpacing/>
              <w:jc w:val="center"/>
              <w:rPr>
                <w:rFonts w:hint="eastAsia" w:ascii="Arial" w:hAnsi="宋体" w:cs="Arial"/>
                <w:color w:val="000000"/>
                <w:kern w:val="0"/>
                <w:sz w:val="24"/>
                <w:szCs w:val="24"/>
                <w:highlight w:val="cyan"/>
              </w:rPr>
            </w:pPr>
            <w:r>
              <w:rPr>
                <w:rFonts w:hint="eastAsia" w:ascii="Arial" w:hAnsi="宋体" w:cs="Arial"/>
                <w:kern w:val="0"/>
                <w:sz w:val="24"/>
                <w:szCs w:val="24"/>
                <w:highlight w:val="cyan"/>
              </w:rPr>
              <w:t>合计（100分）</w:t>
            </w:r>
          </w:p>
        </w:tc>
      </w:tr>
    </w:tbl>
    <w:p>
      <w:pPr>
        <w:pStyle w:val="14"/>
        <w:rPr>
          <w:rFonts w:hint="eastAsia" w:ascii="宋体" w:hAnsi="宋体"/>
          <w:szCs w:val="21"/>
          <w:highlight w:val="cyan"/>
        </w:rPr>
      </w:pPr>
    </w:p>
    <w:p>
      <w:pPr>
        <w:spacing w:line="360" w:lineRule="auto"/>
        <w:ind w:firstLine="480" w:firstLineChars="200"/>
        <w:rPr>
          <w:rFonts w:ascii="宋体" w:hAnsi="宋体"/>
          <w:szCs w:val="21"/>
          <w:highlight w:val="cyan"/>
        </w:rPr>
      </w:pPr>
      <w:r>
        <w:rPr>
          <w:rFonts w:hint="eastAsia" w:ascii="宋体" w:hAnsi="宋体"/>
          <w:szCs w:val="21"/>
          <w:highlight w:val="cyan"/>
        </w:rPr>
        <w:t>备注：</w:t>
      </w:r>
      <w:r>
        <w:rPr>
          <w:rFonts w:ascii="宋体" w:hAnsi="宋体"/>
          <w:szCs w:val="21"/>
          <w:highlight w:val="cyan"/>
        </w:rPr>
        <w:t>1</w:t>
      </w:r>
      <w:r>
        <w:rPr>
          <w:rFonts w:hint="eastAsia" w:ascii="宋体" w:hAnsi="宋体"/>
          <w:szCs w:val="21"/>
          <w:highlight w:val="cyan"/>
        </w:rPr>
        <w:t>、评委应在认真理解本招标文件和项目有关情况后，做出需自己负责的按上述内容对投标人进行评审。</w:t>
      </w:r>
    </w:p>
    <w:p>
      <w:pPr>
        <w:spacing w:line="360" w:lineRule="auto"/>
        <w:ind w:firstLine="480" w:firstLineChars="200"/>
        <w:rPr>
          <w:rFonts w:hint="eastAsia" w:ascii="宋体" w:hAnsi="宋体"/>
          <w:szCs w:val="21"/>
          <w:highlight w:val="cyan"/>
        </w:rPr>
      </w:pPr>
      <w:r>
        <w:rPr>
          <w:rFonts w:hint="eastAsia" w:ascii="宋体" w:hAnsi="宋体"/>
          <w:szCs w:val="21"/>
          <w:highlight w:val="cyan"/>
        </w:rPr>
        <w:t>2、技术、商务部分权重</w:t>
      </w:r>
      <w:r>
        <w:rPr>
          <w:rFonts w:hint="eastAsia" w:ascii="宋体" w:hAnsi="宋体"/>
          <w:szCs w:val="21"/>
          <w:highlight w:val="cyan"/>
          <w:lang w:val="en-US" w:eastAsia="zh-CN"/>
        </w:rPr>
        <w:t>7</w:t>
      </w:r>
      <w:r>
        <w:rPr>
          <w:rFonts w:ascii="宋体" w:hAnsi="宋体"/>
          <w:szCs w:val="21"/>
          <w:highlight w:val="cyan"/>
        </w:rPr>
        <w:t>0%</w:t>
      </w:r>
      <w:r>
        <w:rPr>
          <w:rFonts w:hint="eastAsia" w:ascii="宋体" w:hAnsi="宋体"/>
          <w:szCs w:val="21"/>
          <w:highlight w:val="cyan"/>
        </w:rPr>
        <w:t>；投标投标报价部分权重</w:t>
      </w:r>
      <w:r>
        <w:rPr>
          <w:rFonts w:hint="eastAsia" w:ascii="宋体" w:hAnsi="宋体"/>
          <w:szCs w:val="21"/>
          <w:highlight w:val="cyan"/>
          <w:lang w:val="en-US" w:eastAsia="zh-CN"/>
        </w:rPr>
        <w:t>30</w:t>
      </w:r>
      <w:r>
        <w:rPr>
          <w:rFonts w:ascii="宋体" w:hAnsi="宋体"/>
          <w:szCs w:val="21"/>
          <w:highlight w:val="cyan"/>
        </w:rPr>
        <w:t>%</w:t>
      </w:r>
    </w:p>
    <w:p>
      <w:pPr>
        <w:spacing w:line="360" w:lineRule="auto"/>
        <w:ind w:firstLine="480" w:firstLineChars="200"/>
        <w:rPr>
          <w:rFonts w:ascii="宋体" w:hAnsi="宋体"/>
          <w:szCs w:val="21"/>
          <w:highlight w:val="cyan"/>
        </w:rPr>
      </w:pPr>
      <w:r>
        <w:rPr>
          <w:rFonts w:hint="eastAsia" w:ascii="宋体" w:hAnsi="宋体"/>
          <w:szCs w:val="21"/>
          <w:highlight w:val="cyan"/>
        </w:rPr>
        <w:t>3、投标人最终得分等于技术、商务部分、报价二者得分之和。</w:t>
      </w:r>
    </w:p>
    <w:p>
      <w:pPr>
        <w:pStyle w:val="8"/>
        <w:tabs>
          <w:tab w:val="clear" w:pos="567"/>
        </w:tabs>
        <w:spacing w:before="0" w:line="360" w:lineRule="auto"/>
        <w:ind w:left="-206" w:leftChars="-86" w:firstLine="660" w:firstLineChars="275"/>
        <w:rPr>
          <w:rFonts w:hint="eastAsia"/>
          <w:highlight w:val="cyan"/>
        </w:rPr>
      </w:pPr>
      <w:r>
        <w:rPr>
          <w:rFonts w:hint="eastAsia"/>
          <w:szCs w:val="21"/>
          <w:highlight w:val="cyan"/>
        </w:rPr>
        <w:t>4、评标委员会按照投标人最终得分由高到底顺序确定出各投标人排名顺序。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b/>
          <w:highlight w:val="green"/>
        </w:rPr>
        <w:t>（提供非进口产品投标承诺函，承诺函格式自拟）</w:t>
      </w:r>
      <w:r>
        <w:rPr>
          <w:b/>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11</w:t>
      </w:r>
      <w:r>
        <w:rPr>
          <w:rFonts w:hint="eastAsia" w:ascii="宋体" w:hAnsi="宋体" w:eastAsia="宋体" w:cs="宋体"/>
          <w:b/>
          <w:highlight w:val="green"/>
        </w:rPr>
        <w:t>）</w:t>
      </w:r>
      <w:r>
        <w:rPr>
          <w:b/>
          <w:highlight w:val="green"/>
        </w:rPr>
        <w:t>本项目</w:t>
      </w:r>
      <w:r>
        <w:rPr>
          <w:rFonts w:hint="eastAsia" w:eastAsia="宋体"/>
          <w:b/>
          <w:highlight w:val="green"/>
          <w:lang w:eastAsia="zh-CN"/>
        </w:rPr>
        <w:t>为专门面向中小企业采购项目，供应商应为中小企业/小微企业（在《中小企业声明函（服务）》作出说明）、监狱企业（在《残疾人福利性单位声明函（服务）》作出说明）、残疾人福利企业（在《监狱企业声明函（服务）》作出说明）</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KSS(GK)2022-025</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喀什市公安局办公用品、清洁用品及办公耗材采购项目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3500000.00元（叁佰伍拾万元整）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9"/>
        <w:rPr>
          <w:rFonts w:hint="eastAsia" w:ascii="仿宋" w:hAnsi="仿宋" w:eastAsia="仿宋" w:cs="仿宋"/>
          <w:color w:val="000000"/>
          <w:kern w:val="0"/>
          <w:sz w:val="28"/>
          <w:szCs w:val="28"/>
        </w:rPr>
      </w:pPr>
    </w:p>
    <w:p>
      <w:pPr>
        <w:pStyle w:val="9"/>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2022年12月19日至2023年1月9日16:30:00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2023年1月9日16:30:00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bookmarkStart w:id="70" w:name="_GoBack"/>
      <w:bookmarkEnd w:id="70"/>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2"/>
        <w:gridCol w:w="1274"/>
        <w:gridCol w:w="737"/>
        <w:gridCol w:w="1777"/>
        <w:gridCol w:w="153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36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88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7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0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喀什市公安局办公用品、清洁用品及办公耗材采购项目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highlight w:val="cyan"/>
                <w:lang w:val="en-US" w:eastAsia="zh-CN" w:bidi="ar"/>
              </w:rPr>
              <w:t>70000.00（柒万元整）</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highlight w:val="cyan"/>
                <w:lang w:eastAsia="zh-CN"/>
              </w:rPr>
              <w:t>中国银行股份有限公司喀什地区分行营业部</w:t>
            </w:r>
          </w:p>
        </w:tc>
        <w:tc>
          <w:tcPr>
            <w:tcW w:w="368"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000000"/>
                <w:sz w:val="24"/>
                <w:lang w:val="en-US" w:eastAsia="zh-CN"/>
              </w:rPr>
            </w:pPr>
            <w:r>
              <w:rPr>
                <w:rFonts w:hint="eastAsia" w:ascii="宋体" w:hAnsi="宋体" w:cs="宋体"/>
                <w:color w:val="000000"/>
                <w:kern w:val="0"/>
                <w:sz w:val="24"/>
                <w:highlight w:val="cyan"/>
                <w:lang w:eastAsia="zh-CN" w:bidi="ar"/>
              </w:rPr>
              <w:t>喀什市公安局</w:t>
            </w:r>
          </w:p>
        </w:tc>
        <w:tc>
          <w:tcPr>
            <w:tcW w:w="88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仿宋_GB2312" w:eastAsia="仿宋_GB2312"/>
                <w:color w:val="FF0000"/>
                <w:sz w:val="24"/>
                <w:highlight w:val="cyan"/>
              </w:rPr>
              <w:t>107605787922</w:t>
            </w:r>
          </w:p>
        </w:tc>
        <w:tc>
          <w:tcPr>
            <w:tcW w:w="767"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highlight w:val="cyan"/>
              </w:rPr>
              <w:t>允许以电汇、</w:t>
            </w:r>
            <w:r>
              <w:rPr>
                <w:rFonts w:hint="eastAsia" w:ascii="宋体" w:hAnsi="宋体" w:eastAsia="宋体" w:cs="宋体"/>
                <w:color w:val="000000"/>
                <w:sz w:val="24"/>
                <w:highlight w:val="cyan"/>
                <w:lang w:eastAsia="zh-CN"/>
              </w:rPr>
              <w:t>网银</w:t>
            </w:r>
            <w:r>
              <w:rPr>
                <w:rFonts w:hint="eastAsia" w:ascii="宋体" w:hAnsi="宋体" w:cs="宋体"/>
                <w:color w:val="000000"/>
                <w:sz w:val="24"/>
                <w:highlight w:val="cyan"/>
              </w:rPr>
              <w:t>转账</w:t>
            </w:r>
            <w:r>
              <w:rPr>
                <w:rFonts w:hint="eastAsia" w:ascii="宋体" w:hAnsi="宋体" w:eastAsia="宋体" w:cs="宋体"/>
                <w:color w:val="000000"/>
                <w:sz w:val="24"/>
                <w:highlight w:val="cyan"/>
                <w:lang w:eastAsia="zh-CN"/>
              </w:rPr>
              <w:t>、</w:t>
            </w:r>
            <w:r>
              <w:rPr>
                <w:rFonts w:hint="eastAsia" w:ascii="宋体" w:hAnsi="宋体" w:cs="宋体"/>
                <w:color w:val="000000"/>
                <w:sz w:val="24"/>
                <w:highlight w:val="cyan"/>
              </w:rPr>
              <w:t>支票、汇票、本票或者金融机构、担保机构出具的保函等</w:t>
            </w:r>
          </w:p>
        </w:tc>
        <w:tc>
          <w:tcPr>
            <w:tcW w:w="40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highlight w:val="cyan"/>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9"/>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喀什市公安局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喀什市尤木拉克协海尔路喀什市公安局</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孙文瑞</w:t>
      </w:r>
      <w:r>
        <w:rPr>
          <w:rFonts w:hint="eastAsia" w:ascii="仿宋" w:hAnsi="仿宋" w:eastAsia="仿宋"/>
          <w:color w:val="FF0000"/>
          <w:sz w:val="28"/>
          <w:szCs w:val="28"/>
        </w:rPr>
        <w:t>：</w:t>
      </w:r>
      <w:r>
        <w:rPr>
          <w:rFonts w:hint="eastAsia" w:ascii="仿宋" w:hAnsi="仿宋" w:eastAsia="仿宋"/>
          <w:color w:val="FF0000"/>
          <w:sz w:val="28"/>
          <w:szCs w:val="28"/>
          <w:lang w:eastAsia="zh-CN"/>
        </w:rPr>
        <w:t>18616211240</w:t>
      </w:r>
      <w:r>
        <w:rPr>
          <w:rFonts w:hint="eastAsia" w:ascii="仿宋" w:hAnsi="仿宋" w:eastAsia="仿宋"/>
          <w:color w:val="000000"/>
          <w:sz w:val="28"/>
          <w:szCs w:val="28"/>
        </w:rPr>
        <w:t>　</w:t>
      </w:r>
    </w:p>
    <w:p>
      <w:pPr>
        <w:pStyle w:val="9"/>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101074876"/>
      <w:bookmarkStart w:id="5" w:name="_Toc100052364"/>
      <w:bookmarkStart w:id="6" w:name="_Toc73521635"/>
      <w:bookmarkStart w:id="7" w:name="_Toc73518117"/>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1</w:t>
            </w:r>
            <w:r>
              <w:rPr>
                <w:rFonts w:hint="eastAsia" w:ascii="宋体" w:hAnsi="宋体" w:eastAsia="宋体"/>
                <w:szCs w:val="21"/>
              </w:rPr>
              <w:t>名，随机抽取专家</w:t>
            </w:r>
            <w:r>
              <w:rPr>
                <w:rFonts w:hint="eastAsia" w:ascii="宋体" w:hAnsi="宋体" w:eastAsia="宋体"/>
                <w:szCs w:val="21"/>
                <w:lang w:val="en-US" w:eastAsia="zh-CN"/>
              </w:rPr>
              <w:t>4</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hint="eastAsia" w:ascii="宋体" w:hAnsi="宋体" w:eastAsia="宋体"/>
          <w:lang w:eastAsia="zh-CN"/>
        </w:rPr>
      </w:pPr>
      <w:r>
        <w:rPr>
          <w:rFonts w:hint="eastAsia" w:ascii="宋体" w:hAnsi="宋体" w:eastAsia="宋体"/>
          <w:b/>
          <w:bCs/>
          <w:color w:val="FF0000"/>
          <w:lang w:eastAsia="zh-CN"/>
        </w:rPr>
        <w:t>本项目为专门面向中小企业采购项目，不进行价格扣除</w:t>
      </w:r>
      <w:r>
        <w:rPr>
          <w:rFonts w:hint="eastAsia" w:ascii="宋体" w:hAnsi="宋体" w:eastAsia="宋体"/>
          <w:lang w:eastAsia="zh-CN"/>
        </w:rPr>
        <w:t>。</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KSS(GK)2022-025</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喀什市公安局办公用品、清洁用品及办公耗材采购项目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3500000.00元（叁佰伍拾万元整）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fill="FFFFFF"/>
                <w:lang w:eastAsia="zh-CN"/>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3500000.00元（叁佰伍拾万元整）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Arial" w:hAnsi="Arial" w:eastAsia="宋体"/>
          <w:b/>
          <w:color w:val="FF0000"/>
          <w:sz w:val="32"/>
          <w:szCs w:val="32"/>
          <w:highlight w:val="cyan"/>
          <w:lang w:eastAsia="zh-CN"/>
        </w:rPr>
        <w:t>办公用品、清洁用品及办公耗材</w:t>
      </w:r>
    </w:p>
    <w:p/>
    <w:p>
      <w:pPr>
        <w:rPr>
          <w:rFonts w:hint="eastAsia" w:eastAsia="宋体"/>
          <w:b/>
          <w:bCs/>
          <w:sz w:val="40"/>
          <w:szCs w:val="40"/>
          <w:lang w:eastAsia="zh-CN"/>
        </w:rPr>
      </w:pPr>
      <w:r>
        <w:rPr>
          <w:rFonts w:hint="eastAsia" w:eastAsia="宋体"/>
          <w:b/>
          <w:bCs/>
          <w:sz w:val="40"/>
          <w:szCs w:val="40"/>
          <w:lang w:eastAsia="zh-CN"/>
        </w:rPr>
        <w:t>货物需求明细：</w:t>
      </w:r>
    </w:p>
    <w:p>
      <w:pPr>
        <w:pStyle w:val="2"/>
        <w:rPr>
          <w:rFonts w:hint="eastAsia"/>
          <w:lang w:eastAsia="zh-CN"/>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tbl>
      <w:tblPr>
        <w:tblStyle w:val="18"/>
        <w:tblW w:w="49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494"/>
        <w:gridCol w:w="3337"/>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highlight w:val="cyan"/>
                <w:u w:val="none"/>
                <w:lang w:eastAsia="zh-CN"/>
              </w:rPr>
            </w:pPr>
            <w:r>
              <w:rPr>
                <w:rFonts w:hint="eastAsia" w:ascii="仿宋" w:hAnsi="仿宋" w:eastAsia="仿宋" w:cs="仿宋"/>
                <w:i w:val="0"/>
                <w:iCs w:val="0"/>
                <w:color w:val="000000"/>
                <w:kern w:val="0"/>
                <w:sz w:val="20"/>
                <w:szCs w:val="20"/>
                <w:u w:val="none"/>
                <w:lang w:val="en-US" w:eastAsia="zh-CN" w:bidi="ar"/>
              </w:rPr>
              <w:t>备注</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货物名称</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型号.规格.适用机型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大号剪刀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总长18-21MM  不锈钢材质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小号剪刀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总长13-16MM  不锈钢材质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大头针</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2＃24mm（50g／盒）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笔筒(PPC)</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塑料717桌面多功能大容量收纳笔架/个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大笔筒(木质）</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胡桃木质710桌面多功能大容量收纳笔架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铅笔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2B铅笔  国标标准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铅笔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2B铅笔六角款 2.5mm   加粗笔芯 可擦式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6#15mm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5#19mm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4#25mm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3#32mm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2#41mm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长尾夹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电池</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18510  5号碱性电池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电池</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18505  7号碱性电池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固体胶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36gpvp高粘度固体胶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固体胶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8gpvp高粘度固体胶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固体胶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20gpvp高粘度固体胶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固体胶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15gpvp高粘度固体胶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彩色复印纸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80g A4彩纸 100张/包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圆珠笔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蓝 黑 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记号笔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红黑蓝三种颜色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墨水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黑·红色 墨水852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印油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高效快干红色印油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3cm档案盒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牛皮纸质厚度1.0-1.1mm，680-700g   书写标签，套扣设计，定制封面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20个/份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4cm档案盒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牛皮纸质厚度1.0-1.1mm，680-700g   书写标签，套扣设计，定制封面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20个/份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橡皮</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2B 4B 橡皮大号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A4网格拉链袋</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拉链 防水 资料袋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复印纸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A3多功能复印纸80g  297MM*420MM  500张/包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复印纸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A4多功能复印纸 80g 297MM*210MM  500张/包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按动中性笔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黑色1.0MM.黑色0.7MM.黑色0.5MM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按动中性笔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红色0.5MM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计算器</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大屏宽屏显示，12位以上，真人语音，太阳能 双电源型号:1512，宽135mm长165mm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计算器</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大屏宽屏显示横式，12位以上，真人语音，太阳能   双电源型，宽155mm长195mm厚4mm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档案封皮纸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A4档案牛皮纸   200张/100套/包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推夹器</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8592  中号金属推夹器+补充夹子50枚/套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信签纸 单线</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一本装，红线横格 50页/本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信签纸 双线</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一本装，红双线横格50页/本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A4软抄本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80张 型号：1-6-120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A4软抄本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100张 型号：1-12-192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A4软抄本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60张 型号：1-12-288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打码机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手动 9位数字 打码器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重型订书机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订210张</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订书机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可旋转订50张以上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订书针</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ABS92615 10# 与订书机配套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插线板</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5M线，双排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插线板</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3M线，双排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活动铅笔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型号：36-288-1152 S325  0.5mm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活动铅笔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型号：36-288-1152 S326  0.7mm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塑料文件盒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A4.PP材质 蓝色，239*317*55mm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塑料文件盒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A4.PP材质 蓝色，239*317*75mm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抽杆夹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5-120-480 加厚A4，约 200张 规格：305mm*215mm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抽杆夹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24-96 加厚A4，约45张  规格：305mm*215mm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抽杆夹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60-120 加厚A4，约30张 规格：305mm*215mm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回形针</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3#0018  100枚／盒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三色一体笔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abpv6201  黑红蓝三色笔 0.38mm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皮面笔记本</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黑色 150-200张 148MM*212MM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彩色打印纸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A4 210MM*297MM 100张 /包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起钉器</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起钉器，带安全锁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双夹文件夹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 双强力 硬资料夹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双面胶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18MM*3Y*1UM 型号：1-12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塑料封皮</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A4 透明装订封面胶片 10张/份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白板笔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33678  黑色白板笔易写易擦  单头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文件筐</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318*300*308mm 加厚多功能笔筒四联档案文件夹置物架，带收纳盒蓝色.黑色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会议桌签</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v型亚克力盒台卡/份v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直液笔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全针管1.0MM，0.5MM，0.38MM，黑色 得力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活页芯</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加厚6孔和9孔/本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中性笔</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全针管0.7MM，黑色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美工刀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2052  小号 铁质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美工刀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dl2001  中号 铁质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美工刀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2041  大号 铁质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快干印台</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135mm*86mm方形透明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快干印台</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80mm*65mm圆形透明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透明胶带</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dl30133  24MM*60Y*50UM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透明胶带</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dl33548 48MM*200Y*50UM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钢直尺</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30cm不锈钢直尺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板夹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315*225mm PP材质书写文件夹 透明.蓝色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荣誉证书</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8K红色绒面/本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荣誉证书</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A4红色绒面/本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转笔刀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型号：1-24-48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液体胶水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高粘度液体胶，50ml刷片胶头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液体胶水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高粘度液体胶，125ml刷片胶头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金属单强力夹</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 蓝色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牛皮纸档案袋</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A4 加厚 折叠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便利贴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66307  76MM*19MM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便利贴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21750  76MM*76MM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订书针</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订20张，订书机配套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文件包</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双层手提，布，黑色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复写纸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9370  48K 185MM*85MM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易事贴</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51*76 2*3 100张/份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口取贴纸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 大中小 红蓝两色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盆子（大）</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无盖加厚塑料制品/个（直径50cm）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盆子（小）</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无盖加厚塑料制品/个（直径28cm）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高浓度84消毒液</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5kg/桶   含氯除菌消毒洁厕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垃圾桶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加厚塑料耐用带压圈6.5l垃圾桶/个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水桶</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加盖加厚塑料制品/个（直径上55cm，底44cm　高56cm）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长平拖把</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拖布：80cm 杆长:130cm拖布材质面线：棉线   拖干材质；不锈钢加粗加强架子 加厚帆布面料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长平拖把</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拖布：110cm 杆长:130cm拖布材质面线：棉线 　拖干材质；不锈钢加粗加强架子  加厚帆布面料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洗洁精</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大桶强效去油健康除菌餐具洗洁精（10KG）/桶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一次性筷子</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毛竹  5mm　1000双／件 竹制 光滑无毛刺  质检合格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皮围裙</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pu皮材质，防水防油效果好 耐磨 加长加厚无袖</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皮袖套</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防水防油耐磨 四针宽皮筋袖口 加厚36cm*16cm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不掉渣不生锈清洁球</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410特大号 不锈钢材质　9cm   单球重量不低于13克  120个/箱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一次性饭盒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1000ml 顶14.5cm高9cm底10.4cm 300个／件　pp材质 食品接触用 可微波加热 冰箱冷藏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草酸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草酸除锈垢清洁剂（1Kg）/桶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手榴弹油烟净</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强力去油污清洁剂 400g/瓶   20瓶/件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生活用纸</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100%原生木浆3层200抽抽纸/6包/提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洗手液</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抑菌洗手液500ml/瓶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强力蚊蝇香</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10盘/盒 70克每盒 驱灭苍蝇蚊子小飞虫等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扫把簸箕套装</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不锈钢杆扫把簸箕/套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纸杯</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200毫升，7盎司，100只/包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毛巾</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加厚吸水去污 干湿两用毛巾/条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一次性PE手套</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材质：PE聚乙烯  环保隔水隔油加厚  100只／包　100包／件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白线手套</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长21-23cm，防滑耐磨，透气效果好，白色800ｇ线纱包边手套　中厚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垃圾袋</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120*130cm，加厚环卫塑料袋（50只/包）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垃圾袋</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55*65cm，背心式加厚塑料袋（100只/包）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自来水软管</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环保pvc颗粒生产符合环保标准，无毒无异味内外壁光滑 6分 内径:19mm  50米/卷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CF410· CF411· CF412·CF413原装彩色硒鼓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PRO M452/M477/M352/M377(X-6.5K/5K)（410A/X）</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CF510A·CF511A·CF512A·CF513A原装彩色硒鼓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PRO M154/M180n/M181fw(X-3.2K/2.5K)（204A/205A)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CE740A·CE741A·CE741A ·CE743A原装彩色硒鼓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CP5225n、 LBP9100/9500C/9600C (CRG322)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TN2225-420</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兄弟HL2240/2230/2250/2280  dcp7060/7065 / 兄弟MFC 7360/7460/7860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HP2612A 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Laserjet1010/1012/1015/1018/3015/3020/3030/020                                       Canon： Fax L-100/120, MF4150/ 4120//4660PL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HPCF228A 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PRO M403/M427(CF228X-9.2K)</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HPCE505A 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LaserJet2035/2055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HPCF230粉盒 无芯片</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CF230A 30A 32A M203 M227 M230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HPCF230粉盒 有芯片</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CF230A 30A 32A M203 M227 M230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CE320A·CE321A·CE322A·CE323A原装彩色粉盒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彩色HP CP1525/CM1415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CB540A·CB541A·CB542A·CB543A原装彩色粉盒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CP1215/1210/1217/1510/1515/1518  /CM1312/1300、LBP5050(CRG316/716),MF8050/8030(CRG116/416/716)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HPCF280A  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LaserJet400  M401DN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HPCB436A  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 xml:space="preserve">HP M1522/1120/1120N/P1505/1505F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HP93A\192A 原装硒鼓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M435nw,M701a,M701n,M706n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DR3135/3235/3285/3250鼓-580</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兄弟HL5240/5250/DCP8060/MFC8460/8860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TN3135/3235/3250粉盒-580</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兄弟HL5240/5250/DCP8060/MFC8460/8861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1035粉盒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HL-1112 1118</w:t>
            </w:r>
            <w:r>
              <w:rPr>
                <w:rStyle w:val="30"/>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DCP-1518/1618/1510 MFC-1818 1813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1035硒鼓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HL-1112 1118</w:t>
            </w:r>
            <w:r>
              <w:rPr>
                <w:rStyle w:val="30"/>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DCP-1518/1618/1510 MFC-1818 1814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333A粉盒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HPM437\M439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283-BK/CMY彩色粉盒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HL-3160cdn/3190cdw/9030cdn mf</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LD205彩色粉盒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CS2010DW CF2090DWA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LT2451粉盒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M7605D/M7615DNA/M7455DNF/M7655DHF /M7676D LD2451H</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LD2451硒鼓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M7605D/M7615DNA/M7455DNF/M7655DHF /M7676D LD2452H</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281-BK/CMY彩色粉盒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TN221/285/261/241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HPCF217粉盒(无芯片)</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130/102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HPCF219硒鼓(无芯片)</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CF218A 18A 19A M102 104 M130 132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HPCF232硒鼓(无芯片)</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CF230A 30A 32A M203 M227 M230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CE410A ·CE411A·CE412A ·CE413A 彩色硒鼓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HP M351A M451DN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CC530A·CC531A·CC532A·CC533A彩色硒鼓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S1810  A4幅面、5%覆盖率，约打印6000页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TN660粉盒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Brother DCP-L2520DW/L2540DW/L2300D/L2320D/L2340DW/L2360DW/L2380DW/L2500D/MFC-L2700DW/L2720DW/L2740DW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281-BK/CMY彩色粉盒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TN221/285/261/241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四色/套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HB2325粉盒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HL-2560DN / HL-2260 DCP-7080 / 7080D / 7180DN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HB2350硒鼓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MFC-7380/7480D /7880DN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TN2015粉盒</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Brother HL2130/DCP7055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宋体" w:hAnsi="宋体" w:eastAsia="宋体"/>
                <w:b/>
                <w:color w:val="FF0000"/>
                <w:szCs w:val="21"/>
              </w:rPr>
              <w:t>★</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DR2015硒鼓</w:t>
            </w:r>
          </w:p>
        </w:tc>
        <w:tc>
          <w:tcPr>
            <w:tcW w:w="3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DR420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cyan"/>
                <w:u w:val="none"/>
              </w:rPr>
            </w:pPr>
            <w:r>
              <w:rPr>
                <w:rFonts w:hint="eastAsia" w:ascii="仿宋" w:hAnsi="仿宋" w:eastAsia="仿宋" w:cs="仿宋"/>
                <w:i w:val="0"/>
                <w:iCs w:val="0"/>
                <w:color w:val="000000"/>
                <w:kern w:val="0"/>
                <w:sz w:val="20"/>
                <w:szCs w:val="20"/>
                <w:u w:val="none"/>
                <w:lang w:val="en-US" w:eastAsia="zh-CN" w:bidi="ar"/>
              </w:rPr>
              <w:t>419</w:t>
            </w:r>
          </w:p>
        </w:tc>
      </w:tr>
    </w:tbl>
    <w:p>
      <w:pPr>
        <w:pStyle w:val="2"/>
        <w:rPr>
          <w:rFonts w:hint="eastAsia"/>
          <w:lang w:eastAsia="zh-CN"/>
        </w:rPr>
      </w:pP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cs="宋体"/>
                <w:b/>
                <w:color w:val="FF0000"/>
                <w:sz w:val="22"/>
                <w:szCs w:val="21"/>
                <w:highlight w:val="cyan"/>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eastAsia="宋体" w:cs="宋体"/>
                <w:sz w:val="22"/>
                <w:szCs w:val="21"/>
              </w:rPr>
            </w:pPr>
            <w:r>
              <w:rPr>
                <w:rFonts w:hint="eastAsia"/>
                <w:b/>
                <w:sz w:val="24"/>
                <w:highlight w:val="cyan"/>
                <w:lang w:val="en-US" w:eastAsia="zh-CN"/>
              </w:rPr>
              <w:t>市公安局所属部门、局所、队及其各乡、镇、村全部警务站均为配送地址，距离远的大约离市区60余公里。虽然部分配送地址是乡村，道路偏远难行，但是由于我局24小时无休的特殊工作性质，中标公司必须承诺供货期内随时随刻的保障，满足采购人的配送需求及售后服务。若中标公司的配送及售后服务保障不及时或不到位，采购人有权废止中标公司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bCs/>
                <w:color w:val="FF0000"/>
                <w:sz w:val="22"/>
                <w:szCs w:val="21"/>
                <w:highlight w:val="cyan"/>
                <w:lang w:val="en-US" w:eastAsia="zh-CN"/>
              </w:rPr>
              <w:t>供</w:t>
            </w:r>
            <w:r>
              <w:rPr>
                <w:rFonts w:hint="eastAsia" w:ascii="宋体" w:hAnsi="宋体" w:eastAsia="宋体"/>
                <w:b/>
                <w:bCs/>
                <w:color w:val="FF0000"/>
                <w:sz w:val="22"/>
                <w:szCs w:val="21"/>
                <w:highlight w:val="cyan"/>
              </w:rPr>
              <w:t>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微软雅黑" w:cs="宋体"/>
                <w:sz w:val="22"/>
                <w:szCs w:val="21"/>
                <w:highlight w:val="cyan"/>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color w:val="FF0000"/>
                <w:sz w:val="22"/>
                <w:highlight w:val="cyan"/>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pStyle w:val="14"/>
              <w:spacing w:line="276" w:lineRule="auto"/>
              <w:ind w:firstLine="480" w:firstLineChars="200"/>
              <w:rPr>
                <w:rFonts w:ascii="宋体" w:hAnsi="宋体" w:eastAsia="宋体"/>
                <w:sz w:val="22"/>
                <w:szCs w:val="21"/>
              </w:rPr>
            </w:pPr>
            <w:r>
              <w:rPr>
                <w:rFonts w:hint="eastAsia"/>
                <w:sz w:val="24"/>
                <w:highlight w:val="cyan"/>
                <w:lang w:val="en-US" w:eastAsia="zh-CN"/>
              </w:rPr>
              <w:t>合同履行完毕1年后支付实际履行金额的50%，合同履行完毕2年后支付实际履行金额剩余的50%。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highlight w:val="cyan"/>
              </w:rPr>
              <w:t>★</w:t>
            </w:r>
            <w:r>
              <w:rPr>
                <w:rFonts w:hint="eastAsia" w:ascii="宋体" w:hAnsi="宋体" w:eastAsia="宋体"/>
                <w:b/>
                <w:color w:val="FF0000"/>
                <w:sz w:val="22"/>
                <w:szCs w:val="21"/>
                <w:highlight w:val="cyan"/>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highlight w:val="cyan"/>
              </w:rPr>
              <w:t>由</w:t>
            </w:r>
            <w:r>
              <w:rPr>
                <w:rFonts w:hint="eastAsia" w:ascii="宋体" w:hAnsi="宋体" w:eastAsia="宋体" w:cs="仿宋_GB2312"/>
                <w:bCs/>
                <w:sz w:val="22"/>
                <w:szCs w:val="28"/>
                <w:highlight w:val="cyan"/>
                <w:lang w:eastAsia="zh-CN"/>
              </w:rPr>
              <w:t>喀什市公安局</w:t>
            </w:r>
            <w:r>
              <w:rPr>
                <w:rFonts w:hint="eastAsia" w:ascii="宋体" w:hAnsi="宋体" w:eastAsia="宋体" w:cs="仿宋_GB2312"/>
                <w:sz w:val="22"/>
                <w:szCs w:val="28"/>
                <w:highlight w:val="cyan"/>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（1）要求中标方对本项目所采购的各项货物提供</w:t>
            </w:r>
            <w:r>
              <w:rPr>
                <w:rFonts w:hint="eastAsia" w:ascii="宋体" w:hAnsi="宋体" w:eastAsia="宋体"/>
                <w:sz w:val="22"/>
                <w:szCs w:val="28"/>
                <w:lang w:val="en-US" w:eastAsia="zh-CN"/>
              </w:rPr>
              <w:t>2</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w:t>
            </w:r>
            <w:r>
              <w:rPr>
                <w:rFonts w:ascii="宋体" w:hAnsi="宋体" w:eastAsia="宋体"/>
                <w:sz w:val="22"/>
                <w:szCs w:val="28"/>
              </w:rPr>
              <w:t>后</w:t>
            </w:r>
            <w:r>
              <w:rPr>
                <w:rFonts w:hint="eastAsia" w:ascii="宋体" w:hAnsi="宋体" w:eastAsia="宋体"/>
                <w:sz w:val="22"/>
                <w:szCs w:val="28"/>
                <w:lang w:val="en-US" w:eastAsia="zh-CN"/>
              </w:rPr>
              <w:t>5天</w:t>
            </w:r>
            <w:r>
              <w:rPr>
                <w:rFonts w:ascii="宋体" w:hAnsi="宋体" w:eastAsia="宋体"/>
                <w:sz w:val="22"/>
                <w:szCs w:val="28"/>
              </w:rPr>
              <w:t>内，免费向用户方进行技术培训工作。</w:t>
            </w:r>
          </w:p>
          <w:p>
            <w:pPr>
              <w:spacing w:after="60" w:afterLines="25" w:line="360" w:lineRule="exact"/>
              <w:ind w:left="-86" w:leftChars="-36"/>
              <w:rPr>
                <w:rFonts w:hint="eastAsia" w:ascii="宋体" w:hAnsi="宋体" w:eastAsia="宋体" w:cs="Arial"/>
                <w:sz w:val="22"/>
                <w:szCs w:val="21"/>
                <w:lang w:eastAsia="zh-CN"/>
              </w:rPr>
            </w:pPr>
            <w:r>
              <w:rPr>
                <w:rFonts w:hint="eastAsia" w:ascii="宋体" w:hAnsi="宋体" w:eastAsia="宋体"/>
                <w:sz w:val="22"/>
                <w:szCs w:val="28"/>
              </w:rPr>
              <w:t>（3）保修期内，中标方负责对其提供的</w:t>
            </w:r>
            <w:r>
              <w:rPr>
                <w:rFonts w:hint="eastAsia" w:ascii="宋体" w:hAnsi="宋体" w:eastAsia="宋体"/>
                <w:sz w:val="22"/>
                <w:szCs w:val="28"/>
                <w:lang w:val="en-US" w:eastAsia="zh-CN"/>
              </w:rPr>
              <w:t>设备</w:t>
            </w:r>
            <w:r>
              <w:rPr>
                <w:rFonts w:hint="eastAsia" w:ascii="宋体" w:hAnsi="宋体" w:eastAsia="宋体"/>
                <w:sz w:val="22"/>
                <w:szCs w:val="28"/>
              </w:rPr>
              <w:t>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eastAsia="宋体"/>
          <w:b/>
          <w:bCs/>
          <w:sz w:val="40"/>
          <w:szCs w:val="40"/>
          <w:lang w:eastAsia="zh-CN"/>
        </w:rPr>
        <w:t>详见货物需求明细</w:t>
      </w:r>
    </w:p>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2"/>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rPr>
        <w:t>投标函；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9"/>
        <w:rPr>
          <w:rFonts w:hint="eastAsia" w:ascii="仿宋" w:hAnsi="仿宋" w:eastAsia="仿宋"/>
          <w:sz w:val="28"/>
          <w:szCs w:val="28"/>
        </w:rPr>
      </w:pPr>
    </w:p>
    <w:p>
      <w:pPr>
        <w:pStyle w:val="9"/>
        <w:rPr>
          <w:rFonts w:hint="eastAsia" w:ascii="仿宋" w:hAnsi="仿宋" w:eastAsia="仿宋"/>
          <w:sz w:val="28"/>
          <w:szCs w:val="28"/>
        </w:rPr>
      </w:pPr>
    </w:p>
    <w:p>
      <w:pPr>
        <w:pStyle w:val="9"/>
        <w:rPr>
          <w:rFonts w:hint="eastAsia" w:ascii="仿宋" w:hAnsi="仿宋" w:eastAsia="仿宋"/>
          <w:sz w:val="28"/>
          <w:szCs w:val="28"/>
        </w:rPr>
      </w:pPr>
    </w:p>
    <w:p>
      <w:pPr>
        <w:pStyle w:val="9"/>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7</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本项目为专门面向中小企业采购项目</w:t>
      </w:r>
      <w:r>
        <w:rPr>
          <w:rFonts w:hint="eastAsia" w:ascii="仿宋" w:hAnsi="仿宋" w:eastAsia="仿宋"/>
          <w:b/>
          <w:color w:val="FF0000"/>
          <w:sz w:val="25"/>
          <w:szCs w:val="25"/>
          <w:highlight w:val="green"/>
          <w:lang w:eastAsia="zh-CN"/>
        </w:rPr>
        <w:t>，</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hint="eastAsia"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pStyle w:val="24"/>
        <w:numPr>
          <w:ilvl w:val="0"/>
          <w:numId w:val="0"/>
        </w:numPr>
        <w:ind w:left="3600" w:leftChars="0"/>
        <w:jc w:val="both"/>
      </w:pPr>
    </w:p>
    <w:p>
      <w:pPr>
        <w:spacing w:after="60" w:afterLines="25" w:line="300" w:lineRule="auto"/>
        <w:ind w:firstLine="720" w:firstLineChars="300"/>
        <w:rPr>
          <w:rFonts w:ascii="Arial" w:hAnsi="Arial" w:eastAsia="宋体"/>
          <w:szCs w:val="21"/>
        </w:rPr>
      </w:pPr>
    </w:p>
    <w:p>
      <w:pPr>
        <w:spacing w:after="60" w:afterLines="25" w:line="300" w:lineRule="auto"/>
        <w:ind w:right="420" w:firstLine="3600" w:firstLineChars="15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5040" w:firstLineChars="210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pPr>
        <w:spacing w:after="60" w:afterLines="25" w:line="300" w:lineRule="auto"/>
        <w:ind w:right="420" w:firstLine="5280" w:firstLineChars="220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pStyle w:val="24"/>
        <w:numPr>
          <w:ilvl w:val="0"/>
          <w:numId w:val="0"/>
        </w:numPr>
        <w:ind w:left="3600" w:leftChars="0"/>
        <w:jc w:val="both"/>
      </w:pP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rPr>
          <w:rFonts w:hint="eastAsia" w:ascii="Arial" w:hAnsi="Arial" w:eastAsia="宋体"/>
          <w:color w:val="FF0000"/>
          <w:highlight w:val="yellow"/>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napToGrid w:val="0"/>
        <w:spacing w:after="60" w:afterLines="25" w:line="300" w:lineRule="auto"/>
        <w:ind w:firstLine="480" w:firstLineChars="200"/>
        <w:jc w:val="center"/>
        <w:rPr>
          <w:rFonts w:hint="eastAsia" w:ascii="Arial" w:hAnsi="Arial" w:eastAsia="宋体"/>
          <w:color w:val="FF0000"/>
          <w:highlight w:val="yellow"/>
        </w:rPr>
      </w:pPr>
    </w:p>
    <w:p>
      <w:pPr>
        <w:snapToGrid w:val="0"/>
        <w:spacing w:after="60" w:afterLines="25" w:line="300" w:lineRule="auto"/>
        <w:ind w:firstLine="480" w:firstLineChars="200"/>
        <w:jc w:val="center"/>
      </w:pP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10</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KSS(GK)2022-025</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喀什市公安局办公用品、清洁用品及办公耗材采购项目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12.法定代表人授权书（附有效身份证正反面扫描件）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73521669"/>
      <w:bookmarkStart w:id="36" w:name="_Toc73521581"/>
      <w:bookmarkStart w:id="37" w:name="_Toc100052400"/>
      <w:bookmarkStart w:id="38" w:name="_Toc73517673"/>
      <w:bookmarkStart w:id="39" w:name="_Toc73518151"/>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18157"/>
      <w:bookmarkStart w:id="48" w:name="_Toc73517679"/>
      <w:bookmarkStart w:id="49" w:name="_Toc73521674"/>
      <w:bookmarkStart w:id="50" w:name="_Toc73521586"/>
      <w:bookmarkStart w:id="51" w:name="_Toc100052408"/>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100052409"/>
      <w:bookmarkStart w:id="54" w:name="_Toc73521587"/>
      <w:bookmarkStart w:id="55" w:name="_Toc73521675"/>
      <w:bookmarkStart w:id="56" w:name="_Toc73517680"/>
      <w:bookmarkStart w:id="57" w:name="_Toc73518158"/>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21589"/>
      <w:bookmarkStart w:id="59" w:name="_Toc73521677"/>
      <w:bookmarkStart w:id="60" w:name="_Toc100052410"/>
      <w:bookmarkStart w:id="61" w:name="_Toc73518160"/>
      <w:bookmarkStart w:id="62" w:name="_Toc73517682"/>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喀什市公安局</w:t>
      </w:r>
      <w:r>
        <w:rPr>
          <w:rFonts w:hint="eastAsia" w:ascii="宋体" w:hAnsi="宋体" w:eastAsia="宋体"/>
          <w:b/>
          <w:bCs/>
          <w:szCs w:val="21"/>
        </w:rPr>
        <w:t>（</w:t>
      </w:r>
      <w:r>
        <w:rPr>
          <w:rFonts w:hint="eastAsia" w:ascii="宋体" w:hAnsi="宋体" w:eastAsia="宋体"/>
          <w:b/>
          <w:bCs/>
          <w:szCs w:val="21"/>
          <w:lang w:eastAsia="zh-CN"/>
        </w:rPr>
        <w:t>喀什市尤木拉克协海尔路喀什市公安局</w:t>
      </w:r>
      <w:r>
        <w:rPr>
          <w:rFonts w:hint="eastAsia" w:ascii="宋体" w:hAnsi="宋体" w:eastAsia="宋体"/>
          <w:b/>
          <w:bCs/>
          <w:szCs w:val="21"/>
        </w:rPr>
        <w:t>），质疑咨询电话：</w:t>
      </w:r>
      <w:r>
        <w:rPr>
          <w:rFonts w:hint="eastAsia" w:ascii="宋体" w:hAnsi="宋体" w:eastAsia="宋体"/>
          <w:b/>
          <w:bCs/>
          <w:szCs w:val="21"/>
          <w:lang w:eastAsia="zh-CN"/>
        </w:rPr>
        <w:t>孙文瑞</w:t>
      </w:r>
      <w:r>
        <w:rPr>
          <w:rFonts w:hint="eastAsia" w:ascii="宋体" w:hAnsi="宋体" w:eastAsia="宋体"/>
          <w:b/>
          <w:bCs/>
          <w:szCs w:val="21"/>
        </w:rPr>
        <w:t>，</w:t>
      </w:r>
      <w:r>
        <w:rPr>
          <w:rFonts w:hint="eastAsia" w:ascii="宋体" w:hAnsi="宋体" w:eastAsia="宋体"/>
          <w:b/>
          <w:bCs/>
          <w:szCs w:val="21"/>
          <w:lang w:eastAsia="zh-CN"/>
        </w:rPr>
        <w:t>18616211240</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喀什市公安局</w:t>
      </w:r>
      <w:r>
        <w:rPr>
          <w:rFonts w:hint="eastAsia" w:ascii="宋体" w:hAnsi="宋体" w:eastAsia="宋体"/>
          <w:b/>
          <w:bCs/>
          <w:szCs w:val="21"/>
        </w:rPr>
        <w:t>，未提前电联</w:t>
      </w:r>
      <w:r>
        <w:rPr>
          <w:rFonts w:hint="eastAsia" w:ascii="宋体" w:hAnsi="宋体" w:eastAsia="宋体"/>
          <w:b/>
          <w:bCs/>
          <w:szCs w:val="21"/>
          <w:lang w:eastAsia="zh-CN"/>
        </w:rPr>
        <w:t>喀什市公安局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750A8"/>
    <w:rsid w:val="038251E4"/>
    <w:rsid w:val="053B5831"/>
    <w:rsid w:val="066F61BA"/>
    <w:rsid w:val="07CE6076"/>
    <w:rsid w:val="07E22A0A"/>
    <w:rsid w:val="080C42F3"/>
    <w:rsid w:val="0889017A"/>
    <w:rsid w:val="0A084FFE"/>
    <w:rsid w:val="0A21662D"/>
    <w:rsid w:val="0AB42B4F"/>
    <w:rsid w:val="0D3A744A"/>
    <w:rsid w:val="0DF57054"/>
    <w:rsid w:val="0F255064"/>
    <w:rsid w:val="1192589F"/>
    <w:rsid w:val="157403EC"/>
    <w:rsid w:val="16C056AB"/>
    <w:rsid w:val="1ED5358C"/>
    <w:rsid w:val="20596F74"/>
    <w:rsid w:val="21C4062D"/>
    <w:rsid w:val="245A1CC8"/>
    <w:rsid w:val="24EC66D5"/>
    <w:rsid w:val="250410F2"/>
    <w:rsid w:val="267A507C"/>
    <w:rsid w:val="280A4341"/>
    <w:rsid w:val="296C066D"/>
    <w:rsid w:val="2B675A24"/>
    <w:rsid w:val="2C366F69"/>
    <w:rsid w:val="2D847558"/>
    <w:rsid w:val="2EFA653D"/>
    <w:rsid w:val="311A02B3"/>
    <w:rsid w:val="3137687A"/>
    <w:rsid w:val="32265D43"/>
    <w:rsid w:val="323C629C"/>
    <w:rsid w:val="337C7542"/>
    <w:rsid w:val="35503953"/>
    <w:rsid w:val="3C795F8F"/>
    <w:rsid w:val="3CB971DE"/>
    <w:rsid w:val="3D012277"/>
    <w:rsid w:val="3D224849"/>
    <w:rsid w:val="3D863DAC"/>
    <w:rsid w:val="3E52449D"/>
    <w:rsid w:val="3E9A489A"/>
    <w:rsid w:val="429750D7"/>
    <w:rsid w:val="4422077D"/>
    <w:rsid w:val="45024BF8"/>
    <w:rsid w:val="4A29520E"/>
    <w:rsid w:val="4D2C2FDF"/>
    <w:rsid w:val="4E601A65"/>
    <w:rsid w:val="50093AE6"/>
    <w:rsid w:val="51570C73"/>
    <w:rsid w:val="51680854"/>
    <w:rsid w:val="51B44C64"/>
    <w:rsid w:val="56606BE9"/>
    <w:rsid w:val="5662250A"/>
    <w:rsid w:val="574D2CF7"/>
    <w:rsid w:val="58155A5A"/>
    <w:rsid w:val="59D2767F"/>
    <w:rsid w:val="60173081"/>
    <w:rsid w:val="604E7BD7"/>
    <w:rsid w:val="620E3E31"/>
    <w:rsid w:val="643D1580"/>
    <w:rsid w:val="643E619F"/>
    <w:rsid w:val="6594282D"/>
    <w:rsid w:val="67283F04"/>
    <w:rsid w:val="673F14F0"/>
    <w:rsid w:val="68653FE4"/>
    <w:rsid w:val="68A76B92"/>
    <w:rsid w:val="69A725C4"/>
    <w:rsid w:val="6B1729F4"/>
    <w:rsid w:val="6BF502A5"/>
    <w:rsid w:val="6C5B5032"/>
    <w:rsid w:val="6CA60D1F"/>
    <w:rsid w:val="6D4E436F"/>
    <w:rsid w:val="6ED332D0"/>
    <w:rsid w:val="6F421E56"/>
    <w:rsid w:val="6F450465"/>
    <w:rsid w:val="6FD25210"/>
    <w:rsid w:val="708B1138"/>
    <w:rsid w:val="711F649C"/>
    <w:rsid w:val="72476B05"/>
    <w:rsid w:val="744E3935"/>
    <w:rsid w:val="752776A3"/>
    <w:rsid w:val="762C4BB0"/>
    <w:rsid w:val="779C18C8"/>
    <w:rsid w:val="79955522"/>
    <w:rsid w:val="7BAF7AFB"/>
    <w:rsid w:val="7CED4825"/>
    <w:rsid w:val="7F065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2"/>
    <w:basedOn w:val="1"/>
    <w:qFormat/>
    <w:uiPriority w:val="0"/>
    <w:pPr>
      <w:spacing w:after="120" w:line="480" w:lineRule="auto"/>
    </w:pPr>
    <w:rPr>
      <w:rFonts w:ascii="Arial" w:hAnsi="Arial"/>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2"/>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0">
    <w:name w:val="font41"/>
    <w:basedOn w:val="19"/>
    <w:qFormat/>
    <w:uiPriority w:val="0"/>
    <w:rPr>
      <w:rFonts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2022-07-28T10:27:00Z</cp:lastPrinted>
  <dcterms:modified xsi:type="dcterms:W3CDTF">2022-12-19T10:58:51Z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