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KSS(GK)2022-026</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喀什市公安局车辆维修服务采购项目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喀什市公安局</w:t>
      </w:r>
    </w:p>
    <w:p>
      <w:pPr>
        <w:tabs>
          <w:tab w:val="left" w:pos="2790"/>
        </w:tabs>
        <w:snapToGrid w:val="0"/>
      </w:pPr>
      <w:r>
        <w:rPr>
          <w:rFonts w:hint="eastAsia"/>
        </w:rPr>
        <w:t>项目类型：</w:t>
      </w:r>
      <w:r>
        <w:rPr>
          <w:rFonts w:hint="eastAsia" w:eastAsia="宋体"/>
          <w:lang w:eastAsia="zh-CN"/>
        </w:rPr>
        <w:t>服务</w:t>
      </w:r>
      <w:r>
        <w:rPr>
          <w:rFonts w:hint="eastAsia"/>
        </w:rPr>
        <w:t>类</w:t>
      </w:r>
    </w:p>
    <w:p>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pPr>
        <w:snapToGrid w:val="0"/>
        <w:rPr>
          <w:rFonts w:hint="eastAsia" w:eastAsia="宋体"/>
          <w:szCs w:val="21"/>
          <w:lang w:eastAsia="zh-CN"/>
        </w:rPr>
      </w:pPr>
      <w:r>
        <w:rPr>
          <w:szCs w:val="21"/>
        </w:rPr>
        <w:t xml:space="preserve">投标报价得分=(评标基准价／投标报价)×100 </w:t>
      </w:r>
    </w:p>
    <w:p>
      <w:pPr>
        <w:snapToGrid w:val="0"/>
        <w:rPr>
          <w:rFonts w:hint="eastAsia" w:eastAsia="宋体"/>
          <w:szCs w:val="21"/>
          <w:lang w:eastAsia="zh-CN"/>
        </w:rPr>
      </w:pPr>
      <w:r>
        <w:rPr>
          <w:szCs w:val="21"/>
        </w:rPr>
        <w:t xml:space="preserve">评标总得分＝F1×A1＋F2×A2＋……＋Fn×An </w:t>
      </w:r>
    </w:p>
    <w:p>
      <w:pPr>
        <w:snapToGrid w:val="0"/>
        <w:rPr>
          <w:rFonts w:hint="eastAsia" w:eastAsia="宋体"/>
          <w:szCs w:val="21"/>
          <w:lang w:eastAsia="zh-CN"/>
        </w:rPr>
      </w:pPr>
      <w:r>
        <w:rPr>
          <w:szCs w:val="21"/>
        </w:rPr>
        <w:t>F1、F2……Fn分别为各项评审因素的得分；</w:t>
      </w:r>
    </w:p>
    <w:p>
      <w:pPr>
        <w:snapToGrid w:val="0"/>
        <w:rPr>
          <w:rFonts w:hint="eastAsia" w:eastAsia="宋体"/>
          <w:szCs w:val="21"/>
          <w:lang w:eastAsia="zh-CN"/>
        </w:rPr>
      </w:pPr>
      <w:r>
        <w:rPr>
          <w:szCs w:val="21"/>
        </w:rPr>
        <w:t>A1、A2、……An 分别为各项评审因素所占的权重(A1＋A2＋……＋An＝1)。</w:t>
      </w:r>
    </w:p>
    <w:p>
      <w:pPr>
        <w:snapToGrid w:val="0"/>
        <w:rPr>
          <w:rFonts w:hint="eastAsia" w:eastAsia="宋体"/>
          <w:szCs w:val="21"/>
          <w:lang w:eastAsia="zh-CN"/>
        </w:rPr>
      </w:pPr>
      <w:r>
        <w:rPr>
          <w:szCs w:val="21"/>
        </w:rPr>
        <w:t>评标过程中，不得去掉报价中的最高报价和最低报价。</w:t>
      </w:r>
    </w:p>
    <w:p>
      <w:pPr>
        <w:snapToGrid w:val="0"/>
      </w:pP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2"/>
        <w:rPr>
          <w:rFonts w:ascii="宋体" w:hAnsi="宋体"/>
          <w:szCs w:val="21"/>
        </w:rPr>
      </w:pPr>
    </w:p>
    <w:p>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pPr w:leftFromText="180" w:rightFromText="180" w:vertAnchor="text" w:horzAnchor="page" w:tblpX="1710" w:tblpY="596"/>
        <w:tblOverlap w:val="never"/>
        <w:tblW w:w="8646" w:type="dxa"/>
        <w:tblInd w:w="0" w:type="dxa"/>
        <w:tblLayout w:type="fixed"/>
        <w:tblCellMar>
          <w:top w:w="0" w:type="dxa"/>
          <w:left w:w="108" w:type="dxa"/>
          <w:bottom w:w="0" w:type="dxa"/>
          <w:right w:w="108" w:type="dxa"/>
        </w:tblCellMar>
      </w:tblPr>
      <w:tblGrid>
        <w:gridCol w:w="1385"/>
        <w:gridCol w:w="2338"/>
        <w:gridCol w:w="2880"/>
        <w:gridCol w:w="2043"/>
      </w:tblGrid>
      <w:tr>
        <w:tblPrEx>
          <w:tblCellMar>
            <w:top w:w="0" w:type="dxa"/>
            <w:left w:w="108" w:type="dxa"/>
            <w:bottom w:w="0" w:type="dxa"/>
            <w:right w:w="108" w:type="dxa"/>
          </w:tblCellMar>
        </w:tblPrEx>
        <w:trPr>
          <w:trHeight w:val="1092" w:hRule="atLeast"/>
        </w:trPr>
        <w:tc>
          <w:tcPr>
            <w:tcW w:w="864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eastAsia="宋体"/>
                <w:b/>
                <w:bCs/>
                <w:color w:val="000000"/>
                <w:kern w:val="0"/>
                <w:sz w:val="18"/>
                <w:szCs w:val="18"/>
                <w:highlight w:val="cyan"/>
                <w:lang w:eastAsia="zh-CN"/>
              </w:rPr>
            </w:pPr>
            <w:r>
              <w:rPr>
                <w:rFonts w:hint="eastAsia" w:ascii="宋体"/>
                <w:b/>
                <w:bCs/>
                <w:color w:val="000000"/>
                <w:kern w:val="0"/>
                <w:sz w:val="30"/>
                <w:szCs w:val="30"/>
                <w:highlight w:val="cyan"/>
                <w:lang w:eastAsia="zh-CN"/>
              </w:rPr>
              <w:t>喀什市公安局车辆维修服务采购项目</w:t>
            </w:r>
          </w:p>
        </w:tc>
      </w:tr>
      <w:tr>
        <w:tblPrEx>
          <w:tblCellMar>
            <w:top w:w="0" w:type="dxa"/>
            <w:left w:w="108" w:type="dxa"/>
            <w:bottom w:w="0" w:type="dxa"/>
            <w:right w:w="108" w:type="dxa"/>
          </w:tblCellMar>
        </w:tblPrEx>
        <w:trPr>
          <w:trHeight w:val="1092" w:hRule="atLeast"/>
        </w:trPr>
        <w:tc>
          <w:tcPr>
            <w:tcW w:w="37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highlight w:val="cyan"/>
                <w:lang w:val="en-US" w:eastAsia="zh-CN" w:bidi="ar-SA"/>
              </w:rPr>
            </w:pPr>
            <w:r>
              <w:rPr>
                <w:rFonts w:hint="eastAsia" w:ascii="宋体" w:hAnsi="宋体" w:cs="宋体"/>
                <w:b/>
                <w:bCs/>
                <w:color w:val="000000"/>
                <w:kern w:val="0"/>
                <w:sz w:val="18"/>
                <w:szCs w:val="18"/>
                <w:highlight w:val="cyan"/>
              </w:rPr>
              <w:t>考核项目</w:t>
            </w:r>
          </w:p>
        </w:tc>
        <w:tc>
          <w:tcPr>
            <w:tcW w:w="28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highlight w:val="cyan"/>
                <w:lang w:val="en-US" w:eastAsia="zh-CN" w:bidi="ar-SA"/>
              </w:rPr>
            </w:pPr>
            <w:r>
              <w:rPr>
                <w:rFonts w:hint="eastAsia" w:ascii="宋体" w:hAnsi="宋体" w:cs="宋体"/>
                <w:b/>
                <w:bCs/>
                <w:color w:val="000000"/>
                <w:kern w:val="0"/>
                <w:sz w:val="18"/>
                <w:szCs w:val="18"/>
                <w:highlight w:val="cyan"/>
              </w:rPr>
              <w:t>评分标准</w:t>
            </w:r>
          </w:p>
        </w:tc>
        <w:tc>
          <w:tcPr>
            <w:tcW w:w="20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Times New Roman" w:eastAsia="宋体" w:cs="Times New Roman"/>
                <w:b/>
                <w:bCs/>
                <w:color w:val="000000"/>
                <w:kern w:val="0"/>
                <w:sz w:val="18"/>
                <w:szCs w:val="18"/>
                <w:highlight w:val="cyan"/>
                <w:lang w:val="en-US" w:eastAsia="zh-CN" w:bidi="ar-SA"/>
              </w:rPr>
            </w:pPr>
            <w:r>
              <w:rPr>
                <w:rFonts w:hint="eastAsia" w:ascii="宋体" w:hAnsi="宋体" w:cs="宋体"/>
                <w:b/>
                <w:bCs/>
                <w:color w:val="000000"/>
                <w:kern w:val="0"/>
                <w:sz w:val="18"/>
                <w:szCs w:val="18"/>
                <w:highlight w:val="cyan"/>
              </w:rPr>
              <w:t>权重分配　</w:t>
            </w:r>
          </w:p>
        </w:tc>
      </w:tr>
      <w:tr>
        <w:tblPrEx>
          <w:tblCellMar>
            <w:top w:w="0" w:type="dxa"/>
            <w:left w:w="108" w:type="dxa"/>
            <w:bottom w:w="0" w:type="dxa"/>
            <w:right w:w="108" w:type="dxa"/>
          </w:tblCellMar>
        </w:tblPrEx>
        <w:trPr>
          <w:trHeight w:val="2010" w:hRule="atLeast"/>
        </w:trPr>
        <w:tc>
          <w:tcPr>
            <w:tcW w:w="1385"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rPr>
              <w:t>价格部分（</w:t>
            </w:r>
            <w:r>
              <w:rPr>
                <w:rFonts w:ascii="宋体" w:hAnsi="宋体" w:cs="宋体"/>
                <w:color w:val="000000"/>
                <w:kern w:val="0"/>
                <w:sz w:val="18"/>
                <w:szCs w:val="18"/>
                <w:highlight w:val="cyan"/>
              </w:rPr>
              <w:t>30</w:t>
            </w:r>
            <w:r>
              <w:rPr>
                <w:rFonts w:hint="eastAsia" w:ascii="宋体" w:hAnsi="宋体" w:cs="宋体"/>
                <w:color w:val="000000"/>
                <w:kern w:val="0"/>
                <w:sz w:val="18"/>
                <w:szCs w:val="18"/>
                <w:highlight w:val="cyan"/>
              </w:rPr>
              <w:t>分）</w:t>
            </w:r>
          </w:p>
        </w:tc>
        <w:tc>
          <w:tcPr>
            <w:tcW w:w="5218"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highlight w:val="cyan"/>
              </w:rPr>
            </w:pPr>
            <w:r>
              <w:rPr>
                <w:rFonts w:hint="eastAsia" w:ascii="宋体" w:hAnsi="宋体" w:eastAsia="宋体" w:cs="宋体"/>
                <w:color w:val="000000"/>
                <w:kern w:val="0"/>
                <w:sz w:val="18"/>
                <w:szCs w:val="18"/>
                <w:highlight w:val="cyan"/>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w:t>
            </w:r>
          </w:p>
          <w:p>
            <w:pPr>
              <w:pStyle w:val="7"/>
              <w:ind w:left="0" w:leftChars="0" w:firstLine="0" w:firstLineChars="0"/>
              <w:rPr>
                <w:highlight w:val="cyan"/>
              </w:rPr>
            </w:pPr>
          </w:p>
        </w:tc>
        <w:tc>
          <w:tcPr>
            <w:tcW w:w="2043" w:type="dxa"/>
            <w:tcBorders>
              <w:top w:val="nil"/>
              <w:left w:val="nil"/>
              <w:bottom w:val="single" w:color="auto" w:sz="4" w:space="0"/>
              <w:right w:val="single" w:color="auto" w:sz="4" w:space="0"/>
            </w:tcBorders>
            <w:noWrap w:val="0"/>
            <w:vAlign w:val="center"/>
          </w:tcPr>
          <w:p>
            <w:pPr>
              <w:widowControl/>
              <w:jc w:val="center"/>
              <w:rPr>
                <w:rFonts w:hint="eastAsia" w:ascii="宋体" w:eastAsia="宋体"/>
                <w:color w:val="000000"/>
                <w:kern w:val="0"/>
                <w:sz w:val="28"/>
                <w:szCs w:val="28"/>
                <w:highlight w:val="cyan"/>
                <w:lang w:val="en-US" w:eastAsia="zh-CN"/>
              </w:rPr>
            </w:pPr>
            <w:r>
              <w:rPr>
                <w:rFonts w:hint="eastAsia" w:ascii="宋体"/>
                <w:color w:val="000000"/>
                <w:kern w:val="0"/>
                <w:sz w:val="28"/>
                <w:szCs w:val="28"/>
                <w:highlight w:val="cyan"/>
                <w:lang w:val="en-US" w:eastAsia="zh-CN"/>
              </w:rPr>
              <w:t>30分</w:t>
            </w:r>
          </w:p>
        </w:tc>
      </w:tr>
      <w:tr>
        <w:tblPrEx>
          <w:tblCellMar>
            <w:top w:w="0" w:type="dxa"/>
            <w:left w:w="108" w:type="dxa"/>
            <w:bottom w:w="0" w:type="dxa"/>
            <w:right w:w="108" w:type="dxa"/>
          </w:tblCellMar>
        </w:tblPrEx>
        <w:trPr>
          <w:trHeight w:val="1305" w:hRule="atLeast"/>
        </w:trPr>
        <w:tc>
          <w:tcPr>
            <w:tcW w:w="138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rPr>
              <w:t>技术部分（</w:t>
            </w:r>
            <w:r>
              <w:rPr>
                <w:rFonts w:hint="eastAsia" w:ascii="宋体" w:hAnsi="宋体" w:cs="宋体"/>
                <w:color w:val="000000"/>
                <w:kern w:val="0"/>
                <w:sz w:val="18"/>
                <w:szCs w:val="18"/>
                <w:highlight w:val="cyan"/>
                <w:lang w:val="en-US" w:eastAsia="zh-CN"/>
              </w:rPr>
              <w:t>64</w:t>
            </w:r>
            <w:r>
              <w:rPr>
                <w:rFonts w:hint="eastAsia" w:ascii="宋体" w:hAnsi="宋体" w:cs="宋体"/>
                <w:color w:val="000000"/>
                <w:kern w:val="0"/>
                <w:sz w:val="18"/>
                <w:szCs w:val="18"/>
                <w:highlight w:val="cyan"/>
              </w:rPr>
              <w:t>分）</w:t>
            </w: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r>
              <w:rPr>
                <w:rFonts w:hint="eastAsia" w:ascii="宋体" w:hAnsi="宋体" w:cs="宋体"/>
                <w:color w:val="000000"/>
                <w:kern w:val="0"/>
                <w:sz w:val="18"/>
                <w:szCs w:val="18"/>
                <w:highlight w:val="cyan"/>
              </w:rPr>
              <w:t>车辆维修保养方案（</w:t>
            </w:r>
            <w:r>
              <w:rPr>
                <w:rFonts w:hint="eastAsia" w:ascii="宋体" w:hAnsi="宋体" w:cs="宋体"/>
                <w:color w:val="000000"/>
                <w:kern w:val="0"/>
                <w:sz w:val="18"/>
                <w:szCs w:val="18"/>
                <w:highlight w:val="cyan"/>
                <w:lang w:val="en-US" w:eastAsia="zh-CN"/>
              </w:rPr>
              <w:t>30</w:t>
            </w:r>
            <w:r>
              <w:rPr>
                <w:rFonts w:hint="eastAsia" w:ascii="宋体" w:hAnsi="宋体" w:cs="宋体"/>
                <w:color w:val="000000"/>
                <w:kern w:val="0"/>
                <w:sz w:val="18"/>
                <w:szCs w:val="18"/>
                <w:highlight w:val="cyan"/>
              </w:rPr>
              <w:t>分</w:t>
            </w:r>
            <w:r>
              <w:rPr>
                <w:rFonts w:ascii="宋体" w:hAnsi="宋体" w:cs="宋体"/>
                <w:color w:val="000000"/>
                <w:kern w:val="0"/>
                <w:sz w:val="18"/>
                <w:szCs w:val="18"/>
                <w:highlight w:val="cyan"/>
              </w:rPr>
              <w:t>)</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highlight w:val="cyan"/>
                <w:lang w:val="en-US" w:eastAsia="zh-CN"/>
              </w:rPr>
            </w:pPr>
            <w:r>
              <w:rPr>
                <w:rFonts w:hint="eastAsia" w:ascii="宋体" w:hAnsi="宋体" w:cs="宋体"/>
                <w:color w:val="000000"/>
                <w:kern w:val="0"/>
                <w:sz w:val="18"/>
                <w:szCs w:val="18"/>
                <w:highlight w:val="cyan"/>
                <w:lang w:val="en-US" w:eastAsia="zh-CN"/>
              </w:rPr>
              <w:t>根据公安局车辆的情况</w:t>
            </w:r>
            <w:r>
              <w:rPr>
                <w:rFonts w:hint="default" w:ascii="宋体" w:hAnsi="宋体" w:cs="宋体"/>
                <w:color w:val="000000"/>
                <w:kern w:val="0"/>
                <w:sz w:val="18"/>
                <w:szCs w:val="18"/>
                <w:highlight w:val="cyan"/>
                <w:lang w:val="en-US" w:eastAsia="zh-CN"/>
              </w:rPr>
              <w:t>对公安局全部车辆的维修保养检测服务提供相应的服务方案：</w:t>
            </w:r>
          </w:p>
          <w:p>
            <w:pPr>
              <w:widowControl/>
              <w:jc w:val="left"/>
              <w:rPr>
                <w:rFonts w:hint="default" w:ascii="宋体" w:hAnsi="宋体" w:cs="宋体"/>
                <w:color w:val="000000"/>
                <w:kern w:val="0"/>
                <w:sz w:val="18"/>
                <w:szCs w:val="18"/>
                <w:highlight w:val="cyan"/>
                <w:lang w:val="en-US" w:eastAsia="zh-CN"/>
              </w:rPr>
            </w:pPr>
            <w:r>
              <w:rPr>
                <w:rFonts w:hint="default" w:ascii="宋体" w:hAnsi="宋体" w:cs="宋体"/>
                <w:color w:val="000000"/>
                <w:kern w:val="0"/>
                <w:sz w:val="18"/>
                <w:szCs w:val="18"/>
                <w:highlight w:val="cyan"/>
                <w:lang w:val="en-US" w:eastAsia="zh-CN"/>
              </w:rPr>
              <w:t>1、维修保养方案合理，设备及技术能兼顾到公安局所需全部车型的维修，重点难点车辆有相应的特殊维修方案的得30-21分。</w:t>
            </w:r>
          </w:p>
          <w:p>
            <w:pPr>
              <w:widowControl/>
              <w:jc w:val="left"/>
              <w:rPr>
                <w:rFonts w:hint="default" w:ascii="宋体" w:hAnsi="宋体" w:cs="宋体"/>
                <w:color w:val="000000"/>
                <w:kern w:val="0"/>
                <w:sz w:val="18"/>
                <w:szCs w:val="18"/>
                <w:highlight w:val="cyan"/>
                <w:lang w:val="en-US" w:eastAsia="zh-CN"/>
              </w:rPr>
            </w:pPr>
            <w:r>
              <w:rPr>
                <w:rFonts w:hint="default" w:ascii="宋体" w:hAnsi="宋体" w:cs="宋体"/>
                <w:color w:val="000000"/>
                <w:kern w:val="0"/>
                <w:sz w:val="18"/>
                <w:szCs w:val="18"/>
                <w:highlight w:val="cyan"/>
                <w:lang w:val="en-US" w:eastAsia="zh-CN"/>
              </w:rPr>
              <w:t>2、维修保养方案较为合理，设备及技术能兼顾到公安局所需大部分车型的维修，重点难点车辆有部分的特殊维修方案的得20-10分。</w:t>
            </w:r>
          </w:p>
          <w:p>
            <w:pPr>
              <w:widowControl/>
              <w:jc w:val="left"/>
              <w:rPr>
                <w:rFonts w:hint="default" w:ascii="宋体" w:hAnsi="宋体" w:cs="宋体"/>
                <w:color w:val="000000"/>
                <w:kern w:val="0"/>
                <w:sz w:val="18"/>
                <w:szCs w:val="18"/>
                <w:highlight w:val="cyan"/>
                <w:lang w:val="en-US" w:eastAsia="zh-CN"/>
              </w:rPr>
            </w:pPr>
            <w:r>
              <w:rPr>
                <w:rFonts w:hint="default" w:ascii="宋体" w:hAnsi="宋体" w:cs="宋体"/>
                <w:color w:val="000000"/>
                <w:kern w:val="0"/>
                <w:sz w:val="18"/>
                <w:szCs w:val="18"/>
                <w:highlight w:val="cyan"/>
                <w:lang w:val="en-US" w:eastAsia="zh-CN"/>
              </w:rPr>
              <w:t>3、维修保养方案较为可行的得9-1分。</w:t>
            </w:r>
          </w:p>
          <w:p>
            <w:pPr>
              <w:widowControl/>
              <w:jc w:val="left"/>
              <w:rPr>
                <w:rFonts w:hint="default" w:ascii="宋体" w:hAnsi="宋体" w:cs="宋体"/>
                <w:color w:val="000000"/>
                <w:kern w:val="0"/>
                <w:sz w:val="18"/>
                <w:szCs w:val="18"/>
                <w:highlight w:val="cyan"/>
                <w:lang w:val="en-US" w:eastAsia="zh-CN"/>
              </w:rPr>
            </w:pPr>
            <w:r>
              <w:rPr>
                <w:rFonts w:hint="default" w:ascii="宋体" w:hAnsi="宋体" w:cs="宋体"/>
                <w:color w:val="000000"/>
                <w:kern w:val="0"/>
                <w:sz w:val="18"/>
                <w:szCs w:val="18"/>
                <w:highlight w:val="cyan"/>
                <w:lang w:val="en-US" w:eastAsia="zh-CN"/>
              </w:rPr>
              <w:t>没有相应方案的不得分。</w:t>
            </w:r>
          </w:p>
        </w:tc>
        <w:tc>
          <w:tcPr>
            <w:tcW w:w="2043" w:type="dxa"/>
            <w:vMerge w:val="restart"/>
            <w:tcBorders>
              <w:top w:val="nil"/>
              <w:left w:val="nil"/>
              <w:right w:val="single" w:color="auto" w:sz="4" w:space="0"/>
            </w:tcBorders>
            <w:noWrap w:val="0"/>
            <w:vAlign w:val="top"/>
          </w:tcPr>
          <w:p>
            <w:pPr>
              <w:widowControl/>
              <w:jc w:val="center"/>
              <w:rPr>
                <w:rFonts w:hint="eastAsia" w:ascii="宋体" w:hAnsi="宋体" w:cs="宋体"/>
                <w:color w:val="000000"/>
                <w:kern w:val="0"/>
                <w:sz w:val="18"/>
                <w:szCs w:val="18"/>
                <w:highlight w:val="cyan"/>
              </w:rPr>
            </w:pPr>
            <w:r>
              <w:rPr>
                <w:rFonts w:hint="eastAsia" w:ascii="宋体" w:hAnsi="宋体" w:cs="宋体"/>
                <w:color w:val="000000"/>
                <w:kern w:val="0"/>
                <w:sz w:val="18"/>
                <w:szCs w:val="18"/>
                <w:highlight w:val="cyan"/>
              </w:rPr>
              <w:t>　</w:t>
            </w:r>
          </w:p>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rPr>
              <w:t>　</w:t>
            </w:r>
          </w:p>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rPr>
              <w:t>　</w:t>
            </w:r>
          </w:p>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rPr>
              <w:t>　</w:t>
            </w:r>
          </w:p>
          <w:p>
            <w:pPr>
              <w:widowControl/>
              <w:jc w:val="center"/>
              <w:rPr>
                <w:rFonts w:hint="eastAsia" w:ascii="宋体" w:hAnsi="宋体" w:cs="宋体"/>
                <w:color w:val="000000"/>
                <w:kern w:val="0"/>
                <w:sz w:val="28"/>
                <w:szCs w:val="28"/>
                <w:highlight w:val="cyan"/>
                <w:lang w:val="en-US" w:eastAsia="zh-CN"/>
              </w:rPr>
            </w:pPr>
          </w:p>
          <w:p>
            <w:pPr>
              <w:widowControl/>
              <w:jc w:val="center"/>
              <w:rPr>
                <w:rFonts w:hint="eastAsia" w:ascii="宋体" w:hAnsi="宋体" w:cs="宋体"/>
                <w:color w:val="000000"/>
                <w:kern w:val="0"/>
                <w:sz w:val="28"/>
                <w:szCs w:val="28"/>
                <w:highlight w:val="cyan"/>
                <w:lang w:val="en-US" w:eastAsia="zh-CN"/>
              </w:rPr>
            </w:pPr>
          </w:p>
          <w:p>
            <w:pPr>
              <w:widowControl/>
              <w:jc w:val="center"/>
              <w:rPr>
                <w:rFonts w:hint="eastAsia" w:ascii="宋体" w:hAnsi="宋体" w:cs="宋体"/>
                <w:color w:val="000000"/>
                <w:kern w:val="0"/>
                <w:sz w:val="28"/>
                <w:szCs w:val="28"/>
                <w:highlight w:val="cyan"/>
                <w:lang w:val="en-US" w:eastAsia="zh-CN"/>
              </w:rPr>
            </w:pPr>
          </w:p>
          <w:p>
            <w:pPr>
              <w:widowControl/>
              <w:jc w:val="center"/>
              <w:rPr>
                <w:rFonts w:hint="eastAsia" w:ascii="宋体" w:hAnsi="宋体" w:cs="宋体"/>
                <w:color w:val="000000"/>
                <w:kern w:val="0"/>
                <w:sz w:val="28"/>
                <w:szCs w:val="28"/>
                <w:highlight w:val="cyan"/>
                <w:lang w:val="en-US" w:eastAsia="zh-CN"/>
              </w:rPr>
            </w:pPr>
          </w:p>
          <w:p>
            <w:pPr>
              <w:widowControl/>
              <w:jc w:val="center"/>
              <w:rPr>
                <w:rFonts w:hint="eastAsia" w:ascii="宋体" w:hAnsi="宋体" w:cs="宋体"/>
                <w:color w:val="000000"/>
                <w:kern w:val="0"/>
                <w:sz w:val="28"/>
                <w:szCs w:val="28"/>
                <w:highlight w:val="cyan"/>
                <w:lang w:val="en-US" w:eastAsia="zh-CN"/>
              </w:rPr>
            </w:pPr>
          </w:p>
          <w:p>
            <w:pPr>
              <w:widowControl/>
              <w:jc w:val="center"/>
              <w:rPr>
                <w:rFonts w:hint="default" w:ascii="宋体" w:hAnsi="宋体" w:cs="宋体"/>
                <w:color w:val="000000"/>
                <w:kern w:val="0"/>
                <w:sz w:val="18"/>
                <w:szCs w:val="18"/>
                <w:highlight w:val="cyan"/>
                <w:lang w:val="en-US" w:eastAsia="zh-CN"/>
              </w:rPr>
            </w:pPr>
            <w:r>
              <w:rPr>
                <w:rFonts w:hint="eastAsia" w:ascii="宋体" w:hAnsi="宋体" w:cs="宋体"/>
                <w:color w:val="000000"/>
                <w:kern w:val="0"/>
                <w:sz w:val="28"/>
                <w:szCs w:val="28"/>
                <w:highlight w:val="cyan"/>
                <w:lang w:val="en-US" w:eastAsia="zh-CN"/>
              </w:rPr>
              <w:t>64分</w:t>
            </w:r>
          </w:p>
        </w:tc>
      </w:tr>
      <w:tr>
        <w:tblPrEx>
          <w:tblCellMar>
            <w:top w:w="0" w:type="dxa"/>
            <w:left w:w="108" w:type="dxa"/>
            <w:bottom w:w="0" w:type="dxa"/>
            <w:right w:w="108" w:type="dxa"/>
          </w:tblCellMar>
        </w:tblPrEx>
        <w:trPr>
          <w:trHeight w:val="90"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p>
        </w:tc>
        <w:tc>
          <w:tcPr>
            <w:tcW w:w="2338"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lang w:eastAsia="zh-CN"/>
              </w:rPr>
              <w:t>应急预案</w:t>
            </w:r>
            <w:r>
              <w:rPr>
                <w:rFonts w:hint="eastAsia" w:ascii="宋体" w:hAnsi="宋体" w:cs="宋体"/>
                <w:color w:val="000000"/>
                <w:kern w:val="0"/>
                <w:sz w:val="18"/>
                <w:szCs w:val="18"/>
                <w:highlight w:val="cyan"/>
              </w:rPr>
              <w:t>（</w:t>
            </w:r>
            <w:r>
              <w:rPr>
                <w:rFonts w:hint="eastAsia" w:ascii="宋体" w:hAnsi="宋体" w:cs="宋体"/>
                <w:color w:val="000000"/>
                <w:kern w:val="0"/>
                <w:sz w:val="18"/>
                <w:szCs w:val="18"/>
                <w:highlight w:val="cyan"/>
                <w:lang w:val="en-US" w:eastAsia="zh-CN"/>
              </w:rPr>
              <w:t>5</w:t>
            </w:r>
            <w:r>
              <w:rPr>
                <w:rFonts w:hint="eastAsia" w:ascii="宋体" w:hAnsi="宋体" w:cs="宋体"/>
                <w:color w:val="000000"/>
                <w:kern w:val="0"/>
                <w:sz w:val="18"/>
                <w:szCs w:val="18"/>
                <w:highlight w:val="cyan"/>
              </w:rPr>
              <w:t>分</w:t>
            </w:r>
            <w:r>
              <w:rPr>
                <w:rFonts w:ascii="宋体" w:hAnsi="宋体" w:cs="宋体"/>
                <w:color w:val="000000"/>
                <w:kern w:val="0"/>
                <w:sz w:val="18"/>
                <w:szCs w:val="18"/>
                <w:highlight w:val="cyan"/>
              </w:rPr>
              <w:t>)</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eastAsia="宋体"/>
                <w:color w:val="000000"/>
                <w:kern w:val="0"/>
                <w:sz w:val="18"/>
                <w:szCs w:val="18"/>
                <w:highlight w:val="cyan"/>
                <w:lang w:val="en-US" w:eastAsia="zh-CN"/>
              </w:rPr>
            </w:pPr>
            <w:r>
              <w:rPr>
                <w:rFonts w:hint="eastAsia" w:ascii="宋体" w:hAnsi="宋体" w:cs="宋体"/>
                <w:color w:val="000000"/>
                <w:kern w:val="0"/>
                <w:sz w:val="18"/>
                <w:szCs w:val="18"/>
                <w:highlight w:val="cyan"/>
                <w:lang w:eastAsia="zh-CN"/>
              </w:rPr>
              <w:t>应急预算（</w:t>
            </w:r>
            <w:r>
              <w:rPr>
                <w:rFonts w:hint="eastAsia" w:ascii="宋体" w:hAnsi="宋体" w:cs="宋体"/>
                <w:color w:val="000000"/>
                <w:kern w:val="0"/>
                <w:sz w:val="18"/>
                <w:szCs w:val="18"/>
                <w:highlight w:val="cyan"/>
                <w:lang w:val="en-US" w:eastAsia="zh-CN"/>
              </w:rPr>
              <w:t>5分）：</w:t>
            </w:r>
            <w:r>
              <w:rPr>
                <w:rFonts w:hint="eastAsia" w:ascii="宋体" w:hAnsi="宋体" w:cs="宋体"/>
                <w:color w:val="000000"/>
                <w:kern w:val="0"/>
                <w:sz w:val="18"/>
                <w:szCs w:val="18"/>
                <w:highlight w:val="cyan"/>
                <w:lang w:eastAsia="zh-CN"/>
              </w:rPr>
              <w:t>针对本项目制定合理完善的应急预案及应急措施，对重大</w:t>
            </w:r>
            <w:r>
              <w:rPr>
                <w:rFonts w:hint="eastAsia" w:ascii="宋体" w:hAnsi="宋体" w:cs="宋体"/>
                <w:color w:val="000000"/>
                <w:kern w:val="0"/>
                <w:sz w:val="18"/>
                <w:szCs w:val="18"/>
                <w:highlight w:val="cyan"/>
                <w:lang w:val="en-US" w:eastAsia="zh-CN"/>
              </w:rPr>
              <w:t>特殊</w:t>
            </w:r>
            <w:r>
              <w:rPr>
                <w:rFonts w:hint="eastAsia" w:ascii="宋体" w:hAnsi="宋体" w:cs="宋体"/>
                <w:color w:val="000000"/>
                <w:kern w:val="0"/>
                <w:sz w:val="18"/>
                <w:szCs w:val="18"/>
                <w:highlight w:val="cyan"/>
                <w:lang w:eastAsia="zh-CN"/>
              </w:rPr>
              <w:t>事件和节假日</w:t>
            </w:r>
            <w:r>
              <w:rPr>
                <w:rFonts w:hint="eastAsia" w:ascii="宋体" w:hAnsi="宋体" w:cs="宋体"/>
                <w:color w:val="000000"/>
                <w:kern w:val="0"/>
                <w:sz w:val="18"/>
                <w:szCs w:val="18"/>
                <w:highlight w:val="cyan"/>
                <w:lang w:val="en-US" w:eastAsia="zh-CN"/>
              </w:rPr>
              <w:t>巡逻维护保障</w:t>
            </w:r>
            <w:r>
              <w:rPr>
                <w:rFonts w:hint="eastAsia" w:ascii="宋体" w:hAnsi="宋体" w:cs="宋体"/>
                <w:color w:val="000000"/>
                <w:kern w:val="0"/>
                <w:sz w:val="18"/>
                <w:szCs w:val="18"/>
                <w:highlight w:val="cyan"/>
                <w:lang w:eastAsia="zh-CN"/>
              </w:rPr>
              <w:t>有科学合理的</w:t>
            </w:r>
            <w:r>
              <w:rPr>
                <w:rFonts w:hint="eastAsia" w:ascii="宋体" w:hAnsi="宋体" w:cs="宋体"/>
                <w:color w:val="000000"/>
                <w:kern w:val="0"/>
                <w:sz w:val="18"/>
                <w:szCs w:val="18"/>
                <w:highlight w:val="cyan"/>
                <w:lang w:val="en-US" w:eastAsia="zh-CN"/>
              </w:rPr>
              <w:t>维保</w:t>
            </w:r>
            <w:r>
              <w:rPr>
                <w:rFonts w:hint="eastAsia" w:ascii="宋体" w:hAnsi="宋体" w:cs="宋体"/>
                <w:color w:val="000000"/>
                <w:kern w:val="0"/>
                <w:sz w:val="18"/>
                <w:szCs w:val="18"/>
                <w:highlight w:val="cyan"/>
                <w:lang w:eastAsia="zh-CN"/>
              </w:rPr>
              <w:t>方案及措施，由评委进行综合评价。应急预案及管理方案完</w:t>
            </w:r>
            <w:r>
              <w:rPr>
                <w:rFonts w:hint="eastAsia" w:ascii="宋体" w:hAnsi="宋体" w:cs="宋体"/>
                <w:color w:val="auto"/>
                <w:kern w:val="0"/>
                <w:sz w:val="18"/>
                <w:szCs w:val="18"/>
                <w:highlight w:val="cyan"/>
                <w:lang w:eastAsia="zh-CN"/>
              </w:rPr>
              <w:t>善的得</w:t>
            </w:r>
            <w:r>
              <w:rPr>
                <w:rFonts w:hint="eastAsia" w:ascii="宋体" w:hAnsi="宋体" w:cs="宋体"/>
                <w:color w:val="auto"/>
                <w:kern w:val="0"/>
                <w:sz w:val="18"/>
                <w:szCs w:val="18"/>
                <w:highlight w:val="cyan"/>
                <w:lang w:val="en-US" w:eastAsia="zh-CN"/>
              </w:rPr>
              <w:t>4-5分，一般得2-3分，较差得1分，不提供不得分。</w:t>
            </w:r>
          </w:p>
        </w:tc>
        <w:tc>
          <w:tcPr>
            <w:tcW w:w="2043" w:type="dxa"/>
            <w:vMerge w:val="continue"/>
            <w:tcBorders>
              <w:left w:val="nil"/>
              <w:right w:val="single" w:color="auto" w:sz="4" w:space="0"/>
            </w:tcBorders>
            <w:noWrap w:val="0"/>
            <w:vAlign w:val="top"/>
          </w:tcPr>
          <w:p>
            <w:pPr>
              <w:widowControl/>
              <w:jc w:val="center"/>
              <w:rPr>
                <w:rFonts w:ascii="宋体"/>
                <w:color w:val="000000"/>
                <w:kern w:val="0"/>
                <w:sz w:val="18"/>
                <w:szCs w:val="18"/>
                <w:highlight w:val="cyan"/>
              </w:rPr>
            </w:pPr>
          </w:p>
        </w:tc>
      </w:tr>
      <w:tr>
        <w:tblPrEx>
          <w:tblCellMar>
            <w:top w:w="0" w:type="dxa"/>
            <w:left w:w="108" w:type="dxa"/>
            <w:bottom w:w="0" w:type="dxa"/>
            <w:right w:w="108" w:type="dxa"/>
          </w:tblCellMar>
        </w:tblPrEx>
        <w:trPr>
          <w:trHeight w:val="1505"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r>
              <w:rPr>
                <w:rFonts w:hint="eastAsia" w:ascii="宋体" w:hAnsi="宋体" w:cs="宋体"/>
                <w:color w:val="000000"/>
                <w:kern w:val="0"/>
                <w:sz w:val="18"/>
                <w:szCs w:val="18"/>
                <w:highlight w:val="cyan"/>
                <w:lang w:val="en-US" w:eastAsia="zh-CN"/>
              </w:rPr>
              <w:t>售后服务</w:t>
            </w:r>
            <w:r>
              <w:rPr>
                <w:rFonts w:hint="eastAsia" w:ascii="宋体" w:hAnsi="宋体" w:cs="宋体"/>
                <w:color w:val="000000"/>
                <w:kern w:val="0"/>
                <w:sz w:val="18"/>
                <w:szCs w:val="18"/>
                <w:highlight w:val="cyan"/>
              </w:rPr>
              <w:t>（</w:t>
            </w:r>
            <w:r>
              <w:rPr>
                <w:rFonts w:hint="eastAsia" w:ascii="宋体" w:hAnsi="宋体" w:cs="宋体"/>
                <w:color w:val="000000"/>
                <w:kern w:val="0"/>
                <w:sz w:val="18"/>
                <w:szCs w:val="18"/>
                <w:highlight w:val="cyan"/>
                <w:lang w:val="en-US" w:eastAsia="zh-CN"/>
              </w:rPr>
              <w:t>10</w:t>
            </w:r>
            <w:r>
              <w:rPr>
                <w:rFonts w:hint="eastAsia" w:ascii="宋体" w:hAnsi="宋体" w:cs="宋体"/>
                <w:color w:val="000000"/>
                <w:kern w:val="0"/>
                <w:sz w:val="18"/>
                <w:szCs w:val="18"/>
                <w:highlight w:val="cyan"/>
              </w:rPr>
              <w:t>分）</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eastAsia="宋体"/>
                <w:color w:val="000000"/>
                <w:kern w:val="0"/>
                <w:sz w:val="18"/>
                <w:szCs w:val="18"/>
                <w:highlight w:val="cyan"/>
                <w:lang w:val="en-US" w:eastAsia="zh-CN"/>
              </w:rPr>
            </w:pPr>
            <w:r>
              <w:rPr>
                <w:rFonts w:hint="default" w:ascii="宋体" w:eastAsia="宋体"/>
                <w:color w:val="000000"/>
                <w:kern w:val="0"/>
                <w:sz w:val="18"/>
                <w:szCs w:val="18"/>
                <w:highlight w:val="cyan"/>
                <w:lang w:val="en-US" w:eastAsia="zh-CN"/>
              </w:rPr>
              <w:t>对各投标人售后服务流程、故障维修、质保期、零配件供应、技术支持等进行综合打分：</w:t>
            </w:r>
          </w:p>
          <w:p>
            <w:pPr>
              <w:widowControl/>
              <w:jc w:val="left"/>
              <w:rPr>
                <w:rFonts w:hint="default" w:ascii="宋体" w:eastAsia="宋体"/>
                <w:color w:val="000000"/>
                <w:kern w:val="0"/>
                <w:sz w:val="18"/>
                <w:szCs w:val="18"/>
                <w:highlight w:val="cyan"/>
                <w:lang w:val="en-US" w:eastAsia="zh-CN"/>
              </w:rPr>
            </w:pPr>
            <w:r>
              <w:rPr>
                <w:rFonts w:hint="default" w:ascii="宋体" w:eastAsia="宋体"/>
                <w:color w:val="000000"/>
                <w:kern w:val="0"/>
                <w:sz w:val="18"/>
                <w:szCs w:val="18"/>
                <w:highlight w:val="cyan"/>
                <w:lang w:val="en-US" w:eastAsia="zh-CN"/>
              </w:rPr>
              <w:t>优：售后服务、故障维修、修复时间、项目维护方案及应急处理等售后计划措施方案完整合理，可行性强，完全满足或优于采购文件要求，得</w:t>
            </w:r>
            <w:r>
              <w:rPr>
                <w:rFonts w:hint="eastAsia" w:ascii="宋体" w:hAnsi="宋体" w:cs="宋体"/>
                <w:color w:val="000000"/>
                <w:kern w:val="0"/>
                <w:sz w:val="18"/>
                <w:szCs w:val="18"/>
                <w:highlight w:val="cyan"/>
                <w:lang w:val="en-US" w:eastAsia="zh-CN"/>
              </w:rPr>
              <w:t>8</w:t>
            </w:r>
            <w:r>
              <w:rPr>
                <w:rFonts w:hint="eastAsia" w:ascii="宋体" w:hAnsi="宋体" w:cs="宋体"/>
                <w:color w:val="000000"/>
                <w:kern w:val="0"/>
                <w:sz w:val="18"/>
                <w:szCs w:val="18"/>
                <w:highlight w:val="cyan"/>
                <w:lang w:eastAsia="zh-CN"/>
              </w:rPr>
              <w:t>-</w:t>
            </w:r>
            <w:r>
              <w:rPr>
                <w:rFonts w:hint="eastAsia" w:ascii="宋体" w:hAnsi="宋体" w:cs="宋体"/>
                <w:color w:val="000000"/>
                <w:kern w:val="0"/>
                <w:sz w:val="18"/>
                <w:szCs w:val="18"/>
                <w:highlight w:val="cyan"/>
                <w:lang w:val="en-US" w:eastAsia="zh-CN"/>
              </w:rPr>
              <w:t>10</w:t>
            </w:r>
            <w:r>
              <w:rPr>
                <w:rFonts w:hint="default" w:ascii="宋体" w:eastAsia="宋体"/>
                <w:color w:val="000000"/>
                <w:kern w:val="0"/>
                <w:sz w:val="18"/>
                <w:szCs w:val="18"/>
                <w:highlight w:val="cyan"/>
                <w:lang w:val="en-US" w:eastAsia="zh-CN"/>
              </w:rPr>
              <w:t>分；</w:t>
            </w:r>
          </w:p>
          <w:p>
            <w:pPr>
              <w:widowControl/>
              <w:jc w:val="left"/>
              <w:rPr>
                <w:rFonts w:hint="default" w:ascii="宋体" w:eastAsia="宋体"/>
                <w:color w:val="000000"/>
                <w:kern w:val="0"/>
                <w:sz w:val="18"/>
                <w:szCs w:val="18"/>
                <w:highlight w:val="cyan"/>
                <w:lang w:val="en-US" w:eastAsia="zh-CN"/>
              </w:rPr>
            </w:pPr>
            <w:r>
              <w:rPr>
                <w:rFonts w:hint="default" w:ascii="宋体" w:eastAsia="宋体"/>
                <w:color w:val="000000"/>
                <w:kern w:val="0"/>
                <w:sz w:val="18"/>
                <w:szCs w:val="18"/>
                <w:highlight w:val="cyan"/>
                <w:lang w:val="en-US" w:eastAsia="zh-CN"/>
              </w:rPr>
              <w:t>良：售后服务、故障维修方案完整、可行性一般，基本符合采购文件要求，得</w:t>
            </w:r>
            <w:r>
              <w:rPr>
                <w:rFonts w:hint="eastAsia" w:ascii="宋体" w:hAnsi="宋体" w:cs="宋体"/>
                <w:color w:val="000000"/>
                <w:kern w:val="0"/>
                <w:sz w:val="18"/>
                <w:szCs w:val="18"/>
                <w:highlight w:val="cyan"/>
                <w:lang w:val="en-US" w:eastAsia="zh-CN"/>
              </w:rPr>
              <w:t>5-7</w:t>
            </w:r>
            <w:r>
              <w:rPr>
                <w:rFonts w:hint="default" w:ascii="宋体" w:eastAsia="宋体"/>
                <w:color w:val="000000"/>
                <w:kern w:val="0"/>
                <w:sz w:val="18"/>
                <w:szCs w:val="18"/>
                <w:highlight w:val="cyan"/>
                <w:lang w:val="en-US" w:eastAsia="zh-CN"/>
              </w:rPr>
              <w:t>分；</w:t>
            </w:r>
          </w:p>
          <w:p>
            <w:pPr>
              <w:widowControl/>
              <w:jc w:val="left"/>
              <w:rPr>
                <w:rFonts w:hint="default" w:ascii="宋体" w:eastAsia="宋体"/>
                <w:color w:val="000000"/>
                <w:kern w:val="0"/>
                <w:sz w:val="18"/>
                <w:szCs w:val="18"/>
                <w:highlight w:val="cyan"/>
                <w:lang w:val="en-US" w:eastAsia="zh-CN"/>
              </w:rPr>
            </w:pPr>
            <w:r>
              <w:rPr>
                <w:rFonts w:hint="default" w:ascii="宋体" w:eastAsia="宋体"/>
                <w:color w:val="000000"/>
                <w:kern w:val="0"/>
                <w:sz w:val="18"/>
                <w:szCs w:val="18"/>
                <w:highlight w:val="cyan"/>
                <w:lang w:val="en-US" w:eastAsia="zh-CN"/>
              </w:rPr>
              <w:t>差：售后服务、故障维修方案基本完整、可行性较差，不符合采购文件要求，得</w:t>
            </w:r>
            <w:r>
              <w:rPr>
                <w:rFonts w:hint="eastAsia" w:ascii="宋体" w:hAnsi="宋体" w:cs="宋体"/>
                <w:color w:val="000000"/>
                <w:kern w:val="0"/>
                <w:sz w:val="18"/>
                <w:szCs w:val="18"/>
                <w:highlight w:val="cyan"/>
                <w:lang w:eastAsia="zh-CN"/>
              </w:rPr>
              <w:t>1-</w:t>
            </w:r>
            <w:r>
              <w:rPr>
                <w:rFonts w:hint="eastAsia" w:ascii="宋体" w:hAnsi="宋体" w:cs="宋体"/>
                <w:color w:val="000000"/>
                <w:kern w:val="0"/>
                <w:sz w:val="18"/>
                <w:szCs w:val="18"/>
                <w:highlight w:val="cyan"/>
                <w:lang w:val="en-US" w:eastAsia="zh-CN"/>
              </w:rPr>
              <w:t>4</w:t>
            </w:r>
            <w:r>
              <w:rPr>
                <w:rFonts w:hint="default" w:ascii="宋体" w:eastAsia="宋体"/>
                <w:color w:val="000000"/>
                <w:kern w:val="0"/>
                <w:sz w:val="18"/>
                <w:szCs w:val="18"/>
                <w:highlight w:val="cyan"/>
                <w:lang w:val="en-US" w:eastAsia="zh-CN"/>
              </w:rPr>
              <w:t>分。</w:t>
            </w:r>
          </w:p>
          <w:p>
            <w:pPr>
              <w:widowControl/>
              <w:jc w:val="left"/>
              <w:rPr>
                <w:rFonts w:hint="default" w:ascii="宋体" w:eastAsia="宋体"/>
                <w:color w:val="000000"/>
                <w:kern w:val="0"/>
                <w:sz w:val="18"/>
                <w:szCs w:val="18"/>
                <w:highlight w:val="cyan"/>
                <w:lang w:val="en-US" w:eastAsia="zh-CN"/>
              </w:rPr>
            </w:pPr>
            <w:r>
              <w:rPr>
                <w:rFonts w:hint="default" w:ascii="宋体" w:eastAsia="宋体"/>
                <w:color w:val="000000"/>
                <w:kern w:val="0"/>
                <w:sz w:val="18"/>
                <w:szCs w:val="18"/>
                <w:highlight w:val="cyan"/>
                <w:lang w:val="en-US" w:eastAsia="zh-CN"/>
              </w:rPr>
              <w:t>（提供场地、人员配备的证明材料或相应承诺）</w:t>
            </w:r>
          </w:p>
          <w:p>
            <w:pPr>
              <w:widowControl/>
              <w:jc w:val="left"/>
              <w:rPr>
                <w:rFonts w:hint="default" w:ascii="宋体" w:eastAsia="宋体"/>
                <w:color w:val="000000"/>
                <w:kern w:val="0"/>
                <w:sz w:val="18"/>
                <w:szCs w:val="18"/>
                <w:highlight w:val="cyan"/>
                <w:lang w:val="en-US" w:eastAsia="zh-CN"/>
              </w:rPr>
            </w:pPr>
            <w:r>
              <w:rPr>
                <w:rFonts w:hint="default" w:ascii="宋体" w:eastAsia="宋体"/>
                <w:color w:val="000000"/>
                <w:kern w:val="0"/>
                <w:sz w:val="18"/>
                <w:szCs w:val="18"/>
                <w:highlight w:val="cyan"/>
                <w:lang w:val="en-US" w:eastAsia="zh-CN"/>
              </w:rPr>
              <w:t>未提供不得分</w:t>
            </w:r>
          </w:p>
        </w:tc>
        <w:tc>
          <w:tcPr>
            <w:tcW w:w="2043" w:type="dxa"/>
            <w:vMerge w:val="continue"/>
            <w:tcBorders>
              <w:left w:val="nil"/>
              <w:right w:val="single" w:color="auto" w:sz="4" w:space="0"/>
            </w:tcBorders>
            <w:noWrap w:val="0"/>
            <w:vAlign w:val="top"/>
          </w:tcPr>
          <w:p>
            <w:pPr>
              <w:widowControl/>
              <w:jc w:val="center"/>
              <w:rPr>
                <w:rFonts w:ascii="宋体"/>
                <w:color w:val="000000"/>
                <w:kern w:val="0"/>
                <w:sz w:val="18"/>
                <w:szCs w:val="18"/>
                <w:highlight w:val="cyan"/>
              </w:rPr>
            </w:pPr>
          </w:p>
        </w:tc>
      </w:tr>
      <w:tr>
        <w:tblPrEx>
          <w:tblCellMar>
            <w:top w:w="0" w:type="dxa"/>
            <w:left w:w="108" w:type="dxa"/>
            <w:bottom w:w="0" w:type="dxa"/>
            <w:right w:w="108" w:type="dxa"/>
          </w:tblCellMar>
        </w:tblPrEx>
        <w:trPr>
          <w:trHeight w:val="1585"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r>
              <w:rPr>
                <w:rFonts w:hint="eastAsia" w:ascii="宋体" w:hAnsi="宋体" w:cs="宋体"/>
                <w:color w:val="000000"/>
                <w:kern w:val="0"/>
                <w:sz w:val="18"/>
                <w:szCs w:val="18"/>
                <w:highlight w:val="cyan"/>
                <w:lang w:eastAsia="zh-CN"/>
              </w:rPr>
              <w:t>项目投入人员情况</w:t>
            </w:r>
            <w:r>
              <w:rPr>
                <w:rFonts w:hint="eastAsia" w:ascii="宋体" w:hAnsi="宋体" w:cs="宋体"/>
                <w:color w:val="000000"/>
                <w:kern w:val="0"/>
                <w:sz w:val="18"/>
                <w:szCs w:val="18"/>
                <w:highlight w:val="cyan"/>
              </w:rPr>
              <w:t>（</w:t>
            </w:r>
            <w:r>
              <w:rPr>
                <w:rFonts w:hint="eastAsia" w:ascii="宋体" w:hAnsi="宋体" w:eastAsia="宋体" w:cs="宋体"/>
                <w:color w:val="000000"/>
                <w:kern w:val="0"/>
                <w:sz w:val="18"/>
                <w:szCs w:val="18"/>
                <w:highlight w:val="cyan"/>
                <w:lang w:val="en-US" w:eastAsia="zh-CN"/>
              </w:rPr>
              <w:t>9</w:t>
            </w:r>
            <w:r>
              <w:rPr>
                <w:rFonts w:hint="eastAsia" w:ascii="宋体" w:hAnsi="宋体" w:cs="宋体"/>
                <w:color w:val="000000"/>
                <w:kern w:val="0"/>
                <w:sz w:val="18"/>
                <w:szCs w:val="18"/>
                <w:highlight w:val="cyan"/>
              </w:rPr>
              <w:t>分）</w:t>
            </w:r>
          </w:p>
        </w:tc>
        <w:tc>
          <w:tcPr>
            <w:tcW w:w="2880" w:type="dxa"/>
            <w:tcBorders>
              <w:top w:val="nil"/>
              <w:left w:val="nil"/>
              <w:bottom w:val="single" w:color="auto" w:sz="4" w:space="0"/>
              <w:right w:val="single" w:color="auto" w:sz="4" w:space="0"/>
            </w:tcBorders>
            <w:noWrap w:val="0"/>
            <w:vAlign w:val="center"/>
          </w:tcPr>
          <w:p>
            <w:pPr>
              <w:widowControl/>
              <w:jc w:val="left"/>
              <w:rPr>
                <w:rFonts w:hint="default" w:ascii="宋体" w:eastAsia="仿宋"/>
                <w:color w:val="000000"/>
                <w:kern w:val="0"/>
                <w:sz w:val="18"/>
                <w:szCs w:val="18"/>
                <w:highlight w:val="cyan"/>
                <w:lang w:val="en-US" w:eastAsia="zh-CN"/>
              </w:rPr>
            </w:pPr>
            <w:r>
              <w:rPr>
                <w:rFonts w:hint="eastAsia" w:ascii="宋体" w:hAnsi="宋体" w:cs="宋体"/>
                <w:color w:val="000000"/>
                <w:kern w:val="0"/>
                <w:sz w:val="18"/>
                <w:szCs w:val="18"/>
                <w:highlight w:val="cyan"/>
                <w:lang w:eastAsia="zh-CN"/>
              </w:rPr>
              <w:t>项目投入人员情况</w:t>
            </w:r>
            <w:r>
              <w:rPr>
                <w:rFonts w:hint="eastAsia" w:ascii="宋体" w:hAnsi="宋体" w:cs="宋体"/>
                <w:color w:val="000000"/>
                <w:kern w:val="0"/>
                <w:sz w:val="18"/>
                <w:szCs w:val="18"/>
                <w:highlight w:val="cyan"/>
              </w:rPr>
              <w:t>（</w:t>
            </w:r>
            <w:r>
              <w:rPr>
                <w:rFonts w:hint="eastAsia" w:ascii="宋体" w:hAnsi="宋体" w:cs="宋体"/>
                <w:color w:val="000000"/>
                <w:kern w:val="0"/>
                <w:sz w:val="18"/>
                <w:szCs w:val="18"/>
                <w:highlight w:val="cyan"/>
                <w:lang w:val="en-US" w:eastAsia="zh-CN"/>
              </w:rPr>
              <w:t>9</w:t>
            </w:r>
            <w:r>
              <w:rPr>
                <w:rFonts w:hint="eastAsia" w:ascii="宋体" w:hAnsi="宋体" w:cs="宋体"/>
                <w:color w:val="000000"/>
                <w:kern w:val="0"/>
                <w:sz w:val="18"/>
                <w:szCs w:val="18"/>
                <w:highlight w:val="cyan"/>
              </w:rPr>
              <w:t>分）</w:t>
            </w:r>
            <w:r>
              <w:rPr>
                <w:rFonts w:hint="eastAsia" w:ascii="宋体" w:hAnsi="宋体" w:cs="宋体"/>
                <w:color w:val="000000"/>
                <w:kern w:val="0"/>
                <w:sz w:val="18"/>
                <w:szCs w:val="18"/>
                <w:highlight w:val="cyan"/>
                <w:lang w:eastAsia="zh-CN"/>
              </w:rPr>
              <w:t>：由投标人针对本项目提供</w:t>
            </w:r>
            <w:r>
              <w:rPr>
                <w:rFonts w:hint="eastAsia" w:ascii="宋体" w:hAnsi="宋体" w:cs="宋体"/>
                <w:color w:val="000000"/>
                <w:kern w:val="0"/>
                <w:sz w:val="18"/>
                <w:szCs w:val="18"/>
                <w:highlight w:val="cyan"/>
                <w:lang w:val="en-US" w:eastAsia="zh-CN"/>
              </w:rPr>
              <w:t>维修</w:t>
            </w:r>
            <w:r>
              <w:rPr>
                <w:rFonts w:hint="eastAsia" w:ascii="宋体" w:hAnsi="宋体" w:cs="宋体"/>
                <w:color w:val="000000"/>
                <w:kern w:val="0"/>
                <w:sz w:val="18"/>
                <w:szCs w:val="18"/>
                <w:highlight w:val="cyan"/>
                <w:lang w:eastAsia="zh-CN"/>
              </w:rPr>
              <w:t>人员（需提供人员证件、近</w:t>
            </w:r>
            <w:r>
              <w:rPr>
                <w:rFonts w:hint="eastAsia" w:ascii="宋体" w:hAnsi="宋体" w:cs="宋体"/>
                <w:color w:val="000000"/>
                <w:kern w:val="0"/>
                <w:sz w:val="18"/>
                <w:szCs w:val="18"/>
                <w:highlight w:val="cyan"/>
                <w:lang w:val="en-US" w:eastAsia="zh-CN"/>
              </w:rPr>
              <w:t>3个月内任意一个月社保缴纳证明）</w:t>
            </w:r>
            <w:r>
              <w:rPr>
                <w:rFonts w:hint="eastAsia" w:ascii="宋体" w:hAnsi="宋体" w:cs="宋体"/>
                <w:color w:val="000000"/>
                <w:kern w:val="0"/>
                <w:sz w:val="18"/>
                <w:szCs w:val="18"/>
                <w:highlight w:val="cyan"/>
                <w:lang w:eastAsia="zh-CN"/>
              </w:rPr>
              <w:t>评价，</w:t>
            </w:r>
            <w:r>
              <w:rPr>
                <w:rFonts w:hint="eastAsia" w:ascii="宋体" w:hAnsi="宋体" w:cs="宋体"/>
                <w:color w:val="000000"/>
                <w:kern w:val="0"/>
                <w:sz w:val="18"/>
                <w:szCs w:val="18"/>
                <w:highlight w:val="cyan"/>
                <w:lang w:val="en-US" w:eastAsia="zh-CN"/>
              </w:rPr>
              <w:t>高级维修工每个得2分，最多得6分，中级维修工每个得1分，最高得3分</w:t>
            </w:r>
          </w:p>
        </w:tc>
        <w:tc>
          <w:tcPr>
            <w:tcW w:w="2043" w:type="dxa"/>
            <w:vMerge w:val="continue"/>
            <w:tcBorders>
              <w:left w:val="nil"/>
              <w:right w:val="single" w:color="auto" w:sz="4" w:space="0"/>
            </w:tcBorders>
            <w:noWrap w:val="0"/>
            <w:vAlign w:val="top"/>
          </w:tcPr>
          <w:p>
            <w:pPr>
              <w:widowControl/>
              <w:jc w:val="center"/>
              <w:rPr>
                <w:rFonts w:ascii="宋体"/>
                <w:color w:val="000000"/>
                <w:kern w:val="0"/>
                <w:sz w:val="18"/>
                <w:szCs w:val="18"/>
                <w:highlight w:val="cyan"/>
              </w:rPr>
            </w:pPr>
          </w:p>
        </w:tc>
      </w:tr>
      <w:tr>
        <w:tblPrEx>
          <w:tblCellMar>
            <w:top w:w="0" w:type="dxa"/>
            <w:left w:w="108" w:type="dxa"/>
            <w:bottom w:w="0" w:type="dxa"/>
            <w:right w:w="108" w:type="dxa"/>
          </w:tblCellMar>
        </w:tblPrEx>
        <w:trPr>
          <w:trHeight w:val="1665" w:hRule="atLeast"/>
        </w:trPr>
        <w:tc>
          <w:tcPr>
            <w:tcW w:w="13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p>
        </w:tc>
        <w:tc>
          <w:tcPr>
            <w:tcW w:w="2338"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r>
              <w:rPr>
                <w:rFonts w:hint="eastAsia" w:ascii="宋体" w:hAnsi="宋体" w:cs="宋体"/>
                <w:color w:val="000000"/>
                <w:kern w:val="0"/>
                <w:sz w:val="18"/>
                <w:szCs w:val="18"/>
                <w:highlight w:val="cyan"/>
                <w:lang w:eastAsia="zh-CN"/>
              </w:rPr>
              <w:t>项目投入的设施设备（</w:t>
            </w:r>
            <w:r>
              <w:rPr>
                <w:rFonts w:hint="eastAsia" w:ascii="宋体" w:hAnsi="宋体" w:cs="宋体"/>
                <w:color w:val="000000"/>
                <w:kern w:val="0"/>
                <w:sz w:val="18"/>
                <w:szCs w:val="18"/>
                <w:highlight w:val="cyan"/>
                <w:lang w:val="en-US" w:eastAsia="zh-CN"/>
              </w:rPr>
              <w:t>10</w:t>
            </w:r>
            <w:r>
              <w:rPr>
                <w:rFonts w:hint="eastAsia" w:ascii="宋体" w:hAnsi="宋体" w:cs="宋体"/>
                <w:color w:val="000000"/>
                <w:kern w:val="0"/>
                <w:sz w:val="18"/>
                <w:szCs w:val="18"/>
                <w:highlight w:val="cyan"/>
                <w:lang w:eastAsia="zh-CN"/>
              </w:rPr>
              <w:t>分</w:t>
            </w:r>
            <w:r>
              <w:rPr>
                <w:rFonts w:hint="eastAsia" w:ascii="宋体" w:hAnsi="宋体" w:cs="宋体"/>
                <w:color w:val="000000"/>
                <w:kern w:val="0"/>
                <w:sz w:val="18"/>
                <w:szCs w:val="18"/>
                <w:highlight w:val="cyan"/>
              </w:rPr>
              <w:t>）</w:t>
            </w:r>
          </w:p>
        </w:tc>
        <w:tc>
          <w:tcPr>
            <w:tcW w:w="28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highlight w:val="cyan"/>
                <w:lang w:eastAsia="zh-CN"/>
              </w:rPr>
            </w:pPr>
            <w:r>
              <w:rPr>
                <w:rFonts w:hint="eastAsia" w:ascii="宋体" w:hAnsi="宋体" w:cs="宋体"/>
                <w:color w:val="000000"/>
                <w:kern w:val="0"/>
                <w:sz w:val="18"/>
                <w:szCs w:val="18"/>
                <w:highlight w:val="cyan"/>
                <w:lang w:eastAsia="zh-CN"/>
              </w:rPr>
              <w:t>项目投入的设施设备（</w:t>
            </w:r>
            <w:r>
              <w:rPr>
                <w:rFonts w:hint="eastAsia" w:ascii="宋体" w:hAnsi="宋体" w:cs="宋体"/>
                <w:color w:val="000000"/>
                <w:kern w:val="0"/>
                <w:sz w:val="18"/>
                <w:szCs w:val="18"/>
                <w:highlight w:val="cyan"/>
                <w:lang w:val="en-US" w:eastAsia="zh-CN"/>
              </w:rPr>
              <w:t>10</w:t>
            </w:r>
            <w:r>
              <w:rPr>
                <w:rFonts w:hint="eastAsia" w:ascii="宋体" w:hAnsi="宋体" w:cs="宋体"/>
                <w:color w:val="000000"/>
                <w:kern w:val="0"/>
                <w:sz w:val="18"/>
                <w:szCs w:val="18"/>
                <w:highlight w:val="cyan"/>
                <w:lang w:eastAsia="zh-CN"/>
              </w:rPr>
              <w:t>分</w:t>
            </w:r>
            <w:r>
              <w:rPr>
                <w:rFonts w:hint="eastAsia" w:ascii="宋体" w:hAnsi="宋体" w:cs="宋体"/>
                <w:color w:val="000000"/>
                <w:kern w:val="0"/>
                <w:sz w:val="18"/>
                <w:szCs w:val="18"/>
                <w:highlight w:val="cyan"/>
              </w:rPr>
              <w:t>）</w:t>
            </w:r>
            <w:r>
              <w:rPr>
                <w:rFonts w:hint="eastAsia" w:ascii="宋体" w:hAnsi="宋体" w:cs="宋体"/>
                <w:color w:val="000000"/>
                <w:kern w:val="0"/>
                <w:sz w:val="18"/>
                <w:szCs w:val="18"/>
                <w:highlight w:val="cyan"/>
                <w:lang w:eastAsia="zh-CN"/>
              </w:rPr>
              <w:t>：由投标人针对本项目投入的</w:t>
            </w:r>
            <w:r>
              <w:rPr>
                <w:rFonts w:hint="eastAsia" w:ascii="宋体" w:hAnsi="宋体" w:cs="宋体"/>
                <w:color w:val="000000"/>
                <w:kern w:val="0"/>
                <w:sz w:val="18"/>
                <w:szCs w:val="18"/>
                <w:highlight w:val="cyan"/>
                <w:lang w:val="en-US" w:eastAsia="zh-CN"/>
              </w:rPr>
              <w:t>维修</w:t>
            </w:r>
            <w:r>
              <w:rPr>
                <w:rFonts w:hint="eastAsia" w:ascii="宋体" w:hAnsi="宋体" w:cs="宋体"/>
                <w:color w:val="000000"/>
                <w:kern w:val="0"/>
                <w:sz w:val="18"/>
                <w:szCs w:val="18"/>
                <w:highlight w:val="cyan"/>
                <w:lang w:eastAsia="zh-CN"/>
              </w:rPr>
              <w:t>设备及设施的数量、质量、拟安放位置及功能性是否齐全等方面评审（</w:t>
            </w:r>
            <w:r>
              <w:rPr>
                <w:rFonts w:hint="eastAsia" w:ascii="宋体" w:hAnsi="宋体" w:cs="宋体"/>
                <w:color w:val="000000"/>
                <w:kern w:val="0"/>
                <w:sz w:val="18"/>
                <w:szCs w:val="18"/>
                <w:highlight w:val="cyan"/>
                <w:lang w:val="en-US" w:eastAsia="zh-CN"/>
              </w:rPr>
              <w:t>需提供设备设施的照片及购买凭证</w:t>
            </w:r>
            <w:r>
              <w:rPr>
                <w:rFonts w:hint="eastAsia" w:ascii="宋体" w:hAnsi="宋体" w:cs="宋体"/>
                <w:color w:val="000000"/>
                <w:kern w:val="0"/>
                <w:sz w:val="18"/>
                <w:szCs w:val="18"/>
                <w:highlight w:val="cyan"/>
                <w:lang w:eastAsia="zh-CN"/>
              </w:rPr>
              <w:t>），一般的1-</w:t>
            </w:r>
            <w:r>
              <w:rPr>
                <w:rFonts w:hint="eastAsia" w:ascii="宋体" w:hAnsi="宋体" w:cs="宋体"/>
                <w:color w:val="000000"/>
                <w:kern w:val="0"/>
                <w:sz w:val="18"/>
                <w:szCs w:val="18"/>
                <w:highlight w:val="cyan"/>
                <w:lang w:val="en-US" w:eastAsia="zh-CN"/>
              </w:rPr>
              <w:t>4</w:t>
            </w:r>
            <w:r>
              <w:rPr>
                <w:rFonts w:hint="eastAsia" w:ascii="宋体" w:hAnsi="宋体" w:cs="宋体"/>
                <w:color w:val="000000"/>
                <w:kern w:val="0"/>
                <w:sz w:val="18"/>
                <w:szCs w:val="18"/>
                <w:highlight w:val="cyan"/>
                <w:lang w:eastAsia="zh-CN"/>
              </w:rPr>
              <w:t>分，良好的</w:t>
            </w:r>
            <w:r>
              <w:rPr>
                <w:rFonts w:hint="eastAsia" w:ascii="宋体" w:hAnsi="宋体" w:cs="宋体"/>
                <w:color w:val="000000"/>
                <w:kern w:val="0"/>
                <w:sz w:val="18"/>
                <w:szCs w:val="18"/>
                <w:highlight w:val="cyan"/>
                <w:lang w:val="en-US" w:eastAsia="zh-CN"/>
              </w:rPr>
              <w:t>5-7</w:t>
            </w:r>
            <w:r>
              <w:rPr>
                <w:rFonts w:hint="eastAsia" w:ascii="宋体" w:hAnsi="宋体" w:cs="宋体"/>
                <w:color w:val="000000"/>
                <w:kern w:val="0"/>
                <w:sz w:val="18"/>
                <w:szCs w:val="18"/>
                <w:highlight w:val="cyan"/>
                <w:lang w:eastAsia="zh-CN"/>
              </w:rPr>
              <w:t>分，优秀的</w:t>
            </w:r>
            <w:r>
              <w:rPr>
                <w:rFonts w:hint="eastAsia" w:ascii="宋体" w:hAnsi="宋体" w:cs="宋体"/>
                <w:color w:val="000000"/>
                <w:kern w:val="0"/>
                <w:sz w:val="18"/>
                <w:szCs w:val="18"/>
                <w:highlight w:val="cyan"/>
                <w:lang w:val="en-US" w:eastAsia="zh-CN"/>
              </w:rPr>
              <w:t>8</w:t>
            </w:r>
            <w:r>
              <w:rPr>
                <w:rFonts w:hint="eastAsia" w:ascii="宋体" w:hAnsi="宋体" w:cs="宋体"/>
                <w:color w:val="000000"/>
                <w:kern w:val="0"/>
                <w:sz w:val="18"/>
                <w:szCs w:val="18"/>
                <w:highlight w:val="cyan"/>
                <w:lang w:eastAsia="zh-CN"/>
              </w:rPr>
              <w:t>-</w:t>
            </w:r>
            <w:r>
              <w:rPr>
                <w:rFonts w:hint="eastAsia" w:ascii="宋体" w:hAnsi="宋体" w:cs="宋体"/>
                <w:color w:val="000000"/>
                <w:kern w:val="0"/>
                <w:sz w:val="18"/>
                <w:szCs w:val="18"/>
                <w:highlight w:val="cyan"/>
                <w:lang w:val="en-US" w:eastAsia="zh-CN"/>
              </w:rPr>
              <w:t>10</w:t>
            </w:r>
            <w:r>
              <w:rPr>
                <w:rFonts w:hint="eastAsia" w:ascii="宋体" w:hAnsi="宋体" w:cs="宋体"/>
                <w:color w:val="000000"/>
                <w:kern w:val="0"/>
                <w:sz w:val="18"/>
                <w:szCs w:val="18"/>
                <w:highlight w:val="cyan"/>
                <w:lang w:eastAsia="zh-CN"/>
              </w:rPr>
              <w:t>分。</w:t>
            </w:r>
          </w:p>
        </w:tc>
        <w:tc>
          <w:tcPr>
            <w:tcW w:w="2043" w:type="dxa"/>
            <w:vMerge w:val="continue"/>
            <w:tcBorders>
              <w:left w:val="nil"/>
              <w:bottom w:val="single" w:color="auto" w:sz="4" w:space="0"/>
              <w:right w:val="single" w:color="auto" w:sz="4" w:space="0"/>
            </w:tcBorders>
            <w:noWrap w:val="0"/>
            <w:vAlign w:val="top"/>
          </w:tcPr>
          <w:p>
            <w:pPr>
              <w:widowControl/>
              <w:jc w:val="left"/>
              <w:rPr>
                <w:rFonts w:hint="eastAsia" w:ascii="宋体" w:hAnsi="宋体" w:cs="宋体"/>
                <w:color w:val="000000"/>
                <w:kern w:val="0"/>
                <w:sz w:val="18"/>
                <w:szCs w:val="18"/>
                <w:highlight w:val="cyan"/>
                <w:lang w:eastAsia="zh-CN"/>
              </w:rPr>
            </w:pPr>
          </w:p>
        </w:tc>
      </w:tr>
      <w:tr>
        <w:tblPrEx>
          <w:tblCellMar>
            <w:top w:w="0" w:type="dxa"/>
            <w:left w:w="108" w:type="dxa"/>
            <w:bottom w:w="0" w:type="dxa"/>
            <w:right w:w="108" w:type="dxa"/>
          </w:tblCellMar>
        </w:tblPrEx>
        <w:trPr>
          <w:trHeight w:val="2847" w:hRule="atLeast"/>
        </w:trPr>
        <w:tc>
          <w:tcPr>
            <w:tcW w:w="13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rPr>
              <w:t>商务部分（</w:t>
            </w:r>
            <w:r>
              <w:rPr>
                <w:rFonts w:hint="eastAsia" w:ascii="宋体" w:hAnsi="宋体" w:cs="宋体"/>
                <w:color w:val="000000"/>
                <w:kern w:val="0"/>
                <w:sz w:val="18"/>
                <w:szCs w:val="18"/>
                <w:highlight w:val="cyan"/>
                <w:lang w:val="en-US" w:eastAsia="zh-CN"/>
              </w:rPr>
              <w:t>6</w:t>
            </w:r>
            <w:r>
              <w:rPr>
                <w:rFonts w:hint="eastAsia" w:ascii="宋体" w:hAnsi="宋体" w:cs="宋体"/>
                <w:color w:val="000000"/>
                <w:kern w:val="0"/>
                <w:sz w:val="18"/>
                <w:szCs w:val="18"/>
                <w:highlight w:val="cyan"/>
              </w:rPr>
              <w:t>分）</w:t>
            </w:r>
          </w:p>
        </w:tc>
        <w:tc>
          <w:tcPr>
            <w:tcW w:w="23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rPr>
              <w:t>投标人企业实力及信誉情况（</w:t>
            </w:r>
            <w:r>
              <w:rPr>
                <w:rFonts w:hint="eastAsia" w:ascii="宋体" w:hAnsi="宋体" w:cs="宋体"/>
                <w:color w:val="000000"/>
                <w:kern w:val="0"/>
                <w:sz w:val="18"/>
                <w:szCs w:val="18"/>
                <w:highlight w:val="cyan"/>
                <w:lang w:val="en-US" w:eastAsia="zh-CN"/>
              </w:rPr>
              <w:t>3</w:t>
            </w:r>
            <w:r>
              <w:rPr>
                <w:rFonts w:hint="eastAsia" w:ascii="宋体" w:hAnsi="宋体" w:cs="宋体"/>
                <w:color w:val="000000"/>
                <w:kern w:val="0"/>
                <w:sz w:val="18"/>
                <w:szCs w:val="18"/>
                <w:highlight w:val="cyan"/>
              </w:rPr>
              <w:t>分）</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r>
              <w:rPr>
                <w:rFonts w:hint="eastAsia" w:ascii="宋体" w:hAnsi="宋体" w:cs="宋体"/>
                <w:color w:val="000000"/>
                <w:kern w:val="0"/>
                <w:sz w:val="18"/>
                <w:szCs w:val="18"/>
                <w:highlight w:val="cyan"/>
                <w:lang w:eastAsia="zh-CN"/>
              </w:rPr>
              <w:t>投标人实力及信誉（</w:t>
            </w:r>
            <w:r>
              <w:rPr>
                <w:rFonts w:hint="eastAsia" w:ascii="宋体" w:hAnsi="宋体" w:cs="宋体"/>
                <w:color w:val="000000"/>
                <w:kern w:val="0"/>
                <w:sz w:val="18"/>
                <w:szCs w:val="18"/>
                <w:highlight w:val="cyan"/>
                <w:lang w:val="en-US" w:eastAsia="zh-CN"/>
              </w:rPr>
              <w:t>3分）</w:t>
            </w:r>
            <w:r>
              <w:rPr>
                <w:rFonts w:hint="eastAsia" w:ascii="宋体" w:hAnsi="宋体" w:cs="宋体"/>
                <w:color w:val="000000"/>
                <w:kern w:val="0"/>
                <w:sz w:val="18"/>
                <w:szCs w:val="18"/>
                <w:highlight w:val="cyan"/>
                <w:lang w:eastAsia="zh-CN"/>
              </w:rPr>
              <w:t>投标人在当地是否能够提供优质的本地化服务，能否提供及时到位品质服务等，提供相关证明文件，由评委进行评议并在0-</w:t>
            </w:r>
            <w:r>
              <w:rPr>
                <w:rFonts w:hint="eastAsia" w:ascii="宋体" w:hAnsi="宋体" w:cs="宋体"/>
                <w:color w:val="000000"/>
                <w:kern w:val="0"/>
                <w:sz w:val="18"/>
                <w:szCs w:val="18"/>
                <w:highlight w:val="cyan"/>
                <w:lang w:val="en-US" w:eastAsia="zh-CN"/>
              </w:rPr>
              <w:t>3</w:t>
            </w:r>
            <w:r>
              <w:rPr>
                <w:rFonts w:hint="eastAsia" w:ascii="宋体" w:hAnsi="宋体" w:cs="宋体"/>
                <w:color w:val="000000"/>
                <w:kern w:val="0"/>
                <w:sz w:val="18"/>
                <w:szCs w:val="18"/>
                <w:highlight w:val="cyan"/>
                <w:lang w:eastAsia="zh-CN"/>
              </w:rPr>
              <w:t>分之间进行评分。(提供证明材料固定长期服务机构及人员最高得</w:t>
            </w:r>
            <w:r>
              <w:rPr>
                <w:rFonts w:hint="eastAsia" w:ascii="宋体" w:hAnsi="宋体" w:cs="宋体"/>
                <w:color w:val="000000"/>
                <w:kern w:val="0"/>
                <w:sz w:val="18"/>
                <w:szCs w:val="18"/>
                <w:highlight w:val="cyan"/>
                <w:lang w:val="en-US" w:eastAsia="zh-CN"/>
              </w:rPr>
              <w:t>3</w:t>
            </w:r>
            <w:r>
              <w:rPr>
                <w:rFonts w:hint="eastAsia" w:ascii="宋体" w:hAnsi="宋体" w:cs="宋体"/>
                <w:color w:val="000000"/>
                <w:kern w:val="0"/>
                <w:sz w:val="18"/>
                <w:szCs w:val="18"/>
                <w:highlight w:val="cyan"/>
                <w:lang w:eastAsia="zh-CN"/>
              </w:rPr>
              <w:t>分，无证明材料的得</w:t>
            </w:r>
            <w:r>
              <w:rPr>
                <w:rFonts w:hint="eastAsia" w:ascii="宋体" w:hAnsi="宋体" w:cs="宋体"/>
                <w:color w:val="000000"/>
                <w:kern w:val="0"/>
                <w:sz w:val="18"/>
                <w:szCs w:val="18"/>
                <w:highlight w:val="cyan"/>
                <w:lang w:val="en-US" w:eastAsia="zh-CN"/>
              </w:rPr>
              <w:t>0</w:t>
            </w:r>
            <w:r>
              <w:rPr>
                <w:rFonts w:hint="eastAsia" w:ascii="宋体" w:hAnsi="宋体" w:cs="宋体"/>
                <w:color w:val="000000"/>
                <w:kern w:val="0"/>
                <w:sz w:val="18"/>
                <w:szCs w:val="18"/>
                <w:highlight w:val="cyan"/>
                <w:lang w:eastAsia="zh-CN"/>
              </w:rPr>
              <w:t>分）</w:t>
            </w:r>
          </w:p>
        </w:tc>
        <w:tc>
          <w:tcPr>
            <w:tcW w:w="2043" w:type="dxa"/>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color w:val="000000"/>
                <w:kern w:val="0"/>
                <w:sz w:val="18"/>
                <w:szCs w:val="18"/>
                <w:highlight w:val="cyan"/>
              </w:rPr>
            </w:pPr>
            <w:r>
              <w:rPr>
                <w:rFonts w:hint="eastAsia" w:ascii="宋体" w:hAnsi="宋体" w:cs="宋体"/>
                <w:color w:val="000000"/>
                <w:kern w:val="0"/>
                <w:sz w:val="18"/>
                <w:szCs w:val="18"/>
                <w:highlight w:val="cyan"/>
              </w:rPr>
              <w:t>　</w:t>
            </w:r>
          </w:p>
          <w:p>
            <w:pPr>
              <w:widowControl/>
              <w:jc w:val="center"/>
              <w:rPr>
                <w:rFonts w:ascii="宋体"/>
                <w:color w:val="000000"/>
                <w:kern w:val="0"/>
                <w:sz w:val="18"/>
                <w:szCs w:val="18"/>
                <w:highlight w:val="cyan"/>
              </w:rPr>
            </w:pPr>
            <w:r>
              <w:rPr>
                <w:rFonts w:hint="eastAsia" w:ascii="宋体" w:hAnsi="宋体" w:cs="宋体"/>
                <w:color w:val="000000"/>
                <w:kern w:val="0"/>
                <w:sz w:val="18"/>
                <w:szCs w:val="18"/>
                <w:highlight w:val="cyan"/>
              </w:rPr>
              <w:t>　</w:t>
            </w:r>
          </w:p>
          <w:p>
            <w:pPr>
              <w:widowControl/>
              <w:jc w:val="center"/>
              <w:rPr>
                <w:rFonts w:hint="eastAsia" w:ascii="宋体" w:hAnsi="宋体" w:cs="宋体"/>
                <w:color w:val="000000"/>
                <w:kern w:val="0"/>
                <w:sz w:val="28"/>
                <w:szCs w:val="28"/>
                <w:highlight w:val="cyan"/>
                <w:lang w:val="en-US" w:eastAsia="zh-CN"/>
              </w:rPr>
            </w:pPr>
          </w:p>
          <w:p>
            <w:pPr>
              <w:widowControl/>
              <w:jc w:val="center"/>
              <w:rPr>
                <w:rFonts w:hint="eastAsia" w:ascii="宋体" w:hAnsi="宋体" w:cs="宋体"/>
                <w:color w:val="000000"/>
                <w:kern w:val="0"/>
                <w:sz w:val="28"/>
                <w:szCs w:val="28"/>
                <w:highlight w:val="cyan"/>
                <w:lang w:val="en-US" w:eastAsia="zh-CN"/>
              </w:rPr>
            </w:pPr>
          </w:p>
          <w:p>
            <w:pPr>
              <w:widowControl/>
              <w:jc w:val="center"/>
              <w:rPr>
                <w:rFonts w:ascii="宋体"/>
                <w:color w:val="000000"/>
                <w:kern w:val="0"/>
                <w:sz w:val="18"/>
                <w:szCs w:val="18"/>
                <w:highlight w:val="cyan"/>
              </w:rPr>
            </w:pPr>
            <w:r>
              <w:rPr>
                <w:rFonts w:hint="eastAsia" w:ascii="宋体" w:hAnsi="宋体" w:cs="宋体"/>
                <w:color w:val="000000"/>
                <w:kern w:val="0"/>
                <w:sz w:val="28"/>
                <w:szCs w:val="28"/>
                <w:highlight w:val="cyan"/>
                <w:lang w:val="en-US" w:eastAsia="zh-CN"/>
              </w:rPr>
              <w:t>6分</w:t>
            </w:r>
            <w:r>
              <w:rPr>
                <w:rFonts w:hint="eastAsia" w:ascii="宋体" w:hAnsi="宋体" w:cs="宋体"/>
                <w:color w:val="000000"/>
                <w:kern w:val="0"/>
                <w:sz w:val="18"/>
                <w:szCs w:val="18"/>
                <w:highlight w:val="cyan"/>
              </w:rPr>
              <w:t>　</w:t>
            </w:r>
          </w:p>
        </w:tc>
      </w:tr>
      <w:tr>
        <w:tblPrEx>
          <w:tblCellMar>
            <w:top w:w="0" w:type="dxa"/>
            <w:left w:w="108" w:type="dxa"/>
            <w:bottom w:w="0" w:type="dxa"/>
            <w:right w:w="108" w:type="dxa"/>
          </w:tblCellMar>
        </w:tblPrEx>
        <w:trPr>
          <w:trHeight w:val="960" w:hRule="atLeast"/>
        </w:trPr>
        <w:tc>
          <w:tcPr>
            <w:tcW w:w="1385" w:type="dxa"/>
            <w:vMerge w:val="continue"/>
            <w:tcBorders>
              <w:top w:val="single" w:color="auto" w:sz="4" w:space="0"/>
              <w:left w:val="single" w:color="auto" w:sz="4" w:space="0"/>
              <w:right w:val="single" w:color="auto" w:sz="4" w:space="0"/>
            </w:tcBorders>
            <w:noWrap w:val="0"/>
            <w:vAlign w:val="center"/>
          </w:tcPr>
          <w:p>
            <w:pPr>
              <w:widowControl/>
              <w:jc w:val="left"/>
              <w:rPr>
                <w:rFonts w:ascii="宋体"/>
                <w:color w:val="000000"/>
                <w:kern w:val="0"/>
                <w:sz w:val="18"/>
                <w:szCs w:val="18"/>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r>
              <w:rPr>
                <w:rFonts w:hint="eastAsia" w:ascii="宋体" w:hAnsi="宋体" w:cs="宋体"/>
                <w:color w:val="000000"/>
                <w:kern w:val="0"/>
                <w:sz w:val="18"/>
                <w:szCs w:val="18"/>
                <w:highlight w:val="cyan"/>
              </w:rPr>
              <w:t>投标文件编制质量和响应程度（</w:t>
            </w:r>
            <w:r>
              <w:rPr>
                <w:rFonts w:hint="eastAsia" w:ascii="宋体" w:hAnsi="宋体" w:eastAsia="宋体" w:cs="宋体"/>
                <w:color w:val="000000"/>
                <w:kern w:val="0"/>
                <w:sz w:val="18"/>
                <w:szCs w:val="18"/>
                <w:highlight w:val="cyan"/>
                <w:lang w:val="en-US" w:eastAsia="zh-CN"/>
              </w:rPr>
              <w:t>3</w:t>
            </w:r>
            <w:r>
              <w:rPr>
                <w:rFonts w:hint="eastAsia" w:ascii="宋体" w:hAnsi="宋体" w:cs="宋体"/>
                <w:color w:val="000000"/>
                <w:kern w:val="0"/>
                <w:sz w:val="18"/>
                <w:szCs w:val="18"/>
                <w:highlight w:val="cyan"/>
              </w:rPr>
              <w:t>分）</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highlight w:val="cyan"/>
              </w:rPr>
            </w:pPr>
            <w:bookmarkStart w:id="80" w:name="_GoBack"/>
            <w:r>
              <w:rPr>
                <w:rFonts w:hint="eastAsia" w:ascii="宋体" w:hAnsi="宋体" w:cs="宋体"/>
                <w:color w:val="000000"/>
                <w:kern w:val="0"/>
                <w:sz w:val="18"/>
                <w:szCs w:val="18"/>
                <w:highlight w:val="cyan"/>
              </w:rPr>
              <w:t>根据投标文件内容完整度和编制质量，由评委进行评议并在</w:t>
            </w:r>
            <w:r>
              <w:rPr>
                <w:rFonts w:ascii="宋体" w:hAnsi="宋体" w:cs="宋体"/>
                <w:color w:val="000000"/>
                <w:kern w:val="0"/>
                <w:sz w:val="18"/>
                <w:szCs w:val="18"/>
                <w:highlight w:val="cyan"/>
              </w:rPr>
              <w:t>0-</w:t>
            </w:r>
            <w:r>
              <w:rPr>
                <w:rFonts w:hint="eastAsia" w:ascii="宋体" w:hAnsi="宋体" w:eastAsia="宋体" w:cs="宋体"/>
                <w:color w:val="000000"/>
                <w:kern w:val="0"/>
                <w:sz w:val="18"/>
                <w:szCs w:val="18"/>
                <w:highlight w:val="cyan"/>
                <w:lang w:val="en-US" w:eastAsia="zh-CN"/>
              </w:rPr>
              <w:t>3</w:t>
            </w:r>
            <w:r>
              <w:rPr>
                <w:rFonts w:hint="eastAsia" w:ascii="宋体" w:hAnsi="宋体" w:cs="宋体"/>
                <w:color w:val="000000"/>
                <w:kern w:val="0"/>
                <w:sz w:val="18"/>
                <w:szCs w:val="18"/>
                <w:highlight w:val="cyan"/>
              </w:rPr>
              <w:t>分之间进行评分</w:t>
            </w:r>
            <w:bookmarkEnd w:id="80"/>
          </w:p>
        </w:tc>
        <w:tc>
          <w:tcPr>
            <w:tcW w:w="2043" w:type="dxa"/>
            <w:vMerge w:val="continue"/>
            <w:tcBorders>
              <w:top w:val="single" w:color="auto" w:sz="4" w:space="0"/>
              <w:left w:val="nil"/>
              <w:right w:val="single" w:color="auto" w:sz="4" w:space="0"/>
            </w:tcBorders>
            <w:noWrap w:val="0"/>
            <w:vAlign w:val="top"/>
          </w:tcPr>
          <w:p>
            <w:pPr>
              <w:widowControl/>
              <w:jc w:val="center"/>
              <w:rPr>
                <w:rFonts w:ascii="宋体"/>
                <w:color w:val="000000"/>
                <w:kern w:val="0"/>
                <w:sz w:val="18"/>
                <w:szCs w:val="18"/>
              </w:rPr>
            </w:pPr>
          </w:p>
        </w:tc>
      </w:tr>
    </w:tbl>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w:t>
      </w:r>
      <w:r>
        <w:rPr>
          <w:rFonts w:ascii="宋体" w:hAnsi="宋体"/>
          <w:szCs w:val="21"/>
        </w:rPr>
        <w:t>0%</w:t>
      </w:r>
      <w:r>
        <w:rPr>
          <w:rFonts w:hint="eastAsia" w:ascii="宋体" w:hAnsi="宋体"/>
          <w:szCs w:val="21"/>
        </w:rPr>
        <w:t>；投标投标报价部分权重</w:t>
      </w:r>
      <w:r>
        <w:rPr>
          <w:rFonts w:hint="eastAsia" w:ascii="宋体" w:hAnsi="宋体" w:eastAsia="宋体"/>
          <w:szCs w:val="21"/>
          <w:lang w:val="en-US" w:eastAsia="zh-CN"/>
        </w:rPr>
        <w:t>3</w:t>
      </w:r>
      <w:r>
        <w:rPr>
          <w:rFonts w:ascii="宋体" w:hAnsi="宋体"/>
          <w:szCs w:val="21"/>
        </w:rPr>
        <w:t>0%</w:t>
      </w:r>
    </w:p>
    <w:p>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pPr>
        <w:pStyle w:val="9"/>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b w:val="0"/>
          <w:bCs/>
          <w:highlight w:val="cyan"/>
        </w:rPr>
      </w:pPr>
      <w:r>
        <w:rPr>
          <w:rFonts w:hint="eastAsia" w:eastAsia="宋体"/>
          <w:b w:val="0"/>
          <w:bCs/>
          <w:highlight w:val="green"/>
          <w:lang w:val="en-US" w:eastAsia="zh-CN"/>
        </w:rPr>
        <w:t>9</w:t>
      </w:r>
      <w:r>
        <w:rPr>
          <w:rFonts w:hint="eastAsia"/>
          <w:b w:val="0"/>
          <w:bCs/>
          <w:highlight w:val="green"/>
        </w:rPr>
        <w:t>）</w:t>
      </w:r>
      <w:r>
        <w:rPr>
          <w:rFonts w:hint="eastAsia" w:eastAsia="宋体"/>
          <w:b w:val="0"/>
          <w:bCs/>
          <w:highlight w:val="cyan"/>
          <w:lang w:val="en-US" w:eastAsia="zh-CN"/>
        </w:rPr>
        <w:t>具有</w:t>
      </w:r>
      <w:r>
        <w:rPr>
          <w:rFonts w:hint="eastAsia"/>
          <w:b w:val="0"/>
          <w:bCs/>
          <w:highlight w:val="cyan"/>
        </w:rPr>
        <w:t>二类及以上机动车维修经营许可证或备案证明材料；</w:t>
      </w:r>
    </w:p>
    <w:p>
      <w:pPr>
        <w:snapToGrid w:val="0"/>
        <w:spacing w:line="300" w:lineRule="exact"/>
        <w:ind w:firstLine="465"/>
        <w:rPr>
          <w:bCs/>
          <w:highlight w:val="green"/>
        </w:rPr>
      </w:pPr>
      <w:r>
        <w:rPr>
          <w:rFonts w:hint="eastAsia" w:eastAsia="宋体"/>
          <w:b/>
          <w:bCs w:val="0"/>
          <w:highlight w:val="green"/>
          <w:lang w:val="en-US" w:eastAsia="zh-CN"/>
        </w:rPr>
        <w:t>10</w:t>
      </w:r>
      <w:r>
        <w:rPr>
          <w:rFonts w:hint="eastAsia"/>
          <w:b/>
          <w:bCs w:val="0"/>
          <w:highlight w:val="green"/>
        </w:rPr>
        <w:t>）</w:t>
      </w:r>
      <w:r>
        <w:rPr>
          <w:b/>
          <w:bCs w:val="0"/>
          <w:highlight w:val="green"/>
        </w:rPr>
        <w:t>本项目不接受联合体投标</w:t>
      </w:r>
      <w:r>
        <w:rPr>
          <w:rFonts w:hint="eastAsia"/>
          <w:b/>
          <w:bCs w:val="0"/>
          <w:highlight w:val="gree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11</w:t>
      </w:r>
      <w:r>
        <w:rPr>
          <w:rFonts w:hint="eastAsia" w:ascii="宋体" w:hAnsi="宋体" w:eastAsia="宋体" w:cs="宋体"/>
          <w:b/>
          <w:highlight w:val="green"/>
        </w:rPr>
        <w:t>）</w:t>
      </w:r>
      <w:r>
        <w:rPr>
          <w:b/>
          <w:highlight w:val="green"/>
        </w:rPr>
        <w:t>本项目不允许进口产品参与投标</w:t>
      </w:r>
      <w:r>
        <w:rPr>
          <w:rFonts w:hint="eastAsia"/>
          <w:b/>
          <w:highlight w:val="green"/>
        </w:rPr>
        <w:t>（提供非进口产品投标承诺函，承诺函格式自拟）</w:t>
      </w:r>
      <w:r>
        <w:rPr>
          <w:b/>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12</w:t>
      </w:r>
      <w:r>
        <w:rPr>
          <w:rFonts w:hint="eastAsia" w:ascii="宋体" w:hAnsi="宋体" w:eastAsia="宋体" w:cs="宋体"/>
          <w:b/>
          <w:highlight w:val="green"/>
        </w:rPr>
        <w:t>）</w:t>
      </w:r>
      <w:r>
        <w:rPr>
          <w:b/>
          <w:highlight w:val="green"/>
        </w:rPr>
        <w:t>本项目</w:t>
      </w:r>
      <w:r>
        <w:rPr>
          <w:rFonts w:hint="eastAsia" w:eastAsia="宋体"/>
          <w:b/>
          <w:highlight w:val="green"/>
          <w:lang w:eastAsia="zh-CN"/>
        </w:rPr>
        <w:t>为专门面向中小企业采购项目，供应商应为中小企业/小微企业（在《中小企业声明函（服务）》作出说明）、监狱企业（在《残疾人福利性单位声明函（服务）》作出说明）、残疾人福利企业（在《监狱企业声明函（服务）》作出说明）</w:t>
      </w:r>
      <w:r>
        <w:rPr>
          <w:b/>
          <w:highlight w:val="green"/>
        </w:rPr>
        <w:t>。</w:t>
      </w:r>
    </w:p>
    <w:p>
      <w:pPr>
        <w:snapToGrid w:val="0"/>
        <w:spacing w:line="300" w:lineRule="exact"/>
        <w:ind w:firstLine="465"/>
        <w:rPr>
          <w:b/>
          <w:highlight w:val="green"/>
        </w:rPr>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KSS(GK)2022-026</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喀什市公安局车辆维修服务采购项目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4100000.00元（肆佰壹拾万元整）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10"/>
        <w:rPr>
          <w:rFonts w:hint="eastAsia" w:ascii="仿宋" w:hAnsi="仿宋" w:eastAsia="仿宋" w:cs="仿宋"/>
          <w:color w:val="000000"/>
          <w:kern w:val="0"/>
          <w:sz w:val="28"/>
          <w:szCs w:val="28"/>
        </w:rPr>
      </w:pPr>
    </w:p>
    <w:p>
      <w:pPr>
        <w:pStyle w:val="10"/>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2022年12月</w:t>
      </w: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6日至2023年1月</w:t>
      </w:r>
      <w:r>
        <w:rPr>
          <w:rFonts w:hint="eastAsia" w:ascii="仿宋" w:hAnsi="仿宋" w:eastAsia="仿宋"/>
          <w:color w:val="000000"/>
          <w:sz w:val="28"/>
          <w:szCs w:val="28"/>
          <w:lang w:val="en-US" w:eastAsia="zh-CN"/>
        </w:rPr>
        <w:t>17</w:t>
      </w:r>
      <w:r>
        <w:rPr>
          <w:rFonts w:hint="eastAsia" w:ascii="仿宋" w:hAnsi="仿宋" w:eastAsia="仿宋"/>
          <w:color w:val="000000"/>
          <w:sz w:val="28"/>
          <w:szCs w:val="28"/>
          <w:lang w:eastAsia="zh-CN"/>
        </w:rPr>
        <w:t>日11:00:00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2023年1月</w:t>
      </w:r>
      <w:r>
        <w:rPr>
          <w:rFonts w:hint="eastAsia" w:ascii="仿宋" w:hAnsi="仿宋" w:eastAsia="仿宋"/>
          <w:color w:val="000000"/>
          <w:sz w:val="28"/>
          <w:szCs w:val="28"/>
          <w:lang w:val="en-US" w:eastAsia="zh-CN"/>
        </w:rPr>
        <w:t>17</w:t>
      </w:r>
      <w:r>
        <w:rPr>
          <w:rFonts w:hint="eastAsia" w:ascii="仿宋" w:hAnsi="仿宋" w:eastAsia="仿宋"/>
          <w:color w:val="000000"/>
          <w:sz w:val="28"/>
          <w:szCs w:val="28"/>
          <w:lang w:eastAsia="zh-CN"/>
        </w:rPr>
        <w:t>日11:00:00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1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8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7"/>
        <w:gridCol w:w="1799"/>
        <w:gridCol w:w="1462"/>
        <w:gridCol w:w="1274"/>
        <w:gridCol w:w="1501"/>
        <w:gridCol w:w="713"/>
        <w:gridCol w:w="1703"/>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3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6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74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35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开户名</w:t>
            </w:r>
          </w:p>
        </w:tc>
        <w:tc>
          <w:tcPr>
            <w:tcW w:w="85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7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喀什市公安局车辆维修服务采购项目</w:t>
            </w:r>
          </w:p>
        </w:tc>
        <w:tc>
          <w:tcPr>
            <w:tcW w:w="730"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80000（</w:t>
            </w:r>
            <w:r>
              <w:rPr>
                <w:rFonts w:hint="eastAsia" w:ascii="宋体" w:hAnsi="宋体" w:eastAsia="宋体" w:cs="宋体"/>
                <w:color w:val="FF0000"/>
                <w:kern w:val="0"/>
                <w:sz w:val="24"/>
                <w:lang w:val="en-US" w:eastAsia="zh-CN" w:bidi="ar"/>
              </w:rPr>
              <w:t>捌万元整</w:t>
            </w:r>
            <w:r>
              <w:rPr>
                <w:rFonts w:hint="eastAsia" w:ascii="宋体" w:hAnsi="宋体" w:cs="宋体"/>
                <w:color w:val="FF0000"/>
                <w:kern w:val="0"/>
                <w:sz w:val="24"/>
                <w:lang w:val="en-US" w:eastAsia="zh-CN" w:bidi="ar"/>
              </w:rPr>
              <w:t>）</w:t>
            </w:r>
          </w:p>
        </w:tc>
        <w:tc>
          <w:tcPr>
            <w:tcW w:w="1274" w:type="dxa"/>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中国银行股份有限公司喀什地区分行营业部</w:t>
            </w:r>
          </w:p>
        </w:tc>
        <w:tc>
          <w:tcPr>
            <w:tcW w:w="1501" w:type="dxa"/>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000000"/>
                <w:sz w:val="24"/>
                <w:highlight w:val="none"/>
                <w:lang w:val="en-US" w:eastAsia="zh-CN"/>
              </w:rPr>
            </w:pPr>
            <w:r>
              <w:rPr>
                <w:rFonts w:hint="eastAsia" w:ascii="宋体" w:hAnsi="宋体" w:cs="宋体"/>
                <w:color w:val="000000"/>
                <w:kern w:val="0"/>
                <w:sz w:val="24"/>
                <w:highlight w:val="none"/>
                <w:lang w:eastAsia="zh-CN" w:bidi="ar"/>
              </w:rPr>
              <w:t>喀什市公安局</w:t>
            </w:r>
          </w:p>
        </w:tc>
        <w:tc>
          <w:tcPr>
            <w:tcW w:w="713" w:type="dxa"/>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highlight w:val="none"/>
                <w:lang w:eastAsia="zh-CN"/>
              </w:rPr>
            </w:pPr>
            <w:r>
              <w:rPr>
                <w:rFonts w:hint="eastAsia" w:ascii="仿宋_GB2312" w:eastAsia="仿宋_GB2312"/>
                <w:color w:val="FF0000"/>
                <w:sz w:val="24"/>
                <w:highlight w:val="none"/>
              </w:rPr>
              <w:t>107605787922</w:t>
            </w:r>
          </w:p>
        </w:tc>
        <w:tc>
          <w:tcPr>
            <w:tcW w:w="1703" w:type="dxa"/>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highlight w:val="none"/>
              </w:rPr>
            </w:pPr>
            <w:r>
              <w:rPr>
                <w:rFonts w:hint="eastAsia" w:ascii="宋体" w:hAnsi="宋体" w:cs="宋体"/>
                <w:color w:val="000000"/>
                <w:sz w:val="24"/>
                <w:highlight w:val="none"/>
              </w:rPr>
              <w:t>允许以电汇、</w:t>
            </w:r>
            <w:r>
              <w:rPr>
                <w:rFonts w:hint="eastAsia" w:ascii="宋体" w:hAnsi="宋体" w:eastAsia="宋体" w:cs="宋体"/>
                <w:color w:val="000000"/>
                <w:sz w:val="24"/>
                <w:highlight w:val="none"/>
                <w:lang w:eastAsia="zh-CN"/>
              </w:rPr>
              <w:t>网银</w:t>
            </w:r>
            <w:r>
              <w:rPr>
                <w:rFonts w:hint="eastAsia" w:ascii="宋体" w:hAnsi="宋体" w:cs="宋体"/>
                <w:color w:val="000000"/>
                <w:sz w:val="24"/>
                <w:highlight w:val="none"/>
              </w:rPr>
              <w:t>转账</w:t>
            </w:r>
            <w:r>
              <w:rPr>
                <w:rFonts w:hint="eastAsia" w:ascii="宋体" w:hAnsi="宋体" w:eastAsia="宋体" w:cs="宋体"/>
                <w:color w:val="000000"/>
                <w:sz w:val="24"/>
                <w:highlight w:val="none"/>
                <w:lang w:eastAsia="zh-CN"/>
              </w:rPr>
              <w:t>、</w:t>
            </w:r>
            <w:r>
              <w:rPr>
                <w:rFonts w:hint="eastAsia" w:ascii="宋体" w:hAnsi="宋体" w:cs="宋体"/>
                <w:color w:val="000000"/>
                <w:sz w:val="24"/>
                <w:highlight w:val="none"/>
              </w:rPr>
              <w:t>支票、汇票、本票或者金融机构、担保机构出具的保函等</w:t>
            </w:r>
          </w:p>
        </w:tc>
        <w:tc>
          <w:tcPr>
            <w:tcW w:w="952" w:type="dxa"/>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0"/>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FF0000"/>
          <w:sz w:val="28"/>
          <w:szCs w:val="28"/>
          <w:lang w:eastAsia="zh-CN"/>
        </w:rPr>
        <w:t>喀什市公安局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FF0000"/>
          <w:sz w:val="28"/>
          <w:szCs w:val="28"/>
          <w:lang w:eastAsia="zh-CN"/>
        </w:rPr>
        <w:t>喀什市尤木拉克协海尔路喀什市公安局</w:t>
      </w:r>
    </w:p>
    <w:p>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FF0000"/>
          <w:sz w:val="28"/>
          <w:szCs w:val="28"/>
          <w:lang w:eastAsia="zh-CN"/>
        </w:rPr>
        <w:t>孙文瑞</w:t>
      </w:r>
      <w:r>
        <w:rPr>
          <w:rFonts w:hint="eastAsia" w:ascii="仿宋" w:hAnsi="仿宋" w:eastAsia="仿宋"/>
          <w:color w:val="FF0000"/>
          <w:sz w:val="28"/>
          <w:szCs w:val="28"/>
        </w:rPr>
        <w:t>，</w:t>
      </w:r>
      <w:r>
        <w:rPr>
          <w:rFonts w:hint="eastAsia" w:ascii="仿宋" w:hAnsi="仿宋" w:eastAsia="仿宋"/>
          <w:color w:val="FF0000"/>
          <w:sz w:val="28"/>
          <w:szCs w:val="28"/>
          <w:lang w:eastAsia="zh-CN"/>
        </w:rPr>
        <w:t>18616211240</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FF0000"/>
          <w:sz w:val="28"/>
          <w:szCs w:val="28"/>
          <w:lang w:eastAsia="zh-CN"/>
        </w:rPr>
        <w:t>孙文瑞</w:t>
      </w:r>
      <w:r>
        <w:rPr>
          <w:rFonts w:hint="eastAsia" w:ascii="仿宋" w:hAnsi="仿宋" w:eastAsia="仿宋"/>
          <w:color w:val="FF0000"/>
          <w:sz w:val="28"/>
          <w:szCs w:val="28"/>
        </w:rPr>
        <w:t>：</w:t>
      </w:r>
      <w:r>
        <w:rPr>
          <w:rFonts w:hint="eastAsia" w:ascii="仿宋" w:hAnsi="仿宋" w:eastAsia="仿宋"/>
          <w:color w:val="FF0000"/>
          <w:sz w:val="28"/>
          <w:szCs w:val="28"/>
          <w:lang w:eastAsia="zh-CN"/>
        </w:rPr>
        <w:t>18616211240</w:t>
      </w:r>
      <w:r>
        <w:rPr>
          <w:rFonts w:hint="eastAsia" w:ascii="仿宋" w:hAnsi="仿宋" w:eastAsia="仿宋"/>
          <w:color w:val="000000"/>
          <w:sz w:val="28"/>
          <w:szCs w:val="28"/>
        </w:rPr>
        <w:t>　</w:t>
      </w:r>
    </w:p>
    <w:p>
      <w:pPr>
        <w:pStyle w:val="1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73521635"/>
      <w:bookmarkStart w:id="3" w:name="_Toc100052364"/>
      <w:bookmarkStart w:id="4" w:name="_Toc101074876"/>
      <w:bookmarkStart w:id="5" w:name="_Toc73518117"/>
      <w:bookmarkStart w:id="6" w:name="_Toc73517639"/>
      <w:bookmarkStart w:id="7" w:name="_Toc73521547"/>
      <w:bookmarkStart w:id="8" w:name="_Toc60631620"/>
      <w:bookmarkStart w:id="9" w:name="_Toc6056062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1</w:t>
            </w:r>
            <w:r>
              <w:rPr>
                <w:rFonts w:hint="eastAsia" w:ascii="宋体" w:hAnsi="宋体" w:eastAsia="宋体"/>
                <w:szCs w:val="21"/>
              </w:rPr>
              <w:t>名，随机抽取专家</w:t>
            </w:r>
            <w:r>
              <w:rPr>
                <w:rFonts w:hint="eastAsia" w:ascii="宋体" w:hAnsi="宋体" w:eastAsia="宋体"/>
                <w:szCs w:val="21"/>
                <w:lang w:val="en-US" w:eastAsia="zh-CN"/>
              </w:rPr>
              <w:t>4</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hint="eastAsia" w:ascii="宋体" w:hAnsi="宋体" w:eastAsia="宋体"/>
          <w:lang w:eastAsia="zh-CN"/>
        </w:rPr>
      </w:pPr>
      <w:r>
        <w:rPr>
          <w:rFonts w:hint="eastAsia" w:ascii="宋体" w:hAnsi="宋体" w:eastAsia="宋体"/>
          <w:b/>
          <w:bCs/>
          <w:color w:val="FF0000"/>
          <w:lang w:eastAsia="zh-CN"/>
        </w:rPr>
        <w:t>本项目为专门面向中小企业采购项目，不进行价格扣除</w:t>
      </w:r>
      <w:r>
        <w:rPr>
          <w:rFonts w:hint="eastAsia" w:ascii="宋体" w:hAnsi="宋体" w:eastAsia="宋体"/>
          <w:lang w:eastAsia="zh-CN"/>
        </w:rPr>
        <w:t>。</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KSS(GK)2022-026</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喀什市公安局车辆维修服务采购项目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4100000.00元（肆佰壹拾万元整）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4100000.00元（肆佰壹拾万元整）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服务需求</w:t>
      </w:r>
      <w:r>
        <w:rPr>
          <w:rFonts w:hint="eastAsia" w:ascii="Arial" w:hAnsi="Arial" w:eastAsia="宋体"/>
          <w:b/>
          <w:sz w:val="32"/>
          <w:szCs w:val="32"/>
        </w:rPr>
        <w:t>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无</w:t>
      </w:r>
    </w:p>
    <w:p/>
    <w:p>
      <w:pPr>
        <w:rPr>
          <w:rFonts w:hint="eastAsia" w:eastAsia="宋体"/>
          <w:b/>
          <w:bCs/>
          <w:sz w:val="40"/>
          <w:szCs w:val="40"/>
          <w:lang w:eastAsia="zh-CN"/>
        </w:rPr>
      </w:pPr>
      <w:r>
        <w:rPr>
          <w:rFonts w:hint="eastAsia" w:eastAsia="宋体"/>
          <w:b/>
          <w:bCs/>
          <w:sz w:val="40"/>
          <w:szCs w:val="40"/>
          <w:lang w:eastAsia="zh-CN"/>
        </w:rPr>
        <w:t>服务需求明细：</w:t>
      </w:r>
    </w:p>
    <w:p>
      <w:pPr>
        <w:spacing w:line="440" w:lineRule="exact"/>
        <w:rPr>
          <w:rFonts w:ascii="宋体" w:hAnsi="宋体"/>
          <w:bCs/>
          <w:sz w:val="24"/>
          <w:highlight w:val="cyan"/>
        </w:rPr>
      </w:pPr>
      <w:bookmarkStart w:id="10" w:name="_Toc24093"/>
      <w:r>
        <w:rPr>
          <w:rFonts w:hint="eastAsia" w:ascii="宋体" w:hAnsi="宋体"/>
          <w:bCs/>
          <w:sz w:val="24"/>
          <w:highlight w:val="cyan"/>
        </w:rPr>
        <w:t>一、企业要求及汽车维修类型；</w:t>
      </w:r>
      <w:bookmarkEnd w:id="10"/>
    </w:p>
    <w:p>
      <w:pPr>
        <w:spacing w:line="440" w:lineRule="exact"/>
        <w:ind w:firstLine="480" w:firstLineChars="200"/>
        <w:rPr>
          <w:rFonts w:ascii="宋体" w:hAnsi="宋体"/>
          <w:bCs/>
          <w:sz w:val="24"/>
          <w:highlight w:val="cyan"/>
        </w:rPr>
      </w:pPr>
      <w:bookmarkStart w:id="11" w:name="_Toc12909"/>
      <w:r>
        <w:rPr>
          <w:rFonts w:hint="eastAsia" w:ascii="宋体" w:hAnsi="宋体"/>
          <w:bCs/>
          <w:sz w:val="24"/>
          <w:highlight w:val="cyan"/>
        </w:rPr>
        <w:t>具备二类及以上车辆维修资质的修理厂，能够提供上门维修及技术鉴定；提供</w:t>
      </w:r>
      <w:r>
        <w:rPr>
          <w:rFonts w:hint="eastAsia" w:ascii="宋体" w:hAnsi="宋体" w:eastAsia="宋体"/>
          <w:bCs/>
          <w:sz w:val="24"/>
          <w:highlight w:val="cyan"/>
          <w:lang w:val="en-US" w:eastAsia="zh-CN"/>
        </w:rPr>
        <w:t>喀什市范围</w:t>
      </w:r>
      <w:r>
        <w:rPr>
          <w:rFonts w:hint="eastAsia" w:ascii="宋体" w:hAnsi="宋体"/>
          <w:bCs/>
          <w:sz w:val="24"/>
          <w:highlight w:val="cyan"/>
        </w:rPr>
        <w:t>以内免费拖车救援（每车每年6次）；维修经费实行一车一核算；车辆到位后安排绿色通道优先维修；提供维修配件为原厂纯正零配件；对配件及维修质量实施相应时间的质保；该店提供可享受的其它免费项目。</w:t>
      </w:r>
      <w:bookmarkEnd w:id="11"/>
    </w:p>
    <w:p>
      <w:pPr>
        <w:spacing w:line="440" w:lineRule="exact"/>
        <w:rPr>
          <w:rFonts w:ascii="宋体" w:hAnsi="宋体"/>
          <w:bCs/>
          <w:sz w:val="24"/>
          <w:highlight w:val="cyan"/>
        </w:rPr>
      </w:pPr>
      <w:bookmarkStart w:id="12" w:name="_Toc31983"/>
      <w:r>
        <w:rPr>
          <w:rFonts w:hint="eastAsia" w:ascii="宋体" w:hAnsi="宋体"/>
          <w:bCs/>
          <w:sz w:val="24"/>
          <w:highlight w:val="cyan"/>
        </w:rPr>
        <w:t>二、商务服务要求；</w:t>
      </w:r>
      <w:bookmarkEnd w:id="12"/>
    </w:p>
    <w:p>
      <w:pPr>
        <w:spacing w:line="440" w:lineRule="exact"/>
        <w:ind w:firstLine="480" w:firstLineChars="200"/>
        <w:rPr>
          <w:rFonts w:ascii="宋体" w:hAnsi="宋体"/>
          <w:bCs/>
          <w:sz w:val="24"/>
          <w:highlight w:val="cyan"/>
        </w:rPr>
      </w:pPr>
      <w:bookmarkStart w:id="13" w:name="_Toc17221"/>
      <w:r>
        <w:rPr>
          <w:rFonts w:hint="eastAsia" w:ascii="宋体" w:hAnsi="宋体"/>
          <w:bCs/>
          <w:sz w:val="24"/>
          <w:highlight w:val="cyan"/>
        </w:rPr>
        <w:t>1、热情承接</w:t>
      </w:r>
      <w:r>
        <w:rPr>
          <w:rFonts w:hint="eastAsia" w:ascii="宋体" w:hAnsi="宋体" w:eastAsia="宋体"/>
          <w:bCs/>
          <w:sz w:val="24"/>
          <w:highlight w:val="cyan"/>
          <w:lang w:val="en-US" w:eastAsia="zh-CN"/>
        </w:rPr>
        <w:t>警务</w:t>
      </w:r>
      <w:r>
        <w:rPr>
          <w:rFonts w:hint="eastAsia" w:ascii="宋体" w:hAnsi="宋体"/>
          <w:bCs/>
          <w:sz w:val="24"/>
          <w:highlight w:val="cyan"/>
        </w:rPr>
        <w:t>用车维修任务， 认真做到“ 四优”：时间优先、质量优先、服务优秀、价格优惠。</w:t>
      </w:r>
      <w:bookmarkEnd w:id="13"/>
    </w:p>
    <w:p>
      <w:pPr>
        <w:spacing w:line="440" w:lineRule="exact"/>
        <w:ind w:firstLine="480" w:firstLineChars="200"/>
        <w:rPr>
          <w:rFonts w:ascii="宋体" w:hAnsi="宋体"/>
          <w:bCs/>
          <w:sz w:val="24"/>
          <w:highlight w:val="cyan"/>
        </w:rPr>
      </w:pPr>
      <w:bookmarkStart w:id="14" w:name="_Toc18976"/>
      <w:r>
        <w:rPr>
          <w:rFonts w:hint="eastAsia" w:ascii="宋体" w:hAnsi="宋体"/>
          <w:bCs/>
          <w:sz w:val="24"/>
          <w:highlight w:val="cyan"/>
        </w:rPr>
        <w:t>2、平时车辆维修保养。招标人单位车辆前往修理厂维修保养时，享受优先待遇；需要时，必须派技术人员前往招标人单位现场维修、保养、鉴定，车辆在外出现故障时，市内</w:t>
      </w:r>
      <w:r>
        <w:rPr>
          <w:rFonts w:hint="eastAsia" w:ascii="宋体" w:hAnsi="宋体" w:eastAsia="宋体"/>
          <w:bCs/>
          <w:sz w:val="24"/>
          <w:highlight w:val="cyan"/>
          <w:lang w:val="en-US" w:eastAsia="zh-CN"/>
        </w:rPr>
        <w:t>30分钟</w:t>
      </w:r>
      <w:r>
        <w:rPr>
          <w:rFonts w:hint="eastAsia" w:ascii="宋体" w:hAnsi="宋体"/>
          <w:bCs/>
          <w:sz w:val="24"/>
          <w:highlight w:val="cyan"/>
        </w:rPr>
        <w:t>响应，</w:t>
      </w:r>
      <w:r>
        <w:rPr>
          <w:rFonts w:hint="eastAsia" w:ascii="宋体" w:hAnsi="宋体" w:eastAsia="宋体"/>
          <w:bCs/>
          <w:sz w:val="24"/>
          <w:highlight w:val="cyan"/>
          <w:lang w:val="en-US" w:eastAsia="zh-CN"/>
        </w:rPr>
        <w:t>1</w:t>
      </w:r>
      <w:r>
        <w:rPr>
          <w:rFonts w:hint="eastAsia" w:ascii="宋体" w:hAnsi="宋体"/>
          <w:bCs/>
          <w:sz w:val="24"/>
          <w:highlight w:val="cyan"/>
        </w:rPr>
        <w:t>小时到位，立即派员抢修。</w:t>
      </w:r>
      <w:bookmarkEnd w:id="14"/>
    </w:p>
    <w:p>
      <w:pPr>
        <w:spacing w:line="440" w:lineRule="exact"/>
        <w:rPr>
          <w:rFonts w:ascii="宋体" w:hAnsi="宋体"/>
          <w:bCs/>
          <w:sz w:val="24"/>
          <w:highlight w:val="cyan"/>
        </w:rPr>
      </w:pPr>
      <w:r>
        <w:rPr>
          <w:rFonts w:hint="eastAsia" w:ascii="宋体" w:hAnsi="宋体"/>
          <w:bCs/>
          <w:sz w:val="24"/>
          <w:highlight w:val="cyan"/>
        </w:rPr>
        <w:t xml:space="preserve">     </w:t>
      </w:r>
      <w:bookmarkStart w:id="15" w:name="_Toc1452"/>
      <w:r>
        <w:rPr>
          <w:rFonts w:hint="eastAsia" w:ascii="宋体" w:hAnsi="宋体"/>
          <w:bCs/>
          <w:sz w:val="24"/>
          <w:highlight w:val="cyan"/>
        </w:rPr>
        <w:t>3、车辆进行维修时，所用材料必须为正规厂家出厂的配件，如因使用材料不符合要求导致车辆损坏或不能正常使用的，一切后果由维修厂承担。</w:t>
      </w:r>
      <w:bookmarkEnd w:id="15"/>
    </w:p>
    <w:p>
      <w:pPr>
        <w:spacing w:line="440" w:lineRule="exact"/>
        <w:ind w:firstLine="480" w:firstLineChars="200"/>
        <w:rPr>
          <w:rFonts w:ascii="宋体" w:hAnsi="宋体"/>
          <w:bCs/>
          <w:sz w:val="24"/>
          <w:highlight w:val="cyan"/>
        </w:rPr>
      </w:pPr>
      <w:bookmarkStart w:id="16" w:name="_Toc2465"/>
      <w:r>
        <w:rPr>
          <w:rFonts w:hint="eastAsia" w:ascii="宋体" w:hAnsi="宋体"/>
          <w:bCs/>
          <w:sz w:val="24"/>
          <w:highlight w:val="cyan"/>
        </w:rPr>
        <w:t>4、维修更换下来的旧件要退还修车单位，并在维修单上认真填写车辆维修的具体部位和消耗材料、部件及计价情况（表述为标准的名称）， 注明优惠事宜。严格执行汽车维修技术控验制度，车辆返修率要控制在 2%以内。易损件1个月内包修包换；部件3个月，总成半年以上。</w:t>
      </w:r>
      <w:bookmarkEnd w:id="16"/>
    </w:p>
    <w:p>
      <w:pPr>
        <w:spacing w:line="440" w:lineRule="exact"/>
        <w:rPr>
          <w:rFonts w:ascii="宋体" w:hAnsi="宋体"/>
          <w:bCs/>
          <w:sz w:val="24"/>
          <w:highlight w:val="cyan"/>
        </w:rPr>
      </w:pPr>
      <w:r>
        <w:rPr>
          <w:rFonts w:hint="eastAsia" w:ascii="宋体" w:hAnsi="宋体"/>
          <w:bCs/>
          <w:sz w:val="24"/>
          <w:highlight w:val="cyan"/>
        </w:rPr>
        <w:t xml:space="preserve">    </w:t>
      </w:r>
      <w:bookmarkStart w:id="17" w:name="_Toc9510"/>
      <w:r>
        <w:rPr>
          <w:rFonts w:hint="eastAsia" w:ascii="宋体" w:hAnsi="宋体"/>
          <w:bCs/>
          <w:sz w:val="24"/>
          <w:highlight w:val="cyan"/>
        </w:rPr>
        <w:t>5、车辆进行维修后，如在维修保质期内出现同样的故障，维修厂将无偿进行更换维修。</w:t>
      </w:r>
      <w:bookmarkEnd w:id="17"/>
    </w:p>
    <w:p>
      <w:pPr>
        <w:spacing w:line="440" w:lineRule="exact"/>
        <w:ind w:firstLine="480" w:firstLineChars="200"/>
        <w:rPr>
          <w:rFonts w:ascii="宋体" w:hAnsi="宋体"/>
          <w:bCs/>
          <w:sz w:val="24"/>
          <w:highlight w:val="cyan"/>
        </w:rPr>
      </w:pPr>
      <w:bookmarkStart w:id="18" w:name="_Toc15066"/>
      <w:r>
        <w:rPr>
          <w:rFonts w:hint="eastAsia" w:ascii="宋体" w:hAnsi="宋体"/>
          <w:bCs/>
          <w:sz w:val="24"/>
          <w:highlight w:val="cyan"/>
        </w:rPr>
        <w:t>6、提供24小时紧急救援服务，并提供每辆车每年免费救援不少于6次，在接到送修方报修电话后</w:t>
      </w:r>
      <w:r>
        <w:rPr>
          <w:rFonts w:hint="eastAsia" w:ascii="宋体" w:hAnsi="宋体" w:eastAsia="宋体"/>
          <w:bCs/>
          <w:sz w:val="24"/>
          <w:highlight w:val="cyan"/>
          <w:lang w:val="en-US" w:eastAsia="zh-CN"/>
        </w:rPr>
        <w:t>30分钟</w:t>
      </w:r>
      <w:r>
        <w:rPr>
          <w:rFonts w:hint="eastAsia" w:ascii="宋体" w:hAnsi="宋体"/>
          <w:bCs/>
          <w:sz w:val="24"/>
          <w:highlight w:val="cyan"/>
        </w:rPr>
        <w:t>内予以响应。</w:t>
      </w:r>
      <w:bookmarkEnd w:id="18"/>
    </w:p>
    <w:p>
      <w:pPr>
        <w:spacing w:line="440" w:lineRule="exact"/>
        <w:ind w:firstLine="480" w:firstLineChars="200"/>
        <w:rPr>
          <w:rFonts w:ascii="宋体" w:hAnsi="宋体"/>
          <w:bCs/>
          <w:sz w:val="24"/>
          <w:highlight w:val="cyan"/>
        </w:rPr>
      </w:pPr>
      <w:bookmarkStart w:id="19" w:name="_Toc26025"/>
      <w:r>
        <w:rPr>
          <w:rFonts w:hint="eastAsia" w:ascii="宋体" w:hAnsi="宋体"/>
          <w:bCs/>
          <w:sz w:val="24"/>
          <w:highlight w:val="cyan"/>
        </w:rPr>
        <w:t>7、建立汽车维修档案，认真记录车辆维修情况。维修车辆进厂维修，详细登录进厂时间，车辆所在单位，车辆车型，车牌号，车辆装备等，并有双方经手人员共同签字，办理车辆移交手续。认真做好进出厂检验，检验合格后做好移交登记手续，严把进厂检验、过程检验、出厂检验，确保所修车辆故障返修率在 2%以下。检验严格按照《汽车维护检测诊断技术规范》《营运车辆综合性能要求和检验方法》《车辆运行安全技术条件》规定标准执行。</w:t>
      </w:r>
      <w:bookmarkEnd w:id="19"/>
    </w:p>
    <w:p>
      <w:pPr>
        <w:pStyle w:val="2"/>
        <w:rPr>
          <w:rFonts w:hint="eastAsia"/>
          <w:lang w:eastAsia="zh-CN"/>
        </w:rPr>
      </w:pP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宋体"/>
                <w:b/>
                <w:bCs/>
                <w:color w:val="FF0000"/>
                <w:sz w:val="22"/>
                <w:szCs w:val="21"/>
                <w:lang w:eastAsia="zh-CN"/>
              </w:rPr>
            </w:pPr>
            <w:r>
              <w:rPr>
                <w:rFonts w:hint="eastAsia" w:ascii="宋体" w:hAnsi="宋体" w:eastAsia="宋体" w:cs="仿宋_GB2312"/>
                <w:color w:val="FF0000"/>
                <w:sz w:val="22"/>
                <w:szCs w:val="28"/>
              </w:rPr>
              <w:t>★</w:t>
            </w:r>
            <w:r>
              <w:rPr>
                <w:rFonts w:hint="eastAsia" w:ascii="宋体" w:hAnsi="宋体" w:eastAsia="宋体"/>
                <w:b/>
                <w:bCs/>
                <w:color w:val="FF0000"/>
                <w:sz w:val="22"/>
                <w:szCs w:val="21"/>
                <w:lang w:val="en-US" w:eastAsia="zh-CN"/>
              </w:rPr>
              <w:t>服务期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default" w:ascii="宋体" w:hAnsi="宋体" w:eastAsia="宋体" w:cs="宋体"/>
                <w:sz w:val="22"/>
                <w:szCs w:val="21"/>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hint="eastAsia"/>
                <w:sz w:val="24"/>
                <w:lang w:val="en-US" w:eastAsia="zh-CN"/>
              </w:rPr>
              <w:t>服务期一年满后如无返工等问题后一次性</w:t>
            </w:r>
            <w:r>
              <w:rPr>
                <w:rFonts w:hint="eastAsia"/>
                <w:sz w:val="24"/>
              </w:rPr>
              <w:t>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喀什市公安局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ind w:left="-86" w:leftChars="-36"/>
              <w:rPr>
                <w:rFonts w:hint="eastAsia" w:ascii="宋体" w:hAnsi="宋体" w:eastAsia="宋体" w:cs="Arial"/>
                <w:sz w:val="22"/>
                <w:szCs w:val="21"/>
                <w:lang w:eastAsia="zh-CN"/>
              </w:rPr>
            </w:pPr>
            <w:r>
              <w:rPr>
                <w:rFonts w:hint="eastAsia" w:ascii="宋体" w:hAnsi="宋体" w:eastAsia="宋体"/>
                <w:sz w:val="22"/>
                <w:szCs w:val="28"/>
                <w:lang w:eastAsia="zh-CN"/>
              </w:rPr>
              <w:t>详见维修服务需求</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hint="eastAsia" w:eastAsia="宋体"/>
          <w:b/>
          <w:bCs/>
          <w:sz w:val="40"/>
          <w:szCs w:val="40"/>
          <w:lang w:eastAsia="zh-CN"/>
        </w:rPr>
      </w:pPr>
      <w:r>
        <w:rPr>
          <w:rFonts w:hint="eastAsia" w:eastAsia="宋体"/>
          <w:b/>
          <w:bCs/>
          <w:sz w:val="40"/>
          <w:szCs w:val="40"/>
          <w:lang w:eastAsia="zh-CN"/>
        </w:rPr>
        <w:t>详见维修服务需求</w:t>
      </w:r>
    </w:p>
    <w:p>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2"/>
        </w:numPr>
        <w:snapToGrid w:val="0"/>
        <w:spacing w:after="60" w:afterLines="25"/>
        <w:rPr>
          <w:rFonts w:ascii="宋体" w:hAnsi="宋体" w:eastAsia="宋体"/>
          <w:sz w:val="30"/>
          <w:szCs w:val="30"/>
        </w:rPr>
      </w:pPr>
      <w:bookmarkStart w:id="20" w:name="_Hlk72062521"/>
      <w:r>
        <w:rPr>
          <w:rFonts w:hint="eastAsia" w:ascii="宋体" w:hAnsi="宋体" w:eastAsia="宋体"/>
          <w:sz w:val="30"/>
          <w:szCs w:val="30"/>
        </w:rPr>
        <w:t>政府采购投标及履约承诺函</w:t>
      </w:r>
      <w:bookmarkEnd w:id="20"/>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numPr>
          <w:ilvl w:val="0"/>
          <w:numId w:val="2"/>
        </w:numPr>
        <w:snapToGrid w:val="0"/>
        <w:spacing w:after="60" w:afterLines="25"/>
        <w:rPr>
          <w:rFonts w:hint="eastAsia" w:ascii="宋体" w:hAnsi="宋体" w:eastAsia="宋体"/>
          <w:kern w:val="2"/>
          <w:sz w:val="30"/>
          <w:szCs w:val="30"/>
          <w:highlight w:val="cyan"/>
          <w:lang w:eastAsia="zh-CN"/>
        </w:rPr>
      </w:pPr>
      <w:r>
        <w:rPr>
          <w:rFonts w:hint="eastAsia" w:ascii="宋体" w:hAnsi="宋体" w:eastAsia="宋体"/>
          <w:kern w:val="2"/>
          <w:sz w:val="30"/>
          <w:szCs w:val="30"/>
          <w:highlight w:val="cyan"/>
          <w:lang w:eastAsia="zh-CN"/>
        </w:rPr>
        <w:t>具有二类及以上机动车维修经营许可证或备案证明材料</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rPr>
        <w:t>投标函；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（本项目为服务类，如有需求参照本表填写）</w:t>
      </w:r>
      <w:r>
        <w:rPr>
          <w:rFonts w:hint="eastAsia" w:ascii="宋体" w:hAnsi="宋体" w:eastAsia="宋体" w:cs="Times New Roman"/>
          <w:bCs/>
          <w:sz w:val="30"/>
          <w:szCs w:val="30"/>
        </w:rPr>
        <w:t>；</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喀什市公安局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21" w:name="_Hlk72587269"/>
      <w:bookmarkStart w:id="2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1"/>
      <w:r>
        <w:rPr>
          <w:rFonts w:hint="eastAsia" w:ascii="宋体" w:hAnsi="宋体"/>
          <w:szCs w:val="21"/>
        </w:rPr>
        <w:t>。</w:t>
      </w:r>
      <w:bookmarkEnd w:id="2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2"/>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r>
        <w:rPr>
          <w:rFonts w:hint="eastAsia" w:ascii="仿宋_GB2312" w:hAnsi="宋体" w:eastAsia="仿宋_GB2312"/>
          <w:b w:val="0"/>
          <w:bCs/>
          <w:sz w:val="24"/>
          <w:lang w:eastAsia="zh-CN"/>
        </w:rPr>
        <w:t>。</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7</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本项目为专门面向中小企业采购项目</w:t>
      </w:r>
      <w:r>
        <w:rPr>
          <w:rFonts w:hint="eastAsia" w:ascii="仿宋" w:hAnsi="仿宋" w:eastAsia="仿宋"/>
          <w:b/>
          <w:color w:val="FF0000"/>
          <w:sz w:val="25"/>
          <w:szCs w:val="25"/>
          <w:highlight w:val="green"/>
          <w:lang w:eastAsia="zh-CN"/>
        </w:rPr>
        <w:t>，</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23" w:name="_Hlk71925120"/>
      <w:r>
        <w:rPr>
          <w:rFonts w:hint="eastAsia" w:ascii="仿宋" w:hAnsi="仿宋" w:eastAsia="仿宋"/>
          <w:color w:val="FF0000"/>
          <w:sz w:val="25"/>
          <w:szCs w:val="25"/>
        </w:rPr>
        <w:t>《关于印发中小企业划型标准规定的通知》（工信部联企业〔2011〕300 号</w:t>
      </w:r>
      <w:bookmarkEnd w:id="2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r>
        <w:rPr>
          <w:rFonts w:hint="eastAsia" w:ascii="Arial" w:hAnsi="Arial" w:eastAsia="宋体"/>
          <w:b/>
          <w:lang w:eastAsia="zh-CN"/>
        </w:rPr>
        <w:t>服务</w:t>
      </w:r>
      <w:r>
        <w:rPr>
          <w:rFonts w:hint="eastAsia" w:ascii="Arial" w:hAnsi="Arial" w:eastAsia="宋体"/>
          <w:b/>
        </w:rPr>
        <w:t>）</w:t>
      </w:r>
    </w:p>
    <w:p>
      <w:pPr>
        <w:spacing w:after="60" w:afterLines="25" w:line="300" w:lineRule="auto"/>
        <w:ind w:firstLine="480" w:firstLineChars="200"/>
        <w:rPr>
          <w:rFonts w:ascii="Arial" w:hAnsi="Arial" w:eastAsia="宋体" w:cs="Times New Roman"/>
          <w:szCs w:val="21"/>
        </w:rPr>
      </w:pPr>
      <w:r>
        <w:rPr>
          <w:rFonts w:hint="eastAsia" w:ascii="Arial" w:hAnsi="Arial" w:eastAsia="宋体" w:cs="Times New Roman"/>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r>
        <w:rPr>
          <w:rFonts w:ascii="Arial" w:hAnsi="Arial" w:eastAsia="宋体" w:cs="Times New Roman"/>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w:t>
      </w:r>
      <w:r>
        <w:rPr>
          <w:rFonts w:hint="eastAsia" w:ascii="Arial" w:hAnsi="Arial" w:eastAsia="宋体"/>
          <w:szCs w:val="21"/>
          <w:u w:val="single"/>
          <w:lang w:val="en-US" w:eastAsia="zh-CN"/>
        </w:rPr>
        <w:t xml:space="preserve">   </w:t>
      </w:r>
      <w:r>
        <w:rPr>
          <w:rFonts w:ascii="Arial" w:hAnsi="Arial" w:eastAsia="宋体"/>
          <w:szCs w:val="21"/>
        </w:rPr>
        <w:t>人，营业收入为</w:t>
      </w:r>
      <w:r>
        <w:rPr>
          <w:rFonts w:hint="eastAsia" w:ascii="Arial" w:hAnsi="Arial" w:eastAsia="宋体"/>
          <w:szCs w:val="21"/>
          <w:u w:val="single"/>
          <w:lang w:val="en-US" w:eastAsia="zh-CN"/>
        </w:rPr>
        <w:t xml:space="preserve">   </w:t>
      </w:r>
      <w:r>
        <w:rPr>
          <w:rFonts w:ascii="Arial" w:hAnsi="Arial" w:eastAsia="宋体"/>
          <w:szCs w:val="21"/>
        </w:rPr>
        <w:t>万元，资产总额为</w:t>
      </w:r>
      <w:r>
        <w:rPr>
          <w:rFonts w:hint="eastAsia" w:ascii="Arial" w:hAnsi="Arial" w:eastAsia="宋体"/>
          <w:szCs w:val="21"/>
          <w:u w:val="single"/>
          <w:lang w:val="en-US" w:eastAsia="zh-CN"/>
        </w:rPr>
        <w:t xml:space="preserve">  </w:t>
      </w:r>
      <w:r>
        <w:rPr>
          <w:rFonts w:ascii="Arial" w:hAnsi="Arial" w:eastAsia="宋体"/>
          <w:szCs w:val="21"/>
        </w:rPr>
        <w:t>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w:t>
      </w:r>
      <w:r>
        <w:rPr>
          <w:rFonts w:hint="eastAsia" w:ascii="Arial" w:hAnsi="Arial" w:eastAsia="宋体"/>
          <w:szCs w:val="21"/>
          <w:u w:val="single"/>
          <w:lang w:val="en-US" w:eastAsia="zh-CN"/>
        </w:rPr>
        <w:t xml:space="preserve">   </w:t>
      </w:r>
      <w:r>
        <w:rPr>
          <w:rFonts w:ascii="Arial" w:hAnsi="Arial" w:eastAsia="宋体"/>
          <w:szCs w:val="21"/>
        </w:rPr>
        <w:t>人，营业收入为</w:t>
      </w:r>
      <w:r>
        <w:rPr>
          <w:rFonts w:hint="eastAsia" w:ascii="Arial" w:hAnsi="Arial" w:eastAsia="宋体"/>
          <w:szCs w:val="21"/>
          <w:u w:val="single"/>
          <w:lang w:val="en-US" w:eastAsia="zh-CN"/>
        </w:rPr>
        <w:t xml:space="preserve">   </w:t>
      </w:r>
      <w:r>
        <w:rPr>
          <w:rFonts w:ascii="Arial" w:hAnsi="Arial" w:eastAsia="宋体"/>
          <w:szCs w:val="21"/>
        </w:rPr>
        <w:t>万元，资产总额为</w:t>
      </w:r>
      <w:r>
        <w:rPr>
          <w:rFonts w:hint="eastAsia" w:ascii="Arial" w:hAnsi="Arial" w:eastAsia="宋体"/>
          <w:szCs w:val="21"/>
          <w:u w:val="single"/>
          <w:lang w:val="en-US" w:eastAsia="zh-CN"/>
        </w:rPr>
        <w:t xml:space="preserve">  </w:t>
      </w:r>
      <w:r>
        <w:rPr>
          <w:rFonts w:ascii="Arial" w:hAnsi="Arial" w:eastAsia="宋体"/>
          <w:szCs w:val="21"/>
        </w:rPr>
        <w:t>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2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24"/>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w:t>
      </w:r>
      <w:r>
        <w:rPr>
          <w:rFonts w:hint="eastAsia" w:ascii="Arial" w:hAnsi="Arial" w:eastAsia="宋体"/>
          <w:b/>
          <w:lang w:eastAsia="zh-CN"/>
        </w:rPr>
        <w:t>服务</w:t>
      </w:r>
      <w:r>
        <w:rPr>
          <w:rFonts w:hint="eastAsia" w:ascii="Arial" w:hAnsi="Arial" w:eastAsia="宋体"/>
          <w:b/>
        </w:rPr>
        <w:t>）</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eastAsia="宋体"/>
          <w:szCs w:val="21"/>
          <w:lang w:eastAsia="zh-CN"/>
        </w:rPr>
        <w:t>服务</w:t>
      </w:r>
      <w:r>
        <w:rPr>
          <w:rFonts w:ascii="宋体" w:hAnsi="宋体"/>
          <w:szCs w:val="21"/>
        </w:rPr>
        <w:t>全部由符合政策要求的</w:t>
      </w:r>
      <w:r>
        <w:rPr>
          <w:rFonts w:hint="eastAsia" w:ascii="宋体" w:hAnsi="宋体"/>
          <w:szCs w:val="21"/>
        </w:rPr>
        <w:t>残疾人福利性单位</w:t>
      </w:r>
      <w:r>
        <w:rPr>
          <w:rFonts w:hint="eastAsia" w:ascii="Arial" w:hAnsi="Arial" w:eastAsia="宋体"/>
          <w:szCs w:val="21"/>
          <w:lang w:eastAsia="zh-CN"/>
        </w:rPr>
        <w:t>承建（承接）</w:t>
      </w:r>
      <w:r>
        <w:rPr>
          <w:rFonts w:ascii="宋体" w:hAnsi="宋体"/>
          <w:szCs w:val="21"/>
        </w:rPr>
        <w:t>。相关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lang w:eastAsia="zh-CN"/>
        </w:rPr>
        <w:t>承建（承接）企业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lang w:eastAsia="zh-CN"/>
        </w:rPr>
        <w:t>承建（承接）企业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2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25"/>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w:t>
      </w:r>
      <w:r>
        <w:rPr>
          <w:rFonts w:hint="eastAsia" w:ascii="Arial" w:hAnsi="Arial" w:eastAsia="宋体"/>
          <w:b/>
          <w:lang w:eastAsia="zh-CN"/>
        </w:rPr>
        <w:t>服务</w:t>
      </w:r>
      <w:r>
        <w:rPr>
          <w:rFonts w:hint="eastAsia" w:ascii="Arial" w:hAnsi="Arial" w:eastAsia="宋体"/>
          <w:b/>
        </w:rPr>
        <w:t>）</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w:t>
      </w:r>
      <w:r>
        <w:rPr>
          <w:rFonts w:hint="eastAsia" w:ascii="Arial" w:hAnsi="Arial" w:eastAsia="宋体"/>
          <w:szCs w:val="21"/>
          <w:lang w:eastAsia="zh-CN"/>
        </w:rPr>
        <w:t>服务</w:t>
      </w:r>
      <w:r>
        <w:rPr>
          <w:rFonts w:ascii="Arial" w:hAnsi="Arial" w:eastAsia="宋体"/>
          <w:szCs w:val="21"/>
        </w:rPr>
        <w:t>全部由符合政策要求的</w:t>
      </w:r>
      <w:r>
        <w:rPr>
          <w:rFonts w:hint="eastAsia" w:ascii="Arial" w:hAnsi="Arial" w:eastAsia="宋体"/>
          <w:szCs w:val="21"/>
        </w:rPr>
        <w:t>监狱企业</w:t>
      </w:r>
      <w:r>
        <w:rPr>
          <w:rFonts w:hint="eastAsia" w:ascii="Arial" w:hAnsi="Arial" w:eastAsia="宋体"/>
          <w:szCs w:val="21"/>
          <w:lang w:eastAsia="zh-CN"/>
        </w:rPr>
        <w:t>承建（承接）</w:t>
      </w:r>
      <w:r>
        <w:rPr>
          <w:rFonts w:ascii="Arial" w:hAnsi="Arial" w:eastAsia="宋体"/>
          <w:szCs w:val="21"/>
        </w:rPr>
        <w:t>。相关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rPr>
          <w:rFonts w:hint="eastAsia" w:ascii="Arial" w:hAnsi="Arial" w:eastAsia="宋体"/>
          <w:color w:val="FF0000"/>
          <w:highlight w:val="yellow"/>
        </w:rP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w:t>
      </w:r>
    </w:p>
    <w:p>
      <w:pPr>
        <w:snapToGrid w:val="0"/>
        <w:spacing w:after="60" w:afterLines="25" w:line="300" w:lineRule="auto"/>
        <w:ind w:firstLine="480" w:firstLineChars="200"/>
        <w:jc w:val="center"/>
        <w:rPr>
          <w:rFonts w:hint="eastAsia" w:ascii="Arial" w:hAnsi="Arial" w:eastAsia="宋体"/>
          <w:color w:val="FF0000"/>
          <w:highlight w:val="yellow"/>
        </w:rPr>
      </w:pPr>
    </w:p>
    <w:p>
      <w:pPr>
        <w:snapToGrid w:val="0"/>
        <w:spacing w:after="60" w:afterLines="25" w:line="300" w:lineRule="auto"/>
        <w:ind w:firstLine="480" w:firstLineChars="200"/>
        <w:jc w:val="center"/>
        <w:rPr>
          <w:rFonts w:hint="eastAsia" w:ascii="Arial" w:hAnsi="Arial" w:eastAsia="宋体"/>
          <w:color w:val="FF0000"/>
          <w:highlight w:val="yellow"/>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2"/>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napToGrid w:val="0"/>
        <w:spacing w:after="60" w:afterLines="25" w:line="300" w:lineRule="auto"/>
        <w:ind w:firstLine="480" w:firstLineChars="200"/>
        <w:jc w:val="center"/>
        <w:rPr>
          <w:rFonts w:hint="eastAsia" w:ascii="Arial" w:hAnsi="Arial" w:eastAsia="宋体"/>
          <w:color w:val="FF0000"/>
          <w:highlight w:val="yellow"/>
        </w:rPr>
      </w:pPr>
    </w:p>
    <w:p>
      <w:pPr>
        <w:snapToGrid w:val="0"/>
        <w:spacing w:after="60" w:afterLines="25" w:line="300" w:lineRule="auto"/>
        <w:jc w:val="left"/>
        <w:outlineLvl w:val="3"/>
      </w:pPr>
      <w:r>
        <w:rPr>
          <w:rFonts w:hint="eastAsia" w:asciiTheme="majorEastAsia" w:hAnsiTheme="majorEastAsia" w:eastAsiaTheme="majorEastAsia" w:cstheme="majorEastAsia"/>
          <w:b/>
          <w:bCs/>
          <w:szCs w:val="20"/>
          <w:lang w:val="en-US" w:eastAsia="zh-CN"/>
        </w:rPr>
        <w:t>10.具有二类及以上机动车维修经营许可证或备案证明材料</w:t>
      </w:r>
      <w:r>
        <w:br w:type="page"/>
      </w: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喀什市公安局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KSS(GK)2022-026</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喀什市公安局车辆维修服务采购项目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12.法定代表人证明书（附有效身份证正反面扫描件）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13.法定代表人授权书（附有效身份证正反面扫描件）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（本项目为服务类，如有需求参照本表填写）</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5"/>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5"/>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5"/>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16</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6"/>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6"/>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26" w:name="_Hlk72574405"/>
      <w:r>
        <w:rPr>
          <w:rFonts w:hint="eastAsia"/>
          <w:b/>
        </w:rPr>
        <w:t>（仅供参考，具体以项目需求及采购结果为准）</w:t>
      </w:r>
      <w:bookmarkEnd w:id="2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7"/>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27" w:name="_Hlk72399513"/>
      <w:r>
        <w:rPr>
          <w:rFonts w:hint="eastAsia" w:ascii="Cambria" w:hAnsi="Cambria" w:eastAsia="宋体"/>
          <w:b/>
          <w:bCs/>
          <w:sz w:val="28"/>
          <w:szCs w:val="28"/>
        </w:rPr>
        <w:t>总则</w:t>
      </w:r>
      <w:bookmarkEnd w:id="2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2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2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29" w:name="_Hlk72398581"/>
      <w:r>
        <w:rPr>
          <w:rFonts w:hint="eastAsia" w:ascii="宋体" w:hAnsi="宋体" w:eastAsia="宋体"/>
          <w:szCs w:val="21"/>
        </w:rPr>
        <w:t>；</w:t>
      </w:r>
      <w:bookmarkEnd w:id="2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3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3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30"/>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3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32"/>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3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33"/>
    </w:p>
    <w:p>
      <w:pPr>
        <w:rPr>
          <w:rFonts w:ascii="黑体" w:hAnsi="宋体" w:eastAsia="黑体"/>
        </w:rPr>
      </w:pPr>
      <w:r>
        <w:rPr>
          <w:rFonts w:hint="eastAsia" w:ascii="黑体" w:hAnsi="宋体" w:eastAsia="黑体"/>
        </w:rPr>
        <w:t>15．</w:t>
      </w:r>
      <w:bookmarkStart w:id="3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34"/>
    </w:p>
    <w:p>
      <w:pPr>
        <w:rPr>
          <w:rFonts w:ascii="黑体" w:hAnsi="宋体" w:eastAsia="黑体"/>
        </w:rPr>
      </w:pPr>
      <w:r>
        <w:rPr>
          <w:rFonts w:hint="eastAsia" w:ascii="黑体" w:hAnsi="宋体" w:eastAsia="黑体"/>
        </w:rPr>
        <w:t>18．</w:t>
      </w:r>
      <w:bookmarkStart w:id="3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35"/>
    </w:p>
    <w:p>
      <w:pPr>
        <w:rPr>
          <w:rFonts w:ascii="黑体" w:hAnsi="宋体" w:eastAsia="黑体"/>
        </w:rPr>
      </w:pPr>
      <w:r>
        <w:rPr>
          <w:rFonts w:hint="eastAsia" w:ascii="黑体" w:hAnsi="宋体" w:eastAsia="黑体"/>
        </w:rPr>
        <w:t>19．</w:t>
      </w:r>
      <w:bookmarkStart w:id="3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37" w:name="_Hlk71407299"/>
      <w:bookmarkEnd w:id="3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36"/>
    <w:p>
      <w:pPr>
        <w:ind w:firstLine="470" w:firstLineChars="196"/>
        <w:rPr>
          <w:rFonts w:ascii="宋体" w:hAnsi="宋体" w:eastAsia="宋体"/>
          <w:szCs w:val="21"/>
        </w:rPr>
      </w:pPr>
      <w:bookmarkStart w:id="3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38"/>
    </w:p>
    <w:p>
      <w:pPr>
        <w:rPr>
          <w:rFonts w:ascii="黑体" w:hAnsi="宋体" w:eastAsia="黑体"/>
        </w:rPr>
      </w:pPr>
      <w:r>
        <w:rPr>
          <w:rFonts w:hint="eastAsia" w:ascii="黑体" w:hAnsi="宋体" w:eastAsia="黑体"/>
        </w:rPr>
        <w:t>21．</w:t>
      </w:r>
      <w:bookmarkStart w:id="39" w:name="_Hlk72402325"/>
      <w:r>
        <w:rPr>
          <w:rFonts w:hint="eastAsia" w:ascii="黑体" w:hAnsi="宋体" w:eastAsia="黑体"/>
        </w:rPr>
        <w:t xml:space="preserve">关于投标保证金 </w:t>
      </w:r>
    </w:p>
    <w:p>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39"/>
    </w:p>
    <w:p>
      <w:pPr>
        <w:rPr>
          <w:rFonts w:ascii="黑体" w:hAnsi="宋体" w:eastAsia="黑体"/>
        </w:rPr>
      </w:pPr>
      <w:r>
        <w:rPr>
          <w:rFonts w:hint="eastAsia" w:ascii="黑体" w:hAnsi="宋体" w:eastAsia="黑体"/>
        </w:rPr>
        <w:t>23．</w:t>
      </w:r>
      <w:bookmarkStart w:id="4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40"/>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4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41"/>
    <w:p>
      <w:pPr>
        <w:rPr>
          <w:rFonts w:ascii="黑体" w:hAnsi="宋体" w:eastAsia="黑体"/>
        </w:rPr>
      </w:pPr>
      <w:bookmarkStart w:id="4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42"/>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4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4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4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4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45" w:name="_Toc73518151"/>
      <w:bookmarkStart w:id="46" w:name="_Toc73517673"/>
      <w:bookmarkStart w:id="47" w:name="_Toc73521669"/>
      <w:bookmarkStart w:id="48" w:name="_Toc73521581"/>
      <w:bookmarkStart w:id="49" w:name="_Toc100052400"/>
      <w:r>
        <w:rPr>
          <w:rFonts w:hint="eastAsia" w:ascii="黑体" w:hAnsi="宋体" w:eastAsia="黑体"/>
        </w:rPr>
        <w:t>34．错误的修正</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5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5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5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5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5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5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5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53"/>
      <w:bookmarkStart w:id="5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5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5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55"/>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56" w:name="_Hlk72439043"/>
      <w:r>
        <w:rPr>
          <w:rFonts w:hint="eastAsia" w:ascii="Cambria" w:hAnsi="Cambria" w:eastAsia="宋体"/>
          <w:b/>
          <w:bCs/>
          <w:sz w:val="28"/>
          <w:szCs w:val="28"/>
        </w:rPr>
        <w:t>合同的授予与备案</w:t>
      </w:r>
      <w:bookmarkEnd w:id="56"/>
    </w:p>
    <w:p>
      <w:pPr>
        <w:rPr>
          <w:rFonts w:ascii="黑体" w:hAnsi="宋体" w:eastAsia="黑体"/>
        </w:rPr>
      </w:pPr>
      <w:bookmarkStart w:id="57" w:name="_Toc100052408"/>
      <w:bookmarkStart w:id="58" w:name="_Toc73518157"/>
      <w:bookmarkStart w:id="59" w:name="_Toc73521586"/>
      <w:bookmarkStart w:id="60" w:name="_Toc73521674"/>
      <w:bookmarkStart w:id="61" w:name="_Toc73517679"/>
      <w:bookmarkStart w:id="62" w:name="_Hlk72439088"/>
      <w:r>
        <w:rPr>
          <w:rFonts w:hint="eastAsia" w:ascii="黑体" w:hAnsi="宋体" w:eastAsia="黑体"/>
        </w:rPr>
        <w:t>43．合同授予标准</w:t>
      </w:r>
      <w:bookmarkEnd w:id="57"/>
      <w:bookmarkEnd w:id="58"/>
      <w:bookmarkEnd w:id="59"/>
      <w:bookmarkEnd w:id="60"/>
      <w:bookmarkEnd w:id="6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63" w:name="_Toc73518158"/>
      <w:bookmarkStart w:id="64" w:name="_Toc100052409"/>
      <w:bookmarkStart w:id="65" w:name="_Toc73517680"/>
      <w:bookmarkStart w:id="66" w:name="_Toc73521587"/>
      <w:bookmarkStart w:id="67" w:name="_Toc73521675"/>
      <w:r>
        <w:rPr>
          <w:rFonts w:hint="eastAsia" w:ascii="黑体" w:hAnsi="宋体" w:eastAsia="黑体"/>
        </w:rPr>
        <w:t>44．</w:t>
      </w:r>
      <w:bookmarkEnd w:id="63"/>
      <w:bookmarkEnd w:id="64"/>
      <w:bookmarkEnd w:id="65"/>
      <w:bookmarkEnd w:id="66"/>
      <w:bookmarkEnd w:id="6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68" w:name="_Toc73517682"/>
      <w:bookmarkStart w:id="69" w:name="_Toc73521589"/>
      <w:bookmarkStart w:id="70" w:name="_Toc73521677"/>
      <w:bookmarkStart w:id="71" w:name="_Toc100052410"/>
      <w:bookmarkStart w:id="72" w:name="_Toc73518160"/>
      <w:r>
        <w:rPr>
          <w:rFonts w:hint="eastAsia" w:ascii="黑体" w:hAnsi="宋体" w:eastAsia="黑体"/>
        </w:rPr>
        <w:t>45．合同的签订</w:t>
      </w:r>
      <w:bookmarkEnd w:id="68"/>
      <w:bookmarkEnd w:id="69"/>
      <w:bookmarkEnd w:id="70"/>
      <w:bookmarkEnd w:id="71"/>
      <w:bookmarkEnd w:id="7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73" w:name="_Toc73518161"/>
      <w:bookmarkStart w:id="74" w:name="_Toc73521678"/>
      <w:bookmarkStart w:id="75" w:name="_Toc73517683"/>
      <w:bookmarkStart w:id="76" w:name="_Toc100052411"/>
      <w:bookmarkStart w:id="77" w:name="_Toc73521590"/>
      <w:r>
        <w:rPr>
          <w:rFonts w:hint="eastAsia" w:ascii="黑体" w:hAnsi="宋体" w:eastAsia="黑体"/>
        </w:rPr>
        <w:t>46．履约担保</w:t>
      </w:r>
      <w:bookmarkEnd w:id="73"/>
      <w:bookmarkEnd w:id="74"/>
      <w:bookmarkEnd w:id="75"/>
      <w:bookmarkEnd w:id="76"/>
      <w:bookmarkEnd w:id="7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62"/>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7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79" w:name="_Hlk75374941"/>
      <w:r>
        <w:rPr>
          <w:rFonts w:hint="eastAsia" w:ascii="宋体" w:hAnsi="宋体" w:eastAsia="宋体"/>
          <w:szCs w:val="21"/>
        </w:rPr>
        <w:t>以联合体形式参与的，质疑应当由组成联合体的所有成员共同提出</w:t>
      </w:r>
      <w:bookmarkEnd w:id="7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喀什市公安局</w:t>
      </w:r>
      <w:r>
        <w:rPr>
          <w:rFonts w:hint="eastAsia" w:ascii="宋体" w:hAnsi="宋体" w:eastAsia="宋体"/>
          <w:b/>
          <w:bCs/>
          <w:szCs w:val="21"/>
        </w:rPr>
        <w:t>（</w:t>
      </w:r>
      <w:r>
        <w:rPr>
          <w:rFonts w:hint="eastAsia" w:ascii="宋体" w:hAnsi="宋体" w:eastAsia="宋体"/>
          <w:b/>
          <w:bCs/>
          <w:szCs w:val="21"/>
          <w:lang w:eastAsia="zh-CN"/>
        </w:rPr>
        <w:t>喀什市尤木拉克协海尔路喀什市公安局</w:t>
      </w:r>
      <w:r>
        <w:rPr>
          <w:rFonts w:hint="eastAsia" w:ascii="宋体" w:hAnsi="宋体" w:eastAsia="宋体"/>
          <w:b/>
          <w:bCs/>
          <w:szCs w:val="21"/>
        </w:rPr>
        <w:t>），质疑咨询电话：</w:t>
      </w:r>
      <w:r>
        <w:rPr>
          <w:rFonts w:hint="eastAsia" w:ascii="宋体" w:hAnsi="宋体" w:eastAsia="宋体"/>
          <w:b/>
          <w:bCs/>
          <w:szCs w:val="21"/>
          <w:lang w:eastAsia="zh-CN"/>
        </w:rPr>
        <w:t>孙文瑞</w:t>
      </w:r>
      <w:r>
        <w:rPr>
          <w:rFonts w:hint="eastAsia" w:ascii="宋体" w:hAnsi="宋体" w:eastAsia="宋体"/>
          <w:b/>
          <w:bCs/>
          <w:szCs w:val="21"/>
        </w:rPr>
        <w:t>，</w:t>
      </w:r>
      <w:r>
        <w:rPr>
          <w:rFonts w:hint="eastAsia" w:ascii="宋体" w:hAnsi="宋体" w:eastAsia="宋体"/>
          <w:b/>
          <w:bCs/>
          <w:szCs w:val="21"/>
          <w:lang w:eastAsia="zh-CN"/>
        </w:rPr>
        <w:t>18616211240</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喀什市公安局</w:t>
      </w:r>
      <w:r>
        <w:rPr>
          <w:rFonts w:hint="eastAsia" w:ascii="宋体" w:hAnsi="宋体" w:eastAsia="宋体"/>
          <w:b/>
          <w:bCs/>
          <w:szCs w:val="21"/>
        </w:rPr>
        <w:t>，未提前电联</w:t>
      </w:r>
      <w:r>
        <w:rPr>
          <w:rFonts w:hint="eastAsia" w:ascii="宋体" w:hAnsi="宋体" w:eastAsia="宋体"/>
          <w:b/>
          <w:bCs/>
          <w:szCs w:val="21"/>
          <w:lang w:eastAsia="zh-CN"/>
        </w:rPr>
        <w:t>喀什市公安局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7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MDYwMjNlNGNlNzM1MGRjNWI2MTYyZWMyNTZhOTUifQ=="/>
  </w:docVars>
  <w:rsids>
    <w:rsidRoot w:val="00000000"/>
    <w:rsid w:val="030750A8"/>
    <w:rsid w:val="038251E4"/>
    <w:rsid w:val="053B5831"/>
    <w:rsid w:val="05F379B8"/>
    <w:rsid w:val="066F61BA"/>
    <w:rsid w:val="07CE6076"/>
    <w:rsid w:val="07E22A0A"/>
    <w:rsid w:val="080C42F3"/>
    <w:rsid w:val="0889017A"/>
    <w:rsid w:val="0A21662D"/>
    <w:rsid w:val="0D3A744A"/>
    <w:rsid w:val="0DF57054"/>
    <w:rsid w:val="0DFF31EC"/>
    <w:rsid w:val="0F255064"/>
    <w:rsid w:val="113543CB"/>
    <w:rsid w:val="1192589F"/>
    <w:rsid w:val="157403EC"/>
    <w:rsid w:val="16C056AB"/>
    <w:rsid w:val="1ED5358C"/>
    <w:rsid w:val="20596F74"/>
    <w:rsid w:val="21C4062D"/>
    <w:rsid w:val="245A1CC8"/>
    <w:rsid w:val="24EC66D5"/>
    <w:rsid w:val="250410F2"/>
    <w:rsid w:val="267A507C"/>
    <w:rsid w:val="280A4341"/>
    <w:rsid w:val="296C066D"/>
    <w:rsid w:val="2C366F69"/>
    <w:rsid w:val="2D847558"/>
    <w:rsid w:val="2EFA653D"/>
    <w:rsid w:val="311A02B3"/>
    <w:rsid w:val="3137687A"/>
    <w:rsid w:val="32265D43"/>
    <w:rsid w:val="323C629C"/>
    <w:rsid w:val="337C7542"/>
    <w:rsid w:val="35503953"/>
    <w:rsid w:val="3B4C5573"/>
    <w:rsid w:val="3C795F8F"/>
    <w:rsid w:val="3CB971DE"/>
    <w:rsid w:val="3D012277"/>
    <w:rsid w:val="3D224849"/>
    <w:rsid w:val="3D863DAC"/>
    <w:rsid w:val="3E52449D"/>
    <w:rsid w:val="3E9A489A"/>
    <w:rsid w:val="408353B0"/>
    <w:rsid w:val="429750D7"/>
    <w:rsid w:val="4422077D"/>
    <w:rsid w:val="45024BF8"/>
    <w:rsid w:val="47B40579"/>
    <w:rsid w:val="4A29520E"/>
    <w:rsid w:val="4D2C2FDF"/>
    <w:rsid w:val="4D7A7786"/>
    <w:rsid w:val="4E601A65"/>
    <w:rsid w:val="50093AE6"/>
    <w:rsid w:val="51570C73"/>
    <w:rsid w:val="51680854"/>
    <w:rsid w:val="51B44C64"/>
    <w:rsid w:val="56606BE9"/>
    <w:rsid w:val="5662250A"/>
    <w:rsid w:val="58155A5A"/>
    <w:rsid w:val="59D2767F"/>
    <w:rsid w:val="60173081"/>
    <w:rsid w:val="604E7BD7"/>
    <w:rsid w:val="620E3E31"/>
    <w:rsid w:val="643D1580"/>
    <w:rsid w:val="643E619F"/>
    <w:rsid w:val="6594282D"/>
    <w:rsid w:val="67283F04"/>
    <w:rsid w:val="673F14F0"/>
    <w:rsid w:val="68653FE4"/>
    <w:rsid w:val="68A76B92"/>
    <w:rsid w:val="69A725C4"/>
    <w:rsid w:val="6B1729F4"/>
    <w:rsid w:val="6BF502A5"/>
    <w:rsid w:val="6CA60D1F"/>
    <w:rsid w:val="6D4E436F"/>
    <w:rsid w:val="6ED332D0"/>
    <w:rsid w:val="6F421E56"/>
    <w:rsid w:val="6F450465"/>
    <w:rsid w:val="6FD25210"/>
    <w:rsid w:val="708B1138"/>
    <w:rsid w:val="711F649C"/>
    <w:rsid w:val="72476B05"/>
    <w:rsid w:val="744E3935"/>
    <w:rsid w:val="752776A3"/>
    <w:rsid w:val="762C4BB0"/>
    <w:rsid w:val="779C18C8"/>
    <w:rsid w:val="79955522"/>
    <w:rsid w:val="7BAF7AFB"/>
    <w:rsid w:val="7CED48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2"/>
    <w:basedOn w:val="1"/>
    <w:qFormat/>
    <w:uiPriority w:val="0"/>
    <w:pPr>
      <w:spacing w:after="120" w:line="480" w:lineRule="auto"/>
    </w:pPr>
    <w:rPr>
      <w:rFonts w:ascii="Arial" w:hAnsi="Arial"/>
      <w:sz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1"/>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7"/>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5"/>
    <w:qFormat/>
    <w:uiPriority w:val="0"/>
    <w:rPr>
      <w:b/>
      <w:sz w:val="32"/>
    </w:rPr>
  </w:style>
  <w:style w:type="character" w:customStyle="1" w:styleId="28">
    <w:name w:val="标题 4 Char"/>
    <w:link w:val="6"/>
    <w:qFormat/>
    <w:uiPriority w:val="0"/>
    <w:rPr>
      <w:rFonts w:ascii="Arial" w:hAnsi="Arial" w:eastAsia="黑体"/>
      <w:b/>
      <w:sz w:val="28"/>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57</Pages>
  <Words>30175</Words>
  <Characters>31893</Characters>
  <Lines>1</Lines>
  <Paragraphs>1</Paragraphs>
  <TotalTime>11</TotalTime>
  <ScaleCrop>false</ScaleCrop>
  <LinksUpToDate>false</LinksUpToDate>
  <CharactersWithSpaces>32557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2022-07-28T10:27:00Z</cp:lastPrinted>
  <dcterms:modified xsi:type="dcterms:W3CDTF">2022-12-26T10:34:00Z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CA5EBF4555DA4A5E8DE28CFA4A0DD591</vt:lpwstr>
  </property>
</Properties>
</file>