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0B" w:rsidRPr="00911F96" w:rsidRDefault="0015630B" w:rsidP="0015630B">
      <w:pPr>
        <w:widowControl/>
        <w:spacing w:line="400" w:lineRule="exact"/>
        <w:jc w:val="left"/>
        <w:rPr>
          <w:rFonts w:ascii="宋体" w:hAnsi="宋体" w:cs="宋体"/>
          <w:b/>
          <w:bCs/>
          <w:color w:val="000000"/>
          <w:kern w:val="0"/>
          <w:szCs w:val="21"/>
        </w:rPr>
      </w:pPr>
      <w:r w:rsidRPr="00911F96">
        <w:rPr>
          <w:rFonts w:ascii="宋体" w:hAnsi="宋体" w:cs="宋体" w:hint="eastAsia"/>
          <w:b/>
          <w:bCs/>
          <w:color w:val="000000"/>
          <w:kern w:val="0"/>
          <w:szCs w:val="21"/>
        </w:rPr>
        <w:t>、评分标准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560"/>
        <w:gridCol w:w="850"/>
        <w:gridCol w:w="1134"/>
        <w:gridCol w:w="4536"/>
      </w:tblGrid>
      <w:tr w:rsidR="0015630B" w:rsidRPr="00911F96" w:rsidTr="00BA6F02">
        <w:tc>
          <w:tcPr>
            <w:tcW w:w="851"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评分项</w:t>
            </w: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分值区间</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评分主要因素</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 xml:space="preserve">评分细则， </w:t>
            </w:r>
          </w:p>
        </w:tc>
      </w:tr>
      <w:tr w:rsidR="0015630B" w:rsidRPr="00911F96" w:rsidTr="00BA6F02">
        <w:tc>
          <w:tcPr>
            <w:tcW w:w="851"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价格分</w:t>
            </w:r>
          </w:p>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30分</w:t>
            </w: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jc w:val="center"/>
              <w:rPr>
                <w:rFonts w:ascii="宋体" w:hAnsi="宋体" w:cs="宋体"/>
                <w:b/>
                <w:bCs/>
                <w:color w:val="000000"/>
                <w:szCs w:val="21"/>
              </w:rPr>
            </w:pPr>
            <w:r w:rsidRPr="00911F96">
              <w:rPr>
                <w:rFonts w:ascii="宋体" w:hAnsi="宋体"/>
                <w:b/>
                <w:bCs/>
                <w:color w:val="000000"/>
                <w:szCs w:val="21"/>
              </w:rPr>
              <w:t>30</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jc w:val="center"/>
              <w:rPr>
                <w:rFonts w:ascii="宋体" w:hAnsi="宋体" w:cs="宋体"/>
                <w:b/>
                <w:bCs/>
                <w:color w:val="000000"/>
                <w:szCs w:val="21"/>
              </w:rPr>
            </w:pPr>
            <w:r w:rsidRPr="00911F96">
              <w:rPr>
                <w:rFonts w:ascii="宋体" w:hAnsi="宋体" w:hint="eastAsia"/>
                <w:b/>
                <w:bCs/>
                <w:color w:val="000000"/>
                <w:szCs w:val="21"/>
              </w:rPr>
              <w:t>投标报价</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rPr>
                <w:rFonts w:ascii="宋体" w:hAnsi="宋体" w:cs="宋体"/>
                <w:b/>
                <w:bCs/>
                <w:color w:val="000000"/>
                <w:szCs w:val="21"/>
              </w:rPr>
            </w:pPr>
            <w:r w:rsidRPr="00911F96">
              <w:rPr>
                <w:rFonts w:ascii="宋体" w:hAnsi="宋体" w:hint="eastAsia"/>
                <w:b/>
                <w:bCs/>
                <w:color w:val="000000"/>
                <w:szCs w:val="21"/>
              </w:rPr>
              <w:t>投标报价得分＝（评标基准价</w:t>
            </w:r>
            <w:r w:rsidRPr="00911F96">
              <w:rPr>
                <w:rFonts w:ascii="宋体" w:hAnsi="宋体"/>
                <w:b/>
                <w:bCs/>
                <w:color w:val="000000"/>
                <w:szCs w:val="21"/>
              </w:rPr>
              <w:t>/</w:t>
            </w:r>
            <w:r w:rsidRPr="00911F96">
              <w:rPr>
                <w:rFonts w:ascii="宋体" w:hAnsi="宋体" w:hint="eastAsia"/>
                <w:b/>
                <w:bCs/>
                <w:color w:val="000000"/>
                <w:szCs w:val="21"/>
              </w:rPr>
              <w:t>投标报价）×最高分值</w:t>
            </w:r>
            <w:r w:rsidRPr="00911F96">
              <w:rPr>
                <w:rFonts w:ascii="宋体" w:hAnsi="宋体" w:hint="eastAsia"/>
                <w:b/>
                <w:bCs/>
                <w:color w:val="000000"/>
                <w:szCs w:val="21"/>
              </w:rPr>
              <w:br/>
              <w:t>评标基准价：满足招标文件要求且投标价格最低的投标报价评分具体因素</w:t>
            </w:r>
          </w:p>
        </w:tc>
      </w:tr>
      <w:tr w:rsidR="0015630B" w:rsidRPr="00911F96" w:rsidTr="00BA6F02">
        <w:tc>
          <w:tcPr>
            <w:tcW w:w="851" w:type="dxa"/>
            <w:vMerge w:val="restart"/>
            <w:tcBorders>
              <w:top w:val="single" w:sz="4" w:space="0" w:color="auto"/>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2</w:t>
            </w:r>
          </w:p>
        </w:tc>
        <w:tc>
          <w:tcPr>
            <w:tcW w:w="1560" w:type="dxa"/>
            <w:vMerge w:val="restart"/>
            <w:tcBorders>
              <w:top w:val="single" w:sz="4" w:space="0" w:color="auto"/>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技术分</w:t>
            </w:r>
          </w:p>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56分</w:t>
            </w: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5D6008" w:rsidRDefault="0015630B" w:rsidP="00BA6F02">
            <w:pPr>
              <w:spacing w:line="400" w:lineRule="exact"/>
              <w:jc w:val="center"/>
              <w:rPr>
                <w:rFonts w:ascii="宋体" w:hAnsi="宋体" w:cs="宋体"/>
                <w:b/>
                <w:bCs/>
                <w:color w:val="000000"/>
                <w:szCs w:val="21"/>
              </w:rPr>
            </w:pPr>
            <w:r>
              <w:rPr>
                <w:rFonts w:ascii="宋体" w:hAnsi="宋体" w:hint="eastAsia"/>
                <w:b/>
                <w:bCs/>
                <w:color w:val="000000"/>
                <w:szCs w:val="21"/>
              </w:rPr>
              <w:t>33</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5D6008" w:rsidRDefault="0015630B" w:rsidP="00BA6F02">
            <w:pPr>
              <w:widowControl/>
              <w:spacing w:line="400" w:lineRule="exact"/>
              <w:jc w:val="center"/>
              <w:rPr>
                <w:rFonts w:ascii="宋体" w:hAnsi="宋体" w:cs="宋体"/>
                <w:b/>
                <w:bCs/>
                <w:color w:val="000000"/>
                <w:kern w:val="0"/>
                <w:szCs w:val="21"/>
              </w:rPr>
            </w:pPr>
            <w:r w:rsidRPr="005D6008">
              <w:rPr>
                <w:rFonts w:ascii="宋体" w:hAnsi="宋体" w:cs="宋体" w:hint="eastAsia"/>
                <w:b/>
                <w:bCs/>
                <w:color w:val="000000"/>
                <w:kern w:val="0"/>
                <w:szCs w:val="21"/>
              </w:rPr>
              <w:t>参数及指标的响应</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Default="0015630B" w:rsidP="00BA6F02">
            <w:pPr>
              <w:widowControl/>
              <w:spacing w:line="400" w:lineRule="exact"/>
              <w:jc w:val="left"/>
              <w:rPr>
                <w:rFonts w:ascii="宋体" w:hAnsi="宋体" w:cs="宋体"/>
                <w:b/>
                <w:bCs/>
                <w:color w:val="000000"/>
                <w:kern w:val="0"/>
                <w:szCs w:val="21"/>
              </w:rPr>
            </w:pPr>
            <w:r w:rsidRPr="005D6008">
              <w:rPr>
                <w:rFonts w:ascii="宋体" w:hAnsi="宋体" w:cs="宋体" w:hint="eastAsia"/>
                <w:b/>
                <w:bCs/>
                <w:color w:val="000000"/>
                <w:kern w:val="0"/>
                <w:szCs w:val="21"/>
              </w:rPr>
              <w:t>根据投标货物详细技术参数、性能及功能指标的响应程度进行评审；</w:t>
            </w:r>
          </w:p>
          <w:p w:rsidR="0015630B" w:rsidRDefault="0015630B" w:rsidP="00BA6F02">
            <w:pPr>
              <w:widowControl/>
              <w:spacing w:line="400" w:lineRule="exact"/>
              <w:jc w:val="left"/>
              <w:rPr>
                <w:rFonts w:ascii="宋体" w:hAnsi="宋体" w:cs="宋体"/>
                <w:b/>
                <w:bCs/>
                <w:color w:val="000000"/>
                <w:kern w:val="0"/>
                <w:szCs w:val="21"/>
              </w:rPr>
            </w:pPr>
            <w:r w:rsidRPr="009D0B4D">
              <w:rPr>
                <w:rFonts w:ascii="宋体" w:hAnsi="宋体" w:cs="宋体" w:hint="eastAsia"/>
                <w:b/>
                <w:bCs/>
                <w:color w:val="000000"/>
                <w:kern w:val="0"/>
                <w:szCs w:val="21"/>
              </w:rPr>
              <w:t>1、</w:t>
            </w:r>
            <w:r>
              <w:rPr>
                <w:rFonts w:ascii="宋体" w:hAnsi="宋体" w:cs="宋体" w:hint="eastAsia"/>
                <w:b/>
                <w:bCs/>
                <w:color w:val="000000"/>
                <w:kern w:val="0"/>
                <w:szCs w:val="21"/>
              </w:rPr>
              <w:t>投标货物（包括</w:t>
            </w:r>
            <w:r w:rsidRPr="009D0B4D">
              <w:rPr>
                <w:rFonts w:ascii="宋体" w:hAnsi="宋体" w:cs="宋体" w:hint="eastAsia"/>
                <w:b/>
                <w:bCs/>
                <w:color w:val="000000"/>
                <w:kern w:val="0"/>
                <w:szCs w:val="21"/>
              </w:rPr>
              <w:t>充气帐篷</w:t>
            </w:r>
            <w:r>
              <w:rPr>
                <w:rFonts w:ascii="宋体" w:hAnsi="宋体" w:cs="宋体" w:hint="eastAsia"/>
                <w:b/>
                <w:bCs/>
                <w:color w:val="000000"/>
                <w:kern w:val="0"/>
                <w:szCs w:val="21"/>
              </w:rPr>
              <w:t>、</w:t>
            </w:r>
            <w:r w:rsidRPr="009D0B4D">
              <w:rPr>
                <w:rFonts w:ascii="宋体" w:hAnsi="宋体" w:cs="宋体" w:hint="eastAsia"/>
                <w:b/>
                <w:bCs/>
                <w:color w:val="000000"/>
                <w:kern w:val="0"/>
                <w:szCs w:val="21"/>
              </w:rPr>
              <w:t>帐篷暖风机</w:t>
            </w:r>
            <w:r>
              <w:rPr>
                <w:rFonts w:ascii="宋体" w:hAnsi="宋体" w:cs="宋体" w:hint="eastAsia"/>
                <w:b/>
                <w:bCs/>
                <w:color w:val="000000"/>
                <w:kern w:val="0"/>
                <w:szCs w:val="21"/>
              </w:rPr>
              <w:t>、</w:t>
            </w:r>
            <w:r w:rsidRPr="009D0B4D">
              <w:rPr>
                <w:rFonts w:ascii="宋体" w:hAnsi="宋体" w:cs="宋体" w:hint="eastAsia"/>
                <w:b/>
                <w:bCs/>
                <w:color w:val="000000"/>
                <w:kern w:val="0"/>
                <w:szCs w:val="21"/>
              </w:rPr>
              <w:t>应急服装衬衫</w:t>
            </w:r>
            <w:r>
              <w:rPr>
                <w:rFonts w:ascii="宋体" w:hAnsi="宋体" w:cs="宋体" w:hint="eastAsia"/>
                <w:b/>
                <w:bCs/>
                <w:color w:val="000000"/>
                <w:kern w:val="0"/>
                <w:szCs w:val="21"/>
              </w:rPr>
              <w:t>、</w:t>
            </w:r>
            <w:r w:rsidRPr="009D0B4D">
              <w:rPr>
                <w:rFonts w:ascii="宋体" w:hAnsi="宋体" w:cs="宋体" w:hint="eastAsia"/>
                <w:b/>
                <w:bCs/>
                <w:color w:val="000000"/>
                <w:kern w:val="0"/>
                <w:szCs w:val="21"/>
              </w:rPr>
              <w:t>登山鞋</w:t>
            </w:r>
            <w:r>
              <w:rPr>
                <w:rFonts w:ascii="宋体" w:hAnsi="宋体" w:cs="宋体" w:hint="eastAsia"/>
                <w:b/>
                <w:bCs/>
                <w:color w:val="000000"/>
                <w:kern w:val="0"/>
                <w:szCs w:val="21"/>
              </w:rPr>
              <w:t>、</w:t>
            </w:r>
            <w:r w:rsidRPr="009D0B4D">
              <w:rPr>
                <w:rFonts w:ascii="宋体" w:hAnsi="宋体" w:cs="宋体" w:hint="eastAsia"/>
                <w:b/>
                <w:bCs/>
                <w:color w:val="000000"/>
                <w:kern w:val="0"/>
                <w:szCs w:val="21"/>
              </w:rPr>
              <w:t>无人机</w:t>
            </w:r>
            <w:r>
              <w:rPr>
                <w:rFonts w:ascii="宋体" w:hAnsi="宋体" w:cs="宋体" w:hint="eastAsia"/>
                <w:b/>
                <w:bCs/>
                <w:color w:val="000000"/>
                <w:kern w:val="0"/>
                <w:szCs w:val="21"/>
              </w:rPr>
              <w:t>）能够提供检测机构出具同型号检测报告（</w:t>
            </w:r>
            <w:r w:rsidRPr="009D0B4D">
              <w:rPr>
                <w:rFonts w:ascii="宋体" w:hAnsi="宋体" w:cs="宋体" w:hint="eastAsia"/>
                <w:b/>
                <w:bCs/>
                <w:color w:val="000000"/>
                <w:kern w:val="0"/>
                <w:szCs w:val="21"/>
              </w:rPr>
              <w:t>充气帐篷、应急服装衬衫、登山鞋</w:t>
            </w:r>
            <w:r>
              <w:rPr>
                <w:rFonts w:ascii="宋体" w:hAnsi="宋体" w:cs="宋体" w:hint="eastAsia"/>
                <w:b/>
                <w:bCs/>
                <w:color w:val="000000"/>
                <w:kern w:val="0"/>
                <w:szCs w:val="21"/>
              </w:rPr>
              <w:t>可提供主要材料）</w:t>
            </w:r>
            <w:r w:rsidRPr="009D0B4D">
              <w:rPr>
                <w:rFonts w:ascii="宋体" w:hAnsi="宋体" w:cs="宋体" w:hint="eastAsia"/>
                <w:b/>
                <w:bCs/>
                <w:color w:val="000000"/>
                <w:kern w:val="0"/>
                <w:szCs w:val="21"/>
              </w:rPr>
              <w:t>，且检测内容指标清晰完整的得</w:t>
            </w:r>
            <w:r>
              <w:rPr>
                <w:rFonts w:ascii="宋体" w:hAnsi="宋体" w:cs="宋体" w:hint="eastAsia"/>
                <w:b/>
                <w:bCs/>
                <w:color w:val="000000"/>
                <w:kern w:val="0"/>
                <w:szCs w:val="21"/>
              </w:rPr>
              <w:t>5</w:t>
            </w:r>
            <w:r w:rsidRPr="009D0B4D">
              <w:rPr>
                <w:rFonts w:ascii="宋体" w:hAnsi="宋体" w:cs="宋体" w:hint="eastAsia"/>
                <w:b/>
                <w:bCs/>
                <w:color w:val="000000"/>
                <w:kern w:val="0"/>
                <w:szCs w:val="21"/>
              </w:rPr>
              <w:t>分，每缺失一种</w:t>
            </w:r>
            <w:r>
              <w:rPr>
                <w:rFonts w:ascii="宋体" w:hAnsi="宋体" w:cs="宋体" w:hint="eastAsia"/>
                <w:b/>
                <w:bCs/>
                <w:color w:val="000000"/>
                <w:kern w:val="0"/>
                <w:szCs w:val="21"/>
              </w:rPr>
              <w:t>货物</w:t>
            </w:r>
            <w:r w:rsidRPr="009D0B4D">
              <w:rPr>
                <w:rFonts w:ascii="宋体" w:hAnsi="宋体" w:cs="宋体" w:hint="eastAsia"/>
                <w:b/>
                <w:bCs/>
                <w:color w:val="000000"/>
                <w:kern w:val="0"/>
                <w:szCs w:val="21"/>
              </w:rPr>
              <w:t>检测报告扣</w:t>
            </w:r>
            <w:r>
              <w:rPr>
                <w:rFonts w:ascii="宋体" w:hAnsi="宋体" w:cs="宋体" w:hint="eastAsia"/>
                <w:b/>
                <w:bCs/>
                <w:color w:val="000000"/>
                <w:kern w:val="0"/>
                <w:szCs w:val="21"/>
              </w:rPr>
              <w:t>1</w:t>
            </w:r>
            <w:r w:rsidRPr="009D0B4D">
              <w:rPr>
                <w:rFonts w:ascii="宋体" w:hAnsi="宋体" w:cs="宋体" w:hint="eastAsia"/>
                <w:b/>
                <w:bCs/>
                <w:color w:val="000000"/>
                <w:kern w:val="0"/>
                <w:szCs w:val="21"/>
              </w:rPr>
              <w:t>分，扣完为止；</w:t>
            </w:r>
          </w:p>
          <w:p w:rsidR="0015630B" w:rsidRPr="005D6008" w:rsidRDefault="0015630B" w:rsidP="00BA6F02">
            <w:pPr>
              <w:widowControl/>
              <w:spacing w:line="400" w:lineRule="exact"/>
              <w:jc w:val="left"/>
              <w:rPr>
                <w:rFonts w:ascii="宋体" w:hAnsi="宋体" w:cs="宋体"/>
                <w:b/>
                <w:bCs/>
                <w:color w:val="000000"/>
                <w:kern w:val="0"/>
                <w:szCs w:val="21"/>
              </w:rPr>
            </w:pPr>
            <w:r>
              <w:rPr>
                <w:rFonts w:ascii="宋体" w:hAnsi="宋体" w:cs="宋体" w:hint="eastAsia"/>
                <w:b/>
                <w:bCs/>
                <w:color w:val="000000"/>
                <w:kern w:val="0"/>
                <w:szCs w:val="21"/>
              </w:rPr>
              <w:t>2、</w:t>
            </w:r>
            <w:r w:rsidRPr="005D6008">
              <w:rPr>
                <w:rFonts w:ascii="宋体" w:hAnsi="宋体" w:cs="宋体" w:hint="eastAsia"/>
                <w:b/>
                <w:bCs/>
                <w:color w:val="000000"/>
                <w:kern w:val="0"/>
                <w:szCs w:val="21"/>
              </w:rPr>
              <w:t>投标货物</w:t>
            </w:r>
            <w:r w:rsidRPr="009D0B4D">
              <w:rPr>
                <w:rFonts w:ascii="宋体" w:hAnsi="宋体" w:cs="宋体" w:hint="eastAsia"/>
                <w:b/>
                <w:bCs/>
                <w:color w:val="000000"/>
                <w:kern w:val="0"/>
                <w:szCs w:val="21"/>
              </w:rPr>
              <w:t>技术参数及功能完全满足采购需求的得分</w:t>
            </w:r>
            <w:r>
              <w:rPr>
                <w:rFonts w:ascii="宋体" w:hAnsi="宋体" w:cs="宋体" w:hint="eastAsia"/>
                <w:b/>
                <w:bCs/>
                <w:color w:val="000000"/>
                <w:kern w:val="0"/>
                <w:szCs w:val="21"/>
              </w:rPr>
              <w:t>28</w:t>
            </w:r>
            <w:r w:rsidRPr="009D0B4D">
              <w:rPr>
                <w:rFonts w:ascii="宋体" w:hAnsi="宋体" w:cs="宋体" w:hint="eastAsia"/>
                <w:b/>
                <w:bCs/>
                <w:color w:val="000000"/>
                <w:kern w:val="0"/>
                <w:szCs w:val="21"/>
              </w:rPr>
              <w:t>分，存在不满足（负偏离）或参数指标不清（包括证明材料相应内容或承诺缺失）或未进行详细描述技术参数、功能每项扣2分，扣完为止；</w:t>
            </w:r>
            <w:r w:rsidRPr="005D6008">
              <w:rPr>
                <w:rFonts w:ascii="宋体" w:hAnsi="宋体" w:cs="宋体" w:hint="eastAsia"/>
                <w:b/>
                <w:bCs/>
                <w:color w:val="000000"/>
                <w:kern w:val="0"/>
                <w:szCs w:val="21"/>
              </w:rPr>
              <w:br/>
              <w:t>注：投标文件中技术指标、参数必须提供证明文件（证明文件包括但不限于彩页、技术说明书、检测报告</w:t>
            </w:r>
            <w:r>
              <w:rPr>
                <w:rFonts w:ascii="宋体" w:hAnsi="宋体" w:cs="宋体" w:hint="eastAsia"/>
                <w:b/>
                <w:bCs/>
                <w:color w:val="000000"/>
                <w:kern w:val="0"/>
                <w:szCs w:val="21"/>
              </w:rPr>
              <w:t>、制造商说明</w:t>
            </w:r>
            <w:r w:rsidRPr="005D6008">
              <w:rPr>
                <w:rFonts w:ascii="宋体" w:hAnsi="宋体" w:cs="宋体" w:hint="eastAsia"/>
                <w:b/>
                <w:bCs/>
                <w:color w:val="000000"/>
                <w:kern w:val="0"/>
                <w:szCs w:val="21"/>
              </w:rPr>
              <w:t>等），证明文件需要加盖生产制造商公章和投标人公章，并在技术偏离表中列明证明文件所在页码，否则不予认可。</w:t>
            </w:r>
          </w:p>
        </w:tc>
      </w:tr>
      <w:tr w:rsidR="0015630B" w:rsidRPr="00911F96" w:rsidTr="00BA6F02">
        <w:tc>
          <w:tcPr>
            <w:tcW w:w="851" w:type="dxa"/>
            <w:vMerge/>
            <w:tcBorders>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hint="eastAsia"/>
                <w:b/>
                <w:color w:val="000000"/>
                <w:szCs w:val="21"/>
              </w:rPr>
            </w:pPr>
          </w:p>
        </w:tc>
        <w:tc>
          <w:tcPr>
            <w:tcW w:w="1560" w:type="dxa"/>
            <w:vMerge/>
            <w:tcBorders>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jc w:val="center"/>
              <w:rPr>
                <w:rFonts w:ascii="宋体" w:hAnsi="宋体"/>
                <w:b/>
                <w:bCs/>
                <w:color w:val="000000"/>
                <w:szCs w:val="21"/>
              </w:rPr>
            </w:pPr>
            <w:r>
              <w:rPr>
                <w:rFonts w:ascii="宋体" w:hAnsi="宋体" w:hint="eastAsia"/>
                <w:b/>
                <w:bCs/>
                <w:color w:val="000000"/>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center"/>
              <w:rPr>
                <w:rFonts w:ascii="宋体" w:hAnsi="宋体" w:cs="宋体"/>
                <w:b/>
                <w:bCs/>
                <w:color w:val="000000"/>
                <w:kern w:val="0"/>
                <w:szCs w:val="21"/>
              </w:rPr>
            </w:pPr>
            <w:r w:rsidRPr="00911F96">
              <w:rPr>
                <w:rFonts w:ascii="宋体" w:hAnsi="宋体" w:cs="宋体" w:hint="eastAsia"/>
                <w:b/>
                <w:bCs/>
                <w:color w:val="000000"/>
                <w:kern w:val="0"/>
                <w:szCs w:val="21"/>
              </w:rPr>
              <w:t>供货方案</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提供针对本项目的供货方案：</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1、生产质控方案，包括从原材料选择到成品出厂检测之间的质量控制方案，方案完整连贯的得</w:t>
            </w:r>
            <w:r>
              <w:rPr>
                <w:rFonts w:ascii="宋体" w:hAnsi="宋体" w:cs="宋体" w:hint="eastAsia"/>
                <w:b/>
                <w:bCs/>
                <w:color w:val="000000"/>
                <w:kern w:val="0"/>
                <w:szCs w:val="21"/>
              </w:rPr>
              <w:t>2</w:t>
            </w:r>
            <w:r w:rsidRPr="00911F96">
              <w:rPr>
                <w:rFonts w:ascii="宋体" w:hAnsi="宋体" w:cs="宋体" w:hint="eastAsia"/>
                <w:b/>
                <w:bCs/>
                <w:color w:val="000000"/>
                <w:kern w:val="0"/>
                <w:szCs w:val="21"/>
              </w:rPr>
              <w:t>分，否则不得分；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2、包装运输及移交验收方案，包括从成品出厂检测到移交之间的组织措施方案，方案完整连贯的得1分，否则不得分；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3、培训指导方案，包括自签订合同到使用人员能够独立操作之间的培训方案及实地使用时供应商现场操作指导方案，方案完整能够保证效果的得</w:t>
            </w:r>
            <w:r>
              <w:rPr>
                <w:rFonts w:ascii="宋体" w:hAnsi="宋体" w:cs="宋体" w:hint="eastAsia"/>
                <w:b/>
                <w:bCs/>
                <w:color w:val="000000"/>
                <w:kern w:val="0"/>
                <w:szCs w:val="21"/>
              </w:rPr>
              <w:t>2</w:t>
            </w:r>
            <w:r w:rsidRPr="00911F96">
              <w:rPr>
                <w:rFonts w:ascii="宋体" w:hAnsi="宋体" w:cs="宋体" w:hint="eastAsia"/>
                <w:b/>
                <w:bCs/>
                <w:color w:val="000000"/>
                <w:kern w:val="0"/>
                <w:szCs w:val="21"/>
              </w:rPr>
              <w:t>分，否则不得分；</w:t>
            </w:r>
          </w:p>
          <w:p w:rsidR="0015630B" w:rsidRPr="00911F96" w:rsidRDefault="0015630B" w:rsidP="00BA6F02">
            <w:pPr>
              <w:widowControl/>
              <w:spacing w:line="400" w:lineRule="exact"/>
              <w:jc w:val="left"/>
              <w:rPr>
                <w:rFonts w:ascii="宋体" w:hAnsi="宋体" w:cs="宋体"/>
                <w:b/>
                <w:bCs/>
                <w:color w:val="000000"/>
                <w:kern w:val="0"/>
                <w:szCs w:val="21"/>
              </w:rPr>
            </w:pPr>
            <w:r w:rsidRPr="00911F96">
              <w:rPr>
                <w:rFonts w:ascii="宋体" w:hAnsi="宋体" w:cs="宋体" w:hint="eastAsia"/>
                <w:b/>
                <w:bCs/>
                <w:color w:val="000000"/>
                <w:kern w:val="0"/>
                <w:szCs w:val="21"/>
              </w:rPr>
              <w:t>4、缺陷货物补救及更换方案，包括自签订合同到质保期结束期间，因供应商提供货物缺陷（包括设计缺陷）进行补救及更换方案（包括因先相关规范调整时供应商的补救方案），方案完整、简单有效的得</w:t>
            </w:r>
            <w:r>
              <w:rPr>
                <w:rFonts w:ascii="宋体" w:hAnsi="宋体" w:cs="宋体" w:hint="eastAsia"/>
                <w:b/>
                <w:bCs/>
                <w:color w:val="000000"/>
                <w:kern w:val="0"/>
                <w:szCs w:val="21"/>
              </w:rPr>
              <w:t>2</w:t>
            </w:r>
            <w:r w:rsidRPr="00911F96">
              <w:rPr>
                <w:rFonts w:ascii="宋体" w:hAnsi="宋体" w:cs="宋体" w:hint="eastAsia"/>
                <w:b/>
                <w:bCs/>
                <w:color w:val="000000"/>
                <w:kern w:val="0"/>
                <w:szCs w:val="21"/>
              </w:rPr>
              <w:t>分，否则不得分。</w:t>
            </w:r>
          </w:p>
        </w:tc>
      </w:tr>
      <w:tr w:rsidR="0015630B" w:rsidRPr="00911F96" w:rsidTr="00BA6F02">
        <w:tc>
          <w:tcPr>
            <w:tcW w:w="851" w:type="dxa"/>
            <w:vMerge/>
            <w:tcBorders>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hint="eastAsia"/>
                <w:b/>
                <w:color w:val="000000"/>
                <w:szCs w:val="21"/>
              </w:rPr>
            </w:pPr>
          </w:p>
        </w:tc>
        <w:tc>
          <w:tcPr>
            <w:tcW w:w="1560" w:type="dxa"/>
            <w:vMerge/>
            <w:tcBorders>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jc w:val="center"/>
              <w:rPr>
                <w:rFonts w:ascii="宋体" w:hAnsi="宋体"/>
                <w:b/>
                <w:bCs/>
                <w:color w:val="000000"/>
                <w:szCs w:val="21"/>
              </w:rPr>
            </w:pPr>
            <w:r w:rsidRPr="00911F96">
              <w:rPr>
                <w:rFonts w:ascii="宋体" w:hAnsi="宋体"/>
                <w:b/>
                <w:bCs/>
                <w:color w:val="000000"/>
                <w:szCs w:val="21"/>
              </w:rPr>
              <w:t>1</w:t>
            </w:r>
            <w:r>
              <w:rPr>
                <w:rFonts w:ascii="宋体" w:hAnsi="宋体" w:hint="eastAsia"/>
                <w:b/>
                <w:bCs/>
                <w:color w:val="000000"/>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center"/>
              <w:rPr>
                <w:rFonts w:ascii="宋体" w:hAnsi="宋体" w:cs="宋体"/>
                <w:b/>
                <w:bCs/>
                <w:color w:val="000000"/>
                <w:kern w:val="0"/>
                <w:szCs w:val="21"/>
              </w:rPr>
            </w:pPr>
            <w:r w:rsidRPr="00911F96">
              <w:rPr>
                <w:rFonts w:ascii="宋体" w:hAnsi="宋体" w:cs="宋体" w:hint="eastAsia"/>
                <w:b/>
                <w:bCs/>
                <w:color w:val="000000"/>
                <w:kern w:val="0"/>
                <w:szCs w:val="21"/>
              </w:rPr>
              <w:t>样品</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1、样品品种齐全得基本分</w:t>
            </w:r>
            <w:r>
              <w:rPr>
                <w:rFonts w:ascii="宋体" w:hAnsi="宋体" w:cs="宋体" w:hint="eastAsia"/>
                <w:b/>
                <w:bCs/>
                <w:color w:val="000000"/>
                <w:kern w:val="0"/>
                <w:szCs w:val="21"/>
              </w:rPr>
              <w:t>4</w:t>
            </w:r>
            <w:r w:rsidRPr="00911F96">
              <w:rPr>
                <w:rFonts w:ascii="宋体" w:hAnsi="宋体" w:cs="宋体" w:hint="eastAsia"/>
                <w:b/>
                <w:bCs/>
                <w:color w:val="000000"/>
                <w:kern w:val="0"/>
                <w:szCs w:val="21"/>
              </w:rPr>
              <w:t>分，未提供样品或提供样品不全的本项不得分</w:t>
            </w:r>
            <w:r w:rsidRPr="00911F96">
              <w:rPr>
                <w:rFonts w:ascii="宋体" w:hAnsi="宋体" w:cs="宋体" w:hint="eastAsia"/>
                <w:b/>
                <w:bCs/>
                <w:color w:val="000000"/>
                <w:kern w:val="0"/>
                <w:szCs w:val="21"/>
              </w:rPr>
              <w:br/>
              <w:t>2、充气帐篷（外篷布、气柱、地布）样品：材质、厚度及其他指标符合要求的得2分；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3、手持自拍杆（带稳定器）将进行开机测试，能够正常开机、运行流畅并能够达到要求的得2分，否则不得分；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4、流行病学调查箱（调查端）将进行拆装使用测试，能够达到取用方便、收放简单、各项功能能够达到要求的得</w:t>
            </w:r>
            <w:r>
              <w:rPr>
                <w:rFonts w:ascii="宋体" w:hAnsi="宋体" w:cs="宋体" w:hint="eastAsia"/>
                <w:b/>
                <w:bCs/>
                <w:color w:val="000000"/>
                <w:kern w:val="0"/>
                <w:szCs w:val="21"/>
              </w:rPr>
              <w:t>2</w:t>
            </w:r>
            <w:r w:rsidRPr="00911F96">
              <w:rPr>
                <w:rFonts w:ascii="宋体" w:hAnsi="宋体" w:cs="宋体" w:hint="eastAsia"/>
                <w:b/>
                <w:bCs/>
                <w:color w:val="000000"/>
                <w:kern w:val="0"/>
                <w:szCs w:val="21"/>
              </w:rPr>
              <w:t>分，否则不得分；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5、流行病学调查箱（管理端）将进行拆装使用测试，能够达到取用方便、收放简单、各项功能能够达到要求的得</w:t>
            </w:r>
            <w:r>
              <w:rPr>
                <w:rFonts w:ascii="宋体" w:hAnsi="宋体" w:cs="宋体" w:hint="eastAsia"/>
                <w:b/>
                <w:bCs/>
                <w:color w:val="000000"/>
                <w:kern w:val="0"/>
                <w:szCs w:val="21"/>
              </w:rPr>
              <w:t>2</w:t>
            </w:r>
            <w:r w:rsidRPr="00911F96">
              <w:rPr>
                <w:rFonts w:ascii="宋体" w:hAnsi="宋体" w:cs="宋体" w:hint="eastAsia"/>
                <w:b/>
                <w:bCs/>
                <w:color w:val="000000"/>
                <w:kern w:val="0"/>
                <w:szCs w:val="21"/>
              </w:rPr>
              <w:t>分，否则不得分；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6、个人携行装备将进行拆装使用测试，能够达到取用方便、收放简单、各项功能能够达到要求的得</w:t>
            </w:r>
            <w:r>
              <w:rPr>
                <w:rFonts w:ascii="宋体" w:hAnsi="宋体" w:cs="宋体" w:hint="eastAsia"/>
                <w:b/>
                <w:bCs/>
                <w:color w:val="000000"/>
                <w:kern w:val="0"/>
                <w:szCs w:val="21"/>
              </w:rPr>
              <w:t>2</w:t>
            </w:r>
            <w:r w:rsidRPr="00911F96">
              <w:rPr>
                <w:rFonts w:ascii="宋体" w:hAnsi="宋体" w:cs="宋体" w:hint="eastAsia"/>
                <w:b/>
                <w:bCs/>
                <w:color w:val="000000"/>
                <w:kern w:val="0"/>
                <w:szCs w:val="21"/>
              </w:rPr>
              <w:t>分，否则不得分；</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7、应急服装衬衫和登山鞋质量优良、工艺完整、外观精美、手感好符合采购需求得2分</w:t>
            </w:r>
          </w:p>
          <w:p w:rsidR="0015630B" w:rsidRPr="00911F96" w:rsidRDefault="0015630B" w:rsidP="00BA6F02">
            <w:pPr>
              <w:widowControl/>
              <w:spacing w:line="400" w:lineRule="exact"/>
              <w:jc w:val="left"/>
              <w:rPr>
                <w:rFonts w:ascii="宋体" w:hAnsi="宋体" w:cs="宋体"/>
                <w:b/>
                <w:bCs/>
                <w:color w:val="000000"/>
                <w:kern w:val="0"/>
                <w:szCs w:val="21"/>
              </w:rPr>
            </w:pPr>
            <w:r w:rsidRPr="00911F96">
              <w:rPr>
                <w:rFonts w:ascii="宋体" w:hAnsi="宋体" w:cs="宋体" w:hint="eastAsia"/>
                <w:b/>
                <w:bCs/>
                <w:color w:val="000000"/>
                <w:kern w:val="0"/>
                <w:szCs w:val="21"/>
              </w:rPr>
              <w:t>注：样品为明评。样品在评审过程中出现的损坏由供应商自行承担损失。</w:t>
            </w:r>
          </w:p>
        </w:tc>
      </w:tr>
      <w:tr w:rsidR="0015630B" w:rsidRPr="00911F96" w:rsidTr="00BA6F02">
        <w:tc>
          <w:tcPr>
            <w:tcW w:w="851" w:type="dxa"/>
            <w:vMerge w:val="restart"/>
            <w:tcBorders>
              <w:top w:val="single" w:sz="4" w:space="0" w:color="auto"/>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3</w:t>
            </w:r>
          </w:p>
        </w:tc>
        <w:tc>
          <w:tcPr>
            <w:tcW w:w="1560" w:type="dxa"/>
            <w:vMerge w:val="restart"/>
            <w:tcBorders>
              <w:top w:val="single" w:sz="4" w:space="0" w:color="auto"/>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商务分</w:t>
            </w:r>
          </w:p>
          <w:p w:rsidR="0015630B" w:rsidRPr="00911F96" w:rsidRDefault="0015630B" w:rsidP="00BA6F02">
            <w:pPr>
              <w:pStyle w:val="a4"/>
              <w:spacing w:line="400" w:lineRule="exact"/>
              <w:jc w:val="center"/>
              <w:rPr>
                <w:rFonts w:ascii="宋体" w:hAnsi="宋体" w:cs="宋体"/>
                <w:b/>
                <w:color w:val="000000"/>
                <w:szCs w:val="21"/>
              </w:rPr>
            </w:pPr>
            <w:r w:rsidRPr="00911F96">
              <w:rPr>
                <w:rFonts w:ascii="宋体" w:hAnsi="宋体" w:cs="宋体" w:hint="eastAsia"/>
                <w:b/>
                <w:color w:val="000000"/>
                <w:szCs w:val="21"/>
              </w:rPr>
              <w:t>14分</w:t>
            </w: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jc w:val="center"/>
              <w:rPr>
                <w:rFonts w:ascii="宋体" w:hAnsi="宋体" w:cs="宋体"/>
                <w:b/>
                <w:bCs/>
                <w:color w:val="000000"/>
                <w:szCs w:val="21"/>
              </w:rPr>
            </w:pPr>
            <w:r w:rsidRPr="00911F96">
              <w:rPr>
                <w:rFonts w:ascii="宋体" w:hAnsi="宋体"/>
                <w:b/>
                <w:bCs/>
                <w:color w:val="000000"/>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center"/>
              <w:rPr>
                <w:rFonts w:ascii="宋体" w:hAnsi="宋体" w:cs="宋体"/>
                <w:b/>
                <w:bCs/>
                <w:color w:val="000000"/>
                <w:kern w:val="0"/>
                <w:szCs w:val="21"/>
              </w:rPr>
            </w:pPr>
            <w:r w:rsidRPr="00911F96">
              <w:rPr>
                <w:rFonts w:ascii="宋体" w:hAnsi="宋体" w:cs="宋体" w:hint="eastAsia"/>
                <w:b/>
                <w:bCs/>
                <w:color w:val="000000"/>
                <w:kern w:val="0"/>
                <w:szCs w:val="21"/>
              </w:rPr>
              <w:t>使用成本</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供应商根据提供货物的具体参数指标及其他已经用的同类型货物使用情况进行使用分析，要求分析包括使用保养分析、维修维护分析等：</w:t>
            </w:r>
          </w:p>
          <w:p w:rsidR="0015630B" w:rsidRPr="00911F96" w:rsidRDefault="0015630B" w:rsidP="00BA6F02">
            <w:pPr>
              <w:widowControl/>
              <w:spacing w:line="400" w:lineRule="exact"/>
              <w:jc w:val="left"/>
              <w:rPr>
                <w:rFonts w:ascii="宋体" w:hAnsi="宋体" w:cs="宋体" w:hint="eastAsia"/>
                <w:b/>
                <w:bCs/>
                <w:color w:val="000000"/>
                <w:kern w:val="0"/>
                <w:szCs w:val="21"/>
              </w:rPr>
            </w:pPr>
            <w:r w:rsidRPr="00911F96">
              <w:rPr>
                <w:rFonts w:ascii="宋体" w:hAnsi="宋体" w:cs="宋体" w:hint="eastAsia"/>
                <w:b/>
                <w:bCs/>
                <w:color w:val="000000"/>
                <w:kern w:val="0"/>
                <w:szCs w:val="21"/>
              </w:rPr>
              <w:t>1、使用保养分析，包括各种情形使用、保养及各种环境下使用时间及次数、使用及保养所需材料及相应费用等分析。要求分析全面、数据清晰，能够通过同类型（型号）产品进行数据分析，通过分析能够证明货物：（1）使用周期长的得1分，（2）易于安装拆解运输能够重复使用的得1分，（3）维护简单的得1分。</w:t>
            </w:r>
          </w:p>
          <w:p w:rsidR="0015630B" w:rsidRPr="00911F96" w:rsidRDefault="0015630B" w:rsidP="00BA6F02">
            <w:pPr>
              <w:widowControl/>
              <w:spacing w:line="400" w:lineRule="exact"/>
              <w:jc w:val="left"/>
              <w:rPr>
                <w:rFonts w:ascii="宋体" w:hAnsi="宋体" w:cs="宋体"/>
                <w:b/>
                <w:bCs/>
                <w:color w:val="000000"/>
                <w:kern w:val="0"/>
                <w:szCs w:val="21"/>
              </w:rPr>
            </w:pPr>
            <w:r w:rsidRPr="00911F96">
              <w:rPr>
                <w:rFonts w:ascii="宋体" w:hAnsi="宋体" w:cs="宋体" w:hint="eastAsia"/>
                <w:b/>
                <w:bCs/>
                <w:color w:val="000000"/>
                <w:kern w:val="0"/>
                <w:szCs w:val="21"/>
              </w:rPr>
              <w:t>2、维修维护分析，包括常见问题维修维护及各部分配件部件更换。要求分析全面、数据清晰，能够通过同类型（型号）产品进行数据分析：（1）通过分析能够证明货物维修维护简单有效且有多种方案的得1分，（2）能够更换或需要维修维护的各部分配件部件罗列清晰完整的得1分，（3）能够更换或需要维修维护的各部分配件部件有可替代产品、现行市场价透明、能够达到就近购买、方便更换、更换便捷的程度的得1分</w:t>
            </w:r>
          </w:p>
        </w:tc>
      </w:tr>
      <w:tr w:rsidR="0015630B" w:rsidRPr="00911F96" w:rsidTr="00BA6F02">
        <w:tc>
          <w:tcPr>
            <w:tcW w:w="851" w:type="dxa"/>
            <w:vMerge/>
            <w:tcBorders>
              <w:left w:val="single" w:sz="4" w:space="0" w:color="auto"/>
              <w:bottom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p>
        </w:tc>
        <w:tc>
          <w:tcPr>
            <w:tcW w:w="1560" w:type="dxa"/>
            <w:vMerge/>
            <w:tcBorders>
              <w:left w:val="single" w:sz="4" w:space="0" w:color="auto"/>
              <w:right w:val="single" w:sz="4" w:space="0" w:color="auto"/>
            </w:tcBorders>
            <w:vAlign w:val="center"/>
          </w:tcPr>
          <w:p w:rsidR="0015630B" w:rsidRPr="00911F96" w:rsidRDefault="0015630B" w:rsidP="00BA6F02">
            <w:pPr>
              <w:pStyle w:val="a4"/>
              <w:spacing w:line="400" w:lineRule="exact"/>
              <w:jc w:val="center"/>
              <w:rPr>
                <w:rFonts w:ascii="宋体" w:hAnsi="宋体" w:cs="宋体"/>
                <w:b/>
                <w:color w:val="00000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spacing w:line="400" w:lineRule="exact"/>
              <w:jc w:val="center"/>
              <w:rPr>
                <w:rFonts w:ascii="宋体" w:hAnsi="宋体" w:cs="宋体"/>
                <w:b/>
                <w:bCs/>
                <w:color w:val="000000"/>
                <w:szCs w:val="21"/>
              </w:rPr>
            </w:pPr>
            <w:r w:rsidRPr="00911F96">
              <w:rPr>
                <w:rFonts w:ascii="宋体" w:hAnsi="宋体"/>
                <w:b/>
                <w:bCs/>
                <w:color w:val="000000"/>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center"/>
              <w:rPr>
                <w:rFonts w:ascii="宋体" w:hAnsi="宋体" w:cs="宋体"/>
                <w:b/>
                <w:bCs/>
                <w:color w:val="000000"/>
                <w:kern w:val="0"/>
                <w:szCs w:val="21"/>
              </w:rPr>
            </w:pPr>
            <w:r w:rsidRPr="00911F96">
              <w:rPr>
                <w:rFonts w:ascii="宋体" w:hAnsi="宋体" w:cs="宋体" w:hint="eastAsia"/>
                <w:b/>
                <w:bCs/>
                <w:color w:val="000000"/>
                <w:kern w:val="0"/>
                <w:szCs w:val="21"/>
              </w:rPr>
              <w:t>售后服务</w:t>
            </w:r>
          </w:p>
        </w:tc>
        <w:tc>
          <w:tcPr>
            <w:tcW w:w="4536" w:type="dxa"/>
            <w:tcBorders>
              <w:top w:val="single" w:sz="4" w:space="0" w:color="auto"/>
              <w:left w:val="single" w:sz="4" w:space="0" w:color="auto"/>
              <w:bottom w:val="single" w:sz="4" w:space="0" w:color="auto"/>
              <w:right w:val="single" w:sz="4" w:space="0" w:color="auto"/>
            </w:tcBorders>
            <w:vAlign w:val="center"/>
          </w:tcPr>
          <w:p w:rsidR="0015630B" w:rsidRPr="00911F96" w:rsidRDefault="0015630B" w:rsidP="00BA6F02">
            <w:pPr>
              <w:widowControl/>
              <w:spacing w:line="400" w:lineRule="exact"/>
              <w:jc w:val="left"/>
              <w:rPr>
                <w:rFonts w:ascii="宋体" w:hAnsi="宋体" w:cs="宋体"/>
                <w:b/>
                <w:bCs/>
                <w:color w:val="000000"/>
                <w:kern w:val="0"/>
                <w:szCs w:val="21"/>
              </w:rPr>
            </w:pPr>
            <w:r w:rsidRPr="00911F96">
              <w:rPr>
                <w:rFonts w:ascii="宋体" w:hAnsi="宋体" w:cs="宋体" w:hint="eastAsia"/>
                <w:b/>
                <w:bCs/>
                <w:color w:val="000000"/>
                <w:kern w:val="0"/>
                <w:szCs w:val="21"/>
              </w:rPr>
              <w:t>1.售后服务方案：售后服务保障能力、售后服务承诺及方案措施，应急（突发事件）处置方案、易损件维修件储存供应方案，技术队伍，服务保障体系、响应时间，产品质量保证期、服务流程，操作维修培训方案，售后服务措施及服务承诺函，质保期后的后续服务等综合评比，整体方案等完全满足招标文件要求，易于操作且具有可行性的得4分，每出现一项缺失（或负偏离、瑕疵）的扣1分，扣完为止。</w:t>
            </w:r>
            <w:r w:rsidRPr="00911F96">
              <w:rPr>
                <w:rFonts w:ascii="宋体" w:hAnsi="宋体" w:cs="宋体" w:hint="eastAsia"/>
                <w:b/>
                <w:bCs/>
                <w:color w:val="000000"/>
                <w:kern w:val="0"/>
                <w:szCs w:val="21"/>
              </w:rPr>
              <w:br/>
              <w:t>2.核心产品提供生产厂家直接维保承诺的，每项得1分，共计4分。</w:t>
            </w:r>
          </w:p>
        </w:tc>
      </w:tr>
    </w:tbl>
    <w:p w:rsidR="007C1600" w:rsidRPr="0015630B" w:rsidRDefault="0015630B"/>
    <w:sectPr w:rsidR="007C1600" w:rsidRPr="0015630B" w:rsidSect="00643A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0B" w:rsidRDefault="0015630B" w:rsidP="0015630B">
      <w:r>
        <w:separator/>
      </w:r>
    </w:p>
  </w:endnote>
  <w:endnote w:type="continuationSeparator" w:id="0">
    <w:p w:rsidR="0015630B" w:rsidRDefault="0015630B" w:rsidP="00156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0B" w:rsidRDefault="0015630B" w:rsidP="0015630B">
      <w:r>
        <w:separator/>
      </w:r>
    </w:p>
  </w:footnote>
  <w:footnote w:type="continuationSeparator" w:id="0">
    <w:p w:rsidR="0015630B" w:rsidRDefault="0015630B" w:rsidP="00156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01C06"/>
    <w:multiLevelType w:val="hybridMultilevel"/>
    <w:tmpl w:val="06240274"/>
    <w:lvl w:ilvl="0" w:tplc="7946D8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0481"/>
    <w:rsid w:val="00125388"/>
    <w:rsid w:val="0015630B"/>
    <w:rsid w:val="00197450"/>
    <w:rsid w:val="001D787C"/>
    <w:rsid w:val="00210481"/>
    <w:rsid w:val="0021326F"/>
    <w:rsid w:val="0029554F"/>
    <w:rsid w:val="003343F1"/>
    <w:rsid w:val="00435FB0"/>
    <w:rsid w:val="005006A4"/>
    <w:rsid w:val="00554DDC"/>
    <w:rsid w:val="00643A07"/>
    <w:rsid w:val="008F53C1"/>
    <w:rsid w:val="009D0B4D"/>
    <w:rsid w:val="00B17678"/>
    <w:rsid w:val="00E7514D"/>
    <w:rsid w:val="00FE3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10481"/>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rsid w:val="00210481"/>
    <w:pPr>
      <w:spacing w:after="120"/>
    </w:pPr>
    <w:rPr>
      <w:rFonts w:ascii="Times New Roman" w:hAnsi="Times New Roman"/>
      <w:szCs w:val="24"/>
    </w:rPr>
  </w:style>
  <w:style w:type="character" w:customStyle="1" w:styleId="Char">
    <w:name w:val="正文文本 Char"/>
    <w:basedOn w:val="a1"/>
    <w:link w:val="a4"/>
    <w:rsid w:val="00210481"/>
    <w:rPr>
      <w:rFonts w:ascii="Times New Roman" w:eastAsia="宋体" w:hAnsi="Times New Roman" w:cs="Times New Roman"/>
      <w:szCs w:val="24"/>
    </w:rPr>
  </w:style>
  <w:style w:type="paragraph" w:styleId="a0">
    <w:name w:val="toa heading"/>
    <w:basedOn w:val="a"/>
    <w:next w:val="a"/>
    <w:uiPriority w:val="99"/>
    <w:semiHidden/>
    <w:unhideWhenUsed/>
    <w:rsid w:val="00210481"/>
    <w:pPr>
      <w:spacing w:before="120"/>
    </w:pPr>
    <w:rPr>
      <w:rFonts w:asciiTheme="majorHAnsi" w:hAnsiTheme="majorHAnsi" w:cstheme="majorBidi"/>
      <w:sz w:val="24"/>
      <w:szCs w:val="24"/>
    </w:rPr>
  </w:style>
  <w:style w:type="paragraph" w:styleId="a5">
    <w:name w:val="List Paragraph"/>
    <w:basedOn w:val="a"/>
    <w:uiPriority w:val="34"/>
    <w:qFormat/>
    <w:rsid w:val="008F53C1"/>
    <w:pPr>
      <w:ind w:firstLineChars="200" w:firstLine="420"/>
    </w:pPr>
  </w:style>
  <w:style w:type="paragraph" w:styleId="a6">
    <w:name w:val="header"/>
    <w:basedOn w:val="a"/>
    <w:link w:val="Char0"/>
    <w:uiPriority w:val="99"/>
    <w:semiHidden/>
    <w:unhideWhenUsed/>
    <w:rsid w:val="0015630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semiHidden/>
    <w:rsid w:val="0015630B"/>
    <w:rPr>
      <w:rFonts w:ascii="Calibri" w:eastAsia="宋体" w:hAnsi="Calibri" w:cs="Times New Roman"/>
      <w:sz w:val="18"/>
      <w:szCs w:val="18"/>
    </w:rPr>
  </w:style>
  <w:style w:type="paragraph" w:styleId="a7">
    <w:name w:val="footer"/>
    <w:basedOn w:val="a"/>
    <w:link w:val="Char1"/>
    <w:uiPriority w:val="99"/>
    <w:semiHidden/>
    <w:unhideWhenUsed/>
    <w:rsid w:val="0015630B"/>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15630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dcterms:created xsi:type="dcterms:W3CDTF">2022-12-23T03:33:00Z</dcterms:created>
  <dcterms:modified xsi:type="dcterms:W3CDTF">2022-12-27T10:42:00Z</dcterms:modified>
</cp:coreProperties>
</file>