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ind w:left="0"/>
        <w:jc w:val="center"/>
        <w:rPr>
          <w:rFonts w:ascii="Times New Roman" w:eastAsiaTheme="minorEastAsia"/>
          <w:color w:val="000000" w:themeColor="text1"/>
          <w:sz w:val="20"/>
          <w:lang w:val="en-US"/>
          <w14:textFill>
            <w14:solidFill>
              <w14:schemeClr w14:val="tx1"/>
            </w14:solidFill>
          </w14:textFill>
        </w:rPr>
      </w:pPr>
    </w:p>
    <w:p>
      <w:pPr>
        <w:pStyle w:val="14"/>
        <w:ind w:left="0"/>
        <w:rPr>
          <w:rFonts w:ascii="Times New Roman" w:eastAsiaTheme="minorEastAsia"/>
          <w:color w:val="000000" w:themeColor="text1"/>
          <w:sz w:val="20"/>
          <w14:textFill>
            <w14:solidFill>
              <w14:schemeClr w14:val="tx1"/>
            </w14:solidFill>
          </w14:textFill>
        </w:rPr>
      </w:pPr>
    </w:p>
    <w:p>
      <w:pPr>
        <w:pStyle w:val="14"/>
        <w:ind w:left="0"/>
        <w:rPr>
          <w:rFonts w:ascii="Times New Roman" w:eastAsiaTheme="minorEastAsia"/>
          <w:color w:val="000000" w:themeColor="text1"/>
          <w:sz w:val="20"/>
          <w14:textFill>
            <w14:solidFill>
              <w14:schemeClr w14:val="tx1"/>
            </w14:solidFill>
          </w14:textFill>
        </w:rPr>
      </w:pPr>
    </w:p>
    <w:p>
      <w:pPr>
        <w:pStyle w:val="14"/>
        <w:ind w:left="0"/>
        <w:rPr>
          <w:rFonts w:ascii="Times New Roman" w:eastAsiaTheme="minorEastAsia"/>
          <w:color w:val="000000" w:themeColor="text1"/>
          <w:sz w:val="20"/>
          <w14:textFill>
            <w14:solidFill>
              <w14:schemeClr w14:val="tx1"/>
            </w14:solidFill>
          </w14:textFill>
        </w:rPr>
      </w:pPr>
    </w:p>
    <w:p>
      <w:pPr>
        <w:pStyle w:val="14"/>
        <w:ind w:left="0"/>
        <w:rPr>
          <w:rFonts w:ascii="Times New Roman" w:eastAsiaTheme="minorEastAsia"/>
          <w:color w:val="000000" w:themeColor="text1"/>
          <w:sz w:val="20"/>
          <w14:textFill>
            <w14:solidFill>
              <w14:schemeClr w14:val="tx1"/>
            </w14:solidFill>
          </w14:textFill>
        </w:rPr>
      </w:pPr>
    </w:p>
    <w:p>
      <w:pPr>
        <w:pStyle w:val="14"/>
        <w:ind w:left="0"/>
        <w:rPr>
          <w:rFonts w:ascii="Times New Roman" w:eastAsiaTheme="minorEastAsia"/>
          <w:color w:val="000000" w:themeColor="text1"/>
          <w:sz w:val="20"/>
          <w14:textFill>
            <w14:solidFill>
              <w14:schemeClr w14:val="tx1"/>
            </w14:solidFill>
          </w14:textFill>
        </w:rPr>
      </w:pPr>
    </w:p>
    <w:p>
      <w:pPr>
        <w:pStyle w:val="14"/>
        <w:ind w:left="0"/>
        <w:rPr>
          <w:rFonts w:ascii="Times New Roman" w:eastAsiaTheme="minorEastAsia"/>
          <w:color w:val="000000" w:themeColor="text1"/>
          <w:sz w:val="20"/>
          <w14:textFill>
            <w14:solidFill>
              <w14:schemeClr w14:val="tx1"/>
            </w14:solidFill>
          </w14:textFill>
        </w:rPr>
      </w:pPr>
    </w:p>
    <w:p>
      <w:pPr>
        <w:jc w:val="center"/>
        <w:rPr>
          <w:rFonts w:hint="eastAsia" w:eastAsiaTheme="minorEastAsia"/>
          <w:b/>
          <w:color w:val="000000" w:themeColor="text1"/>
          <w:sz w:val="44"/>
          <w:szCs w:val="44"/>
          <w14:textFill>
            <w14:solidFill>
              <w14:schemeClr w14:val="tx1"/>
            </w14:solidFill>
          </w14:textFill>
        </w:rPr>
      </w:pPr>
      <w:r>
        <w:rPr>
          <w:rFonts w:hint="eastAsia" w:eastAsiaTheme="minorEastAsia"/>
          <w:b/>
          <w:color w:val="000000" w:themeColor="text1"/>
          <w:sz w:val="44"/>
          <w:szCs w:val="44"/>
          <w14:textFill>
            <w14:solidFill>
              <w14:schemeClr w14:val="tx1"/>
            </w14:solidFill>
          </w14:textFill>
        </w:rPr>
        <w:t>疏勒县中等职业技术学校中餐烹饪专业耗材项目</w:t>
      </w:r>
    </w:p>
    <w:p>
      <w:pPr>
        <w:jc w:val="center"/>
        <w:rPr>
          <w:rFonts w:eastAsiaTheme="minorEastAsia"/>
          <w:b/>
          <w:color w:val="000000" w:themeColor="text1"/>
          <w:sz w:val="44"/>
          <w:szCs w:val="44"/>
          <w14:textFill>
            <w14:solidFill>
              <w14:schemeClr w14:val="tx1"/>
            </w14:solidFill>
          </w14:textFill>
        </w:rPr>
      </w:pPr>
      <w:r>
        <w:rPr>
          <w:rFonts w:hint="eastAsia" w:eastAsiaTheme="minorEastAsia"/>
          <w:b/>
          <w:color w:val="000000" w:themeColor="text1"/>
          <w:sz w:val="44"/>
          <w:szCs w:val="44"/>
          <w14:textFill>
            <w14:solidFill>
              <w14:schemeClr w14:val="tx1"/>
            </w14:solidFill>
          </w14:textFill>
        </w:rPr>
        <w:t>招标文件</w:t>
      </w:r>
    </w:p>
    <w:p>
      <w:pPr>
        <w:jc w:val="center"/>
        <w:rPr>
          <w:rFonts w:eastAsiaTheme="minorEastAsia"/>
          <w:b/>
          <w:color w:val="FF0000"/>
          <w:sz w:val="44"/>
          <w:szCs w:val="44"/>
        </w:rPr>
      </w:pPr>
    </w:p>
    <w:p>
      <w:pPr>
        <w:pStyle w:val="14"/>
        <w:ind w:left="0"/>
        <w:rPr>
          <w:color w:val="000000" w:themeColor="text1"/>
          <w:sz w:val="20"/>
          <w14:textFill>
            <w14:solidFill>
              <w14:schemeClr w14:val="tx1"/>
            </w14:solidFill>
          </w14:textFill>
        </w:rPr>
      </w:pPr>
    </w:p>
    <w:p>
      <w:pPr>
        <w:pStyle w:val="14"/>
        <w:ind w:left="0"/>
        <w:rPr>
          <w:color w:val="000000" w:themeColor="text1"/>
          <w:sz w:val="20"/>
          <w14:textFill>
            <w14:solidFill>
              <w14:schemeClr w14:val="tx1"/>
            </w14:solidFill>
          </w14:textFill>
        </w:rPr>
      </w:pPr>
    </w:p>
    <w:p>
      <w:pPr>
        <w:pStyle w:val="14"/>
        <w:ind w:left="0"/>
        <w:rPr>
          <w:color w:val="000000" w:themeColor="text1"/>
          <w:sz w:val="20"/>
          <w14:textFill>
            <w14:solidFill>
              <w14:schemeClr w14:val="tx1"/>
            </w14:solidFill>
          </w14:textFill>
        </w:rPr>
      </w:pPr>
    </w:p>
    <w:p>
      <w:pPr>
        <w:pStyle w:val="14"/>
        <w:ind w:left="0"/>
        <w:rPr>
          <w:color w:val="000000" w:themeColor="text1"/>
          <w:sz w:val="20"/>
          <w14:textFill>
            <w14:solidFill>
              <w14:schemeClr w14:val="tx1"/>
            </w14:solidFill>
          </w14:textFill>
        </w:rPr>
      </w:pPr>
    </w:p>
    <w:p>
      <w:pPr>
        <w:pStyle w:val="14"/>
        <w:spacing w:before="14"/>
        <w:ind w:left="0"/>
        <w:rPr>
          <w:color w:val="000000" w:themeColor="text1"/>
          <w:sz w:val="28"/>
          <w14:textFill>
            <w14:solidFill>
              <w14:schemeClr w14:val="tx1"/>
            </w14:solidFill>
          </w14:textFill>
        </w:rPr>
      </w:pPr>
    </w:p>
    <w:p>
      <w:pPr>
        <w:pStyle w:val="14"/>
        <w:ind w:left="0"/>
        <w:rPr>
          <w:color w:val="000000" w:themeColor="text1"/>
          <w:sz w:val="20"/>
          <w14:textFill>
            <w14:solidFill>
              <w14:schemeClr w14:val="tx1"/>
            </w14:solidFill>
          </w14:textFill>
        </w:rPr>
      </w:pPr>
    </w:p>
    <w:p>
      <w:pPr>
        <w:pStyle w:val="14"/>
        <w:ind w:left="0"/>
        <w:rPr>
          <w:color w:val="000000" w:themeColor="text1"/>
          <w:sz w:val="20"/>
          <w14:textFill>
            <w14:solidFill>
              <w14:schemeClr w14:val="tx1"/>
            </w14:solidFill>
          </w14:textFill>
        </w:rPr>
      </w:pPr>
      <w:r>
        <w:rPr>
          <w:color w:val="000000" w:themeColor="text1"/>
          <w:sz w:val="20"/>
          <w:lang w:val="en-US" w:bidi="ar-SA"/>
          <w14:textFill>
            <w14:solidFill>
              <w14:schemeClr w14:val="tx1"/>
            </w14:solidFill>
          </w14:textFill>
        </w:rPr>
        <w:drawing>
          <wp:anchor distT="0" distB="0" distL="0" distR="0" simplePos="0" relativeHeight="251661312" behindDoc="1" locked="0" layoutInCell="1" allowOverlap="1">
            <wp:simplePos x="0" y="0"/>
            <wp:positionH relativeFrom="page">
              <wp:posOffset>3009900</wp:posOffset>
            </wp:positionH>
            <wp:positionV relativeFrom="paragraph">
              <wp:posOffset>153670</wp:posOffset>
            </wp:positionV>
            <wp:extent cx="1428750" cy="1290320"/>
            <wp:effectExtent l="0" t="0" r="0" b="508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1428750" cy="1290320"/>
                    </a:xfrm>
                    <a:prstGeom prst="rect">
                      <a:avLst/>
                    </a:prstGeom>
                  </pic:spPr>
                </pic:pic>
              </a:graphicData>
            </a:graphic>
          </wp:anchor>
        </w:drawing>
      </w:r>
    </w:p>
    <w:p>
      <w:pPr>
        <w:pStyle w:val="14"/>
        <w:ind w:left="0"/>
        <w:rPr>
          <w:rFonts w:eastAsiaTheme="minorEastAsia"/>
          <w:color w:val="000000" w:themeColor="text1"/>
          <w:sz w:val="20"/>
          <w14:textFill>
            <w14:solidFill>
              <w14:schemeClr w14:val="tx1"/>
            </w14:solidFill>
          </w14:textFill>
        </w:rPr>
      </w:pPr>
    </w:p>
    <w:p>
      <w:pPr>
        <w:pStyle w:val="14"/>
        <w:ind w:left="0"/>
        <w:rPr>
          <w:rFonts w:eastAsiaTheme="minorEastAsia"/>
          <w:color w:val="000000" w:themeColor="text1"/>
          <w:sz w:val="20"/>
          <w14:textFill>
            <w14:solidFill>
              <w14:schemeClr w14:val="tx1"/>
            </w14:solidFill>
          </w14:textFill>
        </w:rPr>
      </w:pPr>
    </w:p>
    <w:p>
      <w:pPr>
        <w:pStyle w:val="14"/>
        <w:ind w:left="0"/>
        <w:rPr>
          <w:rFonts w:eastAsiaTheme="minorEastAsia"/>
          <w:color w:val="000000" w:themeColor="text1"/>
          <w:sz w:val="20"/>
          <w14:textFill>
            <w14:solidFill>
              <w14:schemeClr w14:val="tx1"/>
            </w14:solidFill>
          </w14:textFill>
        </w:rPr>
      </w:pPr>
    </w:p>
    <w:p>
      <w:pPr>
        <w:pStyle w:val="14"/>
        <w:ind w:left="0"/>
        <w:rPr>
          <w:rFonts w:eastAsiaTheme="minorEastAsia"/>
          <w:color w:val="000000" w:themeColor="text1"/>
          <w:sz w:val="20"/>
          <w14:textFill>
            <w14:solidFill>
              <w14:schemeClr w14:val="tx1"/>
            </w14:solidFill>
          </w14:textFill>
        </w:rPr>
      </w:pPr>
    </w:p>
    <w:p>
      <w:pPr>
        <w:pStyle w:val="14"/>
        <w:ind w:left="0"/>
        <w:rPr>
          <w:rFonts w:eastAsiaTheme="minorEastAsia"/>
          <w:color w:val="000000" w:themeColor="text1"/>
          <w:sz w:val="20"/>
          <w14:textFill>
            <w14:solidFill>
              <w14:schemeClr w14:val="tx1"/>
            </w14:solidFill>
          </w14:textFill>
        </w:rPr>
      </w:pPr>
    </w:p>
    <w:p>
      <w:pPr>
        <w:pStyle w:val="14"/>
        <w:ind w:left="0"/>
        <w:rPr>
          <w:rFonts w:eastAsiaTheme="minorEastAsia"/>
          <w:color w:val="000000" w:themeColor="text1"/>
          <w:sz w:val="20"/>
          <w14:textFill>
            <w14:solidFill>
              <w14:schemeClr w14:val="tx1"/>
            </w14:solidFill>
          </w14:textFill>
        </w:rPr>
      </w:pPr>
    </w:p>
    <w:p>
      <w:pPr>
        <w:pStyle w:val="14"/>
        <w:ind w:left="0"/>
        <w:rPr>
          <w:rFonts w:eastAsiaTheme="minorEastAsia"/>
          <w:color w:val="000000" w:themeColor="text1"/>
          <w:sz w:val="20"/>
          <w14:textFill>
            <w14:solidFill>
              <w14:schemeClr w14:val="tx1"/>
            </w14:solidFill>
          </w14:textFill>
        </w:rPr>
      </w:pPr>
    </w:p>
    <w:p>
      <w:pPr>
        <w:pStyle w:val="14"/>
        <w:ind w:left="0"/>
        <w:rPr>
          <w:color w:val="000000" w:themeColor="text1"/>
          <w:sz w:val="20"/>
          <w14:textFill>
            <w14:solidFill>
              <w14:schemeClr w14:val="tx1"/>
            </w14:solidFill>
          </w14:textFill>
        </w:rPr>
      </w:pPr>
    </w:p>
    <w:p>
      <w:pPr>
        <w:pStyle w:val="14"/>
        <w:ind w:left="0"/>
        <w:rPr>
          <w:color w:val="000000" w:themeColor="text1"/>
          <w:sz w:val="20"/>
          <w14:textFill>
            <w14:solidFill>
              <w14:schemeClr w14:val="tx1"/>
            </w14:solidFill>
          </w14:textFill>
        </w:rPr>
      </w:pPr>
    </w:p>
    <w:p>
      <w:pPr>
        <w:pStyle w:val="14"/>
        <w:spacing w:before="7"/>
        <w:ind w:left="0"/>
        <w:rPr>
          <w:color w:val="000000" w:themeColor="text1"/>
          <w14:textFill>
            <w14:solidFill>
              <w14:schemeClr w14:val="tx1"/>
            </w14:solidFill>
          </w14:textFill>
        </w:rPr>
      </w:pPr>
    </w:p>
    <w:p>
      <w:pPr>
        <w:pStyle w:val="3"/>
        <w:spacing w:line="360" w:lineRule="auto"/>
        <w:ind w:left="3359" w:leftChars="763" w:hanging="1680" w:hangingChars="700"/>
        <w:rPr>
          <w:rFonts w:hint="eastAsia" w:eastAsia="宋体"/>
          <w:color w:val="000000" w:themeColor="text1"/>
          <w:sz w:val="24"/>
          <w:szCs w:val="24"/>
          <w:lang w:eastAsia="zh-CN"/>
          <w14:textFill>
            <w14:solidFill>
              <w14:schemeClr w14:val="tx1"/>
            </w14:solidFill>
          </w14:textFill>
        </w:rPr>
      </w:pPr>
      <w:bookmarkStart w:id="0" w:name="_Toc9332"/>
      <w:r>
        <w:rPr>
          <w:color w:val="000000" w:themeColor="text1"/>
          <w:sz w:val="24"/>
          <w:szCs w:val="24"/>
          <w14:textFill>
            <w14:solidFill>
              <w14:schemeClr w14:val="tx1"/>
            </w14:solidFill>
          </w14:textFill>
        </w:rPr>
        <w:t>项目名称：</w:t>
      </w:r>
      <w:r>
        <w:rPr>
          <w:rFonts w:hint="eastAsia" w:eastAsia="宋体"/>
          <w:color w:val="000000" w:themeColor="text1"/>
          <w:sz w:val="24"/>
          <w:szCs w:val="24"/>
          <w:lang w:eastAsia="zh-CN"/>
          <w14:textFill>
            <w14:solidFill>
              <w14:schemeClr w14:val="tx1"/>
            </w14:solidFill>
          </w14:textFill>
        </w:rPr>
        <w:t>疏勒县中等职业技术学校中餐烹饪专业耗材项目</w:t>
      </w:r>
      <w:bookmarkEnd w:id="0"/>
    </w:p>
    <w:p>
      <w:pPr>
        <w:widowControl/>
        <w:spacing w:line="360" w:lineRule="auto"/>
        <w:ind w:right="565" w:rightChars="257" w:firstLine="1680" w:firstLineChars="700"/>
        <w:rPr>
          <w:rFonts w:hint="eastAsia" w:eastAsia="宋体"/>
          <w:color w:val="000000" w:themeColor="text1"/>
          <w:sz w:val="24"/>
          <w:szCs w:val="24"/>
          <w:highlight w:val="yellow"/>
          <w:lang w:eastAsia="zh-CN"/>
          <w14:textFill>
            <w14:solidFill>
              <w14:schemeClr w14:val="tx1"/>
            </w14:solidFill>
          </w14:textFill>
        </w:rPr>
      </w:pPr>
      <w:r>
        <w:rPr>
          <w:rFonts w:hint="eastAsia"/>
          <w:color w:val="000000" w:themeColor="text1"/>
          <w:sz w:val="24"/>
          <w:szCs w:val="24"/>
          <w14:textFill>
            <w14:solidFill>
              <w14:schemeClr w14:val="tx1"/>
            </w14:solidFill>
          </w14:textFill>
        </w:rPr>
        <w:t>项目编号：</w:t>
      </w:r>
      <w:r>
        <w:rPr>
          <w:rFonts w:hint="eastAsia" w:eastAsia="宋体"/>
          <w:color w:val="000000" w:themeColor="text1"/>
          <w:sz w:val="24"/>
          <w:szCs w:val="24"/>
          <w:highlight w:val="none"/>
          <w:lang w:eastAsia="zh-CN"/>
          <w14:textFill>
            <w14:solidFill>
              <w14:schemeClr w14:val="tx1"/>
            </w14:solidFill>
          </w14:textFill>
        </w:rPr>
        <w:t>YXGJ（GK）2021-</w:t>
      </w:r>
      <w:r>
        <w:rPr>
          <w:rFonts w:hint="eastAsia" w:eastAsia="宋体"/>
          <w:color w:val="000000" w:themeColor="text1"/>
          <w:sz w:val="24"/>
          <w:szCs w:val="24"/>
          <w:highlight w:val="none"/>
          <w:lang w:val="en-US" w:eastAsia="zh-CN"/>
          <w14:textFill>
            <w14:solidFill>
              <w14:schemeClr w14:val="tx1"/>
            </w14:solidFill>
          </w14:textFill>
        </w:rPr>
        <w:t>20</w:t>
      </w:r>
      <w:r>
        <w:rPr>
          <w:rFonts w:hint="eastAsia" w:eastAsia="宋体"/>
          <w:color w:val="000000" w:themeColor="text1"/>
          <w:sz w:val="24"/>
          <w:szCs w:val="24"/>
          <w:highlight w:val="none"/>
          <w:lang w:eastAsia="zh-CN"/>
          <w14:textFill>
            <w14:solidFill>
              <w14:schemeClr w14:val="tx1"/>
            </w14:solidFill>
          </w14:textFill>
        </w:rPr>
        <w:t>号</w:t>
      </w:r>
    </w:p>
    <w:p>
      <w:pPr>
        <w:widowControl/>
        <w:spacing w:line="360" w:lineRule="auto"/>
        <w:ind w:right="565" w:rightChars="257" w:firstLine="1680" w:firstLineChars="700"/>
        <w:rPr>
          <w:rFonts w:hint="eastAsia" w:eastAsia="宋体"/>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采</w:t>
      </w:r>
      <w:r>
        <w:rPr>
          <w:rFonts w:hint="eastAsia"/>
          <w:color w:val="000000" w:themeColor="text1"/>
          <w:sz w:val="24"/>
          <w:szCs w:val="24"/>
          <w14:textFill>
            <w14:solidFill>
              <w14:schemeClr w14:val="tx1"/>
            </w14:solidFill>
          </w14:textFill>
        </w:rPr>
        <w:t xml:space="preserve">  购 </w:t>
      </w:r>
      <w:r>
        <w:rPr>
          <w:color w:val="000000" w:themeColor="text1"/>
          <w:sz w:val="24"/>
          <w:szCs w:val="24"/>
          <w14:textFill>
            <w14:solidFill>
              <w14:schemeClr w14:val="tx1"/>
            </w14:solidFill>
          </w14:textFill>
        </w:rPr>
        <w:t>人</w:t>
      </w:r>
      <w:r>
        <w:rPr>
          <w:rFonts w:hint="eastAsia"/>
          <w:color w:val="000000" w:themeColor="text1"/>
          <w:sz w:val="24"/>
          <w:szCs w:val="24"/>
          <w14:textFill>
            <w14:solidFill>
              <w14:schemeClr w14:val="tx1"/>
            </w14:solidFill>
          </w14:textFill>
        </w:rPr>
        <w:t>：</w:t>
      </w:r>
      <w:r>
        <w:rPr>
          <w:rFonts w:hint="eastAsia" w:eastAsia="宋体"/>
          <w:color w:val="000000" w:themeColor="text1"/>
          <w:sz w:val="24"/>
          <w:szCs w:val="24"/>
          <w:lang w:eastAsia="zh-CN"/>
          <w14:textFill>
            <w14:solidFill>
              <w14:schemeClr w14:val="tx1"/>
            </w14:solidFill>
          </w14:textFill>
        </w:rPr>
        <w:t>疏勒县中等职业技术学校</w:t>
      </w:r>
    </w:p>
    <w:p>
      <w:pPr>
        <w:widowControl/>
        <w:spacing w:line="360" w:lineRule="auto"/>
        <w:ind w:right="565" w:rightChars="257" w:firstLine="1680" w:firstLineChars="700"/>
        <w:rPr>
          <w:rFonts w:hint="eastAsia" w:eastAsia="宋体"/>
          <w:color w:val="000000" w:themeColor="text1"/>
          <w:spacing w:val="42"/>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代理</w:t>
      </w:r>
      <w:r>
        <w:rPr>
          <w:color w:val="000000" w:themeColor="text1"/>
          <w:sz w:val="24"/>
          <w:szCs w:val="24"/>
          <w14:textFill>
            <w14:solidFill>
              <w14:schemeClr w14:val="tx1"/>
            </w14:solidFill>
          </w14:textFill>
        </w:rPr>
        <w:t>机构</w:t>
      </w:r>
      <w:r>
        <w:rPr>
          <w:rFonts w:hint="eastAsia"/>
          <w:color w:val="000000" w:themeColor="text1"/>
          <w:sz w:val="24"/>
          <w:szCs w:val="24"/>
          <w14:textFill>
            <w14:solidFill>
              <w14:schemeClr w14:val="tx1"/>
            </w14:solidFill>
          </w14:textFill>
        </w:rPr>
        <w:t>：</w:t>
      </w:r>
      <w:r>
        <w:rPr>
          <w:rFonts w:hint="eastAsia" w:eastAsia="宋体"/>
          <w:color w:val="000000" w:themeColor="text1"/>
          <w:sz w:val="24"/>
          <w:szCs w:val="24"/>
          <w:lang w:eastAsia="zh-CN"/>
          <w14:textFill>
            <w14:solidFill>
              <w14:schemeClr w14:val="tx1"/>
            </w14:solidFill>
          </w14:textFill>
        </w:rPr>
        <w:t>新疆永信国金工程管理咨询有限公司</w:t>
      </w:r>
    </w:p>
    <w:p>
      <w:pPr>
        <w:spacing w:line="360" w:lineRule="auto"/>
        <w:rPr>
          <w:color w:val="000000" w:themeColor="text1"/>
          <w:sz w:val="24"/>
          <w:szCs w:val="24"/>
          <w14:textFill>
            <w14:solidFill>
              <w14:schemeClr w14:val="tx1"/>
            </w14:solidFill>
          </w14:textFill>
        </w:rPr>
        <w:sectPr>
          <w:headerReference r:id="rId3" w:type="default"/>
          <w:footerReference r:id="rId4" w:type="default"/>
          <w:type w:val="continuous"/>
          <w:pgSz w:w="11910" w:h="16850"/>
          <w:pgMar w:top="720" w:right="567" w:bottom="720" w:left="567" w:header="879" w:footer="1066" w:gutter="0"/>
          <w:pgNumType w:start="1"/>
          <w:cols w:space="720" w:num="1"/>
          <w:docGrid w:linePitch="299" w:charSpace="0"/>
        </w:sectPr>
      </w:pPr>
    </w:p>
    <w:p>
      <w:pPr>
        <w:pStyle w:val="3"/>
        <w:spacing w:line="551" w:lineRule="exact"/>
        <w:ind w:right="554"/>
        <w:jc w:val="center"/>
      </w:pPr>
      <w:bookmarkStart w:id="1" w:name="_Toc21369"/>
      <w:r>
        <w:rPr>
          <w:b/>
          <w:color w:val="000000" w:themeColor="text1"/>
          <w:sz w:val="36"/>
          <w:szCs w:val="36"/>
          <w14:textFill>
            <w14:solidFill>
              <w14:schemeClr w14:val="tx1"/>
            </w14:solidFill>
          </w14:textFill>
        </w:rPr>
        <w:t>目  录</w:t>
      </w:r>
      <w:bookmarkEnd w:id="1"/>
      <w:r>
        <w:rPr>
          <w:b/>
          <w:color w:val="000000" w:themeColor="text1"/>
          <w:sz w:val="36"/>
          <w:szCs w:val="36"/>
          <w14:textFill>
            <w14:solidFill>
              <w14:schemeClr w14:val="tx1"/>
            </w14:solidFill>
          </w14:textFill>
        </w:rPr>
        <w:t xml:space="preserve"> </w:t>
      </w:r>
      <w:r>
        <w:rPr>
          <w:color w:val="000000" w:themeColor="text1"/>
          <w:sz w:val="12"/>
          <w14:textFill>
            <w14:solidFill>
              <w14:schemeClr w14:val="tx1"/>
            </w14:solidFill>
          </w14:textFill>
        </w:rPr>
        <w:fldChar w:fldCharType="begin"/>
      </w:r>
      <w:r>
        <w:rPr>
          <w:color w:val="000000" w:themeColor="text1"/>
          <w:sz w:val="12"/>
          <w14:textFill>
            <w14:solidFill>
              <w14:schemeClr w14:val="tx1"/>
            </w14:solidFill>
          </w14:textFill>
        </w:rPr>
        <w:instrText xml:space="preserve">TOC \o "1-2" \h \u </w:instrText>
      </w:r>
      <w:r>
        <w:rPr>
          <w:color w:val="000000" w:themeColor="text1"/>
          <w:sz w:val="12"/>
          <w14:textFill>
            <w14:solidFill>
              <w14:schemeClr w14:val="tx1"/>
            </w14:solidFill>
          </w14:textFill>
        </w:rPr>
        <w:fldChar w:fldCharType="separate"/>
      </w:r>
    </w:p>
    <w:p>
      <w:pPr>
        <w:pStyle w:val="26"/>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_Toc9420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第</w:t>
      </w:r>
      <w:r>
        <w:rPr>
          <w:rFonts w:hint="eastAsia" w:asciiTheme="minorEastAsia" w:hAnsiTheme="minorEastAsia" w:eastAsiaTheme="minorEastAsia" w:cstheme="minorEastAsia"/>
          <w:b w:val="0"/>
          <w:bCs/>
          <w:sz w:val="24"/>
          <w:szCs w:val="24"/>
          <w:lang w:eastAsia="zh-CN"/>
        </w:rPr>
        <w:t>一</w:t>
      </w:r>
      <w:r>
        <w:rPr>
          <w:rFonts w:hint="eastAsia" w:asciiTheme="minorEastAsia" w:hAnsiTheme="minorEastAsia" w:eastAsiaTheme="minorEastAsia" w:cstheme="minorEastAsia"/>
          <w:b w:val="0"/>
          <w:bCs/>
          <w:sz w:val="24"/>
          <w:szCs w:val="24"/>
        </w:rPr>
        <w:t xml:space="preserve">章 </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投标邀请（招标公告）</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_Toc9420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3</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6"/>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_Toc22770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第二章 投标供应商须知前附表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_Toc22770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6"/>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_Toc2571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第三章 投标供应商须知</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_Toc2571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10</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pos="2000"/>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_Toc4153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一．总</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则</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_Toc4153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10</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_Toc9135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二．招标文件</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_Toc9135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14</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_Toc24567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三．投标文件的编制</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_Toc24567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16</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_Toc19734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四．投标文件的递交</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_Toc19734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19</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_Toc19975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五．开标与评标</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_Toc19975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21</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_Toc10168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六．定标与签订合同</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_Toc10168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25</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6"/>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_Toc9417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第四章 评标办法</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_Toc9417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30</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6"/>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_Toc28700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第五章采购合同</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_Toc28700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33</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6"/>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_Toc25539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一、合同一般条款</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_Toc25539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33</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6"/>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_Toc28767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二、合同特殊条款</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_Toc28767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39</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6"/>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_Toc6787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第六章 采购货物需求</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_Toc6787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41</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6"/>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_Toc22554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lang w:val="en-US" w:eastAsia="zh-CN"/>
        </w:rPr>
        <w:t>第七章 投标文件格式</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_Toc22554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47</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_Toc10114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附件一    投  标  函</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_Toc10114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48</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_Toc15992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附件二   关于资格的声明函</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_Toc15992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50</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_Toc23919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附件三   法人代表授权委托书</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_Toc23919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51</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_Toc16513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附件四   招标响应报价表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_Toc16513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53</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_Toc17117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附件五   招标响应明细报价表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_Toc17117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54</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_Toc5524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附件六   货物项目内容简要说明一览表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_Toc5524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55</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_Toc32175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附件七   免费提供货物/服务项目</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_Toc32175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56</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_Toc10060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附件八   技术参数偏离表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_Toc10060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57</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_Toc15517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附件九   商务条款偏离表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_Toc15517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58</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_Toc24160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   诚信承诺书</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_Toc24160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59</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_Toc19298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附件十一   本项目负责人简历表及拟投入本项目主要成员表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_Toc19298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60</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_Toc26412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附件十二</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近年成功案列</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_Toc26412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61</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_Toc7759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附件十三   投标单位（投标企业）《反商业贿赂承诺书》</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_Toc7759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62</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_Toc149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附件十四   售后服务承诺书</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_Toc149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63</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_Toc3362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附件十五   响应招标文件确认回执函</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_Toc3362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64</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_Toc11787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附件十六</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人员配备</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_Toc11787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65</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_Toc5523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w:t>
      </w:r>
      <w:r>
        <w:rPr>
          <w:rFonts w:hint="eastAsia" w:asciiTheme="minorEastAsia" w:hAnsiTheme="minorEastAsia" w:eastAsiaTheme="minorEastAsia" w:cstheme="minorEastAsia"/>
          <w:b w:val="0"/>
          <w:bCs/>
          <w:sz w:val="24"/>
          <w:szCs w:val="24"/>
          <w:lang w:eastAsia="zh-CN"/>
        </w:rPr>
        <w:t>七</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服务方案</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_Toc5523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65</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_Toc26208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w:t>
      </w:r>
      <w:r>
        <w:rPr>
          <w:rFonts w:hint="eastAsia" w:asciiTheme="minorEastAsia" w:hAnsiTheme="minorEastAsia" w:eastAsiaTheme="minorEastAsia" w:cstheme="minorEastAsia"/>
          <w:b w:val="0"/>
          <w:bCs/>
          <w:sz w:val="24"/>
          <w:szCs w:val="24"/>
          <w:lang w:eastAsia="zh-CN"/>
        </w:rPr>
        <w:t>八</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服务承诺</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_Toc26208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65</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_Toc27452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w:t>
      </w:r>
      <w:r>
        <w:rPr>
          <w:rFonts w:hint="eastAsia" w:asciiTheme="minorEastAsia" w:hAnsiTheme="minorEastAsia" w:eastAsiaTheme="minorEastAsia" w:cstheme="minorEastAsia"/>
          <w:b w:val="0"/>
          <w:bCs/>
          <w:sz w:val="24"/>
          <w:szCs w:val="24"/>
          <w:lang w:eastAsia="zh-CN"/>
        </w:rPr>
        <w:t>九</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中小企业声明函</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_Toc27452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66</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3"/>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_Toc3729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w:t>
      </w:r>
      <w:r>
        <w:rPr>
          <w:rFonts w:hint="eastAsia" w:asciiTheme="minorEastAsia" w:hAnsiTheme="minorEastAsia" w:eastAsiaTheme="minorEastAsia" w:cstheme="minorEastAsia"/>
          <w:b w:val="0"/>
          <w:bCs/>
          <w:sz w:val="24"/>
          <w:szCs w:val="24"/>
          <w:lang w:eastAsia="zh-CN"/>
        </w:rPr>
        <w:t>二</w:t>
      </w:r>
      <w:r>
        <w:rPr>
          <w:rFonts w:hint="eastAsia" w:asciiTheme="minorEastAsia" w:hAnsiTheme="minorEastAsia" w:eastAsiaTheme="minorEastAsia" w:cstheme="minorEastAsia"/>
          <w:b w:val="0"/>
          <w:bCs/>
          <w:sz w:val="24"/>
          <w:szCs w:val="24"/>
        </w:rPr>
        <w:t>十</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残疾人福利性单位声明函</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_Toc3729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67</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6"/>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_Toc1989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lang w:val="zh-CN" w:eastAsia="zh-CN" w:bidi="zh-CN"/>
        </w:rPr>
        <w:t>第八章</w:t>
      </w:r>
      <w:r>
        <w:rPr>
          <w:rFonts w:hint="eastAsia" w:asciiTheme="minorEastAsia" w:hAnsiTheme="minorEastAsia" w:eastAsiaTheme="minorEastAsia" w:cstheme="minorEastAsia"/>
          <w:b w:val="0"/>
          <w:bCs/>
          <w:sz w:val="24"/>
          <w:szCs w:val="24"/>
          <w:lang w:val="en-US" w:eastAsia="zh-CN" w:bidi="zh-CN"/>
        </w:rPr>
        <w:t xml:space="preserve">  </w:t>
      </w:r>
      <w:r>
        <w:rPr>
          <w:rFonts w:hint="eastAsia" w:asciiTheme="minorEastAsia" w:hAnsiTheme="minorEastAsia" w:eastAsiaTheme="minorEastAsia" w:cstheme="minorEastAsia"/>
          <w:b w:val="0"/>
          <w:bCs/>
          <w:sz w:val="24"/>
          <w:szCs w:val="24"/>
          <w:lang w:val="zh-CN" w:eastAsia="zh-CN" w:bidi="zh-CN"/>
        </w:rPr>
        <w:t>评分标准</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_Toc1989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68</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14"/>
        <w:spacing w:before="15"/>
        <w:ind w:left="0"/>
        <w:jc w:val="center"/>
        <w:rPr>
          <w:color w:val="000000" w:themeColor="text1"/>
          <w:sz w:val="12"/>
          <w14:textFill>
            <w14:solidFill>
              <w14:schemeClr w14:val="tx1"/>
            </w14:solidFill>
          </w14:textFill>
        </w:rPr>
      </w:pPr>
      <w:r>
        <w:rPr>
          <w:color w:val="000000" w:themeColor="text1"/>
          <w14:textFill>
            <w14:solidFill>
              <w14:schemeClr w14:val="tx1"/>
            </w14:solidFill>
          </w14:textFill>
        </w:rPr>
        <w:fldChar w:fldCharType="end"/>
      </w:r>
    </w:p>
    <w:p>
      <w:pPr>
        <w:pStyle w:val="3"/>
        <w:spacing w:line="511" w:lineRule="exact"/>
        <w:ind w:firstLine="2881" w:firstLineChars="900"/>
        <w:rPr>
          <w:rFonts w:hint="eastAsia" w:ascii="宋体" w:hAnsi="宋体" w:eastAsia="宋体" w:cs="宋体"/>
          <w:b/>
          <w:bCs/>
          <w:color w:val="000000"/>
          <w:kern w:val="36"/>
          <w:sz w:val="40"/>
          <w:szCs w:val="30"/>
          <w:lang w:eastAsia="zh-CN"/>
        </w:rPr>
      </w:pPr>
      <w:bookmarkStart w:id="2" w:name="第一章_投标邀请（招标公告）"/>
      <w:bookmarkEnd w:id="2"/>
      <w:bookmarkStart w:id="3" w:name="第二章_投标供应商须知前附表"/>
      <w:bookmarkEnd w:id="3"/>
      <w:bookmarkStart w:id="4" w:name="_bookmark1"/>
      <w:bookmarkEnd w:id="4"/>
      <w:bookmarkStart w:id="5" w:name="_bookmark0"/>
      <w:bookmarkEnd w:id="5"/>
      <w:bookmarkStart w:id="6" w:name="_Toc9420"/>
      <w:r>
        <w:rPr>
          <w:b/>
          <w:color w:val="000000" w:themeColor="text1"/>
          <w14:textFill>
            <w14:solidFill>
              <w14:schemeClr w14:val="tx1"/>
            </w14:solidFill>
          </w14:textFill>
        </w:rPr>
        <w:t>第</w:t>
      </w:r>
      <w:r>
        <w:rPr>
          <w:rFonts w:hint="eastAsia" w:eastAsia="宋体"/>
          <w:b/>
          <w:color w:val="000000" w:themeColor="text1"/>
          <w:lang w:eastAsia="zh-CN"/>
          <w14:textFill>
            <w14:solidFill>
              <w14:schemeClr w14:val="tx1"/>
            </w14:solidFill>
          </w14:textFill>
        </w:rPr>
        <w:t>一</w:t>
      </w:r>
      <w:r>
        <w:rPr>
          <w:b/>
          <w:color w:val="000000" w:themeColor="text1"/>
          <w14:textFill>
            <w14:solidFill>
              <w14:schemeClr w14:val="tx1"/>
            </w14:solidFill>
          </w14:textFill>
        </w:rPr>
        <w:t xml:space="preserve">章 </w:t>
      </w:r>
      <w:r>
        <w:rPr>
          <w:rFonts w:hint="eastAsia" w:eastAsia="宋体"/>
          <w:b/>
          <w:color w:val="000000" w:themeColor="text1"/>
          <w:lang w:val="en-US" w:eastAsia="zh-CN"/>
          <w14:textFill>
            <w14:solidFill>
              <w14:schemeClr w14:val="tx1"/>
            </w14:solidFill>
          </w14:textFill>
        </w:rPr>
        <w:t xml:space="preserve"> </w:t>
      </w:r>
      <w:r>
        <w:rPr>
          <w:rFonts w:hint="eastAsia"/>
          <w:b/>
          <w:color w:val="000000" w:themeColor="text1"/>
          <w14:textFill>
            <w14:solidFill>
              <w14:schemeClr w14:val="tx1"/>
            </w14:solidFill>
          </w14:textFill>
        </w:rPr>
        <w:t>投标邀请（招标公告）</w:t>
      </w:r>
      <w:bookmarkEnd w:id="6"/>
    </w:p>
    <w:p>
      <w:pPr>
        <w:spacing w:line="600" w:lineRule="exact"/>
        <w:ind w:left="755" w:hanging="755" w:hangingChars="188"/>
        <w:jc w:val="center"/>
        <w:rPr>
          <w:rFonts w:hint="eastAsia" w:ascii="宋体" w:hAnsi="宋体" w:eastAsia="宋体" w:cs="宋体"/>
          <w:b/>
          <w:bCs/>
          <w:color w:val="000000"/>
          <w:kern w:val="36"/>
          <w:sz w:val="40"/>
          <w:szCs w:val="30"/>
          <w:lang w:eastAsia="zh-CN"/>
        </w:rPr>
      </w:pPr>
      <w:r>
        <w:rPr>
          <w:rFonts w:hint="eastAsia" w:ascii="宋体" w:hAnsi="宋体" w:eastAsia="宋体" w:cs="宋体"/>
          <w:b/>
          <w:bCs/>
          <w:color w:val="000000"/>
          <w:kern w:val="36"/>
          <w:sz w:val="40"/>
          <w:szCs w:val="30"/>
          <w:lang w:eastAsia="zh-CN"/>
        </w:rPr>
        <w:t>疏勒县中等职业技术学校中餐烹饪专业耗材项目招标公告</w:t>
      </w:r>
    </w:p>
    <w:p>
      <w:pPr>
        <w:widowControl w:val="0"/>
        <w:autoSpaceDE w:val="0"/>
        <w:autoSpaceDN w:val="0"/>
        <w:adjustRightInd w:val="0"/>
        <w:ind w:firstLine="420"/>
        <w:rPr>
          <w:rFonts w:hint="eastAsia" w:ascii="Noto Sans Mono CJK JP Regular" w:hAnsi="Calibri" w:eastAsia="Noto Sans Mono CJK JP Regular" w:cs="Times New Roman"/>
          <w:sz w:val="28"/>
          <w:szCs w:val="28"/>
          <w:lang w:val="zh-CN" w:eastAsia="zh-CN" w:bidi="zh-CN"/>
        </w:rPr>
      </w:pPr>
    </w:p>
    <w:p>
      <w:pPr>
        <w:ind w:firstLine="470" w:firstLineChars="196"/>
        <w:rPr>
          <w:rFonts w:ascii="宋体" w:hAnsi="宋体" w:eastAsia="宋体" w:cs="宋体"/>
          <w:sz w:val="24"/>
          <w:szCs w:val="24"/>
        </w:rPr>
      </w:pPr>
      <w:r>
        <w:rPr>
          <w:rFonts w:hint="eastAsia" w:ascii="宋体" w:hAnsi="宋体" w:eastAsia="宋体" w:cs="宋体"/>
          <w:sz w:val="24"/>
          <w:szCs w:val="24"/>
          <w:lang w:eastAsia="zh-CN"/>
        </w:rPr>
        <w:t>新疆永信国金工程管理咨询有限公司</w:t>
      </w:r>
      <w:r>
        <w:rPr>
          <w:rFonts w:hint="eastAsia" w:ascii="宋体" w:hAnsi="宋体" w:eastAsia="宋体" w:cs="宋体"/>
          <w:sz w:val="24"/>
          <w:szCs w:val="24"/>
        </w:rPr>
        <w:t>应</w:t>
      </w:r>
      <w:r>
        <w:rPr>
          <w:rFonts w:hint="eastAsia" w:ascii="宋体" w:hAnsi="宋体" w:eastAsia="宋体" w:cs="宋体"/>
          <w:sz w:val="24"/>
          <w:szCs w:val="24"/>
          <w:lang w:eastAsia="zh-CN"/>
        </w:rPr>
        <w:t>疏勒县中等职业技术学校</w:t>
      </w:r>
      <w:r>
        <w:rPr>
          <w:rFonts w:hint="eastAsia" w:ascii="宋体" w:hAnsi="宋体" w:eastAsia="宋体" w:cs="宋体"/>
          <w:sz w:val="24"/>
          <w:szCs w:val="24"/>
        </w:rPr>
        <w:t>委托，对</w:t>
      </w:r>
      <w:r>
        <w:rPr>
          <w:rFonts w:hint="eastAsia" w:ascii="宋体" w:hAnsi="宋体" w:eastAsia="宋体" w:cs="宋体"/>
          <w:sz w:val="24"/>
          <w:szCs w:val="24"/>
          <w:lang w:eastAsia="zh-CN"/>
        </w:rPr>
        <w:t>疏勒县中等职业技术学校中餐烹饪专业耗材项目</w:t>
      </w:r>
      <w:r>
        <w:rPr>
          <w:rFonts w:hint="eastAsia" w:ascii="宋体" w:hAnsi="宋体" w:eastAsia="宋体" w:cs="宋体"/>
          <w:sz w:val="24"/>
          <w:szCs w:val="24"/>
        </w:rPr>
        <w:t>进行国内公开招标采购，现邀请合格的投标人参加本项目投标。</w:t>
      </w:r>
    </w:p>
    <w:p>
      <w:pPr>
        <w:ind w:firstLine="470" w:firstLineChars="196"/>
        <w:rPr>
          <w:rFonts w:ascii="宋体" w:hAnsi="宋体" w:eastAsia="宋体" w:cs="宋体"/>
          <w:sz w:val="24"/>
          <w:szCs w:val="24"/>
        </w:rPr>
      </w:pPr>
      <w:r>
        <w:rPr>
          <w:rFonts w:hint="eastAsia" w:ascii="宋体" w:hAnsi="宋体" w:eastAsia="宋体" w:cs="宋体"/>
          <w:sz w:val="24"/>
          <w:szCs w:val="24"/>
        </w:rPr>
        <w:t>一、项目基本情况</w:t>
      </w:r>
    </w:p>
    <w:p>
      <w:pPr>
        <w:ind w:left="1981" w:leftChars="246" w:hanging="1440" w:hangingChars="600"/>
        <w:rPr>
          <w:rFonts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sz w:val="24"/>
          <w:szCs w:val="24"/>
          <w:lang w:eastAsia="zh-CN"/>
        </w:rPr>
        <w:t>疏勒县中等职业技术学校中餐烹饪专业耗材项目</w:t>
      </w:r>
    </w:p>
    <w:p>
      <w:pPr>
        <w:ind w:firstLine="480" w:firstLineChars="200"/>
        <w:rPr>
          <w:rFonts w:ascii="宋体" w:hAnsi="宋体" w:eastAsia="宋体" w:cs="宋体"/>
          <w:sz w:val="24"/>
          <w:szCs w:val="24"/>
        </w:rPr>
      </w:pPr>
      <w:r>
        <w:rPr>
          <w:rFonts w:hint="eastAsia" w:ascii="宋体" w:hAnsi="宋体" w:eastAsia="宋体" w:cs="宋体"/>
          <w:sz w:val="24"/>
          <w:szCs w:val="24"/>
        </w:rPr>
        <w:t>2、项目编号：</w:t>
      </w:r>
      <w:r>
        <w:rPr>
          <w:rFonts w:hint="eastAsia" w:ascii="宋体" w:hAnsi="宋体" w:eastAsia="宋体" w:cs="宋体"/>
          <w:sz w:val="24"/>
          <w:szCs w:val="24"/>
          <w:lang w:val="en-US" w:eastAsia="zh-CN"/>
        </w:rPr>
        <w:t>YXGJ（GK）2021-20号</w:t>
      </w:r>
    </w:p>
    <w:p>
      <w:pPr>
        <w:ind w:firstLine="470" w:firstLineChars="196"/>
        <w:rPr>
          <w:rFonts w:ascii="宋体" w:hAnsi="宋体" w:eastAsia="宋体" w:cs="宋体"/>
          <w:sz w:val="24"/>
          <w:szCs w:val="24"/>
        </w:rPr>
      </w:pPr>
      <w:r>
        <w:rPr>
          <w:rFonts w:hint="eastAsia" w:ascii="宋体" w:hAnsi="宋体" w:eastAsia="宋体" w:cs="宋体"/>
          <w:sz w:val="24"/>
          <w:szCs w:val="24"/>
        </w:rPr>
        <w:t>3、采购单位：</w:t>
      </w:r>
      <w:r>
        <w:rPr>
          <w:rFonts w:hint="eastAsia" w:ascii="宋体" w:hAnsi="宋体" w:eastAsia="宋体" w:cs="宋体"/>
          <w:sz w:val="24"/>
          <w:szCs w:val="24"/>
          <w:lang w:eastAsia="zh-CN"/>
        </w:rPr>
        <w:t>疏勒县中等职业技术学校</w:t>
      </w:r>
    </w:p>
    <w:p>
      <w:pPr>
        <w:ind w:firstLine="470" w:firstLineChars="196"/>
        <w:rPr>
          <w:rFonts w:ascii="宋体" w:hAnsi="宋体" w:eastAsia="宋体" w:cs="宋体"/>
          <w:sz w:val="24"/>
          <w:szCs w:val="24"/>
        </w:rPr>
      </w:pPr>
      <w:r>
        <w:rPr>
          <w:rFonts w:hint="eastAsia" w:ascii="宋体" w:hAnsi="宋体" w:eastAsia="宋体" w:cs="宋体"/>
          <w:sz w:val="24"/>
          <w:szCs w:val="24"/>
        </w:rPr>
        <w:t>4、代理机构：</w:t>
      </w:r>
      <w:r>
        <w:rPr>
          <w:rFonts w:hint="eastAsia" w:ascii="宋体" w:hAnsi="宋体" w:eastAsia="宋体" w:cs="宋体"/>
          <w:sz w:val="24"/>
          <w:szCs w:val="24"/>
          <w:lang w:eastAsia="zh-CN"/>
        </w:rPr>
        <w:t>新疆永信国金工程管理咨询有限公司</w:t>
      </w:r>
    </w:p>
    <w:p>
      <w:pPr>
        <w:ind w:firstLine="480" w:firstLineChars="200"/>
        <w:rPr>
          <w:rFonts w:ascii="宋体" w:hAnsi="宋体" w:eastAsia="宋体" w:cs="宋体"/>
          <w:sz w:val="24"/>
          <w:szCs w:val="24"/>
          <w:highlight w:val="none"/>
        </w:rPr>
      </w:pPr>
      <w:r>
        <w:rPr>
          <w:rFonts w:hint="eastAsia" w:ascii="宋体" w:hAnsi="宋体" w:eastAsia="宋体" w:cs="宋体"/>
          <w:sz w:val="24"/>
          <w:szCs w:val="24"/>
        </w:rPr>
        <w:t>5、采购内容：中餐烹饪专业耗材</w:t>
      </w:r>
    </w:p>
    <w:p>
      <w:pPr>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供货</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疏勒县中等职业技术学校</w:t>
      </w:r>
      <w:r>
        <w:rPr>
          <w:rFonts w:hint="eastAsia" w:ascii="宋体" w:hAnsi="宋体" w:eastAsia="宋体" w:cs="宋体"/>
          <w:sz w:val="24"/>
          <w:szCs w:val="24"/>
          <w:highlight w:val="none"/>
        </w:rPr>
        <w:t>指定地点</w:t>
      </w:r>
    </w:p>
    <w:p>
      <w:pPr>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7、预算金额：</w:t>
      </w:r>
      <w:r>
        <w:rPr>
          <w:rFonts w:hint="eastAsia" w:ascii="宋体" w:hAnsi="宋体" w:eastAsia="宋体" w:cs="宋体"/>
          <w:sz w:val="24"/>
          <w:szCs w:val="24"/>
          <w:highlight w:val="none"/>
          <w:lang w:val="en-US" w:eastAsia="zh-CN"/>
        </w:rPr>
        <w:t>70.681万</w:t>
      </w:r>
    </w:p>
    <w:p>
      <w:pPr>
        <w:ind w:firstLine="470" w:firstLineChars="196"/>
        <w:rPr>
          <w:rFonts w:hint="eastAsia" w:ascii="宋体" w:hAnsi="宋体" w:eastAsia="宋体" w:cs="宋体"/>
          <w:sz w:val="24"/>
          <w:szCs w:val="24"/>
          <w:lang w:eastAsia="zh-CN"/>
        </w:rPr>
      </w:pPr>
      <w:r>
        <w:rPr>
          <w:rFonts w:hint="eastAsia" w:ascii="宋体" w:hAnsi="宋体" w:eastAsia="宋体" w:cs="宋体"/>
          <w:sz w:val="24"/>
          <w:szCs w:val="24"/>
        </w:rPr>
        <w:t>8、资金来源：中餐烹饪专业专项资金</w:t>
      </w:r>
    </w:p>
    <w:p>
      <w:pPr>
        <w:ind w:firstLine="470" w:firstLineChars="196"/>
        <w:rPr>
          <w:rFonts w:ascii="宋体" w:hAnsi="宋体" w:eastAsia="宋体" w:cs="宋体"/>
          <w:sz w:val="24"/>
          <w:szCs w:val="24"/>
        </w:rPr>
      </w:pPr>
      <w:r>
        <w:rPr>
          <w:rFonts w:hint="eastAsia" w:ascii="宋体" w:hAnsi="宋体" w:eastAsia="宋体" w:cs="宋体"/>
          <w:sz w:val="24"/>
          <w:szCs w:val="24"/>
        </w:rPr>
        <w:t>二、投标人资格要求</w:t>
      </w:r>
    </w:p>
    <w:p>
      <w:pPr>
        <w:ind w:firstLine="470" w:firstLineChars="196"/>
        <w:rPr>
          <w:rFonts w:ascii="宋体" w:hAnsi="宋体" w:eastAsia="宋体" w:cs="宋体"/>
          <w:b/>
          <w:sz w:val="24"/>
          <w:szCs w:val="24"/>
        </w:rPr>
      </w:pPr>
      <w:r>
        <w:rPr>
          <w:rFonts w:ascii="宋体" w:hAnsi="宋体" w:eastAsia="宋体" w:cs="宋体"/>
          <w:sz w:val="24"/>
          <w:szCs w:val="24"/>
        </w:rPr>
        <w:t>1</w:t>
      </w:r>
      <w:r>
        <w:rPr>
          <w:rFonts w:hint="eastAsia" w:ascii="宋体" w:hAnsi="宋体" w:eastAsia="宋体" w:cs="宋体"/>
          <w:sz w:val="24"/>
          <w:szCs w:val="24"/>
        </w:rPr>
        <w:t>、</w:t>
      </w:r>
      <w:r>
        <w:rPr>
          <w:rFonts w:hint="eastAsia"/>
          <w:sz w:val="24"/>
          <w:szCs w:val="24"/>
          <w:lang w:val="en-US"/>
        </w:rPr>
        <w:t>符合《中华人民共和国政府采购法》第二十二条的规定</w:t>
      </w:r>
      <w:r>
        <w:rPr>
          <w:sz w:val="24"/>
          <w:szCs w:val="24"/>
          <w:lang w:val="en-US"/>
        </w:rPr>
        <w:t>,</w:t>
      </w:r>
      <w:r>
        <w:rPr>
          <w:rFonts w:hint="eastAsia"/>
          <w:sz w:val="24"/>
          <w:szCs w:val="24"/>
          <w:lang w:val="en-US"/>
        </w:rPr>
        <w:t>且必须为未被列入</w:t>
      </w:r>
      <w:r>
        <w:rPr>
          <w:sz w:val="24"/>
          <w:szCs w:val="24"/>
          <w:lang w:val="en-US"/>
        </w:rPr>
        <w:t>“</w:t>
      </w:r>
      <w:r>
        <w:rPr>
          <w:rFonts w:hint="eastAsia"/>
          <w:sz w:val="24"/>
          <w:szCs w:val="24"/>
          <w:lang w:val="en-US"/>
        </w:rPr>
        <w:t>信用中国</w:t>
      </w:r>
      <w:r>
        <w:rPr>
          <w:sz w:val="24"/>
          <w:szCs w:val="24"/>
          <w:lang w:val="en-US"/>
        </w:rPr>
        <w:t>”</w:t>
      </w:r>
      <w:r>
        <w:rPr>
          <w:rFonts w:hint="eastAsia"/>
          <w:sz w:val="24"/>
          <w:szCs w:val="24"/>
          <w:lang w:val="en-US"/>
        </w:rPr>
        <w:t>网站</w:t>
      </w:r>
      <w:r>
        <w:rPr>
          <w:sz w:val="24"/>
          <w:szCs w:val="24"/>
          <w:lang w:val="en-US"/>
        </w:rPr>
        <w:t>(www.creditchina.gov.cn)</w:t>
      </w:r>
      <w:r>
        <w:rPr>
          <w:rFonts w:hint="eastAsia"/>
          <w:sz w:val="24"/>
          <w:szCs w:val="24"/>
          <w:lang w:val="en-US"/>
        </w:rPr>
        <w:t>、中国政府采购网</w:t>
      </w:r>
      <w:r>
        <w:rPr>
          <w:sz w:val="24"/>
          <w:szCs w:val="24"/>
          <w:lang w:val="en-US"/>
        </w:rPr>
        <w:t>(www.ccgp.gov.cn)</w:t>
      </w:r>
      <w:r>
        <w:rPr>
          <w:rFonts w:hint="eastAsia"/>
          <w:sz w:val="24"/>
          <w:szCs w:val="24"/>
          <w:lang w:val="en-US"/>
        </w:rPr>
        <w:t>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r>
        <w:rPr>
          <w:rFonts w:hint="eastAsia" w:ascii="宋体" w:hAnsi="宋体" w:eastAsia="宋体" w:cs="宋体"/>
          <w:sz w:val="24"/>
          <w:szCs w:val="24"/>
        </w:rPr>
        <w:t>；</w:t>
      </w:r>
    </w:p>
    <w:p>
      <w:pPr>
        <w:ind w:firstLine="470" w:firstLineChars="196"/>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w:t>
      </w:r>
      <w:r>
        <w:rPr>
          <w:rFonts w:hint="eastAsia" w:ascii="宋体" w:hAnsi="宋体" w:eastAsia="宋体" w:cs="宋体"/>
          <w:sz w:val="24"/>
          <w:szCs w:val="24"/>
          <w:lang w:val="en-US"/>
        </w:rPr>
        <w:t>具有所投项目相关经营范围的三证合一企业法人营业执照正本或副本原件（要求营业执照里面的经营范围必须包含本项目的经营许可）</w:t>
      </w:r>
      <w:r>
        <w:rPr>
          <w:rFonts w:hint="eastAsia" w:ascii="宋体" w:hAnsi="宋体" w:eastAsia="宋体" w:cs="宋体"/>
          <w:sz w:val="24"/>
          <w:szCs w:val="24"/>
        </w:rPr>
        <w:t>；</w:t>
      </w:r>
    </w:p>
    <w:p>
      <w:pPr>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3、投标法人授权委托书及被授权委托人身份证原件</w:t>
      </w:r>
      <w:r>
        <w:rPr>
          <w:rFonts w:ascii="宋体" w:hAnsi="宋体" w:eastAsia="宋体" w:cs="宋体"/>
          <w:sz w:val="24"/>
          <w:szCs w:val="24"/>
          <w:highlight w:val="none"/>
        </w:rPr>
        <w:t>,</w:t>
      </w:r>
      <w:r>
        <w:rPr>
          <w:rFonts w:hint="eastAsia" w:ascii="宋体" w:hAnsi="宋体" w:eastAsia="宋体" w:cs="宋体"/>
          <w:sz w:val="24"/>
          <w:szCs w:val="24"/>
          <w:highlight w:val="none"/>
        </w:rPr>
        <w:t>被授权委托人</w:t>
      </w:r>
      <w:r>
        <w:rPr>
          <w:rFonts w:hint="eastAsia" w:ascii="宋体" w:hAnsi="宋体" w:eastAsia="宋体" w:cs="宋体"/>
          <w:color w:val="000000"/>
          <w:kern w:val="0"/>
          <w:sz w:val="24"/>
          <w:szCs w:val="24"/>
          <w:highlight w:val="none"/>
          <w:lang w:val="en-US" w:eastAsia="zh-CN" w:bidi="ar"/>
        </w:rPr>
        <w:t>必须是投标单位正式员工</w:t>
      </w:r>
      <w:r>
        <w:rPr>
          <w:rFonts w:hint="eastAsia" w:ascii="宋体" w:hAnsi="宋体" w:eastAsia="宋体" w:cs="宋体"/>
          <w:sz w:val="24"/>
          <w:szCs w:val="24"/>
          <w:highlight w:val="none"/>
        </w:rPr>
        <w:t>在本单位缴纳的</w:t>
      </w:r>
      <w:r>
        <w:rPr>
          <w:rFonts w:hint="eastAsia" w:ascii="宋体" w:hAnsi="宋体" w:eastAsia="宋体" w:cs="宋体"/>
          <w:sz w:val="24"/>
          <w:szCs w:val="24"/>
          <w:highlight w:val="none"/>
          <w:lang w:eastAsia="zh-CN"/>
        </w:rPr>
        <w:t>近三个月（</w:t>
      </w:r>
      <w:r>
        <w:rPr>
          <w:rFonts w:hint="eastAsia" w:ascii="宋体" w:hAnsi="宋体" w:eastAsia="宋体" w:cs="宋体"/>
          <w:sz w:val="24"/>
          <w:szCs w:val="24"/>
          <w:highlight w:val="none"/>
          <w:lang w:val="en-US" w:eastAsia="zh-CN"/>
        </w:rPr>
        <w:t>2021年5月-7月</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社保证明原件（单位社保缴费凭证和个人明细表）；法定代表人需提供本单位社保缴费凭证原件；</w:t>
      </w:r>
    </w:p>
    <w:p>
      <w:pPr>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rPr>
        <w:t>提供税务部门出具的近</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val="en-US"/>
        </w:rPr>
        <w:t>个月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2021年5月-7月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rPr>
        <w:t>的完税证明</w:t>
      </w:r>
      <w:r>
        <w:rPr>
          <w:rFonts w:hint="eastAsia" w:ascii="宋体" w:hAnsi="宋体" w:eastAsia="宋体" w:cs="宋体"/>
          <w:sz w:val="24"/>
          <w:szCs w:val="24"/>
          <w:highlight w:val="none"/>
          <w:lang w:val="en-US" w:eastAsia="zh-CN"/>
        </w:rPr>
        <w:t>原件</w:t>
      </w:r>
      <w:r>
        <w:rPr>
          <w:rFonts w:hint="eastAsia" w:ascii="宋体" w:hAnsi="宋体" w:eastAsia="宋体" w:cs="宋体"/>
          <w:sz w:val="24"/>
          <w:szCs w:val="24"/>
          <w:highlight w:val="none"/>
        </w:rPr>
        <w:t>；</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highlight w:val="none"/>
        </w:rPr>
        <w:t>5、</w:t>
      </w:r>
      <w:r>
        <w:rPr>
          <w:rFonts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val="en-US" w:eastAsia="zh-CN"/>
        </w:rPr>
        <w:t>2020</w:t>
      </w:r>
      <w:r>
        <w:rPr>
          <w:rFonts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财务审计报告</w:t>
      </w:r>
      <w:r>
        <w:rPr>
          <w:rFonts w:ascii="宋体" w:hAnsi="宋体" w:eastAsia="宋体" w:cs="宋体"/>
          <w:color w:val="000000"/>
          <w:sz w:val="24"/>
          <w:szCs w:val="24"/>
          <w:highlight w:val="none"/>
        </w:rPr>
        <w:t>（新成立公司需提供银行资信证明）</w:t>
      </w:r>
      <w:r>
        <w:rPr>
          <w:rFonts w:ascii="宋体" w:hAnsi="宋体" w:eastAsia="宋体" w:cs="宋体"/>
          <w:color w:val="000000"/>
          <w:sz w:val="24"/>
          <w:szCs w:val="24"/>
        </w:rPr>
        <w:t>；</w:t>
      </w:r>
    </w:p>
    <w:p>
      <w:pPr>
        <w:ind w:firstLine="470" w:firstLineChars="196"/>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rPr>
        <w:t>提供针对本次项目</w:t>
      </w:r>
      <w:r>
        <w:rPr>
          <w:rFonts w:hint="eastAsia" w:ascii="宋体" w:hAnsi="宋体" w:eastAsia="宋体" w:cs="宋体"/>
          <w:sz w:val="24"/>
          <w:szCs w:val="24"/>
          <w:lang w:val="en-US" w:eastAsia="zh-CN"/>
        </w:rPr>
        <w:t>的</w:t>
      </w:r>
      <w:r>
        <w:rPr>
          <w:rFonts w:hint="eastAsia" w:ascii="宋体" w:hAnsi="宋体" w:eastAsia="宋体" w:cs="宋体"/>
          <w:sz w:val="24"/>
          <w:szCs w:val="24"/>
          <w:lang w:val="en-US"/>
        </w:rPr>
        <w:t>反商业贿赂承诺书</w:t>
      </w:r>
      <w:r>
        <w:rPr>
          <w:rFonts w:hint="eastAsia" w:ascii="宋体" w:hAnsi="宋体" w:eastAsia="宋体" w:cs="宋体"/>
          <w:sz w:val="24"/>
          <w:szCs w:val="24"/>
        </w:rPr>
        <w:t>；</w:t>
      </w:r>
    </w:p>
    <w:p>
      <w:pPr>
        <w:ind w:firstLine="470" w:firstLineChars="196"/>
        <w:rPr>
          <w:rFonts w:hint="eastAsia" w:ascii="宋体" w:hAnsi="宋体" w:eastAsia="宋体" w:cs="宋体"/>
          <w:sz w:val="24"/>
          <w:szCs w:val="24"/>
        </w:rPr>
      </w:pPr>
      <w:r>
        <w:rPr>
          <w:rFonts w:hint="eastAsia" w:ascii="宋体" w:hAnsi="宋体" w:eastAsia="宋体" w:cs="宋体"/>
          <w:sz w:val="24"/>
          <w:szCs w:val="24"/>
        </w:rPr>
        <w:t>7、本项目不接受联合体投标；</w:t>
      </w:r>
    </w:p>
    <w:p>
      <w:pPr>
        <w:ind w:firstLine="470" w:firstLineChars="1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8、报名获取招标文件时须上传以上资料复印件（加盖公章）以便资质审查。</w:t>
      </w:r>
    </w:p>
    <w:p>
      <w:pPr>
        <w:ind w:firstLine="470" w:firstLineChars="196"/>
        <w:rPr>
          <w:rFonts w:ascii="宋体" w:hAnsi="宋体" w:eastAsia="宋体" w:cs="宋体"/>
          <w:sz w:val="24"/>
          <w:szCs w:val="24"/>
        </w:rPr>
      </w:pPr>
      <w:r>
        <w:rPr>
          <w:rFonts w:hint="eastAsia" w:ascii="宋体" w:hAnsi="宋体" w:eastAsia="宋体" w:cs="宋体"/>
          <w:sz w:val="24"/>
          <w:szCs w:val="24"/>
        </w:rPr>
        <w:t>三、本项目需落实的政策</w:t>
      </w:r>
    </w:p>
    <w:p>
      <w:pPr>
        <w:rPr>
          <w:rFonts w:ascii="宋体" w:hAnsi="宋体" w:eastAsia="宋体" w:cs="宋体"/>
          <w:sz w:val="24"/>
          <w:szCs w:val="24"/>
        </w:rPr>
      </w:pPr>
      <w:r>
        <w:rPr>
          <w:rFonts w:hint="eastAsia" w:ascii="宋体" w:hAnsi="宋体" w:eastAsia="宋体"/>
          <w:sz w:val="24"/>
          <w:szCs w:val="24"/>
        </w:rPr>
        <w:t>（1）、《关于中国环境标志产品政府采购实施的意见》（财库[2006]90号）； （2）、《关于开展政府采购信用担保试点工作的通知》（财库【2011】124号）；（3）、《关于印发《政府采购促进中小企业发展暂行办法》的通知》（财库【2011】181号）；（4）、《财政部、司法部关于政府采购支持监狱企业发展有关问题的通知》（财库【2014】68号）；（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 </w:t>
      </w:r>
    </w:p>
    <w:p>
      <w:pPr>
        <w:ind w:firstLine="470" w:firstLineChars="196"/>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四、投标获取时间及地点</w:t>
      </w:r>
    </w:p>
    <w:p>
      <w:pPr>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1、获取及发售招标文件时间：</w:t>
      </w: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日起至202</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日</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上午:10:</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0-13:</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0  下午：16：</w:t>
      </w:r>
      <w:r>
        <w:rPr>
          <w:rFonts w:hint="eastAsia" w:ascii="宋体" w:hAnsi="宋体" w:eastAsia="宋体" w:cs="宋体"/>
          <w:color w:val="000000"/>
          <w:sz w:val="24"/>
          <w:szCs w:val="24"/>
          <w:lang w:val="en-US" w:eastAsia="zh-CN"/>
        </w:rPr>
        <w:t>00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0前（北京时间，节假日除外)；</w:t>
      </w:r>
    </w:p>
    <w:p>
      <w:pPr>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2、获取招标文件地点：新疆政府采购网自行下载</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3、招标文件售价：￥0元</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4、投标截止时间及开标时间：</w:t>
      </w:r>
      <w:r>
        <w:rPr>
          <w:rFonts w:hint="eastAsia" w:ascii="宋体" w:hAnsi="宋体" w:eastAsia="宋体" w:cs="宋体"/>
          <w:color w:val="000000"/>
          <w:sz w:val="24"/>
          <w:szCs w:val="24"/>
          <w:highlight w:val="none"/>
          <w:lang w:eastAsia="zh-CN"/>
        </w:rPr>
        <w:t>2021年</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lang w:val="en-US" w:eastAsia="zh-CN"/>
        </w:rPr>
        <w:t>23</w:t>
      </w:r>
      <w:r>
        <w:rPr>
          <w:rFonts w:hint="eastAsia" w:ascii="宋体" w:hAnsi="宋体" w:eastAsia="宋体" w:cs="宋体"/>
          <w:color w:val="000000"/>
          <w:sz w:val="24"/>
          <w:szCs w:val="24"/>
          <w:highlight w:val="none"/>
          <w:lang w:eastAsia="zh-CN"/>
        </w:rPr>
        <w:t>日</w:t>
      </w:r>
      <w:r>
        <w:rPr>
          <w:rFonts w:hint="eastAsia" w:ascii="宋体" w:hAnsi="宋体" w:eastAsia="宋体" w:cs="宋体"/>
          <w:color w:val="000000"/>
          <w:sz w:val="24"/>
          <w:szCs w:val="24"/>
          <w:highlight w:val="none"/>
        </w:rPr>
        <w:t>上</w:t>
      </w:r>
      <w:r>
        <w:rPr>
          <w:rFonts w:hint="eastAsia" w:ascii="宋体" w:hAnsi="宋体" w:eastAsia="宋体" w:cs="宋体"/>
          <w:color w:val="000000"/>
          <w:sz w:val="24"/>
          <w:szCs w:val="24"/>
        </w:rPr>
        <w:t>午11:00(北京时间)；</w:t>
      </w:r>
    </w:p>
    <w:p>
      <w:pPr>
        <w:ind w:firstLine="470" w:firstLineChars="196"/>
        <w:rPr>
          <w:rFonts w:ascii="宋体" w:hAnsi="宋体" w:eastAsia="宋体" w:cs="宋体"/>
          <w:color w:val="000000"/>
          <w:sz w:val="24"/>
          <w:szCs w:val="24"/>
        </w:rPr>
      </w:pPr>
      <w:r>
        <w:rPr>
          <w:rFonts w:hint="eastAsia" w:ascii="宋体" w:hAnsi="宋体" w:eastAsia="宋体" w:cs="宋体"/>
          <w:bCs/>
          <w:color w:val="000000"/>
          <w:sz w:val="24"/>
          <w:szCs w:val="24"/>
        </w:rPr>
        <w:t>5、开标地点：详见招标文件</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五、联系方式</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采购单位：</w:t>
      </w:r>
      <w:r>
        <w:rPr>
          <w:rFonts w:hint="eastAsia" w:ascii="宋体" w:hAnsi="宋体" w:eastAsia="宋体" w:cs="宋体"/>
          <w:sz w:val="24"/>
          <w:szCs w:val="24"/>
          <w:lang w:eastAsia="zh-CN"/>
        </w:rPr>
        <w:t>疏勒县中等职业技术学校</w:t>
      </w:r>
    </w:p>
    <w:p>
      <w:pPr>
        <w:ind w:firstLine="830" w:firstLineChars="346"/>
        <w:rPr>
          <w:rFonts w:hint="default" w:ascii="宋体" w:hAnsi="宋体" w:eastAsia="宋体" w:cs="宋体"/>
          <w:color w:val="000000"/>
          <w:sz w:val="24"/>
          <w:szCs w:val="24"/>
          <w:highlight w:val="yellow"/>
          <w:lang w:val="en-US"/>
        </w:rPr>
      </w:pPr>
      <w:r>
        <w:rPr>
          <w:rFonts w:hint="eastAsia" w:ascii="宋体" w:hAnsi="宋体" w:eastAsia="宋体" w:cs="宋体"/>
          <w:color w:val="000000"/>
          <w:sz w:val="24"/>
          <w:szCs w:val="24"/>
        </w:rPr>
        <w:t>联 系 人：</w:t>
      </w:r>
      <w:r>
        <w:rPr>
          <w:rFonts w:hint="eastAsia" w:ascii="宋体" w:hAnsi="宋体" w:eastAsia="宋体" w:cs="宋体"/>
          <w:color w:val="000000"/>
          <w:sz w:val="24"/>
          <w:szCs w:val="24"/>
          <w:highlight w:val="none"/>
          <w:lang w:eastAsia="zh-CN"/>
        </w:rPr>
        <w:t>萨伍提•塔伊尔</w:t>
      </w:r>
      <w:r>
        <w:rPr>
          <w:rFonts w:hint="eastAsia" w:ascii="宋体" w:hAnsi="宋体" w:eastAsia="宋体" w:cs="宋体"/>
          <w:color w:val="000000"/>
          <w:sz w:val="24"/>
          <w:szCs w:val="24"/>
          <w:highlight w:val="none"/>
        </w:rPr>
        <w:t xml:space="preserve">        联系电话：</w:t>
      </w:r>
      <w:r>
        <w:rPr>
          <w:rFonts w:hint="eastAsia" w:ascii="宋体" w:hAnsi="宋体" w:eastAsia="宋体" w:cs="宋体"/>
          <w:color w:val="000000"/>
          <w:sz w:val="24"/>
          <w:szCs w:val="24"/>
          <w:highlight w:val="none"/>
          <w:lang w:val="en-US" w:eastAsia="zh-CN"/>
        </w:rPr>
        <w:t>15099390390</w:t>
      </w:r>
    </w:p>
    <w:p>
      <w:pPr>
        <w:widowControl w:val="0"/>
        <w:autoSpaceDE w:val="0"/>
        <w:autoSpaceDN w:val="0"/>
        <w:adjustRightInd w:val="0"/>
        <w:ind w:firstLine="420"/>
        <w:rPr>
          <w:rFonts w:ascii="Noto Sans Mono CJK JP Regular" w:hAnsi="Calibri" w:eastAsia="Noto Sans Mono CJK JP Regular" w:cs="Times New Roman"/>
          <w:sz w:val="24"/>
          <w:szCs w:val="24"/>
          <w:lang w:val="zh-CN" w:eastAsia="zh-CN" w:bidi="zh-CN"/>
        </w:rPr>
      </w:pPr>
    </w:p>
    <w:p>
      <w:pPr>
        <w:numPr>
          <w:ilvl w:val="0"/>
          <w:numId w:val="1"/>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招标</w:t>
      </w:r>
      <w:r>
        <w:rPr>
          <w:rFonts w:hint="eastAsia" w:ascii="宋体" w:hAnsi="宋体" w:eastAsia="宋体" w:cs="宋体"/>
          <w:color w:val="000000"/>
          <w:sz w:val="24"/>
          <w:szCs w:val="24"/>
          <w:lang w:eastAsia="zh-CN"/>
        </w:rPr>
        <w:t>代理</w:t>
      </w:r>
      <w:r>
        <w:rPr>
          <w:rFonts w:hint="eastAsia" w:ascii="宋体" w:hAnsi="宋体" w:eastAsia="宋体" w:cs="宋体"/>
          <w:color w:val="000000"/>
          <w:sz w:val="24"/>
          <w:szCs w:val="24"/>
        </w:rPr>
        <w:t>机构</w:t>
      </w:r>
    </w:p>
    <w:p>
      <w:pPr>
        <w:numPr>
          <w:ilvl w:val="0"/>
          <w:numId w:val="0"/>
        </w:numPr>
        <w:ind w:firstLine="960" w:firstLineChars="4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联</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系</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王浩</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联系电</w:t>
      </w:r>
      <w:r>
        <w:rPr>
          <w:rFonts w:hint="eastAsia" w:ascii="宋体" w:hAnsi="宋体" w:eastAsia="宋体" w:cs="宋体"/>
          <w:color w:val="000000"/>
          <w:sz w:val="24"/>
          <w:szCs w:val="24"/>
          <w:highlight w:val="none"/>
        </w:rPr>
        <w:t>话：</w:t>
      </w:r>
      <w:r>
        <w:rPr>
          <w:rFonts w:hint="eastAsia" w:ascii="宋体" w:hAnsi="宋体" w:eastAsia="宋体" w:cs="宋体"/>
          <w:color w:val="000000"/>
          <w:sz w:val="24"/>
          <w:szCs w:val="24"/>
          <w:highlight w:val="none"/>
          <w:lang w:val="en-US" w:eastAsia="zh-CN"/>
        </w:rPr>
        <w:t>18997755208</w:t>
      </w:r>
    </w:p>
    <w:p>
      <w:pPr>
        <w:widowControl w:val="0"/>
        <w:numPr>
          <w:ilvl w:val="0"/>
          <w:numId w:val="0"/>
        </w:numPr>
        <w:autoSpaceDE w:val="0"/>
        <w:autoSpaceDN w:val="0"/>
        <w:adjustRightInd w:val="0"/>
        <w:ind w:firstLine="420"/>
        <w:rPr>
          <w:rFonts w:hint="eastAsia" w:ascii="Noto Sans Mono CJK JP Regular" w:hAnsi="Calibri" w:eastAsia="Noto Sans Mono CJK JP Regular" w:cs="Times New Roman"/>
          <w:sz w:val="24"/>
          <w:szCs w:val="24"/>
          <w:lang w:val="en-US" w:eastAsia="zh-CN" w:bidi="zh-CN"/>
        </w:rPr>
      </w:pPr>
    </w:p>
    <w:p>
      <w:pPr>
        <w:widowControl w:val="0"/>
        <w:autoSpaceDE w:val="0"/>
        <w:autoSpaceDN w:val="0"/>
        <w:adjustRightInd w:val="0"/>
        <w:ind w:left="0" w:leftChars="0" w:firstLine="480" w:firstLineChars="200"/>
        <w:rPr>
          <w:rFonts w:hint="eastAsia" w:ascii="宋体" w:hAnsi="宋体" w:eastAsia="宋体" w:cs="宋体"/>
          <w:color w:val="000000"/>
          <w:sz w:val="24"/>
          <w:szCs w:val="24"/>
          <w:lang w:val="zh-CN" w:eastAsia="zh-CN" w:bidi="zh-CN"/>
        </w:rPr>
      </w:pPr>
      <w:r>
        <w:rPr>
          <w:rFonts w:hint="eastAsia" w:ascii="宋体" w:hAnsi="宋体" w:eastAsia="宋体" w:cs="宋体"/>
          <w:color w:val="000000"/>
          <w:sz w:val="24"/>
          <w:szCs w:val="24"/>
          <w:lang w:val="en-US" w:eastAsia="zh-CN" w:bidi="zh-CN"/>
        </w:rPr>
        <w:t>3、</w:t>
      </w:r>
      <w:r>
        <w:rPr>
          <w:rFonts w:hint="eastAsia" w:ascii="宋体" w:hAnsi="宋体" w:eastAsia="宋体" w:cs="宋体"/>
          <w:color w:val="000000"/>
          <w:sz w:val="24"/>
          <w:szCs w:val="24"/>
          <w:lang w:val="zh-CN" w:eastAsia="zh-CN" w:bidi="zh-CN"/>
        </w:rPr>
        <w:t>同级政府采购监督管理部门名称：疏勒县采购办 </w:t>
      </w:r>
    </w:p>
    <w:p>
      <w:pPr>
        <w:widowControl w:val="0"/>
        <w:autoSpaceDE w:val="0"/>
        <w:autoSpaceDN w:val="0"/>
        <w:adjustRightInd w:val="0"/>
        <w:ind w:firstLine="936" w:firstLineChars="390"/>
        <w:rPr>
          <w:rFonts w:hint="eastAsia" w:ascii="宋体" w:hAnsi="宋体" w:eastAsia="宋体" w:cs="宋体"/>
          <w:color w:val="000000"/>
          <w:sz w:val="24"/>
          <w:szCs w:val="24"/>
          <w:lang w:val="zh-CN" w:eastAsia="zh-CN" w:bidi="zh-CN"/>
        </w:rPr>
      </w:pPr>
      <w:r>
        <w:rPr>
          <w:rFonts w:hint="eastAsia" w:ascii="宋体" w:hAnsi="宋体" w:eastAsia="宋体" w:cs="宋体"/>
          <w:color w:val="000000"/>
          <w:sz w:val="24"/>
          <w:szCs w:val="24"/>
          <w:lang w:val="zh-CN" w:eastAsia="zh-CN" w:bidi="zh-CN"/>
        </w:rPr>
        <w:t>监督投诉电话：0998-6572160 </w:t>
      </w:r>
    </w:p>
    <w:p>
      <w:pPr>
        <w:widowControl w:val="0"/>
        <w:numPr>
          <w:ilvl w:val="0"/>
          <w:numId w:val="0"/>
        </w:numPr>
        <w:autoSpaceDE w:val="0"/>
        <w:autoSpaceDN w:val="0"/>
        <w:adjustRightInd w:val="0"/>
        <w:ind w:firstLine="420"/>
        <w:rPr>
          <w:rFonts w:hint="default" w:ascii="宋体" w:hAnsi="宋体" w:eastAsia="宋体" w:cs="宋体"/>
          <w:color w:val="000000"/>
          <w:sz w:val="24"/>
          <w:szCs w:val="24"/>
          <w:lang w:val="en-US" w:eastAsia="zh-CN" w:bidi="zh-CN"/>
        </w:rPr>
      </w:pP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六、投标保证金汇入账户</w:t>
      </w:r>
    </w:p>
    <w:p>
      <w:pPr>
        <w:ind w:right="560" w:firstLine="470" w:firstLineChars="196"/>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单位名称：新疆永信国金工程管理咨询有限公司</w:t>
      </w:r>
    </w:p>
    <w:p>
      <w:pPr>
        <w:ind w:right="560" w:firstLine="470" w:firstLineChars="196"/>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开 户 行：</w:t>
      </w:r>
      <w:r>
        <w:rPr>
          <w:rFonts w:hint="eastAsia" w:ascii="宋体" w:hAnsi="宋体" w:eastAsia="宋体"/>
          <w:sz w:val="24"/>
          <w:szCs w:val="24"/>
          <w:lang w:eastAsia="zh-CN"/>
        </w:rPr>
        <w:t>中国银行喀什市西域大道支行</w:t>
      </w:r>
    </w:p>
    <w:p>
      <w:pPr>
        <w:ind w:right="560" w:firstLine="470" w:firstLineChars="196"/>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账   户：</w:t>
      </w:r>
      <w:r>
        <w:rPr>
          <w:rFonts w:hint="eastAsia" w:ascii="宋体" w:hAnsi="宋体" w:eastAsia="宋体"/>
          <w:sz w:val="24"/>
          <w:szCs w:val="24"/>
          <w:lang w:val="en-US" w:eastAsia="zh-CN"/>
        </w:rPr>
        <w:t>107086326183</w:t>
      </w:r>
      <w:r>
        <w:rPr>
          <w:rFonts w:hint="eastAsia" w:ascii="宋体" w:hAnsi="宋体" w:eastAsia="宋体" w:cs="宋体"/>
          <w:color w:val="000000"/>
          <w:sz w:val="24"/>
          <w:szCs w:val="24"/>
          <w:lang w:val="en-US" w:eastAsia="zh-CN"/>
        </w:rPr>
        <w:t xml:space="preserve">（电汇时必须备注项目简称及编号）  </w:t>
      </w:r>
    </w:p>
    <w:p>
      <w:pPr>
        <w:widowControl w:val="0"/>
        <w:autoSpaceDE w:val="0"/>
        <w:autoSpaceDN w:val="0"/>
        <w:adjustRightInd w:val="0"/>
        <w:ind w:firstLine="420"/>
        <w:rPr>
          <w:rFonts w:hint="eastAsia" w:ascii="宋体" w:hAnsi="宋体" w:eastAsia="宋体" w:cs="宋体"/>
          <w:color w:val="000000"/>
          <w:sz w:val="24"/>
          <w:szCs w:val="24"/>
          <w:lang w:val="en-US" w:eastAsia="zh-CN" w:bidi="zh-CN"/>
        </w:rPr>
      </w:pPr>
    </w:p>
    <w:p>
      <w:pPr>
        <w:widowControl w:val="0"/>
        <w:autoSpaceDE w:val="0"/>
        <w:autoSpaceDN w:val="0"/>
        <w:adjustRightInd w:val="0"/>
        <w:ind w:firstLine="420"/>
        <w:rPr>
          <w:rFonts w:hint="eastAsia" w:ascii="宋体" w:hAnsi="宋体" w:eastAsia="宋体" w:cs="宋体"/>
          <w:color w:val="000000"/>
          <w:sz w:val="24"/>
          <w:szCs w:val="24"/>
          <w:lang w:val="en-US" w:eastAsia="zh-CN" w:bidi="zh-CN"/>
        </w:rPr>
      </w:pPr>
    </w:p>
    <w:p>
      <w:pPr>
        <w:ind w:right="560" w:firstLine="470" w:firstLineChars="196"/>
        <w:jc w:val="center"/>
        <w:rPr>
          <w:rFonts w:ascii="宋体" w:hAnsi="宋体" w:eastAsia="宋体" w:cs="宋体"/>
          <w:color w:val="000000"/>
          <w:sz w:val="24"/>
          <w:szCs w:val="24"/>
        </w:rPr>
      </w:pPr>
      <w:r>
        <w:rPr>
          <w:rFonts w:hint="eastAsia" w:ascii="宋体" w:hAnsi="宋体" w:eastAsia="宋体" w:cs="宋体"/>
          <w:color w:val="000000"/>
          <w:sz w:val="24"/>
          <w:szCs w:val="24"/>
          <w:lang w:val="en-US" w:bidi="ar-SA"/>
        </w:rPr>
        <w:drawing>
          <wp:anchor distT="0" distB="0" distL="114300" distR="114300" simplePos="0" relativeHeight="251666432" behindDoc="1" locked="0" layoutInCell="1" allowOverlap="1">
            <wp:simplePos x="0" y="0"/>
            <wp:positionH relativeFrom="column">
              <wp:posOffset>4552315</wp:posOffset>
            </wp:positionH>
            <wp:positionV relativeFrom="paragraph">
              <wp:posOffset>7363460</wp:posOffset>
            </wp:positionV>
            <wp:extent cx="2133600" cy="2266950"/>
            <wp:effectExtent l="0" t="0" r="0" b="0"/>
            <wp:wrapNone/>
            <wp:docPr id="8" name="图片 10" descr="C:\Users\ADMINI~1\AppData\Local\Temp\WeChat Files\7ec714761c12faad26b0d38f4758d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C:\Users\ADMINI~1\AppData\Local\Temp\WeChat Files\7ec714761c12faad26b0d38f4758dc6.png"/>
                    <pic:cNvPicPr>
                      <a:picLocks noChangeAspect="1"/>
                    </pic:cNvPicPr>
                  </pic:nvPicPr>
                  <pic:blipFill>
                    <a:blip r:embed="rId7"/>
                    <a:stretch>
                      <a:fillRect/>
                    </a:stretch>
                  </pic:blipFill>
                  <pic:spPr>
                    <a:xfrm>
                      <a:off x="0" y="0"/>
                      <a:ext cx="2133600" cy="2266950"/>
                    </a:xfrm>
                    <a:prstGeom prst="rect">
                      <a:avLst/>
                    </a:prstGeom>
                    <a:noFill/>
                    <a:ln>
                      <a:noFill/>
                    </a:ln>
                  </pic:spPr>
                </pic:pic>
              </a:graphicData>
            </a:graphic>
          </wp:anchor>
        </w:drawing>
      </w:r>
      <w:r>
        <w:rPr>
          <w:rFonts w:hint="eastAsia" w:ascii="宋体" w:hAnsi="宋体" w:eastAsia="宋体" w:cs="宋体"/>
          <w:color w:val="000000"/>
          <w:sz w:val="24"/>
          <w:szCs w:val="24"/>
          <w:lang w:val="en-US" w:bidi="ar-SA"/>
        </w:rPr>
        <w:drawing>
          <wp:anchor distT="0" distB="0" distL="114300" distR="114300" simplePos="0" relativeHeight="251665408" behindDoc="1" locked="0" layoutInCell="1" allowOverlap="1">
            <wp:simplePos x="0" y="0"/>
            <wp:positionH relativeFrom="column">
              <wp:posOffset>4552315</wp:posOffset>
            </wp:positionH>
            <wp:positionV relativeFrom="paragraph">
              <wp:posOffset>7363460</wp:posOffset>
            </wp:positionV>
            <wp:extent cx="2133600" cy="2266950"/>
            <wp:effectExtent l="0" t="0" r="0" b="0"/>
            <wp:wrapNone/>
            <wp:docPr id="10" name="图片 3" descr="C:\Users\ADMINI~1\AppData\Local\Temp\WeChat Files\7ec714761c12faad26b0d38f4758d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C:\Users\ADMINI~1\AppData\Local\Temp\WeChat Files\7ec714761c12faad26b0d38f4758dc6.png"/>
                    <pic:cNvPicPr>
                      <a:picLocks noChangeAspect="1"/>
                    </pic:cNvPicPr>
                  </pic:nvPicPr>
                  <pic:blipFill>
                    <a:blip r:embed="rId7"/>
                    <a:stretch>
                      <a:fillRect/>
                    </a:stretch>
                  </pic:blipFill>
                  <pic:spPr>
                    <a:xfrm>
                      <a:off x="0" y="0"/>
                      <a:ext cx="2133600" cy="2266950"/>
                    </a:xfrm>
                    <a:prstGeom prst="rect">
                      <a:avLst/>
                    </a:prstGeom>
                    <a:noFill/>
                    <a:ln>
                      <a:noFill/>
                    </a:ln>
                  </pic:spPr>
                </pic:pic>
              </a:graphicData>
            </a:graphic>
          </wp:anchor>
        </w:drawing>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新疆永信国金工程管理咨询有限公司</w:t>
      </w:r>
    </w:p>
    <w:p>
      <w:pPr>
        <w:spacing w:line="220" w:lineRule="atLeast"/>
        <w:rPr>
          <w:color w:val="000000"/>
          <w:sz w:val="24"/>
          <w:szCs w:val="24"/>
          <w:highlight w:val="none"/>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highlight w:val="none"/>
        </w:rPr>
        <w:t xml:space="preserve">  202</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日</w:t>
      </w:r>
      <w:bookmarkStart w:id="133" w:name="_GoBack"/>
      <w:bookmarkEnd w:id="133"/>
    </w:p>
    <w:p>
      <w:pPr>
        <w:pStyle w:val="3"/>
        <w:numPr>
          <w:ilvl w:val="0"/>
          <w:numId w:val="2"/>
        </w:numPr>
        <w:ind w:right="416" w:rightChars="189"/>
        <w:rPr>
          <w:rFonts w:eastAsia="宋体"/>
          <w:color w:val="FF0000"/>
          <w:sz w:val="28"/>
          <w:szCs w:val="28"/>
        </w:rPr>
        <w:sectPr>
          <w:pgSz w:w="11910" w:h="16850"/>
          <w:pgMar w:top="1440" w:right="567" w:bottom="1440" w:left="567" w:header="879" w:footer="1066" w:gutter="0"/>
          <w:cols w:space="720" w:num="1"/>
        </w:sectPr>
      </w:pPr>
    </w:p>
    <w:p>
      <w:pPr>
        <w:pStyle w:val="3"/>
        <w:spacing w:line="511" w:lineRule="exact"/>
        <w:ind w:firstLine="2881" w:firstLineChars="900"/>
        <w:rPr>
          <w:b/>
          <w:color w:val="000000" w:themeColor="text1"/>
          <w14:textFill>
            <w14:solidFill>
              <w14:schemeClr w14:val="tx1"/>
            </w14:solidFill>
          </w14:textFill>
        </w:rPr>
      </w:pPr>
      <w:bookmarkStart w:id="7" w:name="_Toc22770"/>
      <w:r>
        <w:rPr>
          <w:b/>
          <w:color w:val="000000" w:themeColor="text1"/>
          <w14:textFill>
            <w14:solidFill>
              <w14:schemeClr w14:val="tx1"/>
            </w14:solidFill>
          </w14:textFill>
        </w:rPr>
        <w:t>第二章 投标供应商须知前附表</w:t>
      </w:r>
      <w:bookmarkEnd w:id="7"/>
    </w:p>
    <w:p>
      <w:pPr>
        <w:pStyle w:val="14"/>
        <w:spacing w:before="4" w:line="511" w:lineRule="exact"/>
        <w:ind w:left="0"/>
        <w:rPr>
          <w:color w:val="000000" w:themeColor="text1"/>
          <w:sz w:val="7"/>
          <w14:textFill>
            <w14:solidFill>
              <w14:schemeClr w14:val="tx1"/>
            </w14:solidFill>
          </w14:textFill>
        </w:rPr>
      </w:pPr>
    </w:p>
    <w:tbl>
      <w:tblPr>
        <w:tblStyle w:val="40"/>
        <w:tblW w:w="9967"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725"/>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62" w:type="dxa"/>
          </w:tcPr>
          <w:p>
            <w:pPr>
              <w:spacing w:line="511"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条款号</w:t>
            </w:r>
          </w:p>
        </w:tc>
        <w:tc>
          <w:tcPr>
            <w:tcW w:w="2725" w:type="dxa"/>
          </w:tcPr>
          <w:p>
            <w:pPr>
              <w:spacing w:line="511"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条款名称</w:t>
            </w:r>
          </w:p>
        </w:tc>
        <w:tc>
          <w:tcPr>
            <w:tcW w:w="6280" w:type="dxa"/>
          </w:tcPr>
          <w:p>
            <w:pPr>
              <w:spacing w:line="511"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exact"/>
        </w:trPr>
        <w:tc>
          <w:tcPr>
            <w:tcW w:w="962" w:type="dxa"/>
          </w:tcPr>
          <w:p>
            <w:pPr>
              <w:spacing w:line="511" w:lineRule="exact"/>
              <w:ind w:left="-2" w:leftChars="-8" w:hanging="16" w:hangingChars="7"/>
              <w:jc w:val="center"/>
              <w:rPr>
                <w:rFonts w:ascii="宋体" w:hAnsi="宋体" w:cs="宋体" w:eastAsiaTheme="minorEastAsia"/>
                <w:color w:val="000000" w:themeColor="text1"/>
                <w:sz w:val="24"/>
                <w14:textFill>
                  <w14:solidFill>
                    <w14:schemeClr w14:val="tx1"/>
                  </w14:solidFill>
                </w14:textFill>
              </w:rPr>
            </w:pPr>
          </w:p>
          <w:p>
            <w:pPr>
              <w:spacing w:line="511" w:lineRule="exact"/>
              <w:ind w:left="-2" w:leftChars="-8" w:hanging="16" w:hangingChars="7"/>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2725" w:type="dxa"/>
          </w:tcPr>
          <w:p>
            <w:pPr>
              <w:spacing w:line="511" w:lineRule="exact"/>
              <w:jc w:val="center"/>
              <w:rPr>
                <w:rFonts w:ascii="宋体" w:hAnsi="宋体" w:cs="宋体" w:eastAsiaTheme="minorEastAsia"/>
                <w:color w:val="000000" w:themeColor="text1"/>
                <w:sz w:val="24"/>
                <w14:textFill>
                  <w14:solidFill>
                    <w14:schemeClr w14:val="tx1"/>
                  </w14:solidFill>
                </w14:textFill>
              </w:rPr>
            </w:pPr>
          </w:p>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w:t>
            </w:r>
          </w:p>
        </w:tc>
        <w:tc>
          <w:tcPr>
            <w:tcW w:w="6280" w:type="dxa"/>
          </w:tcPr>
          <w:p>
            <w:pPr>
              <w:spacing w:line="360" w:lineRule="auto"/>
              <w:rPr>
                <w:rFonts w:hint="eastAsia" w:eastAsia="宋体"/>
                <w:sz w:val="24"/>
                <w:lang w:eastAsia="zh-CN"/>
              </w:rPr>
            </w:pPr>
            <w:r>
              <w:rPr>
                <w:rFonts w:hint="eastAsia" w:ascii="宋体" w:hAnsi="宋体" w:cs="宋体"/>
                <w:color w:val="000000" w:themeColor="text1"/>
                <w:sz w:val="24"/>
                <w14:textFill>
                  <w14:solidFill>
                    <w14:schemeClr w14:val="tx1"/>
                  </w14:solidFill>
                </w14:textFill>
              </w:rPr>
              <w:t>名</w:t>
            </w:r>
            <w:r>
              <w:rPr>
                <w:rFonts w:hint="eastAsia"/>
                <w:color w:val="000000" w:themeColor="text1"/>
                <w:sz w:val="24"/>
                <w14:textFill>
                  <w14:solidFill>
                    <w14:schemeClr w14:val="tx1"/>
                  </w14:solidFill>
                </w14:textFill>
              </w:rPr>
              <w:t>称：</w:t>
            </w:r>
            <w:r>
              <w:rPr>
                <w:rFonts w:hint="eastAsia" w:eastAsia="宋体"/>
                <w:sz w:val="24"/>
                <w:szCs w:val="24"/>
                <w:lang w:eastAsia="zh-CN"/>
              </w:rPr>
              <w:t>疏勒县中等职业技术学校</w:t>
            </w:r>
          </w:p>
          <w:p>
            <w:pPr>
              <w:spacing w:line="360" w:lineRule="auto"/>
              <w:rPr>
                <w:rFonts w:hint="eastAsia" w:eastAsia="宋体"/>
                <w:sz w:val="24"/>
                <w:lang w:eastAsia="zh-CN"/>
              </w:rPr>
            </w:pPr>
            <w:r>
              <w:rPr>
                <w:rFonts w:hint="eastAsia"/>
                <w:color w:val="000000" w:themeColor="text1"/>
                <w:sz w:val="24"/>
                <w14:textFill>
                  <w14:solidFill>
                    <w14:schemeClr w14:val="tx1"/>
                  </w14:solidFill>
                </w14:textFill>
              </w:rPr>
              <w:t>地址：</w:t>
            </w:r>
            <w:r>
              <w:rPr>
                <w:rFonts w:hint="eastAsia" w:eastAsia="宋体"/>
                <w:sz w:val="24"/>
                <w:szCs w:val="24"/>
                <w:lang w:eastAsia="zh-CN"/>
              </w:rPr>
              <w:t>疏勒县中等职业技术学校</w:t>
            </w:r>
          </w:p>
          <w:p>
            <w:pPr>
              <w:widowControl/>
              <w:spacing w:line="511"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联系人：</w:t>
            </w:r>
            <w:r>
              <w:rPr>
                <w:rFonts w:hint="eastAsia" w:ascii="宋体" w:hAnsi="宋体" w:eastAsia="宋体" w:cs="宋体"/>
                <w:color w:val="000000"/>
                <w:sz w:val="24"/>
                <w:szCs w:val="24"/>
                <w:highlight w:val="none"/>
                <w:lang w:eastAsia="zh-CN"/>
              </w:rPr>
              <w:t>萨伍提•塔伊尔</w:t>
            </w:r>
            <w:r>
              <w:rPr>
                <w:rFonts w:hint="eastAsia" w:ascii="宋体" w:hAnsi="宋体" w:eastAsia="宋体" w:cs="宋体"/>
                <w:sz w:val="24"/>
                <w:szCs w:val="24"/>
                <w:highlight w:val="none"/>
                <w:lang w:eastAsia="zh-CN"/>
              </w:rPr>
              <w:t xml:space="preserve">  </w:t>
            </w:r>
            <w:r>
              <w:rPr>
                <w:rFonts w:hint="eastAsia"/>
                <w:sz w:val="24"/>
                <w:szCs w:val="24"/>
                <w:highlight w:val="none"/>
              </w:rPr>
              <w:t xml:space="preserve">   </w:t>
            </w:r>
          </w:p>
          <w:p>
            <w:pPr>
              <w:widowControl/>
              <w:spacing w:line="511" w:lineRule="exac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电话：</w:t>
            </w:r>
            <w:r>
              <w:rPr>
                <w:rFonts w:hint="eastAsia" w:eastAsia="宋体"/>
                <w:sz w:val="24"/>
                <w:szCs w:val="24"/>
                <w:highlight w:val="none"/>
                <w:lang w:eastAsia="zh-CN"/>
              </w:rPr>
              <w:t>15099390390</w:t>
            </w:r>
          </w:p>
          <w:p>
            <w:pPr>
              <w:widowControl/>
              <w:spacing w:line="360" w:lineRule="auto"/>
              <w:ind w:right="565" w:rightChars="257"/>
              <w:jc w:val="both"/>
              <w:rPr>
                <w:rFonts w:ascii="宋体" w:hAnsi="宋体" w:cs="宋体"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p>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eastAsiaTheme="minorEastAsia"/>
                <w:color w:val="000000" w:themeColor="text1"/>
                <w:sz w:val="24"/>
                <w14:textFill>
                  <w14:solidFill>
                    <w14:schemeClr w14:val="tx1"/>
                  </w14:solidFill>
                </w14:textFill>
              </w:rPr>
              <w:t>2</w:t>
            </w:r>
          </w:p>
        </w:tc>
        <w:tc>
          <w:tcPr>
            <w:tcW w:w="2725" w:type="dxa"/>
          </w:tcPr>
          <w:p>
            <w:pPr>
              <w:spacing w:line="511" w:lineRule="exact"/>
              <w:jc w:val="center"/>
              <w:rPr>
                <w:rFonts w:ascii="宋体" w:hAnsi="宋体" w:cs="宋体" w:eastAsiaTheme="minorEastAsia"/>
                <w:color w:val="000000" w:themeColor="text1"/>
                <w:sz w:val="24"/>
                <w14:textFill>
                  <w14:solidFill>
                    <w14:schemeClr w14:val="tx1"/>
                  </w14:solidFill>
                </w14:textFill>
              </w:rPr>
            </w:pPr>
          </w:p>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招标代理机构</w:t>
            </w:r>
          </w:p>
        </w:tc>
        <w:tc>
          <w:tcPr>
            <w:tcW w:w="6280" w:type="dxa"/>
          </w:tcPr>
          <w:p>
            <w:pPr>
              <w:widowControl/>
              <w:spacing w:line="511" w:lineRule="exac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名称：</w:t>
            </w:r>
            <w:r>
              <w:rPr>
                <w:rFonts w:hint="eastAsia" w:eastAsia="宋体"/>
                <w:color w:val="000000" w:themeColor="text1"/>
                <w:sz w:val="24"/>
                <w:lang w:eastAsia="zh-CN"/>
                <w14:textFill>
                  <w14:solidFill>
                    <w14:schemeClr w14:val="tx1"/>
                  </w14:solidFill>
                </w14:textFill>
              </w:rPr>
              <w:t>新疆永信国金工程管理咨询有限公司</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eastAsia="宋体" w:cs="宋体"/>
                <w:sz w:val="24"/>
                <w:szCs w:val="24"/>
                <w:lang w:eastAsia="zh-CN"/>
              </w:rPr>
              <w:t>王浩</w:t>
            </w:r>
            <w:r>
              <w:rPr>
                <w:rFonts w:hint="eastAsia"/>
                <w:sz w:val="24"/>
                <w:szCs w:val="24"/>
              </w:rPr>
              <w:t xml:space="preserve">           </w:t>
            </w:r>
            <w:r>
              <w:rPr>
                <w:rFonts w:hint="eastAsia" w:ascii="宋体" w:hAnsi="宋体" w:cs="宋体"/>
                <w:color w:val="000000" w:themeColor="text1"/>
                <w:sz w:val="24"/>
                <w14:textFill>
                  <w14:solidFill>
                    <w14:schemeClr w14:val="tx1"/>
                  </w14:solidFill>
                </w14:textFill>
              </w:rPr>
              <w:t xml:space="preserve">    </w:t>
            </w:r>
          </w:p>
          <w:p>
            <w:pPr>
              <w:spacing w:line="511" w:lineRule="exac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r>
              <w:rPr>
                <w:rFonts w:hint="eastAsia" w:eastAsia="宋体"/>
                <w:sz w:val="24"/>
                <w:szCs w:val="24"/>
                <w:lang w:eastAsia="zh-CN"/>
              </w:rPr>
              <w:t>1</w:t>
            </w:r>
            <w:r>
              <w:rPr>
                <w:rFonts w:hint="eastAsia" w:eastAsia="宋体"/>
                <w:sz w:val="24"/>
                <w:szCs w:val="24"/>
                <w:lang w:val="en-US" w:eastAsia="zh-CN"/>
              </w:rPr>
              <w:t>8997755208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62" w:type="dxa"/>
          </w:tcPr>
          <w:p>
            <w:pPr>
              <w:spacing w:line="511" w:lineRule="exact"/>
              <w:jc w:val="center"/>
              <w:rPr>
                <w:rFonts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lang w:val="en-US"/>
                <w14:textFill>
                  <w14:solidFill>
                    <w14:schemeClr w14:val="tx1"/>
                  </w14:solidFill>
                </w14:textFill>
              </w:rPr>
              <w:t>1.3</w:t>
            </w:r>
          </w:p>
        </w:tc>
        <w:tc>
          <w:tcPr>
            <w:tcW w:w="2725" w:type="dxa"/>
          </w:tcPr>
          <w:p>
            <w:pPr>
              <w:spacing w:line="511"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招标项目名称</w:t>
            </w:r>
          </w:p>
        </w:tc>
        <w:tc>
          <w:tcPr>
            <w:tcW w:w="6280" w:type="dxa"/>
          </w:tcPr>
          <w:p>
            <w:pPr>
              <w:rPr>
                <w:sz w:val="24"/>
              </w:rPr>
            </w:pPr>
          </w:p>
          <w:p>
            <w:pPr>
              <w:rPr>
                <w:rFonts w:hint="eastAsia" w:ascii="宋体" w:hAnsi="Calibri" w:eastAsia="宋体" w:cs="宋体"/>
                <w:sz w:val="24"/>
                <w:lang w:eastAsia="zh-CN"/>
              </w:rPr>
            </w:pPr>
            <w:r>
              <w:rPr>
                <w:rFonts w:hint="eastAsia" w:eastAsia="宋体"/>
                <w:sz w:val="24"/>
                <w:lang w:eastAsia="zh-CN"/>
              </w:rPr>
              <w:t>疏勒县中等职业技术学校中餐烹饪专业耗材项目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eastAsiaTheme="minorEastAsia"/>
                <w:color w:val="000000" w:themeColor="text1"/>
                <w:sz w:val="24"/>
                <w14:textFill>
                  <w14:solidFill>
                    <w14:schemeClr w14:val="tx1"/>
                  </w14:solidFill>
                </w14:textFill>
              </w:rPr>
              <w:t>4</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资金来源</w:t>
            </w:r>
          </w:p>
        </w:tc>
        <w:tc>
          <w:tcPr>
            <w:tcW w:w="6280" w:type="dxa"/>
          </w:tcPr>
          <w:p>
            <w:pPr>
              <w:widowControl/>
              <w:spacing w:line="360" w:lineRule="auto"/>
              <w:ind w:right="565" w:rightChars="257"/>
              <w:rPr>
                <w:rFonts w:ascii="宋体" w:hAnsi="宋体" w:eastAsia="宋体" w:cs="宋体"/>
                <w:color w:val="000000" w:themeColor="text1"/>
                <w:sz w:val="10"/>
                <w:szCs w:val="10"/>
                <w14:textFill>
                  <w14:solidFill>
                    <w14:schemeClr w14:val="tx1"/>
                  </w14:solidFill>
                </w14:textFill>
              </w:rPr>
            </w:pPr>
          </w:p>
          <w:p>
            <w:pPr>
              <w:widowControl/>
              <w:spacing w:line="360" w:lineRule="auto"/>
              <w:ind w:right="565" w:rightChars="257"/>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sz w:val="24"/>
                <w:szCs w:val="24"/>
              </w:rPr>
              <w:t>中餐烹饪专业专项资金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1.5</w:t>
            </w:r>
          </w:p>
        </w:tc>
        <w:tc>
          <w:tcPr>
            <w:tcW w:w="2725"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预算价</w:t>
            </w:r>
          </w:p>
        </w:tc>
        <w:tc>
          <w:tcPr>
            <w:tcW w:w="6280" w:type="dxa"/>
          </w:tcPr>
          <w:p>
            <w:pPr>
              <w:spacing w:line="511" w:lineRule="exact"/>
              <w:rPr>
                <w:rFonts w:hint="default" w:ascii="宋体" w:hAnsi="宋体" w:cs="宋体" w:eastAsiaTheme="minorEastAsia"/>
                <w:color w:val="000000" w:themeColor="text1"/>
                <w:sz w:val="24"/>
                <w:highlight w:val="none"/>
                <w:lang w:val="en-US"/>
                <w14:textFill>
                  <w14:solidFill>
                    <w14:schemeClr w14:val="tx1"/>
                  </w14:solidFill>
                </w14:textFill>
              </w:rPr>
            </w:pPr>
            <w:r>
              <w:rPr>
                <w:rFonts w:hint="eastAsia" w:ascii="宋体" w:hAnsi="宋体" w:eastAsia="宋体" w:cs="宋体"/>
                <w:sz w:val="24"/>
                <w:szCs w:val="24"/>
                <w:highlight w:val="none"/>
                <w:lang w:val="en-US" w:eastAsia="zh-CN"/>
              </w:rPr>
              <w:t>70.681万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eastAsiaTheme="minorEastAsia"/>
                <w:color w:val="000000" w:themeColor="text1"/>
                <w:sz w:val="24"/>
                <w14:textFill>
                  <w14:solidFill>
                    <w14:schemeClr w14:val="tx1"/>
                  </w14:solidFill>
                </w14:textFill>
              </w:rPr>
              <w:t>6</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资金落实情况</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eastAsiaTheme="minorEastAsia"/>
                <w:color w:val="000000" w:themeColor="text1"/>
                <w:sz w:val="24"/>
                <w14:textFill>
                  <w14:solidFill>
                    <w14:schemeClr w14:val="tx1"/>
                  </w14:solidFill>
                </w14:textFill>
              </w:rPr>
              <w:t>7</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6280" w:type="dxa"/>
          </w:tcPr>
          <w:p>
            <w:pPr>
              <w:spacing w:line="511" w:lineRule="exac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中标人与采购单位合同中具体约定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eastAsiaTheme="minorEastAsia"/>
                <w:color w:val="000000" w:themeColor="text1"/>
                <w:sz w:val="24"/>
                <w14:textFill>
                  <w14:solidFill>
                    <w14:schemeClr w14:val="tx1"/>
                  </w14:solidFill>
                </w14:textFill>
              </w:rPr>
              <w:t>8</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招标范围</w:t>
            </w:r>
          </w:p>
        </w:tc>
        <w:tc>
          <w:tcPr>
            <w:tcW w:w="6280" w:type="dxa"/>
          </w:tcPr>
          <w:p>
            <w:pPr>
              <w:spacing w:line="360" w:lineRule="exact"/>
              <w:rPr>
                <w:rFonts w:hint="eastAsia" w:ascii="宋体" w:hAnsi="宋体" w:eastAsia="宋体" w:cs="宋体"/>
                <w:sz w:val="24"/>
                <w:highlight w:val="none"/>
                <w:lang w:val="en-US" w:eastAsia="zh-CN"/>
              </w:rPr>
            </w:pPr>
            <w:r>
              <w:rPr>
                <w:rFonts w:hint="eastAsia" w:ascii="宋体" w:hAnsi="宋体" w:eastAsia="宋体" w:cs="宋体"/>
                <w:sz w:val="24"/>
                <w:szCs w:val="24"/>
              </w:rPr>
              <w:t>中餐烹饪专业耗材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eastAsiaTheme="minorEastAsia"/>
                <w:color w:val="000000" w:themeColor="text1"/>
                <w:sz w:val="24"/>
                <w14:textFill>
                  <w14:solidFill>
                    <w14:schemeClr w14:val="tx1"/>
                  </w14:solidFill>
                </w14:textFill>
              </w:rPr>
              <w:t>9</w:t>
            </w:r>
          </w:p>
        </w:tc>
        <w:tc>
          <w:tcPr>
            <w:tcW w:w="2725" w:type="dxa"/>
          </w:tcPr>
          <w:p>
            <w:pPr>
              <w:spacing w:line="511" w:lineRule="exact"/>
              <w:jc w:val="center"/>
              <w:rPr>
                <w:rFonts w:ascii="宋体" w:hAnsi="宋体" w:cs="宋体"/>
                <w:color w:val="auto"/>
                <w:sz w:val="24"/>
              </w:rPr>
            </w:pPr>
            <w:r>
              <w:rPr>
                <w:rFonts w:hint="eastAsia" w:ascii="宋体" w:hAnsi="宋体" w:cs="宋体" w:eastAsiaTheme="minorEastAsia"/>
                <w:color w:val="auto"/>
                <w:sz w:val="24"/>
              </w:rPr>
              <w:t>供货</w:t>
            </w:r>
            <w:r>
              <w:rPr>
                <w:rFonts w:hint="eastAsia" w:ascii="宋体" w:hAnsi="宋体" w:cs="宋体"/>
                <w:color w:val="auto"/>
                <w:sz w:val="24"/>
              </w:rPr>
              <w:t>期</w:t>
            </w:r>
          </w:p>
        </w:tc>
        <w:tc>
          <w:tcPr>
            <w:tcW w:w="6280" w:type="dxa"/>
            <w:vAlign w:val="center"/>
          </w:tcPr>
          <w:p>
            <w:pPr>
              <w:spacing w:line="511" w:lineRule="exact"/>
              <w:rPr>
                <w:rFonts w:ascii="宋体" w:hAnsi="宋体" w:cs="宋体" w:eastAsiaTheme="minorEastAsia"/>
                <w:color w:val="auto"/>
                <w:sz w:val="24"/>
              </w:rPr>
            </w:pPr>
            <w:r>
              <w:rPr>
                <w:rFonts w:hint="eastAsia" w:ascii="宋体" w:hAnsi="宋体" w:cs="宋体" w:eastAsiaTheme="minorEastAsia"/>
                <w:color w:val="auto"/>
                <w:sz w:val="24"/>
                <w:highlight w:val="none"/>
                <w:lang w:val="en-US" w:eastAsia="zh-CN"/>
              </w:rPr>
              <w:t>15</w:t>
            </w:r>
            <w:r>
              <w:rPr>
                <w:rFonts w:hint="eastAsia" w:ascii="宋体" w:hAnsi="宋体" w:cs="宋体" w:eastAsiaTheme="minorEastAsia"/>
                <w:color w:val="auto"/>
                <w:sz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2.0</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6280" w:type="dxa"/>
          </w:tcPr>
          <w:p>
            <w:pPr>
              <w:tabs>
                <w:tab w:val="left" w:pos="1344"/>
              </w:tabs>
              <w:spacing w:line="511" w:lineRule="exact"/>
              <w:rPr>
                <w:rFonts w:ascii="宋体" w:hAnsi="宋体" w:cs="宋体" w:eastAsiaTheme="minorEastAsia"/>
                <w:color w:val="000000" w:themeColor="text1"/>
                <w:sz w:val="24"/>
                <w14:textFill>
                  <w14:solidFill>
                    <w14:schemeClr w14:val="tx1"/>
                  </w14:solidFill>
                </w14:textFill>
              </w:rPr>
            </w:pPr>
            <w:r>
              <w:rPr>
                <w:rFonts w:hint="eastAsia" w:ascii="宋体" w:hAnsi="宋体" w:eastAsia="宋体" w:cs="楷体"/>
                <w:color w:val="000000"/>
                <w:spacing w:val="-3"/>
                <w:sz w:val="24"/>
                <w:szCs w:val="28"/>
                <w:lang w:eastAsia="zh-CN"/>
              </w:rPr>
              <w:t>疏勒县中等职业技术学校</w:t>
            </w:r>
            <w:r>
              <w:rPr>
                <w:rFonts w:hint="eastAsia" w:ascii="宋体" w:hAnsi="宋体" w:eastAsia="宋体" w:cs="楷体"/>
                <w:color w:val="000000"/>
                <w:spacing w:val="-3"/>
                <w:sz w:val="24"/>
                <w:szCs w:val="28"/>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2.1</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验收标准</w:t>
            </w:r>
          </w:p>
        </w:tc>
        <w:tc>
          <w:tcPr>
            <w:tcW w:w="6280" w:type="dxa"/>
          </w:tcPr>
          <w:p>
            <w:pPr>
              <w:spacing w:line="511" w:lineRule="exact"/>
              <w:rPr>
                <w:rFonts w:hint="eastAsia" w:ascii="宋体" w:hAnsi="宋体" w:cs="宋体" w:eastAsiaTheme="minorEastAsia"/>
                <w:color w:val="000000" w:themeColor="text1"/>
                <w:sz w:val="24"/>
                <w:lang w:eastAsia="zh-CN"/>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经检验达到</w:t>
            </w:r>
            <w:r>
              <w:rPr>
                <w:rFonts w:hint="eastAsia" w:ascii="宋体" w:hAnsi="宋体" w:cs="宋体"/>
                <w:color w:val="000000" w:themeColor="text1"/>
                <w:sz w:val="24"/>
                <w14:textFill>
                  <w14:solidFill>
                    <w14:schemeClr w14:val="tx1"/>
                  </w14:solidFill>
                </w14:textFill>
              </w:rPr>
              <w:t>合格</w:t>
            </w:r>
            <w:r>
              <w:rPr>
                <w:rFonts w:hint="eastAsia" w:ascii="宋体" w:hAnsi="宋体" w:cs="宋体" w:eastAsiaTheme="minorEastAsia"/>
                <w:color w:val="000000" w:themeColor="text1"/>
                <w:sz w:val="24"/>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2.2</w:t>
            </w:r>
          </w:p>
        </w:tc>
        <w:tc>
          <w:tcPr>
            <w:tcW w:w="2725" w:type="dxa"/>
            <w:vAlign w:val="center"/>
          </w:tcPr>
          <w:p>
            <w:pPr>
              <w:overflowPunct w:val="0"/>
              <w:spacing w:line="511" w:lineRule="exact"/>
              <w:jc w:val="center"/>
              <w:rPr>
                <w:rFonts w:ascii="宋体" w:hAnsi="宋体" w:cs="宋体"/>
                <w:sz w:val="24"/>
              </w:rPr>
            </w:pPr>
            <w:r>
              <w:rPr>
                <w:rFonts w:hint="eastAsia" w:ascii="宋体" w:hAnsi="宋体" w:cs="宋体"/>
                <w:sz w:val="24"/>
              </w:rPr>
              <w:t>售后服务</w:t>
            </w:r>
          </w:p>
        </w:tc>
        <w:tc>
          <w:tcPr>
            <w:tcW w:w="6280" w:type="dxa"/>
            <w:vAlign w:val="center"/>
          </w:tcPr>
          <w:p>
            <w:pPr>
              <w:overflowPunct w:val="0"/>
              <w:spacing w:line="511" w:lineRule="exact"/>
              <w:rPr>
                <w:rFonts w:ascii="宋体" w:hAnsi="宋体" w:cs="宋体"/>
                <w:color w:val="000000" w:themeColor="text1"/>
                <w:sz w:val="24"/>
                <w14:textFill>
                  <w14:solidFill>
                    <w14:schemeClr w14:val="tx1"/>
                  </w14:solidFill>
                </w14:textFill>
              </w:rPr>
            </w:pPr>
            <w:r>
              <w:rPr>
                <w:rFonts w:hint="eastAsia" w:ascii="宋体" w:hAnsi="宋体" w:cs="宋体" w:eastAsiaTheme="minorEastAsia"/>
                <w:color w:val="000000" w:themeColor="text1"/>
                <w:sz w:val="24"/>
                <w:highlight w:val="none"/>
                <w:lang w:eastAsia="zh-CN"/>
                <w14:textFill>
                  <w14:solidFill>
                    <w14:schemeClr w14:val="tx1"/>
                  </w14:solidFill>
                </w14:textFill>
              </w:rPr>
              <w:t>除参数中规定的年限外，其余均质保</w:t>
            </w:r>
            <w:r>
              <w:rPr>
                <w:rFonts w:hint="eastAsia" w:ascii="宋体" w:hAnsi="宋体" w:cs="宋体" w:eastAsiaTheme="minorEastAsia"/>
                <w:color w:val="000000" w:themeColor="text1"/>
                <w:sz w:val="24"/>
                <w:highlight w:val="none"/>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2.3</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p>
          <w:p>
            <w:pPr>
              <w:spacing w:line="511" w:lineRule="exact"/>
              <w:jc w:val="center"/>
              <w:rPr>
                <w:rFonts w:ascii="宋体" w:hAnsi="宋体" w:cs="宋体"/>
                <w:color w:val="000000" w:themeColor="text1"/>
                <w:sz w:val="24"/>
                <w14:textFill>
                  <w14:solidFill>
                    <w14:schemeClr w14:val="tx1"/>
                  </w14:solidFill>
                </w14:textFill>
              </w:rPr>
            </w:pPr>
          </w:p>
          <w:p>
            <w:pPr>
              <w:spacing w:line="511" w:lineRule="exact"/>
              <w:jc w:val="center"/>
              <w:rPr>
                <w:rFonts w:ascii="宋体" w:hAnsi="宋体" w:cs="宋体"/>
                <w:color w:val="000000" w:themeColor="text1"/>
                <w:sz w:val="24"/>
                <w14:textFill>
                  <w14:solidFill>
                    <w14:schemeClr w14:val="tx1"/>
                  </w14:solidFill>
                </w14:textFill>
              </w:rPr>
            </w:pPr>
          </w:p>
          <w:p>
            <w:pPr>
              <w:spacing w:line="511" w:lineRule="exact"/>
              <w:jc w:val="center"/>
              <w:rPr>
                <w:rFonts w:ascii="宋体" w:hAnsi="宋体" w:cs="宋体"/>
                <w:color w:val="000000" w:themeColor="text1"/>
                <w:sz w:val="24"/>
                <w14:textFill>
                  <w14:solidFill>
                    <w14:schemeClr w14:val="tx1"/>
                  </w14:solidFill>
                </w14:textFill>
              </w:rPr>
            </w:pPr>
          </w:p>
          <w:p>
            <w:pPr>
              <w:spacing w:line="511" w:lineRule="exact"/>
              <w:jc w:val="center"/>
              <w:rPr>
                <w:rFonts w:ascii="宋体" w:hAnsi="宋体" w:cs="宋体"/>
                <w:color w:val="000000" w:themeColor="text1"/>
                <w:sz w:val="24"/>
                <w14:textFill>
                  <w14:solidFill>
                    <w14:schemeClr w14:val="tx1"/>
                  </w14:solidFill>
                </w14:textFill>
              </w:rPr>
            </w:pPr>
          </w:p>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w:t>
            </w:r>
            <w:r>
              <w:rPr>
                <w:rFonts w:hint="eastAsia" w:ascii="宋体" w:hAnsi="宋体" w:cs="宋体" w:eastAsiaTheme="minorEastAsia"/>
                <w:color w:val="000000" w:themeColor="text1"/>
                <w:sz w:val="24"/>
                <w14:textFill>
                  <w14:solidFill>
                    <w14:schemeClr w14:val="tx1"/>
                  </w14:solidFill>
                </w14:textFill>
              </w:rPr>
              <w:t>资格审核时必须手持所要求的资质原件，不接受二次提供，缺少任一项资格审核不合格</w:t>
            </w:r>
          </w:p>
        </w:tc>
        <w:tc>
          <w:tcPr>
            <w:tcW w:w="6280" w:type="dxa"/>
          </w:tcPr>
          <w:p>
            <w:pPr>
              <w:spacing w:line="360" w:lineRule="auto"/>
              <w:rPr>
                <w:rFonts w:hint="eastAsia"/>
                <w:lang w:val="en-US"/>
              </w:rPr>
            </w:pPr>
            <w:r>
              <w:rPr>
                <w:rFonts w:hint="eastAsia"/>
                <w:lang w:val="en-US"/>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spacing w:line="360" w:lineRule="auto"/>
              <w:rPr>
                <w:rFonts w:hint="eastAsia"/>
                <w:lang w:val="en-US"/>
              </w:rPr>
            </w:pPr>
            <w:r>
              <w:rPr>
                <w:rFonts w:hint="eastAsia"/>
                <w:lang w:val="en-US"/>
              </w:rPr>
              <w:t>2、具有所投项目相关经营范围的三证合一企业法人营业执照正本或副本原件（要求营业执照里面的经营范围必须包含本项目的经营许可）；</w:t>
            </w:r>
          </w:p>
          <w:p>
            <w:pPr>
              <w:spacing w:line="360" w:lineRule="auto"/>
              <w:rPr>
                <w:rFonts w:hint="eastAsia"/>
                <w:lang w:val="en-US"/>
              </w:rPr>
            </w:pPr>
            <w:r>
              <w:rPr>
                <w:rFonts w:hint="eastAsia"/>
                <w:lang w:val="en-US"/>
              </w:rPr>
              <w:t>3、投标法人授权委托书及被授权委托人身份证原件,被授权委托人必须是投标单位正式员工在本单位缴纳的近三个月（2021年5月-7月）的社保证明原件（单位社保缴费凭证和个人明细表）原件；法定代表人需提供本单位社保缴费凭证原件；</w:t>
            </w:r>
          </w:p>
          <w:p>
            <w:pPr>
              <w:spacing w:line="360" w:lineRule="auto"/>
              <w:rPr>
                <w:rFonts w:hint="eastAsia"/>
                <w:lang w:val="en-US"/>
              </w:rPr>
            </w:pPr>
            <w:r>
              <w:rPr>
                <w:rFonts w:hint="eastAsia"/>
                <w:lang w:val="en-US"/>
              </w:rPr>
              <w:t>4、提供税务部门出具的近三个月（2021年5月-7月）的完税证明原件；</w:t>
            </w:r>
          </w:p>
          <w:p>
            <w:pPr>
              <w:spacing w:line="360" w:lineRule="auto"/>
              <w:rPr>
                <w:rFonts w:hint="eastAsia"/>
                <w:lang w:val="en-US"/>
              </w:rPr>
            </w:pPr>
            <w:r>
              <w:rPr>
                <w:rFonts w:hint="eastAsia"/>
                <w:lang w:val="en-US"/>
              </w:rPr>
              <w:t>5、提供2020年的财务审计报告（新成立公司需提供银行资信证明）；</w:t>
            </w:r>
          </w:p>
          <w:p>
            <w:pPr>
              <w:spacing w:line="360" w:lineRule="auto"/>
              <w:rPr>
                <w:rFonts w:hint="eastAsia"/>
                <w:lang w:val="en-US"/>
              </w:rPr>
            </w:pPr>
            <w:r>
              <w:rPr>
                <w:rFonts w:hint="eastAsia"/>
                <w:lang w:val="en-US"/>
              </w:rPr>
              <w:t>6、提供针对本次项目的反商业贿赂承诺书；</w:t>
            </w:r>
          </w:p>
          <w:p>
            <w:pPr>
              <w:spacing w:line="360" w:lineRule="auto"/>
              <w:rPr>
                <w:rFonts w:hint="eastAsia" w:eastAsia="宋体"/>
                <w:lang w:val="en-US" w:eastAsia="zh-CN"/>
              </w:rPr>
            </w:pPr>
            <w:r>
              <w:rPr>
                <w:rFonts w:hint="eastAsia"/>
                <w:lang w:val="en-US"/>
              </w:rPr>
              <w:t>7、投标保证金收据原件</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2.4</w:t>
            </w:r>
          </w:p>
        </w:tc>
        <w:tc>
          <w:tcPr>
            <w:tcW w:w="2725"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标段划分</w:t>
            </w:r>
          </w:p>
        </w:tc>
        <w:tc>
          <w:tcPr>
            <w:tcW w:w="6280" w:type="dxa"/>
          </w:tcPr>
          <w:p>
            <w:pPr>
              <w:widowControl/>
              <w:spacing w:line="360" w:lineRule="auto"/>
              <w:ind w:right="565" w:rightChars="257"/>
              <w:rPr>
                <w:rFonts w:ascii="宋体" w:hAnsi="宋体" w:eastAsia="宋体" w:cs="宋体"/>
                <w:color w:val="000000" w:themeColor="text1"/>
                <w:sz w:val="10"/>
                <w:szCs w:val="10"/>
                <w14:textFill>
                  <w14:solidFill>
                    <w14:schemeClr w14:val="tx1"/>
                  </w14:solidFill>
                </w14:textFill>
              </w:rPr>
            </w:pPr>
          </w:p>
          <w:p>
            <w:pPr>
              <w:widowControl/>
              <w:spacing w:line="360" w:lineRule="auto"/>
              <w:ind w:right="565" w:rightChars="257"/>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本项目不分标段</w:t>
            </w:r>
            <w:r>
              <w:rPr>
                <w:rFonts w:hint="eastAsia" w:ascii="宋体" w:hAnsi="宋体" w:eastAsia="宋体" w:cs="宋体"/>
                <w:color w:val="000000" w:themeColor="text1"/>
                <w:sz w:val="24"/>
                <w14:textFill>
                  <w14:solidFill>
                    <w14:schemeClr w14:val="tx1"/>
                  </w14:solidFill>
                </w14:textFill>
              </w:rPr>
              <w:t>，详见第六章采购货物需求；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2.5</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联合体投标</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不接受□接受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2.6</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分包</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不允许□允许，分包内容要求：金额要求：资质要求：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2.7</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偏差</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不允许□允许，偏差范围：最高项数：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eastAsiaTheme="minorEastAsia"/>
                <w:color w:val="000000" w:themeColor="text1"/>
                <w:sz w:val="24"/>
                <w14:textFill>
                  <w14:solidFill>
                    <w14:schemeClr w14:val="tx1"/>
                  </w14:solidFill>
                </w14:textFill>
              </w:rPr>
              <w:t>.8</w:t>
            </w:r>
          </w:p>
        </w:tc>
        <w:tc>
          <w:tcPr>
            <w:tcW w:w="2725" w:type="dxa"/>
            <w:vAlign w:val="center"/>
          </w:tcPr>
          <w:p>
            <w:pPr>
              <w:overflowPunct w:val="0"/>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是否采购进口产品</w:t>
            </w:r>
          </w:p>
        </w:tc>
        <w:tc>
          <w:tcPr>
            <w:tcW w:w="6280" w:type="dxa"/>
            <w:vAlign w:val="center"/>
          </w:tcPr>
          <w:p>
            <w:pPr>
              <w:overflowPunct w:val="0"/>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2.9</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最高投标限价</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w:t>
            </w: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有，最高投标限价：本项目预算价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3.0</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投标有效期</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1</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w:t>
            </w:r>
          </w:p>
        </w:tc>
        <w:tc>
          <w:tcPr>
            <w:tcW w:w="6280" w:type="dxa"/>
          </w:tcPr>
          <w:p>
            <w:pPr>
              <w:spacing w:line="511" w:lineRule="exact"/>
              <w:rPr>
                <w:rFonts w:eastAsiaTheme="minorEastAsia"/>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保证金缴纳要求：</w:t>
            </w:r>
            <w:r>
              <w:rPr>
                <w:rFonts w:hint="eastAsia"/>
                <w:bCs/>
                <w:color w:val="000000" w:themeColor="text1"/>
                <w:sz w:val="24"/>
                <w14:textFill>
                  <w14:solidFill>
                    <w14:schemeClr w14:val="tx1"/>
                  </w14:solidFill>
                </w14:textFill>
              </w:rPr>
              <w:t>保证金缴纳要求：</w:t>
            </w:r>
            <w:r>
              <w:rPr>
                <w:bCs/>
                <w:color w:val="000000" w:themeColor="text1"/>
                <w:sz w:val="24"/>
                <w:highlight w:val="none"/>
                <w14:textFill>
                  <w14:solidFill>
                    <w14:schemeClr w14:val="tx1"/>
                  </w14:solidFill>
                </w14:textFill>
              </w:rPr>
              <w:t>保证金</w:t>
            </w:r>
            <w:r>
              <w:rPr>
                <w:rFonts w:hint="eastAsia"/>
                <w:bCs/>
                <w:color w:val="000000" w:themeColor="text1"/>
                <w:sz w:val="24"/>
                <w:highlight w:val="none"/>
                <w14:textFill>
                  <w14:solidFill>
                    <w14:schemeClr w14:val="tx1"/>
                  </w14:solidFill>
                </w14:textFill>
              </w:rPr>
              <w:t>须</w:t>
            </w:r>
            <w:r>
              <w:rPr>
                <w:bCs/>
                <w:color w:val="000000" w:themeColor="text1"/>
                <w:sz w:val="24"/>
                <w:highlight w:val="none"/>
                <w14:textFill>
                  <w14:solidFill>
                    <w14:schemeClr w14:val="tx1"/>
                  </w14:solidFill>
                </w14:textFill>
              </w:rPr>
              <w:t>在</w:t>
            </w:r>
            <w:r>
              <w:rPr>
                <w:rFonts w:hint="eastAsia" w:eastAsia="宋体"/>
                <w:bCs/>
                <w:color w:val="000000" w:themeColor="text1"/>
                <w:sz w:val="24"/>
                <w:highlight w:val="none"/>
                <w:lang w:eastAsia="zh-CN"/>
                <w14:textFill>
                  <w14:solidFill>
                    <w14:schemeClr w14:val="tx1"/>
                  </w14:solidFill>
                </w14:textFill>
              </w:rPr>
              <w:t>2021年</w:t>
            </w:r>
            <w:r>
              <w:rPr>
                <w:rFonts w:hint="eastAsia" w:eastAsia="宋体"/>
                <w:bCs/>
                <w:color w:val="000000" w:themeColor="text1"/>
                <w:sz w:val="24"/>
                <w:highlight w:val="none"/>
                <w:lang w:val="en-US" w:eastAsia="zh-CN"/>
                <w14:textFill>
                  <w14:solidFill>
                    <w14:schemeClr w14:val="tx1"/>
                  </w14:solidFill>
                </w14:textFill>
              </w:rPr>
              <w:t>8</w:t>
            </w:r>
            <w:r>
              <w:rPr>
                <w:rFonts w:hint="eastAsia" w:eastAsia="宋体"/>
                <w:bCs/>
                <w:color w:val="000000" w:themeColor="text1"/>
                <w:sz w:val="24"/>
                <w:highlight w:val="none"/>
                <w:lang w:eastAsia="zh-CN"/>
                <w14:textFill>
                  <w14:solidFill>
                    <w14:schemeClr w14:val="tx1"/>
                  </w14:solidFill>
                </w14:textFill>
              </w:rPr>
              <w:t>月</w:t>
            </w:r>
            <w:r>
              <w:rPr>
                <w:rFonts w:hint="eastAsia" w:eastAsia="宋体"/>
                <w:bCs/>
                <w:color w:val="000000" w:themeColor="text1"/>
                <w:sz w:val="24"/>
                <w:highlight w:val="none"/>
                <w:lang w:val="en-US" w:eastAsia="zh-CN"/>
                <w14:textFill>
                  <w14:solidFill>
                    <w14:schemeClr w14:val="tx1"/>
                  </w14:solidFill>
                </w14:textFill>
              </w:rPr>
              <w:t>20</w:t>
            </w:r>
            <w:r>
              <w:rPr>
                <w:rFonts w:hint="eastAsia" w:eastAsia="宋体"/>
                <w:bCs/>
                <w:color w:val="000000" w:themeColor="text1"/>
                <w:sz w:val="24"/>
                <w:highlight w:val="none"/>
                <w:lang w:eastAsia="zh-CN"/>
                <w14:textFill>
                  <w14:solidFill>
                    <w14:schemeClr w14:val="tx1"/>
                  </w14:solidFill>
                </w14:textFill>
              </w:rPr>
              <w:t>日</w:t>
            </w:r>
            <w:r>
              <w:rPr>
                <w:rFonts w:hint="eastAsia"/>
                <w:bCs/>
                <w:color w:val="000000" w:themeColor="text1"/>
                <w:sz w:val="24"/>
                <w:highlight w:val="none"/>
                <w14:textFill>
                  <w14:solidFill>
                    <w14:schemeClr w14:val="tx1"/>
                  </w14:solidFill>
                </w14:textFill>
              </w:rPr>
              <w:t>1</w:t>
            </w:r>
            <w:r>
              <w:rPr>
                <w:rFonts w:hint="eastAsia" w:eastAsia="宋体"/>
                <w:bCs/>
                <w:color w:val="000000" w:themeColor="text1"/>
                <w:sz w:val="24"/>
                <w:highlight w:val="none"/>
                <w:lang w:val="en-US" w:eastAsia="zh-CN"/>
                <w14:textFill>
                  <w14:solidFill>
                    <w14:schemeClr w14:val="tx1"/>
                  </w14:solidFill>
                </w14:textFill>
              </w:rPr>
              <w:t>6</w:t>
            </w:r>
            <w:r>
              <w:rPr>
                <w:rFonts w:hint="eastAsia"/>
                <w:bCs/>
                <w:color w:val="000000" w:themeColor="text1"/>
                <w:sz w:val="24"/>
                <w:highlight w:val="none"/>
                <w14:textFill>
                  <w14:solidFill>
                    <w14:schemeClr w14:val="tx1"/>
                  </w14:solidFill>
                </w14:textFill>
              </w:rPr>
              <w:t>:00前（北京时间）须</w:t>
            </w:r>
            <w:r>
              <w:rPr>
                <w:bCs/>
                <w:color w:val="000000" w:themeColor="text1"/>
                <w:sz w:val="24"/>
                <w:highlight w:val="none"/>
                <w14:textFill>
                  <w14:solidFill>
                    <w14:schemeClr w14:val="tx1"/>
                  </w14:solidFill>
                </w14:textFill>
              </w:rPr>
              <w:t>从投标供应商的基本账户一次性汇入指定账户，不接受现金、支票及任何个人、分公司汇款。</w:t>
            </w:r>
            <w:r>
              <w:rPr>
                <w:rFonts w:hint="eastAsia"/>
                <w:bCs/>
                <w:color w:val="000000" w:themeColor="text1"/>
                <w:sz w:val="24"/>
                <w:highlight w:val="none"/>
                <w14:textFill>
                  <w14:solidFill>
                    <w14:schemeClr w14:val="tx1"/>
                  </w14:solidFill>
                </w14:textFill>
              </w:rPr>
              <w:t>若没有在规定时间内汇入指定账户，视为自动放弃本项目投标。确认到帐后，持银行缴款单和银行开户许可证复印件加盖公章到我公司换取收据，开标现场持投标保证金收据原件，换取截止时间</w:t>
            </w:r>
            <w:r>
              <w:rPr>
                <w:rFonts w:hint="eastAsia" w:eastAsia="宋体"/>
                <w:bCs/>
                <w:color w:val="000000" w:themeColor="text1"/>
                <w:sz w:val="24"/>
                <w:highlight w:val="none"/>
                <w:lang w:eastAsia="zh-CN"/>
                <w14:textFill>
                  <w14:solidFill>
                    <w14:schemeClr w14:val="tx1"/>
                  </w14:solidFill>
                </w14:textFill>
              </w:rPr>
              <w:t>2021年</w:t>
            </w:r>
            <w:r>
              <w:rPr>
                <w:rFonts w:hint="eastAsia" w:eastAsia="宋体"/>
                <w:bCs/>
                <w:color w:val="000000" w:themeColor="text1"/>
                <w:sz w:val="24"/>
                <w:highlight w:val="none"/>
                <w:lang w:val="en-US" w:eastAsia="zh-CN"/>
                <w14:textFill>
                  <w14:solidFill>
                    <w14:schemeClr w14:val="tx1"/>
                  </w14:solidFill>
                </w14:textFill>
              </w:rPr>
              <w:t>8</w:t>
            </w:r>
            <w:r>
              <w:rPr>
                <w:rFonts w:hint="eastAsia" w:eastAsia="宋体"/>
                <w:bCs/>
                <w:color w:val="000000" w:themeColor="text1"/>
                <w:sz w:val="24"/>
                <w:highlight w:val="none"/>
                <w:lang w:eastAsia="zh-CN"/>
                <w14:textFill>
                  <w14:solidFill>
                    <w14:schemeClr w14:val="tx1"/>
                  </w14:solidFill>
                </w14:textFill>
              </w:rPr>
              <w:t>月</w:t>
            </w:r>
            <w:r>
              <w:rPr>
                <w:rFonts w:hint="eastAsia" w:eastAsia="宋体"/>
                <w:bCs/>
                <w:color w:val="000000" w:themeColor="text1"/>
                <w:sz w:val="24"/>
                <w:highlight w:val="none"/>
                <w:lang w:val="en-US" w:eastAsia="zh-CN"/>
                <w14:textFill>
                  <w14:solidFill>
                    <w14:schemeClr w14:val="tx1"/>
                  </w14:solidFill>
                </w14:textFill>
              </w:rPr>
              <w:t>20</w:t>
            </w:r>
            <w:r>
              <w:rPr>
                <w:rFonts w:hint="eastAsia" w:eastAsia="宋体"/>
                <w:bCs/>
                <w:color w:val="000000" w:themeColor="text1"/>
                <w:sz w:val="24"/>
                <w:highlight w:val="none"/>
                <w:lang w:eastAsia="zh-CN"/>
                <w14:textFill>
                  <w14:solidFill>
                    <w14:schemeClr w14:val="tx1"/>
                  </w14:solidFill>
                </w14:textFill>
              </w:rPr>
              <w:t>日</w:t>
            </w:r>
            <w:r>
              <w:rPr>
                <w:rFonts w:hint="eastAsia"/>
                <w:bCs/>
                <w:color w:val="000000" w:themeColor="text1"/>
                <w:sz w:val="24"/>
                <w:highlight w:val="none"/>
                <w14:textFill>
                  <w14:solidFill>
                    <w14:schemeClr w14:val="tx1"/>
                  </w14:solidFill>
                </w14:textFill>
              </w:rPr>
              <w:t>1</w:t>
            </w:r>
            <w:r>
              <w:rPr>
                <w:rFonts w:hint="eastAsia" w:eastAsia="宋体"/>
                <w:bCs/>
                <w:color w:val="000000" w:themeColor="text1"/>
                <w:sz w:val="24"/>
                <w:highlight w:val="none"/>
                <w:lang w:val="en-US" w:eastAsia="zh-CN"/>
                <w14:textFill>
                  <w14:solidFill>
                    <w14:schemeClr w14:val="tx1"/>
                  </w14:solidFill>
                </w14:textFill>
              </w:rPr>
              <w:t>9</w:t>
            </w:r>
            <w:r>
              <w:rPr>
                <w:rFonts w:hint="eastAsia"/>
                <w:bCs/>
                <w:color w:val="000000" w:themeColor="text1"/>
                <w:sz w:val="24"/>
                <w:highlight w:val="none"/>
                <w14:textFill>
                  <w14:solidFill>
                    <w14:schemeClr w14:val="tx1"/>
                  </w14:solidFill>
                </w14:textFill>
              </w:rPr>
              <w:t>:00（北京时间）前，</w:t>
            </w:r>
            <w:r>
              <w:rPr>
                <w:rFonts w:hint="eastAsia"/>
                <w:bCs/>
                <w:color w:val="000000" w:themeColor="text1"/>
                <w:sz w:val="24"/>
                <w14:textFill>
                  <w14:solidFill>
                    <w14:schemeClr w14:val="tx1"/>
                  </w14:solidFill>
                </w14:textFill>
              </w:rPr>
              <w:t>逾期不换。</w:t>
            </w:r>
          </w:p>
          <w:p>
            <w:pPr>
              <w:spacing w:line="511"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单位名称：新疆永信国金工程管理咨询有限公司</w:t>
            </w:r>
          </w:p>
          <w:p>
            <w:pPr>
              <w:spacing w:line="511"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开户行：中国银行喀什市西域大道支行</w:t>
            </w:r>
          </w:p>
          <w:p>
            <w:pPr>
              <w:spacing w:line="511"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账  户：107086326183（电汇时必须备注项目简称及编号）  </w:t>
            </w:r>
          </w:p>
          <w:p>
            <w:pPr>
              <w:spacing w:line="511" w:lineRule="exact"/>
              <w:rPr>
                <w:rFonts w:hint="default" w:ascii="宋体" w:hAnsi="宋体" w:cs="宋体"/>
                <w:color w:val="000000" w:themeColor="text1"/>
                <w:sz w:val="24"/>
                <w:lang w:val="en-US"/>
                <w14:textFill>
                  <w14:solidFill>
                    <w14:schemeClr w14:val="tx1"/>
                  </w14:solidFill>
                </w14:textFill>
              </w:rPr>
            </w:pPr>
            <w:r>
              <w:rPr>
                <w:rFonts w:hint="default" w:ascii="宋体" w:hAnsi="宋体" w:cs="宋体"/>
                <w:color w:val="000000" w:themeColor="text1"/>
                <w:sz w:val="24"/>
                <w:lang w:val="en-US"/>
                <w14:textFill>
                  <w14:solidFill>
                    <w14:schemeClr w14:val="tx1"/>
                  </w14:solidFill>
                </w14:textFill>
              </w:rPr>
              <w:t>（汇保证金款项时必须注明项目名称及编号）</w:t>
            </w:r>
          </w:p>
          <w:p>
            <w:pPr>
              <w:spacing w:line="511" w:lineRule="exact"/>
              <w:rPr>
                <w:rFonts w:hint="default" w:ascii="宋体" w:hAnsi="宋体" w:eastAsia="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14:textFill>
                  <w14:solidFill>
                    <w14:schemeClr w14:val="tx1"/>
                  </w14:solidFill>
                </w14:textFill>
              </w:rPr>
              <w:t>联系人：</w:t>
            </w:r>
            <w:r>
              <w:rPr>
                <w:rFonts w:hint="eastAsia" w:ascii="宋体" w:hAnsi="宋体" w:eastAsia="宋体" w:cs="宋体"/>
                <w:color w:val="000000" w:themeColor="text1"/>
                <w:sz w:val="24"/>
                <w:lang w:val="en-US" w:eastAsia="zh-CN"/>
                <w14:textFill>
                  <w14:solidFill>
                    <w14:schemeClr w14:val="tx1"/>
                  </w14:solidFill>
                </w14:textFill>
              </w:rPr>
              <w:t>王浩</w:t>
            </w:r>
            <w:r>
              <w:rPr>
                <w:rFonts w:hint="default" w:ascii="宋体" w:hAnsi="宋体" w:cs="宋体"/>
                <w:color w:val="000000" w:themeColor="text1"/>
                <w:sz w:val="24"/>
                <w:lang w:val="en-US"/>
                <w14:textFill>
                  <w14:solidFill>
                    <w14:schemeClr w14:val="tx1"/>
                  </w14:solidFill>
                </w14:textFill>
              </w:rPr>
              <w:t>  联系电话：</w:t>
            </w:r>
            <w:r>
              <w:rPr>
                <w:rFonts w:hint="eastAsia" w:ascii="宋体" w:hAnsi="宋体" w:eastAsia="宋体" w:cs="宋体"/>
                <w:color w:val="000000" w:themeColor="text1"/>
                <w:sz w:val="24"/>
                <w:lang w:val="en-US" w:eastAsia="zh-CN"/>
                <w14:textFill>
                  <w14:solidFill>
                    <w14:schemeClr w14:val="tx1"/>
                  </w14:solidFill>
                </w14:textFill>
              </w:rPr>
              <w:t>18997755208</w:t>
            </w:r>
          </w:p>
          <w:p>
            <w:pPr>
              <w:spacing w:line="511" w:lineRule="exact"/>
              <w:rPr>
                <w:rFonts w:hint="default" w:ascii="宋体" w:hAnsi="宋体" w:cs="宋体"/>
                <w:color w:val="000000" w:themeColor="text1"/>
                <w:sz w:val="24"/>
                <w:lang w:val="en-US"/>
                <w14:textFill>
                  <w14:solidFill>
                    <w14:schemeClr w14:val="tx1"/>
                  </w14:solidFill>
                </w14:textFill>
              </w:rPr>
            </w:pPr>
            <w:r>
              <w:rPr>
                <w:rFonts w:hint="default" w:ascii="宋体" w:hAnsi="宋体" w:cs="宋体"/>
                <w:color w:val="000000" w:themeColor="text1"/>
                <w:sz w:val="24"/>
                <w:lang w:val="en-US"/>
                <w14:textFill>
                  <w14:solidFill>
                    <w14:schemeClr w14:val="tx1"/>
                  </w14:solidFill>
                </w14:textFill>
              </w:rPr>
              <w:t>投标保证金的退还：中标通知书发出之日起5个工作日内退还未中标人的投标保证金，中标单位投标保证金在与采购单位签订合同后，把合同扫描件和投标保证金银行转账回执单发到接收询价文件邮箱</w:t>
            </w:r>
            <w:r>
              <w:rPr>
                <w:rFonts w:hint="eastAsia" w:ascii="宋体" w:hAnsi="宋体" w:eastAsia="宋体" w:cs="宋体"/>
                <w:color w:val="000000" w:themeColor="text1"/>
                <w:sz w:val="24"/>
                <w:lang w:val="en-US" w:eastAsia="zh-CN"/>
                <w14:textFill>
                  <w14:solidFill>
                    <w14:schemeClr w14:val="tx1"/>
                  </w14:solidFill>
                </w14:textFill>
              </w:rPr>
              <w:t>420948144</w:t>
            </w:r>
            <w:r>
              <w:rPr>
                <w:rFonts w:hint="default" w:ascii="宋体" w:hAnsi="宋体" w:cs="宋体"/>
                <w:color w:val="000000" w:themeColor="text1"/>
                <w:sz w:val="24"/>
                <w:lang w:val="en-US"/>
                <w14:textFill>
                  <w14:solidFill>
                    <w14:schemeClr w14:val="tx1"/>
                  </w14:solidFill>
                </w14:textFill>
              </w:rPr>
              <w:t>@qq.com后，5个工作日内原账户退回。</w:t>
            </w:r>
          </w:p>
          <w:p>
            <w:pPr>
              <w:spacing w:line="511" w:lineRule="exact"/>
              <w:rPr>
                <w:rFonts w:hint="default" w:ascii="宋体" w:hAnsi="宋体" w:cs="宋体"/>
                <w:color w:val="000000" w:themeColor="text1"/>
                <w:sz w:val="24"/>
                <w:lang w:val="en-US"/>
                <w14:textFill>
                  <w14:solidFill>
                    <w14:schemeClr w14:val="tx1"/>
                  </w14:solidFill>
                </w14:textFill>
              </w:rPr>
            </w:pPr>
            <w:r>
              <w:rPr>
                <w:rFonts w:hint="default" w:ascii="宋体" w:hAnsi="宋体" w:cs="宋体"/>
                <w:color w:val="000000" w:themeColor="text1"/>
                <w:sz w:val="24"/>
                <w:lang w:val="en-US"/>
                <w14:textFill>
                  <w14:solidFill>
                    <w14:schemeClr w14:val="tx1"/>
                  </w14:solidFill>
                </w14:textFill>
              </w:rPr>
              <w:t>投标保证金金额：</w:t>
            </w:r>
            <w:r>
              <w:rPr>
                <w:rFonts w:hint="eastAsia" w:ascii="宋体" w:hAnsi="宋体" w:eastAsia="宋体" w:cs="宋体"/>
                <w:color w:val="000000" w:themeColor="text1"/>
                <w:sz w:val="24"/>
                <w:lang w:val="en-US" w:eastAsia="zh-CN"/>
                <w14:textFill>
                  <w14:solidFill>
                    <w14:schemeClr w14:val="tx1"/>
                  </w14:solidFill>
                </w14:textFill>
              </w:rPr>
              <w:t>8000</w:t>
            </w:r>
            <w:r>
              <w:rPr>
                <w:rFonts w:hint="default" w:ascii="宋体" w:hAnsi="宋体" w:cs="宋体"/>
                <w:color w:val="000000" w:themeColor="text1"/>
                <w:sz w:val="24"/>
                <w:lang w:val="en-US"/>
                <w14:textFill>
                  <w14:solidFill>
                    <w14:schemeClr w14:val="tx1"/>
                  </w14:solidFill>
                </w14:textFill>
              </w:rPr>
              <w:t>元（多缴少缴均为无效）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2</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其他可以不予退还投标保证金的情形</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发生以下情况投标保证金不予退还；</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（一）供应商在提交投标文件截止时间后撤回投标文件的；</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（二）供应商在投标文件中提供虚假材料的；</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（三）除因不可抗力或招标文件、询价通知书认可的情形以外，成交供应商不与采购人签订合同的；</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（四）供应商与采购人、其他供应商或者采购代理机构恶意串通的；</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（五）采购文件规定的其他情形。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3</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资格审查资料的特殊要求</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无</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4</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近年财务状况的年份要求</w:t>
            </w:r>
          </w:p>
        </w:tc>
        <w:tc>
          <w:tcPr>
            <w:tcW w:w="6280" w:type="dxa"/>
          </w:tcPr>
          <w:p>
            <w:pPr>
              <w:spacing w:line="511" w:lineRule="exact"/>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lang w:val="en-US" w:eastAsia="zh-CN"/>
                <w14:textFill>
                  <w14:solidFill>
                    <w14:schemeClr w14:val="tx1"/>
                  </w14:solidFill>
                </w14:textFill>
              </w:rPr>
              <w:t>2020年</w:t>
            </w:r>
            <w:r>
              <w:rPr>
                <w:rFonts w:hint="eastAsia" w:ascii="宋体" w:hAnsi="宋体" w:cs="宋体" w:eastAsiaTheme="minorEastAsia"/>
                <w:color w:val="000000" w:themeColor="text1"/>
                <w:sz w:val="24"/>
                <w14:textFill>
                  <w14:solidFill>
                    <w14:schemeClr w14:val="tx1"/>
                  </w14:solidFill>
                </w14:textFill>
              </w:rPr>
              <w:t>财务审计报告</w:t>
            </w:r>
            <w:r>
              <w:rPr>
                <w:rFonts w:hint="eastAsia" w:ascii="宋体" w:hAnsi="宋体" w:cs="宋体" w:eastAsiaTheme="minorEastAsia"/>
                <w:sz w:val="24"/>
                <w:lang w:val="en-US"/>
              </w:rPr>
              <w:t>，</w:t>
            </w:r>
            <w:r>
              <w:rPr>
                <w:rFonts w:ascii="宋体" w:hAnsi="宋体" w:eastAsia="宋体" w:cs="宋体"/>
                <w:color w:val="000000"/>
                <w:sz w:val="24"/>
                <w:szCs w:val="24"/>
                <w:highlight w:val="none"/>
              </w:rPr>
              <w:t>（新成立公司需提供银行资信证明）</w:t>
            </w:r>
            <w:r>
              <w:rPr>
                <w:rFonts w:hint="eastAsia" w:ascii="宋体" w:hAnsi="宋体" w:cs="宋体"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5</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备选投标方案</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不允许□允许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6</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投标文件份数及其他要求</w:t>
            </w:r>
          </w:p>
        </w:tc>
        <w:tc>
          <w:tcPr>
            <w:tcW w:w="6280" w:type="dxa"/>
          </w:tcPr>
          <w:p>
            <w:pPr>
              <w:spacing w:line="511" w:lineRule="exact"/>
              <w:ind w:firstLine="480" w:firstLineChars="200"/>
              <w:jc w:val="both"/>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正本 1份，副本</w:t>
            </w:r>
            <w:r>
              <w:rPr>
                <w:rFonts w:hint="eastAsia" w:ascii="宋体" w:hAnsi="宋体" w:cs="宋体" w:eastAsiaTheme="minorEastAsia"/>
                <w:bCs/>
                <w:color w:val="000000" w:themeColor="text1"/>
                <w:sz w:val="24"/>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份，电子U盘一份，开标一览表一份；投标人必须按招标文件规定制作投标文件，正副本单独密封。投标人必须制作“开标一览表”和“电子版U盘”并分别单独密封提交。</w:t>
            </w:r>
            <w:r>
              <w:rPr>
                <w:rFonts w:hint="eastAsia" w:ascii="宋体" w:hAnsi="宋体" w:cs="宋体"/>
                <w:bCs/>
                <w:color w:val="000000" w:themeColor="text1"/>
                <w:sz w:val="24"/>
                <w:lang w:eastAsia="zh-CN"/>
                <w14:textFill>
                  <w14:solidFill>
                    <w14:schemeClr w14:val="tx1"/>
                  </w14:solidFill>
                </w14:textFill>
              </w:rPr>
              <w:t>（电子版U盘必须是正本扫描件，并制作成与正本完全一致PDF格式文本及Word文档两个格式）</w:t>
            </w:r>
            <w:r>
              <w:rPr>
                <w:rFonts w:hint="eastAsia" w:ascii="宋体" w:hAnsi="宋体" w:cs="宋体"/>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7</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投标文件签字或盖章要求</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投标格式中要求法定代表人或授权人签字或盖章的，必须签字或盖章，否则做废标处理。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62" w:type="dxa"/>
          </w:tcPr>
          <w:p>
            <w:pPr>
              <w:spacing w:line="511" w:lineRule="exact"/>
              <w:jc w:val="center"/>
              <w:rPr>
                <w:rFonts w:ascii="宋体" w:hAnsi="宋体" w:cs="宋体"/>
                <w:color w:val="000000" w:themeColor="text1"/>
                <w:sz w:val="24"/>
                <w14:textFill>
                  <w14:solidFill>
                    <w14:schemeClr w14:val="tx1"/>
                  </w14:solidFill>
                </w14:textFill>
              </w:rPr>
            </w:pPr>
          </w:p>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w:t>
            </w:r>
            <w:r>
              <w:rPr>
                <w:rFonts w:hint="eastAsia" w:ascii="宋体" w:hAnsi="宋体" w:cs="宋体" w:eastAsiaTheme="minorEastAsia"/>
                <w:color w:val="000000" w:themeColor="text1"/>
                <w:sz w:val="24"/>
                <w14:textFill>
                  <w14:solidFill>
                    <w14:schemeClr w14:val="tx1"/>
                  </w14:solidFill>
                </w14:textFill>
              </w:rPr>
              <w:t>8</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封套上应载明的信息</w:t>
            </w:r>
          </w:p>
        </w:tc>
        <w:tc>
          <w:tcPr>
            <w:tcW w:w="6280" w:type="dxa"/>
          </w:tcPr>
          <w:p>
            <w:pPr>
              <w:widowControl/>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lang w:eastAsia="zh-CN"/>
                <w14:textFill>
                  <w14:solidFill>
                    <w14:schemeClr w14:val="tx1"/>
                  </w14:solidFill>
                </w14:textFill>
              </w:rPr>
              <w:t>疏勒县中等职业技术学校中餐烹饪专业耗材项目</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招标项目编号：在年月日时前不得开启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3.9</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投标截止时间</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eastAsia="宋体" w:cs="楷体"/>
                <w:spacing w:val="-3"/>
                <w:sz w:val="24"/>
                <w:szCs w:val="28"/>
                <w:highlight w:val="none"/>
                <w:lang w:eastAsia="zh-CN"/>
              </w:rPr>
              <w:t>2021年</w:t>
            </w:r>
            <w:r>
              <w:rPr>
                <w:rFonts w:hint="eastAsia" w:ascii="宋体" w:hAnsi="宋体" w:eastAsia="宋体" w:cs="楷体"/>
                <w:spacing w:val="-3"/>
                <w:sz w:val="24"/>
                <w:szCs w:val="28"/>
                <w:highlight w:val="none"/>
                <w:lang w:val="en-US" w:eastAsia="zh-CN"/>
              </w:rPr>
              <w:t>8</w:t>
            </w:r>
            <w:r>
              <w:rPr>
                <w:rFonts w:hint="eastAsia" w:ascii="宋体" w:hAnsi="宋体" w:eastAsia="宋体" w:cs="楷体"/>
                <w:spacing w:val="-3"/>
                <w:sz w:val="24"/>
                <w:szCs w:val="28"/>
                <w:highlight w:val="none"/>
                <w:lang w:eastAsia="zh-CN"/>
              </w:rPr>
              <w:t>月</w:t>
            </w:r>
            <w:r>
              <w:rPr>
                <w:rFonts w:hint="eastAsia" w:ascii="宋体" w:hAnsi="宋体" w:eastAsia="宋体" w:cs="楷体"/>
                <w:spacing w:val="-3"/>
                <w:sz w:val="24"/>
                <w:szCs w:val="28"/>
                <w:highlight w:val="none"/>
                <w:lang w:val="en-US" w:eastAsia="zh-CN"/>
              </w:rPr>
              <w:t>23</w:t>
            </w:r>
            <w:r>
              <w:rPr>
                <w:rFonts w:hint="eastAsia" w:ascii="宋体" w:hAnsi="宋体" w:eastAsia="宋体" w:cs="楷体"/>
                <w:spacing w:val="-3"/>
                <w:sz w:val="24"/>
                <w:szCs w:val="28"/>
                <w:highlight w:val="none"/>
                <w:lang w:eastAsia="zh-CN"/>
              </w:rPr>
              <w:t>日</w:t>
            </w:r>
            <w:r>
              <w:rPr>
                <w:rFonts w:hint="eastAsia" w:ascii="宋体" w:hAnsi="宋体" w:cs="宋体"/>
                <w:color w:val="000000" w:themeColor="text1"/>
                <w:sz w:val="24"/>
                <w14:textFill>
                  <w14:solidFill>
                    <w14:schemeClr w14:val="tx1"/>
                  </w14:solidFill>
                </w14:textFill>
              </w:rPr>
              <w:t>上午11:00(北京时间)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4.0</w:t>
            </w:r>
          </w:p>
        </w:tc>
        <w:tc>
          <w:tcPr>
            <w:tcW w:w="2725"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递交投标文件</w:t>
            </w:r>
          </w:p>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w:t>
            </w:r>
          </w:p>
        </w:tc>
        <w:tc>
          <w:tcPr>
            <w:tcW w:w="6280" w:type="dxa"/>
          </w:tcPr>
          <w:p>
            <w:pPr>
              <w:widowControl/>
              <w:spacing w:line="360" w:lineRule="auto"/>
              <w:ind w:right="565" w:rightChars="257"/>
              <w:jc w:val="both"/>
              <w:rPr>
                <w:color w:val="000000" w:themeColor="text1"/>
                <w:sz w:val="24"/>
                <w:szCs w:val="24"/>
                <w:highlight w:val="none"/>
                <w14:textFill>
                  <w14:solidFill>
                    <w14:schemeClr w14:val="tx1"/>
                  </w14:solidFill>
                </w14:textFill>
              </w:rPr>
            </w:pPr>
          </w:p>
          <w:p>
            <w:pPr>
              <w:widowControl/>
              <w:spacing w:line="360" w:lineRule="auto"/>
              <w:ind w:right="565" w:rightChars="257"/>
              <w:jc w:val="both"/>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喀什市明宇广场写字楼</w:t>
            </w:r>
            <w:r>
              <w:rPr>
                <w:rFonts w:hint="eastAsia" w:ascii="宋体" w:hAnsi="宋体" w:eastAsia="宋体" w:cs="宋体"/>
                <w:color w:val="000000" w:themeColor="text1"/>
                <w:sz w:val="24"/>
                <w:szCs w:val="24"/>
                <w:highlight w:val="none"/>
                <w:lang w:val="en-US" w:eastAsia="zh-CN"/>
                <w14:textFill>
                  <w14:solidFill>
                    <w14:schemeClr w14:val="tx1"/>
                  </w14:solidFill>
                </w14:textFill>
              </w:rPr>
              <w:t>5楼520会议室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eastAsiaTheme="minorEastAsia"/>
                <w:color w:val="000000" w:themeColor="text1"/>
                <w:sz w:val="24"/>
                <w14:textFill>
                  <w14:solidFill>
                    <w14:schemeClr w14:val="tx1"/>
                  </w14:solidFill>
                </w14:textFill>
              </w:rPr>
              <w:t>1</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投标文件退还</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否□是，退还时间：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4.2</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开标时间和</w:t>
            </w:r>
          </w:p>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w:t>
            </w:r>
          </w:p>
        </w:tc>
        <w:tc>
          <w:tcPr>
            <w:tcW w:w="6280" w:type="dxa"/>
          </w:tcPr>
          <w:p>
            <w:pPr>
              <w:spacing w:line="511"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开标时间：</w:t>
            </w:r>
            <w:r>
              <w:rPr>
                <w:rFonts w:hint="eastAsia" w:ascii="宋体" w:hAnsi="宋体" w:eastAsia="宋体" w:cs="楷体"/>
                <w:spacing w:val="-3"/>
                <w:sz w:val="24"/>
                <w:szCs w:val="28"/>
                <w:highlight w:val="none"/>
                <w:lang w:eastAsia="zh-CN"/>
              </w:rPr>
              <w:t>2021年</w:t>
            </w:r>
            <w:r>
              <w:rPr>
                <w:rFonts w:hint="eastAsia" w:ascii="宋体" w:hAnsi="宋体" w:eastAsia="宋体" w:cs="楷体"/>
                <w:spacing w:val="-3"/>
                <w:sz w:val="24"/>
                <w:szCs w:val="28"/>
                <w:highlight w:val="none"/>
                <w:lang w:val="en-US" w:eastAsia="zh-CN"/>
              </w:rPr>
              <w:t>8</w:t>
            </w:r>
            <w:r>
              <w:rPr>
                <w:rFonts w:hint="eastAsia" w:ascii="宋体" w:hAnsi="宋体" w:eastAsia="宋体" w:cs="楷体"/>
                <w:spacing w:val="-3"/>
                <w:sz w:val="24"/>
                <w:szCs w:val="28"/>
                <w:highlight w:val="none"/>
                <w:lang w:eastAsia="zh-CN"/>
              </w:rPr>
              <w:t>月</w:t>
            </w:r>
            <w:r>
              <w:rPr>
                <w:rFonts w:hint="eastAsia" w:ascii="宋体" w:hAnsi="宋体" w:eastAsia="宋体" w:cs="楷体"/>
                <w:spacing w:val="-3"/>
                <w:sz w:val="24"/>
                <w:szCs w:val="28"/>
                <w:highlight w:val="none"/>
                <w:lang w:val="en-US" w:eastAsia="zh-CN"/>
              </w:rPr>
              <w:t>23</w:t>
            </w:r>
            <w:r>
              <w:rPr>
                <w:rFonts w:hint="eastAsia" w:ascii="宋体" w:hAnsi="宋体" w:eastAsia="宋体" w:cs="楷体"/>
                <w:spacing w:val="-3"/>
                <w:sz w:val="24"/>
                <w:szCs w:val="28"/>
                <w:highlight w:val="none"/>
                <w:lang w:eastAsia="zh-CN"/>
              </w:rPr>
              <w:t>日</w:t>
            </w:r>
            <w:r>
              <w:rPr>
                <w:rFonts w:hint="eastAsia" w:ascii="宋体" w:hAnsi="宋体" w:cs="宋体"/>
                <w:color w:val="000000" w:themeColor="text1"/>
                <w:sz w:val="24"/>
                <w:highlight w:val="none"/>
                <w14:textFill>
                  <w14:solidFill>
                    <w14:schemeClr w14:val="tx1"/>
                  </w14:solidFill>
                </w14:textFill>
              </w:rPr>
              <w:t>上午11:00(北京时间)</w:t>
            </w:r>
          </w:p>
          <w:p>
            <w:pPr>
              <w:widowControl/>
              <w:spacing w:line="511" w:lineRule="exact"/>
              <w:rPr>
                <w:rFonts w:ascii="宋体" w:hAnsi="宋体" w:cs="宋体" w:eastAsiaTheme="minorEastAsia"/>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开标地点</w:t>
            </w:r>
            <w:r>
              <w:rPr>
                <w:rFonts w:hint="eastAsia" w:ascii="宋体" w:hAnsi="宋体" w:cs="宋体" w:eastAsiaTheme="minorEastAsia"/>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喀什市明宇广场写字楼</w:t>
            </w:r>
            <w:r>
              <w:rPr>
                <w:rFonts w:hint="eastAsia" w:ascii="宋体" w:hAnsi="宋体" w:eastAsia="宋体" w:cs="宋体"/>
                <w:color w:val="000000" w:themeColor="text1"/>
                <w:sz w:val="24"/>
                <w:szCs w:val="24"/>
                <w:highlight w:val="none"/>
                <w:lang w:val="en-US" w:eastAsia="zh-CN"/>
                <w14:textFill>
                  <w14:solidFill>
                    <w14:schemeClr w14:val="tx1"/>
                  </w14:solidFill>
                </w14:textFill>
              </w:rPr>
              <w:t>5楼520会议室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eastAsiaTheme="minorEastAsia"/>
                <w:color w:val="000000" w:themeColor="text1"/>
                <w:sz w:val="24"/>
                <w14:textFill>
                  <w14:solidFill>
                    <w14:schemeClr w14:val="tx1"/>
                  </w14:solidFill>
                </w14:textFill>
              </w:rPr>
              <w:t>3</w:t>
            </w:r>
          </w:p>
        </w:tc>
        <w:tc>
          <w:tcPr>
            <w:tcW w:w="2725"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评标委员会的</w:t>
            </w:r>
          </w:p>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组建</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评标委员会构成：</w:t>
            </w:r>
            <w:r>
              <w:rPr>
                <w:rFonts w:hint="eastAsia" w:ascii="宋体" w:hAnsi="宋体" w:cs="宋体" w:eastAsiaTheme="minorEastAsia"/>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人组成；</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4.4</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评标委员会推荐中标候选人人数</w:t>
            </w:r>
          </w:p>
        </w:tc>
        <w:tc>
          <w:tcPr>
            <w:tcW w:w="6280" w:type="dxa"/>
          </w:tcPr>
          <w:p>
            <w:pPr>
              <w:spacing w:line="511" w:lineRule="exact"/>
              <w:rPr>
                <w:rFonts w:ascii="宋体" w:hAnsi="宋体" w:cs="宋体"/>
                <w:color w:val="000000" w:themeColor="text1"/>
                <w:sz w:val="24"/>
                <w14:textFill>
                  <w14:solidFill>
                    <w14:schemeClr w14:val="tx1"/>
                  </w14:solidFill>
                </w14:textFill>
              </w:rPr>
            </w:pP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三人（第一中标人、第二</w:t>
            </w:r>
            <w:r>
              <w:rPr>
                <w:rFonts w:hint="eastAsia" w:ascii="宋体" w:hAnsi="宋体" w:eastAsia="宋体" w:cs="宋体"/>
                <w:color w:val="000000" w:themeColor="text1"/>
                <w:sz w:val="24"/>
                <w14:textFill>
                  <w14:solidFill>
                    <w14:schemeClr w14:val="tx1"/>
                  </w14:solidFill>
                </w14:textFill>
              </w:rPr>
              <w:t>候选</w:t>
            </w:r>
            <w:r>
              <w:rPr>
                <w:rFonts w:hint="eastAsia" w:ascii="宋体" w:hAnsi="宋体" w:cs="宋体"/>
                <w:color w:val="000000" w:themeColor="text1"/>
                <w:sz w:val="24"/>
                <w14:textFill>
                  <w14:solidFill>
                    <w14:schemeClr w14:val="tx1"/>
                  </w14:solidFill>
                </w14:textFill>
              </w:rPr>
              <w:t>中标人、第三</w:t>
            </w:r>
            <w:r>
              <w:rPr>
                <w:rFonts w:hint="eastAsia" w:ascii="宋体" w:hAnsi="宋体" w:eastAsia="宋体" w:cs="宋体"/>
                <w:color w:val="000000" w:themeColor="text1"/>
                <w:sz w:val="24"/>
                <w14:textFill>
                  <w14:solidFill>
                    <w14:schemeClr w14:val="tx1"/>
                  </w14:solidFill>
                </w14:textFill>
              </w:rPr>
              <w:t>候选</w:t>
            </w:r>
            <w:r>
              <w:rPr>
                <w:rFonts w:hint="eastAsia" w:ascii="宋体" w:hAnsi="宋体" w:cs="宋体"/>
                <w:color w:val="000000" w:themeColor="text1"/>
                <w:sz w:val="24"/>
                <w14:textFill>
                  <w14:solidFill>
                    <w14:schemeClr w14:val="tx1"/>
                  </w14:solidFill>
                </w14:textFill>
              </w:rPr>
              <w:t>中标人）</w:t>
            </w:r>
          </w:p>
          <w:p>
            <w:pPr>
              <w:jc w:val="righ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4.5</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中标候选人公告媒介及期限</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公告媒介：</w:t>
            </w:r>
            <w:r>
              <w:rPr>
                <w:rFonts w:hint="eastAsia" w:ascii="宋体" w:hAnsi="宋体" w:eastAsia="宋体" w:cs="宋体"/>
                <w:color w:val="000000" w:themeColor="text1"/>
                <w:sz w:val="24"/>
                <w14:textFill>
                  <w14:solidFill>
                    <w14:schemeClr w14:val="tx1"/>
                  </w14:solidFill>
                </w14:textFill>
              </w:rPr>
              <w:t>自治区</w:t>
            </w:r>
            <w:r>
              <w:rPr>
                <w:rFonts w:hint="eastAsia" w:ascii="宋体" w:hAnsi="宋体" w:cs="宋体"/>
                <w:color w:val="000000" w:themeColor="text1"/>
                <w:sz w:val="24"/>
                <w14:textFill>
                  <w14:solidFill>
                    <w14:schemeClr w14:val="tx1"/>
                  </w14:solidFill>
                </w14:textFill>
              </w:rPr>
              <w:t>政府采购网</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公告期限：</w:t>
            </w:r>
            <w:r>
              <w:rPr>
                <w:rFonts w:hint="eastAsia" w:ascii="宋体" w:hAnsi="宋体" w:cs="宋体"/>
                <w:color w:val="000000" w:themeColor="text1"/>
                <w:sz w:val="24"/>
                <w:u w:val="single"/>
                <w14:textFill>
                  <w14:solidFill>
                    <w14:schemeClr w14:val="tx1"/>
                  </w14:solidFill>
                </w14:textFill>
              </w:rPr>
              <w:t xml:space="preserve"> 1</w:t>
            </w:r>
            <w:r>
              <w:rPr>
                <w:rFonts w:hint="eastAsia" w:ascii="宋体" w:hAnsi="宋体" w:cs="宋体"/>
                <w:color w:val="000000" w:themeColor="text1"/>
                <w:sz w:val="24"/>
                <w14:textFill>
                  <w14:solidFill>
                    <w14:schemeClr w14:val="tx1"/>
                  </w14:solidFill>
                </w14:textFill>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4.6</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是否授权评标委员会确定中标人</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是</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4.7</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履约保证金</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□不要求</w:t>
            </w: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要求。履约保证金的形式：</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履约保证金的金额：签订采购合同</w:t>
            </w:r>
            <w:r>
              <w:rPr>
                <w:rFonts w:hint="eastAsia" w:ascii="宋体" w:hAnsi="宋体" w:cs="宋体" w:eastAsiaTheme="minorEastAsia"/>
                <w:color w:val="000000" w:themeColor="text1"/>
                <w:sz w:val="24"/>
                <w14:textFill>
                  <w14:solidFill>
                    <w14:schemeClr w14:val="tx1"/>
                  </w14:solidFill>
                </w14:textFill>
              </w:rPr>
              <w:t>前</w:t>
            </w:r>
            <w:r>
              <w:rPr>
                <w:rFonts w:hint="eastAsia" w:ascii="宋体" w:hAnsi="宋体" w:cs="宋体"/>
                <w:color w:val="000000" w:themeColor="text1"/>
                <w:sz w:val="24"/>
                <w14:textFill>
                  <w14:solidFill>
                    <w14:schemeClr w14:val="tx1"/>
                  </w14:solidFill>
                </w14:textFill>
              </w:rPr>
              <w:t>须向采购方支付合同金额</w:t>
            </w:r>
            <w:r>
              <w:rPr>
                <w:rFonts w:hint="eastAsia" w:ascii="宋体" w:hAnsi="宋体" w:cs="宋体" w:eastAsiaTheme="minorEastAsia"/>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2" w:type="dxa"/>
            <w:vAlign w:val="center"/>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4.8</w:t>
            </w:r>
          </w:p>
        </w:tc>
        <w:tc>
          <w:tcPr>
            <w:tcW w:w="2725" w:type="dxa"/>
            <w:vAlign w:val="center"/>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踏勘现场</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组织，</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2" w:type="dxa"/>
            <w:vAlign w:val="center"/>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4.9</w:t>
            </w:r>
          </w:p>
        </w:tc>
        <w:tc>
          <w:tcPr>
            <w:tcW w:w="2725" w:type="dxa"/>
            <w:vAlign w:val="center"/>
          </w:tcPr>
          <w:p>
            <w:pPr>
              <w:adjustRightInd w:val="0"/>
              <w:snapToGrid w:val="0"/>
              <w:spacing w:line="511"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招标代理服务费</w:t>
            </w:r>
          </w:p>
        </w:tc>
        <w:tc>
          <w:tcPr>
            <w:tcW w:w="6280" w:type="dxa"/>
            <w:shd w:val="clear" w:color="auto" w:fill="auto"/>
          </w:tcPr>
          <w:p>
            <w:pPr>
              <w:spacing w:line="511" w:lineRule="exact"/>
              <w:jc w:val="both"/>
              <w:rPr>
                <w:rFonts w:hint="eastAsia"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14:textFill>
                  <w14:solidFill>
                    <w14:schemeClr w14:val="tx1"/>
                  </w14:solidFill>
                </w14:textFill>
              </w:rPr>
              <w:t>中标服务费：根据发改委价格[2015]299文件：经采购单位与招标代理公司协商确定代理服务费按照中标价的1.5%收取。（由中标供应商支付）</w:t>
            </w:r>
          </w:p>
          <w:p>
            <w:pPr>
              <w:spacing w:line="511" w:lineRule="exact"/>
              <w:jc w:val="both"/>
              <w:rPr>
                <w:rFonts w:hint="eastAsia"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14:textFill>
                  <w14:solidFill>
                    <w14:schemeClr w14:val="tx1"/>
                  </w14:solidFill>
                </w14:textFill>
              </w:rPr>
              <w:t xml:space="preserve">支付形式：对公转账  </w:t>
            </w:r>
          </w:p>
          <w:p>
            <w:pPr>
              <w:spacing w:line="511" w:lineRule="exact"/>
              <w:jc w:val="both"/>
              <w:rPr>
                <w:rFonts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14:textFill>
                  <w14:solidFill>
                    <w14:schemeClr w14:val="tx1"/>
                  </w14:solidFill>
                </w14:textFill>
              </w:rPr>
              <w:t>支付时间：领取中标通知书时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2" w:type="dxa"/>
            <w:vAlign w:val="center"/>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5.0</w:t>
            </w:r>
          </w:p>
        </w:tc>
        <w:tc>
          <w:tcPr>
            <w:tcW w:w="2725" w:type="dxa"/>
            <w:vAlign w:val="center"/>
          </w:tcPr>
          <w:p>
            <w:pPr>
              <w:adjustRightInd w:val="0"/>
              <w:snapToGrid w:val="0"/>
              <w:spacing w:line="511"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答疑</w:t>
            </w:r>
          </w:p>
        </w:tc>
        <w:tc>
          <w:tcPr>
            <w:tcW w:w="6280" w:type="dxa"/>
          </w:tcPr>
          <w:p>
            <w:pPr>
              <w:pStyle w:val="74"/>
              <w:spacing w:before="53" w:line="511" w:lineRule="exact"/>
              <w:ind w:left="107" w:right="94"/>
              <w:jc w:val="both"/>
              <w:rPr>
                <w:rFonts w:eastAsiaTheme="minorEastAsia"/>
                <w:color w:val="000000" w:themeColor="text1"/>
                <w:sz w:val="24"/>
                <w14:textFill>
                  <w14:solidFill>
                    <w14:schemeClr w14:val="tx1"/>
                  </w14:solidFill>
                </w14:textFill>
              </w:rPr>
            </w:pPr>
            <w:r>
              <w:rPr>
                <w:color w:val="000000" w:themeColor="text1"/>
                <w:sz w:val="24"/>
                <w14:textFill>
                  <w14:solidFill>
                    <w14:schemeClr w14:val="tx1"/>
                  </w14:solidFill>
                </w14:textFill>
              </w:rPr>
              <w:t>逾期不予受理，</w:t>
            </w:r>
            <w:r>
              <w:rPr>
                <w:rFonts w:hint="eastAsia" w:eastAsiaTheme="minorEastAsia"/>
                <w:color w:val="000000" w:themeColor="text1"/>
                <w:sz w:val="24"/>
                <w14:textFill>
                  <w14:solidFill>
                    <w14:schemeClr w14:val="tx1"/>
                  </w14:solidFill>
                </w14:textFill>
              </w:rPr>
              <w:t>投标人对本招标文件存在</w:t>
            </w:r>
            <w:r>
              <w:rPr>
                <w:color w:val="000000" w:themeColor="text1"/>
                <w:sz w:val="24"/>
                <w14:textFill>
                  <w14:solidFill>
                    <w14:schemeClr w14:val="tx1"/>
                  </w14:solidFill>
                </w14:textFill>
              </w:rPr>
              <w:t>疑问的</w:t>
            </w:r>
            <w:r>
              <w:rPr>
                <w:rFonts w:hint="eastAsia"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提出与答疑获取详见招标文件第三章投标供应商须知第</w:t>
            </w:r>
            <w:r>
              <w:rPr>
                <w:rFonts w:ascii="Times New Roman" w:eastAsia="Times New Roman"/>
                <w:b/>
                <w:color w:val="000000" w:themeColor="text1"/>
                <w:sz w:val="24"/>
                <w14:textFill>
                  <w14:solidFill>
                    <w14:schemeClr w14:val="tx1"/>
                  </w14:solidFill>
                </w14:textFill>
              </w:rPr>
              <w:t xml:space="preserve">13 </w:t>
            </w:r>
            <w:r>
              <w:rPr>
                <w:color w:val="000000" w:themeColor="text1"/>
                <w:sz w:val="24"/>
                <w14:textFill>
                  <w14:solidFill>
                    <w14:schemeClr w14:val="tx1"/>
                  </w14:solidFill>
                </w14:textFill>
              </w:rPr>
              <w:t>条。</w:t>
            </w:r>
          </w:p>
        </w:tc>
      </w:tr>
    </w:tbl>
    <w:p>
      <w:pPr>
        <w:spacing w:line="511" w:lineRule="exact"/>
        <w:rPr>
          <w:rFonts w:ascii="Times New Roman" w:eastAsiaTheme="minorEastAsia"/>
          <w:color w:val="000000" w:themeColor="text1"/>
          <w:sz w:val="24"/>
          <w14:textFill>
            <w14:solidFill>
              <w14:schemeClr w14:val="tx1"/>
            </w14:solidFill>
          </w14:textFill>
        </w:rPr>
        <w:sectPr>
          <w:pgSz w:w="11910" w:h="16850"/>
          <w:pgMar w:top="1440" w:right="1080" w:bottom="1440" w:left="1080" w:header="877" w:footer="1068" w:gutter="0"/>
          <w:cols w:space="720" w:num="1"/>
        </w:sectPr>
      </w:pPr>
    </w:p>
    <w:p>
      <w:pPr>
        <w:pStyle w:val="3"/>
        <w:spacing w:line="511" w:lineRule="exact"/>
        <w:jc w:val="center"/>
        <w:rPr>
          <w:rFonts w:asciiTheme="minorEastAsia" w:hAnsiTheme="minorEastAsia" w:eastAsiaTheme="minorEastAsia"/>
          <w:b/>
          <w:color w:val="000000" w:themeColor="text1"/>
          <w14:textFill>
            <w14:solidFill>
              <w14:schemeClr w14:val="tx1"/>
            </w14:solidFill>
          </w14:textFill>
        </w:rPr>
      </w:pPr>
      <w:bookmarkStart w:id="8" w:name="_bookmark2"/>
      <w:bookmarkEnd w:id="8"/>
      <w:bookmarkStart w:id="9" w:name="第三章_投标供应商须知"/>
      <w:bookmarkEnd w:id="9"/>
      <w:bookmarkStart w:id="10" w:name="_Toc2571"/>
      <w:r>
        <w:rPr>
          <w:rFonts w:hint="eastAsia" w:asciiTheme="minorEastAsia" w:hAnsiTheme="minorEastAsia" w:eastAsiaTheme="minorEastAsia"/>
          <w:b/>
          <w:color w:val="000000" w:themeColor="text1"/>
          <w14:textFill>
            <w14:solidFill>
              <w14:schemeClr w14:val="tx1"/>
            </w14:solidFill>
          </w14:textFill>
        </w:rPr>
        <w:t>第</w:t>
      </w:r>
      <w:r>
        <w:rPr>
          <w:rFonts w:asciiTheme="minorEastAsia" w:hAnsiTheme="minorEastAsia" w:eastAsiaTheme="minorEastAsia"/>
          <w:b/>
          <w:color w:val="000000" w:themeColor="text1"/>
          <w14:textFill>
            <w14:solidFill>
              <w14:schemeClr w14:val="tx1"/>
            </w14:solidFill>
          </w14:textFill>
        </w:rPr>
        <w:t>三章 投标供应商须知</w:t>
      </w:r>
      <w:bookmarkEnd w:id="10"/>
    </w:p>
    <w:p>
      <w:pPr>
        <w:pStyle w:val="4"/>
        <w:tabs>
          <w:tab w:val="left" w:pos="1406"/>
        </w:tabs>
        <w:spacing w:before="139" w:line="511" w:lineRule="exact"/>
        <w:ind w:right="716"/>
        <w:rPr>
          <w:color w:val="000000" w:themeColor="text1"/>
          <w14:textFill>
            <w14:solidFill>
              <w14:schemeClr w14:val="tx1"/>
            </w14:solidFill>
          </w14:textFill>
        </w:rPr>
      </w:pPr>
      <w:bookmarkStart w:id="11" w:name="_bookmark3"/>
      <w:bookmarkEnd w:id="11"/>
      <w:bookmarkStart w:id="12" w:name="一．总____则"/>
      <w:bookmarkEnd w:id="12"/>
      <w:bookmarkStart w:id="13" w:name="_Toc4153"/>
      <w:r>
        <w:rPr>
          <w:color w:val="000000" w:themeColor="text1"/>
          <w14:textFill>
            <w14:solidFill>
              <w14:schemeClr w14:val="tx1"/>
            </w14:solidFill>
          </w14:textFill>
        </w:rPr>
        <w:t>一．总则</w:t>
      </w:r>
      <w:bookmarkEnd w:id="13"/>
    </w:p>
    <w:p>
      <w:pPr>
        <w:pStyle w:val="72"/>
        <w:numPr>
          <w:ilvl w:val="0"/>
          <w:numId w:val="3"/>
        </w:numPr>
        <w:spacing w:before="66"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适用范围</w:t>
      </w:r>
    </w:p>
    <w:p>
      <w:pPr>
        <w:pStyle w:val="14"/>
        <w:numPr>
          <w:ilvl w:val="1"/>
          <w:numId w:val="3"/>
        </w:num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本招标文件仅适用于本次公开招标所述的</w:t>
      </w:r>
      <w:r>
        <w:rPr>
          <w:rFonts w:hint="eastAsia" w:ascii="宋体" w:hAnsi="宋体" w:eastAsia="宋体"/>
          <w:color w:val="000000" w:themeColor="text1"/>
          <w14:textFill>
            <w14:solidFill>
              <w14:schemeClr w14:val="tx1"/>
            </w14:solidFill>
          </w14:textFill>
        </w:rPr>
        <w:t>货物</w:t>
      </w:r>
      <w:r>
        <w:rPr>
          <w:rFonts w:ascii="宋体" w:hAnsi="宋体" w:eastAsia="宋体"/>
          <w:color w:val="000000" w:themeColor="text1"/>
          <w14:textFill>
            <w14:solidFill>
              <w14:schemeClr w14:val="tx1"/>
            </w14:solidFill>
          </w14:textFill>
        </w:rPr>
        <w:t>项目采购。</w:t>
      </w:r>
    </w:p>
    <w:p>
      <w:pPr>
        <w:pStyle w:val="72"/>
        <w:numPr>
          <w:ilvl w:val="0"/>
          <w:numId w:val="3"/>
        </w:num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有关定义</w:t>
      </w:r>
    </w:p>
    <w:p>
      <w:pPr>
        <w:pStyle w:val="72"/>
        <w:numPr>
          <w:ilvl w:val="1"/>
          <w:numId w:val="4"/>
        </w:numPr>
        <w:tabs>
          <w:tab w:val="left" w:pos="1374"/>
        </w:tabs>
        <w:spacing w:line="360" w:lineRule="auto"/>
        <w:ind w:left="567" w:right="220" w:rightChars="100" w:firstLine="471"/>
        <w:rPr>
          <w:rFonts w:ascii="宋体" w:hAnsi="宋体" w:eastAsia="宋体"/>
          <w:color w:val="000000" w:themeColor="text1"/>
          <w:spacing w:val="-12"/>
          <w:sz w:val="24"/>
          <w:szCs w:val="24"/>
          <w14:textFill>
            <w14:solidFill>
              <w14:schemeClr w14:val="tx1"/>
            </w14:solidFill>
          </w14:textFill>
        </w:rPr>
      </w:pPr>
      <w:r>
        <w:rPr>
          <w:rFonts w:ascii="宋体" w:hAnsi="宋体" w:eastAsia="宋体"/>
          <w:color w:val="000000" w:themeColor="text1"/>
          <w:spacing w:val="-12"/>
          <w:sz w:val="24"/>
          <w:szCs w:val="24"/>
          <w14:textFill>
            <w14:solidFill>
              <w14:schemeClr w14:val="tx1"/>
            </w14:solidFill>
          </w14:textFill>
        </w:rPr>
        <w:t>政府采购监督管理部门：</w:t>
      </w:r>
      <w:r>
        <w:rPr>
          <w:rFonts w:hint="eastAsia" w:eastAsia="宋体"/>
          <w:sz w:val="24"/>
          <w:szCs w:val="24"/>
          <w:lang w:val="en-US" w:eastAsia="zh-CN"/>
        </w:rPr>
        <w:t>疏勒</w:t>
      </w:r>
      <w:r>
        <w:rPr>
          <w:rFonts w:hint="eastAsia"/>
          <w:sz w:val="24"/>
          <w:szCs w:val="24"/>
          <w:lang w:val="en-US"/>
        </w:rPr>
        <w:t>县财政局政府采购管理办公室</w:t>
      </w:r>
      <w:r>
        <w:rPr>
          <w:rFonts w:ascii="宋体" w:hAnsi="宋体" w:eastAsia="宋体"/>
          <w:color w:val="000000" w:themeColor="text1"/>
          <w:spacing w:val="-12"/>
          <w:sz w:val="24"/>
          <w:szCs w:val="24"/>
          <w14:textFill>
            <w14:solidFill>
              <w14:schemeClr w14:val="tx1"/>
            </w14:solidFill>
          </w14:textFill>
        </w:rPr>
        <w:t>。</w:t>
      </w:r>
    </w:p>
    <w:p>
      <w:pPr>
        <w:pStyle w:val="72"/>
        <w:numPr>
          <w:ilvl w:val="1"/>
          <w:numId w:val="4"/>
        </w:numPr>
        <w:tabs>
          <w:tab w:val="left" w:pos="1374"/>
        </w:tabs>
        <w:spacing w:line="360" w:lineRule="auto"/>
        <w:ind w:left="567" w:right="220" w:rightChars="100" w:firstLine="471"/>
        <w:rPr>
          <w:rFonts w:ascii="宋体" w:hAnsi="宋体" w:eastAsia="宋体"/>
          <w:color w:val="000000" w:themeColor="text1"/>
          <w:spacing w:val="-12"/>
          <w:sz w:val="24"/>
          <w:szCs w:val="24"/>
          <w14:textFill>
            <w14:solidFill>
              <w14:schemeClr w14:val="tx1"/>
            </w14:solidFill>
          </w14:textFill>
        </w:rPr>
      </w:pPr>
      <w:r>
        <w:rPr>
          <w:rFonts w:ascii="宋体" w:hAnsi="宋体" w:eastAsia="宋体"/>
          <w:color w:val="000000" w:themeColor="text1"/>
          <w:spacing w:val="-12"/>
          <w:sz w:val="24"/>
          <w:szCs w:val="24"/>
          <w14:textFill>
            <w14:solidFill>
              <w14:schemeClr w14:val="tx1"/>
            </w14:solidFill>
          </w14:textFill>
        </w:rPr>
        <w:t>采购人：系指本次采购项目的业主方。</w:t>
      </w:r>
    </w:p>
    <w:p>
      <w:pPr>
        <w:pStyle w:val="72"/>
        <w:numPr>
          <w:ilvl w:val="1"/>
          <w:numId w:val="4"/>
        </w:numPr>
        <w:tabs>
          <w:tab w:val="left" w:pos="1374"/>
        </w:tabs>
        <w:spacing w:line="360" w:lineRule="auto"/>
        <w:ind w:left="567" w:right="220" w:rightChars="100" w:firstLine="471"/>
        <w:rPr>
          <w:rFonts w:ascii="宋体" w:hAnsi="宋体" w:eastAsia="宋体"/>
          <w:color w:val="000000" w:themeColor="text1"/>
          <w:spacing w:val="-12"/>
          <w:sz w:val="24"/>
          <w:szCs w:val="24"/>
          <w14:textFill>
            <w14:solidFill>
              <w14:schemeClr w14:val="tx1"/>
            </w14:solidFill>
          </w14:textFill>
        </w:rPr>
      </w:pPr>
      <w:r>
        <w:rPr>
          <w:rFonts w:ascii="宋体" w:hAnsi="宋体" w:eastAsia="宋体"/>
          <w:color w:val="000000" w:themeColor="text1"/>
          <w:spacing w:val="-12"/>
          <w:sz w:val="24"/>
          <w:szCs w:val="24"/>
          <w14:textFill>
            <w14:solidFill>
              <w14:schemeClr w14:val="tx1"/>
            </w14:solidFill>
          </w14:textFill>
        </w:rPr>
        <w:t>委托人：系指本次采购项目的委托方</w:t>
      </w:r>
      <w:r>
        <w:rPr>
          <w:rFonts w:hint="eastAsia" w:ascii="宋体" w:hAnsi="宋体" w:eastAsia="宋体"/>
          <w:color w:val="000000" w:themeColor="text1"/>
          <w:spacing w:val="-12"/>
          <w:sz w:val="24"/>
          <w:szCs w:val="24"/>
          <w14:textFill>
            <w14:solidFill>
              <w14:schemeClr w14:val="tx1"/>
            </w14:solidFill>
          </w14:textFill>
        </w:rPr>
        <w:t>。</w:t>
      </w:r>
    </w:p>
    <w:p>
      <w:pPr>
        <w:pStyle w:val="72"/>
        <w:numPr>
          <w:ilvl w:val="1"/>
          <w:numId w:val="4"/>
        </w:numPr>
        <w:tabs>
          <w:tab w:val="left" w:pos="1374"/>
        </w:tabs>
        <w:spacing w:line="360" w:lineRule="auto"/>
        <w:ind w:left="567" w:right="220" w:rightChars="100" w:firstLine="471"/>
        <w:rPr>
          <w:rFonts w:ascii="宋体" w:hAnsi="宋体" w:eastAsia="宋体"/>
          <w:color w:val="000000" w:themeColor="text1"/>
          <w:spacing w:val="-12"/>
          <w:sz w:val="24"/>
          <w:szCs w:val="24"/>
          <w14:textFill>
            <w14:solidFill>
              <w14:schemeClr w14:val="tx1"/>
            </w14:solidFill>
          </w14:textFill>
        </w:rPr>
      </w:pPr>
      <w:r>
        <w:rPr>
          <w:rFonts w:ascii="宋体" w:hAnsi="宋体" w:eastAsia="宋体"/>
          <w:color w:val="000000" w:themeColor="text1"/>
          <w:spacing w:val="-12"/>
          <w:sz w:val="24"/>
          <w:szCs w:val="24"/>
          <w14:textFill>
            <w14:solidFill>
              <w14:schemeClr w14:val="tx1"/>
            </w14:solidFill>
          </w14:textFill>
        </w:rPr>
        <w:t>采购机构：系指</w:t>
      </w:r>
      <w:r>
        <w:rPr>
          <w:rFonts w:hint="eastAsia" w:ascii="宋体" w:hAnsi="宋体" w:eastAsia="宋体"/>
          <w:color w:val="000000" w:themeColor="text1"/>
          <w:spacing w:val="-12"/>
          <w:sz w:val="24"/>
          <w:szCs w:val="24"/>
          <w:lang w:eastAsia="zh-CN"/>
          <w14:textFill>
            <w14:solidFill>
              <w14:schemeClr w14:val="tx1"/>
            </w14:solidFill>
          </w14:textFill>
        </w:rPr>
        <w:t>新疆永信国金工程管理咨询有限公司</w:t>
      </w:r>
      <w:r>
        <w:rPr>
          <w:rFonts w:ascii="宋体" w:hAnsi="宋体" w:eastAsia="宋体"/>
          <w:color w:val="000000" w:themeColor="text1"/>
          <w:spacing w:val="-12"/>
          <w:sz w:val="24"/>
          <w:szCs w:val="24"/>
          <w14:textFill>
            <w14:solidFill>
              <w14:schemeClr w14:val="tx1"/>
            </w14:solidFill>
          </w14:textFill>
        </w:rPr>
        <w:t>。</w:t>
      </w:r>
    </w:p>
    <w:p>
      <w:pPr>
        <w:pStyle w:val="72"/>
        <w:numPr>
          <w:ilvl w:val="1"/>
          <w:numId w:val="4"/>
        </w:numPr>
        <w:tabs>
          <w:tab w:val="left" w:pos="1374"/>
        </w:tabs>
        <w:spacing w:line="360" w:lineRule="auto"/>
        <w:ind w:left="567" w:right="220" w:rightChars="100" w:firstLine="471"/>
        <w:jc w:val="both"/>
        <w:rPr>
          <w:rFonts w:ascii="宋体" w:hAnsi="宋体" w:eastAsia="宋体"/>
          <w:color w:val="000000" w:themeColor="text1"/>
          <w:spacing w:val="-12"/>
          <w:sz w:val="24"/>
          <w:szCs w:val="24"/>
          <w14:textFill>
            <w14:solidFill>
              <w14:schemeClr w14:val="tx1"/>
            </w14:solidFill>
          </w14:textFill>
        </w:rPr>
      </w:pPr>
      <w:r>
        <w:rPr>
          <w:rFonts w:ascii="宋体" w:hAnsi="宋体" w:eastAsia="宋体"/>
          <w:color w:val="000000" w:themeColor="text1"/>
          <w:spacing w:val="-12"/>
          <w:sz w:val="24"/>
          <w:szCs w:val="24"/>
          <w14:textFill>
            <w14:solidFill>
              <w14:schemeClr w14:val="tx1"/>
            </w14:solidFill>
          </w14:textFill>
        </w:rPr>
        <w:t>投标供应商：系指响应招标、参加投标竞争的法人、其他组织或自然人。分支机构不得参加政府采购活动。</w:t>
      </w:r>
    </w:p>
    <w:p>
      <w:pPr>
        <w:pStyle w:val="72"/>
        <w:numPr>
          <w:ilvl w:val="1"/>
          <w:numId w:val="4"/>
        </w:numPr>
        <w:tabs>
          <w:tab w:val="left" w:pos="1374"/>
        </w:tabs>
        <w:spacing w:line="360" w:lineRule="auto"/>
        <w:ind w:left="567" w:right="220" w:rightChars="100"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12"/>
          <w:sz w:val="24"/>
          <w:szCs w:val="24"/>
          <w14:textFill>
            <w14:solidFill>
              <w14:schemeClr w14:val="tx1"/>
            </w14:solidFill>
          </w14:textFill>
        </w:rPr>
        <w:t>服务：系指除货物和工程以外的其他政府采购对象，包括咨询、调研、评估、规划、设计、监理、审计、保险、租赁、印刷、维修、物业管理等。</w:t>
      </w:r>
    </w:p>
    <w:p>
      <w:pPr>
        <w:pStyle w:val="72"/>
        <w:numPr>
          <w:ilvl w:val="1"/>
          <w:numId w:val="4"/>
        </w:numPr>
        <w:tabs>
          <w:tab w:val="left" w:pos="1374"/>
        </w:tabs>
        <w:spacing w:line="360" w:lineRule="auto"/>
        <w:ind w:left="567" w:right="220" w:rightChars="100"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本招标文件所要求的证书、认证、资质，均应当是有权机构颁发，且在有效期内的。</w:t>
      </w:r>
    </w:p>
    <w:p>
      <w:pPr>
        <w:pStyle w:val="72"/>
        <w:numPr>
          <w:ilvl w:val="1"/>
          <w:numId w:val="4"/>
        </w:numPr>
        <w:tabs>
          <w:tab w:val="left" w:pos="1383"/>
          <w:tab w:val="left" w:pos="1434"/>
        </w:tabs>
        <w:spacing w:before="5" w:line="360" w:lineRule="auto"/>
        <w:ind w:right="1239" w:firstLine="480"/>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时限（年份、月份等）计算：系指从开标之日向前追溯。</w:t>
      </w:r>
    </w:p>
    <w:p>
      <w:pPr>
        <w:pStyle w:val="72"/>
        <w:numPr>
          <w:ilvl w:val="1"/>
          <w:numId w:val="4"/>
        </w:numPr>
        <w:tabs>
          <w:tab w:val="left" w:pos="1383"/>
        </w:tabs>
        <w:spacing w:line="360" w:lineRule="auto"/>
        <w:ind w:left="567" w:right="220" w:rightChars="100"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业绩：除非本招标文件另有规定，业绩系指符合本招标文件规定且已服务完毕的</w:t>
      </w:r>
      <w:r>
        <w:rPr>
          <w:rFonts w:hint="eastAsia" w:ascii="宋体" w:hAnsi="宋体" w:eastAsia="宋体"/>
          <w:color w:val="000000" w:themeColor="text1"/>
          <w:sz w:val="24"/>
          <w:szCs w:val="24"/>
          <w14:textFill>
            <w14:solidFill>
              <w14:schemeClr w14:val="tx1"/>
            </w14:solidFill>
          </w14:textFill>
        </w:rPr>
        <w:t>或</w:t>
      </w:r>
      <w:r>
        <w:rPr>
          <w:rFonts w:ascii="宋体" w:hAnsi="宋体" w:eastAsia="宋体"/>
          <w:color w:val="000000" w:themeColor="text1"/>
          <w:sz w:val="24"/>
          <w:szCs w:val="24"/>
          <w14:textFill>
            <w14:solidFill>
              <w14:schemeClr w14:val="tx1"/>
            </w14:solidFill>
          </w14:textFill>
        </w:rPr>
        <w:t>与最终用户签订的合同及招标文件要求的相关证明。</w:t>
      </w:r>
      <w:r>
        <w:rPr>
          <w:rFonts w:hint="eastAsia" w:ascii="宋体" w:hAnsi="宋体" w:eastAsia="宋体"/>
          <w:color w:val="000000" w:themeColor="text1"/>
          <w:sz w:val="24"/>
          <w:szCs w:val="24"/>
          <w14:textFill>
            <w14:solidFill>
              <w14:schemeClr w14:val="tx1"/>
            </w14:solidFill>
          </w14:textFill>
        </w:rPr>
        <w:t>仅对投标企业业绩予以</w:t>
      </w:r>
      <w:r>
        <w:rPr>
          <w:rFonts w:ascii="宋体" w:hAnsi="宋体" w:eastAsia="宋体"/>
          <w:color w:val="000000" w:themeColor="text1"/>
          <w:sz w:val="24"/>
          <w:szCs w:val="24"/>
          <w14:textFill>
            <w14:solidFill>
              <w14:schemeClr w14:val="tx1"/>
            </w14:solidFill>
          </w14:textFill>
        </w:rPr>
        <w:t>认可。</w:t>
      </w:r>
    </w:p>
    <w:p>
      <w:pPr>
        <w:pStyle w:val="72"/>
        <w:numPr>
          <w:ilvl w:val="0"/>
          <w:numId w:val="3"/>
        </w:numPr>
        <w:spacing w:before="66"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投标费用</w:t>
      </w:r>
    </w:p>
    <w:p>
      <w:pPr>
        <w:pStyle w:val="14"/>
        <w:numPr>
          <w:ilvl w:val="1"/>
          <w:numId w:val="3"/>
        </w:numPr>
        <w:spacing w:line="360" w:lineRule="auto"/>
        <w:ind w:left="567" w:right="220" w:rightChars="100" w:firstLine="471"/>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无论投标结果如何，投标供应商应自行承担其编制与递交投标文件所涉及的一切费用。</w:t>
      </w:r>
    </w:p>
    <w:p>
      <w:pPr>
        <w:pStyle w:val="72"/>
        <w:numPr>
          <w:ilvl w:val="0"/>
          <w:numId w:val="3"/>
        </w:numPr>
        <w:spacing w:before="66"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合格的投标供应商</w:t>
      </w:r>
    </w:p>
    <w:p>
      <w:pPr>
        <w:pStyle w:val="72"/>
        <w:numPr>
          <w:ilvl w:val="1"/>
          <w:numId w:val="3"/>
        </w:numPr>
        <w:tabs>
          <w:tab w:val="left" w:pos="1383"/>
        </w:tabs>
        <w:spacing w:line="360" w:lineRule="auto"/>
        <w:ind w:right="220" w:rightChars="1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合格的投标供应商应符合招标文件载明的投标资格。</w:t>
      </w:r>
    </w:p>
    <w:p>
      <w:pPr>
        <w:pStyle w:val="72"/>
        <w:numPr>
          <w:ilvl w:val="1"/>
          <w:numId w:val="3"/>
        </w:numPr>
        <w:tabs>
          <w:tab w:val="left" w:pos="1383"/>
        </w:tabs>
        <w:spacing w:line="360" w:lineRule="auto"/>
        <w:ind w:right="220" w:rightChars="100"/>
        <w:rPr>
          <w:rFonts w:ascii="宋体" w:hAnsi="宋体" w:eastAsia="宋体"/>
          <w:color w:val="000000" w:themeColor="text1"/>
          <w:sz w:val="24"/>
          <w:szCs w:val="24"/>
          <w14:textFill>
            <w14:solidFill>
              <w14:schemeClr w14:val="tx1"/>
            </w14:solidFill>
          </w14:textFill>
        </w:rPr>
        <w:sectPr>
          <w:pgSz w:w="11910" w:h="16850"/>
          <w:pgMar w:top="1440" w:right="1080" w:bottom="1440" w:left="1080" w:header="877" w:footer="1068" w:gutter="0"/>
          <w:cols w:space="720" w:num="1"/>
          <w:docGrid w:linePitch="299" w:charSpace="0"/>
        </w:sectPr>
      </w:pPr>
      <w:r>
        <w:rPr>
          <w:rFonts w:hint="eastAsia" w:ascii="宋体" w:hAnsi="宋体" w:eastAsia="宋体"/>
          <w:color w:val="000000" w:themeColor="text1"/>
          <w:sz w:val="24"/>
          <w:szCs w:val="24"/>
          <w14:textFill>
            <w14:solidFill>
              <w14:schemeClr w14:val="tx1"/>
            </w14:solidFill>
          </w14:textFill>
        </w:rPr>
        <w:t>本</w:t>
      </w:r>
      <w:r>
        <w:rPr>
          <w:rFonts w:ascii="宋体" w:hAnsi="宋体" w:eastAsia="宋体"/>
          <w:color w:val="000000" w:themeColor="text1"/>
          <w:sz w:val="24"/>
          <w:szCs w:val="24"/>
          <w14:textFill>
            <w14:solidFill>
              <w14:schemeClr w14:val="tx1"/>
            </w14:solidFill>
          </w14:textFill>
        </w:rPr>
        <w:t>招标文件</w:t>
      </w:r>
      <w:r>
        <w:rPr>
          <w:rFonts w:hint="eastAsia" w:ascii="宋体" w:hAnsi="宋体" w:eastAsia="宋体"/>
          <w:color w:val="000000" w:themeColor="text1"/>
          <w:sz w:val="24"/>
          <w:szCs w:val="24"/>
          <w14:textFill>
            <w14:solidFill>
              <w14:schemeClr w14:val="tx1"/>
            </w14:solidFill>
          </w14:textFill>
        </w:rPr>
        <w:t>仅对投标企业主体的业绩、获得</w:t>
      </w:r>
      <w:r>
        <w:rPr>
          <w:rFonts w:ascii="宋体" w:hAnsi="宋体" w:eastAsia="宋体"/>
          <w:color w:val="000000" w:themeColor="text1"/>
          <w:sz w:val="24"/>
          <w:szCs w:val="24"/>
          <w14:textFill>
            <w14:solidFill>
              <w14:schemeClr w14:val="tx1"/>
            </w14:solidFill>
          </w14:textFill>
        </w:rPr>
        <w:t>荣誉等证明材料</w:t>
      </w:r>
      <w:r>
        <w:rPr>
          <w:rFonts w:hint="eastAsia" w:ascii="宋体" w:hAnsi="宋体" w:eastAsia="宋体"/>
          <w:color w:val="000000" w:themeColor="text1"/>
          <w:sz w:val="24"/>
          <w:szCs w:val="24"/>
          <w14:textFill>
            <w14:solidFill>
              <w14:schemeClr w14:val="tx1"/>
            </w14:solidFill>
          </w14:textFill>
        </w:rPr>
        <w:t>予以认可</w:t>
      </w:r>
      <w:r>
        <w:rPr>
          <w:rFonts w:ascii="宋体" w:hAnsi="宋体" w:eastAsia="宋体"/>
          <w:color w:val="000000" w:themeColor="text1"/>
          <w:sz w:val="24"/>
          <w:szCs w:val="24"/>
          <w14:textFill>
            <w14:solidFill>
              <w14:schemeClr w14:val="tx1"/>
            </w14:solidFill>
          </w14:textFill>
        </w:rPr>
        <w:t>。</w:t>
      </w:r>
    </w:p>
    <w:p>
      <w:pPr>
        <w:pStyle w:val="72"/>
        <w:numPr>
          <w:ilvl w:val="1"/>
          <w:numId w:val="3"/>
        </w:numPr>
        <w:tabs>
          <w:tab w:val="left" w:pos="1383"/>
        </w:tabs>
        <w:spacing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5"/>
          <w:sz w:val="24"/>
          <w:szCs w:val="24"/>
          <w14:textFill>
            <w14:solidFill>
              <w14:schemeClr w14:val="tx1"/>
            </w14:solidFill>
          </w14:textFill>
        </w:rPr>
        <w:t>单位负责人为同一人或者存在直接控股、管理关系的不同供应商，不得参加同一合</w:t>
      </w:r>
      <w:r>
        <w:rPr>
          <w:rFonts w:ascii="宋体" w:hAnsi="宋体" w:eastAsia="宋体"/>
          <w:color w:val="000000" w:themeColor="text1"/>
          <w:sz w:val="24"/>
          <w:szCs w:val="24"/>
          <w14:textFill>
            <w14:solidFill>
              <w14:schemeClr w14:val="tx1"/>
            </w14:solidFill>
          </w14:textFill>
        </w:rPr>
        <w:t>同项下的政府采购活动。</w:t>
      </w:r>
    </w:p>
    <w:p>
      <w:pPr>
        <w:pStyle w:val="72"/>
        <w:numPr>
          <w:ilvl w:val="1"/>
          <w:numId w:val="3"/>
        </w:numPr>
        <w:tabs>
          <w:tab w:val="left" w:pos="1383"/>
        </w:tabs>
        <w:spacing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除单一来源采购项目外，为采购项目提供整体设计、规范编制或者项目管理、监理、检测等服务的供应商，不得再参加该采购项目的其他采购活动。</w:t>
      </w:r>
    </w:p>
    <w:p>
      <w:pPr>
        <w:pStyle w:val="72"/>
        <w:numPr>
          <w:ilvl w:val="0"/>
          <w:numId w:val="3"/>
        </w:num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勘察现场</w:t>
      </w:r>
    </w:p>
    <w:p>
      <w:pPr>
        <w:pStyle w:val="72"/>
        <w:numPr>
          <w:ilvl w:val="1"/>
          <w:numId w:val="5"/>
        </w:numPr>
        <w:tabs>
          <w:tab w:val="left" w:pos="1383"/>
        </w:tabs>
        <w:spacing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4"/>
          <w:sz w:val="24"/>
          <w:szCs w:val="24"/>
          <w14:textFill>
            <w14:solidFill>
              <w14:schemeClr w14:val="tx1"/>
            </w14:solidFill>
          </w14:textFill>
        </w:rPr>
        <w:t>投标供应商应自行对服务现场和周围环境进行勘察，以获取编制投标文件和签署合同所需的资料。勘察现场的方式、地址及联系方式</w:t>
      </w:r>
      <w:r>
        <w:rPr>
          <w:rFonts w:hint="eastAsia" w:ascii="宋体" w:hAnsi="宋体" w:eastAsia="宋体"/>
          <w:color w:val="000000" w:themeColor="text1"/>
          <w:spacing w:val="-4"/>
          <w:sz w:val="24"/>
          <w:szCs w:val="24"/>
          <w14:textFill>
            <w14:solidFill>
              <w14:schemeClr w14:val="tx1"/>
            </w14:solidFill>
          </w14:textFill>
        </w:rPr>
        <w:t>投标商与业主方联系。</w:t>
      </w:r>
    </w:p>
    <w:p>
      <w:pPr>
        <w:pStyle w:val="72"/>
        <w:numPr>
          <w:ilvl w:val="1"/>
          <w:numId w:val="5"/>
        </w:numPr>
        <w:tabs>
          <w:tab w:val="left" w:pos="1383"/>
        </w:tabs>
        <w:spacing w:line="360" w:lineRule="auto"/>
        <w:ind w:left="567" w:right="567" w:firstLine="471"/>
        <w:jc w:val="both"/>
        <w:rPr>
          <w:rFonts w:ascii="宋体" w:hAnsi="宋体" w:eastAsia="宋体"/>
          <w:color w:val="000000" w:themeColor="text1"/>
          <w:spacing w:val="-4"/>
          <w:sz w:val="24"/>
          <w:szCs w:val="24"/>
          <w14:textFill>
            <w14:solidFill>
              <w14:schemeClr w14:val="tx1"/>
            </w14:solidFill>
          </w14:textFill>
        </w:rPr>
      </w:pPr>
      <w:r>
        <w:rPr>
          <w:rFonts w:ascii="宋体" w:hAnsi="宋体" w:eastAsia="宋体"/>
          <w:color w:val="000000" w:themeColor="text1"/>
          <w:spacing w:val="-4"/>
          <w:sz w:val="24"/>
          <w:szCs w:val="24"/>
          <w14:textFill>
            <w14:solidFill>
              <w14:schemeClr w14:val="tx1"/>
            </w14:solidFill>
          </w14:textFill>
        </w:rPr>
        <w:t>勘察现场所发生的费用由投标供应商自行承担。采购人向投标供应商提供的有关服务现场的资料和数据，是采购人现有的可供投标供应商利用的资料。采购人对投标供应商由此而做出的推论、理解和结论概不负责。投标供应商未到服务现场实地踏勘的，签订合同时和履约过程中，不得以不完全了解现场情况为由，提出任何形式的增加合同价款或索赔的要求。</w:t>
      </w:r>
    </w:p>
    <w:p>
      <w:pPr>
        <w:pStyle w:val="72"/>
        <w:numPr>
          <w:ilvl w:val="1"/>
          <w:numId w:val="5"/>
        </w:numPr>
        <w:tabs>
          <w:tab w:val="left" w:pos="1383"/>
        </w:tabs>
        <w:spacing w:line="360" w:lineRule="auto"/>
        <w:ind w:left="567" w:right="567" w:firstLine="471"/>
        <w:jc w:val="both"/>
        <w:rPr>
          <w:rFonts w:ascii="宋体" w:hAnsi="宋体" w:eastAsia="宋体"/>
          <w:color w:val="000000" w:themeColor="text1"/>
          <w:spacing w:val="-4"/>
          <w:sz w:val="24"/>
          <w:szCs w:val="24"/>
          <w14:textFill>
            <w14:solidFill>
              <w14:schemeClr w14:val="tx1"/>
            </w14:solidFill>
          </w14:textFill>
        </w:rPr>
      </w:pPr>
      <w:r>
        <w:rPr>
          <w:rFonts w:ascii="宋体" w:hAnsi="宋体" w:eastAsia="宋体"/>
          <w:color w:val="000000" w:themeColor="text1"/>
          <w:spacing w:val="-4"/>
          <w:sz w:val="24"/>
          <w:szCs w:val="24"/>
          <w14:textFill>
            <w14:solidFill>
              <w14:schemeClr w14:val="tx1"/>
            </w14:solidFill>
          </w14:textFill>
        </w:rPr>
        <w:t>除非有特殊要求，招标文件不单独提供服务地点的自然环境、气候条件、公用设施等情况，投标供应商视为熟悉上述与履行合同有关的一切情况。</w:t>
      </w:r>
    </w:p>
    <w:p>
      <w:pPr>
        <w:pStyle w:val="72"/>
        <w:numPr>
          <w:ilvl w:val="0"/>
          <w:numId w:val="3"/>
        </w:num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知识产权</w:t>
      </w:r>
    </w:p>
    <w:p>
      <w:pPr>
        <w:pStyle w:val="72"/>
        <w:numPr>
          <w:ilvl w:val="1"/>
          <w:numId w:val="6"/>
        </w:numPr>
        <w:tabs>
          <w:tab w:val="left" w:pos="1383"/>
        </w:tabs>
        <w:spacing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投标供应商须保证，采购人在中华人民共和国境内使用投标货物、资料、技术、服</w:t>
      </w:r>
      <w:r>
        <w:rPr>
          <w:rFonts w:ascii="宋体" w:hAnsi="宋体" w:eastAsia="宋体"/>
          <w:color w:val="000000" w:themeColor="text1"/>
          <w:spacing w:val="-11"/>
          <w:sz w:val="24"/>
          <w:szCs w:val="24"/>
          <w14:textFill>
            <w14:solidFill>
              <w14:schemeClr w14:val="tx1"/>
            </w14:solidFill>
          </w14:textFill>
        </w:rPr>
        <w:t>务或其任何一部分时，享有不受限制的无偿使用权，不会产生因第三方提出侵犯其专利权、商标权或其它知识产权而引起的法律或经济纠纷。如投标供应商不拥有相应的知识产权，</w:t>
      </w:r>
      <w:r>
        <w:rPr>
          <w:rFonts w:ascii="宋体" w:hAnsi="宋体" w:eastAsia="宋体"/>
          <w:color w:val="000000" w:themeColor="text1"/>
          <w:spacing w:val="-14"/>
          <w:sz w:val="24"/>
          <w:szCs w:val="24"/>
          <w14:textFill>
            <w14:solidFill>
              <w14:schemeClr w14:val="tx1"/>
            </w14:solidFill>
          </w14:textFill>
        </w:rPr>
        <w:t>则在投标报价中必须包括合法获取该知识产权的一切相关费用。如因此导致采购人损失的， 投标供应商须承担全部赔偿责任。</w:t>
      </w:r>
    </w:p>
    <w:p>
      <w:pPr>
        <w:pStyle w:val="72"/>
        <w:numPr>
          <w:ilvl w:val="1"/>
          <w:numId w:val="6"/>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投标供应商如欲在项目实施过程中采用自有知识成果的，使用该知识成果后，投标供应商须提供开发接口和开发手册等技术文档。</w:t>
      </w:r>
    </w:p>
    <w:p>
      <w:pPr>
        <w:pStyle w:val="72"/>
        <w:numPr>
          <w:ilvl w:val="0"/>
          <w:numId w:val="3"/>
        </w:num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纪律与保密</w:t>
      </w:r>
    </w:p>
    <w:p>
      <w:pPr>
        <w:pStyle w:val="72"/>
        <w:numPr>
          <w:ilvl w:val="1"/>
          <w:numId w:val="7"/>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投标供应商的投标行为应遵守中国的有关法律、法规和规章。</w:t>
      </w:r>
    </w:p>
    <w:p>
      <w:pPr>
        <w:pStyle w:val="72"/>
        <w:numPr>
          <w:ilvl w:val="1"/>
          <w:numId w:val="7"/>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投标供应商不得相互串通投标报价，不得妨碍其他投标供应商的公平竞争，不得损害采购人或其他投标供应商的合法权益，投标供应商不得以向采购人、评标委员会成员行贿或者其他不正当手段谋取中标。</w:t>
      </w:r>
    </w:p>
    <w:p>
      <w:pPr>
        <w:pStyle w:val="72"/>
        <w:numPr>
          <w:ilvl w:val="1"/>
          <w:numId w:val="7"/>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有下列情形之一的，视为投标供应商串通投标，其投标无效</w:t>
      </w:r>
      <w:r>
        <w:rPr>
          <w:rFonts w:hint="eastAsia" w:ascii="宋体" w:hAnsi="宋体" w:eastAsia="宋体"/>
          <w:color w:val="000000" w:themeColor="text1"/>
          <w:spacing w:val="-6"/>
          <w:sz w:val="24"/>
          <w:szCs w:val="24"/>
          <w14:textFill>
            <w14:solidFill>
              <w14:schemeClr w14:val="tx1"/>
            </w14:solidFill>
          </w14:textFill>
        </w:rPr>
        <w:t>：</w:t>
      </w:r>
    </w:p>
    <w:p>
      <w:pPr>
        <w:pStyle w:val="72"/>
        <w:numPr>
          <w:ilvl w:val="1"/>
          <w:numId w:val="8"/>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不同投标供应商的投标文件由同一单位或者个人编制；</w:t>
      </w:r>
    </w:p>
    <w:p>
      <w:pPr>
        <w:pStyle w:val="72"/>
        <w:numPr>
          <w:ilvl w:val="1"/>
          <w:numId w:val="9"/>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不同投标供应商委托同一单位或者个人办理投标事宜；</w:t>
      </w:r>
    </w:p>
    <w:p>
      <w:pPr>
        <w:pStyle w:val="72"/>
        <w:numPr>
          <w:ilvl w:val="1"/>
          <w:numId w:val="10"/>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不同投标供应商的投标文件载明的项目管理成员或者联系人员为同一人；</w:t>
      </w:r>
    </w:p>
    <w:p>
      <w:pPr>
        <w:pStyle w:val="72"/>
        <w:numPr>
          <w:ilvl w:val="1"/>
          <w:numId w:val="11"/>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不同投标供应商的投标文件异常一致或者投标报价呈规律性差异；</w:t>
      </w:r>
    </w:p>
    <w:p>
      <w:pPr>
        <w:pStyle w:val="72"/>
        <w:numPr>
          <w:ilvl w:val="1"/>
          <w:numId w:val="12"/>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不同投标供应商的投标文件相互混装；</w:t>
      </w:r>
    </w:p>
    <w:p>
      <w:pPr>
        <w:pStyle w:val="72"/>
        <w:numPr>
          <w:ilvl w:val="1"/>
          <w:numId w:val="13"/>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不同投标供应商的投标保证金从同一单位或者个人的账户转出。</w:t>
      </w:r>
    </w:p>
    <w:p>
      <w:pPr>
        <w:pStyle w:val="72"/>
        <w:numPr>
          <w:ilvl w:val="1"/>
          <w:numId w:val="14"/>
        </w:numPr>
        <w:tabs>
          <w:tab w:val="left" w:pos="1383"/>
        </w:tabs>
        <w:spacing w:before="7"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在确定中标供应商之前，投标供应商不得与采购人就投标价格、投标方案等实质性内容进行谈判，也不得私下接触评标委员会成员。</w:t>
      </w:r>
    </w:p>
    <w:p>
      <w:pPr>
        <w:pStyle w:val="72"/>
        <w:numPr>
          <w:ilvl w:val="1"/>
          <w:numId w:val="14"/>
        </w:numPr>
        <w:tabs>
          <w:tab w:val="left" w:pos="1383"/>
        </w:tabs>
        <w:spacing w:before="7"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5"/>
          <w:sz w:val="24"/>
          <w:szCs w:val="24"/>
          <w14:textFill>
            <w14:solidFill>
              <w14:schemeClr w14:val="tx1"/>
            </w14:solidFill>
          </w14:textFill>
        </w:rPr>
        <w:t>在确定中标供应商之前，投标供应商试图在投标文件审查、澄清、比较和评价时对评标委员会、采购人和</w:t>
      </w:r>
      <w:r>
        <w:rPr>
          <w:rFonts w:hint="eastAsia" w:ascii="宋体" w:hAnsi="宋体" w:eastAsia="宋体"/>
          <w:color w:val="000000" w:themeColor="text1"/>
          <w:spacing w:val="-5"/>
          <w:sz w:val="24"/>
          <w:szCs w:val="24"/>
          <w14:textFill>
            <w14:solidFill>
              <w14:schemeClr w14:val="tx1"/>
            </w14:solidFill>
          </w14:textFill>
        </w:rPr>
        <w:t>招标代理机构</w:t>
      </w:r>
      <w:r>
        <w:rPr>
          <w:color w:val="000000" w:themeColor="text1"/>
          <w:spacing w:val="-5"/>
          <w:sz w:val="24"/>
          <w14:textFill>
            <w14:solidFill>
              <w14:schemeClr w14:val="tx1"/>
            </w14:solidFill>
          </w14:textFill>
        </w:rPr>
        <w:t>施加任何影响</w:t>
      </w:r>
      <w:r>
        <w:rPr>
          <w:rFonts w:hint="eastAsia" w:eastAsiaTheme="minorEastAsia"/>
          <w:color w:val="000000" w:themeColor="text1"/>
          <w:spacing w:val="-5"/>
          <w:sz w:val="24"/>
          <w14:textFill>
            <w14:solidFill>
              <w14:schemeClr w14:val="tx1"/>
            </w14:solidFill>
          </w14:textFill>
        </w:rPr>
        <w:t>都</w:t>
      </w:r>
      <w:r>
        <w:rPr>
          <w:rFonts w:hint="eastAsia" w:ascii="宋体" w:hAnsi="宋体" w:eastAsia="宋体"/>
          <w:color w:val="000000" w:themeColor="text1"/>
          <w:spacing w:val="-5"/>
          <w:sz w:val="24"/>
          <w:szCs w:val="24"/>
          <w14:textFill>
            <w14:solidFill>
              <w14:schemeClr w14:val="tx1"/>
            </w14:solidFill>
          </w14:textFill>
        </w:rPr>
        <w:t>可能导致其投标无效。</w:t>
      </w:r>
    </w:p>
    <w:p>
      <w:pPr>
        <w:pStyle w:val="72"/>
        <w:numPr>
          <w:ilvl w:val="1"/>
          <w:numId w:val="14"/>
        </w:numPr>
        <w:tabs>
          <w:tab w:val="left" w:pos="1383"/>
        </w:tabs>
        <w:spacing w:before="7"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11"/>
          <w:sz w:val="24"/>
          <w:szCs w:val="24"/>
          <w14:textFill>
            <w14:solidFill>
              <w14:schemeClr w14:val="tx1"/>
            </w14:solidFill>
          </w14:textFill>
        </w:rPr>
        <w:t>由采购人向投标供应商提供的图纸、详细资料、样品、模型、模件和所有其它资料，被视为保密资料，仅被用于它所规定的用途。除非得到采购人的同意，不能向任何第三方透露。开标结束后，应采购人要求，投标供应商应归还所有从采购人处获得的保密资料。</w:t>
      </w:r>
    </w:p>
    <w:p>
      <w:pPr>
        <w:pStyle w:val="72"/>
        <w:numPr>
          <w:ilvl w:val="0"/>
          <w:numId w:val="3"/>
        </w:numPr>
        <w:spacing w:line="360" w:lineRule="auto"/>
        <w:rPr>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本项目不接受</w:t>
      </w:r>
      <w:r>
        <w:rPr>
          <w:color w:val="000000" w:themeColor="text1"/>
          <w:sz w:val="24"/>
          <w14:textFill>
            <w14:solidFill>
              <w14:schemeClr w14:val="tx1"/>
            </w14:solidFill>
          </w14:textFill>
        </w:rPr>
        <w:t>联合体投标</w:t>
      </w:r>
    </w:p>
    <w:p>
      <w:pPr>
        <w:pStyle w:val="72"/>
        <w:numPr>
          <w:ilvl w:val="1"/>
          <w:numId w:val="15"/>
        </w:numPr>
        <w:tabs>
          <w:tab w:val="left" w:pos="1383"/>
        </w:tabs>
        <w:spacing w:before="2"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pacing w:val="-4"/>
          <w:sz w:val="24"/>
          <w:szCs w:val="24"/>
          <w14:textFill>
            <w14:solidFill>
              <w14:schemeClr w14:val="tx1"/>
            </w14:solidFill>
          </w14:textFill>
        </w:rPr>
        <w:t>除非本项目明确要求接受联合体形式投标外，两个或两个以上供应商可以组成一个联合体投标，以一个投标供应商的身份投标</w:t>
      </w:r>
      <w:r>
        <w:rPr>
          <w:rFonts w:hint="eastAsia" w:asciiTheme="minorEastAsia" w:hAnsiTheme="minorEastAsia" w:eastAsiaTheme="minorEastAsia"/>
          <w:color w:val="000000" w:themeColor="text1"/>
          <w:spacing w:val="-4"/>
          <w:sz w:val="24"/>
          <w:szCs w:val="24"/>
          <w14:textFill>
            <w14:solidFill>
              <w14:schemeClr w14:val="tx1"/>
            </w14:solidFill>
          </w14:textFill>
        </w:rPr>
        <w:t>（本项目不接受联合体投标）</w:t>
      </w:r>
    </w:p>
    <w:p>
      <w:pPr>
        <w:pStyle w:val="72"/>
        <w:numPr>
          <w:ilvl w:val="1"/>
          <w:numId w:val="15"/>
        </w:numPr>
        <w:tabs>
          <w:tab w:val="left" w:pos="1383"/>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以联合体形式参加投标的，联合体各方均应当符合《中华人民共和国政府采购法》第二十二条第一款规定的条件，根据采购项目的特殊要求规定投标供应商特定条件的，联合体各方中至少应当有一方符合。</w:t>
      </w:r>
    </w:p>
    <w:p>
      <w:pPr>
        <w:pStyle w:val="72"/>
        <w:numPr>
          <w:ilvl w:val="1"/>
          <w:numId w:val="15"/>
        </w:numPr>
        <w:tabs>
          <w:tab w:val="left" w:pos="1383"/>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pacing w:val="-5"/>
          <w:sz w:val="24"/>
          <w:szCs w:val="24"/>
          <w14:textFill>
            <w14:solidFill>
              <w14:schemeClr w14:val="tx1"/>
            </w14:solidFill>
          </w14:textFill>
        </w:rPr>
        <w:t>联合体各方之间应当签订联合体协议，明确约定联合体各方应当承担的工作和相应的责任</w:t>
      </w:r>
      <w:r>
        <w:rPr>
          <w:rFonts w:hint="eastAsia" w:asciiTheme="minorEastAsia" w:hAnsiTheme="minorEastAsia" w:eastAsiaTheme="minorEastAsia"/>
          <w:color w:val="000000" w:themeColor="text1"/>
          <w:spacing w:val="-5"/>
          <w:sz w:val="24"/>
          <w:szCs w:val="24"/>
          <w14:textFill>
            <w14:solidFill>
              <w14:schemeClr w14:val="tx1"/>
            </w14:solidFill>
          </w14:textFill>
        </w:rPr>
        <w:t>并承诺承担连带责任</w:t>
      </w:r>
      <w:r>
        <w:rPr>
          <w:rFonts w:asciiTheme="minorEastAsia" w:hAnsiTheme="minorEastAsia" w:eastAsiaTheme="minorEastAsia"/>
          <w:color w:val="000000" w:themeColor="text1"/>
          <w:spacing w:val="-5"/>
          <w:sz w:val="24"/>
          <w:szCs w:val="24"/>
          <w14:textFill>
            <w14:solidFill>
              <w14:schemeClr w14:val="tx1"/>
            </w14:solidFill>
          </w14:textFill>
        </w:rPr>
        <w:t>。以联合体形式参加政府采购活动的，联合体各方不得再单独参加或者与其他供应商另外组成联合体参加同一合同项下的政府采购活动。</w:t>
      </w:r>
    </w:p>
    <w:p>
      <w:pPr>
        <w:pStyle w:val="72"/>
        <w:numPr>
          <w:ilvl w:val="1"/>
          <w:numId w:val="15"/>
        </w:numPr>
        <w:tabs>
          <w:tab w:val="left" w:pos="1383"/>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pacing w:val="-8"/>
          <w:sz w:val="24"/>
          <w:szCs w:val="24"/>
          <w14:textFill>
            <w14:solidFill>
              <w14:schemeClr w14:val="tx1"/>
            </w14:solidFill>
          </w14:textFill>
        </w:rPr>
        <w:t>联合体投标的，由联合体中的</w:t>
      </w:r>
      <w:r>
        <w:rPr>
          <w:rFonts w:hint="eastAsia" w:asciiTheme="minorEastAsia" w:hAnsiTheme="minorEastAsia" w:eastAsiaTheme="minorEastAsia"/>
          <w:color w:val="000000" w:themeColor="text1"/>
          <w:spacing w:val="-8"/>
          <w:sz w:val="24"/>
          <w:szCs w:val="24"/>
          <w14:textFill>
            <w14:solidFill>
              <w14:schemeClr w14:val="tx1"/>
            </w14:solidFill>
          </w14:textFill>
        </w:rPr>
        <w:t>牵头人</w:t>
      </w:r>
      <w:r>
        <w:rPr>
          <w:rFonts w:asciiTheme="minorEastAsia" w:hAnsiTheme="minorEastAsia" w:eastAsiaTheme="minorEastAsia"/>
          <w:color w:val="000000" w:themeColor="text1"/>
          <w:spacing w:val="-8"/>
          <w:sz w:val="24"/>
          <w:szCs w:val="24"/>
          <w14:textFill>
            <w14:solidFill>
              <w14:schemeClr w14:val="tx1"/>
            </w14:solidFill>
          </w14:textFill>
        </w:rPr>
        <w:t>提交投标保证金，以一方名义提交保证金的，对联合体各方均具有约束力。</w:t>
      </w:r>
    </w:p>
    <w:p>
      <w:pPr>
        <w:pStyle w:val="72"/>
        <w:tabs>
          <w:tab w:val="left" w:pos="1383"/>
        </w:tabs>
        <w:spacing w:line="360" w:lineRule="auto"/>
        <w:ind w:left="1038" w:right="220" w:rightChars="100" w:firstLine="0"/>
        <w:jc w:val="both"/>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9</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投标专用章的效力</w:t>
      </w:r>
    </w:p>
    <w:p>
      <w:pPr>
        <w:pStyle w:val="72"/>
        <w:numPr>
          <w:ilvl w:val="1"/>
          <w:numId w:val="16"/>
        </w:numPr>
        <w:tabs>
          <w:tab w:val="left" w:pos="1383"/>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pacing w:val="-3"/>
          <w:sz w:val="24"/>
          <w:szCs w:val="24"/>
          <w14:textFill>
            <w14:solidFill>
              <w14:schemeClr w14:val="tx1"/>
            </w14:solidFill>
          </w14:textFill>
        </w:rPr>
        <w:t>招标文件中明确要求加盖公章</w:t>
      </w:r>
      <w:r>
        <w:rPr>
          <w:rFonts w:asciiTheme="minorEastAsia" w:hAnsiTheme="minorEastAsia" w:eastAsiaTheme="minorEastAsia"/>
          <w:color w:val="000000" w:themeColor="text1"/>
          <w:spacing w:val="-5"/>
          <w:sz w:val="24"/>
          <w:szCs w:val="24"/>
          <w14:textFill>
            <w14:solidFill>
              <w14:schemeClr w14:val="tx1"/>
            </w14:solidFill>
          </w14:textFill>
        </w:rPr>
        <w:t>的，投标供应商必须加盖投标供应商公章</w:t>
      </w:r>
      <w:r>
        <w:rPr>
          <w:rFonts w:asciiTheme="minorEastAsia" w:hAnsiTheme="minorEastAsia" w:eastAsiaTheme="minorEastAsia"/>
          <w:color w:val="000000" w:themeColor="text1"/>
          <w:sz w:val="24"/>
          <w:szCs w:val="24"/>
          <w14:textFill>
            <w14:solidFill>
              <w14:schemeClr w14:val="tx1"/>
            </w14:solidFill>
          </w14:textFill>
        </w:rPr>
        <w:t>，否则将导致投标无效。</w:t>
      </w:r>
    </w:p>
    <w:p>
      <w:pPr>
        <w:pStyle w:val="72"/>
        <w:tabs>
          <w:tab w:val="left" w:pos="1383"/>
        </w:tabs>
        <w:spacing w:line="360" w:lineRule="auto"/>
        <w:ind w:left="1038" w:right="220" w:rightChars="100" w:firstLine="0"/>
        <w:jc w:val="both"/>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10</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合同标的转让与分包</w:t>
      </w:r>
    </w:p>
    <w:p>
      <w:pPr>
        <w:tabs>
          <w:tab w:val="left" w:pos="1539"/>
        </w:tabs>
        <w:spacing w:line="360" w:lineRule="auto"/>
        <w:ind w:left="550" w:leftChars="250" w:right="567" w:firstLine="525" w:firstLineChars="250"/>
        <w:jc w:val="both"/>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1"/>
          <w:szCs w:val="24"/>
          <w14:textFill>
            <w14:solidFill>
              <w14:schemeClr w14:val="tx1"/>
            </w14:solidFill>
          </w14:textFill>
        </w:rPr>
        <w:t>10.1</w:t>
      </w:r>
      <w:r>
        <w:rPr>
          <w:rFonts w:hint="eastAsia" w:asciiTheme="minorEastAsia" w:hAnsiTheme="minorEastAsia" w:eastAsiaTheme="minorEastAsia"/>
          <w:color w:val="000000" w:themeColor="text1"/>
          <w:sz w:val="24"/>
          <w:szCs w:val="24"/>
          <w14:textFill>
            <w14:solidFill>
              <w14:schemeClr w14:val="tx1"/>
            </w14:solidFill>
          </w14:textFill>
        </w:rPr>
        <w:t>合同未约定或者未经采购人同意，中标供应商不得向他人转让中标项目，也不得将中标项目肢解后分别向他人转让。</w:t>
      </w:r>
    </w:p>
    <w:p>
      <w:pPr>
        <w:pStyle w:val="72"/>
        <w:tabs>
          <w:tab w:val="left" w:pos="1539"/>
        </w:tabs>
        <w:spacing w:line="360" w:lineRule="auto"/>
        <w:ind w:left="1038" w:right="567" w:firstLine="440" w:firstLineChars="200"/>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Cs w:val="24"/>
          <w14:textFill>
            <w14:solidFill>
              <w14:schemeClr w14:val="tx1"/>
            </w14:solidFill>
          </w14:textFill>
        </w:rPr>
        <w:t>10.2</w:t>
      </w:r>
      <w:r>
        <w:rPr>
          <w:rFonts w:asciiTheme="minorEastAsia" w:hAnsiTheme="minorEastAsia" w:eastAsiaTheme="minorEastAsia"/>
          <w:color w:val="000000" w:themeColor="text1"/>
          <w:sz w:val="24"/>
          <w:szCs w:val="24"/>
          <w14:textFill>
            <w14:solidFill>
              <w14:schemeClr w14:val="tx1"/>
            </w14:solidFill>
          </w14:textFill>
        </w:rPr>
        <w:t>合同约定或者经采购人同意，中标供应商可以将中标项目的部分非主体、非关键性工作分包给他人完成。接受分包的人应当具备相应的资格条件，并不得再次分包。如果</w:t>
      </w:r>
      <w:r>
        <w:rPr>
          <w:rFonts w:asciiTheme="minorEastAsia" w:hAnsiTheme="minorEastAsia" w:eastAsiaTheme="minorEastAsia"/>
          <w:color w:val="000000" w:themeColor="text1"/>
          <w:spacing w:val="-7"/>
          <w:sz w:val="24"/>
          <w:szCs w:val="24"/>
          <w14:textFill>
            <w14:solidFill>
              <w14:schemeClr w14:val="tx1"/>
            </w14:solidFill>
          </w14:textFill>
        </w:rPr>
        <w:t>本项目允许分包，投标供应商根据采购项目的实际情况，拟在中标后将中标项目的非主体、非关键性工作交由他人完成的，应在投标文件中载明。</w:t>
      </w:r>
    </w:p>
    <w:p>
      <w:pPr>
        <w:pStyle w:val="72"/>
        <w:tabs>
          <w:tab w:val="left" w:pos="1539"/>
        </w:tabs>
        <w:spacing w:line="360" w:lineRule="auto"/>
        <w:ind w:left="1038" w:right="567" w:firstLine="440" w:firstLineChars="200"/>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Cs w:val="24"/>
          <w14:textFill>
            <w14:solidFill>
              <w14:schemeClr w14:val="tx1"/>
            </w14:solidFill>
          </w14:textFill>
        </w:rPr>
        <w:t>10.3</w:t>
      </w:r>
      <w:r>
        <w:rPr>
          <w:rFonts w:asciiTheme="minorEastAsia" w:hAnsiTheme="minorEastAsia" w:eastAsiaTheme="minorEastAsia"/>
          <w:color w:val="000000" w:themeColor="text1"/>
          <w:sz w:val="24"/>
          <w:szCs w:val="24"/>
          <w14:textFill>
            <w14:solidFill>
              <w14:schemeClr w14:val="tx1"/>
            </w14:solidFill>
          </w14:textFill>
        </w:rPr>
        <w:t>中标供应商应当就分包项目向采购人负责，接受分包的人就分包项目承担连带责任。</w:t>
      </w:r>
    </w:p>
    <w:p>
      <w:pPr>
        <w:tabs>
          <w:tab w:val="left" w:pos="1539"/>
        </w:tabs>
        <w:spacing w:line="360" w:lineRule="auto"/>
        <w:ind w:right="220" w:rightChars="100" w:firstLine="1443" w:firstLineChars="599"/>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11.</w:t>
      </w:r>
      <w:r>
        <w:rPr>
          <w:rFonts w:asciiTheme="minorEastAsia" w:hAnsiTheme="minorEastAsia" w:eastAsiaTheme="minorEastAsia"/>
          <w:color w:val="000000" w:themeColor="text1"/>
          <w:sz w:val="24"/>
          <w:szCs w:val="24"/>
          <w14:textFill>
            <w14:solidFill>
              <w14:schemeClr w14:val="tx1"/>
            </w14:solidFill>
          </w14:textFill>
        </w:rPr>
        <w:t>采购信息的发布</w:t>
      </w:r>
    </w:p>
    <w:p>
      <w:pPr>
        <w:tabs>
          <w:tab w:val="left" w:pos="1539"/>
        </w:tabs>
        <w:spacing w:line="360" w:lineRule="auto"/>
        <w:ind w:right="220" w:rightChars="100" w:firstLine="1470" w:firstLineChars="700"/>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1"/>
          <w:szCs w:val="24"/>
          <w14:textFill>
            <w14:solidFill>
              <w14:schemeClr w14:val="tx1"/>
            </w14:solidFill>
          </w14:textFill>
        </w:rPr>
        <w:t>11.1</w:t>
      </w:r>
      <w:r>
        <w:rPr>
          <w:rFonts w:asciiTheme="minorEastAsia" w:hAnsiTheme="minorEastAsia" w:eastAsiaTheme="minorEastAsia"/>
          <w:color w:val="000000" w:themeColor="text1"/>
          <w:sz w:val="24"/>
          <w:szCs w:val="24"/>
          <w14:textFill>
            <w14:solidFill>
              <w14:schemeClr w14:val="tx1"/>
            </w14:solidFill>
          </w14:textFill>
        </w:rPr>
        <w:t>与本次采购活动相关的信息，将在</w:t>
      </w:r>
      <w:r>
        <w:rPr>
          <w:rFonts w:hint="eastAsia" w:asciiTheme="minorEastAsia" w:hAnsiTheme="minorEastAsia" w:eastAsiaTheme="minorEastAsia"/>
          <w:color w:val="000000" w:themeColor="text1"/>
          <w:sz w:val="24"/>
          <w:szCs w:val="24"/>
          <w14:textFill>
            <w14:solidFill>
              <w14:schemeClr w14:val="tx1"/>
            </w14:solidFill>
          </w14:textFill>
        </w:rPr>
        <w:t>新疆政府采购网</w:t>
      </w:r>
      <w:r>
        <w:rPr>
          <w:rFonts w:asciiTheme="minorEastAsia" w:hAnsiTheme="minorEastAsia" w:eastAsiaTheme="minorEastAsia"/>
          <w:color w:val="000000" w:themeColor="text1"/>
          <w:w w:val="105"/>
          <w:sz w:val="24"/>
          <w:szCs w:val="24"/>
          <w14:textFill>
            <w14:solidFill>
              <w14:schemeClr w14:val="tx1"/>
            </w14:solidFill>
          </w14:textFill>
        </w:rPr>
        <w:t>发布。</w:t>
      </w: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4"/>
        <w:spacing w:line="360" w:lineRule="auto"/>
        <w:ind w:left="0"/>
        <w:rPr>
          <w:rFonts w:asciiTheme="minorEastAsia" w:hAnsiTheme="minorEastAsia" w:eastAsiaTheme="minorEastAsia"/>
          <w:color w:val="000000" w:themeColor="text1"/>
          <w:w w:val="105"/>
          <w14:textFill>
            <w14:solidFill>
              <w14:schemeClr w14:val="tx1"/>
            </w14:solidFill>
          </w14:textFill>
        </w:rPr>
      </w:pPr>
    </w:p>
    <w:p>
      <w:pPr>
        <w:pStyle w:val="4"/>
        <w:spacing w:line="360" w:lineRule="auto"/>
        <w:ind w:right="87"/>
        <w:rPr>
          <w:color w:val="000000" w:themeColor="text1"/>
          <w14:textFill>
            <w14:solidFill>
              <w14:schemeClr w14:val="tx1"/>
            </w14:solidFill>
          </w14:textFill>
        </w:rPr>
      </w:pPr>
      <w:bookmarkStart w:id="14" w:name="_Toc9135"/>
      <w:r>
        <w:rPr>
          <w:color w:val="000000" w:themeColor="text1"/>
          <w14:textFill>
            <w14:solidFill>
              <w14:schemeClr w14:val="tx1"/>
            </w14:solidFill>
          </w14:textFill>
        </w:rPr>
        <w:t>二．招标文件</w:t>
      </w:r>
      <w:bookmarkEnd w:id="14"/>
    </w:p>
    <w:p>
      <w:pPr>
        <w:pStyle w:val="72"/>
        <w:numPr>
          <w:ilvl w:val="1"/>
          <w:numId w:val="17"/>
        </w:numPr>
        <w:spacing w:before="229"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招标文件构成</w:t>
      </w:r>
    </w:p>
    <w:p>
      <w:pPr>
        <w:pStyle w:val="72"/>
        <w:numPr>
          <w:ilvl w:val="1"/>
          <w:numId w:val="18"/>
        </w:numPr>
        <w:tabs>
          <w:tab w:val="left" w:pos="1515"/>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招标文件包括以下部分：</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第一章：投标邀请（招标公告）；</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第二章：投标供应商须知前附表；</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第三章：投标供应商须知；</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第四章：评标办法；</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第五章：采购合同；</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w:t>
      </w:r>
      <w:r>
        <w:rPr>
          <w:rFonts w:hint="eastAsia" w:asciiTheme="minorEastAsia" w:hAnsiTheme="minorEastAsia" w:eastAsiaTheme="minorEastAsia"/>
          <w:color w:val="000000" w:themeColor="text1"/>
          <w:sz w:val="24"/>
          <w:szCs w:val="24"/>
          <w14:textFill>
            <w14:solidFill>
              <w14:schemeClr w14:val="tx1"/>
            </w14:solidFill>
          </w14:textFill>
        </w:rPr>
        <w:t>六</w:t>
      </w:r>
      <w:r>
        <w:rPr>
          <w:rFonts w:asciiTheme="minorEastAsia" w:hAnsiTheme="minorEastAsia" w:eastAsiaTheme="minorEastAsia"/>
          <w:color w:val="000000" w:themeColor="text1"/>
          <w:sz w:val="24"/>
          <w:szCs w:val="24"/>
          <w14:textFill>
            <w14:solidFill>
              <w14:schemeClr w14:val="tx1"/>
            </w14:solidFill>
          </w14:textFill>
        </w:rPr>
        <w:t>章：</w:t>
      </w:r>
      <w:r>
        <w:rPr>
          <w:rFonts w:hint="eastAsia" w:asciiTheme="minorEastAsia" w:hAnsiTheme="minorEastAsia" w:eastAsiaTheme="minorEastAsia"/>
          <w:color w:val="000000" w:themeColor="text1"/>
          <w:sz w:val="24"/>
          <w:szCs w:val="24"/>
          <w14:textFill>
            <w14:solidFill>
              <w14:schemeClr w14:val="tx1"/>
            </w14:solidFill>
          </w14:textFill>
        </w:rPr>
        <w:t>采购货物需求</w:t>
      </w:r>
      <w:r>
        <w:rPr>
          <w:rFonts w:asciiTheme="minorEastAsia" w:hAnsiTheme="minorEastAsia" w:eastAsiaTheme="minorEastAsia"/>
          <w:color w:val="000000" w:themeColor="text1"/>
          <w:sz w:val="24"/>
          <w:szCs w:val="24"/>
          <w14:textFill>
            <w14:solidFill>
              <w14:schemeClr w14:val="tx1"/>
            </w14:solidFill>
          </w14:textFill>
        </w:rPr>
        <w:t>；</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第七章：</w:t>
      </w:r>
      <w:r>
        <w:rPr>
          <w:rFonts w:hint="eastAsia" w:asciiTheme="minorEastAsia" w:hAnsiTheme="minorEastAsia" w:eastAsiaTheme="minorEastAsia"/>
          <w:color w:val="000000" w:themeColor="text1"/>
          <w:sz w:val="24"/>
          <w:szCs w:val="24"/>
          <w14:textFill>
            <w14:solidFill>
              <w14:schemeClr w14:val="tx1"/>
            </w14:solidFill>
          </w14:textFill>
        </w:rPr>
        <w:t>投标文件格式；</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第八章：评分标准</w:t>
      </w:r>
    </w:p>
    <w:p>
      <w:pPr>
        <w:pStyle w:val="72"/>
        <w:numPr>
          <w:ilvl w:val="1"/>
          <w:numId w:val="19"/>
        </w:numPr>
        <w:tabs>
          <w:tab w:val="left" w:pos="1515"/>
        </w:tabs>
        <w:spacing w:line="360" w:lineRule="auto"/>
        <w:ind w:left="567" w:right="567" w:firstLine="482"/>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投标供应商应认真阅读招标文件中所有的事项、格式、条件、条款和规范等要求。</w:t>
      </w:r>
    </w:p>
    <w:p>
      <w:pPr>
        <w:pStyle w:val="72"/>
        <w:numPr>
          <w:ilvl w:val="1"/>
          <w:numId w:val="19"/>
        </w:numPr>
        <w:tabs>
          <w:tab w:val="left" w:pos="1539"/>
        </w:tabs>
        <w:spacing w:line="360" w:lineRule="auto"/>
        <w:ind w:left="567" w:right="567" w:firstLine="482"/>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投标供应商应当按照招标文件的要求编制投标文件。投标文件应对招标文件提出的要求和条件作出实质性响应。</w:t>
      </w:r>
    </w:p>
    <w:p>
      <w:pPr>
        <w:pStyle w:val="72"/>
        <w:numPr>
          <w:ilvl w:val="1"/>
          <w:numId w:val="19"/>
        </w:numPr>
        <w:tabs>
          <w:tab w:val="left" w:pos="1539"/>
        </w:tabs>
        <w:spacing w:line="360" w:lineRule="auto"/>
        <w:ind w:left="567" w:right="567" w:firstLine="482"/>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投标供应商获取招标文件后，应仔细检查招标文件的所有内容，如有残缺等问题应自获得招标文件后于答疑截止时间前向</w:t>
      </w:r>
      <w:r>
        <w:rPr>
          <w:rFonts w:hint="eastAsia" w:asciiTheme="minorEastAsia" w:hAnsiTheme="minorEastAsia" w:eastAsiaTheme="minorEastAsia"/>
          <w:color w:val="000000" w:themeColor="text1"/>
          <w:sz w:val="24"/>
          <w:szCs w:val="24"/>
          <w14:textFill>
            <w14:solidFill>
              <w14:schemeClr w14:val="tx1"/>
            </w14:solidFill>
          </w14:textFill>
        </w:rPr>
        <w:t>招标代理机构</w:t>
      </w:r>
      <w:r>
        <w:rPr>
          <w:rFonts w:asciiTheme="minorEastAsia" w:hAnsiTheme="minorEastAsia" w:eastAsiaTheme="minorEastAsia"/>
          <w:color w:val="000000" w:themeColor="text1"/>
          <w:sz w:val="24"/>
          <w:szCs w:val="24"/>
          <w14:textFill>
            <w14:solidFill>
              <w14:schemeClr w14:val="tx1"/>
            </w14:solidFill>
          </w14:textFill>
        </w:rPr>
        <w:t>提出，否则，由此引起的后果由投标供应商自行承担。</w:t>
      </w:r>
    </w:p>
    <w:p>
      <w:pPr>
        <w:pStyle w:val="72"/>
        <w:numPr>
          <w:ilvl w:val="1"/>
          <w:numId w:val="20"/>
        </w:numPr>
        <w:tabs>
          <w:tab w:val="left" w:pos="1539"/>
        </w:tabs>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答疑及招标文件的澄清与修改</w:t>
      </w:r>
    </w:p>
    <w:p>
      <w:pPr>
        <w:pStyle w:val="14"/>
        <w:numPr>
          <w:ilvl w:val="1"/>
          <w:numId w:val="21"/>
        </w:numPr>
        <w:spacing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投标供应商如果对招标文件、清单、控制价等招标文件的其他任何内容有相关疑问，可以于投标供应商须知前附表列明的答疑截止时间前，以</w:t>
      </w:r>
      <w:r>
        <w:rPr>
          <w:rFonts w:hint="eastAsia" w:asciiTheme="minorEastAsia" w:hAnsiTheme="minorEastAsia" w:eastAsiaTheme="minorEastAsia"/>
          <w:color w:val="000000" w:themeColor="text1"/>
          <w14:textFill>
            <w14:solidFill>
              <w14:schemeClr w14:val="tx1"/>
            </w14:solidFill>
          </w14:textFill>
        </w:rPr>
        <w:t>书面</w:t>
      </w:r>
      <w:r>
        <w:rPr>
          <w:rFonts w:asciiTheme="minorEastAsia" w:hAnsiTheme="minorEastAsia" w:eastAsiaTheme="minorEastAsia"/>
          <w:color w:val="000000" w:themeColor="text1"/>
          <w14:textFill>
            <w14:solidFill>
              <w14:schemeClr w14:val="tx1"/>
            </w14:solidFill>
          </w14:textFill>
        </w:rPr>
        <w:t>形式</w:t>
      </w:r>
      <w:r>
        <w:rPr>
          <w:rFonts w:hint="eastAsia" w:asciiTheme="minorEastAsia" w:hAnsiTheme="minorEastAsia" w:eastAsiaTheme="minorEastAsia"/>
          <w:color w:val="000000" w:themeColor="text1"/>
          <w14:textFill>
            <w14:solidFill>
              <w14:schemeClr w14:val="tx1"/>
            </w14:solidFill>
          </w14:textFill>
        </w:rPr>
        <w:t>向招标代理机构</w:t>
      </w:r>
      <w:r>
        <w:rPr>
          <w:rFonts w:asciiTheme="minorEastAsia" w:hAnsiTheme="minorEastAsia" w:eastAsiaTheme="minorEastAsia"/>
          <w:color w:val="000000" w:themeColor="text1"/>
          <w14:textFill>
            <w14:solidFill>
              <w14:schemeClr w14:val="tx1"/>
            </w14:solidFill>
          </w14:textFill>
        </w:rPr>
        <w:t>提出。</w:t>
      </w:r>
    </w:p>
    <w:p>
      <w:pPr>
        <w:pStyle w:val="14"/>
        <w:numPr>
          <w:ilvl w:val="1"/>
          <w:numId w:val="21"/>
        </w:numPr>
        <w:spacing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除非招标文件另有规定，否则，如招标文件、清单、</w:t>
      </w:r>
      <w:r>
        <w:rPr>
          <w:rFonts w:hint="eastAsia" w:asciiTheme="minorEastAsia" w:hAnsiTheme="minorEastAsia" w:eastAsiaTheme="minorEastAsia"/>
          <w:color w:val="000000" w:themeColor="text1"/>
          <w14:textFill>
            <w14:solidFill>
              <w14:schemeClr w14:val="tx1"/>
            </w14:solidFill>
          </w14:textFill>
        </w:rPr>
        <w:t>服务内容</w:t>
      </w:r>
      <w:r>
        <w:rPr>
          <w:rFonts w:asciiTheme="minorEastAsia" w:hAnsiTheme="minorEastAsia" w:eastAsiaTheme="minorEastAsia"/>
          <w:color w:val="000000" w:themeColor="text1"/>
          <w14:textFill>
            <w14:solidFill>
              <w14:schemeClr w14:val="tx1"/>
            </w14:solidFill>
          </w14:textFill>
        </w:rPr>
        <w:t>之间存在不一致时，以要求严格或质量等级高的为准。</w:t>
      </w:r>
    </w:p>
    <w:p>
      <w:pPr>
        <w:pStyle w:val="14"/>
        <w:numPr>
          <w:ilvl w:val="1"/>
          <w:numId w:val="21"/>
        </w:numPr>
        <w:spacing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pacing w:val="-5"/>
          <w14:textFill>
            <w14:solidFill>
              <w14:schemeClr w14:val="tx1"/>
            </w14:solidFill>
          </w14:textFill>
        </w:rPr>
        <w:t>疑问的提出与答疑获取具体步骤：</w:t>
      </w:r>
      <w:r>
        <w:rPr>
          <w:rFonts w:hint="eastAsia" w:asciiTheme="minorEastAsia" w:hAnsiTheme="minorEastAsia" w:eastAsiaTheme="minorEastAsia"/>
          <w:color w:val="000000" w:themeColor="text1"/>
          <w14:textFill>
            <w14:solidFill>
              <w14:schemeClr w14:val="tx1"/>
            </w14:solidFill>
          </w14:textFill>
        </w:rPr>
        <w:t>招标代理机构回复有质疑的供应商，招标代理机构</w:t>
      </w:r>
      <w:r>
        <w:rPr>
          <w:rFonts w:hint="eastAsia" w:cs="宋体" w:asciiTheme="minorEastAsia" w:hAnsiTheme="minorEastAsia" w:eastAsiaTheme="minorEastAsia"/>
          <w:color w:val="000000" w:themeColor="text1"/>
          <w14:textFill>
            <w14:solidFill>
              <w14:schemeClr w14:val="tx1"/>
            </w14:solidFill>
          </w14:textFill>
        </w:rPr>
        <w:t>对招标文件进行的答疑、澄清、变更或补充，将在网站上及</w:t>
      </w:r>
      <w:r>
        <w:rPr>
          <w:rFonts w:hint="eastAsia" w:cs="宋体" w:asciiTheme="minorEastAsia" w:hAnsiTheme="minorEastAsia" w:eastAsiaTheme="minorEastAsia"/>
          <w:color w:val="000000" w:themeColor="text1"/>
          <w:spacing w:val="-7"/>
          <w14:textFill>
            <w14:solidFill>
              <w14:schemeClr w14:val="tx1"/>
            </w14:solidFill>
          </w14:textFill>
        </w:rPr>
        <w:t>时发布，该公告内容为招标文件的组成部分，对投标供应商具有同样约束力。当招标文件、招标文件的答疑、澄清、变更或补充等在同一内容的表述上不一致时，以最后发出的书面</w:t>
      </w:r>
      <w:r>
        <w:rPr>
          <w:rFonts w:hint="eastAsia" w:cs="宋体" w:asciiTheme="minorEastAsia" w:hAnsiTheme="minorEastAsia" w:eastAsiaTheme="minorEastAsia"/>
          <w:color w:val="000000" w:themeColor="text1"/>
          <w:spacing w:val="-5"/>
          <w14:textFill>
            <w14:solidFill>
              <w14:schemeClr w14:val="tx1"/>
            </w14:solidFill>
          </w14:textFill>
        </w:rPr>
        <w:t>文件为准。</w:t>
      </w:r>
      <w:r>
        <w:rPr>
          <w:rFonts w:hint="eastAsia" w:asciiTheme="minorEastAsia" w:hAnsiTheme="minorEastAsia" w:eastAsiaTheme="minorEastAsia"/>
          <w:color w:val="000000" w:themeColor="text1"/>
          <w:spacing w:val="-5"/>
          <w14:textFill>
            <w14:solidFill>
              <w14:schemeClr w14:val="tx1"/>
            </w14:solidFill>
          </w14:textFill>
        </w:rPr>
        <w:t>招标代理机构</w:t>
      </w:r>
      <w:r>
        <w:rPr>
          <w:rFonts w:hint="eastAsia" w:cs="宋体" w:asciiTheme="minorEastAsia" w:hAnsiTheme="minorEastAsia" w:eastAsiaTheme="minorEastAsia"/>
          <w:color w:val="000000" w:themeColor="text1"/>
          <w:spacing w:val="-5"/>
          <w14:textFill>
            <w14:solidFill>
              <w14:schemeClr w14:val="tx1"/>
            </w14:solidFill>
          </w14:textFill>
        </w:rPr>
        <w:t>不承担投标供应商未及时关注相关信息引发的相关责任。</w:t>
      </w:r>
    </w:p>
    <w:p>
      <w:pPr>
        <w:pStyle w:val="14"/>
        <w:numPr>
          <w:ilvl w:val="1"/>
          <w:numId w:val="21"/>
        </w:numPr>
        <w:spacing w:line="360" w:lineRule="auto"/>
        <w:ind w:left="567" w:right="567" w:firstLine="471"/>
        <w:jc w:val="both"/>
        <w:rPr>
          <w:rFonts w:asciiTheme="minorEastAsia" w:hAnsiTheme="minorEastAsia" w:eastAsiaTheme="minorEastAsia"/>
          <w:color w:val="000000" w:themeColor="text1"/>
          <w:spacing w:val="-5"/>
          <w14:textFill>
            <w14:solidFill>
              <w14:schemeClr w14:val="tx1"/>
            </w14:solidFill>
          </w14:textFill>
        </w:rPr>
      </w:pPr>
      <w:r>
        <w:rPr>
          <w:rFonts w:asciiTheme="minorEastAsia" w:hAnsiTheme="minorEastAsia" w:eastAsiaTheme="minorEastAsia"/>
          <w:color w:val="000000" w:themeColor="text1"/>
          <w:spacing w:val="-5"/>
          <w14:textFill>
            <w14:solidFill>
              <w14:schemeClr w14:val="tx1"/>
            </w14:solidFill>
          </w14:textFill>
        </w:rPr>
        <w:t>在投标截止时间前，</w:t>
      </w:r>
      <w:r>
        <w:rPr>
          <w:rFonts w:hint="eastAsia" w:asciiTheme="minorEastAsia" w:hAnsiTheme="minorEastAsia" w:eastAsiaTheme="minorEastAsia"/>
          <w:color w:val="000000" w:themeColor="text1"/>
          <w:spacing w:val="-5"/>
          <w14:textFill>
            <w14:solidFill>
              <w14:schemeClr w14:val="tx1"/>
            </w14:solidFill>
          </w14:textFill>
        </w:rPr>
        <w:t>采购人</w:t>
      </w:r>
      <w:r>
        <w:rPr>
          <w:rFonts w:asciiTheme="minorEastAsia" w:hAnsiTheme="minorEastAsia" w:eastAsiaTheme="minorEastAsia"/>
          <w:color w:val="000000" w:themeColor="text1"/>
          <w:spacing w:val="-5"/>
          <w14:textFill>
            <w14:solidFill>
              <w14:schemeClr w14:val="tx1"/>
            </w14:solidFill>
          </w14:textFill>
        </w:rPr>
        <w:t>可以视采购具体情况，延长投标截止时间和开标时间，在网站上发布变更公告。并在招标文件要求提交投标文件的截止时间三日前，在网站上发布变更公告。在上述情况下，</w:t>
      </w:r>
      <w:r>
        <w:rPr>
          <w:rFonts w:hint="eastAsia" w:asciiTheme="minorEastAsia" w:hAnsiTheme="minorEastAsia" w:eastAsiaTheme="minorEastAsia"/>
          <w:color w:val="000000" w:themeColor="text1"/>
          <w:spacing w:val="-5"/>
          <w14:textFill>
            <w14:solidFill>
              <w14:schemeClr w14:val="tx1"/>
            </w14:solidFill>
          </w14:textFill>
        </w:rPr>
        <w:t>采购人</w:t>
      </w:r>
      <w:r>
        <w:rPr>
          <w:rFonts w:asciiTheme="minorEastAsia" w:hAnsiTheme="minorEastAsia" w:eastAsiaTheme="minorEastAsia"/>
          <w:color w:val="000000" w:themeColor="text1"/>
          <w:spacing w:val="-5"/>
          <w14:textFill>
            <w14:solidFill>
              <w14:schemeClr w14:val="tx1"/>
            </w14:solidFill>
          </w14:textFill>
        </w:rPr>
        <w:t>和投标供应商在投标截止期方面的全部权力、责任和义务，将适用于延长后新的投标截止期。</w:t>
      </w:r>
    </w:p>
    <w:p>
      <w:pPr>
        <w:pStyle w:val="14"/>
        <w:numPr>
          <w:ilvl w:val="1"/>
          <w:numId w:val="21"/>
        </w:numPr>
        <w:spacing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招标代理机构</w:t>
      </w:r>
      <w:r>
        <w:rPr>
          <w:rFonts w:asciiTheme="minorEastAsia" w:hAnsiTheme="minorEastAsia" w:eastAsiaTheme="minorEastAsia"/>
          <w:color w:val="000000" w:themeColor="text1"/>
          <w14:textFill>
            <w14:solidFill>
              <w14:schemeClr w14:val="tx1"/>
            </w14:solidFill>
          </w14:textFill>
        </w:rPr>
        <w:t>发布答疑、澄清、变更或补充公告，澄清或修改内容不影响投标文件编制的，可不改变投标截止时间和开标时间。</w:t>
      </w:r>
      <w:bookmarkStart w:id="15" w:name="三．投标文件的编制"/>
      <w:bookmarkEnd w:id="15"/>
      <w:bookmarkStart w:id="16" w:name="_bookmark5"/>
      <w:bookmarkEnd w:id="16"/>
    </w:p>
    <w:p>
      <w:pPr>
        <w:pStyle w:val="14"/>
        <w:spacing w:line="360" w:lineRule="auto"/>
        <w:ind w:left="0"/>
        <w:rPr>
          <w:rFonts w:asciiTheme="minorEastAsia" w:hAnsiTheme="minorEastAsia" w:eastAsiaTheme="minorEastAsia"/>
          <w:color w:val="000000" w:themeColor="text1"/>
          <w:w w:val="105"/>
          <w14:textFill>
            <w14:solidFill>
              <w14:schemeClr w14:val="tx1"/>
            </w14:solidFill>
          </w14:textFill>
        </w:rPr>
        <w:sectPr>
          <w:pgSz w:w="11910" w:h="16850"/>
          <w:pgMar w:top="1440" w:right="1080" w:bottom="1440" w:left="1080" w:header="877" w:footer="1068" w:gutter="0"/>
          <w:cols w:space="720" w:num="1"/>
        </w:sectPr>
      </w:pP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bookmarkStart w:id="17" w:name="二．招标文件"/>
      <w:bookmarkEnd w:id="17"/>
      <w:bookmarkStart w:id="18" w:name="_bookmark4"/>
      <w:bookmarkEnd w:id="18"/>
      <w:bookmarkStart w:id="19" w:name="_Toc24567"/>
      <w:r>
        <w:rPr>
          <w:rFonts w:asciiTheme="minorEastAsia" w:hAnsiTheme="minorEastAsia" w:eastAsiaTheme="minorEastAsia"/>
          <w:color w:val="000000" w:themeColor="text1"/>
          <w:sz w:val="24"/>
          <w:szCs w:val="24"/>
          <w14:textFill>
            <w14:solidFill>
              <w14:schemeClr w14:val="tx1"/>
            </w14:solidFill>
          </w14:textFill>
        </w:rPr>
        <w:t>三．投标文件的编制</w:t>
      </w:r>
      <w:bookmarkEnd w:id="19"/>
    </w:p>
    <w:p>
      <w:pPr>
        <w:pStyle w:val="72"/>
        <w:numPr>
          <w:ilvl w:val="1"/>
          <w:numId w:val="22"/>
        </w:numPr>
        <w:tabs>
          <w:tab w:val="left" w:pos="1539"/>
        </w:tabs>
        <w:spacing w:line="360" w:lineRule="auto"/>
        <w:ind w:left="567" w:right="220" w:rightChars="100" w:firstLine="50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本项目</w:t>
      </w:r>
      <w:r>
        <w:rPr>
          <w:rFonts w:hint="eastAsia" w:asciiTheme="minorEastAsia" w:hAnsiTheme="minorEastAsia" w:eastAsiaTheme="minorEastAsia"/>
          <w:color w:val="000000" w:themeColor="text1"/>
          <w:sz w:val="24"/>
          <w:szCs w:val="24"/>
          <w:lang w:eastAsia="zh-CN"/>
          <w14:textFill>
            <w14:solidFill>
              <w14:schemeClr w14:val="tx1"/>
            </w14:solidFill>
          </w14:textFill>
        </w:rPr>
        <w:t>不分</w:t>
      </w:r>
      <w:r>
        <w:rPr>
          <w:rFonts w:hint="eastAsia" w:asciiTheme="minorEastAsia" w:hAnsiTheme="minorEastAsia" w:eastAsiaTheme="minorEastAsia"/>
          <w:color w:val="000000" w:themeColor="text1"/>
          <w:sz w:val="24"/>
          <w:szCs w:val="24"/>
          <w14:textFill>
            <w14:solidFill>
              <w14:schemeClr w14:val="tx1"/>
            </w14:solidFill>
          </w14:textFill>
        </w:rPr>
        <w:t>标段。</w:t>
      </w:r>
    </w:p>
    <w:p>
      <w:pPr>
        <w:pStyle w:val="72"/>
        <w:numPr>
          <w:ilvl w:val="1"/>
          <w:numId w:val="22"/>
        </w:numPr>
        <w:tabs>
          <w:tab w:val="left" w:pos="1539"/>
        </w:tabs>
        <w:spacing w:line="360" w:lineRule="auto"/>
        <w:ind w:left="567" w:right="567" w:firstLine="505"/>
        <w:jc w:val="both"/>
        <w:rPr>
          <w:rFonts w:asciiTheme="minorEastAsia" w:hAnsiTheme="minorEastAsia" w:eastAsia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投标人应当</w:t>
      </w:r>
      <w:r>
        <w:rPr>
          <w:rFonts w:asciiTheme="minorEastAsia" w:hAnsiTheme="minorEastAsia" w:eastAsiaTheme="minorEastAsia"/>
          <w:color w:val="000000" w:themeColor="text1"/>
          <w:sz w:val="24"/>
          <w:szCs w:val="24"/>
          <w14:textFill>
            <w14:solidFill>
              <w14:schemeClr w14:val="tx1"/>
            </w14:solidFill>
          </w14:textFill>
        </w:rPr>
        <w:t>对所投</w:t>
      </w:r>
      <w:r>
        <w:rPr>
          <w:rFonts w:hint="eastAsia" w:asciiTheme="minorEastAsia" w:hAnsiTheme="minorEastAsia" w:eastAsiaTheme="minorEastAsia"/>
          <w:color w:val="000000" w:themeColor="text1"/>
          <w:sz w:val="24"/>
          <w:szCs w:val="24"/>
          <w14:textFill>
            <w14:solidFill>
              <w14:schemeClr w14:val="tx1"/>
            </w14:solidFill>
          </w14:textFill>
        </w:rPr>
        <w:t>项目招标文件中“货物需求”所列的所有内容进行投标，</w:t>
      </w:r>
      <w:r>
        <w:rPr>
          <w:rFonts w:asciiTheme="minorEastAsia" w:hAnsiTheme="minorEastAsia" w:eastAsiaTheme="minorEastAsia"/>
          <w:color w:val="000000" w:themeColor="text1"/>
          <w:sz w:val="24"/>
          <w:szCs w:val="24"/>
          <w14:textFill>
            <w14:solidFill>
              <w14:schemeClr w14:val="tx1"/>
            </w14:solidFill>
          </w14:textFill>
        </w:rPr>
        <w:t>如</w:t>
      </w:r>
      <w:r>
        <w:rPr>
          <w:rFonts w:hint="eastAsia" w:asciiTheme="minorEastAsia" w:hAnsiTheme="minorEastAsia" w:eastAsiaTheme="minorEastAsia"/>
          <w:color w:val="000000" w:themeColor="text1"/>
          <w:sz w:val="24"/>
          <w:szCs w:val="24"/>
          <w14:textFill>
            <w14:solidFill>
              <w14:schemeClr w14:val="tx1"/>
            </w14:solidFill>
          </w14:textFill>
        </w:rPr>
        <w:t>仅</w:t>
      </w:r>
      <w:r>
        <w:rPr>
          <w:rFonts w:asciiTheme="minorEastAsia" w:hAnsiTheme="minorEastAsia" w:eastAsiaTheme="minorEastAsia"/>
          <w:color w:val="000000" w:themeColor="text1"/>
          <w:sz w:val="24"/>
          <w:szCs w:val="24"/>
          <w14:textFill>
            <w14:solidFill>
              <w14:schemeClr w14:val="tx1"/>
            </w14:solidFill>
          </w14:textFill>
        </w:rPr>
        <w:t>响应</w:t>
      </w:r>
      <w:r>
        <w:rPr>
          <w:rFonts w:hint="eastAsia" w:asciiTheme="minorEastAsia" w:hAnsiTheme="minorEastAsia" w:eastAsiaTheme="minorEastAsia"/>
          <w:color w:val="000000" w:themeColor="text1"/>
          <w:sz w:val="24"/>
          <w:szCs w:val="24"/>
          <w14:textFill>
            <w14:solidFill>
              <w14:schemeClr w14:val="tx1"/>
            </w14:solidFill>
          </w14:textFill>
        </w:rPr>
        <w:t>部分内容</w:t>
      </w:r>
      <w:r>
        <w:rPr>
          <w:rFonts w:asciiTheme="minorEastAsia" w:hAnsiTheme="minorEastAsia" w:eastAsiaTheme="minorEastAsia"/>
          <w:color w:val="000000" w:themeColor="text1"/>
          <w:sz w:val="24"/>
          <w:szCs w:val="24"/>
          <w14:textFill>
            <w14:solidFill>
              <w14:schemeClr w14:val="tx1"/>
            </w14:solidFill>
          </w14:textFill>
        </w:rPr>
        <w:t>，其</w:t>
      </w:r>
      <w:r>
        <w:rPr>
          <w:rFonts w:hint="eastAsia" w:asciiTheme="minorEastAsia" w:hAnsiTheme="minorEastAsia" w:eastAsiaTheme="minorEastAsia"/>
          <w:color w:val="000000" w:themeColor="text1"/>
          <w:sz w:val="24"/>
          <w:szCs w:val="24"/>
          <w14:textFill>
            <w14:solidFill>
              <w14:schemeClr w14:val="tx1"/>
            </w14:solidFill>
          </w14:textFill>
        </w:rPr>
        <w:t>该</w:t>
      </w:r>
      <w:r>
        <w:rPr>
          <w:rFonts w:asciiTheme="minorEastAsia" w:hAnsiTheme="minorEastAsia" w:eastAsiaTheme="minorEastAsia"/>
          <w:color w:val="000000" w:themeColor="text1"/>
          <w:sz w:val="24"/>
          <w:szCs w:val="24"/>
          <w14:textFill>
            <w14:solidFill>
              <w14:schemeClr w14:val="tx1"/>
            </w14:solidFill>
          </w14:textFill>
        </w:rPr>
        <w:t>投标</w:t>
      </w:r>
      <w:r>
        <w:rPr>
          <w:rFonts w:hint="eastAsia" w:asciiTheme="minorEastAsia" w:hAnsiTheme="minorEastAsia" w:eastAsiaTheme="minorEastAsia"/>
          <w:color w:val="000000" w:themeColor="text1"/>
          <w:sz w:val="24"/>
          <w:szCs w:val="24"/>
          <w14:textFill>
            <w14:solidFill>
              <w14:schemeClr w14:val="tx1"/>
            </w14:solidFill>
          </w14:textFill>
        </w:rPr>
        <w:t>将被认定为投标无效。</w:t>
      </w:r>
    </w:p>
    <w:p>
      <w:pPr>
        <w:pStyle w:val="72"/>
        <w:numPr>
          <w:ilvl w:val="1"/>
          <w:numId w:val="22"/>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无论招标文件第六章货物需求一览表及技术规格中是否要求，投标人所投货物均应符合国家强制性标准。</w:t>
      </w:r>
    </w:p>
    <w:p>
      <w:pPr>
        <w:pStyle w:val="72"/>
        <w:numPr>
          <w:ilvl w:val="1"/>
          <w:numId w:val="22"/>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除招标文件中有特殊要求外，投标文件中所使用的计量单位，应采用中华人民共和国法定计量单位。</w:t>
      </w:r>
    </w:p>
    <w:p>
      <w:pPr>
        <w:pStyle w:val="72"/>
        <w:numPr>
          <w:ilvl w:val="1"/>
          <w:numId w:val="23"/>
        </w:numPr>
        <w:tabs>
          <w:tab w:val="left" w:pos="1539"/>
        </w:tabs>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投标文件构成与要求</w:t>
      </w:r>
    </w:p>
    <w:p>
      <w:pPr>
        <w:pStyle w:val="72"/>
        <w:numPr>
          <w:ilvl w:val="1"/>
          <w:numId w:val="24"/>
        </w:numPr>
        <w:tabs>
          <w:tab w:val="left" w:pos="1515"/>
        </w:tabs>
        <w:spacing w:before="8" w:line="360" w:lineRule="auto"/>
        <w:ind w:right="1241" w:firstLine="48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投标文件是对招标文件的实质性响应及承诺文件。</w:t>
      </w:r>
    </w:p>
    <w:p>
      <w:pPr>
        <w:pStyle w:val="72"/>
        <w:numPr>
          <w:ilvl w:val="1"/>
          <w:numId w:val="24"/>
        </w:numPr>
        <w:tabs>
          <w:tab w:val="left" w:pos="1515"/>
        </w:tabs>
        <w:spacing w:before="8" w:line="360" w:lineRule="auto"/>
        <w:ind w:right="1241" w:firstLine="48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pacing w:val="-8"/>
          <w:sz w:val="24"/>
          <w:szCs w:val="24"/>
          <w14:textFill>
            <w14:solidFill>
              <w14:schemeClr w14:val="tx1"/>
            </w14:solidFill>
          </w14:textFill>
        </w:rPr>
        <w:t>“投标供应商可自行制作格式”，</w:t>
      </w:r>
      <w:r>
        <w:rPr>
          <w:rFonts w:hint="eastAsia" w:asciiTheme="minorEastAsia" w:hAnsiTheme="minorEastAsia" w:eastAsiaTheme="minorEastAsia"/>
          <w:color w:val="000000" w:themeColor="text1"/>
          <w:spacing w:val="-8"/>
          <w:sz w:val="24"/>
          <w:szCs w:val="24"/>
          <w14:textFill>
            <w14:solidFill>
              <w14:schemeClr w14:val="tx1"/>
            </w14:solidFill>
          </w14:textFill>
        </w:rPr>
        <w:t>亦可</w:t>
      </w:r>
      <w:r>
        <w:rPr>
          <w:rFonts w:asciiTheme="minorEastAsia" w:hAnsiTheme="minorEastAsia" w:eastAsiaTheme="minorEastAsia"/>
          <w:color w:val="000000" w:themeColor="text1"/>
          <w:spacing w:val="-8"/>
          <w:sz w:val="24"/>
          <w:szCs w:val="24"/>
          <w14:textFill>
            <w14:solidFill>
              <w14:schemeClr w14:val="tx1"/>
            </w14:solidFill>
          </w14:textFill>
        </w:rPr>
        <w:t>使用招标文件提供的</w:t>
      </w:r>
      <w:r>
        <w:rPr>
          <w:rFonts w:hint="eastAsia" w:asciiTheme="minorEastAsia" w:hAnsiTheme="minorEastAsia" w:eastAsiaTheme="minorEastAsia"/>
          <w:color w:val="000000" w:themeColor="text1"/>
          <w:spacing w:val="-8"/>
          <w:sz w:val="24"/>
          <w:szCs w:val="24"/>
          <w14:textFill>
            <w14:solidFill>
              <w14:schemeClr w14:val="tx1"/>
            </w14:solidFill>
          </w14:textFill>
        </w:rPr>
        <w:t>附件</w:t>
      </w:r>
      <w:r>
        <w:rPr>
          <w:rFonts w:asciiTheme="minorEastAsia" w:hAnsiTheme="minorEastAsia" w:eastAsiaTheme="minorEastAsia"/>
          <w:color w:val="000000" w:themeColor="text1"/>
          <w:spacing w:val="-8"/>
          <w:sz w:val="24"/>
          <w:szCs w:val="24"/>
          <w14:textFill>
            <w14:solidFill>
              <w14:schemeClr w14:val="tx1"/>
            </w14:solidFill>
          </w14:textFill>
        </w:rPr>
        <w:t>格式。</w:t>
      </w:r>
      <w:bookmarkStart w:id="20" w:name="_Ref467052588"/>
    </w:p>
    <w:p>
      <w:pPr>
        <w:pStyle w:val="72"/>
        <w:numPr>
          <w:ilvl w:val="1"/>
          <w:numId w:val="25"/>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投标人应完整地编写投标文件，投标文件应包括</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开标一览表及电子投标文件</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和“正、副本投标文件”。以上文件分别密封</w:t>
      </w:r>
      <w:r>
        <w:rPr>
          <w:rFonts w:asciiTheme="minorEastAsia" w:hAnsiTheme="minorEastAsia" w:eastAsiaTheme="minorEastAsia"/>
          <w:color w:val="000000" w:themeColor="text1"/>
          <w:sz w:val="24"/>
          <w:szCs w:val="24"/>
          <w14:textFill>
            <w14:solidFill>
              <w14:schemeClr w14:val="tx1"/>
            </w14:solidFill>
          </w14:textFill>
        </w:rPr>
        <w:t>递交。投标人</w:t>
      </w:r>
      <w:r>
        <w:rPr>
          <w:rFonts w:hint="eastAsia" w:asciiTheme="minorEastAsia" w:hAnsiTheme="minorEastAsia" w:eastAsiaTheme="minorEastAsia"/>
          <w:color w:val="000000" w:themeColor="text1"/>
          <w:sz w:val="24"/>
          <w:szCs w:val="24"/>
          <w14:textFill>
            <w14:solidFill>
              <w14:schemeClr w14:val="tx1"/>
            </w14:solidFill>
          </w14:textFill>
        </w:rPr>
        <w:t>应承担封</w:t>
      </w:r>
      <w:r>
        <w:rPr>
          <w:rFonts w:asciiTheme="minorEastAsia" w:hAnsiTheme="minorEastAsia" w:eastAsiaTheme="minorEastAsia"/>
          <w:color w:val="000000" w:themeColor="text1"/>
          <w:sz w:val="24"/>
          <w:szCs w:val="24"/>
          <w14:textFill>
            <w14:solidFill>
              <w14:schemeClr w14:val="tx1"/>
            </w14:solidFill>
          </w14:textFill>
        </w:rPr>
        <w:t>装失误</w:t>
      </w:r>
      <w:r>
        <w:rPr>
          <w:rFonts w:hint="eastAsia" w:asciiTheme="minorEastAsia" w:hAnsiTheme="minorEastAsia" w:eastAsiaTheme="minorEastAsia"/>
          <w:color w:val="000000" w:themeColor="text1"/>
          <w:sz w:val="24"/>
          <w:szCs w:val="24"/>
          <w14:textFill>
            <w14:solidFill>
              <w14:schemeClr w14:val="tx1"/>
            </w14:solidFill>
          </w14:textFill>
        </w:rPr>
        <w:t>产生的任何</w:t>
      </w:r>
      <w:r>
        <w:rPr>
          <w:rFonts w:asciiTheme="minorEastAsia" w:hAnsiTheme="minorEastAsia" w:eastAsiaTheme="minorEastAsia"/>
          <w:color w:val="000000" w:themeColor="text1"/>
          <w:sz w:val="24"/>
          <w:szCs w:val="24"/>
          <w14:textFill>
            <w14:solidFill>
              <w14:schemeClr w14:val="tx1"/>
            </w14:solidFill>
          </w14:textFill>
        </w:rPr>
        <w:t>后果</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26"/>
        </w:numPr>
        <w:tabs>
          <w:tab w:val="left" w:pos="1515"/>
        </w:tabs>
        <w:spacing w:before="8" w:line="360" w:lineRule="auto"/>
        <w:ind w:left="567" w:right="567" w:firstLine="471"/>
        <w:rPr>
          <w:rFonts w:asciiTheme="minorEastAsia" w:hAnsiTheme="minorEastAsia" w:eastAsia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olor w:val="000000" w:themeColor="text1"/>
          <w:spacing w:val="-8"/>
          <w:sz w:val="24"/>
          <w:szCs w:val="24"/>
          <w14:textFill>
            <w14:solidFill>
              <w14:schemeClr w14:val="tx1"/>
            </w14:solidFill>
          </w14:textFill>
        </w:rPr>
        <w:t>上述文件应按照招标文件规范填写、签署和盖章</w:t>
      </w:r>
      <w:bookmarkEnd w:id="20"/>
      <w:r>
        <w:rPr>
          <w:rFonts w:hint="eastAsia" w:asciiTheme="minorEastAsia" w:hAnsiTheme="minorEastAsia" w:eastAsiaTheme="minorEastAsia"/>
          <w:color w:val="000000" w:themeColor="text1"/>
          <w:spacing w:val="-8"/>
          <w:sz w:val="24"/>
          <w:szCs w:val="24"/>
          <w14:textFill>
            <w14:solidFill>
              <w14:schemeClr w14:val="tx1"/>
            </w14:solidFill>
          </w14:textFill>
        </w:rPr>
        <w:t>否则按废标处理。</w:t>
      </w:r>
    </w:p>
    <w:p>
      <w:pPr>
        <w:pStyle w:val="72"/>
        <w:numPr>
          <w:ilvl w:val="1"/>
          <w:numId w:val="27"/>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投标供应商资质证书（或资格证明）处于年检、换证、升级、变更等期间，除非有法律法规或发证机构书面材料明确表明投标供应商资质（或资格）有效，否则一律不予认可。</w:t>
      </w:r>
    </w:p>
    <w:p>
      <w:pPr>
        <w:pStyle w:val="72"/>
        <w:numPr>
          <w:ilvl w:val="1"/>
          <w:numId w:val="28"/>
        </w:numPr>
        <w:tabs>
          <w:tab w:val="left" w:pos="1515"/>
        </w:tabs>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电报、电话、传真形式的投标概不接受。</w:t>
      </w:r>
    </w:p>
    <w:p>
      <w:pPr>
        <w:pStyle w:val="72"/>
        <w:numPr>
          <w:ilvl w:val="0"/>
          <w:numId w:val="29"/>
        </w:numPr>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证明投标的合格性和符合招标文件规定的技术文件</w:t>
      </w:r>
    </w:p>
    <w:p>
      <w:pPr>
        <w:pStyle w:val="72"/>
        <w:numPr>
          <w:ilvl w:val="1"/>
          <w:numId w:val="30"/>
        </w:numPr>
        <w:tabs>
          <w:tab w:val="left" w:pos="1539"/>
        </w:tabs>
        <w:spacing w:before="7" w:line="360" w:lineRule="auto"/>
        <w:ind w:left="567" w:right="567" w:firstLine="482"/>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投标人应提交证明文件，证明其投标内容符合招标文件规定。该证明文件是投标文件的一部分。</w:t>
      </w:r>
    </w:p>
    <w:p>
      <w:pPr>
        <w:pStyle w:val="72"/>
        <w:numPr>
          <w:ilvl w:val="1"/>
          <w:numId w:val="30"/>
        </w:numPr>
        <w:tabs>
          <w:tab w:val="left" w:pos="1539"/>
        </w:tabs>
        <w:spacing w:before="7" w:line="360" w:lineRule="auto"/>
        <w:ind w:right="1243" w:firstLine="48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上款所述的证明文件，可以是文字资料、图纸和数据，它包括：</w:t>
      </w:r>
    </w:p>
    <w:p>
      <w:pPr>
        <w:pStyle w:val="72"/>
        <w:numPr>
          <w:ilvl w:val="1"/>
          <w:numId w:val="3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货物主要技术指标和性能的详细说明；</w:t>
      </w:r>
    </w:p>
    <w:p>
      <w:pPr>
        <w:pStyle w:val="72"/>
        <w:numPr>
          <w:ilvl w:val="1"/>
          <w:numId w:val="32"/>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货物从买方开始使用至招标文件规定的保质期内正常、连续地使用所必须的备件和专用工具清单，包括备件和专用工具的货源及现行价格；</w:t>
      </w:r>
    </w:p>
    <w:p>
      <w:pPr>
        <w:pStyle w:val="72"/>
        <w:numPr>
          <w:ilvl w:val="1"/>
          <w:numId w:val="33"/>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对照招标文件技术规格，逐条说明所提供货物及伴随的工程和服务已对招标文件的技术规格做出了实质性的响应，或申明与技术规格条文的偏差和例外。</w:t>
      </w:r>
    </w:p>
    <w:p>
      <w:pPr>
        <w:pStyle w:val="72"/>
        <w:numPr>
          <w:ilvl w:val="1"/>
          <w:numId w:val="34"/>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cs="宋体" w:asciiTheme="minorEastAsia" w:hAnsiTheme="minorEastAsia" w:eastAsiaTheme="minorEastAsia"/>
          <w:color w:val="000000" w:themeColor="text1"/>
          <w:sz w:val="24"/>
          <w:szCs w:val="24"/>
          <w14:textFill>
            <w14:solidFill>
              <w14:schemeClr w14:val="tx1"/>
            </w14:solidFill>
          </w14:textFill>
        </w:rPr>
        <w:t>采购代理机构</w:t>
      </w:r>
      <w:r>
        <w:rPr>
          <w:rFonts w:hint="eastAsia" w:cs="宋体" w:asciiTheme="minorEastAsia" w:hAnsiTheme="minorEastAsia" w:eastAsiaTheme="minorEastAsia"/>
          <w:color w:val="000000" w:themeColor="text1"/>
          <w:sz w:val="24"/>
          <w:szCs w:val="24"/>
          <w14:textFill>
            <w14:solidFill>
              <w14:schemeClr w14:val="tx1"/>
            </w14:solidFill>
          </w14:textFill>
        </w:rPr>
        <w:t>承诺不以上述参照品牌型号或分类号作为评标时判定其</w:t>
      </w:r>
      <w:r>
        <w:rPr>
          <w:rFonts w:cs="宋体" w:asciiTheme="minorEastAsia" w:hAnsiTheme="minorEastAsia" w:eastAsiaTheme="minorEastAsia"/>
          <w:color w:val="000000" w:themeColor="text1"/>
          <w:sz w:val="24"/>
          <w:szCs w:val="24"/>
          <w14:textFill>
            <w14:solidFill>
              <w14:schemeClr w14:val="tx1"/>
            </w14:solidFill>
          </w14:textFill>
        </w:rPr>
        <w:t>投标是否有效</w:t>
      </w:r>
      <w:r>
        <w:rPr>
          <w:rFonts w:hint="eastAsia" w:cs="宋体" w:asciiTheme="minorEastAsia" w:hAnsiTheme="minorEastAsia" w:eastAsiaTheme="minorEastAsia"/>
          <w:color w:val="000000" w:themeColor="text1"/>
          <w:sz w:val="24"/>
          <w:szCs w:val="24"/>
          <w14:textFill>
            <w14:solidFill>
              <w14:schemeClr w14:val="tx1"/>
            </w14:solidFill>
          </w14:textFill>
        </w:rPr>
        <w:t>的标准。</w:t>
      </w:r>
    </w:p>
    <w:p>
      <w:pPr>
        <w:pStyle w:val="72"/>
        <w:numPr>
          <w:ilvl w:val="1"/>
          <w:numId w:val="35"/>
        </w:numPr>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投标报价</w:t>
      </w:r>
    </w:p>
    <w:p>
      <w:pPr>
        <w:pStyle w:val="72"/>
        <w:numPr>
          <w:ilvl w:val="1"/>
          <w:numId w:val="36"/>
        </w:numPr>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所有投标均以人民币报价。投标人的投标报价应遵守《中华人民共和国价格法》。同时，根据《中华人民共和国政府采购法》第二条的规定，为保证公平竞争，如有货物主体部分的赠与行为，其投标将被认定为投标无效。</w:t>
      </w:r>
    </w:p>
    <w:p>
      <w:pPr>
        <w:pStyle w:val="72"/>
        <w:numPr>
          <w:ilvl w:val="1"/>
          <w:numId w:val="36"/>
        </w:numPr>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投标人应在投标分项报价表上标明投标货物及相关服务的单价（如适用）、</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数量</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总价、品牌、具体型号、生产厂家、详细得参数说明，否则按废标处理。</w:t>
      </w:r>
    </w:p>
    <w:p>
      <w:pPr>
        <w:pStyle w:val="72"/>
        <w:numPr>
          <w:ilvl w:val="1"/>
          <w:numId w:val="36"/>
        </w:numPr>
        <w:spacing w:line="360" w:lineRule="auto"/>
        <w:ind w:left="527" w:right="482" w:rightChars="219" w:firstLine="482"/>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投标分项报价表上的价格应按下列方式填写：</w:t>
      </w:r>
    </w:p>
    <w:p>
      <w:pPr>
        <w:pStyle w:val="72"/>
        <w:numPr>
          <w:ilvl w:val="1"/>
          <w:numId w:val="37"/>
        </w:numPr>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投标货物（包括备品备件、专用工具等）、（包括已在中国国内的进口货物完税后的仓库交货价、展室交货价或货架交货价），投标货物安装、调试、检验、技术服务和培训等费用；</w:t>
      </w:r>
    </w:p>
    <w:p>
      <w:pPr>
        <w:pStyle w:val="72"/>
        <w:numPr>
          <w:ilvl w:val="1"/>
          <w:numId w:val="37"/>
        </w:numPr>
        <w:spacing w:line="360" w:lineRule="auto"/>
        <w:ind w:left="527" w:right="482" w:rightChars="219" w:firstLine="482"/>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货物运至最终目的地的运输费和保险费用。</w:t>
      </w:r>
    </w:p>
    <w:p>
      <w:pPr>
        <w:pStyle w:val="72"/>
        <w:numPr>
          <w:ilvl w:val="1"/>
          <w:numId w:val="38"/>
        </w:numPr>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投标人所报的各分项投标单价在合同履行过程中是固定不变的，不得以任何理由予以变更。任何包含价格调整要求的投标，其投标将被认定为投标无效。</w:t>
      </w:r>
    </w:p>
    <w:p>
      <w:pPr>
        <w:pStyle w:val="72"/>
        <w:numPr>
          <w:ilvl w:val="1"/>
          <w:numId w:val="39"/>
        </w:numPr>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每种货物只能有一个投标报价。采购人不接受具有附加条件的报价。</w:t>
      </w:r>
    </w:p>
    <w:p>
      <w:pPr>
        <w:pStyle w:val="72"/>
        <w:numPr>
          <w:ilvl w:val="1"/>
          <w:numId w:val="40"/>
        </w:numPr>
        <w:spacing w:line="360" w:lineRule="auto"/>
        <w:ind w:left="567" w:firstLine="471"/>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投标保证金</w:t>
      </w:r>
    </w:p>
    <w:p>
      <w:pPr>
        <w:pStyle w:val="72"/>
        <w:numPr>
          <w:ilvl w:val="1"/>
          <w:numId w:val="41"/>
        </w:numPr>
        <w:tabs>
          <w:tab w:val="left" w:pos="1515"/>
        </w:tabs>
        <w:spacing w:before="8"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作为投标文件的一部分，投标保证金应当在</w:t>
      </w:r>
      <w:r>
        <w:rPr>
          <w:rFonts w:hint="eastAsia" w:asciiTheme="minorEastAsia" w:hAnsiTheme="minorEastAsia" w:eastAsiaTheme="minorEastAsia"/>
          <w:color w:val="000000" w:themeColor="text1"/>
          <w:sz w:val="24"/>
          <w:szCs w:val="24"/>
          <w14:textFill>
            <w14:solidFill>
              <w14:schemeClr w14:val="tx1"/>
            </w14:solidFill>
          </w14:textFill>
        </w:rPr>
        <w:t>规定</w:t>
      </w:r>
      <w:r>
        <w:rPr>
          <w:rFonts w:asciiTheme="minorEastAsia" w:hAnsiTheme="minorEastAsia" w:eastAsiaTheme="minorEastAsia"/>
          <w:color w:val="000000" w:themeColor="text1"/>
          <w:sz w:val="24"/>
          <w:szCs w:val="24"/>
          <w14:textFill>
            <w14:solidFill>
              <w14:schemeClr w14:val="tx1"/>
            </w14:solidFill>
          </w14:textFill>
        </w:rPr>
        <w:t>时间</w:t>
      </w:r>
      <w:r>
        <w:rPr>
          <w:rFonts w:hint="eastAsia" w:asciiTheme="minorEastAsia" w:hAnsiTheme="minorEastAsia" w:eastAsiaTheme="minorEastAsia"/>
          <w:color w:val="000000" w:themeColor="text1"/>
          <w:sz w:val="24"/>
          <w:szCs w:val="24"/>
          <w14:textFill>
            <w14:solidFill>
              <w14:schemeClr w14:val="tx1"/>
            </w14:solidFill>
          </w14:textFill>
        </w:rPr>
        <w:t>内</w:t>
      </w:r>
      <w:r>
        <w:rPr>
          <w:rFonts w:asciiTheme="minorEastAsia" w:hAnsiTheme="minorEastAsia" w:eastAsiaTheme="minorEastAsia"/>
          <w:color w:val="000000" w:themeColor="text1"/>
          <w:sz w:val="24"/>
          <w:szCs w:val="24"/>
          <w14:textFill>
            <w14:solidFill>
              <w14:schemeClr w14:val="tx1"/>
            </w14:solidFill>
          </w14:textFill>
        </w:rPr>
        <w:t>足额</w:t>
      </w:r>
      <w:r>
        <w:rPr>
          <w:rFonts w:hint="eastAsia" w:asciiTheme="minorEastAsia" w:hAnsiTheme="minorEastAsia" w:eastAsiaTheme="minorEastAsia"/>
          <w:color w:val="000000" w:themeColor="text1"/>
          <w:sz w:val="24"/>
          <w:szCs w:val="24"/>
          <w14:textFill>
            <w14:solidFill>
              <w14:schemeClr w14:val="tx1"/>
            </w14:solidFill>
          </w14:textFill>
        </w:rPr>
        <w:t>汇入</w:t>
      </w:r>
      <w:r>
        <w:rPr>
          <w:rFonts w:asciiTheme="minorEastAsia" w:hAnsiTheme="minorEastAsia" w:eastAsiaTheme="minorEastAsia"/>
          <w:color w:val="000000" w:themeColor="text1"/>
          <w:sz w:val="24"/>
          <w:szCs w:val="24"/>
          <w14:textFill>
            <w14:solidFill>
              <w14:schemeClr w14:val="tx1"/>
            </w14:solidFill>
          </w14:textFill>
        </w:rPr>
        <w:t>招标公告指定账号。</w:t>
      </w:r>
    </w:p>
    <w:p>
      <w:pPr>
        <w:pStyle w:val="72"/>
        <w:numPr>
          <w:ilvl w:val="1"/>
          <w:numId w:val="41"/>
        </w:numPr>
        <w:tabs>
          <w:tab w:val="left" w:pos="1539"/>
        </w:tabs>
        <w:spacing w:before="8"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保证金可采取异地电汇；本地转帐任何一种形式；不接收以现金或汇票形式递交的投标保证金；投标保证金缴纳人名称与投标供应商名称应当一致。除非招标文件另有规定，分公司或子公司代缴投标保证金，视同名称不一致。投标保证金缴纳人名称与投标供应商名称不一致的，投标无效。</w:t>
      </w:r>
    </w:p>
    <w:p>
      <w:pPr>
        <w:pStyle w:val="72"/>
        <w:numPr>
          <w:ilvl w:val="1"/>
          <w:numId w:val="41"/>
        </w:numPr>
        <w:tabs>
          <w:tab w:val="left" w:pos="1539"/>
        </w:tabs>
        <w:spacing w:before="8"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未按要求提交投标保证金的投标，将被视为非响应性投标而导致投标无效。</w:t>
      </w:r>
    </w:p>
    <w:p>
      <w:pPr>
        <w:pStyle w:val="72"/>
        <w:numPr>
          <w:ilvl w:val="1"/>
          <w:numId w:val="41"/>
        </w:numPr>
        <w:tabs>
          <w:tab w:val="left" w:pos="1515"/>
        </w:tabs>
        <w:spacing w:before="8"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投标人存在下列情形的，投标保证金不予退还：</w:t>
      </w:r>
    </w:p>
    <w:p>
      <w:pPr>
        <w:pStyle w:val="72"/>
        <w:numPr>
          <w:ilvl w:val="1"/>
          <w:numId w:val="4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在投标有效期内，撤销投标的；</w:t>
      </w:r>
    </w:p>
    <w:p>
      <w:pPr>
        <w:pStyle w:val="72"/>
        <w:numPr>
          <w:ilvl w:val="1"/>
          <w:numId w:val="4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中标后无正当理由放弃中标资格或无正当理由不与采购人签订合同的</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4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将中标项目转让给他人,或者在投标文件中未说明，且未经采购人同意，将中标项目分包给他人的；</w:t>
      </w:r>
    </w:p>
    <w:p>
      <w:pPr>
        <w:pStyle w:val="72"/>
        <w:numPr>
          <w:ilvl w:val="1"/>
          <w:numId w:val="4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拒绝履行合同义务的</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4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存在其他违法</w:t>
      </w:r>
      <w:r>
        <w:rPr>
          <w:rFonts w:asciiTheme="minorEastAsia" w:hAnsiTheme="minorEastAsia" w:eastAsiaTheme="minorEastAsia"/>
          <w:color w:val="000000" w:themeColor="text1"/>
          <w:sz w:val="24"/>
          <w:szCs w:val="24"/>
          <w14:textFill>
            <w14:solidFill>
              <w14:schemeClr w14:val="tx1"/>
            </w14:solidFill>
          </w14:textFill>
        </w:rPr>
        <w:t>违规行为的</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4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由于投标供应商行为导致采购人或</w:t>
      </w:r>
      <w:r>
        <w:rPr>
          <w:rFonts w:hint="eastAsia" w:asciiTheme="minorEastAsia" w:hAnsiTheme="minorEastAsia" w:eastAsiaTheme="minorEastAsia"/>
          <w:color w:val="000000" w:themeColor="text1"/>
          <w:sz w:val="24"/>
          <w:szCs w:val="24"/>
          <w14:textFill>
            <w14:solidFill>
              <w14:schemeClr w14:val="tx1"/>
            </w14:solidFill>
          </w14:textFill>
        </w:rPr>
        <w:t>招标代理机构</w:t>
      </w:r>
      <w:r>
        <w:rPr>
          <w:rFonts w:asciiTheme="minorEastAsia" w:hAnsiTheme="minorEastAsia" w:eastAsiaTheme="minorEastAsia"/>
          <w:color w:val="000000" w:themeColor="text1"/>
          <w:sz w:val="24"/>
          <w:szCs w:val="24"/>
          <w14:textFill>
            <w14:solidFill>
              <w14:schemeClr w14:val="tx1"/>
            </w14:solidFill>
          </w14:textFill>
        </w:rPr>
        <w:t>损失的，相应损失由投标供应商承担，从投标保证金中扣除。投标保证金扣除后仍不足以弥补损失的，投标供应商应当对超过部分予以赔偿。</w:t>
      </w:r>
    </w:p>
    <w:p>
      <w:pPr>
        <w:pStyle w:val="72"/>
        <w:numPr>
          <w:ilvl w:val="1"/>
          <w:numId w:val="43"/>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政府采购信用担保试点范围内的项目，接受符合财政部门规定的政府采购投标担保函原件。</w:t>
      </w:r>
    </w:p>
    <w:p>
      <w:pPr>
        <w:pStyle w:val="72"/>
        <w:numPr>
          <w:ilvl w:val="1"/>
          <w:numId w:val="44"/>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联合体投标的（如允许）由联合体牵头人提交投标保证金。以一方名义提交投标保证金的，对联合体各方均具有约束力。</w:t>
      </w:r>
    </w:p>
    <w:p>
      <w:pPr>
        <w:pStyle w:val="72"/>
        <w:numPr>
          <w:ilvl w:val="1"/>
          <w:numId w:val="45"/>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保证金的退还：中标人应在与采购人签订合同之日起5个工作日内，及时联系保证金收受机构办理投标保证金无息退还手续。未中标投标人的投标保证金将在中标通知书发出之日暨中标结果公告公布之日起5个工作日内无息退还。投标人应及时联系保证金收受机构办理退还投标保证金手续。</w:t>
      </w:r>
    </w:p>
    <w:p>
      <w:pPr>
        <w:pStyle w:val="72"/>
        <w:numPr>
          <w:ilvl w:val="1"/>
          <w:numId w:val="46"/>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政府采购投标担保函不予退回。</w:t>
      </w:r>
    </w:p>
    <w:p>
      <w:pPr>
        <w:pStyle w:val="72"/>
        <w:numPr>
          <w:ilvl w:val="1"/>
          <w:numId w:val="47"/>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因投标人自身原因导致无法及时退还的</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采购人或采购代理机构</w:t>
      </w:r>
      <w:r>
        <w:rPr>
          <w:rFonts w:hint="eastAsia" w:asciiTheme="minorEastAsia" w:hAnsiTheme="minorEastAsia" w:eastAsiaTheme="minorEastAsia"/>
          <w:color w:val="000000" w:themeColor="text1"/>
          <w:sz w:val="24"/>
          <w:szCs w:val="24"/>
          <w14:textFill>
            <w14:solidFill>
              <w14:schemeClr w14:val="tx1"/>
            </w14:solidFill>
          </w14:textFill>
        </w:rPr>
        <w:t>将</w:t>
      </w:r>
      <w:r>
        <w:rPr>
          <w:rFonts w:asciiTheme="minorEastAsia" w:hAnsiTheme="minorEastAsia" w:eastAsiaTheme="minorEastAsia"/>
          <w:color w:val="000000" w:themeColor="text1"/>
          <w:sz w:val="24"/>
          <w:szCs w:val="24"/>
          <w14:textFill>
            <w14:solidFill>
              <w14:schemeClr w14:val="tx1"/>
            </w14:solidFill>
          </w14:textFill>
        </w:rPr>
        <w:t>不承担</w:t>
      </w:r>
      <w:r>
        <w:rPr>
          <w:rFonts w:hint="eastAsia" w:asciiTheme="minorEastAsia" w:hAnsiTheme="minorEastAsia" w:eastAsiaTheme="minorEastAsia"/>
          <w:color w:val="000000" w:themeColor="text1"/>
          <w:sz w:val="24"/>
          <w:szCs w:val="24"/>
          <w14:textFill>
            <w14:solidFill>
              <w14:schemeClr w14:val="tx1"/>
            </w14:solidFill>
          </w14:textFill>
        </w:rPr>
        <w:t>相应责任</w:t>
      </w:r>
      <w:r>
        <w:rPr>
          <w:rFonts w:asciiTheme="minorEastAsia" w:hAnsiTheme="minorEastAsia" w:eastAsiaTheme="minorEastAsia"/>
          <w:color w:val="000000" w:themeColor="text1"/>
          <w:sz w:val="24"/>
          <w:szCs w:val="24"/>
          <w14:textFill>
            <w14:solidFill>
              <w14:schemeClr w14:val="tx1"/>
            </w14:solidFill>
          </w14:textFill>
        </w:rPr>
        <w:t>。</w:t>
      </w:r>
      <w:bookmarkStart w:id="21" w:name="_Toc32569"/>
      <w:bookmarkStart w:id="22" w:name="_Toc520356157"/>
      <w:bookmarkStart w:id="23" w:name="_Toc22901"/>
      <w:bookmarkStart w:id="24" w:name="_Toc515647772"/>
      <w:bookmarkStart w:id="25" w:name="_Toc23590"/>
    </w:p>
    <w:p>
      <w:pPr>
        <w:pStyle w:val="72"/>
        <w:numPr>
          <w:ilvl w:val="1"/>
          <w:numId w:val="48"/>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投标有效期</w:t>
      </w:r>
      <w:bookmarkEnd w:id="21"/>
      <w:bookmarkEnd w:id="22"/>
      <w:bookmarkEnd w:id="23"/>
      <w:bookmarkEnd w:id="24"/>
      <w:bookmarkEnd w:id="25"/>
    </w:p>
    <w:p>
      <w:pPr>
        <w:pStyle w:val="72"/>
        <w:numPr>
          <w:ilvl w:val="1"/>
          <w:numId w:val="49"/>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投标应在投标人须知资料表中规定时间内保持有效。投标有效期不满足要求的投标，其投标将被认定为投标无效。</w:t>
      </w:r>
    </w:p>
    <w:p>
      <w:pPr>
        <w:pStyle w:val="72"/>
        <w:numPr>
          <w:ilvl w:val="1"/>
          <w:numId w:val="50"/>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pacing w:val="-4"/>
          <w:sz w:val="24"/>
          <w:szCs w:val="24"/>
          <w14:textFill>
            <w14:solidFill>
              <w14:schemeClr w14:val="tx1"/>
            </w14:solidFill>
          </w14:textFill>
        </w:rPr>
        <w:t>为保证采购人有足够的时间完成评标和与中标供应商签订合同，规定投标有效期。投标有效期见投标供应商须知前附表。</w:t>
      </w:r>
    </w:p>
    <w:p>
      <w:pPr>
        <w:pStyle w:val="72"/>
        <w:numPr>
          <w:ilvl w:val="1"/>
          <w:numId w:val="51"/>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pacing w:val="-4"/>
          <w:sz w:val="24"/>
          <w:szCs w:val="24"/>
          <w14:textFill>
            <w14:solidFill>
              <w14:schemeClr w14:val="tx1"/>
            </w14:solidFill>
          </w14:textFill>
        </w:rPr>
        <w:t>在投标有效期内，投标供应商的投标保持有效，投标供应商不得要求撤销或修改其投标文件。</w:t>
      </w:r>
    </w:p>
    <w:p>
      <w:pPr>
        <w:pStyle w:val="72"/>
        <w:numPr>
          <w:ilvl w:val="1"/>
          <w:numId w:val="5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投标有效期从投标截止日起计算。</w:t>
      </w:r>
      <w:r>
        <w:rPr>
          <w:rFonts w:cs="宋体" w:asciiTheme="minorEastAsia" w:hAnsiTheme="minorEastAsia" w:eastAsiaTheme="minorEastAsia"/>
          <w:color w:val="000000" w:themeColor="text1"/>
          <w:spacing w:val="-4"/>
          <w:sz w:val="24"/>
          <w:szCs w:val="24"/>
          <w14:textFill>
            <w14:solidFill>
              <w14:schemeClr w14:val="tx1"/>
            </w14:solidFill>
          </w14:textFill>
        </w:rPr>
        <w:t>在原定投标有效期满之前，如果出现特殊情况，</w:t>
      </w:r>
      <w:r>
        <w:rPr>
          <w:rFonts w:hint="eastAsia" w:cs="宋体" w:asciiTheme="minorEastAsia" w:hAnsiTheme="minorEastAsia" w:eastAsiaTheme="minorEastAsia"/>
          <w:color w:val="000000" w:themeColor="text1"/>
          <w:spacing w:val="-4"/>
          <w:sz w:val="24"/>
          <w:szCs w:val="24"/>
          <w14:textFill>
            <w14:solidFill>
              <w14:schemeClr w14:val="tx1"/>
            </w14:solidFill>
          </w14:textFill>
        </w:rPr>
        <w:t>采购人</w:t>
      </w:r>
      <w:r>
        <w:rPr>
          <w:rFonts w:cs="宋体" w:asciiTheme="minorEastAsia" w:hAnsiTheme="minorEastAsia" w:eastAsiaTheme="minorEastAsia"/>
          <w:color w:val="000000" w:themeColor="text1"/>
          <w:spacing w:val="-4"/>
          <w:sz w:val="24"/>
          <w:szCs w:val="24"/>
          <w14:textFill>
            <w14:solidFill>
              <w14:schemeClr w14:val="tx1"/>
            </w14:solidFill>
          </w14:textFill>
        </w:rPr>
        <w:t>可以书面形式提出延长投标有效期的要求。投标供应商以书面形式予以答复，投标供应商可以拒绝这种要求而不被没收投标保证金。同意延长投标有效期的投标供应商不允许修改其投标文件的实质性内容，且需要相应地延长投标保证金的有效期。</w:t>
      </w:r>
    </w:p>
    <w:p>
      <w:pPr>
        <w:pStyle w:val="72"/>
        <w:numPr>
          <w:ilvl w:val="1"/>
          <w:numId w:val="53"/>
        </w:numPr>
        <w:tabs>
          <w:tab w:val="left" w:pos="1515"/>
        </w:tabs>
        <w:spacing w:before="8" w:line="360" w:lineRule="auto"/>
        <w:ind w:left="567" w:right="220" w:rightChars="100" w:firstLine="471"/>
        <w:jc w:val="both"/>
        <w:rPr>
          <w:rFonts w:cs="宋体" w:asciiTheme="minorEastAsia" w:hAnsiTheme="minorEastAsia" w:eastAsiaTheme="minorEastAsia"/>
          <w:color w:val="000000" w:themeColor="text1"/>
          <w:spacing w:val="-4"/>
          <w:sz w:val="24"/>
          <w:szCs w:val="24"/>
          <w14:textFill>
            <w14:solidFill>
              <w14:schemeClr w14:val="tx1"/>
            </w14:solidFill>
          </w14:textFill>
        </w:rPr>
      </w:pPr>
      <w:bookmarkStart w:id="26" w:name="_Toc520356158"/>
      <w:bookmarkStart w:id="27" w:name="_Toc17074"/>
      <w:bookmarkStart w:id="28" w:name="_Toc493"/>
      <w:bookmarkStart w:id="29" w:name="_Toc17609"/>
      <w:bookmarkStart w:id="30" w:name="_Toc515647773"/>
      <w:r>
        <w:rPr>
          <w:rFonts w:hint="eastAsia" w:cs="宋体" w:asciiTheme="minorEastAsia" w:hAnsiTheme="minorEastAsia" w:eastAsiaTheme="minorEastAsia"/>
          <w:color w:val="000000" w:themeColor="text1"/>
          <w:spacing w:val="-4"/>
          <w:sz w:val="24"/>
          <w:szCs w:val="24"/>
          <w14:textFill>
            <w14:solidFill>
              <w14:schemeClr w14:val="tx1"/>
            </w14:solidFill>
          </w14:textFill>
        </w:rPr>
        <w:t>投标文件的签署</w:t>
      </w:r>
      <w:bookmarkEnd w:id="26"/>
      <w:r>
        <w:rPr>
          <w:rFonts w:hint="eastAsia" w:cs="宋体" w:asciiTheme="minorEastAsia" w:hAnsiTheme="minorEastAsia" w:eastAsiaTheme="minorEastAsia"/>
          <w:color w:val="000000" w:themeColor="text1"/>
          <w:spacing w:val="-4"/>
          <w:sz w:val="24"/>
          <w:szCs w:val="24"/>
          <w14:textFill>
            <w14:solidFill>
              <w14:schemeClr w14:val="tx1"/>
            </w14:solidFill>
          </w14:textFill>
        </w:rPr>
        <w:t>及规定</w:t>
      </w:r>
      <w:bookmarkEnd w:id="27"/>
      <w:bookmarkEnd w:id="28"/>
      <w:bookmarkEnd w:id="29"/>
      <w:bookmarkEnd w:id="30"/>
    </w:p>
    <w:p>
      <w:pPr>
        <w:pStyle w:val="72"/>
        <w:numPr>
          <w:ilvl w:val="1"/>
          <w:numId w:val="54"/>
        </w:numPr>
        <w:tabs>
          <w:tab w:val="left" w:pos="1515"/>
        </w:tabs>
        <w:spacing w:before="8" w:line="360" w:lineRule="auto"/>
        <w:ind w:left="567" w:right="567" w:firstLine="471"/>
        <w:jc w:val="both"/>
        <w:rPr>
          <w:rFonts w:cs="宋体"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投标人应按投标人须知资料表中的规定，准备和递交投标文件开标一览表、正本、副本和电子文档，每份投标文件封皮须清楚地标明“正本”或“副本”。若正本和副本不符，以正本为准。</w:t>
      </w:r>
    </w:p>
    <w:p>
      <w:pPr>
        <w:pStyle w:val="72"/>
        <w:numPr>
          <w:ilvl w:val="1"/>
          <w:numId w:val="55"/>
        </w:numPr>
        <w:tabs>
          <w:tab w:val="left" w:pos="1515"/>
        </w:tabs>
        <w:spacing w:before="8" w:line="360" w:lineRule="auto"/>
        <w:ind w:left="567" w:right="567" w:firstLine="471"/>
        <w:jc w:val="both"/>
        <w:rPr>
          <w:rFonts w:cs="宋体"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文件的正副本需纸张打印，并由投标人的法定代表人或经其正式委托代理人按招标文件规定在投标文件上签字并加盖单位印章，未按要求的按废标处理。委托代理人须持有书面的“法定代表人授权委托书”，并将其附在投标文件。投标文件的副本可采用正本的复印件。</w:t>
      </w:r>
    </w:p>
    <w:p>
      <w:pPr>
        <w:pStyle w:val="72"/>
        <w:numPr>
          <w:ilvl w:val="1"/>
          <w:numId w:val="56"/>
        </w:numPr>
        <w:tabs>
          <w:tab w:val="left" w:pos="1515"/>
        </w:tabs>
        <w:spacing w:before="8" w:line="360" w:lineRule="auto"/>
        <w:ind w:left="567" w:right="567" w:firstLine="471"/>
        <w:jc w:val="both"/>
        <w:rPr>
          <w:rFonts w:cs="宋体"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所有投标</w:t>
      </w:r>
      <w:r>
        <w:rPr>
          <w:rFonts w:cs="宋体" w:asciiTheme="minorEastAsia" w:hAnsiTheme="minorEastAsia" w:eastAsiaTheme="minorEastAsia"/>
          <w:color w:val="000000" w:themeColor="text1"/>
          <w:spacing w:val="-4"/>
          <w:sz w:val="24"/>
          <w:szCs w:val="24"/>
          <w14:textFill>
            <w14:solidFill>
              <w14:schemeClr w14:val="tx1"/>
            </w14:solidFill>
          </w14:textFill>
        </w:rPr>
        <w:t>文件</w:t>
      </w:r>
      <w:r>
        <w:rPr>
          <w:rFonts w:hint="eastAsia" w:cs="宋体" w:asciiTheme="minorEastAsia" w:hAnsiTheme="minorEastAsia" w:eastAsiaTheme="minorEastAsia"/>
          <w:color w:val="000000" w:themeColor="text1"/>
          <w:spacing w:val="-4"/>
          <w:sz w:val="24"/>
          <w:szCs w:val="24"/>
          <w14:textFill>
            <w14:solidFill>
              <w14:schemeClr w14:val="tx1"/>
            </w14:solidFill>
          </w14:textFill>
        </w:rPr>
        <w:t>采用</w:t>
      </w:r>
      <w:r>
        <w:rPr>
          <w:rFonts w:cs="宋体" w:asciiTheme="minorEastAsia" w:hAnsiTheme="minorEastAsia" w:eastAsiaTheme="minorEastAsia"/>
          <w:color w:val="000000" w:themeColor="text1"/>
          <w:spacing w:val="-4"/>
          <w:sz w:val="24"/>
          <w:szCs w:val="24"/>
          <w14:textFill>
            <w14:solidFill>
              <w14:schemeClr w14:val="tx1"/>
            </w14:solidFill>
          </w14:textFill>
        </w:rPr>
        <w:t>不可拆装的胶</w:t>
      </w:r>
      <w:r>
        <w:rPr>
          <w:rFonts w:hint="eastAsia" w:cs="宋体" w:asciiTheme="minorEastAsia" w:hAnsiTheme="minorEastAsia" w:eastAsiaTheme="minorEastAsia"/>
          <w:color w:val="000000" w:themeColor="text1"/>
          <w:spacing w:val="-4"/>
          <w:sz w:val="24"/>
          <w:szCs w:val="24"/>
          <w14:textFill>
            <w14:solidFill>
              <w14:schemeClr w14:val="tx1"/>
            </w14:solidFill>
          </w14:textFill>
        </w:rPr>
        <w:t>订</w:t>
      </w:r>
      <w:r>
        <w:rPr>
          <w:rFonts w:cs="宋体" w:asciiTheme="minorEastAsia" w:hAnsiTheme="minorEastAsia" w:eastAsiaTheme="minorEastAsia"/>
          <w:color w:val="000000" w:themeColor="text1"/>
          <w:spacing w:val="-4"/>
          <w:sz w:val="24"/>
          <w:szCs w:val="24"/>
          <w14:textFill>
            <w14:solidFill>
              <w14:schemeClr w14:val="tx1"/>
            </w14:solidFill>
          </w14:textFill>
        </w:rPr>
        <w:t>方式</w:t>
      </w:r>
      <w:r>
        <w:rPr>
          <w:rFonts w:hint="eastAsia" w:cs="宋体" w:asciiTheme="minorEastAsia" w:hAnsiTheme="minorEastAsia" w:eastAsiaTheme="minorEastAsia"/>
          <w:color w:val="000000" w:themeColor="text1"/>
          <w:spacing w:val="-4"/>
          <w:sz w:val="24"/>
          <w:szCs w:val="24"/>
          <w14:textFill>
            <w14:solidFill>
              <w14:schemeClr w14:val="tx1"/>
            </w14:solidFill>
          </w14:textFill>
        </w:rPr>
        <w:t>装订</w:t>
      </w:r>
      <w:r>
        <w:rPr>
          <w:rFonts w:cs="宋体" w:asciiTheme="minorEastAsia" w:hAnsiTheme="minorEastAsia" w:eastAsiaTheme="minorEastAsia"/>
          <w:color w:val="000000" w:themeColor="text1"/>
          <w:spacing w:val="-4"/>
          <w:sz w:val="24"/>
          <w:szCs w:val="24"/>
          <w14:textFill>
            <w14:solidFill>
              <w14:schemeClr w14:val="tx1"/>
            </w14:solidFill>
          </w14:textFill>
        </w:rPr>
        <w:t>，</w:t>
      </w:r>
      <w:r>
        <w:rPr>
          <w:rFonts w:hint="eastAsia" w:cs="宋体" w:asciiTheme="minorEastAsia" w:hAnsiTheme="minorEastAsia" w:eastAsiaTheme="minorEastAsia"/>
          <w:color w:val="000000" w:themeColor="text1"/>
          <w:spacing w:val="-4"/>
          <w:sz w:val="24"/>
          <w:szCs w:val="24"/>
          <w14:textFill>
            <w14:solidFill>
              <w14:schemeClr w14:val="tx1"/>
            </w14:solidFill>
          </w14:textFill>
        </w:rPr>
        <w:t>否则其投标将被认定为投标无效。</w:t>
      </w:r>
    </w:p>
    <w:p>
      <w:pPr>
        <w:pStyle w:val="72"/>
        <w:numPr>
          <w:ilvl w:val="1"/>
          <w:numId w:val="57"/>
        </w:numPr>
        <w:tabs>
          <w:tab w:val="left" w:pos="1515"/>
        </w:tabs>
        <w:spacing w:before="8" w:line="360" w:lineRule="auto"/>
        <w:ind w:left="567" w:right="220" w:rightChars="100" w:firstLine="471"/>
        <w:jc w:val="both"/>
        <w:rPr>
          <w:rFonts w:cs="宋体"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投标文件因字迹潦草、表达不清或</w:t>
      </w:r>
      <w:r>
        <w:rPr>
          <w:rFonts w:cs="宋体" w:asciiTheme="minorEastAsia" w:hAnsiTheme="minorEastAsia" w:eastAsiaTheme="minorEastAsia"/>
          <w:color w:val="000000" w:themeColor="text1"/>
          <w:spacing w:val="-4"/>
          <w:sz w:val="24"/>
          <w:szCs w:val="24"/>
          <w14:textFill>
            <w14:solidFill>
              <w14:schemeClr w14:val="tx1"/>
            </w14:solidFill>
          </w14:textFill>
        </w:rPr>
        <w:t>装订不当</w:t>
      </w:r>
      <w:r>
        <w:rPr>
          <w:rFonts w:hint="eastAsia" w:cs="宋体" w:asciiTheme="minorEastAsia" w:hAnsiTheme="minorEastAsia" w:eastAsiaTheme="minorEastAsia"/>
          <w:color w:val="000000" w:themeColor="text1"/>
          <w:spacing w:val="-4"/>
          <w:sz w:val="24"/>
          <w:szCs w:val="24"/>
          <w14:textFill>
            <w14:solidFill>
              <w14:schemeClr w14:val="tx1"/>
            </w14:solidFill>
          </w14:textFill>
        </w:rPr>
        <w:t>所引起的后果由投标人负责。</w:t>
      </w: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tabs>
          <w:tab w:val="left" w:pos="1515"/>
        </w:tabs>
        <w:spacing w:before="8" w:line="360" w:lineRule="auto"/>
        <w:ind w:right="220" w:rightChars="100"/>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tabs>
          <w:tab w:val="left" w:pos="1515"/>
        </w:tabs>
        <w:spacing w:before="8" w:line="360" w:lineRule="auto"/>
        <w:ind w:right="220" w:rightChars="100"/>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4"/>
        <w:spacing w:before="118" w:line="360" w:lineRule="auto"/>
        <w:ind w:right="84"/>
        <w:rPr>
          <w:rFonts w:asciiTheme="minorEastAsia" w:hAnsiTheme="minorEastAsia" w:eastAsiaTheme="minorEastAsia"/>
          <w:color w:val="000000" w:themeColor="text1"/>
          <w14:textFill>
            <w14:solidFill>
              <w14:schemeClr w14:val="tx1"/>
            </w14:solidFill>
          </w14:textFill>
        </w:rPr>
      </w:pPr>
      <w:bookmarkStart w:id="31" w:name="_Toc19734"/>
      <w:r>
        <w:rPr>
          <w:rFonts w:asciiTheme="minorEastAsia" w:hAnsiTheme="minorEastAsia" w:eastAsiaTheme="minorEastAsia"/>
          <w:color w:val="000000" w:themeColor="text1"/>
          <w14:textFill>
            <w14:solidFill>
              <w14:schemeClr w14:val="tx1"/>
            </w14:solidFill>
          </w14:textFill>
        </w:rPr>
        <w:t>四．投标文件的递交</w:t>
      </w:r>
      <w:bookmarkEnd w:id="31"/>
    </w:p>
    <w:p>
      <w:pPr>
        <w:spacing w:before="231" w:line="360" w:lineRule="auto"/>
        <w:ind w:left="100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.投标文件的密封和标记</w:t>
      </w:r>
    </w:p>
    <w:p>
      <w:pPr>
        <w:pStyle w:val="72"/>
        <w:numPr>
          <w:ilvl w:val="1"/>
          <w:numId w:val="58"/>
        </w:numPr>
        <w:tabs>
          <w:tab w:val="left" w:pos="1539"/>
        </w:tabs>
        <w:spacing w:before="7" w:line="360" w:lineRule="auto"/>
        <w:ind w:left="567" w:right="567" w:firstLine="471"/>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投标供应商应当在招标文件要求提交投标文件的截止时间前</w:t>
      </w:r>
      <w:r>
        <w:rPr>
          <w:rFonts w:hint="eastAsia" w:asciiTheme="minorEastAsia" w:hAnsiTheme="minorEastAsia" w:eastAsiaTheme="minorEastAsia"/>
          <w:color w:val="000000" w:themeColor="text1"/>
          <w:sz w:val="24"/>
          <w14:textFill>
            <w14:solidFill>
              <w14:schemeClr w14:val="tx1"/>
            </w14:solidFill>
          </w14:textFill>
        </w:rPr>
        <w:t>递交</w:t>
      </w:r>
      <w:r>
        <w:rPr>
          <w:rFonts w:asciiTheme="minorEastAsia" w:hAnsiTheme="minorEastAsia" w:eastAsiaTheme="minorEastAsia"/>
          <w:color w:val="000000" w:themeColor="text1"/>
          <w:sz w:val="24"/>
          <w14:textFill>
            <w14:solidFill>
              <w14:schemeClr w14:val="tx1"/>
            </w14:solidFill>
          </w14:textFill>
        </w:rPr>
        <w:t>，否则投标无效。</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所有包装封皮和信封上均应：注明招标公告或投标邀请书中指明的项目名称、招标编号</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投标人名称和“在（开标时间）之前不得启封”的字样，</w:t>
      </w:r>
      <w:r>
        <w:rPr>
          <w:rFonts w:hint="eastAsia" w:asciiTheme="minorEastAsia" w:hAnsiTheme="minorEastAsia" w:eastAsiaTheme="minorEastAsia"/>
          <w:color w:val="000000" w:themeColor="text1"/>
          <w:sz w:val="24"/>
          <w:lang w:eastAsia="zh-CN"/>
          <w14:textFill>
            <w14:solidFill>
              <w14:schemeClr w14:val="tx1"/>
            </w14:solidFill>
          </w14:textFill>
        </w:rPr>
        <w:t>由</w:t>
      </w:r>
      <w:r>
        <w:rPr>
          <w:rFonts w:hint="eastAsia" w:asciiTheme="minorEastAsia" w:hAnsiTheme="minorEastAsia" w:eastAsiaTheme="minorEastAsia"/>
          <w:color w:val="000000" w:themeColor="text1"/>
          <w:sz w:val="24"/>
          <w14:textFill>
            <w14:solidFill>
              <w14:schemeClr w14:val="tx1"/>
            </w14:solidFill>
          </w14:textFill>
        </w:rPr>
        <w:t>法定代表人（或其委托代理人）签字</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在封口处加盖投标人单位公章</w:t>
      </w:r>
      <w:r>
        <w:rPr>
          <w:rFonts w:hint="eastAsia" w:asciiTheme="minorEastAsia" w:hAnsiTheme="minorEastAsia" w:eastAsiaTheme="minorEastAsia"/>
          <w:color w:val="000000" w:themeColor="text1"/>
          <w:sz w:val="24"/>
          <w14:textFill>
            <w14:solidFill>
              <w14:schemeClr w14:val="tx1"/>
            </w14:solidFill>
          </w14:textFill>
        </w:rPr>
        <w:t>、正本、副本投标文件、开标一览表、电子投标文件分别单独密封，否则将被拒绝接受。</w:t>
      </w:r>
    </w:p>
    <w:p>
      <w:pPr>
        <w:pStyle w:val="72"/>
        <w:numPr>
          <w:ilvl w:val="1"/>
          <w:numId w:val="58"/>
        </w:numPr>
        <w:tabs>
          <w:tab w:val="left" w:pos="1506"/>
        </w:tabs>
        <w:spacing w:line="360" w:lineRule="auto"/>
        <w:ind w:left="1505" w:hanging="507"/>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如果投标人未按上述要求密封的，将被拒绝接收。</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资格证明文件密封装订在其他投标文件中，其</w:t>
      </w:r>
      <w:r>
        <w:rPr>
          <w:rFonts w:hint="eastAsia" w:asciiTheme="minorEastAsia" w:hAnsiTheme="minorEastAsia" w:eastAsiaTheme="minorEastAsia"/>
          <w:color w:val="000000" w:themeColor="text1"/>
          <w:sz w:val="24"/>
          <w14:textFill>
            <w14:solidFill>
              <w14:schemeClr w14:val="tx1"/>
            </w14:solidFill>
          </w14:textFill>
        </w:rPr>
        <w:t>投标将被认定为投标无效。</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投标人应在投标人须知资料表中规定的截止时间前，将投标文件递交到招标公告中规定的地点。</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采购人和</w:t>
      </w:r>
      <w:r>
        <w:rPr>
          <w:rFonts w:asciiTheme="minorEastAsia" w:hAnsiTheme="minorEastAsia" w:eastAsiaTheme="minorEastAsia"/>
          <w:color w:val="000000" w:themeColor="text1"/>
          <w:sz w:val="24"/>
          <w14:textFill>
            <w14:solidFill>
              <w14:schemeClr w14:val="tx1"/>
            </w14:solidFill>
          </w14:textFill>
        </w:rPr>
        <w:t>采购代理机构</w:t>
      </w:r>
      <w:r>
        <w:rPr>
          <w:rFonts w:hint="eastAsia" w:asciiTheme="minorEastAsia" w:hAnsiTheme="minorEastAsia" w:eastAsiaTheme="minorEastAsia"/>
          <w:color w:val="000000" w:themeColor="text1"/>
          <w:sz w:val="24"/>
          <w14:textFill>
            <w14:solidFill>
              <w14:schemeClr w14:val="tx1"/>
            </w14:solidFill>
          </w14:textFill>
        </w:rPr>
        <w:t>有权按本须知的规定，延迟投标截止时间。在此情况下，采购人、</w:t>
      </w:r>
      <w:r>
        <w:rPr>
          <w:rFonts w:asciiTheme="minorEastAsia" w:hAnsiTheme="minorEastAsia" w:eastAsiaTheme="minorEastAsia"/>
          <w:color w:val="000000" w:themeColor="text1"/>
          <w:sz w:val="24"/>
          <w14:textFill>
            <w14:solidFill>
              <w14:schemeClr w14:val="tx1"/>
            </w14:solidFill>
          </w14:textFill>
        </w:rPr>
        <w:t>采购代理机构</w:t>
      </w:r>
      <w:r>
        <w:rPr>
          <w:rFonts w:hint="eastAsia" w:asciiTheme="minorEastAsia" w:hAnsiTheme="minorEastAsia" w:eastAsiaTheme="minorEastAsia"/>
          <w:color w:val="000000" w:themeColor="text1"/>
          <w:sz w:val="24"/>
          <w14:textFill>
            <w14:solidFill>
              <w14:schemeClr w14:val="tx1"/>
            </w14:solidFill>
          </w14:textFill>
        </w:rPr>
        <w:t>和投标人受投标截止时间制约的所有权利和义务均应延长至新的截止时间。</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采购人和</w:t>
      </w:r>
      <w:r>
        <w:rPr>
          <w:rFonts w:asciiTheme="minorEastAsia" w:hAnsiTheme="minorEastAsia" w:eastAsiaTheme="minorEastAsia"/>
          <w:color w:val="000000" w:themeColor="text1"/>
          <w:sz w:val="24"/>
          <w14:textFill>
            <w14:solidFill>
              <w14:schemeClr w14:val="tx1"/>
            </w14:solidFill>
          </w14:textFill>
        </w:rPr>
        <w:t>采购代理机构</w:t>
      </w:r>
      <w:r>
        <w:rPr>
          <w:rFonts w:hint="eastAsia" w:asciiTheme="minorEastAsia" w:hAnsiTheme="minorEastAsia" w:eastAsiaTheme="minorEastAsia"/>
          <w:color w:val="000000" w:themeColor="text1"/>
          <w:sz w:val="24"/>
          <w14:textFill>
            <w14:solidFill>
              <w14:schemeClr w14:val="tx1"/>
            </w14:solidFill>
          </w14:textFill>
        </w:rPr>
        <w:t>将拒绝接收在投标截止时间后送达的投标文件。</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递交投标</w:t>
      </w:r>
      <w:r>
        <w:rPr>
          <w:rFonts w:asciiTheme="minorEastAsia" w:hAnsiTheme="minorEastAsia" w:eastAsiaTheme="minorEastAsia"/>
          <w:color w:val="000000" w:themeColor="text1"/>
          <w:sz w:val="24"/>
          <w14:textFill>
            <w14:solidFill>
              <w14:schemeClr w14:val="tx1"/>
            </w14:solidFill>
          </w14:textFill>
        </w:rPr>
        <w:t>文件</w:t>
      </w:r>
      <w:r>
        <w:rPr>
          <w:rFonts w:hint="eastAsia" w:asciiTheme="minorEastAsia" w:hAnsiTheme="minorEastAsia" w:eastAsiaTheme="minorEastAsia"/>
          <w:color w:val="000000" w:themeColor="text1"/>
          <w:sz w:val="24"/>
          <w14:textFill>
            <w14:solidFill>
              <w14:schemeClr w14:val="tx1"/>
            </w14:solidFill>
          </w14:textFill>
        </w:rPr>
        <w:t>以后，如果投标人要</w:t>
      </w:r>
      <w:r>
        <w:rPr>
          <w:rFonts w:asciiTheme="minorEastAsia" w:hAnsiTheme="minorEastAsia" w:eastAsiaTheme="minorEastAsia"/>
          <w:color w:val="000000" w:themeColor="text1"/>
          <w:sz w:val="24"/>
          <w14:textFill>
            <w14:solidFill>
              <w14:schemeClr w14:val="tx1"/>
            </w14:solidFill>
          </w14:textFill>
        </w:rPr>
        <w:t>进行</w:t>
      </w:r>
      <w:r>
        <w:rPr>
          <w:rFonts w:hint="eastAsia" w:asciiTheme="minorEastAsia" w:hAnsiTheme="minorEastAsia" w:eastAsiaTheme="minorEastAsia"/>
          <w:color w:val="000000" w:themeColor="text1"/>
          <w:sz w:val="24"/>
          <w14:textFill>
            <w14:solidFill>
              <w14:schemeClr w14:val="tx1"/>
            </w14:solidFill>
          </w14:textFill>
        </w:rPr>
        <w:t>修改或撤回</w:t>
      </w:r>
      <w:r>
        <w:rPr>
          <w:rFonts w:asciiTheme="minorEastAsia" w:hAnsiTheme="minorEastAsia" w:eastAsiaTheme="minorEastAsia"/>
          <w:color w:val="000000" w:themeColor="text1"/>
          <w:sz w:val="24"/>
          <w14:textFill>
            <w14:solidFill>
              <w14:schemeClr w14:val="tx1"/>
            </w14:solidFill>
          </w14:textFill>
        </w:rPr>
        <w:t>投标</w:t>
      </w:r>
      <w:r>
        <w:rPr>
          <w:rFonts w:hint="eastAsia" w:asciiTheme="minorEastAsia" w:hAnsiTheme="minorEastAsia" w:eastAsiaTheme="minorEastAsia"/>
          <w:color w:val="000000" w:themeColor="text1"/>
          <w:sz w:val="24"/>
          <w14:textFill>
            <w14:solidFill>
              <w14:schemeClr w14:val="tx1"/>
            </w14:solidFill>
          </w14:textFill>
        </w:rPr>
        <w:t>，须提出书面申请</w:t>
      </w:r>
      <w:r>
        <w:rPr>
          <w:rFonts w:asciiTheme="minorEastAsia" w:hAnsiTheme="minorEastAsia" w:eastAsiaTheme="minorEastAsia"/>
          <w:color w:val="000000" w:themeColor="text1"/>
          <w:sz w:val="24"/>
          <w14:textFill>
            <w14:solidFill>
              <w14:schemeClr w14:val="tx1"/>
            </w14:solidFill>
          </w14:textFill>
        </w:rPr>
        <w:t>并</w:t>
      </w:r>
      <w:r>
        <w:rPr>
          <w:rFonts w:hint="eastAsia" w:asciiTheme="minorEastAsia" w:hAnsiTheme="minorEastAsia" w:eastAsiaTheme="minorEastAsia"/>
          <w:color w:val="000000" w:themeColor="text1"/>
          <w:sz w:val="24"/>
          <w14:textFill>
            <w14:solidFill>
              <w14:schemeClr w14:val="tx1"/>
            </w14:solidFill>
          </w14:textFill>
        </w:rPr>
        <w:t>在投标截止时间前送达开标地点，投标人对投标文件的修改或撤回通知应按本须知规定编制、密封、标记。采购人和</w:t>
      </w:r>
      <w:r>
        <w:rPr>
          <w:rFonts w:asciiTheme="minorEastAsia" w:hAnsiTheme="minorEastAsia" w:eastAsiaTheme="minorEastAsia"/>
          <w:color w:val="000000" w:themeColor="text1"/>
          <w:sz w:val="24"/>
          <w14:textFill>
            <w14:solidFill>
              <w14:schemeClr w14:val="tx1"/>
            </w14:solidFill>
          </w14:textFill>
        </w:rPr>
        <w:t>采购代理机构</w:t>
      </w:r>
      <w:r>
        <w:rPr>
          <w:rFonts w:hint="eastAsia" w:asciiTheme="minorEastAsia" w:hAnsiTheme="minorEastAsia" w:eastAsiaTheme="minorEastAsia"/>
          <w:color w:val="000000" w:themeColor="text1"/>
          <w:sz w:val="24"/>
          <w14:textFill>
            <w14:solidFill>
              <w14:schemeClr w14:val="tx1"/>
            </w14:solidFill>
          </w14:textFill>
        </w:rPr>
        <w:t>将予以接收，并视为投标文件的组成部分。</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在投标截止期之后，采购</w:t>
      </w:r>
      <w:r>
        <w:rPr>
          <w:rFonts w:asciiTheme="minorEastAsia" w:hAnsiTheme="minorEastAsia" w:eastAsiaTheme="minorEastAsia"/>
          <w:color w:val="000000" w:themeColor="text1"/>
          <w:sz w:val="24"/>
          <w14:textFill>
            <w14:solidFill>
              <w14:schemeClr w14:val="tx1"/>
            </w14:solidFill>
          </w14:textFill>
        </w:rPr>
        <w:t>人和</w:t>
      </w:r>
      <w:r>
        <w:rPr>
          <w:rFonts w:hint="eastAsia" w:asciiTheme="minorEastAsia" w:hAnsiTheme="minorEastAsia" w:eastAsiaTheme="minorEastAsia"/>
          <w:color w:val="000000" w:themeColor="text1"/>
          <w:sz w:val="24"/>
          <w14:textFill>
            <w14:solidFill>
              <w14:schemeClr w14:val="tx1"/>
            </w14:solidFill>
          </w14:textFill>
        </w:rPr>
        <w:t>采购</w:t>
      </w:r>
      <w:r>
        <w:rPr>
          <w:rFonts w:asciiTheme="minorEastAsia" w:hAnsiTheme="minorEastAsia" w:eastAsiaTheme="minorEastAsia"/>
          <w:color w:val="000000" w:themeColor="text1"/>
          <w:sz w:val="24"/>
          <w14:textFill>
            <w14:solidFill>
              <w14:schemeClr w14:val="tx1"/>
            </w14:solidFill>
          </w14:textFill>
        </w:rPr>
        <w:t>代理机构不接</w:t>
      </w:r>
      <w:r>
        <w:rPr>
          <w:rFonts w:hint="eastAsia" w:asciiTheme="minorEastAsia" w:hAnsiTheme="minorEastAsia" w:eastAsiaTheme="minorEastAsia"/>
          <w:color w:val="000000" w:themeColor="text1"/>
          <w:sz w:val="24"/>
          <w14:textFill>
            <w14:solidFill>
              <w14:schemeClr w14:val="tx1"/>
            </w14:solidFill>
          </w14:textFill>
        </w:rPr>
        <w:t>受投标人主动对其投标文件做任何修改。</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采购人和</w:t>
      </w:r>
      <w:r>
        <w:rPr>
          <w:rFonts w:asciiTheme="minorEastAsia" w:hAnsiTheme="minorEastAsia" w:eastAsiaTheme="minorEastAsia"/>
          <w:color w:val="000000" w:themeColor="text1"/>
          <w:sz w:val="24"/>
          <w14:textFill>
            <w14:solidFill>
              <w14:schemeClr w14:val="tx1"/>
            </w14:solidFill>
          </w14:textFill>
        </w:rPr>
        <w:t>采购代理机构</w:t>
      </w:r>
      <w:r>
        <w:rPr>
          <w:rFonts w:hint="eastAsia" w:asciiTheme="minorEastAsia" w:hAnsiTheme="minorEastAsia" w:eastAsiaTheme="minorEastAsia"/>
          <w:color w:val="000000" w:themeColor="text1"/>
          <w:sz w:val="24"/>
          <w14:textFill>
            <w14:solidFill>
              <w14:schemeClr w14:val="tx1"/>
            </w14:solidFill>
          </w14:textFill>
        </w:rPr>
        <w:t>对所接收投标文件概不退回。</w:t>
      </w:r>
    </w:p>
    <w:p>
      <w:pPr>
        <w:spacing w:line="360" w:lineRule="auto"/>
        <w:rPr>
          <w:rFonts w:asciiTheme="minorEastAsia" w:hAnsiTheme="minorEastAsia" w:eastAsiaTheme="minorEastAsia"/>
          <w:color w:val="000000" w:themeColor="text1"/>
          <w14:textFill>
            <w14:solidFill>
              <w14:schemeClr w14:val="tx1"/>
            </w14:solidFill>
          </w14:textFill>
        </w:rPr>
        <w:sectPr>
          <w:pgSz w:w="11910" w:h="16850"/>
          <w:pgMar w:top="1440" w:right="1080" w:bottom="1440" w:left="1080" w:header="877" w:footer="1068" w:gutter="0"/>
          <w:cols w:space="720" w:num="1"/>
        </w:sectPr>
      </w:pPr>
    </w:p>
    <w:p>
      <w:pPr>
        <w:pStyle w:val="4"/>
        <w:spacing w:before="205" w:line="360" w:lineRule="auto"/>
        <w:ind w:right="84"/>
        <w:rPr>
          <w:rFonts w:asciiTheme="minorEastAsia" w:hAnsiTheme="minorEastAsia" w:eastAsiaTheme="minorEastAsia"/>
          <w:color w:val="000000" w:themeColor="text1"/>
          <w14:textFill>
            <w14:solidFill>
              <w14:schemeClr w14:val="tx1"/>
            </w14:solidFill>
          </w14:textFill>
        </w:rPr>
      </w:pPr>
      <w:bookmarkStart w:id="32" w:name="四．投标文件的递交"/>
      <w:bookmarkEnd w:id="32"/>
      <w:bookmarkStart w:id="33" w:name="_bookmark6"/>
      <w:bookmarkEnd w:id="33"/>
      <w:bookmarkStart w:id="34" w:name="五．开标与评标"/>
      <w:bookmarkEnd w:id="34"/>
      <w:bookmarkStart w:id="35" w:name="_bookmark7"/>
      <w:bookmarkEnd w:id="35"/>
      <w:bookmarkStart w:id="36" w:name="_Toc19975"/>
      <w:r>
        <w:rPr>
          <w:rFonts w:asciiTheme="minorEastAsia" w:hAnsiTheme="minorEastAsia" w:eastAsiaTheme="minorEastAsia"/>
          <w:color w:val="000000" w:themeColor="text1"/>
          <w14:textFill>
            <w14:solidFill>
              <w14:schemeClr w14:val="tx1"/>
            </w14:solidFill>
          </w14:textFill>
        </w:rPr>
        <w:t>五．开标与评标</w:t>
      </w:r>
      <w:bookmarkEnd w:id="36"/>
    </w:p>
    <w:p>
      <w:pPr>
        <w:spacing w:before="231" w:line="360" w:lineRule="auto"/>
        <w:ind w:left="1001"/>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.开标</w:t>
      </w:r>
    </w:p>
    <w:p>
      <w:pPr>
        <w:pStyle w:val="72"/>
        <w:numPr>
          <w:ilvl w:val="1"/>
          <w:numId w:val="59"/>
        </w:numPr>
        <w:tabs>
          <w:tab w:val="left" w:pos="1585"/>
        </w:tabs>
        <w:spacing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采购人和</w:t>
      </w:r>
      <w:r>
        <w:rPr>
          <w:rFonts w:asciiTheme="minorEastAsia" w:hAnsiTheme="minorEastAsia" w:eastAsiaTheme="minorEastAsia"/>
          <w:color w:val="000000" w:themeColor="text1"/>
          <w:sz w:val="24"/>
          <w14:textFill>
            <w14:solidFill>
              <w14:schemeClr w14:val="tx1"/>
            </w14:solidFill>
          </w14:textFill>
        </w:rPr>
        <w:t>采购代理机构</w:t>
      </w:r>
      <w:r>
        <w:rPr>
          <w:rFonts w:hint="eastAsia" w:asciiTheme="minorEastAsia" w:hAnsiTheme="minorEastAsia" w:eastAsiaTheme="minorEastAsia"/>
          <w:color w:val="000000" w:themeColor="text1"/>
          <w:sz w:val="24"/>
          <w14:textFill>
            <w14:solidFill>
              <w14:schemeClr w14:val="tx1"/>
            </w14:solidFill>
          </w14:textFill>
        </w:rPr>
        <w:t>将按投标人须知资料表中规定的开标时间和地点组织公开开标并邀请所有投标人代表参加。投标不足三家的，不得开标。</w:t>
      </w:r>
    </w:p>
    <w:p>
      <w:pPr>
        <w:pStyle w:val="72"/>
        <w:numPr>
          <w:ilvl w:val="1"/>
          <w:numId w:val="59"/>
        </w:numPr>
        <w:tabs>
          <w:tab w:val="left" w:pos="1585"/>
        </w:tabs>
        <w:spacing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开标时，由投标人或其推选的代表检查自己或所代表的投标文件的密封情况，经记录后，由采购人</w:t>
      </w:r>
      <w:r>
        <w:rPr>
          <w:rFonts w:asciiTheme="minorEastAsia" w:hAnsiTheme="minorEastAsia" w:eastAsiaTheme="minorEastAsia"/>
          <w:color w:val="000000" w:themeColor="text1"/>
          <w:sz w:val="24"/>
          <w14:textFill>
            <w14:solidFill>
              <w14:schemeClr w14:val="tx1"/>
            </w14:solidFill>
          </w14:textFill>
        </w:rPr>
        <w:t>或采购代理机构</w:t>
      </w:r>
      <w:r>
        <w:rPr>
          <w:rFonts w:hint="eastAsia" w:asciiTheme="minorEastAsia" w:hAnsiTheme="minorEastAsia" w:eastAsiaTheme="minorEastAsia"/>
          <w:color w:val="000000" w:themeColor="text1"/>
          <w:sz w:val="24"/>
          <w14:textFill>
            <w14:solidFill>
              <w14:schemeClr w14:val="tx1"/>
            </w14:solidFill>
          </w14:textFill>
        </w:rPr>
        <w:t>当众拆封开标一览表及投标文件正本，宣读投标人名称、投标价格及招标文件规定的内容。对于投标人在投标截止期前递交的投标声明，在开标时当众宣读，评标时有效。未宣读投标价格、价格折扣等实质内容，评标时不予承认。</w:t>
      </w:r>
    </w:p>
    <w:p>
      <w:pPr>
        <w:pStyle w:val="72"/>
        <w:numPr>
          <w:ilvl w:val="1"/>
          <w:numId w:val="59"/>
        </w:numPr>
        <w:tabs>
          <w:tab w:val="left" w:pos="1585"/>
        </w:tabs>
        <w:spacing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r>
        <w:rPr>
          <w:rFonts w:asciiTheme="minorEastAsia" w:hAnsiTheme="minorEastAsia" w:eastAsiaTheme="minorEastAsia"/>
          <w:color w:val="000000" w:themeColor="text1"/>
          <w:sz w:val="24"/>
          <w14:textFill>
            <w14:solidFill>
              <w14:schemeClr w14:val="tx1"/>
            </w14:solidFill>
          </w14:textFill>
        </w:rPr>
        <w:t>或采购代理机构</w:t>
      </w:r>
      <w:r>
        <w:rPr>
          <w:rFonts w:hint="eastAsia" w:asciiTheme="minorEastAsia" w:hAnsiTheme="minorEastAsia" w:eastAsiaTheme="minorEastAsia"/>
          <w:color w:val="000000" w:themeColor="text1"/>
          <w:sz w:val="24"/>
          <w14:textFill>
            <w14:solidFill>
              <w14:schemeClr w14:val="tx1"/>
            </w14:solidFill>
          </w14:textFill>
        </w:rPr>
        <w:t>将对开标</w:t>
      </w:r>
      <w:r>
        <w:rPr>
          <w:rFonts w:asciiTheme="minorEastAsia" w:hAnsiTheme="minorEastAsia" w:eastAsiaTheme="minorEastAsia"/>
          <w:color w:val="000000" w:themeColor="text1"/>
          <w:sz w:val="24"/>
          <w14:textFill>
            <w14:solidFill>
              <w14:schemeClr w14:val="tx1"/>
            </w14:solidFill>
          </w14:textFill>
        </w:rPr>
        <w:t>过程</w:t>
      </w:r>
      <w:r>
        <w:rPr>
          <w:rFonts w:hint="eastAsia" w:asciiTheme="minorEastAsia" w:hAnsiTheme="minorEastAsia" w:eastAsiaTheme="minorEastAsia"/>
          <w:color w:val="000000" w:themeColor="text1"/>
          <w:sz w:val="24"/>
          <w14:textFill>
            <w14:solidFill>
              <w14:schemeClr w14:val="tx1"/>
            </w14:solidFill>
          </w14:textFill>
        </w:rPr>
        <w:t>进行记录，由</w:t>
      </w:r>
      <w:r>
        <w:rPr>
          <w:rFonts w:asciiTheme="minorEastAsia" w:hAnsiTheme="minorEastAsia" w:eastAsiaTheme="minorEastAsia"/>
          <w:color w:val="000000" w:themeColor="text1"/>
          <w:sz w:val="24"/>
          <w14:textFill>
            <w14:solidFill>
              <w14:schemeClr w14:val="tx1"/>
            </w14:solidFill>
          </w14:textFill>
        </w:rPr>
        <w:t>参加开标的各投标人代表和相关工作人员签字确认，</w:t>
      </w:r>
      <w:r>
        <w:rPr>
          <w:rFonts w:hint="eastAsia" w:asciiTheme="minorEastAsia" w:hAnsiTheme="minorEastAsia" w:eastAsiaTheme="minorEastAsia"/>
          <w:color w:val="000000" w:themeColor="text1"/>
          <w:sz w:val="24"/>
          <w14:textFill>
            <w14:solidFill>
              <w14:schemeClr w14:val="tx1"/>
            </w14:solidFill>
          </w14:textFill>
        </w:rPr>
        <w:t>并存档备查。</w:t>
      </w:r>
    </w:p>
    <w:p>
      <w:pPr>
        <w:pStyle w:val="72"/>
        <w:numPr>
          <w:ilvl w:val="1"/>
          <w:numId w:val="59"/>
        </w:numPr>
        <w:tabs>
          <w:tab w:val="left" w:pos="1585"/>
        </w:tabs>
        <w:spacing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投标人代表对开标过程和开标记录有疑义，以及认为采购人、采购代理机构相关工作人员有需要回避的情形的，应当场提出询问或者回避申请。</w:t>
      </w:r>
    </w:p>
    <w:p>
      <w:pPr>
        <w:pStyle w:val="72"/>
        <w:numPr>
          <w:ilvl w:val="1"/>
          <w:numId w:val="60"/>
        </w:numPr>
        <w:tabs>
          <w:tab w:val="left" w:pos="1585"/>
        </w:tabs>
        <w:spacing w:line="360" w:lineRule="auto"/>
        <w:ind w:left="567" w:right="567" w:firstLine="505"/>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资格审查及组建评标委员会</w:t>
      </w:r>
    </w:p>
    <w:p>
      <w:pPr>
        <w:pStyle w:val="72"/>
        <w:numPr>
          <w:ilvl w:val="1"/>
          <w:numId w:val="6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采购人或采购代理机构依据法律法规和招标文件中规定的内</w:t>
      </w:r>
      <w:r>
        <w:rPr>
          <w:rFonts w:asciiTheme="minorEastAsia" w:hAnsiTheme="minorEastAsia" w:eastAsiaTheme="minorEastAsia"/>
          <w:color w:val="000000" w:themeColor="text1"/>
          <w:sz w:val="24"/>
          <w:szCs w:val="24"/>
          <w14:textFill>
            <w14:solidFill>
              <w14:schemeClr w14:val="tx1"/>
            </w14:solidFill>
          </w14:textFill>
        </w:rPr>
        <w:t>容</w:t>
      </w:r>
      <w:r>
        <w:rPr>
          <w:rFonts w:hint="eastAsia" w:asciiTheme="minorEastAsia" w:hAnsiTheme="minorEastAsia" w:eastAsiaTheme="minorEastAsia"/>
          <w:color w:val="000000" w:themeColor="text1"/>
          <w:sz w:val="24"/>
          <w:szCs w:val="24"/>
          <w14:textFill>
            <w14:solidFill>
              <w14:schemeClr w14:val="tx1"/>
            </w14:solidFill>
          </w14:textFill>
        </w:rPr>
        <w:t>，对投标人及其服务的资格进行审查，未</w:t>
      </w:r>
      <w:r>
        <w:rPr>
          <w:rFonts w:asciiTheme="minorEastAsia" w:hAnsiTheme="minorEastAsia" w:eastAsiaTheme="minorEastAsia"/>
          <w:color w:val="000000" w:themeColor="text1"/>
          <w:sz w:val="24"/>
          <w:szCs w:val="24"/>
          <w14:textFill>
            <w14:solidFill>
              <w14:schemeClr w14:val="tx1"/>
            </w14:solidFill>
          </w14:textFill>
        </w:rPr>
        <w:t>通过资格审查的投标人</w:t>
      </w:r>
      <w:r>
        <w:rPr>
          <w:rFonts w:hint="eastAsia" w:asciiTheme="minorEastAsia" w:hAnsiTheme="minorEastAsia" w:eastAsiaTheme="minorEastAsia"/>
          <w:color w:val="000000" w:themeColor="text1"/>
          <w:sz w:val="24"/>
          <w:szCs w:val="24"/>
          <w14:textFill>
            <w14:solidFill>
              <w14:schemeClr w14:val="tx1"/>
            </w14:solidFill>
          </w14:textFill>
        </w:rPr>
        <w:t>不</w:t>
      </w:r>
      <w:r>
        <w:rPr>
          <w:rFonts w:asciiTheme="minorEastAsia" w:hAnsiTheme="minorEastAsia" w:eastAsiaTheme="minorEastAsia"/>
          <w:color w:val="000000" w:themeColor="text1"/>
          <w:sz w:val="24"/>
          <w:szCs w:val="24"/>
          <w14:textFill>
            <w14:solidFill>
              <w14:schemeClr w14:val="tx1"/>
            </w14:solidFill>
          </w14:textFill>
        </w:rPr>
        <w:t>进入评标；通过资格审查的投标人少于</w:t>
      </w:r>
      <w:r>
        <w:rPr>
          <w:rFonts w:hint="eastAsia" w:asciiTheme="minorEastAsia" w:hAnsiTheme="minorEastAsia" w:eastAsiaTheme="minorEastAsia"/>
          <w:color w:val="000000" w:themeColor="text1"/>
          <w:sz w:val="24"/>
          <w:szCs w:val="24"/>
          <w14:textFill>
            <w14:solidFill>
              <w14:schemeClr w14:val="tx1"/>
            </w14:solidFill>
          </w14:textFill>
        </w:rPr>
        <w:t>不足</w:t>
      </w:r>
      <w:r>
        <w:rPr>
          <w:rFonts w:asciiTheme="minorEastAsia" w:hAnsiTheme="minorEastAsia" w:eastAsiaTheme="minorEastAsia"/>
          <w:color w:val="000000" w:themeColor="text1"/>
          <w:sz w:val="24"/>
          <w:szCs w:val="24"/>
          <w14:textFill>
            <w14:solidFill>
              <w14:schemeClr w14:val="tx1"/>
            </w14:solidFill>
          </w14:textFill>
        </w:rPr>
        <w:t>三家的，不</w:t>
      </w:r>
      <w:r>
        <w:rPr>
          <w:rFonts w:hint="eastAsia" w:asciiTheme="minorEastAsia" w:hAnsiTheme="minorEastAsia" w:eastAsiaTheme="minorEastAsia"/>
          <w:color w:val="000000" w:themeColor="text1"/>
          <w:sz w:val="24"/>
          <w:szCs w:val="24"/>
          <w14:textFill>
            <w14:solidFill>
              <w14:schemeClr w14:val="tx1"/>
            </w14:solidFill>
          </w14:textFill>
        </w:rPr>
        <w:t>得评标。</w:t>
      </w:r>
    </w:p>
    <w:p>
      <w:pPr>
        <w:pStyle w:val="72"/>
        <w:numPr>
          <w:ilvl w:val="1"/>
          <w:numId w:val="6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采购人</w:t>
      </w:r>
      <w:r>
        <w:rPr>
          <w:rFonts w:asciiTheme="minorEastAsia" w:hAnsiTheme="minorEastAsia" w:eastAsiaTheme="minorEastAsia"/>
          <w:color w:val="000000" w:themeColor="text1"/>
          <w:sz w:val="24"/>
          <w:szCs w:val="24"/>
          <w14:textFill>
            <w14:solidFill>
              <w14:schemeClr w14:val="tx1"/>
            </w14:solidFill>
          </w14:textFill>
        </w:rPr>
        <w:t>或采购代理机构</w:t>
      </w:r>
      <w:r>
        <w:rPr>
          <w:rFonts w:hint="eastAsia" w:asciiTheme="minorEastAsia" w:hAnsiTheme="minorEastAsia" w:eastAsiaTheme="minorEastAsia"/>
          <w:color w:val="000000" w:themeColor="text1"/>
          <w:sz w:val="24"/>
          <w:szCs w:val="24"/>
          <w14:textFill>
            <w14:solidFill>
              <w14:schemeClr w14:val="tx1"/>
            </w14:solidFill>
          </w14:textFill>
        </w:rPr>
        <w:t>将在</w:t>
      </w:r>
      <w:r>
        <w:rPr>
          <w:rFonts w:asciiTheme="minorEastAsia" w:hAnsiTheme="minorEastAsia" w:eastAsiaTheme="minorEastAsia"/>
          <w:color w:val="000000" w:themeColor="text1"/>
          <w:sz w:val="24"/>
          <w:szCs w:val="24"/>
          <w14:textFill>
            <w14:solidFill>
              <w14:schemeClr w14:val="tx1"/>
            </w14:solidFill>
          </w14:textFill>
        </w:rPr>
        <w:t>开标前</w:t>
      </w:r>
      <w:r>
        <w:rPr>
          <w:rFonts w:hint="eastAsia" w:asciiTheme="minorEastAsia" w:hAnsiTheme="minorEastAsia" w:eastAsiaTheme="minorEastAsia"/>
          <w:color w:val="000000" w:themeColor="text1"/>
          <w:sz w:val="24"/>
          <w:szCs w:val="24"/>
          <w14:textFill>
            <w14:solidFill>
              <w14:schemeClr w14:val="tx1"/>
            </w14:solidFill>
          </w14:textFill>
        </w:rPr>
        <w:t>1个</w:t>
      </w:r>
      <w:r>
        <w:rPr>
          <w:rFonts w:asciiTheme="minorEastAsia" w:hAnsiTheme="minorEastAsia" w:eastAsiaTheme="minorEastAsia"/>
          <w:color w:val="000000" w:themeColor="text1"/>
          <w:sz w:val="24"/>
          <w:szCs w:val="24"/>
          <w14:textFill>
            <w14:solidFill>
              <w14:schemeClr w14:val="tx1"/>
            </w14:solidFill>
          </w14:textFill>
        </w:rPr>
        <w:t>工作日至投标截止后</w:t>
      </w:r>
      <w:r>
        <w:rPr>
          <w:rFonts w:hint="eastAsia" w:asciiTheme="minorEastAsia" w:hAnsiTheme="minorEastAsia" w:eastAsiaTheme="minorEastAsia"/>
          <w:color w:val="000000" w:themeColor="text1"/>
          <w:sz w:val="24"/>
          <w:szCs w:val="24"/>
          <w14:textFill>
            <w14:solidFill>
              <w14:schemeClr w14:val="tx1"/>
            </w14:solidFill>
          </w14:textFill>
        </w:rPr>
        <w:t>1小时的期间内查询投标人的信用记录。投标人存在不良信用记录的，其投标将被认定为投标无效。</w:t>
      </w:r>
    </w:p>
    <w:p>
      <w:pPr>
        <w:pStyle w:val="72"/>
        <w:numPr>
          <w:ilvl w:val="1"/>
          <w:numId w:val="6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不良信用记录指：投标人在中国政府采购网（www.ccgp.gov.cn）被列入政府采购严重违法失信行为记录名单，或在“信用中国”网站（www.creditchina.gov.cn）被列入失信被执行人、重大税收违法案件当事人名单，</w:t>
      </w:r>
      <w:r>
        <w:rPr>
          <w:rFonts w:hint="eastAsia" w:ascii="宋体" w:hAnsi="宋体" w:eastAsia="宋体"/>
          <w:color w:val="000000" w:themeColor="text1"/>
          <w:sz w:val="24"/>
          <w:szCs w:val="24"/>
          <w:lang w:val="en-US"/>
          <w14:textFill>
            <w14:solidFill>
              <w14:schemeClr w14:val="tx1"/>
            </w14:solidFill>
          </w14:textFill>
        </w:rPr>
        <w:t>裁判文书网</w:t>
      </w:r>
      <w:r>
        <w:rPr>
          <w:rFonts w:hint="eastAsia" w:asciiTheme="minorEastAsia" w:hAnsiTheme="minorEastAsia" w:eastAsiaTheme="minorEastAsia"/>
          <w:color w:val="000000" w:themeColor="text1"/>
          <w:sz w:val="24"/>
          <w:szCs w:val="24"/>
          <w:lang w:val="en-US"/>
          <w14:textFill>
            <w14:solidFill>
              <w14:schemeClr w14:val="tx1"/>
            </w14:solidFill>
          </w14:textFill>
        </w:rPr>
        <w:t>,</w:t>
      </w:r>
      <w:r>
        <w:rPr>
          <w:rFonts w:hint="eastAsia" w:ascii="宋体" w:hAnsi="宋体" w:eastAsia="宋体" w:cs="Times New Roman"/>
          <w:color w:val="000000" w:themeColor="text1"/>
          <w:kern w:val="2"/>
          <w:sz w:val="21"/>
          <w:szCs w:val="21"/>
          <w:lang w:val="en-US" w:bidi="ar-SA"/>
          <w14:textFill>
            <w14:solidFill>
              <w14:schemeClr w14:val="tx1"/>
            </w14:solidFill>
          </w14:textFill>
        </w:rPr>
        <w:t xml:space="preserve"> </w:t>
      </w:r>
      <w:r>
        <w:rPr>
          <w:rFonts w:hint="eastAsia" w:ascii="宋体" w:hAnsi="宋体" w:eastAsia="宋体"/>
          <w:color w:val="000000" w:themeColor="text1"/>
          <w:sz w:val="24"/>
          <w:szCs w:val="24"/>
          <w:lang w:val="en-US"/>
          <w14:textFill>
            <w14:solidFill>
              <w14:schemeClr w14:val="tx1"/>
            </w14:solidFill>
          </w14:textFill>
        </w:rPr>
        <w:t>国家企业公示信息系统,</w:t>
      </w:r>
      <w:r>
        <w:rPr>
          <w:rFonts w:hint="eastAsia" w:asciiTheme="minorEastAsia" w:hAnsiTheme="minorEastAsia" w:eastAsiaTheme="minorEastAsia"/>
          <w:color w:val="000000" w:themeColor="text1"/>
          <w:sz w:val="24"/>
          <w:szCs w:val="24"/>
          <w14:textFill>
            <w14:solidFill>
              <w14:schemeClr w14:val="tx1"/>
            </w14:solidFill>
          </w14:textFill>
        </w:rPr>
        <w:t>以及存在《中华人民共和国政府采购法实施条例》第十九条规定的行政处罚记录。以联合体形式参加投标的，联合体任何成员存在以上不良信用记录的，联合体投标将被认定为投标无效.</w:t>
      </w:r>
    </w:p>
    <w:p>
      <w:pPr>
        <w:pStyle w:val="72"/>
        <w:numPr>
          <w:ilvl w:val="1"/>
          <w:numId w:val="6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查询及记录方式：采购人</w:t>
      </w:r>
      <w:r>
        <w:rPr>
          <w:rFonts w:asciiTheme="minorEastAsia" w:hAnsiTheme="minorEastAsia" w:eastAsiaTheme="minorEastAsia"/>
          <w:color w:val="000000" w:themeColor="text1"/>
          <w:sz w:val="24"/>
          <w:szCs w:val="24"/>
          <w14:textFill>
            <w14:solidFill>
              <w14:schemeClr w14:val="tx1"/>
            </w14:solidFill>
          </w14:textFill>
        </w:rPr>
        <w:t>或采购代理机构</w:t>
      </w:r>
      <w:r>
        <w:rPr>
          <w:rFonts w:hint="eastAsia" w:asciiTheme="minorEastAsia" w:hAnsiTheme="minorEastAsia" w:eastAsiaTheme="minorEastAsia"/>
          <w:color w:val="000000" w:themeColor="text1"/>
          <w:sz w:val="24"/>
          <w:szCs w:val="24"/>
          <w14:textFill>
            <w14:solidFill>
              <w14:schemeClr w14:val="tx1"/>
            </w14:solidFill>
          </w14:textFill>
        </w:rPr>
        <w:t>经办人将查询网页打印、签字并存档备查。投标人不良信用记录以采购人</w:t>
      </w:r>
      <w:r>
        <w:rPr>
          <w:rFonts w:asciiTheme="minorEastAsia" w:hAnsiTheme="minorEastAsia" w:eastAsiaTheme="minorEastAsia"/>
          <w:color w:val="000000" w:themeColor="text1"/>
          <w:sz w:val="24"/>
          <w:szCs w:val="24"/>
          <w14:textFill>
            <w14:solidFill>
              <w14:schemeClr w14:val="tx1"/>
            </w14:solidFill>
          </w14:textFill>
        </w:rPr>
        <w:t>或采购代理机构</w:t>
      </w:r>
      <w:r>
        <w:rPr>
          <w:rFonts w:hint="eastAsia" w:asciiTheme="minorEastAsia" w:hAnsiTheme="minorEastAsia" w:eastAsiaTheme="minorEastAsia"/>
          <w:color w:val="000000" w:themeColor="text1"/>
          <w:sz w:val="24"/>
          <w:szCs w:val="24"/>
          <w14:textFill>
            <w14:solidFill>
              <w14:schemeClr w14:val="tx1"/>
            </w14:solidFill>
          </w14:textFill>
        </w:rPr>
        <w:t>查询结果为准。在本</w:t>
      </w:r>
      <w:r>
        <w:rPr>
          <w:rFonts w:asciiTheme="minorEastAsia" w:hAnsiTheme="minorEastAsia" w:eastAsiaTheme="minorEastAsia"/>
          <w:color w:val="000000" w:themeColor="text1"/>
          <w:sz w:val="24"/>
          <w:szCs w:val="24"/>
          <w14:textFill>
            <w14:solidFill>
              <w14:schemeClr w14:val="tx1"/>
            </w14:solidFill>
          </w14:textFill>
        </w:rPr>
        <w:t>招标文件规定</w:t>
      </w:r>
      <w:r>
        <w:rPr>
          <w:rFonts w:hint="eastAsia" w:asciiTheme="minorEastAsia" w:hAnsiTheme="minorEastAsia" w:eastAsiaTheme="minorEastAsia"/>
          <w:color w:val="000000" w:themeColor="text1"/>
          <w:sz w:val="24"/>
          <w:szCs w:val="24"/>
          <w14:textFill>
            <w14:solidFill>
              <w14:schemeClr w14:val="tx1"/>
            </w14:solidFill>
          </w14:textFill>
        </w:rPr>
        <w:t>的查询时间之后，网站信息发生的任何变更均不再作为评标依据。投标人自行提供的与网站信息不一致的其他证明材料亦不作为资格审查依据。</w:t>
      </w:r>
    </w:p>
    <w:p>
      <w:pPr>
        <w:pStyle w:val="72"/>
        <w:numPr>
          <w:ilvl w:val="1"/>
          <w:numId w:val="6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按照《</w:t>
      </w:r>
      <w:r>
        <w:rPr>
          <w:rFonts w:asciiTheme="minorEastAsia" w:hAnsiTheme="minorEastAsia" w:eastAsiaTheme="minorEastAsia"/>
          <w:color w:val="000000" w:themeColor="text1"/>
          <w:sz w:val="24"/>
          <w:szCs w:val="24"/>
          <w14:textFill>
            <w14:solidFill>
              <w14:schemeClr w14:val="tx1"/>
            </w14:solidFill>
          </w14:textFill>
        </w:rPr>
        <w:t>中华人民共和国政府采购法》</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《中华人民共和国政府采购</w:t>
      </w:r>
      <w:r>
        <w:rPr>
          <w:rFonts w:hint="eastAsia" w:asciiTheme="minorEastAsia" w:hAnsiTheme="minorEastAsia" w:eastAsiaTheme="minorEastAsia"/>
          <w:color w:val="000000" w:themeColor="text1"/>
          <w:sz w:val="24"/>
          <w:szCs w:val="24"/>
          <w14:textFill>
            <w14:solidFill>
              <w14:schemeClr w14:val="tx1"/>
            </w14:solidFill>
          </w14:textFill>
        </w:rPr>
        <w:t>法</w:t>
      </w:r>
      <w:r>
        <w:rPr>
          <w:rFonts w:asciiTheme="minorEastAsia" w:hAnsiTheme="minorEastAsia" w:eastAsiaTheme="minorEastAsia"/>
          <w:color w:val="000000" w:themeColor="text1"/>
          <w:sz w:val="24"/>
          <w:szCs w:val="24"/>
          <w14:textFill>
            <w14:solidFill>
              <w14:schemeClr w14:val="tx1"/>
            </w14:solidFill>
          </w14:textFill>
        </w:rPr>
        <w:t>实施条例》</w:t>
      </w:r>
      <w:r>
        <w:rPr>
          <w:rFonts w:hint="eastAsia" w:asciiTheme="minorEastAsia" w:hAnsiTheme="minorEastAsia" w:eastAsiaTheme="minorEastAsia"/>
          <w:color w:val="000000" w:themeColor="text1"/>
          <w:sz w:val="24"/>
          <w:szCs w:val="24"/>
          <w14:textFill>
            <w14:solidFill>
              <w14:schemeClr w14:val="tx1"/>
            </w14:solidFill>
          </w14:textFill>
        </w:rPr>
        <w:t>及本项目本级</w:t>
      </w:r>
      <w:r>
        <w:rPr>
          <w:rFonts w:asciiTheme="minorEastAsia" w:hAnsiTheme="minorEastAsia" w:eastAsiaTheme="minorEastAsia"/>
          <w:color w:val="000000" w:themeColor="text1"/>
          <w:sz w:val="24"/>
          <w:szCs w:val="24"/>
          <w14:textFill>
            <w14:solidFill>
              <w14:schemeClr w14:val="tx1"/>
            </w14:solidFill>
          </w14:textFill>
        </w:rPr>
        <w:t>和上级财政部门</w:t>
      </w:r>
      <w:r>
        <w:rPr>
          <w:rFonts w:hint="eastAsia" w:asciiTheme="minorEastAsia" w:hAnsiTheme="minorEastAsia" w:eastAsiaTheme="minorEastAsia"/>
          <w:color w:val="000000" w:themeColor="text1"/>
          <w:sz w:val="24"/>
          <w:szCs w:val="24"/>
          <w14:textFill>
            <w14:solidFill>
              <w14:schemeClr w14:val="tx1"/>
            </w14:solidFill>
          </w14:textFill>
        </w:rPr>
        <w:t>的有关规定依法组建的</w:t>
      </w:r>
      <w:r>
        <w:rPr>
          <w:rFonts w:asciiTheme="minorEastAsia" w:hAnsiTheme="minorEastAsia" w:eastAsiaTheme="minorEastAsia"/>
          <w:color w:val="000000" w:themeColor="text1"/>
          <w:sz w:val="24"/>
          <w:szCs w:val="24"/>
          <w14:textFill>
            <w14:solidFill>
              <w14:schemeClr w14:val="tx1"/>
            </w14:solidFill>
          </w14:textFill>
        </w:rPr>
        <w:t>评标委员会</w:t>
      </w:r>
      <w:r>
        <w:rPr>
          <w:rFonts w:hint="eastAsia" w:asciiTheme="minorEastAsia" w:hAnsiTheme="minorEastAsia" w:eastAsiaTheme="minorEastAsia"/>
          <w:color w:val="000000" w:themeColor="text1"/>
          <w:sz w:val="24"/>
          <w:szCs w:val="24"/>
          <w14:textFill>
            <w14:solidFill>
              <w14:schemeClr w14:val="tx1"/>
            </w14:solidFill>
          </w14:textFill>
        </w:rPr>
        <w:t>，负责评标工作。</w:t>
      </w:r>
    </w:p>
    <w:p>
      <w:pPr>
        <w:pStyle w:val="72"/>
        <w:numPr>
          <w:ilvl w:val="1"/>
          <w:numId w:val="62"/>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imes New Roman" w:eastAsiaTheme="minorEastAsia"/>
          <w:color w:val="000000" w:themeColor="text1"/>
          <w:sz w:val="24"/>
          <w14:textFill>
            <w14:solidFill>
              <w14:schemeClr w14:val="tx1"/>
            </w14:solidFill>
          </w14:textFill>
        </w:rPr>
        <w:t>投标文件符合性审查与澄清</w:t>
      </w:r>
    </w:p>
    <w:p>
      <w:pPr>
        <w:pStyle w:val="72"/>
        <w:numPr>
          <w:ilvl w:val="1"/>
          <w:numId w:val="63"/>
        </w:numPr>
        <w:tabs>
          <w:tab w:val="left" w:pos="1515"/>
        </w:tabs>
        <w:spacing w:line="360" w:lineRule="auto"/>
        <w:ind w:left="567" w:right="567" w:firstLine="471"/>
        <w:jc w:val="both"/>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符合性审查是</w:t>
      </w:r>
      <w:r>
        <w:rPr>
          <w:color w:val="000000" w:themeColor="text1"/>
          <w:sz w:val="24"/>
          <w:szCs w:val="24"/>
          <w14:textFill>
            <w14:solidFill>
              <w14:schemeClr w14:val="tx1"/>
            </w14:solidFill>
          </w14:textFill>
        </w:rPr>
        <w:t>指</w:t>
      </w:r>
      <w:r>
        <w:rPr>
          <w:rFonts w:hint="eastAsia"/>
          <w:color w:val="000000" w:themeColor="text1"/>
          <w:sz w:val="24"/>
          <w:szCs w:val="24"/>
          <w14:textFill>
            <w14:solidFill>
              <w14:schemeClr w14:val="tx1"/>
            </w14:solidFill>
          </w14:textFill>
        </w:rPr>
        <w:t>依据招</w:t>
      </w:r>
      <w:r>
        <w:rPr>
          <w:rFonts w:hint="eastAsia" w:asciiTheme="minorEastAsia" w:hAnsiTheme="minorEastAsia" w:eastAsiaTheme="minorEastAsia"/>
          <w:color w:val="000000" w:themeColor="text1"/>
          <w:sz w:val="24"/>
          <w14:textFill>
            <w14:solidFill>
              <w14:schemeClr w14:val="tx1"/>
            </w14:solidFill>
          </w14:textFill>
        </w:rPr>
        <w:t>标文件的规定，从投标文件的有效性和完整性对招标文件的响应程度进行审查，以确定是否对招标文件</w:t>
      </w:r>
      <w:r>
        <w:rPr>
          <w:rFonts w:hint="eastAsia"/>
          <w:color w:val="000000" w:themeColor="text1"/>
          <w:sz w:val="24"/>
          <w:szCs w:val="24"/>
          <w14:textFill>
            <w14:solidFill>
              <w14:schemeClr w14:val="tx1"/>
            </w14:solidFill>
          </w14:textFill>
        </w:rPr>
        <w:t>的实质性要</w:t>
      </w:r>
      <w:r>
        <w:rPr>
          <w:rFonts w:hint="eastAsia" w:eastAsiaTheme="minorEastAsia"/>
          <w:color w:val="000000" w:themeColor="text1"/>
          <w:sz w:val="24"/>
          <w:szCs w:val="24"/>
          <w14:textFill>
            <w14:solidFill>
              <w14:schemeClr w14:val="tx1"/>
            </w14:solidFill>
          </w14:textFill>
        </w:rPr>
        <w:t>求</w:t>
      </w:r>
      <w:r>
        <w:rPr>
          <w:rFonts w:hint="eastAsia"/>
          <w:color w:val="000000" w:themeColor="text1"/>
          <w:sz w:val="24"/>
          <w:szCs w:val="24"/>
          <w14:textFill>
            <w14:solidFill>
              <w14:schemeClr w14:val="tx1"/>
            </w14:solidFill>
          </w14:textFill>
        </w:rPr>
        <w:t>做出响应。</w:t>
      </w:r>
    </w:p>
    <w:p>
      <w:pPr>
        <w:pStyle w:val="72"/>
        <w:numPr>
          <w:ilvl w:val="1"/>
          <w:numId w:val="64"/>
        </w:numPr>
        <w:tabs>
          <w:tab w:val="left" w:pos="1515"/>
        </w:tabs>
        <w:spacing w:line="360" w:lineRule="auto"/>
        <w:ind w:hanging="506"/>
        <w:rPr>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投标文件的澄清</w:t>
      </w:r>
      <w:r>
        <w:rPr>
          <w:color w:val="000000" w:themeColor="text1"/>
          <w:sz w:val="24"/>
          <w14:textFill>
            <w14:solidFill>
              <w14:schemeClr w14:val="tx1"/>
            </w14:solidFill>
          </w14:textFill>
        </w:rPr>
        <w:t>：</w:t>
      </w:r>
    </w:p>
    <w:p>
      <w:pPr>
        <w:pStyle w:val="72"/>
        <w:numPr>
          <w:ilvl w:val="1"/>
          <w:numId w:val="65"/>
        </w:numPr>
        <w:tabs>
          <w:tab w:val="left" w:pos="1515"/>
        </w:tabs>
        <w:spacing w:line="360" w:lineRule="auto"/>
        <w:ind w:left="567" w:right="567" w:firstLine="471"/>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color w:val="000000" w:themeColor="text1"/>
          <w:sz w:val="24"/>
          <w:szCs w:val="24"/>
          <w14:textFill>
            <w14:solidFill>
              <w14:schemeClr w14:val="tx1"/>
            </w14:solidFill>
          </w14:textFill>
        </w:rPr>
        <w:t>情况</w:t>
      </w:r>
      <w:r>
        <w:rPr>
          <w:rFonts w:hint="eastAsia"/>
          <w:color w:val="000000" w:themeColor="text1"/>
          <w:sz w:val="24"/>
          <w:szCs w:val="24"/>
          <w14:textFill>
            <w14:solidFill>
              <w14:schemeClr w14:val="tx1"/>
            </w14:solidFill>
          </w14:textFill>
        </w:rPr>
        <w:t>作必要的澄清、说明或补正。投标人的澄清、说明或补正应在评标委员会</w:t>
      </w:r>
      <w:r>
        <w:rPr>
          <w:rFonts w:hint="eastAsia" w:eastAsiaTheme="minorEastAsia"/>
          <w:color w:val="000000" w:themeColor="text1"/>
          <w:sz w:val="24"/>
          <w:szCs w:val="24"/>
          <w14:textFill>
            <w14:solidFill>
              <w14:schemeClr w14:val="tx1"/>
            </w14:solidFill>
          </w14:textFill>
        </w:rPr>
        <w:t>允许下，并在</w:t>
      </w:r>
      <w:r>
        <w:rPr>
          <w:rFonts w:hint="eastAsia"/>
          <w:color w:val="000000" w:themeColor="text1"/>
          <w:sz w:val="24"/>
          <w:szCs w:val="24"/>
          <w14:textFill>
            <w14:solidFill>
              <w14:schemeClr w14:val="tx1"/>
            </w14:solidFill>
          </w14:textFill>
        </w:rPr>
        <w:t>规定的时间内以书面方式进行，并不得超出投标文件范围或者改变投标文件的实质性内容。</w:t>
      </w:r>
    </w:p>
    <w:p>
      <w:pPr>
        <w:pStyle w:val="72"/>
        <w:numPr>
          <w:ilvl w:val="2"/>
          <w:numId w:val="66"/>
        </w:numPr>
        <w:tabs>
          <w:tab w:val="left" w:pos="1698"/>
        </w:tabs>
        <w:spacing w:line="360" w:lineRule="auto"/>
        <w:jc w:val="both"/>
        <w:rPr>
          <w:color w:val="000000" w:themeColor="text1"/>
          <w:spacing w:val="-2"/>
          <w:sz w:val="24"/>
          <w14:textFill>
            <w14:solidFill>
              <w14:schemeClr w14:val="tx1"/>
            </w14:solidFill>
          </w14:textFill>
        </w:rPr>
      </w:pPr>
      <w:r>
        <w:rPr>
          <w:rFonts w:hint="eastAsia"/>
          <w:color w:val="000000" w:themeColor="text1"/>
          <w:spacing w:val="-2"/>
          <w:sz w:val="24"/>
          <w14:textFill>
            <w14:solidFill>
              <w14:schemeClr w14:val="tx1"/>
            </w14:solidFill>
          </w14:textFill>
        </w:rPr>
        <w:t>投标人的的澄清、说明或补正将作为投标文件的一部分。</w:t>
      </w:r>
    </w:p>
    <w:p>
      <w:pPr>
        <w:pStyle w:val="72"/>
        <w:numPr>
          <w:ilvl w:val="2"/>
          <w:numId w:val="67"/>
        </w:numPr>
        <w:tabs>
          <w:tab w:val="left" w:pos="1698"/>
        </w:tabs>
        <w:spacing w:line="360" w:lineRule="auto"/>
        <w:jc w:val="both"/>
        <w:rPr>
          <w:color w:val="000000" w:themeColor="text1"/>
          <w:spacing w:val="-2"/>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投标文件报价出现前后不一致的，按照下列规定修正</w:t>
      </w:r>
      <w:r>
        <w:rPr>
          <w:rFonts w:hint="eastAsia"/>
          <w:color w:val="000000" w:themeColor="text1"/>
          <w:spacing w:val="-2"/>
          <w:sz w:val="24"/>
          <w:szCs w:val="24"/>
          <w14:textFill>
            <w14:solidFill>
              <w14:schemeClr w14:val="tx1"/>
            </w14:solidFill>
          </w14:textFill>
        </w:rPr>
        <w:t>：</w:t>
      </w:r>
    </w:p>
    <w:p>
      <w:pPr>
        <w:pStyle w:val="72"/>
        <w:numPr>
          <w:ilvl w:val="2"/>
          <w:numId w:val="68"/>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color w:val="000000" w:themeColor="text1"/>
          <w:spacing w:val="-2"/>
          <w:sz w:val="24"/>
          <w14:textFill>
            <w14:solidFill>
              <w14:schemeClr w14:val="tx1"/>
            </w14:solidFill>
          </w14:textFill>
        </w:rPr>
        <w:t>投标文件中开标一览表（报价表）内容与投标文件中相应内容不一致的，以</w:t>
      </w:r>
      <w:r>
        <w:rPr>
          <w:rFonts w:hint="eastAsia" w:eastAsiaTheme="minorEastAsia"/>
          <w:color w:val="000000" w:themeColor="text1"/>
          <w:spacing w:val="-2"/>
          <w:sz w:val="24"/>
          <w14:textFill>
            <w14:solidFill>
              <w14:schemeClr w14:val="tx1"/>
            </w14:solidFill>
          </w14:textFill>
        </w:rPr>
        <w:t>正本</w:t>
      </w:r>
      <w:r>
        <w:rPr>
          <w:rFonts w:hint="eastAsia"/>
          <w:color w:val="000000" w:themeColor="text1"/>
          <w:spacing w:val="-2"/>
          <w:sz w:val="24"/>
          <w14:textFill>
            <w14:solidFill>
              <w14:schemeClr w14:val="tx1"/>
            </w14:solidFill>
          </w14:textFill>
        </w:rPr>
        <w:t>（报价表）为准；</w:t>
      </w:r>
    </w:p>
    <w:p>
      <w:pPr>
        <w:pStyle w:val="72"/>
        <w:numPr>
          <w:ilvl w:val="2"/>
          <w:numId w:val="69"/>
        </w:numPr>
        <w:tabs>
          <w:tab w:val="left" w:pos="1698"/>
        </w:tabs>
        <w:spacing w:line="360" w:lineRule="auto"/>
        <w:ind w:right="220" w:rightChars="100"/>
        <w:jc w:val="both"/>
        <w:rPr>
          <w:color w:val="000000" w:themeColor="text1"/>
          <w:spacing w:val="-2"/>
          <w:sz w:val="24"/>
          <w14:textFill>
            <w14:solidFill>
              <w14:schemeClr w14:val="tx1"/>
            </w14:solidFill>
          </w14:textFill>
        </w:rPr>
      </w:pPr>
      <w:r>
        <w:rPr>
          <w:rFonts w:hint="eastAsia"/>
          <w:color w:val="000000" w:themeColor="text1"/>
          <w:spacing w:val="-2"/>
          <w:sz w:val="24"/>
          <w14:textFill>
            <w14:solidFill>
              <w14:schemeClr w14:val="tx1"/>
            </w14:solidFill>
          </w14:textFill>
        </w:rPr>
        <w:t>大写金额和小写金额不一致的，以大写金额为准；</w:t>
      </w:r>
    </w:p>
    <w:p>
      <w:pPr>
        <w:pStyle w:val="72"/>
        <w:numPr>
          <w:ilvl w:val="2"/>
          <w:numId w:val="70"/>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color w:val="000000" w:themeColor="text1"/>
          <w:spacing w:val="-2"/>
          <w:sz w:val="24"/>
          <w14:textFill>
            <w14:solidFill>
              <w14:schemeClr w14:val="tx1"/>
            </w14:solidFill>
          </w14:textFill>
        </w:rPr>
        <w:t>单价金额小数点或者百分比有明显错位的，以</w:t>
      </w:r>
      <w:r>
        <w:rPr>
          <w:rFonts w:hint="eastAsia" w:eastAsiaTheme="minorEastAsia"/>
          <w:color w:val="000000" w:themeColor="text1"/>
          <w:spacing w:val="-2"/>
          <w:sz w:val="24"/>
          <w14:textFill>
            <w14:solidFill>
              <w14:schemeClr w14:val="tx1"/>
            </w14:solidFill>
          </w14:textFill>
        </w:rPr>
        <w:t>正本</w:t>
      </w:r>
      <w:r>
        <w:rPr>
          <w:rFonts w:hint="eastAsia"/>
          <w:color w:val="000000" w:themeColor="text1"/>
          <w:spacing w:val="-2"/>
          <w:sz w:val="24"/>
          <w14:textFill>
            <w14:solidFill>
              <w14:schemeClr w14:val="tx1"/>
            </w14:solidFill>
          </w14:textFill>
        </w:rPr>
        <w:t>总价为准，并修改单价</w:t>
      </w:r>
      <w:r>
        <w:rPr>
          <w:rFonts w:hint="eastAsia" w:eastAsiaTheme="minorEastAsia"/>
          <w:color w:val="000000" w:themeColor="text1"/>
          <w:spacing w:val="-2"/>
          <w:sz w:val="24"/>
          <w14:textFill>
            <w14:solidFill>
              <w14:schemeClr w14:val="tx1"/>
            </w14:solidFill>
          </w14:textFill>
        </w:rPr>
        <w:t>；</w:t>
      </w:r>
    </w:p>
    <w:p>
      <w:pPr>
        <w:pStyle w:val="72"/>
        <w:numPr>
          <w:ilvl w:val="2"/>
          <w:numId w:val="71"/>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eastAsiaTheme="minorEastAsia"/>
          <w:color w:val="000000" w:themeColor="text1"/>
          <w:spacing w:val="-2"/>
          <w:sz w:val="24"/>
          <w14:textFill>
            <w14:solidFill>
              <w14:schemeClr w14:val="tx1"/>
            </w14:solidFill>
          </w14:textFill>
        </w:rPr>
        <w:t>总价金额与按单价汇总金额不一致的，以单价金额计算结果为准。同时出现两种以上不一致的，按照前款规定的顺序修正。修正后的报价经投标人确认后产生约束力，投标人不确认的，其投标将被认定为投标无效。对不同文字文本投标文件的解释发生异议的，以中文文本为准。</w:t>
      </w:r>
    </w:p>
    <w:p>
      <w:pPr>
        <w:pStyle w:val="72"/>
        <w:numPr>
          <w:ilvl w:val="2"/>
          <w:numId w:val="72"/>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color w:val="000000" w:themeColor="text1"/>
          <w:spacing w:val="-2"/>
          <w:sz w:val="24"/>
          <w14:textFill>
            <w14:solidFill>
              <w14:schemeClr w14:val="tx1"/>
            </w14:solidFill>
          </w14:textFill>
        </w:rPr>
        <w:t>如一个分包内只有一种产品，不同</w:t>
      </w:r>
      <w:r>
        <w:rPr>
          <w:color w:val="000000" w:themeColor="text1"/>
          <w:spacing w:val="-2"/>
          <w:sz w:val="24"/>
          <w14:textFill>
            <w14:solidFill>
              <w14:schemeClr w14:val="tx1"/>
            </w14:solidFill>
          </w14:textFill>
        </w:rPr>
        <w:t>投标人所投产品为</w:t>
      </w:r>
      <w:r>
        <w:rPr>
          <w:rFonts w:hint="eastAsia"/>
          <w:color w:val="000000" w:themeColor="text1"/>
          <w:spacing w:val="-2"/>
          <w:sz w:val="24"/>
          <w14:textFill>
            <w14:solidFill>
              <w14:schemeClr w14:val="tx1"/>
            </w14:solidFill>
          </w14:textFill>
        </w:rPr>
        <w:t>同一品牌的</w:t>
      </w:r>
      <w:r>
        <w:rPr>
          <w:color w:val="000000" w:themeColor="text1"/>
          <w:spacing w:val="-2"/>
          <w:sz w:val="24"/>
          <w14:textFill>
            <w14:solidFill>
              <w14:schemeClr w14:val="tx1"/>
            </w14:solidFill>
          </w14:textFill>
        </w:rPr>
        <w:t>，</w:t>
      </w:r>
      <w:r>
        <w:rPr>
          <w:rFonts w:hint="eastAsia"/>
          <w:color w:val="000000" w:themeColor="text1"/>
          <w:spacing w:val="-2"/>
          <w:sz w:val="24"/>
          <w14:textFill>
            <w14:solidFill>
              <w14:schemeClr w14:val="tx1"/>
            </w14:solidFill>
          </w14:textFill>
        </w:rPr>
        <w:t>按</w:t>
      </w:r>
      <w:r>
        <w:rPr>
          <w:color w:val="000000" w:themeColor="text1"/>
          <w:spacing w:val="-2"/>
          <w:sz w:val="24"/>
          <w14:textFill>
            <w14:solidFill>
              <w14:schemeClr w14:val="tx1"/>
            </w14:solidFill>
          </w14:textFill>
        </w:rPr>
        <w:t>如下方式处理：</w:t>
      </w:r>
    </w:p>
    <w:p>
      <w:pPr>
        <w:pStyle w:val="72"/>
        <w:numPr>
          <w:ilvl w:val="2"/>
          <w:numId w:val="73"/>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如</w:t>
      </w:r>
      <w:r>
        <w:rPr>
          <w:rFonts w:ascii="宋体" w:hAnsi="宋体" w:eastAsia="宋体" w:cs="宋体"/>
          <w:color w:val="000000" w:themeColor="text1"/>
          <w:spacing w:val="-2"/>
          <w:sz w:val="24"/>
          <w14:textFill>
            <w14:solidFill>
              <w14:schemeClr w14:val="tx1"/>
            </w14:solidFill>
          </w14:textFill>
        </w:rPr>
        <w:t>本项目</w:t>
      </w:r>
      <w:r>
        <w:rPr>
          <w:rFonts w:hint="eastAsia" w:ascii="宋体" w:hAnsi="宋体" w:eastAsia="宋体" w:cs="宋体"/>
          <w:color w:val="000000" w:themeColor="text1"/>
          <w:spacing w:val="-2"/>
          <w:sz w:val="24"/>
          <w14:textFill>
            <w14:solidFill>
              <w14:schemeClr w14:val="tx1"/>
            </w14:solidFill>
          </w14:textFill>
        </w:rPr>
        <w:t>使用最低评标价法，提供相同品牌产品的不同投标人以其中通过资格审查、符合性审查且报价最低的参加评标；报价相同的，由采购人或者采购人委托评标委员会按照招标文件中</w:t>
      </w:r>
      <w:r>
        <w:rPr>
          <w:rFonts w:ascii="宋体" w:hAnsi="宋体" w:eastAsia="宋体" w:cs="宋体"/>
          <w:color w:val="000000" w:themeColor="text1"/>
          <w:spacing w:val="-2"/>
          <w:sz w:val="24"/>
          <w14:textFill>
            <w14:solidFill>
              <w14:schemeClr w14:val="tx1"/>
            </w14:solidFill>
          </w14:textFill>
        </w:rPr>
        <w:t>评标办法</w:t>
      </w:r>
      <w:r>
        <w:rPr>
          <w:rFonts w:hint="eastAsia" w:ascii="宋体" w:hAnsi="宋体" w:eastAsia="宋体" w:cs="宋体"/>
          <w:color w:val="000000" w:themeColor="text1"/>
          <w:spacing w:val="-2"/>
          <w:sz w:val="24"/>
          <w14:textFill>
            <w14:solidFill>
              <w14:schemeClr w14:val="tx1"/>
            </w14:solidFill>
          </w14:textFill>
        </w:rPr>
        <w:t>规定的方式确定一个参加评标的投标人；未规定的采取随机抽取方式确定，其他投标将被认定为投标无效。</w:t>
      </w:r>
    </w:p>
    <w:p>
      <w:pPr>
        <w:pStyle w:val="72"/>
        <w:numPr>
          <w:ilvl w:val="2"/>
          <w:numId w:val="74"/>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如</w:t>
      </w:r>
      <w:r>
        <w:rPr>
          <w:rFonts w:ascii="宋体" w:hAnsi="宋体" w:eastAsia="宋体" w:cs="宋体"/>
          <w:color w:val="000000" w:themeColor="text1"/>
          <w:spacing w:val="-2"/>
          <w:sz w:val="24"/>
          <w14:textFill>
            <w14:solidFill>
              <w14:schemeClr w14:val="tx1"/>
            </w14:solidFill>
          </w14:textFill>
        </w:rPr>
        <w:t>本项目</w:t>
      </w:r>
      <w:r>
        <w:rPr>
          <w:rFonts w:hint="eastAsia" w:ascii="宋体" w:hAnsi="宋体" w:eastAsia="宋体" w:cs="宋体"/>
          <w:color w:val="000000" w:themeColor="text1"/>
          <w:spacing w:val="-2"/>
          <w:sz w:val="24"/>
          <w14:textFill>
            <w14:solidFill>
              <w14:schemeClr w14:val="tx1"/>
            </w14:solidFill>
          </w14:textFill>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宋体" w:hAnsi="宋体" w:eastAsia="宋体" w:cs="宋体"/>
          <w:color w:val="000000" w:themeColor="text1"/>
          <w:spacing w:val="-2"/>
          <w:sz w:val="24"/>
          <w14:textFill>
            <w14:solidFill>
              <w14:schemeClr w14:val="tx1"/>
            </w14:solidFill>
          </w14:textFill>
        </w:rPr>
        <w:t>评标办法</w:t>
      </w:r>
      <w:r>
        <w:rPr>
          <w:rFonts w:hint="eastAsia" w:ascii="宋体" w:hAnsi="宋体" w:eastAsia="宋体" w:cs="宋体"/>
          <w:color w:val="000000" w:themeColor="text1"/>
          <w:spacing w:val="-2"/>
          <w:sz w:val="24"/>
          <w14:textFill>
            <w14:solidFill>
              <w14:schemeClr w14:val="tx1"/>
            </w14:solidFill>
          </w14:textFill>
        </w:rPr>
        <w:t>规定的方式确定一个投标人获得中标人推荐资格；未规定的采取随机抽取方式确定，其他同品牌投标人不作为中标候选人。</w:t>
      </w:r>
    </w:p>
    <w:p>
      <w:pPr>
        <w:pStyle w:val="72"/>
        <w:numPr>
          <w:ilvl w:val="2"/>
          <w:numId w:val="75"/>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如</w:t>
      </w:r>
      <w:r>
        <w:rPr>
          <w:rFonts w:ascii="宋体" w:hAnsi="宋体" w:eastAsia="宋体" w:cs="宋体"/>
          <w:color w:val="000000" w:themeColor="text1"/>
          <w:spacing w:val="-2"/>
          <w:sz w:val="24"/>
          <w14:textFill>
            <w14:solidFill>
              <w14:schemeClr w14:val="tx1"/>
            </w14:solidFill>
          </w14:textFill>
        </w:rPr>
        <w:t>一个</w:t>
      </w:r>
      <w:r>
        <w:rPr>
          <w:rFonts w:hint="eastAsia" w:ascii="宋体" w:hAnsi="宋体" w:eastAsia="宋体" w:cs="宋体"/>
          <w:color w:val="000000" w:themeColor="text1"/>
          <w:spacing w:val="-2"/>
          <w:sz w:val="24"/>
          <w14:textFill>
            <w14:solidFill>
              <w14:schemeClr w14:val="tx1"/>
            </w14:solidFill>
          </w14:textFill>
        </w:rPr>
        <w:t>分包</w:t>
      </w:r>
      <w:r>
        <w:rPr>
          <w:rFonts w:ascii="宋体" w:hAnsi="宋体" w:eastAsia="宋体" w:cs="宋体"/>
          <w:color w:val="000000" w:themeColor="text1"/>
          <w:spacing w:val="-2"/>
          <w:sz w:val="24"/>
          <w14:textFill>
            <w14:solidFill>
              <w14:schemeClr w14:val="tx1"/>
            </w14:solidFill>
          </w14:textFill>
        </w:rPr>
        <w:t>内</w:t>
      </w:r>
      <w:r>
        <w:rPr>
          <w:rFonts w:hint="eastAsia" w:ascii="宋体" w:hAnsi="宋体" w:eastAsia="宋体" w:cs="宋体"/>
          <w:color w:val="000000" w:themeColor="text1"/>
          <w:spacing w:val="-2"/>
          <w:sz w:val="24"/>
          <w14:textFill>
            <w14:solidFill>
              <w14:schemeClr w14:val="tx1"/>
            </w14:solidFill>
          </w14:textFill>
        </w:rPr>
        <w:t>包含</w:t>
      </w:r>
      <w:r>
        <w:rPr>
          <w:rFonts w:ascii="宋体" w:hAnsi="宋体" w:eastAsia="宋体" w:cs="宋体"/>
          <w:color w:val="000000" w:themeColor="text1"/>
          <w:spacing w:val="-2"/>
          <w:sz w:val="24"/>
          <w14:textFill>
            <w14:solidFill>
              <w14:schemeClr w14:val="tx1"/>
            </w14:solidFill>
          </w14:textFill>
        </w:rPr>
        <w:t>多种产品的，</w:t>
      </w:r>
      <w:r>
        <w:rPr>
          <w:rFonts w:hint="eastAsia" w:ascii="宋体" w:hAnsi="宋体" w:eastAsia="宋体" w:cs="宋体"/>
          <w:color w:val="000000" w:themeColor="text1"/>
          <w:spacing w:val="-2"/>
          <w:sz w:val="24"/>
          <w14:textFill>
            <w14:solidFill>
              <w14:schemeClr w14:val="tx1"/>
            </w14:solidFill>
          </w14:textFill>
        </w:rPr>
        <w:t>采购人</w:t>
      </w:r>
      <w:r>
        <w:rPr>
          <w:rFonts w:ascii="宋体" w:hAnsi="宋体" w:eastAsia="宋体" w:cs="宋体"/>
          <w:color w:val="000000" w:themeColor="text1"/>
          <w:spacing w:val="-2"/>
          <w:sz w:val="24"/>
          <w14:textFill>
            <w14:solidFill>
              <w14:schemeClr w14:val="tx1"/>
            </w14:solidFill>
          </w14:textFill>
        </w:rPr>
        <w:t>或采购代理机构将在</w:t>
      </w:r>
      <w:r>
        <w:rPr>
          <w:rFonts w:hint="eastAsia" w:ascii="宋体" w:hAnsi="宋体" w:eastAsia="宋体" w:cs="宋体"/>
          <w:color w:val="000000" w:themeColor="text1"/>
          <w:spacing w:val="-2"/>
          <w:sz w:val="24"/>
          <w14:textFill>
            <w14:solidFill>
              <w14:schemeClr w14:val="tx1"/>
            </w14:solidFill>
          </w14:textFill>
        </w:rPr>
        <w:t>投标人须知资料表中载明</w:t>
      </w:r>
      <w:r>
        <w:rPr>
          <w:rFonts w:ascii="宋体" w:hAnsi="宋体" w:eastAsia="宋体" w:cs="宋体"/>
          <w:color w:val="000000" w:themeColor="text1"/>
          <w:spacing w:val="-2"/>
          <w:sz w:val="24"/>
          <w14:textFill>
            <w14:solidFill>
              <w14:schemeClr w14:val="tx1"/>
            </w14:solidFill>
          </w14:textFill>
        </w:rPr>
        <w:t>核心产品</w:t>
      </w:r>
      <w:r>
        <w:rPr>
          <w:rFonts w:hint="eastAsia" w:ascii="宋体" w:hAnsi="宋体" w:eastAsia="宋体" w:cs="宋体"/>
          <w:color w:val="000000" w:themeColor="text1"/>
          <w:spacing w:val="-2"/>
          <w:sz w:val="24"/>
          <w14:textFill>
            <w14:solidFill>
              <w14:schemeClr w14:val="tx1"/>
            </w14:solidFill>
          </w14:textFill>
        </w:rPr>
        <w:t>。</w:t>
      </w:r>
    </w:p>
    <w:p>
      <w:pPr>
        <w:pStyle w:val="72"/>
        <w:numPr>
          <w:ilvl w:val="2"/>
          <w:numId w:val="76"/>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投标人所投产品如被列入财政部与国家主管部门颁发的节能产品目录或环境标志产品目录或无线局域网产品目录，应提供相关证明，在评标时予以优先采购，具体优先采购办法见第四章评标方法和标准。如采购人所采购产品为政府强制采购的节能产品，投标人所投产品的品牌及型号必须为清单中有效期内产品并提供证明文件，否则其投标将被认定为投标无效。</w:t>
      </w:r>
      <w:bookmarkStart w:id="37" w:name="_Toc6364"/>
      <w:bookmarkStart w:id="38" w:name="_Toc18529"/>
      <w:bookmarkStart w:id="39" w:name="_Toc9469"/>
      <w:bookmarkStart w:id="40" w:name="_Toc515647782"/>
    </w:p>
    <w:p>
      <w:pPr>
        <w:pStyle w:val="72"/>
        <w:numPr>
          <w:ilvl w:val="2"/>
          <w:numId w:val="77"/>
        </w:numPr>
        <w:tabs>
          <w:tab w:val="left" w:pos="1698"/>
        </w:tabs>
        <w:spacing w:line="360" w:lineRule="auto"/>
        <w:ind w:left="567" w:right="567" w:firstLine="471"/>
        <w:rPr>
          <w:color w:val="000000" w:themeColor="text1"/>
          <w:spacing w:val="-2"/>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投标偏离</w:t>
      </w:r>
      <w:bookmarkEnd w:id="37"/>
      <w:bookmarkEnd w:id="38"/>
      <w:bookmarkEnd w:id="39"/>
      <w:bookmarkEnd w:id="40"/>
    </w:p>
    <w:p>
      <w:pPr>
        <w:spacing w:line="360" w:lineRule="auto"/>
        <w:ind w:left="824" w:leftChars="249" w:hanging="276" w:hangingChars="117"/>
        <w:rPr>
          <w:rFonts w:ascii="仿宋_GB2312" w:hAnsi="宋体" w:eastAsia="仿宋_GB2312"/>
          <w:color w:val="000000" w:themeColor="text1"/>
          <w:sz w:val="24"/>
          <w14:textFill>
            <w14:solidFill>
              <w14:schemeClr w14:val="tx1"/>
            </w14:solidFill>
          </w14:textFill>
        </w:rPr>
      </w:pPr>
      <w:r>
        <w:rPr>
          <w:rFonts w:hint="eastAsia"/>
          <w:color w:val="000000" w:themeColor="text1"/>
          <w:spacing w:val="-2"/>
          <w:sz w:val="24"/>
          <w14:textFill>
            <w14:solidFill>
              <w14:schemeClr w14:val="tx1"/>
            </w14:solidFill>
          </w14:textFill>
        </w:rPr>
        <w:t>评标委员会</w:t>
      </w:r>
      <w:r>
        <w:rPr>
          <w:rFonts w:hint="eastAsia" w:eastAsiaTheme="minorEastAsia"/>
          <w:color w:val="000000" w:themeColor="text1"/>
          <w:spacing w:val="-2"/>
          <w:sz w:val="24"/>
          <w14:textFill>
            <w14:solidFill>
              <w14:schemeClr w14:val="tx1"/>
            </w14:solidFill>
          </w14:textFill>
        </w:rPr>
        <w:t>不</w:t>
      </w:r>
      <w:r>
        <w:rPr>
          <w:rFonts w:hint="eastAsia"/>
          <w:color w:val="000000" w:themeColor="text1"/>
          <w:spacing w:val="-2"/>
          <w:sz w:val="24"/>
          <w14:textFill>
            <w14:solidFill>
              <w14:schemeClr w14:val="tx1"/>
            </w14:solidFill>
          </w14:textFill>
        </w:rPr>
        <w:t>接受投标文件中实质性偏离的不正规或不一致</w:t>
      </w:r>
      <w:r>
        <w:rPr>
          <w:rFonts w:hint="eastAsia" w:eastAsiaTheme="minorEastAsia"/>
          <w:color w:val="000000" w:themeColor="text1"/>
          <w:spacing w:val="-2"/>
          <w:sz w:val="24"/>
          <w14:textFill>
            <w14:solidFill>
              <w14:schemeClr w14:val="tx1"/>
            </w14:solidFill>
          </w14:textFill>
        </w:rPr>
        <w:t>内容</w:t>
      </w:r>
      <w:r>
        <w:rPr>
          <w:rFonts w:hint="eastAsia"/>
          <w:color w:val="000000" w:themeColor="text1"/>
          <w:spacing w:val="-2"/>
          <w:sz w:val="24"/>
          <w14:textFill>
            <w14:solidFill>
              <w14:schemeClr w14:val="tx1"/>
            </w14:solidFill>
          </w14:textFill>
        </w:rPr>
        <w:t>。</w:t>
      </w:r>
      <w:bookmarkStart w:id="41" w:name="_Toc515647783"/>
      <w:bookmarkStart w:id="42" w:name="_Toc4950"/>
      <w:bookmarkStart w:id="43" w:name="_Toc23936"/>
      <w:bookmarkStart w:id="44" w:name="_Toc6092"/>
    </w:p>
    <w:p>
      <w:pPr>
        <w:pStyle w:val="72"/>
        <w:numPr>
          <w:ilvl w:val="2"/>
          <w:numId w:val="78"/>
        </w:numPr>
        <w:tabs>
          <w:tab w:val="left" w:pos="1698"/>
        </w:tabs>
        <w:spacing w:line="360" w:lineRule="auto"/>
        <w:ind w:right="220" w:rightChars="100"/>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w:t>
      </w:r>
      <w:bookmarkEnd w:id="41"/>
      <w:r>
        <w:rPr>
          <w:rFonts w:hint="eastAsia" w:ascii="宋体" w:hAnsi="宋体" w:eastAsia="宋体" w:cs="宋体"/>
          <w:color w:val="000000" w:themeColor="text1"/>
          <w:sz w:val="24"/>
          <w14:textFill>
            <w14:solidFill>
              <w14:schemeClr w14:val="tx1"/>
            </w14:solidFill>
          </w14:textFill>
        </w:rPr>
        <w:t>无效</w:t>
      </w:r>
      <w:bookmarkEnd w:id="42"/>
      <w:bookmarkEnd w:id="43"/>
      <w:bookmarkEnd w:id="44"/>
    </w:p>
    <w:p>
      <w:pPr>
        <w:pStyle w:val="72"/>
        <w:numPr>
          <w:ilvl w:val="2"/>
          <w:numId w:val="79"/>
        </w:numPr>
        <w:tabs>
          <w:tab w:val="left" w:pos="1698"/>
        </w:tabs>
        <w:spacing w:line="360" w:lineRule="auto"/>
        <w:ind w:left="567" w:right="567"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pPr>
        <w:pStyle w:val="72"/>
        <w:numPr>
          <w:ilvl w:val="2"/>
          <w:numId w:val="80"/>
        </w:numPr>
        <w:tabs>
          <w:tab w:val="left" w:pos="1698"/>
        </w:tabs>
        <w:spacing w:line="360" w:lineRule="auto"/>
        <w:ind w:left="567" w:right="567"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评标委员会决定投标的响应性只根据招标文件要求、投标文件内容及财政主管部门指定相关信息发布媒体。</w:t>
      </w:r>
    </w:p>
    <w:p>
      <w:pPr>
        <w:pStyle w:val="72"/>
        <w:numPr>
          <w:ilvl w:val="2"/>
          <w:numId w:val="81"/>
        </w:numPr>
        <w:tabs>
          <w:tab w:val="left" w:pos="1698"/>
        </w:tabs>
        <w:spacing w:line="360" w:lineRule="auto"/>
        <w:ind w:left="567" w:right="567"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如发现下列情况之一的，其投标将被认定为投标无效：（以下情形应当在招标文件中规定，并以醒目的方式标明）</w:t>
      </w:r>
    </w:p>
    <w:p>
      <w:pPr>
        <w:pStyle w:val="72"/>
        <w:numPr>
          <w:ilvl w:val="2"/>
          <w:numId w:val="82"/>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未按招标文件规定的形式和金额提交投标保证金的；</w:t>
      </w:r>
    </w:p>
    <w:p>
      <w:pPr>
        <w:pStyle w:val="72"/>
        <w:numPr>
          <w:ilvl w:val="2"/>
          <w:numId w:val="83"/>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未按照招标文件规定要求签署、盖章的；</w:t>
      </w:r>
    </w:p>
    <w:p>
      <w:pPr>
        <w:pStyle w:val="72"/>
        <w:numPr>
          <w:ilvl w:val="2"/>
          <w:numId w:val="84"/>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未满足招标文件中技术</w:t>
      </w:r>
      <w:r>
        <w:rPr>
          <w:rFonts w:ascii="宋体" w:hAnsi="宋体" w:eastAsia="宋体" w:cs="宋体"/>
          <w:color w:val="000000" w:themeColor="text1"/>
          <w:spacing w:val="-2"/>
          <w:sz w:val="24"/>
          <w14:textFill>
            <w14:solidFill>
              <w14:schemeClr w14:val="tx1"/>
            </w14:solidFill>
          </w14:textFill>
        </w:rPr>
        <w:t>条款</w:t>
      </w:r>
      <w:r>
        <w:rPr>
          <w:rFonts w:hint="eastAsia" w:ascii="宋体" w:hAnsi="宋体" w:eastAsia="宋体" w:cs="宋体"/>
          <w:color w:val="000000" w:themeColor="text1"/>
          <w:spacing w:val="-2"/>
          <w:sz w:val="24"/>
          <w14:textFill>
            <w14:solidFill>
              <w14:schemeClr w14:val="tx1"/>
            </w14:solidFill>
          </w14:textFill>
        </w:rPr>
        <w:t>的实质性要求；</w:t>
      </w:r>
    </w:p>
    <w:p>
      <w:pPr>
        <w:pStyle w:val="72"/>
        <w:numPr>
          <w:ilvl w:val="2"/>
          <w:numId w:val="85"/>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pacing w:val="-2"/>
          <w:sz w:val="24"/>
          <w14:textFill>
            <w14:solidFill>
              <w14:schemeClr w14:val="tx1"/>
            </w14:solidFill>
          </w14:textFill>
        </w:rPr>
        <w:t>与其他投标人串通投标</w:t>
      </w:r>
      <w:r>
        <w:rPr>
          <w:rFonts w:hint="eastAsia" w:ascii="宋体" w:hAnsi="宋体" w:eastAsia="宋体" w:cs="宋体"/>
          <w:color w:val="000000" w:themeColor="text1"/>
          <w:spacing w:val="-2"/>
          <w:sz w:val="24"/>
          <w14:textFill>
            <w14:solidFill>
              <w14:schemeClr w14:val="tx1"/>
            </w14:solidFill>
          </w14:textFill>
        </w:rPr>
        <w:t>，</w:t>
      </w:r>
      <w:r>
        <w:rPr>
          <w:rFonts w:ascii="宋体" w:hAnsi="宋体" w:eastAsia="宋体" w:cs="宋体"/>
          <w:color w:val="000000" w:themeColor="text1"/>
          <w:spacing w:val="-2"/>
          <w:sz w:val="24"/>
          <w14:textFill>
            <w14:solidFill>
              <w14:schemeClr w14:val="tx1"/>
            </w14:solidFill>
          </w14:textFill>
        </w:rPr>
        <w:t>或者与招标人串通投标</w:t>
      </w:r>
      <w:r>
        <w:rPr>
          <w:rFonts w:hint="eastAsia" w:ascii="宋体" w:hAnsi="宋体" w:eastAsia="宋体" w:cs="宋体"/>
          <w:color w:val="000000" w:themeColor="text1"/>
          <w:spacing w:val="-2"/>
          <w:sz w:val="24"/>
          <w14:textFill>
            <w14:solidFill>
              <w14:schemeClr w14:val="tx1"/>
            </w14:solidFill>
          </w14:textFill>
        </w:rPr>
        <w:t>；</w:t>
      </w:r>
    </w:p>
    <w:p>
      <w:pPr>
        <w:pStyle w:val="72"/>
        <w:numPr>
          <w:ilvl w:val="2"/>
          <w:numId w:val="86"/>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属</w:t>
      </w:r>
      <w:r>
        <w:rPr>
          <w:rFonts w:hint="eastAsia" w:ascii="宋体" w:hAnsi="宋体" w:eastAsia="宋体" w:cs="宋体"/>
          <w:color w:val="000000" w:themeColor="text1"/>
          <w:spacing w:val="-2"/>
          <w:sz w:val="24"/>
          <w14:textFill>
            <w14:solidFill>
              <w14:schemeClr w14:val="tx1"/>
            </w14:solidFill>
          </w14:textFill>
        </w:rPr>
        <w:t>于招标文件规定的其他投标无效情形；</w:t>
      </w:r>
    </w:p>
    <w:p>
      <w:pPr>
        <w:pStyle w:val="72"/>
        <w:numPr>
          <w:ilvl w:val="2"/>
          <w:numId w:val="87"/>
        </w:numPr>
        <w:tabs>
          <w:tab w:val="left" w:pos="1698"/>
        </w:tabs>
        <w:spacing w:line="360" w:lineRule="auto"/>
        <w:ind w:left="567" w:right="567"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评标委员会认为投标人的报价明显低于其他通过符合性检查投标人的报价，有可能影响履约的，且投标人未按照规定证明其报价合理性的；</w:t>
      </w:r>
    </w:p>
    <w:p>
      <w:pPr>
        <w:pStyle w:val="72"/>
        <w:numPr>
          <w:ilvl w:val="2"/>
          <w:numId w:val="88"/>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投标文件含有采购人不能接受的附加条件的；</w:t>
      </w:r>
    </w:p>
    <w:p>
      <w:pPr>
        <w:pStyle w:val="72"/>
        <w:numPr>
          <w:ilvl w:val="2"/>
          <w:numId w:val="89"/>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不符合法规和招标文件中规定的其他实质性要求的。</w:t>
      </w:r>
      <w:bookmarkStart w:id="45" w:name="_Toc13652"/>
      <w:bookmarkStart w:id="46" w:name="_Toc22941"/>
      <w:bookmarkStart w:id="47" w:name="_Toc8521"/>
      <w:bookmarkStart w:id="48" w:name="_Toc515647784"/>
    </w:p>
    <w:p>
      <w:pPr>
        <w:pStyle w:val="72"/>
        <w:numPr>
          <w:ilvl w:val="2"/>
          <w:numId w:val="90"/>
        </w:numPr>
        <w:tabs>
          <w:tab w:val="left" w:pos="1698"/>
        </w:tabs>
        <w:spacing w:line="360" w:lineRule="auto"/>
        <w:ind w:right="220" w:rightChars="100"/>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比较与评价</w:t>
      </w:r>
      <w:bookmarkEnd w:id="45"/>
      <w:bookmarkEnd w:id="46"/>
      <w:bookmarkEnd w:id="47"/>
      <w:bookmarkEnd w:id="48"/>
    </w:p>
    <w:p>
      <w:pPr>
        <w:pStyle w:val="72"/>
        <w:numPr>
          <w:ilvl w:val="2"/>
          <w:numId w:val="91"/>
        </w:numPr>
        <w:tabs>
          <w:tab w:val="left" w:pos="1698"/>
        </w:tabs>
        <w:spacing w:line="360" w:lineRule="auto"/>
        <w:ind w:left="567" w:right="567"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经符合性审查合格的投标文件，评标委员会将根据招标文件确定的评标方法和标准，对其技术部分和商务部分作进一步的比较和评价。</w:t>
      </w:r>
    </w:p>
    <w:p>
      <w:pPr>
        <w:pStyle w:val="72"/>
        <w:numPr>
          <w:ilvl w:val="2"/>
          <w:numId w:val="92"/>
        </w:numPr>
        <w:tabs>
          <w:tab w:val="left" w:pos="1698"/>
        </w:tabs>
        <w:spacing w:line="360" w:lineRule="auto"/>
        <w:ind w:left="567" w:right="567" w:firstLine="471"/>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评标严格按照招标文件的要求和条件进行。根据实际情况，在投标人须知资料表中规定采用下列一种评标方法，详细评标标准见招标文件第四章：</w:t>
      </w:r>
    </w:p>
    <w:p>
      <w:pPr>
        <w:pStyle w:val="72"/>
        <w:numPr>
          <w:ilvl w:val="2"/>
          <w:numId w:val="93"/>
        </w:numPr>
        <w:tabs>
          <w:tab w:val="left" w:pos="1698"/>
        </w:tabs>
        <w:spacing w:line="360" w:lineRule="auto"/>
        <w:ind w:left="567" w:right="567" w:firstLine="471"/>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最低评标价法，是指</w:t>
      </w:r>
      <w:r>
        <w:rPr>
          <w:rFonts w:ascii="宋体" w:hAnsi="宋体" w:eastAsia="宋体" w:cs="宋体"/>
          <w:color w:val="000000" w:themeColor="text1"/>
          <w:spacing w:val="-2"/>
          <w:sz w:val="24"/>
          <w14:textFill>
            <w14:solidFill>
              <w14:schemeClr w14:val="tx1"/>
            </w14:solidFill>
          </w14:textFill>
        </w:rPr>
        <w:t>投标文件满足招标文件全部实质性要求</w:t>
      </w:r>
      <w:r>
        <w:rPr>
          <w:rFonts w:hint="eastAsia" w:ascii="宋体" w:hAnsi="宋体" w:eastAsia="宋体" w:cs="宋体"/>
          <w:color w:val="000000" w:themeColor="text1"/>
          <w:spacing w:val="-2"/>
          <w:sz w:val="24"/>
          <w14:textFill>
            <w14:solidFill>
              <w14:schemeClr w14:val="tx1"/>
            </w14:solidFill>
          </w14:textFill>
        </w:rPr>
        <w:t>，</w:t>
      </w:r>
      <w:r>
        <w:rPr>
          <w:rFonts w:ascii="宋体" w:hAnsi="宋体" w:eastAsia="宋体" w:cs="宋体"/>
          <w:color w:val="000000" w:themeColor="text1"/>
          <w:spacing w:val="-2"/>
          <w:sz w:val="24"/>
          <w14:textFill>
            <w14:solidFill>
              <w14:schemeClr w14:val="tx1"/>
            </w14:solidFill>
          </w14:textFill>
        </w:rPr>
        <w:t>且投标报价最低的</w:t>
      </w:r>
      <w:r>
        <w:rPr>
          <w:rFonts w:hint="eastAsia" w:ascii="宋体" w:hAnsi="宋体" w:eastAsia="宋体" w:cs="宋体"/>
          <w:color w:val="000000" w:themeColor="text1"/>
          <w:spacing w:val="-2"/>
          <w:sz w:val="24"/>
          <w14:textFill>
            <w14:solidFill>
              <w14:schemeClr w14:val="tx1"/>
            </w14:solidFill>
          </w14:textFill>
        </w:rPr>
        <w:t>投标人</w:t>
      </w:r>
      <w:r>
        <w:rPr>
          <w:rFonts w:ascii="宋体" w:hAnsi="宋体" w:eastAsia="宋体" w:cs="宋体"/>
          <w:color w:val="000000" w:themeColor="text1"/>
          <w:spacing w:val="-2"/>
          <w:sz w:val="24"/>
          <w14:textFill>
            <w14:solidFill>
              <w14:schemeClr w14:val="tx1"/>
            </w14:solidFill>
          </w14:textFill>
        </w:rPr>
        <w:t>为中标</w:t>
      </w:r>
      <w:r>
        <w:rPr>
          <w:rFonts w:hint="eastAsia" w:ascii="宋体" w:hAnsi="宋体" w:eastAsia="宋体" w:cs="宋体"/>
          <w:color w:val="000000" w:themeColor="text1"/>
          <w:spacing w:val="-2"/>
          <w:sz w:val="24"/>
          <w14:textFill>
            <w14:solidFill>
              <w14:schemeClr w14:val="tx1"/>
            </w14:solidFill>
          </w14:textFill>
        </w:rPr>
        <w:t>候选</w:t>
      </w:r>
      <w:r>
        <w:rPr>
          <w:rFonts w:ascii="宋体" w:hAnsi="宋体" w:eastAsia="宋体" w:cs="宋体"/>
          <w:color w:val="000000" w:themeColor="text1"/>
          <w:spacing w:val="-2"/>
          <w:sz w:val="24"/>
          <w14:textFill>
            <w14:solidFill>
              <w14:schemeClr w14:val="tx1"/>
            </w14:solidFill>
          </w14:textFill>
        </w:rPr>
        <w:t>人的评标方法</w:t>
      </w:r>
      <w:r>
        <w:rPr>
          <w:rFonts w:hint="eastAsia" w:ascii="宋体" w:hAnsi="宋体" w:eastAsia="宋体" w:cs="宋体"/>
          <w:color w:val="000000" w:themeColor="text1"/>
          <w:spacing w:val="-2"/>
          <w:sz w:val="24"/>
          <w14:textFill>
            <w14:solidFill>
              <w14:schemeClr w14:val="tx1"/>
            </w14:solidFill>
          </w14:textFill>
        </w:rPr>
        <w:t>。</w:t>
      </w:r>
    </w:p>
    <w:p>
      <w:pPr>
        <w:pStyle w:val="72"/>
        <w:numPr>
          <w:ilvl w:val="2"/>
          <w:numId w:val="94"/>
        </w:numPr>
        <w:tabs>
          <w:tab w:val="left" w:pos="1698"/>
        </w:tabs>
        <w:spacing w:line="360" w:lineRule="auto"/>
        <w:ind w:left="567" w:right="567" w:firstLine="471"/>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综合评分法，是</w:t>
      </w:r>
      <w:r>
        <w:rPr>
          <w:rFonts w:ascii="宋体" w:hAnsi="宋体" w:eastAsia="宋体" w:cs="宋体"/>
          <w:color w:val="000000" w:themeColor="text1"/>
          <w:spacing w:val="-2"/>
          <w:sz w:val="24"/>
          <w14:textFill>
            <w14:solidFill>
              <w14:schemeClr w14:val="tx1"/>
            </w14:solidFill>
          </w14:textFill>
        </w:rPr>
        <w:t>指投标文件满足招标</w:t>
      </w:r>
      <w:r>
        <w:rPr>
          <w:rFonts w:hint="eastAsia" w:ascii="宋体" w:hAnsi="宋体" w:eastAsia="宋体" w:cs="宋体"/>
          <w:color w:val="000000" w:themeColor="text1"/>
          <w:spacing w:val="-2"/>
          <w:sz w:val="24"/>
          <w14:textFill>
            <w14:solidFill>
              <w14:schemeClr w14:val="tx1"/>
            </w14:solidFill>
          </w14:textFill>
        </w:rPr>
        <w:t>文件</w:t>
      </w:r>
      <w:r>
        <w:rPr>
          <w:rFonts w:ascii="宋体" w:hAnsi="宋体" w:eastAsia="宋体" w:cs="宋体"/>
          <w:color w:val="000000" w:themeColor="text1"/>
          <w:spacing w:val="-2"/>
          <w:sz w:val="24"/>
          <w14:textFill>
            <w14:solidFill>
              <w14:schemeClr w14:val="tx1"/>
            </w14:solidFill>
          </w14:textFill>
        </w:rPr>
        <w:t>全部实质性要求</w:t>
      </w:r>
      <w:r>
        <w:rPr>
          <w:rFonts w:hint="eastAsia" w:ascii="宋体" w:hAnsi="宋体" w:eastAsia="宋体" w:cs="宋体"/>
          <w:color w:val="000000" w:themeColor="text1"/>
          <w:spacing w:val="-2"/>
          <w:sz w:val="24"/>
          <w14:textFill>
            <w14:solidFill>
              <w14:schemeClr w14:val="tx1"/>
            </w14:solidFill>
          </w14:textFill>
        </w:rPr>
        <w:t>，</w:t>
      </w:r>
      <w:r>
        <w:rPr>
          <w:rFonts w:ascii="宋体" w:hAnsi="宋体" w:eastAsia="宋体" w:cs="宋体"/>
          <w:color w:val="000000" w:themeColor="text1"/>
          <w:spacing w:val="-2"/>
          <w:sz w:val="24"/>
          <w14:textFill>
            <w14:solidFill>
              <w14:schemeClr w14:val="tx1"/>
            </w14:solidFill>
          </w14:textFill>
        </w:rPr>
        <w:t>且按照评审因素的</w:t>
      </w:r>
      <w:r>
        <w:rPr>
          <w:rFonts w:hint="eastAsia" w:ascii="宋体" w:hAnsi="宋体" w:eastAsia="宋体" w:cs="宋体"/>
          <w:color w:val="000000" w:themeColor="text1"/>
          <w:spacing w:val="-2"/>
          <w:sz w:val="24"/>
          <w14:textFill>
            <w14:solidFill>
              <w14:schemeClr w14:val="tx1"/>
            </w14:solidFill>
          </w14:textFill>
        </w:rPr>
        <w:t>量化</w:t>
      </w:r>
      <w:r>
        <w:rPr>
          <w:rFonts w:ascii="宋体" w:hAnsi="宋体" w:eastAsia="宋体" w:cs="宋体"/>
          <w:color w:val="000000" w:themeColor="text1"/>
          <w:spacing w:val="-2"/>
          <w:sz w:val="24"/>
          <w14:textFill>
            <w14:solidFill>
              <w14:schemeClr w14:val="tx1"/>
            </w14:solidFill>
          </w14:textFill>
        </w:rPr>
        <w:t>指标评审得分最高的</w:t>
      </w:r>
      <w:r>
        <w:rPr>
          <w:rFonts w:hint="eastAsia" w:ascii="宋体" w:hAnsi="宋体" w:eastAsia="宋体" w:cs="宋体"/>
          <w:color w:val="000000" w:themeColor="text1"/>
          <w:spacing w:val="-2"/>
          <w:sz w:val="24"/>
          <w14:textFill>
            <w14:solidFill>
              <w14:schemeClr w14:val="tx1"/>
            </w14:solidFill>
          </w14:textFill>
        </w:rPr>
        <w:t>投标人</w:t>
      </w:r>
      <w:r>
        <w:rPr>
          <w:rFonts w:ascii="宋体" w:hAnsi="宋体" w:eastAsia="宋体" w:cs="宋体"/>
          <w:color w:val="000000" w:themeColor="text1"/>
          <w:spacing w:val="-2"/>
          <w:sz w:val="24"/>
          <w14:textFill>
            <w14:solidFill>
              <w14:schemeClr w14:val="tx1"/>
            </w14:solidFill>
          </w14:textFill>
        </w:rPr>
        <w:t>为中标候选人的评标方法。</w:t>
      </w:r>
    </w:p>
    <w:p>
      <w:pPr>
        <w:pStyle w:val="72"/>
        <w:numPr>
          <w:ilvl w:val="2"/>
          <w:numId w:val="95"/>
        </w:numPr>
        <w:tabs>
          <w:tab w:val="left" w:pos="1698"/>
        </w:tabs>
        <w:spacing w:line="360" w:lineRule="auto"/>
        <w:ind w:left="567" w:right="567" w:firstLine="471"/>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根据《政府采购促进中小企业发展暂行办法》（财库</w:t>
      </w:r>
      <w:r>
        <w:rPr>
          <w:rFonts w:hint="eastAsia"/>
          <w:color w:val="000000" w:themeColor="text1"/>
          <w:spacing w:val="-2"/>
          <w:sz w:val="24"/>
          <w14:textFill>
            <w14:solidFill>
              <w14:schemeClr w14:val="tx1"/>
            </w14:solidFill>
          </w14:textFill>
        </w:rPr>
        <w:t>[2011]181</w:t>
      </w:r>
      <w:r>
        <w:rPr>
          <w:rFonts w:hint="eastAsia" w:ascii="宋体" w:hAnsi="宋体" w:eastAsia="宋体" w:cs="宋体"/>
          <w:color w:val="000000" w:themeColor="text1"/>
          <w:spacing w:val="-2"/>
          <w:sz w:val="24"/>
          <w14:textFill>
            <w14:solidFill>
              <w14:schemeClr w14:val="tx1"/>
            </w14:solidFill>
          </w14:textFill>
        </w:rPr>
        <w:t>号）、《</w:t>
      </w:r>
      <w:r>
        <w:rPr>
          <w:rFonts w:ascii="宋体" w:hAnsi="宋体" w:eastAsia="宋体" w:cs="宋体"/>
          <w:color w:val="000000" w:themeColor="text1"/>
          <w:spacing w:val="-2"/>
          <w:sz w:val="24"/>
          <w14:textFill>
            <w14:solidFill>
              <w14:schemeClr w14:val="tx1"/>
            </w14:solidFill>
          </w14:textFill>
        </w:rPr>
        <w:t>财政部司法部关于政府采购支持监狱企业发展有关问题的通知</w:t>
      </w:r>
      <w:r>
        <w:rPr>
          <w:rFonts w:hint="eastAsia" w:ascii="宋体" w:hAnsi="宋体" w:eastAsia="宋体" w:cs="宋体"/>
          <w:color w:val="000000" w:themeColor="text1"/>
          <w:spacing w:val="-2"/>
          <w:sz w:val="24"/>
          <w14:textFill>
            <w14:solidFill>
              <w14:schemeClr w14:val="tx1"/>
            </w14:solidFill>
          </w14:textFill>
        </w:rPr>
        <w:t>》（财库〔</w:t>
      </w:r>
      <w:r>
        <w:rPr>
          <w:rFonts w:hint="eastAsia"/>
          <w:color w:val="000000" w:themeColor="text1"/>
          <w:spacing w:val="-2"/>
          <w:sz w:val="24"/>
          <w14:textFill>
            <w14:solidFill>
              <w14:schemeClr w14:val="tx1"/>
            </w14:solidFill>
          </w14:textFill>
        </w:rPr>
        <w:t>2014</w:t>
      </w:r>
      <w:r>
        <w:rPr>
          <w:rFonts w:hint="eastAsia" w:ascii="宋体" w:hAnsi="宋体" w:eastAsia="宋体" w:cs="宋体"/>
          <w:color w:val="000000" w:themeColor="text1"/>
          <w:spacing w:val="-2"/>
          <w:sz w:val="24"/>
          <w14:textFill>
            <w14:solidFill>
              <w14:schemeClr w14:val="tx1"/>
            </w14:solidFill>
          </w14:textFill>
        </w:rPr>
        <w:t>〕</w:t>
      </w:r>
      <w:r>
        <w:rPr>
          <w:rFonts w:hint="eastAsia"/>
          <w:color w:val="000000" w:themeColor="text1"/>
          <w:spacing w:val="-2"/>
          <w:sz w:val="24"/>
          <w14:textFill>
            <w14:solidFill>
              <w14:schemeClr w14:val="tx1"/>
            </w14:solidFill>
          </w14:textFill>
        </w:rPr>
        <w:t>68</w:t>
      </w:r>
      <w:r>
        <w:rPr>
          <w:rFonts w:hint="eastAsia" w:ascii="宋体" w:hAnsi="宋体" w:eastAsia="宋体" w:cs="宋体"/>
          <w:color w:val="000000" w:themeColor="text1"/>
          <w:spacing w:val="-2"/>
          <w:sz w:val="24"/>
          <w14:textFill>
            <w14:solidFill>
              <w14:schemeClr w14:val="tx1"/>
            </w14:solidFill>
          </w14:textFill>
        </w:rPr>
        <w:t>号）和《三部门联合发布关于促进残疾人就业政府采购政策的通知》（</w:t>
      </w:r>
      <w:bookmarkStart w:id="49" w:name="sendNo"/>
      <w:r>
        <w:rPr>
          <w:rFonts w:hint="eastAsia" w:ascii="宋体" w:hAnsi="宋体" w:eastAsia="宋体" w:cs="宋体"/>
          <w:color w:val="000000" w:themeColor="text1"/>
          <w:spacing w:val="-2"/>
          <w:sz w:val="24"/>
          <w14:textFill>
            <w14:solidFill>
              <w14:schemeClr w14:val="tx1"/>
            </w14:solidFill>
          </w14:textFill>
        </w:rPr>
        <w:t>财库〔</w:t>
      </w:r>
      <w:bookmarkEnd w:id="49"/>
      <w:r>
        <w:rPr>
          <w:rFonts w:hint="eastAsia"/>
          <w:color w:val="000000" w:themeColor="text1"/>
          <w:spacing w:val="-2"/>
          <w:sz w:val="24"/>
          <w14:textFill>
            <w14:solidFill>
              <w14:schemeClr w14:val="tx1"/>
            </w14:solidFill>
          </w14:textFill>
        </w:rPr>
        <w:t>2017</w:t>
      </w:r>
      <w:r>
        <w:rPr>
          <w:rFonts w:hint="eastAsia" w:ascii="宋体" w:hAnsi="宋体" w:eastAsia="宋体" w:cs="宋体"/>
          <w:color w:val="000000" w:themeColor="text1"/>
          <w:spacing w:val="-2"/>
          <w:sz w:val="24"/>
          <w14:textFill>
            <w14:solidFill>
              <w14:schemeClr w14:val="tx1"/>
            </w14:solidFill>
          </w14:textFill>
        </w:rPr>
        <w:t>〕</w:t>
      </w:r>
      <w:r>
        <w:rPr>
          <w:rFonts w:hint="eastAsia"/>
          <w:color w:val="000000" w:themeColor="text1"/>
          <w:spacing w:val="-2"/>
          <w:sz w:val="24"/>
          <w14:textFill>
            <w14:solidFill>
              <w14:schemeClr w14:val="tx1"/>
            </w14:solidFill>
          </w14:textFill>
        </w:rPr>
        <w:t>141</w:t>
      </w:r>
      <w:r>
        <w:rPr>
          <w:rFonts w:hint="eastAsia" w:ascii="宋体" w:hAnsi="宋体" w:eastAsia="宋体" w:cs="宋体"/>
          <w:color w:val="000000" w:themeColor="text1"/>
          <w:spacing w:val="-2"/>
          <w:sz w:val="24"/>
          <w14:textFill>
            <w14:solidFill>
              <w14:schemeClr w14:val="tx1"/>
            </w14:solidFill>
          </w14:textFill>
        </w:rPr>
        <w:t>号）的规定，对满足价格扣除条件且在投标文件中提交了《投标人企业类型声明函》或省级以上监狱管理局、戒毒管理局（含新疆生产建设兵团）出具的属于监狱企业的证明文件的投标人，其投标报价扣除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color w:val="000000" w:themeColor="text1"/>
          <w:spacing w:val="-2"/>
          <w:sz w:val="24"/>
          <w14:textFill>
            <w14:solidFill>
              <w14:schemeClr w14:val="tx1"/>
            </w14:solidFill>
          </w14:textFill>
        </w:rPr>
        <w:t>6-10%</w:t>
      </w:r>
      <w:r>
        <w:rPr>
          <w:rFonts w:hint="eastAsia" w:ascii="宋体" w:hAnsi="宋体" w:eastAsia="宋体" w:cs="宋体"/>
          <w:color w:val="000000" w:themeColor="text1"/>
          <w:spacing w:val="-2"/>
          <w:sz w:val="24"/>
          <w14:textFill>
            <w14:solidFill>
              <w14:schemeClr w14:val="tx1"/>
            </w14:solidFill>
          </w14:textFill>
        </w:rPr>
        <w:t>后参与评审。</w:t>
      </w:r>
      <w:bookmarkStart w:id="50" w:name="_Toc31728"/>
      <w:bookmarkStart w:id="51" w:name="_Toc20227"/>
      <w:bookmarkStart w:id="52" w:name="_Toc515647785"/>
      <w:bookmarkStart w:id="53" w:name="_Toc9378"/>
    </w:p>
    <w:p>
      <w:pPr>
        <w:pStyle w:val="72"/>
        <w:numPr>
          <w:ilvl w:val="2"/>
          <w:numId w:val="96"/>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废标</w:t>
      </w:r>
      <w:bookmarkEnd w:id="50"/>
      <w:bookmarkEnd w:id="51"/>
      <w:bookmarkEnd w:id="52"/>
      <w:bookmarkEnd w:id="53"/>
    </w:p>
    <w:p>
      <w:pPr>
        <w:pStyle w:val="72"/>
        <w:numPr>
          <w:ilvl w:val="2"/>
          <w:numId w:val="97"/>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出现</w:t>
      </w:r>
      <w:r>
        <w:rPr>
          <w:rFonts w:hint="eastAsia" w:ascii="宋体" w:hAnsi="宋体" w:eastAsia="宋体" w:cs="宋体"/>
          <w:color w:val="000000" w:themeColor="text1"/>
          <w14:textFill>
            <w14:solidFill>
              <w14:schemeClr w14:val="tx1"/>
            </w14:solidFill>
          </w14:textFill>
        </w:rPr>
        <w:t>下列</w:t>
      </w:r>
      <w:r>
        <w:rPr>
          <w:rFonts w:hint="eastAsia" w:ascii="宋体" w:hAnsi="宋体" w:eastAsia="宋体" w:cs="宋体"/>
          <w:color w:val="000000" w:themeColor="text1"/>
          <w:spacing w:val="-2"/>
          <w:sz w:val="24"/>
          <w14:textFill>
            <w14:solidFill>
              <w14:schemeClr w14:val="tx1"/>
            </w14:solidFill>
          </w14:textFill>
        </w:rPr>
        <w:t>情形之一，将导致项目废标：</w:t>
      </w:r>
    </w:p>
    <w:p>
      <w:pPr>
        <w:pStyle w:val="72"/>
        <w:numPr>
          <w:ilvl w:val="2"/>
          <w:numId w:val="98"/>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符合专业条件的供应商或者对招标文件做实质性响应的供应商不足三家；</w:t>
      </w:r>
    </w:p>
    <w:p>
      <w:pPr>
        <w:pStyle w:val="72"/>
        <w:numPr>
          <w:ilvl w:val="2"/>
          <w:numId w:val="99"/>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出现影响采购公正的违法、违规行为的；</w:t>
      </w:r>
    </w:p>
    <w:p>
      <w:pPr>
        <w:pStyle w:val="72"/>
        <w:numPr>
          <w:ilvl w:val="2"/>
          <w:numId w:val="100"/>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投标人的报价均超过了采购预算，采购人不能支付的；</w:t>
      </w:r>
    </w:p>
    <w:p>
      <w:pPr>
        <w:pStyle w:val="72"/>
        <w:numPr>
          <w:ilvl w:val="2"/>
          <w:numId w:val="101"/>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因重大变故，采购任务取消的。</w:t>
      </w:r>
      <w:bookmarkStart w:id="54" w:name="_Toc515647786"/>
      <w:bookmarkStart w:id="55" w:name="_Toc31289"/>
      <w:bookmarkStart w:id="56" w:name="_Toc11175"/>
      <w:bookmarkStart w:id="57" w:name="_Toc24972"/>
    </w:p>
    <w:p>
      <w:pPr>
        <w:pStyle w:val="72"/>
        <w:numPr>
          <w:ilvl w:val="2"/>
          <w:numId w:val="102"/>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保密原则</w:t>
      </w:r>
      <w:bookmarkEnd w:id="54"/>
      <w:bookmarkEnd w:id="55"/>
      <w:bookmarkEnd w:id="56"/>
      <w:bookmarkEnd w:id="57"/>
    </w:p>
    <w:p>
      <w:pPr>
        <w:pStyle w:val="72"/>
        <w:numPr>
          <w:ilvl w:val="2"/>
          <w:numId w:val="103"/>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评标将在严格保密的情况下进行。</w:t>
      </w:r>
    </w:p>
    <w:p>
      <w:pPr>
        <w:pStyle w:val="72"/>
        <w:numPr>
          <w:ilvl w:val="2"/>
          <w:numId w:val="104"/>
        </w:numPr>
        <w:tabs>
          <w:tab w:val="left" w:pos="1698"/>
        </w:tabs>
        <w:spacing w:line="360" w:lineRule="auto"/>
        <w:ind w:left="567" w:right="567" w:firstLine="471"/>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政府</w:t>
      </w:r>
      <w:r>
        <w:rPr>
          <w:rFonts w:ascii="宋体" w:hAnsi="宋体" w:eastAsia="宋体" w:cs="宋体"/>
          <w:color w:val="000000" w:themeColor="text1"/>
          <w:spacing w:val="-2"/>
          <w:sz w:val="24"/>
          <w14:textFill>
            <w14:solidFill>
              <w14:schemeClr w14:val="tx1"/>
            </w14:solidFill>
          </w14:textFill>
        </w:rPr>
        <w:t>采购评审专家应当</w:t>
      </w:r>
      <w:r>
        <w:rPr>
          <w:rFonts w:hint="eastAsia" w:ascii="宋体" w:hAnsi="宋体" w:eastAsia="宋体" w:cs="宋体"/>
          <w:color w:val="000000" w:themeColor="text1"/>
          <w:spacing w:val="-2"/>
          <w:sz w:val="24"/>
          <w14:textFill>
            <w14:solidFill>
              <w14:schemeClr w14:val="tx1"/>
            </w14:solidFill>
          </w14:textFill>
        </w:rPr>
        <w:t>遵</w:t>
      </w:r>
      <w:r>
        <w:rPr>
          <w:rFonts w:ascii="宋体" w:hAnsi="宋体" w:eastAsia="宋体" w:cs="宋体"/>
          <w:color w:val="000000" w:themeColor="text1"/>
          <w:spacing w:val="-2"/>
          <w:sz w:val="24"/>
          <w14:textFill>
            <w14:solidFill>
              <w14:schemeClr w14:val="tx1"/>
            </w14:solidFill>
          </w14:textFill>
        </w:rPr>
        <w:t>守评审工作纪律，不得</w:t>
      </w:r>
      <w:r>
        <w:rPr>
          <w:rFonts w:hint="eastAsia" w:ascii="宋体" w:hAnsi="宋体" w:eastAsia="宋体" w:cs="宋体"/>
          <w:color w:val="000000" w:themeColor="text1"/>
          <w:spacing w:val="-2"/>
          <w:sz w:val="24"/>
          <w14:textFill>
            <w14:solidFill>
              <w14:schemeClr w14:val="tx1"/>
            </w14:solidFill>
          </w14:textFill>
        </w:rPr>
        <w:t>泄露</w:t>
      </w:r>
      <w:r>
        <w:rPr>
          <w:rFonts w:ascii="宋体" w:hAnsi="宋体" w:eastAsia="宋体" w:cs="宋体"/>
          <w:color w:val="000000" w:themeColor="text1"/>
          <w:spacing w:val="-2"/>
          <w:sz w:val="24"/>
          <w14:textFill>
            <w14:solidFill>
              <w14:schemeClr w14:val="tx1"/>
            </w14:solidFill>
          </w14:textFill>
        </w:rPr>
        <w:t>评审</w:t>
      </w:r>
      <w:r>
        <w:rPr>
          <w:rFonts w:hint="eastAsia" w:ascii="宋体" w:hAnsi="宋体" w:eastAsia="宋体" w:cs="宋体"/>
          <w:color w:val="000000" w:themeColor="text1"/>
          <w:spacing w:val="-2"/>
          <w:sz w:val="24"/>
          <w14:textFill>
            <w14:solidFill>
              <w14:schemeClr w14:val="tx1"/>
            </w14:solidFill>
          </w14:textFill>
        </w:rPr>
        <w:t>文件</w:t>
      </w:r>
      <w:r>
        <w:rPr>
          <w:rFonts w:ascii="宋体" w:hAnsi="宋体" w:eastAsia="宋体" w:cs="宋体"/>
          <w:color w:val="000000" w:themeColor="text1"/>
          <w:spacing w:val="-2"/>
          <w:sz w:val="24"/>
          <w14:textFill>
            <w14:solidFill>
              <w14:schemeClr w14:val="tx1"/>
            </w14:solidFill>
          </w14:textFill>
        </w:rPr>
        <w:t>、评审情况和评审中获悉的商业秘密。</w:t>
      </w:r>
    </w:p>
    <w:p>
      <w:pPr>
        <w:pStyle w:val="4"/>
        <w:spacing w:before="203" w:line="360" w:lineRule="auto"/>
        <w:ind w:right="84"/>
        <w:rPr>
          <w:color w:val="000000" w:themeColor="text1"/>
          <w14:textFill>
            <w14:solidFill>
              <w14:schemeClr w14:val="tx1"/>
            </w14:solidFill>
          </w14:textFill>
        </w:rPr>
      </w:pPr>
      <w:bookmarkStart w:id="58" w:name="_Toc10168"/>
      <w:r>
        <w:rPr>
          <w:color w:val="000000" w:themeColor="text1"/>
          <w14:textFill>
            <w14:solidFill>
              <w14:schemeClr w14:val="tx1"/>
            </w14:solidFill>
          </w14:textFill>
        </w:rPr>
        <w:t>六．定标与签订合同</w:t>
      </w:r>
      <w:bookmarkEnd w:id="58"/>
    </w:p>
    <w:p>
      <w:pPr>
        <w:spacing w:before="231" w:line="360" w:lineRule="auto"/>
        <w:ind w:left="1001"/>
        <w:rPr>
          <w:color w:val="000000" w:themeColor="text1"/>
          <w:sz w:val="24"/>
          <w14:textFill>
            <w14:solidFill>
              <w14:schemeClr w14:val="tx1"/>
            </w14:solidFill>
          </w14:textFill>
        </w:rPr>
      </w:pPr>
      <w:r>
        <w:rPr>
          <w:rFonts w:hint="eastAsia" w:ascii="Times New Roman" w:eastAsiaTheme="minorEastAsia"/>
          <w:color w:val="000000" w:themeColor="text1"/>
          <w:sz w:val="24"/>
          <w14:textFill>
            <w14:solidFill>
              <w14:schemeClr w14:val="tx1"/>
            </w14:solidFill>
          </w14:textFill>
        </w:rPr>
        <w:t>30</w:t>
      </w:r>
      <w:r>
        <w:rPr>
          <w:rFonts w:ascii="Times New Roman" w:eastAsia="Times New Roman"/>
          <w:color w:val="000000" w:themeColor="text1"/>
          <w:sz w:val="24"/>
          <w14:textFill>
            <w14:solidFill>
              <w14:schemeClr w14:val="tx1"/>
            </w14:solidFill>
          </w14:textFill>
        </w:rPr>
        <w:t>.</w:t>
      </w:r>
      <w:r>
        <w:rPr>
          <w:color w:val="000000" w:themeColor="text1"/>
          <w:sz w:val="24"/>
          <w14:textFill>
            <w14:solidFill>
              <w14:schemeClr w14:val="tx1"/>
            </w14:solidFill>
          </w14:textFill>
        </w:rPr>
        <w:t>定标</w:t>
      </w:r>
    </w:p>
    <w:p>
      <w:pPr>
        <w:pStyle w:val="72"/>
        <w:numPr>
          <w:ilvl w:val="1"/>
          <w:numId w:val="105"/>
        </w:numPr>
        <w:tabs>
          <w:tab w:val="left" w:pos="1539"/>
        </w:tabs>
        <w:spacing w:before="7" w:line="360" w:lineRule="auto"/>
        <w:ind w:left="567" w:right="567" w:firstLine="471"/>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投标有效性评审后，评标委员会应当按招标文件规定的标准和方法提出独立评审意见，推荐中标候选供应商。</w:t>
      </w:r>
    </w:p>
    <w:p>
      <w:pPr>
        <w:pStyle w:val="72"/>
        <w:numPr>
          <w:ilvl w:val="1"/>
          <w:numId w:val="106"/>
        </w:numPr>
        <w:tabs>
          <w:tab w:val="left" w:pos="1539"/>
        </w:tabs>
        <w:spacing w:line="360" w:lineRule="auto"/>
        <w:ind w:left="567" w:right="567" w:firstLine="471"/>
        <w:jc w:val="both"/>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如评标委员会认为有必要，首先对中标候选供应商就投标文件所提供的内容是否符合招标文件的要求进行资格后审。资格后审视为本项目采购活动的延续，以书面报告作为最终审查的结果。</w:t>
      </w:r>
    </w:p>
    <w:p>
      <w:pPr>
        <w:pStyle w:val="72"/>
        <w:numPr>
          <w:ilvl w:val="1"/>
          <w:numId w:val="107"/>
        </w:numPr>
        <w:tabs>
          <w:tab w:val="left" w:pos="1539"/>
        </w:tabs>
        <w:spacing w:line="360" w:lineRule="auto"/>
        <w:ind w:left="567" w:right="567" w:firstLine="471"/>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如果确定中标候选供应商无法履行合同，将按排名依次对其余中标候选供应商进</w:t>
      </w:r>
      <w:r>
        <w:rPr>
          <w:rFonts w:ascii="宋体" w:hAnsi="宋体" w:eastAsia="宋体" w:cs="宋体"/>
          <w:color w:val="000000" w:themeColor="text1"/>
          <w:sz w:val="24"/>
          <w:szCs w:val="24"/>
          <w14:textFill>
            <w14:solidFill>
              <w14:schemeClr w14:val="tx1"/>
            </w14:solidFill>
          </w14:textFill>
        </w:rPr>
        <w:t>行类似的审查。</w:t>
      </w:r>
    </w:p>
    <w:p>
      <w:pPr>
        <w:pStyle w:val="72"/>
        <w:numPr>
          <w:ilvl w:val="1"/>
          <w:numId w:val="108"/>
        </w:numPr>
        <w:tabs>
          <w:tab w:val="left" w:pos="1539"/>
        </w:tabs>
        <w:spacing w:line="360" w:lineRule="auto"/>
        <w:ind w:left="567" w:right="567" w:firstLine="471"/>
        <w:jc w:val="both"/>
        <w:rPr>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中标供应商放弃中标、因不可抗力不能履行合同、不按照招标文件要求提交履约保证</w:t>
      </w:r>
      <w:bookmarkStart w:id="59" w:name="六．定标与签订合同"/>
      <w:bookmarkEnd w:id="59"/>
      <w:bookmarkStart w:id="60" w:name="_bookmark8"/>
      <w:bookmarkEnd w:id="60"/>
      <w:r>
        <w:rPr>
          <w:rFonts w:ascii="宋体" w:hAnsi="宋体" w:eastAsia="宋体" w:cs="宋体"/>
          <w:color w:val="000000" w:themeColor="text1"/>
          <w:sz w:val="24"/>
          <w:szCs w:val="24"/>
          <w14:textFill>
            <w14:solidFill>
              <w14:schemeClr w14:val="tx1"/>
            </w14:solidFill>
          </w14:textFill>
        </w:rPr>
        <w:t>金，或者被查实存在影响中标结果的违法行为等情形，不符合中标条件的，采购人可以按照评标委员会提出的中标候选供应商名单排序依次确定其他中标候选供应商为中标供应商，也可以重新招标。</w:t>
      </w:r>
    </w:p>
    <w:p>
      <w:pPr>
        <w:pStyle w:val="72"/>
        <w:numPr>
          <w:ilvl w:val="1"/>
          <w:numId w:val="109"/>
        </w:numPr>
        <w:tabs>
          <w:tab w:val="left" w:pos="1539"/>
        </w:tabs>
        <w:spacing w:line="360" w:lineRule="auto"/>
        <w:ind w:left="567" w:right="567" w:firstLine="471"/>
        <w:jc w:val="both"/>
        <w:rPr>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投标供应商对采购过程、中标结果提出质疑，质疑成立且影响或者可能影响中标结果的，合格投标供应商符合法定数量时，可以从合格的中标候选供应商中另行确定中标供应商的，应当依法另行确定中标供应商；否则应当重新招标。</w:t>
      </w:r>
    </w:p>
    <w:p>
      <w:pPr>
        <w:pStyle w:val="72"/>
        <w:numPr>
          <w:ilvl w:val="1"/>
          <w:numId w:val="110"/>
        </w:numPr>
        <w:tabs>
          <w:tab w:val="left" w:pos="1539"/>
        </w:tabs>
        <w:spacing w:line="360" w:lineRule="auto"/>
        <w:ind w:left="567" w:right="567" w:firstLine="471"/>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原则上把合同授予实质上响应招标文件要求的排名最前的中标候选供应商或通过资格审查的中标候选供应商。</w:t>
      </w:r>
    </w:p>
    <w:p>
      <w:pPr>
        <w:pStyle w:val="72"/>
        <w:numPr>
          <w:ilvl w:val="1"/>
          <w:numId w:val="111"/>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最低报价并不是被授予合同的保证。</w:t>
      </w:r>
    </w:p>
    <w:p>
      <w:pPr>
        <w:pStyle w:val="72"/>
        <w:numPr>
          <w:ilvl w:val="1"/>
          <w:numId w:val="112"/>
        </w:numPr>
        <w:tabs>
          <w:tab w:val="left" w:pos="1539"/>
        </w:tabs>
        <w:spacing w:line="360" w:lineRule="auto"/>
        <w:ind w:left="567" w:right="567" w:firstLine="471"/>
        <w:jc w:val="both"/>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凡发现中标候选供应商有下列行为之一的，其中标无效，并移交监督管理部门依法处理：</w:t>
      </w:r>
    </w:p>
    <w:p>
      <w:pPr>
        <w:pStyle w:val="72"/>
        <w:numPr>
          <w:ilvl w:val="1"/>
          <w:numId w:val="113"/>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以他人名义投标或提供虚假材料弄虚作假谋取中标的；</w:t>
      </w:r>
    </w:p>
    <w:p>
      <w:pPr>
        <w:pStyle w:val="72"/>
        <w:numPr>
          <w:ilvl w:val="1"/>
          <w:numId w:val="114"/>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pacing w:val="-9"/>
          <w:sz w:val="24"/>
          <w14:textFill>
            <w14:solidFill>
              <w14:schemeClr w14:val="tx1"/>
            </w14:solidFill>
          </w14:textFill>
        </w:rPr>
        <w:t>以他人名义投标，是指使用通过受让或者租借等方式获取的资格、资质证书投</w:t>
      </w:r>
      <w:r>
        <w:rPr>
          <w:rFonts w:ascii="宋体" w:hAnsi="宋体" w:eastAsia="宋体" w:cs="宋体"/>
          <w:color w:val="000000" w:themeColor="text1"/>
          <w14:textFill>
            <w14:solidFill>
              <w14:schemeClr w14:val="tx1"/>
            </w14:solidFill>
          </w14:textFill>
        </w:rPr>
        <w:t>标。</w:t>
      </w:r>
    </w:p>
    <w:p>
      <w:pPr>
        <w:pStyle w:val="72"/>
        <w:numPr>
          <w:ilvl w:val="1"/>
          <w:numId w:val="115"/>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投标供应商有下列情形之一的，属于提供虚假材料的行为：</w:t>
      </w:r>
    </w:p>
    <w:p>
      <w:pPr>
        <w:pStyle w:val="72"/>
        <w:numPr>
          <w:ilvl w:val="1"/>
          <w:numId w:val="116"/>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使用伪造、变造的许可证件；</w:t>
      </w:r>
    </w:p>
    <w:p>
      <w:pPr>
        <w:pStyle w:val="72"/>
        <w:numPr>
          <w:ilvl w:val="1"/>
          <w:numId w:val="117"/>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提供虚假的财务状况或者业绩；</w:t>
      </w:r>
    </w:p>
    <w:p>
      <w:pPr>
        <w:pStyle w:val="72"/>
        <w:numPr>
          <w:ilvl w:val="1"/>
          <w:numId w:val="118"/>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提供虚假的项目负责人或者主要技术人员简历、劳动关系证明；</w:t>
      </w:r>
    </w:p>
    <w:p>
      <w:pPr>
        <w:pStyle w:val="72"/>
        <w:numPr>
          <w:ilvl w:val="1"/>
          <w:numId w:val="119"/>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提供虚假的信用状况；</w:t>
      </w:r>
    </w:p>
    <w:p>
      <w:pPr>
        <w:pStyle w:val="72"/>
        <w:numPr>
          <w:ilvl w:val="1"/>
          <w:numId w:val="120"/>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其他弄虚作假的行为</w:t>
      </w:r>
      <w:r>
        <w:rPr>
          <w:rFonts w:hint="eastAsia" w:ascii="宋体" w:hAnsi="宋体" w:eastAsia="宋体" w:cs="宋体"/>
          <w:color w:val="000000" w:themeColor="text1"/>
          <w:sz w:val="24"/>
          <w14:textFill>
            <w14:solidFill>
              <w14:schemeClr w14:val="tx1"/>
            </w14:solidFill>
          </w14:textFill>
        </w:rPr>
        <w:t>；</w:t>
      </w:r>
    </w:p>
    <w:p>
      <w:pPr>
        <w:pStyle w:val="72"/>
        <w:numPr>
          <w:ilvl w:val="1"/>
          <w:numId w:val="121"/>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与采购人、其他供应商或者</w:t>
      </w:r>
      <w:r>
        <w:rPr>
          <w:rFonts w:hint="eastAsia" w:ascii="宋体" w:hAnsi="宋体" w:eastAsia="宋体" w:cs="宋体"/>
          <w:color w:val="000000" w:themeColor="text1"/>
          <w:sz w:val="24"/>
          <w14:textFill>
            <w14:solidFill>
              <w14:schemeClr w14:val="tx1"/>
            </w14:solidFill>
          </w14:textFill>
        </w:rPr>
        <w:t>招标代理机构</w:t>
      </w:r>
      <w:r>
        <w:rPr>
          <w:rFonts w:ascii="宋体" w:hAnsi="宋体" w:eastAsia="宋体" w:cs="宋体"/>
          <w:color w:val="000000" w:themeColor="text1"/>
          <w:sz w:val="24"/>
          <w14:textFill>
            <w14:solidFill>
              <w14:schemeClr w14:val="tx1"/>
            </w14:solidFill>
          </w14:textFill>
        </w:rPr>
        <w:t>工作人员恶意串通的；</w:t>
      </w:r>
    </w:p>
    <w:p>
      <w:pPr>
        <w:pStyle w:val="72"/>
        <w:numPr>
          <w:ilvl w:val="1"/>
          <w:numId w:val="122"/>
        </w:numPr>
        <w:tabs>
          <w:tab w:val="left" w:pos="1539"/>
        </w:tabs>
        <w:spacing w:line="360" w:lineRule="auto"/>
        <w:ind w:left="567" w:right="567" w:firstLine="471"/>
        <w:jc w:val="both"/>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向采购人、评审专家、</w:t>
      </w:r>
      <w:r>
        <w:rPr>
          <w:rFonts w:hint="eastAsia" w:ascii="宋体" w:hAnsi="宋体" w:eastAsia="宋体" w:cs="宋体"/>
          <w:color w:val="000000" w:themeColor="text1"/>
          <w:sz w:val="24"/>
          <w14:textFill>
            <w14:solidFill>
              <w14:schemeClr w14:val="tx1"/>
            </w14:solidFill>
          </w14:textFill>
        </w:rPr>
        <w:t>招标代理机构</w:t>
      </w:r>
      <w:r>
        <w:rPr>
          <w:rFonts w:ascii="宋体" w:hAnsi="宋体" w:eastAsia="宋体" w:cs="宋体"/>
          <w:color w:val="000000" w:themeColor="text1"/>
          <w:sz w:val="24"/>
          <w14:textFill>
            <w14:solidFill>
              <w14:schemeClr w14:val="tx1"/>
            </w14:solidFill>
          </w14:textFill>
        </w:rPr>
        <w:t>工作人员行贿或者提供其他不正当</w:t>
      </w:r>
      <w:r>
        <w:rPr>
          <w:color w:val="000000" w:themeColor="text1"/>
          <w14:textFill>
            <w14:solidFill>
              <w14:schemeClr w14:val="tx1"/>
            </w14:solidFill>
          </w14:textFill>
        </w:rPr>
        <w:t>利益的；</w:t>
      </w:r>
    </w:p>
    <w:p>
      <w:pPr>
        <w:pStyle w:val="72"/>
        <w:numPr>
          <w:ilvl w:val="1"/>
          <w:numId w:val="123"/>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有法律、法规规定的其他损害采购人利益和社会公共利益情形的；</w:t>
      </w:r>
    </w:p>
    <w:p>
      <w:pPr>
        <w:pStyle w:val="72"/>
        <w:numPr>
          <w:ilvl w:val="1"/>
          <w:numId w:val="124"/>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其他违反政府采购法律、法规和规章强制性规定的行为。</w:t>
      </w:r>
    </w:p>
    <w:p>
      <w:pPr>
        <w:pStyle w:val="72"/>
        <w:numPr>
          <w:ilvl w:val="1"/>
          <w:numId w:val="125"/>
        </w:numPr>
        <w:tabs>
          <w:tab w:val="left" w:pos="1539"/>
        </w:tabs>
        <w:spacing w:line="360" w:lineRule="auto"/>
        <w:ind w:left="567" w:right="567" w:firstLine="471"/>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中标通知书</w:t>
      </w:r>
    </w:p>
    <w:p>
      <w:pPr>
        <w:pStyle w:val="72"/>
        <w:numPr>
          <w:ilvl w:val="1"/>
          <w:numId w:val="126"/>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中标供应商确定后,</w:t>
      </w:r>
      <w:r>
        <w:rPr>
          <w:rFonts w:hint="eastAsia" w:cs="宋体" w:asciiTheme="minorEastAsia" w:hAnsiTheme="minorEastAsia" w:eastAsiaTheme="minorEastAsia"/>
          <w:color w:val="000000" w:themeColor="text1"/>
          <w:sz w:val="24"/>
          <w:szCs w:val="24"/>
          <w14:textFill>
            <w14:solidFill>
              <w14:schemeClr w14:val="tx1"/>
            </w14:solidFill>
          </w14:textFill>
        </w:rPr>
        <w:t>招标代理机构</w:t>
      </w:r>
      <w:r>
        <w:rPr>
          <w:rFonts w:cs="宋体" w:asciiTheme="minorEastAsia" w:hAnsiTheme="minorEastAsia" w:eastAsiaTheme="minorEastAsia"/>
          <w:color w:val="000000" w:themeColor="text1"/>
          <w:sz w:val="24"/>
          <w:szCs w:val="24"/>
          <w14:textFill>
            <w14:solidFill>
              <w14:schemeClr w14:val="tx1"/>
            </w14:solidFill>
          </w14:textFill>
        </w:rPr>
        <w:t>将在刊登本次招标公告的媒体上发布中标公告，同时以书面形式向中标供应商发出中标通知书。中标供应商应委派专人凭介绍信或公司授权书（须携带身份证明）到</w:t>
      </w:r>
      <w:r>
        <w:rPr>
          <w:rFonts w:hint="eastAsia" w:asciiTheme="minorEastAsia" w:hAnsiTheme="minorEastAsia" w:eastAsiaTheme="minorEastAsia"/>
          <w:color w:val="000000" w:themeColor="text1"/>
          <w:sz w:val="24"/>
          <w:szCs w:val="24"/>
          <w14:textFill>
            <w14:solidFill>
              <w14:schemeClr w14:val="tx1"/>
            </w14:solidFill>
          </w14:textFill>
        </w:rPr>
        <w:t>我公司</w:t>
      </w:r>
      <w:r>
        <w:rPr>
          <w:rFonts w:cs="宋体" w:asciiTheme="minorEastAsia" w:hAnsiTheme="minorEastAsia" w:eastAsiaTheme="minorEastAsia"/>
          <w:color w:val="000000" w:themeColor="text1"/>
          <w:sz w:val="24"/>
          <w:szCs w:val="24"/>
          <w14:textFill>
            <w14:solidFill>
              <w14:schemeClr w14:val="tx1"/>
            </w14:solidFill>
          </w14:textFill>
        </w:rPr>
        <w:t>领取中标通知书。中标通知书对采购人和中标供应商具有同等法律效力。中标通知书发出以后，采购人改变中标结果或者中标供应商放弃中标，应当承担相应的法律责任。</w:t>
      </w:r>
    </w:p>
    <w:p>
      <w:pPr>
        <w:pStyle w:val="72"/>
        <w:numPr>
          <w:ilvl w:val="1"/>
          <w:numId w:val="127"/>
        </w:numPr>
        <w:tabs>
          <w:tab w:val="left" w:pos="1539"/>
        </w:tabs>
        <w:spacing w:line="360" w:lineRule="auto"/>
        <w:ind w:left="567" w:right="567" w:firstLine="471"/>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招标代理机构</w:t>
      </w:r>
      <w:r>
        <w:rPr>
          <w:rFonts w:cs="宋体" w:asciiTheme="minorEastAsia" w:hAnsiTheme="minorEastAsia" w:eastAsiaTheme="minorEastAsia"/>
          <w:color w:val="000000" w:themeColor="text1"/>
          <w:sz w:val="24"/>
          <w:szCs w:val="24"/>
          <w14:textFill>
            <w14:solidFill>
              <w14:schemeClr w14:val="tx1"/>
            </w14:solidFill>
          </w14:textFill>
        </w:rPr>
        <w:t>对未中标的投标供应商不做未中标原因的解释</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128"/>
        </w:numPr>
        <w:tabs>
          <w:tab w:val="left" w:pos="1539"/>
        </w:tabs>
        <w:spacing w:line="360" w:lineRule="auto"/>
        <w:ind w:left="567" w:right="567" w:firstLine="471"/>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中标服务费</w:t>
      </w:r>
    </w:p>
    <w:p>
      <w:pPr>
        <w:pStyle w:val="72"/>
        <w:numPr>
          <w:ilvl w:val="1"/>
          <w:numId w:val="129"/>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中标供应商在</w:t>
      </w:r>
      <w:r>
        <w:rPr>
          <w:rFonts w:hint="eastAsia" w:eastAsiaTheme="minorEastAsia"/>
          <w:color w:val="000000" w:themeColor="text1"/>
          <w:sz w:val="24"/>
          <w14:textFill>
            <w14:solidFill>
              <w14:schemeClr w14:val="tx1"/>
            </w14:solidFill>
          </w14:textFill>
        </w:rPr>
        <w:t>领取</w:t>
      </w:r>
      <w:r>
        <w:rPr>
          <w:rFonts w:hint="eastAsia" w:ascii="宋体" w:hAnsi="宋体" w:eastAsia="宋体" w:cs="宋体"/>
          <w:color w:val="000000" w:themeColor="text1"/>
          <w:sz w:val="24"/>
          <w14:textFill>
            <w14:solidFill>
              <w14:schemeClr w14:val="tx1"/>
            </w14:solidFill>
          </w14:textFill>
        </w:rPr>
        <w:t>中标通知</w:t>
      </w:r>
      <w:r>
        <w:rPr>
          <w:rFonts w:hint="eastAsia" w:eastAsiaTheme="minorEastAsia"/>
          <w:color w:val="000000" w:themeColor="text1"/>
          <w:sz w:val="24"/>
          <w14:textFill>
            <w14:solidFill>
              <w14:schemeClr w14:val="tx1"/>
            </w14:solidFill>
          </w14:textFill>
        </w:rPr>
        <w:t>书时向招标代理机构一次性</w:t>
      </w:r>
      <w:r>
        <w:rPr>
          <w:rFonts w:hint="eastAsia" w:ascii="宋体" w:hAnsi="宋体" w:eastAsia="宋体" w:cs="宋体"/>
          <w:color w:val="000000" w:themeColor="text1"/>
          <w:sz w:val="24"/>
          <w14:textFill>
            <w14:solidFill>
              <w14:schemeClr w14:val="tx1"/>
            </w14:solidFill>
          </w14:textFill>
        </w:rPr>
        <w:t>交纳中标服务费。</w:t>
      </w:r>
    </w:p>
    <w:p>
      <w:pPr>
        <w:pStyle w:val="72"/>
        <w:numPr>
          <w:ilvl w:val="1"/>
          <w:numId w:val="130"/>
        </w:numPr>
        <w:tabs>
          <w:tab w:val="left" w:pos="1506"/>
        </w:tabs>
        <w:spacing w:line="360" w:lineRule="auto"/>
        <w:ind w:left="567" w:right="567" w:firstLine="471"/>
        <w:jc w:val="both"/>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投标供应商须知前附表约定收取定额中标服务费或免收中标服务费的，从其规定。</w:t>
      </w:r>
    </w:p>
    <w:p>
      <w:pPr>
        <w:pStyle w:val="72"/>
        <w:numPr>
          <w:ilvl w:val="1"/>
          <w:numId w:val="131"/>
        </w:numPr>
        <w:tabs>
          <w:tab w:val="left" w:pos="1506"/>
        </w:tabs>
        <w:spacing w:line="360" w:lineRule="auto"/>
        <w:ind w:left="567" w:right="220" w:rightChars="100" w:firstLine="471"/>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履约保证金</w:t>
      </w:r>
    </w:p>
    <w:p>
      <w:pPr>
        <w:pStyle w:val="72"/>
        <w:numPr>
          <w:ilvl w:val="1"/>
          <w:numId w:val="132"/>
        </w:numPr>
        <w:tabs>
          <w:tab w:val="left" w:pos="1506"/>
        </w:tabs>
        <w:spacing w:line="360" w:lineRule="auto"/>
        <w:ind w:left="567" w:right="220" w:rightChars="100" w:firstLine="471"/>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签订合同前，中标供应商应</w:t>
      </w:r>
      <w:r>
        <w:rPr>
          <w:rFonts w:hint="eastAsia" w:eastAsiaTheme="minorEastAsia"/>
          <w:color w:val="000000" w:themeColor="text1"/>
          <w:sz w:val="24"/>
          <w14:textFill>
            <w14:solidFill>
              <w14:schemeClr w14:val="tx1"/>
            </w14:solidFill>
          </w14:textFill>
        </w:rPr>
        <w:t>向业主方提</w:t>
      </w:r>
      <w:r>
        <w:rPr>
          <w:rFonts w:hint="eastAsia" w:eastAsiaTheme="minorEastAsia"/>
          <w:color w:val="000000" w:themeColor="text1"/>
          <w:sz w:val="24"/>
          <w:highlight w:val="none"/>
          <w14:textFill>
            <w14:solidFill>
              <w14:schemeClr w14:val="tx1"/>
            </w14:solidFill>
          </w14:textFill>
        </w:rPr>
        <w:t>交3%</w:t>
      </w:r>
      <w:r>
        <w:rPr>
          <w:rFonts w:ascii="宋体" w:hAnsi="宋体" w:eastAsia="宋体" w:cs="宋体"/>
          <w:color w:val="000000" w:themeColor="text1"/>
          <w:sz w:val="24"/>
          <w:highlight w:val="none"/>
          <w14:textFill>
            <w14:solidFill>
              <w14:schemeClr w14:val="tx1"/>
            </w14:solidFill>
          </w14:textFill>
        </w:rPr>
        <w:t>履</w:t>
      </w:r>
      <w:r>
        <w:rPr>
          <w:rFonts w:ascii="宋体" w:hAnsi="宋体" w:eastAsia="宋体" w:cs="宋体"/>
          <w:color w:val="000000" w:themeColor="text1"/>
          <w:sz w:val="24"/>
          <w14:textFill>
            <w14:solidFill>
              <w14:schemeClr w14:val="tx1"/>
            </w14:solidFill>
          </w14:textFill>
        </w:rPr>
        <w:t>约保证金。</w:t>
      </w:r>
    </w:p>
    <w:p>
      <w:pPr>
        <w:pStyle w:val="72"/>
        <w:numPr>
          <w:ilvl w:val="1"/>
          <w:numId w:val="133"/>
        </w:numPr>
        <w:tabs>
          <w:tab w:val="left" w:pos="1506"/>
        </w:tabs>
        <w:spacing w:line="360" w:lineRule="auto"/>
        <w:ind w:left="567" w:right="220" w:rightChars="100" w:firstLine="471"/>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投标供应商须知前附表约定免收履约保证金的，从其规定。</w:t>
      </w:r>
    </w:p>
    <w:p>
      <w:pPr>
        <w:pStyle w:val="72"/>
        <w:numPr>
          <w:ilvl w:val="1"/>
          <w:numId w:val="134"/>
        </w:numPr>
        <w:tabs>
          <w:tab w:val="left" w:pos="1506"/>
        </w:tabs>
        <w:spacing w:line="360" w:lineRule="auto"/>
        <w:ind w:left="567" w:right="220" w:rightChars="100" w:firstLine="471"/>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签订合同</w:t>
      </w:r>
    </w:p>
    <w:p>
      <w:pPr>
        <w:pStyle w:val="72"/>
        <w:numPr>
          <w:ilvl w:val="1"/>
          <w:numId w:val="135"/>
        </w:numPr>
        <w:tabs>
          <w:tab w:val="left" w:pos="1506"/>
        </w:tabs>
        <w:spacing w:line="360" w:lineRule="auto"/>
        <w:ind w:left="567" w:right="567" w:firstLine="471"/>
        <w:jc w:val="both"/>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中标供应商应在中标通知书发出之日起三十日内与采购人签订合同。招标文件、中标供应商的投标文件及澄清文件等，均作为合同的附件。合同签订前中标供应商应向</w:t>
      </w:r>
      <w:r>
        <w:rPr>
          <w:rFonts w:hint="eastAsia" w:ascii="宋体" w:hAnsi="宋体" w:eastAsia="宋体" w:cs="宋体"/>
          <w:color w:val="000000" w:themeColor="text1"/>
          <w:sz w:val="24"/>
          <w14:textFill>
            <w14:solidFill>
              <w14:schemeClr w14:val="tx1"/>
            </w14:solidFill>
          </w14:textFill>
        </w:rPr>
        <w:t>业主方</w:t>
      </w:r>
      <w:r>
        <w:rPr>
          <w:rFonts w:ascii="宋体" w:hAnsi="宋体" w:eastAsia="宋体" w:cs="宋体"/>
          <w:color w:val="000000" w:themeColor="text1"/>
          <w:sz w:val="24"/>
          <w14:textFill>
            <w14:solidFill>
              <w14:schemeClr w14:val="tx1"/>
            </w14:solidFill>
          </w14:textFill>
        </w:rPr>
        <w:t>出示履约保证金缴纳证明。</w:t>
      </w:r>
    </w:p>
    <w:p>
      <w:pPr>
        <w:pStyle w:val="72"/>
        <w:numPr>
          <w:ilvl w:val="1"/>
          <w:numId w:val="136"/>
        </w:numPr>
        <w:tabs>
          <w:tab w:val="left" w:pos="157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color w:val="000000" w:themeColor="text1"/>
          <w:spacing w:val="-3"/>
          <w:sz w:val="24"/>
          <w14:textFill>
            <w14:solidFill>
              <w14:schemeClr w14:val="tx1"/>
            </w14:solidFill>
          </w14:textFill>
        </w:rPr>
        <w:t>采购双方必须严格按照招标文件、投标文件及有关承诺签订采购合同，不得擅自变更。合同的标的、价款、质量、履行期限等主要条款应当与招标文件和中标供应商的投标文件的内容一致，采购人和中标供应商不得再行订立背离合同实质性内容的其他协议。对任何因双方擅自变更合同引起的问题</w:t>
      </w:r>
      <w:r>
        <w:rPr>
          <w:rFonts w:hint="eastAsia" w:eastAsiaTheme="minorEastAsia"/>
          <w:color w:val="000000" w:themeColor="text1"/>
          <w:spacing w:val="-3"/>
          <w:sz w:val="24"/>
          <w14:textFill>
            <w14:solidFill>
              <w14:schemeClr w14:val="tx1"/>
            </w14:solidFill>
          </w14:textFill>
        </w:rPr>
        <w:t>招标代理机构</w:t>
      </w:r>
      <w:r>
        <w:rPr>
          <w:color w:val="000000" w:themeColor="text1"/>
          <w:spacing w:val="-3"/>
          <w:sz w:val="24"/>
          <w14:textFill>
            <w14:solidFill>
              <w14:schemeClr w14:val="tx1"/>
            </w14:solidFill>
          </w14:textFill>
        </w:rPr>
        <w:t>概</w:t>
      </w:r>
      <w:r>
        <w:rPr>
          <w:rFonts w:asciiTheme="minorEastAsia" w:hAnsiTheme="minorEastAsia" w:eastAsiaTheme="minorEastAsia"/>
          <w:color w:val="000000" w:themeColor="text1"/>
          <w:spacing w:val="-3"/>
          <w:sz w:val="24"/>
          <w:szCs w:val="24"/>
          <w14:textFill>
            <w14:solidFill>
              <w14:schemeClr w14:val="tx1"/>
            </w14:solidFill>
          </w14:textFill>
        </w:rPr>
        <w:t>不负责，合同风险由双方自行承担。</w:t>
      </w:r>
    </w:p>
    <w:p>
      <w:pPr>
        <w:pStyle w:val="72"/>
        <w:numPr>
          <w:ilvl w:val="1"/>
          <w:numId w:val="137"/>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采购人保留以书面形式要求合同的卖方对其所投货物的装运方式、交货地点及服务细则等作适当调整的权利。</w:t>
      </w:r>
    </w:p>
    <w:p>
      <w:pPr>
        <w:pStyle w:val="72"/>
        <w:numPr>
          <w:ilvl w:val="1"/>
          <w:numId w:val="138"/>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无论基于何种原因，各项本应作拒绝处理的情形即便未被及时发现而使该投标供应商进入评审或其它后续程序，包括已经签约的情形，一旦在任何时间被发现，</w:t>
      </w:r>
      <w:r>
        <w:rPr>
          <w:rFonts w:hint="eastAsia" w:cs="宋体" w:asciiTheme="minorEastAsia" w:hAnsiTheme="minorEastAsia" w:eastAsiaTheme="minorEastAsia"/>
          <w:color w:val="000000" w:themeColor="text1"/>
          <w:sz w:val="24"/>
          <w:szCs w:val="24"/>
          <w14:textFill>
            <w14:solidFill>
              <w14:schemeClr w14:val="tx1"/>
            </w14:solidFill>
          </w14:textFill>
        </w:rPr>
        <w:t>招标代理机构</w:t>
      </w:r>
      <w:r>
        <w:rPr>
          <w:rFonts w:cs="宋体" w:asciiTheme="minorEastAsia" w:hAnsiTheme="minorEastAsia" w:eastAsiaTheme="minorEastAsia"/>
          <w:color w:val="000000" w:themeColor="text1"/>
          <w:sz w:val="24"/>
          <w:szCs w:val="24"/>
          <w14:textFill>
            <w14:solidFill>
              <w14:schemeClr w14:val="tx1"/>
            </w14:solidFill>
          </w14:textFill>
        </w:rPr>
        <w:t>均有权决定取消该投标供应商此前评议的结果或对该报价予以拒绝，并有权采取相应的补救或纠正措施。一旦该投标供应商被拒绝或被取消此前评议结果，其现有的位置将被其他投标供应商依序替代或重新组织采购，相关的一切损失均由该投标供应商自行承担。</w:t>
      </w:r>
    </w:p>
    <w:p>
      <w:pPr>
        <w:pStyle w:val="72"/>
        <w:numPr>
          <w:ilvl w:val="1"/>
          <w:numId w:val="139"/>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验收</w:t>
      </w:r>
    </w:p>
    <w:p>
      <w:pPr>
        <w:pStyle w:val="72"/>
        <w:numPr>
          <w:ilvl w:val="1"/>
          <w:numId w:val="140"/>
        </w:numPr>
        <w:tabs>
          <w:tab w:val="left" w:pos="1506"/>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pacing w:val="-5"/>
          <w:sz w:val="24"/>
          <w:szCs w:val="24"/>
          <w14:textFill>
            <w14:solidFill>
              <w14:schemeClr w14:val="tx1"/>
            </w14:solidFill>
          </w14:textFill>
        </w:rPr>
        <w:t>采购人为政府采购项目履约验收的责任主体，负责政府采购项目的履约验收工作。</w:t>
      </w:r>
      <w:r>
        <w:rPr>
          <w:rFonts w:cs="宋体" w:asciiTheme="minorEastAsia" w:hAnsiTheme="minorEastAsia" w:eastAsiaTheme="minorEastAsia"/>
          <w:color w:val="000000" w:themeColor="text1"/>
          <w:sz w:val="24"/>
          <w:szCs w:val="24"/>
          <w14:textFill>
            <w14:solidFill>
              <w14:schemeClr w14:val="tx1"/>
            </w14:solidFill>
          </w14:textFill>
        </w:rPr>
        <w:t>采购人与中标供应商应当根据合同法的约定依法履行合同义务。</w:t>
      </w:r>
      <w:r>
        <w:rPr>
          <w:rFonts w:asciiTheme="minorEastAsia" w:hAnsiTheme="minorEastAsia" w:eastAsiaTheme="minorEastAsia"/>
          <w:color w:val="000000" w:themeColor="text1"/>
          <w:sz w:val="24"/>
          <w:szCs w:val="24"/>
          <w14:textFill>
            <w14:solidFill>
              <w14:schemeClr w14:val="tx1"/>
            </w14:solidFill>
          </w14:textFill>
        </w:rPr>
        <w:t>采购合同的履行、违约责任和解决争议的方式等适用《中华人民共和国合同法》。 采购人应当加强对中标供应商的履约管理，并按照采购合同约定，及时向中标供应商支付采购资金。对于中标供应商违反采购合同约定的行为，采购人应该及时处理，依法追究其违约责任。</w:t>
      </w:r>
    </w:p>
    <w:p>
      <w:pPr>
        <w:pStyle w:val="72"/>
        <w:numPr>
          <w:ilvl w:val="1"/>
          <w:numId w:val="14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采购人验收时，应成立三人以上（由合同双方、技术人员、纪检等相关人员组成）验收小组，明确责任，严格依照采购文件、中标通知书、政府采购合同及相关验收规范进行核对、验收，形成验收结论，并出具书面验收报告。</w:t>
      </w:r>
    </w:p>
    <w:p>
      <w:pPr>
        <w:pStyle w:val="72"/>
        <w:numPr>
          <w:ilvl w:val="1"/>
          <w:numId w:val="142"/>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涉及安全、消防、环保等其他需要由质检或行业主管部门进行验收的项目，必须</w:t>
      </w:r>
      <w:r>
        <w:rPr>
          <w:rFonts w:asciiTheme="minorEastAsia" w:hAnsiTheme="minorEastAsia" w:eastAsiaTheme="minorEastAsia"/>
          <w:color w:val="000000" w:themeColor="text1"/>
          <w:sz w:val="24"/>
          <w:szCs w:val="24"/>
          <w14:textFill>
            <w14:solidFill>
              <w14:schemeClr w14:val="tx1"/>
            </w14:solidFill>
          </w14:textFill>
        </w:rPr>
        <w:t>邀请相关部门或相关专家参与验收。</w:t>
      </w:r>
      <w:r>
        <w:rPr>
          <w:rFonts w:cs="宋体" w:asciiTheme="minorEastAsia" w:hAnsiTheme="minorEastAsia" w:eastAsiaTheme="minorEastAsia"/>
          <w:color w:val="000000" w:themeColor="text1"/>
          <w:sz w:val="24"/>
          <w:szCs w:val="24"/>
          <w14:textFill>
            <w14:solidFill>
              <w14:schemeClr w14:val="tx1"/>
            </w14:solidFill>
          </w14:textFill>
        </w:rPr>
        <w:t>检测、验收费用均由合同乙方（中标供应商）承担</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143"/>
        </w:numPr>
        <w:tabs>
          <w:tab w:val="left" w:pos="1539"/>
        </w:tabs>
        <w:spacing w:line="360" w:lineRule="auto"/>
        <w:ind w:left="567" w:right="220" w:rightChars="100"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质疑</w:t>
      </w:r>
    </w:p>
    <w:p>
      <w:pPr>
        <w:pStyle w:val="72"/>
        <w:numPr>
          <w:ilvl w:val="1"/>
          <w:numId w:val="144"/>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质疑人认为招标文件、采购过程、中标结果使自己的权益受到损害的，可以在知</w:t>
      </w:r>
      <w:r>
        <w:rPr>
          <w:rFonts w:cs="宋体" w:asciiTheme="minorEastAsia" w:hAnsiTheme="minorEastAsia" w:eastAsiaTheme="minorEastAsia"/>
          <w:color w:val="000000" w:themeColor="text1"/>
          <w:spacing w:val="-3"/>
          <w:sz w:val="24"/>
          <w:szCs w:val="24"/>
          <w14:textFill>
            <w14:solidFill>
              <w14:schemeClr w14:val="tx1"/>
            </w14:solidFill>
          </w14:textFill>
        </w:rPr>
        <w:t>道或者应知其权益受到损害之日起</w:t>
      </w:r>
      <w:r>
        <w:rPr>
          <w:rFonts w:hint="eastAsia" w:cs="宋体" w:asciiTheme="minorEastAsia" w:hAnsiTheme="minorEastAsia" w:eastAsiaTheme="minorEastAsia"/>
          <w:color w:val="000000" w:themeColor="text1"/>
          <w:spacing w:val="-3"/>
          <w:sz w:val="24"/>
          <w:szCs w:val="24"/>
          <w14:textFill>
            <w14:solidFill>
              <w14:schemeClr w14:val="tx1"/>
            </w14:solidFill>
          </w14:textFill>
        </w:rPr>
        <w:t>即</w:t>
      </w:r>
      <w:r>
        <w:rPr>
          <w:rFonts w:asciiTheme="minorEastAsia" w:hAnsiTheme="minorEastAsia" w:eastAsiaTheme="minorEastAsia"/>
          <w:color w:val="000000" w:themeColor="text1"/>
          <w:sz w:val="24"/>
          <w:szCs w:val="24"/>
          <w14:textFill>
            <w14:solidFill>
              <w14:schemeClr w14:val="tx1"/>
            </w14:solidFill>
          </w14:textFill>
        </w:rPr>
        <w:t>法定质疑期内</w:t>
      </w:r>
      <w:r>
        <w:rPr>
          <w:rFonts w:cs="宋体" w:asciiTheme="minorEastAsia" w:hAnsiTheme="minorEastAsia" w:eastAsiaTheme="minorEastAsia"/>
          <w:color w:val="000000" w:themeColor="text1"/>
          <w:sz w:val="24"/>
          <w:szCs w:val="24"/>
          <w14:textFill>
            <w14:solidFill>
              <w14:schemeClr w14:val="tx1"/>
            </w14:solidFill>
          </w14:textFill>
        </w:rPr>
        <w:t>，向采购人、</w:t>
      </w:r>
      <w:r>
        <w:rPr>
          <w:rFonts w:hint="eastAsia" w:asciiTheme="minorEastAsia" w:hAnsiTheme="minorEastAsia" w:eastAsiaTheme="minorEastAsia"/>
          <w:color w:val="000000" w:themeColor="text1"/>
          <w:sz w:val="24"/>
          <w:szCs w:val="24"/>
          <w14:textFill>
            <w14:solidFill>
              <w14:schemeClr w14:val="tx1"/>
            </w14:solidFill>
          </w14:textFill>
        </w:rPr>
        <w:t>招标代理机构</w:t>
      </w:r>
      <w:r>
        <w:rPr>
          <w:rFonts w:cs="宋体" w:asciiTheme="minorEastAsia" w:hAnsiTheme="minorEastAsia" w:eastAsiaTheme="minorEastAsia"/>
          <w:color w:val="000000" w:themeColor="text1"/>
          <w:sz w:val="24"/>
          <w:szCs w:val="24"/>
          <w14:textFill>
            <w14:solidFill>
              <w14:schemeClr w14:val="tx1"/>
            </w14:solidFill>
          </w14:textFill>
        </w:rPr>
        <w:t>提出质</w:t>
      </w:r>
      <w:r>
        <w:rPr>
          <w:rFonts w:cs="宋体" w:asciiTheme="minorEastAsia" w:hAnsiTheme="minorEastAsia" w:eastAsiaTheme="minorEastAsia"/>
          <w:color w:val="000000" w:themeColor="text1"/>
          <w:spacing w:val="-6"/>
          <w:sz w:val="24"/>
          <w:szCs w:val="24"/>
          <w14:textFill>
            <w14:solidFill>
              <w14:schemeClr w14:val="tx1"/>
            </w14:solidFill>
          </w14:textFill>
        </w:rPr>
        <w:t>疑。质疑材料递交方式：书面形式</w:t>
      </w:r>
      <w:r>
        <w:rPr>
          <w:rFonts w:hint="eastAsia" w:asciiTheme="minorEastAsia" w:hAnsiTheme="minorEastAsia" w:eastAsiaTheme="minorEastAsia"/>
          <w:color w:val="000000" w:themeColor="text1"/>
          <w:spacing w:val="-6"/>
          <w:sz w:val="24"/>
          <w:szCs w:val="24"/>
          <w14:textFill>
            <w14:solidFill>
              <w14:schemeClr w14:val="tx1"/>
            </w14:solidFill>
          </w14:textFill>
        </w:rPr>
        <w:t>。</w:t>
      </w:r>
    </w:p>
    <w:p>
      <w:pPr>
        <w:pStyle w:val="72"/>
        <w:numPr>
          <w:ilvl w:val="1"/>
          <w:numId w:val="145"/>
        </w:numPr>
        <w:tabs>
          <w:tab w:val="left" w:pos="1539"/>
        </w:tabs>
        <w:spacing w:before="8"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质疑实行实名制，应当有具体的事项及根据，不得进行虚假、恶意质疑，扰乱公共资源交易活动的正常工作秩序。</w:t>
      </w:r>
    </w:p>
    <w:p>
      <w:pPr>
        <w:pStyle w:val="72"/>
        <w:numPr>
          <w:ilvl w:val="1"/>
          <w:numId w:val="146"/>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质疑人对招标文件、采购过程、中标结果的质疑，应当在法定质疑期内一次性提出针对同一采购程序环节的质疑。 </w:t>
      </w:r>
    </w:p>
    <w:p>
      <w:pPr>
        <w:pStyle w:val="72"/>
        <w:numPr>
          <w:ilvl w:val="1"/>
          <w:numId w:val="147"/>
        </w:numPr>
        <w:tabs>
          <w:tab w:val="left" w:pos="1515"/>
        </w:tabs>
        <w:spacing w:line="360" w:lineRule="auto"/>
        <w:ind w:left="567" w:right="567" w:firstLine="471"/>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质疑应以书面形式实名提出，书面质疑材料应当包括以下内容：</w:t>
      </w:r>
    </w:p>
    <w:p>
      <w:pPr>
        <w:pStyle w:val="72"/>
        <w:numPr>
          <w:ilvl w:val="1"/>
          <w:numId w:val="148"/>
        </w:numPr>
        <w:tabs>
          <w:tab w:val="left" w:pos="1515"/>
        </w:tabs>
        <w:spacing w:line="360" w:lineRule="auto"/>
        <w:ind w:left="567" w:right="567" w:firstLine="471"/>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质疑人的姓名或者名称、地址、邮编、联系人及联系电话； </w:t>
      </w:r>
    </w:p>
    <w:p>
      <w:pPr>
        <w:pStyle w:val="72"/>
        <w:numPr>
          <w:ilvl w:val="1"/>
          <w:numId w:val="149"/>
        </w:numPr>
        <w:tabs>
          <w:tab w:val="left" w:pos="1515"/>
        </w:tabs>
        <w:spacing w:line="360" w:lineRule="auto"/>
        <w:ind w:left="567" w:right="567" w:firstLine="471"/>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质疑项目的名称、编号，</w:t>
      </w:r>
      <w:r>
        <w:rPr>
          <w:rFonts w:hint="eastAsia" w:ascii="宋体" w:hAnsi="宋体" w:eastAsia="宋体" w:cs="宋体"/>
          <w:color w:val="000000" w:themeColor="text1"/>
          <w:sz w:val="24"/>
          <w:lang w:eastAsia="zh-CN"/>
          <w14:textFill>
            <w14:solidFill>
              <w14:schemeClr w14:val="tx1"/>
            </w14:solidFill>
          </w14:textFill>
        </w:rPr>
        <w:t>标段</w:t>
      </w:r>
      <w:r>
        <w:rPr>
          <w:rFonts w:ascii="宋体" w:hAnsi="宋体" w:eastAsia="宋体" w:cs="宋体"/>
          <w:color w:val="000000" w:themeColor="text1"/>
          <w:sz w:val="24"/>
          <w14:textFill>
            <w14:solidFill>
              <w14:schemeClr w14:val="tx1"/>
            </w14:solidFill>
          </w14:textFill>
        </w:rPr>
        <w:t>号（如有）；</w:t>
      </w:r>
    </w:p>
    <w:p>
      <w:pPr>
        <w:tabs>
          <w:tab w:val="left" w:pos="1515"/>
        </w:tabs>
        <w:spacing w:line="360" w:lineRule="auto"/>
        <w:ind w:right="567" w:firstLine="990" w:firstLineChars="550"/>
        <w:rPr>
          <w:color w:val="000000" w:themeColor="text1"/>
          <w:sz w:val="24"/>
          <w14:textFill>
            <w14:solidFill>
              <w14:schemeClr w14:val="tx1"/>
            </w14:solidFill>
          </w14:textFill>
        </w:rPr>
      </w:pPr>
      <w:r>
        <w:rPr>
          <w:rFonts w:ascii="Times New Roman" w:hAnsi="Times New Roman" w:eastAsia="宋体" w:cs="Times New Roman"/>
          <w:color w:val="000000" w:themeColor="text1"/>
          <w:sz w:val="18"/>
          <w:szCs w:val="24"/>
          <w14:textFill>
            <w14:solidFill>
              <w14:schemeClr w14:val="tx1"/>
            </w14:solidFill>
          </w14:textFill>
        </w:rPr>
        <w:t>36.4.3</w:t>
      </w:r>
      <w:r>
        <w:rPr>
          <w:rFonts w:ascii="宋体" w:hAnsi="宋体" w:eastAsia="宋体" w:cs="宋体"/>
          <w:color w:val="000000" w:themeColor="text1"/>
          <w:sz w:val="24"/>
          <w14:textFill>
            <w14:solidFill>
              <w14:schemeClr w14:val="tx1"/>
            </w14:solidFill>
          </w14:textFill>
        </w:rPr>
        <w:t>具体、明确的质疑事项和与质疑事项相关的请求；</w:t>
      </w:r>
    </w:p>
    <w:p>
      <w:pPr>
        <w:pStyle w:val="72"/>
        <w:tabs>
          <w:tab w:val="left" w:pos="1515"/>
        </w:tabs>
        <w:spacing w:line="360" w:lineRule="auto"/>
        <w:ind w:left="1038" w:right="567" w:firstLine="0"/>
        <w:rPr>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18"/>
          <w:szCs w:val="24"/>
          <w14:textFill>
            <w14:solidFill>
              <w14:schemeClr w14:val="tx1"/>
            </w14:solidFill>
          </w14:textFill>
        </w:rPr>
        <w:t>36.4.4</w:t>
      </w:r>
      <w:r>
        <w:rPr>
          <w:rFonts w:ascii="宋体" w:hAnsi="宋体" w:eastAsia="宋体" w:cs="宋体"/>
          <w:color w:val="000000" w:themeColor="text1"/>
          <w:sz w:val="24"/>
          <w14:textFill>
            <w14:solidFill>
              <w14:schemeClr w14:val="tx1"/>
            </w14:solidFill>
          </w14:textFill>
        </w:rPr>
        <w:t>事实依据；</w:t>
      </w:r>
    </w:p>
    <w:p>
      <w:pPr>
        <w:pStyle w:val="72"/>
        <w:tabs>
          <w:tab w:val="left" w:pos="1515"/>
        </w:tabs>
        <w:spacing w:line="360" w:lineRule="auto"/>
        <w:ind w:left="1038" w:right="567" w:firstLine="0"/>
        <w:rPr>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18"/>
          <w:szCs w:val="24"/>
          <w14:textFill>
            <w14:solidFill>
              <w14:schemeClr w14:val="tx1"/>
            </w14:solidFill>
          </w14:textFill>
        </w:rPr>
        <w:t>36.4.5</w:t>
      </w:r>
      <w:r>
        <w:rPr>
          <w:rFonts w:ascii="宋体" w:hAnsi="宋体" w:eastAsia="宋体" w:cs="宋体"/>
          <w:color w:val="000000" w:themeColor="text1"/>
          <w:sz w:val="24"/>
          <w14:textFill>
            <w14:solidFill>
              <w14:schemeClr w14:val="tx1"/>
            </w14:solidFill>
          </w14:textFill>
        </w:rPr>
        <w:t>必要的法律依据；</w:t>
      </w:r>
    </w:p>
    <w:p>
      <w:pPr>
        <w:pStyle w:val="72"/>
        <w:tabs>
          <w:tab w:val="left" w:pos="1515"/>
        </w:tabs>
        <w:spacing w:line="360" w:lineRule="auto"/>
        <w:ind w:left="1038" w:right="567"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18"/>
          <w:szCs w:val="24"/>
          <w14:textFill>
            <w14:solidFill>
              <w14:schemeClr w14:val="tx1"/>
            </w14:solidFill>
          </w14:textFill>
        </w:rPr>
        <w:t>36.4.6</w:t>
      </w:r>
      <w:r>
        <w:rPr>
          <w:rFonts w:cs="宋体" w:asciiTheme="minorEastAsia" w:hAnsiTheme="minorEastAsia" w:eastAsiaTheme="minorEastAsia"/>
          <w:color w:val="000000" w:themeColor="text1"/>
          <w:sz w:val="24"/>
          <w:szCs w:val="24"/>
          <w14:textFill>
            <w14:solidFill>
              <w14:schemeClr w14:val="tx1"/>
            </w14:solidFill>
          </w14:textFill>
        </w:rPr>
        <w:t>提出质疑的日期。</w:t>
      </w:r>
    </w:p>
    <w:p>
      <w:pPr>
        <w:pStyle w:val="72"/>
        <w:tabs>
          <w:tab w:val="left" w:pos="1515"/>
        </w:tabs>
        <w:spacing w:line="360" w:lineRule="auto"/>
        <w:ind w:left="1038" w:right="567" w:firstLine="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18"/>
          <w:szCs w:val="24"/>
          <w14:textFill>
            <w14:solidFill>
              <w14:schemeClr w14:val="tx1"/>
            </w14:solidFill>
          </w14:textFill>
        </w:rPr>
        <w:t>36.4.7</w:t>
      </w:r>
      <w:r>
        <w:rPr>
          <w:rFonts w:asciiTheme="minorEastAsia" w:hAnsiTheme="minorEastAsia" w:eastAsiaTheme="minorEastAsia"/>
          <w:color w:val="000000" w:themeColor="text1"/>
          <w:sz w:val="24"/>
          <w:szCs w:val="24"/>
          <w14:textFill>
            <w14:solidFill>
              <w14:schemeClr w14:val="tx1"/>
            </w14:solidFill>
          </w14:textFill>
        </w:rPr>
        <w:t>质疑人为自然人的，应当由本人签字；质疑人为法人或者其他组织的，应当由法定代表人、主要负责人，或者其授权代表签字或者盖章，并加盖公章</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150"/>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有下列情形之一的，不予受理：</w:t>
      </w:r>
    </w:p>
    <w:p>
      <w:pPr>
        <w:pStyle w:val="72"/>
        <w:numPr>
          <w:ilvl w:val="1"/>
          <w:numId w:val="151"/>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提起质疑的主体不是参与该政府采购项目活动的供应商；</w:t>
      </w:r>
    </w:p>
    <w:p>
      <w:pPr>
        <w:pStyle w:val="72"/>
        <w:numPr>
          <w:ilvl w:val="1"/>
          <w:numId w:val="152"/>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提起质疑的时间超过规定时限的；</w:t>
      </w:r>
    </w:p>
    <w:p>
      <w:pPr>
        <w:pStyle w:val="72"/>
        <w:numPr>
          <w:ilvl w:val="1"/>
          <w:numId w:val="153"/>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质疑材料不完整的；</w:t>
      </w:r>
    </w:p>
    <w:p>
      <w:pPr>
        <w:pStyle w:val="72"/>
        <w:numPr>
          <w:ilvl w:val="1"/>
          <w:numId w:val="154"/>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质疑事项含有主观猜测等内容且未提供有效线索、难以查证的；</w:t>
      </w:r>
    </w:p>
    <w:p>
      <w:pPr>
        <w:pStyle w:val="72"/>
        <w:numPr>
          <w:ilvl w:val="1"/>
          <w:numId w:val="155"/>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对其他投标供应商的投标文件详细内容质疑，无法提供合法来源渠道的；</w:t>
      </w:r>
    </w:p>
    <w:p>
      <w:pPr>
        <w:pStyle w:val="72"/>
        <w:numPr>
          <w:ilvl w:val="1"/>
          <w:numId w:val="156"/>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质疑事项已进入投诉处理、行政复议或行政诉讼程序的。</w:t>
      </w:r>
    </w:p>
    <w:p>
      <w:pPr>
        <w:pStyle w:val="72"/>
        <w:numPr>
          <w:ilvl w:val="1"/>
          <w:numId w:val="157"/>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经审查符合质疑条件的，自收到质疑之日起即为受理。</w:t>
      </w:r>
      <w:r>
        <w:rPr>
          <w:rFonts w:hint="eastAsia" w:eastAsiaTheme="minorEastAsia"/>
          <w:color w:val="000000" w:themeColor="text1"/>
          <w:sz w:val="24"/>
          <w14:textFill>
            <w14:solidFill>
              <w14:schemeClr w14:val="tx1"/>
            </w14:solidFill>
          </w14:textFill>
        </w:rPr>
        <w:t>招标代理机构</w:t>
      </w:r>
      <w:r>
        <w:rPr>
          <w:rFonts w:ascii="宋体" w:hAnsi="宋体" w:eastAsia="宋体" w:cs="宋体"/>
          <w:color w:val="000000" w:themeColor="text1"/>
          <w:sz w:val="24"/>
          <w14:textFill>
            <w14:solidFill>
              <w14:schemeClr w14:val="tx1"/>
            </w14:solidFill>
          </w14:textFill>
        </w:rPr>
        <w:t>将在</w:t>
      </w:r>
      <w:r>
        <w:rPr>
          <w:rFonts w:ascii="宋体" w:hAnsi="宋体" w:eastAsia="宋体" w:cs="宋体"/>
          <w:color w:val="000000" w:themeColor="text1"/>
          <w:spacing w:val="-9"/>
          <w:sz w:val="24"/>
          <w14:textFill>
            <w14:solidFill>
              <w14:schemeClr w14:val="tx1"/>
            </w14:solidFill>
          </w14:textFill>
        </w:rPr>
        <w:t>质疑受理后</w:t>
      </w:r>
      <w:r>
        <w:rPr>
          <w:rFonts w:ascii="Times New Roman" w:eastAsia="Times New Roman"/>
          <w:color w:val="000000" w:themeColor="text1"/>
          <w:sz w:val="24"/>
          <w14:textFill>
            <w14:solidFill>
              <w14:schemeClr w14:val="tx1"/>
            </w14:solidFill>
          </w14:textFill>
        </w:rPr>
        <w:t>7</w:t>
      </w:r>
      <w:r>
        <w:rPr>
          <w:rFonts w:ascii="宋体" w:hAnsi="宋体" w:eastAsia="宋体" w:cs="宋体"/>
          <w:color w:val="000000" w:themeColor="text1"/>
          <w:spacing w:val="-2"/>
          <w:sz w:val="24"/>
          <w14:textFill>
            <w14:solidFill>
              <w14:schemeClr w14:val="tx1"/>
            </w14:solidFill>
          </w14:textFill>
        </w:rPr>
        <w:t>个工作日内作出答复或相关处理决定</w:t>
      </w:r>
      <w:r>
        <w:rPr>
          <w:rFonts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pacing w:val="-8"/>
          <w:sz w:val="24"/>
          <w14:textFill>
            <w14:solidFill>
              <w14:schemeClr w14:val="tx1"/>
            </w14:solidFill>
          </w14:textFill>
        </w:rPr>
        <w:t>需要检验、检测、鉴定、专家评审的，所需时间不计算在内），并以书面形式通知质疑人，答复的内容不得涉及商业秘密。</w:t>
      </w:r>
    </w:p>
    <w:p>
      <w:pPr>
        <w:pStyle w:val="72"/>
        <w:numPr>
          <w:ilvl w:val="1"/>
          <w:numId w:val="158"/>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质疑人在答复期满前撤回质疑的，应由法定代表人或授权代表人签字确认</w:t>
      </w:r>
      <w:r>
        <w:rPr>
          <w:rFonts w:ascii="宋体" w:hAnsi="宋体" w:eastAsia="宋体" w:cs="宋体"/>
          <w:color w:val="000000" w:themeColor="text1"/>
          <w:sz w:val="24"/>
          <w:szCs w:val="24"/>
          <w14:textFill>
            <w14:solidFill>
              <w14:schemeClr w14:val="tx1"/>
            </w14:solidFill>
          </w14:textFill>
        </w:rPr>
        <w:t>，</w:t>
      </w:r>
      <w:r>
        <w:rPr>
          <w:rFonts w:hint="eastAsia" w:eastAsiaTheme="minorEastAsia"/>
          <w:color w:val="000000" w:themeColor="text1"/>
          <w:sz w:val="24"/>
          <w:szCs w:val="24"/>
          <w14:textFill>
            <w14:solidFill>
              <w14:schemeClr w14:val="tx1"/>
            </w14:solidFill>
          </w14:textFill>
        </w:rPr>
        <w:t>招标代理机构</w:t>
      </w:r>
      <w:r>
        <w:rPr>
          <w:rFonts w:ascii="宋体" w:hAnsi="宋体" w:eastAsia="宋体" w:cs="宋体"/>
          <w:color w:val="000000" w:themeColor="text1"/>
          <w:sz w:val="24"/>
          <w:szCs w:val="24"/>
          <w14:textFill>
            <w14:solidFill>
              <w14:schemeClr w14:val="tx1"/>
            </w14:solidFill>
          </w14:textFill>
        </w:rPr>
        <w:t>即终止质疑处理程序。质疑人不得以同一理由再次提出质疑。</w:t>
      </w:r>
    </w:p>
    <w:p>
      <w:pPr>
        <w:pStyle w:val="72"/>
        <w:numPr>
          <w:ilvl w:val="1"/>
          <w:numId w:val="159"/>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质疑人对质疑答复不满意或</w:t>
      </w:r>
      <w:r>
        <w:rPr>
          <w:rFonts w:hint="eastAsia" w:eastAsiaTheme="minorEastAsia"/>
          <w:color w:val="000000" w:themeColor="text1"/>
          <w:sz w:val="24"/>
          <w:szCs w:val="24"/>
          <w14:textFill>
            <w14:solidFill>
              <w14:schemeClr w14:val="tx1"/>
            </w14:solidFill>
          </w14:textFill>
        </w:rPr>
        <w:t>招标代理机构</w:t>
      </w:r>
      <w:r>
        <w:rPr>
          <w:rFonts w:ascii="宋体" w:hAnsi="宋体" w:eastAsia="宋体" w:cs="宋体"/>
          <w:color w:val="000000" w:themeColor="text1"/>
          <w:sz w:val="24"/>
          <w:szCs w:val="24"/>
          <w14:textFill>
            <w14:solidFill>
              <w14:schemeClr w14:val="tx1"/>
            </w14:solidFill>
          </w14:textFill>
        </w:rPr>
        <w:t>未在规定时间内做出答复的，可以在规定期限内向监督管理部门提起投诉。</w:t>
      </w:r>
      <w:r>
        <w:rPr>
          <w:color w:val="000000" w:themeColor="text1"/>
          <w:sz w:val="24"/>
          <w:szCs w:val="24"/>
          <w14:textFill>
            <w14:solidFill>
              <w14:schemeClr w14:val="tx1"/>
            </w14:solidFill>
          </w14:textFill>
        </w:rPr>
        <w:t>质疑人应在答复期满后十五个工作日内提起投诉。</w:t>
      </w:r>
    </w:p>
    <w:p>
      <w:pPr>
        <w:pStyle w:val="72"/>
        <w:numPr>
          <w:ilvl w:val="1"/>
          <w:numId w:val="160"/>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质疑人有下列情形之一的，属于虚假、恶意质疑，</w:t>
      </w:r>
      <w:r>
        <w:rPr>
          <w:rFonts w:hint="eastAsia" w:eastAsiaTheme="minorEastAsia"/>
          <w:color w:val="000000" w:themeColor="text1"/>
          <w:sz w:val="24"/>
          <w14:textFill>
            <w14:solidFill>
              <w14:schemeClr w14:val="tx1"/>
            </w14:solidFill>
          </w14:textFill>
        </w:rPr>
        <w:t>招标代理机构</w:t>
      </w:r>
      <w:r>
        <w:rPr>
          <w:rFonts w:ascii="宋体" w:hAnsi="宋体" w:eastAsia="宋体" w:cs="宋体"/>
          <w:color w:val="000000" w:themeColor="text1"/>
          <w:sz w:val="24"/>
          <w14:textFill>
            <w14:solidFill>
              <w14:schemeClr w14:val="tx1"/>
            </w14:solidFill>
          </w14:textFill>
        </w:rPr>
        <w:t>将报监督管理部门予以处理。</w:t>
      </w:r>
    </w:p>
    <w:p>
      <w:pPr>
        <w:pStyle w:val="72"/>
        <w:numPr>
          <w:ilvl w:val="1"/>
          <w:numId w:val="161"/>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一年内三次以上质疑均查无实据的；</w:t>
      </w:r>
    </w:p>
    <w:p>
      <w:pPr>
        <w:pStyle w:val="72"/>
        <w:numPr>
          <w:ilvl w:val="1"/>
          <w:numId w:val="162"/>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捏造事实；</w:t>
      </w:r>
    </w:p>
    <w:p>
      <w:pPr>
        <w:pStyle w:val="72"/>
        <w:numPr>
          <w:ilvl w:val="1"/>
          <w:numId w:val="163"/>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提供虚假材料；</w:t>
      </w:r>
    </w:p>
    <w:p>
      <w:pPr>
        <w:pStyle w:val="72"/>
        <w:numPr>
          <w:ilvl w:val="1"/>
          <w:numId w:val="164"/>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pacing w:val="-2"/>
          <w:sz w:val="24"/>
          <w14:textFill>
            <w14:solidFill>
              <w14:schemeClr w14:val="tx1"/>
            </w14:solidFill>
          </w14:textFill>
        </w:rPr>
        <w:t>以非法手段取得证明材料。证据来源的合法性存在明显疑问，投诉人无法</w:t>
      </w:r>
      <w:r>
        <w:rPr>
          <w:rFonts w:ascii="宋体" w:hAnsi="宋体" w:eastAsia="宋体" w:cs="宋体"/>
          <w:color w:val="000000" w:themeColor="text1"/>
          <w:spacing w:val="-2"/>
          <w:sz w:val="24"/>
          <w:szCs w:val="24"/>
          <w14:textFill>
            <w14:solidFill>
              <w14:schemeClr w14:val="tx1"/>
            </w14:solidFill>
          </w14:textFill>
        </w:rPr>
        <w:t>证明其取得方式合法的，视为以非法手段取得证明材料。</w:t>
      </w:r>
    </w:p>
    <w:p>
      <w:pPr>
        <w:pStyle w:val="72"/>
        <w:numPr>
          <w:ilvl w:val="1"/>
          <w:numId w:val="165"/>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未尽事宜</w:t>
      </w:r>
    </w:p>
    <w:p>
      <w:pPr>
        <w:pStyle w:val="72"/>
        <w:numPr>
          <w:ilvl w:val="1"/>
          <w:numId w:val="166"/>
        </w:numPr>
        <w:tabs>
          <w:tab w:val="left" w:pos="1515"/>
        </w:tabs>
        <w:spacing w:line="360" w:lineRule="auto"/>
        <w:ind w:left="567" w:right="567" w:firstLine="47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按政府采购法律法规的规定执行。</w:t>
      </w:r>
    </w:p>
    <w:p>
      <w:pPr>
        <w:pStyle w:val="72"/>
        <w:numPr>
          <w:ilvl w:val="1"/>
          <w:numId w:val="167"/>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解释权</w:t>
      </w:r>
    </w:p>
    <w:p>
      <w:pPr>
        <w:pStyle w:val="72"/>
        <w:numPr>
          <w:ilvl w:val="1"/>
          <w:numId w:val="168"/>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sectPr>
          <w:pgSz w:w="11910" w:h="16850"/>
          <w:pgMar w:top="1440" w:right="1080" w:bottom="1440" w:left="1080" w:header="877" w:footer="1068" w:gutter="0"/>
          <w:cols w:space="720" w:num="1"/>
        </w:sectPr>
      </w:pPr>
      <w:r>
        <w:rPr>
          <w:rFonts w:ascii="宋体" w:hAnsi="宋体" w:eastAsia="宋体" w:cs="宋体"/>
          <w:color w:val="000000" w:themeColor="text1"/>
          <w:sz w:val="24"/>
          <w:szCs w:val="24"/>
          <w14:textFill>
            <w14:solidFill>
              <w14:schemeClr w14:val="tx1"/>
            </w14:solidFill>
          </w14:textFill>
        </w:rPr>
        <w:t>本招标文件的解释权属于</w:t>
      </w:r>
      <w:r>
        <w:rPr>
          <w:rFonts w:hint="eastAsia" w:eastAsiaTheme="minorEastAsia"/>
          <w:color w:val="000000" w:themeColor="text1"/>
          <w:sz w:val="24"/>
          <w:szCs w:val="24"/>
          <w:lang w:eastAsia="zh-CN"/>
          <w14:textFill>
            <w14:solidFill>
              <w14:schemeClr w14:val="tx1"/>
            </w14:solidFill>
          </w14:textFill>
        </w:rPr>
        <w:t>新疆永信国金工程管理咨询有限公司</w:t>
      </w:r>
      <w:r>
        <w:rPr>
          <w:rFonts w:hint="eastAsia" w:eastAsiaTheme="minorEastAsia"/>
          <w:color w:val="000000" w:themeColor="text1"/>
          <w:sz w:val="24"/>
          <w:szCs w:val="24"/>
          <w14:textFill>
            <w14:solidFill>
              <w14:schemeClr w14:val="tx1"/>
            </w14:solidFill>
          </w14:textFill>
        </w:rPr>
        <w:t>。</w:t>
      </w:r>
    </w:p>
    <w:p>
      <w:pPr>
        <w:pStyle w:val="3"/>
        <w:spacing w:line="511" w:lineRule="exact"/>
        <w:ind w:right="82"/>
        <w:jc w:val="center"/>
        <w:rPr>
          <w:rFonts w:eastAsiaTheme="minorEastAsia"/>
          <w:b/>
          <w:color w:val="000000" w:themeColor="text1"/>
          <w14:textFill>
            <w14:solidFill>
              <w14:schemeClr w14:val="tx1"/>
            </w14:solidFill>
          </w14:textFill>
        </w:rPr>
      </w:pPr>
      <w:bookmarkStart w:id="61" w:name="_bookmark9"/>
      <w:bookmarkEnd w:id="61"/>
      <w:bookmarkStart w:id="62" w:name="第四章_评标办法"/>
      <w:bookmarkEnd w:id="62"/>
      <w:bookmarkStart w:id="63" w:name="_Toc9417"/>
      <w:r>
        <w:rPr>
          <w:b/>
          <w:color w:val="000000" w:themeColor="text1"/>
          <w14:textFill>
            <w14:solidFill>
              <w14:schemeClr w14:val="tx1"/>
            </w14:solidFill>
          </w14:textFill>
        </w:rPr>
        <w:t>第四章 评标办法</w:t>
      </w:r>
      <w:bookmarkEnd w:id="63"/>
    </w:p>
    <w:p>
      <w:pPr>
        <w:pStyle w:val="14"/>
        <w:tabs>
          <w:tab w:val="left" w:pos="967"/>
          <w:tab w:val="left" w:pos="1447"/>
        </w:tabs>
        <w:spacing w:before="37" w:line="360" w:lineRule="auto"/>
        <w:ind w:left="0" w:right="336"/>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一．</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t>总</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t>则</w:t>
      </w:r>
    </w:p>
    <w:p>
      <w:pPr>
        <w:ind w:left="550" w:leftChars="25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第一条 </w:t>
      </w:r>
      <w:r>
        <w:rPr>
          <w:rFonts w:hint="eastAsia" w:asciiTheme="minorEastAsia" w:hAnsiTheme="minorEastAsia" w:eastAsiaTheme="minorEastAsia"/>
          <w:color w:val="000000" w:themeColor="text1"/>
          <w:sz w:val="24"/>
          <w:szCs w:val="24"/>
          <w14:textFill>
            <w14:solidFill>
              <w14:schemeClr w14:val="tx1"/>
            </w14:solidFill>
          </w14:textFill>
        </w:rPr>
        <w:t>为了</w:t>
      </w:r>
      <w:r>
        <w:rPr>
          <w:rFonts w:asciiTheme="minorEastAsia" w:hAnsiTheme="minorEastAsia" w:eastAsiaTheme="minorEastAsia"/>
          <w:color w:val="000000" w:themeColor="text1"/>
          <w:sz w:val="24"/>
          <w:szCs w:val="24"/>
          <w14:textFill>
            <w14:solidFill>
              <w14:schemeClr w14:val="tx1"/>
            </w14:solidFill>
          </w14:textFill>
        </w:rPr>
        <w:t>做好</w:t>
      </w:r>
      <w:r>
        <w:rPr>
          <w:rFonts w:hint="eastAsia" w:asciiTheme="minorEastAsia" w:hAnsiTheme="minorEastAsia" w:eastAsiaTheme="minorEastAsia"/>
          <w:color w:val="000000" w:themeColor="text1"/>
          <w:sz w:val="24"/>
          <w:szCs w:val="24"/>
          <w:lang w:eastAsia="zh-CN"/>
          <w14:textFill>
            <w14:solidFill>
              <w14:schemeClr w14:val="tx1"/>
            </w14:solidFill>
          </w14:textFill>
        </w:rPr>
        <w:t>疏勒县中等职业技术学校中餐烹饪专业耗材项目</w:t>
      </w:r>
      <w:r>
        <w:rPr>
          <w:rFonts w:asciiTheme="minorEastAsia" w:hAnsiTheme="minorEastAsia" w:eastAsiaTheme="minorEastAsia"/>
          <w:color w:val="000000" w:themeColor="text1"/>
          <w:sz w:val="24"/>
          <w:szCs w:val="24"/>
          <w14:textFill>
            <w14:solidFill>
              <w14:schemeClr w14:val="tx1"/>
            </w14:solidFill>
          </w14:textFill>
        </w:rPr>
        <w:t>（项目编号：</w:t>
      </w:r>
      <w:r>
        <w:rPr>
          <w:rFonts w:hint="eastAsia" w:asciiTheme="minorEastAsia" w:hAnsiTheme="minorEastAsia" w:eastAsiaTheme="minorEastAsia"/>
          <w:color w:val="000000" w:themeColor="text1"/>
          <w:sz w:val="24"/>
          <w:szCs w:val="24"/>
          <w:lang w:eastAsia="zh-CN"/>
          <w14:textFill>
            <w14:solidFill>
              <w14:schemeClr w14:val="tx1"/>
            </w14:solidFill>
          </w14:textFill>
        </w:rPr>
        <w:t>YXGJ（GK）2021-20号</w:t>
      </w:r>
      <w:r>
        <w:rPr>
          <w:rFonts w:asciiTheme="minorEastAsia" w:hAnsiTheme="minorEastAsia" w:eastAsiaTheme="minorEastAsia"/>
          <w:color w:val="000000" w:themeColor="text1"/>
          <w:sz w:val="24"/>
          <w:szCs w:val="24"/>
          <w14:textFill>
            <w14:solidFill>
              <w14:schemeClr w14:val="tx1"/>
            </w14:solidFill>
          </w14:textFill>
        </w:rPr>
        <w:t>）的招标评标工作，保证项目评审工作的正常有序进行，维护采购人、投标供应商的合法权益，依据政府采购法律法规，本着公开、公平、公正的原则，制定本评标办法。</w:t>
      </w:r>
    </w:p>
    <w:p>
      <w:pPr>
        <w:pStyle w:val="14"/>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第二条 本项目评标办法采用综合评分法。</w:t>
      </w:r>
    </w:p>
    <w:p>
      <w:pPr>
        <w:pStyle w:val="14"/>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第三条 本项目将依法组建不少于 </w:t>
      </w:r>
      <w:r>
        <w:rPr>
          <w:rFonts w:hint="eastAsia" w:asciiTheme="minorEastAsia" w:hAnsiTheme="minorEastAsia" w:eastAsiaTheme="minorEastAsia"/>
          <w:color w:val="000000" w:themeColor="text1"/>
          <w14:textFill>
            <w14:solidFill>
              <w14:schemeClr w14:val="tx1"/>
            </w14:solidFill>
          </w14:textFill>
        </w:rPr>
        <w:t>5</w:t>
      </w:r>
      <w:r>
        <w:rPr>
          <w:rFonts w:asciiTheme="minorEastAsia" w:hAnsiTheme="minorEastAsia" w:eastAsiaTheme="minorEastAsia"/>
          <w:color w:val="000000" w:themeColor="text1"/>
          <w14:textFill>
            <w14:solidFill>
              <w14:schemeClr w14:val="tx1"/>
            </w14:solidFill>
          </w14:textFill>
        </w:rPr>
        <w:t xml:space="preserve"> 人组成的评标委员会，负责本项目的评标工作。</w:t>
      </w:r>
    </w:p>
    <w:p>
      <w:pPr>
        <w:pStyle w:val="14"/>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第四条 评标委员会按照“公平、公正、科学、择优”的原则，评价参加本次招标的投标供应商所提供的产品价格、性能、质量、服务及其投标文件的符合性及响应性。</w:t>
      </w:r>
    </w:p>
    <w:p>
      <w:pPr>
        <w:pStyle w:val="14"/>
        <w:spacing w:before="7" w:line="360" w:lineRule="auto"/>
        <w:ind w:left="567" w:right="567" w:firstLine="471"/>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二．评标程序及评审细则</w:t>
      </w:r>
    </w:p>
    <w:p>
      <w:pPr>
        <w:pStyle w:val="14"/>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第五条 评标工作于开标后进行。评标委员会应认真研究招标文件，至少应了解和熟悉以下内容：</w:t>
      </w:r>
    </w:p>
    <w:p>
      <w:pPr>
        <w:pStyle w:val="14"/>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（一）招标的目的；</w:t>
      </w:r>
    </w:p>
    <w:p>
      <w:pPr>
        <w:pStyle w:val="14"/>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（二）招标项目的范围和性质；</w:t>
      </w:r>
    </w:p>
    <w:p>
      <w:pPr>
        <w:pStyle w:val="14"/>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（三）招标文件中规定的主要技术要求、标准和商务条款；</w:t>
      </w:r>
    </w:p>
    <w:p>
      <w:pPr>
        <w:pStyle w:val="14"/>
        <w:spacing w:before="7" w:line="360" w:lineRule="auto"/>
        <w:ind w:left="220" w:leftChars="100" w:right="567" w:firstLine="840" w:firstLineChars="350"/>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（四）招标文件规定的评标标准、评标方法和在评标过程中考虑的相关因素。</w:t>
      </w:r>
    </w:p>
    <w:p>
      <w:pPr>
        <w:pStyle w:val="14"/>
        <w:spacing w:before="7" w:line="360" w:lineRule="auto"/>
        <w:ind w:left="220" w:leftChars="100" w:right="567" w:firstLine="720" w:firstLineChars="300"/>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第六条 有效投标应符合以下原则：</w:t>
      </w:r>
    </w:p>
    <w:p>
      <w:pPr>
        <w:pStyle w:val="14"/>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（一）满足招标文件的实质性要求；</w:t>
      </w:r>
    </w:p>
    <w:p>
      <w:pPr>
        <w:pStyle w:val="14"/>
        <w:spacing w:before="7" w:line="360" w:lineRule="auto"/>
        <w:ind w:left="567" w:right="567" w:firstLine="471"/>
        <w:jc w:val="both"/>
        <w:rPr>
          <w:color w:val="000000" w:themeColor="text1"/>
          <w14:textFill>
            <w14:solidFill>
              <w14:schemeClr w14:val="tx1"/>
            </w14:solidFill>
          </w14:textFill>
        </w:rPr>
      </w:pPr>
      <w:r>
        <w:rPr>
          <w:color w:val="000000" w:themeColor="text1"/>
          <w14:textFill>
            <w14:solidFill>
              <w14:schemeClr w14:val="tx1"/>
            </w14:solidFill>
          </w14:textFill>
        </w:rPr>
        <w:t>（二）无重大偏离、保留或采购人不能接受的附加条件；</w:t>
      </w:r>
    </w:p>
    <w:p>
      <w:pPr>
        <w:pStyle w:val="14"/>
        <w:spacing w:before="7" w:line="360" w:lineRule="auto"/>
        <w:ind w:left="567" w:right="567" w:firstLine="471"/>
        <w:jc w:val="both"/>
        <w:rPr>
          <w:color w:val="000000" w:themeColor="text1"/>
          <w14:textFill>
            <w14:solidFill>
              <w14:schemeClr w14:val="tx1"/>
            </w14:solidFill>
          </w14:textFill>
        </w:rPr>
      </w:pPr>
      <w:r>
        <w:rPr>
          <w:color w:val="000000" w:themeColor="text1"/>
          <w14:textFill>
            <w14:solidFill>
              <w14:schemeClr w14:val="tx1"/>
            </w14:solidFill>
          </w14:textFill>
        </w:rPr>
        <w:t>（三）通过投标有效性评审；</w:t>
      </w:r>
    </w:p>
    <w:p>
      <w:pPr>
        <w:pStyle w:val="14"/>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（四）评标委员会依据招标文件认定的其他原则。</w:t>
      </w:r>
    </w:p>
    <w:p>
      <w:pPr>
        <w:pStyle w:val="14"/>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第七条 评标委员会遵循公开、公平、公正和科学诚信的原则，按照招标文件规定的评标办法对投标文件采用相同程序和标准独立进行评定。</w:t>
      </w:r>
    </w:p>
    <w:p>
      <w:pPr>
        <w:pStyle w:val="14"/>
        <w:spacing w:before="7" w:line="360" w:lineRule="auto"/>
        <w:ind w:left="567" w:right="567" w:firstLine="471"/>
        <w:jc w:val="both"/>
        <w:rPr>
          <w:rFonts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w:t>
      </w:r>
      <w:r>
        <w:rPr>
          <w:rFonts w:hint="eastAsia" w:asciiTheme="minorEastAsia" w:hAnsiTheme="minorEastAsia" w:eastAsiaTheme="minorEastAsia"/>
          <w:color w:val="000000" w:themeColor="text1"/>
          <w14:textFill>
            <w14:solidFill>
              <w14:schemeClr w14:val="tx1"/>
            </w14:solidFill>
          </w14:textFill>
        </w:rPr>
        <w:t>八</w:t>
      </w:r>
      <w:r>
        <w:rPr>
          <w:rFonts w:asciiTheme="minorEastAsia" w:hAnsiTheme="minorEastAsia" w:eastAsiaTheme="minorEastAsia"/>
          <w:color w:val="000000" w:themeColor="text1"/>
          <w14:textFill>
            <w14:solidFill>
              <w14:schemeClr w14:val="tx1"/>
            </w14:solidFill>
          </w14:textFill>
        </w:rPr>
        <w:t>条 综合评分法，是指投标文件满足招标文件全部实质性要求且按照评审因素的量化指标评审得分最高的供应商为中标候选供应商的评标方法。综合评分法的主要因素：投标文件中的技术、资信、价格及相应的分值权重，满分为 100 分。</w:t>
      </w:r>
      <w:r>
        <w:rPr>
          <w:rFonts w:hint="eastAsia" w:asciiTheme="minorEastAsia" w:hAnsiTheme="minorEastAsia" w:eastAsiaTheme="minorEastAsia"/>
          <w:color w:val="000000" w:themeColor="text1"/>
          <w14:textFill>
            <w14:solidFill>
              <w14:schemeClr w14:val="tx1"/>
            </w14:solidFill>
          </w14:textFill>
        </w:rPr>
        <w:t>分值及评审程序构成如下：</w:t>
      </w:r>
    </w:p>
    <w:tbl>
      <w:tblPr>
        <w:tblStyle w:val="40"/>
        <w:tblpPr w:leftFromText="180" w:rightFromText="180" w:vertAnchor="text" w:horzAnchor="page" w:tblpX="1334" w:tblpY="422"/>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trPr>
        <w:tc>
          <w:tcPr>
            <w:tcW w:w="2525" w:type="dxa"/>
            <w:shd w:val="clear" w:color="auto" w:fill="auto"/>
          </w:tcPr>
          <w:p>
            <w:pPr>
              <w:spacing w:line="360" w:lineRule="auto"/>
              <w:jc w:val="center"/>
              <w:rPr>
                <w:rFonts w:ascii="宋体" w:hAnsi="宋体"/>
                <w:color w:val="000000" w:themeColor="text1"/>
                <w:szCs w:val="21"/>
                <w14:textFill>
                  <w14:solidFill>
                    <w14:schemeClr w14:val="tx1"/>
                  </w14:solidFill>
                </w14:textFill>
              </w:rPr>
            </w:pPr>
          </w:p>
          <w:p>
            <w:pPr>
              <w:spacing w:line="360" w:lineRule="auto"/>
              <w:jc w:val="center"/>
              <w:rPr>
                <w:rFonts w:ascii="宋体" w:hAnsi="宋体" w:eastAsiaTheme="minorEastAsia"/>
                <w:color w:val="000000" w:themeColor="text1"/>
                <w:szCs w:val="21"/>
                <w14:textFill>
                  <w14:solidFill>
                    <w14:schemeClr w14:val="tx1"/>
                  </w14:solidFill>
                </w14:textFill>
              </w:rPr>
            </w:pP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分值构成</w:t>
            </w: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（总分100分）</w:t>
            </w:r>
          </w:p>
        </w:tc>
        <w:tc>
          <w:tcPr>
            <w:tcW w:w="7540" w:type="dxa"/>
            <w:shd w:val="clear" w:color="auto" w:fill="auto"/>
          </w:tcPr>
          <w:p>
            <w:pPr>
              <w:spacing w:line="360" w:lineRule="auto"/>
              <w:rPr>
                <w:rFonts w:ascii="宋体" w:hAnsi="宋体" w:eastAsiaTheme="minorEastAsia"/>
                <w:color w:val="000000" w:themeColor="text1"/>
                <w:szCs w:val="21"/>
                <w:highlight w:val="none"/>
                <w14:textFill>
                  <w14:solidFill>
                    <w14:schemeClr w14:val="tx1"/>
                  </w14:solidFill>
                </w14:textFill>
              </w:rPr>
            </w:pPr>
          </w:p>
          <w:p>
            <w:pPr>
              <w:spacing w:line="360" w:lineRule="auto"/>
              <w:ind w:firstLine="1100" w:firstLineChars="500"/>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价格分值：</w:t>
            </w:r>
            <w:r>
              <w:rPr>
                <w:rFonts w:hint="eastAsia" w:ascii="宋体" w:hAnsi="宋体" w:eastAsiaTheme="minorEastAsia"/>
                <w:color w:val="000000" w:themeColor="text1"/>
                <w:szCs w:val="21"/>
                <w:highlight w:val="none"/>
                <w:u w:val="single"/>
                <w14:textFill>
                  <w14:solidFill>
                    <w14:schemeClr w14:val="tx1"/>
                  </w14:solidFill>
                </w14:textFill>
              </w:rPr>
              <w:t>30</w:t>
            </w:r>
            <w:r>
              <w:rPr>
                <w:rFonts w:hint="eastAsia" w:ascii="宋体" w:hAnsi="宋体"/>
                <w:color w:val="000000" w:themeColor="text1"/>
                <w:szCs w:val="21"/>
                <w:highlight w:val="none"/>
                <w:u w:val="single"/>
                <w14:textFill>
                  <w14:solidFill>
                    <w14:schemeClr w14:val="tx1"/>
                  </w14:solidFill>
                </w14:textFill>
              </w:rPr>
              <w:t>分</w:t>
            </w:r>
          </w:p>
          <w:p>
            <w:pPr>
              <w:spacing w:line="360" w:lineRule="auto"/>
              <w:ind w:firstLine="1100" w:firstLineChars="5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商务部分：</w:t>
            </w:r>
            <w:r>
              <w:rPr>
                <w:rFonts w:hint="eastAsia" w:ascii="宋体" w:hAnsi="宋体" w:eastAsiaTheme="minorEastAsia"/>
                <w:color w:val="000000" w:themeColor="text1"/>
                <w:szCs w:val="21"/>
                <w:highlight w:val="none"/>
                <w:u w:val="single"/>
                <w:lang w:val="en-US" w:eastAsia="zh-CN"/>
                <w14:textFill>
                  <w14:solidFill>
                    <w14:schemeClr w14:val="tx1"/>
                  </w14:solidFill>
                </w14:textFill>
              </w:rPr>
              <w:t>2</w:t>
            </w:r>
            <w:r>
              <w:rPr>
                <w:rFonts w:hint="eastAsia" w:ascii="宋体" w:hAnsi="宋体" w:eastAsiaTheme="minorEastAsia"/>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u w:val="single"/>
                <w14:textFill>
                  <w14:solidFill>
                    <w14:schemeClr w14:val="tx1"/>
                  </w14:solidFill>
                </w14:textFill>
              </w:rPr>
              <w:t>分</w:t>
            </w:r>
          </w:p>
          <w:p>
            <w:pPr>
              <w:spacing w:line="360" w:lineRule="auto"/>
              <w:ind w:firstLine="1100" w:firstLineChars="5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技术部分：</w:t>
            </w:r>
            <w:r>
              <w:rPr>
                <w:rFonts w:hint="eastAsia" w:ascii="宋体" w:hAnsi="宋体" w:eastAsiaTheme="minorEastAsia"/>
                <w:color w:val="000000" w:themeColor="text1"/>
                <w:szCs w:val="21"/>
                <w:highlight w:val="none"/>
                <w:u w:val="single"/>
                <w:lang w:val="en-US" w:eastAsia="zh-CN"/>
                <w14:textFill>
                  <w14:solidFill>
                    <w14:schemeClr w14:val="tx1"/>
                  </w14:solidFill>
                </w14:textFill>
              </w:rPr>
              <w:t>5</w:t>
            </w:r>
            <w:r>
              <w:rPr>
                <w:rFonts w:hint="eastAsia" w:ascii="宋体" w:hAnsi="宋体" w:eastAsiaTheme="minorEastAsia"/>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u w:val="single"/>
                <w14:textFill>
                  <w14:solidFill>
                    <w14:schemeClr w14:val="tx1"/>
                  </w14:solidFill>
                </w14:textFill>
              </w:rPr>
              <w:t>分</w:t>
            </w:r>
          </w:p>
          <w:p>
            <w:pPr>
              <w:pStyle w:val="39"/>
            </w:pPr>
          </w:p>
          <w:p>
            <w:pPr>
              <w:spacing w:line="360" w:lineRule="auto"/>
              <w:rPr>
                <w:rFonts w:ascii="宋体" w:hAnsi="宋体" w:eastAsiaTheme="minorEastAsia"/>
                <w:color w:val="000000" w:themeColor="text1"/>
                <w:szCs w:val="21"/>
                <w:u w:val="single"/>
                <w14:textFill>
                  <w14:solidFill>
                    <w14:schemeClr w14:val="tx1"/>
                  </w14:solidFill>
                </w14:textFill>
              </w:rPr>
            </w:pPr>
          </w:p>
        </w:tc>
      </w:tr>
    </w:tbl>
    <w:p>
      <w:pPr>
        <w:pStyle w:val="14"/>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4"/>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4"/>
        <w:tabs>
          <w:tab w:val="left" w:pos="8742"/>
          <w:tab w:val="left" w:pos="9222"/>
          <w:tab w:val="left" w:pos="9702"/>
        </w:tabs>
        <w:spacing w:line="220" w:lineRule="auto"/>
        <w:ind w:left="0" w:right="1121" w:firstLine="720" w:firstLineChars="300"/>
        <w:rPr>
          <w:rFonts w:hint="eastAsia"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 xml:space="preserve">1、采 </w:t>
      </w:r>
      <w:r>
        <w:rPr>
          <w:color w:val="000000" w:themeColor="text1"/>
          <w14:textFill>
            <w14:solidFill>
              <w14:schemeClr w14:val="tx1"/>
            </w14:solidFill>
          </w14:textFill>
        </w:rPr>
        <w:t>购人代表</w:t>
      </w:r>
      <w:r>
        <w:rPr>
          <w:rFonts w:hint="eastAsia" w:eastAsiaTheme="minorEastAsia"/>
          <w:color w:val="000000" w:themeColor="text1"/>
          <w14:textFill>
            <w14:solidFill>
              <w14:schemeClr w14:val="tx1"/>
            </w14:solidFill>
          </w14:textFill>
        </w:rPr>
        <w:t xml:space="preserve"> 或 公 正 部 门 人 员 </w:t>
      </w:r>
      <w:r>
        <w:rPr>
          <w:color w:val="000000" w:themeColor="text1"/>
          <w14:textFill>
            <w14:solidFill>
              <w14:schemeClr w14:val="tx1"/>
            </w14:solidFill>
          </w14:textFill>
        </w:rPr>
        <w:t>对投标</w:t>
      </w:r>
      <w:r>
        <w:rPr>
          <w:rFonts w:hint="eastAsia" w:eastAsiaTheme="minorEastAsia"/>
          <w:color w:val="000000" w:themeColor="text1"/>
          <w14:textFill>
            <w14:solidFill>
              <w14:schemeClr w14:val="tx1"/>
            </w14:solidFill>
          </w14:textFill>
        </w:rPr>
        <w:t xml:space="preserve">人 资 格 </w:t>
      </w:r>
      <w:r>
        <w:rPr>
          <w:color w:val="000000" w:themeColor="text1"/>
          <w14:textFill>
            <w14:solidFill>
              <w14:schemeClr w14:val="tx1"/>
            </w14:solidFill>
          </w14:textFill>
        </w:rPr>
        <w:t>进行资格审查</w:t>
      </w:r>
      <w:r>
        <w:rPr>
          <w:rFonts w:hint="eastAsia" w:eastAsiaTheme="minorEastAsia"/>
          <w:color w:val="000000" w:themeColor="text1"/>
          <w14:textFill>
            <w14:solidFill>
              <w14:schemeClr w14:val="tx1"/>
            </w14:solidFill>
          </w14:textFill>
        </w:rPr>
        <w:t>。</w:t>
      </w:r>
    </w:p>
    <w:p>
      <w:pPr>
        <w:pStyle w:val="15"/>
        <w:rPr>
          <w:rFonts w:hint="eastAsia"/>
        </w:rPr>
      </w:pPr>
    </w:p>
    <w:p>
      <w:pPr>
        <w:pStyle w:val="14"/>
        <w:tabs>
          <w:tab w:val="left" w:pos="8742"/>
          <w:tab w:val="left" w:pos="9222"/>
          <w:tab w:val="left" w:pos="9702"/>
        </w:tabs>
        <w:spacing w:line="220" w:lineRule="auto"/>
        <w:ind w:left="0" w:right="1121" w:firstLine="720" w:firstLineChars="300"/>
        <w:rPr>
          <w:color w:val="000000" w:themeColor="text1"/>
          <w14:textFill>
            <w14:solidFill>
              <w14:schemeClr w14:val="tx1"/>
            </w14:solidFill>
          </w14:textFill>
        </w:rPr>
      </w:pPr>
      <w:r>
        <w:rPr>
          <w:rFonts w:ascii="Times New Roman" w:eastAsia="Times New Roman"/>
          <w:color w:val="000000" w:themeColor="text1"/>
          <w14:textFill>
            <w14:solidFill>
              <w14:schemeClr w14:val="tx1"/>
            </w14:solidFill>
          </w14:textFill>
        </w:rPr>
        <w:t>2</w:t>
      </w:r>
      <w:r>
        <w:rPr>
          <w:color w:val="000000" w:themeColor="text1"/>
          <w14:textFill>
            <w14:solidFill>
              <w14:schemeClr w14:val="tx1"/>
            </w14:solidFill>
          </w14:textFill>
        </w:rPr>
        <w:t>、 资格审查合格后，评标委员会对投标文件进行符合性审查。</w:t>
      </w:r>
    </w:p>
    <w:p>
      <w:pPr>
        <w:pStyle w:val="14"/>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4"/>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tbl>
      <w:tblPr>
        <w:tblStyle w:val="40"/>
        <w:tblW w:w="9565" w:type="dxa"/>
        <w:tblInd w:w="115" w:type="dxa"/>
        <w:tblLayout w:type="fixed"/>
        <w:tblCellMar>
          <w:top w:w="0" w:type="dxa"/>
          <w:left w:w="0" w:type="dxa"/>
          <w:bottom w:w="0" w:type="dxa"/>
          <w:right w:w="0" w:type="dxa"/>
        </w:tblCellMar>
      </w:tblPr>
      <w:tblGrid>
        <w:gridCol w:w="953"/>
        <w:gridCol w:w="1112"/>
        <w:gridCol w:w="3212"/>
        <w:gridCol w:w="4288"/>
      </w:tblGrid>
      <w:tr>
        <w:tblPrEx>
          <w:tblCellMar>
            <w:top w:w="0" w:type="dxa"/>
            <w:left w:w="0" w:type="dxa"/>
            <w:bottom w:w="0" w:type="dxa"/>
            <w:right w:w="0" w:type="dxa"/>
          </w:tblCellMar>
        </w:tblPrEx>
        <w:trPr>
          <w:trHeight w:val="436" w:hRule="exact"/>
        </w:trPr>
        <w:tc>
          <w:tcPr>
            <w:tcW w:w="2065" w:type="dxa"/>
            <w:gridSpan w:val="2"/>
            <w:tcBorders>
              <w:top w:val="single" w:color="000000" w:sz="4" w:space="0"/>
              <w:left w:val="single" w:color="000000" w:sz="4" w:space="0"/>
              <w:bottom w:val="single" w:color="000000" w:sz="4" w:space="0"/>
              <w:right w:val="single" w:color="000000" w:sz="4" w:space="0"/>
            </w:tcBorders>
          </w:tcPr>
          <w:p>
            <w:pPr>
              <w:adjustRightInd w:val="0"/>
              <w:spacing w:before="49" w:line="360" w:lineRule="auto"/>
              <w:ind w:left="652" w:right="634"/>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3212" w:type="dxa"/>
            <w:tcBorders>
              <w:top w:val="single" w:color="000000" w:sz="4" w:space="0"/>
              <w:left w:val="single" w:color="000000" w:sz="4" w:space="0"/>
              <w:bottom w:val="single" w:color="000000" w:sz="4" w:space="0"/>
              <w:right w:val="single" w:color="000000" w:sz="4" w:space="0"/>
            </w:tcBorders>
          </w:tcPr>
          <w:p>
            <w:pPr>
              <w:adjustRightInd w:val="0"/>
              <w:spacing w:before="49" w:line="360" w:lineRule="auto"/>
              <w:ind w:right="-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评审因素</w:t>
            </w:r>
          </w:p>
        </w:tc>
        <w:tc>
          <w:tcPr>
            <w:tcW w:w="4288" w:type="dxa"/>
            <w:tcBorders>
              <w:top w:val="single" w:color="000000" w:sz="4" w:space="0"/>
              <w:left w:val="single" w:color="000000" w:sz="4" w:space="0"/>
              <w:bottom w:val="single" w:color="000000" w:sz="4" w:space="0"/>
              <w:right w:val="single" w:color="000000" w:sz="4" w:space="0"/>
            </w:tcBorders>
          </w:tcPr>
          <w:p>
            <w:pPr>
              <w:adjustRightInd w:val="0"/>
              <w:spacing w:before="49" w:line="360" w:lineRule="auto"/>
              <w:ind w:left="1876" w:right="185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评审标准</w:t>
            </w:r>
          </w:p>
        </w:tc>
      </w:tr>
      <w:tr>
        <w:tblPrEx>
          <w:tblCellMar>
            <w:top w:w="0" w:type="dxa"/>
            <w:left w:w="0" w:type="dxa"/>
            <w:bottom w:w="0" w:type="dxa"/>
            <w:right w:w="0" w:type="dxa"/>
          </w:tblCellMar>
        </w:tblPrEx>
        <w:trPr>
          <w:trHeight w:val="445" w:hRule="exact"/>
        </w:trPr>
        <w:tc>
          <w:tcPr>
            <w:tcW w:w="953" w:type="dxa"/>
            <w:vMerge w:val="restart"/>
            <w:tcBorders>
              <w:top w:val="single" w:color="auto" w:sz="4" w:space="0"/>
              <w:left w:val="single" w:color="auto" w:sz="4" w:space="0"/>
              <w:bottom w:val="single" w:color="auto" w:sz="4" w:space="0"/>
              <w:right w:val="single" w:color="auto" w:sz="4" w:space="0"/>
            </w:tcBorders>
          </w:tcPr>
          <w:p>
            <w:pPr>
              <w:adjustRightInd w:val="0"/>
              <w:spacing w:line="360" w:lineRule="auto"/>
              <w:rPr>
                <w:rFonts w:ascii="宋体" w:hAnsi="宋体" w:cs="宋体"/>
                <w:color w:val="000000" w:themeColor="text1"/>
                <w:sz w:val="24"/>
                <w14:textFill>
                  <w14:solidFill>
                    <w14:schemeClr w14:val="tx1"/>
                  </w14:solidFill>
                </w14:textFill>
              </w:rPr>
            </w:pPr>
          </w:p>
          <w:p>
            <w:pPr>
              <w:adjustRightInd w:val="0"/>
              <w:spacing w:line="360" w:lineRule="auto"/>
              <w:rPr>
                <w:rFonts w:ascii="宋体" w:hAnsi="宋体" w:cs="宋体"/>
                <w:color w:val="000000" w:themeColor="text1"/>
                <w:sz w:val="24"/>
                <w14:textFill>
                  <w14:solidFill>
                    <w14:schemeClr w14:val="tx1"/>
                  </w14:solidFill>
                </w14:textFill>
              </w:rPr>
            </w:pPr>
          </w:p>
          <w:p>
            <w:pPr>
              <w:adjustRightInd w:val="0"/>
              <w:spacing w:before="19" w:line="360" w:lineRule="auto"/>
              <w:rPr>
                <w:rFonts w:ascii="宋体" w:hAnsi="宋体" w:cs="宋体"/>
                <w:color w:val="000000" w:themeColor="text1"/>
                <w:sz w:val="24"/>
                <w14:textFill>
                  <w14:solidFill>
                    <w14:schemeClr w14:val="tx1"/>
                  </w14:solidFill>
                </w14:textFill>
              </w:rPr>
            </w:pPr>
          </w:p>
          <w:p>
            <w:pPr>
              <w:adjustRightInd w:val="0"/>
              <w:spacing w:line="360" w:lineRule="auto"/>
              <w:ind w:right="-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w:t>
            </w:r>
          </w:p>
        </w:tc>
        <w:tc>
          <w:tcPr>
            <w:tcW w:w="1112" w:type="dxa"/>
            <w:vMerge w:val="restart"/>
            <w:tcBorders>
              <w:top w:val="single" w:color="auto" w:sz="4" w:space="0"/>
              <w:left w:val="single" w:color="auto" w:sz="4" w:space="0"/>
              <w:bottom w:val="single" w:color="auto" w:sz="4" w:space="0"/>
              <w:right w:val="single" w:color="auto" w:sz="4" w:space="0"/>
            </w:tcBorders>
          </w:tcPr>
          <w:p>
            <w:pPr>
              <w:adjustRightInd w:val="0"/>
              <w:spacing w:line="360" w:lineRule="auto"/>
              <w:jc w:val="center"/>
              <w:rPr>
                <w:rFonts w:ascii="宋体" w:hAnsi="宋体" w:cs="宋体"/>
                <w:color w:val="000000" w:themeColor="text1"/>
                <w:sz w:val="24"/>
                <w14:textFill>
                  <w14:solidFill>
                    <w14:schemeClr w14:val="tx1"/>
                  </w14:solidFill>
                </w14:textFill>
              </w:rPr>
            </w:pPr>
          </w:p>
          <w:p>
            <w:pPr>
              <w:adjustRightInd w:val="0"/>
              <w:spacing w:line="360" w:lineRule="auto"/>
              <w:rPr>
                <w:rFonts w:ascii="宋体" w:hAnsi="宋体" w:cs="宋体"/>
                <w:color w:val="000000" w:themeColor="text1"/>
                <w:sz w:val="24"/>
                <w14:textFill>
                  <w14:solidFill>
                    <w14:schemeClr w14:val="tx1"/>
                  </w14:solidFill>
                </w14:textFill>
              </w:rPr>
            </w:pPr>
          </w:p>
          <w:p>
            <w:pPr>
              <w:tabs>
                <w:tab w:val="left" w:pos="0"/>
              </w:tabs>
              <w:adjustRightInd w:val="0"/>
              <w:spacing w:line="360" w:lineRule="auto"/>
              <w:ind w:left="19" w:right="60" w:hanging="19"/>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w:t>
            </w:r>
            <w:r>
              <w:rPr>
                <w:rFonts w:hint="eastAsia" w:ascii="宋体" w:hAnsi="宋体" w:cs="宋体"/>
                <w:color w:val="000000" w:themeColor="text1"/>
                <w:spacing w:val="-2"/>
                <w:sz w:val="24"/>
                <w14:textFill>
                  <w14:solidFill>
                    <w14:schemeClr w14:val="tx1"/>
                  </w14:solidFill>
                </w14:textFill>
              </w:rPr>
              <w:t>性</w:t>
            </w:r>
            <w:r>
              <w:rPr>
                <w:rFonts w:hint="eastAsia" w:ascii="宋体" w:hAnsi="宋体" w:cs="宋体"/>
                <w:color w:val="000000" w:themeColor="text1"/>
                <w:sz w:val="24"/>
                <w14:textFill>
                  <w14:solidFill>
                    <w14:schemeClr w14:val="tx1"/>
                  </w14:solidFill>
                </w14:textFill>
              </w:rPr>
              <w:t>评审标准</w:t>
            </w: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r>
              <w:rPr>
                <w:rFonts w:hint="eastAsia" w:ascii="宋体" w:hAnsi="宋体" w:cs="宋体"/>
                <w:color w:val="000000" w:themeColor="text1"/>
                <w:spacing w:val="-2"/>
                <w:szCs w:val="21"/>
                <w14:textFill>
                  <w14:solidFill>
                    <w14:schemeClr w14:val="tx1"/>
                  </w14:solidFill>
                </w14:textFill>
              </w:rPr>
              <w:t>报</w:t>
            </w:r>
            <w:r>
              <w:rPr>
                <w:rFonts w:hint="eastAsia" w:ascii="宋体" w:hAnsi="宋体" w:cs="宋体"/>
                <w:color w:val="000000" w:themeColor="text1"/>
                <w:szCs w:val="21"/>
                <w14:textFill>
                  <w14:solidFill>
                    <w14:schemeClr w14:val="tx1"/>
                  </w14:solidFill>
                </w14:textFill>
              </w:rPr>
              <w:t>价</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符合本招标文件要求</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r>
              <w:rPr>
                <w:rFonts w:hint="eastAsia" w:ascii="宋体" w:hAnsi="宋体" w:cs="宋体"/>
                <w:color w:val="000000" w:themeColor="text1"/>
                <w:spacing w:val="-2"/>
                <w:szCs w:val="21"/>
                <w14:textFill>
                  <w14:solidFill>
                    <w14:schemeClr w14:val="tx1"/>
                  </w14:solidFill>
                </w14:textFill>
              </w:rPr>
              <w:t>内</w:t>
            </w:r>
            <w:r>
              <w:rPr>
                <w:rFonts w:hint="eastAsia" w:ascii="宋体" w:hAnsi="宋体" w:cs="宋体"/>
                <w:color w:val="000000" w:themeColor="text1"/>
                <w:szCs w:val="21"/>
                <w14:textFill>
                  <w14:solidFill>
                    <w14:schemeClr w14:val="tx1"/>
                  </w14:solidFill>
                </w14:textFill>
              </w:rPr>
              <w:t>容</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符合本招标文件要求</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供货</w:t>
            </w:r>
            <w:r>
              <w:rPr>
                <w:rFonts w:hint="eastAsia" w:ascii="宋体" w:hAnsi="宋体" w:cs="宋体"/>
                <w:color w:val="000000" w:themeColor="text1"/>
                <w:spacing w:val="-2"/>
                <w:szCs w:val="21"/>
                <w14:textFill>
                  <w14:solidFill>
                    <w14:schemeClr w14:val="tx1"/>
                  </w14:solidFill>
                </w14:textFill>
              </w:rPr>
              <w:t>地</w:t>
            </w:r>
            <w:r>
              <w:rPr>
                <w:rFonts w:hint="eastAsia" w:ascii="宋体" w:hAnsi="宋体" w:cs="宋体"/>
                <w:color w:val="000000" w:themeColor="text1"/>
                <w:szCs w:val="21"/>
                <w14:textFill>
                  <w14:solidFill>
                    <w14:schemeClr w14:val="tx1"/>
                  </w14:solidFill>
                </w14:textFill>
              </w:rPr>
              <w:t>点</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w:t>
            </w:r>
            <w:r>
              <w:rPr>
                <w:rFonts w:hint="eastAsia" w:ascii="宋体" w:hAnsi="宋体" w:cs="宋体"/>
                <w:color w:val="000000" w:themeColor="text1"/>
                <w:spacing w:val="-2"/>
                <w:szCs w:val="21"/>
                <w14:textFill>
                  <w14:solidFill>
                    <w14:schemeClr w14:val="tx1"/>
                  </w14:solidFill>
                </w14:textFill>
              </w:rPr>
              <w:t>投</w:t>
            </w:r>
            <w:r>
              <w:rPr>
                <w:rFonts w:hint="eastAsia" w:ascii="宋体" w:hAnsi="宋体" w:cs="宋体"/>
                <w:color w:val="000000" w:themeColor="text1"/>
                <w:szCs w:val="21"/>
                <w14:textFill>
                  <w14:solidFill>
                    <w14:schemeClr w14:val="tx1"/>
                  </w14:solidFill>
                </w14:textFill>
              </w:rPr>
              <w:t>标</w:t>
            </w:r>
            <w:r>
              <w:rPr>
                <w:rFonts w:hint="eastAsia" w:ascii="宋体" w:hAnsi="宋体" w:cs="宋体"/>
                <w:color w:val="000000" w:themeColor="text1"/>
                <w:spacing w:val="-2"/>
                <w:szCs w:val="21"/>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须知</w:t>
            </w:r>
            <w:r>
              <w:rPr>
                <w:rFonts w:hint="eastAsia" w:ascii="宋体" w:hAnsi="宋体" w:cs="宋体"/>
                <w:color w:val="000000" w:themeColor="text1"/>
                <w:spacing w:val="-3"/>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规定</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供货</w:t>
            </w:r>
            <w:r>
              <w:rPr>
                <w:rFonts w:hint="eastAsia" w:ascii="宋体" w:hAnsi="宋体" w:cs="宋体"/>
                <w:color w:val="000000" w:themeColor="text1"/>
                <w:szCs w:val="21"/>
                <w14:textFill>
                  <w14:solidFill>
                    <w14:schemeClr w14:val="tx1"/>
                  </w14:solidFill>
                </w14:textFill>
              </w:rPr>
              <w:t>期限</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w:t>
            </w:r>
            <w:r>
              <w:rPr>
                <w:rFonts w:hint="eastAsia" w:ascii="宋体" w:hAnsi="宋体" w:cs="宋体"/>
                <w:color w:val="000000" w:themeColor="text1"/>
                <w:spacing w:val="-2"/>
                <w:szCs w:val="21"/>
                <w14:textFill>
                  <w14:solidFill>
                    <w14:schemeClr w14:val="tx1"/>
                  </w14:solidFill>
                </w14:textFill>
              </w:rPr>
              <w:t>第</w:t>
            </w:r>
            <w:r>
              <w:rPr>
                <w:rFonts w:hint="eastAsia" w:ascii="宋体" w:hAnsi="宋体" w:cs="宋体"/>
                <w:color w:val="000000" w:themeColor="text1"/>
                <w:szCs w:val="21"/>
                <w14:textFill>
                  <w14:solidFill>
                    <w14:schemeClr w14:val="tx1"/>
                  </w14:solidFill>
                </w14:textFill>
              </w:rPr>
              <w:t>二</w:t>
            </w:r>
            <w:r>
              <w:rPr>
                <w:rFonts w:hint="eastAsia" w:ascii="宋体" w:hAnsi="宋体" w:cs="宋体"/>
                <w:color w:val="000000" w:themeColor="text1"/>
                <w:spacing w:val="-2"/>
                <w:szCs w:val="21"/>
                <w14:textFill>
                  <w14:solidFill>
                    <w14:schemeClr w14:val="tx1"/>
                  </w14:solidFill>
                </w14:textFill>
              </w:rPr>
              <w:t>章</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pacing w:val="-2"/>
                <w:szCs w:val="21"/>
                <w14:textFill>
                  <w14:solidFill>
                    <w14:schemeClr w14:val="tx1"/>
                  </w14:solidFill>
                </w14:textFill>
              </w:rPr>
              <w:t>投</w:t>
            </w:r>
            <w:r>
              <w:rPr>
                <w:rFonts w:hint="eastAsia" w:ascii="宋体" w:hAnsi="宋体" w:cs="宋体"/>
                <w:color w:val="000000" w:themeColor="text1"/>
                <w:szCs w:val="21"/>
                <w14:textFill>
                  <w14:solidFill>
                    <w14:schemeClr w14:val="tx1"/>
                  </w14:solidFill>
                </w14:textFill>
              </w:rPr>
              <w:t>标</w:t>
            </w:r>
            <w:r>
              <w:rPr>
                <w:rFonts w:hint="eastAsia" w:ascii="宋体" w:hAnsi="宋体" w:cs="宋体"/>
                <w:color w:val="000000" w:themeColor="text1"/>
                <w:spacing w:val="-2"/>
                <w:szCs w:val="21"/>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须知</w:t>
            </w:r>
            <w:r>
              <w:rPr>
                <w:rFonts w:hint="eastAsia" w:ascii="宋体" w:hAnsi="宋体" w:cs="宋体"/>
                <w:color w:val="000000" w:themeColor="text1"/>
                <w:spacing w:val="-3"/>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规定</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w:t>
            </w:r>
            <w:r>
              <w:rPr>
                <w:rFonts w:hint="eastAsia" w:ascii="宋体" w:hAnsi="宋体" w:cs="宋体"/>
                <w:color w:val="000000" w:themeColor="text1"/>
                <w:spacing w:val="-2"/>
                <w:szCs w:val="21"/>
                <w14:textFill>
                  <w14:solidFill>
                    <w14:schemeClr w14:val="tx1"/>
                  </w14:solidFill>
                </w14:textFill>
              </w:rPr>
              <w:t>第</w:t>
            </w:r>
            <w:r>
              <w:rPr>
                <w:rFonts w:hint="eastAsia" w:ascii="宋体" w:hAnsi="宋体" w:cs="宋体"/>
                <w:color w:val="000000" w:themeColor="text1"/>
                <w:szCs w:val="21"/>
                <w14:textFill>
                  <w14:solidFill>
                    <w14:schemeClr w14:val="tx1"/>
                  </w14:solidFill>
                </w14:textFill>
              </w:rPr>
              <w:t>二</w:t>
            </w:r>
            <w:r>
              <w:rPr>
                <w:rFonts w:hint="eastAsia" w:ascii="宋体" w:hAnsi="宋体" w:cs="宋体"/>
                <w:color w:val="000000" w:themeColor="text1"/>
                <w:spacing w:val="-2"/>
                <w:szCs w:val="21"/>
                <w14:textFill>
                  <w14:solidFill>
                    <w14:schemeClr w14:val="tx1"/>
                  </w14:solidFill>
                </w14:textFill>
              </w:rPr>
              <w:t>章</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pacing w:val="-2"/>
                <w:szCs w:val="21"/>
                <w14:textFill>
                  <w14:solidFill>
                    <w14:schemeClr w14:val="tx1"/>
                  </w14:solidFill>
                </w14:textFill>
              </w:rPr>
              <w:t>投</w:t>
            </w:r>
            <w:r>
              <w:rPr>
                <w:rFonts w:hint="eastAsia" w:ascii="宋体" w:hAnsi="宋体" w:cs="宋体"/>
                <w:color w:val="000000" w:themeColor="text1"/>
                <w:szCs w:val="21"/>
                <w14:textFill>
                  <w14:solidFill>
                    <w14:schemeClr w14:val="tx1"/>
                  </w14:solidFill>
                </w14:textFill>
              </w:rPr>
              <w:t>标</w:t>
            </w:r>
            <w:r>
              <w:rPr>
                <w:rFonts w:hint="eastAsia" w:ascii="宋体" w:hAnsi="宋体" w:cs="宋体"/>
                <w:color w:val="000000" w:themeColor="text1"/>
                <w:spacing w:val="-2"/>
                <w:szCs w:val="21"/>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须知</w:t>
            </w:r>
            <w:r>
              <w:rPr>
                <w:rFonts w:hint="eastAsia" w:ascii="宋体" w:hAnsi="宋体" w:cs="宋体"/>
                <w:color w:val="000000" w:themeColor="text1"/>
                <w:spacing w:val="-3"/>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规定</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r>
              <w:rPr>
                <w:rFonts w:hint="eastAsia" w:ascii="宋体" w:hAnsi="宋体" w:cs="宋体"/>
                <w:color w:val="000000" w:themeColor="text1"/>
                <w:spacing w:val="-2"/>
                <w:szCs w:val="21"/>
                <w14:textFill>
                  <w14:solidFill>
                    <w14:schemeClr w14:val="tx1"/>
                  </w14:solidFill>
                </w14:textFill>
              </w:rPr>
              <w:t>有</w:t>
            </w:r>
            <w:r>
              <w:rPr>
                <w:rFonts w:hint="eastAsia" w:ascii="宋体" w:hAnsi="宋体" w:cs="宋体"/>
                <w:color w:val="000000" w:themeColor="text1"/>
                <w:szCs w:val="21"/>
                <w14:textFill>
                  <w14:solidFill>
                    <w14:schemeClr w14:val="tx1"/>
                  </w14:solidFill>
                </w14:textFill>
              </w:rPr>
              <w:t>效期</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w:t>
            </w:r>
            <w:r>
              <w:rPr>
                <w:rFonts w:hint="eastAsia" w:ascii="宋体" w:hAnsi="宋体" w:cs="宋体"/>
                <w:color w:val="000000" w:themeColor="text1"/>
                <w:spacing w:val="-2"/>
                <w:szCs w:val="21"/>
                <w14:textFill>
                  <w14:solidFill>
                    <w14:schemeClr w14:val="tx1"/>
                  </w14:solidFill>
                </w14:textFill>
              </w:rPr>
              <w:t>第</w:t>
            </w:r>
            <w:r>
              <w:rPr>
                <w:rFonts w:hint="eastAsia" w:ascii="宋体" w:hAnsi="宋体" w:cs="宋体"/>
                <w:color w:val="000000" w:themeColor="text1"/>
                <w:szCs w:val="21"/>
                <w14:textFill>
                  <w14:solidFill>
                    <w14:schemeClr w14:val="tx1"/>
                  </w14:solidFill>
                </w14:textFill>
              </w:rPr>
              <w:t>二</w:t>
            </w:r>
            <w:r>
              <w:rPr>
                <w:rFonts w:hint="eastAsia" w:ascii="宋体" w:hAnsi="宋体" w:cs="宋体"/>
                <w:color w:val="000000" w:themeColor="text1"/>
                <w:spacing w:val="-2"/>
                <w:szCs w:val="21"/>
                <w14:textFill>
                  <w14:solidFill>
                    <w14:schemeClr w14:val="tx1"/>
                  </w14:solidFill>
                </w14:textFill>
              </w:rPr>
              <w:t>章</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pacing w:val="-2"/>
                <w:szCs w:val="21"/>
                <w14:textFill>
                  <w14:solidFill>
                    <w14:schemeClr w14:val="tx1"/>
                  </w14:solidFill>
                </w14:textFill>
              </w:rPr>
              <w:t>投</w:t>
            </w:r>
            <w:r>
              <w:rPr>
                <w:rFonts w:hint="eastAsia" w:ascii="宋体" w:hAnsi="宋体" w:cs="宋体"/>
                <w:color w:val="000000" w:themeColor="text1"/>
                <w:szCs w:val="21"/>
                <w14:textFill>
                  <w14:solidFill>
                    <w14:schemeClr w14:val="tx1"/>
                  </w14:solidFill>
                </w14:textFill>
              </w:rPr>
              <w:t>标</w:t>
            </w:r>
            <w:r>
              <w:rPr>
                <w:rFonts w:hint="eastAsia" w:ascii="宋体" w:hAnsi="宋体" w:cs="宋体"/>
                <w:color w:val="000000" w:themeColor="text1"/>
                <w:spacing w:val="-2"/>
                <w:szCs w:val="21"/>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须知</w:t>
            </w:r>
            <w:r>
              <w:rPr>
                <w:rFonts w:hint="eastAsia" w:ascii="宋体" w:hAnsi="宋体" w:cs="宋体"/>
                <w:color w:val="000000" w:themeColor="text1"/>
                <w:spacing w:val="-3"/>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规定</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保</w:t>
            </w:r>
            <w:r>
              <w:rPr>
                <w:rFonts w:hint="eastAsia" w:ascii="宋体" w:hAnsi="宋体" w:cs="宋体"/>
                <w:color w:val="000000" w:themeColor="text1"/>
                <w:szCs w:val="21"/>
                <w14:textFill>
                  <w14:solidFill>
                    <w14:schemeClr w14:val="tx1"/>
                  </w14:solidFill>
                </w14:textFill>
              </w:rPr>
              <w:t>证金</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w:t>
            </w:r>
            <w:r>
              <w:rPr>
                <w:rFonts w:hint="eastAsia" w:ascii="宋体" w:hAnsi="宋体" w:cs="宋体"/>
                <w:color w:val="000000" w:themeColor="text1"/>
                <w:spacing w:val="-2"/>
                <w:szCs w:val="21"/>
                <w14:textFill>
                  <w14:solidFill>
                    <w14:schemeClr w14:val="tx1"/>
                  </w14:solidFill>
                </w14:textFill>
              </w:rPr>
              <w:t>第</w:t>
            </w:r>
            <w:r>
              <w:rPr>
                <w:rFonts w:hint="eastAsia" w:ascii="宋体" w:hAnsi="宋体" w:cs="宋体"/>
                <w:color w:val="000000" w:themeColor="text1"/>
                <w:szCs w:val="21"/>
                <w14:textFill>
                  <w14:solidFill>
                    <w14:schemeClr w14:val="tx1"/>
                  </w14:solidFill>
                </w14:textFill>
              </w:rPr>
              <w:t>二</w:t>
            </w:r>
            <w:r>
              <w:rPr>
                <w:rFonts w:hint="eastAsia" w:ascii="宋体" w:hAnsi="宋体" w:cs="宋体"/>
                <w:color w:val="000000" w:themeColor="text1"/>
                <w:spacing w:val="-2"/>
                <w:szCs w:val="21"/>
                <w14:textFill>
                  <w14:solidFill>
                    <w14:schemeClr w14:val="tx1"/>
                  </w14:solidFill>
                </w14:textFill>
              </w:rPr>
              <w:t>章</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pacing w:val="-2"/>
                <w:szCs w:val="21"/>
                <w14:textFill>
                  <w14:solidFill>
                    <w14:schemeClr w14:val="tx1"/>
                  </w14:solidFill>
                </w14:textFill>
              </w:rPr>
              <w:t>投</w:t>
            </w:r>
            <w:r>
              <w:rPr>
                <w:rFonts w:hint="eastAsia" w:ascii="宋体" w:hAnsi="宋体" w:cs="宋体"/>
                <w:color w:val="000000" w:themeColor="text1"/>
                <w:szCs w:val="21"/>
                <w14:textFill>
                  <w14:solidFill>
                    <w14:schemeClr w14:val="tx1"/>
                  </w14:solidFill>
                </w14:textFill>
              </w:rPr>
              <w:t>标</w:t>
            </w:r>
            <w:r>
              <w:rPr>
                <w:rFonts w:hint="eastAsia" w:ascii="宋体" w:hAnsi="宋体" w:cs="宋体"/>
                <w:color w:val="000000" w:themeColor="text1"/>
                <w:spacing w:val="-2"/>
                <w:szCs w:val="21"/>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须知</w:t>
            </w:r>
            <w:r>
              <w:rPr>
                <w:rFonts w:hint="eastAsia" w:ascii="宋体" w:hAnsi="宋体" w:cs="宋体"/>
                <w:color w:val="000000" w:themeColor="text1"/>
                <w:spacing w:val="-3"/>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规定</w:t>
            </w:r>
            <w:r>
              <w:rPr>
                <w:color w:val="000000" w:themeColor="text1"/>
                <w:lang w:val="en-US" w:bidi="ar-SA"/>
                <w14:textFill>
                  <w14:solidFill>
                    <w14:schemeClr w14:val="tx1"/>
                  </w14:solidFill>
                </w14:textFill>
              </w:rPr>
              <w:drawing>
                <wp:inline distT="0" distB="0" distL="0" distR="0">
                  <wp:extent cx="2524125" cy="866775"/>
                  <wp:effectExtent l="19050" t="0" r="952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8" cstate="print"/>
                          <a:srcRect/>
                          <a:stretch>
                            <a:fillRect/>
                          </a:stretch>
                        </pic:blipFill>
                        <pic:spPr>
                          <a:xfrm>
                            <a:off x="0" y="0"/>
                            <a:ext cx="2524125" cy="866775"/>
                          </a:xfrm>
                          <a:prstGeom prst="rect">
                            <a:avLst/>
                          </a:prstGeom>
                          <a:noFill/>
                          <a:ln w="9525">
                            <a:noFill/>
                            <a:miter lim="800000"/>
                            <a:headEnd/>
                            <a:tailEnd/>
                          </a:ln>
                        </pic:spPr>
                      </pic:pic>
                    </a:graphicData>
                  </a:graphic>
                </wp:inline>
              </w:drawing>
            </w:r>
            <w:r>
              <w:rPr>
                <w:color w:val="000000" w:themeColor="text1"/>
                <w:lang w:val="en-US" w:bidi="ar-SA"/>
                <w14:textFill>
                  <w14:solidFill>
                    <w14:schemeClr w14:val="tx1"/>
                  </w14:solidFill>
                </w14:textFill>
              </w:rPr>
              <w:drawing>
                <wp:inline distT="0" distB="0" distL="0" distR="0">
                  <wp:extent cx="2524125" cy="866775"/>
                  <wp:effectExtent l="1905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8" cstate="print"/>
                          <a:srcRect/>
                          <a:stretch>
                            <a:fillRect/>
                          </a:stretch>
                        </pic:blipFill>
                        <pic:spPr>
                          <a:xfrm>
                            <a:off x="0" y="0"/>
                            <a:ext cx="2524125" cy="866775"/>
                          </a:xfrm>
                          <a:prstGeom prst="rect">
                            <a:avLst/>
                          </a:prstGeom>
                          <a:noFill/>
                          <a:ln w="9525">
                            <a:noFill/>
                            <a:miter lim="800000"/>
                            <a:headEnd/>
                            <a:tailEnd/>
                          </a:ln>
                        </pic:spPr>
                      </pic:pic>
                    </a:graphicData>
                  </a:graphic>
                </wp:inline>
              </w:drawing>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验收标准</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符合本招标文件要求</w:t>
            </w:r>
          </w:p>
        </w:tc>
      </w:tr>
      <w:tr>
        <w:tblPrEx>
          <w:tblCellMar>
            <w:top w:w="0" w:type="dxa"/>
            <w:left w:w="0" w:type="dxa"/>
            <w:bottom w:w="0" w:type="dxa"/>
            <w:right w:w="0" w:type="dxa"/>
          </w:tblCellMar>
        </w:tblPrEx>
        <w:trPr>
          <w:trHeight w:val="440"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投标书制作、</w:t>
            </w:r>
            <w:r>
              <w:rPr>
                <w:rFonts w:ascii="宋体" w:hAnsi="宋体" w:cs="宋体"/>
                <w:color w:val="000000" w:themeColor="text1"/>
                <w:szCs w:val="21"/>
                <w14:textFill>
                  <w14:solidFill>
                    <w14:schemeClr w14:val="tx1"/>
                  </w14:solidFill>
                </w14:textFill>
              </w:rPr>
              <w:t>签署和盖章</w:t>
            </w:r>
          </w:p>
        </w:tc>
        <w:tc>
          <w:tcPr>
            <w:tcW w:w="42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10"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符合本招标文件要求</w:t>
            </w:r>
          </w:p>
        </w:tc>
      </w:tr>
      <w:tr>
        <w:tblPrEx>
          <w:tblCellMar>
            <w:top w:w="0" w:type="dxa"/>
            <w:left w:w="0" w:type="dxa"/>
            <w:bottom w:w="0" w:type="dxa"/>
            <w:right w:w="0" w:type="dxa"/>
          </w:tblCellMar>
        </w:tblPrEx>
        <w:trPr>
          <w:trHeight w:val="440"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违规行为</w:t>
            </w:r>
          </w:p>
        </w:tc>
        <w:tc>
          <w:tcPr>
            <w:tcW w:w="42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10" w:firstLineChars="5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未发现串通投标</w:t>
            </w:r>
          </w:p>
        </w:tc>
      </w:tr>
      <w:tr>
        <w:tblPrEx>
          <w:tblCellMar>
            <w:top w:w="0" w:type="dxa"/>
            <w:left w:w="0" w:type="dxa"/>
            <w:bottom w:w="0" w:type="dxa"/>
            <w:right w:w="0" w:type="dxa"/>
          </w:tblCellMar>
        </w:tblPrEx>
        <w:trPr>
          <w:trHeight w:val="1023" w:hRule="exact"/>
        </w:trPr>
        <w:tc>
          <w:tcPr>
            <w:tcW w:w="9565" w:type="dxa"/>
            <w:gridSpan w:val="4"/>
            <w:tcBorders>
              <w:top w:val="single" w:color="auto" w:sz="4" w:space="0"/>
              <w:left w:val="single" w:color="auto" w:sz="4" w:space="0"/>
              <w:bottom w:val="single" w:color="auto" w:sz="4" w:space="0"/>
              <w:right w:val="single" w:color="auto" w:sz="4" w:space="0"/>
            </w:tcBorders>
          </w:tcPr>
          <w:p>
            <w:pPr>
              <w:pStyle w:val="74"/>
              <w:spacing w:line="373" w:lineRule="exact"/>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符合性审查指标通过标准：</w:t>
            </w:r>
          </w:p>
          <w:p>
            <w:pPr>
              <w:pStyle w:val="74"/>
              <w:spacing w:line="489" w:lineRule="exact"/>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投标供应商必须通过上述全部指标。</w:t>
            </w:r>
          </w:p>
        </w:tc>
      </w:tr>
      <w:tr>
        <w:tblPrEx>
          <w:tblCellMar>
            <w:top w:w="0" w:type="dxa"/>
            <w:left w:w="0" w:type="dxa"/>
            <w:bottom w:w="0" w:type="dxa"/>
            <w:right w:w="0" w:type="dxa"/>
          </w:tblCellMar>
        </w:tblPrEx>
        <w:trPr>
          <w:trHeight w:val="1023" w:hRule="exact"/>
        </w:trPr>
        <w:tc>
          <w:tcPr>
            <w:tcW w:w="9565" w:type="dxa"/>
            <w:gridSpan w:val="4"/>
            <w:tcBorders>
              <w:top w:val="single" w:color="auto" w:sz="4" w:space="0"/>
              <w:left w:val="single" w:color="auto" w:sz="4" w:space="0"/>
              <w:bottom w:val="single" w:color="auto" w:sz="4" w:space="0"/>
              <w:right w:val="single" w:color="auto" w:sz="4" w:space="0"/>
            </w:tcBorders>
          </w:tcPr>
          <w:p>
            <w:pPr>
              <w:pStyle w:val="74"/>
              <w:spacing w:line="373" w:lineRule="exact"/>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评委签字：</w:t>
            </w:r>
          </w:p>
          <w:p>
            <w:pPr>
              <w:pStyle w:val="74"/>
              <w:spacing w:line="488" w:lineRule="exact"/>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评审时间：</w:t>
            </w:r>
          </w:p>
        </w:tc>
      </w:tr>
    </w:tbl>
    <w:p>
      <w:pPr>
        <w:pStyle w:val="14"/>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4"/>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4"/>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4"/>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4"/>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3</w:t>
      </w:r>
      <w:r>
        <w:rPr>
          <w:rFonts w:asciiTheme="minorEastAsia" w:hAnsiTheme="minorEastAsia" w:eastAsiaTheme="minorEastAsia"/>
          <w:color w:val="000000" w:themeColor="text1"/>
          <w:spacing w:val="-9"/>
          <w14:textFill>
            <w14:solidFill>
              <w14:schemeClr w14:val="tx1"/>
            </w14:solidFill>
          </w14:textFill>
        </w:rPr>
        <w:t>、对投标文件进行详细审查。评标委员会只对通过符合性审查，实质上响应招标文件要求的投标文件按照下述指标表进行详细审查。</w:t>
      </w:r>
    </w:p>
    <w:p>
      <w:pPr>
        <w:pStyle w:val="14"/>
        <w:tabs>
          <w:tab w:val="left" w:pos="3792"/>
        </w:tabs>
        <w:spacing w:line="360" w:lineRule="auto"/>
        <w:ind w:left="567" w:right="567" w:firstLine="482"/>
        <w:jc w:val="both"/>
        <w:rPr>
          <w:rFonts w:asciiTheme="minorEastAsia" w:hAnsiTheme="minorEastAsia" w:eastAsiaTheme="minorEastAsia"/>
          <w:color w:val="000000" w:themeColor="text1"/>
          <w:spacing w:val="-9"/>
          <w14:textFill>
            <w14:solidFill>
              <w14:schemeClr w14:val="tx1"/>
            </w14:solidFill>
          </w14:textFill>
        </w:rPr>
      </w:pPr>
      <w:r>
        <w:rPr>
          <w:rFonts w:hint="eastAsia" w:asciiTheme="minorEastAsia" w:hAnsiTheme="minorEastAsia" w:eastAsiaTheme="minorEastAsia"/>
          <w:color w:val="000000" w:themeColor="text1"/>
          <w:spacing w:val="-9"/>
          <w14:textFill>
            <w14:solidFill>
              <w14:schemeClr w14:val="tx1"/>
            </w14:solidFill>
          </w14:textFill>
        </w:rPr>
        <w:t>4、本项目</w:t>
      </w:r>
      <w:r>
        <w:rPr>
          <w:rFonts w:hint="eastAsia" w:asciiTheme="minorEastAsia" w:hAnsiTheme="minorEastAsia" w:eastAsiaTheme="minorEastAsia"/>
          <w:color w:val="000000" w:themeColor="text1"/>
          <w:spacing w:val="-9"/>
          <w:highlight w:val="none"/>
          <w14:textFill>
            <w14:solidFill>
              <w14:schemeClr w14:val="tx1"/>
            </w14:solidFill>
          </w14:textFill>
        </w:rPr>
        <w:t>技术分值占总分值的权重为</w:t>
      </w:r>
      <w:r>
        <w:rPr>
          <w:rFonts w:hint="eastAsia" w:asciiTheme="minorEastAsia" w:hAnsiTheme="minorEastAsia" w:eastAsiaTheme="minorEastAsia"/>
          <w:color w:val="000000" w:themeColor="text1"/>
          <w:spacing w:val="-9"/>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pacing w:val="-9"/>
          <w:highlight w:val="none"/>
          <w14:textFill>
            <w14:solidFill>
              <w14:schemeClr w14:val="tx1"/>
            </w14:solidFill>
          </w14:textFill>
        </w:rPr>
        <w:t>0</w:t>
      </w:r>
      <w:r>
        <w:rPr>
          <w:rFonts w:asciiTheme="minorEastAsia" w:hAnsiTheme="minorEastAsia" w:eastAsiaTheme="minorEastAsia"/>
          <w:color w:val="000000" w:themeColor="text1"/>
          <w:spacing w:val="-9"/>
          <w:highlight w:val="none"/>
          <w14:textFill>
            <w14:solidFill>
              <w14:schemeClr w14:val="tx1"/>
            </w14:solidFill>
          </w14:textFill>
        </w:rPr>
        <w:t>%</w:t>
      </w:r>
      <w:r>
        <w:rPr>
          <w:rFonts w:hint="eastAsia" w:asciiTheme="minorEastAsia" w:hAnsiTheme="minorEastAsia" w:eastAsiaTheme="minorEastAsia"/>
          <w:color w:val="000000" w:themeColor="text1"/>
          <w:spacing w:val="-9"/>
          <w:highlight w:val="none"/>
          <w14:textFill>
            <w14:solidFill>
              <w14:schemeClr w14:val="tx1"/>
            </w14:solidFill>
          </w14:textFill>
        </w:rPr>
        <w:t>，商务部分分值的权重为</w:t>
      </w:r>
      <w:r>
        <w:rPr>
          <w:rFonts w:hint="eastAsia" w:asciiTheme="minorEastAsia" w:hAnsiTheme="minorEastAsia" w:eastAsiaTheme="minorEastAsia"/>
          <w:color w:val="000000" w:themeColor="text1"/>
          <w:spacing w:val="-9"/>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pacing w:val="-9"/>
          <w:highlight w:val="none"/>
          <w14:textFill>
            <w14:solidFill>
              <w14:schemeClr w14:val="tx1"/>
            </w14:solidFill>
          </w14:textFill>
        </w:rPr>
        <w:t>0</w:t>
      </w:r>
      <w:r>
        <w:rPr>
          <w:rFonts w:asciiTheme="minorEastAsia" w:hAnsiTheme="minorEastAsia" w:eastAsiaTheme="minorEastAsia"/>
          <w:color w:val="000000" w:themeColor="text1"/>
          <w:spacing w:val="-9"/>
          <w:highlight w:val="none"/>
          <w14:textFill>
            <w14:solidFill>
              <w14:schemeClr w14:val="tx1"/>
            </w14:solidFill>
          </w14:textFill>
        </w:rPr>
        <w:t>%</w:t>
      </w:r>
      <w:r>
        <w:rPr>
          <w:rFonts w:hint="eastAsia" w:asciiTheme="minorEastAsia" w:hAnsiTheme="minorEastAsia" w:eastAsiaTheme="minorEastAsia"/>
          <w:color w:val="000000" w:themeColor="text1"/>
          <w:spacing w:val="-9"/>
          <w:highlight w:val="none"/>
          <w14:textFill>
            <w14:solidFill>
              <w14:schemeClr w14:val="tx1"/>
            </w14:solidFill>
          </w14:textFill>
        </w:rPr>
        <w:t>，价格分值占总分值的权重为30</w:t>
      </w:r>
      <w:r>
        <w:rPr>
          <w:rFonts w:asciiTheme="minorEastAsia" w:hAnsiTheme="minorEastAsia" w:eastAsiaTheme="minorEastAsia"/>
          <w:color w:val="000000" w:themeColor="text1"/>
          <w:spacing w:val="-9"/>
          <w:highlight w:val="none"/>
          <w14:textFill>
            <w14:solidFill>
              <w14:schemeClr w14:val="tx1"/>
            </w14:solidFill>
          </w14:textFill>
        </w:rPr>
        <w:t>%</w:t>
      </w:r>
      <w:r>
        <w:rPr>
          <w:rFonts w:hint="eastAsia" w:asciiTheme="minorEastAsia" w:hAnsiTheme="minorEastAsia" w:eastAsiaTheme="minorEastAsia"/>
          <w:color w:val="000000" w:themeColor="text1"/>
          <w:spacing w:val="-9"/>
          <w:highlight w:val="none"/>
          <w14:textFill>
            <w14:solidFill>
              <w14:schemeClr w14:val="tx1"/>
            </w14:solidFill>
          </w14:textFill>
        </w:rPr>
        <w:t>；</w:t>
      </w:r>
      <w:r>
        <w:rPr>
          <w:rFonts w:hint="eastAsia" w:asciiTheme="minorEastAsia" w:hAnsiTheme="minorEastAsia" w:eastAsiaTheme="minorEastAsia"/>
          <w:color w:val="000000" w:themeColor="text1"/>
          <w:spacing w:val="-9"/>
          <w14:textFill>
            <w14:solidFill>
              <w14:schemeClr w14:val="tx1"/>
            </w14:solidFill>
          </w14:textFill>
        </w:rPr>
        <w:t>具体评分细则后附。</w:t>
      </w:r>
    </w:p>
    <w:p>
      <w:pPr>
        <w:pStyle w:val="14"/>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5、得分汇总</w:t>
      </w:r>
    </w:p>
    <w:p>
      <w:pPr>
        <w:pStyle w:val="14"/>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（1）将每个有效投标供应商的技术</w:t>
      </w:r>
      <w:r>
        <w:rPr>
          <w:rFonts w:hint="eastAsia" w:asciiTheme="minorEastAsia" w:hAnsiTheme="minorEastAsia" w:eastAsiaTheme="minorEastAsia"/>
          <w:color w:val="000000" w:themeColor="text1"/>
          <w14:textFill>
            <w14:solidFill>
              <w14:schemeClr w14:val="tx1"/>
            </w14:solidFill>
          </w14:textFill>
        </w:rPr>
        <w:t>及商务</w:t>
      </w:r>
      <w:r>
        <w:rPr>
          <w:rFonts w:asciiTheme="minorEastAsia" w:hAnsiTheme="minorEastAsia" w:eastAsiaTheme="minorEastAsia"/>
          <w:color w:val="000000" w:themeColor="text1"/>
          <w14:textFill>
            <w14:solidFill>
              <w14:schemeClr w14:val="tx1"/>
            </w14:solidFill>
          </w14:textFill>
        </w:rPr>
        <w:t>之和加上根据上述标准计算出的价格分， 即为该投标供应商的综合总得分。</w:t>
      </w:r>
    </w:p>
    <w:p>
      <w:pPr>
        <w:pStyle w:val="14"/>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（2）按照有效投标供应商综合总得分由高到低依次排出中标供应商及中标候选供应商。</w:t>
      </w:r>
    </w:p>
    <w:p>
      <w:pPr>
        <w:pStyle w:val="14"/>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w:t>
      </w:r>
      <w:r>
        <w:rPr>
          <w:rFonts w:hint="eastAsia" w:asciiTheme="minorEastAsia" w:hAnsiTheme="minorEastAsia" w:eastAsiaTheme="minorEastAsia"/>
          <w:color w:val="000000" w:themeColor="text1"/>
          <w14:textFill>
            <w14:solidFill>
              <w14:schemeClr w14:val="tx1"/>
            </w14:solidFill>
          </w14:textFill>
        </w:rPr>
        <w:t>九</w:t>
      </w:r>
      <w:r>
        <w:rPr>
          <w:rFonts w:asciiTheme="minorEastAsia" w:hAnsiTheme="minorEastAsia" w:eastAsiaTheme="minorEastAsia"/>
          <w:color w:val="000000" w:themeColor="text1"/>
          <w14:textFill>
            <w14:solidFill>
              <w14:schemeClr w14:val="tx1"/>
            </w14:solidFill>
          </w14:textFill>
        </w:rPr>
        <w:t>条 评委独立评审后，评标委员会对投标供应商某项指标如有不同意见，按照少数服从多数的原则确定。各投标供应商的得分分值一经得出，并核对无误后，任何人不得</w:t>
      </w:r>
      <w:r>
        <w:rPr>
          <w:rFonts w:hint="eastAsia" w:asciiTheme="minorEastAsia" w:hAnsiTheme="minorEastAsia" w:eastAsiaTheme="minorEastAsia"/>
          <w:color w:val="000000" w:themeColor="text1"/>
          <w14:textFill>
            <w14:solidFill>
              <w14:schemeClr w14:val="tx1"/>
            </w14:solidFill>
          </w14:textFill>
        </w:rPr>
        <w:t>更</w:t>
      </w:r>
      <w:r>
        <w:rPr>
          <w:rFonts w:asciiTheme="minorEastAsia" w:hAnsiTheme="minorEastAsia" w:eastAsiaTheme="minorEastAsia"/>
          <w:color w:val="000000" w:themeColor="text1"/>
          <w14:textFill>
            <w14:solidFill>
              <w14:schemeClr w14:val="tx1"/>
            </w14:solidFill>
          </w14:textFill>
        </w:rPr>
        <w:t>改。</w:t>
      </w:r>
    </w:p>
    <w:p>
      <w:pPr>
        <w:pStyle w:val="14"/>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第十条 评标委员会在评标过程中发现的问题，应当区别情形及时作出处理或者向采购人提出处理建议，并作书面记录。</w:t>
      </w:r>
    </w:p>
    <w:p>
      <w:pPr>
        <w:pStyle w:val="14"/>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第十</w:t>
      </w:r>
      <w:r>
        <w:rPr>
          <w:rFonts w:hint="eastAsia" w:asciiTheme="minorEastAsia" w:hAnsiTheme="minorEastAsia" w:eastAsiaTheme="minorEastAsia"/>
          <w:color w:val="000000" w:themeColor="text1"/>
          <w14:textFill>
            <w14:solidFill>
              <w14:schemeClr w14:val="tx1"/>
            </w14:solidFill>
          </w14:textFill>
        </w:rPr>
        <w:t>一</w:t>
      </w:r>
      <w:r>
        <w:rPr>
          <w:rFonts w:asciiTheme="minorEastAsia" w:hAnsiTheme="minorEastAsia" w:eastAsiaTheme="minorEastAsia"/>
          <w:color w:val="000000" w:themeColor="text1"/>
          <w14:textFill>
            <w14:solidFill>
              <w14:schemeClr w14:val="tx1"/>
            </w14:solidFill>
          </w14:textFill>
        </w:rPr>
        <w:t>条 投标供应商有串通投标、弄虚作假、行贿等违法行为，评委会有权否决其投标。</w:t>
      </w:r>
    </w:p>
    <w:p>
      <w:pPr>
        <w:pStyle w:val="14"/>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第十</w:t>
      </w:r>
      <w:r>
        <w:rPr>
          <w:rFonts w:hint="eastAsia" w:asciiTheme="minorEastAsia" w:hAnsiTheme="minorEastAsia" w:eastAsiaTheme="minorEastAsia"/>
          <w:color w:val="000000" w:themeColor="text1"/>
          <w14:textFill>
            <w14:solidFill>
              <w14:schemeClr w14:val="tx1"/>
            </w14:solidFill>
          </w14:textFill>
        </w:rPr>
        <w:t>二</w:t>
      </w:r>
      <w:r>
        <w:rPr>
          <w:rFonts w:asciiTheme="minorEastAsia" w:hAnsiTheme="minorEastAsia" w:eastAsiaTheme="minorEastAsia"/>
          <w:color w:val="000000" w:themeColor="text1"/>
          <w14:textFill>
            <w14:solidFill>
              <w14:schemeClr w14:val="tx1"/>
            </w14:solidFill>
          </w14:textFill>
        </w:rPr>
        <w:t>条 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pStyle w:val="14"/>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第十</w:t>
      </w:r>
      <w:r>
        <w:rPr>
          <w:rFonts w:hint="eastAsia" w:asciiTheme="minorEastAsia" w:hAnsiTheme="minorEastAsia" w:eastAsiaTheme="minorEastAsia"/>
          <w:color w:val="000000" w:themeColor="text1"/>
          <w14:textFill>
            <w14:solidFill>
              <w14:schemeClr w14:val="tx1"/>
            </w14:solidFill>
          </w14:textFill>
        </w:rPr>
        <w:t>三</w:t>
      </w:r>
      <w:r>
        <w:rPr>
          <w:rFonts w:asciiTheme="minorEastAsia" w:hAnsiTheme="minorEastAsia" w:eastAsiaTheme="minorEastAsia"/>
          <w:color w:val="000000" w:themeColor="text1"/>
          <w14:textFill>
            <w14:solidFill>
              <w14:schemeClr w14:val="tx1"/>
            </w14:solidFill>
          </w14:textFill>
        </w:rPr>
        <w:t>条 评标委员会成员应当在评标报告上签字，对自己的评审意见承担法律责任。对评标报告有异议的，应当在评标报告上签署不同意见，并说明理由，否则视为同意评标报告。</w:t>
      </w:r>
    </w:p>
    <w:p>
      <w:pPr>
        <w:pStyle w:val="14"/>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三．评标纪律</w:t>
      </w:r>
    </w:p>
    <w:p>
      <w:pPr>
        <w:pStyle w:val="14"/>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第十</w:t>
      </w:r>
      <w:r>
        <w:rPr>
          <w:rFonts w:hint="eastAsia" w:asciiTheme="minorEastAsia" w:hAnsiTheme="minorEastAsia" w:eastAsiaTheme="minorEastAsia"/>
          <w:color w:val="000000" w:themeColor="text1"/>
          <w14:textFill>
            <w14:solidFill>
              <w14:schemeClr w14:val="tx1"/>
            </w14:solidFill>
          </w14:textFill>
        </w:rPr>
        <w:t>四</w:t>
      </w:r>
      <w:r>
        <w:rPr>
          <w:rFonts w:asciiTheme="minorEastAsia" w:hAnsiTheme="minorEastAsia" w:eastAsiaTheme="minorEastAsia"/>
          <w:color w:val="000000" w:themeColor="text1"/>
          <w14:textFill>
            <w14:solidFill>
              <w14:schemeClr w14:val="tx1"/>
            </w14:solidFill>
          </w14:textFill>
        </w:rPr>
        <w:t>条 评标委员会和评标工作人员应严格遵守国家的法律、法规和规章制度；严格按照本次招标文件进行评标；公正廉洁、不徇私情，不得损害国家利益；保护采购人、投标供应商的合法权益。</w:t>
      </w:r>
    </w:p>
    <w:p>
      <w:pPr>
        <w:pStyle w:val="14"/>
        <w:spacing w:before="33" w:line="360" w:lineRule="auto"/>
        <w:ind w:left="567" w:right="567" w:firstLine="482"/>
        <w:jc w:val="both"/>
        <w:rPr>
          <w:rFonts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第十</w:t>
      </w:r>
      <w:r>
        <w:rPr>
          <w:rFonts w:hint="eastAsia" w:asciiTheme="minorEastAsia" w:hAnsiTheme="minorEastAsia" w:eastAsiaTheme="minorEastAsia"/>
          <w:color w:val="000000" w:themeColor="text1"/>
          <w14:textFill>
            <w14:solidFill>
              <w14:schemeClr w14:val="tx1"/>
            </w14:solidFill>
          </w14:textFill>
        </w:rPr>
        <w:t>五</w:t>
      </w:r>
      <w:r>
        <w:rPr>
          <w:rFonts w:asciiTheme="minorEastAsia" w:hAnsiTheme="minorEastAsia" w:eastAsiaTheme="minorEastAsia"/>
          <w:color w:val="000000" w:themeColor="text1"/>
          <w14:textFill>
            <w14:solidFill>
              <w14:schemeClr w14:val="tx1"/>
            </w14:solidFill>
          </w14:textFill>
        </w:rPr>
        <w:t>条 在评标过程中，评委及其他评标工作人员必须对评标情况严格保密，任何人不得将评标情况透露给与投标供应商有关的单位和个人。如有违反评标纪</w:t>
      </w:r>
      <w:r>
        <w:rPr>
          <w:rFonts w:ascii="Times New Roman" w:eastAsia="Times New Roman"/>
          <w:color w:val="000000" w:themeColor="text1"/>
          <w14:textFill>
            <w14:solidFill>
              <w14:schemeClr w14:val="tx1"/>
            </w14:solidFill>
          </w14:textFill>
        </w:rPr>
        <w:t>律的情况发生， 将依据政府采购法律法规的规定，追究有关当事人的责任。</w:t>
      </w:r>
    </w:p>
    <w:p>
      <w:pPr>
        <w:pStyle w:val="14"/>
        <w:tabs>
          <w:tab w:val="left" w:pos="3792"/>
          <w:tab w:val="left" w:pos="5472"/>
        </w:tabs>
        <w:spacing w:line="360" w:lineRule="auto"/>
        <w:ind w:left="0" w:right="220" w:rightChars="100"/>
        <w:rPr>
          <w:rFonts w:eastAsiaTheme="minorEastAsia"/>
          <w:color w:val="000000" w:themeColor="text1"/>
          <w14:textFill>
            <w14:solidFill>
              <w14:schemeClr w14:val="tx1"/>
            </w14:solidFill>
          </w14:textFill>
        </w:rPr>
        <w:sectPr>
          <w:pgSz w:w="11910" w:h="16850"/>
          <w:pgMar w:top="1440" w:right="1080" w:bottom="1440" w:left="1080" w:header="877" w:footer="1068" w:gutter="0"/>
          <w:cols w:space="720" w:num="1"/>
        </w:sectPr>
      </w:pPr>
    </w:p>
    <w:p>
      <w:pPr>
        <w:pStyle w:val="3"/>
        <w:spacing w:line="360" w:lineRule="auto"/>
        <w:ind w:left="220" w:leftChars="100" w:right="220" w:rightChars="100" w:firstLine="643" w:firstLineChars="200"/>
        <w:jc w:val="center"/>
        <w:rPr>
          <w:rFonts w:ascii="宋体" w:hAnsi="宋体" w:eastAsia="宋体" w:cs="宋体"/>
          <w:b/>
          <w:color w:val="000000" w:themeColor="text1"/>
          <w14:textFill>
            <w14:solidFill>
              <w14:schemeClr w14:val="tx1"/>
            </w14:solidFill>
          </w14:textFill>
        </w:rPr>
      </w:pPr>
      <w:bookmarkStart w:id="64" w:name="第五章_采购合同"/>
      <w:bookmarkEnd w:id="64"/>
      <w:bookmarkStart w:id="65" w:name="_bookmark10"/>
      <w:bookmarkEnd w:id="65"/>
      <w:bookmarkStart w:id="66" w:name="_Toc28700"/>
      <w:r>
        <w:rPr>
          <w:rFonts w:hint="eastAsia" w:ascii="宋体" w:hAnsi="宋体" w:eastAsia="宋体" w:cs="宋体"/>
          <w:b/>
          <w:color w:val="000000" w:themeColor="text1"/>
          <w14:textFill>
            <w14:solidFill>
              <w14:schemeClr w14:val="tx1"/>
            </w14:solidFill>
          </w14:textFill>
        </w:rPr>
        <w:t>第五章采购合同</w:t>
      </w:r>
      <w:bookmarkEnd w:id="66"/>
    </w:p>
    <w:p>
      <w:pPr>
        <w:pStyle w:val="3"/>
        <w:spacing w:line="360" w:lineRule="auto"/>
        <w:ind w:left="220" w:leftChars="100" w:right="220" w:rightChars="100" w:firstLine="562" w:firstLineChars="200"/>
        <w:jc w:val="center"/>
        <w:rPr>
          <w:b/>
          <w:color w:val="000000" w:themeColor="text1"/>
          <w:sz w:val="28"/>
          <w:szCs w:val="28"/>
          <w14:textFill>
            <w14:solidFill>
              <w14:schemeClr w14:val="tx1"/>
            </w14:solidFill>
          </w14:textFill>
        </w:rPr>
      </w:pPr>
      <w:bookmarkStart w:id="67" w:name="_Toc25539"/>
      <w:r>
        <w:rPr>
          <w:rFonts w:hint="eastAsia" w:ascii="宋体" w:hAnsi="宋体" w:eastAsia="宋体" w:cs="宋体"/>
          <w:b/>
          <w:color w:val="000000" w:themeColor="text1"/>
          <w:sz w:val="28"/>
          <w:szCs w:val="28"/>
          <w14:textFill>
            <w14:solidFill>
              <w14:schemeClr w14:val="tx1"/>
            </w14:solidFill>
          </w14:textFill>
        </w:rPr>
        <w:t>一、合同一般条款</w:t>
      </w:r>
      <w:bookmarkEnd w:id="67"/>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1．定义</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1.1“合同”系指买方和卖方(以下简称合同双方)已达成的协议，即由双方签订的合同格式中的文件，包括所有的附件、附录和组成合同部分的所有其他文件。</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1.2“合同价格”系指根据合同规定，在卖方全面正确地履行合同义务时应支付给卖方的款项。</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1.3“货物”系指卖方按合同要求，须向买方提供的一切设备、机械、仪器仪表、备品备件、工具、手册及其它技术资料和其它材料。</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1.4“服务”系指合同规定卖方须承担的安装、调试、技术协助、校准、培训以及其他类似的义务。</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1.5“买方”系指通过招标采购，接受合同货物及服务的企业或单位。</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1.6“卖方”系指中标后提供合同货物和服务的经济实体。</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1.7“现场”系指将要进行货物安装和运转的地点。</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1.8“验收”系指买方依据技术规格规定接受合同货物所依据的程序和条件。</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2．适用范围</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2.1本合同条款适用于本次招标活动。</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3．原产地</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3.1原产地系指货物的生产地，或提供辅助服务的来源地。</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4．技术规格和标准</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4.1本合同项下所供货物的技术规格应与本招标文件技术规格规定的标准相一致。若技术规格中无相应规定，货物则应符合相应的国家标准或有关权威部门最新颁布的相应的正式标准。</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5．专利权</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5.1卖方须保障买方在使用其货物、服务及其任何部分不受到第三方关于侵犯专利权、商标权或工业设计权的指控。任何第三方如果提出侵权指控，卖方须与第三方交涉并承担由此而引起的一切法律责任和费用。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6．包装</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6.1除非本合同另有规定，提供的全部货物须采用相应标准的保护措施进行包装。这种包装应适于空运和内陆运输，并有良好的防潮、防震、防锈和防野蛮装卸等保护措施，以确保货物安全运抵现场</w:t>
      </w:r>
      <w:r>
        <w:rPr>
          <w:rFonts w:hint="eastAsia"/>
          <w:color w:val="000000" w:themeColor="text1"/>
          <w:spacing w:val="-4"/>
          <w14:textFill>
            <w14:solidFill>
              <w14:schemeClr w14:val="tx1"/>
            </w14:solidFill>
          </w14:textFill>
        </w:rPr>
        <w:t>。</w:t>
      </w:r>
      <w:r>
        <w:rPr>
          <w:color w:val="000000" w:themeColor="text1"/>
          <w:spacing w:val="-4"/>
          <w14:textFill>
            <w14:solidFill>
              <w14:schemeClr w14:val="tx1"/>
            </w14:solidFill>
          </w14:textFill>
        </w:rPr>
        <w:t>卖方应承担由于其包装或其防护措施不妥而引起货物锈蚀、损坏和丢失的任何损失的责任或费用。</w:t>
      </w:r>
    </w:p>
    <w:p>
      <w:pPr>
        <w:pStyle w:val="14"/>
        <w:spacing w:before="7" w:line="360" w:lineRule="auto"/>
        <w:ind w:leftChars="240" w:right="220" w:rightChars="100" w:firstLine="116" w:firstLine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6.2每件包装应附有详细装箱单和质量证书各两套，一套在包装箱里，一套在包装箱外。</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7．运输标记</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 xml:space="preserve"> 7.1卖方应在每一包装箱邻接的四个侧面用不易褪色的油漆以醒目的中文印刷字体标明以下各项：</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(1)收货人</w:t>
      </w:r>
    </w:p>
    <w:p>
      <w:pPr>
        <w:pStyle w:val="14"/>
        <w:spacing w:before="7" w:line="360" w:lineRule="auto"/>
        <w:ind w:left="754" w:leftChars="290" w:right="220" w:rightChars="100" w:hanging="116" w:hanging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(2)合同号</w:t>
      </w:r>
    </w:p>
    <w:p>
      <w:pPr>
        <w:pStyle w:val="14"/>
        <w:spacing w:before="7" w:line="360" w:lineRule="auto"/>
        <w:ind w:left="754" w:leftChars="290" w:right="220" w:rightChars="100" w:hanging="116" w:hanging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(3)收货人代号</w:t>
      </w:r>
    </w:p>
    <w:p>
      <w:pPr>
        <w:pStyle w:val="14"/>
        <w:spacing w:before="7" w:line="360" w:lineRule="auto"/>
        <w:ind w:leftChars="240" w:right="220" w:rightChars="100" w:firstLine="116" w:firstLine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(4)目的地</w:t>
      </w:r>
    </w:p>
    <w:p>
      <w:pPr>
        <w:pStyle w:val="14"/>
        <w:spacing w:before="7" w:line="360" w:lineRule="auto"/>
        <w:ind w:leftChars="240" w:right="220" w:rightChars="100" w:firstLine="116" w:firstLine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(5)货物的名称、品目号、箱号</w:t>
      </w:r>
    </w:p>
    <w:p>
      <w:pPr>
        <w:pStyle w:val="14"/>
        <w:spacing w:before="7" w:line="360" w:lineRule="auto"/>
        <w:ind w:leftChars="240" w:right="220" w:rightChars="100" w:firstLine="116" w:firstLine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(6)毛重／净重(公斤)</w:t>
      </w:r>
    </w:p>
    <w:p>
      <w:pPr>
        <w:pStyle w:val="14"/>
        <w:spacing w:before="7" w:line="360" w:lineRule="auto"/>
        <w:ind w:leftChars="240" w:right="220" w:rightChars="100" w:firstLine="116" w:firstLine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(7)尺寸(长x宽x高，以厘米计)</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8.卖方的交货价合同</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8.1卖方应在合同规定的交货期前10天以电报、传真或电传通知买方合同号、货物名称、数量、包装件数、总毛重、总体积(立方米)和备妥待运日期。同时，卖方应以挂号信寄给买方详细交货清单一式五份，包括合同号、货物名称、规格、数量、总毛重、总体积(立方米)和每一包装箱的尺寸(长x宽x  高)、单价和总价、备妥待运日期，以及货物在运输和仓储中的特殊要求和注意事项。</w:t>
      </w:r>
    </w:p>
    <w:p>
      <w:pPr>
        <w:pStyle w:val="14"/>
        <w:spacing w:before="7" w:line="360" w:lineRule="auto"/>
        <w:ind w:leftChars="240" w:right="220" w:rightChars="100" w:firstLine="232" w:firstLineChars="1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8.2卖方负责安排自发运地至买方现场的运输，费用包含在合同总价中。</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8.3交货日期以货物到达买方现场为准。</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8.4卖方装运的货物必须符合合同规定的货物名称、型号规格、数量或重量，  否则，一切后果均由卖方承担。</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9．装运通知</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9.1卖方应在货物装运完成24小时内以电报、传真或电传通知买方合同号、  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10．保险</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10.1在国内交货价合同条件下，由买方在货物装运前或接到装运通知后办理保险。或由买卖双方具体商定。</w:t>
      </w:r>
    </w:p>
    <w:p>
      <w:pPr>
        <w:pStyle w:val="14"/>
        <w:spacing w:before="7" w:line="360" w:lineRule="auto"/>
        <w:ind w:left="660" w:leftChars="300" w:right="220" w:rightChars="1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11.支付</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11.1除另有规定外，可采用下列付款之方式一种付款：</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 xml:space="preserve">     (1)转帐支票；</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 xml:space="preserve">     (2)电汇付款。</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12．技术资料</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12.1除招标文件的技术规范书中另有规定的外，卖方应准备与合同设备或仪器相符中文技术资料，并于合同生效后15天内寄送到买方，例如：样本、图纸、操作手册、使用说明、维修指南或服务手册等。如本条款所述资料寄送不完整或丢失，卖方应在收到买方通知后立即免费另寄。</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12.2上述一套完整的资料应包装好随每批货物一起发运。</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13．价格</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13.1除非合同中另有规定，卖方为其所供货物和服务而要求买方支付的金额应与其投标报价一致。</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14．质量保证</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14.1卖方应保证其提供的货物是全新的、未使用过的，采用的是最佳材料和第一流的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30天内，免费负责修理或更换有缺陷的零部件或整机。对造成的损失买方保留索赔的权利。</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14.2除非合同中另有规定，合同项下货物的质量保证期为货物正式验收后</w:t>
      </w:r>
      <w:r>
        <w:rPr>
          <w:rFonts w:hint="eastAsia"/>
          <w:color w:val="000000" w:themeColor="text1"/>
          <w:spacing w:val="-4"/>
          <w14:textFill>
            <w14:solidFill>
              <w14:schemeClr w14:val="tx1"/>
            </w14:solidFill>
          </w14:textFill>
        </w:rPr>
        <w:t>24</w:t>
      </w:r>
      <w:r>
        <w:rPr>
          <w:color w:val="000000" w:themeColor="text1"/>
          <w:spacing w:val="-4"/>
          <w14:textFill>
            <w14:solidFill>
              <w14:schemeClr w14:val="tx1"/>
            </w14:solidFill>
          </w14:textFill>
        </w:rPr>
        <w:t>个月。</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15．检验</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15.1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15.2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16．索赔</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16.1卖方对货物与合同要求不符负有责任，并且买方已于规定的检验、安装、调试和验收测试期限内和质量保证期内提出索赔，卖方应按买方同意的下述一种或多种方法解决索赔事宜。</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(2)根据货物的疵劣和受损程度以及买方遭受损失的金额，经双方同意降低货物价格。</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(3)更换有缺陷的零件、部件和设备，或修理缺陷部分，以达到合同规定的规格、质量和性能，卖方承担一切费用和风险并负担买方遭受的一切直接费用。同时卖方应相应延长被更换货物的质量保证期。</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16.2如果买方提出索赔通知后30天内卖方未能予以答复，该索赔应视为已被卖方接受。若卖方未能在买方提出索赔通知的30天内或买方同意的更长一些的时间内，按买方同意的上述任何一种方式处理索赔事宜，买方将从未付款或卖方提供的履约保证金中扣回索赔金额，同时保留进一步要求赔偿的权利。</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17．延期交货与核定损失额</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17.1如果卖方未能按合同规定的时间按期交货(本合同第18款规定的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18．不可抗力</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18.1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18.2受阻一方应在不可抗力事故发生后尽快用电报、传真或电传通知对方，并于事故发生后14天内将有关部门出具的证明文件用特快专递或挂号信寄给对方审阅确认。一旦不可抗力事故的影响持续120天以上，双方应通过友好协商在合理的时间内达成进一步履行合同的协议。</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19．履约保证金（如需要）</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19.1卖方应在合同签订后</w:t>
      </w:r>
      <w:r>
        <w:rPr>
          <w:rFonts w:hint="eastAsia" w:eastAsiaTheme="minorEastAsia"/>
          <w:color w:val="000000" w:themeColor="text1"/>
          <w:spacing w:val="-4"/>
          <w14:textFill>
            <w14:solidFill>
              <w14:schemeClr w14:val="tx1"/>
            </w14:solidFill>
          </w14:textFill>
        </w:rPr>
        <w:t>5个工作日内</w:t>
      </w:r>
      <w:r>
        <w:rPr>
          <w:color w:val="000000" w:themeColor="text1"/>
          <w:spacing w:val="-4"/>
          <w14:textFill>
            <w14:solidFill>
              <w14:schemeClr w14:val="tx1"/>
            </w14:solidFill>
          </w14:textFill>
        </w:rPr>
        <w:t>，向买方提交合同总价</w:t>
      </w:r>
      <w:r>
        <w:rPr>
          <w:rFonts w:hint="eastAsia" w:eastAsiaTheme="minorEastAsia"/>
          <w:color w:val="000000" w:themeColor="text1"/>
          <w:spacing w:val="-4"/>
          <w14:textFill>
            <w14:solidFill>
              <w14:schemeClr w14:val="tx1"/>
            </w14:solidFill>
          </w14:textFill>
        </w:rPr>
        <w:t>3</w:t>
      </w:r>
      <w:r>
        <w:rPr>
          <w:color w:val="000000" w:themeColor="text1"/>
          <w:spacing w:val="-4"/>
          <w14:textFill>
            <w14:solidFill>
              <w14:schemeClr w14:val="tx1"/>
            </w14:solidFill>
          </w14:textFill>
        </w:rPr>
        <w:t>%的履约保证金，履约保证金的有效期至货物保证期满。履约保证金应由银行开具。</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19.2卖方提供的履约保证金按规定格式以银行保函的形式提供，与此有关的费用由卖方负担。</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19.3如果卖方未能按合同规定履行其义务，买方有权从履约保证金取得补偿。</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20．仲裁</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20.1在执行本合同中发生的或与本合同有关的争端，双方应通过友好协商解决，经协商在30天内不能达成协议时，应提交仲裁。</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20.2仲裁应由买方当地仲裁机构根据其仲裁程序和暂行规则进行。</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20.3仲裁裁决应为最终决定，并对双方具有约束力。</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20.4除另有裁决外，仲裁费应由败诉方负担。</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20.5在仲裁期间，除正在进行仲裁部分外，合同其它部分继续执行。</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21．违约终止合同</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(1)如果卖方未能在合同规定的期限内或买方准许的任何延期内交付部分或全部货物。</w:t>
      </w:r>
    </w:p>
    <w:p>
      <w:pPr>
        <w:pStyle w:val="14"/>
        <w:spacing w:before="7" w:line="360" w:lineRule="auto"/>
        <w:ind w:leftChars="24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(2)卖方未能履行合同项下的任何其它义务。</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21.2一旦买方根据第21.1款终止部分或全部合同，买方可以按其认为适当的条件和方式采购类似未交付部分的货物。卖方应承担买方购买类似货物的额外费用。但是，卖方应继续履行合同中未终止的部分。</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22．变更指示</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22.1买方可以随时向卖方发出书面指示，在合同总体范围内对如下一点或几点提出变更：</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(1)合同项下需为买方特殊制造的货物的图纸、设计或规格；</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(2)装运方式和包装方式；</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(3)交货地点；</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(4)卖方须提供的服务。</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23．合同修改</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23.1欲对合同条款作出任何改动或偏离，均须由买卖双方签署书面的合同修改书。</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24．转让与分包</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24.1除买方事先同意外，卖方不得部分转让或全部转让其应履行的合同项下的义务。</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24.2卖方应书面通知买方本合同项下所授予的所有分包合同。但该通知不解除卖方承担的本合同项下的任何责任或义务。</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25．适用法律</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25.1本合同应按中华人民共和国的相关法律解释。</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26．通知</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26.1本合同任何一方给另一方的通知都应以书面或电传、电报、传真的形式发送，而另一方应以书面形式确并发送到对方明确的地址。</w:t>
      </w:r>
    </w:p>
    <w:p>
      <w:pPr>
        <w:pStyle w:val="14"/>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27．合同文件及资料的使用</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27.2除非执行合同需要，在事先末得到买方同意的情况下，卖方不得使用第27.1款中所列的任何文件和资料。</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27.3除合同本身以外，27.1款列明的所有资料始终为买方的财产，若买方要求，卖方应于其合同义务履行完毕以后将这些资料(包括所有副本)退还买方。</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28．合同生效及其他</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28.1本合同应在买方和卖方签字（及买方收到卖方的履约保证金后），即开始生效。</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28.2卖方须按技术规格中的规定，向买方提供与合同项下货物有关的现场安装调试、技术服务、培训等其他相关服务。</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28.3 商务合同应包括买方最后确认的价格条款和付款方式。</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28.4下述文件将作为合同附件为本合同不可分割的部分并与本合具有同等效力；</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招标文件</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中标通知书</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中标方的投标文件及询标中的书面答疑</w:t>
      </w:r>
    </w:p>
    <w:p>
      <w:pPr>
        <w:pStyle w:val="14"/>
        <w:spacing w:before="7" w:line="360" w:lineRule="auto"/>
        <w:ind w:left="220" w:leftChars="100" w:right="220" w:rightChars="100" w:firstLine="464" w:firstLineChars="200"/>
        <w:jc w:val="both"/>
        <w:rPr>
          <w:rFonts w:eastAsiaTheme="minorEastAsia"/>
          <w:color w:val="000000" w:themeColor="text1"/>
          <w:spacing w:val="-4"/>
          <w14:textFill>
            <w14:solidFill>
              <w14:schemeClr w14:val="tx1"/>
            </w14:solidFill>
          </w14:textFill>
        </w:rPr>
      </w:pPr>
      <w:r>
        <w:rPr>
          <w:color w:val="000000" w:themeColor="text1"/>
          <w:spacing w:val="-4"/>
          <w14:textFill>
            <w14:solidFill>
              <w14:schemeClr w14:val="tx1"/>
            </w14:solidFill>
          </w14:textFill>
        </w:rPr>
        <w:t>履约保证金保函（如需要）</w:t>
      </w:r>
    </w:p>
    <w:p>
      <w:pPr>
        <w:pStyle w:val="3"/>
        <w:spacing w:line="360" w:lineRule="auto"/>
        <w:ind w:right="220" w:rightChars="100" w:firstLine="2951" w:firstLineChars="1050"/>
        <w:rPr>
          <w:b/>
          <w:color w:val="000000" w:themeColor="text1"/>
          <w:sz w:val="28"/>
          <w:szCs w:val="28"/>
          <w14:textFill>
            <w14:solidFill>
              <w14:schemeClr w14:val="tx1"/>
            </w14:solidFill>
          </w14:textFill>
        </w:rPr>
      </w:pPr>
      <w:bookmarkStart w:id="68" w:name="_Toc28767"/>
      <w:r>
        <w:rPr>
          <w:rFonts w:hint="eastAsia" w:ascii="宋体" w:hAnsi="宋体" w:eastAsia="宋体" w:cs="宋体"/>
          <w:b/>
          <w:color w:val="000000" w:themeColor="text1"/>
          <w:sz w:val="28"/>
          <w:szCs w:val="28"/>
          <w14:textFill>
            <w14:solidFill>
              <w14:schemeClr w14:val="tx1"/>
            </w14:solidFill>
          </w14:textFill>
        </w:rPr>
        <w:t>二、合同特殊条款</w:t>
      </w:r>
      <w:bookmarkEnd w:id="68"/>
    </w:p>
    <w:p>
      <w:pPr>
        <w:pStyle w:val="14"/>
        <w:spacing w:before="7" w:line="360" w:lineRule="auto"/>
        <w:ind w:left="0" w:right="220" w:rightChars="100" w:firstLine="696" w:firstLineChars="3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合同特殊条款是合同一般条款的补充和修改，如果两者之间有抵触，应以特殊条款为准。</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安装调试</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1.1 卖方必须在合同签订后将所有安装、调试条件，以及需买方配合的事项以书面方式通知买方；</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1.2 卖方免费负责系统在买方的安装调试，买方协助开展工作；</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1.3 卖方安装调试人员应及时到达买方现场，直至调试结束，通过验收；</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1.4 系统安装调试工作需在卖买双方技术人员共同参与下完成，包括系统的安装、测试、诊断及解决遇到的问题等各项工作；</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1.5 卖方负责安装调试期间，包括错发或运输中可能损坏的货物，卖方应及时调换，中间产生的任何费用均由卖方承担；</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1.6 卖方如不能按时完成安装调试工作，应赔偿给买方由此造成的所有损失。</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培训</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2</w:t>
      </w:r>
      <w:r>
        <w:rPr>
          <w:color w:val="000000" w:themeColor="text1"/>
          <w:spacing w:val="-4"/>
          <w14:textFill>
            <w14:solidFill>
              <w14:schemeClr w14:val="tx1"/>
            </w14:solidFill>
          </w14:textFill>
        </w:rPr>
        <w:t>.1 卖方的技术人员有义务对买方的设备维修人员及使用人员进行培训，使维修人员能对设备的日常维护和一般性故障的查找及故障的排除，使用人员能熟练掌握设备的各项功能操作。须提出完善的人员培训方案并附在投标文件中。</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验收</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3</w:t>
      </w:r>
      <w:r>
        <w:rPr>
          <w:color w:val="000000" w:themeColor="text1"/>
          <w:spacing w:val="-4"/>
          <w14:textFill>
            <w14:solidFill>
              <w14:schemeClr w14:val="tx1"/>
            </w14:solidFill>
          </w14:textFill>
        </w:rPr>
        <w:t>.1 设备到达目的地，买卖双方及买方聘请的有关专家（如需要）一同开箱验货；</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3</w:t>
      </w:r>
      <w:r>
        <w:rPr>
          <w:color w:val="000000" w:themeColor="text1"/>
          <w:spacing w:val="-4"/>
          <w14:textFill>
            <w14:solidFill>
              <w14:schemeClr w14:val="tx1"/>
            </w14:solidFill>
          </w14:textFill>
        </w:rPr>
        <w:t>.2 卖方提供的所有设备应符合中华人民共和国以及国际通行的标准，并应附有相应的检测报告、合格证书；</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3</w:t>
      </w:r>
      <w:r>
        <w:rPr>
          <w:color w:val="000000" w:themeColor="text1"/>
          <w:spacing w:val="-4"/>
          <w14:textFill>
            <w14:solidFill>
              <w14:schemeClr w14:val="tx1"/>
            </w14:solidFill>
          </w14:textFill>
        </w:rPr>
        <w:t>.3 具体的标准应在投标文件中明确规定，并在合同中由买卖双方确认；</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3</w:t>
      </w:r>
      <w:r>
        <w:rPr>
          <w:color w:val="000000" w:themeColor="text1"/>
          <w:spacing w:val="-4"/>
          <w14:textFill>
            <w14:solidFill>
              <w14:schemeClr w14:val="tx1"/>
            </w14:solidFill>
          </w14:textFill>
        </w:rPr>
        <w:t>.4 如需技术监督部门对系统进行检测，所产生的全部费用由卖方承担。</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质量保证</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4.1 卖方须保证提供的货物是全新的、未使用过的，所采用的技术是全新的，并符合合同规定的质量、规格和性能；</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4.2 卖方须保证所供货物经过正确使用和保养，在货物寿命期内使用良好；</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4.3 在保修期内，卖方须对产品出现的任何质量问题负责，3天内免费更换，并响应延长质保期；</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4.4 因卖方原因造成买方不能按时使用（根据合同有关条款），卖方应根据合同规定向买方做出赔偿。</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5、售后服务</w:t>
      </w:r>
    </w:p>
    <w:p>
      <w:pPr>
        <w:pStyle w:val="14"/>
        <w:spacing w:before="7" w:line="360" w:lineRule="auto"/>
        <w:ind w:left="220" w:leftChars="100" w:right="220" w:rightChars="100" w:firstLine="464" w:firstLineChars="200"/>
        <w:jc w:val="both"/>
        <w:rPr>
          <w:rFonts w:hint="eastAsia" w:eastAsia="宋体"/>
          <w:color w:val="000000" w:themeColor="text1"/>
          <w:spacing w:val="-4"/>
          <w:highlight w:val="yellow"/>
          <w:lang w:eastAsia="zh-CN"/>
          <w14:textFill>
            <w14:solidFill>
              <w14:schemeClr w14:val="tx1"/>
            </w14:solidFill>
          </w14:textFill>
        </w:rPr>
      </w:pPr>
      <w:r>
        <w:rPr>
          <w:color w:val="000000" w:themeColor="text1"/>
          <w:spacing w:val="-4"/>
          <w14:textFill>
            <w14:solidFill>
              <w14:schemeClr w14:val="tx1"/>
            </w14:solidFill>
          </w14:textFill>
        </w:rPr>
        <w:t xml:space="preserve">5.1 </w:t>
      </w:r>
      <w:r>
        <w:rPr>
          <w:rFonts w:hint="eastAsia"/>
          <w:color w:val="000000" w:themeColor="text1"/>
          <w:spacing w:val="-4"/>
          <w14:textFill>
            <w14:solidFill>
              <w14:schemeClr w14:val="tx1"/>
            </w14:solidFill>
          </w14:textFill>
        </w:rPr>
        <w:t>质</w:t>
      </w:r>
      <w:r>
        <w:rPr>
          <w:color w:val="000000" w:themeColor="text1"/>
          <w:spacing w:val="-4"/>
          <w14:textFill>
            <w14:solidFill>
              <w14:schemeClr w14:val="tx1"/>
            </w14:solidFill>
          </w14:textFill>
        </w:rPr>
        <w:t>保期：</w:t>
      </w:r>
      <w:r>
        <w:rPr>
          <w:rFonts w:hint="eastAsia"/>
          <w:color w:val="000000" w:themeColor="text1"/>
          <w:spacing w:val="-4"/>
          <w:highlight w:val="none"/>
          <w:lang w:eastAsia="zh-CN"/>
          <w14:textFill>
            <w14:solidFill>
              <w14:schemeClr w14:val="tx1"/>
            </w14:solidFill>
          </w14:textFill>
        </w:rPr>
        <w:t>除参数中规定的年限外，其余均质保</w:t>
      </w:r>
      <w:r>
        <w:rPr>
          <w:rFonts w:hint="eastAsia"/>
          <w:color w:val="000000" w:themeColor="text1"/>
          <w:spacing w:val="-4"/>
          <w:highlight w:val="none"/>
          <w14:textFill>
            <w14:solidFill>
              <w14:schemeClr w14:val="tx1"/>
            </w14:solidFill>
          </w14:textFill>
        </w:rPr>
        <w:t>一年</w:t>
      </w:r>
      <w:r>
        <w:rPr>
          <w:rFonts w:hint="eastAsia" w:eastAsia="宋体"/>
          <w:color w:val="000000" w:themeColor="text1"/>
          <w:spacing w:val="-4"/>
          <w:highlight w:val="none"/>
          <w:lang w:eastAsia="zh-CN"/>
          <w14:textFill>
            <w14:solidFill>
              <w14:schemeClr w14:val="tx1"/>
            </w14:solidFill>
          </w14:textFill>
        </w:rPr>
        <w:t>；</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5.2具有本地化服务机构及长期技术支持能力。具有履行合同所必需的专业技术能力；所投产品及服务必须经相关部门严格认证，并具有当地固定的经过厂家认证的维护人员，能提供良好的技术支持</w:t>
      </w:r>
      <w:r>
        <w:rPr>
          <w:rFonts w:hint="eastAsia"/>
          <w:color w:val="000000" w:themeColor="text1"/>
          <w:spacing w:val="-4"/>
          <w14:textFill>
            <w14:solidFill>
              <w14:schemeClr w14:val="tx1"/>
            </w14:solidFill>
          </w14:textFill>
        </w:rPr>
        <w:t>；</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 xml:space="preserve">5.3 </w:t>
      </w:r>
      <w:r>
        <w:rPr>
          <w:color w:val="000000" w:themeColor="text1"/>
          <w:spacing w:val="-4"/>
          <w14:textFill>
            <w14:solidFill>
              <w14:schemeClr w14:val="tx1"/>
            </w14:solidFill>
          </w14:textFill>
        </w:rPr>
        <w:t>投标人应为系统正常运行提供技术支持，提供24小时的热线支持，在系统发生重大故障时，投标人技术人员应在12小时内到达事故现场，并应于到达事故现场后8小时内完全解决故障。如果设备故障在检修4小时后仍无法排除，投标人应在24小时内提供不低于故障设备规格型号档次的备用设备给用户使用，直至故障设备修复</w:t>
      </w:r>
      <w:r>
        <w:rPr>
          <w:rFonts w:hint="eastAsia"/>
          <w:color w:val="000000" w:themeColor="text1"/>
          <w:spacing w:val="-4"/>
          <w14:textFill>
            <w14:solidFill>
              <w14:schemeClr w14:val="tx1"/>
            </w14:solidFill>
          </w14:textFill>
        </w:rPr>
        <w:t>；</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5.4 提供所投应用软件的长期免费升级服务。</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6、其他  </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6.1 投标报价：</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6.2 投标货币：人民币；</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6.3 投标方应提供详细的报价清单，内容应包括：名称、数量、单价、总价；</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6.4 付款方式：</w:t>
      </w:r>
      <w:r>
        <w:rPr>
          <w:rFonts w:hint="eastAsia"/>
          <w:color w:val="000000" w:themeColor="text1"/>
          <w:spacing w:val="-4"/>
          <w14:textFill>
            <w14:solidFill>
              <w14:schemeClr w14:val="tx1"/>
            </w14:solidFill>
          </w14:textFill>
        </w:rPr>
        <w:t>见下。</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6.5 交付使用时间：</w:t>
      </w:r>
      <w:r>
        <w:rPr>
          <w:rFonts w:hint="eastAsia"/>
          <w:color w:val="000000" w:themeColor="text1"/>
          <w:spacing w:val="-4"/>
          <w14:textFill>
            <w14:solidFill>
              <w14:schemeClr w14:val="tx1"/>
            </w14:solidFill>
          </w14:textFill>
        </w:rPr>
        <w:t>见投标须知</w:t>
      </w:r>
      <w:r>
        <w:rPr>
          <w:color w:val="000000" w:themeColor="text1"/>
          <w:spacing w:val="-4"/>
          <w14:textFill>
            <w14:solidFill>
              <w14:schemeClr w14:val="tx1"/>
            </w14:solidFill>
          </w14:textFill>
        </w:rPr>
        <w:t>。</w:t>
      </w:r>
    </w:p>
    <w:p>
      <w:pPr>
        <w:pStyle w:val="14"/>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6.6交货地点：</w:t>
      </w:r>
      <w:r>
        <w:rPr>
          <w:rFonts w:hint="eastAsia"/>
          <w:color w:val="000000" w:themeColor="text1"/>
          <w:spacing w:val="-4"/>
          <w14:textFill>
            <w14:solidFill>
              <w14:schemeClr w14:val="tx1"/>
            </w14:solidFill>
          </w14:textFill>
        </w:rPr>
        <w:t>采购单位指定地点</w:t>
      </w:r>
      <w:r>
        <w:rPr>
          <w:color w:val="000000" w:themeColor="text1"/>
          <w:spacing w:val="-4"/>
          <w14:textFill>
            <w14:solidFill>
              <w14:schemeClr w14:val="tx1"/>
            </w14:solidFill>
          </w14:textFill>
        </w:rPr>
        <w:t>。</w:t>
      </w:r>
    </w:p>
    <w:p>
      <w:pPr>
        <w:pStyle w:val="14"/>
        <w:ind w:left="0" w:right="567"/>
        <w:rPr>
          <w:rFonts w:hint="eastAsia"/>
          <w:b/>
          <w:bCs/>
        </w:rPr>
      </w:pPr>
      <w:r>
        <w:rPr>
          <w:rFonts w:hint="eastAsia"/>
          <w:b/>
          <w:bCs/>
        </w:rPr>
        <w:t>注：合同仅供参考（以采购人最终认定的统一格式为准）</w:t>
      </w:r>
    </w:p>
    <w:p>
      <w:pPr>
        <w:pStyle w:val="15"/>
        <w:rPr>
          <w:rFonts w:hint="eastAsia"/>
          <w:b/>
          <w:bCs/>
        </w:rPr>
      </w:pPr>
    </w:p>
    <w:p>
      <w:pPr>
        <w:pStyle w:val="15"/>
        <w:rPr>
          <w:rFonts w:hint="eastAsia"/>
          <w:b/>
          <w:bCs/>
        </w:rPr>
      </w:pPr>
    </w:p>
    <w:p>
      <w:pPr>
        <w:pStyle w:val="15"/>
        <w:rPr>
          <w:rFonts w:hint="eastAsia"/>
          <w:b/>
          <w:bCs/>
        </w:rPr>
      </w:pPr>
    </w:p>
    <w:p>
      <w:pPr>
        <w:pStyle w:val="15"/>
        <w:rPr>
          <w:rFonts w:hint="eastAsia"/>
          <w:b/>
          <w:bCs/>
        </w:rPr>
      </w:pPr>
    </w:p>
    <w:p>
      <w:pPr>
        <w:pStyle w:val="15"/>
        <w:rPr>
          <w:rFonts w:hint="eastAsia"/>
          <w:b/>
          <w:bCs/>
        </w:rPr>
      </w:pPr>
    </w:p>
    <w:p>
      <w:pPr>
        <w:pStyle w:val="15"/>
        <w:rPr>
          <w:rFonts w:hint="eastAsia"/>
          <w:b/>
          <w:bCs/>
        </w:rPr>
      </w:pPr>
    </w:p>
    <w:tbl>
      <w:tblPr>
        <w:tblStyle w:val="41"/>
        <w:tblpPr w:leftFromText="180" w:rightFromText="180" w:vertAnchor="text" w:tblpX="10215" w:tblpY="5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644" w:type="dxa"/>
          </w:tcPr>
          <w:p>
            <w:pPr>
              <w:jc w:val="both"/>
              <w:outlineLvl w:val="0"/>
              <w:rPr>
                <w:rFonts w:ascii="宋体" w:hAnsi="宋体" w:cs="宋体" w:eastAsiaTheme="minorEastAsia"/>
                <w:b/>
                <w:bCs/>
                <w:color w:val="000000" w:themeColor="text1"/>
                <w:spacing w:val="-10"/>
                <w:sz w:val="32"/>
                <w:szCs w:val="32"/>
                <w:vertAlign w:val="baseline"/>
                <w14:textFill>
                  <w14:solidFill>
                    <w14:schemeClr w14:val="tx1"/>
                  </w14:solidFill>
                </w14:textFill>
              </w:rPr>
            </w:pPr>
          </w:p>
        </w:tc>
      </w:tr>
    </w:tbl>
    <w:p>
      <w:pPr>
        <w:outlineLvl w:val="0"/>
        <w:rPr>
          <w:rFonts w:ascii="宋体" w:hAnsi="宋体" w:cs="宋体" w:eastAsiaTheme="minorEastAsia"/>
          <w:b/>
          <w:bCs/>
          <w:color w:val="000000" w:themeColor="text1"/>
          <w:spacing w:val="-10"/>
          <w:sz w:val="32"/>
          <w:szCs w:val="32"/>
          <w14:textFill>
            <w14:solidFill>
              <w14:schemeClr w14:val="tx1"/>
            </w14:solidFill>
          </w14:textFill>
        </w:rPr>
      </w:pPr>
    </w:p>
    <w:p>
      <w:pPr>
        <w:pStyle w:val="3"/>
        <w:numPr>
          <w:ilvl w:val="0"/>
          <w:numId w:val="169"/>
        </w:numPr>
        <w:spacing w:line="662" w:lineRule="exact"/>
        <w:ind w:right="82"/>
        <w:jc w:val="center"/>
        <w:rPr>
          <w:b/>
          <w:color w:val="000000" w:themeColor="text1"/>
          <w14:textFill>
            <w14:solidFill>
              <w14:schemeClr w14:val="tx1"/>
            </w14:solidFill>
          </w14:textFill>
        </w:rPr>
      </w:pPr>
      <w:bookmarkStart w:id="69" w:name="第六章_采购需求"/>
      <w:bookmarkEnd w:id="69"/>
      <w:bookmarkStart w:id="70" w:name="_bookmark11"/>
      <w:bookmarkEnd w:id="70"/>
      <w:r>
        <w:rPr>
          <w:rFonts w:hint="eastAsia" w:eastAsia="宋体"/>
          <w:b/>
          <w:color w:val="000000" w:themeColor="text1"/>
          <w:lang w:val="en-US" w:eastAsia="zh-CN"/>
          <w14:textFill>
            <w14:solidFill>
              <w14:schemeClr w14:val="tx1"/>
            </w14:solidFill>
          </w14:textFill>
        </w:rPr>
        <w:t xml:space="preserve"> </w:t>
      </w:r>
      <w:bookmarkStart w:id="71" w:name="_Toc6787"/>
      <w:r>
        <w:rPr>
          <w:b/>
          <w:color w:val="000000" w:themeColor="text1"/>
          <w14:textFill>
            <w14:solidFill>
              <w14:schemeClr w14:val="tx1"/>
            </w14:solidFill>
          </w14:textFill>
        </w:rPr>
        <w:t>采购</w:t>
      </w:r>
      <w:r>
        <w:rPr>
          <w:rFonts w:hint="eastAsia" w:eastAsiaTheme="minorEastAsia"/>
          <w:b/>
          <w:color w:val="000000" w:themeColor="text1"/>
          <w14:textFill>
            <w14:solidFill>
              <w14:schemeClr w14:val="tx1"/>
            </w14:solidFill>
          </w14:textFill>
        </w:rPr>
        <w:t>货物</w:t>
      </w:r>
      <w:r>
        <w:rPr>
          <w:b/>
          <w:color w:val="000000" w:themeColor="text1"/>
          <w14:textFill>
            <w14:solidFill>
              <w14:schemeClr w14:val="tx1"/>
            </w14:solidFill>
          </w14:textFill>
        </w:rPr>
        <w:t>需求</w:t>
      </w:r>
      <w:bookmarkEnd w:id="71"/>
    </w:p>
    <w:tbl>
      <w:tblPr>
        <w:tblStyle w:val="41"/>
        <w:tblpPr w:leftFromText="180" w:rightFromText="180" w:vertAnchor="page" w:horzAnchor="margin" w:tblpY="22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146"/>
        <w:gridCol w:w="545"/>
        <w:gridCol w:w="456"/>
        <w:gridCol w:w="5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0" w:type="auto"/>
            <w:vAlign w:val="center"/>
          </w:tcPr>
          <w:p>
            <w:pPr>
              <w:spacing w:line="240" w:lineRule="auto"/>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0" w:type="auto"/>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0" w:type="auto"/>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0" w:type="auto"/>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0" w:type="auto"/>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天然气</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0" w:type="auto"/>
          </w:tcPr>
          <w:p>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按照市场充值天然气，含开户等费用。卡内充值额度不得低于</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仿真菜</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0" w:type="auto"/>
          </w:tcPr>
          <w:p>
            <w:pPr>
              <w:numPr>
                <w:ilvl w:val="0"/>
                <w:numId w:val="170"/>
              </w:num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仿真面条1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款</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直径13cm  碗高7.5cm  重350g（不同类型）</w:t>
            </w:r>
          </w:p>
          <w:p>
            <w:pPr>
              <w:numPr>
                <w:ilvl w:val="0"/>
                <w:numId w:val="170"/>
              </w:num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凉菜</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道（不同类型）  9寸盘子</w:t>
            </w:r>
            <w:r>
              <w:rPr>
                <w:rFonts w:hint="eastAsia" w:ascii="宋体" w:hAnsi="宋体" w:eastAsia="宋体" w:cs="宋体"/>
                <w:color w:val="auto"/>
                <w:sz w:val="21"/>
                <w:szCs w:val="21"/>
                <w:lang w:val="en-US" w:eastAsia="zh-CN"/>
              </w:rPr>
              <w:t>以上</w:t>
            </w:r>
          </w:p>
          <w:p>
            <w:pPr>
              <w:numPr>
                <w:ilvl w:val="0"/>
                <w:numId w:val="170"/>
              </w:num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热菜</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道（不同类型）  10寸盘子</w:t>
            </w:r>
            <w:r>
              <w:rPr>
                <w:rFonts w:hint="eastAsia" w:ascii="宋体" w:hAnsi="宋体" w:eastAsia="宋体" w:cs="宋体"/>
                <w:color w:val="auto"/>
                <w:sz w:val="21"/>
                <w:szCs w:val="21"/>
                <w:lang w:val="en-US" w:eastAsia="zh-CN"/>
              </w:rPr>
              <w:t>以上</w:t>
            </w:r>
          </w:p>
          <w:p>
            <w:pPr>
              <w:numPr>
                <w:ilvl w:val="0"/>
                <w:numId w:val="170"/>
              </w:num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仿真水果（葡萄、苹果、香蕉、车厘子、桃子、橘子、李子、菠萝、荔枝等20种常见水果各10个）</w:t>
            </w:r>
          </w:p>
          <w:p>
            <w:pPr>
              <w:numPr>
                <w:ilvl w:val="0"/>
                <w:numId w:val="170"/>
              </w:numPr>
              <w:spacing w:line="240" w:lineRule="auto"/>
              <w:ind w:left="0" w:lef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肉类8</w:t>
            </w:r>
            <w:r>
              <w:rPr>
                <w:rFonts w:hint="eastAsia" w:ascii="宋体" w:hAnsi="宋体" w:eastAsia="宋体" w:cs="宋体"/>
                <w:color w:val="auto"/>
                <w:sz w:val="21"/>
                <w:szCs w:val="21"/>
              </w:rPr>
              <w:t>道（不同类型）  9寸盘</w:t>
            </w:r>
            <w:r>
              <w:rPr>
                <w:rFonts w:hint="eastAsia" w:ascii="宋体" w:hAnsi="宋体" w:eastAsia="宋体" w:cs="宋体"/>
                <w:color w:val="auto"/>
                <w:sz w:val="21"/>
                <w:szCs w:val="21"/>
                <w:lang w:val="en-US" w:eastAsia="zh-CN"/>
              </w:rPr>
              <w:t>子以上</w:t>
            </w:r>
          </w:p>
          <w:p>
            <w:pPr>
              <w:numPr>
                <w:ilvl w:val="0"/>
                <w:numId w:val="170"/>
              </w:numPr>
              <w:spacing w:line="240" w:lineRule="auto"/>
              <w:ind w:left="0" w:lef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鱼类5</w:t>
            </w:r>
            <w:r>
              <w:rPr>
                <w:rFonts w:hint="eastAsia" w:ascii="宋体" w:hAnsi="宋体" w:eastAsia="宋体" w:cs="宋体"/>
                <w:color w:val="auto"/>
                <w:sz w:val="21"/>
                <w:szCs w:val="21"/>
              </w:rPr>
              <w:t>道（不同类型）  9寸盘</w:t>
            </w:r>
            <w:r>
              <w:rPr>
                <w:rFonts w:hint="eastAsia" w:ascii="宋体" w:hAnsi="宋体" w:eastAsia="宋体" w:cs="宋体"/>
                <w:color w:val="auto"/>
                <w:sz w:val="21"/>
                <w:szCs w:val="21"/>
                <w:lang w:val="en-US" w:eastAsia="zh-CN"/>
              </w:rPr>
              <w:t>子以上</w:t>
            </w:r>
          </w:p>
          <w:p>
            <w:pPr>
              <w:numPr>
                <w:ilvl w:val="0"/>
                <w:numId w:val="170"/>
              </w:numPr>
              <w:spacing w:line="240" w:lineRule="auto"/>
              <w:ind w:left="0" w:leftChars="0" w:firstLine="0" w:firstLineChars="0"/>
              <w:jc w:val="left"/>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烧烤类10</w:t>
            </w:r>
            <w:r>
              <w:rPr>
                <w:rFonts w:hint="eastAsia" w:ascii="宋体" w:hAnsi="宋体" w:eastAsia="宋体" w:cs="宋体"/>
                <w:color w:val="auto"/>
                <w:sz w:val="21"/>
                <w:szCs w:val="21"/>
              </w:rPr>
              <w:t>道（不同类型）  9寸盘</w:t>
            </w:r>
            <w:r>
              <w:rPr>
                <w:rFonts w:hint="eastAsia" w:ascii="宋体" w:hAnsi="宋体" w:eastAsia="宋体" w:cs="宋体"/>
                <w:color w:val="auto"/>
                <w:sz w:val="21"/>
                <w:szCs w:val="21"/>
                <w:lang w:val="en-US" w:eastAsia="zh-CN"/>
              </w:rPr>
              <w:t>子以上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烹饪专业教学资源库</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0" w:type="auto"/>
          </w:tcPr>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一、仿真</w:t>
            </w:r>
            <w:r>
              <w:rPr>
                <w:rFonts w:hint="eastAsia" w:ascii="宋体" w:hAnsi="宋体" w:cs="宋体"/>
                <w:b/>
                <w:color w:val="auto"/>
                <w:sz w:val="21"/>
                <w:szCs w:val="21"/>
                <w:lang w:val="en-US" w:eastAsia="zh-CN"/>
              </w:rPr>
              <w:t>互动</w:t>
            </w:r>
            <w:r>
              <w:rPr>
                <w:rFonts w:hint="eastAsia" w:ascii="宋体" w:hAnsi="宋体" w:eastAsia="宋体" w:cs="宋体"/>
                <w:b/>
                <w:color w:val="auto"/>
                <w:sz w:val="21"/>
                <w:szCs w:val="21"/>
              </w:rPr>
              <w:t>实训资源：</w:t>
            </w:r>
          </w:p>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1、技术要求：</w:t>
            </w:r>
          </w:p>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仿真</w:t>
            </w:r>
            <w:r>
              <w:rPr>
                <w:rFonts w:hint="eastAsia" w:ascii="宋体" w:hAnsi="宋体" w:eastAsia="宋体" w:cs="宋体"/>
                <w:color w:val="auto"/>
                <w:sz w:val="21"/>
                <w:szCs w:val="21"/>
                <w:lang w:val="en-US" w:eastAsia="zh-CN"/>
              </w:rPr>
              <w:t>互动</w:t>
            </w:r>
            <w:r>
              <w:rPr>
                <w:rFonts w:hint="eastAsia" w:ascii="宋体" w:hAnsi="宋体" w:eastAsia="宋体" w:cs="宋体"/>
                <w:color w:val="auto"/>
                <w:sz w:val="21"/>
                <w:szCs w:val="21"/>
              </w:rPr>
              <w:t>实训资源需要将多媒体技术、应用仿真技术以及人机交互技术有机结合在一起，制作数字化资源课件。课件需要具有在线仿真交互实操特性，以增强教学的实践性、针对性和实效性、使考核更灵活，从而提高教学质量。该职业技能在线实训课件搭载到互动式教学平台后，能够通过PC端和移动端的浏览器直接访问。</w:t>
            </w:r>
          </w:p>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2、功能要求</w:t>
            </w:r>
          </w:p>
          <w:p>
            <w:pPr>
              <w:pStyle w:val="81"/>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 w:val="21"/>
                <w:szCs w:val="21"/>
              </w:rPr>
            </w:pPr>
            <w:bookmarkStart w:id="72" w:name="_Hlk75978417"/>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人机互动：仿真实训资源需要以实际动手演练为学习主线。系统要包含丰富的互动控件和事件的支持，在课件播放过程中学生能够完成诸如点选按钮、输入文本、选择菜单、鼠标拖拽、键盘快捷等一系列的人机交互的动作，支持学生在仿真应用场景中反复演练。</w:t>
            </w:r>
          </w:p>
          <w:p>
            <w:pPr>
              <w:pStyle w:val="310"/>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操作引导：在仿真演练过程中的每一个关键动作，课件能够根据教学设计自动显示操作提示，引导学生一步步完成技能演练。同时课件还需要具备操作错误提醒机制，当操作的内容与教学要求不符时，课件自动在出错位置向用户提示正确的操作方法。</w:t>
            </w:r>
          </w:p>
          <w:bookmarkEnd w:id="72"/>
          <w:p>
            <w:pPr>
              <w:pStyle w:val="35"/>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（3）★训练结果自动统计：利用互动式课件制作工具制作的课件要内嵌操作结果反馈功能，用户进行的每一步操作课件系统都要自动进行记录，并与正确操作步骤进行比对。然后将操作结果反馈给《网络基础</w:t>
            </w:r>
            <w:r>
              <w:rPr>
                <w:rFonts w:hint="eastAsia" w:ascii="宋体" w:hAnsi="宋体" w:eastAsia="宋体" w:cs="宋体"/>
                <w:color w:val="auto"/>
                <w:kern w:val="2"/>
                <w:sz w:val="21"/>
                <w:szCs w:val="21"/>
              </w:rPr>
              <w:t>应用仿真实训资源平台》进行统计分析，以备教学组织者随时进行</w:t>
            </w:r>
            <w:r>
              <w:rPr>
                <w:rFonts w:hint="eastAsia" w:ascii="宋体" w:hAnsi="宋体" w:eastAsia="宋体" w:cs="宋体"/>
                <w:color w:val="auto"/>
                <w:kern w:val="2"/>
                <w:sz w:val="21"/>
                <w:szCs w:val="21"/>
                <w:lang w:val="en-US" w:eastAsia="zh-CN" w:bidi="ar-SA"/>
              </w:rPr>
              <w:t>查阅。</w:t>
            </w:r>
          </w:p>
          <w:p>
            <w:pPr>
              <w:pStyle w:val="35"/>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SA"/>
              </w:rPr>
              <w:t>（</w:t>
            </w:r>
            <w:r>
              <w:rPr>
                <w:rFonts w:hint="eastAsia"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）★答疑APP：为教师提供答疑APP，可指定负责答疑的课程范围，实时收集学生在学习中的提问，支持教</w:t>
            </w:r>
            <w:r>
              <w:rPr>
                <w:rFonts w:hint="eastAsia" w:ascii="宋体" w:hAnsi="宋体" w:eastAsia="宋体" w:cs="宋体"/>
                <w:color w:val="auto"/>
                <w:kern w:val="2"/>
                <w:sz w:val="21"/>
                <w:szCs w:val="21"/>
              </w:rPr>
              <w:t>师在第一时间回复正在学习中的学生的提问；教师还能够通过答疑APP在回复后给学生所提问题点赞，被点赞的问题将会回显在学生在课件里所提问的操作页内，实现了课件的自主升级。</w:t>
            </w:r>
          </w:p>
          <w:p>
            <w:pPr>
              <w:pStyle w:val="35"/>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SA"/>
              </w:rPr>
              <w:t>（</w:t>
            </w:r>
            <w:r>
              <w:rPr>
                <w:rFonts w:hint="eastAsia"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语音提示：用户在操作练习过程中的每一个动作，都要求课件使用语音进行引导和提示，能够辅助操作引导帮助用户一步步完成练习过程。</w:t>
            </w:r>
          </w:p>
          <w:p>
            <w:pPr>
              <w:pStyle w:val="310"/>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（6）互联网操作：互动式课件制作平台制作的课件要能够运行在本地计算机（PC）、移动端（Andorid</w:t>
            </w:r>
            <w:r>
              <w:rPr>
                <w:rFonts w:hint="eastAsia" w:ascii="宋体" w:hAnsi="宋体" w:eastAsia="宋体" w:cs="宋体"/>
                <w:color w:val="auto"/>
                <w:sz w:val="21"/>
                <w:szCs w:val="21"/>
              </w:rPr>
              <w:t>、iOS）、局域网（LAN）、互联网（Internet）等多种计算机环境下。能够根据教学时间、环境的需要将互动式课件制作工具制作的课件发布到不同位置，最大限度的便于教学的组织与管理。</w:t>
            </w:r>
          </w:p>
          <w:p>
            <w:pPr>
              <w:pStyle w:val="310"/>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（7）★课件升级：不光能够制作互动式课件，还能将已有的课件进行升级，通过交互式的制作工具将</w:t>
            </w:r>
            <w:r>
              <w:rPr>
                <w:rFonts w:hint="eastAsia" w:ascii="宋体" w:hAnsi="宋体" w:eastAsia="宋体" w:cs="宋体"/>
                <w:color w:val="auto"/>
                <w:sz w:val="21"/>
                <w:szCs w:val="21"/>
              </w:rPr>
              <w:t>其激活升级，并能够实现在线互动式学习。</w:t>
            </w:r>
          </w:p>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cs="宋体"/>
                <w:b/>
                <w:color w:val="auto"/>
                <w:sz w:val="21"/>
                <w:szCs w:val="21"/>
                <w:lang w:val="en-US" w:eastAsia="zh-CN"/>
              </w:rPr>
              <w:t>在线</w:t>
            </w:r>
            <w:r>
              <w:rPr>
                <w:rFonts w:hint="eastAsia" w:ascii="宋体" w:hAnsi="宋体" w:eastAsia="宋体" w:cs="宋体"/>
                <w:b/>
                <w:color w:val="auto"/>
                <w:sz w:val="21"/>
                <w:szCs w:val="21"/>
              </w:rPr>
              <w:t>仿真</w:t>
            </w:r>
            <w:r>
              <w:rPr>
                <w:rFonts w:hint="eastAsia" w:ascii="宋体" w:hAnsi="宋体" w:cs="宋体"/>
                <w:b/>
                <w:color w:val="auto"/>
                <w:sz w:val="21"/>
                <w:szCs w:val="21"/>
                <w:lang w:val="en-US" w:eastAsia="zh-CN"/>
              </w:rPr>
              <w:t>学习</w:t>
            </w:r>
            <w:r>
              <w:rPr>
                <w:rFonts w:hint="eastAsia" w:ascii="宋体" w:hAnsi="宋体" w:eastAsia="宋体" w:cs="宋体"/>
                <w:b/>
                <w:color w:val="auto"/>
                <w:sz w:val="21"/>
                <w:szCs w:val="21"/>
              </w:rPr>
              <w:t>实训平台</w:t>
            </w:r>
          </w:p>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1、技术要求：</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bookmarkStart w:id="73" w:name="OLE_LINK1"/>
            <w:r>
              <w:rPr>
                <w:rFonts w:hint="eastAsia" w:ascii="宋体" w:hAnsi="宋体" w:eastAsia="宋体" w:cs="宋体"/>
                <w:color w:val="auto"/>
                <w:sz w:val="21"/>
                <w:szCs w:val="21"/>
              </w:rPr>
              <w:t>平台能够发布包括仿真实训资源在内的多种教学资源，能够根据教学需要灵活组织平台中的各类课程资源。支持课堂实训、自主实训等多种教学模式，同时可以从多维度采集学生的学习行为数据。</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平台需具备在线教学所需的管理、授课等功能，此外平台还应提供作业、公告和统计分析模块。不仅能够支持对本校学生提供服务，还能让学校通过平台组织面向社会的教学培训和服务支持。</w:t>
            </w:r>
          </w:p>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bookmarkEnd w:id="73"/>
            <w:r>
              <w:rPr>
                <w:rFonts w:hint="eastAsia" w:ascii="宋体" w:hAnsi="宋体" w:eastAsia="宋体" w:cs="宋体"/>
                <w:b/>
                <w:color w:val="auto"/>
                <w:sz w:val="21"/>
                <w:szCs w:val="21"/>
              </w:rPr>
              <w:t>、教学功能要求：</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所有功能必须支持通过B/S模式完成，所有实操互动内容能够通过浏览器直接完成，并在网络环境满足的条件下能够支持互联网教学；</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平台功能模块需包括教务管理、教学管理、在线学习、资源－课程管理、站内答疑、新闻公告、作业管理、统计分析等模块；</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rPr>
              <w:t>教务管理模块：要求能够对院校基本信息进行配置，包括各院系学制、下设院系、专业、班级及学生教师信息的管理，能够根据专业设置对其分配专业公共课。</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教学管理模块：要求针对教学过程中涉及到的功能模块进行配置，包括针对班级教学过程的班级课程表，布置、回收及批改作业，针对学生学习过程中的疑问进行在线答疑，以及发布站内新闻公告；</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rPr>
              <w:t>学习功能：要求学生根据教师排定的专业课程、班级课程，根据其入学年份自动显示当前学期所需要学习的内容，并进行在线学习。学习数据自动回收并统计到学习履历；</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教学资源：要求教师能够上传教学课件，其课件形式包括互动资源、互动云资源、图文文件、视频、外站链接等课件形式。并通过课程管理功能自主编排课程； </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rPr>
              <w:t>统计分析模块：要求能够按班级和课程自动分析统计学生的学习情况。</w:t>
            </w:r>
          </w:p>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3、实训功能要求：</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实现互动效果：采用互动技术手段完成实验内容，通过实际的动手操作，加强学生对实用技能的掌握；</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实训辅助说明：提供实训任务技能点和操作指导，方便学生实训操作及检查；</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实训进度提醒：在实训过程中能够实时掌握实训各技能点操作是否正确，实训后可整体掌握实训完成情况；</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实训结果反馈：完成实训课件后自动判定结果并进行记录；</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支持课件内提问：支持学生在学习课件过程中遇到问题随即提问，自动收集问题所处课件名称、技能点名称一同提交给答疑教师； </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实验组织灵活：支持所有学生同时在线操作不同的实训内容；</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互联网教学：所有实训内容都能通过校园网或互联网进行操作，不受空间地点限制。</w:t>
            </w:r>
          </w:p>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三、仿真</w:t>
            </w:r>
            <w:r>
              <w:rPr>
                <w:rFonts w:hint="eastAsia" w:ascii="宋体" w:hAnsi="宋体" w:cs="宋体"/>
                <w:b/>
                <w:color w:val="auto"/>
                <w:sz w:val="21"/>
                <w:szCs w:val="21"/>
                <w:lang w:val="en-US" w:eastAsia="zh-CN"/>
              </w:rPr>
              <w:t>互动</w:t>
            </w:r>
            <w:r>
              <w:rPr>
                <w:rFonts w:hint="eastAsia" w:ascii="宋体" w:hAnsi="宋体" w:eastAsia="宋体" w:cs="宋体"/>
                <w:b/>
                <w:color w:val="auto"/>
                <w:sz w:val="21"/>
                <w:szCs w:val="21"/>
              </w:rPr>
              <w:t>实训资源</w:t>
            </w:r>
            <w:r>
              <w:rPr>
                <w:rFonts w:hint="eastAsia" w:ascii="宋体" w:hAnsi="宋体" w:cs="宋体"/>
                <w:b/>
                <w:color w:val="auto"/>
                <w:sz w:val="21"/>
                <w:szCs w:val="21"/>
                <w:lang w:val="en-US" w:eastAsia="zh-CN"/>
              </w:rPr>
              <w:t>包</w:t>
            </w:r>
          </w:p>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val="0"/>
                <w:bCs/>
                <w:color w:val="auto"/>
                <w:sz w:val="21"/>
                <w:szCs w:val="21"/>
                <w:lang w:val="en-US" w:eastAsia="zh-CN"/>
              </w:rPr>
            </w:pPr>
            <w:r>
              <w:rPr>
                <w:rFonts w:hint="eastAsia" w:ascii="宋体" w:hAnsi="宋体" w:eastAsia="宋体" w:cs="宋体"/>
                <w:color w:val="auto"/>
                <w:kern w:val="2"/>
                <w:sz w:val="21"/>
                <w:szCs w:val="21"/>
                <w:lang w:val="en-US" w:eastAsia="zh-CN" w:bidi="ar-SA"/>
              </w:rPr>
              <w:t>平台提供烹饪专业的资源包，分别为中餐20个课件、西餐20个课件及点心20个课件，共60个课件，最终内容由采购单位决定，可根据采购单位需求进行定制开发，类型不限图片、文字及视频等。</w:t>
            </w:r>
          </w:p>
          <w:p>
            <w:pPr>
              <w:pStyle w:val="81"/>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（一）总体要求：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所有教学资源的制作应满足教育部认可的教育资源、教育信息系统开发管理和维护规范。具体要求如下：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1.数字化公共资源建设标准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（1）文本素材技术要求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本素材汉字采用GB码统一编码和存储，英文字母和符号采用ASCII编码和存储；文本类型的资源可以是文本、doc、docx、ppt、pptx、xls、xlsx、pdf、rtx等格式，但为了保护作者知识产权，在点播时转换成FlashPaper格式，防止非法拷贝。</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（2）示意图片技术要求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示意图片一般指公式图、流程图、结构图等一类用来描述某一特定事务、过程信息等通过手工或计算机绘制而出的图片。此类图片要求图像在视觉上清晰，图片上的文字字号在“五号”（12磅）以上。流程图、结构图图像尺寸的长或宽在500px以上，解析度96DPI以上。文件的格式为GIF、JPG（jpeg）、PNG。</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（3）实拍照片技术要求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实拍照片是指在实验现场、操作现场、实物展示现场等地方使用照相设备拍摄到的真实照片。此类图片对清晰度要求较高，尺寸须在1920X1080（即有效象素达到200万）以上，解析度须在96DPI以上。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（4）教学视频</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教学视频通常是指教师在课程上进行授课时的影像记录，或者实验现场、操作现场、实物展示现场的影像记录。此类视频的要求主要分为3个方面。</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1)环境要求。在录像时，需要保证光线充足，场所安静。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2)作者要求。教师衣着整洁，讲话清晰，使用标准普通话（外语学科需要除外），板书清楚。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b w:val="0"/>
                <w:bCs/>
                <w:color w:val="auto"/>
                <w:sz w:val="21"/>
                <w:szCs w:val="21"/>
                <w:lang w:val="en-US" w:eastAsia="zh-CN"/>
              </w:rPr>
            </w:pPr>
            <w:r>
              <w:rPr>
                <w:rFonts w:hint="eastAsia" w:ascii="宋体" w:hAnsi="宋体" w:eastAsia="宋体" w:cs="宋体"/>
                <w:color w:val="auto"/>
                <w:sz w:val="21"/>
                <w:szCs w:val="21"/>
                <w:highlight w:val="none"/>
              </w:rPr>
              <w:t>3)设备及存储格式要求。考虑到网络带宽限制，当视频用于网络传输时，须对原始文件进行重新编码压缩，用于个人电脑播放可使用AVI、WMV、FLV格式，用于平板电脑、手机播放时建议使用MP4格式。如果视频在校园局域网内使用，则可压缩为640X480等级，如果是在互联网上使用，则要根据服务器带宽和客户宽带进行分辨率和码率的调整压缩。通常在服务器端带宽充足的情况下，1M客户带宽可较流畅的播放320X240级别的FLV格式视频。具体压缩等级视各方情况而定。</w:t>
            </w:r>
          </w:p>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（二）提供西餐课件列表（供参考）：</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4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58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课件名称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任务一 </w:t>
                  </w:r>
                  <w:r>
                    <w:rPr>
                      <w:rFonts w:hint="eastAsia" w:ascii="宋体" w:hAnsi="宋体" w:cs="宋体"/>
                      <w:color w:val="auto"/>
                      <w:sz w:val="21"/>
                      <w:szCs w:val="21"/>
                      <w:lang w:val="en-US" w:eastAsia="zh-CN"/>
                    </w:rPr>
                    <w:t>烹饪基础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2</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任务二 </w:t>
                  </w:r>
                  <w:r>
                    <w:rPr>
                      <w:rFonts w:hint="eastAsia" w:ascii="宋体" w:hAnsi="宋体" w:cs="宋体"/>
                      <w:color w:val="auto"/>
                      <w:sz w:val="21"/>
                      <w:szCs w:val="21"/>
                      <w:lang w:val="en-US" w:eastAsia="zh-CN"/>
                    </w:rPr>
                    <w:t>西餐的菜式及特点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3</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任务三 </w:t>
                  </w:r>
                  <w:r>
                    <w:rPr>
                      <w:rFonts w:hint="eastAsia" w:ascii="宋体" w:hAnsi="宋体" w:cs="宋体"/>
                      <w:color w:val="auto"/>
                      <w:sz w:val="21"/>
                      <w:szCs w:val="21"/>
                      <w:lang w:val="en-US" w:eastAsia="zh-CN"/>
                    </w:rPr>
                    <w:t>西餐概论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4</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任务四 </w:t>
                  </w:r>
                  <w:r>
                    <w:rPr>
                      <w:rFonts w:hint="eastAsia" w:ascii="宋体" w:hAnsi="宋体" w:cs="宋体"/>
                      <w:color w:val="auto"/>
                      <w:sz w:val="21"/>
                      <w:szCs w:val="21"/>
                      <w:lang w:val="en-US" w:eastAsia="zh-CN"/>
                    </w:rPr>
                    <w:t>原料认别及保管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5</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任务五 </w:t>
                  </w:r>
                  <w:r>
                    <w:rPr>
                      <w:rFonts w:hint="eastAsia" w:ascii="宋体" w:hAnsi="宋体" w:cs="宋体"/>
                      <w:color w:val="auto"/>
                      <w:sz w:val="21"/>
                      <w:szCs w:val="21"/>
                      <w:lang w:val="en-US" w:eastAsia="zh-CN"/>
                    </w:rPr>
                    <w:t>调味基础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6</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rPr>
                  </w:pPr>
                  <w:r>
                    <w:rPr>
                      <w:rFonts w:hint="eastAsia" w:ascii="宋体" w:hAnsi="宋体" w:eastAsia="宋体" w:cs="宋体"/>
                      <w:color w:val="auto"/>
                      <w:sz w:val="21"/>
                      <w:szCs w:val="21"/>
                    </w:rPr>
                    <w:t xml:space="preserve">任务六 </w:t>
                  </w:r>
                  <w:r>
                    <w:rPr>
                      <w:rFonts w:hint="eastAsia" w:ascii="宋体" w:hAnsi="宋体" w:cs="宋体"/>
                      <w:color w:val="auto"/>
                      <w:sz w:val="21"/>
                      <w:szCs w:val="21"/>
                      <w:lang w:val="en-US" w:eastAsia="zh-CN"/>
                    </w:rPr>
                    <w:t>烹饪营养及卫生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7</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任务七 </w:t>
                  </w:r>
                  <w:r>
                    <w:rPr>
                      <w:rFonts w:hint="eastAsia" w:ascii="宋体" w:hAnsi="宋体" w:cs="宋体"/>
                      <w:color w:val="auto"/>
                      <w:sz w:val="21"/>
                      <w:szCs w:val="21"/>
                      <w:lang w:val="en-US" w:eastAsia="zh-CN"/>
                    </w:rPr>
                    <w:t>香辛料知识及及运用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8</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任务八 </w:t>
                  </w:r>
                  <w:r>
                    <w:rPr>
                      <w:rFonts w:hint="eastAsia" w:ascii="宋体" w:hAnsi="宋体" w:cs="宋体"/>
                      <w:color w:val="auto"/>
                      <w:sz w:val="21"/>
                      <w:szCs w:val="21"/>
                      <w:lang w:val="en-US" w:eastAsia="zh-CN"/>
                    </w:rPr>
                    <w:t>成本核算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9</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任务九 </w:t>
                  </w:r>
                  <w:r>
                    <w:rPr>
                      <w:rFonts w:hint="eastAsia" w:ascii="宋体" w:hAnsi="宋体" w:cs="宋体"/>
                      <w:color w:val="auto"/>
                      <w:sz w:val="21"/>
                      <w:szCs w:val="21"/>
                      <w:lang w:val="en-US" w:eastAsia="zh-CN"/>
                    </w:rPr>
                    <w:t>汤菜制作基础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10</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任务十 </w:t>
                  </w:r>
                  <w:r>
                    <w:rPr>
                      <w:rFonts w:hint="eastAsia" w:ascii="宋体" w:hAnsi="宋体" w:cs="宋体"/>
                      <w:color w:val="auto"/>
                      <w:sz w:val="21"/>
                      <w:szCs w:val="21"/>
                      <w:lang w:val="en-US" w:eastAsia="zh-CN"/>
                    </w:rPr>
                    <w:t>沙拉基础知识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11</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任务十一 </w:t>
                  </w:r>
                  <w:r>
                    <w:rPr>
                      <w:rFonts w:hint="eastAsia" w:ascii="宋体" w:hAnsi="宋体" w:cs="宋体"/>
                      <w:color w:val="auto"/>
                      <w:sz w:val="21"/>
                      <w:szCs w:val="21"/>
                      <w:lang w:val="en-US" w:eastAsia="zh-CN"/>
                    </w:rPr>
                    <w:t>三明治基础知识及变化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12</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任务十二 </w:t>
                  </w:r>
                  <w:r>
                    <w:rPr>
                      <w:rFonts w:hint="eastAsia" w:ascii="宋体" w:hAnsi="宋体" w:cs="宋体"/>
                      <w:color w:val="auto"/>
                      <w:sz w:val="21"/>
                      <w:szCs w:val="21"/>
                      <w:lang w:val="en-US" w:eastAsia="zh-CN"/>
                    </w:rPr>
                    <w:t>西餐礼仪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13</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任务十三 </w:t>
                  </w:r>
                  <w:r>
                    <w:rPr>
                      <w:rFonts w:hint="eastAsia" w:ascii="宋体" w:hAnsi="宋体" w:cs="宋体"/>
                      <w:color w:val="auto"/>
                      <w:sz w:val="21"/>
                      <w:szCs w:val="21"/>
                      <w:lang w:val="en-US" w:eastAsia="zh-CN"/>
                    </w:rPr>
                    <w:t>菜单制作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14</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任务十四 </w:t>
                  </w:r>
                  <w:r>
                    <w:rPr>
                      <w:rFonts w:hint="eastAsia" w:ascii="宋体" w:hAnsi="宋体" w:cs="宋体"/>
                      <w:color w:val="auto"/>
                      <w:sz w:val="21"/>
                      <w:szCs w:val="21"/>
                      <w:lang w:val="en-US" w:eastAsia="zh-CN"/>
                    </w:rPr>
                    <w:t>开胃汤品制作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15</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任务</w:t>
                  </w:r>
                  <w:r>
                    <w:rPr>
                      <w:rFonts w:hint="eastAsia" w:ascii="宋体" w:hAnsi="宋体" w:cs="宋体"/>
                      <w:color w:val="auto"/>
                      <w:sz w:val="21"/>
                      <w:szCs w:val="21"/>
                      <w:lang w:val="en-US" w:eastAsia="zh-CN"/>
                    </w:rPr>
                    <w:t>十五</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沙司制作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16</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任务</w:t>
                  </w:r>
                  <w:r>
                    <w:rPr>
                      <w:rFonts w:hint="eastAsia" w:ascii="宋体" w:hAnsi="宋体" w:cs="宋体"/>
                      <w:color w:val="auto"/>
                      <w:sz w:val="21"/>
                      <w:szCs w:val="21"/>
                      <w:lang w:val="en-US" w:eastAsia="zh-CN"/>
                    </w:rPr>
                    <w:t>十六</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西式早餐菜品制作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17</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任务</w:t>
                  </w:r>
                  <w:r>
                    <w:rPr>
                      <w:rFonts w:hint="eastAsia" w:ascii="宋体" w:hAnsi="宋体" w:cs="宋体"/>
                      <w:color w:val="auto"/>
                      <w:sz w:val="21"/>
                      <w:szCs w:val="21"/>
                      <w:lang w:val="en-US" w:eastAsia="zh-CN"/>
                    </w:rPr>
                    <w:t>十七</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厨房基础英文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18</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任务</w:t>
                  </w:r>
                  <w:r>
                    <w:rPr>
                      <w:rFonts w:hint="eastAsia" w:ascii="宋体" w:hAnsi="宋体" w:cs="宋体"/>
                      <w:color w:val="auto"/>
                      <w:sz w:val="21"/>
                      <w:szCs w:val="21"/>
                      <w:lang w:val="en-US" w:eastAsia="zh-CN"/>
                    </w:rPr>
                    <w:t>十八</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咖啡制作及冲调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19</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任务</w:t>
                  </w:r>
                  <w:r>
                    <w:rPr>
                      <w:rFonts w:hint="eastAsia" w:ascii="宋体" w:hAnsi="宋体" w:cs="宋体"/>
                      <w:color w:val="auto"/>
                      <w:sz w:val="21"/>
                      <w:szCs w:val="21"/>
                      <w:lang w:val="en-US" w:eastAsia="zh-CN"/>
                    </w:rPr>
                    <w:t>十九</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商务餐制作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20</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任务</w:t>
                  </w:r>
                  <w:r>
                    <w:rPr>
                      <w:rFonts w:hint="eastAsia" w:ascii="宋体" w:hAnsi="宋体" w:cs="宋体"/>
                      <w:color w:val="auto"/>
                      <w:sz w:val="21"/>
                      <w:szCs w:val="21"/>
                      <w:lang w:val="en-US" w:eastAsia="zh-CN"/>
                    </w:rPr>
                    <w:t>二十</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海鲜及肉禽菜品制作</w:t>
                  </w:r>
                </w:p>
              </w:tc>
            </w:tr>
          </w:tbl>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四</w:t>
            </w:r>
            <w:r>
              <w:rPr>
                <w:rFonts w:hint="eastAsia" w:ascii="宋体" w:hAnsi="宋体" w:eastAsia="宋体" w:cs="宋体"/>
                <w:b/>
                <w:color w:val="auto"/>
                <w:sz w:val="21"/>
                <w:szCs w:val="21"/>
              </w:rPr>
              <w:t>、</w:t>
            </w:r>
            <w:r>
              <w:rPr>
                <w:rFonts w:hint="eastAsia" w:ascii="宋体" w:hAnsi="宋体" w:cs="宋体"/>
                <w:b/>
                <w:color w:val="auto"/>
                <w:sz w:val="21"/>
                <w:szCs w:val="21"/>
                <w:lang w:val="en-US" w:eastAsia="zh-CN"/>
              </w:rPr>
              <w:t>其它要求</w:t>
            </w:r>
          </w:p>
          <w:p>
            <w:pPr>
              <w:widowControl/>
              <w:spacing w:line="240" w:lineRule="auto"/>
              <w:jc w:val="left"/>
              <w:rPr>
                <w:rFonts w:hint="default" w:ascii="宋体" w:hAnsi="宋体" w:eastAsia="宋体" w:cs="宋体"/>
                <w:color w:val="0000FF"/>
                <w:kern w:val="2"/>
                <w:sz w:val="21"/>
                <w:szCs w:val="21"/>
                <w:lang w:val="en-US" w:eastAsia="zh-CN" w:bidi="ar-SA"/>
              </w:rPr>
            </w:pPr>
            <w:r>
              <w:rPr>
                <w:rFonts w:hint="eastAsia" w:ascii="宋体" w:hAnsi="宋体" w:eastAsia="宋体" w:cs="宋体"/>
                <w:color w:val="0000FF"/>
                <w:kern w:val="2"/>
                <w:sz w:val="21"/>
                <w:szCs w:val="21"/>
                <w:lang w:val="en-US" w:eastAsia="zh-CN" w:bidi="ar-SA"/>
              </w:rPr>
              <w:t>★需要提供现场演示。</w:t>
            </w:r>
          </w:p>
          <w:p>
            <w:pPr>
              <w:widowControl/>
              <w:spacing w:line="240" w:lineRule="auto"/>
              <w:jc w:val="left"/>
              <w:rPr>
                <w:rFonts w:hint="default" w:ascii="宋体" w:hAnsi="宋体" w:eastAsia="宋体" w:cs="宋体"/>
                <w:color w:val="0000FF"/>
                <w:kern w:val="2"/>
                <w:sz w:val="21"/>
                <w:szCs w:val="21"/>
                <w:lang w:val="en-US" w:eastAsia="zh-CN" w:bidi="ar-SA"/>
              </w:rPr>
            </w:pPr>
            <w:r>
              <w:rPr>
                <w:rFonts w:hint="eastAsia" w:ascii="宋体" w:hAnsi="宋体" w:eastAsia="宋体" w:cs="宋体"/>
                <w:color w:val="0000FF"/>
                <w:kern w:val="2"/>
                <w:sz w:val="21"/>
                <w:szCs w:val="21"/>
                <w:lang w:val="en-US" w:eastAsia="zh-CN" w:bidi="ar-SA"/>
              </w:rPr>
              <w:t>★提供彩页并加盖生产厂家公章以佐证参数。</w:t>
            </w:r>
          </w:p>
          <w:p>
            <w:pPr>
              <w:widowControl/>
              <w:spacing w:line="240" w:lineRule="auto"/>
              <w:jc w:val="left"/>
              <w:rPr>
                <w:rFonts w:hint="eastAsia" w:ascii="宋体" w:hAnsi="宋体" w:eastAsia="宋体" w:cs="宋体"/>
                <w:color w:val="auto"/>
                <w:kern w:val="0"/>
                <w:sz w:val="21"/>
                <w:szCs w:val="21"/>
                <w:lang w:bidi="ar"/>
              </w:rPr>
            </w:pPr>
            <w:r>
              <w:rPr>
                <w:rFonts w:hint="eastAsia" w:ascii="宋体" w:hAnsi="宋体" w:eastAsia="宋体" w:cs="宋体"/>
                <w:color w:val="0000FF"/>
                <w:kern w:val="2"/>
                <w:sz w:val="21"/>
                <w:szCs w:val="21"/>
                <w:lang w:val="en-US" w:eastAsia="zh-CN" w:bidi="ar-SA"/>
              </w:rPr>
              <w:t>★提供原厂授权书原件及原厂3年售后服务承诺书原件</w:t>
            </w:r>
            <w:r>
              <w:rPr>
                <w:rFonts w:hint="eastAsia" w:ascii="宋体" w:hAnsi="宋体" w:cs="宋体"/>
                <w:color w:val="0000FF"/>
                <w:kern w:val="0"/>
                <w:sz w:val="21"/>
                <w:szCs w:val="21"/>
                <w:lang w:eastAsia="zh-CN"/>
              </w:rPr>
              <w:t>（</w:t>
            </w:r>
            <w:r>
              <w:rPr>
                <w:rFonts w:hint="eastAsia" w:ascii="宋体" w:hAnsi="宋体" w:cs="宋体"/>
                <w:color w:val="0000FF"/>
                <w:kern w:val="0"/>
                <w:sz w:val="21"/>
                <w:szCs w:val="21"/>
                <w:lang w:val="en-US" w:eastAsia="zh-CN"/>
              </w:rPr>
              <w:t>须厂商加盖公章）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电磁炉一体火锅桌</w:t>
            </w:r>
          </w:p>
        </w:tc>
        <w:tc>
          <w:tcPr>
            <w:tcW w:w="0" w:type="auto"/>
            <w:vAlign w:val="center"/>
          </w:tcPr>
          <w:p>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0" w:type="auto"/>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台</w:t>
            </w:r>
          </w:p>
        </w:tc>
        <w:tc>
          <w:tcPr>
            <w:tcW w:w="0" w:type="auto"/>
          </w:tcPr>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1、尺寸：直径2米圆桌</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2、炉数：12个 </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3、功率800w</w:t>
            </w:r>
          </w:p>
          <w:p>
            <w:pPr>
              <w:spacing w:line="240" w:lineRule="auto"/>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4、匹配12个304不锈钢涮锅（整套）</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触屏控制</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5、3C认证钢化玻璃 </w:t>
            </w:r>
          </w:p>
          <w:p>
            <w:pPr>
              <w:spacing w:line="240" w:lineRule="auto"/>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6、配手动转盘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燃气三层六盘烘烤箱</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层数：3层</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盘数：6</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容量：112L</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自动化程度：电脑款</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1、整机采用不锈钢</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2、双漏电保护装置</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3、超温保护装置</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4、铜芯风机</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5、国标五芯线缆</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6、不锈钢移动支架</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7、不锈钢厚度0.6cm</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8、7.5cm加厚保温层</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9、蜂鸣报警装置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文化墙</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0" w:type="auto"/>
          </w:tcPr>
          <w:p>
            <w:pPr>
              <w:numPr>
                <w:ilvl w:val="0"/>
                <w:numId w:val="171"/>
              </w:num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排烟管</w:t>
            </w:r>
            <w:r>
              <w:rPr>
                <w:rFonts w:hint="eastAsia" w:ascii="宋体" w:hAnsi="宋体" w:eastAsia="宋体" w:cs="宋体"/>
                <w:color w:val="auto"/>
                <w:sz w:val="21"/>
                <w:szCs w:val="21"/>
                <w:lang w:val="en-US" w:eastAsia="zh-CN"/>
              </w:rPr>
              <w:t>尺寸70m*1.2m、全部做LED灯箱（UV软膜天花、led无边框、卡布灯箱、边框材质：铝合金边框6000-9000色温）含10-15道常见中餐菜品做法及配料流程图，根据场地设计。</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r>
              <w:rPr>
                <w:rFonts w:hint="eastAsia" w:ascii="宋体" w:hAnsi="宋体" w:eastAsia="宋体" w:cs="宋体"/>
                <w:color w:val="auto"/>
                <w:sz w:val="21"/>
                <w:szCs w:val="21"/>
              </w:rPr>
              <w:t>个柱子</w:t>
            </w:r>
            <w:r>
              <w:rPr>
                <w:rFonts w:hint="eastAsia" w:ascii="宋体" w:hAnsi="宋体" w:eastAsia="宋体" w:cs="宋体"/>
                <w:color w:val="auto"/>
                <w:sz w:val="21"/>
                <w:szCs w:val="21"/>
                <w:lang w:val="en-US" w:eastAsia="zh-CN"/>
              </w:rPr>
              <w:t>尺寸:60*60*320cm，全部做LED灯箱，（UV软膜天花、led无边框、卡布灯箱、边框材质：铝合金边框6000-9000色温）主要类容为技能大赛规程等。</w:t>
            </w:r>
          </w:p>
          <w:p>
            <w:pPr>
              <w:spacing w:line="240" w:lineRule="auto"/>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3、20块励志格言和功能区划分标牌尺寸不低于1.2*1.8m。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电能平板双头电磁炉</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额定电压（V）：220V</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产品净重（kg）：1kg</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额定功率（W）：3500W</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含</w:t>
            </w:r>
            <w:r>
              <w:rPr>
                <w:rFonts w:hint="eastAsia" w:ascii="宋体" w:hAnsi="宋体" w:eastAsia="宋体" w:cs="宋体"/>
                <w:color w:val="auto"/>
                <w:sz w:val="21"/>
                <w:szCs w:val="21"/>
                <w:lang w:val="en-US" w:eastAsia="zh-CN"/>
              </w:rPr>
              <w:t>不锈钢</w:t>
            </w:r>
            <w:r>
              <w:rPr>
                <w:rFonts w:hint="eastAsia" w:ascii="宋体" w:hAnsi="宋体" w:eastAsia="宋体" w:cs="宋体"/>
                <w:color w:val="auto"/>
                <w:sz w:val="21"/>
                <w:szCs w:val="21"/>
              </w:rPr>
              <w:t>定制台面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西餐平底煎锅</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直径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高：5cm</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主材质：</w:t>
            </w:r>
            <w:r>
              <w:rPr>
                <w:rFonts w:hint="eastAsia" w:ascii="宋体" w:hAnsi="宋体" w:eastAsia="宋体" w:cs="宋体"/>
                <w:color w:val="auto"/>
                <w:sz w:val="21"/>
                <w:szCs w:val="21"/>
              </w:rPr>
              <w:t>麦饭石</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锅底采用：微感热敏导磁体</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匹配盖子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竹蒸笼及笼盖</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规格：外径30cm，外高9.0cm，内径27.2cm，内深6.2cm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不锈钢油盆2个</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材质</w:t>
            </w:r>
            <w:r>
              <w:rPr>
                <w:rFonts w:hint="eastAsia" w:ascii="宋体" w:hAnsi="宋体" w:eastAsia="宋体" w:cs="宋体"/>
                <w:color w:val="auto"/>
                <w:sz w:val="21"/>
                <w:szCs w:val="21"/>
                <w:lang w:val="en-US" w:eastAsia="zh-CN"/>
              </w:rPr>
              <w:t>:SUS304不锈钢</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尺寸：9寸  （外径长度：27.5触摸内径长度：23.5cm 、高度14cm、底部直径16.5cm）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容积：5L</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配：28CM漏勺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11</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不锈钢8格调味盒</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不锈钢圆形8格调味盒</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味箱材质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201无磁不锈钢</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内格可放下十两大勺</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外</w:t>
            </w:r>
            <w:r>
              <w:rPr>
                <w:rFonts w:hint="eastAsia" w:ascii="宋体" w:hAnsi="宋体" w:eastAsia="宋体" w:cs="宋体"/>
                <w:color w:val="auto"/>
                <w:sz w:val="21"/>
                <w:szCs w:val="21"/>
              </w:rPr>
              <w:t>尺寸：长4</w:t>
            </w:r>
            <w:r>
              <w:rPr>
                <w:rFonts w:hint="eastAsia" w:ascii="宋体" w:hAnsi="宋体" w:eastAsia="宋体" w:cs="宋体"/>
                <w:color w:val="auto"/>
                <w:sz w:val="21"/>
                <w:szCs w:val="21"/>
                <w:lang w:val="en-US" w:eastAsia="zh-CN"/>
              </w:rPr>
              <w:t>9cm</w:t>
            </w:r>
            <w:r>
              <w:rPr>
                <w:rFonts w:hint="eastAsia" w:ascii="宋体" w:hAnsi="宋体" w:eastAsia="宋体" w:cs="宋体"/>
                <w:color w:val="auto"/>
                <w:sz w:val="21"/>
                <w:szCs w:val="21"/>
              </w:rPr>
              <w:t xml:space="preserve">   宽</w:t>
            </w:r>
            <w:r>
              <w:rPr>
                <w:rFonts w:hint="eastAsia" w:ascii="宋体" w:hAnsi="宋体" w:eastAsia="宋体" w:cs="宋体"/>
                <w:color w:val="auto"/>
                <w:sz w:val="21"/>
                <w:szCs w:val="21"/>
                <w:lang w:val="en-US" w:eastAsia="zh-CN"/>
              </w:rPr>
              <w:t>32.5cm</w:t>
            </w:r>
            <w:r>
              <w:rPr>
                <w:rFonts w:hint="eastAsia" w:ascii="宋体" w:hAnsi="宋体" w:eastAsia="宋体" w:cs="宋体"/>
                <w:color w:val="auto"/>
                <w:sz w:val="21"/>
                <w:szCs w:val="21"/>
              </w:rPr>
              <w:t xml:space="preserve">  高 </w:t>
            </w:r>
            <w:r>
              <w:rPr>
                <w:rFonts w:hint="eastAsia" w:ascii="宋体" w:hAnsi="宋体" w:eastAsia="宋体" w:cs="宋体"/>
                <w:color w:val="auto"/>
                <w:sz w:val="21"/>
                <w:szCs w:val="21"/>
                <w:lang w:val="en-US" w:eastAsia="zh-CN"/>
              </w:rPr>
              <w:t>13cm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每格尺寸：直径16cm  高：10.5cm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12</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高脚玻璃杯、</w:t>
            </w:r>
            <w:r>
              <w:rPr>
                <w:rFonts w:hint="eastAsia" w:ascii="宋体" w:hAnsi="宋体" w:eastAsia="宋体" w:cs="宋体"/>
                <w:color w:val="auto"/>
                <w:sz w:val="21"/>
                <w:szCs w:val="21"/>
              </w:rPr>
              <w:t>锅铲、漏勺和木柄笊篱、竹手刷</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高脚玻璃杯：容量350ml,口径60mm,高度212mm</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铲子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304不锈钢铲子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总长39cm、铲宽10cm）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漏勺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不锈钢30cm大漏勺  长度51.9cm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木柄笊篱</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不锈钢直径24.5   手柄长度38cm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竹手刷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直径5cm  材质：毛竹  长度：30cm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13</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西餐烹饪套装工具</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煎铲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长度：38cm   宽度：8.2cm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意粉勺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长度：32cm   宽度：8cm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薯压器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材质SUS304  长度24.6   直径6cm</w:t>
            </w:r>
          </w:p>
          <w:p>
            <w:pPr>
              <w:spacing w:line="24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大铲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长度：38cm   宽度：10cm</w:t>
            </w:r>
          </w:p>
          <w:p>
            <w:pPr>
              <w:spacing w:line="24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漏勺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长度：39cm   宽度：10cm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打蛋器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10寸  长度：cm</w:t>
            </w:r>
          </w:p>
          <w:p>
            <w:pPr>
              <w:spacing w:line="24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饭勺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长度：32cm   宽度：7.5cm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14</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不锈钢食物夹</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不锈钢、长350mm   开口：168mm</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口宽：35mm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15</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塑料砧板</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材质：环保可降解稻壳塑料</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尺寸：380*290*9mm</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白色2块，红、蓝、绿、黄各1块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16</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作品尝试盘</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vAlign w:val="center"/>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8只、白色陶瓷7寸长方盘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17</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工装</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500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材质：白色，纯棉，</w:t>
            </w:r>
            <w:r>
              <w:rPr>
                <w:rFonts w:hint="eastAsia" w:ascii="宋体" w:hAnsi="宋体" w:eastAsia="宋体" w:cs="宋体"/>
                <w:color w:val="auto"/>
                <w:sz w:val="21"/>
                <w:szCs w:val="21"/>
                <w:lang w:val="en-US" w:eastAsia="zh-CN"/>
              </w:rPr>
              <w:t>含帽子</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身高范围：165—175</w:t>
            </w:r>
            <w:r>
              <w:rPr>
                <w:rFonts w:hint="eastAsia" w:ascii="宋体" w:hAnsi="宋体" w:eastAsia="宋体" w:cs="宋体"/>
                <w:color w:val="auto"/>
                <w:sz w:val="21"/>
                <w:szCs w:val="21"/>
                <w:lang w:val="en-US" w:eastAsia="zh-CN"/>
              </w:rPr>
              <w:t>c</w:t>
            </w:r>
            <w:r>
              <w:rPr>
                <w:rFonts w:hint="eastAsia" w:ascii="宋体" w:hAnsi="宋体" w:eastAsia="宋体" w:cs="宋体"/>
                <w:color w:val="auto"/>
                <w:sz w:val="21"/>
                <w:szCs w:val="21"/>
              </w:rPr>
              <w:t>m</w:t>
            </w:r>
          </w:p>
          <w:p>
            <w:pPr>
              <w:spacing w:line="240" w:lineRule="auto"/>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按学校要求刺绣文字及图案。</w:t>
            </w:r>
          </w:p>
        </w:tc>
      </w:tr>
    </w:tbl>
    <w:p>
      <w:pPr>
        <w:pStyle w:val="39"/>
        <w:rPr>
          <w:rFonts w:hint="eastAsia" w:eastAsiaTheme="minorEastAsia"/>
          <w:b/>
          <w:color w:val="000000" w:themeColor="text1"/>
          <w14:textFill>
            <w14:solidFill>
              <w14:schemeClr w14:val="tx1"/>
            </w14:solidFill>
          </w14:textFill>
        </w:rPr>
      </w:pPr>
    </w:p>
    <w:p>
      <w:pPr>
        <w:rPr>
          <w:rFonts w:hint="eastAsia" w:eastAsiaTheme="minorEastAsia"/>
          <w:b/>
          <w:color w:val="000000" w:themeColor="text1"/>
          <w14:textFill>
            <w14:solidFill>
              <w14:schemeClr w14:val="tx1"/>
            </w14:solidFill>
          </w14:textFill>
        </w:rPr>
      </w:pPr>
    </w:p>
    <w:p>
      <w:pPr>
        <w:pStyle w:val="39"/>
        <w:ind w:left="0" w:leftChars="0" w:firstLine="0" w:firstLineChars="0"/>
        <w:rPr>
          <w:rFonts w:hint="eastAsia" w:eastAsiaTheme="minorEastAsia"/>
          <w:b/>
          <w:color w:val="000000" w:themeColor="text1"/>
          <w14:textFill>
            <w14:solidFill>
              <w14:schemeClr w14:val="tx1"/>
            </w14:solidFill>
          </w14:textFill>
        </w:rPr>
      </w:pPr>
    </w:p>
    <w:p>
      <w:pPr>
        <w:rPr>
          <w:rFonts w:hint="eastAsia" w:eastAsiaTheme="minorEastAsia"/>
          <w:b/>
          <w:color w:val="000000" w:themeColor="text1"/>
          <w14:textFill>
            <w14:solidFill>
              <w14:schemeClr w14:val="tx1"/>
            </w14:solidFill>
          </w14:textFill>
        </w:rPr>
      </w:pPr>
    </w:p>
    <w:p>
      <w:pPr>
        <w:pStyle w:val="2"/>
        <w:rPr>
          <w:rFonts w:hint="eastAsia" w:eastAsiaTheme="minorEastAsia"/>
          <w:b/>
          <w:color w:val="000000" w:themeColor="text1"/>
          <w14:textFill>
            <w14:solidFill>
              <w14:schemeClr w14:val="tx1"/>
            </w14:solidFill>
          </w14:textFill>
        </w:rPr>
      </w:pPr>
    </w:p>
    <w:p>
      <w:pPr>
        <w:pStyle w:val="2"/>
        <w:rPr>
          <w:rFonts w:hint="eastAsia" w:eastAsiaTheme="minorEastAsia"/>
          <w:b/>
          <w:color w:val="000000" w:themeColor="text1"/>
          <w14:textFill>
            <w14:solidFill>
              <w14:schemeClr w14:val="tx1"/>
            </w14:solidFill>
          </w14:textFill>
        </w:rPr>
      </w:pPr>
    </w:p>
    <w:p>
      <w:pPr>
        <w:pStyle w:val="2"/>
        <w:rPr>
          <w:rFonts w:hint="eastAsia" w:eastAsiaTheme="minorEastAsia"/>
          <w:b/>
          <w:color w:val="000000" w:themeColor="text1"/>
          <w14:textFill>
            <w14:solidFill>
              <w14:schemeClr w14:val="tx1"/>
            </w14:solidFill>
          </w14:textFill>
        </w:rPr>
      </w:pPr>
    </w:p>
    <w:p>
      <w:pPr>
        <w:pStyle w:val="2"/>
        <w:rPr>
          <w:rFonts w:hint="eastAsia" w:eastAsiaTheme="minorEastAsia"/>
          <w:b/>
          <w:color w:val="000000" w:themeColor="text1"/>
          <w14:textFill>
            <w14:solidFill>
              <w14:schemeClr w14:val="tx1"/>
            </w14:solidFill>
          </w14:textFill>
        </w:rPr>
      </w:pPr>
    </w:p>
    <w:p>
      <w:pPr>
        <w:pStyle w:val="2"/>
        <w:rPr>
          <w:rFonts w:hint="eastAsia" w:eastAsiaTheme="minorEastAsia"/>
          <w:b/>
          <w:color w:val="000000" w:themeColor="text1"/>
          <w14:textFill>
            <w14:solidFill>
              <w14:schemeClr w14:val="tx1"/>
            </w14:solidFill>
          </w14:textFill>
        </w:rPr>
      </w:pPr>
    </w:p>
    <w:p>
      <w:pPr>
        <w:pStyle w:val="14"/>
        <w:rPr>
          <w:rFonts w:hint="eastAsia"/>
        </w:rPr>
      </w:pPr>
    </w:p>
    <w:p>
      <w:pPr>
        <w:pStyle w:val="39"/>
        <w:ind w:left="0" w:leftChars="0" w:firstLine="0" w:firstLineChars="0"/>
        <w:rPr>
          <w:rFonts w:hint="eastAsia"/>
        </w:rPr>
      </w:pPr>
    </w:p>
    <w:p>
      <w:pPr>
        <w:pStyle w:val="3"/>
        <w:numPr>
          <w:ilvl w:val="0"/>
          <w:numId w:val="169"/>
        </w:numPr>
        <w:spacing w:line="662" w:lineRule="exact"/>
        <w:ind w:right="82"/>
        <w:jc w:val="center"/>
        <w:rPr>
          <w:rFonts w:hint="eastAsia"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 xml:space="preserve">  </w:t>
      </w:r>
      <w:bookmarkStart w:id="74" w:name="_Toc22554"/>
      <w:r>
        <w:rPr>
          <w:rFonts w:hint="eastAsia" w:eastAsia="宋体"/>
          <w:b/>
          <w:color w:val="000000" w:themeColor="text1"/>
          <w:lang w:val="en-US" w:eastAsia="zh-CN"/>
          <w14:textFill>
            <w14:solidFill>
              <w14:schemeClr w14:val="tx1"/>
            </w14:solidFill>
          </w14:textFill>
        </w:rPr>
        <w:t>投标文件格式</w:t>
      </w:r>
      <w:bookmarkEnd w:id="74"/>
    </w:p>
    <w:p>
      <w:pPr>
        <w:rPr>
          <w:rFonts w:eastAsiaTheme="minorEastAsia"/>
        </w:rPr>
      </w:pPr>
    </w:p>
    <w:p>
      <w:pPr>
        <w:pStyle w:val="14"/>
        <w:spacing w:before="2"/>
        <w:ind w:left="0"/>
        <w:rPr>
          <w:color w:val="000000" w:themeColor="text1"/>
          <w:sz w:val="21"/>
          <w14:textFill>
            <w14:solidFill>
              <w14:schemeClr w14:val="tx1"/>
            </w14:solidFill>
          </w14:textFill>
        </w:rPr>
      </w:pPr>
    </w:p>
    <w:p>
      <w:pPr>
        <w:spacing w:line="283" w:lineRule="auto"/>
        <w:ind w:left="4872" w:right="5591"/>
        <w:jc w:val="both"/>
        <w:rPr>
          <w:color w:val="000000" w:themeColor="text1"/>
          <w:sz w:val="72"/>
          <w14:textFill>
            <w14:solidFill>
              <w14:schemeClr w14:val="tx1"/>
            </w14:solidFill>
          </w14:textFill>
        </w:rPr>
      </w:pPr>
      <w:r>
        <w:rPr>
          <w:color w:val="000000" w:themeColor="text1"/>
          <w:sz w:val="72"/>
          <w14:textFill>
            <w14:solidFill>
              <w14:schemeClr w14:val="tx1"/>
            </w14:solidFill>
          </w14:textFill>
        </w:rPr>
        <w:t>投标文件</w:t>
      </w:r>
    </w:p>
    <w:p>
      <w:pPr>
        <w:pStyle w:val="14"/>
        <w:ind w:left="0"/>
        <w:rPr>
          <w:color w:val="000000" w:themeColor="text1"/>
          <w:sz w:val="72"/>
          <w14:textFill>
            <w14:solidFill>
              <w14:schemeClr w14:val="tx1"/>
            </w14:solidFill>
          </w14:textFill>
        </w:rPr>
      </w:pPr>
    </w:p>
    <w:p>
      <w:pPr>
        <w:pStyle w:val="14"/>
        <w:spacing w:before="7"/>
        <w:ind w:left="0"/>
        <w:rPr>
          <w:color w:val="000000" w:themeColor="text1"/>
          <w:sz w:val="62"/>
          <w14:textFill>
            <w14:solidFill>
              <w14:schemeClr w14:val="tx1"/>
            </w14:solidFill>
          </w14:textFill>
        </w:rPr>
      </w:pPr>
    </w:p>
    <w:p>
      <w:pPr>
        <w:tabs>
          <w:tab w:val="left" w:pos="7463"/>
        </w:tabs>
        <w:spacing w:line="649" w:lineRule="exact"/>
        <w:ind w:left="3050"/>
        <w:rPr>
          <w:rFonts w:ascii="Times New Roman" w:eastAsia="Times New Roman"/>
          <w:b/>
          <w:color w:val="000000" w:themeColor="text1"/>
          <w:sz w:val="32"/>
          <w14:textFill>
            <w14:solidFill>
              <w14:schemeClr w14:val="tx1"/>
            </w14:solidFill>
          </w14:textFill>
        </w:rPr>
      </w:pPr>
      <w:r>
        <w:rPr>
          <w:color w:val="000000" w:themeColor="text1"/>
          <w:sz w:val="32"/>
          <w14:textFill>
            <w14:solidFill>
              <w14:schemeClr w14:val="tx1"/>
            </w14:solidFill>
          </w14:textFill>
        </w:rPr>
        <w:t>投标供应</w:t>
      </w:r>
      <w:r>
        <w:rPr>
          <w:color w:val="000000" w:themeColor="text1"/>
          <w:spacing w:val="3"/>
          <w:sz w:val="32"/>
          <w14:textFill>
            <w14:solidFill>
              <w14:schemeClr w14:val="tx1"/>
            </w14:solidFill>
          </w14:textFill>
        </w:rPr>
        <w:t>商</w:t>
      </w:r>
      <w:r>
        <w:rPr>
          <w:color w:val="000000" w:themeColor="text1"/>
          <w:sz w:val="32"/>
          <w14:textFill>
            <w14:solidFill>
              <w14:schemeClr w14:val="tx1"/>
            </w14:solidFill>
          </w14:textFill>
        </w:rPr>
        <w:t>：</w:t>
      </w:r>
      <w:r>
        <w:rPr>
          <w:rFonts w:ascii="Times New Roman" w:eastAsia="Times New Roman"/>
          <w:b/>
          <w:color w:val="000000" w:themeColor="text1"/>
          <w:sz w:val="32"/>
          <w:u w:val="single"/>
          <w14:textFill>
            <w14:solidFill>
              <w14:schemeClr w14:val="tx1"/>
            </w14:solidFill>
          </w14:textFill>
        </w:rPr>
        <w:tab/>
      </w:r>
    </w:p>
    <w:p>
      <w:pPr>
        <w:tabs>
          <w:tab w:val="left" w:pos="1044"/>
          <w:tab w:val="left" w:pos="1757"/>
        </w:tabs>
        <w:spacing w:line="649" w:lineRule="exact"/>
        <w:ind w:left="398"/>
        <w:jc w:val="center"/>
        <w:rPr>
          <w:rFonts w:ascii="Times New Roman" w:eastAsiaTheme="minorEastAsia"/>
          <w:b/>
          <w:color w:val="000000" w:themeColor="text1"/>
          <w:sz w:val="32"/>
          <w14:textFill>
            <w14:solidFill>
              <w14:schemeClr w14:val="tx1"/>
            </w14:solidFill>
          </w14:textFill>
        </w:rPr>
      </w:pPr>
      <w:r>
        <w:rPr>
          <w:color w:val="000000" w:themeColor="text1"/>
          <w:sz w:val="32"/>
          <w:u w:val="single"/>
          <w14:textFill>
            <w14:solidFill>
              <w14:schemeClr w14:val="tx1"/>
            </w14:solidFill>
          </w14:textFill>
        </w:rPr>
        <w:tab/>
      </w:r>
      <w:r>
        <w:rPr>
          <w:color w:val="000000" w:themeColor="text1"/>
          <w:sz w:val="32"/>
          <w14:textFill>
            <w14:solidFill>
              <w14:schemeClr w14:val="tx1"/>
            </w14:solidFill>
          </w14:textFill>
        </w:rPr>
        <w:t>年</w:t>
      </w:r>
      <w:r>
        <w:rPr>
          <w:color w:val="000000" w:themeColor="text1"/>
          <w:sz w:val="32"/>
          <w:u w:val="single"/>
          <w14:textFill>
            <w14:solidFill>
              <w14:schemeClr w14:val="tx1"/>
            </w14:solidFill>
          </w14:textFill>
        </w:rPr>
        <w:tab/>
      </w:r>
      <w:r>
        <w:rPr>
          <w:color w:val="000000" w:themeColor="text1"/>
          <w:sz w:val="32"/>
          <w14:textFill>
            <w14:solidFill>
              <w14:schemeClr w14:val="tx1"/>
            </w14:solidFill>
          </w14:textFill>
        </w:rPr>
        <w:t>月</w:t>
      </w:r>
      <w:r>
        <w:rPr>
          <w:rFonts w:ascii="Times New Roman" w:eastAsia="Times New Roman"/>
          <w:b/>
          <w:color w:val="000000" w:themeColor="text1"/>
          <w:sz w:val="32"/>
          <w:u w:val="single"/>
          <w14:textFill>
            <w14:solidFill>
              <w14:schemeClr w14:val="tx1"/>
            </w14:solidFill>
          </w14:textFill>
        </w:rPr>
        <w:tab/>
      </w:r>
      <w:r>
        <w:rPr>
          <w:rFonts w:hint="eastAsia" w:ascii="Times New Roman" w:eastAsiaTheme="minorEastAsia"/>
          <w:b/>
          <w:color w:val="000000" w:themeColor="text1"/>
          <w:sz w:val="32"/>
          <w:u w:val="single"/>
          <w14:textFill>
            <w14:solidFill>
              <w14:schemeClr w14:val="tx1"/>
            </w14:solidFill>
          </w14:textFill>
        </w:rPr>
        <w:t xml:space="preserve">     </w:t>
      </w:r>
      <w:r>
        <w:rPr>
          <w:rFonts w:hint="eastAsia"/>
          <w:color w:val="000000" w:themeColor="text1"/>
          <w:sz w:val="32"/>
          <w14:textFill>
            <w14:solidFill>
              <w14:schemeClr w14:val="tx1"/>
            </w14:solidFill>
          </w14:textFill>
        </w:rPr>
        <w:t>日</w:t>
      </w:r>
    </w:p>
    <w:p>
      <w:pPr>
        <w:spacing w:line="649" w:lineRule="exact"/>
        <w:jc w:val="center"/>
        <w:rPr>
          <w:rFonts w:ascii="Times New Roman" w:eastAsia="Times New Roman"/>
          <w:color w:val="000000" w:themeColor="text1"/>
          <w:sz w:val="32"/>
          <w14:textFill>
            <w14:solidFill>
              <w14:schemeClr w14:val="tx1"/>
            </w14:solidFill>
          </w14:textFill>
        </w:rPr>
        <w:sectPr>
          <w:pgSz w:w="11910" w:h="16850"/>
          <w:pgMar w:top="1440" w:right="1803" w:bottom="1440" w:left="1803" w:header="877" w:footer="1068" w:gutter="0"/>
          <w:cols w:space="720" w:num="1"/>
        </w:sectPr>
      </w:pPr>
    </w:p>
    <w:p>
      <w:pPr>
        <w:pStyle w:val="4"/>
        <w:tabs>
          <w:tab w:val="left" w:pos="1406"/>
        </w:tabs>
        <w:spacing w:before="139" w:line="511" w:lineRule="exact"/>
        <w:ind w:right="716"/>
        <w:rPr>
          <w:color w:val="000000" w:themeColor="text1"/>
          <w14:textFill>
            <w14:solidFill>
              <w14:schemeClr w14:val="tx1"/>
            </w14:solidFill>
          </w14:textFill>
        </w:rPr>
      </w:pPr>
      <w:bookmarkStart w:id="75" w:name="_Toc10114"/>
      <w:r>
        <w:rPr>
          <w:rFonts w:hint="eastAsia"/>
          <w:color w:val="000000" w:themeColor="text1"/>
          <w14:textFill>
            <w14:solidFill>
              <w14:schemeClr w14:val="tx1"/>
            </w14:solidFill>
          </w14:textFill>
        </w:rPr>
        <w:t xml:space="preserve">附件一    </w:t>
      </w:r>
      <w:r>
        <w:rPr>
          <w:color w:val="000000" w:themeColor="text1"/>
          <w14:textFill>
            <w14:solidFill>
              <w14:schemeClr w14:val="tx1"/>
            </w14:solidFill>
          </w14:textFill>
        </w:rPr>
        <w:t xml:space="preserve">投  标  </w:t>
      </w:r>
      <w:r>
        <w:rPr>
          <w:rFonts w:hint="eastAsia"/>
          <w:color w:val="000000" w:themeColor="text1"/>
          <w14:textFill>
            <w14:solidFill>
              <w14:schemeClr w14:val="tx1"/>
            </w14:solidFill>
          </w14:textFill>
        </w:rPr>
        <w:t>函</w:t>
      </w:r>
      <w:bookmarkEnd w:id="75"/>
    </w:p>
    <w:p>
      <w:pPr>
        <w:spacing w:line="500" w:lineRule="exact"/>
        <w:ind w:firstLine="3253" w:firstLineChars="1350"/>
        <w:rPr>
          <w:rFonts w:asciiTheme="minorEastAsia" w:hAnsiTheme="minorEastAsia" w:eastAsiaTheme="minorEastAsia"/>
          <w:b/>
          <w:color w:val="000000" w:themeColor="text1"/>
          <w:sz w:val="24"/>
          <w:szCs w:val="24"/>
          <w14:textFill>
            <w14:solidFill>
              <w14:schemeClr w14:val="tx1"/>
            </w14:solidFill>
          </w14:textFill>
        </w:rPr>
      </w:pPr>
    </w:p>
    <w:p>
      <w:pPr>
        <w:spacing w:line="500" w:lineRule="exact"/>
        <w:ind w:firstLine="55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根据贵方为</w:t>
      </w:r>
      <w:r>
        <w:rPr>
          <w:rFonts w:hint="eastAsia" w:asciiTheme="minorEastAsia" w:hAnsiTheme="minorEastAsia" w:eastAsiaTheme="minorEastAsia"/>
          <w:color w:val="000000" w:themeColor="text1"/>
          <w:sz w:val="24"/>
          <w:szCs w:val="24"/>
          <w:u w:val="single"/>
          <w14:textFill>
            <w14:solidFill>
              <w14:schemeClr w14:val="tx1"/>
            </w14:solidFill>
          </w14:textFill>
        </w:rPr>
        <w:t>（项目名称）</w:t>
      </w:r>
      <w:r>
        <w:rPr>
          <w:rFonts w:asciiTheme="minorEastAsia" w:hAnsiTheme="minorEastAsia" w:eastAsiaTheme="minorEastAsia"/>
          <w:color w:val="000000" w:themeColor="text1"/>
          <w:sz w:val="24"/>
          <w:szCs w:val="24"/>
          <w14:textFill>
            <w14:solidFill>
              <w14:schemeClr w14:val="tx1"/>
            </w14:solidFill>
          </w14:textFill>
        </w:rPr>
        <w:t>项目招标</w:t>
      </w:r>
      <w:r>
        <w:rPr>
          <w:rFonts w:hint="eastAsia" w:asciiTheme="minorEastAsia" w:hAnsiTheme="minorEastAsia" w:eastAsiaTheme="minorEastAsia"/>
          <w:color w:val="000000" w:themeColor="text1"/>
          <w:sz w:val="24"/>
          <w:szCs w:val="24"/>
          <w14:textFill>
            <w14:solidFill>
              <w14:schemeClr w14:val="tx1"/>
            </w14:solidFill>
          </w14:textFill>
        </w:rPr>
        <w:t>的招标邀请</w:t>
      </w:r>
      <w:r>
        <w:rPr>
          <w:rFonts w:hint="eastAsia" w:asciiTheme="minorEastAsia" w:hAnsiTheme="minorEastAsia" w:eastAsiaTheme="minorEastAsia"/>
          <w:color w:val="000000" w:themeColor="text1"/>
          <w:sz w:val="24"/>
          <w:szCs w:val="24"/>
          <w:u w:val="single"/>
          <w14:textFill>
            <w14:solidFill>
              <w14:schemeClr w14:val="tx1"/>
            </w14:solidFill>
          </w14:textFill>
        </w:rPr>
        <w:t>（项目编号）</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签字代表</w:t>
      </w:r>
      <w:r>
        <w:rPr>
          <w:rFonts w:hint="eastAsia" w:asciiTheme="minorEastAsia" w:hAnsiTheme="minorEastAsia" w:eastAsiaTheme="minorEastAsia"/>
          <w:color w:val="000000" w:themeColor="text1"/>
          <w:sz w:val="24"/>
          <w:szCs w:val="24"/>
          <w:u w:val="single"/>
          <w14:textFill>
            <w14:solidFill>
              <w14:schemeClr w14:val="tx1"/>
            </w14:solidFill>
          </w14:textFill>
        </w:rPr>
        <w:t>（姓名、职务）</w:t>
      </w:r>
      <w:r>
        <w:rPr>
          <w:rFonts w:asciiTheme="minorEastAsia" w:hAnsiTheme="minorEastAsia" w:eastAsiaTheme="minorEastAsia"/>
          <w:color w:val="000000" w:themeColor="text1"/>
          <w:sz w:val="24"/>
          <w:szCs w:val="24"/>
          <w14:textFill>
            <w14:solidFill>
              <w14:schemeClr w14:val="tx1"/>
            </w14:solidFill>
          </w14:textFill>
        </w:rPr>
        <w:t>经正式授权并代表投标</w:t>
      </w:r>
      <w:r>
        <w:rPr>
          <w:rFonts w:hint="eastAsia" w:asciiTheme="minorEastAsia" w:hAnsiTheme="minorEastAsia" w:eastAsiaTheme="minorEastAsia"/>
          <w:color w:val="000000" w:themeColor="text1"/>
          <w:sz w:val="24"/>
          <w:szCs w:val="24"/>
          <w14:textFill>
            <w14:solidFill>
              <w14:schemeClr w14:val="tx1"/>
            </w14:solidFill>
          </w14:textFill>
        </w:rPr>
        <w:t>商</w:t>
      </w:r>
      <w:r>
        <w:rPr>
          <w:rFonts w:hint="eastAsia" w:asciiTheme="minorEastAsia" w:hAnsiTheme="minorEastAsia" w:eastAsiaTheme="minorEastAsia"/>
          <w:color w:val="000000" w:themeColor="text1"/>
          <w:sz w:val="24"/>
          <w:szCs w:val="24"/>
          <w:u w:val="single"/>
          <w14:textFill>
            <w14:solidFill>
              <w14:schemeClr w14:val="tx1"/>
            </w14:solidFill>
          </w14:textFill>
        </w:rPr>
        <w:t>（投标商名称、地址）</w:t>
      </w:r>
      <w:r>
        <w:rPr>
          <w:rFonts w:asciiTheme="minorEastAsia" w:hAnsiTheme="minorEastAsia" w:eastAsiaTheme="minorEastAsia"/>
          <w:color w:val="000000" w:themeColor="text1"/>
          <w:sz w:val="24"/>
          <w:szCs w:val="24"/>
          <w14:textFill>
            <w14:solidFill>
              <w14:schemeClr w14:val="tx1"/>
            </w14:solidFill>
          </w14:textFill>
        </w:rPr>
        <w:t xml:space="preserve">，宣布同意如下条款：       </w:t>
      </w:r>
    </w:p>
    <w:p>
      <w:pPr>
        <w:spacing w:line="500" w:lineRule="exact"/>
        <w:ind w:firstLine="555"/>
        <w:outlineLvl w:val="0"/>
        <w:rPr>
          <w:rFonts w:asciiTheme="minorEastAsia" w:hAnsiTheme="minorEastAsia" w:eastAsiaTheme="minorEastAsia"/>
          <w:color w:val="000000" w:themeColor="text1"/>
          <w:sz w:val="24"/>
          <w:szCs w:val="24"/>
          <w14:textFill>
            <w14:solidFill>
              <w14:schemeClr w14:val="tx1"/>
            </w14:solidFill>
          </w14:textFill>
        </w:rPr>
      </w:pPr>
      <w:bookmarkStart w:id="76" w:name="_Toc11316"/>
      <w:r>
        <w:rPr>
          <w:rFonts w:asciiTheme="minorEastAsia" w:hAnsiTheme="minorEastAsia" w:eastAsiaTheme="minorEastAsia"/>
          <w:color w:val="000000" w:themeColor="text1"/>
          <w:sz w:val="24"/>
          <w:szCs w:val="24"/>
          <w14:textFill>
            <w14:solidFill>
              <w14:schemeClr w14:val="tx1"/>
            </w14:solidFill>
          </w14:textFill>
        </w:rPr>
        <w:t>一、提交投标文件的数量：</w:t>
      </w:r>
      <w:bookmarkEnd w:id="76"/>
    </w:p>
    <w:p>
      <w:pPr>
        <w:spacing w:line="500" w:lineRule="exact"/>
        <w:ind w:firstLine="55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正本壹份，副本</w:t>
      </w:r>
      <w:r>
        <w:rPr>
          <w:rFonts w:hint="eastAsia" w:asciiTheme="minorEastAsia" w:hAnsiTheme="minorEastAsia" w:eastAsiaTheme="minorEastAsia"/>
          <w:color w:val="000000" w:themeColor="text1"/>
          <w:sz w:val="24"/>
          <w:szCs w:val="24"/>
          <w14:textFill>
            <w14:solidFill>
              <w14:schemeClr w14:val="tx1"/>
            </w14:solidFill>
          </w14:textFill>
        </w:rPr>
        <w:t>四</w:t>
      </w:r>
      <w:r>
        <w:rPr>
          <w:rFonts w:asciiTheme="minorEastAsia" w:hAnsiTheme="minorEastAsia" w:eastAsiaTheme="minorEastAsia"/>
          <w:color w:val="000000" w:themeColor="text1"/>
          <w:sz w:val="24"/>
          <w:szCs w:val="24"/>
          <w14:textFill>
            <w14:solidFill>
              <w14:schemeClr w14:val="tx1"/>
            </w14:solidFill>
          </w14:textFill>
        </w:rPr>
        <w:t>份</w:t>
      </w:r>
    </w:p>
    <w:p>
      <w:pPr>
        <w:spacing w:line="500" w:lineRule="exact"/>
        <w:ind w:firstLine="555"/>
        <w:outlineLvl w:val="0"/>
        <w:rPr>
          <w:rFonts w:asciiTheme="minorEastAsia" w:hAnsiTheme="minorEastAsia" w:eastAsiaTheme="minorEastAsia"/>
          <w:color w:val="000000" w:themeColor="text1"/>
          <w:sz w:val="24"/>
          <w:szCs w:val="24"/>
          <w14:textFill>
            <w14:solidFill>
              <w14:schemeClr w14:val="tx1"/>
            </w14:solidFill>
          </w14:textFill>
        </w:rPr>
      </w:pPr>
      <w:bookmarkStart w:id="77" w:name="_Toc25355"/>
      <w:r>
        <w:rPr>
          <w:rFonts w:asciiTheme="minorEastAsia" w:hAnsiTheme="minorEastAsia" w:eastAsiaTheme="minorEastAsia"/>
          <w:color w:val="000000" w:themeColor="text1"/>
          <w:sz w:val="24"/>
          <w:szCs w:val="24"/>
          <w14:textFill>
            <w14:solidFill>
              <w14:schemeClr w14:val="tx1"/>
            </w14:solidFill>
          </w14:textFill>
        </w:rPr>
        <w:t>二、确认下述条款：</w:t>
      </w:r>
      <w:bookmarkEnd w:id="77"/>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1、所附报价明细表中规定的应提供服务和交付的货物投标总价为  （人民币），即（文字表述）。</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2、投标保证金金额为（人民币）。</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3、投标人将按招标文件的规定履行合同责任和义务。</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4、投标人已详细阅读了全部招标文件，包括修改文件（如有的话）以及全部参考资料有关附件。我们完全理解并同意放弃对这方面不明及误解的权利。</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5、我们同意按招标文件中的规定，此项招标自开标日起为</w:t>
      </w:r>
      <w:r>
        <w:rPr>
          <w:rFonts w:hint="eastAsia" w:asciiTheme="minorEastAsia" w:hAnsiTheme="minorEastAsia" w:eastAsiaTheme="minorEastAsia"/>
          <w:color w:val="000000" w:themeColor="text1"/>
          <w:sz w:val="24"/>
          <w:szCs w:val="24"/>
          <w14:textFill>
            <w14:solidFill>
              <w14:schemeClr w14:val="tx1"/>
            </w14:solidFill>
          </w14:textFill>
        </w:rPr>
        <w:t>9</w:t>
      </w:r>
      <w:r>
        <w:rPr>
          <w:rFonts w:asciiTheme="minorEastAsia" w:hAnsiTheme="minorEastAsia" w:eastAsiaTheme="minorEastAsia"/>
          <w:color w:val="000000" w:themeColor="text1"/>
          <w:sz w:val="24"/>
          <w:szCs w:val="24"/>
          <w14:textFill>
            <w14:solidFill>
              <w14:schemeClr w14:val="tx1"/>
            </w14:solidFill>
          </w14:textFill>
        </w:rPr>
        <w:t>0天。</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6、如果在上述投标文件有效期内，投标人撤回投标，我们同意投标保证金将被招标机构没收。</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7、投标</w:t>
      </w:r>
      <w:r>
        <w:rPr>
          <w:rFonts w:hint="eastAsia" w:asciiTheme="minorEastAsia" w:hAnsiTheme="minorEastAsia" w:eastAsiaTheme="minorEastAsia"/>
          <w:color w:val="000000" w:themeColor="text1"/>
          <w:sz w:val="24"/>
          <w:szCs w:val="24"/>
          <w14:textFill>
            <w14:solidFill>
              <w14:schemeClr w14:val="tx1"/>
            </w14:solidFill>
          </w14:textFill>
        </w:rPr>
        <w:t>人</w:t>
      </w:r>
      <w:r>
        <w:rPr>
          <w:rFonts w:asciiTheme="minorEastAsia" w:hAnsiTheme="minorEastAsia" w:eastAsiaTheme="minorEastAsia"/>
          <w:color w:val="000000" w:themeColor="text1"/>
          <w:sz w:val="24"/>
          <w:szCs w:val="24"/>
          <w14:textFill>
            <w14:solidFill>
              <w14:schemeClr w14:val="tx1"/>
            </w14:solidFill>
          </w14:textFill>
        </w:rPr>
        <w:t>同意提供按照招标机构要求的与本次投标有关的一切资料。</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8、我们完全理解招标机构不一定要接受最低价投标或收到的任何投标。</w:t>
      </w:r>
    </w:p>
    <w:p>
      <w:pPr>
        <w:spacing w:line="500" w:lineRule="exact"/>
        <w:ind w:firstLine="555"/>
        <w:outlineLvl w:val="0"/>
        <w:rPr>
          <w:rFonts w:asciiTheme="minorEastAsia" w:hAnsiTheme="minorEastAsia" w:eastAsiaTheme="minorEastAsia"/>
          <w:color w:val="000000" w:themeColor="text1"/>
          <w:sz w:val="24"/>
          <w:szCs w:val="24"/>
          <w14:textFill>
            <w14:solidFill>
              <w14:schemeClr w14:val="tx1"/>
            </w14:solidFill>
          </w14:textFill>
        </w:rPr>
      </w:pPr>
      <w:bookmarkStart w:id="78" w:name="_Toc22191"/>
      <w:r>
        <w:rPr>
          <w:rFonts w:asciiTheme="minorEastAsia" w:hAnsiTheme="minorEastAsia" w:eastAsiaTheme="minorEastAsia"/>
          <w:color w:val="000000" w:themeColor="text1"/>
          <w:sz w:val="24"/>
          <w:szCs w:val="24"/>
          <w14:textFill>
            <w14:solidFill>
              <w14:schemeClr w14:val="tx1"/>
            </w14:solidFill>
          </w14:textFill>
        </w:rPr>
        <w:t>三、对招标文件的综合说明：</w:t>
      </w:r>
      <w:bookmarkEnd w:id="78"/>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1、设备的技术条件和技术标准。</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2、质量标准及验收标准。</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3、售后服务：</w:t>
      </w:r>
    </w:p>
    <w:p>
      <w:pPr>
        <w:spacing w:line="500" w:lineRule="exact"/>
        <w:ind w:firstLine="555"/>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在正常使用维护的条件下，要求供货厂家及安装单位对产品的使用年限，年维修费用，平均无故障时间做出客观的估价，对及时维修、限时恢复做出承诺。对达不到所定指标的，应怎样给予说明。供货厂家应对用户直接负责。应有指派的驻</w:t>
      </w:r>
      <w:r>
        <w:rPr>
          <w:rFonts w:hint="eastAsia" w:asciiTheme="minorEastAsia" w:hAnsiTheme="minorEastAsia" w:eastAsiaTheme="minorEastAsia"/>
          <w:color w:val="000000" w:themeColor="text1"/>
          <w:sz w:val="24"/>
          <w:szCs w:val="24"/>
          <w14:textFill>
            <w14:solidFill>
              <w14:schemeClr w14:val="tx1"/>
            </w14:solidFill>
          </w14:textFill>
        </w:rPr>
        <w:t>本地</w:t>
      </w:r>
      <w:r>
        <w:rPr>
          <w:rFonts w:asciiTheme="minorEastAsia" w:hAnsiTheme="minorEastAsia" w:eastAsiaTheme="minorEastAsia"/>
          <w:color w:val="000000" w:themeColor="text1"/>
          <w:sz w:val="24"/>
          <w:szCs w:val="24"/>
          <w14:textFill>
            <w14:solidFill>
              <w14:schemeClr w14:val="tx1"/>
            </w14:solidFill>
          </w14:textFill>
        </w:rPr>
        <w:t>法定常年机构，安装维修人员 应是设备厂家及安装单位派出人员，有厂家及安装单位主管部门的资格证明。质保期过后，设备供货厂家及安装单位应有保障终身服务的可行措施。</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4、要求用户提供的配合。</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5、与本次投标有关的一切函电请寄：</w:t>
      </w:r>
    </w:p>
    <w:p>
      <w:pPr>
        <w:spacing w:line="500" w:lineRule="exact"/>
        <w:ind w:firstLine="1026"/>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地址：</w:t>
      </w:r>
      <w:r>
        <w:rPr>
          <w:rFonts w:hint="eastAsia" w:asciiTheme="minorEastAsia" w:hAnsiTheme="minorEastAsia" w:eastAsiaTheme="minorEastAsia"/>
          <w:color w:val="000000" w:themeColor="text1"/>
          <w:sz w:val="24"/>
          <w:szCs w:val="24"/>
          <w14:textFill>
            <w14:solidFill>
              <w14:schemeClr w14:val="tx1"/>
            </w14:solidFill>
          </w14:textFill>
        </w:rPr>
        <w:t xml:space="preserve">                              邮编:</w:t>
      </w:r>
    </w:p>
    <w:p>
      <w:pPr>
        <w:spacing w:line="500" w:lineRule="exact"/>
        <w:ind w:firstLine="1026"/>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电话：</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传真：</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代表姓名：</w:t>
      </w:r>
    </w:p>
    <w:p>
      <w:pPr>
        <w:spacing w:line="500" w:lineRule="exact"/>
        <w:ind w:firstLine="1026"/>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投标人名称：</w:t>
      </w:r>
    </w:p>
    <w:p>
      <w:pPr>
        <w:spacing w:line="500" w:lineRule="exact"/>
        <w:ind w:firstLine="1026"/>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地址：（公章</w:t>
      </w:r>
      <w:r>
        <w:rPr>
          <w:rFonts w:hint="eastAsia" w:asciiTheme="minorEastAsia" w:hAnsiTheme="minorEastAsia" w:eastAsiaTheme="minorEastAsia"/>
          <w:color w:val="000000" w:themeColor="text1"/>
          <w:sz w:val="24"/>
          <w:szCs w:val="24"/>
          <w14:textFill>
            <w14:solidFill>
              <w14:schemeClr w14:val="tx1"/>
            </w14:solidFill>
          </w14:textFill>
        </w:rPr>
        <w:t>）</w:t>
      </w:r>
    </w:p>
    <w:p>
      <w:pPr>
        <w:spacing w:line="500" w:lineRule="exact"/>
        <w:ind w:firstLine="1026"/>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法人授权代表签字</w:t>
      </w: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16" w:lineRule="exact"/>
        <w:rPr>
          <w:color w:val="000000" w:themeColor="text1"/>
          <w14:textFill>
            <w14:solidFill>
              <w14:schemeClr w14:val="tx1"/>
            </w14:solidFill>
          </w14:textFill>
        </w:rPr>
        <w:sectPr>
          <w:pgSz w:w="11910" w:h="16850"/>
          <w:pgMar w:top="1440" w:right="1080" w:bottom="1440" w:left="1080" w:header="877" w:footer="1068" w:gutter="0"/>
          <w:cols w:space="720" w:num="1"/>
          <w:docGrid w:linePitch="299" w:charSpace="0"/>
        </w:sectPr>
      </w:pPr>
    </w:p>
    <w:p>
      <w:pPr>
        <w:pStyle w:val="14"/>
        <w:ind w:left="0"/>
        <w:rPr>
          <w:color w:val="000000" w:themeColor="text1"/>
          <w:sz w:val="12"/>
          <w14:textFill>
            <w14:solidFill>
              <w14:schemeClr w14:val="tx1"/>
            </w14:solidFill>
          </w14:textFill>
        </w:rPr>
      </w:pPr>
    </w:p>
    <w:p>
      <w:pPr>
        <w:spacing w:line="500" w:lineRule="exact"/>
        <w:ind w:firstLine="141" w:firstLineChars="50"/>
        <w:jc w:val="center"/>
        <w:rPr>
          <w:rFonts w:cs="宋体" w:asciiTheme="minorEastAsia" w:hAnsiTheme="minorEastAsia" w:eastAsiaTheme="minorEastAsia"/>
          <w:b/>
          <w:color w:val="000000" w:themeColor="text1"/>
          <w:sz w:val="28"/>
          <w:szCs w:val="28"/>
          <w14:textFill>
            <w14:solidFill>
              <w14:schemeClr w14:val="tx1"/>
            </w14:solidFill>
          </w14:textFill>
        </w:rPr>
      </w:pPr>
      <w:bookmarkStart w:id="79" w:name="一．开标一览表"/>
      <w:bookmarkEnd w:id="79"/>
      <w:bookmarkStart w:id="80" w:name="_bookmark13"/>
      <w:bookmarkEnd w:id="80"/>
    </w:p>
    <w:p>
      <w:pPr>
        <w:spacing w:line="500" w:lineRule="exact"/>
        <w:ind w:firstLine="141" w:firstLineChars="50"/>
        <w:jc w:val="center"/>
        <w:rPr>
          <w:rFonts w:cs="宋体" w:asciiTheme="minorEastAsia" w:hAnsiTheme="minorEastAsia" w:eastAsiaTheme="minorEastAsia"/>
          <w:b/>
          <w:color w:val="000000" w:themeColor="text1"/>
          <w:sz w:val="28"/>
          <w:szCs w:val="28"/>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81" w:name="_Toc15992"/>
      <w:r>
        <w:rPr>
          <w:rFonts w:hint="eastAsia"/>
          <w:color w:val="000000" w:themeColor="text1"/>
          <w14:textFill>
            <w14:solidFill>
              <w14:schemeClr w14:val="tx1"/>
            </w14:solidFill>
          </w14:textFill>
        </w:rPr>
        <w:t>附件二   关于资格的声明函</w:t>
      </w:r>
      <w:bookmarkEnd w:id="81"/>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pStyle w:val="16"/>
        <w:spacing w:line="500" w:lineRule="exact"/>
        <w:ind w:left="440" w:firstLine="540"/>
        <w:rPr>
          <w:rFonts w:hint="eastAsia"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致：</w:t>
      </w:r>
      <w:r>
        <w:rPr>
          <w:rFonts w:hint="eastAsia" w:asciiTheme="minorEastAsia" w:hAnsiTheme="minorEastAsia" w:eastAsiaTheme="minorEastAsia"/>
          <w:bCs/>
          <w:color w:val="000000" w:themeColor="text1"/>
          <w:sz w:val="24"/>
          <w:szCs w:val="24"/>
          <w:lang w:eastAsia="zh-CN"/>
          <w14:textFill>
            <w14:solidFill>
              <w14:schemeClr w14:val="tx1"/>
            </w14:solidFill>
          </w14:textFill>
        </w:rPr>
        <w:t>新疆永信国金工程管理咨询有限公司</w:t>
      </w:r>
    </w:p>
    <w:p>
      <w:pPr>
        <w:pStyle w:val="16"/>
        <w:spacing w:line="500" w:lineRule="exact"/>
        <w:ind w:left="440"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关于贵方20</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日第</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项目编号 </w:t>
      </w:r>
      <w:r>
        <w:rPr>
          <w:rFonts w:hint="eastAsia" w:cs="宋体" w:asciiTheme="minorEastAsia" w:hAnsiTheme="minorEastAsia" w:eastAsiaTheme="minorEastAsia"/>
          <w:color w:val="000000" w:themeColor="text1"/>
          <w:sz w:val="24"/>
          <w:szCs w:val="24"/>
          <w14:textFill>
            <w14:solidFill>
              <w14:schemeClr w14:val="tx1"/>
            </w14:solidFill>
          </w14:textFill>
        </w:rPr>
        <w:t>招标公告关于</w:t>
      </w:r>
      <w:r>
        <w:rPr>
          <w:rFonts w:hint="eastAsia" w:cs="宋体" w:asciiTheme="minorEastAsia" w:hAnsiTheme="minorEastAsia" w:eastAsiaTheme="minorEastAsia"/>
          <w:color w:val="000000" w:themeColor="text1"/>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sz w:val="24"/>
          <w:szCs w:val="24"/>
          <w14:textFill>
            <w14:solidFill>
              <w14:schemeClr w14:val="tx1"/>
            </w14:solidFill>
          </w14:textFill>
        </w:rPr>
        <w:t>的招标项目，本签字人愿意参加投标，并有能力提供</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项目名称 </w:t>
      </w:r>
      <w:r>
        <w:rPr>
          <w:rFonts w:hint="eastAsia" w:cs="宋体" w:asciiTheme="minorEastAsia" w:hAnsiTheme="minorEastAsia" w:eastAsiaTheme="minorEastAsia"/>
          <w:color w:val="000000" w:themeColor="text1"/>
          <w:sz w:val="24"/>
          <w:szCs w:val="24"/>
          <w14:textFill>
            <w14:solidFill>
              <w14:schemeClr w14:val="tx1"/>
            </w14:solidFill>
          </w14:textFill>
        </w:rPr>
        <w:t>项目中的招标货物及相关服务，并保证所提交的所有文件和说明是真实和准确的。</w:t>
      </w:r>
    </w:p>
    <w:p>
      <w:pPr>
        <w:pStyle w:val="16"/>
        <w:spacing w:line="500" w:lineRule="exact"/>
        <w:ind w:left="440" w:firstLine="54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w:t>
      </w:r>
      <w:r>
        <w:rPr>
          <w:rFonts w:hint="eastAsia" w:cs="宋体" w:asciiTheme="minorEastAsia" w:hAnsiTheme="minorEastAsia" w:eastAsiaTheme="minorEastAsia"/>
          <w:color w:val="000000" w:themeColor="text1"/>
          <w:sz w:val="24"/>
          <w:szCs w:val="24"/>
          <w:u w:val="single"/>
          <w14:textFill>
            <w14:solidFill>
              <w14:schemeClr w14:val="tx1"/>
            </w14:solidFill>
          </w14:textFill>
        </w:rPr>
        <w:t>　投标人名称        　</w:t>
      </w:r>
      <w:r>
        <w:rPr>
          <w:rFonts w:hint="eastAsia" w:cs="宋体" w:asciiTheme="minorEastAsia" w:hAnsiTheme="minorEastAsia" w:eastAsiaTheme="minorEastAsia"/>
          <w:color w:val="000000" w:themeColor="text1"/>
          <w:sz w:val="24"/>
          <w:szCs w:val="24"/>
          <w14:textFill>
            <w14:solidFill>
              <w14:schemeClr w14:val="tx1"/>
            </w14:solidFill>
          </w14:textFill>
        </w:rPr>
        <w:t>　签字人姓名、职务：</w:t>
      </w:r>
    </w:p>
    <w:p>
      <w:pPr>
        <w:pStyle w:val="16"/>
        <w:spacing w:line="500" w:lineRule="exact"/>
        <w:ind w:left="440" w:firstLine="54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地址：</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　授权签署本资格文件人：</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授权人姓名   </w:t>
      </w:r>
    </w:p>
    <w:p>
      <w:pPr>
        <w:pStyle w:val="16"/>
        <w:spacing w:line="500" w:lineRule="exact"/>
        <w:ind w:left="440" w:firstLine="54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传真：</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　　　　　　　　　　　　　</w:t>
      </w:r>
    </w:p>
    <w:p>
      <w:pPr>
        <w:pStyle w:val="16"/>
        <w:spacing w:line="500" w:lineRule="exact"/>
        <w:ind w:left="440" w:firstLine="54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邮编：</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　电话：</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p>
    <w:p>
      <w:pPr>
        <w:spacing w:line="500" w:lineRule="exact"/>
        <w:ind w:firstLine="6240" w:firstLineChars="2600"/>
        <w:rPr>
          <w:rFonts w:cs="宋体" w:asciiTheme="minorEastAsia" w:hAnsiTheme="minorEastAsia" w:eastAsiaTheme="minorEastAsia"/>
          <w:color w:val="000000" w:themeColor="text1"/>
          <w:sz w:val="24"/>
          <w:szCs w:val="24"/>
          <w14:textFill>
            <w14:solidFill>
              <w14:schemeClr w14:val="tx1"/>
            </w14:solidFill>
          </w14:textFill>
        </w:rPr>
      </w:pPr>
    </w:p>
    <w:p>
      <w:pPr>
        <w:spacing w:line="500" w:lineRule="exact"/>
        <w:ind w:firstLine="6240" w:firstLineChars="2600"/>
        <w:rPr>
          <w:rFonts w:cs="宋体" w:asciiTheme="minorEastAsia" w:hAnsiTheme="minorEastAsia" w:eastAsiaTheme="minorEastAsia"/>
          <w:color w:val="000000" w:themeColor="text1"/>
          <w:sz w:val="24"/>
          <w:szCs w:val="24"/>
          <w14:textFill>
            <w14:solidFill>
              <w14:schemeClr w14:val="tx1"/>
            </w14:solidFill>
          </w14:textFill>
        </w:rPr>
      </w:pPr>
    </w:p>
    <w:p>
      <w:pPr>
        <w:spacing w:line="500" w:lineRule="exact"/>
        <w:ind w:firstLine="6240" w:firstLineChars="26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（单位公章）</w:t>
      </w:r>
    </w:p>
    <w:p>
      <w:pPr>
        <w:spacing w:line="500" w:lineRule="exact"/>
        <w:ind w:firstLine="5880" w:firstLineChars="245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20  年  月  日</w:t>
      </w:r>
    </w:p>
    <w:p>
      <w:pPr>
        <w:spacing w:line="500" w:lineRule="exac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eastAsiaTheme="minorEastAsia"/>
          <w:color w:val="000000" w:themeColor="text1"/>
          <w:szCs w:val="21"/>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82" w:name="_Toc23919"/>
      <w:r>
        <w:rPr>
          <w:rFonts w:hint="eastAsia"/>
          <w:color w:val="000000" w:themeColor="text1"/>
          <w14:textFill>
            <w14:solidFill>
              <w14:schemeClr w14:val="tx1"/>
            </w14:solidFill>
          </w14:textFill>
        </w:rPr>
        <w:t>附件三   法人代表授权委托书</w:t>
      </w:r>
      <w:bookmarkEnd w:id="82"/>
    </w:p>
    <w:p>
      <w:pPr>
        <w:spacing w:line="500" w:lineRule="exact"/>
        <w:rPr>
          <w:rFonts w:cs="宋体" w:asciiTheme="minorEastAsia" w:hAnsiTheme="minorEastAsia" w:eastAsiaTheme="minorEastAsia"/>
          <w:b/>
          <w:color w:val="000000" w:themeColor="text1"/>
          <w:sz w:val="24"/>
          <w:szCs w:val="24"/>
          <w14:textFill>
            <w14:solidFill>
              <w14:schemeClr w14:val="tx1"/>
            </w14:solidFill>
          </w14:textFill>
        </w:rPr>
      </w:pPr>
    </w:p>
    <w:p>
      <w:pPr>
        <w:adjustRightInd w:val="0"/>
        <w:spacing w:line="500" w:lineRule="exact"/>
        <w:ind w:firstLine="422"/>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本授权声明：注册于中华人民共和国的</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（投标人名称、住址）  </w:t>
      </w:r>
      <w:r>
        <w:rPr>
          <w:rFonts w:hint="eastAsia" w:cs="宋体" w:asciiTheme="minorEastAsia" w:hAnsiTheme="minorEastAsia" w:eastAsiaTheme="minorEastAsia"/>
          <w:color w:val="000000" w:themeColor="text1"/>
          <w:sz w:val="24"/>
          <w:szCs w:val="24"/>
          <w14:textFill>
            <w14:solidFill>
              <w14:schemeClr w14:val="tx1"/>
            </w14:solidFill>
          </w14:textFill>
        </w:rPr>
        <w:t>的法人代表</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（法定代表人姓名、职务）  </w:t>
      </w:r>
      <w:r>
        <w:rPr>
          <w:rFonts w:hint="eastAsia" w:cs="宋体" w:asciiTheme="minorEastAsia" w:hAnsiTheme="minorEastAsia" w:eastAsiaTheme="minorEastAsia"/>
          <w:color w:val="000000" w:themeColor="text1"/>
          <w:sz w:val="24"/>
          <w:szCs w:val="24"/>
          <w14:textFill>
            <w14:solidFill>
              <w14:schemeClr w14:val="tx1"/>
            </w14:solidFill>
          </w14:textFill>
        </w:rPr>
        <w:t>代表本公司授权在下面签字的</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（被授权人的姓名、职务）  </w:t>
      </w:r>
      <w:r>
        <w:rPr>
          <w:rFonts w:hint="eastAsia" w:cs="宋体" w:asciiTheme="minorEastAsia" w:hAnsiTheme="minorEastAsia" w:eastAsiaTheme="minorEastAsia"/>
          <w:color w:val="000000" w:themeColor="text1"/>
          <w:sz w:val="24"/>
          <w:szCs w:val="24"/>
          <w14:textFill>
            <w14:solidFill>
              <w14:schemeClr w14:val="tx1"/>
            </w14:solidFill>
          </w14:textFill>
        </w:rPr>
        <w:t>为本公司的合法代理人，就此次</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项目名称 </w:t>
      </w:r>
      <w:r>
        <w:rPr>
          <w:rFonts w:hint="eastAsia" w:cs="宋体" w:asciiTheme="minorEastAsia" w:hAnsiTheme="minorEastAsia" w:eastAsiaTheme="minorEastAsia"/>
          <w:color w:val="000000" w:themeColor="text1"/>
          <w:sz w:val="24"/>
          <w:szCs w:val="24"/>
          <w14:textFill>
            <w14:solidFill>
              <w14:schemeClr w14:val="tx1"/>
            </w14:solidFill>
          </w14:textFill>
        </w:rPr>
        <w:t>项目，招标编号为</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项目编号 </w:t>
      </w:r>
      <w:r>
        <w:rPr>
          <w:rFonts w:hint="eastAsia" w:cs="宋体" w:asciiTheme="minorEastAsia" w:hAnsiTheme="minorEastAsia" w:eastAsiaTheme="minorEastAsia"/>
          <w:color w:val="000000" w:themeColor="text1"/>
          <w:sz w:val="24"/>
          <w:szCs w:val="24"/>
          <w14:textFill>
            <w14:solidFill>
              <w14:schemeClr w14:val="tx1"/>
            </w14:solidFill>
          </w14:textFill>
        </w:rPr>
        <w:t>的投标及合同的执行、完成和保修，以本公司名义处理一切与之有关的事务。</w:t>
      </w:r>
    </w:p>
    <w:p>
      <w:pPr>
        <w:adjustRightInd w:val="0"/>
        <w:spacing w:line="500" w:lineRule="exact"/>
        <w:ind w:firstLine="420" w:firstLineChars="175"/>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本授权书于</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年  月  日</w:t>
      </w:r>
      <w:r>
        <w:rPr>
          <w:rFonts w:hint="eastAsia" w:cs="宋体" w:asciiTheme="minorEastAsia" w:hAnsiTheme="minorEastAsia" w:eastAsiaTheme="minorEastAsia"/>
          <w:color w:val="000000" w:themeColor="text1"/>
          <w:sz w:val="24"/>
          <w:szCs w:val="24"/>
          <w14:textFill>
            <w14:solidFill>
              <w14:schemeClr w14:val="tx1"/>
            </w14:solidFill>
          </w14:textFill>
        </w:rPr>
        <w:t>签字生效，特此声明。</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法人签字或盖章：</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代理（被授权人）签字或盖章：</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见证人签字或盖章：</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职务：</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单位名称：</w:t>
      </w:r>
    </w:p>
    <w:p>
      <w:pPr>
        <w:spacing w:line="500" w:lineRule="exact"/>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授权日期：20</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日</w:t>
      </w:r>
    </w:p>
    <w:p>
      <w:pPr>
        <w:spacing w:line="500" w:lineRule="exact"/>
        <w:ind w:firstLine="480"/>
        <w:rPr>
          <w:rFonts w:cs="宋体" w:asciiTheme="minorEastAsia" w:hAnsiTheme="minorEastAsia" w:eastAsiaTheme="minorEastAsia"/>
          <w:color w:val="000000" w:themeColor="text1"/>
          <w:sz w:val="24"/>
          <w:szCs w:val="24"/>
          <w14:textFill>
            <w14:solidFill>
              <w14:schemeClr w14:val="tx1"/>
            </w14:solidFill>
          </w14:textFill>
        </w:rPr>
      </w:pPr>
    </w:p>
    <w:p>
      <w:pPr>
        <w:spacing w:line="500" w:lineRule="exact"/>
        <w:ind w:firstLine="6360" w:firstLineChars="265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（单位公章）</w:t>
      </w:r>
    </w:p>
    <w:p>
      <w:pPr>
        <w:spacing w:line="500" w:lineRule="exact"/>
        <w:ind w:firstLine="5880" w:firstLineChars="245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20  年  月  日</w:t>
      </w:r>
    </w:p>
    <w:p>
      <w:pPr>
        <w:spacing w:line="500" w:lineRule="exact"/>
        <w:ind w:firstLine="5880" w:firstLineChars="2450"/>
        <w:rPr>
          <w:rFonts w:cs="宋体" w:asciiTheme="minorEastAsia" w:hAnsiTheme="minorEastAsia" w:eastAsiaTheme="minorEastAsia"/>
          <w:color w:val="000000" w:themeColor="text1"/>
          <w:sz w:val="24"/>
          <w:szCs w:val="24"/>
          <w14:textFill>
            <w14:solidFill>
              <w14:schemeClr w14:val="tx1"/>
            </w14:solidFill>
          </w14:textFill>
        </w:rPr>
      </w:pPr>
    </w:p>
    <w:p>
      <w:pPr>
        <w:spacing w:line="500" w:lineRule="exact"/>
        <w:ind w:firstLine="482" w:firstLineChars="200"/>
        <w:rPr>
          <w:rFonts w:cs="宋体" w:asciiTheme="minorEastAsia" w:hAnsiTheme="minorEastAsia" w:eastAsiaTheme="minorEastAsia"/>
          <w:b/>
          <w:color w:val="000000" w:themeColor="text1"/>
          <w:sz w:val="24"/>
          <w:szCs w:val="24"/>
          <w:em w:val="dot"/>
          <w14:textFill>
            <w14:solidFill>
              <w14:schemeClr w14:val="tx1"/>
            </w14:solidFill>
          </w14:textFill>
        </w:rPr>
      </w:pPr>
      <w:r>
        <w:rPr>
          <w:rFonts w:hint="eastAsia" w:cs="宋体" w:asciiTheme="minorEastAsia" w:hAnsiTheme="minorEastAsia" w:eastAsiaTheme="minorEastAsia"/>
          <w:b/>
          <w:color w:val="000000" w:themeColor="text1"/>
          <w:sz w:val="24"/>
          <w:szCs w:val="24"/>
          <w:em w:val="dot"/>
          <w14:textFill>
            <w14:solidFill>
              <w14:schemeClr w14:val="tx1"/>
            </w14:solidFill>
          </w14:textFill>
        </w:rPr>
        <w:t>注：参加开标会议的投标人的法定代表人或其委托代理人应携带本人身份证（原件并附复印件），委托代理人还应携带《法人代表授权委托书》，以证明其身份。</w:t>
      </w:r>
    </w:p>
    <w:p>
      <w:pPr>
        <w:spacing w:line="500" w:lineRule="exact"/>
        <w:rPr>
          <w:rFonts w:cs="宋体" w:asciiTheme="minorEastAsia" w:hAnsiTheme="minorEastAsia" w:eastAsiaTheme="minorEastAsia"/>
          <w:b/>
          <w:color w:val="000000" w:themeColor="text1"/>
          <w:sz w:val="24"/>
          <w:szCs w:val="24"/>
          <w:em w:val="dot"/>
          <w14:textFill>
            <w14:solidFill>
              <w14:schemeClr w14:val="tx1"/>
            </w14:solidFill>
          </w14:textFill>
        </w:rPr>
      </w:pPr>
    </w:p>
    <w:p>
      <w:pPr>
        <w:spacing w:line="440" w:lineRule="exact"/>
        <w:rPr>
          <w:rFonts w:ascii="宋体" w:hAnsi="宋体" w:cs="宋体"/>
          <w:b/>
          <w:color w:val="000000" w:themeColor="text1"/>
          <w:sz w:val="24"/>
          <w:em w:val="dot"/>
          <w14:textFill>
            <w14:solidFill>
              <w14:schemeClr w14:val="tx1"/>
            </w14:solidFill>
          </w14:textFill>
        </w:rPr>
      </w:pPr>
      <w:r>
        <w:rPr>
          <w:rFonts w:ascii="宋体" w:hAnsi="宋体" w:cs="宋体"/>
          <w:b/>
          <w:color w:val="000000" w:themeColor="text1"/>
          <w:sz w:val="30"/>
          <w:szCs w:val="30"/>
          <w:lang w:val="en-US" w:bidi="ar-SA"/>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121285</wp:posOffset>
                </wp:positionV>
                <wp:extent cx="2857500" cy="1584960"/>
                <wp:effectExtent l="4445" t="5080" r="18415" b="10160"/>
                <wp:wrapNone/>
                <wp:docPr id="13" name="Text Box 61"/>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委托代理人身份证复印件正反面</w:t>
                            </w:r>
                          </w:p>
                          <w:p/>
                        </w:txbxContent>
                      </wps:txbx>
                      <wps:bodyPr rot="0" vert="horz" wrap="square" lIns="91440" tIns="45720" rIns="91440" bIns="45720" anchor="t" anchorCtr="0" upright="1">
                        <a:noAutofit/>
                      </wps:bodyPr>
                    </wps:wsp>
                  </a:graphicData>
                </a:graphic>
              </wp:anchor>
            </w:drawing>
          </mc:Choice>
          <mc:Fallback>
            <w:pict>
              <v:shape id="Text Box 61" o:spid="_x0000_s1026" o:spt="202" type="#_x0000_t202" style="position:absolute;left:0pt;margin-left:252pt;margin-top:9.55pt;height:124.8pt;width:225pt;z-index:251663360;mso-width-relative:page;mso-height-relative:page;" fillcolor="#FFFFFF" filled="t" stroked="t" coordsize="21600,21600" o:gfxdata="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V9wjk2AAAAAoBAAAPAAAAAAAAAAEA&#10;IAAAACIAAABkcnMvZG93bnJldi54bWxQSwECFAAUAAAACACHTuJARcuJkUgCAACxBAAADgAAAAAA&#10;AAABACAAAAAnAQAAZHJzL2Uyb0RvYy54bWxQSwUGAAAAAAYABgBZAQAA4QUAAAAA&#10;">
                <v:fill on="t" focussize="0,0"/>
                <v:stroke color="#000000" miterlimit="8" joinstyle="miter" dashstyle="1 1"/>
                <v:imagedata o:title=""/>
                <o:lock v:ext="edit" aspectratio="f"/>
                <v:textbo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委托代理人身份证复印件正反面</w:t>
                      </w:r>
                    </w:p>
                    <w:p/>
                  </w:txbxContent>
                </v:textbox>
              </v:shape>
            </w:pict>
          </mc:Fallback>
        </mc:AlternateContent>
      </w:r>
      <w:r>
        <w:rPr>
          <w:rFonts w:ascii="宋体" w:hAnsi="宋体" w:cs="宋体"/>
          <w:b/>
          <w:color w:val="000000" w:themeColor="text1"/>
          <w:sz w:val="24"/>
          <w:lang w:val="en-US" w:bidi="ar-SA"/>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121285</wp:posOffset>
                </wp:positionV>
                <wp:extent cx="2857500" cy="1584960"/>
                <wp:effectExtent l="4445" t="5080" r="18415" b="10160"/>
                <wp:wrapNone/>
                <wp:docPr id="12" name="Text Box 60"/>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
                          <w:p>
                            <w:pPr>
                              <w:jc w:val="center"/>
                              <w:rPr>
                                <w:b/>
                              </w:rPr>
                            </w:pPr>
                          </w:p>
                          <w:p>
                            <w:pPr>
                              <w:jc w:val="center"/>
                              <w:rPr>
                                <w:rFonts w:ascii="仿宋_GB2312" w:hAnsi="仿宋" w:eastAsia="仿宋_GB2312"/>
                                <w:b/>
                                <w:sz w:val="24"/>
                              </w:rPr>
                            </w:pPr>
                            <w:r>
                              <w:rPr>
                                <w:rFonts w:hint="eastAsia" w:ascii="仿宋_GB2312" w:hAnsi="仿宋" w:eastAsia="仿宋_GB2312"/>
                                <w:b/>
                                <w:sz w:val="24"/>
                              </w:rPr>
                              <w:t>法定代表人身份证复印件正反面</w:t>
                            </w:r>
                          </w:p>
                        </w:txbxContent>
                      </wps:txbx>
                      <wps:bodyPr rot="0" vert="horz" wrap="square" lIns="91440" tIns="45720" rIns="91440" bIns="45720" anchor="t" anchorCtr="0" upright="1">
                        <a:noAutofit/>
                      </wps:bodyPr>
                    </wps:wsp>
                  </a:graphicData>
                </a:graphic>
              </wp:anchor>
            </w:drawing>
          </mc:Choice>
          <mc:Fallback>
            <w:pict>
              <v:shape id="Text Box 60" o:spid="_x0000_s1026" o:spt="202" type="#_x0000_t202" style="position:absolute;left:0pt;margin-left:9pt;margin-top:9.55pt;height:124.8pt;width:225pt;z-index:251662336;mso-width-relative:page;mso-height-relative:page;" fillcolor="#FFFFFF" filled="t" stroked="t" coordsize="21600,21600" o:gfxdata="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PdT+9cAAAAJAQAADwAAAAAAAAABACAAAAAi&#10;AAAAZHJzL2Rvd25yZXYueG1sUEsBAhQAFAAAAAgAh07iQMjC/WVEAgAAsQQAAA4AAAAAAAAAAQAg&#10;AAAAJgEAAGRycy9lMm9Eb2MueG1sUEsFBgAAAAAGAAYAWQEAANwFAAAAAA==&#10;">
                <v:fill on="t" focussize="0,0"/>
                <v:stroke color="#000000" miterlimit="8" joinstyle="miter" dashstyle="1 1"/>
                <v:imagedata o:title=""/>
                <o:lock v:ext="edit" aspectratio="f"/>
                <v:textbox>
                  <w:txbxContent>
                    <w:p>
                      <w:pPr>
                        <w:jc w:val="center"/>
                      </w:pPr>
                    </w:p>
                    <w:p>
                      <w:pPr>
                        <w:jc w:val="center"/>
                        <w:rPr>
                          <w:b/>
                        </w:rPr>
                      </w:pPr>
                    </w:p>
                    <w:p>
                      <w:pPr>
                        <w:jc w:val="center"/>
                        <w:rPr>
                          <w:rFonts w:ascii="仿宋_GB2312" w:hAnsi="仿宋" w:eastAsia="仿宋_GB2312"/>
                          <w:b/>
                          <w:sz w:val="24"/>
                        </w:rPr>
                      </w:pPr>
                      <w:r>
                        <w:rPr>
                          <w:rFonts w:hint="eastAsia" w:ascii="仿宋_GB2312" w:hAnsi="仿宋" w:eastAsia="仿宋_GB2312"/>
                          <w:b/>
                          <w:sz w:val="24"/>
                        </w:rPr>
                        <w:t>法定代表人身份证复印件正反面</w:t>
                      </w:r>
                    </w:p>
                  </w:txbxContent>
                </v:textbox>
              </v:shape>
            </w:pict>
          </mc:Fallback>
        </mc:AlternateContent>
      </w:r>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p>
    <w:p>
      <w:pPr>
        <w:spacing w:line="220" w:lineRule="auto"/>
        <w:rPr>
          <w:rFonts w:eastAsiaTheme="minorEastAsia"/>
          <w:color w:val="000000" w:themeColor="text1"/>
          <w14:textFill>
            <w14:solidFill>
              <w14:schemeClr w14:val="tx1"/>
            </w14:solidFill>
          </w14:textFill>
        </w:rPr>
        <w:sectPr>
          <w:pgSz w:w="11910" w:h="16850"/>
          <w:pgMar w:top="1440" w:right="1080" w:bottom="1440" w:left="1080" w:header="877" w:footer="1068" w:gutter="0"/>
          <w:cols w:space="720" w:num="1"/>
          <w:docGrid w:linePitch="299" w:charSpace="0"/>
        </w:sectPr>
      </w:pPr>
    </w:p>
    <w:p>
      <w:pPr>
        <w:pStyle w:val="4"/>
        <w:numPr>
          <w:ilvl w:val="1"/>
          <w:numId w:val="0"/>
        </w:numPr>
        <w:spacing w:line="500" w:lineRule="exact"/>
        <w:rPr>
          <w:rFonts w:ascii="宋体" w:hAnsi="宋体"/>
          <w:bCs/>
          <w:color w:val="000000" w:themeColor="text1"/>
          <w:szCs w:val="30"/>
          <w14:textFill>
            <w14:solidFill>
              <w14:schemeClr w14:val="tx1"/>
            </w14:solidFill>
          </w14:textFill>
        </w:rPr>
      </w:pPr>
      <w:bookmarkStart w:id="83" w:name="二．投标保证金退还声明"/>
      <w:bookmarkEnd w:id="83"/>
      <w:bookmarkStart w:id="84" w:name="_bookmark14"/>
      <w:bookmarkEnd w:id="84"/>
      <w:bookmarkStart w:id="85" w:name="_Toc25157"/>
      <w:r>
        <w:rPr>
          <w:rFonts w:ascii="宋体" w:hAnsi="宋体"/>
          <w:bCs/>
          <w:color w:val="000000" w:themeColor="text1"/>
          <w:szCs w:val="30"/>
          <w14:textFill>
            <w14:solidFill>
              <w14:schemeClr w14:val="tx1"/>
            </w14:solidFill>
          </w14:textFill>
        </w:rPr>
        <w:t>法定代表人证明书</w:t>
      </w:r>
      <w:r>
        <w:rPr>
          <w:rFonts w:hint="eastAsia" w:ascii="宋体" w:hAnsi="宋体"/>
          <w:bCs/>
          <w:color w:val="000000" w:themeColor="text1"/>
          <w:szCs w:val="30"/>
          <w14:textFill>
            <w14:solidFill>
              <w14:schemeClr w14:val="tx1"/>
            </w14:solidFill>
          </w14:textFill>
        </w:rPr>
        <w:t>、</w:t>
      </w:r>
      <w:r>
        <w:rPr>
          <w:rFonts w:ascii="宋体" w:hAnsi="宋体"/>
          <w:bCs/>
          <w:color w:val="000000" w:themeColor="text1"/>
          <w:szCs w:val="30"/>
          <w14:textFill>
            <w14:solidFill>
              <w14:schemeClr w14:val="tx1"/>
            </w14:solidFill>
          </w14:textFill>
        </w:rPr>
        <w:t>法人授权委托证明书</w:t>
      </w:r>
      <w:bookmarkEnd w:id="85"/>
    </w:p>
    <w:p>
      <w:pPr>
        <w:spacing w:line="500" w:lineRule="exact"/>
        <w:rPr>
          <w:color w:val="000000" w:themeColor="text1"/>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法定代表人证明书和法人授权委托证明书按下列格式填写。如由法定代表人报价并签署报价文件，需提供法定代表人证明书，否则需提供法定代表人证明书和法人授权委托证明书。</w:t>
      </w:r>
    </w:p>
    <w:p>
      <w:pPr>
        <w:spacing w:line="500" w:lineRule="exact"/>
        <w:rPr>
          <w:rFonts w:ascii="宋体"/>
          <w:color w:val="000000" w:themeColor="text1"/>
          <w:szCs w:val="21"/>
          <w14:textFill>
            <w14:solidFill>
              <w14:schemeClr w14:val="tx1"/>
            </w14:solidFill>
          </w14:textFill>
        </w:rPr>
      </w:pPr>
    </w:p>
    <w:p>
      <w:pPr>
        <w:spacing w:line="500" w:lineRule="exact"/>
        <w:jc w:val="center"/>
        <w:rPr>
          <w:rFonts w:ascii="宋体" w:hAnsi="宋体" w:cs="宋体"/>
          <w:color w:val="000000" w:themeColor="text1"/>
          <w:sz w:val="24"/>
          <w14:textFill>
            <w14:solidFill>
              <w14:schemeClr w14:val="tx1"/>
            </w14:solidFill>
          </w14:textFill>
        </w:rPr>
      </w:pPr>
      <w:r>
        <w:rPr>
          <w:rFonts w:hint="eastAsia" w:ascii="宋体"/>
          <w:b/>
          <w:color w:val="000000" w:themeColor="text1"/>
          <w:sz w:val="28"/>
          <w:szCs w:val="28"/>
          <w14:textFill>
            <w14:solidFill>
              <w14:schemeClr w14:val="tx1"/>
            </w14:solidFill>
          </w14:textFill>
        </w:rPr>
        <w:t>法定代表人证明书</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姓名：性别：年龄：职务：身份证号码：系服务商名称的法定代表人/负责人。为　　　项目名称（项目编号：　　　　　）项目签署报价文件、进行合同洽谈、签署合同和处理与之有关的一切事务。</w:t>
      </w: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lang w:val="en-US" w:bidi="ar-SA"/>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2211705</wp:posOffset>
                </wp:positionH>
                <wp:positionV relativeFrom="paragraph">
                  <wp:posOffset>5715</wp:posOffset>
                </wp:positionV>
                <wp:extent cx="3067050" cy="1920240"/>
                <wp:effectExtent l="4445" t="5080" r="6985" b="10160"/>
                <wp:wrapNone/>
                <wp:docPr id="11" name="Rectangle 3"/>
                <wp:cNvGraphicFramePr/>
                <a:graphic xmlns:a="http://schemas.openxmlformats.org/drawingml/2006/main">
                  <a:graphicData uri="http://schemas.microsoft.com/office/word/2010/wordprocessingShape">
                    <wps:wsp>
                      <wps:cNvSpPr>
                        <a:spLocks noChangeArrowheads="1"/>
                      </wps:cNvSpPr>
                      <wps:spPr bwMode="auto">
                        <a:xfrm>
                          <a:off x="0" y="0"/>
                          <a:ext cx="3067050" cy="1920240"/>
                        </a:xfrm>
                        <a:prstGeom prst="rect">
                          <a:avLst/>
                        </a:prstGeom>
                        <a:solidFill>
                          <a:srgbClr val="FFFFFF"/>
                        </a:solidFill>
                        <a:ln w="9525">
                          <a:solidFill>
                            <a:srgbClr val="000000"/>
                          </a:solidFill>
                          <a:miter lim="800000"/>
                        </a:ln>
                        <a:effectLst/>
                      </wps:spPr>
                      <wps:txbx>
                        <w:txbxContent>
                          <w:p>
                            <w:pPr>
                              <w:jc w:val="center"/>
                            </w:pPr>
                          </w:p>
                          <w:p>
                            <w:pPr>
                              <w:jc w:val="center"/>
                            </w:pPr>
                          </w:p>
                          <w:p>
                            <w:pPr>
                              <w:jc w:val="center"/>
                            </w:pPr>
                          </w:p>
                          <w:p>
                            <w:pPr>
                              <w:jc w:val="center"/>
                            </w:pPr>
                          </w:p>
                          <w:p>
                            <w:pPr>
                              <w:jc w:val="center"/>
                            </w:pPr>
                          </w:p>
                          <w:p>
                            <w:r>
                              <w:rPr>
                                <w:rFonts w:hint="eastAsia"/>
                              </w:rPr>
                              <w:t xml:space="preserve">              法人身份证复印件</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174.15pt;margin-top:0.45pt;height:151.2pt;width:241.5pt;z-index:251664384;mso-width-relative:page;mso-height-relative:page;" fillcolor="#FFFFFF" filled="t" stroked="t" coordsize="21600,21600" o:gfxdata="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AnAf9YAAAAIAQAADwAAAAAAAAABACAAAAAiAAAAZHJzL2Rvd25yZXYu&#10;eG1sUEsBAhQAFAAAAAgAh07iQC7CYaI2AgAAjQQAAA4AAAAAAAAAAQAgAAAAJQEAAGRycy9lMm9E&#10;b2MueG1sUEsFBgAAAAAGAAYAWQEAAM0FA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r>
                        <w:rPr>
                          <w:rFonts w:hint="eastAsia"/>
                        </w:rPr>
                        <w:t xml:space="preserve">              法人身份证复印件</w:t>
                      </w:r>
                    </w:p>
                  </w:txbxContent>
                </v:textbox>
              </v:rect>
            </w:pict>
          </mc:Fallback>
        </mc:AlternateContent>
      </w:r>
      <w:r>
        <w:rPr>
          <w:rFonts w:hint="eastAsia" w:ascii="宋体" w:hAnsi="宋体" w:cs="宋体"/>
          <w:color w:val="000000" w:themeColor="text1"/>
          <w:sz w:val="24"/>
          <w14:textFill>
            <w14:solidFill>
              <w14:schemeClr w14:val="tx1"/>
            </w14:solidFill>
          </w14:textFill>
        </w:rPr>
        <w:t>特此证明。</w:t>
      </w: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法人身份证复印件</w:t>
      </w: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投标企业名称：（盖公章）</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235" w:lineRule="auto"/>
        <w:jc w:val="both"/>
        <w:rPr>
          <w:color w:val="000000" w:themeColor="text1"/>
          <w14:textFill>
            <w14:solidFill>
              <w14:schemeClr w14:val="tx1"/>
            </w14:solidFill>
          </w14:textFill>
        </w:rPr>
        <w:sectPr>
          <w:pgSz w:w="11910" w:h="16850"/>
          <w:pgMar w:top="1440" w:right="1080" w:bottom="1440" w:left="1080" w:header="877" w:footer="1068" w:gutter="0"/>
          <w:cols w:space="720" w:num="1"/>
          <w:docGrid w:linePitch="299" w:charSpace="0"/>
        </w:sectPr>
      </w:pPr>
    </w:p>
    <w:p>
      <w:pPr>
        <w:pStyle w:val="14"/>
        <w:ind w:left="0"/>
        <w:rPr>
          <w:color w:val="000000" w:themeColor="text1"/>
          <w:sz w:val="20"/>
          <w14:textFill>
            <w14:solidFill>
              <w14:schemeClr w14:val="tx1"/>
            </w14:solidFill>
          </w14:textFill>
        </w:rPr>
      </w:pPr>
    </w:p>
    <w:p>
      <w:pPr>
        <w:pStyle w:val="14"/>
        <w:spacing w:before="12"/>
        <w:ind w:left="0"/>
        <w:rPr>
          <w:color w:val="000000" w:themeColor="text1"/>
          <w:sz w:val="15"/>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86" w:name="_bookmark15"/>
      <w:bookmarkEnd w:id="86"/>
      <w:bookmarkStart w:id="87" w:name="三．投标供应商综合情况简介"/>
      <w:bookmarkEnd w:id="87"/>
      <w:bookmarkStart w:id="88" w:name="_Toc16513"/>
      <w:r>
        <w:rPr>
          <w:rFonts w:hint="eastAsia"/>
          <w:color w:val="000000" w:themeColor="text1"/>
          <w14:textFill>
            <w14:solidFill>
              <w14:schemeClr w14:val="tx1"/>
            </w14:solidFill>
          </w14:textFill>
        </w:rPr>
        <w:t>附件四   招标响应报价表</w:t>
      </w:r>
      <w:bookmarkEnd w:id="88"/>
    </w:p>
    <w:p>
      <w:pPr>
        <w:spacing w:line="500" w:lineRule="exact"/>
        <w:ind w:firstLine="2836" w:firstLineChars="945"/>
        <w:rPr>
          <w:rFonts w:ascii="宋体" w:hAnsi="宋体" w:cs="宋体"/>
          <w:b/>
          <w:bCs/>
          <w:color w:val="000000" w:themeColor="text1"/>
          <w:sz w:val="30"/>
          <w:szCs w:val="30"/>
          <w14:textFill>
            <w14:solidFill>
              <w14:schemeClr w14:val="tx1"/>
            </w14:solidFill>
          </w14:textFill>
        </w:rPr>
      </w:pPr>
    </w:p>
    <w:p>
      <w:pPr>
        <w:spacing w:line="500" w:lineRule="exact"/>
        <w:rPr>
          <w:rFonts w:cs="宋体" w:asciiTheme="minorEastAsia" w:hAnsiTheme="minorEastAsia" w:eastAsiaTheme="minorEastAsia"/>
          <w:color w:val="000000" w:themeColor="text1"/>
          <w:sz w:val="24"/>
          <w:u w:val="single"/>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项目名称：              招标文件编号：                 </w:t>
      </w:r>
    </w:p>
    <w:p>
      <w:pPr>
        <w:spacing w:line="500" w:lineRule="exact"/>
        <w:rPr>
          <w:rFonts w:cs="宋体" w:asciiTheme="minorEastAsia" w:hAnsiTheme="minorEastAsia" w:eastAsiaTheme="minorEastAsia"/>
          <w:color w:val="000000" w:themeColor="text1"/>
          <w:sz w:val="24"/>
          <w:u w:val="single"/>
          <w14:textFill>
            <w14:solidFill>
              <w14:schemeClr w14:val="tx1"/>
            </w14:solidFill>
          </w14:textFill>
        </w:rPr>
      </w:pPr>
    </w:p>
    <w:tbl>
      <w:tblPr>
        <w:tblStyle w:val="4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76"/>
              <w:spacing w:line="500" w:lineRule="exact"/>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投标人名称</w:t>
            </w:r>
          </w:p>
        </w:tc>
        <w:tc>
          <w:tcPr>
            <w:tcW w:w="8126" w:type="dxa"/>
          </w:tcPr>
          <w:p>
            <w:pPr>
              <w:pStyle w:val="76"/>
              <w:spacing w:line="500" w:lineRule="exact"/>
              <w:jc w:val="both"/>
              <w:rPr>
                <w:rFonts w:cs="宋体" w:asciiTheme="minorEastAsia" w:hAnsiTheme="minorEastAsia" w:eastAsiaTheme="minorEastAsia"/>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投标报价</w:t>
            </w:r>
          </w:p>
        </w:tc>
        <w:tc>
          <w:tcPr>
            <w:tcW w:w="8126" w:type="dxa"/>
          </w:tcPr>
          <w:p>
            <w:pPr>
              <w:pStyle w:val="76"/>
              <w:spacing w:line="500" w:lineRule="exact"/>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tcPr>
          <w:p>
            <w:pPr>
              <w:pStyle w:val="76"/>
              <w:spacing w:line="500" w:lineRule="exact"/>
              <w:jc w:val="both"/>
              <w:rPr>
                <w:rFonts w:cs="宋体" w:asciiTheme="minorEastAsia" w:hAnsiTheme="minorEastAsia" w:eastAsiaTheme="minorEastAsia"/>
                <w:color w:val="000000" w:themeColor="text1"/>
                <w14:textFill>
                  <w14:solidFill>
                    <w14:schemeClr w14:val="tx1"/>
                  </w14:solidFill>
                </w14:textFill>
              </w:rPr>
            </w:pPr>
          </w:p>
        </w:tc>
        <w:tc>
          <w:tcPr>
            <w:tcW w:w="8126" w:type="dxa"/>
          </w:tcPr>
          <w:p>
            <w:pPr>
              <w:pStyle w:val="76"/>
              <w:spacing w:line="500" w:lineRule="exact"/>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76"/>
              <w:spacing w:line="500" w:lineRule="exact"/>
              <w:ind w:firstLine="120" w:firstLineChars="50"/>
              <w:jc w:val="both"/>
              <w:rPr>
                <w:rFonts w:cs="宋体" w:asciiTheme="minorEastAsia" w:hAnsiTheme="minorEastAsia" w:eastAsiaTheme="minorEastAsia"/>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供货期</w:t>
            </w:r>
          </w:p>
        </w:tc>
        <w:tc>
          <w:tcPr>
            <w:tcW w:w="8126" w:type="dxa"/>
          </w:tcPr>
          <w:p>
            <w:pPr>
              <w:pStyle w:val="76"/>
              <w:spacing w:line="500" w:lineRule="exact"/>
              <w:jc w:val="both"/>
              <w:rPr>
                <w:rFonts w:cs="宋体" w:asciiTheme="minorEastAsia" w:hAnsiTheme="minorEastAsia" w:eastAsiaTheme="minorEastAsia"/>
                <w:color w:val="000000" w:themeColor="text1"/>
                <w14:textFill>
                  <w14:solidFill>
                    <w14:schemeClr w14:val="tx1"/>
                  </w14:solidFill>
                </w14:textFill>
              </w:rPr>
            </w:pPr>
          </w:p>
        </w:tc>
      </w:tr>
    </w:tbl>
    <w:p>
      <w:pPr>
        <w:pStyle w:val="76"/>
        <w:spacing w:line="500" w:lineRule="exact"/>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兹声明：以上投标报价在投标有效期内一直有效。</w:t>
      </w:r>
    </w:p>
    <w:p>
      <w:pPr>
        <w:spacing w:line="500" w:lineRule="exact"/>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投标人名称（公章）：</w:t>
      </w:r>
    </w:p>
    <w:p>
      <w:pPr>
        <w:pStyle w:val="77"/>
        <w:keepNext w:val="0"/>
        <w:keepLines w:val="0"/>
        <w:adjustRightInd/>
        <w:spacing w:before="0" w:line="500" w:lineRule="exact"/>
        <w:textAlignment w:val="auto"/>
        <w:outlineLvl w:val="9"/>
        <w:rPr>
          <w:rFonts w:cs="宋体" w:asciiTheme="minorEastAsia" w:hAnsiTheme="minorEastAsia" w:eastAsiaTheme="minorEastAsia"/>
          <w:b w:val="0"/>
          <w:color w:val="000000" w:themeColor="text1"/>
          <w:kern w:val="2"/>
          <w:sz w:val="24"/>
          <w14:textFill>
            <w14:solidFill>
              <w14:schemeClr w14:val="tx1"/>
            </w14:solidFill>
          </w14:textFill>
        </w:rPr>
      </w:pPr>
      <w:bookmarkStart w:id="89" w:name="_Toc27078"/>
      <w:r>
        <w:rPr>
          <w:rFonts w:hint="eastAsia" w:cs="宋体" w:asciiTheme="minorEastAsia" w:hAnsiTheme="minorEastAsia" w:eastAsiaTheme="minorEastAsia"/>
          <w:b w:val="0"/>
          <w:color w:val="000000" w:themeColor="text1"/>
          <w:sz w:val="24"/>
          <w14:textFill>
            <w14:solidFill>
              <w14:schemeClr w14:val="tx1"/>
            </w14:solidFill>
          </w14:textFill>
        </w:rPr>
        <w:t>法人签字：</w:t>
      </w:r>
      <w:bookmarkEnd w:id="89"/>
    </w:p>
    <w:p>
      <w:pPr>
        <w:pStyle w:val="77"/>
        <w:keepNext w:val="0"/>
        <w:keepLines w:val="0"/>
        <w:adjustRightInd/>
        <w:spacing w:before="0" w:line="500" w:lineRule="exact"/>
        <w:textAlignment w:val="auto"/>
        <w:outlineLvl w:val="9"/>
        <w:rPr>
          <w:rFonts w:cs="宋体" w:asciiTheme="minorEastAsia" w:hAnsiTheme="minorEastAsia" w:eastAsiaTheme="minorEastAsia"/>
          <w:b w:val="0"/>
          <w:color w:val="000000" w:themeColor="text1"/>
          <w:kern w:val="2"/>
          <w:sz w:val="24"/>
          <w14:textFill>
            <w14:solidFill>
              <w14:schemeClr w14:val="tx1"/>
            </w14:solidFill>
          </w14:textFill>
        </w:rPr>
      </w:pPr>
      <w:bookmarkStart w:id="90" w:name="_Toc17273"/>
      <w:r>
        <w:rPr>
          <w:rFonts w:hint="eastAsia" w:cs="宋体" w:asciiTheme="minorEastAsia" w:hAnsiTheme="minorEastAsia" w:eastAsiaTheme="minorEastAsia"/>
          <w:b w:val="0"/>
          <w:color w:val="000000" w:themeColor="text1"/>
          <w:spacing w:val="36"/>
          <w:kern w:val="2"/>
          <w:sz w:val="24"/>
          <w14:textFill>
            <w14:solidFill>
              <w14:schemeClr w14:val="tx1"/>
            </w14:solidFill>
          </w14:textFill>
        </w:rPr>
        <w:t>日期</w:t>
      </w:r>
      <w:r>
        <w:rPr>
          <w:rFonts w:hint="eastAsia" w:cs="宋体" w:asciiTheme="minorEastAsia" w:hAnsiTheme="minorEastAsia" w:eastAsiaTheme="minorEastAsia"/>
          <w:b w:val="0"/>
          <w:color w:val="000000" w:themeColor="text1"/>
          <w:kern w:val="2"/>
          <w:sz w:val="24"/>
          <w14:textFill>
            <w14:solidFill>
              <w14:schemeClr w14:val="tx1"/>
            </w14:solidFill>
          </w14:textFill>
        </w:rPr>
        <w:t>：   年   月   日</w:t>
      </w:r>
      <w:bookmarkEnd w:id="90"/>
    </w:p>
    <w:p>
      <w:pPr>
        <w:pStyle w:val="77"/>
        <w:keepNext w:val="0"/>
        <w:keepLines w:val="0"/>
        <w:adjustRightInd/>
        <w:spacing w:before="0" w:line="500" w:lineRule="exact"/>
        <w:textAlignment w:val="auto"/>
        <w:outlineLvl w:val="9"/>
        <w:rPr>
          <w:rFonts w:cs="宋体" w:asciiTheme="minorEastAsia" w:hAnsiTheme="minorEastAsia" w:eastAsiaTheme="minorEastAsia"/>
          <w:color w:val="000000" w:themeColor="text1"/>
          <w:kern w:val="2"/>
          <w:sz w:val="24"/>
          <w14:textFill>
            <w14:solidFill>
              <w14:schemeClr w14:val="tx1"/>
            </w14:solidFill>
          </w14:textFill>
        </w:rPr>
      </w:pPr>
      <w:bookmarkStart w:id="91" w:name="_Toc4486"/>
      <w:r>
        <w:rPr>
          <w:rFonts w:hint="eastAsia" w:cs="宋体" w:asciiTheme="minorEastAsia" w:hAnsiTheme="minorEastAsia" w:eastAsiaTheme="minorEastAsia"/>
          <w:color w:val="000000" w:themeColor="text1"/>
          <w:sz w:val="24"/>
          <w14:textFill>
            <w14:solidFill>
              <w14:schemeClr w14:val="tx1"/>
            </w14:solidFill>
          </w14:textFill>
        </w:rPr>
        <w:t>注：1、此表需密封后单独提交。</w:t>
      </w:r>
      <w:bookmarkEnd w:id="91"/>
    </w:p>
    <w:p>
      <w:pPr>
        <w:spacing w:line="50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500" w:lineRule="exact"/>
        <w:jc w:val="center"/>
        <w:rPr>
          <w:rFonts w:cs="宋体" w:asciiTheme="majorEastAsia" w:hAnsiTheme="majorEastAsia" w:eastAsiaTheme="majorEastAsia"/>
          <w:b/>
          <w:color w:val="000000" w:themeColor="text1"/>
          <w:sz w:val="28"/>
          <w:szCs w:val="28"/>
          <w14:textFill>
            <w14:solidFill>
              <w14:schemeClr w14:val="tx1"/>
            </w14:solidFill>
          </w14:textFill>
        </w:rPr>
      </w:pPr>
    </w:p>
    <w:p>
      <w:pPr>
        <w:spacing w:line="500" w:lineRule="exact"/>
        <w:jc w:val="center"/>
        <w:rPr>
          <w:rFonts w:cs="宋体" w:asciiTheme="majorEastAsia" w:hAnsiTheme="majorEastAsia" w:eastAsiaTheme="majorEastAsia"/>
          <w:b/>
          <w:color w:val="000000" w:themeColor="text1"/>
          <w:sz w:val="28"/>
          <w:szCs w:val="28"/>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92" w:name="_Toc17117"/>
      <w:r>
        <w:rPr>
          <w:rFonts w:hint="eastAsia"/>
          <w:color w:val="000000" w:themeColor="text1"/>
          <w14:textFill>
            <w14:solidFill>
              <w14:schemeClr w14:val="tx1"/>
            </w14:solidFill>
          </w14:textFill>
        </w:rPr>
        <w:t>附件五   招标响应明细报价表</w:t>
      </w:r>
      <w:bookmarkEnd w:id="92"/>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项目名称：                                   </w:t>
      </w: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招标文件编号：               </w:t>
      </w:r>
    </w:p>
    <w:tbl>
      <w:tblPr>
        <w:tblStyle w:val="4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45"/>
        <w:gridCol w:w="1575"/>
        <w:gridCol w:w="942"/>
        <w:gridCol w:w="942"/>
        <w:gridCol w:w="942"/>
        <w:gridCol w:w="942"/>
        <w:gridCol w:w="1537"/>
        <w:gridCol w:w="1061"/>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序号</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货物名称</w:t>
            </w: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说明</w:t>
            </w:r>
          </w:p>
        </w:tc>
        <w:tc>
          <w:tcPr>
            <w:tcW w:w="473" w:type="pct"/>
          </w:tcPr>
          <w:p>
            <w:pPr>
              <w:pStyle w:val="76"/>
              <w:spacing w:line="500" w:lineRule="exact"/>
              <w:ind w:firstLine="240" w:firstLineChars="100"/>
              <w:jc w:val="center"/>
              <w:rPr>
                <w:rFonts w:hint="eastAsia"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宋体" w:asciiTheme="minorEastAsia" w:hAnsiTheme="minorEastAsia" w:eastAsiaTheme="minorEastAsia"/>
                <w:color w:val="000000" w:themeColor="text1"/>
                <w:highlight w:val="none"/>
                <w:lang w:eastAsia="zh-CN"/>
                <w14:textFill>
                  <w14:solidFill>
                    <w14:schemeClr w14:val="tx1"/>
                  </w14:solidFill>
                </w14:textFill>
              </w:rPr>
              <w:t>品牌型号</w:t>
            </w: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数量</w:t>
            </w: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单价</w:t>
            </w:r>
          </w:p>
        </w:tc>
        <w:tc>
          <w:tcPr>
            <w:tcW w:w="772" w:type="pct"/>
            <w:vAlign w:val="center"/>
          </w:tcPr>
          <w:p>
            <w:pPr>
              <w:pStyle w:val="76"/>
              <w:spacing w:line="500" w:lineRule="exact"/>
              <w:ind w:firstLine="240" w:firstLineChars="100"/>
              <w:jc w:val="center"/>
              <w:rPr>
                <w:rFonts w:hint="eastAsia" w:cs="宋体" w:asciiTheme="minorEastAsia" w:hAnsiTheme="minorEastAsia" w:eastAsiaTheme="minorEastAsia"/>
                <w:color w:val="FF0000"/>
                <w:highlight w:val="none"/>
                <w:lang w:eastAsia="zh-CN"/>
              </w:rPr>
            </w:pPr>
            <w:r>
              <w:rPr>
                <w:rFonts w:hint="eastAsia" w:ascii="宋体" w:hAnsi="宋体" w:cs="宋体" w:eastAsiaTheme="minorEastAsia"/>
                <w:color w:val="000000" w:themeColor="text1"/>
                <w:highlight w:val="none"/>
                <w:lang w:eastAsia="zh-CN"/>
                <w14:textFill>
                  <w14:solidFill>
                    <w14:schemeClr w14:val="tx1"/>
                  </w14:solidFill>
                </w14:textFill>
              </w:rPr>
              <w:t>生产厂家</w:t>
            </w: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总价</w:t>
            </w: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一、</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772"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二、</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772"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三、</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772"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四、</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772"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五、</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772"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六、</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772"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71" w:type="pct"/>
          </w:tcPr>
          <w:p>
            <w:pPr>
              <w:pStyle w:val="76"/>
              <w:spacing w:line="500" w:lineRule="exact"/>
              <w:ind w:firstLine="240" w:firstLineChars="100"/>
              <w:jc w:val="both"/>
              <w:rPr>
                <w:rFonts w:cs="宋体" w:asciiTheme="minorEastAsia" w:hAnsiTheme="minorEastAsia" w:eastAsiaTheme="minorEastAsia"/>
                <w:color w:val="000000" w:themeColor="text1"/>
                <w:highlight w:val="none"/>
                <w14:textFill>
                  <w14:solidFill>
                    <w14:schemeClr w14:val="tx1"/>
                  </w14:solidFill>
                </w14:textFill>
              </w:rPr>
            </w:pPr>
          </w:p>
        </w:tc>
        <w:tc>
          <w:tcPr>
            <w:tcW w:w="4528" w:type="pct"/>
            <w:gridSpan w:val="9"/>
            <w:vAlign w:val="center"/>
          </w:tcPr>
          <w:p>
            <w:pPr>
              <w:pStyle w:val="76"/>
              <w:spacing w:line="500" w:lineRule="exact"/>
              <w:ind w:firstLine="240" w:firstLineChars="100"/>
              <w:jc w:val="both"/>
              <w:rPr>
                <w:rFonts w:hint="eastAsia"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投标总报价（人民币大写）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71" w:type="pct"/>
          </w:tcPr>
          <w:p>
            <w:pPr>
              <w:pStyle w:val="76"/>
              <w:spacing w:line="500" w:lineRule="exact"/>
              <w:ind w:firstLine="240" w:firstLineChars="100"/>
              <w:jc w:val="both"/>
              <w:rPr>
                <w:rFonts w:cs="宋体" w:asciiTheme="minorEastAsia" w:hAnsiTheme="minorEastAsia" w:eastAsiaTheme="minorEastAsia"/>
                <w:color w:val="000000" w:themeColor="text1"/>
                <w:highlight w:val="none"/>
                <w14:textFill>
                  <w14:solidFill>
                    <w14:schemeClr w14:val="tx1"/>
                  </w14:solidFill>
                </w14:textFill>
              </w:rPr>
            </w:pPr>
          </w:p>
        </w:tc>
        <w:tc>
          <w:tcPr>
            <w:tcW w:w="4528" w:type="pct"/>
            <w:gridSpan w:val="9"/>
            <w:vAlign w:val="center"/>
          </w:tcPr>
          <w:p>
            <w:pPr>
              <w:pStyle w:val="76"/>
              <w:spacing w:line="500" w:lineRule="exact"/>
              <w:ind w:firstLine="240" w:firstLineChars="100"/>
              <w:jc w:val="both"/>
              <w:rPr>
                <w:rFonts w:hint="eastAsia"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优惠条款：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71" w:type="pct"/>
          </w:tcPr>
          <w:p>
            <w:pPr>
              <w:pStyle w:val="76"/>
              <w:spacing w:line="500" w:lineRule="exact"/>
              <w:ind w:firstLine="240" w:firstLineChars="100"/>
              <w:jc w:val="both"/>
              <w:rPr>
                <w:rFonts w:cs="宋体" w:asciiTheme="minorEastAsia" w:hAnsiTheme="minorEastAsia" w:eastAsiaTheme="minorEastAsia"/>
                <w:color w:val="000000" w:themeColor="text1"/>
                <w:highlight w:val="none"/>
                <w14:textFill>
                  <w14:solidFill>
                    <w14:schemeClr w14:val="tx1"/>
                  </w14:solidFill>
                </w14:textFill>
              </w:rPr>
            </w:pPr>
          </w:p>
        </w:tc>
        <w:tc>
          <w:tcPr>
            <w:tcW w:w="4528" w:type="pct"/>
            <w:gridSpan w:val="9"/>
            <w:vAlign w:val="center"/>
          </w:tcPr>
          <w:p>
            <w:pPr>
              <w:pStyle w:val="76"/>
              <w:spacing w:line="500" w:lineRule="exact"/>
              <w:ind w:firstLine="240" w:firstLineChars="100"/>
              <w:jc w:val="both"/>
              <w:rPr>
                <w:rFonts w:hint="eastAsia"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其它：</w:t>
            </w:r>
          </w:p>
        </w:tc>
      </w:tr>
    </w:tbl>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注：上述报价包含运输费、人工费，保险费、安装费、调试费、培训费、烹饪实训食品耗材费</w:t>
      </w:r>
      <w:r>
        <w:rPr>
          <w:rFonts w:hint="eastAsia" w:cs="宋体" w:asciiTheme="minorEastAsia" w:hAnsiTheme="minorEastAsia" w:eastAsiaTheme="minorEastAsia"/>
          <w:color w:val="000000" w:themeColor="text1"/>
          <w:lang w:eastAsia="zh-CN"/>
          <w14:textFill>
            <w14:solidFill>
              <w14:schemeClr w14:val="tx1"/>
            </w14:solidFill>
          </w14:textFill>
        </w:rPr>
        <w:t>等</w:t>
      </w:r>
      <w:r>
        <w:rPr>
          <w:rFonts w:hint="eastAsia" w:cs="宋体" w:asciiTheme="minorEastAsia" w:hAnsiTheme="minorEastAsia" w:eastAsiaTheme="minorEastAsia"/>
          <w:color w:val="000000" w:themeColor="text1"/>
          <w14:textFill>
            <w14:solidFill>
              <w14:schemeClr w14:val="tx1"/>
            </w14:solidFill>
          </w14:textFill>
        </w:rPr>
        <w:t>一切由投标方承担的费用。</w:t>
      </w: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投标人名称（公章）：</w:t>
      </w: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法人签字：                                       </w:t>
      </w: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20    年    月    日</w:t>
      </w: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jc w:val="both"/>
        <w:rPr>
          <w:rFonts w:ascii="Times New Roman" w:eastAsia="Times New Roman"/>
          <w:color w:val="000000" w:themeColor="text1"/>
          <w14:textFill>
            <w14:solidFill>
              <w14:schemeClr w14:val="tx1"/>
            </w14:solidFill>
          </w14:textFill>
        </w:rPr>
        <w:sectPr>
          <w:pgSz w:w="11910" w:h="16850"/>
          <w:pgMar w:top="1440" w:right="1080" w:bottom="1440" w:left="1080" w:header="877" w:footer="1068" w:gutter="0"/>
          <w:cols w:space="720" w:num="1"/>
          <w:docGrid w:linePitch="299" w:charSpace="0"/>
        </w:sectPr>
      </w:pPr>
    </w:p>
    <w:p>
      <w:pPr>
        <w:spacing w:line="500" w:lineRule="exact"/>
        <w:jc w:val="center"/>
        <w:rPr>
          <w:rFonts w:cs="宋体" w:asciiTheme="majorEastAsia" w:hAnsiTheme="majorEastAsia" w:eastAsiaTheme="majorEastAsia"/>
          <w:b/>
          <w:color w:val="000000" w:themeColor="text1"/>
          <w:sz w:val="28"/>
          <w:szCs w:val="28"/>
          <w14:textFill>
            <w14:solidFill>
              <w14:schemeClr w14:val="tx1"/>
            </w14:solidFill>
          </w14:textFill>
        </w:rPr>
      </w:pPr>
    </w:p>
    <w:p>
      <w:pPr>
        <w:spacing w:line="500" w:lineRule="exact"/>
        <w:jc w:val="center"/>
        <w:rPr>
          <w:rFonts w:cs="宋体" w:asciiTheme="majorEastAsia" w:hAnsiTheme="majorEastAsia" w:eastAsiaTheme="majorEastAsia"/>
          <w:b/>
          <w:color w:val="000000" w:themeColor="text1"/>
          <w:sz w:val="28"/>
          <w:szCs w:val="28"/>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93" w:name="_Toc5524"/>
      <w:r>
        <w:rPr>
          <w:rFonts w:hint="eastAsia"/>
          <w:color w:val="000000" w:themeColor="text1"/>
          <w14:textFill>
            <w14:solidFill>
              <w14:schemeClr w14:val="tx1"/>
            </w14:solidFill>
          </w14:textFill>
        </w:rPr>
        <w:t>附件六   货物项目内容简要说明一览表</w:t>
      </w:r>
      <w:bookmarkEnd w:id="93"/>
    </w:p>
    <w:p>
      <w:pPr>
        <w:spacing w:line="440" w:lineRule="exact"/>
        <w:rPr>
          <w:rFonts w:ascii="宋体" w:hAnsi="宋体" w:cs="宋体"/>
          <w:b/>
          <w:color w:val="000000" w:themeColor="text1"/>
          <w:sz w:val="24"/>
          <w14:textFill>
            <w14:solidFill>
              <w14:schemeClr w14:val="tx1"/>
            </w14:solidFill>
          </w14:textFill>
        </w:rPr>
      </w:pPr>
    </w:p>
    <w:p>
      <w:pPr>
        <w:pStyle w:val="76"/>
        <w:spacing w:line="500" w:lineRule="exact"/>
        <w:ind w:firstLine="720" w:firstLineChars="3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投标人名称（公章）：         　　　　　 招标文件编号：                     </w:t>
      </w: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bl>
      <w:tblPr>
        <w:tblStyle w:val="40"/>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435"/>
        <w:gridCol w:w="2880"/>
        <w:gridCol w:w="247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序号</w:t>
            </w:r>
          </w:p>
        </w:tc>
        <w:tc>
          <w:tcPr>
            <w:tcW w:w="1435"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货物名称</w:t>
            </w:r>
          </w:p>
        </w:tc>
        <w:tc>
          <w:tcPr>
            <w:tcW w:w="2880"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主要技术参数</w:t>
            </w:r>
          </w:p>
        </w:tc>
        <w:tc>
          <w:tcPr>
            <w:tcW w:w="2471"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说明</w:t>
            </w:r>
          </w:p>
        </w:tc>
        <w:tc>
          <w:tcPr>
            <w:tcW w:w="1418"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1</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4</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5</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6</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bl>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注：此表需详列投标的每种服务项目                  20  年    月    日</w:t>
      </w: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94" w:name="_Toc32175"/>
      <w:r>
        <w:rPr>
          <w:rFonts w:hint="eastAsia"/>
          <w:color w:val="000000" w:themeColor="text1"/>
          <w14:textFill>
            <w14:solidFill>
              <w14:schemeClr w14:val="tx1"/>
            </w14:solidFill>
          </w14:textFill>
        </w:rPr>
        <w:t>附件七   免费提供货物/服务项目</w:t>
      </w:r>
      <w:bookmarkEnd w:id="94"/>
    </w:p>
    <w:p>
      <w:pPr>
        <w:spacing w:line="440" w:lineRule="exact"/>
        <w:rPr>
          <w:rFonts w:ascii="宋体" w:hAnsi="宋体" w:cs="宋体"/>
          <w:color w:val="000000" w:themeColor="text1"/>
          <w:sz w:val="24"/>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投标人名称（公章）：         　　　　 招标文件编号：                   </w:t>
      </w:r>
    </w:p>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bl>
      <w:tblPr>
        <w:tblStyle w:val="40"/>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1842"/>
        <w:gridCol w:w="1843"/>
        <w:gridCol w:w="992"/>
        <w:gridCol w:w="993"/>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993"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序号</w:t>
            </w:r>
          </w:p>
        </w:tc>
        <w:tc>
          <w:tcPr>
            <w:tcW w:w="1701"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货物名称</w:t>
            </w:r>
          </w:p>
        </w:tc>
        <w:tc>
          <w:tcPr>
            <w:tcW w:w="1842"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内容</w:t>
            </w:r>
          </w:p>
        </w:tc>
        <w:tc>
          <w:tcPr>
            <w:tcW w:w="1843"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技术参数</w:t>
            </w:r>
          </w:p>
        </w:tc>
        <w:tc>
          <w:tcPr>
            <w:tcW w:w="992"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单位</w:t>
            </w:r>
          </w:p>
        </w:tc>
        <w:tc>
          <w:tcPr>
            <w:tcW w:w="993"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数量</w:t>
            </w:r>
          </w:p>
        </w:tc>
        <w:tc>
          <w:tcPr>
            <w:tcW w:w="992"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单价</w:t>
            </w:r>
          </w:p>
        </w:tc>
        <w:tc>
          <w:tcPr>
            <w:tcW w:w="992"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1</w:t>
            </w:r>
          </w:p>
        </w:tc>
        <w:tc>
          <w:tcPr>
            <w:tcW w:w="1701"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w:t>
            </w:r>
          </w:p>
        </w:tc>
        <w:tc>
          <w:tcPr>
            <w:tcW w:w="1701"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w:t>
            </w:r>
          </w:p>
        </w:tc>
        <w:tc>
          <w:tcPr>
            <w:tcW w:w="1701"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p>
        </w:tc>
        <w:tc>
          <w:tcPr>
            <w:tcW w:w="1701"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bl>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法人代表签字：　　　　　　　 　　</w:t>
      </w: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日期：20    年　  月　  日</w:t>
      </w: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95" w:name="_Toc10060"/>
      <w:r>
        <w:rPr>
          <w:rFonts w:hint="eastAsia"/>
          <w:color w:val="000000" w:themeColor="text1"/>
          <w14:textFill>
            <w14:solidFill>
              <w14:schemeClr w14:val="tx1"/>
            </w14:solidFill>
          </w14:textFill>
        </w:rPr>
        <w:t>附件八   技术参数偏离表</w:t>
      </w:r>
      <w:bookmarkEnd w:id="95"/>
    </w:p>
    <w:p>
      <w:pPr>
        <w:spacing w:line="440" w:lineRule="exact"/>
        <w:rPr>
          <w:rFonts w:ascii="宋体" w:hAnsi="宋体" w:cs="宋体"/>
          <w:color w:val="000000" w:themeColor="text1"/>
          <w:sz w:val="24"/>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投标人名称（公章）：         　　　　 　  招标文件编号：                         </w:t>
      </w:r>
    </w:p>
    <w:tbl>
      <w:tblPr>
        <w:tblStyle w:val="40"/>
        <w:tblpPr w:leftFromText="180" w:rightFromText="180" w:vertAnchor="text" w:horzAnchor="page" w:tblpX="1256" w:tblpY="409"/>
        <w:tblOverlap w:val="never"/>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10"/>
        <w:gridCol w:w="1559"/>
        <w:gridCol w:w="2005"/>
        <w:gridCol w:w="1243"/>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959"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序号</w:t>
            </w:r>
          </w:p>
        </w:tc>
        <w:tc>
          <w:tcPr>
            <w:tcW w:w="2410"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招标文件条目号</w:t>
            </w:r>
          </w:p>
        </w:tc>
        <w:tc>
          <w:tcPr>
            <w:tcW w:w="1559"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招标内容</w:t>
            </w:r>
          </w:p>
        </w:tc>
        <w:tc>
          <w:tcPr>
            <w:tcW w:w="2005"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投标内容</w:t>
            </w:r>
          </w:p>
        </w:tc>
        <w:tc>
          <w:tcPr>
            <w:tcW w:w="1243"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偏离</w:t>
            </w:r>
          </w:p>
        </w:tc>
        <w:tc>
          <w:tcPr>
            <w:tcW w:w="1165"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1</w:t>
            </w:r>
          </w:p>
        </w:tc>
        <w:tc>
          <w:tcPr>
            <w:tcW w:w="2410"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5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200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2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16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w:t>
            </w:r>
          </w:p>
        </w:tc>
        <w:tc>
          <w:tcPr>
            <w:tcW w:w="2410"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5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200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2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16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w:t>
            </w:r>
          </w:p>
        </w:tc>
        <w:tc>
          <w:tcPr>
            <w:tcW w:w="2410"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5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200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2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16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9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p>
        </w:tc>
        <w:tc>
          <w:tcPr>
            <w:tcW w:w="2410"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5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200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2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16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bl>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注：与招标文件要求逐条对应填写。</w:t>
      </w: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法人代表签字：　　　　 　　　　 　</w:t>
      </w: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日期：20    年　  月 　 日</w:t>
      </w: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96" w:name="四．投标函"/>
      <w:bookmarkEnd w:id="96"/>
      <w:bookmarkStart w:id="97" w:name="_bookmark16"/>
      <w:bookmarkEnd w:id="97"/>
      <w:bookmarkStart w:id="98" w:name="_Toc15517"/>
      <w:r>
        <w:rPr>
          <w:rFonts w:hint="eastAsia"/>
          <w:color w:val="000000" w:themeColor="text1"/>
          <w14:textFill>
            <w14:solidFill>
              <w14:schemeClr w14:val="tx1"/>
            </w14:solidFill>
          </w14:textFill>
        </w:rPr>
        <w:t>附件九   商务条款偏离表</w:t>
      </w:r>
      <w:bookmarkEnd w:id="98"/>
    </w:p>
    <w:p>
      <w:pPr>
        <w:spacing w:line="440" w:lineRule="exact"/>
        <w:jc w:val="center"/>
        <w:rPr>
          <w:rFonts w:cs="宋体" w:asciiTheme="minorEastAsia" w:hAnsiTheme="minorEastAsia" w:eastAsiaTheme="minorEastAsia"/>
          <w:b/>
          <w:color w:val="000000" w:themeColor="text1"/>
          <w:sz w:val="28"/>
          <w:szCs w:val="28"/>
          <w14:textFill>
            <w14:solidFill>
              <w14:schemeClr w14:val="tx1"/>
            </w14:solidFill>
          </w14:textFill>
        </w:rPr>
      </w:pPr>
    </w:p>
    <w:p>
      <w:pPr>
        <w:spacing w:line="500" w:lineRule="exact"/>
        <w:ind w:firstLine="120" w:firstLineChars="5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投标人名称（公章）：</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 xml:space="preserve"> 招标文件编号：        </w:t>
      </w:r>
    </w:p>
    <w:p>
      <w:pPr>
        <w:spacing w:line="500" w:lineRule="exact"/>
        <w:ind w:firstLine="120" w:firstLineChars="50"/>
        <w:jc w:val="center"/>
        <w:rPr>
          <w:rFonts w:cs="宋体" w:asciiTheme="minorEastAsia" w:hAnsiTheme="minorEastAsia" w:eastAsiaTheme="minorEastAsia"/>
          <w:color w:val="000000" w:themeColor="text1"/>
          <w:sz w:val="24"/>
          <w:u w:val="single"/>
          <w14:textFill>
            <w14:solidFill>
              <w14:schemeClr w14:val="tx1"/>
            </w14:solidFill>
          </w14:textFill>
        </w:rPr>
      </w:pPr>
    </w:p>
    <w:tbl>
      <w:tblPr>
        <w:tblStyle w:val="4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052"/>
        <w:gridCol w:w="2552"/>
        <w:gridCol w:w="2693"/>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50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序号</w:t>
            </w:r>
          </w:p>
        </w:tc>
        <w:tc>
          <w:tcPr>
            <w:tcW w:w="2052" w:type="dxa"/>
            <w:vAlign w:val="center"/>
          </w:tcPr>
          <w:p>
            <w:pPr>
              <w:spacing w:line="50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招标文件条目号</w:t>
            </w:r>
          </w:p>
        </w:tc>
        <w:tc>
          <w:tcPr>
            <w:tcW w:w="2552" w:type="dxa"/>
            <w:vAlign w:val="center"/>
          </w:tcPr>
          <w:p>
            <w:pPr>
              <w:spacing w:line="50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招标文件的商务条款</w:t>
            </w:r>
          </w:p>
        </w:tc>
        <w:tc>
          <w:tcPr>
            <w:tcW w:w="2693" w:type="dxa"/>
            <w:vAlign w:val="center"/>
          </w:tcPr>
          <w:p>
            <w:pPr>
              <w:spacing w:line="50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响应性文件的商务条款</w:t>
            </w:r>
          </w:p>
        </w:tc>
        <w:tc>
          <w:tcPr>
            <w:tcW w:w="1666" w:type="dxa"/>
            <w:vAlign w:val="center"/>
          </w:tcPr>
          <w:p>
            <w:pPr>
              <w:spacing w:line="50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20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5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693"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1666"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20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5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693"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1666"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20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5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693"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1666"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tc>
        <w:tc>
          <w:tcPr>
            <w:tcW w:w="20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5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693"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1666"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r>
    </w:tbl>
    <w:p>
      <w:pPr>
        <w:spacing w:line="50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法人代表签字：</w:t>
      </w:r>
    </w:p>
    <w:p>
      <w:pPr>
        <w:spacing w:line="500" w:lineRule="exact"/>
        <w:rPr>
          <w:rFonts w:cs="宋体" w:asciiTheme="minorEastAsia" w:hAnsiTheme="minorEastAsia" w:eastAsiaTheme="minorEastAsia"/>
          <w:b/>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日期：20     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月</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日　</w:t>
      </w: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99" w:name="_Toc24160"/>
      <w:r>
        <w:rPr>
          <w:rFonts w:hint="eastAsia"/>
          <w:color w:val="000000" w:themeColor="text1"/>
          <w14:textFill>
            <w14:solidFill>
              <w14:schemeClr w14:val="tx1"/>
            </w14:solidFill>
          </w14:textFill>
        </w:rPr>
        <w:t>附件十   诚信承诺书</w:t>
      </w:r>
      <w:bookmarkEnd w:id="99"/>
    </w:p>
    <w:p>
      <w:pPr>
        <w:spacing w:line="44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both"/>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 xml:space="preserve">    我公司承诺在</w:t>
      </w:r>
      <w:r>
        <w:rPr>
          <w:rFonts w:hint="eastAsia" w:cs="宋体" w:asciiTheme="minorEastAsia" w:hAnsiTheme="minorEastAsia" w:eastAsiaTheme="minorEastAsia"/>
          <w:bCs/>
          <w:color w:val="000000" w:themeColor="text1"/>
          <w:sz w:val="24"/>
          <w:szCs w:val="24"/>
          <w:u w:val="single"/>
          <w14:textFill>
            <w14:solidFill>
              <w14:schemeClr w14:val="tx1"/>
            </w14:solidFill>
          </w14:textFill>
        </w:rPr>
        <w:t>（项    目    名    称、项  目  编  号</w:t>
      </w:r>
      <w:r>
        <w:rPr>
          <w:rFonts w:hint="eastAsia" w:cs="宋体" w:asciiTheme="minorEastAsia" w:hAnsiTheme="minorEastAsia" w:eastAsiaTheme="minorEastAsia"/>
          <w:bCs/>
          <w:color w:val="000000" w:themeColor="text1"/>
          <w:sz w:val="24"/>
          <w:szCs w:val="24"/>
          <w14:textFill>
            <w14:solidFill>
              <w14:schemeClr w14:val="tx1"/>
            </w14:solidFill>
          </w14:textFill>
        </w:rPr>
        <w:t>）招标活动前1年内（202 年  月-202 年 月）期间，我公司未被“信用中国”网站（http://www.creditchina.gov.cn）、中国政府采购网（http://www.ccgp.gov.cn）、国家企业信用信息公示系统(http://www.gsxt.gov.cn)列入失信被执行人、重大税收违法案件当事人名单、政府采购严重违法失信行为记录名单（尚在处罚期内的）。如有上述失信行为，我公司及项目参与人员愿意按有关规定接受处罚，并退出投标。</w:t>
      </w:r>
    </w:p>
    <w:p>
      <w:pPr>
        <w:spacing w:line="440" w:lineRule="exact"/>
        <w:jc w:val="both"/>
        <w:rPr>
          <w:rFonts w:cs="宋体" w:asciiTheme="minorEastAsia" w:hAnsiTheme="minorEastAsia" w:eastAsiaTheme="minorEastAsia"/>
          <w:bCs/>
          <w:color w:val="000000" w:themeColor="text1"/>
          <w:sz w:val="24"/>
          <w:szCs w:val="24"/>
          <w14:textFill>
            <w14:solidFill>
              <w14:schemeClr w14:val="tx1"/>
            </w14:solidFill>
          </w14:textFill>
        </w:rPr>
      </w:pPr>
    </w:p>
    <w:p>
      <w:pPr>
        <w:spacing w:line="440" w:lineRule="exact"/>
        <w:jc w:val="both"/>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投标人名称（公章）：</w:t>
      </w:r>
    </w:p>
    <w:p>
      <w:pPr>
        <w:spacing w:line="440" w:lineRule="exact"/>
        <w:jc w:val="both"/>
        <w:rPr>
          <w:rFonts w:cs="宋体" w:asciiTheme="minorEastAsia" w:hAnsiTheme="minorEastAsia" w:eastAsiaTheme="minorEastAsia"/>
          <w:bCs/>
          <w:color w:val="000000" w:themeColor="text1"/>
          <w:sz w:val="24"/>
          <w:szCs w:val="24"/>
          <w14:textFill>
            <w14:solidFill>
              <w14:schemeClr w14:val="tx1"/>
            </w14:solidFill>
          </w14:textFill>
        </w:rPr>
      </w:pPr>
    </w:p>
    <w:p>
      <w:pPr>
        <w:spacing w:line="440" w:lineRule="exact"/>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公司法人代表：</w:t>
      </w:r>
    </w:p>
    <w:p>
      <w:pPr>
        <w:spacing w:line="440" w:lineRule="exact"/>
        <w:ind w:firstLine="2640" w:firstLineChars="1100"/>
        <w:jc w:val="both"/>
        <w:rPr>
          <w:rFonts w:cs="宋体" w:asciiTheme="minorEastAsia" w:hAnsiTheme="minorEastAsia" w:eastAsiaTheme="minorEastAsia"/>
          <w:bCs/>
          <w:color w:val="000000" w:themeColor="text1"/>
          <w:sz w:val="24"/>
          <w:szCs w:val="24"/>
          <w14:textFill>
            <w14:solidFill>
              <w14:schemeClr w14:val="tx1"/>
            </w14:solidFill>
          </w14:textFill>
        </w:rPr>
      </w:pPr>
    </w:p>
    <w:p>
      <w:pPr>
        <w:spacing w:line="440" w:lineRule="exact"/>
        <w:jc w:val="both"/>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法人授权代表：</w:t>
      </w:r>
    </w:p>
    <w:p>
      <w:pPr>
        <w:spacing w:line="440" w:lineRule="exact"/>
        <w:ind w:firstLine="2640" w:firstLineChars="1100"/>
        <w:jc w:val="both"/>
        <w:rPr>
          <w:rFonts w:cs="宋体" w:asciiTheme="minorEastAsia" w:hAnsiTheme="minorEastAsia" w:eastAsiaTheme="minorEastAsia"/>
          <w:bCs/>
          <w:color w:val="000000" w:themeColor="text1"/>
          <w:sz w:val="24"/>
          <w:szCs w:val="24"/>
          <w14:textFill>
            <w14:solidFill>
              <w14:schemeClr w14:val="tx1"/>
            </w14:solidFill>
          </w14:textFill>
        </w:rPr>
      </w:pPr>
    </w:p>
    <w:p>
      <w:pPr>
        <w:spacing w:line="440" w:lineRule="exact"/>
        <w:ind w:right="480" w:firstLine="6240" w:firstLineChars="26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20  年    月    日</w:t>
      </w:r>
    </w:p>
    <w:p>
      <w:pPr>
        <w:spacing w:line="440" w:lineRule="exact"/>
        <w:jc w:val="both"/>
        <w:rPr>
          <w:rFonts w:ascii="宋体" w:hAnsi="宋体" w:cs="宋体"/>
          <w:color w:val="000000" w:themeColor="text1"/>
          <w:sz w:val="32"/>
          <w:szCs w:val="32"/>
          <w14:textFill>
            <w14:solidFill>
              <w14:schemeClr w14:val="tx1"/>
            </w14:solidFill>
          </w14:textFill>
        </w:rPr>
      </w:pPr>
    </w:p>
    <w:p>
      <w:pPr>
        <w:spacing w:line="440" w:lineRule="exact"/>
        <w:jc w:val="both"/>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eastAsiaTheme="minorEastAsia"/>
          <w:b/>
          <w:color w:val="000000" w:themeColor="text1"/>
          <w:sz w:val="32"/>
          <w:szCs w:val="32"/>
          <w14:textFill>
            <w14:solidFill>
              <w14:schemeClr w14:val="tx1"/>
            </w14:solidFill>
          </w14:textFill>
        </w:rPr>
      </w:pPr>
    </w:p>
    <w:p>
      <w:pPr>
        <w:spacing w:line="440" w:lineRule="exact"/>
        <w:jc w:val="center"/>
        <w:rPr>
          <w:rFonts w:ascii="宋体" w:hAnsi="宋体" w:cs="宋体" w:eastAsiaTheme="minorEastAsia"/>
          <w:b/>
          <w:color w:val="000000" w:themeColor="text1"/>
          <w:sz w:val="32"/>
          <w:szCs w:val="32"/>
          <w14:textFill>
            <w14:solidFill>
              <w14:schemeClr w14:val="tx1"/>
            </w14:solidFill>
          </w14:textFill>
        </w:rPr>
      </w:pPr>
    </w:p>
    <w:p>
      <w:pPr>
        <w:spacing w:line="440" w:lineRule="exact"/>
        <w:jc w:val="center"/>
        <w:rPr>
          <w:rFonts w:ascii="宋体" w:hAnsi="宋体" w:cs="宋体" w:eastAsiaTheme="minorEastAsia"/>
          <w:b/>
          <w:color w:val="000000" w:themeColor="text1"/>
          <w:sz w:val="32"/>
          <w:szCs w:val="32"/>
          <w14:textFill>
            <w14:solidFill>
              <w14:schemeClr w14:val="tx1"/>
            </w14:solidFill>
          </w14:textFill>
        </w:rPr>
      </w:pPr>
    </w:p>
    <w:p>
      <w:pPr>
        <w:spacing w:line="440" w:lineRule="exact"/>
        <w:rPr>
          <w:rFonts w:ascii="宋体" w:hAnsi="宋体" w:cs="宋体" w:eastAsiaTheme="minorEastAsia"/>
          <w:b/>
          <w:color w:val="000000" w:themeColor="text1"/>
          <w:sz w:val="32"/>
          <w:szCs w:val="32"/>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00" w:name="_Toc19298"/>
      <w:r>
        <w:rPr>
          <w:rFonts w:hint="eastAsia"/>
          <w:color w:val="000000" w:themeColor="text1"/>
          <w14:textFill>
            <w14:solidFill>
              <w14:schemeClr w14:val="tx1"/>
            </w14:solidFill>
          </w14:textFill>
        </w:rPr>
        <w:t>附件十一   本项目负责人简历表及拟投入本项目主要成员表</w:t>
      </w:r>
      <w:bookmarkEnd w:id="100"/>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rPr>
          <w:rFonts w:cs="宋体"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b/>
          <w:color w:val="000000" w:themeColor="text1"/>
          <w:sz w:val="24"/>
          <w:szCs w:val="24"/>
          <w14:textFill>
            <w14:solidFill>
              <w14:schemeClr w14:val="tx1"/>
            </w14:solidFill>
          </w14:textFill>
        </w:rPr>
        <w:t>1.项目负责人简历表</w:t>
      </w:r>
    </w:p>
    <w:tbl>
      <w:tblPr>
        <w:tblStyle w:val="40"/>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年龄</w:t>
            </w:r>
          </w:p>
        </w:tc>
        <w:tc>
          <w:tcPr>
            <w:tcW w:w="107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专     业</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职称</w:t>
            </w:r>
          </w:p>
        </w:tc>
        <w:tc>
          <w:tcPr>
            <w:tcW w:w="107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职     务</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主要经历</w:t>
            </w:r>
          </w:p>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bl>
    <w:p>
      <w:pPr>
        <w:adjustRightInd w:val="0"/>
        <w:spacing w:line="500" w:lineRule="exact"/>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2、拟投入本项目的主要成员表</w:t>
      </w:r>
    </w:p>
    <w:tbl>
      <w:tblPr>
        <w:tblStyle w:val="40"/>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1701"/>
        <w:gridCol w:w="1984"/>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76"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序号</w:t>
            </w:r>
          </w:p>
        </w:tc>
        <w:tc>
          <w:tcPr>
            <w:tcW w:w="1276"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姓名</w:t>
            </w:r>
          </w:p>
        </w:tc>
        <w:tc>
          <w:tcPr>
            <w:tcW w:w="1701"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性别</w:t>
            </w:r>
          </w:p>
        </w:tc>
        <w:tc>
          <w:tcPr>
            <w:tcW w:w="1984"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职称</w:t>
            </w:r>
          </w:p>
        </w:tc>
        <w:tc>
          <w:tcPr>
            <w:tcW w:w="1276"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岗位</w:t>
            </w:r>
          </w:p>
        </w:tc>
        <w:tc>
          <w:tcPr>
            <w:tcW w:w="2268"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w:t>
            </w: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98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268"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w:t>
            </w: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98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268"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w:t>
            </w: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98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268"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98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268"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bl>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rPr>
          <w:rFonts w:cs="宋体" w:asciiTheme="minorEastAsia" w:hAnsiTheme="minorEastAsia" w:eastAsiaTheme="minorEastAsia"/>
          <w:b/>
          <w:color w:val="000000" w:themeColor="text1"/>
          <w:sz w:val="24"/>
          <w:szCs w:val="24"/>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01" w:name="_Toc26412"/>
      <w:r>
        <w:rPr>
          <w:rFonts w:hint="eastAsia"/>
          <w:color w:val="000000" w:themeColor="text1"/>
          <w14:textFill>
            <w14:solidFill>
              <w14:schemeClr w14:val="tx1"/>
            </w14:solidFill>
          </w14:textFill>
        </w:rPr>
        <w:t>附件十二</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近年成功案列</w:t>
      </w:r>
      <w:bookmarkEnd w:id="101"/>
    </w:p>
    <w:p>
      <w:pPr>
        <w:spacing w:line="500" w:lineRule="exact"/>
        <w:jc w:val="center"/>
        <w:rPr>
          <w:rFonts w:cs="宋体" w:asciiTheme="minorEastAsia" w:hAnsiTheme="minorEastAsia" w:eastAsiaTheme="minorEastAsia"/>
          <w:b/>
          <w:color w:val="000000" w:themeColor="text1"/>
          <w:sz w:val="28"/>
          <w:szCs w:val="28"/>
          <w14:textFill>
            <w14:solidFill>
              <w14:schemeClr w14:val="tx1"/>
            </w14:solidFill>
          </w14:textFill>
        </w:rPr>
      </w:pPr>
    </w:p>
    <w:p>
      <w:pPr>
        <w:spacing w:line="500" w:lineRule="exact"/>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投标人名称（公章）：</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 xml:space="preserve">招标文件编号：        </w:t>
      </w:r>
    </w:p>
    <w:tbl>
      <w:tblPr>
        <w:tblStyle w:val="40"/>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2776"/>
        <w:gridCol w:w="1134"/>
        <w:gridCol w:w="1134"/>
        <w:gridCol w:w="1701"/>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72"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地区</w:t>
            </w:r>
          </w:p>
        </w:tc>
        <w:tc>
          <w:tcPr>
            <w:tcW w:w="2776"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项目名称</w:t>
            </w:r>
          </w:p>
        </w:tc>
        <w:tc>
          <w:tcPr>
            <w:tcW w:w="1134"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金额</w:t>
            </w:r>
          </w:p>
        </w:tc>
        <w:tc>
          <w:tcPr>
            <w:tcW w:w="1134"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日期</w:t>
            </w: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项目联系人</w:t>
            </w:r>
          </w:p>
        </w:tc>
        <w:tc>
          <w:tcPr>
            <w:tcW w:w="152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7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7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52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7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7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52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7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7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52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7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27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52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bl>
    <w:p>
      <w:pPr>
        <w:spacing w:line="500" w:lineRule="exact"/>
        <w:rPr>
          <w:rFonts w:cs="宋体" w:asciiTheme="minorEastAsia" w:hAnsiTheme="minorEastAsia" w:eastAsiaTheme="minorEastAsia"/>
          <w:b/>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附中标通知书</w:t>
      </w:r>
      <w:r>
        <w:rPr>
          <w:rFonts w:hint="eastAsia" w:cs="宋体" w:asciiTheme="minorEastAsia" w:hAnsiTheme="minorEastAsia" w:eastAsiaTheme="minorEastAsia"/>
          <w:b/>
          <w:color w:val="000000" w:themeColor="text1"/>
          <w:sz w:val="24"/>
          <w:szCs w:val="24"/>
          <w:highlight w:val="none"/>
          <w:lang w:eastAsia="zh-CN"/>
          <w14:textFill>
            <w14:solidFill>
              <w14:schemeClr w14:val="tx1"/>
            </w14:solidFill>
          </w14:textFill>
        </w:rPr>
        <w:t>和</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合同复印件。</w:t>
      </w: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02" w:name="_Toc7759"/>
      <w:r>
        <w:rPr>
          <w:rFonts w:hint="eastAsia"/>
          <w:color w:val="000000" w:themeColor="text1"/>
          <w14:textFill>
            <w14:solidFill>
              <w14:schemeClr w14:val="tx1"/>
            </w14:solidFill>
          </w14:textFill>
        </w:rPr>
        <w:t>附件十三   投标单位（投标企业）《反商业贿赂承诺书》</w:t>
      </w:r>
      <w:bookmarkEnd w:id="102"/>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pStyle w:val="16"/>
        <w:spacing w:line="500" w:lineRule="exact"/>
        <w:ind w:left="440" w:firstLine="540"/>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我公司承诺在</w:t>
      </w:r>
      <w:r>
        <w:rPr>
          <w:rFonts w:hint="eastAsia" w:cs="宋体" w:asciiTheme="minorEastAsia" w:hAnsiTheme="minorEastAsia" w:eastAsiaTheme="minorEastAsia"/>
          <w:color w:val="000000" w:themeColor="text1"/>
          <w:sz w:val="24"/>
          <w:szCs w:val="24"/>
          <w:u w:val="single"/>
          <w14:textFill>
            <w14:solidFill>
              <w14:schemeClr w14:val="tx1"/>
            </w14:solidFill>
          </w14:textFill>
        </w:rPr>
        <w:t>（项目名称、项目编号）</w:t>
      </w:r>
      <w:r>
        <w:rPr>
          <w:rFonts w:hint="eastAsia" w:cs="宋体" w:asciiTheme="minorEastAsia" w:hAnsiTheme="minorEastAsia" w:eastAsiaTheme="minorEastAsia"/>
          <w:color w:val="000000" w:themeColor="text1"/>
          <w:sz w:val="24"/>
          <w:szCs w:val="24"/>
          <w14:textFill>
            <w14:solidFill>
              <w14:schemeClr w14:val="tx1"/>
            </w14:solidFill>
          </w14:textFill>
        </w:rPr>
        <w:t>招标活动中，不给予采购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6"/>
        <w:spacing w:line="500" w:lineRule="exact"/>
        <w:ind w:left="440" w:firstLine="540"/>
        <w:rPr>
          <w:rFonts w:cs="宋体" w:asciiTheme="minorEastAsia" w:hAnsiTheme="minorEastAsia" w:eastAsiaTheme="minorEastAsia"/>
          <w:color w:val="000000" w:themeColor="text1"/>
          <w:sz w:val="24"/>
          <w:szCs w:val="24"/>
          <w14:textFill>
            <w14:solidFill>
              <w14:schemeClr w14:val="tx1"/>
            </w14:solidFill>
          </w14:textFill>
        </w:rPr>
      </w:pPr>
    </w:p>
    <w:p>
      <w:pPr>
        <w:pStyle w:val="16"/>
        <w:spacing w:line="500" w:lineRule="exact"/>
        <w:ind w:left="440" w:firstLine="540"/>
        <w:rPr>
          <w:rFonts w:cs="宋体" w:asciiTheme="minorEastAsia" w:hAnsiTheme="minorEastAsia" w:eastAsiaTheme="minorEastAsia"/>
          <w:color w:val="000000" w:themeColor="text1"/>
          <w:sz w:val="24"/>
          <w:szCs w:val="24"/>
          <w14:textFill>
            <w14:solidFill>
              <w14:schemeClr w14:val="tx1"/>
            </w14:solidFill>
          </w14:textFill>
        </w:rPr>
      </w:pPr>
    </w:p>
    <w:p>
      <w:pPr>
        <w:pStyle w:val="16"/>
        <w:spacing w:line="500" w:lineRule="exact"/>
        <w:ind w:left="440" w:firstLine="54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投标人名称（公章）：</w:t>
      </w:r>
    </w:p>
    <w:p>
      <w:pPr>
        <w:pStyle w:val="16"/>
        <w:spacing w:line="500" w:lineRule="exact"/>
        <w:ind w:left="440" w:firstLine="54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公司法人代表：</w:t>
      </w:r>
    </w:p>
    <w:p>
      <w:pPr>
        <w:pStyle w:val="16"/>
        <w:spacing w:line="500" w:lineRule="exact"/>
        <w:ind w:left="440" w:firstLine="54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法人授权代表：</w:t>
      </w:r>
    </w:p>
    <w:p>
      <w:pPr>
        <w:pStyle w:val="16"/>
        <w:spacing w:line="500" w:lineRule="exact"/>
        <w:ind w:left="440"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                                        20   年    月    日</w:t>
      </w: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03" w:name="_Toc149"/>
      <w:r>
        <w:rPr>
          <w:rFonts w:hint="eastAsia"/>
          <w:color w:val="000000" w:themeColor="text1"/>
          <w14:textFill>
            <w14:solidFill>
              <w14:schemeClr w14:val="tx1"/>
            </w14:solidFill>
          </w14:textFill>
        </w:rPr>
        <w:t>附件十四   售后服务承诺书</w:t>
      </w:r>
      <w:bookmarkEnd w:id="103"/>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hd w:val="clear" w:color="auto" w:fill="FFFFFF"/>
        <w:spacing w:line="500" w:lineRule="exact"/>
        <w:ind w:firstLine="475" w:firstLineChars="198"/>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售后服务：</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在</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 xml:space="preserve"> （县市） </w:t>
      </w:r>
      <w:r>
        <w:rPr>
          <w:rFonts w:hint="eastAsia" w:cs="宋体" w:asciiTheme="minorEastAsia" w:hAnsiTheme="minorEastAsia" w:eastAsiaTheme="minorEastAsia"/>
          <w:color w:val="000000" w:themeColor="text1"/>
          <w:sz w:val="24"/>
          <w:szCs w:val="24"/>
          <w14:textFill>
            <w14:solidFill>
              <w14:schemeClr w14:val="tx1"/>
            </w14:solidFill>
          </w14:textFill>
        </w:rPr>
        <w:t>有售后服务团队，报价投标企业必须按提交的售后服务承诺书，提供售后服务。</w:t>
      </w:r>
    </w:p>
    <w:p>
      <w:pPr>
        <w:shd w:val="clear" w:color="auto" w:fill="FFFFFF"/>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一、拟提供售后服务的项目：</w:t>
      </w:r>
    </w:p>
    <w:p>
      <w:pPr>
        <w:shd w:val="clear" w:color="auto" w:fill="FFFFFF"/>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二、售后免费服务期限：</w:t>
      </w:r>
    </w:p>
    <w:p>
      <w:pPr>
        <w:shd w:val="clear" w:color="auto" w:fill="FFFFFF"/>
        <w:spacing w:line="500" w:lineRule="exact"/>
        <w:ind w:firstLine="480" w:firstLineChars="200"/>
        <w:jc w:val="both"/>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三、免费质保期后，如维修是否收取费用：</w:t>
      </w:r>
    </w:p>
    <w:p>
      <w:pPr>
        <w:shd w:val="clear" w:color="auto" w:fill="FFFFFF"/>
        <w:spacing w:line="500" w:lineRule="exact"/>
        <w:ind w:firstLine="480" w:firstLineChars="200"/>
        <w:jc w:val="both"/>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四、免费质保期后，如维修是否收取服务费：</w:t>
      </w:r>
    </w:p>
    <w:p>
      <w:pPr>
        <w:spacing w:line="500" w:lineRule="exact"/>
        <w:ind w:firstLine="480" w:firstLineChars="200"/>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五、售后服务方案（内容包含：服务到指定地点的时间，是否能够承诺按用户要求进行人员安排、实施方案、验收方案等 ）</w:t>
      </w:r>
    </w:p>
    <w:p>
      <w:pPr>
        <w:shd w:val="clear" w:color="auto" w:fill="FFFFFF"/>
        <w:spacing w:line="500" w:lineRule="exact"/>
        <w:ind w:firstLine="480" w:firstLineChars="200"/>
        <w:jc w:val="both"/>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六、售后服务响应及到达现场的时间：</w:t>
      </w:r>
    </w:p>
    <w:p>
      <w:pPr>
        <w:shd w:val="clear" w:color="auto" w:fill="FFFFFF"/>
        <w:spacing w:line="500" w:lineRule="exact"/>
        <w:ind w:firstLine="480" w:firstLineChars="200"/>
        <w:jc w:val="both"/>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七、售后服务机构及联系方式</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w:t>
      </w:r>
    </w:p>
    <w:p>
      <w:pPr>
        <w:shd w:val="clear" w:color="auto" w:fill="FFFFFF"/>
        <w:spacing w:line="500" w:lineRule="exact"/>
        <w:ind w:firstLine="480" w:firstLineChars="200"/>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八、质保期（保修期）：乙方对合同项上服务至</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年，质保期限自验收合格双方签字时算起。</w:t>
      </w:r>
    </w:p>
    <w:p>
      <w:pPr>
        <w:shd w:val="clear" w:color="auto" w:fill="FFFFFF"/>
        <w:spacing w:line="500" w:lineRule="exact"/>
        <w:ind w:firstLine="480" w:firstLineChars="200"/>
        <w:jc w:val="both"/>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九、报价投标企业的其他服务承诺及优惠条件：</w:t>
      </w:r>
    </w:p>
    <w:p>
      <w:pPr>
        <w:widowControl/>
        <w:spacing w:before="100" w:beforeAutospacing="1" w:after="100" w:afterAutospacing="1" w:line="500" w:lineRule="exact"/>
        <w:ind w:firstLine="899"/>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公司法人代表(盖章或签字)：</w:t>
      </w:r>
    </w:p>
    <w:p>
      <w:pPr>
        <w:widowControl/>
        <w:spacing w:before="100" w:beforeAutospacing="1" w:after="100" w:afterAutospacing="1" w:line="500" w:lineRule="exact"/>
        <w:ind w:firstLine="899"/>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法人授权代表(盖章或签字)：</w:t>
      </w:r>
    </w:p>
    <w:p>
      <w:pPr>
        <w:widowControl/>
        <w:spacing w:before="100" w:beforeAutospacing="1" w:after="100" w:afterAutospacing="1" w:line="500" w:lineRule="exact"/>
        <w:ind w:firstLine="897"/>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项目经办人(盖章或签字)：</w:t>
      </w: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       日期：20    年   月    日</w:t>
      </w: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04" w:name="_Toc3362"/>
      <w:r>
        <w:rPr>
          <w:rFonts w:hint="eastAsia"/>
          <w:color w:val="000000" w:themeColor="text1"/>
          <w14:textFill>
            <w14:solidFill>
              <w14:schemeClr w14:val="tx1"/>
            </w14:solidFill>
          </w14:textFill>
        </w:rPr>
        <w:t>附件十五   响应招标文件确认回执函</w:t>
      </w:r>
      <w:bookmarkEnd w:id="104"/>
    </w:p>
    <w:p>
      <w:pPr>
        <w:widowControl/>
        <w:adjustRightInd w:val="0"/>
        <w:spacing w:line="500" w:lineRule="exact"/>
        <w:rPr>
          <w:rFonts w:cs="宋体" w:asciiTheme="minorEastAsia" w:hAnsiTheme="minorEastAsia" w:eastAsiaTheme="minorEastAsia"/>
          <w:b/>
          <w:color w:val="000000" w:themeColor="text1"/>
          <w:sz w:val="24"/>
          <w:szCs w:val="24"/>
          <w14:textFill>
            <w14:solidFill>
              <w14:schemeClr w14:val="tx1"/>
            </w14:solidFill>
          </w14:textFill>
        </w:rPr>
      </w:pP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新疆永信国金工程管理咨询有限公司</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widowControl/>
        <w:adjustRightInd w:val="0"/>
        <w:spacing w:line="500" w:lineRule="exact"/>
        <w:ind w:firstLine="480" w:firstLineChars="200"/>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你方于   年  月  日发送的</w:t>
      </w:r>
      <w:r>
        <w:rPr>
          <w:rFonts w:hint="eastAsia" w:cs="宋体" w:asciiTheme="minorEastAsia" w:hAnsiTheme="minorEastAsia" w:eastAsiaTheme="minorEastAsia"/>
          <w:color w:val="000000" w:themeColor="text1"/>
          <w:sz w:val="24"/>
          <w:szCs w:val="24"/>
          <w:u w:val="single"/>
          <w14:textFill>
            <w14:solidFill>
              <w14:schemeClr w14:val="tx1"/>
            </w14:solidFill>
          </w14:textFill>
        </w:rPr>
        <w:t>项目</w:t>
      </w:r>
      <w:r>
        <w:rPr>
          <w:rFonts w:hint="eastAsia" w:cs="宋体" w:asciiTheme="minorEastAsia" w:hAnsiTheme="minorEastAsia" w:eastAsiaTheme="minorEastAsia"/>
          <w:color w:val="000000" w:themeColor="text1"/>
          <w:sz w:val="24"/>
          <w:szCs w:val="24"/>
          <w14:textFill>
            <w14:solidFill>
              <w14:schemeClr w14:val="tx1"/>
            </w14:solidFill>
          </w14:textFill>
        </w:rPr>
        <w:t>招标文件，（采购文件编号:</w:t>
      </w:r>
      <w:r>
        <w:rPr>
          <w:rFonts w:hint="eastAsia" w:ascii="宋体" w:hAnsi="宋体" w:cs="宋体"/>
          <w:sz w:val="24"/>
        </w:rPr>
        <w:t xml:space="preserve"> </w:t>
      </w:r>
      <w:r>
        <w:rPr>
          <w:rFonts w:hint="eastAsia" w:ascii="宋体" w:hAnsi="宋体" w:eastAsia="宋体" w:cs="宋体"/>
          <w:sz w:val="24"/>
          <w:lang w:eastAsia="zh-CN"/>
        </w:rPr>
        <w:t>YXGJ（GK）2021-20号</w:t>
      </w:r>
      <w:r>
        <w:rPr>
          <w:rFonts w:hint="eastAsia" w:cs="宋体" w:asciiTheme="minorEastAsia" w:hAnsiTheme="minorEastAsia" w:eastAsiaTheme="minorEastAsia"/>
          <w:color w:val="000000" w:themeColor="text1"/>
          <w:sz w:val="24"/>
          <w:szCs w:val="24"/>
          <w14:textFill>
            <w14:solidFill>
              <w14:schemeClr w14:val="tx1"/>
            </w14:solidFill>
          </w14:textFill>
        </w:rPr>
        <w:t>）招标文件，我方已于   年  月  日收到，对招标文件中规定已仔细阅读并深刻理解，我方响应招标文件中所有条款，对本项目招标文件无异议。</w:t>
      </w:r>
    </w:p>
    <w:p>
      <w:pPr>
        <w:widowControl/>
        <w:adjustRightInd w:val="0"/>
        <w:spacing w:line="500" w:lineRule="exact"/>
        <w:ind w:firstLine="465"/>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特此确认。</w:t>
      </w:r>
    </w:p>
    <w:p>
      <w:pPr>
        <w:widowControl/>
        <w:adjustRightInd w:val="0"/>
        <w:spacing w:line="500" w:lineRule="exact"/>
        <w:ind w:firstLine="465"/>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ind w:firstLine="465"/>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ind w:firstLine="5760" w:firstLineChars="24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投标人：          （盖单位章）    </w:t>
      </w:r>
    </w:p>
    <w:p>
      <w:pPr>
        <w:widowControl/>
        <w:adjustRightInd w:val="0"/>
        <w:spacing w:line="500" w:lineRule="exact"/>
        <w:ind w:firstLine="7440" w:firstLineChars="31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年   月    日</w:t>
      </w:r>
    </w:p>
    <w:p>
      <w:pPr>
        <w:widowControl/>
        <w:adjustRightInd w:val="0"/>
        <w:spacing w:line="500" w:lineRule="exact"/>
        <w:ind w:left="550" w:leftChars="250" w:firstLine="482" w:firstLineChars="200"/>
        <w:rPr>
          <w:rFonts w:cs="宋体"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b/>
          <w:color w:val="000000" w:themeColor="text1"/>
          <w:sz w:val="24"/>
          <w:szCs w:val="24"/>
          <w14:textFill>
            <w14:solidFill>
              <w14:schemeClr w14:val="tx1"/>
            </w14:solidFill>
          </w14:textFill>
        </w:rPr>
        <w:t>备注：本回执函在投标商收到招标文件后三个工作日内加盖电子签章发至我公司邮箱（</w:t>
      </w:r>
      <w:r>
        <w:rPr>
          <w:rFonts w:hint="eastAsia" w:cs="宋体" w:asciiTheme="minorEastAsia" w:hAnsiTheme="minorEastAsia" w:eastAsiaTheme="minorEastAsia"/>
          <w:b/>
          <w:color w:val="000000" w:themeColor="text1"/>
          <w:sz w:val="24"/>
          <w:szCs w:val="24"/>
          <w:lang w:val="en-US" w:eastAsia="zh-CN"/>
          <w14:textFill>
            <w14:solidFill>
              <w14:schemeClr w14:val="tx1"/>
            </w14:solidFill>
          </w14:textFill>
        </w:rPr>
        <w:t>420948144</w:t>
      </w:r>
      <w:r>
        <w:rPr>
          <w:rFonts w:hint="eastAsia" w:cs="宋体" w:asciiTheme="minorEastAsia" w:hAnsiTheme="minorEastAsia" w:eastAsiaTheme="minorEastAsia"/>
          <w:b/>
          <w:color w:val="000000" w:themeColor="text1"/>
          <w:sz w:val="24"/>
          <w:szCs w:val="24"/>
          <w14:textFill>
            <w14:solidFill>
              <w14:schemeClr w14:val="tx1"/>
            </w14:solidFill>
          </w14:textFill>
        </w:rPr>
        <w:t>@qq.COM</w:t>
      </w:r>
      <w:r>
        <w:rPr>
          <w:rFonts w:cs="宋体" w:asciiTheme="minorEastAsia" w:hAnsiTheme="minorEastAsia" w:eastAsiaTheme="minorEastAsia"/>
          <w:b/>
          <w:color w:val="000000" w:themeColor="text1"/>
          <w:sz w:val="24"/>
          <w:szCs w:val="24"/>
          <w14:textFill>
            <w14:solidFill>
              <w14:schemeClr w14:val="tx1"/>
            </w14:solidFill>
          </w14:textFill>
        </w:rPr>
        <w:t>）</w:t>
      </w:r>
      <w:r>
        <w:rPr>
          <w:rFonts w:hint="eastAsia" w:cs="宋体" w:asciiTheme="minorEastAsia" w:hAnsiTheme="minorEastAsia" w:eastAsiaTheme="minorEastAsia"/>
          <w:b/>
          <w:color w:val="000000" w:themeColor="text1"/>
          <w:sz w:val="24"/>
          <w:szCs w:val="24"/>
          <w14:textFill>
            <w14:solidFill>
              <w14:schemeClr w14:val="tx1"/>
            </w14:solidFill>
          </w14:textFill>
        </w:rPr>
        <w:t>，未发送此确认函导致本项目投标一切可能的，后果均自负。</w:t>
      </w: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05" w:name="_Toc11787"/>
      <w:r>
        <w:rPr>
          <w:rFonts w:hint="eastAsia"/>
          <w:color w:val="000000" w:themeColor="text1"/>
          <w14:textFill>
            <w14:solidFill>
              <w14:schemeClr w14:val="tx1"/>
            </w14:solidFill>
          </w14:textFill>
        </w:rPr>
        <w:t>附件十六</w:t>
      </w:r>
      <w:bookmarkStart w:id="106" w:name="五．无重大违法记录声明函、无不良信用记录声明函"/>
      <w:bookmarkEnd w:id="106"/>
      <w:bookmarkStart w:id="107" w:name="九．本地化服务情况一览表"/>
      <w:bookmarkEnd w:id="107"/>
      <w:bookmarkStart w:id="108" w:name="_bookmark17"/>
      <w:bookmarkEnd w:id="108"/>
      <w:bookmarkStart w:id="109" w:name="_bookmark21"/>
      <w:bookmarkEnd w:id="109"/>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人员配备</w:t>
      </w:r>
      <w:bookmarkEnd w:id="105"/>
    </w:p>
    <w:p>
      <w:pPr>
        <w:pStyle w:val="14"/>
        <w:spacing w:before="18"/>
        <w:ind w:left="0"/>
        <w:rPr>
          <w:color w:val="000000" w:themeColor="text1"/>
          <w:sz w:val="14"/>
          <w14:textFill>
            <w14:solidFill>
              <w14:schemeClr w14:val="tx1"/>
            </w14:solidFill>
          </w14:textFill>
        </w:rPr>
      </w:pPr>
    </w:p>
    <w:p>
      <w:pPr>
        <w:pStyle w:val="14"/>
        <w:ind w:left="0"/>
        <w:rPr>
          <w:color w:val="000000" w:themeColor="text1"/>
          <w14:textFill>
            <w14:solidFill>
              <w14:schemeClr w14:val="tx1"/>
            </w14:solidFill>
          </w14:textFill>
        </w:rPr>
      </w:pPr>
    </w:p>
    <w:p>
      <w:pPr>
        <w:pStyle w:val="14"/>
        <w:ind w:left="0"/>
        <w:rPr>
          <w:color w:val="000000" w:themeColor="text1"/>
          <w14:textFill>
            <w14:solidFill>
              <w14:schemeClr w14:val="tx1"/>
            </w14:solidFill>
          </w14:textFill>
        </w:rPr>
      </w:pPr>
    </w:p>
    <w:p>
      <w:pPr>
        <w:pStyle w:val="14"/>
        <w:ind w:left="0"/>
        <w:rPr>
          <w:color w:val="000000" w:themeColor="text1"/>
          <w14:textFill>
            <w14:solidFill>
              <w14:schemeClr w14:val="tx1"/>
            </w14:solidFill>
          </w14:textFill>
        </w:rPr>
      </w:pPr>
    </w:p>
    <w:p>
      <w:pPr>
        <w:pStyle w:val="14"/>
        <w:ind w:left="0"/>
        <w:rPr>
          <w:color w:val="000000" w:themeColor="text1"/>
          <w14:textFill>
            <w14:solidFill>
              <w14:schemeClr w14:val="tx1"/>
            </w14:solidFill>
          </w14:textFill>
        </w:rPr>
      </w:pPr>
    </w:p>
    <w:p>
      <w:pPr>
        <w:pStyle w:val="14"/>
        <w:spacing w:before="19"/>
        <w:ind w:left="0"/>
        <w:rPr>
          <w:color w:val="000000" w:themeColor="text1"/>
          <w:sz w:val="12"/>
          <w14:textFill>
            <w14:solidFill>
              <w14:schemeClr w14:val="tx1"/>
            </w14:solidFill>
          </w14:textFill>
        </w:rPr>
      </w:pPr>
    </w:p>
    <w:p>
      <w:pPr>
        <w:pStyle w:val="14"/>
        <w:spacing w:before="19"/>
        <w:ind w:left="0"/>
        <w:rPr>
          <w:color w:val="000000" w:themeColor="text1"/>
          <w:sz w:val="12"/>
          <w14:textFill>
            <w14:solidFill>
              <w14:schemeClr w14:val="tx1"/>
            </w14:solidFill>
          </w14:textFill>
        </w:rPr>
      </w:pPr>
    </w:p>
    <w:p>
      <w:pPr>
        <w:pStyle w:val="14"/>
        <w:spacing w:before="19"/>
        <w:ind w:left="0"/>
        <w:rPr>
          <w:color w:val="000000" w:themeColor="text1"/>
          <w:sz w:val="12"/>
          <w14:textFill>
            <w14:solidFill>
              <w14:schemeClr w14:val="tx1"/>
            </w14:solidFill>
          </w14:textFill>
        </w:rPr>
      </w:pPr>
    </w:p>
    <w:p>
      <w:pPr>
        <w:pStyle w:val="14"/>
        <w:spacing w:before="19"/>
        <w:ind w:left="0"/>
        <w:rPr>
          <w:color w:val="000000" w:themeColor="text1"/>
          <w:sz w:val="12"/>
          <w14:textFill>
            <w14:solidFill>
              <w14:schemeClr w14:val="tx1"/>
            </w14:solidFill>
          </w14:textFill>
        </w:rPr>
      </w:pPr>
    </w:p>
    <w:p>
      <w:pPr>
        <w:pStyle w:val="14"/>
        <w:spacing w:before="19"/>
        <w:ind w:left="0"/>
        <w:rPr>
          <w:color w:val="000000" w:themeColor="text1"/>
          <w:sz w:val="12"/>
          <w14:textFill>
            <w14:solidFill>
              <w14:schemeClr w14:val="tx1"/>
            </w14:solidFill>
          </w14:textFill>
        </w:rPr>
      </w:pPr>
    </w:p>
    <w:p>
      <w:pPr>
        <w:pStyle w:val="14"/>
        <w:spacing w:before="19"/>
        <w:ind w:left="0"/>
        <w:rPr>
          <w:color w:val="000000" w:themeColor="text1"/>
          <w:sz w:val="12"/>
          <w14:textFill>
            <w14:solidFill>
              <w14:schemeClr w14:val="tx1"/>
            </w14:solidFill>
          </w14:textFill>
        </w:rPr>
      </w:pPr>
    </w:p>
    <w:p>
      <w:pPr>
        <w:pStyle w:val="14"/>
        <w:spacing w:before="19"/>
        <w:ind w:left="0"/>
        <w:rPr>
          <w:color w:val="000000" w:themeColor="text1"/>
          <w:sz w:val="12"/>
          <w14:textFill>
            <w14:solidFill>
              <w14:schemeClr w14:val="tx1"/>
            </w14:solidFill>
          </w14:textFill>
        </w:rPr>
      </w:pPr>
    </w:p>
    <w:p>
      <w:pPr>
        <w:pStyle w:val="14"/>
        <w:spacing w:before="19"/>
        <w:ind w:left="0"/>
        <w:rPr>
          <w:color w:val="000000" w:themeColor="text1"/>
          <w:sz w:val="12"/>
          <w14:textFill>
            <w14:solidFill>
              <w14:schemeClr w14:val="tx1"/>
            </w14:solidFill>
          </w14:textFill>
        </w:rPr>
      </w:pPr>
    </w:p>
    <w:p>
      <w:pPr>
        <w:pStyle w:val="14"/>
        <w:spacing w:before="19"/>
        <w:ind w:left="0"/>
        <w:rPr>
          <w:color w:val="000000" w:themeColor="text1"/>
          <w:sz w:val="12"/>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10" w:name="_bookmark23"/>
      <w:bookmarkEnd w:id="110"/>
      <w:bookmarkStart w:id="111" w:name="十一．服务方案"/>
      <w:bookmarkEnd w:id="111"/>
      <w:bookmarkStart w:id="112" w:name="_Toc5523"/>
      <w:r>
        <w:rPr>
          <w:rFonts w:hint="eastAsia"/>
          <w:color w:val="000000" w:themeColor="text1"/>
          <w14:textFill>
            <w14:solidFill>
              <w14:schemeClr w14:val="tx1"/>
            </w14:solidFill>
          </w14:textFill>
        </w:rPr>
        <w:t>附件十</w:t>
      </w:r>
      <w:r>
        <w:rPr>
          <w:rFonts w:hint="eastAsia"/>
          <w:color w:val="000000" w:themeColor="text1"/>
          <w:lang w:eastAsia="zh-CN"/>
          <w14:textFill>
            <w14:solidFill>
              <w14:schemeClr w14:val="tx1"/>
            </w14:solidFill>
          </w14:textFill>
        </w:rPr>
        <w:t>七</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服务方案</w:t>
      </w:r>
      <w:bookmarkEnd w:id="112"/>
    </w:p>
    <w:p>
      <w:pPr>
        <w:pStyle w:val="14"/>
        <w:spacing w:before="18"/>
        <w:ind w:left="0"/>
        <w:rPr>
          <w:color w:val="000000" w:themeColor="text1"/>
          <w:sz w:val="14"/>
          <w14:textFill>
            <w14:solidFill>
              <w14:schemeClr w14:val="tx1"/>
            </w14:solidFill>
          </w14:textFill>
        </w:rPr>
      </w:pPr>
    </w:p>
    <w:p>
      <w:pPr>
        <w:pStyle w:val="14"/>
        <w:ind w:left="0" w:right="713"/>
        <w:jc w:val="center"/>
        <w:rPr>
          <w:rFonts w:eastAsiaTheme="minorEastAsia"/>
          <w:color w:val="000000" w:themeColor="text1"/>
          <w14:textFill>
            <w14:solidFill>
              <w14:schemeClr w14:val="tx1"/>
            </w14:solidFill>
          </w14:textFill>
        </w:rPr>
      </w:pPr>
    </w:p>
    <w:p>
      <w:pPr>
        <w:pStyle w:val="14"/>
        <w:ind w:left="0"/>
        <w:rPr>
          <w:color w:val="000000" w:themeColor="text1"/>
          <w14:textFill>
            <w14:solidFill>
              <w14:schemeClr w14:val="tx1"/>
            </w14:solidFill>
          </w14:textFill>
        </w:rPr>
      </w:pPr>
    </w:p>
    <w:p>
      <w:pPr>
        <w:pStyle w:val="14"/>
        <w:ind w:left="0"/>
        <w:rPr>
          <w:color w:val="000000" w:themeColor="text1"/>
          <w14:textFill>
            <w14:solidFill>
              <w14:schemeClr w14:val="tx1"/>
            </w14:solidFill>
          </w14:textFill>
        </w:rPr>
      </w:pPr>
    </w:p>
    <w:p>
      <w:pPr>
        <w:pStyle w:val="14"/>
        <w:ind w:left="0"/>
        <w:rPr>
          <w:color w:val="000000" w:themeColor="text1"/>
          <w14:textFill>
            <w14:solidFill>
              <w14:schemeClr w14:val="tx1"/>
            </w14:solidFill>
          </w14:textFill>
        </w:rPr>
      </w:pPr>
    </w:p>
    <w:p>
      <w:pPr>
        <w:pStyle w:val="14"/>
        <w:ind w:left="0"/>
        <w:rPr>
          <w:color w:val="000000" w:themeColor="text1"/>
          <w14:textFill>
            <w14:solidFill>
              <w14:schemeClr w14:val="tx1"/>
            </w14:solidFill>
          </w14:textFill>
        </w:rPr>
      </w:pPr>
    </w:p>
    <w:p>
      <w:pPr>
        <w:pStyle w:val="14"/>
        <w:spacing w:before="3"/>
        <w:ind w:left="0"/>
        <w:rPr>
          <w:color w:val="000000" w:themeColor="text1"/>
          <w:sz w:val="35"/>
          <w14:textFill>
            <w14:solidFill>
              <w14:schemeClr w14:val="tx1"/>
            </w14:solidFill>
          </w14:textFill>
        </w:rPr>
      </w:pPr>
    </w:p>
    <w:p>
      <w:pPr>
        <w:pStyle w:val="14"/>
        <w:spacing w:before="3"/>
        <w:ind w:left="0"/>
        <w:rPr>
          <w:color w:val="000000" w:themeColor="text1"/>
          <w:sz w:val="35"/>
          <w14:textFill>
            <w14:solidFill>
              <w14:schemeClr w14:val="tx1"/>
            </w14:solidFill>
          </w14:textFill>
        </w:rPr>
      </w:pPr>
    </w:p>
    <w:p>
      <w:pPr>
        <w:pStyle w:val="14"/>
        <w:spacing w:before="3"/>
        <w:ind w:left="0"/>
        <w:rPr>
          <w:color w:val="000000" w:themeColor="text1"/>
          <w:sz w:val="35"/>
          <w14:textFill>
            <w14:solidFill>
              <w14:schemeClr w14:val="tx1"/>
            </w14:solidFill>
          </w14:textFill>
        </w:rPr>
      </w:pPr>
    </w:p>
    <w:p>
      <w:pPr>
        <w:pStyle w:val="14"/>
        <w:spacing w:before="3"/>
        <w:ind w:left="0"/>
        <w:rPr>
          <w:color w:val="000000" w:themeColor="text1"/>
          <w:sz w:val="35"/>
          <w14:textFill>
            <w14:solidFill>
              <w14:schemeClr w14:val="tx1"/>
            </w14:solidFill>
          </w14:textFill>
        </w:rPr>
      </w:pPr>
    </w:p>
    <w:p>
      <w:pPr>
        <w:pStyle w:val="14"/>
        <w:spacing w:before="3"/>
        <w:ind w:left="0"/>
        <w:rPr>
          <w:color w:val="000000" w:themeColor="text1"/>
          <w:sz w:val="35"/>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13" w:name="十二．服务承诺"/>
      <w:bookmarkEnd w:id="113"/>
      <w:bookmarkStart w:id="114" w:name="_bookmark24"/>
      <w:bookmarkEnd w:id="114"/>
      <w:bookmarkStart w:id="115" w:name="_Toc26208"/>
      <w:r>
        <w:rPr>
          <w:rFonts w:hint="eastAsia"/>
          <w:color w:val="000000" w:themeColor="text1"/>
          <w14:textFill>
            <w14:solidFill>
              <w14:schemeClr w14:val="tx1"/>
            </w14:solidFill>
          </w14:textFill>
        </w:rPr>
        <w:t>附件十</w:t>
      </w:r>
      <w:r>
        <w:rPr>
          <w:rFonts w:hint="eastAsia"/>
          <w:color w:val="000000" w:themeColor="text1"/>
          <w:lang w:eastAsia="zh-CN"/>
          <w14:textFill>
            <w14:solidFill>
              <w14:schemeClr w14:val="tx1"/>
            </w14:solidFill>
          </w14:textFill>
        </w:rPr>
        <w:t>八</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服务承诺</w:t>
      </w:r>
      <w:bookmarkEnd w:id="115"/>
    </w:p>
    <w:p>
      <w:pPr>
        <w:pStyle w:val="14"/>
        <w:spacing w:before="19"/>
        <w:ind w:left="0"/>
        <w:rPr>
          <w:color w:val="000000" w:themeColor="text1"/>
          <w:sz w:val="14"/>
          <w14:textFill>
            <w14:solidFill>
              <w14:schemeClr w14:val="tx1"/>
            </w14:solidFill>
          </w14:textFill>
        </w:rPr>
      </w:pPr>
    </w:p>
    <w:p>
      <w:pPr>
        <w:jc w:val="center"/>
        <w:rPr>
          <w:color w:val="000000" w:themeColor="text1"/>
          <w14:textFill>
            <w14:solidFill>
              <w14:schemeClr w14:val="tx1"/>
            </w14:solidFill>
          </w14:textFill>
        </w:rPr>
        <w:sectPr>
          <w:pgSz w:w="11910" w:h="16850"/>
          <w:pgMar w:top="1440" w:right="1080" w:bottom="1440" w:left="1080" w:header="877" w:footer="1068" w:gutter="0"/>
          <w:cols w:space="720" w:num="1"/>
        </w:sect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16" w:name="十三．中小企业声明函"/>
      <w:bookmarkEnd w:id="116"/>
      <w:bookmarkStart w:id="117" w:name="_bookmark25"/>
      <w:bookmarkEnd w:id="117"/>
      <w:bookmarkStart w:id="118" w:name="_Toc27452"/>
      <w:r>
        <w:rPr>
          <w:rFonts w:hint="eastAsia"/>
          <w:color w:val="000000" w:themeColor="text1"/>
          <w14:textFill>
            <w14:solidFill>
              <w14:schemeClr w14:val="tx1"/>
            </w14:solidFill>
          </w14:textFill>
        </w:rPr>
        <w:t>附件十</w:t>
      </w:r>
      <w:r>
        <w:rPr>
          <w:rFonts w:hint="eastAsia"/>
          <w:color w:val="000000" w:themeColor="text1"/>
          <w:lang w:eastAsia="zh-CN"/>
          <w14:textFill>
            <w14:solidFill>
              <w14:schemeClr w14:val="tx1"/>
            </w14:solidFill>
          </w14:textFill>
        </w:rPr>
        <w:t>九</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中小企业声明函</w:t>
      </w:r>
      <w:bookmarkEnd w:id="118"/>
    </w:p>
    <w:p>
      <w:pPr>
        <w:pStyle w:val="14"/>
        <w:spacing w:before="18"/>
        <w:ind w:left="0"/>
        <w:rPr>
          <w:color w:val="000000" w:themeColor="text1"/>
          <w:sz w:val="14"/>
          <w14:textFill>
            <w14:solidFill>
              <w14:schemeClr w14:val="tx1"/>
            </w14:solidFill>
          </w14:textFill>
        </w:rPr>
      </w:pPr>
    </w:p>
    <w:p>
      <w:pPr>
        <w:pStyle w:val="14"/>
        <w:ind w:left="0" w:right="714"/>
        <w:jc w:val="center"/>
        <w:rPr>
          <w:rFonts w:eastAsiaTheme="minorEastAsia"/>
          <w:color w:val="000000" w:themeColor="text1"/>
          <w14:textFill>
            <w14:solidFill>
              <w14:schemeClr w14:val="tx1"/>
            </w14:solidFill>
          </w14:textFill>
        </w:rPr>
      </w:pPr>
    </w:p>
    <w:p>
      <w:pPr>
        <w:pStyle w:val="14"/>
        <w:ind w:left="0" w:right="714"/>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（非中小企业产品投标，不需此件）</w:t>
      </w:r>
    </w:p>
    <w:p>
      <w:pPr>
        <w:pStyle w:val="14"/>
        <w:spacing w:before="11"/>
        <w:ind w:left="220" w:leftChars="100" w:right="220" w:rightChars="100" w:firstLine="99" w:firstLineChars="83"/>
        <w:rPr>
          <w:rFonts w:asciiTheme="minorEastAsia" w:hAnsiTheme="minorEastAsia" w:eastAsiaTheme="minorEastAsia"/>
          <w:color w:val="000000" w:themeColor="text1"/>
          <w:sz w:val="12"/>
          <w14:textFill>
            <w14:solidFill>
              <w14:schemeClr w14:val="tx1"/>
            </w14:solidFill>
          </w14:textFill>
        </w:rPr>
      </w:pPr>
    </w:p>
    <w:p>
      <w:pPr>
        <w:pStyle w:val="14"/>
        <w:spacing w:line="360" w:lineRule="auto"/>
        <w:ind w:left="567" w:right="567" w:firstLine="559" w:firstLineChars="233"/>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本公司郑重声明，根据《政府采购促进中小企业发展暂行办法》（财库〔2011〕181号）的规定，本公司为</w:t>
      </w:r>
      <w:r>
        <w:rPr>
          <w:rFonts w:asciiTheme="minorEastAsia" w:hAnsiTheme="minorEastAsia" w:eastAsiaTheme="minorEastAsia"/>
          <w:color w:val="000000" w:themeColor="text1"/>
          <w:u w:val="single"/>
          <w14:textFill>
            <w14:solidFill>
              <w14:schemeClr w14:val="tx1"/>
            </w14:solidFill>
          </w14:textFill>
        </w:rPr>
        <w:t>（请填写：中型/小型/微型）</w:t>
      </w:r>
      <w:r>
        <w:rPr>
          <w:rFonts w:asciiTheme="minorEastAsia" w:hAnsiTheme="minorEastAsia" w:eastAsiaTheme="minorEastAsia"/>
          <w:color w:val="000000" w:themeColor="text1"/>
          <w14:textFill>
            <w14:solidFill>
              <w14:schemeClr w14:val="tx1"/>
            </w14:solidFill>
          </w14:textFill>
        </w:rPr>
        <w:t>企业。即，本公司同时满足以下条件：</w:t>
      </w:r>
    </w:p>
    <w:p>
      <w:pPr>
        <w:pStyle w:val="14"/>
        <w:tabs>
          <w:tab w:val="left" w:pos="1853"/>
        </w:tabs>
        <w:spacing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asciiTheme="minorEastAsia" w:hAnsiTheme="minorEastAsia" w:eastAsiaTheme="minorEastAsia"/>
          <w:color w:val="000000" w:themeColor="text1"/>
          <w:spacing w:val="-24"/>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根</w:t>
      </w:r>
      <w:r>
        <w:rPr>
          <w:rFonts w:asciiTheme="minorEastAsia" w:hAnsiTheme="minorEastAsia" w:eastAsiaTheme="minorEastAsia"/>
          <w:color w:val="000000" w:themeColor="text1"/>
          <w:spacing w:val="-24"/>
          <w14:textFill>
            <w14:solidFill>
              <w14:schemeClr w14:val="tx1"/>
            </w14:solidFill>
          </w14:textFill>
        </w:rPr>
        <w:t>据</w:t>
      </w:r>
      <w:r>
        <w:rPr>
          <w:rFonts w:asciiTheme="minorEastAsia" w:hAnsiTheme="minorEastAsia" w:eastAsiaTheme="minorEastAsia"/>
          <w:color w:val="000000" w:themeColor="text1"/>
          <w14:textFill>
            <w14:solidFill>
              <w14:schemeClr w14:val="tx1"/>
            </w14:solidFill>
          </w14:textFill>
        </w:rPr>
        <w:t>《工业和信息化部</w:t>
      </w:r>
      <w:r>
        <w:rPr>
          <w:rFonts w:asciiTheme="minorEastAsia" w:hAnsiTheme="minorEastAsia" w:eastAsiaTheme="minorEastAsia"/>
          <w:color w:val="000000" w:themeColor="text1"/>
          <w:spacing w:val="-24"/>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国家统计局</w:t>
      </w:r>
      <w:r>
        <w:rPr>
          <w:rFonts w:asciiTheme="minorEastAsia" w:hAnsiTheme="minorEastAsia" w:eastAsiaTheme="minorEastAsia"/>
          <w:color w:val="000000" w:themeColor="text1"/>
          <w:spacing w:val="-24"/>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国家发展和改革委员会</w:t>
      </w:r>
      <w:r>
        <w:rPr>
          <w:rFonts w:asciiTheme="minorEastAsia" w:hAnsiTheme="minorEastAsia" w:eastAsiaTheme="minorEastAsia"/>
          <w:color w:val="000000" w:themeColor="text1"/>
          <w:spacing w:val="-24"/>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财政部关于印发中小企业划型标准规定的通知》（工信部联企业〔2011〕300号）规定的划分标准， 本公司为</w:t>
      </w:r>
      <w:r>
        <w:rPr>
          <w:rFonts w:asciiTheme="minorEastAsia" w:hAnsiTheme="minorEastAsia" w:eastAsiaTheme="minorEastAsia"/>
          <w:color w:val="000000" w:themeColor="text1"/>
          <w:u w:val="single"/>
          <w14:textFill>
            <w14:solidFill>
              <w14:schemeClr w14:val="tx1"/>
            </w14:solidFill>
          </w14:textFill>
        </w:rPr>
        <w:tab/>
      </w:r>
      <w:r>
        <w:rPr>
          <w:rFonts w:asciiTheme="minorEastAsia" w:hAnsiTheme="minorEastAsia" w:eastAsiaTheme="minorEastAsia"/>
          <w:color w:val="000000" w:themeColor="text1"/>
          <w:u w:val="single"/>
          <w14:textFill>
            <w14:solidFill>
              <w14:schemeClr w14:val="tx1"/>
            </w14:solidFill>
          </w14:textFill>
        </w:rPr>
        <w:t>（请填写：中型</w:t>
      </w:r>
      <w:r>
        <w:rPr>
          <w:rFonts w:asciiTheme="minorEastAsia" w:hAnsiTheme="minorEastAsia" w:eastAsiaTheme="minorEastAsia"/>
          <w:b/>
          <w:color w:val="000000" w:themeColor="text1"/>
          <w:w w:val="150"/>
          <w:u w:val="single"/>
          <w14:textFill>
            <w14:solidFill>
              <w14:schemeClr w14:val="tx1"/>
            </w14:solidFill>
          </w14:textFill>
        </w:rPr>
        <w:t>/</w:t>
      </w:r>
      <w:r>
        <w:rPr>
          <w:rFonts w:asciiTheme="minorEastAsia" w:hAnsiTheme="minorEastAsia" w:eastAsiaTheme="minorEastAsia"/>
          <w:color w:val="000000" w:themeColor="text1"/>
          <w:u w:val="single"/>
          <w14:textFill>
            <w14:solidFill>
              <w14:schemeClr w14:val="tx1"/>
            </w14:solidFill>
          </w14:textFill>
        </w:rPr>
        <w:t>小型</w:t>
      </w:r>
      <w:r>
        <w:rPr>
          <w:rFonts w:asciiTheme="minorEastAsia" w:hAnsiTheme="minorEastAsia" w:eastAsiaTheme="minorEastAsia"/>
          <w:b/>
          <w:color w:val="000000" w:themeColor="text1"/>
          <w:w w:val="150"/>
          <w:u w:val="single"/>
          <w14:textFill>
            <w14:solidFill>
              <w14:schemeClr w14:val="tx1"/>
            </w14:solidFill>
          </w14:textFill>
        </w:rPr>
        <w:t>/</w:t>
      </w:r>
      <w:r>
        <w:rPr>
          <w:rFonts w:asciiTheme="minorEastAsia" w:hAnsiTheme="minorEastAsia" w:eastAsiaTheme="minorEastAsia"/>
          <w:color w:val="000000" w:themeColor="text1"/>
          <w:u w:val="single"/>
          <w14:textFill>
            <w14:solidFill>
              <w14:schemeClr w14:val="tx1"/>
            </w14:solidFill>
          </w14:textFill>
        </w:rPr>
        <w:t>微型）</w:t>
      </w:r>
      <w:r>
        <w:rPr>
          <w:rFonts w:asciiTheme="minorEastAsia" w:hAnsiTheme="minorEastAsia" w:eastAsiaTheme="minorEastAsia"/>
          <w:color w:val="000000" w:themeColor="text1"/>
          <w:spacing w:val="-3"/>
          <w14:textFill>
            <w14:solidFill>
              <w14:schemeClr w14:val="tx1"/>
            </w14:solidFill>
          </w14:textFill>
        </w:rPr>
        <w:t>企</w:t>
      </w:r>
      <w:r>
        <w:rPr>
          <w:rFonts w:asciiTheme="minorEastAsia" w:hAnsiTheme="minorEastAsia" w:eastAsiaTheme="minorEastAsia"/>
          <w:color w:val="000000" w:themeColor="text1"/>
          <w14:textFill>
            <w14:solidFill>
              <w14:schemeClr w14:val="tx1"/>
            </w14:solidFill>
          </w14:textFill>
        </w:rPr>
        <w:t>业。</w:t>
      </w:r>
    </w:p>
    <w:p>
      <w:pPr>
        <w:pStyle w:val="14"/>
        <w:spacing w:before="6" w:line="360" w:lineRule="auto"/>
        <w:ind w:left="1008"/>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2、本公司参加本项目采购活动由本企业提供服务。</w:t>
      </w:r>
    </w:p>
    <w:p>
      <w:pPr>
        <w:pStyle w:val="14"/>
        <w:spacing w:before="115" w:line="360" w:lineRule="auto"/>
        <w:ind w:left="1008"/>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本公司对上述声明的真实性负责。如有虚假，将依法承担相应责任。</w:t>
      </w:r>
    </w:p>
    <w:p>
      <w:pPr>
        <w:pStyle w:val="14"/>
        <w:spacing w:line="360" w:lineRule="auto"/>
        <w:ind w:left="0"/>
        <w:rPr>
          <w:rFonts w:asciiTheme="minorEastAsia" w:hAnsiTheme="minorEastAsia" w:eastAsiaTheme="minorEastAsia"/>
          <w:color w:val="000000" w:themeColor="text1"/>
          <w14:textFill>
            <w14:solidFill>
              <w14:schemeClr w14:val="tx1"/>
            </w14:solidFill>
          </w14:textFill>
        </w:rPr>
      </w:pPr>
    </w:p>
    <w:p>
      <w:pPr>
        <w:pStyle w:val="14"/>
        <w:spacing w:before="9" w:line="360" w:lineRule="auto"/>
        <w:ind w:left="0"/>
        <w:rPr>
          <w:rFonts w:asciiTheme="minorEastAsia" w:hAnsiTheme="minorEastAsia" w:eastAsiaTheme="minorEastAsia"/>
          <w:color w:val="000000" w:themeColor="text1"/>
          <w:sz w:val="28"/>
          <w14:textFill>
            <w14:solidFill>
              <w14:schemeClr w14:val="tx1"/>
            </w14:solidFill>
          </w14:textFill>
        </w:rPr>
      </w:pPr>
    </w:p>
    <w:p>
      <w:pPr>
        <w:pStyle w:val="14"/>
        <w:tabs>
          <w:tab w:val="left" w:pos="5765"/>
          <w:tab w:val="left" w:pos="8831"/>
          <w:tab w:val="left" w:pos="8927"/>
        </w:tabs>
        <w:spacing w:line="360" w:lineRule="auto"/>
        <w:ind w:left="4798" w:right="2257" w:hanging="24"/>
        <w:rPr>
          <w:rFonts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投标供应商签章：</w:t>
      </w:r>
      <w:r>
        <w:rPr>
          <w:rFonts w:asciiTheme="minorEastAsia" w:hAnsiTheme="minorEastAsia" w:eastAsiaTheme="minorEastAsia"/>
          <w:color w:val="000000" w:themeColor="text1"/>
          <w:u w:val="single"/>
          <w14:textFill>
            <w14:solidFill>
              <w14:schemeClr w14:val="tx1"/>
            </w14:solidFill>
          </w14:textFill>
        </w:rPr>
        <w:tab/>
      </w:r>
      <w:r>
        <w:rPr>
          <w:rFonts w:asciiTheme="minorEastAsia" w:hAnsiTheme="minorEastAsia" w:eastAsiaTheme="minorEastAsia"/>
          <w:color w:val="000000" w:themeColor="text1"/>
          <w:u w:val="single"/>
          <w14:textFill>
            <w14:solidFill>
              <w14:schemeClr w14:val="tx1"/>
            </w14:solidFill>
          </w14:textFill>
        </w:rPr>
        <w:tab/>
      </w:r>
    </w:p>
    <w:p>
      <w:pPr>
        <w:pStyle w:val="14"/>
        <w:tabs>
          <w:tab w:val="left" w:pos="5765"/>
          <w:tab w:val="left" w:pos="8831"/>
          <w:tab w:val="left" w:pos="8927"/>
        </w:tabs>
        <w:spacing w:line="360" w:lineRule="auto"/>
        <w:ind w:left="4798" w:right="2257" w:hanging="24"/>
        <w:rPr>
          <w:rFonts w:asciiTheme="minorEastAsia" w:hAnsiTheme="minorEastAsia" w:eastAsiaTheme="minorEastAsia"/>
          <w:b/>
          <w:color w:val="000000" w:themeColor="text1"/>
          <w14:textFill>
            <w14:solidFill>
              <w14:schemeClr w14:val="tx1"/>
            </w14:solidFill>
          </w14:textFill>
        </w:rPr>
        <w:sectPr>
          <w:pgSz w:w="11910" w:h="16850"/>
          <w:pgMar w:top="1440" w:right="1080" w:bottom="1440" w:left="1080" w:header="877" w:footer="1068" w:gutter="0"/>
          <w:cols w:space="720" w:num="1"/>
        </w:sectPr>
      </w:pPr>
      <w:r>
        <w:rPr>
          <w:rFonts w:hint="eastAsia" w:cs="宋体" w:asciiTheme="minorEastAsia" w:hAnsiTheme="minorEastAsia" w:eastAsiaTheme="minorEastAsia"/>
          <w:color w:val="000000" w:themeColor="text1"/>
          <w14:textFill>
            <w14:solidFill>
              <w14:schemeClr w14:val="tx1"/>
            </w14:solidFill>
          </w14:textFill>
        </w:rPr>
        <w:t>日</w:t>
      </w:r>
      <w:r>
        <w:rPr>
          <w:rFonts w:asciiTheme="minorEastAsia" w:hAnsiTheme="minorEastAsia" w:eastAsiaTheme="minorEastAsia"/>
          <w:color w:val="000000" w:themeColor="text1"/>
          <w14:textFill>
            <w14:solidFill>
              <w14:schemeClr w14:val="tx1"/>
            </w14:solidFill>
          </w14:textFill>
        </w:rPr>
        <w:tab/>
      </w:r>
      <w:r>
        <w:rPr>
          <w:rFonts w:hint="eastAsia" w:cs="宋体" w:asciiTheme="minorEastAsia" w:hAnsiTheme="minorEastAsia" w:eastAsiaTheme="minorEastAsia"/>
          <w:color w:val="000000" w:themeColor="text1"/>
          <w14:textFill>
            <w14:solidFill>
              <w14:schemeClr w14:val="tx1"/>
            </w14:solidFill>
          </w14:textFill>
        </w:rPr>
        <w:t>期：</w:t>
      </w:r>
      <w:r>
        <w:rPr>
          <w:rFonts w:asciiTheme="minorEastAsia" w:hAnsiTheme="minorEastAsia" w:eastAsiaTheme="minorEastAsia"/>
          <w:b/>
          <w:color w:val="000000" w:themeColor="text1"/>
          <w:u w:val="single"/>
          <w14:textFill>
            <w14:solidFill>
              <w14:schemeClr w14:val="tx1"/>
            </w14:solidFill>
          </w14:textFill>
        </w:rPr>
        <w:tab/>
      </w: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19" w:name="十四.残疾人福利性单位声明函"/>
      <w:bookmarkEnd w:id="119"/>
      <w:bookmarkStart w:id="120" w:name="_bookmark26"/>
      <w:bookmarkEnd w:id="120"/>
      <w:bookmarkStart w:id="121" w:name="_Toc3729"/>
      <w:r>
        <w:rPr>
          <w:rFonts w:hint="eastAsia"/>
          <w:color w:val="000000" w:themeColor="text1"/>
          <w14:textFill>
            <w14:solidFill>
              <w14:schemeClr w14:val="tx1"/>
            </w14:solidFill>
          </w14:textFill>
        </w:rPr>
        <w:t>附件</w:t>
      </w:r>
      <w:r>
        <w:rPr>
          <w:rFonts w:hint="eastAsia"/>
          <w:color w:val="000000" w:themeColor="text1"/>
          <w:lang w:eastAsia="zh-CN"/>
          <w14:textFill>
            <w14:solidFill>
              <w14:schemeClr w14:val="tx1"/>
            </w14:solidFill>
          </w14:textFill>
        </w:rPr>
        <w:t>二</w:t>
      </w:r>
      <w:r>
        <w:rPr>
          <w:rFonts w:hint="eastAsia"/>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残疾人福利性单位声明函</w:t>
      </w:r>
      <w:bookmarkEnd w:id="121"/>
    </w:p>
    <w:p>
      <w:pPr>
        <w:pStyle w:val="14"/>
        <w:spacing w:before="18"/>
        <w:ind w:left="0"/>
        <w:rPr>
          <w:rFonts w:asciiTheme="minorEastAsia" w:hAnsiTheme="minorEastAsia" w:eastAsiaTheme="minorEastAsia"/>
          <w:color w:val="000000" w:themeColor="text1"/>
          <w:sz w:val="14"/>
          <w14:textFill>
            <w14:solidFill>
              <w14:schemeClr w14:val="tx1"/>
            </w14:solidFill>
          </w14:textFill>
        </w:rPr>
      </w:pPr>
    </w:p>
    <w:p>
      <w:pPr>
        <w:pStyle w:val="14"/>
        <w:spacing w:line="488" w:lineRule="exact"/>
        <w:ind w:left="3065"/>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（非残疾人福利性单位投标，不需此件）</w:t>
      </w:r>
    </w:p>
    <w:p>
      <w:pPr>
        <w:pStyle w:val="14"/>
        <w:spacing w:line="360" w:lineRule="auto"/>
        <w:ind w:left="567" w:right="567" w:firstLine="559" w:firstLineChars="233"/>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本单位郑重声明，根据《财政部 民政部 中国残疾人联合会关于促进残疾人就业政府采购政策的通知》（财库〔2017〕141 号）的规定，本单位为□符合□不符合（对应勾选）条件的残疾人福利性单位，且本单位参加本项目采购活动由本单位提供服务。 </w:t>
      </w:r>
    </w:p>
    <w:p>
      <w:pPr>
        <w:pStyle w:val="14"/>
        <w:spacing w:line="360" w:lineRule="auto"/>
        <w:ind w:left="567" w:right="567" w:firstLine="559" w:firstLineChars="233"/>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本单位对上述声明的真实性负责。如有虚假，将依法承担相应责任。 </w:t>
      </w:r>
    </w:p>
    <w:p>
      <w:pPr>
        <w:pStyle w:val="14"/>
        <w:spacing w:line="360" w:lineRule="auto"/>
        <w:ind w:left="0"/>
        <w:rPr>
          <w:rFonts w:asciiTheme="minorEastAsia" w:hAnsiTheme="minorEastAsia" w:eastAsiaTheme="minorEastAsia"/>
          <w:color w:val="000000" w:themeColor="text1"/>
          <w:sz w:val="23"/>
          <w14:textFill>
            <w14:solidFill>
              <w14:schemeClr w14:val="tx1"/>
            </w14:solidFill>
          </w14:textFill>
        </w:rPr>
      </w:pPr>
    </w:p>
    <w:p>
      <w:pPr>
        <w:pStyle w:val="14"/>
        <w:spacing w:line="360" w:lineRule="auto"/>
        <w:ind w:left="4774"/>
        <w:rPr>
          <w:rFonts w:asciiTheme="minorEastAsia" w:hAnsiTheme="minorEastAsia" w:eastAsiaTheme="minorEastAsia"/>
          <w:color w:val="000000" w:themeColor="text1"/>
          <w14:textFill>
            <w14:solidFill>
              <w14:schemeClr w14:val="tx1"/>
            </w14:solidFill>
          </w14:textFill>
        </w:rPr>
      </w:pPr>
    </w:p>
    <w:p>
      <w:pPr>
        <w:pStyle w:val="14"/>
        <w:spacing w:before="8" w:line="360" w:lineRule="auto"/>
        <w:ind w:left="4798" w:right="2168" w:hanging="24"/>
        <w:rPr>
          <w:rFonts w:cs="宋体" w:asciiTheme="minorEastAsia" w:hAnsiTheme="minorEastAsia" w:eastAsiaTheme="minorEastAsia"/>
          <w:color w:val="000000" w:themeColor="text1"/>
          <w14:textFill>
            <w14:solidFill>
              <w14:schemeClr w14:val="tx1"/>
            </w14:solidFill>
          </w14:textFill>
        </w:rPr>
      </w:pPr>
    </w:p>
    <w:p>
      <w:pPr>
        <w:pStyle w:val="14"/>
        <w:spacing w:before="8" w:line="360" w:lineRule="auto"/>
        <w:ind w:left="4798" w:right="2168" w:hanging="24"/>
        <w:rPr>
          <w:rFonts w:cs="宋体" w:asciiTheme="minorEastAsia" w:hAnsiTheme="minorEastAsia" w:eastAsiaTheme="minorEastAsia"/>
          <w:color w:val="000000" w:themeColor="text1"/>
          <w14:textFill>
            <w14:solidFill>
              <w14:schemeClr w14:val="tx1"/>
            </w14:solidFill>
          </w14:textFill>
        </w:rPr>
      </w:pPr>
    </w:p>
    <w:p>
      <w:pPr>
        <w:pStyle w:val="14"/>
        <w:spacing w:before="8" w:line="360" w:lineRule="auto"/>
        <w:ind w:left="4798" w:right="2168" w:hanging="24"/>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投标供应商签章：   </w:t>
      </w:r>
    </w:p>
    <w:p>
      <w:pPr>
        <w:pStyle w:val="14"/>
        <w:spacing w:before="8" w:line="360" w:lineRule="auto"/>
        <w:ind w:left="4798" w:right="2168" w:hanging="24"/>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日期：</w:t>
      </w:r>
    </w:p>
    <w:p>
      <w:pPr>
        <w:spacing w:line="360" w:lineRule="auto"/>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6895"/>
        </w:tabs>
        <w:rPr>
          <w:rFonts w:eastAsiaTheme="minorEastAsia"/>
          <w:color w:val="000000" w:themeColor="text1"/>
          <w14:textFill>
            <w14:solidFill>
              <w14:schemeClr w14:val="tx1"/>
            </w14:solidFill>
          </w14:textFill>
        </w:rPr>
        <w:sectPr>
          <w:pgSz w:w="11910" w:h="16850"/>
          <w:pgMar w:top="1440" w:right="1080" w:bottom="1440" w:left="1080" w:header="877" w:footer="1068" w:gutter="0"/>
          <w:cols w:space="720" w:num="1"/>
        </w:sectPr>
      </w:pPr>
      <w:bookmarkStart w:id="122" w:name="十五．有关证明文件"/>
      <w:bookmarkEnd w:id="122"/>
      <w:bookmarkStart w:id="123" w:name="_bookmark27"/>
      <w:bookmarkEnd w:id="123"/>
      <w:r>
        <w:rPr>
          <w:rFonts w:hint="eastAsia" w:eastAsiaTheme="minorEastAsia"/>
          <w:color w:val="000000" w:themeColor="text1"/>
          <w14:textFill>
            <w14:solidFill>
              <w14:schemeClr w14:val="tx1"/>
            </w14:solidFill>
          </w14:textFill>
        </w:rPr>
        <w:tab/>
      </w:r>
    </w:p>
    <w:p>
      <w:pPr>
        <w:pageBreakBefore/>
        <w:spacing w:line="360" w:lineRule="auto"/>
        <w:ind w:firstLine="4860" w:firstLineChars="1350"/>
        <w:outlineLvl w:val="0"/>
        <w:rPr>
          <w:rFonts w:ascii="Noto Sans Mono CJK JP Regular" w:hAnsi="Noto Sans Mono CJK JP Regular" w:eastAsia="Noto Sans Mono CJK JP Regular" w:cs="Noto Sans Mono CJK JP Regular"/>
          <w:b/>
          <w:color w:val="000000" w:themeColor="text1"/>
          <w:sz w:val="32"/>
          <w:szCs w:val="32"/>
          <w:lang w:val="zh-CN" w:eastAsia="zh-CN" w:bidi="zh-CN"/>
          <w14:textFill>
            <w14:solidFill>
              <w14:schemeClr w14:val="tx1"/>
            </w14:solidFill>
          </w14:textFill>
        </w:rPr>
      </w:pPr>
      <w:bookmarkStart w:id="124" w:name="第八章_安徽合肥公共资源交易中心网上招投标操作规程（暂行）"/>
      <w:bookmarkEnd w:id="124"/>
      <w:bookmarkStart w:id="125" w:name="_bookmark28"/>
      <w:bookmarkEnd w:id="125"/>
      <w:bookmarkStart w:id="126" w:name="_bookmark29"/>
      <w:bookmarkEnd w:id="126"/>
      <w:bookmarkStart w:id="127" w:name="十六．投标响应表"/>
      <w:bookmarkEnd w:id="127"/>
      <w:r>
        <w:rPr>
          <w:rFonts w:hint="eastAsia" w:ascii="Times New Roman" w:cs="Arial" w:eastAsiaTheme="minorEastAsia"/>
          <w:color w:val="000000"/>
          <w:sz w:val="36"/>
          <w:szCs w:val="32"/>
        </w:rPr>
        <w:t xml:space="preserve">         </w:t>
      </w:r>
      <w:bookmarkStart w:id="128" w:name="_Toc1989"/>
      <w:r>
        <w:rPr>
          <w:rFonts w:hint="eastAsia" w:ascii="Noto Sans Mono CJK JP Regular" w:hAnsi="Noto Sans Mono CJK JP Regular" w:eastAsia="Noto Sans Mono CJK JP Regular" w:cs="Noto Sans Mono CJK JP Regular"/>
          <w:b/>
          <w:color w:val="000000" w:themeColor="text1"/>
          <w:sz w:val="32"/>
          <w:szCs w:val="32"/>
          <w:lang w:val="zh-CN" w:eastAsia="zh-CN" w:bidi="zh-CN"/>
          <w14:textFill>
            <w14:solidFill>
              <w14:schemeClr w14:val="tx1"/>
            </w14:solidFill>
          </w14:textFill>
        </w:rPr>
        <w:t>第八章</w:t>
      </w:r>
      <w:r>
        <w:rPr>
          <w:rFonts w:hint="eastAsia" w:cs="Noto Sans Mono CJK JP Regular"/>
          <w:b/>
          <w:color w:val="000000" w:themeColor="text1"/>
          <w:sz w:val="32"/>
          <w:szCs w:val="32"/>
          <w:lang w:val="en-US" w:eastAsia="zh-CN" w:bidi="zh-CN"/>
          <w14:textFill>
            <w14:solidFill>
              <w14:schemeClr w14:val="tx1"/>
            </w14:solidFill>
          </w14:textFill>
        </w:rPr>
        <w:t xml:space="preserve">  </w:t>
      </w:r>
      <w:r>
        <w:rPr>
          <w:rFonts w:hint="eastAsia" w:ascii="Noto Sans Mono CJK JP Regular" w:hAnsi="Noto Sans Mono CJK JP Regular" w:eastAsia="Noto Sans Mono CJK JP Regular" w:cs="Noto Sans Mono CJK JP Regular"/>
          <w:b/>
          <w:color w:val="000000" w:themeColor="text1"/>
          <w:sz w:val="32"/>
          <w:szCs w:val="32"/>
          <w:lang w:val="zh-CN" w:eastAsia="zh-CN" w:bidi="zh-CN"/>
          <w14:textFill>
            <w14:solidFill>
              <w14:schemeClr w14:val="tx1"/>
            </w14:solidFill>
          </w14:textFill>
        </w:rPr>
        <w:t>评分标准</w:t>
      </w:r>
      <w:bookmarkEnd w:id="128"/>
    </w:p>
    <w:p>
      <w:pPr>
        <w:spacing w:line="440" w:lineRule="exact"/>
        <w:rPr>
          <w:rFonts w:hint="eastAsia" w:ascii="宋体" w:hAnsi="宋体" w:eastAsia="宋体" w:cs="宋体"/>
          <w:dstrike/>
          <w:color w:val="000000"/>
          <w:sz w:val="24"/>
        </w:rPr>
      </w:pPr>
    </w:p>
    <w:tbl>
      <w:tblPr>
        <w:tblStyle w:val="40"/>
        <w:tblW w:w="0" w:type="auto"/>
        <w:tblInd w:w="0" w:type="dxa"/>
        <w:tblLayout w:type="autofit"/>
        <w:tblCellMar>
          <w:top w:w="0" w:type="dxa"/>
          <w:left w:w="108" w:type="dxa"/>
          <w:bottom w:w="0" w:type="dxa"/>
          <w:right w:w="108" w:type="dxa"/>
        </w:tblCellMar>
      </w:tblPr>
      <w:tblGrid>
        <w:gridCol w:w="532"/>
        <w:gridCol w:w="994"/>
        <w:gridCol w:w="1664"/>
        <w:gridCol w:w="10478"/>
        <w:gridCol w:w="1238"/>
      </w:tblGrid>
      <w:tr>
        <w:tblPrEx>
          <w:tblCellMar>
            <w:top w:w="0" w:type="dxa"/>
            <w:left w:w="108" w:type="dxa"/>
            <w:bottom w:w="0" w:type="dxa"/>
            <w:right w:w="108" w:type="dxa"/>
          </w:tblCellMar>
        </w:tblPrEx>
        <w:trPr>
          <w:trHeight w:val="84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0" w:type="auto"/>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评分点</w:t>
            </w:r>
          </w:p>
        </w:tc>
        <w:tc>
          <w:tcPr>
            <w:tcW w:w="0" w:type="auto"/>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评分标准</w:t>
            </w:r>
          </w:p>
        </w:tc>
        <w:tc>
          <w:tcPr>
            <w:tcW w:w="0" w:type="auto"/>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权重分配（分）</w:t>
            </w:r>
          </w:p>
        </w:tc>
      </w:tr>
      <w:tr>
        <w:tblPrEx>
          <w:tblCellMar>
            <w:top w:w="0" w:type="dxa"/>
            <w:left w:w="108" w:type="dxa"/>
            <w:bottom w:w="0" w:type="dxa"/>
            <w:right w:w="108" w:type="dxa"/>
          </w:tblCellMar>
        </w:tblPrEx>
        <w:trPr>
          <w:trHeight w:val="1666" w:hRule="atLeast"/>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1</w:t>
            </w:r>
          </w:p>
        </w:tc>
        <w:tc>
          <w:tcPr>
            <w:tcW w:w="0" w:type="auto"/>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价格因素（</w:t>
            </w:r>
            <w:r>
              <w:rPr>
                <w:rFonts w:hint="eastAsia" w:ascii="宋体" w:hAnsi="宋体" w:eastAsia="宋体" w:cs="宋体"/>
                <w:color w:val="000000"/>
                <w:kern w:val="0"/>
                <w:sz w:val="24"/>
                <w:szCs w:val="24"/>
                <w:lang w:val="en-US" w:eastAsia="zh-CN"/>
              </w:rPr>
              <w:t>3</w:t>
            </w:r>
            <w:r>
              <w:rPr>
                <w:rFonts w:hint="eastAsia" w:ascii="宋体" w:hAnsi="宋体" w:cs="宋体"/>
                <w:color w:val="000000"/>
                <w:kern w:val="0"/>
                <w:sz w:val="24"/>
                <w:szCs w:val="24"/>
                <w:lang w:val="en-US" w:eastAsia="zh-CN"/>
              </w:rPr>
              <w:t>0</w:t>
            </w:r>
            <w:r>
              <w:rPr>
                <w:rFonts w:hint="eastAsia" w:ascii="宋体" w:hAnsi="宋体" w:eastAsia="宋体" w:cs="宋体"/>
                <w:color w:val="000000"/>
                <w:kern w:val="0"/>
                <w:sz w:val="24"/>
                <w:szCs w:val="24"/>
              </w:rPr>
              <w:t>分）</w:t>
            </w:r>
          </w:p>
        </w:tc>
        <w:tc>
          <w:tcPr>
            <w:tcW w:w="0" w:type="auto"/>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各供应商的价格得分的计算公式：投标报价不得低于成本的评标原则</w:t>
            </w:r>
            <w:r>
              <w:rPr>
                <w:rFonts w:hint="eastAsia" w:ascii="宋体" w:hAnsi="宋体" w:cs="宋体"/>
                <w:kern w:val="0"/>
                <w:sz w:val="24"/>
                <w:szCs w:val="24"/>
                <w:lang w:eastAsia="zh-CN"/>
              </w:rPr>
              <w:t>，</w:t>
            </w:r>
            <w:r>
              <w:rPr>
                <w:rFonts w:hint="eastAsia" w:ascii="宋体" w:hAnsi="宋体" w:eastAsia="宋体" w:cs="宋体"/>
                <w:kern w:val="0"/>
                <w:sz w:val="24"/>
                <w:szCs w:val="24"/>
              </w:rPr>
              <w:t>采用低价优先法计算，即</w:t>
            </w:r>
            <w:r>
              <w:rPr>
                <w:rFonts w:hint="eastAsia" w:ascii="宋体" w:hAnsi="宋体" w:eastAsia="宋体" w:cs="宋体"/>
                <w:b/>
                <w:bCs/>
                <w:kern w:val="0"/>
                <w:sz w:val="24"/>
                <w:szCs w:val="24"/>
              </w:rPr>
              <w:t>满足招标文件要求且投标价格最低的投标报价为评标基准价</w:t>
            </w:r>
            <w:r>
              <w:rPr>
                <w:rFonts w:hint="eastAsia" w:ascii="宋体" w:hAnsi="宋体" w:eastAsia="宋体" w:cs="宋体"/>
                <w:kern w:val="0"/>
                <w:sz w:val="24"/>
                <w:szCs w:val="24"/>
              </w:rPr>
              <w:t>，其价格分为满分。其他投标人的价格分统一按照下列公式计算：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投标报价得分=(评标基准价／投标报价)×价格权值×100</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计算分数时四舍五入取小数点后两位,分数最高不超过</w:t>
            </w:r>
            <w:r>
              <w:rPr>
                <w:rFonts w:hint="eastAsia" w:ascii="宋体" w:hAnsi="宋体" w:cs="宋体"/>
                <w:kern w:val="0"/>
                <w:sz w:val="24"/>
                <w:szCs w:val="24"/>
                <w:lang w:val="en-US" w:eastAsia="zh-CN"/>
              </w:rPr>
              <w:t>30</w:t>
            </w:r>
            <w:r>
              <w:rPr>
                <w:rFonts w:hint="eastAsia" w:ascii="宋体" w:hAnsi="宋体" w:eastAsia="宋体" w:cs="宋体"/>
                <w:kern w:val="0"/>
                <w:sz w:val="24"/>
                <w:szCs w:val="24"/>
              </w:rPr>
              <w:t>分。由监标人员负责核准每个合格供应商的价格得分。评标过程中，不得去掉报价中的最低和最高报价。</w:t>
            </w:r>
          </w:p>
        </w:tc>
        <w:tc>
          <w:tcPr>
            <w:tcW w:w="0" w:type="auto"/>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30</w:t>
            </w:r>
          </w:p>
        </w:tc>
      </w:tr>
      <w:tr>
        <w:tblPrEx>
          <w:tblCellMar>
            <w:top w:w="0" w:type="dxa"/>
            <w:left w:w="108" w:type="dxa"/>
            <w:bottom w:w="0" w:type="dxa"/>
            <w:right w:w="108" w:type="dxa"/>
          </w:tblCellMar>
        </w:tblPrEx>
        <w:trPr>
          <w:trHeight w:val="161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bookmarkStart w:id="129" w:name="_Toc2136"/>
            <w:bookmarkStart w:id="130" w:name="_Toc28655"/>
            <w:bookmarkStart w:id="131" w:name="_Toc27042"/>
            <w:bookmarkStart w:id="132" w:name="_Toc27466"/>
            <w:r>
              <w:rPr>
                <w:rFonts w:hint="eastAsia" w:ascii="宋体" w:hAnsi="宋体" w:eastAsia="宋体" w:cs="宋体"/>
                <w:b/>
                <w:bCs/>
                <w:color w:val="000000"/>
                <w:kern w:val="0"/>
                <w:sz w:val="24"/>
                <w:szCs w:val="24"/>
                <w:lang w:val="en-US" w:eastAsia="zh-CN"/>
              </w:rPr>
              <w:t>2</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技术（</w:t>
            </w:r>
            <w:r>
              <w:rPr>
                <w:rFonts w:hint="eastAsia" w:ascii="宋体" w:hAnsi="宋体" w:eastAsia="宋体" w:cs="宋体"/>
                <w:color w:val="000000"/>
                <w:kern w:val="0"/>
                <w:sz w:val="24"/>
                <w:szCs w:val="24"/>
                <w:lang w:val="en-US" w:eastAsia="zh-CN"/>
              </w:rPr>
              <w:t>50分</w:t>
            </w:r>
            <w:r>
              <w:rPr>
                <w:rFonts w:hint="eastAsia" w:ascii="宋体" w:hAnsi="宋体" w:eastAsia="宋体" w:cs="宋体"/>
                <w:color w:val="000000"/>
                <w:kern w:val="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项目实施方案（</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kern w:val="0"/>
                <w:sz w:val="24"/>
                <w:szCs w:val="24"/>
                <w:lang w:val="en-US"/>
              </w:rPr>
            </w:pPr>
            <w:r>
              <w:rPr>
                <w:rFonts w:hint="default" w:ascii="宋体" w:hAnsi="宋体" w:eastAsia="宋体" w:cs="宋体"/>
                <w:kern w:val="0"/>
                <w:sz w:val="24"/>
                <w:szCs w:val="24"/>
                <w:lang w:val="en-US"/>
              </w:rPr>
              <w:t>根据投标人对本项目组织实施方案整体规划的合理性、针对性，进行横向对比。</w:t>
            </w:r>
          </w:p>
          <w:p>
            <w:pPr>
              <w:widowControl/>
              <w:jc w:val="left"/>
              <w:rPr>
                <w:rFonts w:hint="default" w:ascii="宋体" w:hAnsi="宋体" w:eastAsia="宋体" w:cs="宋体"/>
                <w:kern w:val="0"/>
                <w:sz w:val="24"/>
                <w:szCs w:val="24"/>
                <w:lang w:val="en-US"/>
              </w:rPr>
            </w:pPr>
            <w:r>
              <w:rPr>
                <w:rFonts w:hint="default" w:ascii="宋体" w:hAnsi="宋体" w:eastAsia="宋体" w:cs="宋体"/>
                <w:kern w:val="0"/>
                <w:sz w:val="24"/>
                <w:szCs w:val="24"/>
                <w:lang w:val="en-US"/>
              </w:rPr>
              <w:t>总体方案优秀并且可行，内容充足，满足并优于采购人要求，得</w:t>
            </w:r>
            <w:r>
              <w:rPr>
                <w:rFonts w:hint="eastAsia" w:ascii="宋体" w:hAnsi="宋体" w:eastAsia="宋体" w:cs="宋体"/>
                <w:kern w:val="0"/>
                <w:sz w:val="24"/>
                <w:szCs w:val="24"/>
                <w:lang w:val="en-US" w:eastAsia="zh-CN"/>
              </w:rPr>
              <w:t>3-5</w:t>
            </w:r>
            <w:r>
              <w:rPr>
                <w:rFonts w:hint="default" w:ascii="宋体" w:hAnsi="宋体" w:eastAsia="宋体" w:cs="宋体"/>
                <w:kern w:val="0"/>
                <w:sz w:val="24"/>
                <w:szCs w:val="24"/>
                <w:lang w:val="en-US"/>
              </w:rPr>
              <w:t>分；</w:t>
            </w:r>
          </w:p>
          <w:p>
            <w:pPr>
              <w:widowControl/>
              <w:jc w:val="left"/>
              <w:rPr>
                <w:rFonts w:hint="default" w:ascii="宋体" w:hAnsi="宋体" w:eastAsia="宋体" w:cs="宋体"/>
                <w:kern w:val="0"/>
                <w:sz w:val="24"/>
                <w:szCs w:val="24"/>
                <w:lang w:val="en-US"/>
              </w:rPr>
            </w:pPr>
            <w:r>
              <w:rPr>
                <w:rFonts w:hint="default" w:ascii="宋体" w:hAnsi="宋体" w:eastAsia="宋体" w:cs="宋体"/>
                <w:kern w:val="0"/>
                <w:sz w:val="24"/>
                <w:szCs w:val="24"/>
                <w:lang w:val="en-US"/>
              </w:rPr>
              <w:t>总体方案良好并且可行，内容基本满足，满足采购人要求，得</w:t>
            </w:r>
            <w:r>
              <w:rPr>
                <w:rFonts w:hint="eastAsia" w:ascii="宋体" w:hAnsi="宋体" w:eastAsia="宋体" w:cs="宋体"/>
                <w:kern w:val="0"/>
                <w:sz w:val="24"/>
                <w:szCs w:val="24"/>
                <w:lang w:val="en-US" w:eastAsia="zh-CN"/>
              </w:rPr>
              <w:t>2-3</w:t>
            </w:r>
            <w:r>
              <w:rPr>
                <w:rFonts w:hint="default" w:ascii="宋体" w:hAnsi="宋体" w:eastAsia="宋体" w:cs="宋体"/>
                <w:kern w:val="0"/>
                <w:sz w:val="24"/>
                <w:szCs w:val="24"/>
                <w:lang w:val="en-US"/>
              </w:rPr>
              <w:t xml:space="preserve">分； </w:t>
            </w:r>
          </w:p>
          <w:p>
            <w:pPr>
              <w:widowControl/>
              <w:jc w:val="left"/>
              <w:rPr>
                <w:rFonts w:hint="default" w:ascii="宋体" w:hAnsi="宋体" w:eastAsia="宋体" w:cs="宋体"/>
                <w:kern w:val="0"/>
                <w:sz w:val="24"/>
                <w:szCs w:val="24"/>
                <w:lang w:val="en-US"/>
              </w:rPr>
            </w:pPr>
            <w:r>
              <w:rPr>
                <w:rFonts w:hint="default" w:ascii="宋体" w:hAnsi="宋体" w:eastAsia="宋体" w:cs="宋体"/>
                <w:kern w:val="0"/>
                <w:sz w:val="24"/>
                <w:szCs w:val="24"/>
                <w:lang w:val="en-US"/>
              </w:rPr>
              <w:t>总体方案一般，内容一般，满足采购人要求，得</w:t>
            </w:r>
            <w:r>
              <w:rPr>
                <w:rFonts w:hint="eastAsia" w:ascii="宋体" w:hAnsi="宋体" w:eastAsia="宋体" w:cs="宋体"/>
                <w:kern w:val="0"/>
                <w:sz w:val="24"/>
                <w:szCs w:val="24"/>
                <w:lang w:val="en-US" w:eastAsia="zh-CN"/>
              </w:rPr>
              <w:t>1-2</w:t>
            </w:r>
            <w:r>
              <w:rPr>
                <w:rFonts w:hint="default" w:ascii="宋体" w:hAnsi="宋体" w:eastAsia="宋体" w:cs="宋体"/>
                <w:kern w:val="0"/>
                <w:sz w:val="24"/>
                <w:szCs w:val="24"/>
                <w:lang w:val="en-US"/>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kern w:val="0"/>
                <w:sz w:val="24"/>
                <w:szCs w:val="24"/>
                <w:lang w:val="en-US" w:eastAsia="zh-CN"/>
              </w:rPr>
              <w:t>5</w:t>
            </w:r>
          </w:p>
        </w:tc>
      </w:tr>
      <w:tr>
        <w:tblPrEx>
          <w:tblCellMar>
            <w:top w:w="0" w:type="dxa"/>
            <w:left w:w="108" w:type="dxa"/>
            <w:bottom w:w="0" w:type="dxa"/>
            <w:right w:w="108" w:type="dxa"/>
          </w:tblCellMar>
        </w:tblPrEx>
        <w:trPr>
          <w:trHeight w:val="48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货物技术质量、性能评价（</w:t>
            </w:r>
            <w:r>
              <w:rPr>
                <w:rFonts w:hint="eastAsia" w:ascii="宋体" w:hAnsi="宋体" w:eastAsia="宋体" w:cs="宋体"/>
                <w:color w:val="000000"/>
                <w:kern w:val="0"/>
                <w:sz w:val="24"/>
                <w:szCs w:val="24"/>
                <w:lang w:val="en-US" w:eastAsia="zh-CN"/>
              </w:rPr>
              <w:t>2</w:t>
            </w:r>
            <w:r>
              <w:rPr>
                <w:rFonts w:hint="eastAsia" w:ascii="宋体" w:hAnsi="宋体" w:cs="宋体"/>
                <w:color w:val="000000"/>
                <w:kern w:val="0"/>
                <w:sz w:val="24"/>
                <w:szCs w:val="24"/>
                <w:lang w:val="en-US" w:eastAsia="zh-CN"/>
              </w:rPr>
              <w:t>9</w:t>
            </w:r>
            <w:r>
              <w:rPr>
                <w:rFonts w:hint="eastAsia" w:ascii="宋体" w:hAnsi="宋体" w:eastAsia="宋体" w:cs="宋体"/>
                <w:color w:val="000000"/>
                <w:kern w:val="0"/>
                <w:sz w:val="24"/>
                <w:szCs w:val="24"/>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根据所投产品的配置与性能指标响应程度打分，</w:t>
            </w:r>
            <w:r>
              <w:rPr>
                <w:rFonts w:hint="eastAsia" w:ascii="宋体" w:hAnsi="宋体" w:eastAsia="宋体" w:cs="宋体"/>
                <w:color w:val="000000"/>
                <w:kern w:val="0"/>
                <w:sz w:val="24"/>
                <w:szCs w:val="24"/>
                <w:lang w:val="en-US" w:eastAsia="zh-CN"/>
              </w:rPr>
              <w:t>所有投标产品完全满足</w:t>
            </w:r>
            <w:r>
              <w:rPr>
                <w:rFonts w:hint="eastAsia" w:ascii="宋体" w:hAnsi="宋体" w:cs="宋体"/>
                <w:color w:val="000000"/>
                <w:kern w:val="0"/>
                <w:sz w:val="24"/>
                <w:szCs w:val="24"/>
                <w:lang w:val="en-US" w:eastAsia="zh-CN"/>
              </w:rPr>
              <w:t>或优于</w:t>
            </w:r>
            <w:r>
              <w:rPr>
                <w:rFonts w:hint="eastAsia" w:ascii="宋体" w:hAnsi="宋体" w:eastAsia="宋体" w:cs="宋体"/>
                <w:color w:val="000000"/>
                <w:kern w:val="0"/>
                <w:sz w:val="24"/>
                <w:szCs w:val="24"/>
                <w:lang w:val="en-US" w:eastAsia="zh-CN"/>
              </w:rPr>
              <w:t>招标文件技术要求中所有条款（含要求提供的相关资料）的得29分。标“★”条款</w:t>
            </w:r>
            <w:r>
              <w:rPr>
                <w:rFonts w:hint="eastAsia" w:ascii="宋体" w:hAnsi="宋体" w:cs="宋体"/>
                <w:color w:val="000000"/>
                <w:kern w:val="0"/>
                <w:sz w:val="24"/>
                <w:szCs w:val="24"/>
                <w:lang w:val="en-US" w:eastAsia="zh-CN"/>
              </w:rPr>
              <w:t>为核心参数不接受负偏离，如有负偏离，</w:t>
            </w:r>
            <w:r>
              <w:rPr>
                <w:rFonts w:hint="eastAsia" w:ascii="宋体" w:hAnsi="宋体" w:eastAsia="宋体" w:cs="宋体"/>
                <w:color w:val="000000"/>
                <w:kern w:val="0"/>
                <w:sz w:val="24"/>
                <w:szCs w:val="24"/>
              </w:rPr>
              <w:t>技术性能</w:t>
            </w:r>
            <w:r>
              <w:rPr>
                <w:rFonts w:hint="eastAsia" w:ascii="宋体" w:hAnsi="宋体" w:cs="宋体"/>
                <w:color w:val="000000"/>
                <w:kern w:val="0"/>
                <w:sz w:val="24"/>
                <w:szCs w:val="24"/>
                <w:lang w:val="en-US" w:eastAsia="zh-CN"/>
              </w:rPr>
              <w:t xml:space="preserve">为0分； </w:t>
            </w:r>
            <w:r>
              <w:rPr>
                <w:rFonts w:hint="eastAsia" w:ascii="宋体" w:hAnsi="宋体" w:eastAsia="宋体" w:cs="宋体"/>
                <w:color w:val="000000"/>
                <w:kern w:val="0"/>
                <w:sz w:val="24"/>
                <w:szCs w:val="24"/>
                <w:lang w:val="en-US" w:eastAsia="zh-CN"/>
              </w:rPr>
              <w:t>非“★”条款每有一项负偏离扣</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分，</w:t>
            </w:r>
            <w:r>
              <w:rPr>
                <w:rFonts w:hint="eastAsia" w:ascii="宋体" w:hAnsi="宋体" w:cs="宋体"/>
                <w:color w:val="000000"/>
                <w:kern w:val="0"/>
                <w:sz w:val="24"/>
                <w:szCs w:val="24"/>
                <w:lang w:val="en-US" w:eastAsia="zh-CN"/>
              </w:rPr>
              <w:t>本项</w:t>
            </w:r>
            <w:r>
              <w:rPr>
                <w:rFonts w:hint="eastAsia" w:ascii="宋体" w:hAnsi="宋体" w:eastAsia="宋体" w:cs="宋体"/>
                <w:color w:val="000000"/>
                <w:kern w:val="0"/>
                <w:sz w:val="24"/>
                <w:szCs w:val="24"/>
                <w:lang w:val="en-US" w:eastAsia="zh-CN"/>
              </w:rPr>
              <w:t>扣完为止。</w:t>
            </w:r>
            <w:r>
              <w:rPr>
                <w:rFonts w:hint="eastAsia" w:ascii="宋体" w:hAnsi="宋体" w:cs="宋体"/>
                <w:color w:val="000000"/>
                <w:kern w:val="0"/>
                <w:sz w:val="24"/>
                <w:szCs w:val="24"/>
                <w:lang w:val="en-US" w:eastAsia="zh-CN"/>
              </w:rPr>
              <w:t>提供能证明满足技术参数的有效材料，</w:t>
            </w:r>
            <w:r>
              <w:rPr>
                <w:rFonts w:hint="eastAsia" w:ascii="宋体" w:hAnsi="宋体" w:eastAsia="宋体" w:cs="宋体"/>
                <w:color w:val="000000"/>
                <w:kern w:val="0"/>
                <w:sz w:val="24"/>
                <w:szCs w:val="24"/>
                <w:lang w:eastAsia="zh-CN"/>
              </w:rPr>
              <w:t>如果对招标文件中的参数进行简单的复制粘贴，该项得分为</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29</w:t>
            </w:r>
          </w:p>
        </w:tc>
      </w:tr>
      <w:tr>
        <w:tblPrEx>
          <w:tblCellMar>
            <w:top w:w="0" w:type="dxa"/>
            <w:left w:w="108" w:type="dxa"/>
            <w:bottom w:w="0" w:type="dxa"/>
            <w:right w:w="108" w:type="dxa"/>
          </w:tblCellMar>
        </w:tblPrEx>
        <w:trPr>
          <w:trHeight w:val="869" w:hRule="atLeast"/>
        </w:trPr>
        <w:tc>
          <w:tcPr>
            <w:tcW w:w="0" w:type="auto"/>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3</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安装、调试及验收方案（</w:t>
            </w:r>
            <w:r>
              <w:rPr>
                <w:rFonts w:hint="eastAsia" w:ascii="宋体" w:hAnsi="宋体" w:eastAsia="宋体" w:cs="宋体"/>
                <w:color w:val="000000"/>
                <w:kern w:val="0"/>
                <w:sz w:val="24"/>
                <w:szCs w:val="24"/>
                <w:lang w:val="en-US" w:eastAsia="zh-CN"/>
              </w:rPr>
              <w:t>6分</w:t>
            </w:r>
            <w:r>
              <w:rPr>
                <w:rFonts w:hint="eastAsia" w:ascii="宋体" w:hAnsi="宋体" w:eastAsia="宋体" w:cs="宋体"/>
                <w:color w:val="000000"/>
                <w:kern w:val="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方案内容详细、切实可行，得4-6分；</w:t>
            </w:r>
          </w:p>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方案内容基本详细、基本可行，得2-3分；</w:t>
            </w:r>
          </w:p>
          <w:p>
            <w:pPr>
              <w:widowControl/>
              <w:jc w:val="left"/>
              <w:rPr>
                <w:rFonts w:hint="eastAsia" w:ascii="宋体" w:hAnsi="宋体" w:cs="宋体"/>
                <w:kern w:val="0"/>
                <w:sz w:val="24"/>
                <w:szCs w:val="24"/>
                <w:highlight w:val="none"/>
                <w:lang w:val="en-US" w:eastAsia="zh-CN"/>
              </w:rPr>
            </w:pPr>
            <w:r>
              <w:rPr>
                <w:rFonts w:hint="eastAsia" w:ascii="宋体" w:hAnsi="宋体" w:eastAsia="宋体" w:cs="宋体"/>
                <w:color w:val="000000"/>
                <w:kern w:val="0"/>
                <w:sz w:val="24"/>
                <w:szCs w:val="24"/>
                <w:lang w:val="en-US" w:eastAsia="zh-CN"/>
              </w:rPr>
              <w:t>方案内容不详细，无可行性，得1分。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4"/>
                <w:szCs w:val="24"/>
                <w:lang w:val="en-US" w:eastAsia="zh-CN"/>
              </w:rPr>
            </w:pPr>
            <w:r>
              <w:rPr>
                <w:rFonts w:hint="eastAsia" w:ascii="宋体" w:hAnsi="宋体" w:cs="宋体"/>
                <w:color w:val="000000"/>
                <w:kern w:val="0"/>
                <w:sz w:val="24"/>
                <w:szCs w:val="24"/>
                <w:lang w:val="en-US" w:eastAsia="zh-CN"/>
              </w:rPr>
              <w:t>6</w:t>
            </w:r>
          </w:p>
        </w:tc>
      </w:tr>
      <w:tr>
        <w:tblPrEx>
          <w:tblCellMar>
            <w:top w:w="0" w:type="dxa"/>
            <w:left w:w="108" w:type="dxa"/>
            <w:bottom w:w="0" w:type="dxa"/>
            <w:right w:w="108" w:type="dxa"/>
          </w:tblCellMar>
        </w:tblPrEx>
        <w:trPr>
          <w:trHeight w:val="869" w:hRule="atLeast"/>
        </w:trPr>
        <w:tc>
          <w:tcPr>
            <w:tcW w:w="0" w:type="auto"/>
            <w:vMerge w:val="continue"/>
            <w:tcBorders>
              <w:left w:val="single" w:color="auto" w:sz="4" w:space="0"/>
              <w:bottom w:val="single" w:color="auto" w:sz="4" w:space="0"/>
              <w:right w:val="single" w:color="auto" w:sz="4" w:space="0"/>
            </w:tcBorders>
            <w:noWrap w:val="0"/>
            <w:vAlign w:val="center"/>
          </w:tcPr>
          <w:p>
            <w:pPr>
              <w:widowControl/>
              <w:jc w:val="left"/>
              <w:rPr>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sz w:val="24"/>
                <w:szCs w:val="24"/>
                <w:lang w:eastAsia="zh-CN"/>
              </w:rPr>
            </w:pPr>
            <w:r>
              <w:rPr>
                <w:rFonts w:hint="eastAsia" w:ascii="宋体" w:hAnsi="宋体" w:eastAsia="宋体" w:cs="宋体"/>
                <w:color w:val="000000"/>
                <w:kern w:val="0"/>
                <w:sz w:val="24"/>
                <w:szCs w:val="24"/>
                <w:lang w:eastAsia="zh-CN"/>
              </w:rPr>
              <w:t>现场演示（</w:t>
            </w:r>
            <w:r>
              <w:rPr>
                <w:rFonts w:hint="eastAsia" w:ascii="宋体" w:hAnsi="宋体" w:eastAsia="宋体" w:cs="宋体"/>
                <w:color w:val="000000"/>
                <w:kern w:val="0"/>
                <w:sz w:val="24"/>
                <w:szCs w:val="24"/>
                <w:lang w:val="en-US" w:eastAsia="zh-CN"/>
              </w:rPr>
              <w:t>10分</w:t>
            </w:r>
            <w:r>
              <w:rPr>
                <w:rFonts w:hint="eastAsia" w:ascii="宋体" w:hAnsi="宋体" w:eastAsia="宋体" w:cs="宋体"/>
                <w:color w:val="000000"/>
                <w:kern w:val="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根据投标单位提供现场视频演示，评委横向对比0-</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分。不提供演示或演示不满足招标文件参数不得分。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r>
      <w:tr>
        <w:tblPrEx>
          <w:tblCellMar>
            <w:top w:w="0" w:type="dxa"/>
            <w:left w:w="108" w:type="dxa"/>
            <w:bottom w:w="0" w:type="dxa"/>
            <w:right w:w="108" w:type="dxa"/>
          </w:tblCellMar>
        </w:tblPrEx>
        <w:trPr>
          <w:trHeight w:val="60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4</w:t>
            </w:r>
          </w:p>
        </w:tc>
        <w:tc>
          <w:tcPr>
            <w:tcW w:w="0" w:type="auto"/>
            <w:vMerge w:val="restart"/>
            <w:tcBorders>
              <w:top w:val="single" w:color="auto" w:sz="4" w:space="0"/>
              <w:left w:val="nil"/>
              <w:right w:val="single" w:color="auto" w:sz="4" w:space="0"/>
            </w:tcBorders>
            <w:noWrap w:val="0"/>
            <w:vAlign w:val="center"/>
          </w:tcPr>
          <w:p>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商务（</w:t>
            </w:r>
            <w:r>
              <w:rPr>
                <w:rFonts w:hint="eastAsia" w:ascii="宋体" w:hAnsi="宋体" w:eastAsia="宋体" w:cs="宋体"/>
                <w:color w:val="000000"/>
                <w:kern w:val="0"/>
                <w:sz w:val="24"/>
                <w:szCs w:val="24"/>
                <w:lang w:val="en-US" w:eastAsia="zh-CN"/>
              </w:rPr>
              <w:t>20分</w:t>
            </w:r>
            <w:r>
              <w:rPr>
                <w:rFonts w:hint="eastAsia" w:ascii="宋体" w:hAnsi="宋体" w:eastAsia="宋体" w:cs="宋体"/>
                <w:color w:val="000000"/>
                <w:kern w:val="0"/>
                <w:sz w:val="24"/>
                <w:szCs w:val="24"/>
                <w:lang w:eastAsia="zh-CN"/>
              </w:rPr>
              <w:t>）</w:t>
            </w: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类似项目业绩（</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w:t>
            </w: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投标人提供201</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年至今完成过同类</w:t>
            </w:r>
            <w:r>
              <w:rPr>
                <w:rFonts w:hint="eastAsia" w:ascii="宋体" w:hAnsi="宋体" w:eastAsia="宋体" w:cs="宋体"/>
                <w:color w:val="000000"/>
                <w:kern w:val="0"/>
                <w:sz w:val="24"/>
                <w:szCs w:val="24"/>
                <w:lang w:val="en-US" w:eastAsia="zh-CN"/>
              </w:rPr>
              <w:t>烹饪</w:t>
            </w:r>
            <w:r>
              <w:rPr>
                <w:rFonts w:hint="eastAsia" w:ascii="宋体" w:hAnsi="宋体" w:eastAsia="宋体" w:cs="宋体"/>
                <w:color w:val="000000"/>
                <w:kern w:val="0"/>
                <w:sz w:val="24"/>
                <w:szCs w:val="24"/>
              </w:rPr>
              <w:t>业绩，每个得</w:t>
            </w:r>
            <w:r>
              <w:rPr>
                <w:rFonts w:hint="eastAsia" w:ascii="宋体" w:hAnsi="宋体" w:eastAsia="宋体" w:cs="宋体"/>
                <w:color w:val="000000"/>
                <w:kern w:val="0"/>
                <w:sz w:val="24"/>
                <w:szCs w:val="24"/>
                <w:lang w:val="en-US" w:eastAsia="zh-CN"/>
              </w:rPr>
              <w:t>0.5</w:t>
            </w:r>
            <w:r>
              <w:rPr>
                <w:rFonts w:hint="eastAsia" w:ascii="宋体" w:hAnsi="宋体" w:eastAsia="宋体" w:cs="宋体"/>
                <w:color w:val="000000"/>
                <w:kern w:val="0"/>
                <w:sz w:val="24"/>
                <w:szCs w:val="24"/>
              </w:rPr>
              <w:t>分，最高得</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eastAsia="zh-CN"/>
              </w:rPr>
              <w:t>须</w:t>
            </w:r>
            <w:r>
              <w:rPr>
                <w:rFonts w:hint="eastAsia" w:ascii="宋体" w:hAnsi="宋体" w:eastAsia="宋体" w:cs="宋体"/>
                <w:color w:val="000000"/>
                <w:kern w:val="0"/>
                <w:sz w:val="24"/>
                <w:szCs w:val="24"/>
              </w:rPr>
              <w:t>提供中标通知书</w:t>
            </w:r>
            <w:r>
              <w:rPr>
                <w:rFonts w:hint="eastAsia" w:ascii="宋体" w:hAnsi="宋体" w:eastAsia="宋体" w:cs="宋体"/>
                <w:color w:val="000000"/>
                <w:kern w:val="0"/>
                <w:sz w:val="24"/>
                <w:szCs w:val="24"/>
                <w:lang w:eastAsia="zh-CN"/>
              </w:rPr>
              <w:t>原件</w:t>
            </w:r>
            <w:r>
              <w:rPr>
                <w:rFonts w:hint="eastAsia" w:ascii="宋体" w:hAnsi="宋体" w:eastAsia="宋体" w:cs="宋体"/>
                <w:color w:val="000000"/>
                <w:kern w:val="0"/>
                <w:sz w:val="24"/>
                <w:szCs w:val="24"/>
                <w:lang w:val="en-US" w:eastAsia="zh-CN"/>
              </w:rPr>
              <w:t>及</w:t>
            </w:r>
            <w:r>
              <w:rPr>
                <w:rFonts w:hint="eastAsia" w:ascii="宋体" w:hAnsi="宋体" w:eastAsia="宋体" w:cs="宋体"/>
                <w:color w:val="000000"/>
                <w:kern w:val="0"/>
                <w:sz w:val="24"/>
                <w:szCs w:val="24"/>
              </w:rPr>
              <w:t>合同</w:t>
            </w:r>
            <w:r>
              <w:rPr>
                <w:rFonts w:hint="eastAsia" w:ascii="宋体" w:hAnsi="宋体" w:eastAsia="宋体" w:cs="宋体"/>
                <w:color w:val="000000"/>
                <w:kern w:val="0"/>
                <w:sz w:val="24"/>
                <w:szCs w:val="24"/>
                <w:lang w:val="en-US" w:eastAsia="zh-CN"/>
              </w:rPr>
              <w:t>原件备查</w:t>
            </w:r>
            <w:r>
              <w:rPr>
                <w:rFonts w:hint="eastAsia" w:ascii="宋体" w:hAnsi="宋体" w:eastAsia="宋体" w:cs="宋体"/>
                <w:color w:val="000000"/>
                <w:kern w:val="0"/>
                <w:sz w:val="24"/>
                <w:szCs w:val="24"/>
              </w:rPr>
              <w:t>）</w:t>
            </w:r>
          </w:p>
        </w:tc>
        <w:tc>
          <w:tcPr>
            <w:tcW w:w="0" w:type="auto"/>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tblPrEx>
          <w:tblCellMar>
            <w:top w:w="0" w:type="dxa"/>
            <w:left w:w="108" w:type="dxa"/>
            <w:bottom w:w="0" w:type="dxa"/>
            <w:right w:w="108" w:type="dxa"/>
          </w:tblCellMar>
        </w:tblPrEx>
        <w:trPr>
          <w:trHeight w:val="13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5</w:t>
            </w:r>
          </w:p>
        </w:tc>
        <w:tc>
          <w:tcPr>
            <w:tcW w:w="0" w:type="auto"/>
            <w:vMerge w:val="continue"/>
            <w:tcBorders>
              <w:left w:val="nil"/>
              <w:right w:val="single" w:color="auto" w:sz="4" w:space="0"/>
            </w:tcBorders>
            <w:noWrap w:val="0"/>
            <w:vAlign w:val="center"/>
          </w:tcPr>
          <w:p>
            <w:pPr>
              <w:widowControl/>
              <w:jc w:val="left"/>
              <w:rPr>
                <w:rFonts w:hint="eastAsia" w:ascii="宋体" w:hAnsi="宋体" w:eastAsia="宋体" w:cs="宋体"/>
                <w:color w:val="000000"/>
                <w:kern w:val="0"/>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服务便利性(</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w:t>
            </w:r>
          </w:p>
        </w:tc>
        <w:tc>
          <w:tcPr>
            <w:tcW w:w="0" w:type="auto"/>
            <w:tcBorders>
              <w:top w:val="single" w:color="auto" w:sz="4" w:space="0"/>
              <w:left w:val="nil"/>
              <w:bottom w:val="single" w:color="auto" w:sz="4" w:space="0"/>
              <w:right w:val="single" w:color="auto" w:sz="4" w:space="0"/>
            </w:tcBorders>
            <w:noWrap w:val="0"/>
            <w:vAlign w:val="center"/>
          </w:tcPr>
          <w:p>
            <w:pPr>
              <w:pStyle w:val="14"/>
              <w:ind w:left="0" w:leftChars="0" w:firstLine="0" w:firstLineChars="0"/>
              <w:rPr>
                <w:rFonts w:hint="eastAsia" w:eastAsia="宋体"/>
                <w:sz w:val="24"/>
                <w:szCs w:val="24"/>
                <w:lang w:eastAsia="zh-CN"/>
              </w:rPr>
            </w:pPr>
            <w:r>
              <w:rPr>
                <w:rFonts w:hint="eastAsia"/>
                <w:sz w:val="24"/>
                <w:szCs w:val="24"/>
              </w:rPr>
              <w:t>投标人的售后技术服务方案，所提供的服务支撑能力（服务响应时间、售后机构服务人员、售后服务服务地点等）情况对比</w:t>
            </w:r>
            <w:r>
              <w:rPr>
                <w:rFonts w:hint="eastAsia" w:eastAsia="宋体"/>
                <w:sz w:val="24"/>
                <w:szCs w:val="24"/>
                <w:lang w:eastAsia="zh-CN"/>
              </w:rPr>
              <w:t>。</w:t>
            </w:r>
          </w:p>
          <w:p>
            <w:pPr>
              <w:pStyle w:val="14"/>
              <w:ind w:left="0" w:leftChars="0" w:firstLine="0" w:firstLineChars="0"/>
              <w:rPr>
                <w:rFonts w:hint="eastAsia" w:eastAsia="宋体"/>
                <w:sz w:val="24"/>
                <w:szCs w:val="24"/>
                <w:lang w:eastAsia="zh-CN"/>
              </w:rPr>
            </w:pPr>
            <w:r>
              <w:rPr>
                <w:rFonts w:hint="eastAsia"/>
                <w:sz w:val="24"/>
                <w:szCs w:val="24"/>
              </w:rPr>
              <w:t>综合评价为优得</w:t>
            </w:r>
            <w:r>
              <w:rPr>
                <w:rFonts w:hint="eastAsia" w:eastAsia="宋体"/>
                <w:sz w:val="24"/>
                <w:szCs w:val="24"/>
                <w:lang w:val="en-US" w:eastAsia="zh-CN"/>
              </w:rPr>
              <w:t>4-6</w:t>
            </w:r>
            <w:r>
              <w:rPr>
                <w:rFonts w:hint="eastAsia"/>
                <w:sz w:val="24"/>
                <w:szCs w:val="24"/>
              </w:rPr>
              <w:t>分</w:t>
            </w:r>
            <w:r>
              <w:rPr>
                <w:rFonts w:hint="eastAsia" w:eastAsia="宋体"/>
                <w:sz w:val="24"/>
                <w:szCs w:val="24"/>
                <w:lang w:eastAsia="zh-CN"/>
              </w:rPr>
              <w:t>；</w:t>
            </w:r>
          </w:p>
          <w:p>
            <w:pPr>
              <w:pStyle w:val="14"/>
              <w:ind w:left="0" w:leftChars="0" w:firstLine="0" w:firstLineChars="0"/>
              <w:rPr>
                <w:rFonts w:hint="eastAsia" w:eastAsia="宋体"/>
                <w:sz w:val="24"/>
                <w:szCs w:val="24"/>
                <w:lang w:eastAsia="zh-CN"/>
              </w:rPr>
            </w:pPr>
            <w:r>
              <w:rPr>
                <w:rFonts w:hint="eastAsia"/>
                <w:sz w:val="24"/>
                <w:szCs w:val="24"/>
              </w:rPr>
              <w:t xml:space="preserve">综合评价为良得 </w:t>
            </w:r>
            <w:r>
              <w:rPr>
                <w:rFonts w:hint="eastAsia" w:eastAsia="宋体"/>
                <w:sz w:val="24"/>
                <w:szCs w:val="24"/>
                <w:lang w:val="en-US" w:eastAsia="zh-CN"/>
              </w:rPr>
              <w:t>2-4</w:t>
            </w:r>
            <w:r>
              <w:rPr>
                <w:rFonts w:hint="eastAsia"/>
                <w:sz w:val="24"/>
                <w:szCs w:val="24"/>
              </w:rPr>
              <w:t>分</w:t>
            </w:r>
            <w:r>
              <w:rPr>
                <w:rFonts w:hint="eastAsia" w:eastAsia="宋体"/>
                <w:sz w:val="24"/>
                <w:szCs w:val="24"/>
                <w:lang w:eastAsia="zh-CN"/>
              </w:rPr>
              <w:t>；</w:t>
            </w:r>
          </w:p>
          <w:p>
            <w:pPr>
              <w:pStyle w:val="14"/>
              <w:ind w:left="0" w:leftChars="0" w:firstLine="0" w:firstLineChars="0"/>
              <w:rPr>
                <w:rFonts w:hint="eastAsia" w:eastAsia="宋体"/>
                <w:sz w:val="24"/>
                <w:szCs w:val="24"/>
                <w:lang w:eastAsia="zh-CN"/>
              </w:rPr>
            </w:pPr>
            <w:r>
              <w:rPr>
                <w:rFonts w:hint="eastAsia"/>
                <w:sz w:val="24"/>
                <w:szCs w:val="24"/>
              </w:rPr>
              <w:t xml:space="preserve">综合评价为差得 </w:t>
            </w:r>
            <w:r>
              <w:rPr>
                <w:rFonts w:hint="eastAsia" w:eastAsia="宋体"/>
                <w:sz w:val="24"/>
                <w:szCs w:val="24"/>
                <w:lang w:val="en-US" w:eastAsia="zh-CN"/>
              </w:rPr>
              <w:t>1-</w:t>
            </w:r>
            <w:r>
              <w:rPr>
                <w:rFonts w:hint="eastAsia"/>
                <w:sz w:val="24"/>
                <w:szCs w:val="24"/>
              </w:rPr>
              <w:t>2 分</w:t>
            </w:r>
            <w:r>
              <w:rPr>
                <w:rFonts w:hint="eastAsia" w:eastAsia="宋体"/>
                <w:sz w:val="24"/>
                <w:szCs w:val="24"/>
                <w:lang w:eastAsia="zh-CN"/>
              </w:rPr>
              <w:t>。</w:t>
            </w:r>
          </w:p>
        </w:tc>
        <w:tc>
          <w:tcPr>
            <w:tcW w:w="0" w:type="auto"/>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r>
      <w:tr>
        <w:tblPrEx>
          <w:tblCellMar>
            <w:top w:w="0" w:type="dxa"/>
            <w:left w:w="108" w:type="dxa"/>
            <w:bottom w:w="0" w:type="dxa"/>
            <w:right w:w="108" w:type="dxa"/>
          </w:tblCellMar>
        </w:tblPrEx>
        <w:trPr>
          <w:trHeight w:val="56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6</w:t>
            </w:r>
          </w:p>
        </w:tc>
        <w:tc>
          <w:tcPr>
            <w:tcW w:w="0" w:type="auto"/>
            <w:vMerge w:val="continue"/>
            <w:tcBorders>
              <w:left w:val="nil"/>
              <w:right w:val="single" w:color="auto" w:sz="4" w:space="0"/>
            </w:tcBorders>
            <w:noWrap w:val="0"/>
            <w:vAlign w:val="center"/>
          </w:tcPr>
          <w:p>
            <w:pPr>
              <w:widowControl/>
              <w:jc w:val="left"/>
              <w:rPr>
                <w:rFonts w:hint="eastAsia" w:ascii="宋体" w:hAnsi="宋体" w:eastAsia="宋体" w:cs="宋体"/>
                <w:color w:val="000000"/>
                <w:kern w:val="0"/>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技术培训（</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横向比较投标人的技术培训方案，根据其全面性、可行性、专业性综合打分0-3分。</w:t>
            </w:r>
          </w:p>
        </w:tc>
        <w:tc>
          <w:tcPr>
            <w:tcW w:w="0" w:type="auto"/>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r>
      <w:tr>
        <w:tblPrEx>
          <w:tblCellMar>
            <w:top w:w="0" w:type="dxa"/>
            <w:left w:w="108" w:type="dxa"/>
            <w:bottom w:w="0" w:type="dxa"/>
            <w:right w:w="108" w:type="dxa"/>
          </w:tblCellMar>
        </w:tblPrEx>
        <w:trPr>
          <w:trHeight w:val="59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7</w:t>
            </w:r>
          </w:p>
        </w:tc>
        <w:tc>
          <w:tcPr>
            <w:tcW w:w="0" w:type="auto"/>
            <w:vMerge w:val="continue"/>
            <w:tcBorders>
              <w:left w:val="nil"/>
              <w:right w:val="single" w:color="auto" w:sz="4" w:space="0"/>
            </w:tcBorders>
            <w:noWrap w:val="0"/>
            <w:vAlign w:val="center"/>
          </w:tcPr>
          <w:p>
            <w:pPr>
              <w:widowControl/>
              <w:jc w:val="left"/>
              <w:rPr>
                <w:rFonts w:hint="eastAsia" w:ascii="宋体" w:hAnsi="宋体" w:eastAsia="宋体" w:cs="宋体"/>
                <w:color w:val="000000"/>
                <w:kern w:val="0"/>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质保期（3分）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满足招标文件要求得1分，投标人承诺的</w:t>
            </w:r>
            <w:r>
              <w:rPr>
                <w:rFonts w:hint="eastAsia" w:ascii="宋体" w:hAnsi="宋体" w:eastAsia="宋体" w:cs="宋体"/>
                <w:color w:val="000000"/>
                <w:kern w:val="0"/>
                <w:sz w:val="24"/>
                <w:szCs w:val="24"/>
                <w:lang w:val="en-US" w:eastAsia="zh-CN"/>
              </w:rPr>
              <w:t>质保期</w:t>
            </w:r>
            <w:r>
              <w:rPr>
                <w:rFonts w:hint="eastAsia" w:ascii="宋体" w:hAnsi="宋体" w:eastAsia="宋体" w:cs="宋体"/>
                <w:color w:val="000000"/>
                <w:kern w:val="0"/>
                <w:sz w:val="24"/>
                <w:szCs w:val="24"/>
              </w:rPr>
              <w:t>，每优于招标文件要求</w:t>
            </w:r>
            <w:r>
              <w:rPr>
                <w:rFonts w:hint="eastAsia" w:ascii="宋体" w:hAnsi="宋体" w:eastAsia="宋体" w:cs="宋体"/>
                <w:color w:val="000000"/>
                <w:kern w:val="0"/>
                <w:sz w:val="24"/>
                <w:szCs w:val="24"/>
                <w:lang w:val="en-US" w:eastAsia="zh-CN"/>
              </w:rPr>
              <w:t>一年</w:t>
            </w:r>
            <w:r>
              <w:rPr>
                <w:rFonts w:hint="eastAsia" w:ascii="宋体" w:hAnsi="宋体" w:eastAsia="宋体" w:cs="宋体"/>
                <w:color w:val="000000"/>
                <w:kern w:val="0"/>
                <w:sz w:val="24"/>
                <w:szCs w:val="24"/>
              </w:rPr>
              <w:t>得1分，最高</w:t>
            </w:r>
            <w:r>
              <w:rPr>
                <w:rFonts w:hint="eastAsia" w:ascii="宋体" w:hAnsi="宋体" w:eastAsia="宋体" w:cs="宋体"/>
                <w:color w:val="000000"/>
                <w:kern w:val="0"/>
                <w:sz w:val="24"/>
                <w:szCs w:val="24"/>
                <w:lang w:val="en-US" w:eastAsia="zh-CN"/>
              </w:rPr>
              <w:t>得3</w:t>
            </w:r>
            <w:r>
              <w:rPr>
                <w:rFonts w:hint="eastAsia" w:ascii="宋体" w:hAnsi="宋体" w:eastAsia="宋体" w:cs="宋体"/>
                <w:color w:val="000000"/>
                <w:kern w:val="0"/>
                <w:sz w:val="24"/>
                <w:szCs w:val="24"/>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r>
      <w:tr>
        <w:tblPrEx>
          <w:tblCellMar>
            <w:top w:w="0" w:type="dxa"/>
            <w:left w:w="108" w:type="dxa"/>
            <w:bottom w:w="0" w:type="dxa"/>
            <w:right w:w="108" w:type="dxa"/>
          </w:tblCellMar>
        </w:tblPrEx>
        <w:trPr>
          <w:trHeight w:val="358" w:hRule="atLeast"/>
        </w:trPr>
        <w:tc>
          <w:tcPr>
            <w:tcW w:w="0" w:type="auto"/>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8</w:t>
            </w:r>
          </w:p>
        </w:tc>
        <w:tc>
          <w:tcPr>
            <w:tcW w:w="0" w:type="auto"/>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供货保证（</w:t>
            </w:r>
            <w:r>
              <w:rPr>
                <w:rFonts w:hint="eastAsia" w:ascii="宋体" w:hAnsi="宋体" w:eastAsia="宋体" w:cs="宋体"/>
                <w:color w:val="000000"/>
                <w:kern w:val="0"/>
                <w:sz w:val="24"/>
                <w:szCs w:val="24"/>
                <w:lang w:val="en-US" w:eastAsia="zh-CN"/>
              </w:rPr>
              <w:t>3分</w:t>
            </w:r>
            <w:r>
              <w:rPr>
                <w:rFonts w:hint="eastAsia" w:ascii="宋体" w:hAnsi="宋体" w:eastAsia="宋体" w:cs="宋体"/>
                <w:color w:val="000000"/>
                <w:kern w:val="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cs="Cambria Math"/>
                <w:color w:val="auto"/>
                <w:sz w:val="24"/>
              </w:rPr>
              <w:t>供货进度计划合理有序，得</w:t>
            </w:r>
            <w:r>
              <w:rPr>
                <w:rFonts w:hint="eastAsia" w:ascii="宋体" w:hAnsi="宋体" w:eastAsia="宋体" w:cs="Cambria Math"/>
                <w:color w:val="auto"/>
                <w:sz w:val="24"/>
                <w:lang w:val="en-US" w:eastAsia="zh-CN"/>
              </w:rPr>
              <w:t>3</w:t>
            </w:r>
            <w:r>
              <w:rPr>
                <w:rFonts w:hint="eastAsia" w:ascii="宋体" w:hAnsi="宋体" w:cs="Cambria Math"/>
                <w:color w:val="auto"/>
                <w:sz w:val="24"/>
              </w:rPr>
              <w:t>分；供货进度计划较合理，得2分；供货进度计划一般，得</w:t>
            </w:r>
            <w:r>
              <w:rPr>
                <w:rFonts w:hint="eastAsia" w:ascii="宋体" w:hAnsi="宋体" w:eastAsia="宋体" w:cs="Cambria Math"/>
                <w:color w:val="auto"/>
                <w:sz w:val="24"/>
                <w:lang w:val="en-US" w:eastAsia="zh-CN"/>
              </w:rPr>
              <w:t>1</w:t>
            </w:r>
            <w:r>
              <w:rPr>
                <w:rFonts w:hint="eastAsia" w:ascii="宋体" w:hAnsi="宋体" w:cs="Cambria Math"/>
                <w:color w:val="auto"/>
                <w:sz w:val="24"/>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r>
      <w:tr>
        <w:tblPrEx>
          <w:tblCellMar>
            <w:top w:w="0" w:type="dxa"/>
            <w:left w:w="108" w:type="dxa"/>
            <w:bottom w:w="0" w:type="dxa"/>
            <w:right w:w="108" w:type="dxa"/>
          </w:tblCellMar>
        </w:tblPrEx>
        <w:trPr>
          <w:trHeight w:val="358" w:hRule="atLeast"/>
        </w:trPr>
        <w:tc>
          <w:tcPr>
            <w:tcW w:w="0" w:type="auto"/>
            <w:vMerge w:val="continue"/>
            <w:tcBorders>
              <w:left w:val="single" w:color="auto" w:sz="4" w:space="0"/>
              <w:bottom w:val="single" w:color="auto" w:sz="4" w:space="0"/>
              <w:right w:val="single" w:color="auto" w:sz="4" w:space="0"/>
            </w:tcBorders>
            <w:noWrap w:val="0"/>
            <w:vAlign w:val="center"/>
          </w:tcPr>
          <w:p>
            <w:pPr>
              <w:widowControl/>
              <w:jc w:val="left"/>
              <w:rPr>
                <w:sz w:val="24"/>
                <w:szCs w:val="24"/>
              </w:rPr>
            </w:pPr>
          </w:p>
        </w:tc>
        <w:tc>
          <w:tcPr>
            <w:tcW w:w="0" w:type="auto"/>
            <w:vMerge w:val="continue"/>
            <w:tcBorders>
              <w:left w:val="nil"/>
              <w:bottom w:val="single" w:color="auto" w:sz="4" w:space="0"/>
              <w:right w:val="single" w:color="auto" w:sz="4" w:space="0"/>
            </w:tcBorders>
            <w:noWrap w:val="0"/>
            <w:vAlign w:val="center"/>
          </w:tcPr>
          <w:p>
            <w:pPr>
              <w:widowControl/>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响应程度（</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根据该项目招标文件对比所有投标人的响应程度：优于招标文件要求的得3分；满足招标文件要求的得2分；部分响应招标文件要求的不得分。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r>
      <w:bookmarkEnd w:id="129"/>
      <w:bookmarkEnd w:id="130"/>
      <w:bookmarkEnd w:id="131"/>
      <w:bookmarkEnd w:id="132"/>
    </w:tbl>
    <w:p>
      <w:pPr>
        <w:pStyle w:val="14"/>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4"/>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4"/>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4"/>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4"/>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4"/>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4"/>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4"/>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sectPr>
      <w:pgSz w:w="16850" w:h="11910" w:orient="landscape"/>
      <w:pgMar w:top="1440" w:right="1080" w:bottom="1440" w:left="1080" w:header="877" w:footer="1068"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BatangChe">
    <w:panose1 w:val="02030609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7422443"/>
    </w:sdtPr>
    <w:sdtContent>
      <w:p>
        <w:pPr>
          <w:pStyle w:val="24"/>
          <w:jc w:val="center"/>
        </w:pPr>
        <w:r>
          <w:fldChar w:fldCharType="begin"/>
        </w:r>
        <w:r>
          <w:instrText xml:space="preserve">PAGE   \* MERGEFORMAT</w:instrText>
        </w:r>
        <w:r>
          <w:fldChar w:fldCharType="separate"/>
        </w:r>
        <w:r>
          <w:t>56</w:t>
        </w:r>
        <w:r>
          <w:fldChar w:fldCharType="end"/>
        </w:r>
      </w:p>
    </w:sdtContent>
  </w:sdt>
  <w:p>
    <w:pPr>
      <w:pStyle w:val="14"/>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ind w:left="0"/>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774065</wp:posOffset>
              </wp:positionH>
              <wp:positionV relativeFrom="page">
                <wp:posOffset>705485</wp:posOffset>
              </wp:positionV>
              <wp:extent cx="6015355" cy="0"/>
              <wp:effectExtent l="0" t="0" r="0" b="0"/>
              <wp:wrapNone/>
              <wp:docPr id="64" name="Line 3"/>
              <wp:cNvGraphicFramePr/>
              <a:graphic xmlns:a="http://schemas.openxmlformats.org/drawingml/2006/main">
                <a:graphicData uri="http://schemas.microsoft.com/office/word/2010/wordprocessingShape">
                  <wps:wsp>
                    <wps:cNvCnPr>
                      <a:cxnSpLocks noChangeShapeType="1"/>
                    </wps:cNvCnPr>
                    <wps:spPr bwMode="auto">
                      <a:xfrm>
                        <a:off x="0" y="0"/>
                        <a:ext cx="6015355" cy="0"/>
                      </a:xfrm>
                      <a:prstGeom prst="line">
                        <a:avLst/>
                      </a:prstGeom>
                      <a:noFill/>
                      <a:ln w="9144">
                        <a:solidFill>
                          <a:srgbClr val="000000"/>
                        </a:solidFill>
                        <a:prstDash val="solid"/>
                        <a:round/>
                      </a:ln>
                      <a:effectLst/>
                    </wps:spPr>
                    <wps:bodyPr/>
                  </wps:wsp>
                </a:graphicData>
              </a:graphic>
            </wp:anchor>
          </w:drawing>
        </mc:Choice>
        <mc:Fallback>
          <w:pict>
            <v:line id="Line 3" o:spid="_x0000_s1026" o:spt="20" style="position:absolute;left:0pt;margin-left:60.95pt;margin-top:55.55pt;height:0pt;width:473.65pt;mso-position-horizontal-relative:page;mso-position-vertical-relative:page;z-index:-251657216;mso-width-relative:page;mso-height-relative:page;" filled="f" stroked="t" coordsize="21600,21600" o:gfxdata="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Xo4otUAAAAMAQAADwAAAAAAAAAB&#10;ACAAAAAiAAAAZHJzL2Rvd25yZXYueG1sUEsBAhQAFAAAAAgAh07iQEO+ykbaAQAAxwMAAA4AAAAA&#10;AAAAAQAgAAAAJAEAAGRycy9lMm9Eb2MueG1sUEsFBgAAAAAGAAYAWQEAAHAFA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779780</wp:posOffset>
              </wp:positionH>
              <wp:positionV relativeFrom="page">
                <wp:posOffset>544195</wp:posOffset>
              </wp:positionV>
              <wp:extent cx="2835275" cy="149225"/>
              <wp:effectExtent l="0" t="0" r="0" b="0"/>
              <wp:wrapNone/>
              <wp:docPr id="6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35275" cy="149225"/>
                      </a:xfrm>
                      <a:prstGeom prst="rect">
                        <a:avLst/>
                      </a:prstGeom>
                      <a:noFill/>
                      <a:ln>
                        <a:noFill/>
                      </a:ln>
                      <a:effectLst/>
                    </wps:spPr>
                    <wps:txbx>
                      <w:txbxContent>
                        <w:p>
                          <w:pPr>
                            <w:spacing w:line="235" w:lineRule="exact"/>
                            <w:ind w:left="20"/>
                            <w:rPr>
                              <w:rFonts w:hint="eastAsia" w:eastAsiaTheme="minorEastAsia"/>
                              <w:i/>
                              <w:sz w:val="18"/>
                              <w:lang w:eastAsia="zh-CN"/>
                            </w:rPr>
                          </w:pPr>
                          <w:r>
                            <w:rPr>
                              <w:rFonts w:hint="eastAsia" w:ascii="Times New Roman" w:eastAsiaTheme="minorEastAsia"/>
                              <w:i/>
                              <w:sz w:val="18"/>
                              <w:lang w:eastAsia="zh-CN"/>
                            </w:rPr>
                            <w:t>新疆永信国金工程管理咨询有限公司</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61.4pt;margin-top:42.85pt;height:11.75pt;width:223.25pt;mso-position-horizontal-relative:page;mso-position-vertical-relative:page;z-index:-251656192;mso-width-relative:page;mso-height-relative:page;" filled="f" stroked="f" coordsize="21600,21600" o:gfxdata="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tCDK2AAAAAoBAAAPAAAAAAAAAAEAIAAAACIAAABkcnMv&#10;ZG93bnJldi54bWxQSwECFAAUAAAACACHTuJALK/8kAMCAAATBAAADgAAAAAAAAABACAAAAAnAQAA&#10;ZHJzL2Uyb0RvYy54bWxQSwUGAAAAAAYABgBZAQAAnAUAAAAA&#10;">
              <v:fill on="f" focussize="0,0"/>
              <v:stroke on="f"/>
              <v:imagedata o:title=""/>
              <o:lock v:ext="edit" aspectratio="f"/>
              <v:textbox inset="0mm,0mm,0mm,0mm">
                <w:txbxContent>
                  <w:p>
                    <w:pPr>
                      <w:spacing w:line="235" w:lineRule="exact"/>
                      <w:ind w:left="20"/>
                      <w:rPr>
                        <w:rFonts w:hint="eastAsia" w:eastAsiaTheme="minorEastAsia"/>
                        <w:i/>
                        <w:sz w:val="18"/>
                        <w:lang w:eastAsia="zh-CN"/>
                      </w:rPr>
                    </w:pPr>
                    <w:r>
                      <w:rPr>
                        <w:rFonts w:hint="eastAsia" w:ascii="Times New Roman" w:eastAsiaTheme="minorEastAsia"/>
                        <w:i/>
                        <w:sz w:val="18"/>
                        <w:lang w:eastAsia="zh-CN"/>
                      </w:rPr>
                      <w:t>新疆永信国金工程管理咨询有限公司</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C6470"/>
    <w:multiLevelType w:val="singleLevel"/>
    <w:tmpl w:val="95FC6470"/>
    <w:lvl w:ilvl="0" w:tentative="0">
      <w:start w:val="1"/>
      <w:numFmt w:val="decimal"/>
      <w:suff w:val="nothing"/>
      <w:lvlText w:val="%1、"/>
      <w:lvlJc w:val="left"/>
    </w:lvl>
  </w:abstractNum>
  <w:abstractNum w:abstractNumId="1">
    <w:nsid w:val="01472624"/>
    <w:multiLevelType w:val="multilevel"/>
    <w:tmpl w:val="01472624"/>
    <w:lvl w:ilvl="0" w:tentative="0">
      <w:start w:val="28"/>
      <w:numFmt w:val="decimal"/>
      <w:lvlText w:val="%1"/>
      <w:lvlJc w:val="left"/>
      <w:pPr>
        <w:ind w:left="528" w:hanging="531"/>
      </w:pPr>
      <w:rPr>
        <w:rFonts w:hint="default"/>
        <w:lang w:val="zh-CN" w:eastAsia="zh-CN" w:bidi="zh-CN"/>
      </w:rPr>
    </w:lvl>
    <w:lvl w:ilvl="1" w:tentative="0">
      <w:start w:val="1"/>
      <w:numFmt w:val="none"/>
      <w:lvlText w:val="30.7"/>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2">
    <w:nsid w:val="01B22FF8"/>
    <w:multiLevelType w:val="multilevel"/>
    <w:tmpl w:val="01B22FF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7"/>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3">
    <w:nsid w:val="03370B84"/>
    <w:multiLevelType w:val="multilevel"/>
    <w:tmpl w:val="03370B84"/>
    <w:lvl w:ilvl="0" w:tentative="0">
      <w:start w:val="28"/>
      <w:numFmt w:val="decimal"/>
      <w:lvlText w:val="%1"/>
      <w:lvlJc w:val="left"/>
      <w:pPr>
        <w:ind w:left="528" w:hanging="531"/>
      </w:pPr>
      <w:rPr>
        <w:rFonts w:hint="default"/>
        <w:lang w:val="zh-CN" w:eastAsia="zh-CN" w:bidi="zh-CN"/>
      </w:rPr>
    </w:lvl>
    <w:lvl w:ilvl="1" w:tentative="0">
      <w:start w:val="1"/>
      <w:numFmt w:val="none"/>
      <w:lvlText w:val="30.8.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4">
    <w:nsid w:val="062F6F25"/>
    <w:multiLevelType w:val="multilevel"/>
    <w:tmpl w:val="062F6F2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5">
    <w:nsid w:val="06F16F3A"/>
    <w:multiLevelType w:val="multilevel"/>
    <w:tmpl w:val="06F16F3A"/>
    <w:lvl w:ilvl="0" w:tentative="0">
      <w:start w:val="34"/>
      <w:numFmt w:val="decimal"/>
      <w:lvlText w:val="%1"/>
      <w:lvlJc w:val="left"/>
      <w:pPr>
        <w:ind w:left="528" w:hanging="531"/>
      </w:pPr>
      <w:rPr>
        <w:rFonts w:hint="default"/>
        <w:lang w:val="zh-CN" w:eastAsia="zh-CN" w:bidi="zh-CN"/>
      </w:rPr>
    </w:lvl>
    <w:lvl w:ilvl="1" w:tentative="0">
      <w:start w:val="1"/>
      <w:numFmt w:val="none"/>
      <w:lvlText w:val="38"/>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6">
    <w:nsid w:val="07D53A18"/>
    <w:multiLevelType w:val="multilevel"/>
    <w:tmpl w:val="07D53A18"/>
    <w:lvl w:ilvl="0" w:tentative="0">
      <w:start w:val="6"/>
      <w:numFmt w:val="decimal"/>
      <w:lvlText w:val="%1"/>
      <w:lvlJc w:val="left"/>
      <w:pPr>
        <w:ind w:left="528" w:hanging="375"/>
      </w:pPr>
      <w:rPr>
        <w:rFonts w:hint="default"/>
        <w:lang w:val="zh-CN" w:eastAsia="zh-CN" w:bidi="zh-CN"/>
      </w:rPr>
    </w:lvl>
    <w:lvl w:ilvl="1" w:tentative="0">
      <w:start w:val="1"/>
      <w:numFmt w:val="none"/>
      <w:lvlText w:val="7.3.2"/>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7">
    <w:nsid w:val="083D4B31"/>
    <w:multiLevelType w:val="multilevel"/>
    <w:tmpl w:val="083D4B31"/>
    <w:lvl w:ilvl="0" w:tentative="0">
      <w:start w:val="8"/>
      <w:numFmt w:val="decimal"/>
      <w:lvlText w:val="%1"/>
      <w:lvlJc w:val="left"/>
      <w:pPr>
        <w:ind w:left="1259" w:hanging="375"/>
      </w:pPr>
      <w:rPr>
        <w:rFonts w:hint="default"/>
        <w:lang w:val="zh-CN" w:eastAsia="zh-CN" w:bidi="zh-CN"/>
      </w:rPr>
    </w:lvl>
    <w:lvl w:ilvl="1" w:tentative="0">
      <w:start w:val="1"/>
      <w:numFmt w:val="decimal"/>
      <w:lvlText w:val="%1.%2"/>
      <w:lvlJc w:val="left"/>
      <w:pPr>
        <w:ind w:left="1259" w:hanging="375"/>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3384" w:hanging="375"/>
      </w:pPr>
      <w:rPr>
        <w:rFonts w:hint="default"/>
        <w:lang w:val="zh-CN" w:eastAsia="zh-CN" w:bidi="zh-CN"/>
      </w:rPr>
    </w:lvl>
    <w:lvl w:ilvl="3" w:tentative="0">
      <w:start w:val="0"/>
      <w:numFmt w:val="bullet"/>
      <w:lvlText w:val="•"/>
      <w:lvlJc w:val="left"/>
      <w:pPr>
        <w:ind w:left="4450" w:hanging="375"/>
      </w:pPr>
      <w:rPr>
        <w:rFonts w:hint="default"/>
        <w:lang w:val="zh-CN" w:eastAsia="zh-CN" w:bidi="zh-CN"/>
      </w:rPr>
    </w:lvl>
    <w:lvl w:ilvl="4" w:tentative="0">
      <w:start w:val="0"/>
      <w:numFmt w:val="bullet"/>
      <w:lvlText w:val="•"/>
      <w:lvlJc w:val="left"/>
      <w:pPr>
        <w:ind w:left="5517" w:hanging="375"/>
      </w:pPr>
      <w:rPr>
        <w:rFonts w:hint="default"/>
        <w:lang w:val="zh-CN" w:eastAsia="zh-CN" w:bidi="zh-CN"/>
      </w:rPr>
    </w:lvl>
    <w:lvl w:ilvl="5" w:tentative="0">
      <w:start w:val="0"/>
      <w:numFmt w:val="bullet"/>
      <w:lvlText w:val="•"/>
      <w:lvlJc w:val="left"/>
      <w:pPr>
        <w:ind w:left="6584" w:hanging="375"/>
      </w:pPr>
      <w:rPr>
        <w:rFonts w:hint="default"/>
        <w:lang w:val="zh-CN" w:eastAsia="zh-CN" w:bidi="zh-CN"/>
      </w:rPr>
    </w:lvl>
    <w:lvl w:ilvl="6" w:tentative="0">
      <w:start w:val="0"/>
      <w:numFmt w:val="bullet"/>
      <w:lvlText w:val="•"/>
      <w:lvlJc w:val="left"/>
      <w:pPr>
        <w:ind w:left="7650" w:hanging="375"/>
      </w:pPr>
      <w:rPr>
        <w:rFonts w:hint="default"/>
        <w:lang w:val="zh-CN" w:eastAsia="zh-CN" w:bidi="zh-CN"/>
      </w:rPr>
    </w:lvl>
    <w:lvl w:ilvl="7" w:tentative="0">
      <w:start w:val="0"/>
      <w:numFmt w:val="bullet"/>
      <w:lvlText w:val="•"/>
      <w:lvlJc w:val="left"/>
      <w:pPr>
        <w:ind w:left="8717" w:hanging="375"/>
      </w:pPr>
      <w:rPr>
        <w:rFonts w:hint="default"/>
        <w:lang w:val="zh-CN" w:eastAsia="zh-CN" w:bidi="zh-CN"/>
      </w:rPr>
    </w:lvl>
    <w:lvl w:ilvl="8" w:tentative="0">
      <w:start w:val="0"/>
      <w:numFmt w:val="bullet"/>
      <w:lvlText w:val="•"/>
      <w:lvlJc w:val="left"/>
      <w:pPr>
        <w:ind w:left="9784" w:hanging="375"/>
      </w:pPr>
      <w:rPr>
        <w:rFonts w:hint="default"/>
        <w:lang w:val="zh-CN" w:eastAsia="zh-CN" w:bidi="zh-CN"/>
      </w:rPr>
    </w:lvl>
  </w:abstractNum>
  <w:abstractNum w:abstractNumId="8">
    <w:nsid w:val="084B5FDC"/>
    <w:multiLevelType w:val="multilevel"/>
    <w:tmpl w:val="084B5FDC"/>
    <w:lvl w:ilvl="0" w:tentative="0">
      <w:start w:val="23"/>
      <w:numFmt w:val="decimal"/>
      <w:lvlText w:val="%1"/>
      <w:lvlJc w:val="left"/>
      <w:pPr>
        <w:ind w:left="528" w:hanging="507"/>
      </w:pPr>
      <w:rPr>
        <w:rFonts w:hint="default"/>
        <w:lang w:val="zh-CN" w:eastAsia="zh-CN" w:bidi="zh-CN"/>
      </w:rPr>
    </w:lvl>
    <w:lvl w:ilvl="1" w:tentative="0">
      <w:start w:val="1"/>
      <w:numFmt w:val="none"/>
      <w:lvlText w:val="23"/>
      <w:lvlJc w:val="left"/>
      <w:pPr>
        <w:ind w:left="1925"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
    <w:nsid w:val="08874946"/>
    <w:multiLevelType w:val="multilevel"/>
    <w:tmpl w:val="08874946"/>
    <w:lvl w:ilvl="0" w:tentative="0">
      <w:start w:val="17"/>
      <w:numFmt w:val="decimal"/>
      <w:lvlText w:val="%1"/>
      <w:lvlJc w:val="left"/>
      <w:pPr>
        <w:ind w:left="528" w:hanging="531"/>
      </w:pPr>
      <w:rPr>
        <w:rFonts w:hint="default"/>
        <w:lang w:val="zh-CN" w:eastAsia="zh-CN" w:bidi="zh-CN"/>
      </w:rPr>
    </w:lvl>
    <w:lvl w:ilvl="1" w:tentative="0">
      <w:start w:val="1"/>
      <w:numFmt w:val="none"/>
      <w:lvlText w:val="17.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0">
    <w:nsid w:val="090E07B1"/>
    <w:multiLevelType w:val="multilevel"/>
    <w:tmpl w:val="090E07B1"/>
    <w:lvl w:ilvl="0" w:tentative="0">
      <w:start w:val="30"/>
      <w:numFmt w:val="decimal"/>
      <w:lvlText w:val="%1"/>
      <w:lvlJc w:val="left"/>
      <w:pPr>
        <w:ind w:left="528" w:hanging="543"/>
      </w:pPr>
      <w:rPr>
        <w:rFonts w:hint="default"/>
        <w:lang w:val="zh-CN" w:eastAsia="zh-CN" w:bidi="zh-CN"/>
      </w:rPr>
    </w:lvl>
    <w:lvl w:ilvl="1" w:tentative="0">
      <w:start w:val="1"/>
      <w:numFmt w:val="none"/>
      <w:lvlText w:val="33.1"/>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1">
    <w:nsid w:val="09BF152C"/>
    <w:multiLevelType w:val="multilevel"/>
    <w:tmpl w:val="09BF152C"/>
    <w:lvl w:ilvl="0" w:tentative="0">
      <w:start w:val="28"/>
      <w:numFmt w:val="decimal"/>
      <w:lvlText w:val="%1"/>
      <w:lvlJc w:val="left"/>
      <w:pPr>
        <w:ind w:left="528" w:hanging="531"/>
      </w:pPr>
      <w:rPr>
        <w:rFonts w:hint="default"/>
        <w:lang w:val="zh-CN" w:eastAsia="zh-CN" w:bidi="zh-CN"/>
      </w:rPr>
    </w:lvl>
    <w:lvl w:ilvl="1" w:tentative="0">
      <w:start w:val="1"/>
      <w:numFmt w:val="none"/>
      <w:lvlText w:val="3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2">
    <w:nsid w:val="09DE4003"/>
    <w:multiLevelType w:val="multilevel"/>
    <w:tmpl w:val="09DE4003"/>
    <w:lvl w:ilvl="0" w:tentative="0">
      <w:start w:val="28"/>
      <w:numFmt w:val="decimal"/>
      <w:lvlText w:val="%1"/>
      <w:lvlJc w:val="left"/>
      <w:pPr>
        <w:ind w:left="528" w:hanging="531"/>
      </w:pPr>
      <w:rPr>
        <w:rFonts w:hint="default"/>
        <w:lang w:val="zh-CN" w:eastAsia="zh-CN" w:bidi="zh-CN"/>
      </w:rPr>
    </w:lvl>
    <w:lvl w:ilvl="1" w:tentative="0">
      <w:start w:val="1"/>
      <w:numFmt w:val="none"/>
      <w:lvlText w:val="30.5"/>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3">
    <w:nsid w:val="0AB3175D"/>
    <w:multiLevelType w:val="multilevel"/>
    <w:tmpl w:val="0AB3175D"/>
    <w:lvl w:ilvl="0" w:tentative="0">
      <w:start w:val="25"/>
      <w:numFmt w:val="decimal"/>
      <w:lvlText w:val="%1"/>
      <w:lvlJc w:val="left"/>
      <w:pPr>
        <w:ind w:left="1514" w:hanging="507"/>
      </w:pPr>
      <w:rPr>
        <w:rFonts w:hint="default"/>
        <w:lang w:val="zh-CN" w:eastAsia="zh-CN" w:bidi="zh-CN"/>
      </w:rPr>
    </w:lvl>
    <w:lvl w:ilvl="1" w:tentative="0">
      <w:start w:val="2"/>
      <w:numFmt w:val="decimal"/>
      <w:lvlText w:val="24.%2"/>
      <w:lvlJc w:val="left"/>
      <w:pPr>
        <w:ind w:left="1514" w:hanging="507"/>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4">
    <w:nsid w:val="0BC1130D"/>
    <w:multiLevelType w:val="multilevel"/>
    <w:tmpl w:val="0BC1130D"/>
    <w:lvl w:ilvl="0" w:tentative="0">
      <w:start w:val="34"/>
      <w:numFmt w:val="decimal"/>
      <w:lvlText w:val="%1"/>
      <w:lvlJc w:val="left"/>
      <w:pPr>
        <w:ind w:left="528" w:hanging="531"/>
      </w:pPr>
      <w:rPr>
        <w:rFonts w:hint="default"/>
        <w:lang w:val="zh-CN" w:eastAsia="zh-CN" w:bidi="zh-CN"/>
      </w:rPr>
    </w:lvl>
    <w:lvl w:ilvl="1" w:tentative="0">
      <w:start w:val="1"/>
      <w:numFmt w:val="none"/>
      <w:lvlText w:val="36.6"/>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5">
    <w:nsid w:val="0DE962E4"/>
    <w:multiLevelType w:val="multilevel"/>
    <w:tmpl w:val="0DE962E4"/>
    <w:lvl w:ilvl="0" w:tentative="0">
      <w:start w:val="34"/>
      <w:numFmt w:val="decimal"/>
      <w:lvlText w:val="%1"/>
      <w:lvlJc w:val="left"/>
      <w:pPr>
        <w:ind w:left="528" w:hanging="531"/>
      </w:pPr>
      <w:rPr>
        <w:rFonts w:hint="default"/>
        <w:lang w:val="zh-CN" w:eastAsia="zh-CN" w:bidi="zh-CN"/>
      </w:rPr>
    </w:lvl>
    <w:lvl w:ilvl="1" w:tentative="0">
      <w:start w:val="1"/>
      <w:numFmt w:val="none"/>
      <w:lvlText w:val="36.5.3"/>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6">
    <w:nsid w:val="0DFB121F"/>
    <w:multiLevelType w:val="multilevel"/>
    <w:tmpl w:val="0DFB121F"/>
    <w:lvl w:ilvl="0" w:tentative="0">
      <w:start w:val="14"/>
      <w:numFmt w:val="decimal"/>
      <w:lvlText w:val="%1"/>
      <w:lvlJc w:val="left"/>
      <w:pPr>
        <w:ind w:left="1514" w:hanging="507"/>
      </w:pPr>
      <w:rPr>
        <w:rFonts w:hint="default"/>
        <w:lang w:val="zh-CN" w:eastAsia="zh-CN" w:bidi="zh-CN"/>
      </w:rPr>
    </w:lvl>
    <w:lvl w:ilvl="1" w:tentative="0">
      <w:start w:val="1"/>
      <w:numFmt w:val="none"/>
      <w:lvlText w:val="15.6"/>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7">
    <w:nsid w:val="0E2F42D9"/>
    <w:multiLevelType w:val="multilevel"/>
    <w:tmpl w:val="0E2F42D9"/>
    <w:lvl w:ilvl="0" w:tentative="0">
      <w:start w:val="28"/>
      <w:numFmt w:val="decimal"/>
      <w:lvlText w:val="%1"/>
      <w:lvlJc w:val="left"/>
      <w:pPr>
        <w:ind w:left="528" w:hanging="531"/>
      </w:pPr>
      <w:rPr>
        <w:rFonts w:hint="default"/>
        <w:lang w:val="zh-CN" w:eastAsia="zh-CN" w:bidi="zh-CN"/>
      </w:rPr>
    </w:lvl>
    <w:lvl w:ilvl="1" w:tentative="0">
      <w:start w:val="1"/>
      <w:numFmt w:val="none"/>
      <w:lvlText w:val="30.8"/>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8">
    <w:nsid w:val="0E3B1D3C"/>
    <w:multiLevelType w:val="multilevel"/>
    <w:tmpl w:val="0E3B1D3C"/>
    <w:lvl w:ilvl="0" w:tentative="0">
      <w:start w:val="24"/>
      <w:numFmt w:val="decimal"/>
      <w:lvlText w:val="%1"/>
      <w:lvlJc w:val="left"/>
      <w:pPr>
        <w:ind w:left="528" w:hanging="531"/>
      </w:pPr>
      <w:rPr>
        <w:rFonts w:hint="default"/>
        <w:lang w:val="zh-CN" w:eastAsia="zh-CN" w:bidi="zh-CN"/>
      </w:rPr>
    </w:lvl>
    <w:lvl w:ilvl="1" w:tentative="0">
      <w:start w:val="1"/>
      <w:numFmt w:val="none"/>
      <w:lvlText w:val="2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719" w:hanging="689"/>
      </w:pPr>
      <w:rPr>
        <w:rFonts w:hint="default"/>
        <w:lang w:val="zh-CN" w:eastAsia="zh-CN" w:bidi="zh-CN"/>
      </w:rPr>
    </w:lvl>
    <w:lvl w:ilvl="4" w:tentative="0">
      <w:start w:val="0"/>
      <w:numFmt w:val="bullet"/>
      <w:lvlText w:val="•"/>
      <w:lvlJc w:val="left"/>
      <w:pPr>
        <w:ind w:left="4786" w:hanging="689"/>
      </w:pPr>
      <w:rPr>
        <w:rFonts w:hint="default"/>
        <w:lang w:val="zh-CN" w:eastAsia="zh-CN" w:bidi="zh-CN"/>
      </w:rPr>
    </w:lvl>
    <w:lvl w:ilvl="5" w:tentative="0">
      <w:start w:val="0"/>
      <w:numFmt w:val="bullet"/>
      <w:lvlText w:val="•"/>
      <w:lvlJc w:val="left"/>
      <w:pPr>
        <w:ind w:left="5853" w:hanging="689"/>
      </w:pPr>
      <w:rPr>
        <w:rFonts w:hint="default"/>
        <w:lang w:val="zh-CN" w:eastAsia="zh-CN" w:bidi="zh-CN"/>
      </w:rPr>
    </w:lvl>
    <w:lvl w:ilvl="6" w:tentative="0">
      <w:start w:val="0"/>
      <w:numFmt w:val="bullet"/>
      <w:lvlText w:val="•"/>
      <w:lvlJc w:val="left"/>
      <w:pPr>
        <w:ind w:left="6919" w:hanging="689"/>
      </w:pPr>
      <w:rPr>
        <w:rFonts w:hint="default"/>
        <w:lang w:val="zh-CN" w:eastAsia="zh-CN" w:bidi="zh-CN"/>
      </w:rPr>
    </w:lvl>
    <w:lvl w:ilvl="7" w:tentative="0">
      <w:start w:val="0"/>
      <w:numFmt w:val="bullet"/>
      <w:lvlText w:val="•"/>
      <w:lvlJc w:val="left"/>
      <w:pPr>
        <w:ind w:left="7986" w:hanging="689"/>
      </w:pPr>
      <w:rPr>
        <w:rFonts w:hint="default"/>
        <w:lang w:val="zh-CN" w:eastAsia="zh-CN" w:bidi="zh-CN"/>
      </w:rPr>
    </w:lvl>
    <w:lvl w:ilvl="8" w:tentative="0">
      <w:start w:val="0"/>
      <w:numFmt w:val="bullet"/>
      <w:lvlText w:val="•"/>
      <w:lvlJc w:val="left"/>
      <w:pPr>
        <w:ind w:left="9053" w:hanging="689"/>
      </w:pPr>
      <w:rPr>
        <w:rFonts w:hint="default"/>
        <w:lang w:val="zh-CN" w:eastAsia="zh-CN" w:bidi="zh-CN"/>
      </w:rPr>
    </w:lvl>
  </w:abstractNum>
  <w:abstractNum w:abstractNumId="19">
    <w:nsid w:val="1064704A"/>
    <w:multiLevelType w:val="multilevel"/>
    <w:tmpl w:val="1064704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0">
    <w:nsid w:val="10B63CEF"/>
    <w:multiLevelType w:val="multilevel"/>
    <w:tmpl w:val="10B63CEF"/>
    <w:lvl w:ilvl="0" w:tentative="0">
      <w:start w:val="30"/>
      <w:numFmt w:val="decimal"/>
      <w:lvlText w:val="%1"/>
      <w:lvlJc w:val="left"/>
      <w:pPr>
        <w:ind w:left="528" w:hanging="543"/>
      </w:pPr>
      <w:rPr>
        <w:rFonts w:hint="default"/>
        <w:lang w:val="zh-CN" w:eastAsia="zh-CN" w:bidi="zh-CN"/>
      </w:rPr>
    </w:lvl>
    <w:lvl w:ilvl="1" w:tentative="0">
      <w:start w:val="1"/>
      <w:numFmt w:val="none"/>
      <w:lvlText w:val="32.2"/>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21">
    <w:nsid w:val="115219E0"/>
    <w:multiLevelType w:val="multilevel"/>
    <w:tmpl w:val="115219E0"/>
    <w:lvl w:ilvl="0" w:tentative="0">
      <w:start w:val="18"/>
      <w:numFmt w:val="decimal"/>
      <w:lvlText w:val="%1"/>
      <w:lvlJc w:val="left"/>
      <w:pPr>
        <w:ind w:left="528" w:hanging="507"/>
      </w:pPr>
      <w:rPr>
        <w:rFonts w:hint="default"/>
        <w:lang w:val="zh-CN" w:eastAsia="zh-CN" w:bidi="zh-CN"/>
      </w:rPr>
    </w:lvl>
    <w:lvl w:ilvl="1" w:tentative="0">
      <w:start w:val="1"/>
      <w:numFmt w:val="none"/>
      <w:lvlText w:val="19.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2">
    <w:nsid w:val="11D142B9"/>
    <w:multiLevelType w:val="multilevel"/>
    <w:tmpl w:val="11D142B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3">
    <w:nsid w:val="12C12480"/>
    <w:multiLevelType w:val="multilevel"/>
    <w:tmpl w:val="12C12480"/>
    <w:lvl w:ilvl="0" w:tentative="0">
      <w:start w:val="28"/>
      <w:numFmt w:val="decimal"/>
      <w:lvlText w:val="%1"/>
      <w:lvlJc w:val="left"/>
      <w:pPr>
        <w:ind w:left="528" w:hanging="531"/>
      </w:pPr>
      <w:rPr>
        <w:rFonts w:hint="default"/>
        <w:lang w:val="zh-CN" w:eastAsia="zh-CN" w:bidi="zh-CN"/>
      </w:rPr>
    </w:lvl>
    <w:lvl w:ilvl="1" w:tentative="0">
      <w:start w:val="1"/>
      <w:numFmt w:val="none"/>
      <w:lvlText w:val="31.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24">
    <w:nsid w:val="135B4071"/>
    <w:multiLevelType w:val="multilevel"/>
    <w:tmpl w:val="135B4071"/>
    <w:lvl w:ilvl="0" w:tentative="0">
      <w:start w:val="18"/>
      <w:numFmt w:val="decimal"/>
      <w:lvlText w:val="%1"/>
      <w:lvlJc w:val="left"/>
      <w:pPr>
        <w:ind w:left="528" w:hanging="507"/>
      </w:pPr>
      <w:rPr>
        <w:rFonts w:hint="default"/>
        <w:lang w:val="zh-CN" w:eastAsia="zh-CN" w:bidi="zh-CN"/>
      </w:rPr>
    </w:lvl>
    <w:lvl w:ilvl="1" w:tentative="0">
      <w:start w:val="1"/>
      <w:numFmt w:val="none"/>
      <w:lvlText w:val="19.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5">
    <w:nsid w:val="13DB6558"/>
    <w:multiLevelType w:val="multilevel"/>
    <w:tmpl w:val="13DB655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6">
    <w:nsid w:val="14187EE0"/>
    <w:multiLevelType w:val="multilevel"/>
    <w:tmpl w:val="14187EE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8"/>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7">
    <w:nsid w:val="16904410"/>
    <w:multiLevelType w:val="multilevel"/>
    <w:tmpl w:val="169044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8">
    <w:nsid w:val="16B7188D"/>
    <w:multiLevelType w:val="multilevel"/>
    <w:tmpl w:val="16B7188D"/>
    <w:lvl w:ilvl="0" w:tentative="0">
      <w:start w:val="33"/>
      <w:numFmt w:val="decimal"/>
      <w:lvlText w:val="%1"/>
      <w:lvlJc w:val="left"/>
      <w:pPr>
        <w:ind w:left="1505" w:hanging="507"/>
      </w:pPr>
      <w:rPr>
        <w:rFonts w:hint="default"/>
        <w:lang w:val="zh-CN" w:eastAsia="zh-CN" w:bidi="zh-CN"/>
      </w:rPr>
    </w:lvl>
    <w:lvl w:ilvl="1" w:tentative="0">
      <w:start w:val="1"/>
      <w:numFmt w:val="none"/>
      <w:lvlText w:val="36"/>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29">
    <w:nsid w:val="16DB787C"/>
    <w:multiLevelType w:val="multilevel"/>
    <w:tmpl w:val="16DB787C"/>
    <w:lvl w:ilvl="0" w:tentative="0">
      <w:start w:val="28"/>
      <w:numFmt w:val="decimal"/>
      <w:lvlText w:val="%1"/>
      <w:lvlJc w:val="left"/>
      <w:pPr>
        <w:ind w:left="528" w:hanging="531"/>
      </w:pPr>
      <w:rPr>
        <w:rFonts w:hint="default"/>
        <w:lang w:val="zh-CN" w:eastAsia="zh-CN" w:bidi="zh-CN"/>
      </w:rPr>
    </w:lvl>
    <w:lvl w:ilvl="1" w:tentative="0">
      <w:start w:val="1"/>
      <w:numFmt w:val="none"/>
      <w:lvlText w:val="30.9.9"/>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30">
    <w:nsid w:val="17206139"/>
    <w:multiLevelType w:val="multilevel"/>
    <w:tmpl w:val="17206139"/>
    <w:lvl w:ilvl="0" w:tentative="0">
      <w:start w:val="18"/>
      <w:numFmt w:val="decimal"/>
      <w:lvlText w:val="%1"/>
      <w:lvlJc w:val="left"/>
      <w:pPr>
        <w:ind w:left="528" w:hanging="507"/>
      </w:pPr>
      <w:rPr>
        <w:rFonts w:hint="default"/>
        <w:lang w:val="zh-CN" w:eastAsia="zh-CN" w:bidi="zh-CN"/>
      </w:rPr>
    </w:lvl>
    <w:lvl w:ilvl="1" w:tentative="0">
      <w:start w:val="1"/>
      <w:numFmt w:val="none"/>
      <w:lvlText w:val="20.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1">
    <w:nsid w:val="185E7E63"/>
    <w:multiLevelType w:val="multilevel"/>
    <w:tmpl w:val="185E7E63"/>
    <w:lvl w:ilvl="0" w:tentative="0">
      <w:start w:val="16"/>
      <w:numFmt w:val="decimal"/>
      <w:lvlText w:val="%1.1.1"/>
      <w:lvlJc w:val="left"/>
      <w:pPr>
        <w:ind w:left="528" w:hanging="531"/>
      </w:pPr>
      <w:rPr>
        <w:rFonts w:hint="default"/>
        <w:lang w:val="zh-CN" w:eastAsia="zh-CN" w:bidi="zh-CN"/>
      </w:rPr>
    </w:lvl>
    <w:lvl w:ilvl="1" w:tentative="0">
      <w:start w:val="1"/>
      <w:numFmt w:val="none"/>
      <w:lvlText w:val="%1.2.4"/>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32">
    <w:nsid w:val="186C1DE2"/>
    <w:multiLevelType w:val="multilevel"/>
    <w:tmpl w:val="186C1DE2"/>
    <w:lvl w:ilvl="0" w:tentative="0">
      <w:start w:val="34"/>
      <w:numFmt w:val="decimal"/>
      <w:lvlText w:val="%1"/>
      <w:lvlJc w:val="left"/>
      <w:pPr>
        <w:ind w:left="528" w:hanging="531"/>
      </w:pPr>
      <w:rPr>
        <w:rFonts w:hint="default"/>
        <w:lang w:val="zh-CN" w:eastAsia="zh-CN" w:bidi="zh-CN"/>
      </w:rPr>
    </w:lvl>
    <w:lvl w:ilvl="1" w:tentative="0">
      <w:start w:val="1"/>
      <w:numFmt w:val="none"/>
      <w:lvlText w:val="36.9.3"/>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3">
    <w:nsid w:val="18890540"/>
    <w:multiLevelType w:val="multilevel"/>
    <w:tmpl w:val="18890540"/>
    <w:lvl w:ilvl="0" w:tentative="0">
      <w:start w:val="18"/>
      <w:numFmt w:val="decimal"/>
      <w:lvlText w:val="%1"/>
      <w:lvlJc w:val="left"/>
      <w:pPr>
        <w:ind w:left="528" w:hanging="507"/>
      </w:pPr>
      <w:rPr>
        <w:rFonts w:hint="default"/>
        <w:lang w:val="zh-CN" w:eastAsia="zh-CN" w:bidi="zh-CN"/>
      </w:rPr>
    </w:lvl>
    <w:lvl w:ilvl="1" w:tentative="0">
      <w:start w:val="1"/>
      <w:numFmt w:val="none"/>
      <w:lvlText w:val="20.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4">
    <w:nsid w:val="1A7539B6"/>
    <w:multiLevelType w:val="multilevel"/>
    <w:tmpl w:val="1A7539B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35">
    <w:nsid w:val="1A931EEC"/>
    <w:multiLevelType w:val="multilevel"/>
    <w:tmpl w:val="1A931EEC"/>
    <w:lvl w:ilvl="0" w:tentative="0">
      <w:start w:val="16"/>
      <w:numFmt w:val="decimal"/>
      <w:lvlText w:val="%1.1.1"/>
      <w:lvlJc w:val="left"/>
      <w:pPr>
        <w:ind w:left="528" w:hanging="531"/>
      </w:pPr>
      <w:rPr>
        <w:rFonts w:hint="default"/>
        <w:lang w:val="zh-CN" w:eastAsia="zh-CN" w:bidi="zh-CN"/>
      </w:rPr>
    </w:lvl>
    <w:lvl w:ilvl="1" w:tentative="0">
      <w:start w:val="1"/>
      <w:numFmt w:val="none"/>
      <w:lvlText w:val="%1.2.2"/>
      <w:lvlJc w:val="left"/>
      <w:pPr>
        <w:ind w:left="0" w:hanging="3"/>
      </w:pPr>
      <w:rPr>
        <w:rFonts w:hint="eastAsia"/>
        <w:spacing w:val="-1"/>
        <w:w w:val="6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36">
    <w:nsid w:val="1B194483"/>
    <w:multiLevelType w:val="multilevel"/>
    <w:tmpl w:val="1B194483"/>
    <w:lvl w:ilvl="0" w:tentative="0">
      <w:start w:val="34"/>
      <w:numFmt w:val="decimal"/>
      <w:lvlText w:val="%1"/>
      <w:lvlJc w:val="left"/>
      <w:pPr>
        <w:ind w:left="528" w:hanging="531"/>
      </w:pPr>
      <w:rPr>
        <w:rFonts w:hint="default"/>
        <w:lang w:val="zh-CN" w:eastAsia="zh-CN" w:bidi="zh-CN"/>
      </w:rPr>
    </w:lvl>
    <w:lvl w:ilvl="1" w:tentative="0">
      <w:start w:val="1"/>
      <w:numFmt w:val="none"/>
      <w:lvlText w:val="36.7"/>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7">
    <w:nsid w:val="1D7D7E91"/>
    <w:multiLevelType w:val="multilevel"/>
    <w:tmpl w:val="1D7D7E91"/>
    <w:lvl w:ilvl="0" w:tentative="0">
      <w:start w:val="33"/>
      <w:numFmt w:val="decimal"/>
      <w:lvlText w:val="%1"/>
      <w:lvlJc w:val="left"/>
      <w:pPr>
        <w:ind w:left="1505" w:hanging="507"/>
      </w:pPr>
      <w:rPr>
        <w:rFonts w:hint="default"/>
        <w:lang w:val="zh-CN" w:eastAsia="zh-CN" w:bidi="zh-CN"/>
      </w:rPr>
    </w:lvl>
    <w:lvl w:ilvl="1" w:tentative="0">
      <w:start w:val="1"/>
      <w:numFmt w:val="none"/>
      <w:lvlText w:val="35.3"/>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38">
    <w:nsid w:val="1DF913EB"/>
    <w:multiLevelType w:val="multilevel"/>
    <w:tmpl w:val="1DF913EB"/>
    <w:lvl w:ilvl="0" w:tentative="0">
      <w:start w:val="34"/>
      <w:numFmt w:val="decimal"/>
      <w:lvlText w:val="%1"/>
      <w:lvlJc w:val="left"/>
      <w:pPr>
        <w:ind w:left="528" w:hanging="531"/>
      </w:pPr>
      <w:rPr>
        <w:rFonts w:hint="default"/>
        <w:lang w:val="zh-CN" w:eastAsia="zh-CN" w:bidi="zh-CN"/>
      </w:rPr>
    </w:lvl>
    <w:lvl w:ilvl="1" w:tentative="0">
      <w:start w:val="1"/>
      <w:numFmt w:val="none"/>
      <w:lvlText w:val="38.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9">
    <w:nsid w:val="1E5136DB"/>
    <w:multiLevelType w:val="multilevel"/>
    <w:tmpl w:val="1E5136DB"/>
    <w:lvl w:ilvl="0" w:tentative="0">
      <w:start w:val="28"/>
      <w:numFmt w:val="decimal"/>
      <w:lvlText w:val="%1"/>
      <w:lvlJc w:val="left"/>
      <w:pPr>
        <w:ind w:left="528" w:hanging="531"/>
      </w:pPr>
      <w:rPr>
        <w:rFonts w:hint="default"/>
        <w:lang w:val="zh-CN" w:eastAsia="zh-CN" w:bidi="zh-CN"/>
      </w:rPr>
    </w:lvl>
    <w:lvl w:ilvl="1" w:tentative="0">
      <w:start w:val="1"/>
      <w:numFmt w:val="none"/>
      <w:lvlText w:val="31.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40">
    <w:nsid w:val="1E8630DC"/>
    <w:multiLevelType w:val="multilevel"/>
    <w:tmpl w:val="1E8630DC"/>
    <w:lvl w:ilvl="0" w:tentative="0">
      <w:start w:val="34"/>
      <w:numFmt w:val="decimal"/>
      <w:lvlText w:val="%1"/>
      <w:lvlJc w:val="left"/>
      <w:pPr>
        <w:ind w:left="528" w:hanging="531"/>
      </w:pPr>
      <w:rPr>
        <w:rFonts w:hint="default"/>
        <w:lang w:val="zh-CN" w:eastAsia="zh-CN" w:bidi="zh-CN"/>
      </w:rPr>
    </w:lvl>
    <w:lvl w:ilvl="1" w:tentative="0">
      <w:start w:val="1"/>
      <w:numFmt w:val="none"/>
      <w:lvlText w:val="36.5.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1">
    <w:nsid w:val="1E8C0B24"/>
    <w:multiLevelType w:val="multilevel"/>
    <w:tmpl w:val="1E8C0B24"/>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2">
    <w:nsid w:val="1F400B39"/>
    <w:multiLevelType w:val="multilevel"/>
    <w:tmpl w:val="1F400B39"/>
    <w:lvl w:ilvl="0" w:tentative="0">
      <w:start w:val="6"/>
      <w:numFmt w:val="decimal"/>
      <w:lvlText w:val="%1"/>
      <w:lvlJc w:val="left"/>
      <w:pPr>
        <w:ind w:left="528" w:hanging="375"/>
      </w:pPr>
      <w:rPr>
        <w:rFonts w:hint="default"/>
        <w:lang w:val="zh-CN" w:eastAsia="zh-CN" w:bidi="zh-CN"/>
      </w:rPr>
    </w:lvl>
    <w:lvl w:ilvl="1" w:tentative="0">
      <w:start w:val="1"/>
      <w:numFmt w:val="none"/>
      <w:lvlText w:val="7.3.6"/>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3">
    <w:nsid w:val="1FF22BEA"/>
    <w:multiLevelType w:val="multilevel"/>
    <w:tmpl w:val="1FF22BEA"/>
    <w:lvl w:ilvl="0" w:tentative="0">
      <w:start w:val="6"/>
      <w:numFmt w:val="decimal"/>
      <w:lvlText w:val="%1"/>
      <w:lvlJc w:val="left"/>
      <w:pPr>
        <w:ind w:left="528" w:hanging="375"/>
      </w:pPr>
      <w:rPr>
        <w:rFonts w:hint="default"/>
        <w:lang w:val="zh-CN" w:eastAsia="zh-CN" w:bidi="zh-CN"/>
      </w:rPr>
    </w:lvl>
    <w:lvl w:ilvl="1" w:tentative="0">
      <w:start w:val="1"/>
      <w:numFmt w:val="none"/>
      <w:lvlText w:val="7.3.5"/>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4">
    <w:nsid w:val="1FF7067A"/>
    <w:multiLevelType w:val="multilevel"/>
    <w:tmpl w:val="1FF7067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5">
    <w:nsid w:val="20871CEA"/>
    <w:multiLevelType w:val="multilevel"/>
    <w:tmpl w:val="20871CEA"/>
    <w:lvl w:ilvl="0" w:tentative="0">
      <w:start w:val="34"/>
      <w:numFmt w:val="decimal"/>
      <w:lvlText w:val="%1"/>
      <w:lvlJc w:val="left"/>
      <w:pPr>
        <w:ind w:left="528" w:hanging="531"/>
      </w:pPr>
      <w:rPr>
        <w:rFonts w:hint="default"/>
        <w:lang w:val="zh-CN" w:eastAsia="zh-CN" w:bidi="zh-CN"/>
      </w:rPr>
    </w:lvl>
    <w:lvl w:ilvl="1" w:tentative="0">
      <w:start w:val="1"/>
      <w:numFmt w:val="none"/>
      <w:lvlText w:val="36.9.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6">
    <w:nsid w:val="20FF1279"/>
    <w:multiLevelType w:val="multilevel"/>
    <w:tmpl w:val="20FF127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7">
    <w:nsid w:val="213D637C"/>
    <w:multiLevelType w:val="multilevel"/>
    <w:tmpl w:val="213D637C"/>
    <w:lvl w:ilvl="0" w:tentative="0">
      <w:start w:val="34"/>
      <w:numFmt w:val="decimal"/>
      <w:lvlText w:val="%1"/>
      <w:lvlJc w:val="left"/>
      <w:pPr>
        <w:ind w:left="528" w:hanging="531"/>
      </w:pPr>
      <w:rPr>
        <w:rFonts w:hint="default"/>
        <w:lang w:val="zh-CN" w:eastAsia="zh-CN" w:bidi="zh-CN"/>
      </w:rPr>
    </w:lvl>
    <w:lvl w:ilvl="1" w:tentative="0">
      <w:start w:val="1"/>
      <w:numFmt w:val="none"/>
      <w:lvlText w:val="36.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8">
    <w:nsid w:val="21F27FF0"/>
    <w:multiLevelType w:val="multilevel"/>
    <w:tmpl w:val="21F27FF0"/>
    <w:lvl w:ilvl="0" w:tentative="0">
      <w:start w:val="16"/>
      <w:numFmt w:val="decimal"/>
      <w:lvlText w:val="%1.1.1"/>
      <w:lvlJc w:val="left"/>
      <w:pPr>
        <w:ind w:left="528" w:hanging="531"/>
      </w:pPr>
      <w:rPr>
        <w:rFonts w:hint="default"/>
        <w:lang w:val="zh-CN" w:eastAsia="zh-CN" w:bidi="zh-CN"/>
      </w:rPr>
    </w:lvl>
    <w:lvl w:ilvl="1" w:tentative="0">
      <w:start w:val="1"/>
      <w:numFmt w:val="none"/>
      <w:lvlText w:val="%1.2.1"/>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49">
    <w:nsid w:val="22A67624"/>
    <w:multiLevelType w:val="multilevel"/>
    <w:tmpl w:val="22A67624"/>
    <w:lvl w:ilvl="0" w:tentative="0">
      <w:start w:val="34"/>
      <w:numFmt w:val="decimal"/>
      <w:lvlText w:val="%1"/>
      <w:lvlJc w:val="left"/>
      <w:pPr>
        <w:ind w:left="528" w:hanging="531"/>
      </w:pPr>
      <w:rPr>
        <w:rFonts w:hint="default"/>
        <w:lang w:val="zh-CN" w:eastAsia="zh-CN" w:bidi="zh-CN"/>
      </w:rPr>
    </w:lvl>
    <w:lvl w:ilvl="1" w:tentative="0">
      <w:start w:val="1"/>
      <w:numFmt w:val="none"/>
      <w:lvlText w:val="36.4.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0">
    <w:nsid w:val="23577EF5"/>
    <w:multiLevelType w:val="multilevel"/>
    <w:tmpl w:val="23577EF5"/>
    <w:lvl w:ilvl="0" w:tentative="0">
      <w:start w:val="34"/>
      <w:numFmt w:val="decimal"/>
      <w:lvlText w:val="%1"/>
      <w:lvlJc w:val="left"/>
      <w:pPr>
        <w:ind w:left="528" w:hanging="531"/>
      </w:pPr>
      <w:rPr>
        <w:rFonts w:hint="default"/>
        <w:lang w:val="zh-CN" w:eastAsia="zh-CN" w:bidi="zh-CN"/>
      </w:rPr>
    </w:lvl>
    <w:lvl w:ilvl="1" w:tentative="0">
      <w:start w:val="1"/>
      <w:numFmt w:val="none"/>
      <w:lvlText w:val="37.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1">
    <w:nsid w:val="2387376C"/>
    <w:multiLevelType w:val="multilevel"/>
    <w:tmpl w:val="2387376C"/>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52">
    <w:nsid w:val="24F44DB4"/>
    <w:multiLevelType w:val="multilevel"/>
    <w:tmpl w:val="24F44DB4"/>
    <w:lvl w:ilvl="0" w:tentative="0">
      <w:start w:val="28"/>
      <w:numFmt w:val="decimal"/>
      <w:lvlText w:val="%1"/>
      <w:lvlJc w:val="left"/>
      <w:pPr>
        <w:ind w:left="528" w:hanging="531"/>
      </w:pPr>
      <w:rPr>
        <w:rFonts w:hint="default"/>
        <w:lang w:val="zh-CN" w:eastAsia="zh-CN" w:bidi="zh-CN"/>
      </w:rPr>
    </w:lvl>
    <w:lvl w:ilvl="1" w:tentative="0">
      <w:start w:val="1"/>
      <w:numFmt w:val="none"/>
      <w:lvlText w:val="30.9.6"/>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53">
    <w:nsid w:val="25340488"/>
    <w:multiLevelType w:val="multilevel"/>
    <w:tmpl w:val="25340488"/>
    <w:lvl w:ilvl="0" w:tentative="0">
      <w:start w:val="34"/>
      <w:numFmt w:val="decimal"/>
      <w:lvlText w:val="%1"/>
      <w:lvlJc w:val="left"/>
      <w:pPr>
        <w:ind w:left="528" w:hanging="531"/>
      </w:pPr>
      <w:rPr>
        <w:rFonts w:hint="default"/>
        <w:lang w:val="zh-CN" w:eastAsia="zh-CN" w:bidi="zh-CN"/>
      </w:rPr>
    </w:lvl>
    <w:lvl w:ilvl="1" w:tentative="0">
      <w:start w:val="1"/>
      <w:numFmt w:val="none"/>
      <w:lvlText w:val="36.5.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4">
    <w:nsid w:val="25BF55E3"/>
    <w:multiLevelType w:val="multilevel"/>
    <w:tmpl w:val="25BF55E3"/>
    <w:lvl w:ilvl="0" w:tentative="0">
      <w:start w:val="15"/>
      <w:numFmt w:val="decimal"/>
      <w:lvlText w:val="%1"/>
      <w:lvlJc w:val="left"/>
      <w:pPr>
        <w:ind w:left="528" w:hanging="531"/>
      </w:pPr>
      <w:rPr>
        <w:rFonts w:hint="default" w:ascii="Times New Roman" w:hAnsi="Times New Roman"/>
        <w:sz w:val="21"/>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55">
    <w:nsid w:val="26D27A40"/>
    <w:multiLevelType w:val="multilevel"/>
    <w:tmpl w:val="26D27A40"/>
    <w:lvl w:ilvl="0" w:tentative="0">
      <w:start w:val="30"/>
      <w:numFmt w:val="decimal"/>
      <w:lvlText w:val="%1"/>
      <w:lvlJc w:val="left"/>
      <w:pPr>
        <w:ind w:left="528" w:hanging="543"/>
      </w:pPr>
      <w:rPr>
        <w:rFonts w:hint="default"/>
        <w:lang w:val="zh-CN" w:eastAsia="zh-CN" w:bidi="zh-CN"/>
      </w:rPr>
    </w:lvl>
    <w:lvl w:ilvl="1" w:tentative="0">
      <w:start w:val="1"/>
      <w:numFmt w:val="none"/>
      <w:lvlText w:val="34"/>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56">
    <w:nsid w:val="26E67995"/>
    <w:multiLevelType w:val="multilevel"/>
    <w:tmpl w:val="26E67995"/>
    <w:lvl w:ilvl="0" w:tentative="0">
      <w:start w:val="34"/>
      <w:numFmt w:val="decimal"/>
      <w:lvlText w:val="%1"/>
      <w:lvlJc w:val="left"/>
      <w:pPr>
        <w:ind w:left="528" w:hanging="531"/>
      </w:pPr>
      <w:rPr>
        <w:rFonts w:hint="default"/>
        <w:lang w:val="zh-CN" w:eastAsia="zh-CN" w:bidi="zh-CN"/>
      </w:rPr>
    </w:lvl>
    <w:lvl w:ilvl="1" w:tentative="0">
      <w:start w:val="1"/>
      <w:numFmt w:val="none"/>
      <w:lvlText w:val="36.4.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7">
    <w:nsid w:val="279E1381"/>
    <w:multiLevelType w:val="multilevel"/>
    <w:tmpl w:val="279E1381"/>
    <w:lvl w:ilvl="0" w:tentative="0">
      <w:start w:val="32"/>
      <w:numFmt w:val="decimal"/>
      <w:lvlText w:val="%1"/>
      <w:lvlJc w:val="left"/>
      <w:pPr>
        <w:ind w:left="528" w:hanging="531"/>
      </w:pPr>
      <w:rPr>
        <w:rFonts w:hint="default"/>
        <w:lang w:val="zh-CN" w:eastAsia="zh-CN" w:bidi="zh-CN"/>
      </w:rPr>
    </w:lvl>
    <w:lvl w:ilvl="1" w:tentative="0">
      <w:start w:val="1"/>
      <w:numFmt w:val="none"/>
      <w:lvlText w:val="34.2"/>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58">
    <w:nsid w:val="28C7266F"/>
    <w:multiLevelType w:val="multilevel"/>
    <w:tmpl w:val="28C7266F"/>
    <w:lvl w:ilvl="0" w:tentative="0">
      <w:start w:val="28"/>
      <w:numFmt w:val="decimal"/>
      <w:lvlText w:val="%1"/>
      <w:lvlJc w:val="left"/>
      <w:pPr>
        <w:ind w:left="528" w:hanging="531"/>
      </w:pPr>
      <w:rPr>
        <w:rFonts w:hint="default"/>
        <w:lang w:val="zh-CN" w:eastAsia="zh-CN" w:bidi="zh-CN"/>
      </w:rPr>
    </w:lvl>
    <w:lvl w:ilvl="1" w:tentative="0">
      <w:start w:val="1"/>
      <w:numFmt w:val="none"/>
      <w:lvlText w:val="30.9.7"/>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59">
    <w:nsid w:val="29100D11"/>
    <w:multiLevelType w:val="singleLevel"/>
    <w:tmpl w:val="29100D11"/>
    <w:lvl w:ilvl="0" w:tentative="0">
      <w:start w:val="1"/>
      <w:numFmt w:val="decimal"/>
      <w:suff w:val="nothing"/>
      <w:lvlText w:val="%1、"/>
      <w:lvlJc w:val="left"/>
    </w:lvl>
  </w:abstractNum>
  <w:abstractNum w:abstractNumId="60">
    <w:nsid w:val="29DE6A8D"/>
    <w:multiLevelType w:val="multilevel"/>
    <w:tmpl w:val="29DE6A8D"/>
    <w:lvl w:ilvl="0" w:tentative="0">
      <w:start w:val="28"/>
      <w:numFmt w:val="decimal"/>
      <w:lvlText w:val="%1"/>
      <w:lvlJc w:val="left"/>
      <w:pPr>
        <w:ind w:left="528" w:hanging="531"/>
      </w:pPr>
      <w:rPr>
        <w:rFonts w:hint="default"/>
        <w:lang w:val="zh-CN" w:eastAsia="zh-CN" w:bidi="zh-CN"/>
      </w:rPr>
    </w:lvl>
    <w:lvl w:ilvl="1" w:tentative="0">
      <w:start w:val="1"/>
      <w:numFmt w:val="none"/>
      <w:lvlText w:val="30.6"/>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61">
    <w:nsid w:val="2C986BD6"/>
    <w:multiLevelType w:val="multilevel"/>
    <w:tmpl w:val="2C986BD6"/>
    <w:lvl w:ilvl="0" w:tentative="0">
      <w:start w:val="28"/>
      <w:numFmt w:val="decimal"/>
      <w:lvlText w:val="%1"/>
      <w:lvlJc w:val="left"/>
      <w:pPr>
        <w:ind w:left="528" w:hanging="531"/>
      </w:pPr>
      <w:rPr>
        <w:rFonts w:hint="default"/>
        <w:lang w:val="zh-CN" w:eastAsia="zh-CN" w:bidi="zh-CN"/>
      </w:rPr>
    </w:lvl>
    <w:lvl w:ilvl="1" w:tentative="0">
      <w:start w:val="1"/>
      <w:numFmt w:val="none"/>
      <w:lvlText w:val="30.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62">
    <w:nsid w:val="2E302A13"/>
    <w:multiLevelType w:val="multilevel"/>
    <w:tmpl w:val="2E302A13"/>
    <w:lvl w:ilvl="0" w:tentative="0">
      <w:start w:val="32"/>
      <w:numFmt w:val="decimal"/>
      <w:lvlText w:val="%1"/>
      <w:lvlJc w:val="left"/>
      <w:pPr>
        <w:ind w:left="528" w:hanging="531"/>
      </w:pPr>
      <w:rPr>
        <w:rFonts w:hint="default"/>
        <w:lang w:val="zh-CN" w:eastAsia="zh-CN" w:bidi="zh-CN"/>
      </w:rPr>
    </w:lvl>
    <w:lvl w:ilvl="1" w:tentative="0">
      <w:start w:val="1"/>
      <w:numFmt w:val="none"/>
      <w:lvlText w:val="34.4"/>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63">
    <w:nsid w:val="2E372C0F"/>
    <w:multiLevelType w:val="multilevel"/>
    <w:tmpl w:val="2E372C0F"/>
    <w:lvl w:ilvl="0" w:tentative="0">
      <w:start w:val="6"/>
      <w:numFmt w:val="decimal"/>
      <w:lvlText w:val="%1"/>
      <w:lvlJc w:val="left"/>
      <w:pPr>
        <w:ind w:left="528" w:hanging="375"/>
      </w:pPr>
      <w:rPr>
        <w:rFonts w:hint="default"/>
        <w:lang w:val="zh-CN" w:eastAsia="zh-CN" w:bidi="zh-CN"/>
      </w:rPr>
    </w:lvl>
    <w:lvl w:ilvl="1" w:tentative="0">
      <w:start w:val="1"/>
      <w:numFmt w:val="none"/>
      <w:lvlText w:val="7.3.4"/>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64">
    <w:nsid w:val="2EC91641"/>
    <w:multiLevelType w:val="multilevel"/>
    <w:tmpl w:val="2EC91641"/>
    <w:lvl w:ilvl="0" w:tentative="0">
      <w:start w:val="1"/>
      <w:numFmt w:val="japaneseCounting"/>
      <w:lvlText w:val="第%1章"/>
      <w:lvlJc w:val="left"/>
      <w:pPr>
        <w:ind w:left="4460" w:hanging="1080"/>
      </w:pPr>
      <w:rPr>
        <w:rFonts w:hint="default" w:eastAsia="Noto Sans Mono CJK JP Regular"/>
      </w:rPr>
    </w:lvl>
    <w:lvl w:ilvl="1" w:tentative="0">
      <w:start w:val="1"/>
      <w:numFmt w:val="lowerLetter"/>
      <w:lvlText w:val="%2)"/>
      <w:lvlJc w:val="left"/>
      <w:pPr>
        <w:ind w:left="4220" w:hanging="420"/>
      </w:pPr>
    </w:lvl>
    <w:lvl w:ilvl="2" w:tentative="0">
      <w:start w:val="1"/>
      <w:numFmt w:val="lowerRoman"/>
      <w:lvlText w:val="%3."/>
      <w:lvlJc w:val="right"/>
      <w:pPr>
        <w:ind w:left="4640" w:hanging="420"/>
      </w:pPr>
    </w:lvl>
    <w:lvl w:ilvl="3" w:tentative="0">
      <w:start w:val="1"/>
      <w:numFmt w:val="decimal"/>
      <w:lvlText w:val="%4."/>
      <w:lvlJc w:val="left"/>
      <w:pPr>
        <w:ind w:left="5060" w:hanging="420"/>
      </w:pPr>
    </w:lvl>
    <w:lvl w:ilvl="4" w:tentative="0">
      <w:start w:val="1"/>
      <w:numFmt w:val="lowerLetter"/>
      <w:lvlText w:val="%5)"/>
      <w:lvlJc w:val="left"/>
      <w:pPr>
        <w:ind w:left="5480" w:hanging="420"/>
      </w:pPr>
    </w:lvl>
    <w:lvl w:ilvl="5" w:tentative="0">
      <w:start w:val="1"/>
      <w:numFmt w:val="lowerRoman"/>
      <w:lvlText w:val="%6."/>
      <w:lvlJc w:val="right"/>
      <w:pPr>
        <w:ind w:left="5900" w:hanging="420"/>
      </w:pPr>
    </w:lvl>
    <w:lvl w:ilvl="6" w:tentative="0">
      <w:start w:val="1"/>
      <w:numFmt w:val="decimal"/>
      <w:lvlText w:val="%7."/>
      <w:lvlJc w:val="left"/>
      <w:pPr>
        <w:ind w:left="6320" w:hanging="420"/>
      </w:pPr>
    </w:lvl>
    <w:lvl w:ilvl="7" w:tentative="0">
      <w:start w:val="1"/>
      <w:numFmt w:val="lowerLetter"/>
      <w:lvlText w:val="%8)"/>
      <w:lvlJc w:val="left"/>
      <w:pPr>
        <w:ind w:left="6740" w:hanging="420"/>
      </w:pPr>
    </w:lvl>
    <w:lvl w:ilvl="8" w:tentative="0">
      <w:start w:val="1"/>
      <w:numFmt w:val="lowerRoman"/>
      <w:lvlText w:val="%9."/>
      <w:lvlJc w:val="right"/>
      <w:pPr>
        <w:ind w:left="7160" w:hanging="420"/>
      </w:pPr>
    </w:lvl>
  </w:abstractNum>
  <w:abstractNum w:abstractNumId="65">
    <w:nsid w:val="2FEA4DC6"/>
    <w:multiLevelType w:val="multilevel"/>
    <w:tmpl w:val="2FEA4DC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66">
    <w:nsid w:val="3102550A"/>
    <w:multiLevelType w:val="multilevel"/>
    <w:tmpl w:val="3102550A"/>
    <w:lvl w:ilvl="0" w:tentative="0">
      <w:start w:val="18"/>
      <w:numFmt w:val="decimal"/>
      <w:lvlText w:val="%1"/>
      <w:lvlJc w:val="left"/>
      <w:pPr>
        <w:ind w:left="528" w:hanging="507"/>
      </w:pPr>
      <w:rPr>
        <w:rFonts w:hint="default"/>
        <w:lang w:val="zh-CN" w:eastAsia="zh-CN" w:bidi="zh-CN"/>
      </w:rPr>
    </w:lvl>
    <w:lvl w:ilvl="1" w:tentative="0">
      <w:start w:val="1"/>
      <w:numFmt w:val="none"/>
      <w:lvlText w:val="18.8"/>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7">
    <w:nsid w:val="31E556D3"/>
    <w:multiLevelType w:val="multilevel"/>
    <w:tmpl w:val="31E556D3"/>
    <w:lvl w:ilvl="0" w:tentative="0">
      <w:start w:val="18"/>
      <w:numFmt w:val="decimal"/>
      <w:lvlText w:val="%1"/>
      <w:lvlJc w:val="left"/>
      <w:pPr>
        <w:ind w:left="528" w:hanging="507"/>
      </w:pPr>
      <w:rPr>
        <w:rFonts w:hint="default"/>
        <w:lang w:val="zh-CN" w:eastAsia="zh-CN" w:bidi="zh-CN"/>
      </w:rPr>
    </w:lvl>
    <w:lvl w:ilvl="1" w:tentative="0">
      <w:start w:val="1"/>
      <w:numFmt w:val="none"/>
      <w:lvlText w:val="18.7"/>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8">
    <w:nsid w:val="31EA1686"/>
    <w:multiLevelType w:val="multilevel"/>
    <w:tmpl w:val="31EA1686"/>
    <w:lvl w:ilvl="0" w:tentative="0">
      <w:start w:val="18"/>
      <w:numFmt w:val="decimal"/>
      <w:lvlText w:val="%1"/>
      <w:lvlJc w:val="left"/>
      <w:pPr>
        <w:ind w:left="528" w:hanging="507"/>
      </w:pPr>
      <w:rPr>
        <w:rFonts w:hint="default"/>
        <w:lang w:val="zh-CN" w:eastAsia="zh-CN" w:bidi="zh-CN"/>
      </w:rPr>
    </w:lvl>
    <w:lvl w:ilvl="1" w:tentative="0">
      <w:start w:val="1"/>
      <w:numFmt w:val="none"/>
      <w:lvlText w:val="18.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9">
    <w:nsid w:val="3262212A"/>
    <w:multiLevelType w:val="multilevel"/>
    <w:tmpl w:val="3262212A"/>
    <w:lvl w:ilvl="0" w:tentative="0">
      <w:start w:val="12"/>
      <w:numFmt w:val="decimal"/>
      <w:lvlText w:val="%1"/>
      <w:lvlJc w:val="left"/>
      <w:pPr>
        <w:ind w:left="1514" w:hanging="507"/>
      </w:pPr>
      <w:rPr>
        <w:rFonts w:hint="default"/>
        <w:lang w:val="zh-CN" w:eastAsia="zh-CN" w:bidi="zh-CN"/>
      </w:rPr>
    </w:lvl>
    <w:lvl w:ilvl="1" w:tentative="0">
      <w:start w:val="1"/>
      <w:numFmt w:val="decimal"/>
      <w:lvlText w:val="%1.%2"/>
      <w:lvlJc w:val="left"/>
      <w:pPr>
        <w:ind w:left="1514" w:hanging="507"/>
      </w:pPr>
      <w:rPr>
        <w:rFonts w:hint="default" w:ascii="Times New Roman" w:hAnsi="Times New Roman" w:eastAsia="Times New Roman"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Times New Roman"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70">
    <w:nsid w:val="32C4548E"/>
    <w:multiLevelType w:val="multilevel"/>
    <w:tmpl w:val="32C4548E"/>
    <w:lvl w:ilvl="0" w:tentative="0">
      <w:start w:val="28"/>
      <w:numFmt w:val="decimal"/>
      <w:lvlText w:val="%1"/>
      <w:lvlJc w:val="left"/>
      <w:pPr>
        <w:ind w:left="528" w:hanging="531"/>
      </w:pPr>
      <w:rPr>
        <w:rFonts w:hint="default"/>
        <w:lang w:val="zh-CN" w:eastAsia="zh-CN" w:bidi="zh-CN"/>
      </w:rPr>
    </w:lvl>
    <w:lvl w:ilvl="1" w:tentative="0">
      <w:start w:val="1"/>
      <w:numFmt w:val="none"/>
      <w:lvlText w:val="30.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1">
    <w:nsid w:val="33144023"/>
    <w:multiLevelType w:val="multilevel"/>
    <w:tmpl w:val="33144023"/>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72">
    <w:nsid w:val="33627153"/>
    <w:multiLevelType w:val="multilevel"/>
    <w:tmpl w:val="33627153"/>
    <w:lvl w:ilvl="0" w:tentative="0">
      <w:start w:val="28"/>
      <w:numFmt w:val="decimal"/>
      <w:lvlText w:val="%1"/>
      <w:lvlJc w:val="left"/>
      <w:pPr>
        <w:ind w:left="528" w:hanging="531"/>
      </w:pPr>
      <w:rPr>
        <w:rFonts w:hint="default"/>
        <w:lang w:val="zh-CN" w:eastAsia="zh-CN" w:bidi="zh-CN"/>
      </w:rPr>
    </w:lvl>
    <w:lvl w:ilvl="1" w:tentative="0">
      <w:start w:val="1"/>
      <w:numFmt w:val="none"/>
      <w:lvlText w:val="30.9.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3">
    <w:nsid w:val="337978B1"/>
    <w:multiLevelType w:val="multilevel"/>
    <w:tmpl w:val="337978B1"/>
    <w:lvl w:ilvl="0" w:tentative="0">
      <w:start w:val="15"/>
      <w:numFmt w:val="decimal"/>
      <w:lvlText w:val="%1"/>
      <w:lvlJc w:val="left"/>
      <w:pPr>
        <w:ind w:left="528" w:hanging="531"/>
      </w:pPr>
      <w:rPr>
        <w:rFonts w:hint="default" w:ascii="Times New Roman" w:hAnsi="Times New Roman"/>
        <w:sz w:val="21"/>
      </w:rPr>
    </w:lvl>
    <w:lvl w:ilvl="1" w:tentative="0">
      <w:start w:val="4"/>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74">
    <w:nsid w:val="35B06053"/>
    <w:multiLevelType w:val="multilevel"/>
    <w:tmpl w:val="35B06053"/>
    <w:lvl w:ilvl="0" w:tentative="0">
      <w:start w:val="28"/>
      <w:numFmt w:val="decimal"/>
      <w:lvlText w:val="%1"/>
      <w:lvlJc w:val="left"/>
      <w:pPr>
        <w:ind w:left="528" w:hanging="531"/>
      </w:pPr>
      <w:rPr>
        <w:rFonts w:hint="default"/>
        <w:lang w:val="zh-CN" w:eastAsia="zh-CN" w:bidi="zh-CN"/>
      </w:rPr>
    </w:lvl>
    <w:lvl w:ilvl="1" w:tentative="0">
      <w:start w:val="1"/>
      <w:numFmt w:val="none"/>
      <w:lvlText w:val="32.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5">
    <w:nsid w:val="362E47DE"/>
    <w:multiLevelType w:val="multilevel"/>
    <w:tmpl w:val="362E47DE"/>
    <w:lvl w:ilvl="0" w:tentative="0">
      <w:start w:val="28"/>
      <w:numFmt w:val="decimal"/>
      <w:lvlText w:val="%1"/>
      <w:lvlJc w:val="left"/>
      <w:pPr>
        <w:ind w:left="528" w:hanging="531"/>
      </w:pPr>
      <w:rPr>
        <w:rFonts w:hint="default"/>
        <w:lang w:val="zh-CN" w:eastAsia="zh-CN" w:bidi="zh-CN"/>
      </w:rPr>
    </w:lvl>
    <w:lvl w:ilvl="1" w:tentative="0">
      <w:start w:val="1"/>
      <w:numFmt w:val="none"/>
      <w:lvlText w:val="30.9"/>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6">
    <w:nsid w:val="37B60C35"/>
    <w:multiLevelType w:val="multilevel"/>
    <w:tmpl w:val="37B60C35"/>
    <w:lvl w:ilvl="0" w:tentative="0">
      <w:start w:val="6"/>
      <w:numFmt w:val="decimal"/>
      <w:lvlText w:val="%1"/>
      <w:lvlJc w:val="left"/>
      <w:pPr>
        <w:ind w:left="528" w:hanging="375"/>
      </w:pPr>
      <w:rPr>
        <w:rFonts w:hint="default"/>
        <w:lang w:val="zh-CN" w:eastAsia="zh-CN" w:bidi="zh-CN"/>
      </w:rPr>
    </w:lvl>
    <w:lvl w:ilvl="1" w:tentative="0">
      <w:start w:val="1"/>
      <w:numFmt w:val="none"/>
      <w:lvlText w:val="7.3.1"/>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77">
    <w:nsid w:val="39857353"/>
    <w:multiLevelType w:val="multilevel"/>
    <w:tmpl w:val="39857353"/>
    <w:lvl w:ilvl="0" w:tentative="0">
      <w:start w:val="34"/>
      <w:numFmt w:val="decimal"/>
      <w:lvlText w:val="%1"/>
      <w:lvlJc w:val="left"/>
      <w:pPr>
        <w:ind w:left="528" w:hanging="531"/>
      </w:pPr>
      <w:rPr>
        <w:rFonts w:hint="default"/>
        <w:lang w:val="zh-CN" w:eastAsia="zh-CN" w:bidi="zh-CN"/>
      </w:rPr>
    </w:lvl>
    <w:lvl w:ilvl="1" w:tentative="0">
      <w:start w:val="1"/>
      <w:numFmt w:val="none"/>
      <w:lvlText w:val="36.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78">
    <w:nsid w:val="39C74871"/>
    <w:multiLevelType w:val="multilevel"/>
    <w:tmpl w:val="39C74871"/>
    <w:lvl w:ilvl="0" w:tentative="0">
      <w:start w:val="34"/>
      <w:numFmt w:val="decimal"/>
      <w:lvlText w:val="%1"/>
      <w:lvlJc w:val="left"/>
      <w:pPr>
        <w:ind w:left="528" w:hanging="531"/>
      </w:pPr>
      <w:rPr>
        <w:rFonts w:hint="default"/>
        <w:lang w:val="zh-CN" w:eastAsia="zh-CN" w:bidi="zh-CN"/>
      </w:rPr>
    </w:lvl>
    <w:lvl w:ilvl="1" w:tentative="0">
      <w:start w:val="1"/>
      <w:numFmt w:val="none"/>
      <w:lvlText w:val="36.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79">
    <w:nsid w:val="3A6C050B"/>
    <w:multiLevelType w:val="multilevel"/>
    <w:tmpl w:val="3A6C050B"/>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80">
    <w:nsid w:val="3A8120FB"/>
    <w:multiLevelType w:val="multilevel"/>
    <w:tmpl w:val="3A8120FB"/>
    <w:lvl w:ilvl="0" w:tentative="0">
      <w:start w:val="18"/>
      <w:numFmt w:val="decimal"/>
      <w:lvlText w:val="%1"/>
      <w:lvlJc w:val="left"/>
      <w:pPr>
        <w:ind w:left="528" w:hanging="507"/>
      </w:pPr>
      <w:rPr>
        <w:rFonts w:hint="default"/>
        <w:lang w:val="zh-CN" w:eastAsia="zh-CN" w:bidi="zh-CN"/>
      </w:rPr>
    </w:lvl>
    <w:lvl w:ilvl="1" w:tentative="0">
      <w:start w:val="1"/>
      <w:numFmt w:val="none"/>
      <w:lvlText w:val="18.5"/>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81">
    <w:nsid w:val="3AFC139D"/>
    <w:multiLevelType w:val="multilevel"/>
    <w:tmpl w:val="3AFC139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82">
    <w:nsid w:val="3B51EC17"/>
    <w:multiLevelType w:val="singleLevel"/>
    <w:tmpl w:val="3B51EC17"/>
    <w:lvl w:ilvl="0" w:tentative="0">
      <w:start w:val="6"/>
      <w:numFmt w:val="chineseCounting"/>
      <w:suff w:val="space"/>
      <w:lvlText w:val="第%1章"/>
      <w:lvlJc w:val="left"/>
      <w:rPr>
        <w:rFonts w:hint="eastAsia"/>
      </w:rPr>
    </w:lvl>
  </w:abstractNum>
  <w:abstractNum w:abstractNumId="83">
    <w:nsid w:val="3B9A4AA3"/>
    <w:multiLevelType w:val="multilevel"/>
    <w:tmpl w:val="3B9A4AA3"/>
    <w:lvl w:ilvl="0" w:tentative="0">
      <w:start w:val="18"/>
      <w:numFmt w:val="decimal"/>
      <w:lvlText w:val="%1"/>
      <w:lvlJc w:val="left"/>
      <w:pPr>
        <w:ind w:left="528" w:hanging="507"/>
      </w:pPr>
      <w:rPr>
        <w:rFonts w:hint="default"/>
        <w:lang w:val="zh-CN" w:eastAsia="zh-CN" w:bidi="zh-CN"/>
      </w:rPr>
    </w:lvl>
    <w:lvl w:ilvl="1" w:tentative="0">
      <w:start w:val="1"/>
      <w:numFmt w:val="none"/>
      <w:lvlText w:val="19.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84">
    <w:nsid w:val="3BFB5B77"/>
    <w:multiLevelType w:val="multilevel"/>
    <w:tmpl w:val="3BFB5B77"/>
    <w:lvl w:ilvl="0" w:tentative="0">
      <w:start w:val="13"/>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85">
    <w:nsid w:val="3CE31580"/>
    <w:multiLevelType w:val="multilevel"/>
    <w:tmpl w:val="3CE31580"/>
    <w:lvl w:ilvl="0" w:tentative="0">
      <w:start w:val="7"/>
      <w:numFmt w:val="decimal"/>
      <w:lvlText w:val="%1"/>
      <w:lvlJc w:val="left"/>
      <w:pPr>
        <w:ind w:left="528" w:hanging="375"/>
      </w:pPr>
      <w:rPr>
        <w:rFonts w:hint="default"/>
        <w:lang w:val="zh-CN" w:eastAsia="zh-CN" w:bidi="zh-CN"/>
      </w:rPr>
    </w:lvl>
    <w:lvl w:ilvl="1" w:tentative="0">
      <w:start w:val="4"/>
      <w:numFmt w:val="decimal"/>
      <w:lvlText w:val="%1.%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86">
    <w:nsid w:val="3D273A35"/>
    <w:multiLevelType w:val="multilevel"/>
    <w:tmpl w:val="3D273A35"/>
    <w:lvl w:ilvl="0" w:tentative="0">
      <w:start w:val="25"/>
      <w:numFmt w:val="decimal"/>
      <w:lvlText w:val="%1"/>
      <w:lvlJc w:val="left"/>
      <w:pPr>
        <w:ind w:left="1514" w:hanging="507"/>
      </w:pPr>
      <w:rPr>
        <w:rFonts w:hint="default"/>
        <w:lang w:val="zh-CN" w:eastAsia="zh-CN" w:bidi="zh-CN"/>
      </w:rPr>
    </w:lvl>
    <w:lvl w:ilvl="1" w:tentative="0">
      <w:start w:val="1"/>
      <w:numFmt w:val="decimal"/>
      <w:lvlText w:val="24.%2"/>
      <w:lvlJc w:val="left"/>
      <w:pPr>
        <w:ind w:left="1514" w:hanging="507"/>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74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668" w:hanging="749"/>
      </w:pPr>
      <w:rPr>
        <w:rFonts w:hint="default"/>
        <w:lang w:val="zh-CN" w:eastAsia="zh-CN" w:bidi="zh-CN"/>
      </w:rPr>
    </w:lvl>
    <w:lvl w:ilvl="4" w:tentative="0">
      <w:start w:val="0"/>
      <w:numFmt w:val="bullet"/>
      <w:lvlText w:val="•"/>
      <w:lvlJc w:val="left"/>
      <w:pPr>
        <w:ind w:left="4742" w:hanging="749"/>
      </w:pPr>
      <w:rPr>
        <w:rFonts w:hint="default"/>
        <w:lang w:val="zh-CN" w:eastAsia="zh-CN" w:bidi="zh-CN"/>
      </w:rPr>
    </w:lvl>
    <w:lvl w:ilvl="5" w:tentative="0">
      <w:start w:val="0"/>
      <w:numFmt w:val="bullet"/>
      <w:lvlText w:val="•"/>
      <w:lvlJc w:val="left"/>
      <w:pPr>
        <w:ind w:left="5816" w:hanging="749"/>
      </w:pPr>
      <w:rPr>
        <w:rFonts w:hint="default"/>
        <w:lang w:val="zh-CN" w:eastAsia="zh-CN" w:bidi="zh-CN"/>
      </w:rPr>
    </w:lvl>
    <w:lvl w:ilvl="6" w:tentative="0">
      <w:start w:val="0"/>
      <w:numFmt w:val="bullet"/>
      <w:lvlText w:val="•"/>
      <w:lvlJc w:val="left"/>
      <w:pPr>
        <w:ind w:left="6890" w:hanging="749"/>
      </w:pPr>
      <w:rPr>
        <w:rFonts w:hint="default"/>
        <w:lang w:val="zh-CN" w:eastAsia="zh-CN" w:bidi="zh-CN"/>
      </w:rPr>
    </w:lvl>
    <w:lvl w:ilvl="7" w:tentative="0">
      <w:start w:val="0"/>
      <w:numFmt w:val="bullet"/>
      <w:lvlText w:val="•"/>
      <w:lvlJc w:val="left"/>
      <w:pPr>
        <w:ind w:left="7964" w:hanging="749"/>
      </w:pPr>
      <w:rPr>
        <w:rFonts w:hint="default"/>
        <w:lang w:val="zh-CN" w:eastAsia="zh-CN" w:bidi="zh-CN"/>
      </w:rPr>
    </w:lvl>
    <w:lvl w:ilvl="8" w:tentative="0">
      <w:start w:val="0"/>
      <w:numFmt w:val="bullet"/>
      <w:lvlText w:val="•"/>
      <w:lvlJc w:val="left"/>
      <w:pPr>
        <w:ind w:left="9038" w:hanging="749"/>
      </w:pPr>
      <w:rPr>
        <w:rFonts w:hint="default"/>
        <w:lang w:val="zh-CN" w:eastAsia="zh-CN" w:bidi="zh-CN"/>
      </w:rPr>
    </w:lvl>
  </w:abstractNum>
  <w:abstractNum w:abstractNumId="87">
    <w:nsid w:val="3DF76223"/>
    <w:multiLevelType w:val="multilevel"/>
    <w:tmpl w:val="3DF76223"/>
    <w:lvl w:ilvl="0" w:tentative="0">
      <w:start w:val="28"/>
      <w:numFmt w:val="decimal"/>
      <w:lvlText w:val="%1"/>
      <w:lvlJc w:val="left"/>
      <w:pPr>
        <w:ind w:left="528" w:hanging="531"/>
      </w:pPr>
      <w:rPr>
        <w:rFonts w:hint="default"/>
        <w:lang w:val="zh-CN" w:eastAsia="zh-CN" w:bidi="zh-CN"/>
      </w:rPr>
    </w:lvl>
    <w:lvl w:ilvl="1" w:tentative="0">
      <w:start w:val="1"/>
      <w:numFmt w:val="none"/>
      <w:lvlText w:val="30.9.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88">
    <w:nsid w:val="3E15629F"/>
    <w:multiLevelType w:val="multilevel"/>
    <w:tmpl w:val="3E15629F"/>
    <w:lvl w:ilvl="0" w:tentative="0">
      <w:start w:val="28"/>
      <w:numFmt w:val="decimal"/>
      <w:lvlText w:val="%1"/>
      <w:lvlJc w:val="left"/>
      <w:pPr>
        <w:ind w:left="528" w:hanging="531"/>
      </w:pPr>
      <w:rPr>
        <w:rFonts w:hint="default"/>
        <w:lang w:val="zh-CN" w:eastAsia="zh-CN" w:bidi="zh-CN"/>
      </w:rPr>
    </w:lvl>
    <w:lvl w:ilvl="1" w:tentative="0">
      <w:start w:val="1"/>
      <w:numFmt w:val="none"/>
      <w:lvlText w:val="30.9.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89">
    <w:nsid w:val="40221067"/>
    <w:multiLevelType w:val="multilevel"/>
    <w:tmpl w:val="40221067"/>
    <w:lvl w:ilvl="0" w:tentative="0">
      <w:start w:val="18"/>
      <w:numFmt w:val="decimal"/>
      <w:lvlText w:val="%1"/>
      <w:lvlJc w:val="left"/>
      <w:pPr>
        <w:ind w:left="528" w:hanging="507"/>
      </w:pPr>
      <w:rPr>
        <w:rFonts w:hint="default"/>
        <w:lang w:val="zh-CN" w:eastAsia="zh-CN" w:bidi="zh-CN"/>
      </w:rPr>
    </w:lvl>
    <w:lvl w:ilvl="1" w:tentative="0">
      <w:start w:val="1"/>
      <w:numFmt w:val="none"/>
      <w:lvlText w:val="18.6"/>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0">
    <w:nsid w:val="40DA1D51"/>
    <w:multiLevelType w:val="multilevel"/>
    <w:tmpl w:val="40DA1D51"/>
    <w:lvl w:ilvl="0" w:tentative="0">
      <w:start w:val="18"/>
      <w:numFmt w:val="decimal"/>
      <w:lvlText w:val="%1"/>
      <w:lvlJc w:val="left"/>
      <w:pPr>
        <w:ind w:left="528"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1">
    <w:nsid w:val="41AB7992"/>
    <w:multiLevelType w:val="multilevel"/>
    <w:tmpl w:val="41AB7992"/>
    <w:lvl w:ilvl="0" w:tentative="0">
      <w:start w:val="28"/>
      <w:numFmt w:val="decimal"/>
      <w:lvlText w:val="%1"/>
      <w:lvlJc w:val="left"/>
      <w:pPr>
        <w:ind w:left="528" w:hanging="531"/>
      </w:pPr>
      <w:rPr>
        <w:rFonts w:hint="default"/>
        <w:lang w:val="zh-CN" w:eastAsia="zh-CN" w:bidi="zh-CN"/>
      </w:rPr>
    </w:lvl>
    <w:lvl w:ilvl="1" w:tentative="0">
      <w:start w:val="1"/>
      <w:numFmt w:val="none"/>
      <w:lvlText w:val="30.8.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92">
    <w:nsid w:val="420E52C0"/>
    <w:multiLevelType w:val="multilevel"/>
    <w:tmpl w:val="420E52C0"/>
    <w:lvl w:ilvl="0" w:tentative="0">
      <w:start w:val="8"/>
      <w:numFmt w:val="decimal"/>
      <w:lvlText w:val="%1"/>
      <w:lvlJc w:val="left"/>
      <w:pPr>
        <w:ind w:left="1259" w:hanging="375"/>
      </w:pPr>
      <w:rPr>
        <w:rFonts w:hint="default"/>
        <w:lang w:val="zh-CN" w:eastAsia="zh-CN" w:bidi="zh-CN"/>
      </w:rPr>
    </w:lvl>
    <w:lvl w:ilvl="1" w:tentative="0">
      <w:start w:val="1"/>
      <w:numFmt w:val="none"/>
      <w:lvlText w:val="9.1"/>
      <w:lvlJc w:val="left"/>
      <w:pPr>
        <w:ind w:left="1259"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3384" w:hanging="375"/>
      </w:pPr>
      <w:rPr>
        <w:rFonts w:hint="default"/>
        <w:lang w:val="zh-CN" w:eastAsia="zh-CN" w:bidi="zh-CN"/>
      </w:rPr>
    </w:lvl>
    <w:lvl w:ilvl="3" w:tentative="0">
      <w:start w:val="0"/>
      <w:numFmt w:val="bullet"/>
      <w:lvlText w:val="•"/>
      <w:lvlJc w:val="left"/>
      <w:pPr>
        <w:ind w:left="4450" w:hanging="375"/>
      </w:pPr>
      <w:rPr>
        <w:rFonts w:hint="default"/>
        <w:lang w:val="zh-CN" w:eastAsia="zh-CN" w:bidi="zh-CN"/>
      </w:rPr>
    </w:lvl>
    <w:lvl w:ilvl="4" w:tentative="0">
      <w:start w:val="0"/>
      <w:numFmt w:val="bullet"/>
      <w:lvlText w:val="•"/>
      <w:lvlJc w:val="left"/>
      <w:pPr>
        <w:ind w:left="5517" w:hanging="375"/>
      </w:pPr>
      <w:rPr>
        <w:rFonts w:hint="default"/>
        <w:lang w:val="zh-CN" w:eastAsia="zh-CN" w:bidi="zh-CN"/>
      </w:rPr>
    </w:lvl>
    <w:lvl w:ilvl="5" w:tentative="0">
      <w:start w:val="0"/>
      <w:numFmt w:val="bullet"/>
      <w:lvlText w:val="•"/>
      <w:lvlJc w:val="left"/>
      <w:pPr>
        <w:ind w:left="6584" w:hanging="375"/>
      </w:pPr>
      <w:rPr>
        <w:rFonts w:hint="default"/>
        <w:lang w:val="zh-CN" w:eastAsia="zh-CN" w:bidi="zh-CN"/>
      </w:rPr>
    </w:lvl>
    <w:lvl w:ilvl="6" w:tentative="0">
      <w:start w:val="0"/>
      <w:numFmt w:val="bullet"/>
      <w:lvlText w:val="•"/>
      <w:lvlJc w:val="left"/>
      <w:pPr>
        <w:ind w:left="7650" w:hanging="375"/>
      </w:pPr>
      <w:rPr>
        <w:rFonts w:hint="default"/>
        <w:lang w:val="zh-CN" w:eastAsia="zh-CN" w:bidi="zh-CN"/>
      </w:rPr>
    </w:lvl>
    <w:lvl w:ilvl="7" w:tentative="0">
      <w:start w:val="0"/>
      <w:numFmt w:val="bullet"/>
      <w:lvlText w:val="•"/>
      <w:lvlJc w:val="left"/>
      <w:pPr>
        <w:ind w:left="8717" w:hanging="375"/>
      </w:pPr>
      <w:rPr>
        <w:rFonts w:hint="default"/>
        <w:lang w:val="zh-CN" w:eastAsia="zh-CN" w:bidi="zh-CN"/>
      </w:rPr>
    </w:lvl>
    <w:lvl w:ilvl="8" w:tentative="0">
      <w:start w:val="0"/>
      <w:numFmt w:val="bullet"/>
      <w:lvlText w:val="•"/>
      <w:lvlJc w:val="left"/>
      <w:pPr>
        <w:ind w:left="9784" w:hanging="375"/>
      </w:pPr>
      <w:rPr>
        <w:rFonts w:hint="default"/>
        <w:lang w:val="zh-CN" w:eastAsia="zh-CN" w:bidi="zh-CN"/>
      </w:rPr>
    </w:lvl>
  </w:abstractNum>
  <w:abstractNum w:abstractNumId="93">
    <w:nsid w:val="442E4BB4"/>
    <w:multiLevelType w:val="multilevel"/>
    <w:tmpl w:val="442E4BB4"/>
    <w:lvl w:ilvl="0" w:tentative="0">
      <w:start w:val="16"/>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spacing w:val="-1"/>
        <w:w w:val="82"/>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94">
    <w:nsid w:val="44390B39"/>
    <w:multiLevelType w:val="multilevel"/>
    <w:tmpl w:val="44390B39"/>
    <w:lvl w:ilvl="0" w:tentative="0">
      <w:start w:val="34"/>
      <w:numFmt w:val="decimal"/>
      <w:lvlText w:val="%1"/>
      <w:lvlJc w:val="left"/>
      <w:pPr>
        <w:ind w:left="528" w:hanging="531"/>
      </w:pPr>
      <w:rPr>
        <w:rFonts w:hint="default"/>
        <w:lang w:val="zh-CN" w:eastAsia="zh-CN" w:bidi="zh-CN"/>
      </w:rPr>
    </w:lvl>
    <w:lvl w:ilvl="1" w:tentative="0">
      <w:start w:val="1"/>
      <w:numFmt w:val="none"/>
      <w:lvlText w:val="36.5.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95">
    <w:nsid w:val="463A749B"/>
    <w:multiLevelType w:val="multilevel"/>
    <w:tmpl w:val="463A749B"/>
    <w:lvl w:ilvl="0" w:tentative="0">
      <w:start w:val="18"/>
      <w:numFmt w:val="decimal"/>
      <w:lvlText w:val="%1"/>
      <w:lvlJc w:val="left"/>
      <w:pPr>
        <w:ind w:left="528" w:hanging="507"/>
      </w:pPr>
      <w:rPr>
        <w:rFonts w:hint="default"/>
        <w:lang w:val="zh-CN" w:eastAsia="zh-CN" w:bidi="zh-CN"/>
      </w:rPr>
    </w:lvl>
    <w:lvl w:ilvl="1" w:tentative="0">
      <w:start w:val="1"/>
      <w:numFmt w:val="none"/>
      <w:lvlText w:val="19.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6">
    <w:nsid w:val="473804C3"/>
    <w:multiLevelType w:val="multilevel"/>
    <w:tmpl w:val="473804C3"/>
    <w:lvl w:ilvl="0" w:tentative="0">
      <w:start w:val="28"/>
      <w:numFmt w:val="decimal"/>
      <w:lvlText w:val="%1"/>
      <w:lvlJc w:val="left"/>
      <w:pPr>
        <w:ind w:left="528" w:hanging="531"/>
      </w:pPr>
      <w:rPr>
        <w:rFonts w:hint="default"/>
        <w:lang w:val="zh-CN" w:eastAsia="zh-CN" w:bidi="zh-CN"/>
      </w:rPr>
    </w:lvl>
    <w:lvl w:ilvl="1" w:tentative="0">
      <w:start w:val="1"/>
      <w:numFmt w:val="none"/>
      <w:lvlText w:val="30.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97">
    <w:nsid w:val="477E7844"/>
    <w:multiLevelType w:val="multilevel"/>
    <w:tmpl w:val="477E7844"/>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98">
    <w:nsid w:val="48ED7310"/>
    <w:multiLevelType w:val="multilevel"/>
    <w:tmpl w:val="48ED7310"/>
    <w:lvl w:ilvl="0" w:tentative="0">
      <w:start w:val="25"/>
      <w:numFmt w:val="decimal"/>
      <w:lvlText w:val="%1"/>
      <w:lvlJc w:val="left"/>
      <w:pPr>
        <w:ind w:left="1514" w:hanging="507"/>
      </w:pPr>
      <w:rPr>
        <w:rFonts w:hint="default"/>
        <w:lang w:val="zh-CN" w:eastAsia="zh-CN" w:bidi="zh-CN"/>
      </w:rPr>
    </w:lvl>
    <w:lvl w:ilvl="1" w:tentative="0">
      <w:start w:val="1"/>
      <w:numFmt w:val="decimal"/>
      <w:lvlText w:val="24.2.%2"/>
      <w:lvlJc w:val="left"/>
      <w:pPr>
        <w:ind w:left="1514" w:hanging="507"/>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528" w:hanging="74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668" w:hanging="749"/>
      </w:pPr>
      <w:rPr>
        <w:rFonts w:hint="default"/>
        <w:lang w:val="zh-CN" w:eastAsia="zh-CN" w:bidi="zh-CN"/>
      </w:rPr>
    </w:lvl>
    <w:lvl w:ilvl="4" w:tentative="0">
      <w:start w:val="0"/>
      <w:numFmt w:val="bullet"/>
      <w:lvlText w:val="•"/>
      <w:lvlJc w:val="left"/>
      <w:pPr>
        <w:ind w:left="4742" w:hanging="749"/>
      </w:pPr>
      <w:rPr>
        <w:rFonts w:hint="default"/>
        <w:lang w:val="zh-CN" w:eastAsia="zh-CN" w:bidi="zh-CN"/>
      </w:rPr>
    </w:lvl>
    <w:lvl w:ilvl="5" w:tentative="0">
      <w:start w:val="0"/>
      <w:numFmt w:val="bullet"/>
      <w:lvlText w:val="•"/>
      <w:lvlJc w:val="left"/>
      <w:pPr>
        <w:ind w:left="5816" w:hanging="749"/>
      </w:pPr>
      <w:rPr>
        <w:rFonts w:hint="default"/>
        <w:lang w:val="zh-CN" w:eastAsia="zh-CN" w:bidi="zh-CN"/>
      </w:rPr>
    </w:lvl>
    <w:lvl w:ilvl="6" w:tentative="0">
      <w:start w:val="0"/>
      <w:numFmt w:val="bullet"/>
      <w:lvlText w:val="•"/>
      <w:lvlJc w:val="left"/>
      <w:pPr>
        <w:ind w:left="6890" w:hanging="749"/>
      </w:pPr>
      <w:rPr>
        <w:rFonts w:hint="default"/>
        <w:lang w:val="zh-CN" w:eastAsia="zh-CN" w:bidi="zh-CN"/>
      </w:rPr>
    </w:lvl>
    <w:lvl w:ilvl="7" w:tentative="0">
      <w:start w:val="0"/>
      <w:numFmt w:val="bullet"/>
      <w:lvlText w:val="•"/>
      <w:lvlJc w:val="left"/>
      <w:pPr>
        <w:ind w:left="7964" w:hanging="749"/>
      </w:pPr>
      <w:rPr>
        <w:rFonts w:hint="default"/>
        <w:lang w:val="zh-CN" w:eastAsia="zh-CN" w:bidi="zh-CN"/>
      </w:rPr>
    </w:lvl>
    <w:lvl w:ilvl="8" w:tentative="0">
      <w:start w:val="0"/>
      <w:numFmt w:val="bullet"/>
      <w:lvlText w:val="•"/>
      <w:lvlJc w:val="left"/>
      <w:pPr>
        <w:ind w:left="9038" w:hanging="749"/>
      </w:pPr>
      <w:rPr>
        <w:rFonts w:hint="default"/>
        <w:lang w:val="zh-CN" w:eastAsia="zh-CN" w:bidi="zh-CN"/>
      </w:rPr>
    </w:lvl>
  </w:abstractNum>
  <w:abstractNum w:abstractNumId="99">
    <w:nsid w:val="48FF25C2"/>
    <w:multiLevelType w:val="multilevel"/>
    <w:tmpl w:val="48FF25C2"/>
    <w:lvl w:ilvl="0" w:tentative="0">
      <w:start w:val="16"/>
      <w:numFmt w:val="decimal"/>
      <w:lvlText w:val="%1"/>
      <w:lvlJc w:val="left"/>
      <w:pPr>
        <w:ind w:left="528" w:hanging="531"/>
      </w:pPr>
      <w:rPr>
        <w:rFonts w:hint="default" w:ascii="Times New Roman" w:hAnsi="Times New Roman"/>
        <w:sz w:val="21"/>
      </w:rPr>
    </w:lvl>
    <w:lvl w:ilvl="1" w:tentative="0">
      <w:start w:val="6"/>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100">
    <w:nsid w:val="495E5D6B"/>
    <w:multiLevelType w:val="multilevel"/>
    <w:tmpl w:val="495E5D6B"/>
    <w:lvl w:ilvl="0" w:tentative="0">
      <w:start w:val="23"/>
      <w:numFmt w:val="decimal"/>
      <w:lvlText w:val="%1"/>
      <w:lvlJc w:val="left"/>
      <w:pPr>
        <w:ind w:left="528" w:hanging="507"/>
      </w:pPr>
      <w:rPr>
        <w:rFonts w:hint="default"/>
        <w:lang w:val="zh-CN" w:eastAsia="zh-CN" w:bidi="zh-CN"/>
      </w:rPr>
    </w:lvl>
    <w:lvl w:ilvl="1" w:tentative="0">
      <w:start w:val="1"/>
      <w:numFmt w:val="decimal"/>
      <w:lvlText w:val="22.%2"/>
      <w:lvlJc w:val="left"/>
      <w:pPr>
        <w:ind w:left="1925"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01">
    <w:nsid w:val="4B5119E1"/>
    <w:multiLevelType w:val="multilevel"/>
    <w:tmpl w:val="4B5119E1"/>
    <w:lvl w:ilvl="0" w:tentative="0">
      <w:start w:val="33"/>
      <w:numFmt w:val="decimal"/>
      <w:lvlText w:val="%1"/>
      <w:lvlJc w:val="left"/>
      <w:pPr>
        <w:ind w:left="1505" w:hanging="507"/>
      </w:pPr>
      <w:rPr>
        <w:rFonts w:hint="default"/>
        <w:lang w:val="zh-CN" w:eastAsia="zh-CN" w:bidi="zh-CN"/>
      </w:rPr>
    </w:lvl>
    <w:lvl w:ilvl="1" w:tentative="0">
      <w:start w:val="1"/>
      <w:numFmt w:val="none"/>
      <w:lvlText w:val="35.1"/>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102">
    <w:nsid w:val="4B536A78"/>
    <w:multiLevelType w:val="multilevel"/>
    <w:tmpl w:val="4B536A7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03">
    <w:nsid w:val="4CC44EC9"/>
    <w:multiLevelType w:val="multilevel"/>
    <w:tmpl w:val="4CC44EC9"/>
    <w:lvl w:ilvl="0" w:tentative="0">
      <w:start w:val="17"/>
      <w:numFmt w:val="decimal"/>
      <w:lvlText w:val="%1"/>
      <w:lvlJc w:val="left"/>
      <w:pPr>
        <w:ind w:left="528" w:hanging="531"/>
      </w:pPr>
      <w:rPr>
        <w:rFonts w:hint="default"/>
        <w:lang w:val="zh-CN" w:eastAsia="zh-CN" w:bidi="zh-CN"/>
      </w:rPr>
    </w:lvl>
    <w:lvl w:ilvl="1" w:tentative="0">
      <w:start w:val="1"/>
      <w:numFmt w:val="none"/>
      <w:lvlText w:val="18"/>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04">
    <w:nsid w:val="4E711518"/>
    <w:multiLevelType w:val="multilevel"/>
    <w:tmpl w:val="4E71151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05">
    <w:nsid w:val="4EEA2568"/>
    <w:multiLevelType w:val="multilevel"/>
    <w:tmpl w:val="4EEA2568"/>
    <w:lvl w:ilvl="0" w:tentative="0">
      <w:start w:val="6"/>
      <w:numFmt w:val="decimal"/>
      <w:lvlText w:val="%1"/>
      <w:lvlJc w:val="left"/>
      <w:pPr>
        <w:ind w:left="528" w:hanging="375"/>
      </w:pPr>
      <w:rPr>
        <w:rFonts w:hint="default"/>
        <w:lang w:val="zh-CN" w:eastAsia="zh-CN" w:bidi="zh-CN"/>
      </w:rPr>
    </w:lvl>
    <w:lvl w:ilvl="1" w:tentative="0">
      <w:start w:val="1"/>
      <w:numFmt w:val="decimal"/>
      <w:lvlText w:val="%1.%2"/>
      <w:lvlJc w:val="left"/>
      <w:pPr>
        <w:ind w:left="528" w:hanging="375"/>
        <w:jc w:val="right"/>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06">
    <w:nsid w:val="4EF84411"/>
    <w:multiLevelType w:val="multilevel"/>
    <w:tmpl w:val="4EF84411"/>
    <w:lvl w:ilvl="0" w:tentative="0">
      <w:start w:val="18"/>
      <w:numFmt w:val="decimal"/>
      <w:lvlText w:val="%1"/>
      <w:lvlJc w:val="left"/>
      <w:pPr>
        <w:ind w:left="528" w:hanging="507"/>
      </w:pPr>
      <w:rPr>
        <w:rFonts w:hint="default"/>
        <w:lang w:val="zh-CN" w:eastAsia="zh-CN" w:bidi="zh-CN"/>
      </w:rPr>
    </w:lvl>
    <w:lvl w:ilvl="1" w:tentative="0">
      <w:start w:val="1"/>
      <w:numFmt w:val="decimal"/>
      <w:lvlText w:val="%1.4.%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07">
    <w:nsid w:val="4F924AF9"/>
    <w:multiLevelType w:val="multilevel"/>
    <w:tmpl w:val="4F924AF9"/>
    <w:lvl w:ilvl="0" w:tentative="0">
      <w:start w:val="34"/>
      <w:numFmt w:val="decimal"/>
      <w:lvlText w:val="%1"/>
      <w:lvlJc w:val="left"/>
      <w:pPr>
        <w:ind w:left="528" w:hanging="531"/>
      </w:pPr>
      <w:rPr>
        <w:rFonts w:hint="default"/>
        <w:lang w:val="zh-CN" w:eastAsia="zh-CN" w:bidi="zh-CN"/>
      </w:rPr>
    </w:lvl>
    <w:lvl w:ilvl="1" w:tentative="0">
      <w:start w:val="1"/>
      <w:numFmt w:val="none"/>
      <w:lvlText w:val="36.9.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08">
    <w:nsid w:val="50C71AB9"/>
    <w:multiLevelType w:val="multilevel"/>
    <w:tmpl w:val="50C71AB9"/>
    <w:lvl w:ilvl="0" w:tentative="0">
      <w:start w:val="33"/>
      <w:numFmt w:val="decimal"/>
      <w:lvlText w:val="%1"/>
      <w:lvlJc w:val="left"/>
      <w:pPr>
        <w:ind w:left="1505" w:hanging="507"/>
      </w:pPr>
      <w:rPr>
        <w:rFonts w:hint="default"/>
        <w:lang w:val="zh-CN" w:eastAsia="zh-CN" w:bidi="zh-CN"/>
      </w:rPr>
    </w:lvl>
    <w:lvl w:ilvl="1" w:tentative="0">
      <w:start w:val="1"/>
      <w:numFmt w:val="none"/>
      <w:lvlText w:val="35.2"/>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109">
    <w:nsid w:val="50F75E17"/>
    <w:multiLevelType w:val="multilevel"/>
    <w:tmpl w:val="50F75E17"/>
    <w:lvl w:ilvl="0" w:tentative="0">
      <w:start w:val="6"/>
      <w:numFmt w:val="decimal"/>
      <w:lvlText w:val="%1"/>
      <w:lvlJc w:val="left"/>
      <w:pPr>
        <w:ind w:left="528" w:hanging="375"/>
      </w:pPr>
      <w:rPr>
        <w:rFonts w:hint="default"/>
        <w:lang w:val="zh-CN" w:eastAsia="zh-CN" w:bidi="zh-CN"/>
      </w:rPr>
    </w:lvl>
    <w:lvl w:ilvl="1" w:tentative="0">
      <w:start w:val="1"/>
      <w:numFmt w:val="decimal"/>
      <w:lvlText w:val="7.%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10">
    <w:nsid w:val="518C1C41"/>
    <w:multiLevelType w:val="multilevel"/>
    <w:tmpl w:val="518C1C41"/>
    <w:lvl w:ilvl="0" w:tentative="0">
      <w:start w:val="6"/>
      <w:numFmt w:val="decimal"/>
      <w:lvlText w:val="%1"/>
      <w:lvlJc w:val="left"/>
      <w:pPr>
        <w:ind w:left="528" w:hanging="375"/>
      </w:pPr>
      <w:rPr>
        <w:rFonts w:hint="default"/>
        <w:lang w:val="zh-CN" w:eastAsia="zh-CN" w:bidi="zh-CN"/>
      </w:rPr>
    </w:lvl>
    <w:lvl w:ilvl="1" w:tentative="0">
      <w:start w:val="1"/>
      <w:numFmt w:val="none"/>
      <w:lvlText w:val="7.3.3"/>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11">
    <w:nsid w:val="518C3908"/>
    <w:multiLevelType w:val="multilevel"/>
    <w:tmpl w:val="518C3908"/>
    <w:lvl w:ilvl="0" w:tentative="0">
      <w:start w:val="21"/>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12">
    <w:nsid w:val="518F1A6C"/>
    <w:multiLevelType w:val="multilevel"/>
    <w:tmpl w:val="518F1A6C"/>
    <w:lvl w:ilvl="0" w:tentative="0">
      <w:start w:val="16"/>
      <w:numFmt w:val="decimal"/>
      <w:lvlText w:val="%1.1.1"/>
      <w:lvlJc w:val="left"/>
      <w:pPr>
        <w:ind w:left="528" w:hanging="531"/>
      </w:pPr>
      <w:rPr>
        <w:rFonts w:hint="default"/>
        <w:lang w:val="zh-CN" w:eastAsia="zh-CN" w:bidi="zh-CN"/>
      </w:rPr>
    </w:lvl>
    <w:lvl w:ilvl="1" w:tentative="0">
      <w:start w:val="1"/>
      <w:numFmt w:val="none"/>
      <w:lvlText w:val="%1.2.3"/>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13">
    <w:nsid w:val="531F1B50"/>
    <w:multiLevelType w:val="multilevel"/>
    <w:tmpl w:val="531F1B50"/>
    <w:lvl w:ilvl="0" w:tentative="0">
      <w:start w:val="1"/>
      <w:numFmt w:val="decimal"/>
      <w:lvlText w:val="%1."/>
      <w:lvlJc w:val="left"/>
      <w:pPr>
        <w:ind w:left="1181" w:hanging="180"/>
      </w:pPr>
      <w:rPr>
        <w:rFonts w:hint="default" w:ascii="Times New Roman" w:eastAsia="Times New Roman"/>
        <w:b/>
      </w:rPr>
    </w:lvl>
    <w:lvl w:ilvl="1" w:tentative="0">
      <w:start w:val="1"/>
      <w:numFmt w:val="decimal"/>
      <w:isLgl/>
      <w:lvlText w:val="%1.%2"/>
      <w:lvlJc w:val="left"/>
      <w:pPr>
        <w:ind w:left="1346" w:hanging="345"/>
      </w:pPr>
      <w:rPr>
        <w:rFonts w:hint="default" w:ascii="Times New Roman" w:eastAsia="Times New Roman"/>
      </w:rPr>
    </w:lvl>
    <w:lvl w:ilvl="2" w:tentative="0">
      <w:start w:val="1"/>
      <w:numFmt w:val="decimal"/>
      <w:isLgl/>
      <w:lvlText w:val="%1.%2.%3"/>
      <w:lvlJc w:val="left"/>
      <w:pPr>
        <w:ind w:left="1346" w:hanging="345"/>
      </w:pPr>
      <w:rPr>
        <w:rFonts w:hint="default" w:ascii="Times New Roman" w:eastAsia="Times New Roman"/>
      </w:rPr>
    </w:lvl>
    <w:lvl w:ilvl="3" w:tentative="0">
      <w:start w:val="1"/>
      <w:numFmt w:val="decimal"/>
      <w:isLgl/>
      <w:lvlText w:val="%1.%2.%3.%4"/>
      <w:lvlJc w:val="left"/>
      <w:pPr>
        <w:ind w:left="1346" w:hanging="345"/>
      </w:pPr>
      <w:rPr>
        <w:rFonts w:hint="default" w:ascii="Times New Roman" w:eastAsia="Times New Roman"/>
      </w:rPr>
    </w:lvl>
    <w:lvl w:ilvl="4" w:tentative="0">
      <w:start w:val="1"/>
      <w:numFmt w:val="decimal"/>
      <w:isLgl/>
      <w:lvlText w:val="%1.%2.%3.%4.%5"/>
      <w:lvlJc w:val="left"/>
      <w:pPr>
        <w:ind w:left="1346" w:hanging="345"/>
      </w:pPr>
      <w:rPr>
        <w:rFonts w:hint="default" w:ascii="Times New Roman" w:eastAsia="Times New Roman"/>
      </w:rPr>
    </w:lvl>
    <w:lvl w:ilvl="5" w:tentative="0">
      <w:start w:val="1"/>
      <w:numFmt w:val="decimal"/>
      <w:isLgl/>
      <w:lvlText w:val="%1.%2.%3.%4.%5.%6"/>
      <w:lvlJc w:val="left"/>
      <w:pPr>
        <w:ind w:left="1346" w:hanging="345"/>
      </w:pPr>
      <w:rPr>
        <w:rFonts w:hint="default" w:ascii="Times New Roman" w:eastAsia="Times New Roman"/>
      </w:rPr>
    </w:lvl>
    <w:lvl w:ilvl="6" w:tentative="0">
      <w:start w:val="1"/>
      <w:numFmt w:val="decimal"/>
      <w:isLgl/>
      <w:lvlText w:val="%1.%2.%3.%4.%5.%6.%7"/>
      <w:lvlJc w:val="left"/>
      <w:pPr>
        <w:ind w:left="1346" w:hanging="345"/>
      </w:pPr>
      <w:rPr>
        <w:rFonts w:hint="default" w:ascii="Times New Roman" w:eastAsia="Times New Roman"/>
      </w:rPr>
    </w:lvl>
    <w:lvl w:ilvl="7" w:tentative="0">
      <w:start w:val="1"/>
      <w:numFmt w:val="decimal"/>
      <w:isLgl/>
      <w:lvlText w:val="%1.%2.%3.%4.%5.%6.%7.%8"/>
      <w:lvlJc w:val="left"/>
      <w:pPr>
        <w:ind w:left="1346" w:hanging="345"/>
      </w:pPr>
      <w:rPr>
        <w:rFonts w:hint="default" w:ascii="Times New Roman" w:eastAsia="Times New Roman"/>
      </w:rPr>
    </w:lvl>
    <w:lvl w:ilvl="8" w:tentative="0">
      <w:start w:val="1"/>
      <w:numFmt w:val="decimal"/>
      <w:isLgl/>
      <w:lvlText w:val="%1.%2.%3.%4.%5.%6.%7.%8.%9"/>
      <w:lvlJc w:val="left"/>
      <w:pPr>
        <w:ind w:left="1346" w:hanging="345"/>
      </w:pPr>
      <w:rPr>
        <w:rFonts w:hint="default" w:ascii="Times New Roman" w:eastAsia="Times New Roman"/>
      </w:rPr>
    </w:lvl>
  </w:abstractNum>
  <w:abstractNum w:abstractNumId="114">
    <w:nsid w:val="5343058A"/>
    <w:multiLevelType w:val="multilevel"/>
    <w:tmpl w:val="5343058A"/>
    <w:lvl w:ilvl="0" w:tentative="0">
      <w:start w:val="33"/>
      <w:numFmt w:val="decimal"/>
      <w:lvlText w:val="%1"/>
      <w:lvlJc w:val="left"/>
      <w:pPr>
        <w:ind w:left="1505" w:hanging="507"/>
      </w:pPr>
      <w:rPr>
        <w:rFonts w:hint="default"/>
        <w:lang w:val="zh-CN" w:eastAsia="zh-CN" w:bidi="zh-CN"/>
      </w:rPr>
    </w:lvl>
    <w:lvl w:ilvl="1" w:tentative="0">
      <w:start w:val="1"/>
      <w:numFmt w:val="none"/>
      <w:lvlText w:val="36.1"/>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115">
    <w:nsid w:val="54F0464A"/>
    <w:multiLevelType w:val="multilevel"/>
    <w:tmpl w:val="54F0464A"/>
    <w:lvl w:ilvl="0" w:tentative="0">
      <w:start w:val="18"/>
      <w:numFmt w:val="decimal"/>
      <w:lvlText w:val="%1"/>
      <w:lvlJc w:val="left"/>
      <w:pPr>
        <w:ind w:left="528" w:hanging="507"/>
      </w:pPr>
      <w:rPr>
        <w:rFonts w:hint="default"/>
        <w:lang w:val="zh-CN" w:eastAsia="zh-CN" w:bidi="zh-CN"/>
      </w:rPr>
    </w:lvl>
    <w:lvl w:ilvl="1" w:tentative="0">
      <w:start w:val="1"/>
      <w:numFmt w:val="none"/>
      <w:lvlText w:val="20.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16">
    <w:nsid w:val="557814F6"/>
    <w:multiLevelType w:val="multilevel"/>
    <w:tmpl w:val="557814F6"/>
    <w:lvl w:ilvl="0" w:tentative="0">
      <w:start w:val="34"/>
      <w:numFmt w:val="decimal"/>
      <w:lvlText w:val="%1"/>
      <w:lvlJc w:val="left"/>
      <w:pPr>
        <w:ind w:left="528" w:hanging="531"/>
      </w:pPr>
      <w:rPr>
        <w:rFonts w:hint="default"/>
        <w:lang w:val="zh-CN" w:eastAsia="zh-CN" w:bidi="zh-CN"/>
      </w:rPr>
    </w:lvl>
    <w:lvl w:ilvl="1" w:tentative="0">
      <w:start w:val="1"/>
      <w:numFmt w:val="none"/>
      <w:lvlText w:val="36.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17">
    <w:nsid w:val="55AF521C"/>
    <w:multiLevelType w:val="multilevel"/>
    <w:tmpl w:val="55AF521C"/>
    <w:lvl w:ilvl="0" w:tentative="0">
      <w:start w:val="32"/>
      <w:numFmt w:val="decimal"/>
      <w:lvlText w:val="%1"/>
      <w:lvlJc w:val="left"/>
      <w:pPr>
        <w:ind w:left="528" w:hanging="531"/>
      </w:pPr>
      <w:rPr>
        <w:rFonts w:hint="default"/>
        <w:lang w:val="zh-CN" w:eastAsia="zh-CN" w:bidi="zh-CN"/>
      </w:rPr>
    </w:lvl>
    <w:lvl w:ilvl="1" w:tentative="0">
      <w:start w:val="1"/>
      <w:numFmt w:val="none"/>
      <w:lvlText w:val="34.3"/>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18">
    <w:nsid w:val="57E651D6"/>
    <w:multiLevelType w:val="multilevel"/>
    <w:tmpl w:val="57E651D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19">
    <w:nsid w:val="58184CA6"/>
    <w:multiLevelType w:val="multilevel"/>
    <w:tmpl w:val="58184CA6"/>
    <w:lvl w:ilvl="0" w:tentative="0">
      <w:start w:val="17"/>
      <w:numFmt w:val="decimal"/>
      <w:lvlText w:val="%1"/>
      <w:lvlJc w:val="left"/>
      <w:pPr>
        <w:ind w:left="528" w:hanging="531"/>
      </w:pPr>
      <w:rPr>
        <w:rFonts w:hint="default"/>
        <w:lang w:val="zh-CN" w:eastAsia="zh-CN" w:bidi="zh-CN"/>
      </w:rPr>
    </w:lvl>
    <w:lvl w:ilvl="1" w:tentative="0">
      <w:start w:val="1"/>
      <w:numFmt w:val="decimal"/>
      <w:lvlText w:val="%1.3.%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20">
    <w:nsid w:val="58F90A5D"/>
    <w:multiLevelType w:val="multilevel"/>
    <w:tmpl w:val="58F90A5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1">
    <w:nsid w:val="5AF829D5"/>
    <w:multiLevelType w:val="multilevel"/>
    <w:tmpl w:val="5AF829D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2">
    <w:nsid w:val="5E400B5F"/>
    <w:multiLevelType w:val="multilevel"/>
    <w:tmpl w:val="5E400B5F"/>
    <w:lvl w:ilvl="0" w:tentative="0">
      <w:start w:val="30"/>
      <w:numFmt w:val="decimal"/>
      <w:lvlText w:val="%1"/>
      <w:lvlJc w:val="left"/>
      <w:pPr>
        <w:ind w:left="528" w:hanging="543"/>
      </w:pPr>
      <w:rPr>
        <w:rFonts w:hint="default"/>
        <w:lang w:val="zh-CN" w:eastAsia="zh-CN" w:bidi="zh-CN"/>
      </w:rPr>
    </w:lvl>
    <w:lvl w:ilvl="1" w:tentative="0">
      <w:start w:val="1"/>
      <w:numFmt w:val="none"/>
      <w:lvlText w:val="34.1"/>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23">
    <w:nsid w:val="5EEB213C"/>
    <w:multiLevelType w:val="multilevel"/>
    <w:tmpl w:val="5EEB213C"/>
    <w:lvl w:ilvl="0" w:tentative="0">
      <w:start w:val="30"/>
      <w:numFmt w:val="decimal"/>
      <w:lvlText w:val="%1"/>
      <w:lvlJc w:val="left"/>
      <w:pPr>
        <w:ind w:left="528" w:hanging="543"/>
      </w:pPr>
      <w:rPr>
        <w:rFonts w:hint="default"/>
        <w:lang w:val="zh-CN" w:eastAsia="zh-CN" w:bidi="zh-CN"/>
      </w:rPr>
    </w:lvl>
    <w:lvl w:ilvl="1" w:tentative="0">
      <w:start w:val="1"/>
      <w:numFmt w:val="none"/>
      <w:lvlText w:val="33.2"/>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24">
    <w:nsid w:val="5FEF16EF"/>
    <w:multiLevelType w:val="multilevel"/>
    <w:tmpl w:val="5FEF16EF"/>
    <w:lvl w:ilvl="0" w:tentative="0">
      <w:start w:val="18"/>
      <w:numFmt w:val="decimal"/>
      <w:lvlText w:val="%1"/>
      <w:lvlJc w:val="left"/>
      <w:pPr>
        <w:ind w:left="528" w:hanging="507"/>
      </w:pPr>
      <w:rPr>
        <w:rFonts w:hint="default"/>
        <w:lang w:val="zh-CN" w:eastAsia="zh-CN" w:bidi="zh-CN"/>
      </w:rPr>
    </w:lvl>
    <w:lvl w:ilvl="1" w:tentative="0">
      <w:start w:val="1"/>
      <w:numFmt w:val="none"/>
      <w:lvlText w:val="1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25">
    <w:nsid w:val="5FFC079F"/>
    <w:multiLevelType w:val="multilevel"/>
    <w:tmpl w:val="5FFC079F"/>
    <w:lvl w:ilvl="0" w:tentative="0">
      <w:start w:val="18"/>
      <w:numFmt w:val="decimal"/>
      <w:lvlText w:val="%1"/>
      <w:lvlJc w:val="left"/>
      <w:pPr>
        <w:ind w:left="528" w:hanging="507"/>
      </w:pPr>
      <w:rPr>
        <w:rFonts w:hint="default"/>
        <w:lang w:val="zh-CN" w:eastAsia="zh-CN" w:bidi="zh-CN"/>
      </w:rPr>
    </w:lvl>
    <w:lvl w:ilvl="1" w:tentative="0">
      <w:start w:val="1"/>
      <w:numFmt w:val="none"/>
      <w:lvlText w:val="20"/>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26">
    <w:nsid w:val="60253EBB"/>
    <w:multiLevelType w:val="multilevel"/>
    <w:tmpl w:val="60253EBB"/>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7">
    <w:nsid w:val="623F4C85"/>
    <w:multiLevelType w:val="multilevel"/>
    <w:tmpl w:val="623F4C8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8">
    <w:nsid w:val="62576186"/>
    <w:multiLevelType w:val="multilevel"/>
    <w:tmpl w:val="6257618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9">
    <w:nsid w:val="647C2D4F"/>
    <w:multiLevelType w:val="multilevel"/>
    <w:tmpl w:val="647C2D4F"/>
    <w:lvl w:ilvl="0" w:tentative="0">
      <w:start w:val="12"/>
      <w:numFmt w:val="decimal"/>
      <w:lvlText w:val="%1"/>
      <w:lvlJc w:val="left"/>
      <w:pPr>
        <w:ind w:left="1514" w:hanging="507"/>
      </w:pPr>
      <w:rPr>
        <w:rFonts w:hint="default"/>
        <w:lang w:val="zh-CN" w:eastAsia="zh-CN" w:bidi="zh-CN"/>
      </w:rPr>
    </w:lvl>
    <w:lvl w:ilvl="1" w:tentative="0">
      <w:start w:val="0"/>
      <w:numFmt w:val="decimal"/>
      <w:lvlText w:val="%1"/>
      <w:lvlJc w:val="left"/>
      <w:pPr>
        <w:ind w:left="1514" w:hanging="507"/>
      </w:pPr>
      <w:rPr>
        <w:rFonts w:hint="default" w:ascii="Times New Roman" w:hAnsi="Times New Roman" w:eastAsia="宋体"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30">
    <w:nsid w:val="64A83C8F"/>
    <w:multiLevelType w:val="multilevel"/>
    <w:tmpl w:val="64A83C8F"/>
    <w:lvl w:ilvl="0" w:tentative="0">
      <w:start w:val="14"/>
      <w:numFmt w:val="decimal"/>
      <w:lvlText w:val="%1"/>
      <w:lvlJc w:val="left"/>
      <w:pPr>
        <w:ind w:left="1514"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31">
    <w:nsid w:val="66330EA0"/>
    <w:multiLevelType w:val="multilevel"/>
    <w:tmpl w:val="66330EA0"/>
    <w:lvl w:ilvl="0" w:tentative="0">
      <w:start w:val="14"/>
      <w:numFmt w:val="decimal"/>
      <w:lvlText w:val="%1"/>
      <w:lvlJc w:val="left"/>
      <w:pPr>
        <w:ind w:left="1514" w:hanging="507"/>
      </w:pPr>
      <w:rPr>
        <w:rFonts w:hint="default"/>
        <w:lang w:val="zh-CN" w:eastAsia="zh-CN" w:bidi="zh-CN"/>
      </w:rPr>
    </w:lvl>
    <w:lvl w:ilvl="1" w:tentative="0">
      <w:start w:val="1"/>
      <w:numFmt w:val="none"/>
      <w:lvlText w:val="1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32">
    <w:nsid w:val="66940415"/>
    <w:multiLevelType w:val="multilevel"/>
    <w:tmpl w:val="6694041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3">
    <w:nsid w:val="67684CB2"/>
    <w:multiLevelType w:val="multilevel"/>
    <w:tmpl w:val="67684CB2"/>
    <w:lvl w:ilvl="0" w:tentative="0">
      <w:start w:val="34"/>
      <w:numFmt w:val="decimal"/>
      <w:lvlText w:val="%1"/>
      <w:lvlJc w:val="left"/>
      <w:pPr>
        <w:ind w:left="528" w:hanging="531"/>
      </w:pPr>
      <w:rPr>
        <w:rFonts w:hint="default"/>
        <w:lang w:val="zh-CN" w:eastAsia="zh-CN" w:bidi="zh-CN"/>
      </w:rPr>
    </w:lvl>
    <w:lvl w:ilvl="1" w:tentative="0">
      <w:start w:val="1"/>
      <w:numFmt w:val="none"/>
      <w:lvlText w:val="36.5.6"/>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34">
    <w:nsid w:val="6783560D"/>
    <w:multiLevelType w:val="multilevel"/>
    <w:tmpl w:val="6783560D"/>
    <w:lvl w:ilvl="0" w:tentative="0">
      <w:start w:val="30"/>
      <w:numFmt w:val="decimal"/>
      <w:lvlText w:val="%1"/>
      <w:lvlJc w:val="left"/>
      <w:pPr>
        <w:ind w:left="528" w:hanging="543"/>
      </w:pPr>
      <w:rPr>
        <w:rFonts w:hint="default"/>
        <w:lang w:val="zh-CN" w:eastAsia="zh-CN" w:bidi="zh-CN"/>
      </w:rPr>
    </w:lvl>
    <w:lvl w:ilvl="1" w:tentative="0">
      <w:start w:val="1"/>
      <w:numFmt w:val="none"/>
      <w:lvlText w:val="33"/>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35">
    <w:nsid w:val="6794690E"/>
    <w:multiLevelType w:val="multilevel"/>
    <w:tmpl w:val="6794690E"/>
    <w:lvl w:ilvl="0" w:tentative="0">
      <w:start w:val="34"/>
      <w:numFmt w:val="decimal"/>
      <w:lvlText w:val="%1"/>
      <w:lvlJc w:val="left"/>
      <w:pPr>
        <w:ind w:left="528" w:hanging="531"/>
      </w:pPr>
      <w:rPr>
        <w:rFonts w:hint="default"/>
        <w:lang w:val="zh-CN" w:eastAsia="zh-CN" w:bidi="zh-CN"/>
      </w:rPr>
    </w:lvl>
    <w:lvl w:ilvl="1" w:tentative="0">
      <w:start w:val="1"/>
      <w:numFmt w:val="none"/>
      <w:lvlText w:val="36.8"/>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36">
    <w:nsid w:val="679B7EF2"/>
    <w:multiLevelType w:val="multilevel"/>
    <w:tmpl w:val="679B7EF2"/>
    <w:lvl w:ilvl="0" w:tentative="0">
      <w:start w:val="24"/>
      <w:numFmt w:val="decimal"/>
      <w:lvlText w:val="%1"/>
      <w:lvlJc w:val="left"/>
      <w:pPr>
        <w:ind w:left="528" w:hanging="531"/>
      </w:pPr>
      <w:rPr>
        <w:rFonts w:hint="default"/>
        <w:lang w:val="zh-CN" w:eastAsia="zh-CN" w:bidi="zh-CN"/>
      </w:rPr>
    </w:lvl>
    <w:lvl w:ilvl="1" w:tentative="0">
      <w:start w:val="1"/>
      <w:numFmt w:val="decimal"/>
      <w:lvlText w:val="23.%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719" w:hanging="689"/>
      </w:pPr>
      <w:rPr>
        <w:rFonts w:hint="default"/>
        <w:lang w:val="zh-CN" w:eastAsia="zh-CN" w:bidi="zh-CN"/>
      </w:rPr>
    </w:lvl>
    <w:lvl w:ilvl="4" w:tentative="0">
      <w:start w:val="0"/>
      <w:numFmt w:val="bullet"/>
      <w:lvlText w:val="•"/>
      <w:lvlJc w:val="left"/>
      <w:pPr>
        <w:ind w:left="4786" w:hanging="689"/>
      </w:pPr>
      <w:rPr>
        <w:rFonts w:hint="default"/>
        <w:lang w:val="zh-CN" w:eastAsia="zh-CN" w:bidi="zh-CN"/>
      </w:rPr>
    </w:lvl>
    <w:lvl w:ilvl="5" w:tentative="0">
      <w:start w:val="0"/>
      <w:numFmt w:val="bullet"/>
      <w:lvlText w:val="•"/>
      <w:lvlJc w:val="left"/>
      <w:pPr>
        <w:ind w:left="5853" w:hanging="689"/>
      </w:pPr>
      <w:rPr>
        <w:rFonts w:hint="default"/>
        <w:lang w:val="zh-CN" w:eastAsia="zh-CN" w:bidi="zh-CN"/>
      </w:rPr>
    </w:lvl>
    <w:lvl w:ilvl="6" w:tentative="0">
      <w:start w:val="0"/>
      <w:numFmt w:val="bullet"/>
      <w:lvlText w:val="•"/>
      <w:lvlJc w:val="left"/>
      <w:pPr>
        <w:ind w:left="6919" w:hanging="689"/>
      </w:pPr>
      <w:rPr>
        <w:rFonts w:hint="default"/>
        <w:lang w:val="zh-CN" w:eastAsia="zh-CN" w:bidi="zh-CN"/>
      </w:rPr>
    </w:lvl>
    <w:lvl w:ilvl="7" w:tentative="0">
      <w:start w:val="0"/>
      <w:numFmt w:val="bullet"/>
      <w:lvlText w:val="•"/>
      <w:lvlJc w:val="left"/>
      <w:pPr>
        <w:ind w:left="7986" w:hanging="689"/>
      </w:pPr>
      <w:rPr>
        <w:rFonts w:hint="default"/>
        <w:lang w:val="zh-CN" w:eastAsia="zh-CN" w:bidi="zh-CN"/>
      </w:rPr>
    </w:lvl>
    <w:lvl w:ilvl="8" w:tentative="0">
      <w:start w:val="0"/>
      <w:numFmt w:val="bullet"/>
      <w:lvlText w:val="•"/>
      <w:lvlJc w:val="left"/>
      <w:pPr>
        <w:ind w:left="9053" w:hanging="689"/>
      </w:pPr>
      <w:rPr>
        <w:rFonts w:hint="default"/>
        <w:lang w:val="zh-CN" w:eastAsia="zh-CN" w:bidi="zh-CN"/>
      </w:rPr>
    </w:lvl>
  </w:abstractNum>
  <w:abstractNum w:abstractNumId="137">
    <w:nsid w:val="68AA165E"/>
    <w:multiLevelType w:val="multilevel"/>
    <w:tmpl w:val="68AA165E"/>
    <w:lvl w:ilvl="0" w:tentative="0">
      <w:start w:val="17"/>
      <w:numFmt w:val="decimal"/>
      <w:lvlText w:val="%1"/>
      <w:lvlJc w:val="left"/>
      <w:pPr>
        <w:ind w:left="528" w:hanging="531"/>
      </w:pPr>
      <w:rPr>
        <w:rFonts w:hint="default"/>
        <w:lang w:val="zh-CN" w:eastAsia="zh-CN" w:bidi="zh-CN"/>
      </w:rPr>
    </w:lvl>
    <w:lvl w:ilvl="1" w:tentative="0">
      <w:start w:val="1"/>
      <w:numFmt w:val="decimal"/>
      <w:lvlText w:val="%1.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38">
    <w:nsid w:val="691A5814"/>
    <w:multiLevelType w:val="multilevel"/>
    <w:tmpl w:val="691A5814"/>
    <w:lvl w:ilvl="0" w:tentative="0">
      <w:start w:val="28"/>
      <w:numFmt w:val="decimal"/>
      <w:lvlText w:val="%1"/>
      <w:lvlJc w:val="left"/>
      <w:pPr>
        <w:ind w:left="528" w:hanging="531"/>
      </w:pPr>
      <w:rPr>
        <w:rFonts w:hint="default"/>
        <w:lang w:val="zh-CN" w:eastAsia="zh-CN" w:bidi="zh-CN"/>
      </w:rPr>
    </w:lvl>
    <w:lvl w:ilvl="1" w:tentative="0">
      <w:start w:val="1"/>
      <w:numFmt w:val="none"/>
      <w:lvlText w:val="3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39">
    <w:nsid w:val="69397F9A"/>
    <w:multiLevelType w:val="multilevel"/>
    <w:tmpl w:val="69397F9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0">
    <w:nsid w:val="69E37025"/>
    <w:multiLevelType w:val="multilevel"/>
    <w:tmpl w:val="69E37025"/>
    <w:lvl w:ilvl="0" w:tentative="0">
      <w:start w:val="14"/>
      <w:numFmt w:val="decimal"/>
      <w:lvlText w:val="%1"/>
      <w:lvlJc w:val="left"/>
      <w:pPr>
        <w:ind w:left="1514" w:hanging="507"/>
      </w:pPr>
      <w:rPr>
        <w:rFonts w:hint="default"/>
        <w:lang w:val="zh-CN" w:eastAsia="zh-CN" w:bidi="zh-CN"/>
      </w:rPr>
    </w:lvl>
    <w:lvl w:ilvl="1" w:tentative="0">
      <w:start w:val="1"/>
      <w:numFmt w:val="none"/>
      <w:lvlText w:val="15.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41">
    <w:nsid w:val="6A755D30"/>
    <w:multiLevelType w:val="multilevel"/>
    <w:tmpl w:val="6A755D3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2">
    <w:nsid w:val="6AE5179C"/>
    <w:multiLevelType w:val="multilevel"/>
    <w:tmpl w:val="6AE5179C"/>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3">
    <w:nsid w:val="6B294470"/>
    <w:multiLevelType w:val="multilevel"/>
    <w:tmpl w:val="6B294470"/>
    <w:lvl w:ilvl="0" w:tentative="0">
      <w:start w:val="28"/>
      <w:numFmt w:val="decimal"/>
      <w:lvlText w:val="%1"/>
      <w:lvlJc w:val="left"/>
      <w:pPr>
        <w:ind w:left="528" w:hanging="531"/>
      </w:pPr>
      <w:rPr>
        <w:rFonts w:hint="default"/>
        <w:lang w:val="zh-CN" w:eastAsia="zh-CN" w:bidi="zh-CN"/>
      </w:rPr>
    </w:lvl>
    <w:lvl w:ilvl="1" w:tentative="0">
      <w:start w:val="1"/>
      <w:numFmt w:val="none"/>
      <w:lvlText w:val="30.9.8"/>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44">
    <w:nsid w:val="6B4D3886"/>
    <w:multiLevelType w:val="multilevel"/>
    <w:tmpl w:val="6B4D388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5">
    <w:nsid w:val="6C414B15"/>
    <w:multiLevelType w:val="multilevel"/>
    <w:tmpl w:val="6C414B15"/>
    <w:lvl w:ilvl="0" w:tentative="0">
      <w:start w:val="34"/>
      <w:numFmt w:val="decimal"/>
      <w:lvlText w:val="%1"/>
      <w:lvlJc w:val="left"/>
      <w:pPr>
        <w:ind w:left="528" w:hanging="531"/>
      </w:pPr>
      <w:rPr>
        <w:rFonts w:hint="default"/>
        <w:lang w:val="zh-CN" w:eastAsia="zh-CN" w:bidi="zh-CN"/>
      </w:rPr>
    </w:lvl>
    <w:lvl w:ilvl="1" w:tentative="0">
      <w:start w:val="1"/>
      <w:numFmt w:val="none"/>
      <w:lvlText w:val="36.5.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46">
    <w:nsid w:val="6C641962"/>
    <w:multiLevelType w:val="multilevel"/>
    <w:tmpl w:val="6C641962"/>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7">
    <w:nsid w:val="6C9D15DD"/>
    <w:multiLevelType w:val="multilevel"/>
    <w:tmpl w:val="6C9D15D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decimal"/>
      <w:lvlText w:val="24.%2.%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8">
    <w:nsid w:val="6CD571AD"/>
    <w:multiLevelType w:val="multilevel"/>
    <w:tmpl w:val="6CD571AD"/>
    <w:lvl w:ilvl="0" w:tentative="0">
      <w:start w:val="12"/>
      <w:numFmt w:val="decimal"/>
      <w:lvlText w:val="%1"/>
      <w:lvlJc w:val="left"/>
      <w:pPr>
        <w:ind w:left="528" w:hanging="507"/>
      </w:pPr>
      <w:rPr>
        <w:rFonts w:hint="default"/>
        <w:lang w:val="zh-CN" w:eastAsia="zh-CN" w:bidi="zh-CN"/>
      </w:rPr>
    </w:lvl>
    <w:lvl w:ilvl="1" w:tentative="0">
      <w:start w:val="2"/>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49">
    <w:nsid w:val="6D651410"/>
    <w:multiLevelType w:val="multilevel"/>
    <w:tmpl w:val="6D6514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50">
    <w:nsid w:val="6E3C35DB"/>
    <w:multiLevelType w:val="multilevel"/>
    <w:tmpl w:val="6E3C35DB"/>
    <w:lvl w:ilvl="0" w:tentative="0">
      <w:start w:val="12"/>
      <w:numFmt w:val="decimal"/>
      <w:lvlText w:val="%1"/>
      <w:lvlJc w:val="left"/>
      <w:pPr>
        <w:ind w:left="528" w:hanging="507"/>
      </w:pPr>
      <w:rPr>
        <w:rFonts w:hint="default"/>
        <w:lang w:val="zh-CN" w:eastAsia="zh-CN" w:bidi="zh-CN"/>
      </w:rPr>
    </w:lvl>
    <w:lvl w:ilvl="1" w:tentative="0">
      <w:start w:val="2"/>
      <w:numFmt w:val="none"/>
      <w:lvlText w:val="1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51">
    <w:nsid w:val="6E3E125E"/>
    <w:multiLevelType w:val="multilevel"/>
    <w:tmpl w:val="6E3E125E"/>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52">
    <w:nsid w:val="6E934A17"/>
    <w:multiLevelType w:val="multilevel"/>
    <w:tmpl w:val="6E934A17"/>
    <w:lvl w:ilvl="0" w:tentative="0">
      <w:start w:val="16"/>
      <w:numFmt w:val="decimal"/>
      <w:lvlText w:val="%1"/>
      <w:lvlJc w:val="left"/>
      <w:pPr>
        <w:ind w:left="528" w:hanging="531"/>
      </w:pPr>
      <w:rPr>
        <w:rFonts w:hint="default" w:ascii="Times New Roman" w:hAnsi="Times New Roman"/>
        <w:sz w:val="21"/>
      </w:rPr>
    </w:lvl>
    <w:lvl w:ilvl="1" w:tentative="0">
      <w:start w:val="17"/>
      <w:numFmt w:val="none"/>
      <w:lvlText w:val="17"/>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153">
    <w:nsid w:val="6F902AD9"/>
    <w:multiLevelType w:val="multilevel"/>
    <w:tmpl w:val="6F902AD9"/>
    <w:lvl w:ilvl="0" w:tentative="0">
      <w:start w:val="28"/>
      <w:numFmt w:val="decimal"/>
      <w:lvlText w:val="%1"/>
      <w:lvlJc w:val="left"/>
      <w:pPr>
        <w:ind w:left="528" w:hanging="531"/>
      </w:pPr>
      <w:rPr>
        <w:rFonts w:hint="default"/>
        <w:lang w:val="zh-CN" w:eastAsia="zh-CN" w:bidi="zh-CN"/>
      </w:rPr>
    </w:lvl>
    <w:lvl w:ilvl="1" w:tentative="0">
      <w:start w:val="1"/>
      <w:numFmt w:val="none"/>
      <w:lvlText w:val="30.9.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54">
    <w:nsid w:val="70884F8F"/>
    <w:multiLevelType w:val="multilevel"/>
    <w:tmpl w:val="70884F8F"/>
    <w:lvl w:ilvl="0" w:tentative="0">
      <w:start w:val="17"/>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55">
    <w:nsid w:val="71CB43EA"/>
    <w:multiLevelType w:val="multilevel"/>
    <w:tmpl w:val="71CB43EA"/>
    <w:lvl w:ilvl="0" w:tentative="0">
      <w:start w:val="14"/>
      <w:numFmt w:val="decimal"/>
      <w:lvlText w:val="%1"/>
      <w:lvlJc w:val="left"/>
      <w:pPr>
        <w:ind w:left="1514" w:hanging="507"/>
      </w:pPr>
      <w:rPr>
        <w:rFonts w:hint="default"/>
        <w:lang w:val="zh-CN" w:eastAsia="zh-CN" w:bidi="zh-CN"/>
      </w:rPr>
    </w:lvl>
    <w:lvl w:ilvl="1" w:tentative="0">
      <w:start w:val="1"/>
      <w:numFmt w:val="none"/>
      <w:lvlText w:val="15.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56">
    <w:nsid w:val="72A91535"/>
    <w:multiLevelType w:val="multilevel"/>
    <w:tmpl w:val="72A91535"/>
    <w:lvl w:ilvl="0" w:tentative="0">
      <w:start w:val="5"/>
      <w:numFmt w:val="decimal"/>
      <w:lvlText w:val="%1"/>
      <w:lvlJc w:val="left"/>
      <w:pPr>
        <w:ind w:left="528" w:hanging="375"/>
      </w:pPr>
      <w:rPr>
        <w:rFonts w:hint="default"/>
        <w:lang w:val="zh-CN" w:eastAsia="zh-CN" w:bidi="zh-CN"/>
      </w:rPr>
    </w:lvl>
    <w:lvl w:ilvl="1" w:tentative="0">
      <w:start w:val="1"/>
      <w:numFmt w:val="decimal"/>
      <w:lvlText w:val="%1.%2"/>
      <w:lvlJc w:val="left"/>
      <w:pPr>
        <w:ind w:left="528" w:hanging="375"/>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57">
    <w:nsid w:val="73584998"/>
    <w:multiLevelType w:val="multilevel"/>
    <w:tmpl w:val="73584998"/>
    <w:lvl w:ilvl="0" w:tentative="0">
      <w:start w:val="34"/>
      <w:numFmt w:val="decimal"/>
      <w:lvlText w:val="%1"/>
      <w:lvlJc w:val="left"/>
      <w:pPr>
        <w:ind w:left="528" w:hanging="531"/>
      </w:pPr>
      <w:rPr>
        <w:rFonts w:hint="default"/>
        <w:lang w:val="zh-CN" w:eastAsia="zh-CN" w:bidi="zh-CN"/>
      </w:rPr>
    </w:lvl>
    <w:lvl w:ilvl="1" w:tentative="0">
      <w:start w:val="1"/>
      <w:numFmt w:val="none"/>
      <w:lvlText w:val="36.9.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58">
    <w:nsid w:val="73B95B61"/>
    <w:multiLevelType w:val="multilevel"/>
    <w:tmpl w:val="73B95B61"/>
    <w:lvl w:ilvl="0" w:tentative="0">
      <w:start w:val="18"/>
      <w:numFmt w:val="decimal"/>
      <w:lvlText w:val="%1"/>
      <w:lvlJc w:val="left"/>
      <w:pPr>
        <w:ind w:left="528" w:hanging="507"/>
      </w:pPr>
      <w:rPr>
        <w:rFonts w:hint="default"/>
        <w:lang w:val="zh-CN" w:eastAsia="zh-CN" w:bidi="zh-CN"/>
      </w:rPr>
    </w:lvl>
    <w:lvl w:ilvl="1" w:tentative="0">
      <w:start w:val="1"/>
      <w:numFmt w:val="none"/>
      <w:lvlText w:val="20.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59">
    <w:nsid w:val="74A22B63"/>
    <w:multiLevelType w:val="multilevel"/>
    <w:tmpl w:val="74A22B63"/>
    <w:lvl w:ilvl="0" w:tentative="0">
      <w:start w:val="2"/>
      <w:numFmt w:val="decimal"/>
      <w:lvlText w:val="%1"/>
      <w:lvlJc w:val="left"/>
      <w:pPr>
        <w:ind w:left="1373" w:hanging="375"/>
      </w:pPr>
      <w:rPr>
        <w:rFonts w:hint="default"/>
        <w:lang w:val="zh-CN" w:eastAsia="zh-CN" w:bidi="zh-CN"/>
      </w:rPr>
    </w:lvl>
    <w:lvl w:ilvl="1" w:tentative="0">
      <w:start w:val="1"/>
      <w:numFmt w:val="decimal"/>
      <w:lvlText w:val="%1.%2"/>
      <w:lvlJc w:val="left"/>
      <w:pPr>
        <w:ind w:left="528" w:hanging="375"/>
      </w:pPr>
      <w:rPr>
        <w:rFonts w:hint="default"/>
        <w:color w:val="000000" w:themeColor="text1"/>
        <w:spacing w:val="-1"/>
        <w:w w:val="82"/>
        <w:lang w:val="zh-CN" w:eastAsia="zh-CN" w:bidi="zh-CN"/>
        <w14:textFill>
          <w14:solidFill>
            <w14:schemeClr w14:val="tx1"/>
          </w14:solidFill>
        </w14:textFill>
      </w:rPr>
    </w:lvl>
    <w:lvl w:ilvl="2" w:tentative="0">
      <w:start w:val="0"/>
      <w:numFmt w:val="bullet"/>
      <w:lvlText w:val="•"/>
      <w:lvlJc w:val="left"/>
      <w:pPr>
        <w:ind w:left="2469" w:hanging="375"/>
      </w:pPr>
      <w:rPr>
        <w:rFonts w:hint="default"/>
        <w:lang w:val="zh-CN" w:eastAsia="zh-CN" w:bidi="zh-CN"/>
      </w:rPr>
    </w:lvl>
    <w:lvl w:ilvl="3" w:tentative="0">
      <w:start w:val="0"/>
      <w:numFmt w:val="bullet"/>
      <w:lvlText w:val="•"/>
      <w:lvlJc w:val="left"/>
      <w:pPr>
        <w:ind w:left="3559" w:hanging="375"/>
      </w:pPr>
      <w:rPr>
        <w:rFonts w:hint="default"/>
        <w:lang w:val="zh-CN" w:eastAsia="zh-CN" w:bidi="zh-CN"/>
      </w:rPr>
    </w:lvl>
    <w:lvl w:ilvl="4" w:tentative="0">
      <w:start w:val="0"/>
      <w:numFmt w:val="bullet"/>
      <w:lvlText w:val="•"/>
      <w:lvlJc w:val="left"/>
      <w:pPr>
        <w:ind w:left="4648" w:hanging="375"/>
      </w:pPr>
      <w:rPr>
        <w:rFonts w:hint="default"/>
        <w:lang w:val="zh-CN" w:eastAsia="zh-CN" w:bidi="zh-CN"/>
      </w:rPr>
    </w:lvl>
    <w:lvl w:ilvl="5" w:tentative="0">
      <w:start w:val="0"/>
      <w:numFmt w:val="bullet"/>
      <w:lvlText w:val="•"/>
      <w:lvlJc w:val="left"/>
      <w:pPr>
        <w:ind w:left="5738" w:hanging="375"/>
      </w:pPr>
      <w:rPr>
        <w:rFonts w:hint="default"/>
        <w:lang w:val="zh-CN" w:eastAsia="zh-CN" w:bidi="zh-CN"/>
      </w:rPr>
    </w:lvl>
    <w:lvl w:ilvl="6" w:tentative="0">
      <w:start w:val="0"/>
      <w:numFmt w:val="bullet"/>
      <w:lvlText w:val="•"/>
      <w:lvlJc w:val="left"/>
      <w:pPr>
        <w:ind w:left="6828" w:hanging="375"/>
      </w:pPr>
      <w:rPr>
        <w:rFonts w:hint="default"/>
        <w:lang w:val="zh-CN" w:eastAsia="zh-CN" w:bidi="zh-CN"/>
      </w:rPr>
    </w:lvl>
    <w:lvl w:ilvl="7" w:tentative="0">
      <w:start w:val="0"/>
      <w:numFmt w:val="bullet"/>
      <w:lvlText w:val="•"/>
      <w:lvlJc w:val="left"/>
      <w:pPr>
        <w:ind w:left="7917" w:hanging="375"/>
      </w:pPr>
      <w:rPr>
        <w:rFonts w:hint="default"/>
        <w:lang w:val="zh-CN" w:eastAsia="zh-CN" w:bidi="zh-CN"/>
      </w:rPr>
    </w:lvl>
    <w:lvl w:ilvl="8" w:tentative="0">
      <w:start w:val="0"/>
      <w:numFmt w:val="bullet"/>
      <w:lvlText w:val="•"/>
      <w:lvlJc w:val="left"/>
      <w:pPr>
        <w:ind w:left="9007" w:hanging="375"/>
      </w:pPr>
      <w:rPr>
        <w:rFonts w:hint="default"/>
        <w:lang w:val="zh-CN" w:eastAsia="zh-CN" w:bidi="zh-CN"/>
      </w:rPr>
    </w:lvl>
  </w:abstractNum>
  <w:abstractNum w:abstractNumId="160">
    <w:nsid w:val="74D84169"/>
    <w:multiLevelType w:val="multilevel"/>
    <w:tmpl w:val="74D8416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1">
    <w:nsid w:val="74FA598B"/>
    <w:multiLevelType w:val="multilevel"/>
    <w:tmpl w:val="74FA598B"/>
    <w:lvl w:ilvl="0" w:tentative="0">
      <w:start w:val="28"/>
      <w:numFmt w:val="decimal"/>
      <w:lvlText w:val="%1"/>
      <w:lvlJc w:val="left"/>
      <w:pPr>
        <w:ind w:left="528" w:hanging="531"/>
      </w:pPr>
      <w:rPr>
        <w:rFonts w:hint="default"/>
        <w:lang w:val="zh-CN" w:eastAsia="zh-CN" w:bidi="zh-CN"/>
      </w:rPr>
    </w:lvl>
    <w:lvl w:ilvl="1" w:tentative="0">
      <w:start w:val="1"/>
      <w:numFmt w:val="none"/>
      <w:lvlText w:val="30.9.5"/>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62">
    <w:nsid w:val="75F22937"/>
    <w:multiLevelType w:val="multilevel"/>
    <w:tmpl w:val="75F22937"/>
    <w:lvl w:ilvl="0" w:tentative="0">
      <w:start w:val="32"/>
      <w:numFmt w:val="decimal"/>
      <w:lvlText w:val="%1"/>
      <w:lvlJc w:val="left"/>
      <w:pPr>
        <w:ind w:left="528" w:hanging="531"/>
      </w:pPr>
      <w:rPr>
        <w:rFonts w:hint="default"/>
        <w:lang w:val="zh-CN" w:eastAsia="zh-CN" w:bidi="zh-CN"/>
      </w:rPr>
    </w:lvl>
    <w:lvl w:ilvl="1" w:tentative="0">
      <w:start w:val="1"/>
      <w:numFmt w:val="none"/>
      <w:lvlText w:val="35"/>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63">
    <w:nsid w:val="783719C5"/>
    <w:multiLevelType w:val="multilevel"/>
    <w:tmpl w:val="783719C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4">
    <w:nsid w:val="7C0102D4"/>
    <w:multiLevelType w:val="multilevel"/>
    <w:tmpl w:val="7C0102D4"/>
    <w:lvl w:ilvl="0" w:tentative="0">
      <w:start w:val="28"/>
      <w:numFmt w:val="decimal"/>
      <w:lvlText w:val="%1"/>
      <w:lvlJc w:val="left"/>
      <w:pPr>
        <w:ind w:left="528" w:hanging="531"/>
      </w:pPr>
      <w:rPr>
        <w:rFonts w:hint="default"/>
        <w:lang w:val="zh-CN" w:eastAsia="zh-CN" w:bidi="zh-CN"/>
      </w:rPr>
    </w:lvl>
    <w:lvl w:ilvl="1" w:tentative="0">
      <w:start w:val="1"/>
      <w:numFmt w:val="none"/>
      <w:lvlText w:val="30.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65">
    <w:nsid w:val="7C55124F"/>
    <w:multiLevelType w:val="multilevel"/>
    <w:tmpl w:val="7C55124F"/>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6">
    <w:nsid w:val="7D3406AC"/>
    <w:multiLevelType w:val="multilevel"/>
    <w:tmpl w:val="7D3406AC"/>
    <w:lvl w:ilvl="0" w:tentative="0">
      <w:start w:val="34"/>
      <w:numFmt w:val="decimal"/>
      <w:lvlText w:val="%1"/>
      <w:lvlJc w:val="left"/>
      <w:pPr>
        <w:ind w:left="528" w:hanging="531"/>
      </w:pPr>
      <w:rPr>
        <w:rFonts w:hint="default"/>
        <w:lang w:val="zh-CN" w:eastAsia="zh-CN" w:bidi="zh-CN"/>
      </w:rPr>
    </w:lvl>
    <w:lvl w:ilvl="1" w:tentative="0">
      <w:start w:val="1"/>
      <w:numFmt w:val="none"/>
      <w:lvlText w:val="37"/>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67">
    <w:nsid w:val="7D8E079D"/>
    <w:multiLevelType w:val="multilevel"/>
    <w:tmpl w:val="7D8E079D"/>
    <w:lvl w:ilvl="0" w:tentative="0">
      <w:start w:val="34"/>
      <w:numFmt w:val="decimal"/>
      <w:lvlText w:val="%1"/>
      <w:lvlJc w:val="left"/>
      <w:pPr>
        <w:ind w:left="528" w:hanging="531"/>
      </w:pPr>
      <w:rPr>
        <w:rFonts w:hint="default"/>
        <w:lang w:val="zh-CN" w:eastAsia="zh-CN" w:bidi="zh-CN"/>
      </w:rPr>
    </w:lvl>
    <w:lvl w:ilvl="1" w:tentative="0">
      <w:start w:val="1"/>
      <w:numFmt w:val="none"/>
      <w:lvlText w:val="36.9"/>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68">
    <w:nsid w:val="7DED525D"/>
    <w:multiLevelType w:val="multilevel"/>
    <w:tmpl w:val="7DED525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9">
    <w:nsid w:val="7E03CF6D"/>
    <w:multiLevelType w:val="singleLevel"/>
    <w:tmpl w:val="7E03CF6D"/>
    <w:lvl w:ilvl="0" w:tentative="0">
      <w:start w:val="2"/>
      <w:numFmt w:val="decimal"/>
      <w:suff w:val="nothing"/>
      <w:lvlText w:val="%1、"/>
      <w:lvlJc w:val="left"/>
    </w:lvl>
  </w:abstractNum>
  <w:abstractNum w:abstractNumId="170">
    <w:nsid w:val="7E793510"/>
    <w:multiLevelType w:val="multilevel"/>
    <w:tmpl w:val="7E7935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num w:numId="1">
    <w:abstractNumId w:val="169"/>
  </w:num>
  <w:num w:numId="2">
    <w:abstractNumId w:val="64"/>
  </w:num>
  <w:num w:numId="3">
    <w:abstractNumId w:val="113"/>
  </w:num>
  <w:num w:numId="4">
    <w:abstractNumId w:val="159"/>
  </w:num>
  <w:num w:numId="5">
    <w:abstractNumId w:val="156"/>
  </w:num>
  <w:num w:numId="6">
    <w:abstractNumId w:val="105"/>
  </w:num>
  <w:num w:numId="7">
    <w:abstractNumId w:val="109"/>
  </w:num>
  <w:num w:numId="8">
    <w:abstractNumId w:val="76"/>
  </w:num>
  <w:num w:numId="9">
    <w:abstractNumId w:val="6"/>
  </w:num>
  <w:num w:numId="10">
    <w:abstractNumId w:val="110"/>
  </w:num>
  <w:num w:numId="11">
    <w:abstractNumId w:val="63"/>
  </w:num>
  <w:num w:numId="12">
    <w:abstractNumId w:val="43"/>
  </w:num>
  <w:num w:numId="13">
    <w:abstractNumId w:val="42"/>
  </w:num>
  <w:num w:numId="14">
    <w:abstractNumId w:val="85"/>
  </w:num>
  <w:num w:numId="15">
    <w:abstractNumId w:val="7"/>
  </w:num>
  <w:num w:numId="16">
    <w:abstractNumId w:val="92"/>
  </w:num>
  <w:num w:numId="17">
    <w:abstractNumId w:val="129"/>
  </w:num>
  <w:num w:numId="18">
    <w:abstractNumId w:val="69"/>
  </w:num>
  <w:num w:numId="19">
    <w:abstractNumId w:val="148"/>
  </w:num>
  <w:num w:numId="20">
    <w:abstractNumId w:val="150"/>
  </w:num>
  <w:num w:numId="21">
    <w:abstractNumId w:val="84"/>
  </w:num>
  <w:num w:numId="22">
    <w:abstractNumId w:val="130"/>
  </w:num>
  <w:num w:numId="23">
    <w:abstractNumId w:val="131"/>
  </w:num>
  <w:num w:numId="24">
    <w:abstractNumId w:val="54"/>
  </w:num>
  <w:num w:numId="25">
    <w:abstractNumId w:val="155"/>
  </w:num>
  <w:num w:numId="26">
    <w:abstractNumId w:val="73"/>
  </w:num>
  <w:num w:numId="27">
    <w:abstractNumId w:val="140"/>
  </w:num>
  <w:num w:numId="28">
    <w:abstractNumId w:val="16"/>
  </w:num>
  <w:num w:numId="29">
    <w:abstractNumId w:val="99"/>
  </w:num>
  <w:num w:numId="30">
    <w:abstractNumId w:val="93"/>
  </w:num>
  <w:num w:numId="31">
    <w:abstractNumId w:val="48"/>
  </w:num>
  <w:num w:numId="32">
    <w:abstractNumId w:val="35"/>
  </w:num>
  <w:num w:numId="33">
    <w:abstractNumId w:val="112"/>
  </w:num>
  <w:num w:numId="34">
    <w:abstractNumId w:val="31"/>
  </w:num>
  <w:num w:numId="35">
    <w:abstractNumId w:val="152"/>
  </w:num>
  <w:num w:numId="36">
    <w:abstractNumId w:val="154"/>
  </w:num>
  <w:num w:numId="37">
    <w:abstractNumId w:val="119"/>
  </w:num>
  <w:num w:numId="38">
    <w:abstractNumId w:val="137"/>
  </w:num>
  <w:num w:numId="39">
    <w:abstractNumId w:val="9"/>
  </w:num>
  <w:num w:numId="40">
    <w:abstractNumId w:val="103"/>
  </w:num>
  <w:num w:numId="41">
    <w:abstractNumId w:val="90"/>
  </w:num>
  <w:num w:numId="42">
    <w:abstractNumId w:val="106"/>
  </w:num>
  <w:num w:numId="43">
    <w:abstractNumId w:val="80"/>
  </w:num>
  <w:num w:numId="44">
    <w:abstractNumId w:val="89"/>
  </w:num>
  <w:num w:numId="45">
    <w:abstractNumId w:val="67"/>
  </w:num>
  <w:num w:numId="46">
    <w:abstractNumId w:val="66"/>
  </w:num>
  <w:num w:numId="47">
    <w:abstractNumId w:val="68"/>
  </w:num>
  <w:num w:numId="48">
    <w:abstractNumId w:val="124"/>
  </w:num>
  <w:num w:numId="49">
    <w:abstractNumId w:val="95"/>
  </w:num>
  <w:num w:numId="50">
    <w:abstractNumId w:val="21"/>
  </w:num>
  <w:num w:numId="51">
    <w:abstractNumId w:val="83"/>
  </w:num>
  <w:num w:numId="52">
    <w:abstractNumId w:val="24"/>
  </w:num>
  <w:num w:numId="53">
    <w:abstractNumId w:val="125"/>
  </w:num>
  <w:num w:numId="54">
    <w:abstractNumId w:val="33"/>
  </w:num>
  <w:num w:numId="55">
    <w:abstractNumId w:val="30"/>
  </w:num>
  <w:num w:numId="56">
    <w:abstractNumId w:val="158"/>
  </w:num>
  <w:num w:numId="57">
    <w:abstractNumId w:val="115"/>
  </w:num>
  <w:num w:numId="58">
    <w:abstractNumId w:val="111"/>
  </w:num>
  <w:num w:numId="59">
    <w:abstractNumId w:val="100"/>
  </w:num>
  <w:num w:numId="60">
    <w:abstractNumId w:val="8"/>
  </w:num>
  <w:num w:numId="61">
    <w:abstractNumId w:val="136"/>
  </w:num>
  <w:num w:numId="62">
    <w:abstractNumId w:val="18"/>
  </w:num>
  <w:num w:numId="63">
    <w:abstractNumId w:val="86"/>
  </w:num>
  <w:num w:numId="64">
    <w:abstractNumId w:val="13"/>
  </w:num>
  <w:num w:numId="65">
    <w:abstractNumId w:val="98"/>
  </w:num>
  <w:num w:numId="66">
    <w:abstractNumId w:val="147"/>
  </w:num>
  <w:num w:numId="67">
    <w:abstractNumId w:val="46"/>
  </w:num>
  <w:num w:numId="68">
    <w:abstractNumId w:val="81"/>
  </w:num>
  <w:num w:numId="69">
    <w:abstractNumId w:val="168"/>
  </w:num>
  <w:num w:numId="70">
    <w:abstractNumId w:val="142"/>
  </w:num>
  <w:num w:numId="71">
    <w:abstractNumId w:val="34"/>
  </w:num>
  <w:num w:numId="72">
    <w:abstractNumId w:val="160"/>
  </w:num>
  <w:num w:numId="73">
    <w:abstractNumId w:val="144"/>
  </w:num>
  <w:num w:numId="74">
    <w:abstractNumId w:val="118"/>
  </w:num>
  <w:num w:numId="75">
    <w:abstractNumId w:val="51"/>
  </w:num>
  <w:num w:numId="76">
    <w:abstractNumId w:val="128"/>
  </w:num>
  <w:num w:numId="77">
    <w:abstractNumId w:val="41"/>
  </w:num>
  <w:num w:numId="78">
    <w:abstractNumId w:val="65"/>
  </w:num>
  <w:num w:numId="79">
    <w:abstractNumId w:val="141"/>
  </w:num>
  <w:num w:numId="80">
    <w:abstractNumId w:val="127"/>
  </w:num>
  <w:num w:numId="81">
    <w:abstractNumId w:val="121"/>
  </w:num>
  <w:num w:numId="82">
    <w:abstractNumId w:val="44"/>
  </w:num>
  <w:num w:numId="83">
    <w:abstractNumId w:val="146"/>
  </w:num>
  <w:num w:numId="84">
    <w:abstractNumId w:val="149"/>
  </w:num>
  <w:num w:numId="85">
    <w:abstractNumId w:val="163"/>
  </w:num>
  <w:num w:numId="86">
    <w:abstractNumId w:val="126"/>
  </w:num>
  <w:num w:numId="87">
    <w:abstractNumId w:val="165"/>
  </w:num>
  <w:num w:numId="88">
    <w:abstractNumId w:val="2"/>
  </w:num>
  <w:num w:numId="89">
    <w:abstractNumId w:val="26"/>
  </w:num>
  <w:num w:numId="90">
    <w:abstractNumId w:val="4"/>
  </w:num>
  <w:num w:numId="91">
    <w:abstractNumId w:val="27"/>
  </w:num>
  <w:num w:numId="92">
    <w:abstractNumId w:val="151"/>
  </w:num>
  <w:num w:numId="93">
    <w:abstractNumId w:val="104"/>
  </w:num>
  <w:num w:numId="94">
    <w:abstractNumId w:val="79"/>
  </w:num>
  <w:num w:numId="95">
    <w:abstractNumId w:val="102"/>
  </w:num>
  <w:num w:numId="96">
    <w:abstractNumId w:val="71"/>
  </w:num>
  <w:num w:numId="97">
    <w:abstractNumId w:val="120"/>
  </w:num>
  <w:num w:numId="98">
    <w:abstractNumId w:val="132"/>
  </w:num>
  <w:num w:numId="99">
    <w:abstractNumId w:val="22"/>
  </w:num>
  <w:num w:numId="100">
    <w:abstractNumId w:val="97"/>
  </w:num>
  <w:num w:numId="101">
    <w:abstractNumId w:val="25"/>
  </w:num>
  <w:num w:numId="102">
    <w:abstractNumId w:val="170"/>
  </w:num>
  <w:num w:numId="103">
    <w:abstractNumId w:val="139"/>
  </w:num>
  <w:num w:numId="104">
    <w:abstractNumId w:val="19"/>
  </w:num>
  <w:num w:numId="105">
    <w:abstractNumId w:val="164"/>
  </w:num>
  <w:num w:numId="106">
    <w:abstractNumId w:val="70"/>
  </w:num>
  <w:num w:numId="107">
    <w:abstractNumId w:val="61"/>
  </w:num>
  <w:num w:numId="108">
    <w:abstractNumId w:val="96"/>
  </w:num>
  <w:num w:numId="109">
    <w:abstractNumId w:val="12"/>
  </w:num>
  <w:num w:numId="110">
    <w:abstractNumId w:val="60"/>
  </w:num>
  <w:num w:numId="111">
    <w:abstractNumId w:val="1"/>
  </w:num>
  <w:num w:numId="112">
    <w:abstractNumId w:val="17"/>
  </w:num>
  <w:num w:numId="113">
    <w:abstractNumId w:val="3"/>
  </w:num>
  <w:num w:numId="114">
    <w:abstractNumId w:val="91"/>
  </w:num>
  <w:num w:numId="115">
    <w:abstractNumId w:val="75"/>
  </w:num>
  <w:num w:numId="116">
    <w:abstractNumId w:val="72"/>
  </w:num>
  <w:num w:numId="117">
    <w:abstractNumId w:val="153"/>
  </w:num>
  <w:num w:numId="118">
    <w:abstractNumId w:val="88"/>
  </w:num>
  <w:num w:numId="119">
    <w:abstractNumId w:val="87"/>
  </w:num>
  <w:num w:numId="120">
    <w:abstractNumId w:val="161"/>
  </w:num>
  <w:num w:numId="121">
    <w:abstractNumId w:val="52"/>
  </w:num>
  <w:num w:numId="122">
    <w:abstractNumId w:val="58"/>
  </w:num>
  <w:num w:numId="123">
    <w:abstractNumId w:val="143"/>
  </w:num>
  <w:num w:numId="124">
    <w:abstractNumId w:val="29"/>
  </w:num>
  <w:num w:numId="125">
    <w:abstractNumId w:val="138"/>
  </w:num>
  <w:num w:numId="126">
    <w:abstractNumId w:val="23"/>
  </w:num>
  <w:num w:numId="127">
    <w:abstractNumId w:val="39"/>
  </w:num>
  <w:num w:numId="128">
    <w:abstractNumId w:val="11"/>
  </w:num>
  <w:num w:numId="129">
    <w:abstractNumId w:val="74"/>
  </w:num>
  <w:num w:numId="130">
    <w:abstractNumId w:val="20"/>
  </w:num>
  <w:num w:numId="131">
    <w:abstractNumId w:val="134"/>
  </w:num>
  <w:num w:numId="132">
    <w:abstractNumId w:val="10"/>
  </w:num>
  <w:num w:numId="133">
    <w:abstractNumId w:val="123"/>
  </w:num>
  <w:num w:numId="134">
    <w:abstractNumId w:val="55"/>
  </w:num>
  <w:num w:numId="135">
    <w:abstractNumId w:val="122"/>
  </w:num>
  <w:num w:numId="136">
    <w:abstractNumId w:val="57"/>
  </w:num>
  <w:num w:numId="137">
    <w:abstractNumId w:val="117"/>
  </w:num>
  <w:num w:numId="138">
    <w:abstractNumId w:val="62"/>
  </w:num>
  <w:num w:numId="139">
    <w:abstractNumId w:val="162"/>
  </w:num>
  <w:num w:numId="140">
    <w:abstractNumId w:val="101"/>
  </w:num>
  <w:num w:numId="141">
    <w:abstractNumId w:val="108"/>
  </w:num>
  <w:num w:numId="142">
    <w:abstractNumId w:val="37"/>
  </w:num>
  <w:num w:numId="143">
    <w:abstractNumId w:val="28"/>
  </w:num>
  <w:num w:numId="144">
    <w:abstractNumId w:val="114"/>
  </w:num>
  <w:num w:numId="145">
    <w:abstractNumId w:val="47"/>
  </w:num>
  <w:num w:numId="146">
    <w:abstractNumId w:val="78"/>
  </w:num>
  <w:num w:numId="147">
    <w:abstractNumId w:val="116"/>
  </w:num>
  <w:num w:numId="148">
    <w:abstractNumId w:val="56"/>
  </w:num>
  <w:num w:numId="149">
    <w:abstractNumId w:val="49"/>
  </w:num>
  <w:num w:numId="150">
    <w:abstractNumId w:val="77"/>
  </w:num>
  <w:num w:numId="151">
    <w:abstractNumId w:val="40"/>
  </w:num>
  <w:num w:numId="152">
    <w:abstractNumId w:val="94"/>
  </w:num>
  <w:num w:numId="153">
    <w:abstractNumId w:val="15"/>
  </w:num>
  <w:num w:numId="154">
    <w:abstractNumId w:val="145"/>
  </w:num>
  <w:num w:numId="155">
    <w:abstractNumId w:val="53"/>
  </w:num>
  <w:num w:numId="156">
    <w:abstractNumId w:val="133"/>
  </w:num>
  <w:num w:numId="157">
    <w:abstractNumId w:val="14"/>
  </w:num>
  <w:num w:numId="158">
    <w:abstractNumId w:val="36"/>
  </w:num>
  <w:num w:numId="159">
    <w:abstractNumId w:val="135"/>
  </w:num>
  <w:num w:numId="160">
    <w:abstractNumId w:val="167"/>
  </w:num>
  <w:num w:numId="161">
    <w:abstractNumId w:val="45"/>
  </w:num>
  <w:num w:numId="162">
    <w:abstractNumId w:val="157"/>
  </w:num>
  <w:num w:numId="163">
    <w:abstractNumId w:val="32"/>
  </w:num>
  <w:num w:numId="164">
    <w:abstractNumId w:val="107"/>
  </w:num>
  <w:num w:numId="165">
    <w:abstractNumId w:val="166"/>
  </w:num>
  <w:num w:numId="166">
    <w:abstractNumId w:val="50"/>
  </w:num>
  <w:num w:numId="167">
    <w:abstractNumId w:val="5"/>
  </w:num>
  <w:num w:numId="168">
    <w:abstractNumId w:val="38"/>
  </w:num>
  <w:num w:numId="169">
    <w:abstractNumId w:val="82"/>
  </w:num>
  <w:num w:numId="170">
    <w:abstractNumId w:val="0"/>
  </w:num>
  <w:num w:numId="171">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BD0"/>
    <w:rsid w:val="00000E46"/>
    <w:rsid w:val="00003FE9"/>
    <w:rsid w:val="000051C5"/>
    <w:rsid w:val="0000538B"/>
    <w:rsid w:val="00005AEF"/>
    <w:rsid w:val="0000653E"/>
    <w:rsid w:val="00007BB7"/>
    <w:rsid w:val="000121B8"/>
    <w:rsid w:val="00012AFB"/>
    <w:rsid w:val="00016DA6"/>
    <w:rsid w:val="00021393"/>
    <w:rsid w:val="00021C84"/>
    <w:rsid w:val="0002276A"/>
    <w:rsid w:val="00022D2B"/>
    <w:rsid w:val="00024F56"/>
    <w:rsid w:val="0003035C"/>
    <w:rsid w:val="000314AB"/>
    <w:rsid w:val="00031B82"/>
    <w:rsid w:val="00032471"/>
    <w:rsid w:val="0003279E"/>
    <w:rsid w:val="00032BE2"/>
    <w:rsid w:val="00033D65"/>
    <w:rsid w:val="0003544A"/>
    <w:rsid w:val="000358DF"/>
    <w:rsid w:val="000364F1"/>
    <w:rsid w:val="00036577"/>
    <w:rsid w:val="00037E1E"/>
    <w:rsid w:val="00040D75"/>
    <w:rsid w:val="00040E59"/>
    <w:rsid w:val="0004249E"/>
    <w:rsid w:val="000440B5"/>
    <w:rsid w:val="000474B3"/>
    <w:rsid w:val="00047BE8"/>
    <w:rsid w:val="00050EB0"/>
    <w:rsid w:val="000510B7"/>
    <w:rsid w:val="00052193"/>
    <w:rsid w:val="00053BAA"/>
    <w:rsid w:val="00053D47"/>
    <w:rsid w:val="0005530F"/>
    <w:rsid w:val="00055AED"/>
    <w:rsid w:val="00055FBB"/>
    <w:rsid w:val="00061683"/>
    <w:rsid w:val="0006344B"/>
    <w:rsid w:val="000659D3"/>
    <w:rsid w:val="0006681F"/>
    <w:rsid w:val="00070B21"/>
    <w:rsid w:val="000716D1"/>
    <w:rsid w:val="00071E47"/>
    <w:rsid w:val="0007202D"/>
    <w:rsid w:val="00073575"/>
    <w:rsid w:val="00074253"/>
    <w:rsid w:val="00074E1E"/>
    <w:rsid w:val="000768ED"/>
    <w:rsid w:val="00077719"/>
    <w:rsid w:val="0008036B"/>
    <w:rsid w:val="00083B1E"/>
    <w:rsid w:val="000860B0"/>
    <w:rsid w:val="00087BA8"/>
    <w:rsid w:val="000939AD"/>
    <w:rsid w:val="00094098"/>
    <w:rsid w:val="00096A47"/>
    <w:rsid w:val="00097918"/>
    <w:rsid w:val="000A0486"/>
    <w:rsid w:val="000A05C2"/>
    <w:rsid w:val="000A072F"/>
    <w:rsid w:val="000A0F55"/>
    <w:rsid w:val="000A12CB"/>
    <w:rsid w:val="000A1DEE"/>
    <w:rsid w:val="000A24C1"/>
    <w:rsid w:val="000A4F05"/>
    <w:rsid w:val="000A50AD"/>
    <w:rsid w:val="000A5206"/>
    <w:rsid w:val="000B1860"/>
    <w:rsid w:val="000B4191"/>
    <w:rsid w:val="000B44AC"/>
    <w:rsid w:val="000B451E"/>
    <w:rsid w:val="000B56D3"/>
    <w:rsid w:val="000B7A68"/>
    <w:rsid w:val="000C2396"/>
    <w:rsid w:val="000C468F"/>
    <w:rsid w:val="000C66F3"/>
    <w:rsid w:val="000D0194"/>
    <w:rsid w:val="000D08EA"/>
    <w:rsid w:val="000D0C27"/>
    <w:rsid w:val="000D1B0A"/>
    <w:rsid w:val="000D3499"/>
    <w:rsid w:val="000D4369"/>
    <w:rsid w:val="000D5E9C"/>
    <w:rsid w:val="000E01CF"/>
    <w:rsid w:val="000E097D"/>
    <w:rsid w:val="000E2899"/>
    <w:rsid w:val="000E3E6C"/>
    <w:rsid w:val="000E6CF5"/>
    <w:rsid w:val="000E707B"/>
    <w:rsid w:val="000E7C4C"/>
    <w:rsid w:val="000F12C0"/>
    <w:rsid w:val="000F1B13"/>
    <w:rsid w:val="000F25FB"/>
    <w:rsid w:val="000F2B85"/>
    <w:rsid w:val="000F31D2"/>
    <w:rsid w:val="000F3259"/>
    <w:rsid w:val="000F4025"/>
    <w:rsid w:val="000F4531"/>
    <w:rsid w:val="000F548E"/>
    <w:rsid w:val="000F62B0"/>
    <w:rsid w:val="000F6CDD"/>
    <w:rsid w:val="000F77BC"/>
    <w:rsid w:val="000F7F1E"/>
    <w:rsid w:val="00100BCB"/>
    <w:rsid w:val="00102102"/>
    <w:rsid w:val="001039FC"/>
    <w:rsid w:val="001046AF"/>
    <w:rsid w:val="00105DB2"/>
    <w:rsid w:val="00106268"/>
    <w:rsid w:val="001067C0"/>
    <w:rsid w:val="00106B6E"/>
    <w:rsid w:val="00107094"/>
    <w:rsid w:val="00107690"/>
    <w:rsid w:val="00107875"/>
    <w:rsid w:val="00110791"/>
    <w:rsid w:val="001134A6"/>
    <w:rsid w:val="0011672F"/>
    <w:rsid w:val="00120170"/>
    <w:rsid w:val="001215E6"/>
    <w:rsid w:val="001232B2"/>
    <w:rsid w:val="00123E9A"/>
    <w:rsid w:val="001304C9"/>
    <w:rsid w:val="0013058F"/>
    <w:rsid w:val="00130DD2"/>
    <w:rsid w:val="00131826"/>
    <w:rsid w:val="0013499C"/>
    <w:rsid w:val="00135177"/>
    <w:rsid w:val="0013568A"/>
    <w:rsid w:val="0013634F"/>
    <w:rsid w:val="001365A6"/>
    <w:rsid w:val="0014019F"/>
    <w:rsid w:val="0014094A"/>
    <w:rsid w:val="00140AAD"/>
    <w:rsid w:val="00141315"/>
    <w:rsid w:val="00143429"/>
    <w:rsid w:val="00143D12"/>
    <w:rsid w:val="00144B1B"/>
    <w:rsid w:val="001465A2"/>
    <w:rsid w:val="00146E90"/>
    <w:rsid w:val="00147DCC"/>
    <w:rsid w:val="0015154A"/>
    <w:rsid w:val="0015259E"/>
    <w:rsid w:val="00154197"/>
    <w:rsid w:val="001553F8"/>
    <w:rsid w:val="00156A40"/>
    <w:rsid w:val="0016196E"/>
    <w:rsid w:val="00163B01"/>
    <w:rsid w:val="0016444D"/>
    <w:rsid w:val="001672B4"/>
    <w:rsid w:val="00171D94"/>
    <w:rsid w:val="0017386E"/>
    <w:rsid w:val="00175BA0"/>
    <w:rsid w:val="00176B0E"/>
    <w:rsid w:val="001772B6"/>
    <w:rsid w:val="00177D5F"/>
    <w:rsid w:val="00181CA4"/>
    <w:rsid w:val="0018264B"/>
    <w:rsid w:val="0019243C"/>
    <w:rsid w:val="00194126"/>
    <w:rsid w:val="00194193"/>
    <w:rsid w:val="001951D9"/>
    <w:rsid w:val="001A0F75"/>
    <w:rsid w:val="001A2A12"/>
    <w:rsid w:val="001A450F"/>
    <w:rsid w:val="001A5241"/>
    <w:rsid w:val="001A59F7"/>
    <w:rsid w:val="001A5D12"/>
    <w:rsid w:val="001A68A7"/>
    <w:rsid w:val="001A7F66"/>
    <w:rsid w:val="001B01CC"/>
    <w:rsid w:val="001B0280"/>
    <w:rsid w:val="001B068D"/>
    <w:rsid w:val="001B0A9D"/>
    <w:rsid w:val="001B1751"/>
    <w:rsid w:val="001B27D6"/>
    <w:rsid w:val="001B2F74"/>
    <w:rsid w:val="001B31DD"/>
    <w:rsid w:val="001B36D9"/>
    <w:rsid w:val="001B3B28"/>
    <w:rsid w:val="001B43B1"/>
    <w:rsid w:val="001B5B16"/>
    <w:rsid w:val="001B604E"/>
    <w:rsid w:val="001B7810"/>
    <w:rsid w:val="001C1702"/>
    <w:rsid w:val="001C1939"/>
    <w:rsid w:val="001C2A11"/>
    <w:rsid w:val="001C4857"/>
    <w:rsid w:val="001C63C1"/>
    <w:rsid w:val="001C6A4B"/>
    <w:rsid w:val="001D11E1"/>
    <w:rsid w:val="001D1413"/>
    <w:rsid w:val="001D2ED2"/>
    <w:rsid w:val="001D5E2E"/>
    <w:rsid w:val="001D6574"/>
    <w:rsid w:val="001D6652"/>
    <w:rsid w:val="001E028F"/>
    <w:rsid w:val="001E2FC7"/>
    <w:rsid w:val="001E323A"/>
    <w:rsid w:val="001E49B5"/>
    <w:rsid w:val="001E646A"/>
    <w:rsid w:val="001F10EB"/>
    <w:rsid w:val="001F1662"/>
    <w:rsid w:val="001F2DCC"/>
    <w:rsid w:val="001F33F7"/>
    <w:rsid w:val="001F5898"/>
    <w:rsid w:val="001F6E2C"/>
    <w:rsid w:val="001F7396"/>
    <w:rsid w:val="001F76BB"/>
    <w:rsid w:val="001F7C6D"/>
    <w:rsid w:val="00201E30"/>
    <w:rsid w:val="00202B74"/>
    <w:rsid w:val="00204852"/>
    <w:rsid w:val="002108E5"/>
    <w:rsid w:val="00210E72"/>
    <w:rsid w:val="002110CC"/>
    <w:rsid w:val="00213710"/>
    <w:rsid w:val="002160FD"/>
    <w:rsid w:val="00220D92"/>
    <w:rsid w:val="0022320A"/>
    <w:rsid w:val="00223F06"/>
    <w:rsid w:val="00224855"/>
    <w:rsid w:val="00230381"/>
    <w:rsid w:val="002338A5"/>
    <w:rsid w:val="00235B61"/>
    <w:rsid w:val="00237104"/>
    <w:rsid w:val="002378BE"/>
    <w:rsid w:val="0024157A"/>
    <w:rsid w:val="002429C6"/>
    <w:rsid w:val="00244548"/>
    <w:rsid w:val="00244B17"/>
    <w:rsid w:val="002450A4"/>
    <w:rsid w:val="002452B7"/>
    <w:rsid w:val="0024647B"/>
    <w:rsid w:val="0025091D"/>
    <w:rsid w:val="00252AD9"/>
    <w:rsid w:val="00256A66"/>
    <w:rsid w:val="002606B1"/>
    <w:rsid w:val="0026258F"/>
    <w:rsid w:val="00262B5E"/>
    <w:rsid w:val="00262D15"/>
    <w:rsid w:val="00264355"/>
    <w:rsid w:val="00264C1E"/>
    <w:rsid w:val="0026566F"/>
    <w:rsid w:val="00266750"/>
    <w:rsid w:val="00270C84"/>
    <w:rsid w:val="00271E0A"/>
    <w:rsid w:val="00274AB7"/>
    <w:rsid w:val="0027733E"/>
    <w:rsid w:val="00277884"/>
    <w:rsid w:val="0028012A"/>
    <w:rsid w:val="0028062B"/>
    <w:rsid w:val="00281FCB"/>
    <w:rsid w:val="002828D4"/>
    <w:rsid w:val="00282C17"/>
    <w:rsid w:val="002830C4"/>
    <w:rsid w:val="0028324C"/>
    <w:rsid w:val="00283A6C"/>
    <w:rsid w:val="002843B0"/>
    <w:rsid w:val="0028505A"/>
    <w:rsid w:val="002868D0"/>
    <w:rsid w:val="00286BEF"/>
    <w:rsid w:val="00286D49"/>
    <w:rsid w:val="00286E85"/>
    <w:rsid w:val="00287093"/>
    <w:rsid w:val="0028777B"/>
    <w:rsid w:val="00290BCE"/>
    <w:rsid w:val="00291291"/>
    <w:rsid w:val="002918E9"/>
    <w:rsid w:val="0029302F"/>
    <w:rsid w:val="0029531E"/>
    <w:rsid w:val="002A34C5"/>
    <w:rsid w:val="002A3C1B"/>
    <w:rsid w:val="002A3FC0"/>
    <w:rsid w:val="002A502B"/>
    <w:rsid w:val="002A551D"/>
    <w:rsid w:val="002A68CF"/>
    <w:rsid w:val="002A6F09"/>
    <w:rsid w:val="002A7408"/>
    <w:rsid w:val="002A7529"/>
    <w:rsid w:val="002B0FC0"/>
    <w:rsid w:val="002B2343"/>
    <w:rsid w:val="002B23DB"/>
    <w:rsid w:val="002B325E"/>
    <w:rsid w:val="002B3953"/>
    <w:rsid w:val="002B4DCE"/>
    <w:rsid w:val="002B4F87"/>
    <w:rsid w:val="002B5E14"/>
    <w:rsid w:val="002B613B"/>
    <w:rsid w:val="002B671D"/>
    <w:rsid w:val="002B7BE5"/>
    <w:rsid w:val="002C264B"/>
    <w:rsid w:val="002C2B89"/>
    <w:rsid w:val="002C345B"/>
    <w:rsid w:val="002C4B4F"/>
    <w:rsid w:val="002C577A"/>
    <w:rsid w:val="002C6A89"/>
    <w:rsid w:val="002C7A49"/>
    <w:rsid w:val="002D02F8"/>
    <w:rsid w:val="002D0658"/>
    <w:rsid w:val="002D1260"/>
    <w:rsid w:val="002D16A1"/>
    <w:rsid w:val="002D2E75"/>
    <w:rsid w:val="002D4D3E"/>
    <w:rsid w:val="002D6789"/>
    <w:rsid w:val="002D6F13"/>
    <w:rsid w:val="002E0CF3"/>
    <w:rsid w:val="002E1341"/>
    <w:rsid w:val="002E34CC"/>
    <w:rsid w:val="002E3DF3"/>
    <w:rsid w:val="002F2306"/>
    <w:rsid w:val="002F2D2C"/>
    <w:rsid w:val="002F347B"/>
    <w:rsid w:val="002F490F"/>
    <w:rsid w:val="002F4B36"/>
    <w:rsid w:val="002F589C"/>
    <w:rsid w:val="002F58E0"/>
    <w:rsid w:val="002F6B7B"/>
    <w:rsid w:val="00302FE8"/>
    <w:rsid w:val="003047B0"/>
    <w:rsid w:val="00304A43"/>
    <w:rsid w:val="0030571D"/>
    <w:rsid w:val="003058CB"/>
    <w:rsid w:val="003114DD"/>
    <w:rsid w:val="003117E5"/>
    <w:rsid w:val="00311CDF"/>
    <w:rsid w:val="0031487D"/>
    <w:rsid w:val="00317022"/>
    <w:rsid w:val="00321184"/>
    <w:rsid w:val="003215FE"/>
    <w:rsid w:val="00324A37"/>
    <w:rsid w:val="00324EE3"/>
    <w:rsid w:val="00325CE4"/>
    <w:rsid w:val="00326793"/>
    <w:rsid w:val="003272CA"/>
    <w:rsid w:val="00327D9D"/>
    <w:rsid w:val="003301D2"/>
    <w:rsid w:val="003316E4"/>
    <w:rsid w:val="00331A10"/>
    <w:rsid w:val="00332AE0"/>
    <w:rsid w:val="003373F3"/>
    <w:rsid w:val="00340DF1"/>
    <w:rsid w:val="0034261D"/>
    <w:rsid w:val="003443A1"/>
    <w:rsid w:val="00347993"/>
    <w:rsid w:val="003506DB"/>
    <w:rsid w:val="00350794"/>
    <w:rsid w:val="0035099A"/>
    <w:rsid w:val="00351F5A"/>
    <w:rsid w:val="00352923"/>
    <w:rsid w:val="00353E32"/>
    <w:rsid w:val="003547A9"/>
    <w:rsid w:val="00354E5A"/>
    <w:rsid w:val="00354E70"/>
    <w:rsid w:val="0035619F"/>
    <w:rsid w:val="0035625E"/>
    <w:rsid w:val="00356E87"/>
    <w:rsid w:val="00357276"/>
    <w:rsid w:val="00357561"/>
    <w:rsid w:val="0036018A"/>
    <w:rsid w:val="00362946"/>
    <w:rsid w:val="0036386A"/>
    <w:rsid w:val="00363E41"/>
    <w:rsid w:val="003705EC"/>
    <w:rsid w:val="00370858"/>
    <w:rsid w:val="003725DF"/>
    <w:rsid w:val="00373BEF"/>
    <w:rsid w:val="00373E35"/>
    <w:rsid w:val="003742F6"/>
    <w:rsid w:val="00376205"/>
    <w:rsid w:val="00376991"/>
    <w:rsid w:val="00381244"/>
    <w:rsid w:val="003827C0"/>
    <w:rsid w:val="00385DFD"/>
    <w:rsid w:val="00386675"/>
    <w:rsid w:val="00387CEC"/>
    <w:rsid w:val="00387E18"/>
    <w:rsid w:val="00390F88"/>
    <w:rsid w:val="00392175"/>
    <w:rsid w:val="0039365F"/>
    <w:rsid w:val="003957D5"/>
    <w:rsid w:val="0039746B"/>
    <w:rsid w:val="003A2000"/>
    <w:rsid w:val="003A2185"/>
    <w:rsid w:val="003A3C8A"/>
    <w:rsid w:val="003A4F1C"/>
    <w:rsid w:val="003A524D"/>
    <w:rsid w:val="003A5F91"/>
    <w:rsid w:val="003A72C7"/>
    <w:rsid w:val="003A77CC"/>
    <w:rsid w:val="003A7A23"/>
    <w:rsid w:val="003B6DF7"/>
    <w:rsid w:val="003C21A6"/>
    <w:rsid w:val="003C481B"/>
    <w:rsid w:val="003C4C64"/>
    <w:rsid w:val="003C6CA7"/>
    <w:rsid w:val="003C6DB7"/>
    <w:rsid w:val="003D3CB2"/>
    <w:rsid w:val="003D46B3"/>
    <w:rsid w:val="003D5497"/>
    <w:rsid w:val="003D57BE"/>
    <w:rsid w:val="003D63B8"/>
    <w:rsid w:val="003D6AF6"/>
    <w:rsid w:val="003D6D25"/>
    <w:rsid w:val="003E1ED8"/>
    <w:rsid w:val="003E3E1A"/>
    <w:rsid w:val="003E56B8"/>
    <w:rsid w:val="003E57A8"/>
    <w:rsid w:val="003E7919"/>
    <w:rsid w:val="003F108C"/>
    <w:rsid w:val="003F2138"/>
    <w:rsid w:val="003F2EDC"/>
    <w:rsid w:val="003F45A3"/>
    <w:rsid w:val="003F46C5"/>
    <w:rsid w:val="003F53EF"/>
    <w:rsid w:val="003F57E5"/>
    <w:rsid w:val="003F64A7"/>
    <w:rsid w:val="003F6E01"/>
    <w:rsid w:val="003F70A7"/>
    <w:rsid w:val="0040028E"/>
    <w:rsid w:val="00400450"/>
    <w:rsid w:val="00400E5B"/>
    <w:rsid w:val="004046C6"/>
    <w:rsid w:val="00404731"/>
    <w:rsid w:val="00404B5A"/>
    <w:rsid w:val="00405ECE"/>
    <w:rsid w:val="00406547"/>
    <w:rsid w:val="00406F43"/>
    <w:rsid w:val="00410166"/>
    <w:rsid w:val="00412E15"/>
    <w:rsid w:val="004173C8"/>
    <w:rsid w:val="00417A12"/>
    <w:rsid w:val="004210F0"/>
    <w:rsid w:val="0042218D"/>
    <w:rsid w:val="004236D8"/>
    <w:rsid w:val="004240BB"/>
    <w:rsid w:val="00424416"/>
    <w:rsid w:val="00424DFB"/>
    <w:rsid w:val="00424EF1"/>
    <w:rsid w:val="004270BC"/>
    <w:rsid w:val="00427383"/>
    <w:rsid w:val="00427944"/>
    <w:rsid w:val="0043135C"/>
    <w:rsid w:val="004333ED"/>
    <w:rsid w:val="004355AC"/>
    <w:rsid w:val="00435A34"/>
    <w:rsid w:val="0043773C"/>
    <w:rsid w:val="00440225"/>
    <w:rsid w:val="00440314"/>
    <w:rsid w:val="004410DB"/>
    <w:rsid w:val="0044128F"/>
    <w:rsid w:val="00442A46"/>
    <w:rsid w:val="00444FB3"/>
    <w:rsid w:val="00445F00"/>
    <w:rsid w:val="004461B8"/>
    <w:rsid w:val="00446904"/>
    <w:rsid w:val="004506E2"/>
    <w:rsid w:val="00450BE9"/>
    <w:rsid w:val="00452084"/>
    <w:rsid w:val="004525F3"/>
    <w:rsid w:val="0045394F"/>
    <w:rsid w:val="00455C29"/>
    <w:rsid w:val="0045680E"/>
    <w:rsid w:val="00456940"/>
    <w:rsid w:val="00460096"/>
    <w:rsid w:val="0046013B"/>
    <w:rsid w:val="00460632"/>
    <w:rsid w:val="00464C5E"/>
    <w:rsid w:val="004664EB"/>
    <w:rsid w:val="00466A25"/>
    <w:rsid w:val="00466ADE"/>
    <w:rsid w:val="0047029D"/>
    <w:rsid w:val="004718E7"/>
    <w:rsid w:val="0047211F"/>
    <w:rsid w:val="004735D5"/>
    <w:rsid w:val="0047411B"/>
    <w:rsid w:val="00475294"/>
    <w:rsid w:val="004771D6"/>
    <w:rsid w:val="0047785D"/>
    <w:rsid w:val="00480751"/>
    <w:rsid w:val="00481620"/>
    <w:rsid w:val="004816C9"/>
    <w:rsid w:val="00482425"/>
    <w:rsid w:val="00482FFD"/>
    <w:rsid w:val="004833EC"/>
    <w:rsid w:val="00483809"/>
    <w:rsid w:val="00485BF0"/>
    <w:rsid w:val="00486DC2"/>
    <w:rsid w:val="004877B2"/>
    <w:rsid w:val="004914AB"/>
    <w:rsid w:val="00492CBD"/>
    <w:rsid w:val="00492DD2"/>
    <w:rsid w:val="00493882"/>
    <w:rsid w:val="00494BC1"/>
    <w:rsid w:val="004952DE"/>
    <w:rsid w:val="00495F43"/>
    <w:rsid w:val="004A10EB"/>
    <w:rsid w:val="004A330C"/>
    <w:rsid w:val="004A39D2"/>
    <w:rsid w:val="004A4922"/>
    <w:rsid w:val="004A5F93"/>
    <w:rsid w:val="004A6CBD"/>
    <w:rsid w:val="004B2C89"/>
    <w:rsid w:val="004B4FFC"/>
    <w:rsid w:val="004B5974"/>
    <w:rsid w:val="004B6011"/>
    <w:rsid w:val="004B6BC7"/>
    <w:rsid w:val="004C08E3"/>
    <w:rsid w:val="004C0B3B"/>
    <w:rsid w:val="004C1993"/>
    <w:rsid w:val="004C1EEE"/>
    <w:rsid w:val="004C1F88"/>
    <w:rsid w:val="004C396E"/>
    <w:rsid w:val="004C683D"/>
    <w:rsid w:val="004C694B"/>
    <w:rsid w:val="004C71D5"/>
    <w:rsid w:val="004D154D"/>
    <w:rsid w:val="004D381E"/>
    <w:rsid w:val="004D3927"/>
    <w:rsid w:val="004D44C7"/>
    <w:rsid w:val="004D65C0"/>
    <w:rsid w:val="004D6B88"/>
    <w:rsid w:val="004E045D"/>
    <w:rsid w:val="004E3D0D"/>
    <w:rsid w:val="004E3FFD"/>
    <w:rsid w:val="004E7231"/>
    <w:rsid w:val="004F0F42"/>
    <w:rsid w:val="004F1F20"/>
    <w:rsid w:val="004F4BD9"/>
    <w:rsid w:val="004F64B3"/>
    <w:rsid w:val="004F66D1"/>
    <w:rsid w:val="00500C1F"/>
    <w:rsid w:val="00501D4D"/>
    <w:rsid w:val="005033D3"/>
    <w:rsid w:val="00503C69"/>
    <w:rsid w:val="005054CC"/>
    <w:rsid w:val="00505833"/>
    <w:rsid w:val="00505F8A"/>
    <w:rsid w:val="00506138"/>
    <w:rsid w:val="005062B4"/>
    <w:rsid w:val="0051026A"/>
    <w:rsid w:val="005105E3"/>
    <w:rsid w:val="00510E11"/>
    <w:rsid w:val="00511544"/>
    <w:rsid w:val="00513DED"/>
    <w:rsid w:val="00514EFE"/>
    <w:rsid w:val="005150E4"/>
    <w:rsid w:val="00517EDA"/>
    <w:rsid w:val="00522C41"/>
    <w:rsid w:val="00525EAE"/>
    <w:rsid w:val="005260FD"/>
    <w:rsid w:val="005261CC"/>
    <w:rsid w:val="005272CE"/>
    <w:rsid w:val="00531A68"/>
    <w:rsid w:val="005326C0"/>
    <w:rsid w:val="0053294D"/>
    <w:rsid w:val="00534454"/>
    <w:rsid w:val="0053494A"/>
    <w:rsid w:val="00535E8E"/>
    <w:rsid w:val="00537318"/>
    <w:rsid w:val="00540DA0"/>
    <w:rsid w:val="005413F1"/>
    <w:rsid w:val="00542258"/>
    <w:rsid w:val="00547860"/>
    <w:rsid w:val="00551D6C"/>
    <w:rsid w:val="00551F38"/>
    <w:rsid w:val="0055255F"/>
    <w:rsid w:val="005525FF"/>
    <w:rsid w:val="005537C7"/>
    <w:rsid w:val="00554CB7"/>
    <w:rsid w:val="00556BFD"/>
    <w:rsid w:val="005572FA"/>
    <w:rsid w:val="00560096"/>
    <w:rsid w:val="00560D42"/>
    <w:rsid w:val="0056101D"/>
    <w:rsid w:val="00561332"/>
    <w:rsid w:val="00561E79"/>
    <w:rsid w:val="00562286"/>
    <w:rsid w:val="0056229A"/>
    <w:rsid w:val="00564635"/>
    <w:rsid w:val="0056601E"/>
    <w:rsid w:val="00567FFE"/>
    <w:rsid w:val="00570D3C"/>
    <w:rsid w:val="00570D85"/>
    <w:rsid w:val="0057112D"/>
    <w:rsid w:val="005715B5"/>
    <w:rsid w:val="00573E52"/>
    <w:rsid w:val="00574177"/>
    <w:rsid w:val="0057451D"/>
    <w:rsid w:val="00574EBD"/>
    <w:rsid w:val="00576536"/>
    <w:rsid w:val="00576E64"/>
    <w:rsid w:val="0057791A"/>
    <w:rsid w:val="005808AC"/>
    <w:rsid w:val="0058153F"/>
    <w:rsid w:val="00582304"/>
    <w:rsid w:val="00582BAD"/>
    <w:rsid w:val="00582F69"/>
    <w:rsid w:val="005830A7"/>
    <w:rsid w:val="00584C7E"/>
    <w:rsid w:val="0058543B"/>
    <w:rsid w:val="00585865"/>
    <w:rsid w:val="00587781"/>
    <w:rsid w:val="005878C7"/>
    <w:rsid w:val="00591FBC"/>
    <w:rsid w:val="00592086"/>
    <w:rsid w:val="00595350"/>
    <w:rsid w:val="005954C5"/>
    <w:rsid w:val="00595DAE"/>
    <w:rsid w:val="00597442"/>
    <w:rsid w:val="0059780B"/>
    <w:rsid w:val="005A05A7"/>
    <w:rsid w:val="005A357B"/>
    <w:rsid w:val="005A5BBD"/>
    <w:rsid w:val="005A6868"/>
    <w:rsid w:val="005B114B"/>
    <w:rsid w:val="005B14DC"/>
    <w:rsid w:val="005B1D74"/>
    <w:rsid w:val="005B221B"/>
    <w:rsid w:val="005B26FE"/>
    <w:rsid w:val="005B2D60"/>
    <w:rsid w:val="005B2ECE"/>
    <w:rsid w:val="005B42B1"/>
    <w:rsid w:val="005B644D"/>
    <w:rsid w:val="005B6F13"/>
    <w:rsid w:val="005B70EF"/>
    <w:rsid w:val="005C1AE2"/>
    <w:rsid w:val="005C36A2"/>
    <w:rsid w:val="005C36AA"/>
    <w:rsid w:val="005C46B3"/>
    <w:rsid w:val="005C5B66"/>
    <w:rsid w:val="005C64E4"/>
    <w:rsid w:val="005D0BE3"/>
    <w:rsid w:val="005D1E59"/>
    <w:rsid w:val="005D2071"/>
    <w:rsid w:val="005D3170"/>
    <w:rsid w:val="005D4D83"/>
    <w:rsid w:val="005D5553"/>
    <w:rsid w:val="005D6DA3"/>
    <w:rsid w:val="005D700D"/>
    <w:rsid w:val="005D7DB5"/>
    <w:rsid w:val="005E1D20"/>
    <w:rsid w:val="005E2D4C"/>
    <w:rsid w:val="005E378D"/>
    <w:rsid w:val="005E3C61"/>
    <w:rsid w:val="005E6CC2"/>
    <w:rsid w:val="005E6ED2"/>
    <w:rsid w:val="005E7C1F"/>
    <w:rsid w:val="005F00B1"/>
    <w:rsid w:val="005F0490"/>
    <w:rsid w:val="005F0921"/>
    <w:rsid w:val="005F3887"/>
    <w:rsid w:val="005F3DE3"/>
    <w:rsid w:val="005F41C2"/>
    <w:rsid w:val="005F4AB3"/>
    <w:rsid w:val="005F5248"/>
    <w:rsid w:val="005F6E09"/>
    <w:rsid w:val="005F786F"/>
    <w:rsid w:val="0060062D"/>
    <w:rsid w:val="006028D8"/>
    <w:rsid w:val="00602C27"/>
    <w:rsid w:val="00603286"/>
    <w:rsid w:val="0060396A"/>
    <w:rsid w:val="006044EE"/>
    <w:rsid w:val="00604BF0"/>
    <w:rsid w:val="00604EBD"/>
    <w:rsid w:val="00605A90"/>
    <w:rsid w:val="00607003"/>
    <w:rsid w:val="0061202F"/>
    <w:rsid w:val="006129CB"/>
    <w:rsid w:val="00613C10"/>
    <w:rsid w:val="0061535F"/>
    <w:rsid w:val="0061655D"/>
    <w:rsid w:val="00616869"/>
    <w:rsid w:val="00617D90"/>
    <w:rsid w:val="006224A8"/>
    <w:rsid w:val="00624169"/>
    <w:rsid w:val="00625176"/>
    <w:rsid w:val="00626806"/>
    <w:rsid w:val="00626C99"/>
    <w:rsid w:val="00627F3C"/>
    <w:rsid w:val="0063086E"/>
    <w:rsid w:val="00630DAA"/>
    <w:rsid w:val="00631FE6"/>
    <w:rsid w:val="00632FFE"/>
    <w:rsid w:val="00633E1B"/>
    <w:rsid w:val="006374CC"/>
    <w:rsid w:val="006375A0"/>
    <w:rsid w:val="00637BAF"/>
    <w:rsid w:val="006401F9"/>
    <w:rsid w:val="0064275E"/>
    <w:rsid w:val="00642AA5"/>
    <w:rsid w:val="00643FF2"/>
    <w:rsid w:val="0064432B"/>
    <w:rsid w:val="00644EDB"/>
    <w:rsid w:val="00645FDB"/>
    <w:rsid w:val="00646897"/>
    <w:rsid w:val="006543D9"/>
    <w:rsid w:val="00654D28"/>
    <w:rsid w:val="0065681A"/>
    <w:rsid w:val="00657317"/>
    <w:rsid w:val="00662B65"/>
    <w:rsid w:val="006635EE"/>
    <w:rsid w:val="00664C22"/>
    <w:rsid w:val="006656C7"/>
    <w:rsid w:val="0066644A"/>
    <w:rsid w:val="006664D2"/>
    <w:rsid w:val="00672027"/>
    <w:rsid w:val="006726E9"/>
    <w:rsid w:val="006739FA"/>
    <w:rsid w:val="00674B9B"/>
    <w:rsid w:val="00676087"/>
    <w:rsid w:val="00676299"/>
    <w:rsid w:val="00676B29"/>
    <w:rsid w:val="00682BED"/>
    <w:rsid w:val="00684258"/>
    <w:rsid w:val="00684B53"/>
    <w:rsid w:val="0068650D"/>
    <w:rsid w:val="00686C22"/>
    <w:rsid w:val="00686EC4"/>
    <w:rsid w:val="00690E36"/>
    <w:rsid w:val="00692614"/>
    <w:rsid w:val="0069266F"/>
    <w:rsid w:val="00692E80"/>
    <w:rsid w:val="00693111"/>
    <w:rsid w:val="00694645"/>
    <w:rsid w:val="006957D1"/>
    <w:rsid w:val="00696868"/>
    <w:rsid w:val="00697CBB"/>
    <w:rsid w:val="006A277E"/>
    <w:rsid w:val="006A2911"/>
    <w:rsid w:val="006A3EB4"/>
    <w:rsid w:val="006A5504"/>
    <w:rsid w:val="006A5624"/>
    <w:rsid w:val="006A6A79"/>
    <w:rsid w:val="006B015F"/>
    <w:rsid w:val="006B01E7"/>
    <w:rsid w:val="006B0B4B"/>
    <w:rsid w:val="006B0BE1"/>
    <w:rsid w:val="006B1144"/>
    <w:rsid w:val="006B4A2B"/>
    <w:rsid w:val="006B5A16"/>
    <w:rsid w:val="006B692C"/>
    <w:rsid w:val="006B797B"/>
    <w:rsid w:val="006B7D50"/>
    <w:rsid w:val="006C25E2"/>
    <w:rsid w:val="006C2BE7"/>
    <w:rsid w:val="006C2DDC"/>
    <w:rsid w:val="006C5B53"/>
    <w:rsid w:val="006D0CF6"/>
    <w:rsid w:val="006D128E"/>
    <w:rsid w:val="006D12D1"/>
    <w:rsid w:val="006D1B61"/>
    <w:rsid w:val="006D1C76"/>
    <w:rsid w:val="006D4486"/>
    <w:rsid w:val="006D59EC"/>
    <w:rsid w:val="006E02B8"/>
    <w:rsid w:val="006E054B"/>
    <w:rsid w:val="006E2A98"/>
    <w:rsid w:val="006E2D5F"/>
    <w:rsid w:val="006E3187"/>
    <w:rsid w:val="006E61F6"/>
    <w:rsid w:val="006E7181"/>
    <w:rsid w:val="006F0F9B"/>
    <w:rsid w:val="006F1928"/>
    <w:rsid w:val="006F200E"/>
    <w:rsid w:val="006F2576"/>
    <w:rsid w:val="006F2F80"/>
    <w:rsid w:val="006F3604"/>
    <w:rsid w:val="006F379D"/>
    <w:rsid w:val="006F5DAF"/>
    <w:rsid w:val="006F776B"/>
    <w:rsid w:val="00704159"/>
    <w:rsid w:val="00704998"/>
    <w:rsid w:val="007102B1"/>
    <w:rsid w:val="00710F80"/>
    <w:rsid w:val="007112A8"/>
    <w:rsid w:val="00714D3A"/>
    <w:rsid w:val="00716566"/>
    <w:rsid w:val="0071692D"/>
    <w:rsid w:val="007246A2"/>
    <w:rsid w:val="00724D78"/>
    <w:rsid w:val="007305B8"/>
    <w:rsid w:val="0073209A"/>
    <w:rsid w:val="0073551E"/>
    <w:rsid w:val="00735760"/>
    <w:rsid w:val="0073582D"/>
    <w:rsid w:val="00737F0F"/>
    <w:rsid w:val="00741BE7"/>
    <w:rsid w:val="00743825"/>
    <w:rsid w:val="00743DE1"/>
    <w:rsid w:val="00745E77"/>
    <w:rsid w:val="00751BC6"/>
    <w:rsid w:val="007529BC"/>
    <w:rsid w:val="0075393D"/>
    <w:rsid w:val="00754A55"/>
    <w:rsid w:val="0075694F"/>
    <w:rsid w:val="00757C67"/>
    <w:rsid w:val="007605E7"/>
    <w:rsid w:val="0076442E"/>
    <w:rsid w:val="007652D9"/>
    <w:rsid w:val="0076675E"/>
    <w:rsid w:val="00766E6C"/>
    <w:rsid w:val="007671EE"/>
    <w:rsid w:val="00773598"/>
    <w:rsid w:val="00774642"/>
    <w:rsid w:val="007747CC"/>
    <w:rsid w:val="00775933"/>
    <w:rsid w:val="007759C4"/>
    <w:rsid w:val="00775CA5"/>
    <w:rsid w:val="0077687F"/>
    <w:rsid w:val="00780BAC"/>
    <w:rsid w:val="007821E1"/>
    <w:rsid w:val="0078232C"/>
    <w:rsid w:val="00782CEF"/>
    <w:rsid w:val="00783B83"/>
    <w:rsid w:val="00785120"/>
    <w:rsid w:val="00790EFB"/>
    <w:rsid w:val="00792442"/>
    <w:rsid w:val="00793999"/>
    <w:rsid w:val="00796819"/>
    <w:rsid w:val="0079717A"/>
    <w:rsid w:val="007A0091"/>
    <w:rsid w:val="007A1FCF"/>
    <w:rsid w:val="007A608E"/>
    <w:rsid w:val="007A656C"/>
    <w:rsid w:val="007A7030"/>
    <w:rsid w:val="007B1E6A"/>
    <w:rsid w:val="007B213E"/>
    <w:rsid w:val="007B2F5D"/>
    <w:rsid w:val="007B409E"/>
    <w:rsid w:val="007B4BC9"/>
    <w:rsid w:val="007B51BD"/>
    <w:rsid w:val="007B6C3C"/>
    <w:rsid w:val="007C04B0"/>
    <w:rsid w:val="007C12CE"/>
    <w:rsid w:val="007C15D5"/>
    <w:rsid w:val="007C1CB8"/>
    <w:rsid w:val="007C212D"/>
    <w:rsid w:val="007C6558"/>
    <w:rsid w:val="007D1AF6"/>
    <w:rsid w:val="007D27FB"/>
    <w:rsid w:val="007D288E"/>
    <w:rsid w:val="007D31DC"/>
    <w:rsid w:val="007D38E3"/>
    <w:rsid w:val="007D3931"/>
    <w:rsid w:val="007D5969"/>
    <w:rsid w:val="007E1065"/>
    <w:rsid w:val="007E1F5A"/>
    <w:rsid w:val="007E3554"/>
    <w:rsid w:val="007E417E"/>
    <w:rsid w:val="007E46E9"/>
    <w:rsid w:val="007E4803"/>
    <w:rsid w:val="007E5B4C"/>
    <w:rsid w:val="007E6B2E"/>
    <w:rsid w:val="007E712E"/>
    <w:rsid w:val="007E77C9"/>
    <w:rsid w:val="007F395A"/>
    <w:rsid w:val="007F5FC6"/>
    <w:rsid w:val="007F7F66"/>
    <w:rsid w:val="00800BB1"/>
    <w:rsid w:val="00802DC7"/>
    <w:rsid w:val="00802DF9"/>
    <w:rsid w:val="008046E3"/>
    <w:rsid w:val="008063FE"/>
    <w:rsid w:val="008070B6"/>
    <w:rsid w:val="00811FAC"/>
    <w:rsid w:val="00812892"/>
    <w:rsid w:val="00813A47"/>
    <w:rsid w:val="00813C0F"/>
    <w:rsid w:val="00813C65"/>
    <w:rsid w:val="00813D59"/>
    <w:rsid w:val="00814796"/>
    <w:rsid w:val="00820F7D"/>
    <w:rsid w:val="00822A94"/>
    <w:rsid w:val="00822E27"/>
    <w:rsid w:val="00825159"/>
    <w:rsid w:val="008259BF"/>
    <w:rsid w:val="00826673"/>
    <w:rsid w:val="0082687D"/>
    <w:rsid w:val="00827100"/>
    <w:rsid w:val="0082777D"/>
    <w:rsid w:val="00827B18"/>
    <w:rsid w:val="00831611"/>
    <w:rsid w:val="00832084"/>
    <w:rsid w:val="008331BF"/>
    <w:rsid w:val="0083326D"/>
    <w:rsid w:val="00834885"/>
    <w:rsid w:val="00835100"/>
    <w:rsid w:val="00836CEE"/>
    <w:rsid w:val="00837375"/>
    <w:rsid w:val="00840177"/>
    <w:rsid w:val="00842589"/>
    <w:rsid w:val="008434F5"/>
    <w:rsid w:val="00843D9D"/>
    <w:rsid w:val="00843E55"/>
    <w:rsid w:val="00850F69"/>
    <w:rsid w:val="00852EF9"/>
    <w:rsid w:val="00855544"/>
    <w:rsid w:val="0086469C"/>
    <w:rsid w:val="00866264"/>
    <w:rsid w:val="00866B4A"/>
    <w:rsid w:val="008722C4"/>
    <w:rsid w:val="008723BB"/>
    <w:rsid w:val="00872C01"/>
    <w:rsid w:val="00873629"/>
    <w:rsid w:val="008759FA"/>
    <w:rsid w:val="00875C0E"/>
    <w:rsid w:val="008773C6"/>
    <w:rsid w:val="0088066D"/>
    <w:rsid w:val="00881179"/>
    <w:rsid w:val="00881BDA"/>
    <w:rsid w:val="00882DFC"/>
    <w:rsid w:val="00883419"/>
    <w:rsid w:val="00884AFF"/>
    <w:rsid w:val="0088743C"/>
    <w:rsid w:val="008876E5"/>
    <w:rsid w:val="008916B0"/>
    <w:rsid w:val="0089543E"/>
    <w:rsid w:val="00895D26"/>
    <w:rsid w:val="008A0051"/>
    <w:rsid w:val="008A0388"/>
    <w:rsid w:val="008A4229"/>
    <w:rsid w:val="008A626B"/>
    <w:rsid w:val="008A6CB3"/>
    <w:rsid w:val="008B007B"/>
    <w:rsid w:val="008B0B07"/>
    <w:rsid w:val="008B2986"/>
    <w:rsid w:val="008B4F9E"/>
    <w:rsid w:val="008B5132"/>
    <w:rsid w:val="008B6F6A"/>
    <w:rsid w:val="008B733A"/>
    <w:rsid w:val="008B7CE7"/>
    <w:rsid w:val="008C0236"/>
    <w:rsid w:val="008C0F6D"/>
    <w:rsid w:val="008C109D"/>
    <w:rsid w:val="008C1200"/>
    <w:rsid w:val="008C16F3"/>
    <w:rsid w:val="008C1BCA"/>
    <w:rsid w:val="008C2C5B"/>
    <w:rsid w:val="008C3B20"/>
    <w:rsid w:val="008C7DA9"/>
    <w:rsid w:val="008D08B6"/>
    <w:rsid w:val="008D17E5"/>
    <w:rsid w:val="008D4AD1"/>
    <w:rsid w:val="008D6708"/>
    <w:rsid w:val="008D7F9F"/>
    <w:rsid w:val="008E1154"/>
    <w:rsid w:val="008E1E05"/>
    <w:rsid w:val="008E4892"/>
    <w:rsid w:val="008E7E60"/>
    <w:rsid w:val="008F045F"/>
    <w:rsid w:val="008F0DE8"/>
    <w:rsid w:val="008F0F88"/>
    <w:rsid w:val="008F1147"/>
    <w:rsid w:val="008F351C"/>
    <w:rsid w:val="00901409"/>
    <w:rsid w:val="00901CF1"/>
    <w:rsid w:val="0090469D"/>
    <w:rsid w:val="00906AE8"/>
    <w:rsid w:val="00911FB3"/>
    <w:rsid w:val="009125BC"/>
    <w:rsid w:val="00917239"/>
    <w:rsid w:val="009179B4"/>
    <w:rsid w:val="00920C96"/>
    <w:rsid w:val="00923A7C"/>
    <w:rsid w:val="009248FD"/>
    <w:rsid w:val="00926FDF"/>
    <w:rsid w:val="00930364"/>
    <w:rsid w:val="00930F4E"/>
    <w:rsid w:val="00931B19"/>
    <w:rsid w:val="0093252B"/>
    <w:rsid w:val="00932884"/>
    <w:rsid w:val="00935403"/>
    <w:rsid w:val="009357C9"/>
    <w:rsid w:val="009368DC"/>
    <w:rsid w:val="00936E4F"/>
    <w:rsid w:val="00940287"/>
    <w:rsid w:val="009419B5"/>
    <w:rsid w:val="009433A7"/>
    <w:rsid w:val="009434DD"/>
    <w:rsid w:val="009463A4"/>
    <w:rsid w:val="009465DE"/>
    <w:rsid w:val="00947144"/>
    <w:rsid w:val="009621BD"/>
    <w:rsid w:val="00964D8F"/>
    <w:rsid w:val="009655D6"/>
    <w:rsid w:val="00971D29"/>
    <w:rsid w:val="009724CD"/>
    <w:rsid w:val="00973D71"/>
    <w:rsid w:val="0097551A"/>
    <w:rsid w:val="00976696"/>
    <w:rsid w:val="00976B04"/>
    <w:rsid w:val="00983954"/>
    <w:rsid w:val="00985B4C"/>
    <w:rsid w:val="00986251"/>
    <w:rsid w:val="00990717"/>
    <w:rsid w:val="0099141F"/>
    <w:rsid w:val="009921C7"/>
    <w:rsid w:val="009921C8"/>
    <w:rsid w:val="0099229F"/>
    <w:rsid w:val="009925D3"/>
    <w:rsid w:val="009937FD"/>
    <w:rsid w:val="009952D9"/>
    <w:rsid w:val="00996F84"/>
    <w:rsid w:val="0099771A"/>
    <w:rsid w:val="00997F7A"/>
    <w:rsid w:val="009A02FC"/>
    <w:rsid w:val="009A1240"/>
    <w:rsid w:val="009A372B"/>
    <w:rsid w:val="009A3E68"/>
    <w:rsid w:val="009B001F"/>
    <w:rsid w:val="009B0167"/>
    <w:rsid w:val="009B1761"/>
    <w:rsid w:val="009B29E1"/>
    <w:rsid w:val="009B4372"/>
    <w:rsid w:val="009B4880"/>
    <w:rsid w:val="009B5E02"/>
    <w:rsid w:val="009C2BA0"/>
    <w:rsid w:val="009C2F9C"/>
    <w:rsid w:val="009C4935"/>
    <w:rsid w:val="009C7CA1"/>
    <w:rsid w:val="009D0009"/>
    <w:rsid w:val="009D003E"/>
    <w:rsid w:val="009D1A0A"/>
    <w:rsid w:val="009D2FA8"/>
    <w:rsid w:val="009D340D"/>
    <w:rsid w:val="009D469C"/>
    <w:rsid w:val="009D601B"/>
    <w:rsid w:val="009D6BB9"/>
    <w:rsid w:val="009D75FE"/>
    <w:rsid w:val="009E03AE"/>
    <w:rsid w:val="009E1669"/>
    <w:rsid w:val="009E171D"/>
    <w:rsid w:val="009E574D"/>
    <w:rsid w:val="009E5AEE"/>
    <w:rsid w:val="009E5E0A"/>
    <w:rsid w:val="009E5EF6"/>
    <w:rsid w:val="009E7A32"/>
    <w:rsid w:val="009F16F1"/>
    <w:rsid w:val="009F2251"/>
    <w:rsid w:val="00A00830"/>
    <w:rsid w:val="00A0121E"/>
    <w:rsid w:val="00A02023"/>
    <w:rsid w:val="00A0242F"/>
    <w:rsid w:val="00A02895"/>
    <w:rsid w:val="00A116F3"/>
    <w:rsid w:val="00A132BD"/>
    <w:rsid w:val="00A155AA"/>
    <w:rsid w:val="00A16803"/>
    <w:rsid w:val="00A169B7"/>
    <w:rsid w:val="00A20767"/>
    <w:rsid w:val="00A21545"/>
    <w:rsid w:val="00A25033"/>
    <w:rsid w:val="00A26367"/>
    <w:rsid w:val="00A27B3C"/>
    <w:rsid w:val="00A31FFE"/>
    <w:rsid w:val="00A32B72"/>
    <w:rsid w:val="00A33F7C"/>
    <w:rsid w:val="00A43EBA"/>
    <w:rsid w:val="00A4509A"/>
    <w:rsid w:val="00A45332"/>
    <w:rsid w:val="00A45773"/>
    <w:rsid w:val="00A4716C"/>
    <w:rsid w:val="00A479D3"/>
    <w:rsid w:val="00A501D6"/>
    <w:rsid w:val="00A50AA3"/>
    <w:rsid w:val="00A50CE8"/>
    <w:rsid w:val="00A518BE"/>
    <w:rsid w:val="00A53202"/>
    <w:rsid w:val="00A535CF"/>
    <w:rsid w:val="00A54F1C"/>
    <w:rsid w:val="00A55628"/>
    <w:rsid w:val="00A56462"/>
    <w:rsid w:val="00A56AF5"/>
    <w:rsid w:val="00A57732"/>
    <w:rsid w:val="00A62131"/>
    <w:rsid w:val="00A638CE"/>
    <w:rsid w:val="00A63956"/>
    <w:rsid w:val="00A6465A"/>
    <w:rsid w:val="00A658D2"/>
    <w:rsid w:val="00A675BF"/>
    <w:rsid w:val="00A70399"/>
    <w:rsid w:val="00A71125"/>
    <w:rsid w:val="00A71C4E"/>
    <w:rsid w:val="00A7510E"/>
    <w:rsid w:val="00A7662C"/>
    <w:rsid w:val="00A80780"/>
    <w:rsid w:val="00A82474"/>
    <w:rsid w:val="00A82F8E"/>
    <w:rsid w:val="00A8376B"/>
    <w:rsid w:val="00A83D0C"/>
    <w:rsid w:val="00A8403C"/>
    <w:rsid w:val="00A85919"/>
    <w:rsid w:val="00A85944"/>
    <w:rsid w:val="00A86B19"/>
    <w:rsid w:val="00A86E85"/>
    <w:rsid w:val="00A87111"/>
    <w:rsid w:val="00A87141"/>
    <w:rsid w:val="00A902EE"/>
    <w:rsid w:val="00A90CE0"/>
    <w:rsid w:val="00A93282"/>
    <w:rsid w:val="00A93DF2"/>
    <w:rsid w:val="00A95274"/>
    <w:rsid w:val="00A96D1D"/>
    <w:rsid w:val="00A9730C"/>
    <w:rsid w:val="00AA06BE"/>
    <w:rsid w:val="00AA0A3B"/>
    <w:rsid w:val="00AA11D9"/>
    <w:rsid w:val="00AA1E83"/>
    <w:rsid w:val="00AA2018"/>
    <w:rsid w:val="00AA2352"/>
    <w:rsid w:val="00AA374D"/>
    <w:rsid w:val="00AA7651"/>
    <w:rsid w:val="00AB2C09"/>
    <w:rsid w:val="00AB3872"/>
    <w:rsid w:val="00AB3974"/>
    <w:rsid w:val="00AB45D6"/>
    <w:rsid w:val="00AB5505"/>
    <w:rsid w:val="00AB6E3D"/>
    <w:rsid w:val="00AB7945"/>
    <w:rsid w:val="00AC0BF4"/>
    <w:rsid w:val="00AC0F38"/>
    <w:rsid w:val="00AC2388"/>
    <w:rsid w:val="00AC245D"/>
    <w:rsid w:val="00AC2A1B"/>
    <w:rsid w:val="00AC3387"/>
    <w:rsid w:val="00AC4A6F"/>
    <w:rsid w:val="00AC7314"/>
    <w:rsid w:val="00AD0961"/>
    <w:rsid w:val="00AD1E9D"/>
    <w:rsid w:val="00AD4109"/>
    <w:rsid w:val="00AD4518"/>
    <w:rsid w:val="00AD4CE0"/>
    <w:rsid w:val="00AE0082"/>
    <w:rsid w:val="00AE372E"/>
    <w:rsid w:val="00AE567A"/>
    <w:rsid w:val="00AE6286"/>
    <w:rsid w:val="00AE7049"/>
    <w:rsid w:val="00AE774D"/>
    <w:rsid w:val="00AF00C7"/>
    <w:rsid w:val="00AF1242"/>
    <w:rsid w:val="00AF2F4C"/>
    <w:rsid w:val="00AF5073"/>
    <w:rsid w:val="00AF52DC"/>
    <w:rsid w:val="00AF54F3"/>
    <w:rsid w:val="00AF58DC"/>
    <w:rsid w:val="00B00CD8"/>
    <w:rsid w:val="00B0117D"/>
    <w:rsid w:val="00B01C97"/>
    <w:rsid w:val="00B0562D"/>
    <w:rsid w:val="00B06601"/>
    <w:rsid w:val="00B0794F"/>
    <w:rsid w:val="00B07D15"/>
    <w:rsid w:val="00B166B7"/>
    <w:rsid w:val="00B211F7"/>
    <w:rsid w:val="00B215AB"/>
    <w:rsid w:val="00B233B7"/>
    <w:rsid w:val="00B25115"/>
    <w:rsid w:val="00B25167"/>
    <w:rsid w:val="00B25FCD"/>
    <w:rsid w:val="00B30E59"/>
    <w:rsid w:val="00B318E2"/>
    <w:rsid w:val="00B34BDF"/>
    <w:rsid w:val="00B4063D"/>
    <w:rsid w:val="00B41725"/>
    <w:rsid w:val="00B41ECA"/>
    <w:rsid w:val="00B425D7"/>
    <w:rsid w:val="00B428CB"/>
    <w:rsid w:val="00B43A7F"/>
    <w:rsid w:val="00B46E97"/>
    <w:rsid w:val="00B477FC"/>
    <w:rsid w:val="00B50526"/>
    <w:rsid w:val="00B50690"/>
    <w:rsid w:val="00B51F8E"/>
    <w:rsid w:val="00B521E1"/>
    <w:rsid w:val="00B5486D"/>
    <w:rsid w:val="00B55BA5"/>
    <w:rsid w:val="00B56E91"/>
    <w:rsid w:val="00B57809"/>
    <w:rsid w:val="00B578CD"/>
    <w:rsid w:val="00B57909"/>
    <w:rsid w:val="00B57FF8"/>
    <w:rsid w:val="00B61375"/>
    <w:rsid w:val="00B618DC"/>
    <w:rsid w:val="00B63F64"/>
    <w:rsid w:val="00B67DBA"/>
    <w:rsid w:val="00B701C2"/>
    <w:rsid w:val="00B74548"/>
    <w:rsid w:val="00B75182"/>
    <w:rsid w:val="00B76C72"/>
    <w:rsid w:val="00B7798A"/>
    <w:rsid w:val="00B77B07"/>
    <w:rsid w:val="00B81BAB"/>
    <w:rsid w:val="00B842A8"/>
    <w:rsid w:val="00B84A94"/>
    <w:rsid w:val="00B8507B"/>
    <w:rsid w:val="00B851CA"/>
    <w:rsid w:val="00B9205E"/>
    <w:rsid w:val="00B92624"/>
    <w:rsid w:val="00B95096"/>
    <w:rsid w:val="00B962AF"/>
    <w:rsid w:val="00B96BDE"/>
    <w:rsid w:val="00BA0BAD"/>
    <w:rsid w:val="00BA1E6D"/>
    <w:rsid w:val="00BA585E"/>
    <w:rsid w:val="00BA64EA"/>
    <w:rsid w:val="00BA7017"/>
    <w:rsid w:val="00BA7576"/>
    <w:rsid w:val="00BA7C60"/>
    <w:rsid w:val="00BB03D3"/>
    <w:rsid w:val="00BB1041"/>
    <w:rsid w:val="00BC13EB"/>
    <w:rsid w:val="00BC1ADA"/>
    <w:rsid w:val="00BC3407"/>
    <w:rsid w:val="00BC34F9"/>
    <w:rsid w:val="00BC47AC"/>
    <w:rsid w:val="00BC4810"/>
    <w:rsid w:val="00BD0692"/>
    <w:rsid w:val="00BD1653"/>
    <w:rsid w:val="00BD2E5E"/>
    <w:rsid w:val="00BD337E"/>
    <w:rsid w:val="00BD4815"/>
    <w:rsid w:val="00BD569F"/>
    <w:rsid w:val="00BE091E"/>
    <w:rsid w:val="00BE0B72"/>
    <w:rsid w:val="00BE15F0"/>
    <w:rsid w:val="00BE24E2"/>
    <w:rsid w:val="00BE30A3"/>
    <w:rsid w:val="00BE4747"/>
    <w:rsid w:val="00BE5489"/>
    <w:rsid w:val="00BE566E"/>
    <w:rsid w:val="00BE72C8"/>
    <w:rsid w:val="00BF0F08"/>
    <w:rsid w:val="00BF1201"/>
    <w:rsid w:val="00BF26F1"/>
    <w:rsid w:val="00BF372C"/>
    <w:rsid w:val="00BF3F45"/>
    <w:rsid w:val="00BF5CF3"/>
    <w:rsid w:val="00C01AD4"/>
    <w:rsid w:val="00C01D18"/>
    <w:rsid w:val="00C02C11"/>
    <w:rsid w:val="00C0328D"/>
    <w:rsid w:val="00C04084"/>
    <w:rsid w:val="00C079F1"/>
    <w:rsid w:val="00C13B57"/>
    <w:rsid w:val="00C1421F"/>
    <w:rsid w:val="00C15A11"/>
    <w:rsid w:val="00C17B02"/>
    <w:rsid w:val="00C200E1"/>
    <w:rsid w:val="00C22CA9"/>
    <w:rsid w:val="00C25126"/>
    <w:rsid w:val="00C26010"/>
    <w:rsid w:val="00C27AA7"/>
    <w:rsid w:val="00C32670"/>
    <w:rsid w:val="00C34996"/>
    <w:rsid w:val="00C372D0"/>
    <w:rsid w:val="00C3798B"/>
    <w:rsid w:val="00C427DE"/>
    <w:rsid w:val="00C42A20"/>
    <w:rsid w:val="00C43C34"/>
    <w:rsid w:val="00C45B60"/>
    <w:rsid w:val="00C46CEB"/>
    <w:rsid w:val="00C470E2"/>
    <w:rsid w:val="00C47CB8"/>
    <w:rsid w:val="00C514B9"/>
    <w:rsid w:val="00C536B9"/>
    <w:rsid w:val="00C5453D"/>
    <w:rsid w:val="00C55D5D"/>
    <w:rsid w:val="00C566B7"/>
    <w:rsid w:val="00C57943"/>
    <w:rsid w:val="00C57B29"/>
    <w:rsid w:val="00C622D1"/>
    <w:rsid w:val="00C62420"/>
    <w:rsid w:val="00C62BB4"/>
    <w:rsid w:val="00C62F8B"/>
    <w:rsid w:val="00C63765"/>
    <w:rsid w:val="00C63F8B"/>
    <w:rsid w:val="00C64260"/>
    <w:rsid w:val="00C64794"/>
    <w:rsid w:val="00C659C0"/>
    <w:rsid w:val="00C66B7E"/>
    <w:rsid w:val="00C66B9B"/>
    <w:rsid w:val="00C66DFE"/>
    <w:rsid w:val="00C67BE3"/>
    <w:rsid w:val="00C70BD0"/>
    <w:rsid w:val="00C72B57"/>
    <w:rsid w:val="00C7319C"/>
    <w:rsid w:val="00C7442D"/>
    <w:rsid w:val="00C75710"/>
    <w:rsid w:val="00C758CA"/>
    <w:rsid w:val="00C75E22"/>
    <w:rsid w:val="00C76C2C"/>
    <w:rsid w:val="00C771A2"/>
    <w:rsid w:val="00C77BCC"/>
    <w:rsid w:val="00C8000E"/>
    <w:rsid w:val="00C80508"/>
    <w:rsid w:val="00C8264E"/>
    <w:rsid w:val="00C8423F"/>
    <w:rsid w:val="00C84CB9"/>
    <w:rsid w:val="00C85A48"/>
    <w:rsid w:val="00C87947"/>
    <w:rsid w:val="00C87CAB"/>
    <w:rsid w:val="00C87CC3"/>
    <w:rsid w:val="00C914CD"/>
    <w:rsid w:val="00C925F1"/>
    <w:rsid w:val="00C92D36"/>
    <w:rsid w:val="00C93B1A"/>
    <w:rsid w:val="00C93D90"/>
    <w:rsid w:val="00CA1244"/>
    <w:rsid w:val="00CA1C3B"/>
    <w:rsid w:val="00CA1EF5"/>
    <w:rsid w:val="00CA28F2"/>
    <w:rsid w:val="00CA326A"/>
    <w:rsid w:val="00CA482D"/>
    <w:rsid w:val="00CA51F1"/>
    <w:rsid w:val="00CA72FD"/>
    <w:rsid w:val="00CA7B08"/>
    <w:rsid w:val="00CB05F4"/>
    <w:rsid w:val="00CB2D32"/>
    <w:rsid w:val="00CB3AAE"/>
    <w:rsid w:val="00CB5035"/>
    <w:rsid w:val="00CB6781"/>
    <w:rsid w:val="00CB74E0"/>
    <w:rsid w:val="00CC08C2"/>
    <w:rsid w:val="00CC122E"/>
    <w:rsid w:val="00CC2AD8"/>
    <w:rsid w:val="00CC2F9A"/>
    <w:rsid w:val="00CC3325"/>
    <w:rsid w:val="00CC4E50"/>
    <w:rsid w:val="00CC6105"/>
    <w:rsid w:val="00CC6A4C"/>
    <w:rsid w:val="00CD03C6"/>
    <w:rsid w:val="00CD1F3C"/>
    <w:rsid w:val="00CD25CB"/>
    <w:rsid w:val="00CD33AB"/>
    <w:rsid w:val="00CD4840"/>
    <w:rsid w:val="00CD5474"/>
    <w:rsid w:val="00CD55ED"/>
    <w:rsid w:val="00CD5B67"/>
    <w:rsid w:val="00CD61C6"/>
    <w:rsid w:val="00CE198B"/>
    <w:rsid w:val="00CE1DD5"/>
    <w:rsid w:val="00CE1DE8"/>
    <w:rsid w:val="00CE5C66"/>
    <w:rsid w:val="00CE75A4"/>
    <w:rsid w:val="00CF02B1"/>
    <w:rsid w:val="00CF30E5"/>
    <w:rsid w:val="00CF385B"/>
    <w:rsid w:val="00CF38A7"/>
    <w:rsid w:val="00CF3D50"/>
    <w:rsid w:val="00CF4225"/>
    <w:rsid w:val="00CF551E"/>
    <w:rsid w:val="00CF7745"/>
    <w:rsid w:val="00D00480"/>
    <w:rsid w:val="00D00F73"/>
    <w:rsid w:val="00D0197C"/>
    <w:rsid w:val="00D02506"/>
    <w:rsid w:val="00D02727"/>
    <w:rsid w:val="00D0383B"/>
    <w:rsid w:val="00D04F17"/>
    <w:rsid w:val="00D056D2"/>
    <w:rsid w:val="00D05D08"/>
    <w:rsid w:val="00D06FCB"/>
    <w:rsid w:val="00D07059"/>
    <w:rsid w:val="00D126BA"/>
    <w:rsid w:val="00D126BD"/>
    <w:rsid w:val="00D14100"/>
    <w:rsid w:val="00D1787C"/>
    <w:rsid w:val="00D17A49"/>
    <w:rsid w:val="00D2085C"/>
    <w:rsid w:val="00D2093C"/>
    <w:rsid w:val="00D20A32"/>
    <w:rsid w:val="00D20D90"/>
    <w:rsid w:val="00D20F2C"/>
    <w:rsid w:val="00D21866"/>
    <w:rsid w:val="00D2196B"/>
    <w:rsid w:val="00D21B02"/>
    <w:rsid w:val="00D22CB5"/>
    <w:rsid w:val="00D239B2"/>
    <w:rsid w:val="00D26315"/>
    <w:rsid w:val="00D26319"/>
    <w:rsid w:val="00D32E3A"/>
    <w:rsid w:val="00D339D5"/>
    <w:rsid w:val="00D36874"/>
    <w:rsid w:val="00D37476"/>
    <w:rsid w:val="00D40665"/>
    <w:rsid w:val="00D40C50"/>
    <w:rsid w:val="00D413D1"/>
    <w:rsid w:val="00D4306B"/>
    <w:rsid w:val="00D434C7"/>
    <w:rsid w:val="00D43BD9"/>
    <w:rsid w:val="00D46454"/>
    <w:rsid w:val="00D47783"/>
    <w:rsid w:val="00D50054"/>
    <w:rsid w:val="00D50EED"/>
    <w:rsid w:val="00D51DEE"/>
    <w:rsid w:val="00D527AC"/>
    <w:rsid w:val="00D5369C"/>
    <w:rsid w:val="00D53C6E"/>
    <w:rsid w:val="00D53FD0"/>
    <w:rsid w:val="00D547B3"/>
    <w:rsid w:val="00D551C8"/>
    <w:rsid w:val="00D55AFA"/>
    <w:rsid w:val="00D57060"/>
    <w:rsid w:val="00D570EF"/>
    <w:rsid w:val="00D57682"/>
    <w:rsid w:val="00D617E2"/>
    <w:rsid w:val="00D628EA"/>
    <w:rsid w:val="00D63245"/>
    <w:rsid w:val="00D63924"/>
    <w:rsid w:val="00D63D1D"/>
    <w:rsid w:val="00D64601"/>
    <w:rsid w:val="00D6463D"/>
    <w:rsid w:val="00D64651"/>
    <w:rsid w:val="00D64A6A"/>
    <w:rsid w:val="00D65564"/>
    <w:rsid w:val="00D67C1C"/>
    <w:rsid w:val="00D72BCA"/>
    <w:rsid w:val="00D73606"/>
    <w:rsid w:val="00D8366B"/>
    <w:rsid w:val="00D839F0"/>
    <w:rsid w:val="00D85521"/>
    <w:rsid w:val="00D86403"/>
    <w:rsid w:val="00D86F05"/>
    <w:rsid w:val="00D9034D"/>
    <w:rsid w:val="00D90C39"/>
    <w:rsid w:val="00D925D7"/>
    <w:rsid w:val="00D93C58"/>
    <w:rsid w:val="00D93D2D"/>
    <w:rsid w:val="00D94931"/>
    <w:rsid w:val="00D9505C"/>
    <w:rsid w:val="00DA089D"/>
    <w:rsid w:val="00DA1192"/>
    <w:rsid w:val="00DA1CD0"/>
    <w:rsid w:val="00DA2085"/>
    <w:rsid w:val="00DA29D7"/>
    <w:rsid w:val="00DA4410"/>
    <w:rsid w:val="00DA6812"/>
    <w:rsid w:val="00DA6B57"/>
    <w:rsid w:val="00DA7F79"/>
    <w:rsid w:val="00DB18A9"/>
    <w:rsid w:val="00DB2213"/>
    <w:rsid w:val="00DB5F4C"/>
    <w:rsid w:val="00DB659D"/>
    <w:rsid w:val="00DB65D6"/>
    <w:rsid w:val="00DB7AE2"/>
    <w:rsid w:val="00DC101E"/>
    <w:rsid w:val="00DC2C1B"/>
    <w:rsid w:val="00DC359C"/>
    <w:rsid w:val="00DC3B82"/>
    <w:rsid w:val="00DC3C56"/>
    <w:rsid w:val="00DC40C1"/>
    <w:rsid w:val="00DC4E3E"/>
    <w:rsid w:val="00DC6172"/>
    <w:rsid w:val="00DC61CA"/>
    <w:rsid w:val="00DC69E5"/>
    <w:rsid w:val="00DC7C97"/>
    <w:rsid w:val="00DD0238"/>
    <w:rsid w:val="00DD0350"/>
    <w:rsid w:val="00DD2B50"/>
    <w:rsid w:val="00DD4792"/>
    <w:rsid w:val="00DD5D5C"/>
    <w:rsid w:val="00DD63B7"/>
    <w:rsid w:val="00DE1D6E"/>
    <w:rsid w:val="00DE25C1"/>
    <w:rsid w:val="00DE2E92"/>
    <w:rsid w:val="00DE386F"/>
    <w:rsid w:val="00DE4EB5"/>
    <w:rsid w:val="00DE55BC"/>
    <w:rsid w:val="00DE6F96"/>
    <w:rsid w:val="00DF033E"/>
    <w:rsid w:val="00DF271A"/>
    <w:rsid w:val="00DF4112"/>
    <w:rsid w:val="00DF585E"/>
    <w:rsid w:val="00DF5BE6"/>
    <w:rsid w:val="00DF7445"/>
    <w:rsid w:val="00DF76AD"/>
    <w:rsid w:val="00DF76EF"/>
    <w:rsid w:val="00E03A50"/>
    <w:rsid w:val="00E03E05"/>
    <w:rsid w:val="00E040A7"/>
    <w:rsid w:val="00E044EE"/>
    <w:rsid w:val="00E07B47"/>
    <w:rsid w:val="00E07D2F"/>
    <w:rsid w:val="00E144CC"/>
    <w:rsid w:val="00E149BB"/>
    <w:rsid w:val="00E20719"/>
    <w:rsid w:val="00E26905"/>
    <w:rsid w:val="00E279AB"/>
    <w:rsid w:val="00E27DAB"/>
    <w:rsid w:val="00E3080D"/>
    <w:rsid w:val="00E30BAB"/>
    <w:rsid w:val="00E31336"/>
    <w:rsid w:val="00E31633"/>
    <w:rsid w:val="00E40BDA"/>
    <w:rsid w:val="00E4247C"/>
    <w:rsid w:val="00E42C58"/>
    <w:rsid w:val="00E43C74"/>
    <w:rsid w:val="00E444DD"/>
    <w:rsid w:val="00E50F00"/>
    <w:rsid w:val="00E5302F"/>
    <w:rsid w:val="00E530C5"/>
    <w:rsid w:val="00E54577"/>
    <w:rsid w:val="00E577F3"/>
    <w:rsid w:val="00E61E37"/>
    <w:rsid w:val="00E62E6B"/>
    <w:rsid w:val="00E62F95"/>
    <w:rsid w:val="00E63626"/>
    <w:rsid w:val="00E645D8"/>
    <w:rsid w:val="00E64EE1"/>
    <w:rsid w:val="00E655F4"/>
    <w:rsid w:val="00E66421"/>
    <w:rsid w:val="00E70274"/>
    <w:rsid w:val="00E708F1"/>
    <w:rsid w:val="00E70F37"/>
    <w:rsid w:val="00E71850"/>
    <w:rsid w:val="00E71D28"/>
    <w:rsid w:val="00E724A2"/>
    <w:rsid w:val="00E725C5"/>
    <w:rsid w:val="00E73288"/>
    <w:rsid w:val="00E7445D"/>
    <w:rsid w:val="00E75C55"/>
    <w:rsid w:val="00E7620F"/>
    <w:rsid w:val="00E76E96"/>
    <w:rsid w:val="00E77260"/>
    <w:rsid w:val="00E80BBB"/>
    <w:rsid w:val="00E82EE5"/>
    <w:rsid w:val="00E85D98"/>
    <w:rsid w:val="00E86BED"/>
    <w:rsid w:val="00E969EB"/>
    <w:rsid w:val="00E96C5F"/>
    <w:rsid w:val="00E9746D"/>
    <w:rsid w:val="00EA44E8"/>
    <w:rsid w:val="00EA54D1"/>
    <w:rsid w:val="00EA55F6"/>
    <w:rsid w:val="00EA6D40"/>
    <w:rsid w:val="00EA7754"/>
    <w:rsid w:val="00EB104B"/>
    <w:rsid w:val="00EB1FCA"/>
    <w:rsid w:val="00EB3A9A"/>
    <w:rsid w:val="00EB3B62"/>
    <w:rsid w:val="00EB3DD7"/>
    <w:rsid w:val="00EB48F8"/>
    <w:rsid w:val="00EB6771"/>
    <w:rsid w:val="00EC0A3F"/>
    <w:rsid w:val="00EC1407"/>
    <w:rsid w:val="00EC2A0D"/>
    <w:rsid w:val="00EC3286"/>
    <w:rsid w:val="00EC42A5"/>
    <w:rsid w:val="00EC65A6"/>
    <w:rsid w:val="00EC6DFD"/>
    <w:rsid w:val="00EC746B"/>
    <w:rsid w:val="00ED00D2"/>
    <w:rsid w:val="00ED21F3"/>
    <w:rsid w:val="00ED39C5"/>
    <w:rsid w:val="00ED3F0C"/>
    <w:rsid w:val="00ED48B6"/>
    <w:rsid w:val="00ED4970"/>
    <w:rsid w:val="00ED71DD"/>
    <w:rsid w:val="00ED758D"/>
    <w:rsid w:val="00ED7DA3"/>
    <w:rsid w:val="00EE056D"/>
    <w:rsid w:val="00EE293A"/>
    <w:rsid w:val="00EE31C5"/>
    <w:rsid w:val="00EE395B"/>
    <w:rsid w:val="00EE6844"/>
    <w:rsid w:val="00EF03F0"/>
    <w:rsid w:val="00EF1ADF"/>
    <w:rsid w:val="00EF1C88"/>
    <w:rsid w:val="00EF2977"/>
    <w:rsid w:val="00EF3966"/>
    <w:rsid w:val="00EF3C5D"/>
    <w:rsid w:val="00EF46AB"/>
    <w:rsid w:val="00EF4F92"/>
    <w:rsid w:val="00EF5587"/>
    <w:rsid w:val="00EF6F17"/>
    <w:rsid w:val="00F033EF"/>
    <w:rsid w:val="00F04DE2"/>
    <w:rsid w:val="00F04DEA"/>
    <w:rsid w:val="00F07071"/>
    <w:rsid w:val="00F0780D"/>
    <w:rsid w:val="00F110EE"/>
    <w:rsid w:val="00F11F2F"/>
    <w:rsid w:val="00F121F9"/>
    <w:rsid w:val="00F12EA6"/>
    <w:rsid w:val="00F137F6"/>
    <w:rsid w:val="00F15D9D"/>
    <w:rsid w:val="00F202DF"/>
    <w:rsid w:val="00F20EDB"/>
    <w:rsid w:val="00F215A2"/>
    <w:rsid w:val="00F21766"/>
    <w:rsid w:val="00F23388"/>
    <w:rsid w:val="00F23C42"/>
    <w:rsid w:val="00F27F58"/>
    <w:rsid w:val="00F32532"/>
    <w:rsid w:val="00F32E92"/>
    <w:rsid w:val="00F33739"/>
    <w:rsid w:val="00F34164"/>
    <w:rsid w:val="00F342A2"/>
    <w:rsid w:val="00F34542"/>
    <w:rsid w:val="00F34FB7"/>
    <w:rsid w:val="00F3541B"/>
    <w:rsid w:val="00F35AA5"/>
    <w:rsid w:val="00F36819"/>
    <w:rsid w:val="00F4144C"/>
    <w:rsid w:val="00F4158E"/>
    <w:rsid w:val="00F41BAD"/>
    <w:rsid w:val="00F42343"/>
    <w:rsid w:val="00F43777"/>
    <w:rsid w:val="00F4408F"/>
    <w:rsid w:val="00F4620C"/>
    <w:rsid w:val="00F4714B"/>
    <w:rsid w:val="00F47A67"/>
    <w:rsid w:val="00F5085E"/>
    <w:rsid w:val="00F51C19"/>
    <w:rsid w:val="00F52C7B"/>
    <w:rsid w:val="00F53DE4"/>
    <w:rsid w:val="00F5408D"/>
    <w:rsid w:val="00F60621"/>
    <w:rsid w:val="00F60704"/>
    <w:rsid w:val="00F60FEB"/>
    <w:rsid w:val="00F629DE"/>
    <w:rsid w:val="00F6365E"/>
    <w:rsid w:val="00F678F7"/>
    <w:rsid w:val="00F71BC0"/>
    <w:rsid w:val="00F72846"/>
    <w:rsid w:val="00F75259"/>
    <w:rsid w:val="00F75525"/>
    <w:rsid w:val="00F762C0"/>
    <w:rsid w:val="00F77D4F"/>
    <w:rsid w:val="00F80A62"/>
    <w:rsid w:val="00F82950"/>
    <w:rsid w:val="00F82DB3"/>
    <w:rsid w:val="00F82E8C"/>
    <w:rsid w:val="00F84BF4"/>
    <w:rsid w:val="00F84E68"/>
    <w:rsid w:val="00F85963"/>
    <w:rsid w:val="00F86F16"/>
    <w:rsid w:val="00F86FC4"/>
    <w:rsid w:val="00F87B5D"/>
    <w:rsid w:val="00F87CAF"/>
    <w:rsid w:val="00F87D69"/>
    <w:rsid w:val="00F90D96"/>
    <w:rsid w:val="00F9182B"/>
    <w:rsid w:val="00F9188A"/>
    <w:rsid w:val="00F91A43"/>
    <w:rsid w:val="00F92793"/>
    <w:rsid w:val="00F94319"/>
    <w:rsid w:val="00F95FC4"/>
    <w:rsid w:val="00F9631E"/>
    <w:rsid w:val="00FA1B51"/>
    <w:rsid w:val="00FA2484"/>
    <w:rsid w:val="00FA3882"/>
    <w:rsid w:val="00FA4B66"/>
    <w:rsid w:val="00FA4D9F"/>
    <w:rsid w:val="00FA7463"/>
    <w:rsid w:val="00FB1DC3"/>
    <w:rsid w:val="00FB350F"/>
    <w:rsid w:val="00FB3A5E"/>
    <w:rsid w:val="00FB465C"/>
    <w:rsid w:val="00FB5077"/>
    <w:rsid w:val="00FB714B"/>
    <w:rsid w:val="00FB7488"/>
    <w:rsid w:val="00FC2E9F"/>
    <w:rsid w:val="00FC30DD"/>
    <w:rsid w:val="00FC31E1"/>
    <w:rsid w:val="00FC3666"/>
    <w:rsid w:val="00FC3896"/>
    <w:rsid w:val="00FC4578"/>
    <w:rsid w:val="00FC50BD"/>
    <w:rsid w:val="00FC574C"/>
    <w:rsid w:val="00FC7A15"/>
    <w:rsid w:val="00FC7C46"/>
    <w:rsid w:val="00FD165D"/>
    <w:rsid w:val="00FD2429"/>
    <w:rsid w:val="00FD2BBE"/>
    <w:rsid w:val="00FD2CC2"/>
    <w:rsid w:val="00FD48C8"/>
    <w:rsid w:val="00FD604E"/>
    <w:rsid w:val="00FD68A2"/>
    <w:rsid w:val="00FE2536"/>
    <w:rsid w:val="00FE2819"/>
    <w:rsid w:val="00FE28BC"/>
    <w:rsid w:val="00FE34FC"/>
    <w:rsid w:val="00FE651F"/>
    <w:rsid w:val="00FF212A"/>
    <w:rsid w:val="00FF272C"/>
    <w:rsid w:val="00FF41F2"/>
    <w:rsid w:val="00FF6D80"/>
    <w:rsid w:val="013B6DAA"/>
    <w:rsid w:val="01622650"/>
    <w:rsid w:val="01923746"/>
    <w:rsid w:val="01B95B4F"/>
    <w:rsid w:val="01CC7B9A"/>
    <w:rsid w:val="01E40BB8"/>
    <w:rsid w:val="01E71D25"/>
    <w:rsid w:val="021B6887"/>
    <w:rsid w:val="022837C3"/>
    <w:rsid w:val="023019BC"/>
    <w:rsid w:val="023B5F19"/>
    <w:rsid w:val="027F2CF3"/>
    <w:rsid w:val="0289548A"/>
    <w:rsid w:val="02AD2059"/>
    <w:rsid w:val="03111BD6"/>
    <w:rsid w:val="03232129"/>
    <w:rsid w:val="03A9577A"/>
    <w:rsid w:val="03DE0187"/>
    <w:rsid w:val="03E25ADF"/>
    <w:rsid w:val="03EF6B5C"/>
    <w:rsid w:val="04371340"/>
    <w:rsid w:val="0471172F"/>
    <w:rsid w:val="05274A7B"/>
    <w:rsid w:val="059B7DE5"/>
    <w:rsid w:val="059D2B62"/>
    <w:rsid w:val="05AE71A9"/>
    <w:rsid w:val="062A1B4C"/>
    <w:rsid w:val="063E6922"/>
    <w:rsid w:val="06932464"/>
    <w:rsid w:val="06E2128E"/>
    <w:rsid w:val="07246AEF"/>
    <w:rsid w:val="07BC144B"/>
    <w:rsid w:val="07F20339"/>
    <w:rsid w:val="08226037"/>
    <w:rsid w:val="0824477C"/>
    <w:rsid w:val="083742E2"/>
    <w:rsid w:val="08916D4B"/>
    <w:rsid w:val="08951BCB"/>
    <w:rsid w:val="089D4DED"/>
    <w:rsid w:val="09350062"/>
    <w:rsid w:val="095C67F5"/>
    <w:rsid w:val="09812490"/>
    <w:rsid w:val="09845573"/>
    <w:rsid w:val="0A202696"/>
    <w:rsid w:val="0A500581"/>
    <w:rsid w:val="0A666D3D"/>
    <w:rsid w:val="0A9D162C"/>
    <w:rsid w:val="0ACA7A10"/>
    <w:rsid w:val="0AE62AB0"/>
    <w:rsid w:val="0B494BC8"/>
    <w:rsid w:val="0BC268CD"/>
    <w:rsid w:val="0C2E6434"/>
    <w:rsid w:val="0CB37172"/>
    <w:rsid w:val="0CCB2792"/>
    <w:rsid w:val="0CF44BC3"/>
    <w:rsid w:val="0D71050D"/>
    <w:rsid w:val="0DF76FB2"/>
    <w:rsid w:val="0E3D0A1E"/>
    <w:rsid w:val="0EC92EE7"/>
    <w:rsid w:val="0F7C5F7E"/>
    <w:rsid w:val="0F8D7A78"/>
    <w:rsid w:val="0FF96500"/>
    <w:rsid w:val="10254BED"/>
    <w:rsid w:val="10593365"/>
    <w:rsid w:val="10863154"/>
    <w:rsid w:val="10B031DF"/>
    <w:rsid w:val="10CF7DE1"/>
    <w:rsid w:val="110F6577"/>
    <w:rsid w:val="111F0FD7"/>
    <w:rsid w:val="11AE2CFB"/>
    <w:rsid w:val="120E598B"/>
    <w:rsid w:val="122B185B"/>
    <w:rsid w:val="12BD0DC3"/>
    <w:rsid w:val="13B34485"/>
    <w:rsid w:val="13D14BB1"/>
    <w:rsid w:val="14123055"/>
    <w:rsid w:val="142F02D9"/>
    <w:rsid w:val="159A1887"/>
    <w:rsid w:val="15EF28C2"/>
    <w:rsid w:val="16132ECE"/>
    <w:rsid w:val="163A7801"/>
    <w:rsid w:val="165958AD"/>
    <w:rsid w:val="171A046D"/>
    <w:rsid w:val="17324064"/>
    <w:rsid w:val="17325B53"/>
    <w:rsid w:val="17361A7C"/>
    <w:rsid w:val="17561BED"/>
    <w:rsid w:val="179E3033"/>
    <w:rsid w:val="1869687A"/>
    <w:rsid w:val="187950E7"/>
    <w:rsid w:val="189167FD"/>
    <w:rsid w:val="18BB2B5F"/>
    <w:rsid w:val="18DC4D5A"/>
    <w:rsid w:val="1986298F"/>
    <w:rsid w:val="19923C86"/>
    <w:rsid w:val="19973952"/>
    <w:rsid w:val="1A021B68"/>
    <w:rsid w:val="1A8F5EE9"/>
    <w:rsid w:val="1A981615"/>
    <w:rsid w:val="1ACF7316"/>
    <w:rsid w:val="1B1E10D5"/>
    <w:rsid w:val="1B2200E0"/>
    <w:rsid w:val="1C4E321C"/>
    <w:rsid w:val="1C7C6CE3"/>
    <w:rsid w:val="1CA35C2F"/>
    <w:rsid w:val="1CE8263B"/>
    <w:rsid w:val="1D09671A"/>
    <w:rsid w:val="1D667723"/>
    <w:rsid w:val="1DC47DFB"/>
    <w:rsid w:val="1DDE0649"/>
    <w:rsid w:val="1E1546DA"/>
    <w:rsid w:val="1E4D566B"/>
    <w:rsid w:val="1F103B8E"/>
    <w:rsid w:val="1F275E37"/>
    <w:rsid w:val="1F647EBB"/>
    <w:rsid w:val="1F6D7CC5"/>
    <w:rsid w:val="1F915BD4"/>
    <w:rsid w:val="1F924F46"/>
    <w:rsid w:val="1F9273F7"/>
    <w:rsid w:val="1FBC0A88"/>
    <w:rsid w:val="200770BD"/>
    <w:rsid w:val="20741ECE"/>
    <w:rsid w:val="20762F38"/>
    <w:rsid w:val="20F33DAE"/>
    <w:rsid w:val="213543F6"/>
    <w:rsid w:val="214B4EEF"/>
    <w:rsid w:val="22034DA0"/>
    <w:rsid w:val="222A0CE1"/>
    <w:rsid w:val="22416C60"/>
    <w:rsid w:val="22471554"/>
    <w:rsid w:val="22630438"/>
    <w:rsid w:val="2288659B"/>
    <w:rsid w:val="22D171FB"/>
    <w:rsid w:val="23084995"/>
    <w:rsid w:val="237730D6"/>
    <w:rsid w:val="23897770"/>
    <w:rsid w:val="23A51241"/>
    <w:rsid w:val="23B2721B"/>
    <w:rsid w:val="24656E02"/>
    <w:rsid w:val="24715642"/>
    <w:rsid w:val="24A73F75"/>
    <w:rsid w:val="24AB64FF"/>
    <w:rsid w:val="24DF2D31"/>
    <w:rsid w:val="25136B94"/>
    <w:rsid w:val="257313C6"/>
    <w:rsid w:val="25EE69B6"/>
    <w:rsid w:val="26076D4F"/>
    <w:rsid w:val="261C4DCC"/>
    <w:rsid w:val="26557A76"/>
    <w:rsid w:val="26821074"/>
    <w:rsid w:val="26BC62EE"/>
    <w:rsid w:val="26C40657"/>
    <w:rsid w:val="26CA1594"/>
    <w:rsid w:val="26EA0F41"/>
    <w:rsid w:val="27046489"/>
    <w:rsid w:val="27290F87"/>
    <w:rsid w:val="27505F9F"/>
    <w:rsid w:val="2757093D"/>
    <w:rsid w:val="27810F7B"/>
    <w:rsid w:val="279D15B1"/>
    <w:rsid w:val="27E21382"/>
    <w:rsid w:val="286911B1"/>
    <w:rsid w:val="286D6063"/>
    <w:rsid w:val="286E13BA"/>
    <w:rsid w:val="289F4848"/>
    <w:rsid w:val="28B34612"/>
    <w:rsid w:val="2926535A"/>
    <w:rsid w:val="294768F8"/>
    <w:rsid w:val="29503BE8"/>
    <w:rsid w:val="295E4238"/>
    <w:rsid w:val="29EE3C07"/>
    <w:rsid w:val="2A2869EE"/>
    <w:rsid w:val="2A2E3B6D"/>
    <w:rsid w:val="2A4F44FD"/>
    <w:rsid w:val="2A77507E"/>
    <w:rsid w:val="2A8E1304"/>
    <w:rsid w:val="2AA93693"/>
    <w:rsid w:val="2AAF0561"/>
    <w:rsid w:val="2AFE0FD4"/>
    <w:rsid w:val="2B8C61B1"/>
    <w:rsid w:val="2B922B6F"/>
    <w:rsid w:val="2BB859E8"/>
    <w:rsid w:val="2BFC5DE6"/>
    <w:rsid w:val="2CAD6B15"/>
    <w:rsid w:val="2D08160C"/>
    <w:rsid w:val="2D0A72B6"/>
    <w:rsid w:val="2DA57654"/>
    <w:rsid w:val="2DE159DF"/>
    <w:rsid w:val="2DF70EB9"/>
    <w:rsid w:val="2DFF1F45"/>
    <w:rsid w:val="2E2023C9"/>
    <w:rsid w:val="2E20699E"/>
    <w:rsid w:val="2ED40785"/>
    <w:rsid w:val="2FCD52E0"/>
    <w:rsid w:val="2FD606E6"/>
    <w:rsid w:val="300444E4"/>
    <w:rsid w:val="3012432A"/>
    <w:rsid w:val="30690A88"/>
    <w:rsid w:val="309A3B0B"/>
    <w:rsid w:val="30E908D8"/>
    <w:rsid w:val="318422B9"/>
    <w:rsid w:val="31B44E5E"/>
    <w:rsid w:val="328002C6"/>
    <w:rsid w:val="329F4490"/>
    <w:rsid w:val="32FA5A13"/>
    <w:rsid w:val="33093A7E"/>
    <w:rsid w:val="333074E7"/>
    <w:rsid w:val="333D1239"/>
    <w:rsid w:val="33587F05"/>
    <w:rsid w:val="33CF41E0"/>
    <w:rsid w:val="341A4A7D"/>
    <w:rsid w:val="344E5F5A"/>
    <w:rsid w:val="34895FB3"/>
    <w:rsid w:val="3498018E"/>
    <w:rsid w:val="34BB413D"/>
    <w:rsid w:val="34D716F4"/>
    <w:rsid w:val="356110E1"/>
    <w:rsid w:val="36007877"/>
    <w:rsid w:val="360663CD"/>
    <w:rsid w:val="360676E9"/>
    <w:rsid w:val="36590867"/>
    <w:rsid w:val="368A5274"/>
    <w:rsid w:val="36B418A2"/>
    <w:rsid w:val="36D15202"/>
    <w:rsid w:val="37082572"/>
    <w:rsid w:val="37205E9D"/>
    <w:rsid w:val="3734232A"/>
    <w:rsid w:val="37640CA1"/>
    <w:rsid w:val="37677800"/>
    <w:rsid w:val="377958E8"/>
    <w:rsid w:val="378F51AC"/>
    <w:rsid w:val="38560DE6"/>
    <w:rsid w:val="38D748E4"/>
    <w:rsid w:val="39311C74"/>
    <w:rsid w:val="3953655C"/>
    <w:rsid w:val="396348E7"/>
    <w:rsid w:val="396E1669"/>
    <w:rsid w:val="3992412F"/>
    <w:rsid w:val="39F14F9D"/>
    <w:rsid w:val="39F61DCD"/>
    <w:rsid w:val="39FC0C02"/>
    <w:rsid w:val="3AB52C02"/>
    <w:rsid w:val="3AC01CD7"/>
    <w:rsid w:val="3AC718B1"/>
    <w:rsid w:val="3AE34172"/>
    <w:rsid w:val="3C066D75"/>
    <w:rsid w:val="3C144178"/>
    <w:rsid w:val="3C7F4A7E"/>
    <w:rsid w:val="3C8508EB"/>
    <w:rsid w:val="3CA55A52"/>
    <w:rsid w:val="3CB305A0"/>
    <w:rsid w:val="3CFD2DEE"/>
    <w:rsid w:val="3D11622D"/>
    <w:rsid w:val="3D2158B0"/>
    <w:rsid w:val="3D317244"/>
    <w:rsid w:val="3D40048C"/>
    <w:rsid w:val="3D982F90"/>
    <w:rsid w:val="3E2B09B3"/>
    <w:rsid w:val="3ECB0E04"/>
    <w:rsid w:val="3F0A7A00"/>
    <w:rsid w:val="3F5F4178"/>
    <w:rsid w:val="3F6E15B5"/>
    <w:rsid w:val="40BA4C67"/>
    <w:rsid w:val="40EB0CFE"/>
    <w:rsid w:val="40F7143D"/>
    <w:rsid w:val="41451C25"/>
    <w:rsid w:val="41841929"/>
    <w:rsid w:val="41EF35EC"/>
    <w:rsid w:val="42716A76"/>
    <w:rsid w:val="42C771A5"/>
    <w:rsid w:val="42EB697B"/>
    <w:rsid w:val="43374B67"/>
    <w:rsid w:val="438C6DC9"/>
    <w:rsid w:val="43DE7522"/>
    <w:rsid w:val="43F33E6E"/>
    <w:rsid w:val="44502968"/>
    <w:rsid w:val="44BB3B50"/>
    <w:rsid w:val="44CD149F"/>
    <w:rsid w:val="4546525F"/>
    <w:rsid w:val="456303C9"/>
    <w:rsid w:val="4564799D"/>
    <w:rsid w:val="459E7F23"/>
    <w:rsid w:val="46046A11"/>
    <w:rsid w:val="46280C9F"/>
    <w:rsid w:val="466A642D"/>
    <w:rsid w:val="46A67CCD"/>
    <w:rsid w:val="471A3820"/>
    <w:rsid w:val="471C18BE"/>
    <w:rsid w:val="471F2F71"/>
    <w:rsid w:val="475F422E"/>
    <w:rsid w:val="4768082C"/>
    <w:rsid w:val="478E70F3"/>
    <w:rsid w:val="47B46E33"/>
    <w:rsid w:val="48010C68"/>
    <w:rsid w:val="48025FD4"/>
    <w:rsid w:val="4804700E"/>
    <w:rsid w:val="48265581"/>
    <w:rsid w:val="486D47B7"/>
    <w:rsid w:val="48CE4E62"/>
    <w:rsid w:val="48D93FCB"/>
    <w:rsid w:val="49AE5ECF"/>
    <w:rsid w:val="49C3306C"/>
    <w:rsid w:val="49EC4F0F"/>
    <w:rsid w:val="4AA41350"/>
    <w:rsid w:val="4AB951C4"/>
    <w:rsid w:val="4AC346C2"/>
    <w:rsid w:val="4B18611C"/>
    <w:rsid w:val="4B40768E"/>
    <w:rsid w:val="4BB16C66"/>
    <w:rsid w:val="4BC10E86"/>
    <w:rsid w:val="4BC857B8"/>
    <w:rsid w:val="4BDC59B6"/>
    <w:rsid w:val="4BEF2CBF"/>
    <w:rsid w:val="4BF11F49"/>
    <w:rsid w:val="4C0A2F75"/>
    <w:rsid w:val="4C261E2E"/>
    <w:rsid w:val="4C3E0E59"/>
    <w:rsid w:val="4C731726"/>
    <w:rsid w:val="4C7370F1"/>
    <w:rsid w:val="4C777575"/>
    <w:rsid w:val="4C8972AD"/>
    <w:rsid w:val="4CBF7F21"/>
    <w:rsid w:val="4D627A37"/>
    <w:rsid w:val="4D6D22D3"/>
    <w:rsid w:val="4D9B23D8"/>
    <w:rsid w:val="4E485F18"/>
    <w:rsid w:val="4E7B5844"/>
    <w:rsid w:val="4E88717E"/>
    <w:rsid w:val="4EB7640E"/>
    <w:rsid w:val="4ECD31A8"/>
    <w:rsid w:val="4EDD633F"/>
    <w:rsid w:val="4EEB2E92"/>
    <w:rsid w:val="4EFF6DC0"/>
    <w:rsid w:val="4F030075"/>
    <w:rsid w:val="4F04499D"/>
    <w:rsid w:val="4F2A2894"/>
    <w:rsid w:val="4F5F348A"/>
    <w:rsid w:val="507D7631"/>
    <w:rsid w:val="50E93B22"/>
    <w:rsid w:val="513C26AB"/>
    <w:rsid w:val="517C525A"/>
    <w:rsid w:val="521A30D3"/>
    <w:rsid w:val="52D652CF"/>
    <w:rsid w:val="531B3B74"/>
    <w:rsid w:val="531E6A57"/>
    <w:rsid w:val="53337552"/>
    <w:rsid w:val="534B7E3F"/>
    <w:rsid w:val="53660DD7"/>
    <w:rsid w:val="54132BC9"/>
    <w:rsid w:val="54143F10"/>
    <w:rsid w:val="5423668B"/>
    <w:rsid w:val="54242C93"/>
    <w:rsid w:val="54612D23"/>
    <w:rsid w:val="54824F73"/>
    <w:rsid w:val="54D06F97"/>
    <w:rsid w:val="55626FA3"/>
    <w:rsid w:val="56556FCF"/>
    <w:rsid w:val="56744EF7"/>
    <w:rsid w:val="56EB03E5"/>
    <w:rsid w:val="57E9799C"/>
    <w:rsid w:val="57F6010A"/>
    <w:rsid w:val="58353010"/>
    <w:rsid w:val="58557DE5"/>
    <w:rsid w:val="59882AC6"/>
    <w:rsid w:val="59AD6B24"/>
    <w:rsid w:val="59CB7CB2"/>
    <w:rsid w:val="59EB454E"/>
    <w:rsid w:val="59FE0310"/>
    <w:rsid w:val="5AA87C9F"/>
    <w:rsid w:val="5AC42E51"/>
    <w:rsid w:val="5ACB3E8A"/>
    <w:rsid w:val="5B563728"/>
    <w:rsid w:val="5B822BE6"/>
    <w:rsid w:val="5BDC0375"/>
    <w:rsid w:val="5C0D4727"/>
    <w:rsid w:val="5C327ED2"/>
    <w:rsid w:val="5CB30C53"/>
    <w:rsid w:val="5CCD3205"/>
    <w:rsid w:val="5CEE3777"/>
    <w:rsid w:val="5CF07365"/>
    <w:rsid w:val="5D04794E"/>
    <w:rsid w:val="5D3856D9"/>
    <w:rsid w:val="5D544ECC"/>
    <w:rsid w:val="5D5854B6"/>
    <w:rsid w:val="5DF016F3"/>
    <w:rsid w:val="5E0150BD"/>
    <w:rsid w:val="5E217B04"/>
    <w:rsid w:val="5E3953D3"/>
    <w:rsid w:val="5E894B80"/>
    <w:rsid w:val="5E9C6348"/>
    <w:rsid w:val="5F5555B9"/>
    <w:rsid w:val="5F8210C2"/>
    <w:rsid w:val="60562CCA"/>
    <w:rsid w:val="606A7AB5"/>
    <w:rsid w:val="606F7E14"/>
    <w:rsid w:val="60787A44"/>
    <w:rsid w:val="60881257"/>
    <w:rsid w:val="61052905"/>
    <w:rsid w:val="61244B0D"/>
    <w:rsid w:val="61326051"/>
    <w:rsid w:val="61396388"/>
    <w:rsid w:val="614C05AA"/>
    <w:rsid w:val="616D1FF7"/>
    <w:rsid w:val="61C91A09"/>
    <w:rsid w:val="62160569"/>
    <w:rsid w:val="62571A33"/>
    <w:rsid w:val="62B77B05"/>
    <w:rsid w:val="62C70510"/>
    <w:rsid w:val="62E82A83"/>
    <w:rsid w:val="633728C4"/>
    <w:rsid w:val="63654673"/>
    <w:rsid w:val="63B75F2C"/>
    <w:rsid w:val="63B7686D"/>
    <w:rsid w:val="63C12A3D"/>
    <w:rsid w:val="63E1285D"/>
    <w:rsid w:val="642A153A"/>
    <w:rsid w:val="64CB5798"/>
    <w:rsid w:val="650D1F6A"/>
    <w:rsid w:val="653053F9"/>
    <w:rsid w:val="6592680B"/>
    <w:rsid w:val="65F1005E"/>
    <w:rsid w:val="66024657"/>
    <w:rsid w:val="660375EC"/>
    <w:rsid w:val="66395927"/>
    <w:rsid w:val="664277CB"/>
    <w:rsid w:val="669B5CD5"/>
    <w:rsid w:val="66B56100"/>
    <w:rsid w:val="66E46249"/>
    <w:rsid w:val="67312D38"/>
    <w:rsid w:val="674A2FBB"/>
    <w:rsid w:val="6797341F"/>
    <w:rsid w:val="67F46522"/>
    <w:rsid w:val="681850FF"/>
    <w:rsid w:val="686821E7"/>
    <w:rsid w:val="68BB3138"/>
    <w:rsid w:val="6911224E"/>
    <w:rsid w:val="69AE4C57"/>
    <w:rsid w:val="69B551B7"/>
    <w:rsid w:val="6A0C340B"/>
    <w:rsid w:val="6A3C4114"/>
    <w:rsid w:val="6AAD2939"/>
    <w:rsid w:val="6B89717F"/>
    <w:rsid w:val="6B970344"/>
    <w:rsid w:val="6C2E1DAF"/>
    <w:rsid w:val="6C4E2F83"/>
    <w:rsid w:val="6C9D2A59"/>
    <w:rsid w:val="6CA2516A"/>
    <w:rsid w:val="6CE25C3F"/>
    <w:rsid w:val="6D49242D"/>
    <w:rsid w:val="6D5457B0"/>
    <w:rsid w:val="6D635AB7"/>
    <w:rsid w:val="6D6638AE"/>
    <w:rsid w:val="6D94575C"/>
    <w:rsid w:val="6E033701"/>
    <w:rsid w:val="6E340D7D"/>
    <w:rsid w:val="6E3B6C69"/>
    <w:rsid w:val="6E3E62B1"/>
    <w:rsid w:val="6E430739"/>
    <w:rsid w:val="6E8A6201"/>
    <w:rsid w:val="6E9A357C"/>
    <w:rsid w:val="6EA62504"/>
    <w:rsid w:val="6EEB7A97"/>
    <w:rsid w:val="6FB54C8B"/>
    <w:rsid w:val="702B32F2"/>
    <w:rsid w:val="705958C6"/>
    <w:rsid w:val="70F0219D"/>
    <w:rsid w:val="70F12F69"/>
    <w:rsid w:val="7141376A"/>
    <w:rsid w:val="722601AD"/>
    <w:rsid w:val="723A23E1"/>
    <w:rsid w:val="72410B1B"/>
    <w:rsid w:val="727721F5"/>
    <w:rsid w:val="72ED2BDA"/>
    <w:rsid w:val="74216CBC"/>
    <w:rsid w:val="74466C22"/>
    <w:rsid w:val="74CE2112"/>
    <w:rsid w:val="74E93378"/>
    <w:rsid w:val="7507389E"/>
    <w:rsid w:val="7546660F"/>
    <w:rsid w:val="75496156"/>
    <w:rsid w:val="755C3303"/>
    <w:rsid w:val="7560063E"/>
    <w:rsid w:val="75643D81"/>
    <w:rsid w:val="75DE13F7"/>
    <w:rsid w:val="75E13CC6"/>
    <w:rsid w:val="761B62A9"/>
    <w:rsid w:val="76320865"/>
    <w:rsid w:val="76502E81"/>
    <w:rsid w:val="76A44E6A"/>
    <w:rsid w:val="76C3690D"/>
    <w:rsid w:val="76DA67D2"/>
    <w:rsid w:val="7762118E"/>
    <w:rsid w:val="77F1496F"/>
    <w:rsid w:val="782B4B38"/>
    <w:rsid w:val="7839142D"/>
    <w:rsid w:val="789B580C"/>
    <w:rsid w:val="78D609FB"/>
    <w:rsid w:val="7971139A"/>
    <w:rsid w:val="79860943"/>
    <w:rsid w:val="79E27658"/>
    <w:rsid w:val="7BB959FC"/>
    <w:rsid w:val="7C637E87"/>
    <w:rsid w:val="7C8F3D28"/>
    <w:rsid w:val="7CA47EE6"/>
    <w:rsid w:val="7CCD77D6"/>
    <w:rsid w:val="7D313FD8"/>
    <w:rsid w:val="7D653A14"/>
    <w:rsid w:val="7D74305C"/>
    <w:rsid w:val="7DD57F65"/>
    <w:rsid w:val="7E6614DA"/>
    <w:rsid w:val="7E6775CA"/>
    <w:rsid w:val="7F2F130D"/>
    <w:rsid w:val="7F31316B"/>
    <w:rsid w:val="7F501250"/>
    <w:rsid w:val="7F76793D"/>
    <w:rsid w:val="7F9A21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Mono CJK JP Regular" w:hAnsi="Noto Sans Mono CJK JP Regular" w:eastAsia="Noto Sans Mono CJK JP Regular" w:cs="Noto Sans Mono CJK JP Regular"/>
      <w:sz w:val="22"/>
      <w:szCs w:val="22"/>
      <w:lang w:val="zh-CN" w:eastAsia="zh-CN" w:bidi="zh-CN"/>
    </w:rPr>
  </w:style>
  <w:style w:type="paragraph" w:styleId="3">
    <w:name w:val="heading 1"/>
    <w:basedOn w:val="1"/>
    <w:next w:val="1"/>
    <w:link w:val="49"/>
    <w:qFormat/>
    <w:uiPriority w:val="0"/>
    <w:pPr>
      <w:spacing w:line="580" w:lineRule="exact"/>
      <w:outlineLvl w:val="0"/>
    </w:pPr>
    <w:rPr>
      <w:sz w:val="32"/>
      <w:szCs w:val="32"/>
    </w:rPr>
  </w:style>
  <w:style w:type="paragraph" w:styleId="4">
    <w:name w:val="heading 2"/>
    <w:basedOn w:val="1"/>
    <w:next w:val="1"/>
    <w:link w:val="50"/>
    <w:qFormat/>
    <w:uiPriority w:val="0"/>
    <w:pPr>
      <w:spacing w:line="521" w:lineRule="exact"/>
      <w:jc w:val="center"/>
      <w:outlineLvl w:val="1"/>
    </w:pPr>
    <w:rPr>
      <w:sz w:val="28"/>
      <w:szCs w:val="28"/>
    </w:rPr>
  </w:style>
  <w:style w:type="paragraph" w:styleId="5">
    <w:name w:val="heading 3"/>
    <w:basedOn w:val="1"/>
    <w:next w:val="1"/>
    <w:link w:val="51"/>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52"/>
    <w:qFormat/>
    <w:uiPriority w:val="9"/>
    <w:pPr>
      <w:keepNext/>
      <w:keepLines/>
      <w:autoSpaceDE/>
      <w:autoSpaceDN/>
      <w:spacing w:before="280" w:after="290" w:line="376" w:lineRule="auto"/>
      <w:jc w:val="both"/>
      <w:outlineLvl w:val="3"/>
    </w:pPr>
    <w:rPr>
      <w:rFonts w:ascii="Cambria" w:hAnsi="Cambria" w:eastAsia="宋体" w:cs="Times New Roman"/>
      <w:b/>
      <w:bCs/>
      <w:kern w:val="2"/>
      <w:sz w:val="28"/>
      <w:szCs w:val="28"/>
      <w:lang w:bidi="ar-SA"/>
    </w:rPr>
  </w:style>
  <w:style w:type="paragraph" w:styleId="7">
    <w:name w:val="heading 6"/>
    <w:basedOn w:val="1"/>
    <w:next w:val="1"/>
    <w:link w:val="53"/>
    <w:qFormat/>
    <w:uiPriority w:val="0"/>
    <w:pPr>
      <w:keepNext/>
      <w:keepLines/>
      <w:autoSpaceDE/>
      <w:autoSpaceDN/>
      <w:adjustRightInd w:val="0"/>
      <w:snapToGrid w:val="0"/>
      <w:spacing w:before="240" w:after="64" w:line="320" w:lineRule="auto"/>
      <w:outlineLvl w:val="5"/>
    </w:pPr>
    <w:rPr>
      <w:rFonts w:ascii="Arial" w:hAnsi="Arial" w:eastAsia="黑体" w:cs="Times New Roman"/>
      <w:b/>
      <w:bCs/>
      <w:kern w:val="2"/>
      <w:sz w:val="24"/>
      <w:szCs w:val="24"/>
      <w:lang w:bidi="ar-SA"/>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toc 7"/>
    <w:basedOn w:val="1"/>
    <w:next w:val="1"/>
    <w:qFormat/>
    <w:uiPriority w:val="0"/>
    <w:pPr>
      <w:autoSpaceDE/>
      <w:autoSpaceDN/>
      <w:adjustRightInd w:val="0"/>
      <w:snapToGrid w:val="0"/>
      <w:spacing w:line="360" w:lineRule="auto"/>
      <w:ind w:left="1260"/>
    </w:pPr>
    <w:rPr>
      <w:rFonts w:ascii="Times New Roman" w:hAnsi="Times New Roman" w:eastAsia="宋体" w:cs="Times New Roman"/>
      <w:kern w:val="2"/>
      <w:sz w:val="18"/>
      <w:szCs w:val="20"/>
      <w:lang w:val="en-US" w:bidi="ar-SA"/>
    </w:rPr>
  </w:style>
  <w:style w:type="paragraph" w:styleId="9">
    <w:name w:val="table of authorities"/>
    <w:basedOn w:val="1"/>
    <w:next w:val="1"/>
    <w:unhideWhenUsed/>
    <w:qFormat/>
    <w:uiPriority w:val="99"/>
    <w:pPr>
      <w:ind w:left="420" w:leftChars="200"/>
    </w:pPr>
  </w:style>
  <w:style w:type="paragraph" w:styleId="10">
    <w:name w:val="Normal Indent"/>
    <w:basedOn w:val="1"/>
    <w:link w:val="54"/>
    <w:qFormat/>
    <w:uiPriority w:val="99"/>
    <w:pPr>
      <w:autoSpaceDE/>
      <w:autoSpaceDN/>
      <w:spacing w:before="100" w:beforeAutospacing="1" w:after="100" w:afterAutospacing="1" w:line="360" w:lineRule="auto"/>
      <w:ind w:firstLine="482"/>
      <w:jc w:val="both"/>
    </w:pPr>
    <w:rPr>
      <w:rFonts w:ascii="Arial" w:hAnsi="Arial" w:eastAsia="宋体" w:cs="Times New Roman"/>
      <w:kern w:val="2"/>
      <w:sz w:val="24"/>
      <w:szCs w:val="20"/>
      <w:lang w:val="en-US" w:bidi="ar-SA"/>
    </w:rPr>
  </w:style>
  <w:style w:type="paragraph" w:styleId="11">
    <w:name w:val="caption"/>
    <w:basedOn w:val="1"/>
    <w:next w:val="1"/>
    <w:qFormat/>
    <w:uiPriority w:val="0"/>
    <w:pPr>
      <w:autoSpaceDE/>
      <w:autoSpaceDN/>
      <w:adjustRightInd w:val="0"/>
      <w:snapToGrid w:val="0"/>
      <w:spacing w:line="360" w:lineRule="auto"/>
    </w:pPr>
    <w:rPr>
      <w:rFonts w:ascii="Arial" w:hAnsi="Arial" w:eastAsia="黑体" w:cs="Times New Roman"/>
      <w:kern w:val="2"/>
      <w:sz w:val="20"/>
      <w:szCs w:val="20"/>
      <w:lang w:val="en-US" w:bidi="ar-SA"/>
    </w:rPr>
  </w:style>
  <w:style w:type="paragraph" w:styleId="12">
    <w:name w:val="Document Map"/>
    <w:basedOn w:val="1"/>
    <w:link w:val="55"/>
    <w:semiHidden/>
    <w:unhideWhenUsed/>
    <w:qFormat/>
    <w:uiPriority w:val="99"/>
    <w:rPr>
      <w:rFonts w:ascii="宋体" w:eastAsia="宋体"/>
      <w:sz w:val="18"/>
      <w:szCs w:val="18"/>
    </w:rPr>
  </w:style>
  <w:style w:type="paragraph" w:styleId="13">
    <w:name w:val="annotation text"/>
    <w:basedOn w:val="1"/>
    <w:link w:val="56"/>
    <w:qFormat/>
    <w:uiPriority w:val="0"/>
    <w:pPr>
      <w:autoSpaceDE/>
      <w:autoSpaceDN/>
    </w:pPr>
    <w:rPr>
      <w:rFonts w:ascii="Times New Roman" w:hAnsi="Times New Roman" w:eastAsia="宋体" w:cs="Times New Roman"/>
      <w:kern w:val="2"/>
      <w:sz w:val="21"/>
      <w:szCs w:val="24"/>
      <w:lang w:bidi="ar-SA"/>
    </w:rPr>
  </w:style>
  <w:style w:type="paragraph" w:styleId="14">
    <w:name w:val="Body Text"/>
    <w:basedOn w:val="1"/>
    <w:next w:val="15"/>
    <w:link w:val="57"/>
    <w:qFormat/>
    <w:uiPriority w:val="0"/>
    <w:pPr>
      <w:ind w:left="528"/>
    </w:pPr>
    <w:rPr>
      <w:sz w:val="24"/>
      <w:szCs w:val="24"/>
    </w:rPr>
  </w:style>
  <w:style w:type="paragraph" w:styleId="15">
    <w:name w:val="Body Text 2"/>
    <w:basedOn w:val="1"/>
    <w:link w:val="68"/>
    <w:qFormat/>
    <w:uiPriority w:val="0"/>
    <w:pPr>
      <w:autoSpaceDE/>
      <w:autoSpaceDN/>
      <w:adjustRightInd w:val="0"/>
      <w:snapToGrid w:val="0"/>
      <w:spacing w:after="120" w:line="480" w:lineRule="auto"/>
    </w:pPr>
    <w:rPr>
      <w:rFonts w:ascii="Times New Roman" w:hAnsi="Times New Roman" w:eastAsia="宋体" w:cs="Times New Roman"/>
      <w:kern w:val="2"/>
      <w:sz w:val="24"/>
      <w:szCs w:val="24"/>
      <w:lang w:bidi="ar-SA"/>
    </w:rPr>
  </w:style>
  <w:style w:type="paragraph" w:styleId="16">
    <w:name w:val="Body Text Indent"/>
    <w:basedOn w:val="1"/>
    <w:link w:val="58"/>
    <w:unhideWhenUsed/>
    <w:qFormat/>
    <w:uiPriority w:val="0"/>
    <w:pPr>
      <w:spacing w:after="120"/>
      <w:ind w:left="420" w:leftChars="200"/>
    </w:pPr>
  </w:style>
  <w:style w:type="paragraph" w:styleId="17">
    <w:name w:val="toc 5"/>
    <w:basedOn w:val="1"/>
    <w:next w:val="1"/>
    <w:qFormat/>
    <w:uiPriority w:val="0"/>
    <w:pPr>
      <w:autoSpaceDE/>
      <w:autoSpaceDN/>
      <w:adjustRightInd w:val="0"/>
      <w:snapToGrid w:val="0"/>
      <w:spacing w:line="360" w:lineRule="auto"/>
      <w:ind w:left="840"/>
    </w:pPr>
    <w:rPr>
      <w:rFonts w:ascii="Times New Roman" w:hAnsi="Times New Roman" w:eastAsia="宋体" w:cs="Times New Roman"/>
      <w:kern w:val="2"/>
      <w:sz w:val="18"/>
      <w:szCs w:val="20"/>
      <w:lang w:val="en-US" w:bidi="ar-SA"/>
    </w:rPr>
  </w:style>
  <w:style w:type="paragraph" w:styleId="18">
    <w:name w:val="toc 3"/>
    <w:basedOn w:val="1"/>
    <w:next w:val="1"/>
    <w:qFormat/>
    <w:uiPriority w:val="0"/>
    <w:pPr>
      <w:autoSpaceDE/>
      <w:autoSpaceDN/>
      <w:adjustRightInd w:val="0"/>
      <w:snapToGrid w:val="0"/>
      <w:spacing w:line="360" w:lineRule="auto"/>
      <w:ind w:left="420"/>
    </w:pPr>
    <w:rPr>
      <w:rFonts w:ascii="Times New Roman" w:hAnsi="Times New Roman" w:eastAsia="宋体" w:cs="Times New Roman"/>
      <w:i/>
      <w:kern w:val="2"/>
      <w:sz w:val="20"/>
      <w:szCs w:val="20"/>
      <w:lang w:val="en-US" w:bidi="ar-SA"/>
    </w:rPr>
  </w:style>
  <w:style w:type="paragraph" w:styleId="19">
    <w:name w:val="Plain Text"/>
    <w:basedOn w:val="1"/>
    <w:link w:val="59"/>
    <w:qFormat/>
    <w:uiPriority w:val="0"/>
    <w:pPr>
      <w:autoSpaceDE/>
      <w:autoSpaceDN/>
      <w:jc w:val="both"/>
    </w:pPr>
    <w:rPr>
      <w:rFonts w:ascii="宋体" w:hAnsi="Courier New" w:eastAsia="宋体" w:cstheme="minorBidi"/>
      <w:kern w:val="2"/>
      <w:sz w:val="21"/>
      <w:lang w:val="en-US" w:bidi="ar-SA"/>
    </w:rPr>
  </w:style>
  <w:style w:type="paragraph" w:styleId="20">
    <w:name w:val="toc 8"/>
    <w:basedOn w:val="1"/>
    <w:next w:val="1"/>
    <w:qFormat/>
    <w:uiPriority w:val="0"/>
    <w:pPr>
      <w:autoSpaceDE/>
      <w:autoSpaceDN/>
      <w:adjustRightInd w:val="0"/>
      <w:snapToGrid w:val="0"/>
      <w:spacing w:line="360" w:lineRule="auto"/>
      <w:ind w:left="1470"/>
    </w:pPr>
    <w:rPr>
      <w:rFonts w:ascii="Times New Roman" w:hAnsi="Times New Roman" w:eastAsia="宋体" w:cs="Times New Roman"/>
      <w:kern w:val="2"/>
      <w:sz w:val="18"/>
      <w:szCs w:val="20"/>
      <w:lang w:val="en-US" w:bidi="ar-SA"/>
    </w:rPr>
  </w:style>
  <w:style w:type="paragraph" w:styleId="21">
    <w:name w:val="Date"/>
    <w:basedOn w:val="1"/>
    <w:next w:val="1"/>
    <w:link w:val="60"/>
    <w:qFormat/>
    <w:uiPriority w:val="0"/>
    <w:pPr>
      <w:autoSpaceDE/>
      <w:autoSpaceDN/>
      <w:adjustRightInd w:val="0"/>
      <w:snapToGrid w:val="0"/>
      <w:spacing w:line="360" w:lineRule="auto"/>
      <w:ind w:left="100" w:leftChars="2500"/>
    </w:pPr>
    <w:rPr>
      <w:rFonts w:ascii="Times New Roman" w:hAnsi="Times New Roman" w:eastAsia="宋体" w:cs="Times New Roman"/>
      <w:kern w:val="2"/>
      <w:sz w:val="24"/>
      <w:szCs w:val="20"/>
      <w:lang w:bidi="ar-SA"/>
    </w:rPr>
  </w:style>
  <w:style w:type="paragraph" w:styleId="22">
    <w:name w:val="Body Text Indent 2"/>
    <w:basedOn w:val="1"/>
    <w:link w:val="61"/>
    <w:unhideWhenUsed/>
    <w:qFormat/>
    <w:uiPriority w:val="0"/>
    <w:pPr>
      <w:spacing w:after="120" w:line="480" w:lineRule="auto"/>
      <w:ind w:left="420" w:leftChars="200"/>
    </w:pPr>
  </w:style>
  <w:style w:type="paragraph" w:styleId="23">
    <w:name w:val="Balloon Text"/>
    <w:basedOn w:val="1"/>
    <w:link w:val="62"/>
    <w:unhideWhenUsed/>
    <w:qFormat/>
    <w:uiPriority w:val="99"/>
    <w:rPr>
      <w:sz w:val="18"/>
      <w:szCs w:val="18"/>
    </w:rPr>
  </w:style>
  <w:style w:type="paragraph" w:styleId="24">
    <w:name w:val="footer"/>
    <w:basedOn w:val="1"/>
    <w:link w:val="63"/>
    <w:unhideWhenUsed/>
    <w:qFormat/>
    <w:uiPriority w:val="99"/>
    <w:pPr>
      <w:tabs>
        <w:tab w:val="center" w:pos="4153"/>
        <w:tab w:val="right" w:pos="8306"/>
      </w:tabs>
      <w:snapToGrid w:val="0"/>
    </w:pPr>
    <w:rPr>
      <w:sz w:val="18"/>
      <w:szCs w:val="18"/>
    </w:rPr>
  </w:style>
  <w:style w:type="paragraph" w:styleId="25">
    <w:name w:val="header"/>
    <w:basedOn w:val="1"/>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autoSpaceDE/>
      <w:autoSpaceDN/>
      <w:adjustRightInd w:val="0"/>
      <w:snapToGrid w:val="0"/>
      <w:spacing w:before="120" w:after="120" w:line="360" w:lineRule="auto"/>
    </w:pPr>
    <w:rPr>
      <w:rFonts w:ascii="Times New Roman" w:hAnsi="Times New Roman" w:eastAsia="宋体" w:cs="Times New Roman"/>
      <w:b/>
      <w:caps/>
      <w:kern w:val="2"/>
      <w:sz w:val="20"/>
      <w:szCs w:val="20"/>
      <w:lang w:val="en-US" w:bidi="ar-SA"/>
    </w:rPr>
  </w:style>
  <w:style w:type="paragraph" w:styleId="27">
    <w:name w:val="toc 4"/>
    <w:basedOn w:val="1"/>
    <w:next w:val="1"/>
    <w:qFormat/>
    <w:uiPriority w:val="0"/>
    <w:pPr>
      <w:autoSpaceDE/>
      <w:autoSpaceDN/>
      <w:adjustRightInd w:val="0"/>
      <w:snapToGrid w:val="0"/>
      <w:spacing w:line="360" w:lineRule="auto"/>
      <w:ind w:left="630"/>
    </w:pPr>
    <w:rPr>
      <w:rFonts w:ascii="Times New Roman" w:hAnsi="Times New Roman" w:eastAsia="宋体" w:cs="Times New Roman"/>
      <w:kern w:val="2"/>
      <w:sz w:val="18"/>
      <w:szCs w:val="20"/>
      <w:lang w:val="en-US" w:bidi="ar-SA"/>
    </w:rPr>
  </w:style>
  <w:style w:type="paragraph" w:styleId="28">
    <w:name w:val="Subtitle"/>
    <w:basedOn w:val="1"/>
    <w:next w:val="1"/>
    <w:link w:val="65"/>
    <w:qFormat/>
    <w:uiPriority w:val="0"/>
    <w:pPr>
      <w:widowControl/>
      <w:autoSpaceDE/>
      <w:autoSpaceDN/>
      <w:adjustRightInd w:val="0"/>
      <w:snapToGrid w:val="0"/>
      <w:spacing w:after="60" w:line="360" w:lineRule="auto"/>
      <w:jc w:val="center"/>
      <w:outlineLvl w:val="1"/>
    </w:pPr>
    <w:rPr>
      <w:rFonts w:ascii="Cambria" w:hAnsi="Cambria" w:eastAsia="宋体" w:cs="Times New Roman"/>
      <w:sz w:val="24"/>
      <w:szCs w:val="24"/>
      <w:lang w:eastAsia="en-US" w:bidi="en-US"/>
    </w:rPr>
  </w:style>
  <w:style w:type="paragraph" w:styleId="29">
    <w:name w:val="List"/>
    <w:basedOn w:val="1"/>
    <w:unhideWhenUsed/>
    <w:qFormat/>
    <w:uiPriority w:val="0"/>
    <w:pPr>
      <w:autoSpaceDE/>
      <w:autoSpaceDN/>
      <w:adjustRightInd w:val="0"/>
      <w:snapToGrid w:val="0"/>
      <w:spacing w:line="360" w:lineRule="auto"/>
      <w:ind w:left="200" w:hanging="200" w:hangingChars="200"/>
      <w:contextualSpacing/>
    </w:pPr>
    <w:rPr>
      <w:rFonts w:ascii="Times New Roman" w:hAnsi="Times New Roman" w:eastAsia="宋体" w:cs="Times New Roman"/>
      <w:kern w:val="2"/>
      <w:sz w:val="24"/>
      <w:szCs w:val="24"/>
      <w:lang w:val="en-US" w:bidi="ar-SA"/>
    </w:rPr>
  </w:style>
  <w:style w:type="paragraph" w:styleId="30">
    <w:name w:val="footnote text"/>
    <w:basedOn w:val="1"/>
    <w:link w:val="66"/>
    <w:unhideWhenUsed/>
    <w:qFormat/>
    <w:uiPriority w:val="99"/>
    <w:pPr>
      <w:autoSpaceDE/>
      <w:autoSpaceDN/>
      <w:snapToGrid w:val="0"/>
    </w:pPr>
    <w:rPr>
      <w:rFonts w:ascii="Calibri" w:hAnsi="Calibri" w:eastAsia="宋体" w:cs="Times New Roman"/>
      <w:kern w:val="2"/>
      <w:sz w:val="18"/>
      <w:szCs w:val="18"/>
      <w:lang w:bidi="ar-SA"/>
    </w:rPr>
  </w:style>
  <w:style w:type="paragraph" w:styleId="31">
    <w:name w:val="toc 6"/>
    <w:basedOn w:val="1"/>
    <w:next w:val="1"/>
    <w:qFormat/>
    <w:uiPriority w:val="0"/>
    <w:pPr>
      <w:autoSpaceDE/>
      <w:autoSpaceDN/>
      <w:adjustRightInd w:val="0"/>
      <w:snapToGrid w:val="0"/>
      <w:spacing w:line="360" w:lineRule="auto"/>
      <w:ind w:left="1050"/>
    </w:pPr>
    <w:rPr>
      <w:rFonts w:ascii="Times New Roman" w:hAnsi="Times New Roman" w:eastAsia="宋体" w:cs="Times New Roman"/>
      <w:kern w:val="2"/>
      <w:sz w:val="18"/>
      <w:szCs w:val="20"/>
      <w:lang w:val="en-US" w:bidi="ar-SA"/>
    </w:rPr>
  </w:style>
  <w:style w:type="paragraph" w:styleId="32">
    <w:name w:val="Body Text Indent 3"/>
    <w:basedOn w:val="1"/>
    <w:link w:val="67"/>
    <w:qFormat/>
    <w:uiPriority w:val="0"/>
    <w:pPr>
      <w:autoSpaceDE/>
      <w:autoSpaceDN/>
      <w:adjustRightInd w:val="0"/>
      <w:snapToGrid w:val="0"/>
      <w:spacing w:after="120" w:line="360" w:lineRule="auto"/>
      <w:ind w:left="420" w:leftChars="200"/>
    </w:pPr>
    <w:rPr>
      <w:rFonts w:ascii="Times New Roman" w:hAnsi="Times New Roman" w:eastAsia="宋体" w:cs="Times New Roman"/>
      <w:kern w:val="2"/>
      <w:sz w:val="16"/>
      <w:szCs w:val="16"/>
      <w:lang w:bidi="ar-SA"/>
    </w:rPr>
  </w:style>
  <w:style w:type="paragraph" w:styleId="33">
    <w:name w:val="toc 2"/>
    <w:basedOn w:val="1"/>
    <w:next w:val="1"/>
    <w:qFormat/>
    <w:uiPriority w:val="0"/>
    <w:pPr>
      <w:autoSpaceDE/>
      <w:autoSpaceDN/>
      <w:adjustRightInd w:val="0"/>
      <w:snapToGrid w:val="0"/>
      <w:spacing w:line="360" w:lineRule="auto"/>
      <w:ind w:left="210"/>
    </w:pPr>
    <w:rPr>
      <w:rFonts w:ascii="Times New Roman" w:hAnsi="Times New Roman" w:eastAsia="宋体" w:cs="Times New Roman"/>
      <w:smallCaps/>
      <w:kern w:val="2"/>
      <w:sz w:val="20"/>
      <w:szCs w:val="20"/>
      <w:lang w:val="en-US" w:bidi="ar-SA"/>
    </w:rPr>
  </w:style>
  <w:style w:type="paragraph" w:styleId="34">
    <w:name w:val="toc 9"/>
    <w:basedOn w:val="1"/>
    <w:next w:val="1"/>
    <w:qFormat/>
    <w:uiPriority w:val="0"/>
    <w:pPr>
      <w:autoSpaceDE/>
      <w:autoSpaceDN/>
      <w:adjustRightInd w:val="0"/>
      <w:snapToGrid w:val="0"/>
      <w:spacing w:line="360" w:lineRule="auto"/>
      <w:ind w:left="1680"/>
    </w:pPr>
    <w:rPr>
      <w:rFonts w:ascii="Times New Roman" w:hAnsi="Times New Roman" w:eastAsia="宋体" w:cs="Times New Roman"/>
      <w:kern w:val="2"/>
      <w:sz w:val="18"/>
      <w:szCs w:val="20"/>
      <w:lang w:val="en-US" w:bidi="ar-SA"/>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6">
    <w:name w:val="Normal (Web)"/>
    <w:basedOn w:val="1"/>
    <w:qFormat/>
    <w:uiPriority w:val="99"/>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styleId="37">
    <w:name w:val="Title"/>
    <w:basedOn w:val="1"/>
    <w:next w:val="1"/>
    <w:link w:val="69"/>
    <w:qFormat/>
    <w:uiPriority w:val="0"/>
    <w:pPr>
      <w:autoSpaceDE/>
      <w:autoSpaceDN/>
      <w:spacing w:before="240" w:after="60"/>
      <w:jc w:val="center"/>
      <w:outlineLvl w:val="0"/>
    </w:pPr>
    <w:rPr>
      <w:rFonts w:ascii="等线 Light" w:hAnsi="等线 Light" w:eastAsia="宋体" w:cs="Times New Roman"/>
      <w:b/>
      <w:bCs/>
      <w:kern w:val="2"/>
      <w:sz w:val="32"/>
      <w:szCs w:val="32"/>
      <w:lang w:bidi="ar-SA"/>
    </w:rPr>
  </w:style>
  <w:style w:type="paragraph" w:styleId="38">
    <w:name w:val="annotation subject"/>
    <w:basedOn w:val="13"/>
    <w:next w:val="13"/>
    <w:link w:val="70"/>
    <w:qFormat/>
    <w:uiPriority w:val="0"/>
    <w:pPr>
      <w:adjustRightInd w:val="0"/>
      <w:snapToGrid w:val="0"/>
      <w:spacing w:line="360" w:lineRule="auto"/>
    </w:pPr>
    <w:rPr>
      <w:b/>
      <w:sz w:val="24"/>
    </w:rPr>
  </w:style>
  <w:style w:type="paragraph" w:styleId="39">
    <w:name w:val="Body Text First Indent 2"/>
    <w:basedOn w:val="1"/>
    <w:next w:val="1"/>
    <w:qFormat/>
    <w:uiPriority w:val="0"/>
    <w:pPr>
      <w:spacing w:line="360" w:lineRule="auto"/>
      <w:ind w:firstLine="200" w:firstLineChars="200"/>
    </w:pPr>
    <w:rPr>
      <w:rFonts w:eastAsia="仿宋_GB2312"/>
      <w:spacing w:val="15"/>
      <w:kern w:val="10"/>
      <w:sz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basedOn w:val="42"/>
    <w:unhideWhenUsed/>
    <w:qFormat/>
    <w:uiPriority w:val="0"/>
  </w:style>
  <w:style w:type="character" w:styleId="45">
    <w:name w:val="FollowedHyperlink"/>
    <w:qFormat/>
    <w:uiPriority w:val="99"/>
    <w:rPr>
      <w:color w:val="800080"/>
      <w:u w:val="single"/>
    </w:rPr>
  </w:style>
  <w:style w:type="character" w:styleId="46">
    <w:name w:val="Hyperlink"/>
    <w:basedOn w:val="42"/>
    <w:qFormat/>
    <w:uiPriority w:val="99"/>
    <w:rPr>
      <w:color w:val="0000FF"/>
      <w:u w:val="single"/>
    </w:rPr>
  </w:style>
  <w:style w:type="character" w:styleId="47">
    <w:name w:val="annotation reference"/>
    <w:qFormat/>
    <w:uiPriority w:val="0"/>
    <w:rPr>
      <w:sz w:val="21"/>
      <w:szCs w:val="21"/>
    </w:rPr>
  </w:style>
  <w:style w:type="character" w:styleId="48">
    <w:name w:val="footnote reference"/>
    <w:unhideWhenUsed/>
    <w:qFormat/>
    <w:uiPriority w:val="0"/>
    <w:rPr>
      <w:vertAlign w:val="superscript"/>
    </w:rPr>
  </w:style>
  <w:style w:type="character" w:customStyle="1" w:styleId="49">
    <w:name w:val="标题 1 Char"/>
    <w:link w:val="3"/>
    <w:qFormat/>
    <w:uiPriority w:val="0"/>
    <w:rPr>
      <w:sz w:val="32"/>
      <w:szCs w:val="32"/>
    </w:rPr>
  </w:style>
  <w:style w:type="character" w:customStyle="1" w:styleId="50">
    <w:name w:val="标题 2 Char"/>
    <w:link w:val="4"/>
    <w:qFormat/>
    <w:uiPriority w:val="0"/>
    <w:rPr>
      <w:rFonts w:ascii="Noto Sans Mono CJK JP Regular" w:hAnsi="Noto Sans Mono CJK JP Regular" w:eastAsia="Noto Sans Mono CJK JP Regular" w:cs="Noto Sans Mono CJK JP Regular"/>
      <w:sz w:val="28"/>
      <w:szCs w:val="28"/>
      <w:lang w:val="zh-CN" w:bidi="zh-CN"/>
    </w:rPr>
  </w:style>
  <w:style w:type="character" w:customStyle="1" w:styleId="51">
    <w:name w:val="标题 3 Char"/>
    <w:basedOn w:val="42"/>
    <w:link w:val="5"/>
    <w:qFormat/>
    <w:uiPriority w:val="0"/>
    <w:rPr>
      <w:rFonts w:ascii="Noto Sans Mono CJK JP Regular" w:hAnsi="Noto Sans Mono CJK JP Regular" w:eastAsia="Noto Sans Mono CJK JP Regular" w:cs="Noto Sans Mono CJK JP Regular"/>
      <w:b/>
      <w:bCs/>
      <w:sz w:val="32"/>
      <w:szCs w:val="32"/>
      <w:lang w:val="zh-CN" w:eastAsia="zh-CN" w:bidi="zh-CN"/>
    </w:rPr>
  </w:style>
  <w:style w:type="character" w:customStyle="1" w:styleId="52">
    <w:name w:val="标题 4 Char"/>
    <w:basedOn w:val="42"/>
    <w:link w:val="6"/>
    <w:qFormat/>
    <w:uiPriority w:val="9"/>
    <w:rPr>
      <w:rFonts w:ascii="Cambria" w:hAnsi="Cambria" w:eastAsia="宋体" w:cs="Times New Roman"/>
      <w:b/>
      <w:bCs/>
      <w:kern w:val="2"/>
      <w:sz w:val="28"/>
      <w:szCs w:val="28"/>
    </w:rPr>
  </w:style>
  <w:style w:type="character" w:customStyle="1" w:styleId="53">
    <w:name w:val="标题 6 Char"/>
    <w:basedOn w:val="42"/>
    <w:link w:val="7"/>
    <w:qFormat/>
    <w:uiPriority w:val="0"/>
    <w:rPr>
      <w:rFonts w:ascii="Arial" w:hAnsi="Arial" w:eastAsia="黑体" w:cs="Times New Roman"/>
      <w:b/>
      <w:bCs/>
      <w:kern w:val="2"/>
      <w:sz w:val="24"/>
      <w:szCs w:val="24"/>
    </w:rPr>
  </w:style>
  <w:style w:type="character" w:customStyle="1" w:styleId="54">
    <w:name w:val="正文缩进 Char"/>
    <w:link w:val="10"/>
    <w:qFormat/>
    <w:uiPriority w:val="0"/>
    <w:rPr>
      <w:rFonts w:ascii="Arial" w:hAnsi="Arial" w:eastAsia="宋体" w:cs="Times New Roman"/>
      <w:kern w:val="2"/>
      <w:sz w:val="24"/>
    </w:rPr>
  </w:style>
  <w:style w:type="character" w:customStyle="1" w:styleId="55">
    <w:name w:val="文档结构图 Char"/>
    <w:basedOn w:val="42"/>
    <w:link w:val="12"/>
    <w:semiHidden/>
    <w:qFormat/>
    <w:uiPriority w:val="99"/>
    <w:rPr>
      <w:rFonts w:ascii="宋体" w:hAnsi="Noto Sans Mono CJK JP Regular" w:eastAsia="宋体" w:cs="Noto Sans Mono CJK JP Regular"/>
      <w:sz w:val="18"/>
      <w:szCs w:val="18"/>
      <w:lang w:val="zh-CN" w:bidi="zh-CN"/>
    </w:rPr>
  </w:style>
  <w:style w:type="character" w:customStyle="1" w:styleId="56">
    <w:name w:val="批注文字 Char"/>
    <w:basedOn w:val="42"/>
    <w:link w:val="13"/>
    <w:qFormat/>
    <w:uiPriority w:val="0"/>
    <w:rPr>
      <w:rFonts w:ascii="Times New Roman" w:hAnsi="Times New Roman" w:eastAsia="宋体" w:cs="Times New Roman"/>
      <w:kern w:val="2"/>
      <w:sz w:val="21"/>
      <w:szCs w:val="24"/>
    </w:rPr>
  </w:style>
  <w:style w:type="character" w:customStyle="1" w:styleId="57">
    <w:name w:val="正文文本 Char"/>
    <w:link w:val="14"/>
    <w:qFormat/>
    <w:uiPriority w:val="0"/>
    <w:rPr>
      <w:rFonts w:ascii="Noto Sans Mono CJK JP Regular" w:hAnsi="Noto Sans Mono CJK JP Regular" w:eastAsia="Noto Sans Mono CJK JP Regular" w:cs="Noto Sans Mono CJK JP Regular"/>
      <w:sz w:val="24"/>
      <w:szCs w:val="24"/>
      <w:lang w:val="zh-CN" w:bidi="zh-CN"/>
    </w:rPr>
  </w:style>
  <w:style w:type="character" w:customStyle="1" w:styleId="58">
    <w:name w:val="正文文本缩进 Char"/>
    <w:basedOn w:val="42"/>
    <w:link w:val="16"/>
    <w:qFormat/>
    <w:uiPriority w:val="0"/>
    <w:rPr>
      <w:rFonts w:ascii="Noto Sans Mono CJK JP Regular" w:hAnsi="Noto Sans Mono CJK JP Regular" w:eastAsia="Noto Sans Mono CJK JP Regular" w:cs="Noto Sans Mono CJK JP Regular"/>
      <w:lang w:val="zh-CN" w:eastAsia="zh-CN" w:bidi="zh-CN"/>
    </w:rPr>
  </w:style>
  <w:style w:type="character" w:customStyle="1" w:styleId="59">
    <w:name w:val="纯文本 Char"/>
    <w:link w:val="19"/>
    <w:qFormat/>
    <w:uiPriority w:val="0"/>
    <w:rPr>
      <w:rFonts w:ascii="宋体" w:hAnsi="Courier New" w:eastAsia="宋体"/>
      <w:kern w:val="2"/>
      <w:sz w:val="21"/>
      <w:lang w:eastAsia="zh-CN"/>
    </w:rPr>
  </w:style>
  <w:style w:type="character" w:customStyle="1" w:styleId="60">
    <w:name w:val="日期 Char"/>
    <w:basedOn w:val="42"/>
    <w:link w:val="21"/>
    <w:qFormat/>
    <w:uiPriority w:val="0"/>
    <w:rPr>
      <w:rFonts w:ascii="Times New Roman" w:hAnsi="Times New Roman" w:eastAsia="宋体" w:cs="Times New Roman"/>
      <w:kern w:val="2"/>
      <w:sz w:val="24"/>
    </w:rPr>
  </w:style>
  <w:style w:type="character" w:customStyle="1" w:styleId="61">
    <w:name w:val="正文文本缩进 2 Char"/>
    <w:basedOn w:val="42"/>
    <w:link w:val="22"/>
    <w:qFormat/>
    <w:uiPriority w:val="0"/>
    <w:rPr>
      <w:rFonts w:ascii="Noto Sans Mono CJK JP Regular" w:hAnsi="Noto Sans Mono CJK JP Regular" w:eastAsia="Noto Sans Mono CJK JP Regular" w:cs="Noto Sans Mono CJK JP Regular"/>
      <w:lang w:val="zh-CN" w:eastAsia="zh-CN" w:bidi="zh-CN"/>
    </w:rPr>
  </w:style>
  <w:style w:type="character" w:customStyle="1" w:styleId="62">
    <w:name w:val="批注框文本 Char"/>
    <w:basedOn w:val="42"/>
    <w:link w:val="23"/>
    <w:semiHidden/>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63">
    <w:name w:val="页脚 Char"/>
    <w:basedOn w:val="42"/>
    <w:link w:val="24"/>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64">
    <w:name w:val="页眉 Char"/>
    <w:basedOn w:val="42"/>
    <w:link w:val="25"/>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65">
    <w:name w:val="副标题 Char"/>
    <w:basedOn w:val="42"/>
    <w:link w:val="28"/>
    <w:qFormat/>
    <w:uiPriority w:val="0"/>
    <w:rPr>
      <w:rFonts w:ascii="Cambria" w:hAnsi="Cambria" w:eastAsia="宋体" w:cs="Times New Roman"/>
      <w:sz w:val="24"/>
      <w:szCs w:val="24"/>
      <w:lang w:eastAsia="en-US" w:bidi="en-US"/>
    </w:rPr>
  </w:style>
  <w:style w:type="character" w:customStyle="1" w:styleId="66">
    <w:name w:val="脚注文本 Char"/>
    <w:basedOn w:val="42"/>
    <w:link w:val="30"/>
    <w:qFormat/>
    <w:uiPriority w:val="99"/>
    <w:rPr>
      <w:rFonts w:ascii="Calibri" w:hAnsi="Calibri" w:eastAsia="宋体" w:cs="Times New Roman"/>
      <w:kern w:val="2"/>
      <w:sz w:val="18"/>
      <w:szCs w:val="18"/>
    </w:rPr>
  </w:style>
  <w:style w:type="character" w:customStyle="1" w:styleId="67">
    <w:name w:val="正文文本缩进 3 Char"/>
    <w:basedOn w:val="42"/>
    <w:link w:val="32"/>
    <w:qFormat/>
    <w:uiPriority w:val="0"/>
    <w:rPr>
      <w:rFonts w:ascii="Times New Roman" w:hAnsi="Times New Roman" w:eastAsia="宋体" w:cs="Times New Roman"/>
      <w:kern w:val="2"/>
      <w:sz w:val="16"/>
      <w:szCs w:val="16"/>
    </w:rPr>
  </w:style>
  <w:style w:type="character" w:customStyle="1" w:styleId="68">
    <w:name w:val="正文文本 2 Char"/>
    <w:basedOn w:val="42"/>
    <w:link w:val="15"/>
    <w:qFormat/>
    <w:uiPriority w:val="0"/>
    <w:rPr>
      <w:rFonts w:ascii="Times New Roman" w:hAnsi="Times New Roman" w:eastAsia="宋体" w:cs="Times New Roman"/>
      <w:kern w:val="2"/>
      <w:sz w:val="24"/>
      <w:szCs w:val="24"/>
    </w:rPr>
  </w:style>
  <w:style w:type="character" w:customStyle="1" w:styleId="69">
    <w:name w:val="标题 Char"/>
    <w:basedOn w:val="42"/>
    <w:link w:val="37"/>
    <w:qFormat/>
    <w:uiPriority w:val="0"/>
    <w:rPr>
      <w:rFonts w:ascii="等线 Light" w:hAnsi="等线 Light" w:eastAsia="宋体" w:cs="Times New Roman"/>
      <w:b/>
      <w:bCs/>
      <w:kern w:val="2"/>
      <w:sz w:val="32"/>
      <w:szCs w:val="32"/>
    </w:rPr>
  </w:style>
  <w:style w:type="character" w:customStyle="1" w:styleId="70">
    <w:name w:val="批注主题 Char"/>
    <w:basedOn w:val="56"/>
    <w:link w:val="38"/>
    <w:qFormat/>
    <w:uiPriority w:val="0"/>
    <w:rPr>
      <w:rFonts w:ascii="Times New Roman" w:hAnsi="Times New Roman" w:eastAsia="宋体" w:cs="Times New Roman"/>
      <w:b/>
      <w:kern w:val="2"/>
      <w:sz w:val="24"/>
      <w:szCs w:val="24"/>
    </w:rPr>
  </w:style>
  <w:style w:type="table" w:customStyle="1" w:styleId="71">
    <w:name w:val="Table Normal"/>
    <w:semiHidden/>
    <w:unhideWhenUsed/>
    <w:qFormat/>
    <w:uiPriority w:val="2"/>
    <w:tblPr>
      <w:tblCellMar>
        <w:top w:w="0" w:type="dxa"/>
        <w:left w:w="0" w:type="dxa"/>
        <w:bottom w:w="0" w:type="dxa"/>
        <w:right w:w="0" w:type="dxa"/>
      </w:tblCellMar>
    </w:tblPr>
  </w:style>
  <w:style w:type="paragraph" w:styleId="72">
    <w:name w:val="List Paragraph"/>
    <w:basedOn w:val="1"/>
    <w:link w:val="73"/>
    <w:qFormat/>
    <w:uiPriority w:val="34"/>
    <w:pPr>
      <w:ind w:left="528" w:firstLine="480"/>
    </w:pPr>
  </w:style>
  <w:style w:type="character" w:customStyle="1" w:styleId="73">
    <w:name w:val="列出段落 Char"/>
    <w:link w:val="72"/>
    <w:qFormat/>
    <w:uiPriority w:val="34"/>
    <w:rPr>
      <w:rFonts w:ascii="Noto Sans Mono CJK JP Regular" w:hAnsi="Noto Sans Mono CJK JP Regular" w:eastAsia="Noto Sans Mono CJK JP Regular" w:cs="Noto Sans Mono CJK JP Regular"/>
      <w:sz w:val="22"/>
      <w:szCs w:val="22"/>
      <w:lang w:val="zh-CN" w:bidi="zh-CN"/>
    </w:rPr>
  </w:style>
  <w:style w:type="paragraph" w:customStyle="1" w:styleId="74">
    <w:name w:val="Table Paragraph"/>
    <w:basedOn w:val="1"/>
    <w:qFormat/>
    <w:uiPriority w:val="1"/>
  </w:style>
  <w:style w:type="character" w:customStyle="1" w:styleId="75">
    <w:name w:val="纯文本 Char1"/>
    <w:basedOn w:val="42"/>
    <w:qFormat/>
    <w:uiPriority w:val="0"/>
    <w:rPr>
      <w:rFonts w:ascii="宋体" w:hAnsi="Courier New" w:eastAsia="宋体" w:cs="Courier New"/>
      <w:sz w:val="21"/>
      <w:szCs w:val="21"/>
      <w:lang w:val="zh-CN" w:eastAsia="zh-CN" w:bidi="zh-CN"/>
    </w:rPr>
  </w:style>
  <w:style w:type="paragraph" w:customStyle="1" w:styleId="76">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77">
    <w:name w:val="样式 样式 样式 样式 标题 2 + 宋体 五号 非加粗 黑色 + 段前: 6 磅 段后: 0 磅 行距: 单倍行距 + 段前:..."/>
    <w:basedOn w:val="1"/>
    <w:qFormat/>
    <w:uiPriority w:val="0"/>
    <w:pPr>
      <w:keepNext/>
      <w:keepLines/>
      <w:autoSpaceDE/>
      <w:autoSpaceDN/>
      <w:adjustRightInd w:val="0"/>
      <w:spacing w:before="240"/>
      <w:jc w:val="both"/>
      <w:textAlignment w:val="baseline"/>
      <w:outlineLvl w:val="1"/>
    </w:pPr>
    <w:rPr>
      <w:rFonts w:ascii="宋体" w:hAnsi="宋体" w:eastAsia="宋体" w:cs="Times New Roman"/>
      <w:b/>
      <w:bCs/>
      <w:sz w:val="21"/>
      <w:szCs w:val="20"/>
      <w:lang w:val="en-US" w:bidi="ar-SA"/>
    </w:rPr>
  </w:style>
  <w:style w:type="character" w:customStyle="1" w:styleId="78">
    <w:name w:val="font31"/>
    <w:qFormat/>
    <w:uiPriority w:val="0"/>
    <w:rPr>
      <w:rFonts w:hint="eastAsia" w:ascii="宋体" w:hAnsi="宋体" w:eastAsia="宋体" w:cs="宋体"/>
      <w:b/>
      <w:color w:val="000000"/>
      <w:sz w:val="20"/>
      <w:szCs w:val="20"/>
      <w:u w:val="none"/>
    </w:rPr>
  </w:style>
  <w:style w:type="paragraph" w:customStyle="1" w:styleId="79">
    <w:name w:val="default"/>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80">
    <w:name w:val="apple-converted-space"/>
    <w:basedOn w:val="42"/>
    <w:qFormat/>
    <w:uiPriority w:val="0"/>
  </w:style>
  <w:style w:type="paragraph" w:customStyle="1" w:styleId="81">
    <w:name w:val="列出段落1"/>
    <w:basedOn w:val="1"/>
    <w:link w:val="82"/>
    <w:qFormat/>
    <w:uiPriority w:val="0"/>
    <w:pPr>
      <w:autoSpaceDE/>
      <w:autoSpaceDN/>
      <w:ind w:firstLine="420" w:firstLineChars="200"/>
      <w:jc w:val="both"/>
    </w:pPr>
    <w:rPr>
      <w:rFonts w:ascii="Times New Roman" w:hAnsi="Times New Roman" w:eastAsia="宋体" w:cs="Times New Roman"/>
      <w:kern w:val="2"/>
      <w:sz w:val="21"/>
      <w:szCs w:val="24"/>
      <w:lang w:bidi="ar-SA"/>
    </w:rPr>
  </w:style>
  <w:style w:type="character" w:customStyle="1" w:styleId="82">
    <w:name w:val="列出段落1 Char"/>
    <w:link w:val="81"/>
    <w:qFormat/>
    <w:locked/>
    <w:uiPriority w:val="0"/>
    <w:rPr>
      <w:rFonts w:ascii="Times New Roman" w:hAnsi="Times New Roman" w:eastAsia="宋体" w:cs="Times New Roman"/>
      <w:kern w:val="2"/>
      <w:sz w:val="21"/>
      <w:szCs w:val="24"/>
    </w:rPr>
  </w:style>
  <w:style w:type="paragraph" w:customStyle="1" w:styleId="83">
    <w:name w:val="列表1"/>
    <w:basedOn w:val="1"/>
    <w:link w:val="84"/>
    <w:qFormat/>
    <w:uiPriority w:val="0"/>
    <w:pPr>
      <w:tabs>
        <w:tab w:val="left" w:pos="420"/>
      </w:tabs>
      <w:autoSpaceDE/>
      <w:autoSpaceDN/>
      <w:ind w:left="420" w:hanging="420"/>
      <w:jc w:val="both"/>
    </w:pPr>
    <w:rPr>
      <w:rFonts w:ascii="Century" w:hAnsi="Century" w:eastAsia="宋体" w:cs="Times New Roman"/>
      <w:kern w:val="2"/>
      <w:sz w:val="21"/>
      <w:szCs w:val="21"/>
      <w:lang w:bidi="ar-SA"/>
    </w:rPr>
  </w:style>
  <w:style w:type="character" w:customStyle="1" w:styleId="84">
    <w:name w:val="列表1 Char Char"/>
    <w:link w:val="83"/>
    <w:qFormat/>
    <w:uiPriority w:val="0"/>
    <w:rPr>
      <w:rFonts w:ascii="Century" w:hAnsi="Century" w:eastAsia="宋体" w:cs="Times New Roman"/>
      <w:kern w:val="2"/>
      <w:sz w:val="21"/>
      <w:szCs w:val="21"/>
      <w:lang w:val="zh-CN"/>
    </w:rPr>
  </w:style>
  <w:style w:type="paragraph" w:customStyle="1" w:styleId="85">
    <w:name w:val="样式6 列表并列"/>
    <w:link w:val="86"/>
    <w:qFormat/>
    <w:uiPriority w:val="0"/>
    <w:pPr>
      <w:widowControl w:val="0"/>
      <w:tabs>
        <w:tab w:val="left" w:pos="0"/>
      </w:tabs>
      <w:spacing w:before="40" w:after="40" w:line="240" w:lineRule="atLeast"/>
      <w:ind w:left="840" w:hanging="420"/>
      <w:textAlignment w:val="center"/>
    </w:pPr>
    <w:rPr>
      <w:rFonts w:ascii="Arial" w:hAnsi="Arial" w:eastAsia="宋体" w:cs="Times New Roman"/>
      <w:kern w:val="21"/>
      <w:sz w:val="21"/>
      <w:szCs w:val="24"/>
      <w:lang w:val="en-US" w:eastAsia="zh-CN" w:bidi="ar-SA"/>
    </w:rPr>
  </w:style>
  <w:style w:type="character" w:customStyle="1" w:styleId="86">
    <w:name w:val="样式6 列表并列 Char"/>
    <w:link w:val="85"/>
    <w:qFormat/>
    <w:uiPriority w:val="0"/>
    <w:rPr>
      <w:rFonts w:ascii="Arial" w:hAnsi="Arial" w:eastAsia="宋体" w:cs="Times New Roman"/>
      <w:kern w:val="21"/>
      <w:sz w:val="21"/>
      <w:szCs w:val="24"/>
    </w:rPr>
  </w:style>
  <w:style w:type="paragraph" w:customStyle="1" w:styleId="87">
    <w:name w:val="样式 三号"/>
    <w:basedOn w:val="1"/>
    <w:qFormat/>
    <w:uiPriority w:val="0"/>
    <w:pPr>
      <w:autoSpaceDE/>
      <w:autoSpaceDN/>
      <w:ind w:firstLine="640" w:firstLineChars="200"/>
      <w:jc w:val="both"/>
    </w:pPr>
    <w:rPr>
      <w:rFonts w:ascii="Times New Roman" w:hAnsi="Times New Roman" w:eastAsia="宋体" w:cs="宋体"/>
      <w:kern w:val="2"/>
      <w:sz w:val="21"/>
      <w:szCs w:val="20"/>
      <w:lang w:val="en-US" w:bidi="ar-SA"/>
    </w:rPr>
  </w:style>
  <w:style w:type="paragraph" w:customStyle="1" w:styleId="88">
    <w:name w:val="样式5 列表步骤"/>
    <w:qFormat/>
    <w:uiPriority w:val="0"/>
    <w:pPr>
      <w:widowControl w:val="0"/>
      <w:tabs>
        <w:tab w:val="left" w:pos="0"/>
      </w:tabs>
      <w:spacing w:line="320" w:lineRule="atLeast"/>
      <w:ind w:left="839" w:hanging="419"/>
      <w:textAlignment w:val="center"/>
    </w:pPr>
    <w:rPr>
      <w:rFonts w:ascii="Arial" w:hAnsi="Arial" w:eastAsia="宋体" w:cs="Times New Roman"/>
      <w:kern w:val="21"/>
      <w:sz w:val="21"/>
      <w:lang w:val="en-US" w:eastAsia="zh-CN" w:bidi="ar-SA"/>
    </w:rPr>
  </w:style>
  <w:style w:type="paragraph" w:customStyle="1" w:styleId="89">
    <w:name w:val="正文-缩进"/>
    <w:qFormat/>
    <w:uiPriority w:val="0"/>
    <w:pPr>
      <w:widowControl w:val="0"/>
      <w:spacing w:before="40" w:after="40" w:line="240" w:lineRule="atLeast"/>
      <w:ind w:firstLine="200" w:firstLineChars="200"/>
      <w:jc w:val="both"/>
      <w:textAlignment w:val="center"/>
    </w:pPr>
    <w:rPr>
      <w:rFonts w:ascii="Arial" w:hAnsi="Arial" w:eastAsia="宋体" w:cs="Times New Roman"/>
      <w:kern w:val="21"/>
      <w:sz w:val="21"/>
      <w:lang w:val="en-US" w:eastAsia="zh-CN" w:bidi="ar-SA"/>
    </w:rPr>
  </w:style>
  <w:style w:type="paragraph" w:customStyle="1" w:styleId="90">
    <w:name w:val="样式3"/>
    <w:basedOn w:val="1"/>
    <w:qFormat/>
    <w:uiPriority w:val="0"/>
    <w:pPr>
      <w:autoSpaceDE/>
      <w:autoSpaceDN/>
      <w:spacing w:line="300" w:lineRule="auto"/>
      <w:jc w:val="both"/>
    </w:pPr>
    <w:rPr>
      <w:rFonts w:ascii="宋体" w:hAnsi="Times New Roman" w:eastAsia="宋体" w:cs="Times New Roman"/>
      <w:kern w:val="2"/>
      <w:sz w:val="24"/>
      <w:szCs w:val="24"/>
      <w:lang w:val="en-US" w:bidi="ar-SA"/>
    </w:rPr>
  </w:style>
  <w:style w:type="paragraph" w:customStyle="1" w:styleId="91">
    <w:name w:val="模板普通正文"/>
    <w:basedOn w:val="16"/>
    <w:qFormat/>
    <w:uiPriority w:val="0"/>
    <w:pPr>
      <w:autoSpaceDE/>
      <w:autoSpaceDN/>
      <w:spacing w:beforeLines="50" w:after="10" w:line="360" w:lineRule="auto"/>
      <w:ind w:left="0" w:leftChars="0" w:firstLine="490" w:firstLineChars="175"/>
    </w:pPr>
    <w:rPr>
      <w:rFonts w:ascii="Times New Roman" w:hAnsi="Times New Roman" w:eastAsia="宋体" w:cs="Times New Roman"/>
      <w:kern w:val="2"/>
      <w:sz w:val="24"/>
      <w:szCs w:val="24"/>
      <w:lang w:bidi="ar-SA"/>
    </w:rPr>
  </w:style>
  <w:style w:type="character" w:customStyle="1" w:styleId="92">
    <w:name w:val="font41"/>
    <w:qFormat/>
    <w:uiPriority w:val="0"/>
    <w:rPr>
      <w:rFonts w:hint="eastAsia" w:ascii="宋体" w:hAnsi="宋体" w:eastAsia="宋体" w:cs="宋体"/>
      <w:color w:val="000000"/>
      <w:sz w:val="22"/>
      <w:szCs w:val="22"/>
      <w:u w:val="none"/>
    </w:rPr>
  </w:style>
  <w:style w:type="character" w:customStyle="1" w:styleId="93">
    <w:name w:val="font21"/>
    <w:basedOn w:val="42"/>
    <w:qFormat/>
    <w:uiPriority w:val="0"/>
    <w:rPr>
      <w:rFonts w:ascii="Arial Unicode MS" w:hAnsi="Arial Unicode MS" w:eastAsia="Arial Unicode MS" w:cs="Arial Unicode MS"/>
      <w:color w:val="000000"/>
      <w:sz w:val="22"/>
      <w:szCs w:val="22"/>
      <w:u w:val="none"/>
    </w:rPr>
  </w:style>
  <w:style w:type="character" w:customStyle="1" w:styleId="94">
    <w:name w:val="font11"/>
    <w:qFormat/>
    <w:uiPriority w:val="0"/>
    <w:rPr>
      <w:rFonts w:hint="eastAsia" w:ascii="宋体" w:hAnsi="宋体" w:eastAsia="宋体" w:cs="宋体"/>
      <w:color w:val="000000"/>
      <w:sz w:val="20"/>
      <w:szCs w:val="20"/>
      <w:u w:val="none"/>
    </w:rPr>
  </w:style>
  <w:style w:type="paragraph" w:customStyle="1" w:styleId="95">
    <w:name w:val="样式 标题 2 + Times New Roman 四号 非加粗 段前: 5 磅 段后: 0 磅 行距: 固定值 20..."/>
    <w:basedOn w:val="4"/>
    <w:qFormat/>
    <w:uiPriority w:val="0"/>
    <w:pPr>
      <w:keepNext/>
      <w:keepLines/>
      <w:tabs>
        <w:tab w:val="left" w:pos="690"/>
      </w:tabs>
      <w:autoSpaceDE/>
      <w:autoSpaceDN/>
      <w:spacing w:before="100" w:line="400" w:lineRule="exact"/>
      <w:jc w:val="both"/>
    </w:pPr>
    <w:rPr>
      <w:rFonts w:ascii="Times New Roman" w:hAnsi="Times New Roman" w:eastAsia="黑体" w:cs="宋体"/>
      <w:kern w:val="2"/>
      <w:szCs w:val="20"/>
      <w:lang w:bidi="ar-SA"/>
    </w:rPr>
  </w:style>
  <w:style w:type="character" w:customStyle="1" w:styleId="96">
    <w:name w:val="param-name"/>
    <w:basedOn w:val="42"/>
    <w:qFormat/>
    <w:uiPriority w:val="0"/>
  </w:style>
  <w:style w:type="character" w:customStyle="1" w:styleId="97">
    <w:name w:val="font01"/>
    <w:qFormat/>
    <w:uiPriority w:val="0"/>
    <w:rPr>
      <w:rFonts w:hint="eastAsia" w:ascii="宋体" w:hAnsi="宋体" w:eastAsia="宋体" w:cs="宋体"/>
      <w:color w:val="FF0000"/>
      <w:sz w:val="20"/>
      <w:szCs w:val="20"/>
      <w:u w:val="none"/>
    </w:rPr>
  </w:style>
  <w:style w:type="character" w:customStyle="1" w:styleId="98">
    <w:name w:val="font81"/>
    <w:qFormat/>
    <w:uiPriority w:val="0"/>
    <w:rPr>
      <w:rFonts w:hint="default" w:ascii="华文中宋" w:hAnsi="华文中宋" w:eastAsia="华文中宋" w:cs="华文中宋"/>
      <w:color w:val="000000"/>
      <w:sz w:val="18"/>
      <w:szCs w:val="18"/>
      <w:u w:val="none"/>
    </w:rPr>
  </w:style>
  <w:style w:type="character" w:customStyle="1" w:styleId="99">
    <w:name w:val="font51"/>
    <w:qFormat/>
    <w:uiPriority w:val="0"/>
    <w:rPr>
      <w:rFonts w:hint="eastAsia" w:ascii="宋体" w:hAnsi="宋体" w:eastAsia="宋体" w:cs="宋体"/>
      <w:color w:val="000000"/>
      <w:sz w:val="18"/>
      <w:szCs w:val="18"/>
      <w:u w:val="none"/>
    </w:rPr>
  </w:style>
  <w:style w:type="paragraph" w:customStyle="1" w:styleId="100">
    <w:name w:val="_Style 3"/>
    <w:basedOn w:val="1"/>
    <w:qFormat/>
    <w:uiPriority w:val="34"/>
    <w:pPr>
      <w:widowControl/>
      <w:autoSpaceDE/>
      <w:autoSpaceDN/>
      <w:adjustRightInd w:val="0"/>
      <w:snapToGrid w:val="0"/>
      <w:spacing w:line="360" w:lineRule="auto"/>
      <w:ind w:firstLine="420" w:firstLineChars="200"/>
    </w:pPr>
    <w:rPr>
      <w:rFonts w:ascii="Times New Roman" w:hAnsi="Times New Roman" w:eastAsia="宋体" w:cs="Times New Roman"/>
      <w:sz w:val="24"/>
      <w:szCs w:val="20"/>
      <w:lang w:val="en-US" w:bidi="ar-SA"/>
    </w:rPr>
  </w:style>
  <w:style w:type="character" w:customStyle="1" w:styleId="101">
    <w:name w:val="all-desc"/>
    <w:qFormat/>
    <w:uiPriority w:val="0"/>
  </w:style>
  <w:style w:type="character" w:customStyle="1" w:styleId="102">
    <w:name w:val="mark12"/>
    <w:qFormat/>
    <w:uiPriority w:val="0"/>
  </w:style>
  <w:style w:type="character" w:customStyle="1" w:styleId="103">
    <w:name w:val="Char Char16"/>
    <w:qFormat/>
    <w:uiPriority w:val="0"/>
    <w:rPr>
      <w:rFonts w:ascii="Times New Roman" w:hAnsi="Times New Roman" w:eastAsia="宋体" w:cs="Times New Roman"/>
      <w:b/>
      <w:bCs/>
      <w:sz w:val="32"/>
      <w:szCs w:val="32"/>
    </w:rPr>
  </w:style>
  <w:style w:type="character" w:customStyle="1" w:styleId="104">
    <w:name w:val="c_right2"/>
    <w:qFormat/>
    <w:uiPriority w:val="0"/>
    <w:rPr>
      <w:sz w:val="21"/>
      <w:szCs w:val="21"/>
    </w:rPr>
  </w:style>
  <w:style w:type="character" w:customStyle="1" w:styleId="105">
    <w:name w:val="普通文字1 Char"/>
    <w:qFormat/>
    <w:uiPriority w:val="0"/>
    <w:rPr>
      <w:rFonts w:ascii="宋体" w:hAnsi="Courier New" w:eastAsia="宋体"/>
      <w:kern w:val="2"/>
      <w:sz w:val="21"/>
      <w:lang w:val="en-US" w:eastAsia="zh-CN" w:bidi="ar-SA"/>
    </w:rPr>
  </w:style>
  <w:style w:type="character" w:customStyle="1" w:styleId="106">
    <w:name w:val="apple-style-span"/>
    <w:qFormat/>
    <w:uiPriority w:val="0"/>
  </w:style>
  <w:style w:type="character" w:customStyle="1" w:styleId="107">
    <w:name w:val="标题 2 Char1"/>
    <w:qFormat/>
    <w:uiPriority w:val="0"/>
    <w:rPr>
      <w:rFonts w:ascii="Arial" w:hAnsi="Arial" w:eastAsia="黑体"/>
      <w:b/>
      <w:bCs/>
      <w:kern w:val="2"/>
      <w:sz w:val="32"/>
      <w:szCs w:val="32"/>
      <w:lang w:val="en-US" w:eastAsia="zh-CN" w:bidi="ar-SA"/>
    </w:rPr>
  </w:style>
  <w:style w:type="character" w:customStyle="1" w:styleId="108">
    <w:name w:val="font71"/>
    <w:basedOn w:val="42"/>
    <w:qFormat/>
    <w:uiPriority w:val="0"/>
    <w:rPr>
      <w:rFonts w:hint="eastAsia" w:ascii="宋体" w:hAnsi="宋体" w:eastAsia="宋体" w:cs="宋体"/>
      <w:color w:val="FF0000"/>
      <w:sz w:val="18"/>
      <w:szCs w:val="18"/>
      <w:u w:val="none"/>
    </w:rPr>
  </w:style>
  <w:style w:type="character" w:customStyle="1" w:styleId="109">
    <w:name w:val="Default Text Char"/>
    <w:link w:val="110"/>
    <w:qFormat/>
    <w:uiPriority w:val="0"/>
    <w:rPr>
      <w:color w:val="000000"/>
      <w:sz w:val="24"/>
      <w:szCs w:val="24"/>
    </w:rPr>
  </w:style>
  <w:style w:type="paragraph" w:customStyle="1" w:styleId="110">
    <w:name w:val="Default Text"/>
    <w:link w:val="109"/>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character" w:customStyle="1" w:styleId="111">
    <w:name w:val="style11"/>
    <w:qFormat/>
    <w:uiPriority w:val="0"/>
    <w:rPr>
      <w:rFonts w:hint="default" w:ascii="Arial" w:hAnsi="Arial" w:cs="Arial"/>
      <w:b/>
      <w:bCs/>
    </w:rPr>
  </w:style>
  <w:style w:type="character" w:customStyle="1" w:styleId="112">
    <w:name w:val="sub_title s0"/>
    <w:qFormat/>
    <w:uiPriority w:val="0"/>
  </w:style>
  <w:style w:type="character" w:customStyle="1" w:styleId="113">
    <w:name w:val="font61"/>
    <w:qFormat/>
    <w:uiPriority w:val="0"/>
    <w:rPr>
      <w:rFonts w:hint="eastAsia" w:ascii="宋体" w:hAnsi="宋体" w:eastAsia="宋体" w:cs="宋体"/>
      <w:color w:val="000000"/>
      <w:sz w:val="18"/>
      <w:szCs w:val="18"/>
      <w:u w:val="none"/>
    </w:rPr>
  </w:style>
  <w:style w:type="character" w:customStyle="1" w:styleId="114">
    <w:name w:val="H2 Char"/>
    <w:qFormat/>
    <w:uiPriority w:val="0"/>
    <w:rPr>
      <w:rFonts w:ascii="Arial" w:hAnsi="Arial" w:eastAsia="华文中宋"/>
      <w:b/>
      <w:bCs/>
      <w:kern w:val="2"/>
      <w:sz w:val="28"/>
      <w:szCs w:val="32"/>
    </w:rPr>
  </w:style>
  <w:style w:type="character" w:customStyle="1" w:styleId="115">
    <w:name w:val="font91"/>
    <w:qFormat/>
    <w:uiPriority w:val="0"/>
    <w:rPr>
      <w:rFonts w:hint="eastAsia" w:ascii="BatangChe" w:hAnsi="BatangChe" w:eastAsia="BatangChe" w:cs="BatangChe"/>
      <w:color w:val="auto"/>
      <w:sz w:val="18"/>
      <w:szCs w:val="18"/>
      <w:u w:val="none"/>
    </w:rPr>
  </w:style>
  <w:style w:type="paragraph" w:customStyle="1" w:styleId="116">
    <w:name w:val="Char Char Char"/>
    <w:basedOn w:val="1"/>
    <w:qFormat/>
    <w:uiPriority w:val="0"/>
    <w:pPr>
      <w:tabs>
        <w:tab w:val="left" w:pos="703"/>
        <w:tab w:val="left" w:pos="1200"/>
      </w:tabs>
      <w:autoSpaceDE/>
      <w:autoSpaceDN/>
      <w:adjustRightInd w:val="0"/>
      <w:snapToGrid w:val="0"/>
      <w:spacing w:line="360" w:lineRule="auto"/>
      <w:ind w:left="1200" w:hanging="360"/>
    </w:pPr>
    <w:rPr>
      <w:rFonts w:ascii="Times New Roman" w:hAnsi="Times New Roman" w:eastAsia="宋体" w:cs="Times New Roman"/>
      <w:kern w:val="2"/>
      <w:sz w:val="24"/>
      <w:szCs w:val="24"/>
      <w:lang w:val="en-US" w:bidi="ar-SA"/>
    </w:rPr>
  </w:style>
  <w:style w:type="paragraph" w:customStyle="1" w:styleId="117">
    <w:name w:val="xl6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Arial" w:hAnsi="Arial" w:eastAsia="宋体" w:cs="Arial"/>
      <w:sz w:val="17"/>
      <w:szCs w:val="17"/>
      <w:lang w:val="en-US" w:bidi="ar-SA"/>
    </w:rPr>
  </w:style>
  <w:style w:type="paragraph" w:customStyle="1" w:styleId="118">
    <w:name w:val="xl27"/>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Arial" w:hAnsi="Arial" w:eastAsia="宋体" w:cs="Arial"/>
      <w:sz w:val="20"/>
      <w:szCs w:val="20"/>
      <w:lang w:val="en-US" w:bidi="ar-SA"/>
    </w:rPr>
  </w:style>
  <w:style w:type="paragraph" w:customStyle="1" w:styleId="119">
    <w:name w:val="默认段落字体 Para Char"/>
    <w:basedOn w:val="1"/>
    <w:qFormat/>
    <w:uiPriority w:val="0"/>
    <w:pPr>
      <w:autoSpaceDE/>
      <w:autoSpaceDN/>
      <w:adjustRightInd w:val="0"/>
      <w:snapToGrid w:val="0"/>
      <w:spacing w:line="360" w:lineRule="auto"/>
    </w:pPr>
    <w:rPr>
      <w:rFonts w:ascii="宋体" w:hAnsi="宋体" w:eastAsia="宋体" w:cs="宋体"/>
      <w:sz w:val="24"/>
      <w:szCs w:val="20"/>
      <w:lang w:val="en-US" w:bidi="ar-SA"/>
    </w:rPr>
  </w:style>
  <w:style w:type="paragraph" w:customStyle="1" w:styleId="120">
    <w:name w:val="font8"/>
    <w:basedOn w:val="1"/>
    <w:qFormat/>
    <w:uiPriority w:val="0"/>
    <w:pPr>
      <w:widowControl/>
      <w:autoSpaceDE/>
      <w:autoSpaceDN/>
      <w:adjustRightInd w:val="0"/>
      <w:snapToGrid w:val="0"/>
      <w:spacing w:before="100" w:beforeAutospacing="1" w:after="100" w:afterAutospacing="1" w:line="360" w:lineRule="auto"/>
    </w:pPr>
    <w:rPr>
      <w:rFonts w:ascii="Arial" w:hAnsi="Arial" w:eastAsia="宋体" w:cs="Arial"/>
      <w:b/>
      <w:bCs/>
      <w:sz w:val="17"/>
      <w:szCs w:val="17"/>
      <w:lang w:val="en-US" w:bidi="ar-SA"/>
    </w:rPr>
  </w:style>
  <w:style w:type="paragraph" w:customStyle="1" w:styleId="121">
    <w:name w:val="xl24"/>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sz w:val="20"/>
      <w:szCs w:val="20"/>
      <w:lang w:val="en-US" w:bidi="ar-SA"/>
    </w:rPr>
  </w:style>
  <w:style w:type="paragraph" w:customStyle="1" w:styleId="122">
    <w:name w:val="Char Char1 Char Char Char Char Char Char"/>
    <w:basedOn w:val="1"/>
    <w:qFormat/>
    <w:uiPriority w:val="0"/>
    <w:pPr>
      <w:widowControl/>
      <w:autoSpaceDE/>
      <w:autoSpaceDN/>
      <w:adjustRightInd w:val="0"/>
      <w:snapToGrid w:val="0"/>
      <w:spacing w:beforeLines="25" w:afterLines="25" w:line="240" w:lineRule="exact"/>
      <w:ind w:firstLine="560" w:firstLineChars="192"/>
    </w:pPr>
    <w:rPr>
      <w:rFonts w:ascii="宋体" w:hAnsi="宋体" w:eastAsia="宋体" w:cs="Times New Roman"/>
      <w:sz w:val="28"/>
      <w:szCs w:val="28"/>
      <w:lang w:val="en-US" w:eastAsia="en-US" w:bidi="ar-SA"/>
    </w:rPr>
  </w:style>
  <w:style w:type="paragraph" w:customStyle="1" w:styleId="123">
    <w:name w:val="xl28"/>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Arial" w:hAnsi="Arial" w:eastAsia="宋体" w:cs="Arial"/>
      <w:sz w:val="20"/>
      <w:szCs w:val="20"/>
      <w:lang w:val="en-US" w:bidi="ar-SA"/>
    </w:rPr>
  </w:style>
  <w:style w:type="paragraph" w:customStyle="1" w:styleId="124">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24"/>
      <w:szCs w:val="24"/>
      <w:lang w:val="en-US" w:bidi="ar-SA"/>
    </w:rPr>
  </w:style>
  <w:style w:type="paragraph" w:customStyle="1" w:styleId="125">
    <w:name w:val="font7"/>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26">
    <w:name w:val="样式 样式 样式 左侧:  2 字符1 + 首行缩进:  2 字符1 + 首行缩进:  2 字符"/>
    <w:basedOn w:val="1"/>
    <w:qFormat/>
    <w:uiPriority w:val="0"/>
    <w:pPr>
      <w:widowControl/>
      <w:autoSpaceDE/>
      <w:autoSpaceDN/>
      <w:adjustRightInd w:val="0"/>
      <w:snapToGrid w:val="0"/>
      <w:spacing w:before="60" w:after="120" w:line="440" w:lineRule="atLeast"/>
      <w:ind w:firstLine="480"/>
      <w:textAlignment w:val="baseline"/>
    </w:pPr>
    <w:rPr>
      <w:rFonts w:ascii="Times New Roman" w:hAnsi="Times New Roman" w:eastAsia="宋体" w:cs="Times New Roman"/>
      <w:kern w:val="2"/>
      <w:sz w:val="24"/>
      <w:szCs w:val="20"/>
      <w:lang w:val="en-US" w:bidi="ar-SA"/>
    </w:rPr>
  </w:style>
  <w:style w:type="paragraph" w:customStyle="1" w:styleId="127">
    <w:name w:val="font6"/>
    <w:basedOn w:val="1"/>
    <w:qFormat/>
    <w:uiPriority w:val="0"/>
    <w:pPr>
      <w:widowControl/>
      <w:autoSpaceDE/>
      <w:autoSpaceDN/>
      <w:adjustRightInd w:val="0"/>
      <w:snapToGrid w:val="0"/>
      <w:spacing w:before="100" w:beforeAutospacing="1" w:after="100" w:afterAutospacing="1" w:line="360" w:lineRule="auto"/>
    </w:pPr>
    <w:rPr>
      <w:rFonts w:ascii="Arial" w:hAnsi="Arial" w:eastAsia="宋体" w:cs="Arial"/>
      <w:sz w:val="17"/>
      <w:szCs w:val="17"/>
      <w:lang w:val="en-US" w:bidi="ar-SA"/>
    </w:rPr>
  </w:style>
  <w:style w:type="paragraph" w:customStyle="1" w:styleId="128">
    <w:name w:val="Char"/>
    <w:basedOn w:val="1"/>
    <w:qFormat/>
    <w:uiPriority w:val="0"/>
    <w:pPr>
      <w:autoSpaceDE/>
      <w:autoSpaceDN/>
      <w:adjustRightInd w:val="0"/>
      <w:snapToGrid w:val="0"/>
      <w:spacing w:line="360" w:lineRule="auto"/>
    </w:pPr>
    <w:rPr>
      <w:rFonts w:ascii="Times New Roman" w:hAnsi="Times New Roman" w:eastAsia="宋体" w:cs="Times New Roman"/>
      <w:kern w:val="2"/>
      <w:sz w:val="24"/>
      <w:szCs w:val="20"/>
      <w:lang w:val="en-US" w:bidi="ar-SA"/>
    </w:rPr>
  </w:style>
  <w:style w:type="paragraph" w:customStyle="1" w:styleId="129">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b/>
      <w:bCs/>
      <w:sz w:val="18"/>
      <w:szCs w:val="18"/>
      <w:lang w:val="en-US" w:bidi="ar-SA"/>
    </w:rPr>
  </w:style>
  <w:style w:type="paragraph" w:customStyle="1" w:styleId="130">
    <w:name w:val="Char3"/>
    <w:basedOn w:val="1"/>
    <w:qFormat/>
    <w:uiPriority w:val="0"/>
    <w:pPr>
      <w:autoSpaceDE/>
      <w:autoSpaceDN/>
      <w:adjustRightInd w:val="0"/>
      <w:snapToGrid w:val="0"/>
      <w:spacing w:line="360" w:lineRule="auto"/>
    </w:pPr>
    <w:rPr>
      <w:rFonts w:ascii="仿宋_GB2312" w:hAnsi="Times New Roman" w:eastAsia="仿宋_GB2312" w:cs="仿宋_GB2312"/>
      <w:b/>
      <w:bCs/>
      <w:kern w:val="2"/>
      <w:sz w:val="32"/>
      <w:szCs w:val="32"/>
      <w:lang w:val="en-US" w:bidi="ar-SA"/>
    </w:rPr>
  </w:style>
  <w:style w:type="paragraph" w:customStyle="1" w:styleId="131">
    <w:name w:val="xl7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24"/>
      <w:szCs w:val="24"/>
      <w:lang w:val="en-US" w:bidi="ar-SA"/>
    </w:rPr>
  </w:style>
  <w:style w:type="paragraph" w:customStyle="1" w:styleId="132">
    <w:name w:val="Char Char Char Char Char Char Char Char Char Char Char Char Char Char Char Char"/>
    <w:basedOn w:val="1"/>
    <w:qFormat/>
    <w:uiPriority w:val="0"/>
    <w:pPr>
      <w:tabs>
        <w:tab w:val="left" w:pos="360"/>
      </w:tabs>
      <w:autoSpaceDE/>
      <w:autoSpaceDN/>
      <w:adjustRightInd w:val="0"/>
      <w:snapToGrid w:val="0"/>
      <w:spacing w:line="360" w:lineRule="auto"/>
      <w:ind w:left="482" w:firstLine="200" w:firstLineChars="200"/>
    </w:pPr>
    <w:rPr>
      <w:rFonts w:ascii="宋体" w:hAnsi="Times New Roman" w:eastAsia="宋体" w:cs="Times New Roman"/>
      <w:kern w:val="2"/>
      <w:sz w:val="24"/>
      <w:szCs w:val="24"/>
      <w:lang w:val="en-US" w:bidi="ar-SA"/>
    </w:rPr>
  </w:style>
  <w:style w:type="paragraph" w:customStyle="1" w:styleId="133">
    <w:name w:val="Default Text:1"/>
    <w:basedOn w:val="1"/>
    <w:qFormat/>
    <w:uiPriority w:val="0"/>
    <w:pPr>
      <w:widowControl/>
      <w:overflowPunct w:val="0"/>
      <w:adjustRightInd w:val="0"/>
      <w:snapToGrid w:val="0"/>
      <w:spacing w:line="360" w:lineRule="auto"/>
      <w:textAlignment w:val="baseline"/>
    </w:pPr>
    <w:rPr>
      <w:rFonts w:ascii="Times New Roman" w:hAnsi="Times New Roman" w:eastAsia="宋体" w:cs="Times New Roman"/>
      <w:sz w:val="24"/>
      <w:szCs w:val="24"/>
      <w:lang w:val="en-US" w:bidi="ar-SA"/>
    </w:rPr>
  </w:style>
  <w:style w:type="paragraph" w:customStyle="1" w:styleId="134">
    <w:name w:val="p0"/>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35">
    <w:name w:val="xl72"/>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36">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7"/>
      <w:szCs w:val="17"/>
      <w:lang w:val="en-US" w:bidi="ar-SA"/>
    </w:rPr>
  </w:style>
  <w:style w:type="paragraph" w:customStyle="1" w:styleId="137">
    <w:name w:val="xl74"/>
    <w:basedOn w:val="1"/>
    <w:qFormat/>
    <w:uiPriority w:val="0"/>
    <w:pPr>
      <w:widowControl/>
      <w:autoSpaceDE/>
      <w:autoSpaceDN/>
      <w:adjustRightInd w:val="0"/>
      <w:snapToGrid w:val="0"/>
      <w:spacing w:before="100" w:beforeAutospacing="1" w:after="100" w:afterAutospacing="1" w:line="360" w:lineRule="auto"/>
      <w:jc w:val="center"/>
    </w:pPr>
    <w:rPr>
      <w:rFonts w:ascii="宋体" w:hAnsi="宋体" w:eastAsia="宋体" w:cs="宋体"/>
      <w:sz w:val="18"/>
      <w:szCs w:val="18"/>
      <w:lang w:val="en-US" w:bidi="ar-SA"/>
    </w:rPr>
  </w:style>
  <w:style w:type="paragraph" w:customStyle="1" w:styleId="138">
    <w:name w:val="font5"/>
    <w:basedOn w:val="1"/>
    <w:qFormat/>
    <w:uiPriority w:val="0"/>
    <w:pPr>
      <w:widowControl/>
      <w:autoSpaceDE/>
      <w:autoSpaceDN/>
      <w:adjustRightInd w:val="0"/>
      <w:snapToGrid w:val="0"/>
      <w:spacing w:before="100" w:beforeAutospacing="1" w:after="100" w:afterAutospacing="1" w:line="360" w:lineRule="auto"/>
    </w:pPr>
    <w:rPr>
      <w:rFonts w:ascii="Tahoma" w:hAnsi="Tahoma" w:eastAsia="宋体" w:cs="Tahoma"/>
      <w:sz w:val="18"/>
      <w:szCs w:val="18"/>
      <w:lang w:val="en-US" w:bidi="ar-SA"/>
    </w:rPr>
  </w:style>
  <w:style w:type="paragraph" w:customStyle="1" w:styleId="139">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0">
    <w:name w:val="Item List"/>
    <w:qFormat/>
    <w:uiPriority w:val="0"/>
    <w:pPr>
      <w:tabs>
        <w:tab w:val="left" w:pos="420"/>
        <w:tab w:val="left" w:pos="709"/>
        <w:tab w:val="left" w:pos="1985"/>
      </w:tabs>
      <w:adjustRightInd w:val="0"/>
      <w:snapToGrid w:val="0"/>
      <w:spacing w:before="80" w:after="80" w:line="240" w:lineRule="atLeast"/>
      <w:ind w:left="420" w:hanging="420"/>
    </w:pPr>
    <w:rPr>
      <w:rFonts w:hint="eastAsia" w:ascii="Times New Roman" w:hAnsi="Times New Roman" w:eastAsia="宋体" w:cs="Arial"/>
      <w:kern w:val="2"/>
      <w:sz w:val="21"/>
      <w:szCs w:val="21"/>
      <w:lang w:val="en-US" w:eastAsia="zh-CN" w:bidi="ar-SA"/>
    </w:rPr>
  </w:style>
  <w:style w:type="paragraph" w:customStyle="1" w:styleId="141">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2">
    <w:name w:val="xl71"/>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7"/>
      <w:szCs w:val="17"/>
      <w:lang w:val="en-US" w:bidi="ar-SA"/>
    </w:rPr>
  </w:style>
  <w:style w:type="paragraph" w:customStyle="1" w:styleId="143">
    <w:name w:val="样式1"/>
    <w:basedOn w:val="1"/>
    <w:qFormat/>
    <w:uiPriority w:val="0"/>
    <w:pPr>
      <w:autoSpaceDE/>
      <w:autoSpaceDN/>
      <w:adjustRightInd w:val="0"/>
      <w:snapToGrid w:val="0"/>
      <w:jc w:val="center"/>
    </w:pPr>
    <w:rPr>
      <w:rFonts w:ascii="Times New Roman" w:hAnsi="Times New Roman" w:eastAsia="宋体" w:cs="Times New Roman"/>
      <w:kern w:val="2"/>
      <w:sz w:val="21"/>
      <w:szCs w:val="30"/>
      <w:lang w:val="en-US" w:bidi="ar-SA"/>
    </w:rPr>
  </w:style>
  <w:style w:type="paragraph" w:customStyle="1" w:styleId="144">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8"/>
      <w:szCs w:val="18"/>
      <w:lang w:val="en-US" w:bidi="ar-SA"/>
    </w:rPr>
  </w:style>
  <w:style w:type="paragraph" w:customStyle="1" w:styleId="145">
    <w:name w:val="xl70"/>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6">
    <w:name w:val="Zchn Zchn"/>
    <w:basedOn w:val="1"/>
    <w:qFormat/>
    <w:uiPriority w:val="0"/>
    <w:pPr>
      <w:autoSpaceDE/>
      <w:autoSpaceDN/>
      <w:adjustRightInd w:val="0"/>
      <w:snapToGrid w:val="0"/>
      <w:spacing w:line="360" w:lineRule="auto"/>
    </w:pPr>
    <w:rPr>
      <w:rFonts w:ascii="Tahoma" w:hAnsi="Tahoma" w:eastAsia="宋体" w:cs="Times New Roman"/>
      <w:kern w:val="2"/>
      <w:sz w:val="24"/>
      <w:szCs w:val="20"/>
      <w:lang w:val="en-US" w:bidi="ar-SA"/>
    </w:rPr>
  </w:style>
  <w:style w:type="paragraph" w:customStyle="1" w:styleId="147">
    <w:name w:val="xl26"/>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Tahoma" w:hAnsi="Tahoma" w:eastAsia="宋体" w:cs="Tahoma"/>
      <w:color w:val="000000"/>
      <w:sz w:val="20"/>
      <w:szCs w:val="20"/>
      <w:lang w:val="en-US" w:bidi="ar-SA"/>
    </w:rPr>
  </w:style>
  <w:style w:type="paragraph" w:customStyle="1" w:styleId="148">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b/>
      <w:bCs/>
      <w:sz w:val="17"/>
      <w:szCs w:val="17"/>
      <w:lang w:val="en-US" w:bidi="ar-SA"/>
    </w:rPr>
  </w:style>
  <w:style w:type="paragraph" w:customStyle="1" w:styleId="149">
    <w:name w:val="a2"/>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51">
    <w:name w:val="Char Char Char Char Char Char Char Char Char Char"/>
    <w:basedOn w:val="1"/>
    <w:qFormat/>
    <w:uiPriority w:val="0"/>
    <w:pPr>
      <w:keepNext/>
      <w:keepLines/>
      <w:pageBreakBefore/>
      <w:tabs>
        <w:tab w:val="left" w:pos="360"/>
      </w:tabs>
      <w:autoSpaceDE/>
      <w:autoSpaceDN/>
      <w:adjustRightInd w:val="0"/>
      <w:snapToGrid w:val="0"/>
      <w:spacing w:line="360" w:lineRule="auto"/>
      <w:ind w:left="1130" w:hanging="420"/>
      <w:textAlignment w:val="baseline"/>
    </w:pPr>
    <w:rPr>
      <w:rFonts w:ascii="Times New Roman" w:hAnsi="Times New Roman" w:eastAsia="宋体" w:cs="Times New Roman"/>
      <w:kern w:val="2"/>
      <w:sz w:val="24"/>
      <w:szCs w:val="24"/>
      <w:lang w:val="en-US" w:bidi="ar-SA"/>
    </w:rPr>
  </w:style>
  <w:style w:type="paragraph" w:customStyle="1" w:styleId="152">
    <w:name w:val="Char2"/>
    <w:basedOn w:val="1"/>
    <w:qFormat/>
    <w:uiPriority w:val="0"/>
    <w:pPr>
      <w:tabs>
        <w:tab w:val="left" w:pos="425"/>
      </w:tabs>
      <w:autoSpaceDE/>
      <w:autoSpaceDN/>
      <w:adjustRightInd w:val="0"/>
      <w:snapToGrid w:val="0"/>
      <w:spacing w:line="360" w:lineRule="auto"/>
      <w:ind w:left="425" w:hanging="425"/>
    </w:pPr>
    <w:rPr>
      <w:rFonts w:ascii="Times New Roman" w:hAnsi="Times New Roman" w:eastAsia="宋体" w:cs="Times New Roman"/>
      <w:kern w:val="2"/>
      <w:sz w:val="24"/>
      <w:szCs w:val="24"/>
      <w:lang w:val="en-US" w:bidi="ar-SA"/>
    </w:rPr>
  </w:style>
  <w:style w:type="paragraph" w:customStyle="1" w:styleId="153">
    <w:name w:val="正文 + 10 磅"/>
    <w:basedOn w:val="1"/>
    <w:qFormat/>
    <w:uiPriority w:val="0"/>
    <w:pPr>
      <w:widowControl/>
      <w:adjustRightInd w:val="0"/>
      <w:snapToGrid w:val="0"/>
      <w:spacing w:line="360" w:lineRule="auto"/>
    </w:pPr>
    <w:rPr>
      <w:rFonts w:ascii="Times New Roman" w:hAnsi="Times New Roman" w:eastAsia="宋体" w:cs="Times New Roman"/>
      <w:sz w:val="20"/>
      <w:szCs w:val="20"/>
      <w:lang w:val="en-US" w:eastAsia="en-US" w:bidi="ar-SA"/>
    </w:rPr>
  </w:style>
  <w:style w:type="paragraph" w:customStyle="1" w:styleId="154">
    <w:name w:val="reader-word-layer reader-word-s1-9"/>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55">
    <w:name w:val="Char1"/>
    <w:basedOn w:val="1"/>
    <w:qFormat/>
    <w:uiPriority w:val="0"/>
    <w:pPr>
      <w:autoSpaceDE/>
      <w:autoSpaceDN/>
      <w:adjustRightInd w:val="0"/>
      <w:snapToGrid w:val="0"/>
      <w:spacing w:line="360" w:lineRule="auto"/>
    </w:pPr>
    <w:rPr>
      <w:rFonts w:ascii="Times New Roman" w:hAnsi="Times New Roman" w:eastAsia="宋体" w:cs="Times New Roman"/>
      <w:kern w:val="2"/>
      <w:sz w:val="24"/>
      <w:szCs w:val="24"/>
      <w:lang w:val="en-US" w:bidi="ar-SA"/>
    </w:rPr>
  </w:style>
  <w:style w:type="paragraph" w:customStyle="1" w:styleId="156">
    <w:name w:val="标题1T"/>
    <w:basedOn w:val="1"/>
    <w:qFormat/>
    <w:uiPriority w:val="0"/>
    <w:pPr>
      <w:autoSpaceDE/>
      <w:autoSpaceDN/>
      <w:adjustRightInd w:val="0"/>
      <w:snapToGrid w:val="0"/>
      <w:spacing w:line="360" w:lineRule="auto"/>
      <w:ind w:left="180"/>
    </w:pPr>
    <w:rPr>
      <w:rFonts w:ascii="宋体" w:hAnsi="宋体" w:eastAsia="宋体" w:cs="Times New Roman"/>
      <w:b/>
      <w:kern w:val="2"/>
      <w:sz w:val="28"/>
      <w:szCs w:val="20"/>
      <w:lang w:val="en-US" w:bidi="ar-SA"/>
    </w:rPr>
  </w:style>
  <w:style w:type="paragraph" w:customStyle="1" w:styleId="157">
    <w:name w:val="xl29"/>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b/>
      <w:bCs/>
      <w:color w:val="000000"/>
      <w:sz w:val="20"/>
      <w:szCs w:val="20"/>
      <w:lang w:val="en-US" w:bidi="ar-SA"/>
    </w:rPr>
  </w:style>
  <w:style w:type="paragraph" w:customStyle="1" w:styleId="158">
    <w:name w:val="xl25"/>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b/>
      <w:bCs/>
      <w:sz w:val="20"/>
      <w:szCs w:val="20"/>
      <w:lang w:val="en-US" w:bidi="ar-SA"/>
    </w:rPr>
  </w:style>
  <w:style w:type="paragraph" w:customStyle="1" w:styleId="159">
    <w:name w:val="小封面"/>
    <w:next w:val="1"/>
    <w:qFormat/>
    <w:uiPriority w:val="0"/>
    <w:pPr>
      <w:spacing w:line="360" w:lineRule="auto"/>
      <w:jc w:val="center"/>
    </w:pPr>
    <w:rPr>
      <w:rFonts w:ascii="Times New Roman" w:hAnsi="Times New Roman" w:eastAsia="宋体" w:cs="Times New Roman"/>
      <w:b/>
      <w:sz w:val="44"/>
      <w:lang w:val="en-US" w:eastAsia="zh-CN" w:bidi="ar-SA"/>
    </w:rPr>
  </w:style>
  <w:style w:type="paragraph" w:customStyle="1" w:styleId="160">
    <w:name w:val="font9"/>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61">
    <w:name w:val="font10"/>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62">
    <w:name w:val="font12"/>
    <w:basedOn w:val="1"/>
    <w:qFormat/>
    <w:uiPriority w:val="0"/>
    <w:pPr>
      <w:widowControl/>
      <w:autoSpaceDE/>
      <w:autoSpaceDN/>
      <w:spacing w:before="100" w:beforeAutospacing="1" w:after="100" w:afterAutospacing="1"/>
    </w:pPr>
    <w:rPr>
      <w:rFonts w:ascii="宋体" w:hAnsi="宋体" w:eastAsia="宋体" w:cs="宋体"/>
      <w:sz w:val="18"/>
      <w:szCs w:val="18"/>
      <w:lang w:val="en-US" w:bidi="ar-SA"/>
    </w:rPr>
  </w:style>
  <w:style w:type="paragraph" w:customStyle="1" w:styleId="163">
    <w:name w:val="font13"/>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164">
    <w:name w:val="xl79"/>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65">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66">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67">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68">
    <w:name w:val="xl83"/>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微软雅黑" w:hAnsi="微软雅黑" w:eastAsia="微软雅黑" w:cs="宋体"/>
      <w:b/>
      <w:bCs/>
      <w:sz w:val="24"/>
      <w:szCs w:val="24"/>
      <w:lang w:val="en-US" w:bidi="ar-SA"/>
    </w:rPr>
  </w:style>
  <w:style w:type="paragraph" w:customStyle="1" w:styleId="169">
    <w:name w:val="xl84"/>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70">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0"/>
      <w:szCs w:val="20"/>
      <w:lang w:val="en-US" w:bidi="ar-SA"/>
    </w:rPr>
  </w:style>
  <w:style w:type="paragraph" w:customStyle="1" w:styleId="171">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0"/>
      <w:szCs w:val="20"/>
      <w:lang w:val="en-US" w:bidi="ar-SA"/>
    </w:rPr>
  </w:style>
  <w:style w:type="paragraph" w:customStyle="1" w:styleId="172">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73">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color w:val="000000"/>
      <w:sz w:val="24"/>
      <w:szCs w:val="24"/>
      <w:lang w:val="en-US" w:bidi="ar-SA"/>
    </w:rPr>
  </w:style>
  <w:style w:type="paragraph" w:customStyle="1" w:styleId="174">
    <w:name w:val="xl89"/>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75">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0"/>
      <w:szCs w:val="20"/>
      <w:lang w:val="en-US" w:bidi="ar-SA"/>
    </w:rPr>
  </w:style>
  <w:style w:type="paragraph" w:customStyle="1" w:styleId="176">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77">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78">
    <w:name w:val="xl9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4"/>
      <w:szCs w:val="24"/>
      <w:lang w:val="en-US" w:bidi="ar-SA"/>
    </w:rPr>
  </w:style>
  <w:style w:type="paragraph" w:customStyle="1" w:styleId="179">
    <w:name w:val="xl94"/>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80">
    <w:name w:val="xl9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color w:val="000000"/>
      <w:sz w:val="20"/>
      <w:szCs w:val="20"/>
      <w:lang w:val="en-US" w:bidi="ar-SA"/>
    </w:rPr>
  </w:style>
  <w:style w:type="paragraph" w:customStyle="1" w:styleId="181">
    <w:name w:val="xl9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rFonts w:ascii="宋体" w:hAnsi="宋体" w:eastAsia="宋体" w:cs="宋体"/>
      <w:sz w:val="20"/>
      <w:szCs w:val="20"/>
      <w:lang w:val="en-US" w:bidi="ar-SA"/>
    </w:rPr>
  </w:style>
  <w:style w:type="paragraph" w:customStyle="1" w:styleId="182">
    <w:name w:val="xl97"/>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微软雅黑" w:hAnsi="微软雅黑" w:eastAsia="微软雅黑" w:cs="宋体"/>
      <w:b/>
      <w:bCs/>
      <w:sz w:val="24"/>
      <w:szCs w:val="24"/>
      <w:lang w:val="en-US" w:bidi="ar-SA"/>
    </w:rPr>
  </w:style>
  <w:style w:type="paragraph" w:customStyle="1" w:styleId="183">
    <w:name w:val="xl9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84">
    <w:name w:val="xl9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5">
    <w:name w:val="xl10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6">
    <w:name w:val="xl10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0"/>
      <w:szCs w:val="20"/>
      <w:lang w:val="en-US" w:bidi="ar-SA"/>
    </w:rPr>
  </w:style>
  <w:style w:type="paragraph" w:customStyle="1" w:styleId="187">
    <w:name w:val="xl10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color w:val="000000"/>
      <w:sz w:val="20"/>
      <w:szCs w:val="20"/>
      <w:lang w:val="en-US" w:bidi="ar-SA"/>
    </w:rPr>
  </w:style>
  <w:style w:type="paragraph" w:customStyle="1" w:styleId="188">
    <w:name w:val="xl103"/>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89">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0">
    <w:name w:val="xl10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rFonts w:ascii="宋体" w:hAnsi="宋体" w:eastAsia="宋体" w:cs="宋体"/>
      <w:sz w:val="24"/>
      <w:szCs w:val="24"/>
      <w:lang w:val="en-US" w:bidi="ar-SA"/>
    </w:rPr>
  </w:style>
  <w:style w:type="paragraph" w:customStyle="1" w:styleId="191">
    <w:name w:val="xl10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2">
    <w:name w:val="xl10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4"/>
      <w:szCs w:val="24"/>
      <w:lang w:val="en-US" w:bidi="ar-SA"/>
    </w:rPr>
  </w:style>
  <w:style w:type="paragraph" w:customStyle="1" w:styleId="193">
    <w:name w:val="xl108"/>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4">
    <w:name w:val="xl109"/>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5">
    <w:name w:val="xl110"/>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6">
    <w:name w:val="xl111"/>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7">
    <w:name w:val="xl112"/>
    <w:basedOn w:val="1"/>
    <w:qFormat/>
    <w:uiPriority w:val="0"/>
    <w:pPr>
      <w:widowControl/>
      <w:pBdr>
        <w:left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8">
    <w:name w:val="xl113"/>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9">
    <w:name w:val="xl114"/>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0">
    <w:name w:val="xl115"/>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1">
    <w:name w:val="xl116"/>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2">
    <w:name w:val="xl11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3">
    <w:name w:val="xl11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4">
    <w:name w:val="xl11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205">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6">
    <w:name w:val="xl12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7">
    <w:name w:val="xl12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8">
    <w:name w:val="xl123"/>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9">
    <w:name w:val="xl124"/>
    <w:basedOn w:val="1"/>
    <w:qFormat/>
    <w:uiPriority w:val="0"/>
    <w:pPr>
      <w:widowControl/>
      <w:pBdr>
        <w:top w:val="single" w:color="auto" w:sz="4" w:space="0"/>
        <w:bottom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10">
    <w:name w:val="xl1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11">
    <w:name w:val="**正文"/>
    <w:basedOn w:val="1"/>
    <w:qFormat/>
    <w:uiPriority w:val="0"/>
    <w:pPr>
      <w:autoSpaceDE/>
      <w:autoSpaceDN/>
      <w:spacing w:line="360" w:lineRule="auto"/>
      <w:ind w:firstLine="480" w:firstLineChars="200"/>
      <w:jc w:val="both"/>
    </w:pPr>
    <w:rPr>
      <w:rFonts w:ascii="Times New Roman" w:hAnsi="Times New Roman" w:eastAsia="宋体" w:cs="Times New Roman"/>
      <w:sz w:val="20"/>
      <w:szCs w:val="32"/>
      <w:lang w:val="en-US" w:bidi="ar-SA"/>
    </w:rPr>
  </w:style>
  <w:style w:type="paragraph" w:customStyle="1" w:styleId="212">
    <w:name w:val="列出段落3"/>
    <w:basedOn w:val="1"/>
    <w:link w:val="213"/>
    <w:qFormat/>
    <w:uiPriority w:val="0"/>
    <w:pPr>
      <w:autoSpaceDE/>
      <w:autoSpaceDN/>
      <w:spacing w:line="360" w:lineRule="auto"/>
      <w:ind w:firstLine="420"/>
      <w:jc w:val="both"/>
    </w:pPr>
    <w:rPr>
      <w:rFonts w:ascii="Calibri" w:hAnsi="Calibri" w:eastAsia="Calibri" w:cs="Times New Roman"/>
      <w:sz w:val="21"/>
      <w:szCs w:val="20"/>
      <w:lang w:eastAsia="en-US" w:bidi="ar-SA"/>
    </w:rPr>
  </w:style>
  <w:style w:type="character" w:customStyle="1" w:styleId="213">
    <w:name w:val="列出段落 字符"/>
    <w:link w:val="212"/>
    <w:qFormat/>
    <w:uiPriority w:val="0"/>
    <w:rPr>
      <w:rFonts w:ascii="Calibri" w:hAnsi="Calibri" w:eastAsia="Calibri" w:cs="Times New Roman"/>
      <w:sz w:val="21"/>
      <w:lang w:eastAsia="en-US"/>
    </w:rPr>
  </w:style>
  <w:style w:type="paragraph" w:customStyle="1" w:styleId="214">
    <w:name w:val="font0"/>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15">
    <w:name w:val="font14"/>
    <w:basedOn w:val="1"/>
    <w:qFormat/>
    <w:uiPriority w:val="0"/>
    <w:pPr>
      <w:widowControl/>
      <w:autoSpaceDE/>
      <w:autoSpaceDN/>
      <w:spacing w:before="100" w:beforeAutospacing="1" w:after="100" w:afterAutospacing="1"/>
    </w:pPr>
    <w:rPr>
      <w:rFonts w:ascii="宋体" w:hAnsi="宋体" w:eastAsia="宋体" w:cs="宋体"/>
      <w:b/>
      <w:bCs/>
      <w:color w:val="000000"/>
      <w:lang w:val="en-US" w:bidi="ar-SA"/>
    </w:rPr>
  </w:style>
  <w:style w:type="paragraph" w:customStyle="1" w:styleId="216">
    <w:name w:val="font15"/>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17">
    <w:name w:val="font16"/>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1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19">
    <w:name w:val="xl4125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20">
    <w:name w:val="xl4126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21">
    <w:name w:val="xl4126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22">
    <w:name w:val="xl4126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23">
    <w:name w:val="xl41263"/>
    <w:basedOn w:val="1"/>
    <w:qFormat/>
    <w:uiPriority w:val="0"/>
    <w:pPr>
      <w:widowControl/>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24">
    <w:name w:val="xl4126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4"/>
      <w:szCs w:val="24"/>
      <w:lang w:val="en-US" w:bidi="ar-SA"/>
    </w:rPr>
  </w:style>
  <w:style w:type="paragraph" w:customStyle="1" w:styleId="225">
    <w:name w:val="xl4126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pPr>
    <w:rPr>
      <w:rFonts w:ascii="仿宋" w:hAnsi="仿宋" w:eastAsia="仿宋" w:cs="宋体"/>
      <w:b/>
      <w:bCs/>
      <w:sz w:val="28"/>
      <w:szCs w:val="28"/>
      <w:lang w:val="en-US" w:bidi="ar-SA"/>
    </w:rPr>
  </w:style>
  <w:style w:type="paragraph" w:customStyle="1" w:styleId="226">
    <w:name w:val="xl41266"/>
    <w:basedOn w:val="1"/>
    <w:qFormat/>
    <w:uiPriority w:val="0"/>
    <w:pPr>
      <w:widowControl/>
      <w:shd w:val="clear" w:color="000000" w:fill="FFFF00"/>
      <w:autoSpaceDE/>
      <w:autoSpaceDN/>
      <w:spacing w:before="100" w:beforeAutospacing="1" w:after="100" w:afterAutospacing="1"/>
      <w:jc w:val="center"/>
    </w:pPr>
    <w:rPr>
      <w:rFonts w:ascii="仿宋" w:hAnsi="仿宋" w:eastAsia="仿宋" w:cs="宋体"/>
      <w:b/>
      <w:bCs/>
      <w:sz w:val="28"/>
      <w:szCs w:val="28"/>
      <w:lang w:val="en-US" w:bidi="ar-SA"/>
    </w:rPr>
  </w:style>
  <w:style w:type="paragraph" w:customStyle="1" w:styleId="227">
    <w:name w:val="xl412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pPr>
    <w:rPr>
      <w:rFonts w:ascii="宋体" w:hAnsi="宋体" w:eastAsia="宋体" w:cs="宋体"/>
      <w:sz w:val="24"/>
      <w:szCs w:val="24"/>
      <w:lang w:val="en-US" w:bidi="ar-SA"/>
    </w:rPr>
  </w:style>
  <w:style w:type="paragraph" w:customStyle="1" w:styleId="228">
    <w:name w:val="xl41268"/>
    <w:basedOn w:val="1"/>
    <w:qFormat/>
    <w:uiPriority w:val="0"/>
    <w:pPr>
      <w:widowControl/>
      <w:shd w:val="clear" w:color="000000" w:fill="FFFF00"/>
      <w:autoSpaceDE/>
      <w:autoSpaceDN/>
      <w:spacing w:before="100" w:beforeAutospacing="1" w:after="100" w:afterAutospacing="1"/>
    </w:pPr>
    <w:rPr>
      <w:rFonts w:ascii="宋体" w:hAnsi="宋体" w:eastAsia="宋体" w:cs="宋体"/>
      <w:sz w:val="24"/>
      <w:szCs w:val="24"/>
      <w:lang w:val="en-US" w:bidi="ar-SA"/>
    </w:rPr>
  </w:style>
  <w:style w:type="paragraph" w:customStyle="1" w:styleId="229">
    <w:name w:val="xl412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30">
    <w:name w:val="xl412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31">
    <w:name w:val="xl412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pPr>
    <w:rPr>
      <w:rFonts w:ascii="宋体" w:hAnsi="宋体" w:eastAsia="宋体" w:cs="宋体"/>
      <w:sz w:val="24"/>
      <w:szCs w:val="24"/>
      <w:lang w:val="en-US" w:bidi="ar-SA"/>
    </w:rPr>
  </w:style>
  <w:style w:type="paragraph" w:customStyle="1" w:styleId="232">
    <w:name w:val="xl4127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pPr>
    <w:rPr>
      <w:rFonts w:ascii="仿宋" w:hAnsi="仿宋" w:eastAsia="仿宋" w:cs="宋体"/>
      <w:b/>
      <w:bCs/>
      <w:sz w:val="28"/>
      <w:szCs w:val="28"/>
      <w:lang w:val="en-US" w:bidi="ar-SA"/>
    </w:rPr>
  </w:style>
  <w:style w:type="paragraph" w:customStyle="1" w:styleId="233">
    <w:name w:val="xl4127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34">
    <w:name w:val="xl41274"/>
    <w:basedOn w:val="1"/>
    <w:qFormat/>
    <w:uiPriority w:val="0"/>
    <w:pPr>
      <w:widowControl/>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35">
    <w:name w:val="xl41275"/>
    <w:basedOn w:val="1"/>
    <w:qFormat/>
    <w:uiPriority w:val="0"/>
    <w:pPr>
      <w:widowControl/>
      <w:shd w:val="clear" w:color="000000" w:fill="FFFFFF"/>
      <w:autoSpaceDE/>
      <w:autoSpaceDN/>
      <w:spacing w:before="100" w:beforeAutospacing="1" w:after="100" w:afterAutospacing="1"/>
    </w:pPr>
    <w:rPr>
      <w:rFonts w:ascii="宋体" w:hAnsi="宋体" w:eastAsia="宋体" w:cs="宋体"/>
      <w:sz w:val="24"/>
      <w:szCs w:val="24"/>
      <w:lang w:val="en-US" w:bidi="ar-SA"/>
    </w:rPr>
  </w:style>
  <w:style w:type="paragraph" w:customStyle="1" w:styleId="236">
    <w:name w:val="xl412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仿宋" w:hAnsi="仿宋" w:eastAsia="仿宋" w:cs="宋体"/>
      <w:b/>
      <w:bCs/>
      <w:sz w:val="28"/>
      <w:szCs w:val="28"/>
      <w:lang w:val="en-US" w:bidi="ar-SA"/>
    </w:rPr>
  </w:style>
  <w:style w:type="paragraph" w:customStyle="1" w:styleId="237">
    <w:name w:val="xl4127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44"/>
      <w:szCs w:val="44"/>
      <w:lang w:val="en-US" w:bidi="ar-SA"/>
    </w:rPr>
  </w:style>
  <w:style w:type="paragraph" w:customStyle="1" w:styleId="238">
    <w:name w:val="xl23569"/>
    <w:basedOn w:val="1"/>
    <w:qFormat/>
    <w:uiPriority w:val="0"/>
    <w:pPr>
      <w:widowControl/>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39">
    <w:name w:val="xl235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0">
    <w:name w:val="xl23571"/>
    <w:basedOn w:val="1"/>
    <w:qFormat/>
    <w:uiPriority w:val="0"/>
    <w:pPr>
      <w:widowControl/>
      <w:pBdr>
        <w:top w:val="single" w:color="auto" w:sz="4" w:space="0"/>
        <w:left w:val="single" w:color="auto" w:sz="8"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41">
    <w:name w:val="xl235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42">
    <w:name w:val="xl23573"/>
    <w:basedOn w:val="1"/>
    <w:qFormat/>
    <w:uiPriority w:val="0"/>
    <w:pPr>
      <w:widowControl/>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3">
    <w:name w:val="xl23574"/>
    <w:basedOn w:val="1"/>
    <w:qFormat/>
    <w:uiPriority w:val="0"/>
    <w:pPr>
      <w:widowControl/>
      <w:shd w:val="clear" w:color="000000" w:fill="FFFF0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4">
    <w:name w:val="xl23575"/>
    <w:basedOn w:val="1"/>
    <w:qFormat/>
    <w:uiPriority w:val="0"/>
    <w:pPr>
      <w:widowControl/>
      <w:shd w:val="clear" w:color="000000" w:fill="FFC00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5">
    <w:name w:val="xl23576"/>
    <w:basedOn w:val="1"/>
    <w:qFormat/>
    <w:uiPriority w:val="0"/>
    <w:pPr>
      <w:widowControl/>
      <w:shd w:val="clear" w:color="000000" w:fill="92D05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6">
    <w:name w:val="xl23577"/>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7">
    <w:name w:val="xl235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8">
    <w:name w:val="xl2357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9">
    <w:name w:val="xl235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50">
    <w:name w:val="xl23581"/>
    <w:basedOn w:val="1"/>
    <w:qFormat/>
    <w:uiPriority w:val="0"/>
    <w:pPr>
      <w:widowControl/>
      <w:pBdr>
        <w:top w:val="single" w:color="auto" w:sz="4" w:space="0"/>
        <w:left w:val="single" w:color="auto" w:sz="8" w:space="0"/>
        <w:bottom w:val="single" w:color="auto" w:sz="4" w:space="0"/>
      </w:pBdr>
      <w:shd w:val="clear" w:color="000000" w:fill="FFFF00"/>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51">
    <w:name w:val="xl23582"/>
    <w:basedOn w:val="1"/>
    <w:qFormat/>
    <w:uiPriority w:val="0"/>
    <w:pPr>
      <w:widowControl/>
      <w:pBdr>
        <w:top w:val="single" w:color="auto" w:sz="4" w:space="0"/>
        <w:bottom w:val="single" w:color="auto" w:sz="4" w:space="0"/>
      </w:pBdr>
      <w:shd w:val="clear" w:color="000000" w:fill="FFFF00"/>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52">
    <w:name w:val="xl23583"/>
    <w:basedOn w:val="1"/>
    <w:qFormat/>
    <w:uiPriority w:val="0"/>
    <w:pPr>
      <w:widowControl/>
      <w:pBdr>
        <w:top w:val="single" w:color="000000" w:sz="4" w:space="0"/>
        <w:left w:val="single" w:color="auto" w:sz="4" w:space="0"/>
        <w:right w:val="single" w:color="auto" w:sz="4" w:space="0"/>
      </w:pBdr>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53">
    <w:name w:val="xl23584"/>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宋体" w:hAnsi="宋体" w:eastAsia="宋体" w:cs="宋体"/>
      <w:sz w:val="28"/>
      <w:szCs w:val="28"/>
      <w:lang w:val="en-US" w:bidi="ar-SA"/>
    </w:rPr>
  </w:style>
  <w:style w:type="paragraph" w:customStyle="1" w:styleId="254">
    <w:name w:val="xl23585"/>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55">
    <w:name w:val="xl23586"/>
    <w:basedOn w:val="1"/>
    <w:qFormat/>
    <w:uiPriority w:val="0"/>
    <w:pPr>
      <w:widowControl/>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56">
    <w:name w:val="xl23587"/>
    <w:basedOn w:val="1"/>
    <w:qFormat/>
    <w:uiPriority w:val="0"/>
    <w:pPr>
      <w:widowControl/>
      <w:pBdr>
        <w:top w:val="single" w:color="000000" w:sz="4" w:space="0"/>
        <w:left w:val="single" w:color="auto" w:sz="4" w:space="0"/>
        <w:right w:val="single" w:color="auto" w:sz="4" w:space="0"/>
      </w:pBdr>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57">
    <w:name w:val="xl23588"/>
    <w:basedOn w:val="1"/>
    <w:qFormat/>
    <w:uiPriority w:val="0"/>
    <w:pPr>
      <w:widowControl/>
      <w:pBdr>
        <w:left w:val="single" w:color="auto" w:sz="4" w:space="0"/>
        <w:bottom w:val="single" w:color="000000" w:sz="4" w:space="0"/>
      </w:pBdr>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58">
    <w:name w:val="xl23589"/>
    <w:basedOn w:val="1"/>
    <w:qFormat/>
    <w:uiPriority w:val="0"/>
    <w:pPr>
      <w:widowControl/>
      <w:pBdr>
        <w:top w:val="single" w:color="000000" w:sz="4" w:space="0"/>
        <w:left w:val="single" w:color="auto" w:sz="4" w:space="0"/>
        <w:bottom w:val="single" w:color="000000" w:sz="4" w:space="0"/>
      </w:pBdr>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59">
    <w:name w:val="xl23590"/>
    <w:basedOn w:val="1"/>
    <w:qFormat/>
    <w:uiPriority w:val="0"/>
    <w:pPr>
      <w:widowControl/>
      <w:pBdr>
        <w:top w:val="single" w:color="000000" w:sz="4" w:space="0"/>
        <w:left w:val="single" w:color="auto" w:sz="4" w:space="0"/>
      </w:pBdr>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60">
    <w:name w:val="xl23591"/>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pPr>
    <w:rPr>
      <w:rFonts w:ascii="宋体" w:hAnsi="宋体" w:eastAsia="宋体" w:cs="宋体"/>
      <w:sz w:val="28"/>
      <w:szCs w:val="28"/>
      <w:lang w:val="en-US" w:bidi="ar-SA"/>
    </w:rPr>
  </w:style>
  <w:style w:type="paragraph" w:customStyle="1" w:styleId="261">
    <w:name w:val="xl23592"/>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62">
    <w:name w:val="xl23593"/>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宋体" w:hAnsi="宋体" w:eastAsia="宋体" w:cs="宋体"/>
      <w:sz w:val="28"/>
      <w:szCs w:val="28"/>
      <w:lang w:val="en-US" w:bidi="ar-SA"/>
    </w:rPr>
  </w:style>
  <w:style w:type="paragraph" w:customStyle="1" w:styleId="263">
    <w:name w:val="xl2359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64">
    <w:name w:val="xl2359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65">
    <w:name w:val="xl2359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66">
    <w:name w:val="xl23597"/>
    <w:basedOn w:val="1"/>
    <w:qFormat/>
    <w:uiPriority w:val="0"/>
    <w:pPr>
      <w:widowControl/>
      <w:shd w:val="clear" w:color="000000" w:fill="FFFF00"/>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67">
    <w:name w:val="xl2359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6DDE8"/>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68">
    <w:name w:val="xl23599"/>
    <w:basedOn w:val="1"/>
    <w:qFormat/>
    <w:uiPriority w:val="0"/>
    <w:pPr>
      <w:widowControl/>
      <w:shd w:val="clear" w:color="000000" w:fill="FFFF00"/>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69">
    <w:name w:val="xl2360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66"/>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70">
    <w:name w:val="xl23601"/>
    <w:basedOn w:val="1"/>
    <w:qFormat/>
    <w:uiPriority w:val="0"/>
    <w:pPr>
      <w:widowControl/>
      <w:shd w:val="clear" w:color="000000" w:fill="CCFF66"/>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71">
    <w:name w:val="xl23602"/>
    <w:basedOn w:val="1"/>
    <w:qFormat/>
    <w:uiPriority w:val="0"/>
    <w:pPr>
      <w:widowControl/>
      <w:pBdr>
        <w:top w:val="single" w:color="000000" w:sz="4" w:space="0"/>
        <w:left w:val="single" w:color="000000" w:sz="8" w:space="0"/>
        <w:bottom w:val="single" w:color="000000" w:sz="4" w:space="0"/>
        <w:right w:val="single" w:color="auto" w:sz="4" w:space="0"/>
      </w:pBdr>
      <w:shd w:val="clear" w:color="000000" w:fill="FFFFFF"/>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72">
    <w:name w:val="xl2360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73">
    <w:name w:val="xl236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74">
    <w:name w:val="xl23605"/>
    <w:basedOn w:val="1"/>
    <w:qFormat/>
    <w:uiPriority w:val="0"/>
    <w:pPr>
      <w:widowControl/>
      <w:pBdr>
        <w:top w:val="single" w:color="000000" w:sz="4" w:space="0"/>
        <w:left w:val="single" w:color="auto" w:sz="4" w:space="0"/>
        <w:bottom w:val="single" w:color="000000" w:sz="4" w:space="0"/>
      </w:pBdr>
      <w:shd w:val="clear" w:color="000000" w:fill="FFFFFF"/>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75">
    <w:name w:val="xl2360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76">
    <w:name w:val="xl2360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77">
    <w:name w:val="xl23608"/>
    <w:basedOn w:val="1"/>
    <w:qFormat/>
    <w:uiPriority w:val="0"/>
    <w:pPr>
      <w:widowControl/>
      <w:shd w:val="clear" w:color="000000" w:fill="FFFF00"/>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78">
    <w:name w:val="xl236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79">
    <w:name w:val="xl236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0">
    <w:name w:val="xl236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1">
    <w:name w:val="xl236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2">
    <w:name w:val="xl23613"/>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宋体" w:hAnsi="宋体" w:eastAsia="宋体" w:cs="宋体"/>
      <w:b/>
      <w:bCs/>
      <w:color w:val="FF0000"/>
      <w:sz w:val="24"/>
      <w:szCs w:val="24"/>
      <w:lang w:val="en-US" w:bidi="ar-SA"/>
    </w:rPr>
  </w:style>
  <w:style w:type="paragraph" w:customStyle="1" w:styleId="283">
    <w:name w:val="xl236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6DDE8"/>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4">
    <w:name w:val="xl236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66"/>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5">
    <w:name w:val="xl236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66"/>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6">
    <w:name w:val="xl23617"/>
    <w:basedOn w:val="1"/>
    <w:qFormat/>
    <w:uiPriority w:val="0"/>
    <w:pPr>
      <w:widowControl/>
      <w:autoSpaceDE/>
      <w:autoSpaceDN/>
      <w:spacing w:before="100" w:beforeAutospacing="1" w:after="100" w:afterAutospacing="1"/>
      <w:jc w:val="right"/>
    </w:pPr>
    <w:rPr>
      <w:rFonts w:ascii="宋体" w:hAnsi="宋体" w:eastAsia="宋体" w:cs="宋体"/>
      <w:b/>
      <w:bCs/>
      <w:sz w:val="24"/>
      <w:szCs w:val="24"/>
      <w:lang w:val="en-US" w:bidi="ar-SA"/>
    </w:rPr>
  </w:style>
  <w:style w:type="paragraph" w:customStyle="1" w:styleId="287">
    <w:name w:val="xl236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b/>
      <w:bCs/>
      <w:sz w:val="40"/>
      <w:szCs w:val="40"/>
      <w:lang w:val="en-US" w:bidi="ar-SA"/>
    </w:rPr>
  </w:style>
  <w:style w:type="paragraph" w:customStyle="1" w:styleId="288">
    <w:name w:val="xl236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color w:val="FF0000"/>
      <w:sz w:val="40"/>
      <w:szCs w:val="40"/>
      <w:lang w:val="en-US" w:bidi="ar-SA"/>
    </w:rPr>
  </w:style>
  <w:style w:type="paragraph" w:customStyle="1" w:styleId="289">
    <w:name w:val="xl23620"/>
    <w:basedOn w:val="1"/>
    <w:qFormat/>
    <w:uiPriority w:val="0"/>
    <w:pPr>
      <w:widowControl/>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290">
    <w:name w:val="xl2362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仿宋" w:hAnsi="仿宋" w:eastAsia="仿宋" w:cs="宋体"/>
      <w:color w:val="FF0000"/>
      <w:sz w:val="28"/>
      <w:szCs w:val="28"/>
      <w:lang w:val="en-US" w:bidi="ar-SA"/>
    </w:rPr>
  </w:style>
  <w:style w:type="paragraph" w:customStyle="1" w:styleId="291">
    <w:name w:val="xl2362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color w:val="FF0000"/>
      <w:sz w:val="24"/>
      <w:szCs w:val="24"/>
      <w:lang w:val="en-US" w:bidi="ar-SA"/>
    </w:rPr>
  </w:style>
  <w:style w:type="paragraph" w:customStyle="1" w:styleId="292">
    <w:name w:val="xl2362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color w:val="FF0000"/>
      <w:sz w:val="24"/>
      <w:szCs w:val="24"/>
      <w:lang w:val="en-US" w:bidi="ar-SA"/>
    </w:rPr>
  </w:style>
  <w:style w:type="paragraph" w:customStyle="1" w:styleId="293">
    <w:name w:val="xl23624"/>
    <w:basedOn w:val="1"/>
    <w:qFormat/>
    <w:uiPriority w:val="0"/>
    <w:pPr>
      <w:widowControl/>
      <w:shd w:val="clear" w:color="000000" w:fill="CCFF66"/>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94">
    <w:name w:val="xl23625"/>
    <w:basedOn w:val="1"/>
    <w:qFormat/>
    <w:uiPriority w:val="0"/>
    <w:pPr>
      <w:widowControl/>
      <w:shd w:val="clear" w:color="000000" w:fill="B6DDE8"/>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95">
    <w:name w:val="xl23626"/>
    <w:basedOn w:val="1"/>
    <w:qFormat/>
    <w:uiPriority w:val="0"/>
    <w:pPr>
      <w:widowControl/>
      <w:shd w:val="clear" w:color="000000" w:fill="B6DDE8"/>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96">
    <w:name w:val="xl23627"/>
    <w:basedOn w:val="1"/>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jc w:val="center"/>
    </w:pPr>
    <w:rPr>
      <w:rFonts w:ascii="宋体" w:hAnsi="宋体" w:eastAsia="宋体" w:cs="宋体"/>
      <w:b/>
      <w:bCs/>
      <w:sz w:val="28"/>
      <w:szCs w:val="28"/>
      <w:lang w:val="en-US" w:bidi="ar-SA"/>
    </w:rPr>
  </w:style>
  <w:style w:type="paragraph" w:customStyle="1" w:styleId="297">
    <w:name w:val="xl23628"/>
    <w:basedOn w:val="1"/>
    <w:qFormat/>
    <w:uiPriority w:val="0"/>
    <w:pPr>
      <w:widowControl/>
      <w:pBdr>
        <w:top w:val="single" w:color="000000" w:sz="8" w:space="0"/>
        <w:bottom w:val="single" w:color="000000" w:sz="8" w:space="0"/>
      </w:pBdr>
      <w:autoSpaceDE/>
      <w:autoSpaceDN/>
      <w:spacing w:before="100" w:beforeAutospacing="1" w:after="100" w:afterAutospacing="1"/>
      <w:jc w:val="center"/>
    </w:pPr>
    <w:rPr>
      <w:rFonts w:ascii="宋体" w:hAnsi="宋体" w:eastAsia="宋体" w:cs="宋体"/>
      <w:b/>
      <w:bCs/>
      <w:sz w:val="28"/>
      <w:szCs w:val="28"/>
      <w:lang w:val="en-US" w:bidi="ar-SA"/>
    </w:rPr>
  </w:style>
  <w:style w:type="paragraph" w:customStyle="1" w:styleId="298">
    <w:name w:val="xl23629"/>
    <w:basedOn w:val="1"/>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pPr>
    <w:rPr>
      <w:rFonts w:ascii="宋体" w:hAnsi="宋体" w:eastAsia="宋体" w:cs="宋体"/>
      <w:b/>
      <w:bCs/>
      <w:sz w:val="28"/>
      <w:szCs w:val="28"/>
      <w:lang w:val="en-US" w:bidi="ar-SA"/>
    </w:rPr>
  </w:style>
  <w:style w:type="paragraph" w:customStyle="1" w:styleId="299">
    <w:name w:val="xl4125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300">
    <w:name w:val="xl412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301">
    <w:name w:val="xl4125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302">
    <w:name w:val="xl4125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303">
    <w:name w:val="xl4125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304">
    <w:name w:val="xl4125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305">
    <w:name w:val="xl412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楷体" w:hAnsi="楷体" w:eastAsia="楷体" w:cs="宋体"/>
      <w:sz w:val="24"/>
      <w:szCs w:val="24"/>
      <w:lang w:val="en-US" w:bidi="ar-SA"/>
    </w:rPr>
  </w:style>
  <w:style w:type="character" w:customStyle="1" w:styleId="306">
    <w:name w:val="font151"/>
    <w:basedOn w:val="42"/>
    <w:qFormat/>
    <w:uiPriority w:val="0"/>
    <w:rPr>
      <w:rFonts w:hint="eastAsia" w:ascii="宋体" w:hAnsi="宋体" w:eastAsia="宋体" w:cs="宋体"/>
      <w:color w:val="000000"/>
      <w:sz w:val="20"/>
      <w:szCs w:val="20"/>
      <w:u w:val="none"/>
    </w:rPr>
  </w:style>
  <w:style w:type="character" w:customStyle="1" w:styleId="307">
    <w:name w:val="font181"/>
    <w:basedOn w:val="42"/>
    <w:qFormat/>
    <w:uiPriority w:val="0"/>
    <w:rPr>
      <w:rFonts w:hint="eastAsia" w:ascii="宋体" w:hAnsi="宋体" w:eastAsia="宋体" w:cs="宋体"/>
      <w:color w:val="FF0000"/>
      <w:sz w:val="20"/>
      <w:szCs w:val="20"/>
      <w:u w:val="none"/>
    </w:rPr>
  </w:style>
  <w:style w:type="paragraph" w:customStyle="1" w:styleId="308">
    <w:name w:val="正文 New New New New New New New New New New New New New New New New New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30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列表段落1"/>
    <w:basedOn w:val="1"/>
    <w:qFormat/>
    <w:uiPriority w:val="34"/>
    <w:pPr>
      <w:ind w:firstLine="420" w:firstLineChars="200"/>
    </w:pPr>
  </w:style>
  <w:style w:type="paragraph" w:customStyle="1" w:styleId="311">
    <w:name w:val="标准文本"/>
    <w:basedOn w:val="1"/>
    <w:qFormat/>
    <w:uiPriority w:val="0"/>
    <w:pPr>
      <w:spacing w:line="360" w:lineRule="auto"/>
      <w:ind w:firstLine="480" w:firstLineChars="200"/>
    </w:pPr>
    <w:rPr>
      <w:rFonts w:ascii="Times New Roman" w:hAnsi="Times New Roman"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20E78-B2B1-4BD0-BDD6-95FB799C293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80</Pages>
  <Words>6611</Words>
  <Characters>37686</Characters>
  <Lines>314</Lines>
  <Paragraphs>88</Paragraphs>
  <TotalTime>28</TotalTime>
  <ScaleCrop>false</ScaleCrop>
  <LinksUpToDate>false</LinksUpToDate>
  <CharactersWithSpaces>44209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2019-06-12T07:25:00Z</dcterms:created>
  <dc:creator>Administrator</dc:creator>
  <cp:lastModifiedBy>Administrator</cp:lastModifiedBy>
  <cp:lastPrinted>2020-06-01T09:43:00Z</cp:lastPrinted>
  <dcterms:modified xsi:type="dcterms:W3CDTF">2021-08-03T08:12:46Z</dcterms:modified>
  <cp:revision>907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2010</vt:lpwstr>
  </property>
  <property fmtid="{D5CDD505-2E9C-101B-9397-08002B2CF9AE}" pid="4" name="LastSaved">
    <vt:filetime>2019-01-26T00:00:00Z</vt:filetime>
  </property>
  <property fmtid="{D5CDD505-2E9C-101B-9397-08002B2CF9AE}" pid="5" name="KSOProductBuildVer">
    <vt:lpwstr>2052-11.1.0.10503</vt:lpwstr>
  </property>
  <property fmtid="{D5CDD505-2E9C-101B-9397-08002B2CF9AE}" pid="6" name="ICV">
    <vt:lpwstr>131B244C8A904922B6B594F90C879E6E</vt:lpwstr>
  </property>
</Properties>
</file>