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48"/>
          <w:szCs w:val="48"/>
          <w:highlight w:val="none"/>
          <w:lang w:eastAsia="zh-CN"/>
        </w:rPr>
      </w:pPr>
      <w:r>
        <w:rPr>
          <w:rFonts w:hint="eastAsia" w:ascii="宋体" w:hAnsi="宋体" w:eastAsia="宋体" w:cs="宋体"/>
          <w:b/>
          <w:sz w:val="48"/>
          <w:szCs w:val="48"/>
          <w:highlight w:val="none"/>
          <w:lang w:val="en-US" w:eastAsia="zh-CN"/>
        </w:rPr>
        <w:t>库尔勒市第二人民医院医疗设备采购招标</w:t>
      </w:r>
      <w:r>
        <w:rPr>
          <w:rFonts w:hint="eastAsia" w:ascii="宋体" w:hAnsi="宋体" w:eastAsia="宋体" w:cs="宋体"/>
          <w:b/>
          <w:sz w:val="48"/>
          <w:szCs w:val="48"/>
          <w:highlight w:val="none"/>
          <w:lang w:eastAsia="zh-CN"/>
        </w:rPr>
        <w:t>项目</w:t>
      </w:r>
    </w:p>
    <w:p>
      <w:pPr>
        <w:spacing w:line="360" w:lineRule="auto"/>
        <w:jc w:val="center"/>
        <w:rPr>
          <w:rFonts w:hint="eastAsia" w:ascii="宋体" w:hAnsi="宋体" w:eastAsia="宋体" w:cs="宋体"/>
          <w:b/>
          <w:sz w:val="40"/>
          <w:szCs w:val="40"/>
          <w:highlight w:val="none"/>
          <w:lang w:val="en-US" w:eastAsia="zh-CN"/>
        </w:rPr>
      </w:pPr>
      <w:r>
        <w:rPr>
          <w:rFonts w:hint="eastAsia" w:ascii="宋体" w:hAnsi="宋体" w:cs="宋体"/>
          <w:b/>
          <w:sz w:val="40"/>
          <w:szCs w:val="40"/>
          <w:highlight w:val="none"/>
          <w:lang w:eastAsia="zh-CN"/>
        </w:rPr>
        <w:t>项目</w:t>
      </w:r>
      <w:r>
        <w:rPr>
          <w:rFonts w:hint="eastAsia" w:ascii="宋体" w:hAnsi="宋体" w:eastAsia="宋体" w:cs="宋体"/>
          <w:b/>
          <w:sz w:val="40"/>
          <w:szCs w:val="40"/>
          <w:highlight w:val="none"/>
        </w:rPr>
        <w:t>编号：</w:t>
      </w:r>
      <w:r>
        <w:rPr>
          <w:rFonts w:hint="eastAsia" w:ascii="宋体" w:hAnsi="宋体" w:eastAsia="宋体" w:cs="宋体"/>
          <w:b/>
          <w:sz w:val="40"/>
          <w:szCs w:val="40"/>
          <w:highlight w:val="none"/>
          <w:lang w:val="en-US" w:eastAsia="zh-CN"/>
        </w:rPr>
        <w:t>MZCZ01-2021001</w:t>
      </w:r>
    </w:p>
    <w:p>
      <w:pPr>
        <w:spacing w:line="360" w:lineRule="auto"/>
        <w:jc w:val="both"/>
        <w:outlineLvl w:val="0"/>
        <w:rPr>
          <w:rFonts w:hint="eastAsia" w:ascii="宋体" w:hAnsi="宋体" w:eastAsia="宋体" w:cs="宋体"/>
          <w:b/>
          <w:sz w:val="24"/>
          <w:szCs w:val="24"/>
          <w:highlight w:val="none"/>
        </w:rPr>
      </w:pPr>
    </w:p>
    <w:p>
      <w:pPr>
        <w:spacing w:line="360" w:lineRule="auto"/>
        <w:jc w:val="center"/>
        <w:outlineLvl w:val="0"/>
        <w:rPr>
          <w:rFonts w:hint="eastAsia" w:ascii="宋体" w:hAnsi="宋体" w:eastAsia="宋体" w:cs="宋体"/>
          <w:b/>
          <w:sz w:val="24"/>
          <w:szCs w:val="24"/>
          <w:highlight w:val="none"/>
        </w:rPr>
      </w:pPr>
    </w:p>
    <w:p>
      <w:pPr>
        <w:pStyle w:val="5"/>
        <w:spacing w:line="360" w:lineRule="auto"/>
        <w:rPr>
          <w:rFonts w:hint="eastAsia" w:ascii="宋体" w:hAnsi="宋体" w:eastAsia="宋体" w:cs="宋体"/>
          <w:sz w:val="24"/>
          <w:szCs w:val="24"/>
          <w:highlight w:val="none"/>
        </w:rPr>
      </w:pPr>
    </w:p>
    <w:p>
      <w:pPr>
        <w:spacing w:line="360" w:lineRule="auto"/>
        <w:jc w:val="center"/>
        <w:rPr>
          <w:rFonts w:hint="eastAsia" w:ascii="宋体" w:hAnsi="宋体" w:eastAsia="宋体" w:cs="宋体"/>
          <w:b/>
          <w:sz w:val="40"/>
          <w:szCs w:val="40"/>
          <w:highlight w:val="none"/>
        </w:rPr>
      </w:pPr>
    </w:p>
    <w:p>
      <w:pPr>
        <w:pStyle w:val="19"/>
        <w:spacing w:line="360" w:lineRule="auto"/>
        <w:jc w:val="center"/>
        <w:rPr>
          <w:rFonts w:hint="eastAsia" w:ascii="宋体" w:hAnsi="宋体" w:eastAsia="宋体" w:cs="宋体"/>
          <w:b/>
          <w:color w:val="auto"/>
          <w:spacing w:val="14"/>
          <w:kern w:val="2"/>
          <w:sz w:val="44"/>
          <w:szCs w:val="44"/>
          <w:highlight w:val="none"/>
        </w:rPr>
      </w:pPr>
      <w:r>
        <w:rPr>
          <w:rFonts w:hint="eastAsia" w:ascii="宋体" w:hAnsi="宋体" w:eastAsia="宋体" w:cs="宋体"/>
          <w:b/>
          <w:sz w:val="72"/>
          <w:szCs w:val="72"/>
          <w:highlight w:val="none"/>
        </w:rPr>
        <w:t>招标文件</w:t>
      </w:r>
    </w:p>
    <w:p>
      <w:pPr>
        <w:pStyle w:val="19"/>
        <w:spacing w:line="360" w:lineRule="auto"/>
        <w:jc w:val="center"/>
        <w:rPr>
          <w:rFonts w:hint="eastAsia" w:ascii="宋体" w:hAnsi="宋体" w:eastAsia="宋体" w:cs="宋体"/>
          <w:b/>
          <w:color w:val="auto"/>
          <w:spacing w:val="14"/>
          <w:kern w:val="2"/>
          <w:sz w:val="24"/>
          <w:szCs w:val="24"/>
          <w:highlight w:val="none"/>
        </w:rPr>
      </w:pPr>
    </w:p>
    <w:p>
      <w:pPr>
        <w:pStyle w:val="19"/>
        <w:spacing w:line="360" w:lineRule="auto"/>
        <w:jc w:val="center"/>
        <w:rPr>
          <w:rFonts w:hint="eastAsia" w:ascii="宋体" w:hAnsi="宋体" w:eastAsia="宋体" w:cs="宋体"/>
          <w:b/>
          <w:color w:val="auto"/>
          <w:spacing w:val="14"/>
          <w:kern w:val="2"/>
          <w:sz w:val="24"/>
          <w:szCs w:val="24"/>
          <w:highlight w:val="none"/>
        </w:rPr>
      </w:pPr>
    </w:p>
    <w:p>
      <w:pPr>
        <w:pStyle w:val="19"/>
        <w:spacing w:line="360" w:lineRule="auto"/>
        <w:jc w:val="center"/>
        <w:rPr>
          <w:rFonts w:hint="eastAsia" w:ascii="宋体" w:hAnsi="宋体" w:eastAsia="宋体" w:cs="宋体"/>
          <w:b/>
          <w:color w:val="auto"/>
          <w:spacing w:val="14"/>
          <w:kern w:val="2"/>
          <w:sz w:val="24"/>
          <w:szCs w:val="24"/>
          <w:highlight w:val="none"/>
        </w:rPr>
      </w:pPr>
    </w:p>
    <w:p>
      <w:pPr>
        <w:pStyle w:val="19"/>
        <w:spacing w:line="360" w:lineRule="auto"/>
        <w:jc w:val="center"/>
        <w:rPr>
          <w:rFonts w:hint="eastAsia" w:ascii="宋体" w:hAnsi="宋体" w:eastAsia="宋体" w:cs="宋体"/>
          <w:b/>
          <w:color w:val="auto"/>
          <w:spacing w:val="14"/>
          <w:kern w:val="2"/>
          <w:sz w:val="24"/>
          <w:szCs w:val="24"/>
          <w:highlight w:val="none"/>
        </w:rPr>
      </w:pPr>
    </w:p>
    <w:p>
      <w:pPr>
        <w:pStyle w:val="19"/>
        <w:spacing w:line="360" w:lineRule="auto"/>
        <w:ind w:firstLine="643" w:firstLineChars="200"/>
        <w:jc w:val="both"/>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采</w:t>
      </w:r>
      <w:r>
        <w:rPr>
          <w:rFonts w:hint="eastAsia" w:ascii="宋体" w:hAnsi="宋体" w:eastAsia="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购</w:t>
      </w:r>
      <w:r>
        <w:rPr>
          <w:rFonts w:hint="eastAsia" w:ascii="宋体" w:hAnsi="宋体" w:eastAsia="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人 ：库尔勒市第二人民医院</w:t>
      </w:r>
    </w:p>
    <w:p>
      <w:pPr>
        <w:pStyle w:val="19"/>
        <w:spacing w:line="360" w:lineRule="auto"/>
        <w:ind w:firstLine="643" w:firstLineChars="200"/>
        <w:jc w:val="both"/>
        <w:rPr>
          <w:rFonts w:hint="eastAsia" w:ascii="宋体" w:hAnsi="宋体" w:eastAsia="宋体" w:cs="宋体"/>
          <w:b/>
          <w:color w:val="auto"/>
          <w:kern w:val="2"/>
          <w:sz w:val="32"/>
          <w:szCs w:val="32"/>
          <w:highlight w:val="none"/>
        </w:rPr>
      </w:pPr>
    </w:p>
    <w:p>
      <w:pPr>
        <w:pStyle w:val="19"/>
        <w:spacing w:line="360" w:lineRule="auto"/>
        <w:ind w:firstLine="643" w:firstLineChars="200"/>
        <w:jc w:val="both"/>
        <w:rPr>
          <w:rFonts w:hint="eastAsia" w:ascii="宋体" w:hAnsi="宋体" w:eastAsia="宋体" w:cs="宋体"/>
          <w:b/>
          <w:color w:val="auto"/>
          <w:kern w:val="2"/>
          <w:sz w:val="32"/>
          <w:szCs w:val="32"/>
          <w:highlight w:val="none"/>
        </w:rPr>
      </w:pPr>
    </w:p>
    <w:p>
      <w:pPr>
        <w:pStyle w:val="19"/>
        <w:spacing w:line="360" w:lineRule="auto"/>
        <w:ind w:firstLine="643" w:firstLineChars="200"/>
        <w:jc w:val="both"/>
        <w:rPr>
          <w:rFonts w:hint="eastAsia" w:ascii="宋体" w:hAnsi="宋体" w:eastAsia="宋体" w:cs="宋体"/>
          <w:b/>
          <w:color w:val="auto"/>
          <w:kern w:val="2"/>
          <w:sz w:val="32"/>
          <w:szCs w:val="32"/>
          <w:highlight w:val="none"/>
        </w:rPr>
      </w:pPr>
    </w:p>
    <w:p>
      <w:pPr>
        <w:pStyle w:val="19"/>
        <w:spacing w:line="360" w:lineRule="auto"/>
        <w:ind w:firstLine="643" w:firstLineChars="200"/>
        <w:jc w:val="both"/>
        <w:rPr>
          <w:rFonts w:hint="eastAsia" w:ascii="宋体" w:hAnsi="宋体" w:eastAsia="宋体" w:cs="宋体"/>
          <w:b/>
          <w:color w:val="auto"/>
          <w:kern w:val="2"/>
          <w:sz w:val="32"/>
          <w:szCs w:val="32"/>
          <w:highlight w:val="none"/>
          <w:lang w:eastAsia="zh-CN"/>
        </w:rPr>
      </w:pPr>
      <w:r>
        <w:rPr>
          <w:rFonts w:hint="eastAsia" w:ascii="宋体" w:hAnsi="宋体" w:eastAsia="宋体" w:cs="宋体"/>
          <w:b/>
          <w:color w:val="auto"/>
          <w:kern w:val="2"/>
          <w:sz w:val="32"/>
          <w:szCs w:val="32"/>
          <w:highlight w:val="none"/>
        </w:rPr>
        <w:t>招标代理机构：</w:t>
      </w:r>
      <w:r>
        <w:rPr>
          <w:rFonts w:hint="eastAsia" w:ascii="宋体" w:hAnsi="宋体" w:eastAsia="宋体" w:cs="宋体"/>
          <w:b/>
          <w:color w:val="auto"/>
          <w:kern w:val="2"/>
          <w:sz w:val="32"/>
          <w:szCs w:val="32"/>
          <w:highlight w:val="none"/>
          <w:lang w:eastAsia="zh-CN"/>
        </w:rPr>
        <w:t>福建省闽咨造价咨询有限公司新疆分公司</w:t>
      </w:r>
    </w:p>
    <w:p>
      <w:pPr>
        <w:spacing w:line="360" w:lineRule="auto"/>
        <w:jc w:val="both"/>
        <w:rPr>
          <w:rFonts w:hint="eastAsia" w:ascii="宋体" w:hAnsi="宋体" w:eastAsia="宋体" w:cs="宋体"/>
          <w:b/>
          <w:sz w:val="32"/>
          <w:szCs w:val="32"/>
          <w:highlight w:val="none"/>
        </w:rPr>
      </w:pPr>
    </w:p>
    <w:p>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二〇二</w:t>
      </w:r>
      <w:r>
        <w:rPr>
          <w:rFonts w:hint="eastAsia" w:ascii="宋体" w:hAnsi="宋体" w:eastAsia="宋体" w:cs="宋体"/>
          <w:b/>
          <w:sz w:val="32"/>
          <w:szCs w:val="32"/>
          <w:highlight w:val="none"/>
          <w:lang w:eastAsia="zh-CN"/>
        </w:rPr>
        <w:t>一</w:t>
      </w:r>
      <w:r>
        <w:rPr>
          <w:rFonts w:hint="eastAsia" w:ascii="宋体" w:hAnsi="宋体" w:eastAsia="宋体" w:cs="宋体"/>
          <w:b/>
          <w:sz w:val="32"/>
          <w:szCs w:val="32"/>
          <w:highlight w:val="none"/>
        </w:rPr>
        <w:t>年</w:t>
      </w:r>
      <w:r>
        <w:rPr>
          <w:rFonts w:hint="eastAsia" w:ascii="宋体" w:hAnsi="宋体" w:cs="宋体"/>
          <w:b/>
          <w:sz w:val="32"/>
          <w:szCs w:val="32"/>
          <w:highlight w:val="none"/>
          <w:lang w:eastAsia="zh-CN"/>
        </w:rPr>
        <w:t>八</w:t>
      </w:r>
      <w:r>
        <w:rPr>
          <w:rFonts w:hint="eastAsia" w:ascii="宋体" w:hAnsi="宋体" w:eastAsia="宋体" w:cs="宋体"/>
          <w:b/>
          <w:sz w:val="32"/>
          <w:szCs w:val="32"/>
          <w:highlight w:val="none"/>
        </w:rPr>
        <w:t>月</w:t>
      </w:r>
    </w:p>
    <w:p>
      <w:pPr>
        <w:spacing w:line="360" w:lineRule="auto"/>
        <w:rPr>
          <w:rFonts w:hint="eastAsia" w:ascii="宋体" w:hAnsi="宋体" w:eastAsia="宋体" w:cs="宋体"/>
          <w:sz w:val="24"/>
          <w:szCs w:val="24"/>
          <w:highlight w:val="none"/>
        </w:rPr>
      </w:pPr>
    </w:p>
    <w:p>
      <w:pPr>
        <w:pStyle w:val="5"/>
        <w:spacing w:line="360" w:lineRule="auto"/>
        <w:rPr>
          <w:rFonts w:hint="eastAsia" w:ascii="宋体" w:hAnsi="宋体" w:eastAsia="宋体" w:cs="宋体"/>
          <w:sz w:val="24"/>
          <w:szCs w:val="24"/>
          <w:highlight w:val="none"/>
        </w:rPr>
      </w:pPr>
    </w:p>
    <w:p>
      <w:pPr>
        <w:pStyle w:val="5"/>
        <w:spacing w:line="360" w:lineRule="auto"/>
        <w:rPr>
          <w:rFonts w:hint="eastAsia" w:ascii="宋体" w:hAnsi="宋体" w:eastAsia="宋体" w:cs="宋体"/>
          <w:sz w:val="24"/>
          <w:szCs w:val="24"/>
          <w:highlight w:val="none"/>
        </w:rPr>
      </w:pPr>
    </w:p>
    <w:p>
      <w:pPr>
        <w:pStyle w:val="5"/>
        <w:spacing w:line="360" w:lineRule="auto"/>
        <w:rPr>
          <w:rFonts w:hint="eastAsia" w:ascii="宋体" w:hAnsi="宋体" w:eastAsia="宋体" w:cs="宋体"/>
          <w:sz w:val="24"/>
          <w:szCs w:val="24"/>
          <w:highlight w:val="none"/>
        </w:rPr>
      </w:pPr>
    </w:p>
    <w:p>
      <w:pPr>
        <w:pStyle w:val="5"/>
        <w:spacing w:line="360" w:lineRule="auto"/>
        <w:rPr>
          <w:rFonts w:hint="eastAsia" w:ascii="宋体" w:hAnsi="宋体" w:eastAsia="宋体" w:cs="宋体"/>
          <w:sz w:val="24"/>
          <w:szCs w:val="24"/>
          <w:highlight w:val="none"/>
        </w:rPr>
      </w:pPr>
    </w:p>
    <w:p>
      <w:pPr>
        <w:pStyle w:val="5"/>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pStyle w:val="9"/>
        <w:spacing w:line="360" w:lineRule="auto"/>
        <w:rPr>
          <w:rFonts w:hint="eastAsia" w:ascii="宋体" w:hAnsi="宋体" w:eastAsia="宋体" w:cs="宋体"/>
          <w:sz w:val="24"/>
          <w:szCs w:val="24"/>
          <w:highlight w:val="none"/>
        </w:rPr>
      </w:pPr>
    </w:p>
    <w:p>
      <w:pPr>
        <w:pStyle w:val="9"/>
        <w:spacing w:line="360" w:lineRule="auto"/>
        <w:rPr>
          <w:rFonts w:hint="eastAsia" w:ascii="宋体" w:hAnsi="宋体" w:eastAsia="宋体" w:cs="宋体"/>
          <w:sz w:val="24"/>
          <w:szCs w:val="24"/>
          <w:highlight w:val="none"/>
        </w:rPr>
        <w:sectPr>
          <w:headerReference r:id="rId5" w:type="first"/>
          <w:headerReference r:id="rId3" w:type="default"/>
          <w:footerReference r:id="rId6" w:type="default"/>
          <w:headerReference r:id="rId4" w:type="even"/>
          <w:footerReference r:id="rId7" w:type="even"/>
          <w:pgSz w:w="11906" w:h="16838"/>
          <w:pgMar w:top="1134" w:right="1134" w:bottom="1134" w:left="1134" w:header="851" w:footer="992" w:gutter="0"/>
          <w:pgNumType w:start="1"/>
          <w:cols w:space="720" w:num="1"/>
          <w:docGrid w:type="lines" w:linePitch="333" w:charSpace="0"/>
        </w:sectPr>
      </w:pPr>
    </w:p>
    <w:p>
      <w:pPr>
        <w:pStyle w:val="9"/>
        <w:spacing w:line="360" w:lineRule="auto"/>
        <w:rPr>
          <w:rFonts w:hint="eastAsia" w:ascii="宋体" w:hAnsi="宋体" w:eastAsia="宋体" w:cs="宋体"/>
          <w:sz w:val="24"/>
          <w:szCs w:val="24"/>
          <w:highlight w:val="none"/>
        </w:rPr>
      </w:pPr>
      <w:r>
        <w:rPr>
          <w:rFonts w:hint="eastAsia" w:ascii="宋体" w:hAnsi="宋体" w:eastAsia="宋体" w:cs="宋体"/>
          <w:sz w:val="32"/>
          <w:szCs w:val="32"/>
          <w:highlight w:val="none"/>
        </w:rPr>
        <w:t>目  录</w:t>
      </w:r>
    </w:p>
    <w:p>
      <w:pPr>
        <w:pStyle w:val="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Style w:val="18"/>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sz w:val="24"/>
          <w:szCs w:val="24"/>
          <w:highlight w:val="none"/>
        </w:rPr>
        <w:fldChar w:fldCharType="separate"/>
      </w:r>
      <w:r>
        <w:rPr>
          <w:rStyle w:val="18"/>
          <w:rFonts w:hint="eastAsia" w:ascii="宋体" w:hAnsi="宋体" w:eastAsia="宋体" w:cs="宋体"/>
          <w:color w:val="auto"/>
          <w:sz w:val="24"/>
          <w:szCs w:val="24"/>
          <w:highlight w:val="none"/>
        </w:rPr>
        <w:fldChar w:fldCharType="begin"/>
      </w:r>
      <w:r>
        <w:rPr>
          <w:rStyle w:val="18"/>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"_Toc64918998"</w:instrText>
      </w:r>
      <w:r>
        <w:rPr>
          <w:rStyle w:val="18"/>
          <w:rFonts w:hint="eastAsia" w:ascii="宋体" w:hAnsi="宋体" w:eastAsia="宋体" w:cs="宋体"/>
          <w:color w:val="auto"/>
          <w:sz w:val="24"/>
          <w:szCs w:val="24"/>
          <w:highlight w:val="none"/>
        </w:rPr>
        <w:instrText xml:space="preserve"> </w:instrText>
      </w:r>
      <w:r>
        <w:rPr>
          <w:rStyle w:val="18"/>
          <w:rFonts w:hint="eastAsia" w:ascii="宋体" w:hAnsi="宋体" w:eastAsia="宋体" w:cs="宋体"/>
          <w:color w:val="auto"/>
          <w:sz w:val="24"/>
          <w:szCs w:val="24"/>
          <w:highlight w:val="none"/>
        </w:rPr>
        <w:fldChar w:fldCharType="separate"/>
      </w:r>
      <w:r>
        <w:rPr>
          <w:rStyle w:val="18"/>
          <w:rFonts w:hint="eastAsia" w:ascii="宋体" w:hAnsi="宋体" w:eastAsia="宋体" w:cs="宋体"/>
          <w:color w:val="auto"/>
          <w:sz w:val="24"/>
          <w:szCs w:val="24"/>
          <w:highlight w:val="none"/>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_Toc64918998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Style w:val="18"/>
          <w:rFonts w:hint="eastAsia" w:ascii="宋体" w:hAnsi="宋体" w:eastAsia="宋体" w:cs="宋体"/>
          <w:color w:val="auto"/>
          <w:sz w:val="24"/>
          <w:szCs w:val="24"/>
          <w:highlight w:val="none"/>
        </w:rPr>
        <w:fldChar w:fldCharType="end"/>
      </w:r>
    </w:p>
    <w:p>
      <w:pPr>
        <w:pStyle w:val="9"/>
        <w:spacing w:line="360" w:lineRule="auto"/>
        <w:rPr>
          <w:rFonts w:hint="eastAsia" w:ascii="宋体" w:hAnsi="宋体" w:eastAsia="宋体" w:cs="宋体"/>
          <w:sz w:val="24"/>
          <w:szCs w:val="24"/>
          <w:highlight w:val="none"/>
        </w:rPr>
      </w:pPr>
      <w:r>
        <w:rPr>
          <w:rStyle w:val="18"/>
          <w:rFonts w:hint="eastAsia" w:ascii="宋体" w:hAnsi="宋体" w:eastAsia="宋体" w:cs="宋体"/>
          <w:color w:val="auto"/>
          <w:sz w:val="24"/>
          <w:szCs w:val="24"/>
          <w:highlight w:val="none"/>
        </w:rPr>
        <w:fldChar w:fldCharType="begin"/>
      </w:r>
      <w:r>
        <w:rPr>
          <w:rStyle w:val="18"/>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"_Toc64918999"</w:instrText>
      </w:r>
      <w:r>
        <w:rPr>
          <w:rStyle w:val="18"/>
          <w:rFonts w:hint="eastAsia" w:ascii="宋体" w:hAnsi="宋体" w:eastAsia="宋体" w:cs="宋体"/>
          <w:color w:val="auto"/>
          <w:sz w:val="24"/>
          <w:szCs w:val="24"/>
          <w:highlight w:val="none"/>
        </w:rPr>
        <w:instrText xml:space="preserve"> </w:instrText>
      </w:r>
      <w:r>
        <w:rPr>
          <w:rStyle w:val="18"/>
          <w:rFonts w:hint="eastAsia" w:ascii="宋体" w:hAnsi="宋体" w:eastAsia="宋体" w:cs="宋体"/>
          <w:color w:val="auto"/>
          <w:sz w:val="24"/>
          <w:szCs w:val="24"/>
          <w:highlight w:val="none"/>
        </w:rPr>
        <w:fldChar w:fldCharType="separate"/>
      </w:r>
      <w:r>
        <w:rPr>
          <w:rStyle w:val="18"/>
          <w:rFonts w:hint="eastAsia" w:ascii="宋体" w:hAnsi="宋体" w:eastAsia="宋体" w:cs="宋体"/>
          <w:color w:val="auto"/>
          <w:sz w:val="24"/>
          <w:szCs w:val="24"/>
          <w:highlight w:val="none"/>
        </w:rPr>
        <w:t>第一部分</w:t>
      </w:r>
      <w:r>
        <w:rPr>
          <w:rStyle w:val="18"/>
          <w:rFonts w:hint="eastAsia" w:ascii="宋体" w:hAnsi="宋体" w:eastAsia="宋体" w:cs="宋体"/>
          <w:color w:val="auto"/>
          <w:sz w:val="24"/>
          <w:szCs w:val="24"/>
          <w:highlight w:val="none"/>
          <w:lang w:val="en-US" w:eastAsia="zh-CN"/>
        </w:rPr>
        <w:t xml:space="preserve"> </w:t>
      </w:r>
      <w:r>
        <w:rPr>
          <w:rStyle w:val="18"/>
          <w:rFonts w:hint="eastAsia" w:ascii="宋体" w:hAnsi="宋体" w:eastAsia="宋体" w:cs="宋体"/>
          <w:color w:val="auto"/>
          <w:sz w:val="24"/>
          <w:szCs w:val="24"/>
          <w:highlight w:val="none"/>
        </w:rPr>
        <w:t xml:space="preserve"> 投标须知</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4</w:t>
      </w:r>
      <w:r>
        <w:rPr>
          <w:rStyle w:val="18"/>
          <w:rFonts w:hint="eastAsia" w:ascii="宋体" w:hAnsi="宋体" w:eastAsia="宋体" w:cs="宋体"/>
          <w:color w:val="auto"/>
          <w:sz w:val="24"/>
          <w:szCs w:val="24"/>
          <w:highlight w:val="none"/>
        </w:rPr>
        <w:fldChar w:fldCharType="end"/>
      </w:r>
    </w:p>
    <w:p>
      <w:pPr>
        <w:pStyle w:val="9"/>
        <w:spacing w:line="360" w:lineRule="auto"/>
        <w:rPr>
          <w:rFonts w:hint="eastAsia" w:ascii="宋体" w:hAnsi="宋体" w:eastAsia="宋体" w:cs="宋体"/>
          <w:sz w:val="24"/>
          <w:szCs w:val="24"/>
          <w:highlight w:val="none"/>
          <w:lang w:val="en-US" w:eastAsia="zh-CN"/>
        </w:rPr>
      </w:pPr>
      <w:r>
        <w:rPr>
          <w:rStyle w:val="18"/>
          <w:rFonts w:hint="eastAsia" w:ascii="宋体" w:hAnsi="宋体" w:eastAsia="宋体" w:cs="宋体"/>
          <w:color w:val="auto"/>
          <w:sz w:val="24"/>
          <w:szCs w:val="24"/>
          <w:highlight w:val="none"/>
        </w:rPr>
        <w:fldChar w:fldCharType="begin"/>
      </w:r>
      <w:r>
        <w:rPr>
          <w:rStyle w:val="18"/>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"_Toc64919000"</w:instrText>
      </w:r>
      <w:r>
        <w:rPr>
          <w:rStyle w:val="18"/>
          <w:rFonts w:hint="eastAsia" w:ascii="宋体" w:hAnsi="宋体" w:eastAsia="宋体" w:cs="宋体"/>
          <w:color w:val="auto"/>
          <w:sz w:val="24"/>
          <w:szCs w:val="24"/>
          <w:highlight w:val="none"/>
        </w:rPr>
        <w:instrText xml:space="preserve"> </w:instrText>
      </w:r>
      <w:r>
        <w:rPr>
          <w:rStyle w:val="18"/>
          <w:rFonts w:hint="eastAsia" w:ascii="宋体" w:hAnsi="宋体" w:eastAsia="宋体" w:cs="宋体"/>
          <w:color w:val="auto"/>
          <w:sz w:val="24"/>
          <w:szCs w:val="24"/>
          <w:highlight w:val="none"/>
        </w:rPr>
        <w:fldChar w:fldCharType="separate"/>
      </w:r>
      <w:r>
        <w:rPr>
          <w:rStyle w:val="18"/>
          <w:rFonts w:hint="eastAsia" w:ascii="宋体" w:hAnsi="宋体" w:eastAsia="宋体" w:cs="宋体"/>
          <w:color w:val="auto"/>
          <w:sz w:val="24"/>
          <w:szCs w:val="24"/>
          <w:highlight w:val="none"/>
        </w:rPr>
        <w:t xml:space="preserve">第二部分 </w:t>
      </w:r>
      <w:r>
        <w:rPr>
          <w:rStyle w:val="18"/>
          <w:rFonts w:hint="eastAsia" w:ascii="宋体" w:hAnsi="宋体" w:eastAsia="宋体" w:cs="宋体"/>
          <w:color w:val="auto"/>
          <w:sz w:val="24"/>
          <w:szCs w:val="24"/>
          <w:highlight w:val="none"/>
          <w:lang w:val="en-US" w:eastAsia="zh-CN"/>
        </w:rPr>
        <w:t xml:space="preserve"> </w:t>
      </w:r>
      <w:r>
        <w:rPr>
          <w:rStyle w:val="18"/>
          <w:rFonts w:hint="eastAsia" w:ascii="宋体" w:hAnsi="宋体" w:eastAsia="宋体" w:cs="宋体"/>
          <w:color w:val="auto"/>
          <w:sz w:val="24"/>
          <w:szCs w:val="24"/>
          <w:highlight w:val="none"/>
        </w:rPr>
        <w:t>招标说明</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Style w:val="18"/>
          <w:rFonts w:hint="eastAsia" w:ascii="宋体" w:hAnsi="宋体" w:eastAsia="宋体" w:cs="宋体"/>
          <w:color w:val="auto"/>
          <w:sz w:val="24"/>
          <w:szCs w:val="24"/>
          <w:highlight w:val="none"/>
        </w:rPr>
        <w:fldChar w:fldCharType="end"/>
      </w:r>
      <w:r>
        <w:rPr>
          <w:rStyle w:val="18"/>
          <w:rFonts w:hint="eastAsia" w:ascii="宋体" w:hAnsi="宋体" w:eastAsia="宋体" w:cs="宋体"/>
          <w:color w:val="auto"/>
          <w:sz w:val="24"/>
          <w:szCs w:val="24"/>
          <w:highlight w:val="none"/>
          <w:lang w:val="en-US" w:eastAsia="zh-CN"/>
        </w:rPr>
        <w:t>5</w:t>
      </w:r>
    </w:p>
    <w:p>
      <w:pPr>
        <w:pStyle w:val="10"/>
        <w:spacing w:line="360" w:lineRule="auto"/>
        <w:rPr>
          <w:rFonts w:hint="eastAsia" w:ascii="宋体" w:hAnsi="宋体" w:eastAsia="宋体" w:cs="宋体"/>
          <w:b/>
          <w:sz w:val="24"/>
          <w:szCs w:val="24"/>
          <w:highlight w:val="none"/>
          <w:lang w:val="en-US" w:eastAsia="zh-CN"/>
        </w:rPr>
      </w:pPr>
      <w:r>
        <w:rPr>
          <w:rStyle w:val="18"/>
          <w:rFonts w:hint="eastAsia" w:ascii="宋体" w:hAnsi="宋体" w:eastAsia="宋体" w:cs="宋体"/>
          <w:b/>
          <w:color w:val="auto"/>
          <w:sz w:val="24"/>
          <w:szCs w:val="24"/>
          <w:highlight w:val="none"/>
        </w:rPr>
        <w:fldChar w:fldCharType="begin"/>
      </w:r>
      <w:r>
        <w:rPr>
          <w:rStyle w:val="18"/>
          <w:rFonts w:hint="eastAsia" w:ascii="宋体" w:hAnsi="宋体" w:eastAsia="宋体" w:cs="宋体"/>
          <w:b/>
          <w:color w:val="auto"/>
          <w:sz w:val="24"/>
          <w:szCs w:val="24"/>
          <w:highlight w:val="none"/>
        </w:rPr>
        <w:instrText xml:space="preserve"> </w:instrText>
      </w:r>
      <w:r>
        <w:rPr>
          <w:rFonts w:hint="eastAsia" w:ascii="宋体" w:hAnsi="宋体" w:eastAsia="宋体" w:cs="宋体"/>
          <w:b/>
          <w:sz w:val="24"/>
          <w:szCs w:val="24"/>
          <w:highlight w:val="none"/>
        </w:rPr>
        <w:instrText xml:space="preserve">HYPERLINK \l "_Toc64919001"</w:instrText>
      </w:r>
      <w:r>
        <w:rPr>
          <w:rStyle w:val="18"/>
          <w:rFonts w:hint="eastAsia" w:ascii="宋体" w:hAnsi="宋体" w:eastAsia="宋体" w:cs="宋体"/>
          <w:b/>
          <w:color w:val="auto"/>
          <w:sz w:val="24"/>
          <w:szCs w:val="24"/>
          <w:highlight w:val="none"/>
        </w:rPr>
        <w:instrText xml:space="preserve"> </w:instrText>
      </w:r>
      <w:r>
        <w:rPr>
          <w:rStyle w:val="18"/>
          <w:rFonts w:hint="eastAsia" w:ascii="宋体" w:hAnsi="宋体" w:eastAsia="宋体" w:cs="宋体"/>
          <w:b/>
          <w:color w:val="auto"/>
          <w:sz w:val="24"/>
          <w:szCs w:val="24"/>
          <w:highlight w:val="none"/>
        </w:rPr>
        <w:fldChar w:fldCharType="separate"/>
      </w:r>
      <w:r>
        <w:rPr>
          <w:rStyle w:val="18"/>
          <w:rFonts w:hint="eastAsia" w:ascii="宋体" w:hAnsi="宋体" w:eastAsia="宋体" w:cs="宋体"/>
          <w:b/>
          <w:color w:val="auto"/>
          <w:sz w:val="24"/>
          <w:szCs w:val="24"/>
          <w:highlight w:val="none"/>
        </w:rPr>
        <w:t>第一章</w:t>
      </w:r>
      <w:r>
        <w:rPr>
          <w:rStyle w:val="18"/>
          <w:rFonts w:hint="eastAsia" w:ascii="宋体" w:hAnsi="宋体" w:eastAsia="宋体" w:cs="宋体"/>
          <w:b/>
          <w:color w:val="auto"/>
          <w:sz w:val="24"/>
          <w:szCs w:val="24"/>
          <w:highlight w:val="none"/>
          <w:lang w:val="en-US" w:eastAsia="zh-CN"/>
        </w:rPr>
        <w:t xml:space="preserve">  </w:t>
      </w:r>
      <w:r>
        <w:rPr>
          <w:rStyle w:val="18"/>
          <w:rFonts w:hint="eastAsia" w:ascii="宋体" w:hAnsi="宋体" w:eastAsia="宋体" w:cs="宋体"/>
          <w:b/>
          <w:color w:val="auto"/>
          <w:sz w:val="24"/>
          <w:szCs w:val="24"/>
          <w:highlight w:val="none"/>
        </w:rPr>
        <w:t>总则</w:t>
      </w:r>
      <w:r>
        <w:rPr>
          <w:rFonts w:hint="eastAsia" w:ascii="宋体" w:hAnsi="宋体" w:eastAsia="宋体" w:cs="宋体"/>
          <w:b/>
          <w:sz w:val="24"/>
          <w:szCs w:val="24"/>
          <w:highlight w:val="none"/>
        </w:rPr>
        <w:tab/>
      </w:r>
      <w:r>
        <w:rPr>
          <w:rFonts w:hint="eastAsia" w:ascii="宋体" w:hAnsi="宋体" w:cs="宋体"/>
          <w:b/>
          <w:sz w:val="24"/>
          <w:szCs w:val="24"/>
          <w:highlight w:val="none"/>
          <w:lang w:val="en-US" w:eastAsia="zh-CN"/>
        </w:rPr>
        <w:t>1</w:t>
      </w:r>
      <w:r>
        <w:rPr>
          <w:rStyle w:val="18"/>
          <w:rFonts w:hint="eastAsia" w:ascii="宋体" w:hAnsi="宋体" w:eastAsia="宋体" w:cs="宋体"/>
          <w:b/>
          <w:color w:val="auto"/>
          <w:sz w:val="24"/>
          <w:szCs w:val="24"/>
          <w:highlight w:val="none"/>
        </w:rPr>
        <w:fldChar w:fldCharType="end"/>
      </w:r>
      <w:r>
        <w:rPr>
          <w:rStyle w:val="18"/>
          <w:rFonts w:hint="eastAsia" w:ascii="宋体" w:hAnsi="宋体" w:cs="宋体"/>
          <w:b/>
          <w:color w:val="auto"/>
          <w:sz w:val="24"/>
          <w:szCs w:val="24"/>
          <w:highlight w:val="none"/>
          <w:lang w:val="en-US" w:eastAsia="zh-CN"/>
        </w:rPr>
        <w:t>5</w:t>
      </w:r>
    </w:p>
    <w:p>
      <w:pPr>
        <w:pStyle w:val="10"/>
        <w:spacing w:line="360" w:lineRule="auto"/>
        <w:rPr>
          <w:rFonts w:hint="eastAsia" w:ascii="宋体" w:hAnsi="宋体" w:eastAsia="宋体" w:cs="宋体"/>
          <w:b/>
          <w:sz w:val="24"/>
          <w:szCs w:val="24"/>
          <w:highlight w:val="none"/>
          <w:lang w:val="en-US" w:eastAsia="zh-CN"/>
        </w:rPr>
      </w:pPr>
      <w:r>
        <w:rPr>
          <w:rStyle w:val="18"/>
          <w:rFonts w:hint="eastAsia" w:ascii="宋体" w:hAnsi="宋体" w:eastAsia="宋体" w:cs="宋体"/>
          <w:b/>
          <w:color w:val="auto"/>
          <w:sz w:val="24"/>
          <w:szCs w:val="24"/>
          <w:highlight w:val="none"/>
        </w:rPr>
        <w:fldChar w:fldCharType="begin"/>
      </w:r>
      <w:r>
        <w:rPr>
          <w:rStyle w:val="18"/>
          <w:rFonts w:hint="eastAsia" w:ascii="宋体" w:hAnsi="宋体" w:eastAsia="宋体" w:cs="宋体"/>
          <w:b/>
          <w:color w:val="auto"/>
          <w:sz w:val="24"/>
          <w:szCs w:val="24"/>
          <w:highlight w:val="none"/>
        </w:rPr>
        <w:instrText xml:space="preserve"> </w:instrText>
      </w:r>
      <w:r>
        <w:rPr>
          <w:rFonts w:hint="eastAsia" w:ascii="宋体" w:hAnsi="宋体" w:eastAsia="宋体" w:cs="宋体"/>
          <w:b/>
          <w:sz w:val="24"/>
          <w:szCs w:val="24"/>
          <w:highlight w:val="none"/>
        </w:rPr>
        <w:instrText xml:space="preserve">HYPERLINK \l "_Toc64919002"</w:instrText>
      </w:r>
      <w:r>
        <w:rPr>
          <w:rStyle w:val="18"/>
          <w:rFonts w:hint="eastAsia" w:ascii="宋体" w:hAnsi="宋体" w:eastAsia="宋体" w:cs="宋体"/>
          <w:b/>
          <w:color w:val="auto"/>
          <w:sz w:val="24"/>
          <w:szCs w:val="24"/>
          <w:highlight w:val="none"/>
        </w:rPr>
        <w:instrText xml:space="preserve"> </w:instrText>
      </w:r>
      <w:r>
        <w:rPr>
          <w:rStyle w:val="18"/>
          <w:rFonts w:hint="eastAsia" w:ascii="宋体" w:hAnsi="宋体" w:eastAsia="宋体" w:cs="宋体"/>
          <w:b/>
          <w:color w:val="auto"/>
          <w:sz w:val="24"/>
          <w:szCs w:val="24"/>
          <w:highlight w:val="none"/>
        </w:rPr>
        <w:fldChar w:fldCharType="separate"/>
      </w:r>
      <w:r>
        <w:rPr>
          <w:rStyle w:val="18"/>
          <w:rFonts w:hint="eastAsia" w:ascii="宋体" w:hAnsi="宋体" w:eastAsia="宋体" w:cs="宋体"/>
          <w:b/>
          <w:color w:val="auto"/>
          <w:sz w:val="24"/>
          <w:szCs w:val="24"/>
          <w:highlight w:val="none"/>
        </w:rPr>
        <w:t>第二章</w:t>
      </w:r>
      <w:r>
        <w:rPr>
          <w:rStyle w:val="18"/>
          <w:rFonts w:hint="eastAsia" w:ascii="宋体" w:hAnsi="宋体" w:eastAsia="宋体" w:cs="宋体"/>
          <w:b/>
          <w:color w:val="auto"/>
          <w:sz w:val="24"/>
          <w:szCs w:val="24"/>
          <w:highlight w:val="none"/>
          <w:lang w:val="en-US" w:eastAsia="zh-CN"/>
        </w:rPr>
        <w:t xml:space="preserve">  </w:t>
      </w:r>
      <w:r>
        <w:rPr>
          <w:rStyle w:val="18"/>
          <w:rFonts w:hint="eastAsia" w:ascii="宋体" w:hAnsi="宋体" w:eastAsia="宋体" w:cs="宋体"/>
          <w:b/>
          <w:color w:val="auto"/>
          <w:sz w:val="24"/>
          <w:szCs w:val="24"/>
          <w:highlight w:val="none"/>
        </w:rPr>
        <w:t>招标文件</w:t>
      </w:r>
      <w:r>
        <w:rPr>
          <w:rFonts w:hint="eastAsia" w:ascii="宋体" w:hAnsi="宋体" w:eastAsia="宋体" w:cs="宋体"/>
          <w:b/>
          <w:sz w:val="24"/>
          <w:szCs w:val="24"/>
          <w:highlight w:val="none"/>
        </w:rPr>
        <w:tab/>
      </w:r>
      <w:r>
        <w:rPr>
          <w:rFonts w:hint="eastAsia" w:ascii="宋体" w:hAnsi="宋体" w:cs="宋体"/>
          <w:b/>
          <w:sz w:val="24"/>
          <w:szCs w:val="24"/>
          <w:highlight w:val="none"/>
          <w:lang w:val="en-US" w:eastAsia="zh-CN"/>
        </w:rPr>
        <w:t>1</w:t>
      </w:r>
      <w:r>
        <w:rPr>
          <w:rStyle w:val="18"/>
          <w:rFonts w:hint="eastAsia" w:ascii="宋体" w:hAnsi="宋体" w:eastAsia="宋体" w:cs="宋体"/>
          <w:b/>
          <w:color w:val="auto"/>
          <w:sz w:val="24"/>
          <w:szCs w:val="24"/>
          <w:highlight w:val="none"/>
        </w:rPr>
        <w:fldChar w:fldCharType="end"/>
      </w:r>
      <w:r>
        <w:rPr>
          <w:rStyle w:val="18"/>
          <w:rFonts w:hint="eastAsia" w:ascii="宋体" w:hAnsi="宋体" w:cs="宋体"/>
          <w:b/>
          <w:color w:val="auto"/>
          <w:sz w:val="24"/>
          <w:szCs w:val="24"/>
          <w:highlight w:val="none"/>
          <w:lang w:val="en-US" w:eastAsia="zh-CN"/>
        </w:rPr>
        <w:t>7</w:t>
      </w:r>
    </w:p>
    <w:p>
      <w:pPr>
        <w:pStyle w:val="9"/>
        <w:spacing w:line="360" w:lineRule="auto"/>
        <w:rPr>
          <w:rFonts w:hint="eastAsia" w:ascii="宋体" w:hAnsi="宋体" w:eastAsia="宋体" w:cs="宋体"/>
          <w:sz w:val="24"/>
          <w:szCs w:val="24"/>
          <w:highlight w:val="none"/>
          <w:lang w:val="en-US" w:eastAsia="zh-CN"/>
        </w:rPr>
      </w:pPr>
      <w:r>
        <w:rPr>
          <w:rStyle w:val="18"/>
          <w:rFonts w:hint="eastAsia" w:ascii="宋体" w:hAnsi="宋体" w:eastAsia="宋体" w:cs="宋体"/>
          <w:color w:val="auto"/>
          <w:sz w:val="24"/>
          <w:szCs w:val="24"/>
          <w:highlight w:val="none"/>
        </w:rPr>
        <w:fldChar w:fldCharType="begin"/>
      </w:r>
      <w:r>
        <w:rPr>
          <w:rStyle w:val="18"/>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"_Toc64919003"</w:instrText>
      </w:r>
      <w:r>
        <w:rPr>
          <w:rStyle w:val="18"/>
          <w:rFonts w:hint="eastAsia" w:ascii="宋体" w:hAnsi="宋体" w:eastAsia="宋体" w:cs="宋体"/>
          <w:color w:val="auto"/>
          <w:sz w:val="24"/>
          <w:szCs w:val="24"/>
          <w:highlight w:val="none"/>
        </w:rPr>
        <w:instrText xml:space="preserve"> </w:instrText>
      </w:r>
      <w:r>
        <w:rPr>
          <w:rStyle w:val="18"/>
          <w:rFonts w:hint="eastAsia" w:ascii="宋体" w:hAnsi="宋体" w:eastAsia="宋体" w:cs="宋体"/>
          <w:color w:val="auto"/>
          <w:sz w:val="24"/>
          <w:szCs w:val="24"/>
          <w:highlight w:val="none"/>
        </w:rPr>
        <w:fldChar w:fldCharType="separate"/>
      </w:r>
      <w:r>
        <w:rPr>
          <w:rStyle w:val="18"/>
          <w:rFonts w:hint="eastAsia" w:ascii="宋体" w:hAnsi="宋体" w:eastAsia="宋体" w:cs="宋体"/>
          <w:color w:val="auto"/>
          <w:sz w:val="24"/>
          <w:szCs w:val="24"/>
          <w:highlight w:val="none"/>
        </w:rPr>
        <w:t>第三部分</w:t>
      </w:r>
      <w:r>
        <w:rPr>
          <w:rStyle w:val="18"/>
          <w:rFonts w:hint="eastAsia" w:ascii="宋体" w:hAnsi="宋体" w:eastAsia="宋体" w:cs="宋体"/>
          <w:color w:val="auto"/>
          <w:sz w:val="24"/>
          <w:szCs w:val="24"/>
          <w:highlight w:val="none"/>
          <w:lang w:val="en-US" w:eastAsia="zh-CN"/>
        </w:rPr>
        <w:t xml:space="preserve">  </w:t>
      </w:r>
      <w:r>
        <w:rPr>
          <w:rStyle w:val="18"/>
          <w:rFonts w:hint="eastAsia" w:ascii="宋体" w:hAnsi="宋体" w:eastAsia="宋体" w:cs="宋体"/>
          <w:color w:val="auto"/>
          <w:sz w:val="24"/>
          <w:szCs w:val="24"/>
          <w:highlight w:val="none"/>
        </w:rPr>
        <w:t>投标说明</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1</w:t>
      </w:r>
      <w:r>
        <w:rPr>
          <w:rStyle w:val="18"/>
          <w:rFonts w:hint="eastAsia" w:ascii="宋体" w:hAnsi="宋体" w:eastAsia="宋体" w:cs="宋体"/>
          <w:color w:val="auto"/>
          <w:sz w:val="24"/>
          <w:szCs w:val="24"/>
          <w:highlight w:val="none"/>
        </w:rPr>
        <w:fldChar w:fldCharType="end"/>
      </w:r>
      <w:r>
        <w:rPr>
          <w:rStyle w:val="18"/>
          <w:rFonts w:hint="eastAsia" w:ascii="宋体" w:hAnsi="宋体" w:eastAsia="宋体" w:cs="宋体"/>
          <w:color w:val="auto"/>
          <w:sz w:val="24"/>
          <w:szCs w:val="24"/>
          <w:highlight w:val="none"/>
          <w:lang w:val="en-US" w:eastAsia="zh-CN"/>
        </w:rPr>
        <w:t>9</w:t>
      </w:r>
    </w:p>
    <w:p>
      <w:pPr>
        <w:pStyle w:val="10"/>
        <w:spacing w:line="360" w:lineRule="auto"/>
        <w:rPr>
          <w:rFonts w:hint="eastAsia" w:ascii="宋体" w:hAnsi="宋体" w:eastAsia="宋体" w:cs="宋体"/>
          <w:b/>
          <w:sz w:val="24"/>
          <w:szCs w:val="24"/>
          <w:highlight w:val="none"/>
          <w:lang w:val="en-US" w:eastAsia="zh-CN"/>
        </w:rPr>
      </w:pPr>
      <w:r>
        <w:rPr>
          <w:rStyle w:val="18"/>
          <w:rFonts w:hint="eastAsia" w:ascii="宋体" w:hAnsi="宋体" w:eastAsia="宋体" w:cs="宋体"/>
          <w:b/>
          <w:color w:val="auto"/>
          <w:sz w:val="24"/>
          <w:szCs w:val="24"/>
          <w:highlight w:val="none"/>
        </w:rPr>
        <w:fldChar w:fldCharType="begin"/>
      </w:r>
      <w:r>
        <w:rPr>
          <w:rStyle w:val="18"/>
          <w:rFonts w:hint="eastAsia" w:ascii="宋体" w:hAnsi="宋体" w:eastAsia="宋体" w:cs="宋体"/>
          <w:b/>
          <w:color w:val="auto"/>
          <w:sz w:val="24"/>
          <w:szCs w:val="24"/>
          <w:highlight w:val="none"/>
        </w:rPr>
        <w:instrText xml:space="preserve"> </w:instrText>
      </w:r>
      <w:r>
        <w:rPr>
          <w:rFonts w:hint="eastAsia" w:ascii="宋体" w:hAnsi="宋体" w:eastAsia="宋体" w:cs="宋体"/>
          <w:b/>
          <w:sz w:val="24"/>
          <w:szCs w:val="24"/>
          <w:highlight w:val="none"/>
        </w:rPr>
        <w:instrText xml:space="preserve">HYPERLINK \l "_Toc64919004"</w:instrText>
      </w:r>
      <w:r>
        <w:rPr>
          <w:rStyle w:val="18"/>
          <w:rFonts w:hint="eastAsia" w:ascii="宋体" w:hAnsi="宋体" w:eastAsia="宋体" w:cs="宋体"/>
          <w:b/>
          <w:color w:val="auto"/>
          <w:sz w:val="24"/>
          <w:szCs w:val="24"/>
          <w:highlight w:val="none"/>
        </w:rPr>
        <w:instrText xml:space="preserve"> </w:instrText>
      </w:r>
      <w:r>
        <w:rPr>
          <w:rStyle w:val="18"/>
          <w:rFonts w:hint="eastAsia" w:ascii="宋体" w:hAnsi="宋体" w:eastAsia="宋体" w:cs="宋体"/>
          <w:b/>
          <w:color w:val="auto"/>
          <w:sz w:val="24"/>
          <w:szCs w:val="24"/>
          <w:highlight w:val="none"/>
        </w:rPr>
        <w:fldChar w:fldCharType="separate"/>
      </w:r>
      <w:r>
        <w:rPr>
          <w:rStyle w:val="18"/>
          <w:rFonts w:hint="eastAsia" w:ascii="宋体" w:hAnsi="宋体" w:eastAsia="宋体" w:cs="宋体"/>
          <w:b/>
          <w:color w:val="auto"/>
          <w:sz w:val="24"/>
          <w:szCs w:val="24"/>
          <w:highlight w:val="none"/>
        </w:rPr>
        <w:t>第一章</w:t>
      </w:r>
      <w:r>
        <w:rPr>
          <w:rStyle w:val="18"/>
          <w:rFonts w:hint="eastAsia" w:ascii="宋体" w:hAnsi="宋体" w:eastAsia="宋体" w:cs="宋体"/>
          <w:b/>
          <w:color w:val="auto"/>
          <w:sz w:val="24"/>
          <w:szCs w:val="24"/>
          <w:highlight w:val="none"/>
          <w:lang w:val="en-US" w:eastAsia="zh-CN"/>
        </w:rPr>
        <w:t xml:space="preserve">  </w:t>
      </w:r>
      <w:r>
        <w:rPr>
          <w:rStyle w:val="18"/>
          <w:rFonts w:hint="eastAsia" w:ascii="宋体" w:hAnsi="宋体" w:eastAsia="宋体" w:cs="宋体"/>
          <w:b/>
          <w:color w:val="auto"/>
          <w:sz w:val="24"/>
          <w:szCs w:val="24"/>
          <w:highlight w:val="none"/>
        </w:rPr>
        <w:t>投标文件的编写</w:t>
      </w:r>
      <w:r>
        <w:rPr>
          <w:rFonts w:hint="eastAsia" w:ascii="宋体" w:hAnsi="宋体" w:eastAsia="宋体" w:cs="宋体"/>
          <w:b/>
          <w:sz w:val="24"/>
          <w:szCs w:val="24"/>
          <w:highlight w:val="none"/>
        </w:rPr>
        <w:tab/>
      </w:r>
      <w:r>
        <w:rPr>
          <w:rStyle w:val="18"/>
          <w:rFonts w:hint="eastAsia" w:ascii="宋体" w:hAnsi="宋体" w:eastAsia="宋体" w:cs="宋体"/>
          <w:b/>
          <w:color w:val="auto"/>
          <w:sz w:val="24"/>
          <w:szCs w:val="24"/>
          <w:highlight w:val="none"/>
        </w:rPr>
        <w:fldChar w:fldCharType="end"/>
      </w:r>
      <w:r>
        <w:rPr>
          <w:rStyle w:val="18"/>
          <w:rFonts w:hint="eastAsia" w:ascii="宋体" w:hAnsi="宋体" w:eastAsia="宋体" w:cs="宋体"/>
          <w:b/>
          <w:color w:val="auto"/>
          <w:sz w:val="24"/>
          <w:szCs w:val="24"/>
          <w:highlight w:val="none"/>
          <w:lang w:val="en-US" w:eastAsia="zh-CN"/>
        </w:rPr>
        <w:t>1</w:t>
      </w:r>
      <w:r>
        <w:rPr>
          <w:rStyle w:val="18"/>
          <w:rFonts w:hint="eastAsia" w:ascii="宋体" w:hAnsi="宋体" w:cs="宋体"/>
          <w:b/>
          <w:color w:val="auto"/>
          <w:sz w:val="24"/>
          <w:szCs w:val="24"/>
          <w:highlight w:val="none"/>
          <w:lang w:val="en-US" w:eastAsia="zh-CN"/>
        </w:rPr>
        <w:t>9</w:t>
      </w:r>
    </w:p>
    <w:p>
      <w:pPr>
        <w:pStyle w:val="10"/>
        <w:spacing w:line="360" w:lineRule="auto"/>
        <w:rPr>
          <w:rFonts w:hint="eastAsia" w:ascii="宋体" w:hAnsi="宋体" w:eastAsia="宋体" w:cs="宋体"/>
          <w:b/>
          <w:sz w:val="24"/>
          <w:szCs w:val="24"/>
          <w:highlight w:val="none"/>
        </w:rPr>
      </w:pPr>
      <w:r>
        <w:rPr>
          <w:rStyle w:val="18"/>
          <w:rFonts w:hint="eastAsia" w:ascii="宋体" w:hAnsi="宋体" w:eastAsia="宋体" w:cs="宋体"/>
          <w:b/>
          <w:color w:val="auto"/>
          <w:sz w:val="24"/>
          <w:szCs w:val="24"/>
          <w:highlight w:val="none"/>
        </w:rPr>
        <w:fldChar w:fldCharType="begin"/>
      </w:r>
      <w:r>
        <w:rPr>
          <w:rStyle w:val="18"/>
          <w:rFonts w:hint="eastAsia" w:ascii="宋体" w:hAnsi="宋体" w:eastAsia="宋体" w:cs="宋体"/>
          <w:b/>
          <w:color w:val="auto"/>
          <w:sz w:val="24"/>
          <w:szCs w:val="24"/>
          <w:highlight w:val="none"/>
        </w:rPr>
        <w:instrText xml:space="preserve"> </w:instrText>
      </w:r>
      <w:r>
        <w:rPr>
          <w:rFonts w:hint="eastAsia" w:ascii="宋体" w:hAnsi="宋体" w:eastAsia="宋体" w:cs="宋体"/>
          <w:b/>
          <w:sz w:val="24"/>
          <w:szCs w:val="24"/>
          <w:highlight w:val="none"/>
        </w:rPr>
        <w:instrText xml:space="preserve">HYPERLINK \l "_Toc64919006"</w:instrText>
      </w:r>
      <w:r>
        <w:rPr>
          <w:rStyle w:val="18"/>
          <w:rFonts w:hint="eastAsia" w:ascii="宋体" w:hAnsi="宋体" w:eastAsia="宋体" w:cs="宋体"/>
          <w:b/>
          <w:color w:val="auto"/>
          <w:sz w:val="24"/>
          <w:szCs w:val="24"/>
          <w:highlight w:val="none"/>
        </w:rPr>
        <w:instrText xml:space="preserve"> </w:instrText>
      </w:r>
      <w:r>
        <w:rPr>
          <w:rStyle w:val="18"/>
          <w:rFonts w:hint="eastAsia" w:ascii="宋体" w:hAnsi="宋体" w:eastAsia="宋体" w:cs="宋体"/>
          <w:b/>
          <w:color w:val="auto"/>
          <w:sz w:val="24"/>
          <w:szCs w:val="24"/>
          <w:highlight w:val="none"/>
        </w:rPr>
        <w:fldChar w:fldCharType="separate"/>
      </w:r>
      <w:r>
        <w:rPr>
          <w:rStyle w:val="18"/>
          <w:rFonts w:hint="eastAsia" w:ascii="宋体" w:hAnsi="宋体" w:eastAsia="宋体" w:cs="宋体"/>
          <w:b/>
          <w:color w:val="auto"/>
          <w:sz w:val="24"/>
          <w:szCs w:val="24"/>
          <w:highlight w:val="none"/>
        </w:rPr>
        <w:t>第</w:t>
      </w:r>
      <w:r>
        <w:rPr>
          <w:rStyle w:val="18"/>
          <w:rFonts w:hint="eastAsia" w:ascii="宋体" w:hAnsi="宋体" w:eastAsia="宋体" w:cs="宋体"/>
          <w:b/>
          <w:color w:val="auto"/>
          <w:sz w:val="24"/>
          <w:szCs w:val="24"/>
          <w:highlight w:val="none"/>
          <w:lang w:eastAsia="zh-CN"/>
        </w:rPr>
        <w:t>二</w:t>
      </w:r>
      <w:r>
        <w:rPr>
          <w:rStyle w:val="18"/>
          <w:rFonts w:hint="eastAsia" w:ascii="宋体" w:hAnsi="宋体" w:eastAsia="宋体" w:cs="宋体"/>
          <w:b/>
          <w:color w:val="auto"/>
          <w:sz w:val="24"/>
          <w:szCs w:val="24"/>
          <w:highlight w:val="none"/>
        </w:rPr>
        <w:t>章</w:t>
      </w:r>
      <w:r>
        <w:rPr>
          <w:rStyle w:val="18"/>
          <w:rFonts w:hint="eastAsia" w:ascii="宋体" w:hAnsi="宋体" w:eastAsia="宋体" w:cs="宋体"/>
          <w:b/>
          <w:color w:val="auto"/>
          <w:sz w:val="24"/>
          <w:szCs w:val="24"/>
          <w:highlight w:val="none"/>
          <w:lang w:val="en-US" w:eastAsia="zh-CN"/>
        </w:rPr>
        <w:t xml:space="preserve">  </w:t>
      </w:r>
      <w:r>
        <w:rPr>
          <w:rStyle w:val="18"/>
          <w:rFonts w:hint="eastAsia" w:ascii="宋体" w:hAnsi="宋体" w:eastAsia="宋体" w:cs="宋体"/>
          <w:b/>
          <w:color w:val="auto"/>
          <w:sz w:val="24"/>
          <w:szCs w:val="24"/>
          <w:highlight w:val="none"/>
        </w:rPr>
        <w:t>投标文件的递交</w:t>
      </w:r>
      <w:r>
        <w:rPr>
          <w:rFonts w:hint="eastAsia" w:ascii="宋体" w:hAnsi="宋体" w:eastAsia="宋体" w:cs="宋体"/>
          <w:b/>
          <w:sz w:val="24"/>
          <w:szCs w:val="24"/>
          <w:highlight w:val="none"/>
        </w:rPr>
        <w:tab/>
      </w: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 PAGEREF _Toc64919006 \h </w:instrText>
      </w:r>
      <w:r>
        <w:rPr>
          <w:rFonts w:hint="eastAsia" w:ascii="宋体" w:hAnsi="宋体" w:eastAsia="宋体" w:cs="宋体"/>
          <w:b/>
          <w:sz w:val="24"/>
          <w:szCs w:val="24"/>
          <w:highlight w:val="none"/>
        </w:rPr>
        <w:fldChar w:fldCharType="separate"/>
      </w:r>
      <w:r>
        <w:rPr>
          <w:rFonts w:hint="eastAsia" w:ascii="宋体" w:hAnsi="宋体" w:eastAsia="宋体" w:cs="宋体"/>
          <w:b/>
          <w:sz w:val="24"/>
          <w:szCs w:val="24"/>
          <w:highlight w:val="none"/>
        </w:rPr>
        <w:t>2</w:t>
      </w:r>
      <w:r>
        <w:rPr>
          <w:rFonts w:hint="eastAsia" w:ascii="宋体" w:hAnsi="宋体" w:cs="宋体"/>
          <w:b/>
          <w:sz w:val="24"/>
          <w:szCs w:val="24"/>
          <w:highlight w:val="none"/>
          <w:lang w:val="en-US" w:eastAsia="zh-CN"/>
        </w:rPr>
        <w:t>5</w:t>
      </w:r>
      <w:r>
        <w:rPr>
          <w:rFonts w:hint="eastAsia" w:ascii="宋体" w:hAnsi="宋体" w:eastAsia="宋体" w:cs="宋体"/>
          <w:b/>
          <w:sz w:val="24"/>
          <w:szCs w:val="24"/>
          <w:highlight w:val="none"/>
        </w:rPr>
        <w:fldChar w:fldCharType="end"/>
      </w:r>
      <w:r>
        <w:rPr>
          <w:rStyle w:val="18"/>
          <w:rFonts w:hint="eastAsia" w:ascii="宋体" w:hAnsi="宋体" w:eastAsia="宋体" w:cs="宋体"/>
          <w:b/>
          <w:color w:val="auto"/>
          <w:sz w:val="24"/>
          <w:szCs w:val="24"/>
          <w:highlight w:val="none"/>
        </w:rPr>
        <w:fldChar w:fldCharType="end"/>
      </w:r>
    </w:p>
    <w:p>
      <w:pPr>
        <w:pStyle w:val="10"/>
        <w:spacing w:line="360" w:lineRule="auto"/>
        <w:rPr>
          <w:rFonts w:hint="eastAsia" w:ascii="宋体" w:hAnsi="宋体" w:eastAsia="宋体" w:cs="宋体"/>
          <w:b/>
          <w:sz w:val="24"/>
          <w:szCs w:val="24"/>
          <w:highlight w:val="none"/>
        </w:rPr>
      </w:pPr>
      <w:r>
        <w:rPr>
          <w:rStyle w:val="18"/>
          <w:rFonts w:hint="eastAsia" w:ascii="宋体" w:hAnsi="宋体" w:eastAsia="宋体" w:cs="宋体"/>
          <w:b/>
          <w:color w:val="auto"/>
          <w:sz w:val="24"/>
          <w:szCs w:val="24"/>
          <w:highlight w:val="none"/>
        </w:rPr>
        <w:fldChar w:fldCharType="begin"/>
      </w:r>
      <w:r>
        <w:rPr>
          <w:rStyle w:val="18"/>
          <w:rFonts w:hint="eastAsia" w:ascii="宋体" w:hAnsi="宋体" w:eastAsia="宋体" w:cs="宋体"/>
          <w:b/>
          <w:color w:val="auto"/>
          <w:sz w:val="24"/>
          <w:szCs w:val="24"/>
          <w:highlight w:val="none"/>
        </w:rPr>
        <w:instrText xml:space="preserve"> </w:instrText>
      </w:r>
      <w:r>
        <w:rPr>
          <w:rFonts w:hint="eastAsia" w:ascii="宋体" w:hAnsi="宋体" w:eastAsia="宋体" w:cs="宋体"/>
          <w:b/>
          <w:sz w:val="24"/>
          <w:szCs w:val="24"/>
          <w:highlight w:val="none"/>
        </w:rPr>
        <w:instrText xml:space="preserve">HYPERLINK \l "_Toc64919007"</w:instrText>
      </w:r>
      <w:r>
        <w:rPr>
          <w:rStyle w:val="18"/>
          <w:rFonts w:hint="eastAsia" w:ascii="宋体" w:hAnsi="宋体" w:eastAsia="宋体" w:cs="宋体"/>
          <w:b/>
          <w:color w:val="auto"/>
          <w:sz w:val="24"/>
          <w:szCs w:val="24"/>
          <w:highlight w:val="none"/>
        </w:rPr>
        <w:instrText xml:space="preserve"> </w:instrText>
      </w:r>
      <w:r>
        <w:rPr>
          <w:rStyle w:val="18"/>
          <w:rFonts w:hint="eastAsia" w:ascii="宋体" w:hAnsi="宋体" w:eastAsia="宋体" w:cs="宋体"/>
          <w:b/>
          <w:color w:val="auto"/>
          <w:sz w:val="24"/>
          <w:szCs w:val="24"/>
          <w:highlight w:val="none"/>
        </w:rPr>
        <w:fldChar w:fldCharType="separate"/>
      </w:r>
      <w:r>
        <w:rPr>
          <w:rStyle w:val="18"/>
          <w:rFonts w:hint="eastAsia" w:ascii="宋体" w:hAnsi="宋体" w:eastAsia="宋体" w:cs="宋体"/>
          <w:b/>
          <w:color w:val="auto"/>
          <w:sz w:val="24"/>
          <w:szCs w:val="24"/>
          <w:highlight w:val="none"/>
        </w:rPr>
        <w:t>第</w:t>
      </w:r>
      <w:r>
        <w:rPr>
          <w:rStyle w:val="18"/>
          <w:rFonts w:hint="eastAsia" w:ascii="宋体" w:hAnsi="宋体" w:eastAsia="宋体" w:cs="宋体"/>
          <w:b/>
          <w:color w:val="auto"/>
          <w:sz w:val="24"/>
          <w:szCs w:val="24"/>
          <w:highlight w:val="none"/>
          <w:lang w:eastAsia="zh-CN"/>
        </w:rPr>
        <w:t>三</w:t>
      </w:r>
      <w:r>
        <w:rPr>
          <w:rStyle w:val="18"/>
          <w:rFonts w:hint="eastAsia" w:ascii="宋体" w:hAnsi="宋体" w:eastAsia="宋体" w:cs="宋体"/>
          <w:b/>
          <w:color w:val="auto"/>
          <w:sz w:val="24"/>
          <w:szCs w:val="24"/>
          <w:highlight w:val="none"/>
        </w:rPr>
        <w:t>章</w:t>
      </w:r>
      <w:r>
        <w:rPr>
          <w:rStyle w:val="18"/>
          <w:rFonts w:hint="eastAsia" w:ascii="宋体" w:hAnsi="宋体" w:eastAsia="宋体" w:cs="宋体"/>
          <w:b/>
          <w:color w:val="auto"/>
          <w:sz w:val="24"/>
          <w:szCs w:val="24"/>
          <w:highlight w:val="none"/>
          <w:lang w:val="en-US" w:eastAsia="zh-CN"/>
        </w:rPr>
        <w:t xml:space="preserve">  </w:t>
      </w:r>
      <w:r>
        <w:rPr>
          <w:rStyle w:val="18"/>
          <w:rFonts w:hint="eastAsia" w:ascii="宋体" w:hAnsi="宋体" w:eastAsia="宋体" w:cs="宋体"/>
          <w:b/>
          <w:color w:val="auto"/>
          <w:sz w:val="24"/>
          <w:szCs w:val="24"/>
          <w:highlight w:val="none"/>
        </w:rPr>
        <w:t>评标委员会</w:t>
      </w:r>
      <w:r>
        <w:rPr>
          <w:rFonts w:hint="eastAsia" w:ascii="宋体" w:hAnsi="宋体" w:eastAsia="宋体" w:cs="宋体"/>
          <w:b/>
          <w:sz w:val="24"/>
          <w:szCs w:val="24"/>
          <w:highlight w:val="none"/>
        </w:rPr>
        <w:tab/>
      </w: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 PAGEREF _Toc64919007 \h </w:instrText>
      </w:r>
      <w:r>
        <w:rPr>
          <w:rFonts w:hint="eastAsia" w:ascii="宋体" w:hAnsi="宋体" w:eastAsia="宋体" w:cs="宋体"/>
          <w:b/>
          <w:sz w:val="24"/>
          <w:szCs w:val="24"/>
          <w:highlight w:val="none"/>
        </w:rPr>
        <w:fldChar w:fldCharType="separate"/>
      </w:r>
      <w:r>
        <w:rPr>
          <w:rFonts w:hint="eastAsia" w:ascii="宋体" w:hAnsi="宋体" w:eastAsia="宋体" w:cs="宋体"/>
          <w:b/>
          <w:sz w:val="24"/>
          <w:szCs w:val="24"/>
          <w:highlight w:val="none"/>
        </w:rPr>
        <w:t>2</w:t>
      </w:r>
      <w:r>
        <w:rPr>
          <w:rFonts w:hint="eastAsia" w:ascii="宋体" w:hAnsi="宋体" w:cs="宋体"/>
          <w:b/>
          <w:sz w:val="24"/>
          <w:szCs w:val="24"/>
          <w:highlight w:val="none"/>
          <w:lang w:val="en-US" w:eastAsia="zh-CN"/>
        </w:rPr>
        <w:t>6</w:t>
      </w:r>
      <w:r>
        <w:rPr>
          <w:rFonts w:hint="eastAsia" w:ascii="宋体" w:hAnsi="宋体" w:eastAsia="宋体" w:cs="宋体"/>
          <w:b/>
          <w:sz w:val="24"/>
          <w:szCs w:val="24"/>
          <w:highlight w:val="none"/>
        </w:rPr>
        <w:fldChar w:fldCharType="end"/>
      </w:r>
      <w:r>
        <w:rPr>
          <w:rStyle w:val="18"/>
          <w:rFonts w:hint="eastAsia" w:ascii="宋体" w:hAnsi="宋体" w:eastAsia="宋体" w:cs="宋体"/>
          <w:b/>
          <w:color w:val="auto"/>
          <w:sz w:val="24"/>
          <w:szCs w:val="24"/>
          <w:highlight w:val="none"/>
        </w:rPr>
        <w:fldChar w:fldCharType="end"/>
      </w:r>
    </w:p>
    <w:p>
      <w:pPr>
        <w:pStyle w:val="10"/>
        <w:spacing w:line="360" w:lineRule="auto"/>
        <w:rPr>
          <w:rFonts w:hint="eastAsia" w:ascii="宋体" w:hAnsi="宋体" w:eastAsia="宋体" w:cs="宋体"/>
          <w:b/>
          <w:sz w:val="24"/>
          <w:szCs w:val="24"/>
          <w:highlight w:val="none"/>
        </w:rPr>
      </w:pPr>
      <w:r>
        <w:rPr>
          <w:rStyle w:val="18"/>
          <w:rFonts w:hint="eastAsia" w:ascii="宋体" w:hAnsi="宋体" w:eastAsia="宋体" w:cs="宋体"/>
          <w:b/>
          <w:color w:val="auto"/>
          <w:sz w:val="24"/>
          <w:szCs w:val="24"/>
          <w:highlight w:val="none"/>
        </w:rPr>
        <w:fldChar w:fldCharType="begin"/>
      </w:r>
      <w:r>
        <w:rPr>
          <w:rStyle w:val="18"/>
          <w:rFonts w:hint="eastAsia" w:ascii="宋体" w:hAnsi="宋体" w:eastAsia="宋体" w:cs="宋体"/>
          <w:b/>
          <w:color w:val="auto"/>
          <w:sz w:val="24"/>
          <w:szCs w:val="24"/>
          <w:highlight w:val="none"/>
        </w:rPr>
        <w:instrText xml:space="preserve"> </w:instrText>
      </w:r>
      <w:r>
        <w:rPr>
          <w:rFonts w:hint="eastAsia" w:ascii="宋体" w:hAnsi="宋体" w:eastAsia="宋体" w:cs="宋体"/>
          <w:b/>
          <w:sz w:val="24"/>
          <w:szCs w:val="24"/>
          <w:highlight w:val="none"/>
        </w:rPr>
        <w:instrText xml:space="preserve">HYPERLINK \l "_Toc64919008"</w:instrText>
      </w:r>
      <w:r>
        <w:rPr>
          <w:rStyle w:val="18"/>
          <w:rFonts w:hint="eastAsia" w:ascii="宋体" w:hAnsi="宋体" w:eastAsia="宋体" w:cs="宋体"/>
          <w:b/>
          <w:color w:val="auto"/>
          <w:sz w:val="24"/>
          <w:szCs w:val="24"/>
          <w:highlight w:val="none"/>
        </w:rPr>
        <w:instrText xml:space="preserve"> </w:instrText>
      </w:r>
      <w:r>
        <w:rPr>
          <w:rStyle w:val="18"/>
          <w:rFonts w:hint="eastAsia" w:ascii="宋体" w:hAnsi="宋体" w:eastAsia="宋体" w:cs="宋体"/>
          <w:b/>
          <w:color w:val="auto"/>
          <w:sz w:val="24"/>
          <w:szCs w:val="24"/>
          <w:highlight w:val="none"/>
        </w:rPr>
        <w:fldChar w:fldCharType="separate"/>
      </w:r>
      <w:r>
        <w:rPr>
          <w:rStyle w:val="18"/>
          <w:rFonts w:hint="eastAsia" w:ascii="宋体" w:hAnsi="宋体" w:eastAsia="宋体" w:cs="宋体"/>
          <w:b/>
          <w:color w:val="auto"/>
          <w:sz w:val="24"/>
          <w:szCs w:val="24"/>
          <w:highlight w:val="none"/>
        </w:rPr>
        <w:t>第</w:t>
      </w:r>
      <w:r>
        <w:rPr>
          <w:rStyle w:val="18"/>
          <w:rFonts w:hint="eastAsia" w:ascii="宋体" w:hAnsi="宋体" w:eastAsia="宋体" w:cs="宋体"/>
          <w:b/>
          <w:color w:val="auto"/>
          <w:sz w:val="24"/>
          <w:szCs w:val="24"/>
          <w:highlight w:val="none"/>
          <w:lang w:eastAsia="zh-CN"/>
        </w:rPr>
        <w:t>四</w:t>
      </w:r>
      <w:r>
        <w:rPr>
          <w:rStyle w:val="18"/>
          <w:rFonts w:hint="eastAsia" w:ascii="宋体" w:hAnsi="宋体" w:eastAsia="宋体" w:cs="宋体"/>
          <w:b/>
          <w:color w:val="auto"/>
          <w:sz w:val="24"/>
          <w:szCs w:val="24"/>
          <w:highlight w:val="none"/>
        </w:rPr>
        <w:t>章</w:t>
      </w:r>
      <w:r>
        <w:rPr>
          <w:rStyle w:val="18"/>
          <w:rFonts w:hint="eastAsia" w:ascii="宋体" w:hAnsi="宋体" w:eastAsia="宋体" w:cs="宋体"/>
          <w:b/>
          <w:color w:val="auto"/>
          <w:sz w:val="24"/>
          <w:szCs w:val="24"/>
          <w:highlight w:val="none"/>
          <w:lang w:val="en-US" w:eastAsia="zh-CN"/>
        </w:rPr>
        <w:t xml:space="preserve">  </w:t>
      </w:r>
      <w:r>
        <w:rPr>
          <w:rStyle w:val="18"/>
          <w:rFonts w:hint="eastAsia" w:ascii="宋体" w:hAnsi="宋体" w:eastAsia="宋体" w:cs="宋体"/>
          <w:b/>
          <w:color w:val="auto"/>
          <w:sz w:val="24"/>
          <w:szCs w:val="24"/>
          <w:highlight w:val="none"/>
        </w:rPr>
        <w:t>开　标</w:t>
      </w:r>
      <w:r>
        <w:rPr>
          <w:rFonts w:hint="eastAsia" w:ascii="宋体" w:hAnsi="宋体" w:eastAsia="宋体" w:cs="宋体"/>
          <w:b/>
          <w:sz w:val="24"/>
          <w:szCs w:val="24"/>
          <w:highlight w:val="none"/>
        </w:rPr>
        <w:tab/>
      </w: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 PAGEREF _Toc64919008 \h </w:instrText>
      </w:r>
      <w:r>
        <w:rPr>
          <w:rFonts w:hint="eastAsia" w:ascii="宋体" w:hAnsi="宋体" w:eastAsia="宋体" w:cs="宋体"/>
          <w:b/>
          <w:sz w:val="24"/>
          <w:szCs w:val="24"/>
          <w:highlight w:val="none"/>
        </w:rPr>
        <w:fldChar w:fldCharType="separate"/>
      </w:r>
      <w:r>
        <w:rPr>
          <w:rFonts w:hint="eastAsia" w:ascii="宋体" w:hAnsi="宋体" w:eastAsia="宋体" w:cs="宋体"/>
          <w:b/>
          <w:sz w:val="24"/>
          <w:szCs w:val="24"/>
          <w:highlight w:val="none"/>
        </w:rPr>
        <w:t>2</w:t>
      </w:r>
      <w:r>
        <w:rPr>
          <w:rFonts w:hint="eastAsia" w:ascii="宋体" w:hAnsi="宋体" w:cs="宋体"/>
          <w:b/>
          <w:sz w:val="24"/>
          <w:szCs w:val="24"/>
          <w:highlight w:val="none"/>
          <w:lang w:val="en-US" w:eastAsia="zh-CN"/>
        </w:rPr>
        <w:t>7</w:t>
      </w:r>
      <w:r>
        <w:rPr>
          <w:rFonts w:hint="eastAsia" w:ascii="宋体" w:hAnsi="宋体" w:eastAsia="宋体" w:cs="宋体"/>
          <w:b/>
          <w:sz w:val="24"/>
          <w:szCs w:val="24"/>
          <w:highlight w:val="none"/>
        </w:rPr>
        <w:fldChar w:fldCharType="end"/>
      </w:r>
      <w:r>
        <w:rPr>
          <w:rStyle w:val="18"/>
          <w:rFonts w:hint="eastAsia" w:ascii="宋体" w:hAnsi="宋体" w:eastAsia="宋体" w:cs="宋体"/>
          <w:b/>
          <w:color w:val="auto"/>
          <w:sz w:val="24"/>
          <w:szCs w:val="24"/>
          <w:highlight w:val="none"/>
        </w:rPr>
        <w:fldChar w:fldCharType="end"/>
      </w:r>
    </w:p>
    <w:p>
      <w:pPr>
        <w:pStyle w:val="10"/>
        <w:spacing w:line="360" w:lineRule="auto"/>
        <w:rPr>
          <w:rFonts w:hint="eastAsia" w:ascii="宋体" w:hAnsi="宋体" w:eastAsia="宋体" w:cs="宋体"/>
          <w:b/>
          <w:sz w:val="24"/>
          <w:szCs w:val="24"/>
          <w:highlight w:val="none"/>
        </w:rPr>
      </w:pPr>
      <w:r>
        <w:rPr>
          <w:rStyle w:val="18"/>
          <w:rFonts w:hint="eastAsia" w:ascii="宋体" w:hAnsi="宋体" w:eastAsia="宋体" w:cs="宋体"/>
          <w:b/>
          <w:color w:val="auto"/>
          <w:sz w:val="24"/>
          <w:szCs w:val="24"/>
          <w:highlight w:val="none"/>
        </w:rPr>
        <w:fldChar w:fldCharType="begin"/>
      </w:r>
      <w:r>
        <w:rPr>
          <w:rStyle w:val="18"/>
          <w:rFonts w:hint="eastAsia" w:ascii="宋体" w:hAnsi="宋体" w:eastAsia="宋体" w:cs="宋体"/>
          <w:b/>
          <w:color w:val="auto"/>
          <w:sz w:val="24"/>
          <w:szCs w:val="24"/>
          <w:highlight w:val="none"/>
        </w:rPr>
        <w:instrText xml:space="preserve"> </w:instrText>
      </w:r>
      <w:r>
        <w:rPr>
          <w:rFonts w:hint="eastAsia" w:ascii="宋体" w:hAnsi="宋体" w:eastAsia="宋体" w:cs="宋体"/>
          <w:b/>
          <w:sz w:val="24"/>
          <w:szCs w:val="24"/>
          <w:highlight w:val="none"/>
        </w:rPr>
        <w:instrText xml:space="preserve">HYPERLINK \l "_Toc64919009"</w:instrText>
      </w:r>
      <w:r>
        <w:rPr>
          <w:rStyle w:val="18"/>
          <w:rFonts w:hint="eastAsia" w:ascii="宋体" w:hAnsi="宋体" w:eastAsia="宋体" w:cs="宋体"/>
          <w:b/>
          <w:color w:val="auto"/>
          <w:sz w:val="24"/>
          <w:szCs w:val="24"/>
          <w:highlight w:val="none"/>
        </w:rPr>
        <w:instrText xml:space="preserve"> </w:instrText>
      </w:r>
      <w:r>
        <w:rPr>
          <w:rStyle w:val="18"/>
          <w:rFonts w:hint="eastAsia" w:ascii="宋体" w:hAnsi="宋体" w:eastAsia="宋体" w:cs="宋体"/>
          <w:b/>
          <w:color w:val="auto"/>
          <w:sz w:val="24"/>
          <w:szCs w:val="24"/>
          <w:highlight w:val="none"/>
        </w:rPr>
        <w:fldChar w:fldCharType="separate"/>
      </w:r>
      <w:r>
        <w:rPr>
          <w:rStyle w:val="18"/>
          <w:rFonts w:hint="eastAsia" w:ascii="宋体" w:hAnsi="宋体" w:eastAsia="宋体" w:cs="宋体"/>
          <w:b/>
          <w:bCs/>
          <w:color w:val="auto"/>
          <w:sz w:val="24"/>
          <w:szCs w:val="24"/>
          <w:highlight w:val="none"/>
        </w:rPr>
        <w:t>第</w:t>
      </w:r>
      <w:r>
        <w:rPr>
          <w:rStyle w:val="18"/>
          <w:rFonts w:hint="eastAsia" w:ascii="宋体" w:hAnsi="宋体" w:eastAsia="宋体" w:cs="宋体"/>
          <w:b/>
          <w:bCs/>
          <w:color w:val="auto"/>
          <w:sz w:val="24"/>
          <w:szCs w:val="24"/>
          <w:highlight w:val="none"/>
          <w:lang w:eastAsia="zh-CN"/>
        </w:rPr>
        <w:t>五</w:t>
      </w:r>
      <w:r>
        <w:rPr>
          <w:rStyle w:val="18"/>
          <w:rFonts w:hint="eastAsia" w:ascii="宋体" w:hAnsi="宋体" w:eastAsia="宋体" w:cs="宋体"/>
          <w:b/>
          <w:bCs/>
          <w:color w:val="auto"/>
          <w:sz w:val="24"/>
          <w:szCs w:val="24"/>
          <w:highlight w:val="none"/>
        </w:rPr>
        <w:t>章</w:t>
      </w:r>
      <w:r>
        <w:rPr>
          <w:rStyle w:val="18"/>
          <w:rFonts w:hint="eastAsia" w:ascii="宋体" w:hAnsi="宋体" w:eastAsia="宋体" w:cs="宋体"/>
          <w:b/>
          <w:bCs/>
          <w:color w:val="auto"/>
          <w:sz w:val="24"/>
          <w:szCs w:val="24"/>
          <w:highlight w:val="none"/>
          <w:lang w:val="en-US" w:eastAsia="zh-CN"/>
        </w:rPr>
        <w:t xml:space="preserve">  </w:t>
      </w:r>
      <w:r>
        <w:rPr>
          <w:rStyle w:val="18"/>
          <w:rFonts w:hint="eastAsia" w:ascii="宋体" w:hAnsi="宋体" w:eastAsia="宋体" w:cs="宋体"/>
          <w:b/>
          <w:bCs/>
          <w:color w:val="auto"/>
          <w:sz w:val="24"/>
          <w:szCs w:val="24"/>
          <w:highlight w:val="none"/>
        </w:rPr>
        <w:t>评　标</w:t>
      </w:r>
      <w:r>
        <w:rPr>
          <w:rFonts w:hint="eastAsia" w:ascii="宋体" w:hAnsi="宋体" w:eastAsia="宋体" w:cs="宋体"/>
          <w:b/>
          <w:sz w:val="24"/>
          <w:szCs w:val="24"/>
          <w:highlight w:val="none"/>
        </w:rPr>
        <w:tab/>
      </w: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 PAGEREF _Toc64919009 \h </w:instrText>
      </w:r>
      <w:r>
        <w:rPr>
          <w:rFonts w:hint="eastAsia" w:ascii="宋体" w:hAnsi="宋体" w:eastAsia="宋体" w:cs="宋体"/>
          <w:b/>
          <w:sz w:val="24"/>
          <w:szCs w:val="24"/>
          <w:highlight w:val="none"/>
        </w:rPr>
        <w:fldChar w:fldCharType="separate"/>
      </w:r>
      <w:r>
        <w:rPr>
          <w:rFonts w:hint="eastAsia" w:ascii="宋体" w:hAnsi="宋体" w:eastAsia="宋体" w:cs="宋体"/>
          <w:b/>
          <w:sz w:val="24"/>
          <w:szCs w:val="24"/>
          <w:highlight w:val="none"/>
        </w:rPr>
        <w:t>2</w:t>
      </w:r>
      <w:r>
        <w:rPr>
          <w:rFonts w:hint="eastAsia" w:ascii="宋体" w:hAnsi="宋体" w:cs="宋体"/>
          <w:b/>
          <w:sz w:val="24"/>
          <w:szCs w:val="24"/>
          <w:highlight w:val="none"/>
          <w:lang w:val="en-US" w:eastAsia="zh-CN"/>
        </w:rPr>
        <w:t>7</w:t>
      </w:r>
      <w:r>
        <w:rPr>
          <w:rFonts w:hint="eastAsia" w:ascii="宋体" w:hAnsi="宋体" w:eastAsia="宋体" w:cs="宋体"/>
          <w:b/>
          <w:sz w:val="24"/>
          <w:szCs w:val="24"/>
          <w:highlight w:val="none"/>
        </w:rPr>
        <w:fldChar w:fldCharType="end"/>
      </w:r>
      <w:r>
        <w:rPr>
          <w:rStyle w:val="18"/>
          <w:rFonts w:hint="eastAsia" w:ascii="宋体" w:hAnsi="宋体" w:eastAsia="宋体" w:cs="宋体"/>
          <w:b/>
          <w:color w:val="auto"/>
          <w:sz w:val="24"/>
          <w:szCs w:val="24"/>
          <w:highlight w:val="none"/>
        </w:rPr>
        <w:fldChar w:fldCharType="end"/>
      </w:r>
    </w:p>
    <w:p>
      <w:pPr>
        <w:pStyle w:val="10"/>
        <w:spacing w:line="360" w:lineRule="auto"/>
        <w:rPr>
          <w:rFonts w:hint="eastAsia" w:ascii="宋体" w:hAnsi="宋体" w:eastAsia="宋体" w:cs="宋体"/>
          <w:b/>
          <w:sz w:val="24"/>
          <w:szCs w:val="24"/>
          <w:highlight w:val="none"/>
          <w:lang w:val="en-US" w:eastAsia="zh-CN"/>
        </w:rPr>
      </w:pPr>
      <w:r>
        <w:rPr>
          <w:rStyle w:val="18"/>
          <w:rFonts w:hint="eastAsia" w:ascii="宋体" w:hAnsi="宋体" w:eastAsia="宋体" w:cs="宋体"/>
          <w:b/>
          <w:color w:val="auto"/>
          <w:sz w:val="24"/>
          <w:szCs w:val="24"/>
          <w:highlight w:val="none"/>
        </w:rPr>
        <w:fldChar w:fldCharType="begin"/>
      </w:r>
      <w:r>
        <w:rPr>
          <w:rStyle w:val="18"/>
          <w:rFonts w:hint="eastAsia" w:ascii="宋体" w:hAnsi="宋体" w:eastAsia="宋体" w:cs="宋体"/>
          <w:b/>
          <w:color w:val="auto"/>
          <w:sz w:val="24"/>
          <w:szCs w:val="24"/>
          <w:highlight w:val="none"/>
        </w:rPr>
        <w:instrText xml:space="preserve"> </w:instrText>
      </w:r>
      <w:r>
        <w:rPr>
          <w:rFonts w:hint="eastAsia" w:ascii="宋体" w:hAnsi="宋体" w:eastAsia="宋体" w:cs="宋体"/>
          <w:b/>
          <w:sz w:val="24"/>
          <w:szCs w:val="24"/>
          <w:highlight w:val="none"/>
        </w:rPr>
        <w:instrText xml:space="preserve">HYPERLINK \l "_Toc64919010"</w:instrText>
      </w:r>
      <w:r>
        <w:rPr>
          <w:rStyle w:val="18"/>
          <w:rFonts w:hint="eastAsia" w:ascii="宋体" w:hAnsi="宋体" w:eastAsia="宋体" w:cs="宋体"/>
          <w:b/>
          <w:color w:val="auto"/>
          <w:sz w:val="24"/>
          <w:szCs w:val="24"/>
          <w:highlight w:val="none"/>
        </w:rPr>
        <w:instrText xml:space="preserve"> </w:instrText>
      </w:r>
      <w:r>
        <w:rPr>
          <w:rStyle w:val="18"/>
          <w:rFonts w:hint="eastAsia" w:ascii="宋体" w:hAnsi="宋体" w:eastAsia="宋体" w:cs="宋体"/>
          <w:b/>
          <w:color w:val="auto"/>
          <w:sz w:val="24"/>
          <w:szCs w:val="24"/>
          <w:highlight w:val="none"/>
        </w:rPr>
        <w:fldChar w:fldCharType="separate"/>
      </w:r>
      <w:r>
        <w:rPr>
          <w:rStyle w:val="18"/>
          <w:rFonts w:hint="eastAsia" w:ascii="宋体" w:hAnsi="宋体" w:eastAsia="宋体" w:cs="宋体"/>
          <w:b/>
          <w:color w:val="auto"/>
          <w:sz w:val="24"/>
          <w:szCs w:val="24"/>
          <w:highlight w:val="none"/>
        </w:rPr>
        <w:t>第</w:t>
      </w:r>
      <w:r>
        <w:rPr>
          <w:rStyle w:val="18"/>
          <w:rFonts w:hint="eastAsia" w:ascii="宋体" w:hAnsi="宋体" w:eastAsia="宋体" w:cs="宋体"/>
          <w:b/>
          <w:color w:val="auto"/>
          <w:sz w:val="24"/>
          <w:szCs w:val="24"/>
          <w:highlight w:val="none"/>
          <w:lang w:eastAsia="zh-CN"/>
        </w:rPr>
        <w:t>六</w:t>
      </w:r>
      <w:r>
        <w:rPr>
          <w:rStyle w:val="18"/>
          <w:rFonts w:hint="eastAsia" w:ascii="宋体" w:hAnsi="宋体" w:eastAsia="宋体" w:cs="宋体"/>
          <w:b/>
          <w:color w:val="auto"/>
          <w:sz w:val="24"/>
          <w:szCs w:val="24"/>
          <w:highlight w:val="none"/>
        </w:rPr>
        <w:t>章</w:t>
      </w:r>
      <w:r>
        <w:rPr>
          <w:rStyle w:val="18"/>
          <w:rFonts w:hint="eastAsia" w:ascii="宋体" w:hAnsi="宋体" w:eastAsia="宋体" w:cs="宋体"/>
          <w:b/>
          <w:color w:val="auto"/>
          <w:sz w:val="24"/>
          <w:szCs w:val="24"/>
          <w:highlight w:val="none"/>
          <w:lang w:val="en-US" w:eastAsia="zh-CN"/>
        </w:rPr>
        <w:t xml:space="preserve">  </w:t>
      </w:r>
      <w:r>
        <w:rPr>
          <w:rStyle w:val="18"/>
          <w:rFonts w:hint="eastAsia" w:ascii="宋体" w:hAnsi="宋体" w:eastAsia="宋体" w:cs="宋体"/>
          <w:b/>
          <w:color w:val="auto"/>
          <w:sz w:val="24"/>
          <w:szCs w:val="24"/>
          <w:highlight w:val="none"/>
        </w:rPr>
        <w:t>定　标</w:t>
      </w:r>
      <w:r>
        <w:rPr>
          <w:rFonts w:hint="eastAsia" w:ascii="宋体" w:hAnsi="宋体" w:eastAsia="宋体" w:cs="宋体"/>
          <w:b/>
          <w:sz w:val="24"/>
          <w:szCs w:val="24"/>
          <w:highlight w:val="none"/>
        </w:rPr>
        <w:tab/>
      </w:r>
      <w:r>
        <w:rPr>
          <w:rFonts w:hint="eastAsia" w:ascii="宋体" w:hAnsi="宋体" w:cs="宋体"/>
          <w:b/>
          <w:sz w:val="24"/>
          <w:szCs w:val="24"/>
          <w:highlight w:val="none"/>
          <w:lang w:val="en-US" w:eastAsia="zh-CN"/>
        </w:rPr>
        <w:t>3</w:t>
      </w:r>
      <w:r>
        <w:rPr>
          <w:rStyle w:val="18"/>
          <w:rFonts w:hint="eastAsia" w:ascii="宋体" w:hAnsi="宋体" w:eastAsia="宋体" w:cs="宋体"/>
          <w:b/>
          <w:color w:val="auto"/>
          <w:sz w:val="24"/>
          <w:szCs w:val="24"/>
          <w:highlight w:val="none"/>
        </w:rPr>
        <w:fldChar w:fldCharType="end"/>
      </w:r>
      <w:r>
        <w:rPr>
          <w:rStyle w:val="18"/>
          <w:rFonts w:hint="eastAsia" w:ascii="宋体" w:hAnsi="宋体" w:cs="宋体"/>
          <w:b/>
          <w:color w:val="auto"/>
          <w:sz w:val="24"/>
          <w:szCs w:val="24"/>
          <w:highlight w:val="none"/>
          <w:lang w:val="en-US" w:eastAsia="zh-CN"/>
        </w:rPr>
        <w:t>3</w:t>
      </w:r>
    </w:p>
    <w:p>
      <w:pPr>
        <w:pStyle w:val="10"/>
        <w:spacing w:line="360" w:lineRule="auto"/>
        <w:rPr>
          <w:rFonts w:hint="eastAsia" w:ascii="宋体" w:hAnsi="宋体" w:eastAsia="宋体" w:cs="宋体"/>
          <w:b/>
          <w:sz w:val="24"/>
          <w:szCs w:val="24"/>
          <w:highlight w:val="none"/>
          <w:lang w:val="en-US" w:eastAsia="zh-CN"/>
        </w:rPr>
      </w:pPr>
      <w:r>
        <w:rPr>
          <w:rStyle w:val="18"/>
          <w:rFonts w:hint="eastAsia" w:ascii="宋体" w:hAnsi="宋体" w:eastAsia="宋体" w:cs="宋体"/>
          <w:b/>
          <w:color w:val="auto"/>
          <w:sz w:val="24"/>
          <w:szCs w:val="24"/>
          <w:highlight w:val="none"/>
        </w:rPr>
        <w:fldChar w:fldCharType="begin"/>
      </w:r>
      <w:r>
        <w:rPr>
          <w:rStyle w:val="18"/>
          <w:rFonts w:hint="eastAsia" w:ascii="宋体" w:hAnsi="宋体" w:eastAsia="宋体" w:cs="宋体"/>
          <w:b/>
          <w:color w:val="auto"/>
          <w:sz w:val="24"/>
          <w:szCs w:val="24"/>
          <w:highlight w:val="none"/>
        </w:rPr>
        <w:instrText xml:space="preserve"> </w:instrText>
      </w:r>
      <w:r>
        <w:rPr>
          <w:rFonts w:hint="eastAsia" w:ascii="宋体" w:hAnsi="宋体" w:eastAsia="宋体" w:cs="宋体"/>
          <w:b/>
          <w:sz w:val="24"/>
          <w:szCs w:val="24"/>
          <w:highlight w:val="none"/>
        </w:rPr>
        <w:instrText xml:space="preserve">HYPERLINK \l "_Toc64919011"</w:instrText>
      </w:r>
      <w:r>
        <w:rPr>
          <w:rStyle w:val="18"/>
          <w:rFonts w:hint="eastAsia" w:ascii="宋体" w:hAnsi="宋体" w:eastAsia="宋体" w:cs="宋体"/>
          <w:b/>
          <w:color w:val="auto"/>
          <w:sz w:val="24"/>
          <w:szCs w:val="24"/>
          <w:highlight w:val="none"/>
        </w:rPr>
        <w:instrText xml:space="preserve"> </w:instrText>
      </w:r>
      <w:r>
        <w:rPr>
          <w:rStyle w:val="18"/>
          <w:rFonts w:hint="eastAsia" w:ascii="宋体" w:hAnsi="宋体" w:eastAsia="宋体" w:cs="宋体"/>
          <w:b/>
          <w:color w:val="auto"/>
          <w:sz w:val="24"/>
          <w:szCs w:val="24"/>
          <w:highlight w:val="none"/>
        </w:rPr>
        <w:fldChar w:fldCharType="separate"/>
      </w:r>
      <w:r>
        <w:rPr>
          <w:rStyle w:val="18"/>
          <w:rFonts w:hint="eastAsia" w:ascii="宋体" w:hAnsi="宋体" w:eastAsia="宋体" w:cs="宋体"/>
          <w:b/>
          <w:color w:val="auto"/>
          <w:sz w:val="24"/>
          <w:szCs w:val="24"/>
          <w:highlight w:val="none"/>
        </w:rPr>
        <w:t>第</w:t>
      </w:r>
      <w:r>
        <w:rPr>
          <w:rStyle w:val="18"/>
          <w:rFonts w:hint="eastAsia" w:ascii="宋体" w:hAnsi="宋体" w:eastAsia="宋体" w:cs="宋体"/>
          <w:b/>
          <w:color w:val="auto"/>
          <w:sz w:val="24"/>
          <w:szCs w:val="24"/>
          <w:highlight w:val="none"/>
          <w:lang w:eastAsia="zh-CN"/>
        </w:rPr>
        <w:t>七</w:t>
      </w:r>
      <w:r>
        <w:rPr>
          <w:rStyle w:val="18"/>
          <w:rFonts w:hint="eastAsia" w:ascii="宋体" w:hAnsi="宋体" w:eastAsia="宋体" w:cs="宋体"/>
          <w:b/>
          <w:color w:val="auto"/>
          <w:sz w:val="24"/>
          <w:szCs w:val="24"/>
          <w:highlight w:val="none"/>
        </w:rPr>
        <w:t>章</w:t>
      </w:r>
      <w:r>
        <w:rPr>
          <w:rStyle w:val="18"/>
          <w:rFonts w:hint="eastAsia" w:ascii="宋体" w:hAnsi="宋体" w:eastAsia="宋体" w:cs="宋体"/>
          <w:b/>
          <w:color w:val="auto"/>
          <w:sz w:val="24"/>
          <w:szCs w:val="24"/>
          <w:highlight w:val="none"/>
          <w:lang w:val="en-US" w:eastAsia="zh-CN"/>
        </w:rPr>
        <w:t xml:space="preserve">  </w:t>
      </w:r>
      <w:r>
        <w:rPr>
          <w:rStyle w:val="18"/>
          <w:rFonts w:hint="eastAsia" w:ascii="宋体" w:hAnsi="宋体" w:eastAsia="宋体" w:cs="宋体"/>
          <w:b/>
          <w:color w:val="auto"/>
          <w:sz w:val="24"/>
          <w:szCs w:val="24"/>
          <w:highlight w:val="none"/>
        </w:rPr>
        <w:t>授予合同</w:t>
      </w:r>
      <w:r>
        <w:rPr>
          <w:rFonts w:hint="eastAsia" w:ascii="宋体" w:hAnsi="宋体" w:eastAsia="宋体" w:cs="宋体"/>
          <w:b/>
          <w:sz w:val="24"/>
          <w:szCs w:val="24"/>
          <w:highlight w:val="none"/>
        </w:rPr>
        <w:tab/>
      </w:r>
      <w:r>
        <w:rPr>
          <w:rFonts w:hint="eastAsia" w:ascii="宋体" w:hAnsi="宋体" w:cs="宋体"/>
          <w:b/>
          <w:sz w:val="24"/>
          <w:szCs w:val="24"/>
          <w:highlight w:val="none"/>
          <w:lang w:val="en-US" w:eastAsia="zh-CN"/>
        </w:rPr>
        <w:t>3</w:t>
      </w:r>
      <w:r>
        <w:rPr>
          <w:rStyle w:val="18"/>
          <w:rFonts w:hint="eastAsia" w:ascii="宋体" w:hAnsi="宋体" w:eastAsia="宋体" w:cs="宋体"/>
          <w:b/>
          <w:color w:val="auto"/>
          <w:sz w:val="24"/>
          <w:szCs w:val="24"/>
          <w:highlight w:val="none"/>
        </w:rPr>
        <w:fldChar w:fldCharType="end"/>
      </w:r>
      <w:r>
        <w:rPr>
          <w:rStyle w:val="18"/>
          <w:rFonts w:hint="eastAsia" w:ascii="宋体" w:hAnsi="宋体" w:cs="宋体"/>
          <w:b/>
          <w:color w:val="auto"/>
          <w:sz w:val="24"/>
          <w:szCs w:val="24"/>
          <w:highlight w:val="none"/>
          <w:lang w:val="en-US" w:eastAsia="zh-CN"/>
        </w:rPr>
        <w:t>3</w:t>
      </w:r>
    </w:p>
    <w:p>
      <w:pPr>
        <w:pStyle w:val="9"/>
        <w:spacing w:line="360" w:lineRule="auto"/>
        <w:rPr>
          <w:rFonts w:hint="eastAsia" w:ascii="宋体" w:hAnsi="宋体" w:eastAsia="宋体" w:cs="宋体"/>
          <w:sz w:val="24"/>
          <w:szCs w:val="24"/>
          <w:highlight w:val="none"/>
          <w:lang w:val="en-US" w:eastAsia="zh-CN"/>
        </w:rPr>
      </w:pPr>
      <w:r>
        <w:rPr>
          <w:rStyle w:val="18"/>
          <w:rFonts w:hint="eastAsia" w:ascii="宋体" w:hAnsi="宋体" w:eastAsia="宋体" w:cs="宋体"/>
          <w:color w:val="auto"/>
          <w:sz w:val="24"/>
          <w:szCs w:val="24"/>
          <w:highlight w:val="none"/>
        </w:rPr>
        <w:fldChar w:fldCharType="begin"/>
      </w:r>
      <w:r>
        <w:rPr>
          <w:rStyle w:val="18"/>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"_Toc64919012"</w:instrText>
      </w:r>
      <w:r>
        <w:rPr>
          <w:rStyle w:val="18"/>
          <w:rFonts w:hint="eastAsia" w:ascii="宋体" w:hAnsi="宋体" w:eastAsia="宋体" w:cs="宋体"/>
          <w:color w:val="auto"/>
          <w:sz w:val="24"/>
          <w:szCs w:val="24"/>
          <w:highlight w:val="none"/>
        </w:rPr>
        <w:instrText xml:space="preserve"> </w:instrText>
      </w:r>
      <w:r>
        <w:rPr>
          <w:rStyle w:val="18"/>
          <w:rFonts w:hint="eastAsia" w:ascii="宋体" w:hAnsi="宋体" w:eastAsia="宋体" w:cs="宋体"/>
          <w:color w:val="auto"/>
          <w:sz w:val="24"/>
          <w:szCs w:val="24"/>
          <w:highlight w:val="none"/>
        </w:rPr>
        <w:fldChar w:fldCharType="separate"/>
      </w:r>
      <w:r>
        <w:rPr>
          <w:rStyle w:val="18"/>
          <w:rFonts w:hint="eastAsia" w:ascii="宋体" w:hAnsi="宋体" w:eastAsia="宋体" w:cs="宋体"/>
          <w:color w:val="auto"/>
          <w:sz w:val="24"/>
          <w:szCs w:val="24"/>
          <w:highlight w:val="none"/>
        </w:rPr>
        <w:t>第四部分  采购货物清单及技术参数</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3</w:t>
      </w:r>
      <w:r>
        <w:rPr>
          <w:rStyle w:val="18"/>
          <w:rFonts w:hint="eastAsia" w:ascii="宋体" w:hAnsi="宋体" w:eastAsia="宋体" w:cs="宋体"/>
          <w:color w:val="auto"/>
          <w:sz w:val="24"/>
          <w:szCs w:val="24"/>
          <w:highlight w:val="none"/>
        </w:rPr>
        <w:fldChar w:fldCharType="end"/>
      </w:r>
      <w:r>
        <w:rPr>
          <w:rStyle w:val="18"/>
          <w:rFonts w:hint="eastAsia" w:ascii="宋体" w:hAnsi="宋体" w:eastAsia="宋体" w:cs="宋体"/>
          <w:color w:val="auto"/>
          <w:sz w:val="24"/>
          <w:szCs w:val="24"/>
          <w:highlight w:val="none"/>
          <w:lang w:val="en-US" w:eastAsia="zh-CN"/>
        </w:rPr>
        <w:t>4</w:t>
      </w:r>
    </w:p>
    <w:p>
      <w:pPr>
        <w:pStyle w:val="9"/>
        <w:spacing w:line="360" w:lineRule="auto"/>
        <w:rPr>
          <w:rFonts w:hint="eastAsia" w:ascii="宋体" w:hAnsi="宋体" w:eastAsia="宋体" w:cs="宋体"/>
          <w:sz w:val="24"/>
          <w:szCs w:val="24"/>
          <w:highlight w:val="none"/>
          <w:lang w:val="en-US" w:eastAsia="zh-CN"/>
        </w:rPr>
      </w:pPr>
      <w:r>
        <w:rPr>
          <w:rStyle w:val="18"/>
          <w:rFonts w:hint="eastAsia" w:ascii="宋体" w:hAnsi="宋体" w:eastAsia="宋体" w:cs="宋体"/>
          <w:color w:val="auto"/>
          <w:sz w:val="24"/>
          <w:szCs w:val="24"/>
          <w:highlight w:val="none"/>
        </w:rPr>
        <w:fldChar w:fldCharType="begin"/>
      </w:r>
      <w:r>
        <w:rPr>
          <w:rStyle w:val="18"/>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"_Toc64919013"</w:instrText>
      </w:r>
      <w:r>
        <w:rPr>
          <w:rStyle w:val="18"/>
          <w:rFonts w:hint="eastAsia" w:ascii="宋体" w:hAnsi="宋体" w:eastAsia="宋体" w:cs="宋体"/>
          <w:color w:val="auto"/>
          <w:sz w:val="24"/>
          <w:szCs w:val="24"/>
          <w:highlight w:val="none"/>
        </w:rPr>
        <w:instrText xml:space="preserve"> </w:instrText>
      </w:r>
      <w:r>
        <w:rPr>
          <w:rStyle w:val="18"/>
          <w:rFonts w:hint="eastAsia" w:ascii="宋体" w:hAnsi="宋体" w:eastAsia="宋体" w:cs="宋体"/>
          <w:color w:val="auto"/>
          <w:sz w:val="24"/>
          <w:szCs w:val="24"/>
          <w:highlight w:val="none"/>
        </w:rPr>
        <w:fldChar w:fldCharType="separate"/>
      </w:r>
      <w:r>
        <w:rPr>
          <w:rStyle w:val="18"/>
          <w:rFonts w:hint="eastAsia" w:ascii="宋体" w:hAnsi="宋体" w:eastAsia="宋体" w:cs="宋体"/>
          <w:color w:val="auto"/>
          <w:sz w:val="24"/>
          <w:szCs w:val="24"/>
          <w:highlight w:val="none"/>
        </w:rPr>
        <w:t>第五部分  合同部分（模板）</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4</w:t>
      </w:r>
      <w:r>
        <w:rPr>
          <w:rStyle w:val="18"/>
          <w:rFonts w:hint="eastAsia" w:ascii="宋体" w:hAnsi="宋体" w:eastAsia="宋体" w:cs="宋体"/>
          <w:color w:val="auto"/>
          <w:sz w:val="24"/>
          <w:szCs w:val="24"/>
          <w:highlight w:val="none"/>
        </w:rPr>
        <w:fldChar w:fldCharType="end"/>
      </w:r>
      <w:r>
        <w:rPr>
          <w:rStyle w:val="18"/>
          <w:rFonts w:hint="eastAsia" w:ascii="宋体" w:hAnsi="宋体" w:eastAsia="宋体" w:cs="宋体"/>
          <w:color w:val="auto"/>
          <w:sz w:val="24"/>
          <w:szCs w:val="24"/>
          <w:highlight w:val="none"/>
          <w:lang w:val="en-US" w:eastAsia="zh-CN"/>
        </w:rPr>
        <w:t>3</w:t>
      </w:r>
    </w:p>
    <w:p>
      <w:pPr>
        <w:pStyle w:val="9"/>
        <w:spacing w:line="360" w:lineRule="auto"/>
        <w:rPr>
          <w:rFonts w:hint="eastAsia" w:ascii="宋体" w:hAnsi="宋体" w:eastAsia="宋体" w:cs="宋体"/>
          <w:sz w:val="24"/>
          <w:szCs w:val="24"/>
          <w:highlight w:val="none"/>
          <w:lang w:val="en-US" w:eastAsia="zh-CN"/>
        </w:rPr>
      </w:pPr>
      <w:r>
        <w:rPr>
          <w:rStyle w:val="18"/>
          <w:rFonts w:hint="eastAsia" w:ascii="宋体" w:hAnsi="宋体" w:eastAsia="宋体" w:cs="宋体"/>
          <w:color w:val="auto"/>
          <w:sz w:val="24"/>
          <w:szCs w:val="24"/>
          <w:highlight w:val="none"/>
        </w:rPr>
        <w:fldChar w:fldCharType="begin"/>
      </w:r>
      <w:r>
        <w:rPr>
          <w:rStyle w:val="18"/>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"_Toc64919014"</w:instrText>
      </w:r>
      <w:r>
        <w:rPr>
          <w:rStyle w:val="18"/>
          <w:rFonts w:hint="eastAsia" w:ascii="宋体" w:hAnsi="宋体" w:eastAsia="宋体" w:cs="宋体"/>
          <w:color w:val="auto"/>
          <w:sz w:val="24"/>
          <w:szCs w:val="24"/>
          <w:highlight w:val="none"/>
        </w:rPr>
        <w:instrText xml:space="preserve"> </w:instrText>
      </w:r>
      <w:r>
        <w:rPr>
          <w:rStyle w:val="18"/>
          <w:rFonts w:hint="eastAsia" w:ascii="宋体" w:hAnsi="宋体" w:eastAsia="宋体" w:cs="宋体"/>
          <w:color w:val="auto"/>
          <w:sz w:val="24"/>
          <w:szCs w:val="24"/>
          <w:highlight w:val="none"/>
        </w:rPr>
        <w:fldChar w:fldCharType="separate"/>
      </w:r>
      <w:r>
        <w:rPr>
          <w:rStyle w:val="18"/>
          <w:rFonts w:hint="eastAsia" w:ascii="宋体" w:hAnsi="宋体" w:eastAsia="宋体" w:cs="宋体"/>
          <w:color w:val="auto"/>
          <w:sz w:val="24"/>
          <w:szCs w:val="24"/>
          <w:highlight w:val="none"/>
        </w:rPr>
        <w:t>第六部分</w:t>
      </w:r>
      <w:r>
        <w:rPr>
          <w:rStyle w:val="18"/>
          <w:rFonts w:hint="eastAsia" w:ascii="宋体" w:hAnsi="宋体" w:eastAsia="宋体" w:cs="宋体"/>
          <w:color w:val="auto"/>
          <w:sz w:val="24"/>
          <w:szCs w:val="24"/>
          <w:highlight w:val="none"/>
          <w:lang w:val="en-US" w:eastAsia="zh-CN"/>
        </w:rPr>
        <w:t xml:space="preserve"> </w:t>
      </w:r>
      <w:r>
        <w:rPr>
          <w:rStyle w:val="18"/>
          <w:rFonts w:hint="eastAsia" w:ascii="宋体" w:hAnsi="宋体" w:eastAsia="宋体" w:cs="宋体"/>
          <w:color w:val="auto"/>
          <w:sz w:val="24"/>
          <w:szCs w:val="24"/>
          <w:highlight w:val="none"/>
        </w:rPr>
        <w:t xml:space="preserve"> 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4</w:t>
      </w:r>
      <w:r>
        <w:rPr>
          <w:rStyle w:val="18"/>
          <w:rFonts w:hint="eastAsia" w:ascii="宋体" w:hAnsi="宋体" w:eastAsia="宋体" w:cs="宋体"/>
          <w:color w:val="auto"/>
          <w:sz w:val="24"/>
          <w:szCs w:val="24"/>
          <w:highlight w:val="none"/>
        </w:rPr>
        <w:fldChar w:fldCharType="end"/>
      </w:r>
      <w:r>
        <w:rPr>
          <w:rStyle w:val="18"/>
          <w:rFonts w:hint="eastAsia" w:ascii="宋体" w:hAnsi="宋体" w:eastAsia="宋体" w:cs="宋体"/>
          <w:color w:val="auto"/>
          <w:sz w:val="24"/>
          <w:szCs w:val="24"/>
          <w:highlight w:val="none"/>
          <w:lang w:val="en-US" w:eastAsia="zh-CN"/>
        </w:rPr>
        <w:t>7</w:t>
      </w:r>
    </w:p>
    <w:p>
      <w:pPr>
        <w:pStyle w:val="9"/>
        <w:spacing w:line="360" w:lineRule="auto"/>
        <w:rPr>
          <w:rFonts w:hint="eastAsia" w:ascii="宋体" w:hAnsi="宋体" w:eastAsia="宋体" w:cs="宋体"/>
          <w:sz w:val="24"/>
          <w:szCs w:val="24"/>
          <w:highlight w:val="none"/>
          <w:lang w:val="en-US" w:eastAsia="zh-CN"/>
        </w:rPr>
      </w:pPr>
      <w:r>
        <w:rPr>
          <w:rStyle w:val="18"/>
          <w:rFonts w:hint="eastAsia" w:ascii="宋体" w:hAnsi="宋体" w:eastAsia="宋体" w:cs="宋体"/>
          <w:color w:val="auto"/>
          <w:sz w:val="24"/>
          <w:szCs w:val="24"/>
          <w:highlight w:val="none"/>
        </w:rPr>
        <w:fldChar w:fldCharType="begin"/>
      </w:r>
      <w:r>
        <w:rPr>
          <w:rStyle w:val="18"/>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"_Toc64919015"</w:instrText>
      </w:r>
      <w:r>
        <w:rPr>
          <w:rStyle w:val="18"/>
          <w:rFonts w:hint="eastAsia" w:ascii="宋体" w:hAnsi="宋体" w:eastAsia="宋体" w:cs="宋体"/>
          <w:color w:val="auto"/>
          <w:sz w:val="24"/>
          <w:szCs w:val="24"/>
          <w:highlight w:val="none"/>
        </w:rPr>
        <w:instrText xml:space="preserve"> </w:instrText>
      </w:r>
      <w:r>
        <w:rPr>
          <w:rStyle w:val="18"/>
          <w:rFonts w:hint="eastAsia" w:ascii="宋体" w:hAnsi="宋体" w:eastAsia="宋体" w:cs="宋体"/>
          <w:color w:val="auto"/>
          <w:sz w:val="24"/>
          <w:szCs w:val="24"/>
          <w:highlight w:val="none"/>
        </w:rPr>
        <w:fldChar w:fldCharType="separate"/>
      </w:r>
      <w:r>
        <w:rPr>
          <w:rStyle w:val="18"/>
          <w:rFonts w:hint="eastAsia" w:ascii="宋体" w:hAnsi="宋体" w:eastAsia="宋体" w:cs="宋体"/>
          <w:color w:val="auto"/>
          <w:sz w:val="24"/>
          <w:szCs w:val="24"/>
          <w:highlight w:val="none"/>
        </w:rPr>
        <w:t>评 分 标 准</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8</w:t>
      </w:r>
      <w:r>
        <w:rPr>
          <w:rStyle w:val="18"/>
          <w:rFonts w:hint="eastAsia" w:ascii="宋体" w:hAnsi="宋体" w:eastAsia="宋体" w:cs="宋体"/>
          <w:color w:val="auto"/>
          <w:sz w:val="24"/>
          <w:szCs w:val="24"/>
          <w:highlight w:val="none"/>
        </w:rPr>
        <w:fldChar w:fldCharType="end"/>
      </w:r>
      <w:r>
        <w:rPr>
          <w:rStyle w:val="18"/>
          <w:rFonts w:hint="eastAsia" w:ascii="宋体" w:hAnsi="宋体" w:eastAsia="宋体" w:cs="宋体"/>
          <w:color w:val="auto"/>
          <w:sz w:val="24"/>
          <w:szCs w:val="24"/>
          <w:highlight w:val="none"/>
          <w:lang w:val="en-US" w:eastAsia="zh-CN"/>
        </w:rPr>
        <w:t>5</w:t>
      </w:r>
    </w:p>
    <w:p>
      <w:pPr>
        <w:pStyle w:val="9"/>
        <w:spacing w:line="360" w:lineRule="auto"/>
        <w:rPr>
          <w:rFonts w:hint="eastAsia" w:ascii="宋体" w:hAnsi="宋体" w:eastAsia="宋体" w:cs="宋体"/>
          <w:sz w:val="24"/>
          <w:szCs w:val="24"/>
          <w:highlight w:val="none"/>
        </w:rPr>
      </w:pPr>
    </w:p>
    <w:p>
      <w:pPr>
        <w:pStyle w:val="10"/>
        <w:spacing w:line="360" w:lineRule="auto"/>
        <w:jc w:val="center"/>
        <w:rPr>
          <w:rFonts w:hint="eastAsia" w:ascii="宋体" w:hAnsi="宋体" w:eastAsia="宋体" w:cs="宋体"/>
          <w:b/>
          <w:sz w:val="24"/>
          <w:szCs w:val="24"/>
          <w:highlight w:val="none"/>
        </w:rPr>
        <w:sectPr>
          <w:footerReference r:id="rId8" w:type="default"/>
          <w:pgSz w:w="11906" w:h="16838"/>
          <w:pgMar w:top="1134" w:right="1134" w:bottom="1134" w:left="1134" w:header="851" w:footer="992" w:gutter="0"/>
          <w:pgNumType w:start="1"/>
          <w:cols w:space="720" w:num="1"/>
          <w:docGrid w:type="lines" w:linePitch="333" w:charSpace="0"/>
        </w:sectPr>
      </w:pPr>
    </w:p>
    <w:p>
      <w:pPr>
        <w:pStyle w:val="1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fldChar w:fldCharType="end"/>
      </w:r>
      <w:bookmarkStart w:id="0" w:name="_Toc64918998"/>
    </w:p>
    <w:p>
      <w:pPr>
        <w:pStyle w:val="10"/>
        <w:spacing w:line="360" w:lineRule="auto"/>
        <w:jc w:val="center"/>
        <w:rPr>
          <w:rFonts w:hint="eastAsia" w:ascii="宋体" w:hAnsi="宋体" w:eastAsia="宋体" w:cs="宋体"/>
          <w:b/>
          <w:sz w:val="32"/>
          <w:szCs w:val="32"/>
          <w:highlight w:val="none"/>
        </w:rPr>
        <w:sectPr>
          <w:footerReference r:id="rId9" w:type="default"/>
          <w:pgSz w:w="11906" w:h="16838"/>
          <w:pgMar w:top="1134" w:right="1134" w:bottom="1134" w:left="1134" w:header="851" w:footer="992" w:gutter="0"/>
          <w:pgNumType w:start="1"/>
          <w:cols w:space="720" w:num="1"/>
          <w:docGrid w:type="lines" w:linePitch="333" w:charSpace="0"/>
        </w:sectPr>
      </w:pPr>
    </w:p>
    <w:p>
      <w:pPr>
        <w:pStyle w:val="1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kern w:val="0"/>
          <w:sz w:val="32"/>
          <w:szCs w:val="32"/>
          <w:highlight w:val="none"/>
        </w:rPr>
      </w:pPr>
      <w:r>
        <w:rPr>
          <w:rFonts w:hint="eastAsia" w:ascii="宋体" w:hAnsi="宋体" w:eastAsia="宋体" w:cs="宋体"/>
          <w:b/>
          <w:sz w:val="32"/>
          <w:szCs w:val="32"/>
          <w:highlight w:val="none"/>
        </w:rPr>
        <w:t>招标公告</w:t>
      </w:r>
      <w:bookmarkEnd w:id="0"/>
    </w:p>
    <w:p>
      <w:pPr>
        <w:keepNext w:val="0"/>
        <w:keepLines w:val="0"/>
        <w:pageBreakBefore w:val="0"/>
        <w:kinsoku/>
        <w:wordWrap/>
        <w:overflowPunct/>
        <w:topLinePunct w:val="0"/>
        <w:autoSpaceDE/>
        <w:autoSpaceDN/>
        <w:bidi w:val="0"/>
        <w:adjustRightInd/>
        <w:snapToGrid/>
        <w:spacing w:line="360" w:lineRule="auto"/>
        <w:ind w:firstLine="723" w:firstLineChars="300"/>
        <w:jc w:val="center"/>
        <w:textAlignment w:val="auto"/>
        <w:rPr>
          <w:rFonts w:hint="eastAsia" w:ascii="宋体" w:hAnsi="宋体" w:eastAsia="宋体" w:cs="宋体"/>
          <w:b/>
          <w:bCs/>
          <w:sz w:val="24"/>
          <w:szCs w:val="24"/>
          <w:highlight w:val="none"/>
        </w:rPr>
      </w:pPr>
      <w:bookmarkStart w:id="1" w:name="_Toc53318064"/>
      <w:bookmarkStart w:id="2" w:name="_Toc53317917"/>
      <w:bookmarkStart w:id="3" w:name="_Toc64918999"/>
      <w:r>
        <w:rPr>
          <w:rFonts w:hint="eastAsia" w:ascii="宋体" w:hAnsi="宋体" w:eastAsia="宋体" w:cs="宋体"/>
          <w:b/>
          <w:bCs/>
          <w:sz w:val="24"/>
          <w:szCs w:val="24"/>
          <w:highlight w:val="none"/>
          <w:lang w:val="en-US" w:eastAsia="zh-CN"/>
        </w:rPr>
        <w:t>库尔勒市第二人民医院医疗设备采购招标</w:t>
      </w:r>
      <w:r>
        <w:rPr>
          <w:rFonts w:hint="eastAsia" w:ascii="宋体" w:hAnsi="宋体" w:eastAsia="宋体" w:cs="宋体"/>
          <w:b/>
          <w:bCs/>
          <w:sz w:val="24"/>
          <w:szCs w:val="24"/>
          <w:highlight w:val="none"/>
          <w:lang w:eastAsia="zh-CN"/>
        </w:rPr>
        <w:t>项目</w:t>
      </w:r>
      <w:r>
        <w:rPr>
          <w:rFonts w:hint="eastAsia" w:ascii="宋体" w:hAnsi="宋体" w:eastAsia="宋体" w:cs="宋体"/>
          <w:b/>
          <w:bCs/>
          <w:sz w:val="24"/>
          <w:szCs w:val="24"/>
          <w:highlight w:val="none"/>
        </w:rPr>
        <w:t>公开招标公告</w:t>
      </w:r>
      <w:bookmarkEnd w:id="1"/>
      <w:bookmarkEnd w:id="2"/>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库尔勒市第二人民医院医疗设备采购招标</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招标项目的潜在投标人应http://www.ccgp-xinjiang.gov.cn/获取招标文件，并于202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08月26日</w:t>
      </w: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0（北京时间）前递交投标文件。</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val="en-US" w:eastAsia="zh-CN"/>
        </w:rPr>
        <w:t>MZCZ01-2021001</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val="en-US" w:eastAsia="zh-CN"/>
        </w:rPr>
        <w:t>库尔勒市第二人民医院医疗设备采购招标</w:t>
      </w:r>
      <w:r>
        <w:rPr>
          <w:rFonts w:hint="eastAsia" w:ascii="宋体" w:hAnsi="宋体" w:eastAsia="宋体" w:cs="宋体"/>
          <w:sz w:val="24"/>
          <w:szCs w:val="24"/>
          <w:highlight w:val="none"/>
          <w:lang w:eastAsia="zh-CN"/>
        </w:rPr>
        <w:t>项目</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预算金额（元）：</w:t>
      </w:r>
      <w:r>
        <w:rPr>
          <w:rFonts w:hint="eastAsia" w:ascii="宋体" w:hAnsi="宋体" w:eastAsia="宋体" w:cs="宋体"/>
          <w:sz w:val="24"/>
          <w:szCs w:val="24"/>
          <w:highlight w:val="none"/>
          <w:lang w:val="en-US" w:eastAsia="zh-CN"/>
        </w:rPr>
        <w:t>1290000.00</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最高限价（元）：</w:t>
      </w:r>
      <w:r>
        <w:rPr>
          <w:rFonts w:hint="eastAsia" w:ascii="宋体" w:hAnsi="宋体" w:eastAsia="宋体" w:cs="宋体"/>
          <w:sz w:val="24"/>
          <w:szCs w:val="24"/>
          <w:highlight w:val="none"/>
          <w:lang w:val="en-US" w:eastAsia="zh-CN"/>
        </w:rPr>
        <w:t>1290000.00</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采购需求：</w:t>
      </w:r>
      <w:r>
        <w:rPr>
          <w:rFonts w:hint="eastAsia" w:ascii="宋体" w:hAnsi="宋体" w:eastAsia="宋体" w:cs="宋体"/>
          <w:sz w:val="24"/>
          <w:szCs w:val="24"/>
          <w:highlight w:val="none"/>
          <w:lang w:eastAsia="zh-CN"/>
        </w:rPr>
        <w:t>本项目按包划分</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b/>
          <w:bCs/>
          <w:sz w:val="24"/>
          <w:szCs w:val="24"/>
          <w:highlight w:val="none"/>
          <w:lang w:val="en-US" w:eastAsia="zh-CN"/>
        </w:rPr>
        <w:t>一包：口腔牙科种植机</w:t>
      </w:r>
      <w:r>
        <w:rPr>
          <w:rFonts w:hint="eastAsia" w:ascii="宋体" w:hAnsi="宋体" w:eastAsia="宋体" w:cs="宋体"/>
          <w:b/>
          <w:bCs/>
          <w:sz w:val="24"/>
          <w:szCs w:val="24"/>
          <w:highlight w:val="none"/>
          <w:lang w:eastAsia="zh-CN"/>
        </w:rPr>
        <w:t>（允许采购原装进口）</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数量:1</w:t>
      </w:r>
      <w:r>
        <w:rPr>
          <w:rFonts w:hint="eastAsia" w:ascii="宋体" w:hAnsi="宋体" w:eastAsia="宋体" w:cs="宋体"/>
          <w:sz w:val="24"/>
          <w:szCs w:val="24"/>
          <w:highlight w:val="none"/>
          <w:lang w:eastAsia="zh-CN"/>
        </w:rPr>
        <w:t>套</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预算金额（元）:</w:t>
      </w:r>
      <w:r>
        <w:rPr>
          <w:rFonts w:hint="eastAsia" w:ascii="宋体" w:hAnsi="宋体" w:eastAsia="宋体" w:cs="宋体"/>
          <w:sz w:val="24"/>
          <w:szCs w:val="24"/>
          <w:highlight w:val="none"/>
          <w:lang w:val="en-US" w:eastAsia="zh-CN"/>
        </w:rPr>
        <w:t>700000元</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简要规格描述或项目基本概况介绍、用途：具体采购要求详见招标文件</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备注：</w:t>
      </w:r>
      <w:r>
        <w:rPr>
          <w:rFonts w:hint="eastAsia" w:ascii="宋体" w:hAnsi="宋体" w:eastAsia="宋体" w:cs="宋体"/>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合同履约期限：以合同约定为准</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cs="宋体"/>
          <w:sz w:val="24"/>
          <w:szCs w:val="24"/>
          <w:highlight w:val="none"/>
          <w:lang w:eastAsia="zh-CN"/>
        </w:rPr>
        <w:t>不</w:t>
      </w:r>
      <w:r>
        <w:rPr>
          <w:rFonts w:hint="eastAsia" w:ascii="宋体" w:hAnsi="宋体" w:eastAsia="宋体" w:cs="宋体"/>
          <w:sz w:val="24"/>
          <w:szCs w:val="24"/>
          <w:highlight w:val="none"/>
        </w:rPr>
        <w:t>接受联合体投标。</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b/>
          <w:bCs/>
          <w:sz w:val="24"/>
          <w:szCs w:val="24"/>
          <w:highlight w:val="none"/>
          <w:lang w:val="en-US" w:eastAsia="zh-CN"/>
        </w:rPr>
        <w:t>二包：超声高频外科集成系统</w:t>
      </w:r>
      <w:r>
        <w:rPr>
          <w:rFonts w:hint="eastAsia" w:ascii="宋体" w:hAnsi="宋体" w:eastAsia="宋体" w:cs="宋体"/>
          <w:b/>
          <w:bCs/>
          <w:sz w:val="24"/>
          <w:szCs w:val="24"/>
          <w:highlight w:val="none"/>
          <w:lang w:eastAsia="zh-CN"/>
        </w:rPr>
        <w:t>（允许采购原装进口）</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数量:1</w:t>
      </w:r>
      <w:r>
        <w:rPr>
          <w:rFonts w:hint="eastAsia" w:ascii="宋体" w:hAnsi="宋体" w:eastAsia="宋体" w:cs="宋体"/>
          <w:sz w:val="24"/>
          <w:szCs w:val="24"/>
          <w:highlight w:val="none"/>
          <w:lang w:eastAsia="zh-CN"/>
        </w:rPr>
        <w:t>套</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预算金额（元）:</w:t>
      </w:r>
      <w:r>
        <w:rPr>
          <w:rFonts w:hint="eastAsia" w:ascii="宋体" w:hAnsi="宋体" w:eastAsia="宋体" w:cs="宋体"/>
          <w:sz w:val="24"/>
          <w:szCs w:val="24"/>
          <w:highlight w:val="none"/>
          <w:lang w:val="en-US" w:eastAsia="zh-CN"/>
        </w:rPr>
        <w:t>590000元</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简要规格描述或项目基本概况介绍、用途：具体采购要求详见招标文件</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备注：</w:t>
      </w:r>
      <w:r>
        <w:rPr>
          <w:rFonts w:hint="eastAsia" w:ascii="宋体" w:hAnsi="宋体" w:eastAsia="宋体" w:cs="宋体"/>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合同履约期限：以合同约定为准</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w:t>
      </w:r>
      <w:r>
        <w:rPr>
          <w:rFonts w:hint="eastAsia" w:ascii="宋体" w:hAnsi="宋体" w:cs="宋体"/>
          <w:sz w:val="24"/>
          <w:szCs w:val="24"/>
          <w:highlight w:val="none"/>
          <w:lang w:eastAsia="zh-CN"/>
        </w:rPr>
        <w:t>不</w:t>
      </w:r>
      <w:r>
        <w:rPr>
          <w:rFonts w:hint="eastAsia" w:ascii="宋体" w:hAnsi="宋体" w:eastAsia="宋体" w:cs="宋体"/>
          <w:sz w:val="24"/>
          <w:szCs w:val="24"/>
          <w:highlight w:val="none"/>
        </w:rPr>
        <w:t>接受联合体投标。</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二、申请人的资格要求：</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.本项目的特定资格要求：</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（1）有效的“一证一码”或“三证合一”的营业执照副本； </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（2）凡拟参加本次招标项目的投标商，近三年内（本项目投标截止期前）存在下述条件中的任意一项将拒绝其参加本次采购活动：</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1）“信用中国网（www.creditchina.gov.cn）”被列入失信被执行人、企业经营异常名录、重大税收违法案件当事人名单、政府采购严重违法失信名单（尚在处罚期内的）；</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2）“中国政府采购网（www.ccgp.gov.cn）”被列入政府采购严重违法失信行为记录名单的（尚在处罚期内的）；</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3）“国家企业信用信息公示系统（http://www.gsxt.gov.cn）”列入经营异常名录信息、列入严重违法失信企业名单（黑名单）信息。</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4）“中国裁判文书网（http://wenshu.court.gov.cn/）”有行贿受贿犯罪记录(尚在处罚期内)。</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）法定代表人或其委托代理人应提供本人身份证原件及复印件，委托代理人还应携带《法定代表人授权委托书》</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 </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所投产品属于第二类医疗器械的，还需提供有效的行政主管部门颁发的医疗器械经营备案凭证（或医疗器械生产许可证或医疗器械经营许可证或其他医疗器械生产经营许可证明文件，经营范围需包含本次项目的内容）；所投产品属于第三类医疗器械的，还需提供有效的行政主管部门颁发的医疗器械生产许可证（或医疗器械经营许可证或其他医疗器械生产经营许可证明文件，经营范围需包含本次项目的内容）</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）供应商为经销商或代理商的须提供制造商针对本项目出具的授权证明文件（所投产品为进口产品必须提供）；</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）投标人须提供所投产品的医疗器械注册证书</w:t>
      </w:r>
      <w:r>
        <w:rPr>
          <w:rFonts w:hint="eastAsia" w:ascii="宋体" w:hAnsi="宋体" w:cs="宋体"/>
          <w:sz w:val="24"/>
          <w:szCs w:val="24"/>
          <w:highlight w:val="none"/>
          <w:lang w:eastAsia="zh-CN"/>
        </w:rPr>
        <w:t>（含登记表）</w:t>
      </w:r>
      <w:r>
        <w:rPr>
          <w:rFonts w:hint="eastAsia" w:ascii="宋体" w:hAnsi="宋体" w:eastAsia="宋体" w:cs="宋体"/>
          <w:sz w:val="24"/>
          <w:szCs w:val="24"/>
          <w:highlight w:val="none"/>
        </w:rPr>
        <w:t>复印件（加盖厂家公章）；</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本项目不接受联合体投标。</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三、获取招标文件</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08月05日</w:t>
      </w:r>
      <w:r>
        <w:rPr>
          <w:rFonts w:hint="eastAsia" w:ascii="宋体" w:hAnsi="宋体" w:eastAsia="宋体" w:cs="宋体"/>
          <w:sz w:val="24"/>
          <w:szCs w:val="24"/>
          <w:highlight w:val="none"/>
        </w:rPr>
        <w:t>至202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rPr>
        <w:t>日</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每天上午10:00至</w:t>
      </w:r>
      <w:r>
        <w:rPr>
          <w:rFonts w:hint="eastAsia" w:ascii="宋体" w:hAnsi="宋体" w:eastAsia="宋体" w:cs="宋体"/>
          <w:kern w:val="0"/>
          <w:sz w:val="24"/>
          <w:szCs w:val="24"/>
          <w:highlight w:val="none"/>
          <w:lang w:val="en-US" w:eastAsia="zh-CN"/>
        </w:rPr>
        <w:t>13</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0，下午</w:t>
      </w:r>
      <w:r>
        <w:rPr>
          <w:rFonts w:hint="eastAsia" w:ascii="宋体" w:hAnsi="宋体" w:cs="宋体"/>
          <w:kern w:val="0"/>
          <w:sz w:val="24"/>
          <w:szCs w:val="24"/>
          <w:highlight w:val="none"/>
          <w:lang w:val="en-US" w:eastAsia="zh-CN"/>
        </w:rPr>
        <w:t>15</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rPr>
        <w:t>0至1</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rPr>
        <w:t>0（北京时间，法定节假日除外）</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eastAsia="zh-CN"/>
        </w:rPr>
        <w:t>新疆政府采购网（http://www.ccgp-xinjiang.gov.cn/）</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方式：线上获取</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登陆政采云平台</w:t>
      </w:r>
      <w:r>
        <w:rPr>
          <w:rFonts w:hint="eastAsia" w:ascii="宋体" w:hAnsi="宋体" w:eastAsia="宋体" w:cs="宋体"/>
          <w:sz w:val="24"/>
          <w:szCs w:val="24"/>
          <w:highlight w:val="none"/>
          <w:lang w:eastAsia="zh-CN"/>
        </w:rPr>
        <w:t>（https://www.zcygov.cn/）</w:t>
      </w:r>
      <w:r>
        <w:rPr>
          <w:rFonts w:hint="eastAsia" w:ascii="宋体" w:hAnsi="宋体" w:eastAsia="宋体" w:cs="宋体"/>
          <w:sz w:val="24"/>
          <w:szCs w:val="24"/>
          <w:highlight w:val="none"/>
        </w:rPr>
        <w:t>在线申请获取采购文件（进入“项目采购”应用，在获取采购文件菜单中选择项目，申请获取采购文件）</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售价（元）：</w:t>
      </w:r>
      <w:r>
        <w:rPr>
          <w:rFonts w:hint="eastAsia" w:ascii="宋体" w:hAnsi="宋体" w:eastAsia="宋体" w:cs="宋体"/>
          <w:sz w:val="24"/>
          <w:szCs w:val="24"/>
          <w:highlight w:val="none"/>
          <w:lang w:val="en-US" w:eastAsia="zh-CN"/>
        </w:rPr>
        <w:t>0元/包</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四、提交投标文件截止时间、开标时间和地点</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提交投标文件截止时间：202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08月26日</w:t>
      </w: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0（北京时间）</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投标地点（网址）：</w:t>
      </w:r>
      <w:r>
        <w:rPr>
          <w:rFonts w:hint="eastAsia" w:ascii="宋体" w:hAnsi="宋体" w:eastAsia="宋体" w:cs="宋体"/>
          <w:sz w:val="24"/>
          <w:szCs w:val="24"/>
          <w:highlight w:val="none"/>
          <w:lang w:eastAsia="zh-CN"/>
        </w:rPr>
        <w:t>政采云开标大厅（</w:t>
      </w: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"https://www.zcygov.xn--cn)-np6ej63c8vhfp5b/"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eastAsia="zh-CN"/>
        </w:rPr>
        <w:t>https://www.zcygov.cn在线投标）</w:t>
      </w:r>
      <w:r>
        <w:rPr>
          <w:rFonts w:hint="eastAsia" w:ascii="宋体" w:hAnsi="宋体" w:eastAsia="宋体" w:cs="宋体"/>
          <w:sz w:val="24"/>
          <w:szCs w:val="24"/>
          <w:highlight w:val="none"/>
          <w:lang w:eastAsia="zh-CN"/>
        </w:rPr>
        <w:fldChar w:fldCharType="end"/>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r>
        <w:rPr>
          <w:rFonts w:hint="eastAsia" w:ascii="宋体" w:hAnsi="宋体" w:cs="宋体"/>
          <w:sz w:val="24"/>
          <w:szCs w:val="24"/>
          <w:highlight w:val="none"/>
          <w:lang w:val="en-US" w:eastAsia="zh-CN"/>
        </w:rPr>
        <w:t>08月26日</w:t>
      </w: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0（北京时间）</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开标地点</w:t>
      </w:r>
      <w:r>
        <w:rPr>
          <w:rFonts w:hint="eastAsia" w:ascii="宋体" w:hAnsi="宋体" w:eastAsia="宋体" w:cs="宋体"/>
          <w:sz w:val="24"/>
          <w:szCs w:val="24"/>
          <w:highlight w:val="none"/>
          <w:lang w:eastAsia="zh-CN"/>
        </w:rPr>
        <w:t>（网址）</w:t>
      </w:r>
      <w:r>
        <w:rPr>
          <w:rFonts w:hint="eastAsia" w:ascii="宋体" w:hAnsi="宋体" w:eastAsia="宋体" w:cs="宋体"/>
          <w:sz w:val="24"/>
          <w:szCs w:val="24"/>
          <w:highlight w:val="none"/>
        </w:rPr>
        <w:t>：政采云开标大厅（</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"https://www.zcygov.xn--cn)-np6ej63c8vhfp5b/"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https://www.zcygov.cn在线投标）</w:t>
      </w:r>
      <w:r>
        <w:rPr>
          <w:rFonts w:hint="eastAsia" w:ascii="宋体" w:hAnsi="宋体" w:eastAsia="宋体" w:cs="宋体"/>
          <w:sz w:val="24"/>
          <w:szCs w:val="24"/>
          <w:highlight w:val="none"/>
        </w:rPr>
        <w:fldChar w:fldCharType="end"/>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六、其他补充事宜</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凡有意参加投标者，请于发售时间登陆政采云平台并上传供应商资格要求（1）-（</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）项加盖公章扫描件（制作在一个PDF文件中）进行报名，通过上述报名者可登陆政采云平台下载电子采购文件。</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七、对本次采购提出询问，请按以下方式联系</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 称：库尔勒市第二人民医院</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CN"/>
        </w:rPr>
        <w:t>库尔勒市新城南路</w:t>
      </w:r>
      <w:r>
        <w:rPr>
          <w:rFonts w:hint="eastAsia" w:ascii="宋体" w:hAnsi="宋体" w:eastAsia="宋体" w:cs="宋体"/>
          <w:sz w:val="24"/>
          <w:szCs w:val="24"/>
          <w:highlight w:val="none"/>
          <w:lang w:val="en-US" w:eastAsia="zh-CN"/>
        </w:rPr>
        <w:t>28号</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eastAsia="zh-CN"/>
        </w:rPr>
        <w:t>王泓</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联系电话：</w:t>
      </w:r>
      <w:r>
        <w:rPr>
          <w:rFonts w:hint="eastAsia" w:ascii="宋体" w:hAnsi="宋体" w:eastAsia="宋体" w:cs="宋体"/>
          <w:sz w:val="24"/>
          <w:szCs w:val="24"/>
          <w:highlight w:val="none"/>
          <w:lang w:val="en-US" w:eastAsia="zh-CN"/>
        </w:rPr>
        <w:t>0996-8643007</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eastAsia="zh-CN"/>
        </w:rPr>
        <w:t>福建省闽咨造价咨询有限公司新疆分公司</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CN"/>
        </w:rPr>
        <w:t>新疆库尔勒市延安路丽枫酒店</w:t>
      </w:r>
      <w:r>
        <w:rPr>
          <w:rFonts w:hint="eastAsia" w:ascii="宋体" w:hAnsi="宋体" w:eastAsia="宋体" w:cs="宋体"/>
          <w:sz w:val="24"/>
          <w:szCs w:val="24"/>
          <w:highlight w:val="none"/>
          <w:lang w:val="en-US" w:eastAsia="zh-CN"/>
        </w:rPr>
        <w:t>1805室</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eastAsia="zh-CN"/>
        </w:rPr>
        <w:t>邵艳丽</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val="en-US" w:eastAsia="zh-CN"/>
        </w:rPr>
        <w:t>0996-2272777   18199208277</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采购单位：</w:t>
      </w:r>
      <w:r>
        <w:rPr>
          <w:rFonts w:hint="eastAsia" w:ascii="宋体" w:hAnsi="宋体" w:eastAsia="宋体" w:cs="宋体"/>
          <w:sz w:val="24"/>
          <w:szCs w:val="24"/>
          <w:highlight w:val="none"/>
          <w:lang w:eastAsia="zh-CN"/>
        </w:rPr>
        <w:t>库尔勒市第二人民医院（盖章）</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代理机构：福建省闽咨造价咨询有限公司新疆分公司</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p>
    <w:p>
      <w:pPr>
        <w:rPr>
          <w:rFonts w:hint="eastAsia" w:ascii="宋体" w:hAnsi="宋体" w:eastAsia="宋体" w:cs="宋体"/>
          <w:b/>
          <w:color w:val="auto"/>
          <w:kern w:val="2"/>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2021</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03</w:t>
      </w:r>
      <w:r>
        <w:rPr>
          <w:rFonts w:hint="eastAsia" w:ascii="宋体" w:hAnsi="宋体" w:eastAsia="宋体" w:cs="宋体"/>
          <w:sz w:val="24"/>
          <w:szCs w:val="24"/>
          <w:highlight w:val="none"/>
        </w:rPr>
        <w:t>日</w:t>
      </w:r>
    </w:p>
    <w:p>
      <w:pPr>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br w:type="page"/>
      </w:r>
    </w:p>
    <w:p>
      <w:pPr>
        <w:pStyle w:val="19"/>
        <w:spacing w:line="360" w:lineRule="auto"/>
        <w:jc w:val="center"/>
        <w:outlineLvl w:val="0"/>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第一部分 投标须知</w:t>
      </w:r>
      <w:bookmarkEnd w:id="3"/>
    </w:p>
    <w:tbl>
      <w:tblPr>
        <w:tblStyle w:val="13"/>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7"/>
        <w:gridCol w:w="1495"/>
        <w:gridCol w:w="1021"/>
        <w:gridCol w:w="6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516" w:type="dxa"/>
            <w:gridSpan w:val="2"/>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6832" w:type="dxa"/>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516" w:type="dxa"/>
            <w:gridSpan w:val="2"/>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683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MZCZ01-2021001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516" w:type="dxa"/>
            <w:gridSpan w:val="2"/>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832" w:type="dxa"/>
            <w:noWrap w:val="0"/>
            <w:vAlign w:val="top"/>
          </w:tcPr>
          <w:p>
            <w:pPr>
              <w:spacing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库尔勒市第二人民医院医疗设备采购招标</w:t>
            </w:r>
            <w:r>
              <w:rPr>
                <w:rFonts w:hint="eastAsia" w:ascii="宋体" w:hAnsi="宋体" w:eastAsia="宋体" w:cs="宋体"/>
                <w:kern w:val="0"/>
                <w:sz w:val="24"/>
                <w:szCs w:val="24"/>
                <w:highlight w:val="none"/>
                <w:lang w:eastAsia="zh-CN"/>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516" w:type="dxa"/>
            <w:gridSpan w:val="2"/>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招标代理机构</w:t>
            </w:r>
          </w:p>
        </w:tc>
        <w:tc>
          <w:tcPr>
            <w:tcW w:w="6832" w:type="dxa"/>
            <w:noWrap w:val="0"/>
            <w:vAlign w:val="center"/>
          </w:tcPr>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lang w:eastAsia="zh-CN"/>
              </w:rPr>
              <w:t>福建省闽咨造价咨询有限公司新疆分公司</w:t>
            </w:r>
          </w:p>
          <w:p>
            <w:pPr>
              <w:overflowPunct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单位地址：</w:t>
            </w:r>
            <w:r>
              <w:rPr>
                <w:rFonts w:hint="eastAsia" w:ascii="宋体" w:hAnsi="宋体" w:eastAsia="宋体" w:cs="宋体"/>
                <w:sz w:val="24"/>
                <w:szCs w:val="24"/>
                <w:highlight w:val="none"/>
                <w:lang w:eastAsia="zh-CN"/>
              </w:rPr>
              <w:t>库尔勒市延安路丽枫酒店</w:t>
            </w:r>
            <w:r>
              <w:rPr>
                <w:rFonts w:hint="eastAsia" w:ascii="宋体" w:hAnsi="宋体" w:eastAsia="宋体" w:cs="宋体"/>
                <w:sz w:val="24"/>
                <w:szCs w:val="24"/>
                <w:highlight w:val="none"/>
                <w:lang w:val="en-US" w:eastAsia="zh-CN"/>
              </w:rPr>
              <w:t>1805室</w:t>
            </w:r>
          </w:p>
          <w:p>
            <w:pPr>
              <w:overflowPunct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邵艳丽</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18199208277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516" w:type="dxa"/>
            <w:gridSpan w:val="2"/>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w:t>
            </w:r>
            <w:r>
              <w:rPr>
                <w:rFonts w:hint="eastAsia" w:ascii="宋体" w:hAnsi="宋体" w:eastAsia="宋体" w:cs="宋体"/>
                <w:sz w:val="24"/>
                <w:szCs w:val="24"/>
                <w:highlight w:val="none"/>
              </w:rPr>
              <w:t>标内容及预算金额</w:t>
            </w:r>
          </w:p>
        </w:tc>
        <w:tc>
          <w:tcPr>
            <w:tcW w:w="6832"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一包：口腔牙科种植机</w:t>
            </w:r>
            <w:r>
              <w:rPr>
                <w:rFonts w:hint="eastAsia" w:ascii="宋体" w:hAnsi="宋体" w:cs="宋体"/>
                <w:kern w:val="0"/>
                <w:sz w:val="24"/>
                <w:szCs w:val="24"/>
                <w:highlight w:val="none"/>
                <w:lang w:eastAsia="zh-CN"/>
              </w:rPr>
              <w:t>（允许采购原装进口）</w:t>
            </w:r>
            <w:r>
              <w:rPr>
                <w:rFonts w:hint="eastAsia" w:ascii="宋体" w:hAnsi="宋体" w:eastAsia="宋体" w:cs="宋体"/>
                <w:kern w:val="0"/>
                <w:sz w:val="24"/>
                <w:szCs w:val="24"/>
                <w:highlight w:val="none"/>
                <w:lang w:eastAsia="zh-CN"/>
              </w:rPr>
              <w:t>，预算金额：</w:t>
            </w:r>
            <w:r>
              <w:rPr>
                <w:rFonts w:hint="eastAsia" w:ascii="宋体" w:hAnsi="宋体" w:eastAsia="宋体" w:cs="宋体"/>
                <w:kern w:val="0"/>
                <w:sz w:val="24"/>
                <w:szCs w:val="24"/>
                <w:highlight w:val="none"/>
                <w:lang w:val="en-US" w:eastAsia="zh-CN"/>
              </w:rPr>
              <w:t>70万元</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0"/>
                <w:sz w:val="24"/>
                <w:szCs w:val="24"/>
                <w:highlight w:val="none"/>
                <w:lang w:val="en-US"/>
              </w:rPr>
            </w:pPr>
            <w:r>
              <w:rPr>
                <w:rFonts w:hint="eastAsia" w:ascii="宋体" w:hAnsi="宋体" w:eastAsia="宋体" w:cs="宋体"/>
                <w:b/>
                <w:bCs/>
                <w:sz w:val="24"/>
                <w:szCs w:val="24"/>
                <w:highlight w:val="none"/>
                <w:lang w:val="en-US" w:eastAsia="zh-CN"/>
              </w:rPr>
              <w:t>二包：超声高频外科集成系统</w:t>
            </w:r>
            <w:r>
              <w:rPr>
                <w:rFonts w:hint="eastAsia" w:ascii="宋体" w:hAnsi="宋体" w:cs="宋体"/>
                <w:kern w:val="0"/>
                <w:sz w:val="24"/>
                <w:szCs w:val="24"/>
                <w:highlight w:val="none"/>
                <w:lang w:eastAsia="zh-CN"/>
              </w:rPr>
              <w:t>（允许采购原装进口）</w:t>
            </w:r>
            <w:r>
              <w:rPr>
                <w:rFonts w:hint="eastAsia" w:ascii="宋体" w:hAnsi="宋体" w:eastAsia="宋体" w:cs="宋体"/>
                <w:kern w:val="0"/>
                <w:sz w:val="24"/>
                <w:szCs w:val="24"/>
                <w:highlight w:val="none"/>
                <w:lang w:eastAsia="zh-CN"/>
              </w:rPr>
              <w:t>，预算金额：</w:t>
            </w:r>
            <w:r>
              <w:rPr>
                <w:rFonts w:hint="eastAsia" w:ascii="宋体" w:hAnsi="宋体" w:eastAsia="宋体" w:cs="宋体"/>
                <w:kern w:val="0"/>
                <w:sz w:val="24"/>
                <w:szCs w:val="24"/>
                <w:highlight w:val="none"/>
                <w:lang w:val="en-US" w:eastAsia="zh-CN"/>
              </w:rPr>
              <w:t>59万元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7" w:type="dxa"/>
            <w:tcBorders>
              <w:bottom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516" w:type="dxa"/>
            <w:gridSpan w:val="2"/>
            <w:tcBorders>
              <w:bottom w:val="single" w:color="auto" w:sz="4" w:space="0"/>
              <w:right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投标资格</w:t>
            </w:r>
          </w:p>
        </w:tc>
        <w:tc>
          <w:tcPr>
            <w:tcW w:w="6832" w:type="dxa"/>
            <w:tcBorders>
              <w:left w:val="single" w:color="auto" w:sz="4" w:space="0"/>
              <w:bottom w:val="single" w:color="auto" w:sz="4" w:space="0"/>
            </w:tcBorders>
            <w:noWrap w:val="0"/>
            <w:vAlign w:val="center"/>
          </w:tcPr>
          <w:p>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具有承担本项目的能力以及符合下述条件的供应商（制造商、代理商）均为合格的投标人：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.本项目的特定资格要求：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（1）有效的“一证一码”或“三证合一”的营业执照副本；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（2）凡拟参加本次招标项目的投标商，近三年内（本项目投标截止期前）存在下述条件中的任意一项将拒绝其参加本次采购活动：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1）“信用中国网（www.creditchina.gov.cn）”被列入失信被执行人、企业经营异常名录、重大税收违法案件当事人名单、政府采购严重违法失信名单（尚在处罚期内的）；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2）“中国政府采购网（www.ccgp.gov.cn）”被列入政府采购严重违法失信行为记录名单的（尚在处罚期内的）；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3）“国家企业信用信息公示系统（http://www.gsxt.gov.cn）”列入经营异常名录信息、列入严重违法失信企业名单（黑名单）信息。</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4）“中国裁判文书网（http://wenshu.court.gov.cn/）”有行贿受贿犯罪记录(尚在处罚期内)。</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）法定代表人或其委托代理人应提供本人身份证原件及复印件，委托代理人还应携带《法定代表人授权委托书》</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所投产品属于第二类医疗器械的，还需提供有效的行政主管部门颁发的医疗器械经营备案凭证（或医疗器械生产许可证或医疗器械经营许可证或其他医疗器械生产经营许可证明文件，经营范围需包含本次项目的内容）；所投产品属于第三类医疗器械的，还需提供有效的行政主管部门颁发的医疗器械生产许可证（或医疗器械经营许可证或其他医疗器械生产经营许可证明文件，经营范围需包含本次项目的内容）</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）供应商为经销商或代理商的须提供制造商针对本项目出具的授权证明文件（所投产品为进口产品必须提供）；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）投标人须提供所投产品的医疗器械注册证书</w:t>
            </w:r>
            <w:r>
              <w:rPr>
                <w:rFonts w:hint="eastAsia" w:ascii="宋体" w:hAnsi="宋体" w:cs="宋体"/>
                <w:sz w:val="24"/>
                <w:szCs w:val="24"/>
                <w:highlight w:val="none"/>
                <w:lang w:eastAsia="zh-CN"/>
              </w:rPr>
              <w:t>（含登记表）</w:t>
            </w:r>
            <w:r>
              <w:rPr>
                <w:rFonts w:hint="eastAsia" w:ascii="宋体" w:hAnsi="宋体" w:eastAsia="宋体" w:cs="宋体"/>
                <w:sz w:val="24"/>
                <w:szCs w:val="24"/>
                <w:highlight w:val="none"/>
              </w:rPr>
              <w:t>复印件（加盖厂家公章）；</w:t>
            </w:r>
          </w:p>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7" w:type="dxa"/>
            <w:tcBorders>
              <w:bottom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516" w:type="dxa"/>
            <w:gridSpan w:val="2"/>
            <w:tcBorders>
              <w:bottom w:val="single" w:color="auto" w:sz="4" w:space="0"/>
              <w:right w:val="single" w:color="auto" w:sz="4" w:space="0"/>
            </w:tcBorders>
            <w:noWrap w:val="0"/>
            <w:vAlign w:val="center"/>
          </w:tcPr>
          <w:p>
            <w:pPr>
              <w:pStyle w:val="20"/>
              <w:spacing w:line="360" w:lineRule="auto"/>
              <w:ind w:left="38"/>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信用情况</w:t>
            </w:r>
          </w:p>
        </w:tc>
        <w:tc>
          <w:tcPr>
            <w:tcW w:w="6832" w:type="dxa"/>
            <w:tcBorders>
              <w:left w:val="single" w:color="auto" w:sz="4" w:space="0"/>
              <w:bottom w:val="single" w:color="auto" w:sz="4" w:space="0"/>
            </w:tcBorders>
            <w:noWrap w:val="0"/>
            <w:vAlign w:val="center"/>
          </w:tcPr>
          <w:p>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1、信用记录查询时间及方式：</w:t>
            </w:r>
          </w:p>
          <w:p>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（1）查询时间：自招标公告发布日期起至开标日期止，超出此时间范围将被视为无效投标。</w:t>
            </w:r>
          </w:p>
          <w:p>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（2）查询方式：投标人自行通过“信用中国”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家企业信用信息公示系统”及“中国政府采购网”查询，并按招标文件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招标文件。</w:t>
            </w:r>
          </w:p>
          <w:p>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（3）供应商参加政府采购活动时，应当就自己的诚信情况在投标文件中进行承诺。</w:t>
            </w:r>
          </w:p>
          <w:p>
            <w:pPr>
              <w:widowControl/>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77" w:type="dxa"/>
            <w:tcBorders>
              <w:top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516" w:type="dxa"/>
            <w:gridSpan w:val="2"/>
            <w:tcBorders>
              <w:top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招标有效期</w:t>
            </w:r>
          </w:p>
        </w:tc>
        <w:tc>
          <w:tcPr>
            <w:tcW w:w="6832" w:type="dxa"/>
            <w:tcBorders>
              <w:top w:val="single" w:color="auto" w:sz="4" w:space="0"/>
            </w:tcBorders>
            <w:noWrap w:val="0"/>
            <w:vAlign w:val="center"/>
          </w:tcPr>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77" w:type="dxa"/>
            <w:tcBorders>
              <w:bottom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2516" w:type="dxa"/>
            <w:gridSpan w:val="2"/>
            <w:tcBorders>
              <w:bottom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评标方法</w:t>
            </w:r>
          </w:p>
        </w:tc>
        <w:tc>
          <w:tcPr>
            <w:tcW w:w="6832" w:type="dxa"/>
            <w:tcBorders>
              <w:bottom w:val="single" w:color="auto" w:sz="4" w:space="0"/>
            </w:tcBorders>
            <w:noWrap w:val="0"/>
            <w:vAlign w:val="center"/>
          </w:tcPr>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77" w:type="dxa"/>
            <w:tcBorders>
              <w:top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516" w:type="dxa"/>
            <w:gridSpan w:val="2"/>
            <w:tcBorders>
              <w:top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是否接受联合体投标</w:t>
            </w:r>
          </w:p>
        </w:tc>
        <w:tc>
          <w:tcPr>
            <w:tcW w:w="6832" w:type="dxa"/>
            <w:tcBorders>
              <w:top w:val="single" w:color="auto" w:sz="4" w:space="0"/>
            </w:tcBorders>
            <w:noWrap w:val="0"/>
            <w:vAlign w:val="center"/>
          </w:tcPr>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2516" w:type="dxa"/>
            <w:gridSpan w:val="2"/>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投标文件发放日期</w:t>
            </w:r>
          </w:p>
        </w:tc>
        <w:tc>
          <w:tcPr>
            <w:tcW w:w="6832" w:type="dxa"/>
            <w:noWrap w:val="0"/>
            <w:vAlign w:val="center"/>
          </w:tcPr>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kern w:val="0"/>
                <w:sz w:val="24"/>
                <w:szCs w:val="24"/>
                <w:highlight w:val="none"/>
              </w:rPr>
              <w:t>2021年</w:t>
            </w:r>
            <w:r>
              <w:rPr>
                <w:rFonts w:hint="eastAsia" w:ascii="宋体" w:hAnsi="宋体" w:cs="宋体"/>
                <w:kern w:val="0"/>
                <w:sz w:val="24"/>
                <w:szCs w:val="24"/>
                <w:highlight w:val="none"/>
                <w:lang w:val="en-US" w:eastAsia="zh-CN"/>
              </w:rPr>
              <w:t>08月05日至2021年08月13日</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每天上午10:00至</w:t>
            </w:r>
            <w:r>
              <w:rPr>
                <w:rFonts w:hint="eastAsia" w:ascii="宋体" w:hAnsi="宋体" w:eastAsia="宋体" w:cs="宋体"/>
                <w:kern w:val="0"/>
                <w:sz w:val="24"/>
                <w:szCs w:val="24"/>
                <w:highlight w:val="none"/>
                <w:lang w:val="en-US" w:eastAsia="zh-CN"/>
              </w:rPr>
              <w:t>13</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0，下午</w:t>
            </w:r>
            <w:r>
              <w:rPr>
                <w:rFonts w:hint="eastAsia" w:ascii="宋体" w:hAnsi="宋体" w:cs="宋体"/>
                <w:kern w:val="0"/>
                <w:sz w:val="24"/>
                <w:szCs w:val="24"/>
                <w:highlight w:val="none"/>
                <w:lang w:val="en-US" w:eastAsia="zh-CN"/>
              </w:rPr>
              <w:t>15</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rPr>
              <w:t>0至1</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rPr>
              <w:t>0（北京时间，法定节假日除外）</w:t>
            </w:r>
          </w:p>
          <w:p>
            <w:pPr>
              <w:widowControl/>
              <w:spacing w:line="360" w:lineRule="auto"/>
              <w:jc w:val="left"/>
              <w:rPr>
                <w:rFonts w:hint="eastAsia" w:ascii="宋体" w:hAnsi="宋体" w:eastAsia="宋体" w:cs="宋体"/>
                <w:b/>
                <w:kern w:val="0"/>
                <w:sz w:val="24"/>
                <w:szCs w:val="24"/>
                <w:highlight w:val="none"/>
                <w:em w:val="dot"/>
              </w:rPr>
            </w:pPr>
            <w:r>
              <w:rPr>
                <w:rFonts w:hint="eastAsia" w:ascii="宋体" w:hAnsi="宋体" w:eastAsia="宋体" w:cs="宋体"/>
                <w:sz w:val="24"/>
                <w:szCs w:val="24"/>
                <w:highlight w:val="none"/>
              </w:rPr>
              <w:t>前往“新疆维吾尔自治区政府采购网”（网址：http://www.ccgp-xinjiang.gov.cn）,投标人登录后进入“项目采购”，在获取采购文件菜单中选择所要投标的项目</w:t>
            </w:r>
            <w:r>
              <w:rPr>
                <w:rFonts w:hint="eastAsia" w:ascii="宋体" w:hAnsi="宋体" w:eastAsia="宋体" w:cs="宋体"/>
                <w:sz w:val="24"/>
                <w:szCs w:val="24"/>
                <w:highlight w:val="none"/>
                <w:lang w:eastAsia="zh-CN"/>
              </w:rPr>
              <w:t>标段</w:t>
            </w:r>
            <w:r>
              <w:rPr>
                <w:rFonts w:hint="eastAsia" w:ascii="宋体" w:hAnsi="宋体" w:eastAsia="宋体" w:cs="宋体"/>
                <w:sz w:val="24"/>
                <w:szCs w:val="24"/>
                <w:highlight w:val="none"/>
              </w:rPr>
              <w:t>，申请获取招标文件。）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2516" w:type="dxa"/>
            <w:gridSpan w:val="2"/>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标书售价</w:t>
            </w:r>
          </w:p>
        </w:tc>
        <w:tc>
          <w:tcPr>
            <w:tcW w:w="6832" w:type="dxa"/>
            <w:noWrap w:val="0"/>
            <w:vAlign w:val="center"/>
          </w:tcPr>
          <w:p>
            <w:pPr>
              <w:overflowPunct w:val="0"/>
              <w:spacing w:line="360" w:lineRule="auto"/>
              <w:rPr>
                <w:rFonts w:hint="eastAsia" w:ascii="宋体" w:hAnsi="宋体" w:eastAsia="宋体" w:cs="宋体"/>
                <w:sz w:val="24"/>
                <w:szCs w:val="24"/>
                <w:highlight w:val="none"/>
              </w:rPr>
            </w:pPr>
            <w:r>
              <w:rPr>
                <w:rFonts w:hint="eastAsia" w:ascii="宋体" w:hAnsi="宋体" w:cs="宋体"/>
                <w:kern w:val="0"/>
                <w:sz w:val="24"/>
                <w:szCs w:val="24"/>
                <w:highlight w:val="none"/>
                <w:lang w:val="en-US" w:eastAsia="zh-CN"/>
              </w:rPr>
              <w:t>0</w:t>
            </w:r>
            <w:r>
              <w:rPr>
                <w:rFonts w:hint="eastAsia" w:ascii="宋体" w:hAnsi="宋体" w:eastAsia="宋体" w:cs="宋体"/>
                <w:kern w:val="0"/>
                <w:sz w:val="24"/>
                <w:szCs w:val="24"/>
                <w:highlight w:val="none"/>
                <w:lang w:val="en-US" w:eastAsia="zh-CN"/>
              </w:rPr>
              <w:t>元/包，</w:t>
            </w:r>
            <w:r>
              <w:rPr>
                <w:rFonts w:hint="eastAsia" w:ascii="宋体" w:hAnsi="宋体" w:eastAsia="宋体" w:cs="宋体"/>
                <w:sz w:val="24"/>
                <w:szCs w:val="24"/>
                <w:highlight w:val="none"/>
              </w:rPr>
              <w:t>投标资格不能转让。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3</w:t>
            </w:r>
          </w:p>
        </w:tc>
        <w:tc>
          <w:tcPr>
            <w:tcW w:w="2516" w:type="dxa"/>
            <w:gridSpan w:val="2"/>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6832" w:type="dxa"/>
            <w:noWrap w:val="0"/>
            <w:vAlign w:val="center"/>
          </w:tcPr>
          <w:p>
            <w:pPr>
              <w:overflowPunct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投标保证金金额：</w:t>
            </w:r>
          </w:p>
          <w:p>
            <w:pPr>
              <w:overflowPunct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一包：口腔牙科种植机</w:t>
            </w:r>
            <w:r>
              <w:rPr>
                <w:rFonts w:hint="eastAsia" w:ascii="宋体" w:hAnsi="宋体" w:cs="宋体"/>
                <w:kern w:val="0"/>
                <w:sz w:val="24"/>
                <w:szCs w:val="24"/>
                <w:highlight w:val="none"/>
                <w:lang w:eastAsia="zh-CN"/>
              </w:rPr>
              <w:t>（允许采购原装进口）</w:t>
            </w:r>
            <w:r>
              <w:rPr>
                <w:rFonts w:hint="eastAsia" w:ascii="宋体" w:hAnsi="宋体" w:eastAsia="宋体" w:cs="宋体"/>
                <w:sz w:val="24"/>
                <w:szCs w:val="24"/>
                <w:highlight w:val="none"/>
                <w:lang w:val="en-US" w:eastAsia="zh-CN"/>
              </w:rPr>
              <w:t>¥12000.00（壹万贰仟元整）</w:t>
            </w:r>
          </w:p>
          <w:p>
            <w:pPr>
              <w:overflowPunct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二包：超声高频外科集成系统</w:t>
            </w:r>
            <w:r>
              <w:rPr>
                <w:rFonts w:hint="eastAsia" w:ascii="宋体" w:hAnsi="宋体" w:cs="宋体"/>
                <w:kern w:val="0"/>
                <w:sz w:val="24"/>
                <w:szCs w:val="24"/>
                <w:highlight w:val="none"/>
                <w:lang w:eastAsia="zh-CN"/>
              </w:rPr>
              <w:t>（允许采购原装进口）</w:t>
            </w:r>
            <w:r>
              <w:rPr>
                <w:rFonts w:hint="eastAsia" w:ascii="宋体" w:hAnsi="宋体" w:eastAsia="宋体" w:cs="宋体"/>
                <w:sz w:val="24"/>
                <w:szCs w:val="24"/>
                <w:highlight w:val="none"/>
                <w:lang w:val="en-US" w:eastAsia="zh-CN"/>
              </w:rPr>
              <w:t xml:space="preserve">¥10000.00（壹万元整） </w:t>
            </w:r>
          </w:p>
          <w:p>
            <w:pPr>
              <w:pageBreakBefore w:val="0"/>
              <w:widowControl w:val="0"/>
              <w:kinsoku/>
              <w:wordWrap/>
              <w:overflowPunct w:val="0"/>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投标保证金形式：</w:t>
            </w:r>
            <w:r>
              <w:rPr>
                <w:rFonts w:hint="eastAsia" w:ascii="宋体" w:hAnsi="宋体" w:eastAsia="宋体" w:cs="宋体"/>
                <w:sz w:val="24"/>
                <w:szCs w:val="24"/>
                <w:highlight w:val="none"/>
                <w:lang w:val="en-US" w:eastAsia="zh-CN"/>
              </w:rPr>
              <w:t xml:space="preserve"> 投标人应以自己的名义必须在</w:t>
            </w:r>
            <w:r>
              <w:rPr>
                <w:rFonts w:hint="eastAsia" w:ascii="宋体" w:hAnsi="宋体" w:cs="宋体"/>
                <w:sz w:val="24"/>
                <w:szCs w:val="24"/>
                <w:highlight w:val="none"/>
                <w:lang w:val="en-US" w:eastAsia="zh-CN"/>
              </w:rPr>
              <w:t>2021年08月24日</w:t>
            </w:r>
            <w:r>
              <w:rPr>
                <w:rFonts w:hint="eastAsia" w:ascii="宋体" w:hAnsi="宋体" w:eastAsia="宋体" w:cs="宋体"/>
                <w:sz w:val="24"/>
                <w:szCs w:val="24"/>
                <w:highlight w:val="none"/>
                <w:lang w:val="en-US" w:eastAsia="zh-CN"/>
              </w:rPr>
              <w:t>18：00（北京时间）前， 从其基本账户转出提交至下述指定专用账户（并必须注明项目名称及标段、用途，且须与所投项目名称、 标段相一致， 金额以投标保证金截止时间止到帐为准，否则其缴纳的投标保证金无效）。</w:t>
            </w:r>
            <w:bookmarkStart w:id="87" w:name="_GoBack"/>
            <w:bookmarkEnd w:id="87"/>
          </w:p>
          <w:p>
            <w:pPr>
              <w:pStyle w:val="4"/>
              <w:keepNext/>
              <w:keepLines/>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b/>
                <w:bCs/>
                <w:kern w:val="2"/>
                <w:sz w:val="24"/>
                <w:szCs w:val="24"/>
                <w:highlight w:val="none"/>
                <w:lang w:val="en-US" w:eastAsia="zh-CN" w:bidi="ar-SA"/>
              </w:rPr>
              <w:t>说明：</w:t>
            </w:r>
            <w:r>
              <w:rPr>
                <w:rFonts w:hint="eastAsia" w:ascii="宋体" w:hAnsi="宋体" w:eastAsia="宋体" w:cs="宋体"/>
                <w:b w:val="0"/>
                <w:kern w:val="2"/>
                <w:sz w:val="24"/>
                <w:szCs w:val="24"/>
                <w:highlight w:val="none"/>
                <w:lang w:val="en-US" w:eastAsia="zh-CN" w:bidi="ar-SA"/>
              </w:rPr>
              <w:t>投标人须提供能够证明投标保证金从其基本账户中转出且已交存的有效凭证，否则无效！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4</w:t>
            </w:r>
          </w:p>
        </w:tc>
        <w:tc>
          <w:tcPr>
            <w:tcW w:w="2516" w:type="dxa"/>
            <w:gridSpan w:val="2"/>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投标文件份数及开标一览表</w:t>
            </w:r>
          </w:p>
        </w:tc>
        <w:tc>
          <w:tcPr>
            <w:tcW w:w="6832" w:type="dxa"/>
            <w:noWrap w:val="0"/>
            <w:vAlign w:val="center"/>
          </w:tcPr>
          <w:p>
            <w:pPr>
              <w:overflowPunct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本项目实行电子招投标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供应商须登录政采云平台申请获取采购文件，并通过政采云电子投标客户端制作投标文件，同时自行承担与投标有关的一切费用。</w:t>
            </w:r>
          </w:p>
          <w:p>
            <w:pPr>
              <w:overflowPunct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开标后投标文件份数：第一中标候选人一正</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副共</w:t>
            </w:r>
            <w:r>
              <w:rPr>
                <w:rFonts w:hint="eastAsia" w:ascii="宋体" w:hAnsi="宋体" w:cs="宋体"/>
                <w:sz w:val="24"/>
                <w:szCs w:val="24"/>
                <w:highlight w:val="none"/>
                <w:lang w:val="en-US" w:eastAsia="zh-CN"/>
              </w:rPr>
              <w:t>四</w:t>
            </w:r>
            <w:r>
              <w:rPr>
                <w:rFonts w:hint="eastAsia" w:ascii="宋体" w:hAnsi="宋体" w:eastAsia="宋体" w:cs="宋体"/>
                <w:sz w:val="24"/>
                <w:szCs w:val="24"/>
                <w:highlight w:val="none"/>
                <w:lang w:val="en-US" w:eastAsia="zh-CN"/>
              </w:rPr>
              <w:t>份，其它投标人一正</w:t>
            </w: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lang w:val="en-US" w:eastAsia="zh-CN"/>
              </w:rPr>
              <w:t>副共</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 xml:space="preserve">份。 </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要求电子版：电子版 U 盘、光盘各一份。 </w:t>
            </w:r>
          </w:p>
          <w:p>
            <w:pPr>
              <w:overflowPunct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其他要求：投标人应在评标工作结束后的5日内，向招标代理机构提供。 </w:t>
            </w:r>
          </w:p>
          <w:p>
            <w:pPr>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color w:val="000000"/>
                <w:kern w:val="0"/>
                <w:sz w:val="24"/>
                <w:szCs w:val="24"/>
                <w:highlight w:val="none"/>
                <w:lang w:val="en-US" w:eastAsia="zh-CN" w:bidi="ar"/>
              </w:rPr>
              <w:t xml:space="preserve">其他：纸质版投标文件可通过电子版投标文件打印生成，应当与电子版投标文件一致。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5</w:t>
            </w:r>
          </w:p>
        </w:tc>
        <w:tc>
          <w:tcPr>
            <w:tcW w:w="2516" w:type="dxa"/>
            <w:gridSpan w:val="2"/>
            <w:noWrap w:val="0"/>
            <w:vAlign w:val="center"/>
          </w:tcPr>
          <w:p>
            <w:pPr>
              <w:overflowPunct w:val="0"/>
              <w:spacing w:line="360" w:lineRule="auto"/>
              <w:ind w:left="240" w:hanging="240" w:hangingChars="100"/>
              <w:rPr>
                <w:rFonts w:hint="eastAsia" w:ascii="宋体" w:hAnsi="宋体" w:eastAsia="宋体" w:cs="宋体"/>
                <w:sz w:val="24"/>
                <w:szCs w:val="24"/>
                <w:highlight w:val="none"/>
              </w:rPr>
            </w:pPr>
            <w:r>
              <w:rPr>
                <w:rFonts w:hint="eastAsia" w:ascii="宋体" w:hAnsi="宋体" w:eastAsia="宋体" w:cs="宋体"/>
                <w:sz w:val="24"/>
                <w:szCs w:val="24"/>
                <w:highlight w:val="none"/>
              </w:rPr>
              <w:t>开标时间及招标文件递交截止时间</w:t>
            </w:r>
          </w:p>
        </w:tc>
        <w:tc>
          <w:tcPr>
            <w:tcW w:w="6832" w:type="dxa"/>
            <w:noWrap w:val="0"/>
            <w:vAlign w:val="center"/>
          </w:tcPr>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2021年</w:t>
            </w:r>
            <w:r>
              <w:rPr>
                <w:rFonts w:hint="eastAsia" w:ascii="宋体" w:hAnsi="宋体" w:cs="宋体"/>
                <w:sz w:val="24"/>
                <w:szCs w:val="24"/>
                <w:highlight w:val="none"/>
                <w:lang w:val="en-US" w:eastAsia="zh-CN"/>
              </w:rPr>
              <w:t>08月26日</w:t>
            </w:r>
            <w:r>
              <w:rPr>
                <w:rFonts w:hint="eastAsia" w:ascii="宋体" w:hAnsi="宋体" w:eastAsia="宋体" w:cs="宋体"/>
                <w:sz w:val="24"/>
                <w:szCs w:val="24"/>
                <w:highlight w:val="none"/>
              </w:rPr>
              <w:t>上午1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0(北京时间)（如有变动另行通知）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977" w:type="dxa"/>
            <w:noWrap w:val="0"/>
            <w:vAlign w:val="center"/>
          </w:tcPr>
          <w:p>
            <w:pPr>
              <w:overflowPunct w:val="0"/>
              <w:spacing w:line="36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1</w:t>
            </w:r>
            <w:r>
              <w:rPr>
                <w:rFonts w:hint="eastAsia" w:ascii="宋体" w:hAnsi="宋体" w:cs="宋体"/>
                <w:kern w:val="0"/>
                <w:sz w:val="24"/>
                <w:szCs w:val="24"/>
                <w:highlight w:val="none"/>
                <w:lang w:val="en-US" w:eastAsia="zh-CN"/>
              </w:rPr>
              <w:t>6</w:t>
            </w:r>
          </w:p>
        </w:tc>
        <w:tc>
          <w:tcPr>
            <w:tcW w:w="2516" w:type="dxa"/>
            <w:gridSpan w:val="2"/>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w:t>
            </w:r>
            <w:r>
              <w:rPr>
                <w:rFonts w:hint="eastAsia" w:ascii="宋体" w:hAnsi="宋体" w:eastAsia="宋体" w:cs="宋体"/>
                <w:sz w:val="24"/>
                <w:szCs w:val="24"/>
                <w:highlight w:val="none"/>
              </w:rPr>
              <w:t>标文件递交及开标地点</w:t>
            </w:r>
          </w:p>
        </w:tc>
        <w:tc>
          <w:tcPr>
            <w:tcW w:w="6832" w:type="dxa"/>
            <w:noWrap w:val="0"/>
            <w:vAlign w:val="center"/>
          </w:tcPr>
          <w:p>
            <w:pPr>
              <w:tabs>
                <w:tab w:val="left" w:pos="1440"/>
                <w:tab w:val="left" w:pos="2100"/>
              </w:tabs>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新疆维吾尔自治区政府采购网（网址：http://www.ccgp-xinjiang.gov.cn）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977" w:type="dxa"/>
            <w:tcBorders>
              <w:top w:val="single" w:color="auto" w:sz="4" w:space="0"/>
              <w:bottom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7</w:t>
            </w:r>
          </w:p>
        </w:tc>
        <w:tc>
          <w:tcPr>
            <w:tcW w:w="2516" w:type="dxa"/>
            <w:gridSpan w:val="2"/>
            <w:tcBorders>
              <w:top w:val="single" w:color="auto" w:sz="4" w:space="0"/>
              <w:bottom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电子投标文件的编制</w:t>
            </w:r>
          </w:p>
        </w:tc>
        <w:tc>
          <w:tcPr>
            <w:tcW w:w="6832" w:type="dxa"/>
            <w:tcBorders>
              <w:top w:val="single" w:color="auto" w:sz="4" w:space="0"/>
              <w:bottom w:val="single" w:color="auto" w:sz="4" w:space="0"/>
            </w:tcBorders>
            <w:noWrap w:val="0"/>
            <w:vAlign w:val="center"/>
          </w:tcPr>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 xml:space="preserve">电子投标文件使用政采云提供的电子投标客户端以及招标文件要求进行制作编制。投标文件制作时，不同内容按标签提示制作导入，按照招标文件中明确的投标文件目录和格式进行编制，保证目录清晰、内容完整。           </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电子投标文件须使用投标人公章的电子签章以及法定代表人的电子签章。若无电子签章，则视为无效投标。</w:t>
            </w:r>
          </w:p>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 xml:space="preserve">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 </w:t>
            </w:r>
          </w:p>
          <w:p>
            <w:pPr>
              <w:widowControl/>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备注</w:t>
            </w: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rPr>
              <w:t>因投标人自身原因导致解密失败的，将导致其投标被拒绝且投标文件被退回；但因网上招标系统故障导致所有投标人均解密失败时，投标人使用未加密的电子投标文件进行开评标</w:t>
            </w:r>
            <w:r>
              <w:rPr>
                <w:rFonts w:hint="eastAsia" w:ascii="宋体" w:hAnsi="宋体" w:eastAsia="宋体" w:cs="宋体"/>
                <w:b/>
                <w:bCs/>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7" w:type="dxa"/>
            <w:vMerge w:val="restart"/>
            <w:tcBorders>
              <w:top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8</w:t>
            </w:r>
          </w:p>
        </w:tc>
        <w:tc>
          <w:tcPr>
            <w:tcW w:w="1495" w:type="dxa"/>
            <w:vMerge w:val="restart"/>
            <w:tcBorders>
              <w:top w:val="single" w:color="auto" w:sz="4" w:space="0"/>
              <w:right w:val="single" w:color="auto" w:sz="4" w:space="0"/>
            </w:tcBorders>
            <w:noWrap w:val="0"/>
            <w:vAlign w:val="center"/>
          </w:tcPr>
          <w:p>
            <w:pPr>
              <w:overflowPunct w:val="0"/>
              <w:spacing w:line="360" w:lineRule="auto"/>
              <w:jc w:val="center"/>
              <w:rPr>
                <w:rFonts w:hint="eastAsia" w:ascii="宋体" w:hAnsi="宋体" w:eastAsia="宋体" w:cs="宋体"/>
                <w:b/>
                <w:kern w:val="0"/>
                <w:sz w:val="24"/>
                <w:szCs w:val="24"/>
                <w:highlight w:val="none"/>
              </w:rPr>
            </w:pPr>
          </w:p>
          <w:p>
            <w:pPr>
              <w:overflowPunct w:val="0"/>
              <w:spacing w:line="360" w:lineRule="auto"/>
              <w:jc w:val="center"/>
              <w:rPr>
                <w:rFonts w:hint="eastAsia" w:ascii="宋体" w:hAnsi="宋体" w:eastAsia="宋体" w:cs="宋体"/>
                <w:b/>
                <w:kern w:val="0"/>
                <w:sz w:val="24"/>
                <w:szCs w:val="24"/>
                <w:highlight w:val="none"/>
              </w:rPr>
            </w:pPr>
          </w:p>
          <w:p>
            <w:pPr>
              <w:overflowPunct w:val="0"/>
              <w:spacing w:line="360" w:lineRule="auto"/>
              <w:jc w:val="center"/>
              <w:rPr>
                <w:rFonts w:hint="eastAsia" w:ascii="宋体" w:hAnsi="宋体" w:eastAsia="宋体" w:cs="宋体"/>
                <w:b/>
                <w:kern w:val="0"/>
                <w:sz w:val="24"/>
                <w:szCs w:val="24"/>
                <w:highlight w:val="none"/>
              </w:rPr>
            </w:pPr>
          </w:p>
          <w:p>
            <w:pPr>
              <w:overflowPunct w:val="0"/>
              <w:spacing w:line="360" w:lineRule="auto"/>
              <w:jc w:val="center"/>
              <w:rPr>
                <w:rFonts w:hint="eastAsia" w:ascii="宋体" w:hAnsi="宋体" w:eastAsia="宋体" w:cs="宋体"/>
                <w:b/>
                <w:kern w:val="0"/>
                <w:sz w:val="24"/>
                <w:szCs w:val="24"/>
                <w:highlight w:val="none"/>
              </w:rPr>
            </w:pPr>
          </w:p>
          <w:p>
            <w:pPr>
              <w:overflowPunct w:val="0"/>
              <w:spacing w:line="360" w:lineRule="auto"/>
              <w:jc w:val="center"/>
              <w:rPr>
                <w:rFonts w:hint="eastAsia" w:ascii="宋体" w:hAnsi="宋体" w:eastAsia="宋体" w:cs="宋体"/>
                <w:b/>
                <w:kern w:val="0"/>
                <w:sz w:val="24"/>
                <w:szCs w:val="24"/>
                <w:highlight w:val="none"/>
              </w:rPr>
            </w:pPr>
          </w:p>
          <w:p>
            <w:pPr>
              <w:overflowPunct w:val="0"/>
              <w:spacing w:line="360" w:lineRule="auto"/>
              <w:jc w:val="center"/>
              <w:rPr>
                <w:rFonts w:hint="eastAsia" w:ascii="宋体" w:hAnsi="宋体" w:eastAsia="宋体" w:cs="宋体"/>
                <w:b/>
                <w:kern w:val="0"/>
                <w:sz w:val="24"/>
                <w:szCs w:val="24"/>
                <w:highlight w:val="none"/>
              </w:rPr>
            </w:pPr>
          </w:p>
          <w:p>
            <w:pPr>
              <w:overflowPunct w:val="0"/>
              <w:spacing w:line="360" w:lineRule="auto"/>
              <w:jc w:val="center"/>
              <w:rPr>
                <w:rFonts w:hint="eastAsia" w:ascii="宋体" w:hAnsi="宋体" w:eastAsia="宋体" w:cs="宋体"/>
                <w:b/>
                <w:kern w:val="0"/>
                <w:sz w:val="24"/>
                <w:szCs w:val="24"/>
                <w:highlight w:val="none"/>
              </w:rPr>
            </w:pPr>
          </w:p>
          <w:p>
            <w:pPr>
              <w:overflowPunct w:val="0"/>
              <w:spacing w:line="360" w:lineRule="auto"/>
              <w:jc w:val="center"/>
              <w:rPr>
                <w:rFonts w:hint="eastAsia" w:ascii="宋体" w:hAnsi="宋体" w:eastAsia="宋体" w:cs="宋体"/>
                <w:b/>
                <w:kern w:val="0"/>
                <w:sz w:val="24"/>
                <w:szCs w:val="24"/>
                <w:highlight w:val="none"/>
              </w:rPr>
            </w:pPr>
          </w:p>
          <w:p>
            <w:pPr>
              <w:overflowPunct w:val="0"/>
              <w:spacing w:line="360" w:lineRule="auto"/>
              <w:jc w:val="center"/>
              <w:rPr>
                <w:rFonts w:hint="eastAsia" w:ascii="宋体" w:hAnsi="宋体" w:eastAsia="宋体" w:cs="宋体"/>
                <w:b/>
                <w:kern w:val="0"/>
                <w:sz w:val="24"/>
                <w:szCs w:val="24"/>
                <w:highlight w:val="none"/>
              </w:rPr>
            </w:pPr>
          </w:p>
          <w:p>
            <w:pPr>
              <w:overflowPunct w:val="0"/>
              <w:spacing w:line="360" w:lineRule="auto"/>
              <w:jc w:val="center"/>
              <w:rPr>
                <w:rFonts w:hint="eastAsia" w:ascii="宋体" w:hAnsi="宋体" w:eastAsia="宋体" w:cs="宋体"/>
                <w:b/>
                <w:kern w:val="0"/>
                <w:sz w:val="24"/>
                <w:szCs w:val="24"/>
                <w:highlight w:val="none"/>
              </w:rPr>
            </w:pPr>
          </w:p>
          <w:p>
            <w:pPr>
              <w:overflowPunct w:val="0"/>
              <w:spacing w:line="360" w:lineRule="auto"/>
              <w:jc w:val="center"/>
              <w:rPr>
                <w:rFonts w:hint="eastAsia" w:ascii="宋体" w:hAnsi="宋体" w:eastAsia="宋体" w:cs="宋体"/>
                <w:b/>
                <w:kern w:val="0"/>
                <w:sz w:val="24"/>
                <w:szCs w:val="24"/>
                <w:highlight w:val="none"/>
              </w:rPr>
            </w:pPr>
          </w:p>
          <w:p>
            <w:pPr>
              <w:overflowPunct w:val="0"/>
              <w:spacing w:line="360" w:lineRule="auto"/>
              <w:jc w:val="center"/>
              <w:rPr>
                <w:rFonts w:hint="eastAsia" w:ascii="宋体" w:hAnsi="宋体" w:eastAsia="宋体" w:cs="宋体"/>
                <w:b/>
                <w:kern w:val="0"/>
                <w:sz w:val="24"/>
                <w:szCs w:val="24"/>
                <w:highlight w:val="none"/>
              </w:rPr>
            </w:pPr>
          </w:p>
          <w:p>
            <w:pPr>
              <w:overflowPunct w:val="0"/>
              <w:spacing w:line="360" w:lineRule="auto"/>
              <w:jc w:val="center"/>
              <w:rPr>
                <w:rFonts w:hint="eastAsia" w:ascii="宋体" w:hAnsi="宋体" w:eastAsia="宋体" w:cs="宋体"/>
                <w:b/>
                <w:kern w:val="0"/>
                <w:sz w:val="24"/>
                <w:szCs w:val="24"/>
                <w:highlight w:val="none"/>
              </w:rPr>
            </w:pPr>
          </w:p>
          <w:p>
            <w:pPr>
              <w:overflowPunct w:val="0"/>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投</w:t>
            </w:r>
          </w:p>
          <w:p>
            <w:pPr>
              <w:overflowPunct w:val="0"/>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标</w:t>
            </w:r>
          </w:p>
          <w:p>
            <w:pPr>
              <w:overflowPunct w:val="0"/>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文</w:t>
            </w:r>
          </w:p>
          <w:p>
            <w:pPr>
              <w:overflowPunct w:val="0"/>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件</w:t>
            </w:r>
          </w:p>
          <w:p>
            <w:pPr>
              <w:overflowPunct w:val="0"/>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的</w:t>
            </w:r>
          </w:p>
          <w:p>
            <w:pPr>
              <w:overflowPunct w:val="0"/>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组</w:t>
            </w:r>
          </w:p>
          <w:p>
            <w:pPr>
              <w:overflowPunct w:val="0"/>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成</w:t>
            </w:r>
          </w:p>
          <w:p>
            <w:pPr>
              <w:overflowPunct w:val="0"/>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部</w:t>
            </w:r>
          </w:p>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b/>
                <w:kern w:val="0"/>
                <w:sz w:val="24"/>
                <w:szCs w:val="24"/>
                <w:highlight w:val="none"/>
              </w:rPr>
              <w:t>分</w:t>
            </w:r>
          </w:p>
        </w:tc>
        <w:tc>
          <w:tcPr>
            <w:tcW w:w="1021" w:type="dxa"/>
            <w:tcBorders>
              <w:top w:val="single" w:color="auto" w:sz="4" w:space="0"/>
              <w:left w:val="single" w:color="auto" w:sz="4" w:space="0"/>
              <w:bottom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b/>
                <w:kern w:val="0"/>
                <w:sz w:val="24"/>
                <w:szCs w:val="24"/>
                <w:highlight w:val="none"/>
              </w:rPr>
              <w:t>封面</w:t>
            </w:r>
          </w:p>
        </w:tc>
        <w:tc>
          <w:tcPr>
            <w:tcW w:w="6832" w:type="dxa"/>
            <w:tcBorders>
              <w:top w:val="single" w:color="auto" w:sz="4" w:space="0"/>
              <w:bottom w:val="single" w:color="auto" w:sz="4" w:space="0"/>
            </w:tcBorders>
            <w:noWrap w:val="0"/>
            <w:vAlign w:val="center"/>
          </w:tcPr>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(1)投标文件封面；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7" w:type="dxa"/>
            <w:vMerge w:val="continue"/>
            <w:noWrap w:val="0"/>
            <w:vAlign w:val="center"/>
          </w:tcPr>
          <w:p>
            <w:pPr>
              <w:overflowPunct w:val="0"/>
              <w:spacing w:line="360" w:lineRule="auto"/>
              <w:jc w:val="center"/>
              <w:rPr>
                <w:rFonts w:hint="eastAsia" w:ascii="宋体" w:hAnsi="宋体" w:eastAsia="宋体" w:cs="宋体"/>
                <w:sz w:val="24"/>
                <w:szCs w:val="24"/>
                <w:highlight w:val="none"/>
              </w:rPr>
            </w:pPr>
          </w:p>
        </w:tc>
        <w:tc>
          <w:tcPr>
            <w:tcW w:w="1495" w:type="dxa"/>
            <w:vMerge w:val="continue"/>
            <w:tcBorders>
              <w:right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p>
        </w:tc>
        <w:tc>
          <w:tcPr>
            <w:tcW w:w="1021" w:type="dxa"/>
            <w:tcBorders>
              <w:top w:val="single" w:color="auto" w:sz="4" w:space="0"/>
              <w:left w:val="single" w:color="auto" w:sz="4" w:space="0"/>
              <w:bottom w:val="single" w:color="auto" w:sz="4" w:space="0"/>
            </w:tcBorders>
            <w:noWrap w:val="0"/>
            <w:vAlign w:val="center"/>
          </w:tcPr>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资</w:t>
            </w:r>
          </w:p>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格</w:t>
            </w:r>
          </w:p>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审</w:t>
            </w:r>
          </w:p>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查</w:t>
            </w:r>
          </w:p>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材</w:t>
            </w:r>
          </w:p>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料</w:t>
            </w:r>
          </w:p>
        </w:tc>
        <w:tc>
          <w:tcPr>
            <w:tcW w:w="6832" w:type="dxa"/>
            <w:tcBorders>
              <w:top w:val="single" w:color="auto" w:sz="4" w:space="0"/>
              <w:bottom w:val="single" w:color="auto" w:sz="4" w:space="0"/>
            </w:tcBorders>
            <w:noWrap w:val="0"/>
            <w:vAlign w:val="center"/>
          </w:tcPr>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①</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营业执照、组织机构代码证、税务登记证</w:t>
            </w:r>
            <w:r>
              <w:rPr>
                <w:rFonts w:hint="eastAsia" w:ascii="宋体" w:hAnsi="宋体" w:eastAsia="宋体" w:cs="宋体"/>
                <w:kern w:val="0"/>
                <w:sz w:val="24"/>
                <w:szCs w:val="24"/>
                <w:highlight w:val="none"/>
                <w:lang w:eastAsia="zh-CN"/>
              </w:rPr>
              <w:t>（三证合一）</w:t>
            </w:r>
            <w:r>
              <w:rPr>
                <w:rFonts w:hint="eastAsia" w:ascii="宋体" w:hAnsi="宋体" w:eastAsia="宋体" w:cs="宋体"/>
                <w:kern w:val="0"/>
                <w:sz w:val="24"/>
                <w:szCs w:val="24"/>
                <w:highlight w:val="none"/>
              </w:rPr>
              <w:t>、医疗器械经营（生产）许可证、所投产品</w:t>
            </w:r>
            <w:r>
              <w:rPr>
                <w:rFonts w:hint="eastAsia" w:ascii="宋体" w:hAnsi="宋体" w:eastAsia="宋体" w:cs="宋体"/>
                <w:kern w:val="0"/>
                <w:sz w:val="24"/>
                <w:szCs w:val="24"/>
                <w:highlight w:val="none"/>
                <w:lang w:eastAsia="zh-CN"/>
              </w:rPr>
              <w:t>的</w:t>
            </w:r>
            <w:r>
              <w:rPr>
                <w:rFonts w:hint="eastAsia" w:ascii="宋体" w:hAnsi="宋体" w:eastAsia="宋体" w:cs="宋体"/>
                <w:kern w:val="0"/>
                <w:sz w:val="24"/>
                <w:szCs w:val="24"/>
                <w:highlight w:val="none"/>
              </w:rPr>
              <w:t>产品注册证书</w:t>
            </w:r>
            <w:r>
              <w:rPr>
                <w:rFonts w:hint="eastAsia" w:ascii="宋体" w:hAnsi="宋体" w:cs="宋体"/>
                <w:kern w:val="0"/>
                <w:sz w:val="24"/>
                <w:szCs w:val="24"/>
                <w:highlight w:val="none"/>
                <w:lang w:eastAsia="zh-CN"/>
              </w:rPr>
              <w:t>、</w:t>
            </w:r>
            <w:r>
              <w:rPr>
                <w:rFonts w:hint="eastAsia" w:ascii="宋体" w:hAnsi="宋体" w:cs="宋体"/>
                <w:i w:val="0"/>
                <w:iCs w:val="0"/>
                <w:color w:val="000000"/>
                <w:kern w:val="0"/>
                <w:sz w:val="22"/>
                <w:szCs w:val="22"/>
                <w:highlight w:val="none"/>
                <w:u w:val="none"/>
                <w:lang w:val="en-US" w:eastAsia="zh-CN" w:bidi="ar"/>
              </w:rPr>
              <w:t>产品厂家独立授权书和检测报告</w:t>
            </w:r>
            <w:r>
              <w:rPr>
                <w:rFonts w:hint="eastAsia" w:ascii="宋体" w:hAnsi="宋体" w:eastAsia="宋体" w:cs="宋体"/>
                <w:kern w:val="0"/>
                <w:sz w:val="24"/>
                <w:szCs w:val="24"/>
                <w:highlight w:val="none"/>
              </w:rPr>
              <w:t>；</w:t>
            </w:r>
          </w:p>
          <w:p>
            <w:pPr>
              <w:pStyle w:val="21"/>
              <w:spacing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②</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法定代表人身份证明及授权委托书</w:t>
            </w:r>
            <w:r>
              <w:rPr>
                <w:rFonts w:hint="eastAsia" w:ascii="宋体" w:hAnsi="宋体" w:eastAsia="宋体" w:cs="宋体"/>
                <w:kern w:val="0"/>
                <w:sz w:val="24"/>
                <w:szCs w:val="24"/>
                <w:highlight w:val="none"/>
                <w:lang w:eastAsia="zh-CN"/>
              </w:rPr>
              <w:t>；</w:t>
            </w:r>
          </w:p>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③</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投标保证金</w:t>
            </w:r>
            <w:r>
              <w:rPr>
                <w:rFonts w:hint="eastAsia" w:ascii="宋体" w:hAnsi="宋体" w:eastAsia="宋体" w:cs="宋体"/>
                <w:kern w:val="0"/>
                <w:sz w:val="24"/>
                <w:szCs w:val="24"/>
                <w:highlight w:val="none"/>
                <w:lang w:eastAsia="zh-CN"/>
              </w:rPr>
              <w:t>收据</w:t>
            </w:r>
            <w:r>
              <w:rPr>
                <w:rFonts w:hint="eastAsia" w:ascii="宋体" w:hAnsi="宋体" w:eastAsia="宋体" w:cs="宋体"/>
                <w:kern w:val="0"/>
                <w:sz w:val="24"/>
                <w:szCs w:val="24"/>
                <w:highlight w:val="none"/>
              </w:rPr>
              <w:t>；</w:t>
            </w:r>
          </w:p>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④</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中、小微企业声明函（中、小、微型企业产品价格需扣除的须提供）；</w:t>
            </w:r>
          </w:p>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⑤</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财务、税收和社保要求；</w:t>
            </w:r>
          </w:p>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⑥</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信用信息查询记录；</w:t>
            </w:r>
          </w:p>
          <w:p>
            <w:pPr>
              <w:pStyle w:val="21"/>
              <w:spacing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供应商认为有必要提供的声明及文件资料</w:t>
            </w:r>
            <w:r>
              <w:rPr>
                <w:rFonts w:hint="eastAsia" w:ascii="宋体" w:hAnsi="宋体" w:cs="宋体"/>
                <w:kern w:val="0"/>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7" w:type="dxa"/>
            <w:vMerge w:val="continue"/>
            <w:noWrap w:val="0"/>
            <w:vAlign w:val="center"/>
          </w:tcPr>
          <w:p>
            <w:pPr>
              <w:overflowPunct w:val="0"/>
              <w:spacing w:line="360" w:lineRule="auto"/>
              <w:jc w:val="center"/>
              <w:rPr>
                <w:rFonts w:hint="eastAsia" w:ascii="宋体" w:hAnsi="宋体" w:eastAsia="宋体" w:cs="宋体"/>
                <w:sz w:val="24"/>
                <w:szCs w:val="24"/>
                <w:highlight w:val="none"/>
              </w:rPr>
            </w:pPr>
          </w:p>
        </w:tc>
        <w:tc>
          <w:tcPr>
            <w:tcW w:w="1495" w:type="dxa"/>
            <w:vMerge w:val="continue"/>
            <w:tcBorders>
              <w:right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p>
        </w:tc>
        <w:tc>
          <w:tcPr>
            <w:tcW w:w="1021" w:type="dxa"/>
            <w:tcBorders>
              <w:top w:val="single" w:color="auto" w:sz="4" w:space="0"/>
              <w:left w:val="single" w:color="auto" w:sz="4" w:space="0"/>
              <w:bottom w:val="single" w:color="auto" w:sz="4" w:space="0"/>
            </w:tcBorders>
            <w:noWrap w:val="0"/>
            <w:vAlign w:val="center"/>
          </w:tcPr>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商</w:t>
            </w:r>
          </w:p>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务</w:t>
            </w:r>
          </w:p>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文</w:t>
            </w:r>
          </w:p>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件</w:t>
            </w:r>
          </w:p>
        </w:tc>
        <w:tc>
          <w:tcPr>
            <w:tcW w:w="6832" w:type="dxa"/>
            <w:tcBorders>
              <w:top w:val="single" w:color="auto" w:sz="4" w:space="0"/>
              <w:bottom w:val="single" w:color="auto" w:sz="4" w:space="0"/>
            </w:tcBorders>
            <w:noWrap w:val="0"/>
            <w:vAlign w:val="center"/>
          </w:tcPr>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投标函；</w:t>
            </w:r>
          </w:p>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开标一览表；</w:t>
            </w:r>
          </w:p>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投标报价明细表</w:t>
            </w:r>
            <w:r>
              <w:rPr>
                <w:rFonts w:hint="eastAsia" w:ascii="宋体" w:hAnsi="宋体" w:eastAsia="宋体" w:cs="宋体"/>
                <w:sz w:val="24"/>
                <w:szCs w:val="24"/>
                <w:highlight w:val="none"/>
              </w:rPr>
              <w:t>；</w:t>
            </w:r>
          </w:p>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售后服务承诺书；</w:t>
            </w:r>
          </w:p>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商务条款偏离说明表；</w:t>
            </w:r>
          </w:p>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rPr>
              <w:t>进口产品需提供厂家授权书；</w:t>
            </w:r>
          </w:p>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(7)供应商认为制作投标文件有必要提供的声明及文件资料（公司相关证书、培训方案等）；</w:t>
            </w:r>
          </w:p>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备注：招标文件未提供格式的，格式自拟。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977" w:type="dxa"/>
            <w:vMerge w:val="continue"/>
            <w:noWrap w:val="0"/>
            <w:vAlign w:val="center"/>
          </w:tcPr>
          <w:p>
            <w:pPr>
              <w:overflowPunct w:val="0"/>
              <w:spacing w:line="360" w:lineRule="auto"/>
              <w:jc w:val="center"/>
              <w:rPr>
                <w:rFonts w:hint="eastAsia" w:ascii="宋体" w:hAnsi="宋体" w:eastAsia="宋体" w:cs="宋体"/>
                <w:sz w:val="24"/>
                <w:szCs w:val="24"/>
                <w:highlight w:val="none"/>
              </w:rPr>
            </w:pPr>
          </w:p>
        </w:tc>
        <w:tc>
          <w:tcPr>
            <w:tcW w:w="1495" w:type="dxa"/>
            <w:vMerge w:val="continue"/>
            <w:tcBorders>
              <w:right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p>
        </w:tc>
        <w:tc>
          <w:tcPr>
            <w:tcW w:w="1021" w:type="dxa"/>
            <w:tcBorders>
              <w:top w:val="single" w:color="auto" w:sz="4" w:space="0"/>
              <w:left w:val="single" w:color="auto" w:sz="4" w:space="0"/>
              <w:bottom w:val="single" w:color="auto" w:sz="4" w:space="0"/>
            </w:tcBorders>
            <w:noWrap w:val="0"/>
            <w:vAlign w:val="center"/>
          </w:tcPr>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技</w:t>
            </w:r>
          </w:p>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术</w:t>
            </w:r>
          </w:p>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文</w:t>
            </w:r>
          </w:p>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件</w:t>
            </w:r>
          </w:p>
        </w:tc>
        <w:tc>
          <w:tcPr>
            <w:tcW w:w="6832" w:type="dxa"/>
            <w:tcBorders>
              <w:top w:val="single" w:color="auto" w:sz="4" w:space="0"/>
              <w:bottom w:val="single" w:color="auto" w:sz="4" w:space="0"/>
            </w:tcBorders>
            <w:noWrap w:val="0"/>
            <w:vAlign w:val="center"/>
          </w:tcPr>
          <w:p>
            <w:pPr>
              <w:pStyle w:val="21"/>
              <w:spacing w:line="360" w:lineRule="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投标人自行编写的技术文件：</w:t>
            </w:r>
          </w:p>
          <w:p>
            <w:pPr>
              <w:pStyle w:val="2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1、货物主要技术指标和运行性能：</w:t>
            </w:r>
          </w:p>
          <w:p>
            <w:pPr>
              <w:pStyle w:val="2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&lt;1&gt;☆技术明细表（详细描述货物技术指标及性能，包括采用的新工艺、新技术、新材料等）；</w:t>
            </w:r>
          </w:p>
          <w:p>
            <w:pPr>
              <w:pStyle w:val="2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&lt;2&gt;同货物型号一致的产品手册、彩页、说明书、白皮书等技术文件（包括但不限于招标文件中要求提供的投标产品样本、使用保养说明书、图纸）；</w:t>
            </w:r>
          </w:p>
          <w:p>
            <w:pPr>
              <w:pStyle w:val="2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&lt;3&gt;☆货物技术规范偏离表；</w:t>
            </w:r>
          </w:p>
          <w:p>
            <w:pPr>
              <w:pStyle w:val="2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2、产品稳定性可靠性；</w:t>
            </w:r>
          </w:p>
          <w:p>
            <w:pPr>
              <w:pStyle w:val="2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备注：须提供有效的相关检测部门出具的报告</w:t>
            </w:r>
          </w:p>
          <w:p>
            <w:pPr>
              <w:pStyle w:val="2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3、验收标准及验收方案；</w:t>
            </w:r>
          </w:p>
          <w:p>
            <w:pPr>
              <w:pStyle w:val="2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备注：格式自拟</w:t>
            </w:r>
          </w:p>
          <w:p>
            <w:pPr>
              <w:pStyle w:val="2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4、质量安全保障措施；</w:t>
            </w:r>
          </w:p>
          <w:p>
            <w:pPr>
              <w:pStyle w:val="2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备注：针对产品质量、安全，出现问题后的处理方案、赔偿方案、退换货计划等</w:t>
            </w:r>
          </w:p>
          <w:p>
            <w:pPr>
              <w:pStyle w:val="2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5、项目实施方案</w:t>
            </w:r>
          </w:p>
          <w:p>
            <w:pPr>
              <w:pStyle w:val="21"/>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备注：格式自拟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7" w:type="dxa"/>
            <w:vMerge w:val="continue"/>
            <w:tcBorders>
              <w:bottom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p>
        </w:tc>
        <w:tc>
          <w:tcPr>
            <w:tcW w:w="1495" w:type="dxa"/>
            <w:vMerge w:val="continue"/>
            <w:tcBorders>
              <w:bottom w:val="single" w:color="auto" w:sz="4" w:space="0"/>
              <w:right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p>
        </w:tc>
        <w:tc>
          <w:tcPr>
            <w:tcW w:w="1021" w:type="dxa"/>
            <w:tcBorders>
              <w:top w:val="single" w:color="auto" w:sz="4" w:space="0"/>
              <w:left w:val="single" w:color="auto" w:sz="4" w:space="0"/>
              <w:bottom w:val="single" w:color="auto" w:sz="4" w:space="0"/>
            </w:tcBorders>
            <w:noWrap w:val="0"/>
            <w:vAlign w:val="center"/>
          </w:tcPr>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服</w:t>
            </w:r>
          </w:p>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务</w:t>
            </w:r>
          </w:p>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文</w:t>
            </w:r>
          </w:p>
          <w:p>
            <w:pPr>
              <w:pStyle w:val="21"/>
              <w:spacing w:line="360"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件</w:t>
            </w:r>
          </w:p>
        </w:tc>
        <w:tc>
          <w:tcPr>
            <w:tcW w:w="6832" w:type="dxa"/>
            <w:tcBorders>
              <w:top w:val="single" w:color="auto" w:sz="4" w:space="0"/>
              <w:bottom w:val="single" w:color="auto" w:sz="4" w:space="0"/>
            </w:tcBorders>
            <w:noWrap w:val="0"/>
            <w:vAlign w:val="center"/>
          </w:tcPr>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投标人自行编写的服务文件：</w:t>
            </w:r>
          </w:p>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①货物售后服务：</w:t>
            </w:r>
          </w:p>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&lt;1&gt;货物的保修期和售后服务的程序、内容及措施；</w:t>
            </w:r>
          </w:p>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&lt;2&gt;响应时间和技术支持情况；</w:t>
            </w:r>
          </w:p>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&lt;3&gt;培训方案及内容；</w:t>
            </w:r>
          </w:p>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②售后服务网点明细表（包括联系人、详细地址、电话、传真）及</w:t>
            </w:r>
            <w:r>
              <w:rPr>
                <w:rFonts w:hint="eastAsia" w:ascii="宋体" w:hAnsi="宋体" w:eastAsia="宋体" w:cs="宋体"/>
                <w:sz w:val="24"/>
                <w:szCs w:val="24"/>
                <w:highlight w:val="none"/>
              </w:rPr>
              <w:t>本地化服务情况一览表；</w:t>
            </w:r>
          </w:p>
          <w:p>
            <w:pPr>
              <w:pStyle w:val="21"/>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③服务项目偏离表。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19</w:t>
            </w:r>
          </w:p>
        </w:tc>
        <w:tc>
          <w:tcPr>
            <w:tcW w:w="2516" w:type="dxa"/>
            <w:gridSpan w:val="2"/>
            <w:noWrap w:val="0"/>
            <w:vAlign w:val="center"/>
          </w:tcPr>
          <w:p>
            <w:pPr>
              <w:overflowPunct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招标代理服务费</w:t>
            </w:r>
          </w:p>
        </w:tc>
        <w:tc>
          <w:tcPr>
            <w:tcW w:w="6832" w:type="dxa"/>
            <w:noWrap w:val="0"/>
            <w:vAlign w:val="center"/>
          </w:tcPr>
          <w:p>
            <w:pPr>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1、代理报酬的计算方法：</w:t>
            </w:r>
            <w:r>
              <w:rPr>
                <w:rFonts w:hint="eastAsia" w:ascii="宋体" w:hAnsi="宋体" w:cs="宋体"/>
                <w:sz w:val="24"/>
                <w:szCs w:val="24"/>
                <w:highlight w:val="none"/>
                <w:u w:val="single"/>
                <w:lang w:eastAsia="zh-CN"/>
              </w:rPr>
              <w:t>参照</w:t>
            </w:r>
            <w:r>
              <w:rPr>
                <w:rFonts w:hint="eastAsia" w:ascii="宋体" w:hAnsi="宋体" w:eastAsia="宋体" w:cs="宋体"/>
                <w:sz w:val="24"/>
                <w:szCs w:val="24"/>
                <w:highlight w:val="none"/>
                <w:u w:val="single"/>
              </w:rPr>
              <w:t>国家计委关于《招标代理服务收费管理暂行办法》（计价格[2002]1980号）和国家发改价格【2011】534号文件</w:t>
            </w:r>
            <w:r>
              <w:rPr>
                <w:rFonts w:hint="eastAsia" w:ascii="宋体" w:hAnsi="宋体" w:eastAsia="宋体" w:cs="宋体"/>
                <w:sz w:val="24"/>
                <w:szCs w:val="24"/>
                <w:highlight w:val="none"/>
              </w:rPr>
              <w:t>。</w:t>
            </w:r>
          </w:p>
          <w:p>
            <w:pPr>
              <w:tabs>
                <w:tab w:val="left" w:pos="1080"/>
              </w:tabs>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2、代理报酬的收取金额：</w:t>
            </w:r>
            <w:r>
              <w:rPr>
                <w:rFonts w:hint="eastAsia" w:ascii="宋体" w:hAnsi="宋体" w:eastAsia="宋体" w:cs="宋体"/>
                <w:sz w:val="24"/>
                <w:szCs w:val="24"/>
                <w:highlight w:val="none"/>
                <w:u w:val="single"/>
                <w:lang w:eastAsia="zh-CN"/>
              </w:rPr>
              <w:t>根据</w:t>
            </w:r>
            <w:r>
              <w:rPr>
                <w:rFonts w:hint="eastAsia" w:ascii="宋体" w:hAnsi="宋体" w:eastAsia="宋体" w:cs="宋体"/>
                <w:sz w:val="24"/>
                <w:szCs w:val="24"/>
                <w:highlight w:val="none"/>
                <w:u w:val="single"/>
              </w:rPr>
              <w:t>代理服务费取费标准收取。</w:t>
            </w:r>
          </w:p>
          <w:p>
            <w:pPr>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3、代理报酬支付方式：</w:t>
            </w:r>
            <w:r>
              <w:rPr>
                <w:rFonts w:hint="eastAsia" w:ascii="宋体" w:hAnsi="宋体" w:eastAsia="宋体" w:cs="宋体"/>
                <w:sz w:val="24"/>
                <w:szCs w:val="24"/>
                <w:highlight w:val="none"/>
                <w:u w:val="single"/>
              </w:rPr>
              <w:t>由中标人支付。</w:t>
            </w:r>
          </w:p>
          <w:p>
            <w:pPr>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4、代理报酬的支付时间：</w:t>
            </w:r>
            <w:r>
              <w:rPr>
                <w:rFonts w:hint="eastAsia" w:ascii="宋体" w:hAnsi="宋体" w:eastAsia="宋体" w:cs="宋体"/>
                <w:sz w:val="24"/>
                <w:szCs w:val="24"/>
                <w:highlight w:val="none"/>
                <w:u w:val="single"/>
              </w:rPr>
              <w:t>由中标人领取中标通知书</w:t>
            </w:r>
            <w:r>
              <w:rPr>
                <w:rFonts w:hint="eastAsia" w:ascii="宋体" w:hAnsi="宋体" w:eastAsia="宋体" w:cs="宋体"/>
                <w:sz w:val="24"/>
                <w:szCs w:val="24"/>
                <w:highlight w:val="none"/>
                <w:u w:val="single"/>
                <w:lang w:eastAsia="zh-CN"/>
              </w:rPr>
              <w:t>前</w:t>
            </w:r>
            <w:r>
              <w:rPr>
                <w:rFonts w:hint="eastAsia" w:ascii="宋体" w:hAnsi="宋体" w:eastAsia="宋体" w:cs="宋体"/>
                <w:sz w:val="24"/>
                <w:szCs w:val="24"/>
                <w:highlight w:val="none"/>
                <w:u w:val="single"/>
              </w:rPr>
              <w:t>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0</w:t>
            </w:r>
          </w:p>
        </w:tc>
        <w:tc>
          <w:tcPr>
            <w:tcW w:w="2516" w:type="dxa"/>
            <w:gridSpan w:val="2"/>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投标文件的签署规定</w:t>
            </w:r>
          </w:p>
        </w:tc>
        <w:tc>
          <w:tcPr>
            <w:tcW w:w="6832" w:type="dxa"/>
            <w:noWrap w:val="0"/>
            <w:vAlign w:val="center"/>
          </w:tcPr>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详见第三部分第</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章第</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1</w:t>
            </w:r>
          </w:p>
        </w:tc>
        <w:tc>
          <w:tcPr>
            <w:tcW w:w="2516" w:type="dxa"/>
            <w:gridSpan w:val="2"/>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投标文件格式</w:t>
            </w:r>
          </w:p>
        </w:tc>
        <w:tc>
          <w:tcPr>
            <w:tcW w:w="6832" w:type="dxa"/>
            <w:noWrap w:val="0"/>
            <w:vAlign w:val="center"/>
          </w:tcPr>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详见第三部分第</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章第</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77" w:type="dxa"/>
            <w:tcBorders>
              <w:top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2</w:t>
            </w:r>
          </w:p>
        </w:tc>
        <w:tc>
          <w:tcPr>
            <w:tcW w:w="2516" w:type="dxa"/>
            <w:gridSpan w:val="2"/>
            <w:tcBorders>
              <w:top w:val="single" w:color="auto" w:sz="4" w:space="0"/>
              <w:bottom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付款方式及币种</w:t>
            </w:r>
          </w:p>
        </w:tc>
        <w:tc>
          <w:tcPr>
            <w:tcW w:w="6832" w:type="dxa"/>
            <w:tcBorders>
              <w:top w:val="single" w:color="auto" w:sz="4" w:space="0"/>
            </w:tcBorders>
            <w:noWrap w:val="0"/>
            <w:vAlign w:val="center"/>
          </w:tcPr>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1、付款币种</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本次招标所述的项目资金均以人民币支付。</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2、付款方式：</w:t>
            </w:r>
          </w:p>
          <w:p>
            <w:pPr>
              <w:spacing w:line="360" w:lineRule="auto"/>
              <w:jc w:val="left"/>
              <w:rPr>
                <w:rFonts w:hint="eastAsia" w:ascii="宋体" w:hAnsi="宋体" w:eastAsia="宋体" w:cs="宋体"/>
                <w:b/>
                <w:sz w:val="24"/>
                <w:szCs w:val="24"/>
                <w:highlight w:val="none"/>
              </w:rPr>
            </w:pPr>
            <w:r>
              <w:rPr>
                <w:rFonts w:hint="eastAsia"/>
                <w:sz w:val="24"/>
                <w:szCs w:val="24"/>
                <w:highlight w:val="none"/>
                <w:vertAlign w:val="baseline"/>
                <w:lang w:eastAsia="zh-CN"/>
              </w:rPr>
              <w:t>以签订合同时双方协商为准。</w:t>
            </w:r>
            <w:r>
              <w:rPr>
                <w:rFonts w:hint="eastAsia" w:ascii="宋体" w:hAnsi="宋体" w:eastAsia="宋体" w:cs="宋体"/>
                <w:sz w:val="24"/>
                <w:szCs w:val="24"/>
                <w:highlight w:val="none"/>
                <w:vertAlign w:val="baseline"/>
                <w:lang w:eastAsia="zh-CN"/>
              </w:rPr>
              <w:t>设备安装调试运行正常、发票到、固定资产建立30日付70%、正常运行6个月付20%、10%质保期满一周付清。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4</w:t>
            </w:r>
          </w:p>
        </w:tc>
        <w:tc>
          <w:tcPr>
            <w:tcW w:w="2516" w:type="dxa"/>
            <w:gridSpan w:val="2"/>
            <w:tcBorders>
              <w:top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相关账号</w:t>
            </w:r>
          </w:p>
        </w:tc>
        <w:tc>
          <w:tcPr>
            <w:tcW w:w="6832" w:type="dxa"/>
            <w:noWrap w:val="0"/>
            <w:vAlign w:val="center"/>
          </w:tcPr>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投标保证金缴纳账号：</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账户名：</w:t>
            </w:r>
            <w:r>
              <w:rPr>
                <w:rFonts w:hint="eastAsia" w:ascii="宋体" w:hAnsi="宋体" w:eastAsia="宋体" w:cs="宋体"/>
                <w:sz w:val="24"/>
                <w:szCs w:val="24"/>
                <w:highlight w:val="none"/>
                <w:lang w:val="en-US" w:eastAsia="zh-CN"/>
              </w:rPr>
              <w:t>福建省闽咨造价咨询有限公司新疆分公司</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lang w:val="en-US" w:eastAsia="zh-CN"/>
              </w:rPr>
              <w:t>交通银行乌鲁木齐人民路支行</w:t>
            </w:r>
          </w:p>
          <w:p>
            <w:pPr>
              <w:overflowPunct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行号：</w:t>
            </w:r>
            <w:r>
              <w:rPr>
                <w:rFonts w:hint="eastAsia" w:ascii="宋体" w:hAnsi="宋体" w:eastAsia="宋体" w:cs="宋体"/>
                <w:sz w:val="24"/>
                <w:szCs w:val="24"/>
                <w:highlight w:val="none"/>
                <w:lang w:val="en-US" w:eastAsia="zh-CN"/>
              </w:rPr>
              <w:t>301881000091</w:t>
            </w:r>
          </w:p>
          <w:p>
            <w:pPr>
              <w:overflowPunct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帐号：</w:t>
            </w:r>
            <w:r>
              <w:rPr>
                <w:rFonts w:hint="eastAsia" w:ascii="宋体" w:hAnsi="宋体" w:eastAsia="宋体" w:cs="宋体"/>
                <w:sz w:val="24"/>
                <w:szCs w:val="24"/>
                <w:highlight w:val="none"/>
                <w:lang w:val="en-US" w:eastAsia="zh-CN"/>
              </w:rPr>
              <w:t>651651011018800025469</w:t>
            </w:r>
          </w:p>
          <w:p>
            <w:pPr>
              <w:overflowPunct w:val="0"/>
              <w:spacing w:line="360" w:lineRule="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联系人：王丽华         联系电话：13201216607</w:t>
            </w:r>
          </w:p>
          <w:p>
            <w:pPr>
              <w:overflowPunct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注：汇款单上需备注</w:t>
            </w:r>
            <w:r>
              <w:rPr>
                <w:rFonts w:hint="eastAsia" w:ascii="宋体" w:hAnsi="宋体" w:eastAsia="宋体" w:cs="宋体"/>
                <w:b/>
                <w:sz w:val="24"/>
                <w:szCs w:val="24"/>
                <w:highlight w:val="none"/>
                <w:lang w:eastAsia="zh-CN"/>
              </w:rPr>
              <w:t>投标单位名称、</w:t>
            </w:r>
            <w:r>
              <w:rPr>
                <w:rFonts w:hint="eastAsia" w:ascii="宋体" w:hAnsi="宋体" w:eastAsia="宋体" w:cs="宋体"/>
                <w:b/>
                <w:sz w:val="24"/>
                <w:szCs w:val="24"/>
                <w:highlight w:val="none"/>
              </w:rPr>
              <w:t>项目</w:t>
            </w:r>
            <w:r>
              <w:rPr>
                <w:rFonts w:hint="eastAsia" w:ascii="宋体" w:hAnsi="宋体" w:eastAsia="宋体" w:cs="宋体"/>
                <w:b/>
                <w:sz w:val="24"/>
                <w:szCs w:val="24"/>
                <w:highlight w:val="none"/>
                <w:lang w:eastAsia="zh-CN"/>
              </w:rPr>
              <w:t>名称及</w:t>
            </w:r>
            <w:r>
              <w:rPr>
                <w:rFonts w:hint="eastAsia" w:ascii="宋体" w:hAnsi="宋体" w:eastAsia="宋体" w:cs="宋体"/>
                <w:b/>
                <w:sz w:val="24"/>
                <w:szCs w:val="24"/>
                <w:highlight w:val="none"/>
              </w:rPr>
              <w:t>编号。</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招标代理服务费缴纳账号：（同上）</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投标保证金缴纳期限：</w:t>
            </w:r>
            <w:r>
              <w:rPr>
                <w:rFonts w:hint="eastAsia" w:ascii="宋体" w:hAnsi="宋体" w:cs="宋体"/>
                <w:sz w:val="24"/>
                <w:szCs w:val="24"/>
                <w:highlight w:val="none"/>
                <w:lang w:val="en-US" w:eastAsia="zh-CN"/>
              </w:rPr>
              <w:t>2021年08月24日</w:t>
            </w:r>
            <w:r>
              <w:rPr>
                <w:rFonts w:hint="eastAsia" w:ascii="宋体" w:hAnsi="宋体" w:eastAsia="宋体" w:cs="宋体"/>
                <w:sz w:val="24"/>
                <w:szCs w:val="24"/>
                <w:highlight w:val="none"/>
                <w:lang w:val="en-US" w:eastAsia="zh-CN"/>
              </w:rPr>
              <w:t>18：00(北京时间)前</w:t>
            </w:r>
            <w:r>
              <w:rPr>
                <w:rFonts w:hint="eastAsia" w:ascii="宋体" w:hAnsi="宋体" w:eastAsia="宋体" w:cs="宋体"/>
                <w:sz w:val="24"/>
                <w:szCs w:val="24"/>
                <w:highlight w:val="none"/>
              </w:rPr>
              <w:t>（以到账时间为准），逾期不予受理。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5</w:t>
            </w:r>
          </w:p>
        </w:tc>
        <w:tc>
          <w:tcPr>
            <w:tcW w:w="2516" w:type="dxa"/>
            <w:gridSpan w:val="2"/>
            <w:tcBorders>
              <w:top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质量保证</w:t>
            </w:r>
          </w:p>
        </w:tc>
        <w:tc>
          <w:tcPr>
            <w:tcW w:w="683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1、自货物验收合格之日起质保贰年（含贰年）以上。（若招标文件“技术分册”另有规定，执行招标文件“技术分册”中的规定）。</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2、免费质保期限自验收合格双方签字时算起，在保修期内，乙方需提供免费的维护及人工。免费质保期结束后，双方另行协商。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（若招标文件“技术分册”另有规定，执行招标文件“技术分册”中的规定）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6</w:t>
            </w:r>
          </w:p>
        </w:tc>
        <w:tc>
          <w:tcPr>
            <w:tcW w:w="2516" w:type="dxa"/>
            <w:gridSpan w:val="2"/>
            <w:tcBorders>
              <w:top w:val="single" w:color="auto" w:sz="4" w:space="0"/>
            </w:tcBorders>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交货日期</w:t>
            </w:r>
          </w:p>
        </w:tc>
        <w:tc>
          <w:tcPr>
            <w:tcW w:w="683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vertAlign w:val="baseline"/>
                <w:lang w:eastAsia="zh-CN"/>
              </w:rPr>
              <w:t>自收到中标通知书次日起计算</w:t>
            </w:r>
            <w:r>
              <w:rPr>
                <w:rFonts w:hint="eastAsia" w:ascii="宋体" w:hAnsi="宋体" w:cs="宋体"/>
                <w:b w:val="0"/>
                <w:bCs w:val="0"/>
                <w:sz w:val="24"/>
                <w:szCs w:val="24"/>
                <w:highlight w:val="none"/>
                <w:vertAlign w:val="baseline"/>
                <w:lang w:eastAsia="zh-CN"/>
              </w:rPr>
              <w:t>，</w:t>
            </w:r>
            <w:r>
              <w:rPr>
                <w:rFonts w:hint="eastAsia" w:ascii="宋体" w:hAnsi="宋体" w:eastAsia="宋体" w:cs="宋体"/>
                <w:b w:val="0"/>
                <w:bCs w:val="0"/>
                <w:sz w:val="24"/>
                <w:szCs w:val="24"/>
                <w:highlight w:val="none"/>
                <w:vertAlign w:val="baseline"/>
                <w:lang w:eastAsia="zh-CN"/>
              </w:rPr>
              <w:t>国产设备≤30个日历日，进口设备≤</w:t>
            </w:r>
            <w:r>
              <w:rPr>
                <w:rFonts w:hint="eastAsia" w:ascii="宋体" w:hAnsi="宋体" w:cs="宋体"/>
                <w:b w:val="0"/>
                <w:bCs w:val="0"/>
                <w:sz w:val="24"/>
                <w:szCs w:val="24"/>
                <w:highlight w:val="none"/>
                <w:vertAlign w:val="baseline"/>
                <w:lang w:val="en-US" w:eastAsia="zh-CN"/>
              </w:rPr>
              <w:t>6</w:t>
            </w:r>
            <w:r>
              <w:rPr>
                <w:rFonts w:hint="eastAsia" w:ascii="宋体" w:hAnsi="宋体" w:eastAsia="宋体" w:cs="宋体"/>
                <w:b w:val="0"/>
                <w:bCs w:val="0"/>
                <w:sz w:val="24"/>
                <w:szCs w:val="24"/>
                <w:highlight w:val="none"/>
                <w:vertAlign w:val="baseline"/>
                <w:lang w:eastAsia="zh-CN"/>
              </w:rPr>
              <w:t>0个日历日完成供货及安装。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7</w:t>
            </w:r>
          </w:p>
        </w:tc>
        <w:tc>
          <w:tcPr>
            <w:tcW w:w="2516" w:type="dxa"/>
            <w:gridSpan w:val="2"/>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6832"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库尔勒市第二人民医院</w:t>
            </w:r>
            <w:r>
              <w:rPr>
                <w:rFonts w:hint="eastAsia" w:ascii="宋体" w:hAnsi="宋体" w:eastAsia="宋体" w:cs="宋体"/>
                <w:sz w:val="24"/>
                <w:szCs w:val="24"/>
                <w:highlight w:val="none"/>
              </w:rPr>
              <w:t>，最终按甲方指定地点验收、交货。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8</w:t>
            </w:r>
          </w:p>
        </w:tc>
        <w:tc>
          <w:tcPr>
            <w:tcW w:w="2516" w:type="dxa"/>
            <w:gridSpan w:val="2"/>
            <w:noWrap w:val="0"/>
            <w:vAlign w:val="center"/>
          </w:tcPr>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低于成本价不正当</w:t>
            </w:r>
          </w:p>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竞争预防措施</w:t>
            </w:r>
          </w:p>
        </w:tc>
        <w:tc>
          <w:tcPr>
            <w:tcW w:w="6832" w:type="dxa"/>
            <w:noWrap w:val="0"/>
            <w:vAlign w:val="center"/>
          </w:tcPr>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评标过程中，评标委员会认为投标人报价明显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9</w:t>
            </w:r>
          </w:p>
        </w:tc>
        <w:tc>
          <w:tcPr>
            <w:tcW w:w="2516" w:type="dxa"/>
            <w:gridSpan w:val="2"/>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政府采购政策支持</w:t>
            </w:r>
          </w:p>
        </w:tc>
        <w:tc>
          <w:tcPr>
            <w:tcW w:w="6832"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为非专门面向中小企业（含中型、小型、微型企业）采购项目，根据《政府采购促进中小企业发展暂行办法》（财库[2011]181号）的规定，评标时将给予此类企业进行价格6%的优惠，监狱企业、残疾人福利性单位视同为小微企业，用优惠后的价格参与评审。</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2、政府采购强制采购：标记★符号的节能产品：</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符合《节能产品政府采购清单》(最新一期)目录内的强制采购节能产品。</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3、政府采购优先采购：(1)非标记★符号的节能产品；(2)环境标志产品；</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采购产品为《节能产品政府采购清单》(最新一期) 内非标记★符号的节能产品及《环境标志产品政府采购清单》(最新一期)内的产品：</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w:t>
            </w:r>
            <w:r>
              <w:rPr>
                <w:rFonts w:hint="eastAsia" w:ascii="宋体" w:hAnsi="宋体" w:eastAsia="宋体" w:cs="宋体"/>
                <w:b/>
                <w:sz w:val="24"/>
                <w:szCs w:val="24"/>
                <w:highlight w:val="none"/>
              </w:rPr>
              <w:t>未单独分项报价且未提供属于清单内产品的证明资料的不给予折扣优惠。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c>
          <w:tcPr>
            <w:tcW w:w="2516" w:type="dxa"/>
            <w:gridSpan w:val="2"/>
            <w:noWrap w:val="0"/>
            <w:vAlign w:val="center"/>
          </w:tcPr>
          <w:p>
            <w:pPr>
              <w:pStyle w:val="20"/>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质疑须知</w:t>
            </w:r>
          </w:p>
        </w:tc>
        <w:tc>
          <w:tcPr>
            <w:tcW w:w="6832" w:type="dxa"/>
            <w:noWrap w:val="0"/>
            <w:vAlign w:val="center"/>
          </w:tcPr>
          <w:p>
            <w:pPr>
              <w:pStyle w:val="20"/>
              <w:spacing w:line="360" w:lineRule="auto"/>
              <w:ind w:left="494" w:hanging="494" w:hangingChars="206"/>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接收质疑函的方式：现场递交纸质版及Word格式电子版质疑文件</w:t>
            </w:r>
          </w:p>
          <w:p>
            <w:pPr>
              <w:pStyle w:val="20"/>
              <w:spacing w:line="360" w:lineRule="auto"/>
              <w:ind w:left="494" w:hanging="494" w:hangingChars="206"/>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至接受单位</w:t>
            </w:r>
            <w:r>
              <w:rPr>
                <w:rFonts w:hint="eastAsia" w:ascii="宋体" w:hAnsi="宋体" w:eastAsia="宋体" w:cs="宋体"/>
                <w:kern w:val="2"/>
                <w:sz w:val="24"/>
                <w:szCs w:val="24"/>
                <w:highlight w:val="none"/>
                <w:lang w:eastAsia="zh-CN"/>
              </w:rPr>
              <w:t>。</w:t>
            </w:r>
          </w:p>
          <w:p>
            <w:pPr>
              <w:pStyle w:val="2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rPr>
              <w:t>接受质疑的单位：</w:t>
            </w:r>
            <w:r>
              <w:rPr>
                <w:rFonts w:hint="eastAsia" w:ascii="宋体" w:hAnsi="宋体" w:eastAsia="宋体" w:cs="宋体"/>
                <w:sz w:val="24"/>
                <w:szCs w:val="24"/>
                <w:highlight w:val="none"/>
                <w:lang w:val="en-US" w:eastAsia="zh-CN"/>
              </w:rPr>
              <w:t>福建省闽咨造价咨询有限公司新疆分公司</w:t>
            </w:r>
          </w:p>
          <w:p>
            <w:pPr>
              <w:pStyle w:val="20"/>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rPr>
              <w:t>联系电话：</w:t>
            </w:r>
            <w:r>
              <w:rPr>
                <w:rFonts w:hint="eastAsia" w:ascii="宋体" w:hAnsi="宋体" w:eastAsia="宋体" w:cs="宋体"/>
                <w:sz w:val="24"/>
                <w:szCs w:val="24"/>
                <w:highlight w:val="none"/>
                <w:lang w:val="en-US" w:eastAsia="zh-CN"/>
              </w:rPr>
              <w:t>18199208277</w:t>
            </w:r>
          </w:p>
          <w:p>
            <w:pPr>
              <w:pStyle w:val="20"/>
              <w:spacing w:line="360" w:lineRule="auto"/>
              <w:jc w:val="both"/>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QQ邮箱：1522599605@qq.com</w:t>
            </w:r>
          </w:p>
          <w:p>
            <w:pPr>
              <w:pStyle w:val="20"/>
              <w:spacing w:line="360" w:lineRule="auto"/>
              <w:jc w:val="both"/>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地址</w:t>
            </w:r>
            <w:r>
              <w:rPr>
                <w:rFonts w:hint="eastAsia" w:ascii="宋体" w:hAnsi="宋体" w:eastAsia="宋体" w:cs="宋体"/>
                <w:kern w:val="2"/>
                <w:sz w:val="24"/>
                <w:szCs w:val="24"/>
                <w:highlight w:val="none"/>
                <w:lang w:eastAsia="zh-CN"/>
              </w:rPr>
              <w:t>：新疆</w:t>
            </w:r>
            <w:r>
              <w:rPr>
                <w:rFonts w:hint="eastAsia" w:ascii="宋体" w:hAnsi="宋体" w:eastAsia="宋体" w:cs="宋体"/>
                <w:sz w:val="24"/>
                <w:szCs w:val="24"/>
                <w:highlight w:val="none"/>
                <w:lang w:eastAsia="zh-CN"/>
              </w:rPr>
              <w:t>库尔勒市延安路丽枫酒店</w:t>
            </w:r>
            <w:r>
              <w:rPr>
                <w:rFonts w:hint="eastAsia" w:ascii="宋体" w:hAnsi="宋体" w:eastAsia="宋体" w:cs="宋体"/>
                <w:sz w:val="24"/>
                <w:szCs w:val="24"/>
                <w:highlight w:val="none"/>
                <w:lang w:val="en-US" w:eastAsia="zh-CN"/>
              </w:rPr>
              <w:t>1805室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31</w:t>
            </w:r>
          </w:p>
        </w:tc>
        <w:tc>
          <w:tcPr>
            <w:tcW w:w="2516" w:type="dxa"/>
            <w:gridSpan w:val="2"/>
            <w:noWrap w:val="0"/>
            <w:vAlign w:val="center"/>
          </w:tcPr>
          <w:p>
            <w:pPr>
              <w:pStyle w:val="20"/>
              <w:spacing w:line="360" w:lineRule="auto"/>
              <w:ind w:left="38" w:leftChars="18"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诚信承诺 </w:t>
            </w:r>
          </w:p>
        </w:tc>
        <w:tc>
          <w:tcPr>
            <w:tcW w:w="6832" w:type="dxa"/>
            <w:noWrap w:val="0"/>
            <w:vAlign w:val="center"/>
          </w:tcPr>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1本项目不接受失信企业投标；</w:t>
            </w:r>
          </w:p>
          <w:p>
            <w:pPr>
              <w:pStyle w:val="20"/>
              <w:spacing w:line="360" w:lineRule="auto"/>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2、供应商参加政府采购活动时，应当就自己的诚信情况在投标文件中进行承诺。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2</w:t>
            </w:r>
          </w:p>
        </w:tc>
        <w:tc>
          <w:tcPr>
            <w:tcW w:w="2516" w:type="dxa"/>
            <w:gridSpan w:val="2"/>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c>
          <w:tcPr>
            <w:tcW w:w="6832" w:type="dxa"/>
            <w:noWrap w:val="0"/>
            <w:vAlign w:val="top"/>
          </w:tcPr>
          <w:p>
            <w:pPr>
              <w:spacing w:line="360" w:lineRule="auto"/>
              <w:rPr>
                <w:rStyle w:val="22"/>
                <w:rFonts w:hint="eastAsia" w:ascii="宋体" w:hAnsi="宋体" w:eastAsia="宋体" w:cs="宋体"/>
                <w:sz w:val="24"/>
                <w:szCs w:val="24"/>
                <w:highlight w:val="none"/>
              </w:rPr>
            </w:pPr>
            <w:r>
              <w:rPr>
                <w:rStyle w:val="22"/>
                <w:rFonts w:hint="eastAsia" w:ascii="宋体" w:hAnsi="宋体" w:eastAsia="宋体" w:cs="宋体"/>
                <w:sz w:val="24"/>
                <w:szCs w:val="24"/>
                <w:highlight w:val="none"/>
              </w:rPr>
              <w:t>1、招标文件第四部分中加*或</w:t>
            </w:r>
            <w:r>
              <w:rPr>
                <w:rFonts w:hint="eastAsia" w:ascii="宋体" w:hAnsi="宋体" w:eastAsia="宋体" w:cs="宋体"/>
                <w:sz w:val="24"/>
                <w:szCs w:val="24"/>
                <w:highlight w:val="none"/>
              </w:rPr>
              <w:t>★</w:t>
            </w:r>
            <w:r>
              <w:rPr>
                <w:rStyle w:val="22"/>
                <w:rFonts w:hint="eastAsia" w:ascii="宋体" w:hAnsi="宋体" w:eastAsia="宋体" w:cs="宋体"/>
                <w:sz w:val="24"/>
                <w:szCs w:val="24"/>
                <w:highlight w:val="none"/>
              </w:rPr>
              <w:t>号的条款为重要条款，每项不满足扣5分，技术分扣完为止。投标人对*和</w:t>
            </w:r>
            <w:r>
              <w:rPr>
                <w:rFonts w:hint="eastAsia" w:ascii="宋体" w:hAnsi="宋体" w:eastAsia="宋体" w:cs="宋体"/>
                <w:sz w:val="24"/>
                <w:szCs w:val="24"/>
                <w:highlight w:val="none"/>
              </w:rPr>
              <w:t>★</w:t>
            </w:r>
            <w:r>
              <w:rPr>
                <w:rStyle w:val="22"/>
                <w:rFonts w:hint="eastAsia" w:ascii="宋体" w:hAnsi="宋体" w:eastAsia="宋体" w:cs="宋体"/>
                <w:sz w:val="24"/>
                <w:szCs w:val="24"/>
                <w:highlight w:val="none"/>
              </w:rPr>
              <w:t>部分重要指标在投标文件技术偏离表中必须进行一一正面响应，若不响应、逃避响应或模糊混淆概念响应，按照负偏离处理，不能提供证明文件的不予认可。通过篡改数据响应的按照无效标处理并追究法律责任。在交货后，发现*部分不能实现，甲方有权退货并索取赔偿。</w:t>
            </w:r>
          </w:p>
          <w:p>
            <w:pPr>
              <w:spacing w:line="360" w:lineRule="auto"/>
              <w:rPr>
                <w:rFonts w:hint="eastAsia" w:ascii="宋体" w:hAnsi="宋体" w:eastAsia="宋体" w:cs="宋体"/>
                <w:sz w:val="24"/>
                <w:szCs w:val="24"/>
                <w:highlight w:val="none"/>
              </w:rPr>
            </w:pPr>
            <w:r>
              <w:rPr>
                <w:rStyle w:val="22"/>
                <w:rFonts w:hint="eastAsia" w:ascii="宋体" w:hAnsi="宋体" w:eastAsia="宋体" w:cs="宋体"/>
                <w:sz w:val="24"/>
                <w:szCs w:val="24"/>
                <w:highlight w:val="none"/>
              </w:rPr>
              <w:t>2、产品中标后安装验收过程中如果发现有不满足*和</w:t>
            </w:r>
            <w:r>
              <w:rPr>
                <w:rFonts w:hint="eastAsia" w:ascii="宋体" w:hAnsi="宋体" w:eastAsia="宋体" w:cs="宋体"/>
                <w:sz w:val="24"/>
                <w:szCs w:val="24"/>
                <w:highlight w:val="none"/>
              </w:rPr>
              <w:t>★</w:t>
            </w:r>
            <w:r>
              <w:rPr>
                <w:rStyle w:val="22"/>
                <w:rFonts w:hint="eastAsia" w:ascii="宋体" w:hAnsi="宋体" w:eastAsia="宋体" w:cs="宋体"/>
                <w:sz w:val="24"/>
                <w:szCs w:val="24"/>
                <w:highlight w:val="none"/>
              </w:rPr>
              <w:t>号招标要求的、篡改参数，投标产品与交货产品不一致的，用户可以拒绝付款，并列入黑名单。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3</w:t>
            </w:r>
          </w:p>
        </w:tc>
        <w:tc>
          <w:tcPr>
            <w:tcW w:w="2516" w:type="dxa"/>
            <w:gridSpan w:val="2"/>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c>
          <w:tcPr>
            <w:tcW w:w="6832"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中标人：本次招标项目选1家中标单位。</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合同价：按照中标单位的中标价作为执行合同的价格。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4</w:t>
            </w:r>
          </w:p>
        </w:tc>
        <w:tc>
          <w:tcPr>
            <w:tcW w:w="2516" w:type="dxa"/>
            <w:gridSpan w:val="2"/>
            <w:noWrap w:val="0"/>
            <w:vAlign w:val="center"/>
          </w:tcPr>
          <w:p>
            <w:pPr>
              <w:pStyle w:val="23"/>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评审方法说明</w:t>
            </w:r>
          </w:p>
        </w:tc>
        <w:tc>
          <w:tcPr>
            <w:tcW w:w="6832" w:type="dxa"/>
            <w:noWrap w:val="0"/>
            <w:vAlign w:val="center"/>
          </w:tcPr>
          <w:p>
            <w:pPr>
              <w:pStyle w:val="23"/>
              <w:spacing w:line="360" w:lineRule="auto"/>
              <w:rPr>
                <w:rFonts w:hint="eastAsia" w:ascii="宋体" w:hAnsi="宋体" w:eastAsia="宋体" w:cs="宋体"/>
                <w:kern w:val="0"/>
                <w:sz w:val="24"/>
                <w:szCs w:val="24"/>
                <w:highlight w:val="none"/>
              </w:rPr>
            </w:pPr>
            <w:bookmarkStart w:id="4" w:name="EB2e2814636ed449638e31aec0b86a9c79"/>
            <w:bookmarkEnd w:id="4"/>
            <w:r>
              <w:rPr>
                <w:rFonts w:hint="eastAsia" w:ascii="宋体" w:hAnsi="宋体" w:eastAsia="宋体" w:cs="宋体"/>
                <w:kern w:val="0"/>
                <w:sz w:val="24"/>
                <w:szCs w:val="24"/>
                <w:highlight w:val="none"/>
              </w:rPr>
              <w:t xml:space="preserve">☑资格后审         </w:t>
            </w:r>
            <w:bookmarkStart w:id="5" w:name="EB5195853e4e84408dabe7b38250913457"/>
            <w:bookmarkEnd w:id="5"/>
            <w:r>
              <w:rPr>
                <w:rFonts w:hint="eastAsia" w:ascii="宋体" w:hAnsi="宋体" w:eastAsia="宋体" w:cs="宋体"/>
                <w:kern w:val="0"/>
                <w:sz w:val="24"/>
                <w:szCs w:val="24"/>
                <w:highlight w:val="none"/>
              </w:rPr>
              <w:t>☐资格预审</w:t>
            </w:r>
          </w:p>
          <w:p>
            <w:pPr>
              <w:pStyle w:val="23"/>
              <w:spacing w:line="360" w:lineRule="auto"/>
              <w:rPr>
                <w:rFonts w:hint="eastAsia" w:ascii="宋体" w:hAnsi="宋体" w:eastAsia="宋体" w:cs="宋体"/>
                <w:kern w:val="0"/>
                <w:sz w:val="24"/>
                <w:szCs w:val="24"/>
                <w:highlight w:val="none"/>
              </w:rPr>
            </w:pPr>
            <w:bookmarkStart w:id="6" w:name="EB5c39ed08c4e342aeacec8cbe6387f2ef"/>
            <w:bookmarkEnd w:id="6"/>
            <w:r>
              <w:rPr>
                <w:rFonts w:hint="eastAsia" w:ascii="宋体" w:hAnsi="宋体" w:eastAsia="宋体" w:cs="宋体"/>
                <w:kern w:val="0"/>
                <w:sz w:val="24"/>
                <w:szCs w:val="24"/>
                <w:highlight w:val="none"/>
              </w:rPr>
              <w:t xml:space="preserve">☑综合评分法       </w:t>
            </w:r>
            <w:bookmarkStart w:id="7" w:name="EB133c7794490f47f2984bbb8eeafc51a9"/>
            <w:bookmarkEnd w:id="7"/>
            <w:r>
              <w:rPr>
                <w:rFonts w:hint="eastAsia" w:ascii="宋体" w:hAnsi="宋体" w:eastAsia="宋体" w:cs="宋体"/>
                <w:kern w:val="0"/>
                <w:sz w:val="24"/>
                <w:szCs w:val="24"/>
                <w:highlight w:val="none"/>
              </w:rPr>
              <w:t>☐最低评标价法</w:t>
            </w:r>
          </w:p>
          <w:p>
            <w:pPr>
              <w:pStyle w:val="23"/>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w:t>
            </w:r>
          </w:p>
          <w:p>
            <w:pPr>
              <w:pStyle w:val="23"/>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最低评标价法，是指以价格为主要因素确定中标供应商的评标方法，即在全部满足招标文件实质性要求前提下，依据统一的价格要素评定最低报价，以提出最低报价的投标人作为中标候选供应商或者中标供应商的评标方法。投标报价相同的，按技术指标优劣顺序排列，技术指标较优的一方为中标人。</w:t>
            </w:r>
          </w:p>
          <w:p>
            <w:pPr>
              <w:pStyle w:val="23"/>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2、综合评分法</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是指在最大限度地满足招标文件实质性要求前提下，按照招标文件中规定的评分细则评审后，以评标最终最高得分的投标人作为中标人的评标方法。每一投标人的最终得分为所有评委评分的算术平均值</w:t>
            </w:r>
            <w:r>
              <w:rPr>
                <w:rFonts w:hint="eastAsia" w:ascii="宋体" w:hAnsi="宋体" w:eastAsia="宋体" w:cs="宋体"/>
                <w:b/>
                <w:kern w:val="0"/>
                <w:sz w:val="24"/>
                <w:szCs w:val="24"/>
                <w:highlight w:val="none"/>
              </w:rPr>
              <w:t>。</w:t>
            </w:r>
            <w:r>
              <w:rPr>
                <w:rFonts w:hint="eastAsia" w:ascii="宋体" w:hAnsi="宋体" w:eastAsia="宋体" w:cs="宋体"/>
                <w:kern w:val="0"/>
                <w:sz w:val="24"/>
                <w:szCs w:val="24"/>
                <w:highlight w:val="none"/>
              </w:rPr>
              <w:t>得分相同的，报价较低的一方为中标人。得分且投标报价相同的，技术指标较优的一方为中标人。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5</w:t>
            </w:r>
          </w:p>
        </w:tc>
        <w:tc>
          <w:tcPr>
            <w:tcW w:w="2516" w:type="dxa"/>
            <w:gridSpan w:val="2"/>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政采云平台联系方式</w:t>
            </w:r>
          </w:p>
        </w:tc>
        <w:tc>
          <w:tcPr>
            <w:tcW w:w="6832" w:type="dxa"/>
            <w:noWrap w:val="0"/>
            <w:vAlign w:val="top"/>
          </w:tcPr>
          <w:p>
            <w:pPr>
              <w:spacing w:line="360" w:lineRule="auto"/>
              <w:rPr>
                <w:rStyle w:val="22"/>
                <w:rFonts w:hint="eastAsia" w:ascii="宋体" w:hAnsi="宋体" w:eastAsia="宋体" w:cs="宋体"/>
                <w:sz w:val="24"/>
                <w:szCs w:val="24"/>
                <w:highlight w:val="none"/>
              </w:rPr>
            </w:pPr>
            <w:r>
              <w:rPr>
                <w:rStyle w:val="22"/>
                <w:rFonts w:hint="eastAsia" w:ascii="宋体" w:hAnsi="宋体" w:eastAsia="宋体" w:cs="宋体"/>
                <w:sz w:val="24"/>
                <w:szCs w:val="24"/>
                <w:highlight w:val="none"/>
              </w:rPr>
              <w:t>在使用政采云电子投标客户端时，建议使用WIN7及以上操作系统。如有问题可拨打政采云客户服务热线400-881-7190进行咨询。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7" w:type="dxa"/>
            <w:noWrap w:val="0"/>
            <w:vAlign w:val="center"/>
          </w:tcPr>
          <w:p>
            <w:pPr>
              <w:overflowPunct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c>
          <w:tcPr>
            <w:tcW w:w="9348" w:type="dxa"/>
            <w:gridSpan w:val="3"/>
            <w:noWrap w:val="0"/>
            <w:vAlign w:val="center"/>
          </w:tcPr>
          <w:p>
            <w:pPr>
              <w:spacing w:line="360" w:lineRule="auto"/>
              <w:ind w:firstLine="472" w:firstLineChars="196"/>
              <w:rPr>
                <w:rFonts w:hint="eastAsia" w:ascii="宋体" w:hAnsi="宋体" w:eastAsia="宋体" w:cs="宋体"/>
                <w:b/>
                <w:sz w:val="24"/>
                <w:szCs w:val="24"/>
                <w:highlight w:val="none"/>
              </w:rPr>
            </w:pPr>
            <w:r>
              <w:rPr>
                <w:rFonts w:hint="eastAsia" w:ascii="宋体" w:hAnsi="宋体" w:eastAsia="宋体" w:cs="宋体"/>
                <w:b/>
                <w:sz w:val="24"/>
                <w:szCs w:val="24"/>
                <w:highlight w:val="none"/>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spacing w:line="360" w:lineRule="auto"/>
              <w:ind w:firstLine="472" w:firstLineChars="196"/>
              <w:rPr>
                <w:rFonts w:hint="eastAsia" w:ascii="宋体" w:hAnsi="宋体" w:eastAsia="宋体" w:cs="宋体"/>
                <w:b/>
                <w:sz w:val="24"/>
                <w:szCs w:val="24"/>
                <w:highlight w:val="none"/>
              </w:rPr>
            </w:pPr>
            <w:r>
              <w:rPr>
                <w:rFonts w:hint="eastAsia" w:ascii="宋体" w:hAnsi="宋体" w:eastAsia="宋体" w:cs="宋体"/>
                <w:b/>
                <w:sz w:val="24"/>
                <w:szCs w:val="24"/>
                <w:highlight w:val="none"/>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p>
            <w:pPr>
              <w:spacing w:line="360" w:lineRule="auto"/>
              <w:ind w:firstLine="472" w:firstLineChars="196"/>
              <w:rPr>
                <w:rFonts w:hint="eastAsia" w:ascii="宋体" w:hAnsi="宋体" w:eastAsia="宋体" w:cs="宋体"/>
                <w:b/>
                <w:sz w:val="24"/>
                <w:szCs w:val="24"/>
                <w:highlight w:val="none"/>
              </w:rPr>
            </w:pPr>
            <w:r>
              <w:rPr>
                <w:rFonts w:hint="eastAsia" w:ascii="宋体" w:hAnsi="宋体" w:eastAsia="宋体" w:cs="宋体"/>
                <w:b/>
                <w:sz w:val="24"/>
                <w:szCs w:val="24"/>
                <w:highlight w:val="none"/>
              </w:rPr>
              <w:t>4、</w:t>
            </w:r>
            <w:r>
              <w:rPr>
                <w:rFonts w:hint="eastAsia" w:ascii="宋体" w:hAnsi="宋体" w:eastAsia="宋体" w:cs="宋体"/>
                <w:b/>
                <w:bCs/>
                <w:sz w:val="24"/>
                <w:szCs w:val="24"/>
                <w:highlight w:val="none"/>
              </w:rPr>
              <w:t>投标文件格式文件要求盖单位章和（或）签字的地方，供应商均应使用CA数字证书加盖供应商的单位电子印章和（或）法定代表人的个人电子印章或电子签名章。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325" w:type="dxa"/>
            <w:gridSpan w:val="4"/>
            <w:noWrap w:val="0"/>
            <w:vAlign w:val="center"/>
          </w:tcPr>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325" w:type="dxa"/>
            <w:gridSpan w:val="4"/>
            <w:noWrap w:val="0"/>
            <w:vAlign w:val="center"/>
          </w:tcPr>
          <w:p>
            <w:pPr>
              <w:numPr>
                <w:ilvl w:val="0"/>
                <w:numId w:val="0"/>
              </w:numPr>
              <w:tabs>
                <w:tab w:val="center" w:pos="4422"/>
                <w:tab w:val="left" w:pos="7920"/>
              </w:tabs>
              <w:adjustRightInd w:val="0"/>
              <w:spacing w:line="360" w:lineRule="auto"/>
              <w:jc w:val="left"/>
              <w:textAlignment w:val="baseline"/>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其他事项：</w:t>
            </w:r>
          </w:p>
          <w:p>
            <w:pPr>
              <w:numPr>
                <w:ilvl w:val="0"/>
                <w:numId w:val="0"/>
              </w:numPr>
              <w:tabs>
                <w:tab w:val="center" w:pos="4422"/>
                <w:tab w:val="left" w:pos="7920"/>
              </w:tabs>
              <w:adjustRightInd w:val="0"/>
              <w:spacing w:line="360" w:lineRule="auto"/>
              <w:jc w:val="left"/>
              <w:textAlignment w:val="baseline"/>
              <w:rPr>
                <w:rFonts w:hint="eastAsia" w:ascii="宋体" w:hAnsi="宋体" w:eastAsia="宋体" w:cs="宋体"/>
                <w:b/>
                <w:bCs w:val="0"/>
                <w:color w:val="000000"/>
                <w:kern w:val="2"/>
                <w:sz w:val="24"/>
                <w:szCs w:val="24"/>
                <w:highlight w:val="none"/>
                <w:lang w:val="en-US" w:eastAsia="zh-CN" w:bidi="ar-SA"/>
              </w:rPr>
            </w:pPr>
            <w:r>
              <w:rPr>
                <w:rFonts w:hint="eastAsia" w:ascii="宋体" w:hAnsi="宋体" w:eastAsia="宋体" w:cs="宋体"/>
                <w:b/>
                <w:bCs w:val="0"/>
                <w:color w:val="000000"/>
                <w:kern w:val="2"/>
                <w:sz w:val="24"/>
                <w:szCs w:val="24"/>
                <w:highlight w:val="none"/>
                <w:lang w:val="en-US" w:eastAsia="zh-CN" w:bidi="ar-SA"/>
              </w:rPr>
              <w:t>办理投标保证金退款申请时须提供以下相关资料：</w:t>
            </w:r>
          </w:p>
          <w:p>
            <w:pPr>
              <w:numPr>
                <w:ilvl w:val="0"/>
                <w:numId w:val="1"/>
              </w:numPr>
              <w:tabs>
                <w:tab w:val="center" w:pos="4422"/>
                <w:tab w:val="left" w:pos="7920"/>
              </w:tabs>
              <w:adjustRightInd w:val="0"/>
              <w:spacing w:line="360" w:lineRule="auto"/>
              <w:jc w:val="left"/>
              <w:textAlignment w:val="baseline"/>
              <w:rPr>
                <w:rFonts w:hint="eastAsia" w:ascii="宋体" w:hAnsi="宋体" w:eastAsia="宋体" w:cs="宋体"/>
                <w:b/>
                <w:bCs w:val="0"/>
                <w:color w:val="000000"/>
                <w:kern w:val="2"/>
                <w:sz w:val="24"/>
                <w:szCs w:val="24"/>
                <w:highlight w:val="none"/>
                <w:lang w:val="en-US" w:eastAsia="zh-CN" w:bidi="ar-SA"/>
              </w:rPr>
            </w:pPr>
            <w:r>
              <w:rPr>
                <w:rFonts w:hint="eastAsia" w:ascii="宋体" w:hAnsi="宋体" w:eastAsia="宋体" w:cs="宋体"/>
                <w:b/>
                <w:bCs w:val="0"/>
                <w:color w:val="000000"/>
                <w:kern w:val="2"/>
                <w:sz w:val="24"/>
                <w:szCs w:val="24"/>
                <w:highlight w:val="none"/>
                <w:lang w:val="en-US" w:eastAsia="zh-CN" w:bidi="ar-SA"/>
              </w:rPr>
              <w:t>未中标供应商需提交营业执照复印件和开户行许可证复印件加盖公章、反开收据加盖财务章；</w:t>
            </w:r>
          </w:p>
          <w:p>
            <w:pPr>
              <w:spacing w:line="360" w:lineRule="auto"/>
              <w:rPr>
                <w:rFonts w:hint="eastAsia" w:ascii="宋体" w:hAnsi="宋体" w:eastAsia="宋体" w:cs="宋体"/>
                <w:b/>
                <w:sz w:val="24"/>
                <w:szCs w:val="24"/>
                <w:highlight w:val="none"/>
                <w:lang w:eastAsia="zh-CN"/>
              </w:rPr>
            </w:pPr>
            <w:r>
              <w:rPr>
                <w:rFonts w:hint="eastAsia" w:ascii="宋体" w:hAnsi="宋体" w:eastAsia="宋体" w:cs="宋体"/>
                <w:b/>
                <w:bCs w:val="0"/>
                <w:color w:val="000000"/>
                <w:kern w:val="2"/>
                <w:sz w:val="24"/>
                <w:szCs w:val="24"/>
                <w:highlight w:val="none"/>
                <w:lang w:val="en-US" w:eastAsia="zh-CN" w:bidi="ar-SA"/>
              </w:rPr>
              <w:t>2、中标供应商需提交营业执照复印件和开户行许可证复印件加盖公章、反开收据加盖财务章、与采购人签订的合同原件或复印件一份。</w:t>
            </w:r>
          </w:p>
        </w:tc>
      </w:tr>
    </w:tbl>
    <w:p>
      <w:pPr>
        <w:pStyle w:val="19"/>
        <w:spacing w:line="360" w:lineRule="auto"/>
        <w:outlineLvl w:val="0"/>
        <w:rPr>
          <w:rFonts w:hint="eastAsia" w:ascii="宋体" w:hAnsi="宋体" w:eastAsia="宋体" w:cs="宋体"/>
          <w:b/>
          <w:color w:val="auto"/>
          <w:kern w:val="2"/>
          <w:sz w:val="24"/>
          <w:szCs w:val="24"/>
          <w:highlight w:val="none"/>
        </w:rPr>
      </w:pPr>
    </w:p>
    <w:p>
      <w:pPr>
        <w:spacing w:line="360" w:lineRule="auto"/>
        <w:rPr>
          <w:rFonts w:hint="eastAsia" w:ascii="宋体" w:hAnsi="宋体" w:eastAsia="宋体" w:cs="宋体"/>
          <w:b/>
          <w:color w:val="auto"/>
          <w:kern w:val="2"/>
          <w:sz w:val="24"/>
          <w:szCs w:val="24"/>
          <w:highlight w:val="none"/>
        </w:rPr>
      </w:pPr>
      <w:bookmarkStart w:id="8" w:name="_Toc64919000"/>
      <w:r>
        <w:rPr>
          <w:rFonts w:hint="eastAsia" w:ascii="宋体" w:hAnsi="宋体" w:eastAsia="宋体" w:cs="宋体"/>
          <w:b/>
          <w:color w:val="auto"/>
          <w:kern w:val="2"/>
          <w:sz w:val="24"/>
          <w:szCs w:val="24"/>
          <w:highlight w:val="none"/>
        </w:rPr>
        <w:br w:type="page"/>
      </w:r>
    </w:p>
    <w:p>
      <w:pPr>
        <w:pStyle w:val="19"/>
        <w:spacing w:line="360" w:lineRule="auto"/>
        <w:jc w:val="center"/>
        <w:outlineLvl w:val="0"/>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第二部分 招标说明</w:t>
      </w:r>
      <w:bookmarkEnd w:id="8"/>
    </w:p>
    <w:p>
      <w:pPr>
        <w:pStyle w:val="19"/>
        <w:spacing w:line="360" w:lineRule="auto"/>
        <w:jc w:val="center"/>
        <w:outlineLvl w:val="1"/>
        <w:rPr>
          <w:rFonts w:hint="eastAsia" w:ascii="宋体" w:hAnsi="宋体" w:eastAsia="宋体" w:cs="宋体"/>
          <w:b/>
          <w:color w:val="auto"/>
          <w:kern w:val="2"/>
          <w:sz w:val="24"/>
          <w:szCs w:val="24"/>
          <w:highlight w:val="none"/>
        </w:rPr>
      </w:pPr>
      <w:bookmarkStart w:id="9" w:name="_Toc64919001"/>
      <w:r>
        <w:rPr>
          <w:rFonts w:hint="eastAsia" w:ascii="宋体" w:hAnsi="宋体" w:eastAsia="宋体" w:cs="宋体"/>
          <w:b/>
          <w:color w:val="auto"/>
          <w:kern w:val="2"/>
          <w:sz w:val="24"/>
          <w:szCs w:val="24"/>
          <w:highlight w:val="none"/>
        </w:rPr>
        <w:t>第一章</w:t>
      </w:r>
      <w:r>
        <w:rPr>
          <w:rFonts w:hint="eastAsia" w:ascii="宋体" w:hAnsi="宋体" w:eastAsia="宋体" w:cs="宋体"/>
          <w:b/>
          <w:color w:val="auto"/>
          <w:kern w:val="2"/>
          <w:sz w:val="24"/>
          <w:szCs w:val="24"/>
          <w:highlight w:val="none"/>
          <w:lang w:val="en-US" w:eastAsia="zh-CN"/>
        </w:rPr>
        <w:t xml:space="preserve">  </w:t>
      </w:r>
      <w:r>
        <w:rPr>
          <w:rFonts w:hint="eastAsia" w:ascii="宋体" w:hAnsi="宋体" w:eastAsia="宋体" w:cs="宋体"/>
          <w:b/>
          <w:color w:val="auto"/>
          <w:kern w:val="2"/>
          <w:sz w:val="24"/>
          <w:szCs w:val="24"/>
          <w:highlight w:val="none"/>
        </w:rPr>
        <w:t>总</w:t>
      </w:r>
      <w:r>
        <w:rPr>
          <w:rFonts w:hint="eastAsia" w:ascii="宋体" w:hAnsi="宋体" w:eastAsia="宋体" w:cs="宋体"/>
          <w:b/>
          <w:color w:val="auto"/>
          <w:kern w:val="2"/>
          <w:sz w:val="24"/>
          <w:szCs w:val="24"/>
          <w:highlight w:val="none"/>
          <w:lang w:val="en-US" w:eastAsia="zh-CN"/>
        </w:rPr>
        <w:t xml:space="preserve">  </w:t>
      </w:r>
      <w:r>
        <w:rPr>
          <w:rFonts w:hint="eastAsia" w:ascii="宋体" w:hAnsi="宋体" w:eastAsia="宋体" w:cs="宋体"/>
          <w:b/>
          <w:color w:val="auto"/>
          <w:kern w:val="2"/>
          <w:sz w:val="24"/>
          <w:szCs w:val="24"/>
          <w:highlight w:val="none"/>
        </w:rPr>
        <w:t>则</w:t>
      </w:r>
      <w:bookmarkEnd w:id="9"/>
    </w:p>
    <w:p>
      <w:pPr>
        <w:spacing w:line="360" w:lineRule="auto"/>
        <w:ind w:firstLine="472" w:firstLineChars="196"/>
        <w:rPr>
          <w:rFonts w:hint="eastAsia" w:ascii="宋体" w:hAnsi="宋体" w:eastAsia="宋体" w:cs="宋体"/>
          <w:b/>
          <w:sz w:val="24"/>
          <w:szCs w:val="24"/>
          <w:highlight w:val="none"/>
        </w:rPr>
      </w:pPr>
      <w:r>
        <w:rPr>
          <w:rFonts w:hint="eastAsia" w:ascii="宋体" w:hAnsi="宋体" w:eastAsia="宋体" w:cs="宋体"/>
          <w:b/>
          <w:sz w:val="24"/>
          <w:szCs w:val="24"/>
          <w:highlight w:val="none"/>
        </w:rPr>
        <w:t>1. 适用范围</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  本招标文件仅适用于</w:t>
      </w:r>
      <w:r>
        <w:rPr>
          <w:rFonts w:hint="eastAsia" w:ascii="宋体" w:hAnsi="宋体" w:eastAsia="宋体" w:cs="宋体"/>
          <w:b/>
          <w:bCs/>
          <w:sz w:val="24"/>
          <w:szCs w:val="24"/>
          <w:highlight w:val="none"/>
          <w:lang w:val="en-US" w:eastAsia="zh-CN"/>
        </w:rPr>
        <w:t>福建省闽咨造价咨询有限公司新疆分公司</w:t>
      </w:r>
      <w:r>
        <w:rPr>
          <w:rFonts w:hint="eastAsia" w:ascii="宋体" w:hAnsi="宋体" w:eastAsia="宋体" w:cs="宋体"/>
          <w:sz w:val="24"/>
          <w:szCs w:val="24"/>
          <w:highlight w:val="none"/>
        </w:rPr>
        <w:t>的本次招标活动。</w:t>
      </w:r>
    </w:p>
    <w:p>
      <w:pPr>
        <w:tabs>
          <w:tab w:val="left" w:pos="1185"/>
        </w:tabs>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 投标资格</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　具有承担本项目的能力以及符合下述条件的供应商（制造商、代理商）均为合格的投标人：</w:t>
      </w:r>
    </w:p>
    <w:p>
      <w:pPr>
        <w:pStyle w:val="5"/>
        <w:spacing w:line="360" w:lineRule="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2.1.</w:t>
      </w:r>
      <w:r>
        <w:rPr>
          <w:rFonts w:hint="eastAsia" w:ascii="宋体" w:hAnsi="宋体" w:eastAsia="宋体" w:cs="宋体"/>
          <w:kern w:val="0"/>
          <w:sz w:val="24"/>
          <w:szCs w:val="24"/>
          <w:highlight w:val="none"/>
        </w:rPr>
        <w:t>1.满足《中华人民共和国政府采购法》第二十二条规定；</w:t>
      </w:r>
    </w:p>
    <w:p>
      <w:pPr>
        <w:pStyle w:val="5"/>
        <w:spacing w:line="360" w:lineRule="auto"/>
        <w:rPr>
          <w:rFonts w:hint="eastAsia" w:ascii="宋体" w:hAnsi="宋体" w:eastAsia="宋体" w:cs="宋体"/>
          <w:kern w:val="0"/>
          <w:sz w:val="24"/>
          <w:szCs w:val="24"/>
          <w:highlight w:val="none"/>
        </w:rPr>
      </w:pPr>
      <w:r>
        <w:rPr>
          <w:rFonts w:hint="eastAsia" w:ascii="宋体" w:hAnsi="宋体" w:cs="宋体"/>
          <w:kern w:val="0"/>
          <w:sz w:val="24"/>
          <w:szCs w:val="24"/>
          <w:highlight w:val="none"/>
          <w:lang w:val="en-US" w:eastAsia="zh-CN"/>
        </w:rPr>
        <w:t>2.1.</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.本项目的特定资格要求：</w:t>
      </w:r>
    </w:p>
    <w:p>
      <w:pPr>
        <w:pStyle w:val="5"/>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（1）有效的“一证一码”或“三证合一”的营业执照副本； </w:t>
      </w:r>
    </w:p>
    <w:p>
      <w:pPr>
        <w:pStyle w:val="5"/>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（2）凡拟参加本次招标项目的投标商，近三年内（本项目投标截止期前）存在下述条件中的任意一项将拒绝其参加本次采购活动：</w:t>
      </w:r>
    </w:p>
    <w:p>
      <w:pPr>
        <w:pStyle w:val="5"/>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1）“信用中国网（www.creditchina.gov.cn）”被列入失信被执行人、企业经营异常名录、重大税收违法案件当事人名单、政府采购严重违法失信名单（尚在处罚期内的）；</w:t>
      </w:r>
    </w:p>
    <w:p>
      <w:pPr>
        <w:pStyle w:val="5"/>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2）“中国政府采购网（www.ccgp.gov.cn）”被列入政府采购严重违法失信行为记录名单的（尚在处罚期内的）；</w:t>
      </w:r>
    </w:p>
    <w:p>
      <w:pPr>
        <w:pStyle w:val="5"/>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3）“国家企业信用信息公示系统（http://www.gsxt.gov.cn）”列入经营异常名录信息、列入严重违法失信企业名单（黑名单）信息。</w:t>
      </w:r>
    </w:p>
    <w:p>
      <w:pPr>
        <w:pStyle w:val="5"/>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4）“中国裁判文书网（http://wenshu.court.gov.cn/）”有行贿受贿犯罪记录(尚在处罚期内)。</w:t>
      </w:r>
    </w:p>
    <w:p>
      <w:pPr>
        <w:pStyle w:val="5"/>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）法定代表人或其委托代理人应提供本人身份证原件及复印件，委托代理人还应携带《法定代表人授权委托书》</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rPr>
        <w:t> </w:t>
      </w:r>
    </w:p>
    <w:p>
      <w:pPr>
        <w:pStyle w:val="5"/>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所投产品属于第二类医疗器械的，还需提供有效的行政主管部门颁发的医疗器械经营备案凭证（或医疗器械生产许可证或医疗器械经营许可证或其他医疗器械生产经营许可证明文件，经营范围需包含本次项目的内容）；所投产品属于第三类医疗器械的，还需提供有效的行政主管部门颁发的医疗器械生产许可证（或医疗器械经营许可证或其他医疗器械生产经营许可证明文件，经营范围需包含本次项目的内容）</w:t>
      </w:r>
    </w:p>
    <w:p>
      <w:pPr>
        <w:pStyle w:val="5"/>
        <w:spacing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lang w:eastAsia="zh-CN"/>
        </w:rPr>
        <w:t>）供应商为经销商或代理商的须提供制造商针对本项目出具的授权证明文件（所投产品为进口产品必须提供）；</w:t>
      </w:r>
    </w:p>
    <w:p>
      <w:pPr>
        <w:pStyle w:val="5"/>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）投标人须提供所投产品的医疗器械注册证书</w:t>
      </w:r>
      <w:r>
        <w:rPr>
          <w:rFonts w:hint="eastAsia" w:ascii="宋体" w:hAnsi="宋体" w:eastAsia="宋体" w:cs="宋体"/>
          <w:kern w:val="0"/>
          <w:sz w:val="24"/>
          <w:szCs w:val="24"/>
          <w:highlight w:val="none"/>
          <w:lang w:eastAsia="zh-CN"/>
        </w:rPr>
        <w:t>（含登记表）</w:t>
      </w:r>
      <w:r>
        <w:rPr>
          <w:rFonts w:hint="eastAsia" w:ascii="宋体" w:hAnsi="宋体" w:eastAsia="宋体" w:cs="宋体"/>
          <w:kern w:val="0"/>
          <w:sz w:val="24"/>
          <w:szCs w:val="24"/>
          <w:highlight w:val="none"/>
        </w:rPr>
        <w:t>复印件（加盖厂家公章）；</w:t>
      </w:r>
    </w:p>
    <w:p>
      <w:pPr>
        <w:pStyle w:val="5"/>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本项目不接受联合体投标。</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 投标人存在下列情形之一的，拒绝其参加本次投标（已投标的按无效标处理）：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（1）为招标人不具有独立法人资格的附属机构（单位）；</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（2）为本标段前期准备提供设计或咨询服务的；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（3）为本标段提供招标代理服务的；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（4）法定代表人为同一人的两个及两个以上法人，母公司、全资子公司及其控股公司，在同一货物采购招标中同时投标的；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（5）被责令停业的；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（6）被暂停或取消投标资格的；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（7）财产被接管或冻结的；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（8）在最近三年内有骗取中标或严重违约或重大质量问题的，受到行政处罚的。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 有下列情形之一的，视为投标人串通投标，其投标无效：</w:t>
      </w:r>
    </w:p>
    <w:p>
      <w:pPr>
        <w:spacing w:line="360" w:lineRule="auto"/>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（1）不同投标人的投标文件由同一单位或者个人编制。</w:t>
      </w:r>
    </w:p>
    <w:p>
      <w:pPr>
        <w:spacing w:line="360" w:lineRule="auto"/>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（2）不同投标人委托同一单位或者个人办理投标事宜。</w:t>
      </w:r>
    </w:p>
    <w:p>
      <w:pPr>
        <w:spacing w:line="360" w:lineRule="auto"/>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（3）不同投标人的投标文件载明的项目管理成员或者联系人员为同一人。</w:t>
      </w:r>
    </w:p>
    <w:p>
      <w:pPr>
        <w:spacing w:line="360" w:lineRule="auto"/>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（4）不同投标人的投标文件异常一致或者投标报价呈规律性差异。</w:t>
      </w:r>
    </w:p>
    <w:p>
      <w:pPr>
        <w:spacing w:line="360" w:lineRule="auto"/>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（5）不同投标人的投标文件相互混装。</w:t>
      </w:r>
    </w:p>
    <w:p>
      <w:pPr>
        <w:spacing w:line="360" w:lineRule="auto"/>
        <w:ind w:firstLine="540" w:firstLineChars="225"/>
        <w:rPr>
          <w:rFonts w:hint="eastAsia" w:ascii="宋体" w:hAnsi="宋体" w:eastAsia="宋体" w:cs="宋体"/>
          <w:sz w:val="24"/>
          <w:szCs w:val="24"/>
          <w:highlight w:val="none"/>
        </w:rPr>
      </w:pPr>
      <w:r>
        <w:rPr>
          <w:rFonts w:hint="eastAsia" w:ascii="宋体" w:hAnsi="宋体" w:eastAsia="宋体" w:cs="宋体"/>
          <w:sz w:val="24"/>
          <w:szCs w:val="24"/>
          <w:highlight w:val="none"/>
        </w:rPr>
        <w:t>（6）不同投标人的投标保证金从同一单位或者个人的账户转出。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2.4投标人在本次招标活动中，必须遵守《中华人民共和国政府采购法》的规定。</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 定义</w:t>
      </w:r>
    </w:p>
    <w:p>
      <w:pPr>
        <w:spacing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下列术语和缩写的定义为：</w:t>
      </w:r>
    </w:p>
    <w:p>
      <w:pPr>
        <w:tabs>
          <w:tab w:val="left" w:pos="132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  “采购人”系指</w:t>
      </w:r>
      <w:r>
        <w:rPr>
          <w:rFonts w:hint="eastAsia" w:ascii="宋体" w:hAnsi="宋体" w:eastAsia="宋体" w:cs="宋体"/>
          <w:b/>
          <w:bCs/>
          <w:sz w:val="24"/>
          <w:szCs w:val="24"/>
          <w:highlight w:val="none"/>
          <w:lang w:val="en-US" w:eastAsia="zh-CN"/>
        </w:rPr>
        <w:t>库尔勒市第二人民医院</w:t>
      </w:r>
      <w:r>
        <w:rPr>
          <w:rFonts w:hint="eastAsia" w:ascii="宋体" w:hAnsi="宋体" w:eastAsia="宋体" w:cs="宋体"/>
          <w:sz w:val="24"/>
          <w:szCs w:val="24"/>
          <w:highlight w:val="none"/>
        </w:rPr>
        <w:t>。</w:t>
      </w:r>
    </w:p>
    <w:p>
      <w:pPr>
        <w:tabs>
          <w:tab w:val="left" w:pos="132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  “招标代理机构”系指</w:t>
      </w:r>
      <w:r>
        <w:rPr>
          <w:rFonts w:hint="eastAsia" w:ascii="宋体" w:hAnsi="宋体" w:eastAsia="宋体" w:cs="宋体"/>
          <w:b/>
          <w:bCs/>
          <w:sz w:val="24"/>
          <w:szCs w:val="24"/>
          <w:highlight w:val="none"/>
          <w:lang w:val="en-US" w:eastAsia="zh-CN"/>
        </w:rPr>
        <w:t>福建省闽咨造价咨询有限公司新疆分公司</w:t>
      </w:r>
      <w:r>
        <w:rPr>
          <w:rFonts w:hint="eastAsia" w:ascii="宋体" w:hAnsi="宋体" w:eastAsia="宋体" w:cs="宋体"/>
          <w:sz w:val="24"/>
          <w:szCs w:val="24"/>
          <w:highlight w:val="none"/>
        </w:rPr>
        <w:t>。</w:t>
      </w:r>
    </w:p>
    <w:p>
      <w:pPr>
        <w:tabs>
          <w:tab w:val="left" w:pos="900"/>
        </w:tabs>
        <w:spacing w:line="360" w:lineRule="auto"/>
        <w:ind w:left="480"/>
        <w:rPr>
          <w:rFonts w:hint="eastAsia" w:ascii="宋体" w:hAnsi="宋体" w:eastAsia="宋体" w:cs="宋体"/>
          <w:sz w:val="24"/>
          <w:szCs w:val="24"/>
          <w:highlight w:val="none"/>
        </w:rPr>
      </w:pPr>
      <w:r>
        <w:rPr>
          <w:rFonts w:hint="eastAsia" w:ascii="宋体" w:hAnsi="宋体" w:eastAsia="宋体" w:cs="宋体"/>
          <w:sz w:val="24"/>
          <w:szCs w:val="24"/>
          <w:highlight w:val="none"/>
        </w:rPr>
        <w:t>3.3  “招标方”系指采购人和招标代理机构的统称。</w:t>
      </w:r>
    </w:p>
    <w:p>
      <w:pPr>
        <w:tabs>
          <w:tab w:val="left" w:pos="1185"/>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  “投标人”系指有资格的供应商（制造商、代理商）及投标表现人。</w:t>
      </w:r>
    </w:p>
    <w:p>
      <w:pPr>
        <w:spacing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3.5  “中标方”系指经评标委员会评定后得分最高并由评标委员会推荐的投标人。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  “货物”、“产品”指本招标文件中第四部分《采购货物清单及技术参数》及《政府采购品目分类目录》(财库[2013]189号)所述所有货物及相关服务。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3.6.1采购信息安全产品的，应当采购经国家认证的信息安全产品；供应货物中的相关产品，供应商应提供由中国信息安全认证中心按国家标准认证颁发的有效认证证书。</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3.7 “节能产品”或者“环保产品”是指财政部发布的《节能产品政府采购清单》或者《环境标志产品政府采购清单》的产品。</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3.8 “进口产品”是指通过中国海关报关验放进入中国境内且产自关境外的产品，详见《关于政府采购进口产品管理有关问题的通知》(财库[2007]119号)。</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3.9  “服务”系指招标文件中规定投标人须承担的质保、技术协助、培训及其他类似的责任。</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3.10  “响应”系指投标人根据招标代理机构发布的招标文件，编制投标文件并按规定投标的行为。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3.11  “标段（包）”系指一个完整独立的投标项目。</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4. 投标费用</w:t>
      </w:r>
    </w:p>
    <w:p>
      <w:pPr>
        <w:spacing w:line="360" w:lineRule="auto"/>
        <w:ind w:firstLine="482"/>
        <w:rPr>
          <w:rFonts w:hint="eastAsia" w:ascii="宋体" w:hAnsi="宋体" w:eastAsia="宋体" w:cs="宋体"/>
          <w:sz w:val="24"/>
          <w:szCs w:val="24"/>
          <w:highlight w:val="none"/>
        </w:rPr>
      </w:pPr>
      <w:r>
        <w:rPr>
          <w:rFonts w:hint="eastAsia" w:ascii="宋体" w:hAnsi="宋体" w:eastAsia="宋体" w:cs="宋体"/>
          <w:sz w:val="24"/>
          <w:szCs w:val="24"/>
          <w:highlight w:val="none"/>
        </w:rPr>
        <w:t>4.1  无论投标结果如何，凡参与招标、投标活动有关的所有费用将由投标人自行承担。</w:t>
      </w:r>
    </w:p>
    <w:p>
      <w:pPr>
        <w:tabs>
          <w:tab w:val="left" w:pos="1185"/>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  投标人被视为熟悉本招标项目的各种情况以及与履行合同有关的一切情况。</w:t>
      </w:r>
    </w:p>
    <w:p>
      <w:pPr>
        <w:tabs>
          <w:tab w:val="left" w:pos="1185"/>
        </w:tabs>
        <w:spacing w:line="360" w:lineRule="auto"/>
        <w:ind w:firstLine="480" w:firstLineChars="200"/>
        <w:rPr>
          <w:rFonts w:hint="eastAsia" w:ascii="宋体" w:hAnsi="宋体" w:eastAsia="宋体" w:cs="宋体"/>
          <w:sz w:val="24"/>
          <w:szCs w:val="24"/>
          <w:highlight w:val="none"/>
        </w:rPr>
      </w:pPr>
    </w:p>
    <w:p>
      <w:pPr>
        <w:pStyle w:val="19"/>
        <w:spacing w:line="360" w:lineRule="auto"/>
        <w:jc w:val="center"/>
        <w:outlineLvl w:val="1"/>
        <w:rPr>
          <w:rFonts w:hint="eastAsia" w:ascii="宋体" w:hAnsi="宋体" w:eastAsia="宋体" w:cs="宋体"/>
          <w:b/>
          <w:color w:val="auto"/>
          <w:kern w:val="2"/>
          <w:sz w:val="24"/>
          <w:szCs w:val="24"/>
          <w:highlight w:val="none"/>
        </w:rPr>
      </w:pPr>
      <w:bookmarkStart w:id="10" w:name="_Toc64919002"/>
      <w:r>
        <w:rPr>
          <w:rFonts w:hint="eastAsia" w:ascii="宋体" w:hAnsi="宋体" w:eastAsia="宋体" w:cs="宋体"/>
          <w:b/>
          <w:color w:val="auto"/>
          <w:kern w:val="2"/>
          <w:sz w:val="24"/>
          <w:szCs w:val="24"/>
          <w:highlight w:val="none"/>
        </w:rPr>
        <w:t>第二章</w:t>
      </w:r>
      <w:r>
        <w:rPr>
          <w:rFonts w:hint="eastAsia" w:ascii="宋体" w:hAnsi="宋体" w:eastAsia="宋体" w:cs="宋体"/>
          <w:b/>
          <w:color w:val="auto"/>
          <w:kern w:val="2"/>
          <w:sz w:val="24"/>
          <w:szCs w:val="24"/>
          <w:highlight w:val="none"/>
          <w:lang w:val="en-US" w:eastAsia="zh-CN"/>
        </w:rPr>
        <w:t xml:space="preserve"> </w:t>
      </w:r>
      <w:r>
        <w:rPr>
          <w:rFonts w:hint="eastAsia" w:ascii="宋体" w:hAnsi="宋体" w:eastAsia="宋体" w:cs="宋体"/>
          <w:b/>
          <w:color w:val="auto"/>
          <w:kern w:val="2"/>
          <w:sz w:val="24"/>
          <w:szCs w:val="24"/>
          <w:highlight w:val="none"/>
        </w:rPr>
        <w:t>招标文件</w:t>
      </w:r>
      <w:bookmarkEnd w:id="10"/>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 招标文件说明</w:t>
      </w:r>
    </w:p>
    <w:p>
      <w:pPr>
        <w:tabs>
          <w:tab w:val="left" w:pos="1185"/>
        </w:tabs>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招标文件组成如下：</w:t>
      </w:r>
    </w:p>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招标公告</w:t>
      </w:r>
    </w:p>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第一部分投标须知</w:t>
      </w:r>
    </w:p>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第二部分招标说明</w:t>
      </w:r>
    </w:p>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第三部分投标说明</w:t>
      </w:r>
    </w:p>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第四部分采购货物清单及技术参数</w:t>
      </w:r>
    </w:p>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第五部分合同部分</w:t>
      </w:r>
    </w:p>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第六部分附件（范本格式）</w:t>
      </w:r>
    </w:p>
    <w:p>
      <w:pPr>
        <w:tabs>
          <w:tab w:val="left" w:pos="1185"/>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  投标人应详细阅读招标文件的全部内容。如果投标人未按照招标文件要求提交全部资料或者投标文件没有对招标文件在各方面的要求做出实质性响应，将导致其投标被拒绝。</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 招标文件的修改或补充</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　澄清或者修改的内容可能影响投标文件编制的，在投标截止期</w:t>
      </w:r>
      <w:r>
        <w:rPr>
          <w:rFonts w:hint="eastAsia" w:ascii="宋体" w:hAnsi="宋体" w:eastAsia="宋体" w:cs="宋体"/>
          <w:sz w:val="24"/>
          <w:szCs w:val="24"/>
          <w:highlight w:val="none"/>
          <w:u w:val="single"/>
        </w:rPr>
        <w:t>十五日前</w:t>
      </w:r>
      <w:r>
        <w:rPr>
          <w:rFonts w:hint="eastAsia" w:ascii="宋体" w:hAnsi="宋体" w:eastAsia="宋体" w:cs="宋体"/>
          <w:sz w:val="24"/>
          <w:szCs w:val="24"/>
          <w:highlight w:val="none"/>
        </w:rPr>
        <w:t>的任何时间，招标方可主动或依据投标人要求澄清的问题而修改或补充招标文件，并以书面形式或网上公告通知所有投标人，投标人在收到该通知后应立即以电报或传真的形式予以确认。</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　为使投标人在准备投标时有适当的时间考虑投标文件的修改，招标方有权决定推迟投标截止时间和开标时间，并将此变更通知所有的投标人。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　招标文件的修改和补充文件将构成招标文件的一部分，并且对投标人具有优先约束力。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.4 质疑</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.4.1 投标人若有质疑须在法定质疑期内一次性提出针对同一采购程序环节的质疑。</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.4.2投标人对招标文件若有疑问，详见6.1条。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.4.3投标人对招标过程、中标结果若有质疑，须在7个工作日内，以书面加盖公章的形式一次性提出递交至</w:t>
      </w:r>
      <w:r>
        <w:rPr>
          <w:rFonts w:hint="eastAsia" w:ascii="宋体" w:hAnsi="宋体" w:eastAsia="宋体" w:cs="宋体"/>
          <w:b/>
          <w:bCs/>
          <w:sz w:val="24"/>
          <w:szCs w:val="24"/>
          <w:highlight w:val="none"/>
          <w:lang w:val="en-US" w:eastAsia="zh-CN"/>
        </w:rPr>
        <w:t>福建省闽咨造价咨询有限公司新疆分公司</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邵艳丽</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18199208277</w:t>
      </w:r>
      <w:r>
        <w:rPr>
          <w:rFonts w:hint="eastAsia" w:ascii="宋体" w:hAnsi="宋体" w:eastAsia="宋体" w:cs="宋体"/>
          <w:b/>
          <w:bCs/>
          <w:sz w:val="24"/>
          <w:szCs w:val="24"/>
          <w:highlight w:val="none"/>
        </w:rPr>
        <w:t>。</w:t>
      </w:r>
    </w:p>
    <w:p>
      <w:pPr>
        <w:spacing w:line="360" w:lineRule="auto"/>
        <w:rPr>
          <w:rFonts w:hint="eastAsia" w:ascii="宋体" w:hAnsi="宋体" w:eastAsia="宋体" w:cs="宋体"/>
          <w:b/>
          <w:color w:val="auto"/>
          <w:kern w:val="2"/>
          <w:sz w:val="24"/>
          <w:szCs w:val="24"/>
          <w:highlight w:val="none"/>
        </w:rPr>
      </w:pPr>
      <w:bookmarkStart w:id="11" w:name="_Toc64919003"/>
      <w:r>
        <w:rPr>
          <w:rFonts w:hint="eastAsia" w:ascii="宋体" w:hAnsi="宋体" w:eastAsia="宋体" w:cs="宋体"/>
          <w:b/>
          <w:color w:val="auto"/>
          <w:kern w:val="2"/>
          <w:sz w:val="24"/>
          <w:szCs w:val="24"/>
          <w:highlight w:val="none"/>
        </w:rPr>
        <w:br w:type="page"/>
      </w:r>
    </w:p>
    <w:p>
      <w:pPr>
        <w:pStyle w:val="19"/>
        <w:spacing w:line="360" w:lineRule="auto"/>
        <w:jc w:val="center"/>
        <w:outlineLvl w:val="0"/>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第三部分</w:t>
      </w:r>
      <w:r>
        <w:rPr>
          <w:rFonts w:hint="eastAsia" w:ascii="宋体" w:hAnsi="宋体" w:eastAsia="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rPr>
        <w:t>投标说明</w:t>
      </w:r>
      <w:bookmarkEnd w:id="11"/>
    </w:p>
    <w:p>
      <w:pPr>
        <w:spacing w:line="360" w:lineRule="auto"/>
        <w:jc w:val="center"/>
        <w:outlineLvl w:val="1"/>
        <w:rPr>
          <w:rFonts w:hint="eastAsia" w:ascii="宋体" w:hAnsi="宋体" w:eastAsia="宋体" w:cs="宋体"/>
          <w:b/>
          <w:sz w:val="24"/>
          <w:szCs w:val="24"/>
          <w:highlight w:val="none"/>
        </w:rPr>
      </w:pPr>
      <w:bookmarkStart w:id="12" w:name="_Toc64919005"/>
      <w:r>
        <w:rPr>
          <w:rFonts w:hint="eastAsia" w:ascii="宋体" w:hAnsi="宋体" w:eastAsia="宋体" w:cs="宋体"/>
          <w:b/>
          <w:sz w:val="24"/>
          <w:szCs w:val="24"/>
          <w:highlight w:val="none"/>
        </w:rPr>
        <w:t>第</w:t>
      </w: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章</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投标文件的编写</w:t>
      </w:r>
      <w:bookmarkEnd w:id="12"/>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 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投标人应详细阅读招标文件中的条款、规范、表示、条件和格式等所有内容，按招标文件的要求提供投标文件，并保证所提供全部材料的真实性，使其投标对招标文件做出实质性响应。否则，其投标视为无效。</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 投标文件语言和度量单位</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  投标文件及投标人和招标方就招标、投标交换的文件和往来信件，须以中文书写。</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  除在招标文件的技术规格中另有规定外，计量单位应使用中华人民共和国法定计量单位。</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 投标文件的组成</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　投标人编写的投标文件应包括下列内容：</w:t>
      </w:r>
    </w:p>
    <w:p>
      <w:pPr>
        <w:pStyle w:val="2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投标文件分为资格审查资料、商务文件、技术文件和服务文件。</w:t>
      </w:r>
    </w:p>
    <w:p>
      <w:pPr>
        <w:pStyle w:val="2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商务文件指投标人提交的证明其有资格参加投标和中标后有能力履行合同的文件。技术和服务文件指投标人提交的能够证明其提供的货物及服务符合招标文件规定的文件。本次招标，投标人须按招标文件第二部分“投标人须知前附表”中第18项规定提交资格审查资料、商务文件、技术文件和服务文件，其中加☆项目若有缺失或无效，将导致投标被拒绝且不允许在开标后补正。</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.2投标人递交的投标文件及相关要求按照招标文件第一部分“投标人须知前附表”中第14、17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项的规定。</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.2.1电子投标文件的编制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2.1.1电子投标文件使用政采云提供的电子投标客户端以及招标文件要求进行制作编制。投标文件制作时，不同内容按标签提示制作导入，按照招标文件中明确的投标文件目录和格式进行编制，保证目录清晰、内容完整。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.2.1.2电子投标文件须使用投标人公章的电子签章以及法定代表人的电子签章。若无电子签章，则视为无效投标。</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2.1.3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xml:space="preserve">.2.1.4电子投标文件制作工具在生成加密投标文件时，同时生成非加密投标文件一份。未加密的电子投标文件由投标人使用U盘制作（投标人须保证启用U盘时能正常读取）。 </w:t>
      </w:r>
    </w:p>
    <w:p>
      <w:pPr>
        <w:spacing w:line="36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.3 开标一览表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必须按本招标文件所附的格式填写，并进行CA的签章，开标一览表中小写和大写不符，以大写为准。开标一览表中的大小写均须按法定格式正确填写。投标报价没有同时填报大写和小写的，其投标将被拒绝。</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 投标文件格式</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　投标人应按招标文件提供的范本格式认真填写投标文件、开标一览表。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投标人应严格按招标文件的格式要求及附件向招标公司提交投标文件，否则视为不响应招标文件要求，如招标文件没有提供格式的，投标人可自行设置。</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.3投标人应将投标文件按规定的顺序编排、并应编制目录、逐页标注连续页码，必须采用胶装。</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 投标报价</w:t>
      </w:r>
    </w:p>
    <w:p>
      <w:pPr>
        <w:spacing w:line="360" w:lineRule="auto"/>
        <w:ind w:firstLine="482" w:firstLineChars="200"/>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u w:val="single"/>
          <w:lang w:val="en-US" w:eastAsia="zh-CN"/>
        </w:rPr>
        <w:t>5</w:t>
      </w:r>
      <w:r>
        <w:rPr>
          <w:rFonts w:hint="eastAsia" w:ascii="宋体" w:hAnsi="宋体" w:eastAsia="宋体" w:cs="宋体"/>
          <w:b/>
          <w:sz w:val="24"/>
          <w:szCs w:val="24"/>
          <w:highlight w:val="none"/>
          <w:u w:val="single"/>
        </w:rPr>
        <w:t>.1  投标报价超预算金额的，其报价无效，不进入评标阶段。</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  投标人应在明细报价表上标明综合单价和总价。</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（1）开标一览表内容与投标文件中相应内容不一致的，以开标一览表为准；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（2）大写金额和小写金额不一致的，以大写金额为准；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（3）综合单价金额小数点有明显错位的，以开标一览表的总价为准，并修改综合单价；</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（4）总价金额与按综合单价汇总金额不一致的，以综合单价金额计算结果为准。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同时出现两种以上不一致的，按照前款规定的顺序修正。修正后的报价经投标人确认后产生约束力，投标人不确认的，其投标无效。</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.3 投标人如果免费提供某项产品、部件或服务，除在价格栏中填写“0”外，还必须在备注栏中声明免费或赠送。</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 投标报价时应注意包括下列几项</w:t>
      </w:r>
      <w:r>
        <w:rPr>
          <w:rFonts w:hint="eastAsia" w:ascii="宋体" w:hAnsi="宋体" w:eastAsia="宋体" w:cs="宋体"/>
          <w:sz w:val="24"/>
          <w:szCs w:val="24"/>
          <w:highlight w:val="none"/>
          <w:lang w:eastAsia="zh-CN"/>
        </w:rPr>
        <w:t>费</w:t>
      </w:r>
      <w:r>
        <w:rPr>
          <w:rFonts w:hint="eastAsia" w:ascii="宋体" w:hAnsi="宋体" w:eastAsia="宋体" w:cs="宋体"/>
          <w:sz w:val="24"/>
          <w:szCs w:val="24"/>
          <w:highlight w:val="none"/>
        </w:rPr>
        <w:t>用：</w:t>
      </w:r>
    </w:p>
    <w:p>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（1）招标文件中特别要求的备品备件、易损件和专用工具的费用；</w:t>
      </w:r>
    </w:p>
    <w:p>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（2）招标文件中特别要求的安装、调试、培训、运输、保险及其它附带服务的全部费用；</w:t>
      </w:r>
    </w:p>
    <w:p>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（3）投标人提供的在中华人民共和国制造的货物，其货物的投标价即交货价中，包括制造、组装该货物所使用的零部件及原材料已付的全部关税、销售税和其他税。</w:t>
      </w:r>
    </w:p>
    <w:p>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（4）综合单价必须包括货物、安装、调试、技术支持、运输保险、售后服务、培训及其它必需服务的报价。</w:t>
      </w:r>
    </w:p>
    <w:p>
      <w:pPr>
        <w:spacing w:line="360" w:lineRule="auto"/>
        <w:ind w:left="480"/>
        <w:rPr>
          <w:rFonts w:hint="eastAsia" w:ascii="宋体" w:hAnsi="宋体" w:eastAsia="宋体" w:cs="宋体"/>
          <w:b/>
          <w:bCs/>
          <w:sz w:val="24"/>
          <w:szCs w:val="24"/>
          <w:highlight w:val="none"/>
          <w:u w:val="singl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.5 投标人应对投标货物提供完整的详细的书面说明。</w:t>
      </w:r>
    </w:p>
    <w:p>
      <w:pPr>
        <w:spacing w:line="360" w:lineRule="auto"/>
        <w:ind w:left="48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 投标报价的货币单位</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　投标报价单位为人民币。各项价格必须清楚、准确、详细。</w:t>
      </w:r>
    </w:p>
    <w:p>
      <w:pPr>
        <w:spacing w:line="360" w:lineRule="auto"/>
        <w:ind w:left="48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 证明货物的合格性和符合招标文件规定的文件</w:t>
      </w:r>
    </w:p>
    <w:p>
      <w:pPr>
        <w:adjustRightInd w:val="0"/>
        <w:snapToGrid w:val="0"/>
        <w:spacing w:line="360" w:lineRule="auto"/>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 投标人应提交证明文件证明其拟投标的货物的合格性符合招标文件规定。该证明文件作为投标文件的一部分。</w:t>
      </w:r>
    </w:p>
    <w:p>
      <w:pPr>
        <w:adjustRightInd w:val="0"/>
        <w:snapToGrid w:val="0"/>
        <w:spacing w:line="360" w:lineRule="auto"/>
        <w:ind w:firstLine="424" w:firstLineChars="177"/>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随机抽取产生。</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.3非单一产品采购项目，采购人应当根据采购项目技术构成、产品价格比重等合理确定核心产品，并在招标文件中载明。多家投标人提供的核心产品品牌相同的，按上一款规定处理。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.4  投标人的服务承诺应按不低于招标文件中要求的服务标准做出响应。</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.5  上述文件可以是文字资料、图纸和数据等，并提供：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（1）货物主要技术及性能特点的详细描述；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（2）货物主要部件的详细资料，包括检验报告等；</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（3）一份在技术规格中规定的保证服务正常和连续运转期间所需要的所有备件和专业工具的详细清单包括价格及供货来源信息。</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.6没有按要求提供资料或提供资料不完全的或仅仅复制招标文件提供的技术参数并与实际提供设备参数不符，将被视为对招标文件没有做出实质性响应，其风险由投标人自行承担。</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.7如果投标人提供的服务及货物不是投标人自己生产或拥有的，则必须得到技术拥有者或货物制造商向招标人提供该种货物/服务的正式授权。</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.8 领取了招标文件的投标人应认真阅读招标文件的所有内容，按照公开招标文件的要求编制投标文件，投标文件正本中所提供资料需加盖公章。</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.9投标人提供的设备必须是正规厂家生产的高质量产品，不能提供劣质三无产品（无厂址,无商标,无合格证）。</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.10 产品资料和检测报告所反映的技术参数和性能指标将作为验收产品实物的依据。</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.11 投标人应提交证明文件证明其拟投标的货物的合格性符合招标文件规定。该证明文件作为投标文件的一部分。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.12 证明货物和服务与招标文件的要求一致的文件，可以是文字资料、图纸和数据，它包括：</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货物主要技术指标和性能的详细说明。</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货物从采购人开始使用至“投标人须知前附表”中规定的周期内正常、连续地使用所必须的备品备件和专用工具清单，包括备品备件和专用工具的供货来源及现行价格。</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.13 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 投标有效期</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　投标文件从开标之日起，投标有效期为</w:t>
      </w:r>
      <w:r>
        <w:rPr>
          <w:rFonts w:hint="eastAsia" w:ascii="宋体" w:hAnsi="宋体" w:eastAsia="宋体" w:cs="宋体"/>
          <w:sz w:val="24"/>
          <w:szCs w:val="24"/>
          <w:highlight w:val="none"/>
          <w:u w:val="single"/>
        </w:rPr>
        <w:t>九十</w:t>
      </w:r>
      <w:r>
        <w:rPr>
          <w:rFonts w:hint="eastAsia" w:ascii="宋体" w:hAnsi="宋体" w:eastAsia="宋体" w:cs="宋体"/>
          <w:sz w:val="24"/>
          <w:szCs w:val="24"/>
          <w:highlight w:val="none"/>
          <w:lang w:eastAsia="zh-CN"/>
        </w:rPr>
        <w:t>日历日</w:t>
      </w:r>
      <w:r>
        <w:rPr>
          <w:rFonts w:hint="eastAsia" w:ascii="宋体" w:hAnsi="宋体" w:eastAsia="宋体" w:cs="宋体"/>
          <w:sz w:val="24"/>
          <w:szCs w:val="24"/>
          <w:highlight w:val="none"/>
        </w:rPr>
        <w:t>（如不满足将导致废标）。</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　在特殊情况下，招标方可与投标人协商延长投标文件的有效期。</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eastAsia="zh-CN"/>
        </w:rPr>
        <w:t>纸质版</w:t>
      </w:r>
      <w:r>
        <w:rPr>
          <w:rFonts w:hint="eastAsia" w:ascii="宋体" w:hAnsi="宋体" w:eastAsia="宋体" w:cs="宋体"/>
          <w:b/>
          <w:sz w:val="24"/>
          <w:szCs w:val="24"/>
          <w:highlight w:val="none"/>
        </w:rPr>
        <w:t>投标文件的签署规定</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　投标文件的页面必须用印刷体打印。</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.2　投标文件应清楚工整，一般不准修改。个别非实质性修改之处必须由投标人的法定代表人（负责人）或经其正式授权的代表在修改的每一页上进行签章或盖投标单位公章后才有效。</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.3　投标文件应由法人代表或法人授权代表在规定的签章处逐一签署或加盖单位公章</w:t>
      </w:r>
      <w:r>
        <w:rPr>
          <w:rFonts w:hint="eastAsia" w:ascii="宋体" w:hAnsi="宋体" w:eastAsia="宋体" w:cs="宋体"/>
          <w:bCs/>
          <w:sz w:val="24"/>
          <w:szCs w:val="24"/>
          <w:highlight w:val="none"/>
        </w:rPr>
        <w:t>，投标文件方为有效。</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.4　</w:t>
      </w:r>
      <w:r>
        <w:rPr>
          <w:rFonts w:hint="eastAsia" w:ascii="宋体" w:hAnsi="宋体" w:eastAsia="宋体" w:cs="宋体"/>
          <w:sz w:val="24"/>
          <w:szCs w:val="24"/>
          <w:highlight w:val="none"/>
          <w:lang w:eastAsia="zh-CN"/>
        </w:rPr>
        <w:t>中标单位</w:t>
      </w:r>
      <w:r>
        <w:rPr>
          <w:rFonts w:hint="eastAsia" w:ascii="宋体" w:hAnsi="宋体" w:eastAsia="宋体" w:cs="宋体"/>
          <w:sz w:val="24"/>
          <w:szCs w:val="24"/>
          <w:highlight w:val="none"/>
        </w:rPr>
        <w:t>投标文件纸质版必须提交正本</w:t>
      </w:r>
      <w:r>
        <w:rPr>
          <w:rFonts w:hint="eastAsia" w:ascii="宋体" w:hAnsi="宋体" w:eastAsia="宋体" w:cs="宋体"/>
          <w:sz w:val="24"/>
          <w:szCs w:val="24"/>
          <w:highlight w:val="none"/>
          <w:u w:val="single"/>
        </w:rPr>
        <w:t>一</w:t>
      </w:r>
      <w:r>
        <w:rPr>
          <w:rFonts w:hint="eastAsia" w:ascii="宋体" w:hAnsi="宋体" w:eastAsia="宋体" w:cs="宋体"/>
          <w:sz w:val="24"/>
          <w:szCs w:val="24"/>
          <w:highlight w:val="none"/>
        </w:rPr>
        <w:t>套和副本</w:t>
      </w:r>
      <w:r>
        <w:rPr>
          <w:rFonts w:hint="eastAsia" w:ascii="宋体" w:hAnsi="宋体" w:eastAsia="宋体" w:cs="宋体"/>
          <w:sz w:val="24"/>
          <w:szCs w:val="24"/>
          <w:highlight w:val="none"/>
          <w:u w:val="single"/>
        </w:rPr>
        <w:t>　</w:t>
      </w:r>
      <w:r>
        <w:rPr>
          <w:rFonts w:hint="eastAsia" w:ascii="宋体" w:hAnsi="宋体" w:cs="宋体"/>
          <w:sz w:val="24"/>
          <w:szCs w:val="24"/>
          <w:highlight w:val="none"/>
          <w:u w:val="single"/>
          <w:lang w:eastAsia="zh-CN"/>
        </w:rPr>
        <w:t>三</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套，并在封面上标记“正本”或“副本”。</w:t>
      </w:r>
      <w:r>
        <w:rPr>
          <w:rFonts w:hint="eastAsia" w:ascii="宋体" w:hAnsi="宋体" w:eastAsia="宋体" w:cs="宋体"/>
          <w:sz w:val="24"/>
          <w:szCs w:val="24"/>
          <w:highlight w:val="none"/>
          <w:lang w:eastAsia="zh-CN"/>
        </w:rPr>
        <w:t>未中标单位</w:t>
      </w:r>
      <w:r>
        <w:rPr>
          <w:rFonts w:hint="eastAsia" w:ascii="宋体" w:hAnsi="宋体" w:eastAsia="宋体" w:cs="宋体"/>
          <w:sz w:val="24"/>
          <w:szCs w:val="24"/>
          <w:highlight w:val="none"/>
        </w:rPr>
        <w:t>投标文件纸质版必须提交正本</w:t>
      </w:r>
      <w:r>
        <w:rPr>
          <w:rFonts w:hint="eastAsia" w:ascii="宋体" w:hAnsi="宋体" w:eastAsia="宋体" w:cs="宋体"/>
          <w:sz w:val="24"/>
          <w:szCs w:val="24"/>
          <w:highlight w:val="none"/>
          <w:u w:val="single"/>
        </w:rPr>
        <w:t>一</w:t>
      </w:r>
      <w:r>
        <w:rPr>
          <w:rFonts w:hint="eastAsia" w:ascii="宋体" w:hAnsi="宋体" w:eastAsia="宋体" w:cs="宋体"/>
          <w:sz w:val="24"/>
          <w:szCs w:val="24"/>
          <w:highlight w:val="none"/>
        </w:rPr>
        <w:t>套和副本</w:t>
      </w:r>
      <w:r>
        <w:rPr>
          <w:rFonts w:hint="eastAsia" w:ascii="宋体" w:hAnsi="宋体" w:eastAsia="宋体" w:cs="宋体"/>
          <w:sz w:val="24"/>
          <w:szCs w:val="24"/>
          <w:highlight w:val="none"/>
          <w:u w:val="single"/>
        </w:rPr>
        <w:t>　</w:t>
      </w:r>
      <w:r>
        <w:rPr>
          <w:rFonts w:hint="eastAsia" w:ascii="宋体" w:hAnsi="宋体" w:cs="宋体"/>
          <w:sz w:val="24"/>
          <w:szCs w:val="24"/>
          <w:highlight w:val="none"/>
          <w:u w:val="single"/>
          <w:lang w:eastAsia="zh-CN"/>
        </w:rPr>
        <w:t>二</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套，并在封面上标记“正本”或“副本”。</w:t>
      </w:r>
      <w:r>
        <w:rPr>
          <w:rFonts w:hint="eastAsia" w:ascii="宋体" w:hAnsi="宋体" w:eastAsia="宋体" w:cs="宋体"/>
          <w:sz w:val="24"/>
          <w:szCs w:val="24"/>
          <w:highlight w:val="none"/>
          <w:lang w:eastAsia="zh-CN"/>
        </w:rPr>
        <w:t>（另</w:t>
      </w:r>
      <w:r>
        <w:rPr>
          <w:rFonts w:hint="eastAsia" w:ascii="宋体" w:hAnsi="宋体" w:eastAsia="宋体" w:cs="宋体"/>
          <w:sz w:val="24"/>
          <w:szCs w:val="24"/>
          <w:highlight w:val="none"/>
          <w:lang w:val="en-US" w:eastAsia="zh-CN"/>
        </w:rPr>
        <w:t>要求电子版：电子版 U 盘、光盘各一份。</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.5  投标文件的正本与副本应当完全一致。当正本和副本之间出现差异时，以正本为准。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.6  电报、电话、传真、电子邮件等形式的投标概不接受。</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0</w:t>
      </w:r>
      <w:r>
        <w:rPr>
          <w:rFonts w:hint="eastAsia" w:ascii="宋体" w:hAnsi="宋体" w:eastAsia="宋体" w:cs="宋体"/>
          <w:b/>
          <w:sz w:val="24"/>
          <w:szCs w:val="24"/>
          <w:highlight w:val="none"/>
        </w:rPr>
        <w:t>. 投标保证金</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.1  招标方因投标人的违规行为而受到损害时将不予退还投标人的投标保证金，将其作为所受损害的补偿。</w:t>
      </w:r>
    </w:p>
    <w:p>
      <w:pPr>
        <w:pStyle w:val="6"/>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.2　投标保证金应当以支票、汇票、本票等非现金形式提交，必须从投标人基本账户转出，其有效期应不低于投标有效期。投标人未按照招标文件要求提交投标保证金的，投标无效。</w:t>
      </w:r>
    </w:p>
    <w:p>
      <w:pPr>
        <w:pStyle w:val="6"/>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.3  投标人应提交投标保证金，并于投标保证金缴纳截止时间</w:t>
      </w:r>
      <w:r>
        <w:rPr>
          <w:rFonts w:hint="eastAsia" w:hAnsi="宋体" w:cs="宋体"/>
          <w:sz w:val="24"/>
          <w:szCs w:val="24"/>
          <w:highlight w:val="none"/>
          <w:lang w:eastAsia="zh-CN"/>
        </w:rPr>
        <w:t>（</w:t>
      </w:r>
      <w:r>
        <w:rPr>
          <w:rFonts w:hint="eastAsia" w:hAnsi="宋体" w:cs="宋体"/>
          <w:sz w:val="24"/>
          <w:szCs w:val="24"/>
          <w:highlight w:val="none"/>
          <w:lang w:val="en-US" w:eastAsia="zh-CN"/>
        </w:rPr>
        <w:t>2021年08月24日</w:t>
      </w:r>
      <w:r>
        <w:rPr>
          <w:rFonts w:hint="eastAsia" w:ascii="宋体" w:hAnsi="宋体" w:eastAsia="宋体" w:cs="宋体"/>
          <w:sz w:val="24"/>
          <w:szCs w:val="24"/>
          <w:highlight w:val="none"/>
          <w:lang w:val="en-US" w:eastAsia="zh-CN"/>
        </w:rPr>
        <w:t>18：00</w:t>
      </w:r>
      <w:r>
        <w:rPr>
          <w:rFonts w:hint="eastAsia" w:hAnsi="宋体" w:cs="宋体"/>
          <w:sz w:val="24"/>
          <w:szCs w:val="24"/>
          <w:highlight w:val="none"/>
          <w:lang w:eastAsia="zh-CN"/>
        </w:rPr>
        <w:t>）</w:t>
      </w:r>
      <w:r>
        <w:rPr>
          <w:rFonts w:hint="eastAsia" w:ascii="宋体" w:hAnsi="宋体" w:eastAsia="宋体" w:cs="宋体"/>
          <w:sz w:val="24"/>
          <w:szCs w:val="24"/>
          <w:highlight w:val="none"/>
          <w:lang w:val="en-US" w:eastAsia="zh-CN"/>
        </w:rPr>
        <w:t>(北京时间)前</w:t>
      </w:r>
      <w:r>
        <w:rPr>
          <w:rFonts w:hint="eastAsia" w:hAnsi="宋体" w:cs="宋体"/>
          <w:sz w:val="24"/>
          <w:szCs w:val="24"/>
          <w:highlight w:val="none"/>
          <w:lang w:eastAsia="zh-CN"/>
        </w:rPr>
        <w:t>，</w:t>
      </w:r>
      <w:r>
        <w:rPr>
          <w:rFonts w:hint="eastAsia" w:ascii="宋体" w:hAnsi="宋体" w:eastAsia="宋体" w:cs="宋体"/>
          <w:sz w:val="24"/>
          <w:szCs w:val="24"/>
          <w:highlight w:val="none"/>
        </w:rPr>
        <w:t>以到账时间为准（人民币），逾期不予受理。如投标保证金为汇款形式的，（汇款时汇款单填写内容须备注投标企业名称、项目名称及项目编号）。</w:t>
      </w:r>
    </w:p>
    <w:p>
      <w:pPr>
        <w:pStyle w:val="6"/>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投标保证金可直接交入：</w:t>
      </w:r>
    </w:p>
    <w:p>
      <w:pPr>
        <w:pStyle w:val="6"/>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lang w:val="en-US" w:eastAsia="zh-CN"/>
        </w:rPr>
        <w:t>交通银行乌鲁木齐人民路支行</w:t>
      </w:r>
      <w:r>
        <w:rPr>
          <w:rFonts w:hint="eastAsia" w:ascii="宋体" w:hAnsi="宋体" w:eastAsia="宋体" w:cs="宋体"/>
          <w:sz w:val="24"/>
          <w:szCs w:val="24"/>
          <w:highlight w:val="none"/>
        </w:rPr>
        <w:t>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行号：</w:t>
      </w:r>
      <w:r>
        <w:rPr>
          <w:rFonts w:hint="eastAsia" w:ascii="宋体" w:hAnsi="宋体" w:eastAsia="宋体" w:cs="宋体"/>
          <w:sz w:val="24"/>
          <w:szCs w:val="24"/>
          <w:highlight w:val="none"/>
          <w:lang w:val="en-US" w:eastAsia="zh-CN"/>
        </w:rPr>
        <w:t>301881000091</w:t>
      </w:r>
    </w:p>
    <w:p>
      <w:pPr>
        <w:pStyle w:val="6"/>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全称：</w:t>
      </w:r>
      <w:r>
        <w:rPr>
          <w:rFonts w:hint="eastAsia" w:ascii="宋体" w:hAnsi="宋体" w:eastAsia="宋体" w:cs="宋体"/>
          <w:sz w:val="24"/>
          <w:szCs w:val="24"/>
          <w:highlight w:val="none"/>
          <w:lang w:val="en-US" w:eastAsia="zh-CN"/>
        </w:rPr>
        <w:t xml:space="preserve">福建省闽咨造价咨询有限公司新疆分公司 </w:t>
      </w:r>
      <w:r>
        <w:rPr>
          <w:rFonts w:hint="eastAsia" w:ascii="宋体" w:hAnsi="宋体" w:eastAsia="宋体" w:cs="宋体"/>
          <w:sz w:val="24"/>
          <w:szCs w:val="24"/>
          <w:highlight w:val="none"/>
        </w:rPr>
        <w:t>帐号：</w:t>
      </w:r>
      <w:r>
        <w:rPr>
          <w:rFonts w:hint="eastAsia" w:ascii="宋体" w:hAnsi="宋体" w:eastAsia="宋体" w:cs="宋体"/>
          <w:sz w:val="24"/>
          <w:szCs w:val="24"/>
          <w:highlight w:val="none"/>
          <w:lang w:val="en-US" w:eastAsia="zh-CN"/>
        </w:rPr>
        <w:t>651651011018800025469</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  退保证金须知：</w:t>
      </w:r>
    </w:p>
    <w:p>
      <w:pPr>
        <w:spacing w:line="360" w:lineRule="auto"/>
        <w:ind w:firstLine="472" w:firstLineChars="196"/>
        <w:rPr>
          <w:rFonts w:hint="eastAsia" w:ascii="宋体" w:hAnsi="宋体" w:eastAsia="宋体" w:cs="宋体"/>
          <w:b/>
          <w:sz w:val="24"/>
          <w:szCs w:val="24"/>
          <w:highlight w:val="none"/>
        </w:rPr>
      </w:pPr>
      <w:r>
        <w:rPr>
          <w:rFonts w:hint="eastAsia" w:ascii="宋体" w:hAnsi="宋体" w:eastAsia="宋体" w:cs="宋体"/>
          <w:b/>
          <w:sz w:val="24"/>
          <w:szCs w:val="24"/>
          <w:highlight w:val="none"/>
        </w:rPr>
        <w:t>(一)退还方式：</w:t>
      </w:r>
    </w:p>
    <w:p>
      <w:pPr>
        <w:spacing w:line="360" w:lineRule="auto"/>
        <w:ind w:firstLine="551"/>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.将所需材料邮寄至我公司代为办理（</w:t>
      </w:r>
      <w:r>
        <w:rPr>
          <w:rFonts w:hint="eastAsia" w:ascii="宋体" w:hAnsi="宋体" w:eastAsia="宋体" w:cs="宋体"/>
          <w:b/>
          <w:bCs/>
          <w:sz w:val="24"/>
          <w:szCs w:val="24"/>
          <w:highlight w:val="none"/>
        </w:rPr>
        <w:t>收件人：</w:t>
      </w:r>
      <w:r>
        <w:rPr>
          <w:rFonts w:hint="eastAsia" w:ascii="宋体" w:hAnsi="宋体" w:eastAsia="宋体" w:cs="宋体"/>
          <w:b/>
          <w:bCs/>
          <w:sz w:val="24"/>
          <w:szCs w:val="24"/>
          <w:highlight w:val="none"/>
          <w:lang w:val="en-US" w:eastAsia="zh-CN"/>
        </w:rPr>
        <w:t>邵艳丽</w:t>
      </w:r>
      <w:r>
        <w:rPr>
          <w:rFonts w:hint="eastAsia" w:ascii="宋体" w:hAnsi="宋体" w:eastAsia="宋体" w:cs="宋体"/>
          <w:b/>
          <w:bCs/>
          <w:sz w:val="24"/>
          <w:szCs w:val="24"/>
          <w:highlight w:val="none"/>
        </w:rPr>
        <w:t>；联系电话：</w:t>
      </w:r>
      <w:r>
        <w:rPr>
          <w:rFonts w:hint="eastAsia" w:ascii="宋体" w:hAnsi="宋体" w:eastAsia="宋体" w:cs="宋体"/>
          <w:b/>
          <w:bCs/>
          <w:sz w:val="24"/>
          <w:szCs w:val="24"/>
          <w:highlight w:val="none"/>
          <w:lang w:val="en-US" w:eastAsia="zh-CN"/>
        </w:rPr>
        <w:t>18199208277</w:t>
      </w:r>
      <w:r>
        <w:rPr>
          <w:rFonts w:hint="eastAsia" w:ascii="宋体" w:hAnsi="宋体" w:eastAsia="宋体" w:cs="宋体"/>
          <w:sz w:val="24"/>
          <w:szCs w:val="24"/>
          <w:highlight w:val="none"/>
        </w:rPr>
        <w:t>），邮费自理，拒收到付。</w:t>
      </w:r>
    </w:p>
    <w:p>
      <w:pPr>
        <w:spacing w:line="360" w:lineRule="auto"/>
        <w:ind w:firstLine="551"/>
        <w:rPr>
          <w:rFonts w:hint="eastAsia" w:ascii="宋体" w:hAnsi="宋体" w:eastAsia="宋体" w:cs="宋体"/>
          <w:sz w:val="24"/>
          <w:szCs w:val="24"/>
          <w:highlight w:val="none"/>
        </w:rPr>
      </w:pPr>
      <w:r>
        <w:rPr>
          <w:rFonts w:hint="eastAsia" w:ascii="宋体" w:hAnsi="宋体" w:eastAsia="宋体" w:cs="宋体"/>
          <w:sz w:val="24"/>
          <w:szCs w:val="24"/>
          <w:highlight w:val="none"/>
        </w:rPr>
        <w:t>3. 投标保证金退还为公对公账户电汇业务，我单位不退还现金。</w:t>
      </w:r>
    </w:p>
    <w:p>
      <w:pPr>
        <w:spacing w:line="360" w:lineRule="auto"/>
        <w:ind w:firstLine="551"/>
        <w:rPr>
          <w:rFonts w:hint="eastAsia" w:ascii="宋体" w:hAnsi="宋体" w:eastAsia="宋体" w:cs="宋体"/>
          <w:sz w:val="24"/>
          <w:szCs w:val="24"/>
          <w:highlight w:val="none"/>
        </w:rPr>
      </w:pPr>
      <w:r>
        <w:rPr>
          <w:rFonts w:hint="eastAsia" w:ascii="宋体" w:hAnsi="宋体" w:eastAsia="宋体" w:cs="宋体"/>
          <w:sz w:val="24"/>
          <w:szCs w:val="24"/>
          <w:highlight w:val="none"/>
        </w:rPr>
        <w:t>4. 投标保证金将在收到所需资料的5个工作日内无息退还。</w:t>
      </w:r>
    </w:p>
    <w:p>
      <w:pPr>
        <w:spacing w:line="360" w:lineRule="auto"/>
        <w:ind w:firstLine="354" w:firstLineChars="147"/>
        <w:rPr>
          <w:rFonts w:hint="eastAsia" w:ascii="宋体" w:hAnsi="宋体" w:eastAsia="宋体" w:cs="宋体"/>
          <w:b/>
          <w:sz w:val="24"/>
          <w:szCs w:val="24"/>
          <w:highlight w:val="none"/>
        </w:rPr>
      </w:pPr>
      <w:r>
        <w:rPr>
          <w:rFonts w:hint="eastAsia" w:ascii="宋体" w:hAnsi="宋体" w:eastAsia="宋体" w:cs="宋体"/>
          <w:b/>
          <w:sz w:val="24"/>
          <w:szCs w:val="24"/>
          <w:highlight w:val="none"/>
        </w:rPr>
        <w:t>（二）退还保证金所需资料：</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未中标单位需提供营业执照复印件（加盖公章）、开户许可证复印件（加盖公章）、收据（加盖财务章）。中标单位需提供营业执照复印件（加盖公章）、开户许可证复印件（加盖公章）、采购合同（加盖公章）、收据（加盖财务章）。</w:t>
      </w:r>
    </w:p>
    <w:p>
      <w:pPr>
        <w:numPr>
          <w:ilvl w:val="0"/>
          <w:numId w:val="0"/>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中标人需缴纳中标服务费并提供</w:t>
      </w:r>
      <w:r>
        <w:rPr>
          <w:rFonts w:hint="eastAsia" w:ascii="宋体" w:hAnsi="宋体" w:eastAsia="宋体" w:cs="宋体"/>
          <w:sz w:val="24"/>
          <w:szCs w:val="24"/>
          <w:highlight w:val="none"/>
          <w:lang w:eastAsia="zh-CN"/>
        </w:rPr>
        <w:t>加盖公章的</w:t>
      </w:r>
      <w:r>
        <w:rPr>
          <w:rFonts w:hint="eastAsia" w:ascii="宋体" w:hAnsi="宋体" w:eastAsia="宋体" w:cs="宋体"/>
          <w:sz w:val="24"/>
          <w:szCs w:val="24"/>
          <w:highlight w:val="none"/>
        </w:rPr>
        <w:t>采购合同复印件，与其他材料一并邮寄至我公司，需注明项目名称、项目编号。</w:t>
      </w:r>
    </w:p>
    <w:p>
      <w:pPr>
        <w:spacing w:line="360" w:lineRule="auto"/>
        <w:ind w:firstLine="482" w:firstLineChars="200"/>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 投标保证金</w:t>
      </w:r>
      <w:r>
        <w:rPr>
          <w:rFonts w:hint="eastAsia" w:ascii="宋体" w:hAnsi="宋体" w:eastAsia="宋体" w:cs="宋体"/>
          <w:b/>
          <w:sz w:val="24"/>
          <w:szCs w:val="24"/>
          <w:highlight w:val="none"/>
          <w:lang w:eastAsia="zh-CN"/>
        </w:rPr>
        <w:t>不予退还情况</w:t>
      </w:r>
    </w:p>
    <w:p>
      <w:pPr>
        <w:numPr>
          <w:ilvl w:val="0"/>
          <w:numId w:val="0"/>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11.1</w:t>
      </w:r>
      <w:r>
        <w:rPr>
          <w:rFonts w:hint="eastAsia" w:ascii="宋体" w:hAnsi="宋体" w:eastAsia="宋体" w:cs="宋体"/>
          <w:sz w:val="24"/>
          <w:szCs w:val="24"/>
          <w:highlight w:val="none"/>
        </w:rPr>
        <w:t>下列任何情况发生时，投标保证金将不予退还，转为违约金：</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投标人在投标截止期后，投标有效期内撤回投标；</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投标人在规定期限内未按规定向采购人缴纳履约保证金；</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中标方未按投标人须知规定缴纳招标代理费；</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以他人名义投标或者以其他方式弄虚作假，骗取中标；</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  打架斗殴，扰乱标场秩序；</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  本招标文件中或《政府采购货物和服务招标投标管理办法》第七十五条规定的其他不予退还投标保证金的情形。</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下列任何情况发生时，投标保证金将不予退还，转为违约金：</w:t>
      </w:r>
    </w:p>
    <w:p>
      <w:pPr>
        <w:spacing w:line="360" w:lineRule="auto"/>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(1)  投标人在投标截止期后，投标有效期内撤回投标；</w:t>
      </w:r>
    </w:p>
    <w:p>
      <w:pPr>
        <w:spacing w:line="360" w:lineRule="auto"/>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(2)  投标人在规定期限内未按规定向采购人缴纳履约保证金；</w:t>
      </w:r>
    </w:p>
    <w:p>
      <w:pPr>
        <w:spacing w:line="360" w:lineRule="auto"/>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(3)  中标方未按投标人须知规定缴纳招标代理费；</w:t>
      </w:r>
    </w:p>
    <w:p>
      <w:pPr>
        <w:spacing w:line="360" w:lineRule="auto"/>
        <w:ind w:left="706" w:leftChars="336"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(4)  以他人名义投标或者以其他方式弄虚作假，骗取中标；</w:t>
      </w:r>
    </w:p>
    <w:p>
      <w:pPr>
        <w:spacing w:line="360" w:lineRule="auto"/>
        <w:ind w:left="239" w:leftChars="114"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(5)  打架斗殴，扰乱标场秩序；</w:t>
      </w:r>
    </w:p>
    <w:p>
      <w:pPr>
        <w:spacing w:line="360" w:lineRule="auto"/>
        <w:ind w:left="239" w:leftChars="114"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(6)  本招标文件中或《政府采购货物和服务招标投标管理办法》第七十五条规定的其他不予退还投标保证金的情形。</w:t>
      </w:r>
    </w:p>
    <w:p>
      <w:pPr>
        <w:spacing w:line="360" w:lineRule="auto"/>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上述不予退还投标保证金的情况并给招标代理机构造成损失的，还要承担赔偿责任。</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 投标认定</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在评标过程中，如发现下列情况之一的，其投标将被拒绝；</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（1）投标文件技术规格中的响应与事实不符或虚假投标的；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（2）投标人复制招标文件的技术规格相关部分内容作为其投标文件的一部分；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（3）投标文件符合招标文件中规定废标的其它技术条款；</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 以下情形被视为投标无效；</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（1）未按规定提交投标保证金的投标；</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（2）投标文件与招标文件有重大负偏离的；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（3）投标人拒绝修正错误的；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（4）投标文件的关键内容字迹模糊，无法辨认的；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（5）投标有效期不足的；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（6）投标人的报价超出预算金额（或最高限价）的；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（7）其他违反相关法律法规规定的行为的；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（8）评标委员会认为是其他应当否决的投标。</w:t>
      </w:r>
    </w:p>
    <w:p>
      <w:pPr>
        <w:spacing w:line="360" w:lineRule="auto"/>
        <w:rPr>
          <w:rFonts w:hint="eastAsia" w:ascii="宋体" w:hAnsi="宋体" w:eastAsia="宋体" w:cs="宋体"/>
          <w:sz w:val="24"/>
          <w:szCs w:val="24"/>
          <w:highlight w:val="none"/>
        </w:rPr>
      </w:pPr>
    </w:p>
    <w:p>
      <w:pPr>
        <w:spacing w:line="360" w:lineRule="auto"/>
        <w:ind w:firstLine="480"/>
        <w:jc w:val="center"/>
        <w:outlineLvl w:val="1"/>
        <w:rPr>
          <w:rFonts w:hint="eastAsia" w:ascii="宋体" w:hAnsi="宋体" w:eastAsia="宋体" w:cs="宋体"/>
          <w:b/>
          <w:sz w:val="24"/>
          <w:szCs w:val="24"/>
          <w:highlight w:val="none"/>
        </w:rPr>
      </w:pPr>
      <w:bookmarkStart w:id="13" w:name="_Toc64919006"/>
      <w:r>
        <w:rPr>
          <w:rFonts w:hint="eastAsia" w:ascii="宋体" w:hAnsi="宋体" w:eastAsia="宋体" w:cs="宋体"/>
          <w:b/>
          <w:sz w:val="24"/>
          <w:szCs w:val="24"/>
          <w:highlight w:val="none"/>
        </w:rPr>
        <w:t>第</w:t>
      </w:r>
      <w:r>
        <w:rPr>
          <w:rFonts w:hint="eastAsia" w:ascii="宋体" w:hAnsi="宋体" w:eastAsia="宋体" w:cs="宋体"/>
          <w:b/>
          <w:sz w:val="24"/>
          <w:szCs w:val="24"/>
          <w:highlight w:val="none"/>
          <w:lang w:eastAsia="zh-CN"/>
        </w:rPr>
        <w:t>二</w:t>
      </w:r>
      <w:r>
        <w:rPr>
          <w:rFonts w:hint="eastAsia" w:ascii="宋体" w:hAnsi="宋体" w:eastAsia="宋体" w:cs="宋体"/>
          <w:b/>
          <w:sz w:val="24"/>
          <w:szCs w:val="24"/>
          <w:highlight w:val="none"/>
        </w:rPr>
        <w:t>章投标文件的递交</w:t>
      </w:r>
      <w:bookmarkEnd w:id="13"/>
    </w:p>
    <w:p>
      <w:pPr>
        <w:pStyle w:val="5"/>
        <w:spacing w:line="360" w:lineRule="auto"/>
        <w:rPr>
          <w:rFonts w:hint="eastAsia" w:ascii="宋体" w:hAnsi="宋体" w:eastAsia="宋体" w:cs="宋体"/>
          <w:b/>
          <w:spacing w:val="0"/>
          <w:kern w:val="2"/>
          <w:sz w:val="24"/>
          <w:szCs w:val="24"/>
          <w:highlight w:val="none"/>
          <w:lang w:val="en-US" w:eastAsia="zh-CN" w:bidi="ar-SA"/>
        </w:rPr>
      </w:pPr>
      <w:r>
        <w:rPr>
          <w:rFonts w:hint="eastAsia" w:ascii="宋体" w:hAnsi="宋体" w:eastAsia="宋体" w:cs="宋体"/>
          <w:b/>
          <w:spacing w:val="0"/>
          <w:kern w:val="2"/>
          <w:sz w:val="24"/>
          <w:szCs w:val="24"/>
          <w:highlight w:val="none"/>
          <w:lang w:val="en-US" w:eastAsia="zh-CN" w:bidi="ar-SA"/>
        </w:rPr>
        <w:t>1.投标文件的要求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任何不完整或不满足招标文件要求的投标文件将被拒绝。</w:t>
      </w:r>
    </w:p>
    <w:p>
      <w:pPr>
        <w:pStyle w:val="2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  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pStyle w:val="2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投标截止时间以政府采购云平台显示的时间为准，逾期系统将自动关闭，未完成上传的投标文件视为逾期送达，将被拒绝。</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 投标截止时间及投标文件的递交</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  投标文件的递交不得迟于招标文件规定的截止时间</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　所有投标文件都必须在招标方规定的投标截止时间之前</w:t>
      </w:r>
      <w:r>
        <w:rPr>
          <w:rFonts w:hint="eastAsia" w:ascii="宋体" w:hAnsi="宋体" w:eastAsia="宋体" w:cs="宋体"/>
          <w:sz w:val="24"/>
          <w:szCs w:val="24"/>
          <w:highlight w:val="none"/>
          <w:lang w:eastAsia="zh-CN"/>
        </w:rPr>
        <w:t>上传至政采云平台</w:t>
      </w:r>
      <w:r>
        <w:rPr>
          <w:rFonts w:hint="eastAsia" w:ascii="宋体" w:hAnsi="宋体" w:eastAsia="宋体" w:cs="宋体"/>
          <w:sz w:val="24"/>
          <w:szCs w:val="24"/>
          <w:highlight w:val="none"/>
        </w:rPr>
        <w:t>，在此之后送达或超出解密时间的投标文件，为无效投标，投标文件将一律被拒绝。</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  出现因招标文件的修改而推迟投标截止时间的情况时，投标人则需按招标方的书面修改通知重新规定的投标时间递交。</w:t>
      </w:r>
    </w:p>
    <w:p>
      <w:pPr>
        <w:pStyle w:val="24"/>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.4投标人应当在招标文件要求提交投标文件的截止时间前网上投标</w:t>
      </w:r>
      <w:r>
        <w:rPr>
          <w:rFonts w:hint="eastAsia" w:ascii="宋体" w:hAnsi="宋体" w:eastAsia="宋体" w:cs="宋体"/>
          <w:sz w:val="24"/>
          <w:szCs w:val="24"/>
          <w:highlight w:val="none"/>
          <w:lang w:eastAsia="zh-CN"/>
        </w:rPr>
        <w:t>。</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 投标文件的修改和撤销</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　投标人在递交投标文件后，可在规定的投标截止时间之前，对其投标文件以书面通知的形式进行修改或撤消。该通知须有投标人的法人代表或其委托代理人的签字，并得到招标方的确认。</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.2  投标人对投标文件修改的书面材料或撤消通知应按招标文件要求进行密封、标注和递交，并注明“修改投标文件”或“撤消投标”字样，修改或撤销的内容须按招标文件的要求签署、盖章，并作为投标文件的组成部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.3　对投标文件修改的书面材料应于投标截止日前送达招标方，投标截止时间以后不得修改投标文件。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.4  投标人不得在开标后至投标有效期期满前撤销投标文件，否则招标方将不予退还其投标保证金。</w:t>
      </w:r>
    </w:p>
    <w:p>
      <w:pPr>
        <w:spacing w:line="360" w:lineRule="auto"/>
        <w:ind w:firstLine="361" w:firstLineChars="150"/>
        <w:jc w:val="center"/>
        <w:outlineLvl w:val="1"/>
        <w:rPr>
          <w:rFonts w:hint="eastAsia" w:ascii="宋体" w:hAnsi="宋体" w:eastAsia="宋体" w:cs="宋体"/>
          <w:sz w:val="24"/>
          <w:szCs w:val="24"/>
          <w:highlight w:val="none"/>
        </w:rPr>
      </w:pPr>
      <w:bookmarkStart w:id="14" w:name="_Toc64919007"/>
      <w:r>
        <w:rPr>
          <w:rFonts w:hint="eastAsia" w:ascii="宋体" w:hAnsi="宋体" w:eastAsia="宋体" w:cs="宋体"/>
          <w:b/>
          <w:sz w:val="24"/>
          <w:szCs w:val="24"/>
          <w:highlight w:val="none"/>
        </w:rPr>
        <w:t>第</w:t>
      </w:r>
      <w:r>
        <w:rPr>
          <w:rFonts w:hint="eastAsia" w:ascii="宋体" w:hAnsi="宋体" w:eastAsia="宋体" w:cs="宋体"/>
          <w:b/>
          <w:sz w:val="24"/>
          <w:szCs w:val="24"/>
          <w:highlight w:val="none"/>
          <w:lang w:eastAsia="zh-CN"/>
        </w:rPr>
        <w:t>三</w:t>
      </w:r>
      <w:r>
        <w:rPr>
          <w:rFonts w:hint="eastAsia" w:ascii="宋体" w:hAnsi="宋体" w:eastAsia="宋体" w:cs="宋体"/>
          <w:b/>
          <w:sz w:val="24"/>
          <w:szCs w:val="24"/>
          <w:highlight w:val="none"/>
        </w:rPr>
        <w:t>章评标委员会</w:t>
      </w:r>
      <w:bookmarkEnd w:id="14"/>
    </w:p>
    <w:p>
      <w:pPr>
        <w:spacing w:line="360" w:lineRule="auto"/>
        <w:ind w:firstLine="474" w:firstLineChars="200"/>
        <w:rPr>
          <w:rFonts w:hint="eastAsia" w:ascii="宋体" w:hAnsi="宋体" w:eastAsia="宋体" w:cs="宋体"/>
          <w:b/>
          <w:bCs/>
          <w:spacing w:val="-2"/>
          <w:sz w:val="24"/>
          <w:szCs w:val="24"/>
          <w:highlight w:val="none"/>
          <w:lang w:val="en-US" w:eastAsia="zh-CN"/>
        </w:rPr>
      </w:pPr>
      <w:r>
        <w:rPr>
          <w:rFonts w:hint="eastAsia" w:ascii="宋体" w:hAnsi="宋体" w:eastAsia="宋体" w:cs="宋体"/>
          <w:b/>
          <w:bCs/>
          <w:spacing w:val="-2"/>
          <w:sz w:val="24"/>
          <w:szCs w:val="24"/>
          <w:highlight w:val="none"/>
          <w:lang w:val="en-US" w:eastAsia="zh-CN"/>
        </w:rPr>
        <w:t>1.评标委员会</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.1  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.2　评标委员会人选于开标前确定。评标委员会成员名单在中标结果确定前保密。</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.3  评标委员会由有关技术、经济等方面的</w:t>
      </w:r>
      <w:r>
        <w:rPr>
          <w:rFonts w:hint="eastAsia" w:ascii="宋体" w:hAnsi="宋体" w:cs="宋体"/>
          <w:b/>
          <w:bCs/>
          <w:spacing w:val="-2"/>
          <w:sz w:val="24"/>
          <w:szCs w:val="24"/>
          <w:highlight w:val="none"/>
          <w:lang w:eastAsia="zh-CN"/>
        </w:rPr>
        <w:t>四</w:t>
      </w:r>
      <w:r>
        <w:rPr>
          <w:rFonts w:hint="eastAsia" w:ascii="宋体" w:hAnsi="宋体" w:eastAsia="宋体" w:cs="宋体"/>
          <w:b/>
          <w:bCs/>
          <w:spacing w:val="-2"/>
          <w:sz w:val="24"/>
          <w:szCs w:val="24"/>
          <w:highlight w:val="none"/>
        </w:rPr>
        <w:t>名专家</w:t>
      </w:r>
      <w:r>
        <w:rPr>
          <w:rFonts w:hint="eastAsia" w:ascii="宋体" w:hAnsi="宋体" w:eastAsia="宋体" w:cs="宋体"/>
          <w:b/>
          <w:bCs/>
          <w:spacing w:val="-2"/>
          <w:sz w:val="24"/>
          <w:szCs w:val="24"/>
          <w:highlight w:val="none"/>
          <w:lang w:eastAsia="zh-CN"/>
        </w:rPr>
        <w:t>和一名业主专家</w:t>
      </w:r>
      <w:r>
        <w:rPr>
          <w:rFonts w:hint="eastAsia" w:ascii="宋体" w:hAnsi="宋体" w:cs="宋体"/>
          <w:b/>
          <w:bCs/>
          <w:spacing w:val="-2"/>
          <w:sz w:val="24"/>
          <w:szCs w:val="24"/>
          <w:highlight w:val="none"/>
          <w:lang w:eastAsia="zh-CN"/>
        </w:rPr>
        <w:t>共五名专家</w:t>
      </w:r>
      <w:r>
        <w:rPr>
          <w:rFonts w:hint="eastAsia" w:ascii="宋体" w:hAnsi="宋体" w:eastAsia="宋体" w:cs="宋体"/>
          <w:spacing w:val="-2"/>
          <w:sz w:val="24"/>
          <w:szCs w:val="24"/>
          <w:highlight w:val="none"/>
        </w:rPr>
        <w:t>组成。</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.4  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.5　评标专家的条件和回避规定。</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.5.1　评标专家应符合下列条件：</w:t>
      </w:r>
    </w:p>
    <w:p>
      <w:pPr>
        <w:spacing w:line="360" w:lineRule="auto"/>
        <w:ind w:firstLine="480" w:firstLineChars="200"/>
        <w:rPr>
          <w:rFonts w:hint="eastAsia" w:ascii="宋体" w:hAnsi="宋体" w:eastAsia="宋体" w:cs="宋体"/>
          <w:spacing w:val="-2"/>
          <w:sz w:val="24"/>
          <w:szCs w:val="24"/>
          <w:highlight w:val="none"/>
        </w:rPr>
      </w:pPr>
      <w:r>
        <w:rPr>
          <w:rFonts w:hint="eastAsia" w:ascii="宋体" w:hAnsi="宋体" w:eastAsia="宋体" w:cs="宋体"/>
          <w:sz w:val="24"/>
          <w:szCs w:val="24"/>
          <w:highlight w:val="none"/>
        </w:rPr>
        <w:t>（1）</w:t>
      </w:r>
      <w:r>
        <w:rPr>
          <w:rFonts w:hint="eastAsia" w:ascii="宋体" w:hAnsi="宋体" w:eastAsia="宋体" w:cs="宋体"/>
          <w:spacing w:val="-2"/>
          <w:sz w:val="24"/>
          <w:szCs w:val="24"/>
          <w:highlight w:val="none"/>
        </w:rPr>
        <w:t>熟悉有关政府采购和招标投标的法律法规；</w:t>
      </w:r>
    </w:p>
    <w:p>
      <w:pPr>
        <w:spacing w:line="360" w:lineRule="auto"/>
        <w:ind w:firstLine="480" w:firstLineChars="200"/>
        <w:rPr>
          <w:rFonts w:hint="eastAsia" w:ascii="宋体" w:hAnsi="宋体" w:eastAsia="宋体" w:cs="宋体"/>
          <w:spacing w:val="-2"/>
          <w:sz w:val="24"/>
          <w:szCs w:val="24"/>
          <w:highlight w:val="none"/>
        </w:rPr>
      </w:pPr>
      <w:r>
        <w:rPr>
          <w:rFonts w:hint="eastAsia" w:ascii="宋体" w:hAnsi="宋体" w:eastAsia="宋体" w:cs="宋体"/>
          <w:sz w:val="24"/>
          <w:szCs w:val="24"/>
          <w:highlight w:val="none"/>
        </w:rPr>
        <w:t>（2）</w:t>
      </w:r>
      <w:r>
        <w:rPr>
          <w:rFonts w:hint="eastAsia" w:ascii="宋体" w:hAnsi="宋体" w:eastAsia="宋体" w:cs="宋体"/>
          <w:spacing w:val="-2"/>
          <w:sz w:val="24"/>
          <w:szCs w:val="24"/>
          <w:highlight w:val="none"/>
        </w:rPr>
        <w:t>在相关专业领域工作满八年并具有高级职称或者同等专业水平；</w:t>
      </w:r>
    </w:p>
    <w:p>
      <w:pPr>
        <w:spacing w:line="360" w:lineRule="auto"/>
        <w:ind w:firstLine="480" w:firstLineChars="200"/>
        <w:rPr>
          <w:rFonts w:hint="eastAsia" w:ascii="宋体" w:hAnsi="宋体" w:eastAsia="宋体" w:cs="宋体"/>
          <w:spacing w:val="-2"/>
          <w:sz w:val="24"/>
          <w:szCs w:val="24"/>
          <w:highlight w:val="none"/>
        </w:rPr>
      </w:pPr>
      <w:r>
        <w:rPr>
          <w:rFonts w:hint="eastAsia" w:ascii="宋体" w:hAnsi="宋体" w:eastAsia="宋体" w:cs="宋体"/>
          <w:sz w:val="24"/>
          <w:szCs w:val="24"/>
          <w:highlight w:val="none"/>
        </w:rPr>
        <w:t>（3）</w:t>
      </w:r>
      <w:r>
        <w:rPr>
          <w:rFonts w:hint="eastAsia" w:ascii="宋体" w:hAnsi="宋体" w:eastAsia="宋体" w:cs="宋体"/>
          <w:spacing w:val="-2"/>
          <w:sz w:val="24"/>
          <w:szCs w:val="24"/>
          <w:highlight w:val="none"/>
        </w:rPr>
        <w:t>具有与招标项目相关的实践经验；</w:t>
      </w:r>
    </w:p>
    <w:p>
      <w:pPr>
        <w:spacing w:line="360" w:lineRule="auto"/>
        <w:ind w:firstLine="480" w:firstLineChars="200"/>
        <w:rPr>
          <w:rFonts w:hint="eastAsia" w:ascii="宋体" w:hAnsi="宋体" w:eastAsia="宋体" w:cs="宋体"/>
          <w:spacing w:val="-2"/>
          <w:sz w:val="24"/>
          <w:szCs w:val="24"/>
          <w:highlight w:val="none"/>
        </w:rPr>
      </w:pPr>
      <w:r>
        <w:rPr>
          <w:rFonts w:hint="eastAsia" w:ascii="宋体" w:hAnsi="宋体" w:eastAsia="宋体" w:cs="宋体"/>
          <w:sz w:val="24"/>
          <w:szCs w:val="24"/>
          <w:highlight w:val="none"/>
        </w:rPr>
        <w:t>（4）</w:t>
      </w:r>
      <w:r>
        <w:rPr>
          <w:rFonts w:hint="eastAsia" w:ascii="宋体" w:hAnsi="宋体" w:eastAsia="宋体" w:cs="宋体"/>
          <w:spacing w:val="-2"/>
          <w:sz w:val="24"/>
          <w:szCs w:val="24"/>
          <w:highlight w:val="none"/>
        </w:rPr>
        <w:t>能够认真、公正、诚实、廉洁的履行职责。</w:t>
      </w:r>
    </w:p>
    <w:p>
      <w:pPr>
        <w:spacing w:line="360" w:lineRule="auto"/>
        <w:ind w:left="474" w:leftChars="224" w:hanging="4" w:hangingChars="2"/>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.5.2  有下列情形之一的，不得担任评标委员会成员：</w:t>
      </w:r>
    </w:p>
    <w:p>
      <w:pPr>
        <w:spacing w:line="360" w:lineRule="auto"/>
        <w:ind w:firstLine="480" w:firstLineChars="200"/>
        <w:rPr>
          <w:rFonts w:hint="eastAsia" w:ascii="宋体" w:hAnsi="宋体" w:eastAsia="宋体" w:cs="宋体"/>
          <w:spacing w:val="-2"/>
          <w:sz w:val="24"/>
          <w:szCs w:val="24"/>
          <w:highlight w:val="none"/>
        </w:rPr>
      </w:pPr>
      <w:r>
        <w:rPr>
          <w:rFonts w:hint="eastAsia" w:ascii="宋体" w:hAnsi="宋体" w:eastAsia="宋体" w:cs="宋体"/>
          <w:sz w:val="24"/>
          <w:szCs w:val="24"/>
          <w:highlight w:val="none"/>
        </w:rPr>
        <w:t>（1）</w:t>
      </w:r>
      <w:r>
        <w:rPr>
          <w:rFonts w:hint="eastAsia" w:ascii="宋体" w:hAnsi="宋体" w:eastAsia="宋体" w:cs="宋体"/>
          <w:spacing w:val="-2"/>
          <w:sz w:val="24"/>
          <w:szCs w:val="24"/>
          <w:highlight w:val="none"/>
        </w:rPr>
        <w:t>与投标人或者投标人主要负责人有近亲关系的；</w:t>
      </w:r>
    </w:p>
    <w:p>
      <w:pPr>
        <w:spacing w:line="360" w:lineRule="auto"/>
        <w:ind w:firstLine="480" w:firstLineChars="200"/>
        <w:rPr>
          <w:rFonts w:hint="eastAsia" w:ascii="宋体" w:hAnsi="宋体" w:eastAsia="宋体" w:cs="宋体"/>
          <w:spacing w:val="-2"/>
          <w:sz w:val="24"/>
          <w:szCs w:val="24"/>
          <w:highlight w:val="none"/>
        </w:rPr>
      </w:pPr>
      <w:r>
        <w:rPr>
          <w:rFonts w:hint="eastAsia" w:ascii="宋体" w:hAnsi="宋体" w:eastAsia="宋体" w:cs="宋体"/>
          <w:sz w:val="24"/>
          <w:szCs w:val="24"/>
          <w:highlight w:val="none"/>
        </w:rPr>
        <w:t>（2）</w:t>
      </w:r>
      <w:r>
        <w:rPr>
          <w:rFonts w:hint="eastAsia" w:ascii="宋体" w:hAnsi="宋体" w:eastAsia="宋体" w:cs="宋体"/>
          <w:spacing w:val="-2"/>
          <w:sz w:val="24"/>
          <w:szCs w:val="24"/>
          <w:highlight w:val="none"/>
        </w:rPr>
        <w:t>与项目主管部门或者行政监督部门的人员有近亲关系的；</w:t>
      </w:r>
    </w:p>
    <w:p>
      <w:pPr>
        <w:spacing w:line="360" w:lineRule="auto"/>
        <w:ind w:firstLine="480" w:firstLineChars="200"/>
        <w:rPr>
          <w:rFonts w:hint="eastAsia" w:ascii="宋体" w:hAnsi="宋体" w:eastAsia="宋体" w:cs="宋体"/>
          <w:spacing w:val="-2"/>
          <w:sz w:val="24"/>
          <w:szCs w:val="24"/>
          <w:highlight w:val="none"/>
        </w:rPr>
      </w:pPr>
      <w:r>
        <w:rPr>
          <w:rFonts w:hint="eastAsia" w:ascii="宋体" w:hAnsi="宋体" w:eastAsia="宋体" w:cs="宋体"/>
          <w:sz w:val="24"/>
          <w:szCs w:val="24"/>
          <w:highlight w:val="none"/>
        </w:rPr>
        <w:t>（3）</w:t>
      </w:r>
      <w:r>
        <w:rPr>
          <w:rFonts w:hint="eastAsia" w:ascii="宋体" w:hAnsi="宋体" w:eastAsia="宋体" w:cs="宋体"/>
          <w:spacing w:val="-2"/>
          <w:sz w:val="24"/>
          <w:szCs w:val="24"/>
          <w:highlight w:val="none"/>
        </w:rPr>
        <w:t>与投标人有经济利益关系，可能影响对投标公正评审的；</w:t>
      </w:r>
    </w:p>
    <w:p>
      <w:pPr>
        <w:spacing w:line="360" w:lineRule="auto"/>
        <w:ind w:firstLine="480" w:firstLineChars="200"/>
        <w:rPr>
          <w:rFonts w:hint="eastAsia" w:ascii="宋体" w:hAnsi="宋体" w:eastAsia="宋体" w:cs="宋体"/>
          <w:spacing w:val="-2"/>
          <w:sz w:val="24"/>
          <w:szCs w:val="24"/>
          <w:highlight w:val="none"/>
        </w:rPr>
      </w:pPr>
      <w:r>
        <w:rPr>
          <w:rFonts w:hint="eastAsia" w:ascii="宋体" w:hAnsi="宋体" w:eastAsia="宋体" w:cs="宋体"/>
          <w:sz w:val="24"/>
          <w:szCs w:val="24"/>
          <w:highlight w:val="none"/>
        </w:rPr>
        <w:t>（4）</w:t>
      </w:r>
      <w:r>
        <w:rPr>
          <w:rFonts w:hint="eastAsia" w:ascii="宋体" w:hAnsi="宋体" w:eastAsia="宋体" w:cs="宋体"/>
          <w:spacing w:val="-2"/>
          <w:sz w:val="24"/>
          <w:szCs w:val="24"/>
          <w:highlight w:val="none"/>
        </w:rPr>
        <w:t>曾因在招标、评标以及其他与招标投标有关活动中从事违法行为而受过行政处罚或刑事处罚的。</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评标委员会成员有前款规定情形之一的，应当主动提出回避。</w:t>
      </w:r>
    </w:p>
    <w:p>
      <w:pPr>
        <w:spacing w:line="360" w:lineRule="auto"/>
        <w:ind w:firstLine="480" w:firstLineChars="200"/>
        <w:rPr>
          <w:rFonts w:hint="eastAsia" w:ascii="宋体" w:hAnsi="宋体" w:eastAsia="宋体" w:cs="宋体"/>
          <w:spacing w:val="-2"/>
          <w:sz w:val="24"/>
          <w:szCs w:val="24"/>
          <w:highlight w:val="none"/>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.6</w:t>
      </w:r>
      <w:r>
        <w:rPr>
          <w:rFonts w:hint="eastAsia" w:ascii="宋体" w:hAnsi="宋体" w:eastAsia="宋体" w:cs="宋体"/>
          <w:spacing w:val="-2"/>
          <w:sz w:val="24"/>
          <w:szCs w:val="24"/>
          <w:highlight w:val="none"/>
        </w:rPr>
        <w:t>评标委员会成员应当熟悉并认真研究招标文件，至少应了解和熟悉以下内容：</w:t>
      </w:r>
    </w:p>
    <w:p>
      <w:pPr>
        <w:spacing w:line="360" w:lineRule="auto"/>
        <w:ind w:firstLine="480" w:firstLineChars="200"/>
        <w:rPr>
          <w:rFonts w:hint="eastAsia" w:ascii="宋体" w:hAnsi="宋体" w:eastAsia="宋体" w:cs="宋体"/>
          <w:spacing w:val="-2"/>
          <w:sz w:val="24"/>
          <w:szCs w:val="24"/>
          <w:highlight w:val="none"/>
        </w:rPr>
      </w:pPr>
      <w:r>
        <w:rPr>
          <w:rFonts w:hint="eastAsia" w:ascii="宋体" w:hAnsi="宋体" w:eastAsia="宋体" w:cs="宋体"/>
          <w:sz w:val="24"/>
          <w:szCs w:val="24"/>
          <w:highlight w:val="none"/>
        </w:rPr>
        <w:t>（1）</w:t>
      </w:r>
      <w:r>
        <w:rPr>
          <w:rFonts w:hint="eastAsia" w:ascii="宋体" w:hAnsi="宋体" w:eastAsia="宋体" w:cs="宋体"/>
          <w:spacing w:val="-2"/>
          <w:sz w:val="24"/>
          <w:szCs w:val="24"/>
          <w:highlight w:val="none"/>
        </w:rPr>
        <w:t>招标目的；</w:t>
      </w:r>
    </w:p>
    <w:p>
      <w:pPr>
        <w:spacing w:line="360" w:lineRule="auto"/>
        <w:ind w:firstLine="480" w:firstLineChars="200"/>
        <w:rPr>
          <w:rFonts w:hint="eastAsia" w:ascii="宋体" w:hAnsi="宋体" w:eastAsia="宋体" w:cs="宋体"/>
          <w:spacing w:val="-2"/>
          <w:sz w:val="24"/>
          <w:szCs w:val="24"/>
          <w:highlight w:val="none"/>
        </w:rPr>
      </w:pPr>
      <w:r>
        <w:rPr>
          <w:rFonts w:hint="eastAsia" w:ascii="宋体" w:hAnsi="宋体" w:eastAsia="宋体" w:cs="宋体"/>
          <w:sz w:val="24"/>
          <w:szCs w:val="24"/>
          <w:highlight w:val="none"/>
        </w:rPr>
        <w:t>（2）</w:t>
      </w:r>
      <w:r>
        <w:rPr>
          <w:rFonts w:hint="eastAsia" w:ascii="宋体" w:hAnsi="宋体" w:eastAsia="宋体" w:cs="宋体"/>
          <w:spacing w:val="-2"/>
          <w:sz w:val="24"/>
          <w:szCs w:val="24"/>
          <w:highlight w:val="none"/>
        </w:rPr>
        <w:t>招标项目的范围、性质；</w:t>
      </w:r>
    </w:p>
    <w:p>
      <w:pPr>
        <w:spacing w:line="360" w:lineRule="auto"/>
        <w:ind w:firstLine="480" w:firstLineChars="200"/>
        <w:rPr>
          <w:rFonts w:hint="eastAsia" w:ascii="宋体" w:hAnsi="宋体" w:eastAsia="宋体" w:cs="宋体"/>
          <w:spacing w:val="-2"/>
          <w:sz w:val="24"/>
          <w:szCs w:val="24"/>
          <w:highlight w:val="none"/>
        </w:rPr>
      </w:pPr>
      <w:r>
        <w:rPr>
          <w:rFonts w:hint="eastAsia" w:ascii="宋体" w:hAnsi="宋体" w:eastAsia="宋体" w:cs="宋体"/>
          <w:sz w:val="24"/>
          <w:szCs w:val="24"/>
          <w:highlight w:val="none"/>
        </w:rPr>
        <w:t>（3）</w:t>
      </w:r>
      <w:r>
        <w:rPr>
          <w:rFonts w:hint="eastAsia" w:ascii="宋体" w:hAnsi="宋体" w:eastAsia="宋体" w:cs="宋体"/>
          <w:spacing w:val="-2"/>
          <w:sz w:val="24"/>
          <w:szCs w:val="24"/>
          <w:highlight w:val="none"/>
        </w:rPr>
        <w:t>招标文件中规定的主要技术要求、标准和商务条款；</w:t>
      </w:r>
    </w:p>
    <w:p>
      <w:pPr>
        <w:spacing w:line="360" w:lineRule="auto"/>
        <w:ind w:firstLine="480" w:firstLineChars="200"/>
        <w:rPr>
          <w:rFonts w:hint="eastAsia" w:ascii="宋体" w:hAnsi="宋体" w:eastAsia="宋体" w:cs="宋体"/>
          <w:spacing w:val="-2"/>
          <w:sz w:val="24"/>
          <w:szCs w:val="24"/>
          <w:highlight w:val="none"/>
        </w:rPr>
      </w:pPr>
      <w:r>
        <w:rPr>
          <w:rFonts w:hint="eastAsia" w:ascii="宋体" w:hAnsi="宋体" w:eastAsia="宋体" w:cs="宋体"/>
          <w:sz w:val="24"/>
          <w:szCs w:val="24"/>
          <w:highlight w:val="none"/>
        </w:rPr>
        <w:t>（4）</w:t>
      </w:r>
      <w:r>
        <w:rPr>
          <w:rFonts w:hint="eastAsia" w:ascii="宋体" w:hAnsi="宋体" w:eastAsia="宋体" w:cs="宋体"/>
          <w:spacing w:val="-2"/>
          <w:sz w:val="24"/>
          <w:szCs w:val="24"/>
          <w:highlight w:val="none"/>
        </w:rPr>
        <w:t>招标文件规定的评标标准、评标方法和在评标过程中应考虑的相关因素。</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.7  招标方应当向评标委员会提供评标所需的重要信息和数据。</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.8  评标委员会应当根据招标文件规定的评标标准和方法，对投标文件进行系统地评审和比较。招标文件中没有规定的标准和方法不得作为评标的依据。</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.9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.10  评标委员会成员和与本次评标活动有关的工作人员，不得透露对投标文件的评审和比较、中标候选人的推荐情况以及与评标有关的其他情况。</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.11　与评标活动有关的工作人员，是指评标委员会成员以外的、因参与评标监督工作或者事务性工作而知悉有关评标情况的所有人员。</w:t>
      </w:r>
    </w:p>
    <w:p>
      <w:pPr>
        <w:spacing w:line="360" w:lineRule="auto"/>
        <w:jc w:val="center"/>
        <w:rPr>
          <w:rFonts w:hint="eastAsia" w:ascii="宋体" w:hAnsi="宋体" w:eastAsia="宋体" w:cs="宋体"/>
          <w:b/>
          <w:sz w:val="24"/>
          <w:szCs w:val="24"/>
          <w:highlight w:val="none"/>
        </w:rPr>
      </w:pPr>
    </w:p>
    <w:p>
      <w:pPr>
        <w:spacing w:line="360" w:lineRule="auto"/>
        <w:jc w:val="center"/>
        <w:outlineLvl w:val="1"/>
        <w:rPr>
          <w:rFonts w:hint="eastAsia" w:ascii="宋体" w:hAnsi="宋体" w:eastAsia="宋体" w:cs="宋体"/>
          <w:b/>
          <w:sz w:val="24"/>
          <w:szCs w:val="24"/>
          <w:highlight w:val="none"/>
        </w:rPr>
      </w:pPr>
      <w:bookmarkStart w:id="15" w:name="_Toc64919008"/>
      <w:r>
        <w:rPr>
          <w:rFonts w:hint="eastAsia" w:ascii="宋体" w:hAnsi="宋体" w:eastAsia="宋体" w:cs="宋体"/>
          <w:b/>
          <w:sz w:val="24"/>
          <w:szCs w:val="24"/>
          <w:highlight w:val="none"/>
        </w:rPr>
        <w:t>第</w:t>
      </w:r>
      <w:r>
        <w:rPr>
          <w:rFonts w:hint="eastAsia" w:ascii="宋体" w:hAnsi="宋体" w:eastAsia="宋体" w:cs="宋体"/>
          <w:b/>
          <w:sz w:val="24"/>
          <w:szCs w:val="24"/>
          <w:highlight w:val="none"/>
          <w:lang w:eastAsia="zh-CN"/>
        </w:rPr>
        <w:t>四</w:t>
      </w:r>
      <w:r>
        <w:rPr>
          <w:rFonts w:hint="eastAsia" w:ascii="宋体" w:hAnsi="宋体" w:eastAsia="宋体" w:cs="宋体"/>
          <w:b/>
          <w:sz w:val="24"/>
          <w:szCs w:val="24"/>
          <w:highlight w:val="none"/>
        </w:rPr>
        <w:t>章</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开　标</w:t>
      </w:r>
      <w:bookmarkEnd w:id="15"/>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 开标</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本次招标按招标文件的投标须知中规定的时间和地点进行公开开标</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开标时将唱标以投标人的“开标一览表”的内容为准，并对唱标内容作以记录。</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　开标和唱标的顺序，按照递交投标文件的先后顺序依次进行。</w:t>
      </w:r>
    </w:p>
    <w:p>
      <w:pPr>
        <w:tabs>
          <w:tab w:val="left" w:pos="1155"/>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.4　评标原则以招标文件的规定为准，并在开标会议上予以宣布。</w:t>
      </w:r>
    </w:p>
    <w:p>
      <w:pPr>
        <w:spacing w:line="360" w:lineRule="auto"/>
        <w:ind w:firstLine="482" w:firstLineChars="200"/>
        <w:rPr>
          <w:rFonts w:hint="eastAsia" w:ascii="宋体" w:hAnsi="宋体" w:eastAsia="宋体" w:cs="宋体"/>
          <w:b/>
          <w:sz w:val="24"/>
          <w:szCs w:val="24"/>
          <w:highlight w:val="none"/>
        </w:rPr>
      </w:pPr>
    </w:p>
    <w:p>
      <w:pPr>
        <w:spacing w:line="360" w:lineRule="auto"/>
        <w:ind w:firstLine="482" w:firstLineChars="200"/>
        <w:jc w:val="center"/>
        <w:outlineLvl w:val="1"/>
        <w:rPr>
          <w:rFonts w:hint="eastAsia" w:ascii="宋体" w:hAnsi="宋体" w:eastAsia="宋体" w:cs="宋体"/>
          <w:b/>
          <w:bCs/>
          <w:sz w:val="24"/>
          <w:szCs w:val="24"/>
          <w:highlight w:val="none"/>
        </w:rPr>
      </w:pPr>
      <w:bookmarkStart w:id="16" w:name="_Toc64919009"/>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eastAsia="zh-CN"/>
        </w:rPr>
        <w:t>五</w:t>
      </w:r>
      <w:r>
        <w:rPr>
          <w:rFonts w:hint="eastAsia" w:ascii="宋体" w:hAnsi="宋体" w:eastAsia="宋体" w:cs="宋体"/>
          <w:b/>
          <w:bCs/>
          <w:sz w:val="24"/>
          <w:szCs w:val="24"/>
          <w:highlight w:val="none"/>
        </w:rPr>
        <w:t>章</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评　标</w:t>
      </w:r>
      <w:bookmarkEnd w:id="16"/>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 评标依据</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评标的依据为招标文件。</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 投标文件的澄清</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2</w:t>
      </w:r>
      <w:r>
        <w:rPr>
          <w:rFonts w:hint="eastAsia" w:ascii="宋体" w:hAnsi="宋体" w:eastAsia="宋体" w:cs="宋体"/>
          <w:spacing w:val="-2"/>
          <w:sz w:val="24"/>
          <w:szCs w:val="24"/>
          <w:highlight w:val="none"/>
        </w:rPr>
        <w:t>.1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2</w:t>
      </w:r>
      <w:r>
        <w:rPr>
          <w:rFonts w:hint="eastAsia" w:ascii="宋体" w:hAnsi="宋体" w:eastAsia="宋体" w:cs="宋体"/>
          <w:spacing w:val="-2"/>
          <w:sz w:val="24"/>
          <w:szCs w:val="24"/>
          <w:highlight w:val="none"/>
        </w:rPr>
        <w:t>.2　答疑和澄清的内容应是书面的，但不得对投标的价格、技术指标和参数等内容进行实质性修改。澄清文件须由投标人法人代表或其授权代表签字或加盖投标人公章，并作为投标文件的组成部分。</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 对投标文件的评估和比较</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3</w:t>
      </w:r>
      <w:r>
        <w:rPr>
          <w:rFonts w:hint="eastAsia" w:ascii="宋体" w:hAnsi="宋体" w:eastAsia="宋体" w:cs="宋体"/>
          <w:spacing w:val="-2"/>
          <w:sz w:val="24"/>
          <w:szCs w:val="24"/>
          <w:highlight w:val="none"/>
        </w:rPr>
        <w:t>.1　对实质性响应的投标文件进行评估和比较。</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3</w:t>
      </w:r>
      <w:r>
        <w:rPr>
          <w:rFonts w:hint="eastAsia" w:ascii="宋体" w:hAnsi="宋体" w:eastAsia="宋体" w:cs="宋体"/>
          <w:spacing w:val="-2"/>
          <w:sz w:val="24"/>
          <w:szCs w:val="24"/>
          <w:highlight w:val="none"/>
        </w:rPr>
        <w:t>.2  对投标价格的评估和比较评定：</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（1）零配件、专用工具及相关服务的费用；</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（2）招标文件中所要求的有关服务费用；</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（3）发货到最终目的地的内陆运输、保险及其他费用；</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3</w:t>
      </w:r>
      <w:r>
        <w:rPr>
          <w:rFonts w:hint="eastAsia" w:ascii="宋体" w:hAnsi="宋体" w:eastAsia="宋体" w:cs="宋体"/>
          <w:spacing w:val="-2"/>
          <w:sz w:val="24"/>
          <w:szCs w:val="24"/>
          <w:highlight w:val="none"/>
        </w:rPr>
        <w:t>.3　除考虑投标价格外，还应考虑以下因素：</w:t>
      </w:r>
    </w:p>
    <w:p>
      <w:pPr>
        <w:numPr>
          <w:ilvl w:val="0"/>
          <w:numId w:val="2"/>
        </w:numPr>
        <w:tabs>
          <w:tab w:val="left" w:pos="540"/>
        </w:tabs>
        <w:spacing w:line="360" w:lineRule="auto"/>
        <w:ind w:left="720" w:hanging="180"/>
        <w:rPr>
          <w:rFonts w:hint="eastAsia" w:ascii="宋体" w:hAnsi="宋体" w:eastAsia="宋体" w:cs="宋体"/>
          <w:sz w:val="24"/>
          <w:szCs w:val="24"/>
          <w:highlight w:val="none"/>
        </w:rPr>
      </w:pPr>
      <w:r>
        <w:rPr>
          <w:rFonts w:hint="eastAsia" w:ascii="宋体" w:hAnsi="宋体" w:eastAsia="宋体" w:cs="宋体"/>
          <w:sz w:val="24"/>
          <w:szCs w:val="24"/>
          <w:highlight w:val="none"/>
        </w:rPr>
        <w:t>对投标文件的审查和响应性的确定；</w:t>
      </w:r>
    </w:p>
    <w:p>
      <w:pPr>
        <w:numPr>
          <w:ilvl w:val="0"/>
          <w:numId w:val="2"/>
        </w:numPr>
        <w:tabs>
          <w:tab w:val="left" w:pos="540"/>
        </w:tabs>
        <w:spacing w:line="360" w:lineRule="auto"/>
        <w:ind w:left="54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对投标文件中投标人的财务、技术和生产能力的确定；</w:t>
      </w:r>
    </w:p>
    <w:p>
      <w:pPr>
        <w:numPr>
          <w:ilvl w:val="0"/>
          <w:numId w:val="2"/>
        </w:numPr>
        <w:tabs>
          <w:tab w:val="left" w:pos="540"/>
        </w:tabs>
        <w:spacing w:line="360" w:lineRule="auto"/>
        <w:ind w:left="720" w:hanging="180"/>
        <w:rPr>
          <w:rFonts w:hint="eastAsia" w:ascii="宋体" w:hAnsi="宋体" w:eastAsia="宋体" w:cs="宋体"/>
          <w:sz w:val="24"/>
          <w:szCs w:val="24"/>
          <w:highlight w:val="none"/>
        </w:rPr>
      </w:pPr>
      <w:r>
        <w:rPr>
          <w:rFonts w:hint="eastAsia" w:ascii="宋体" w:hAnsi="宋体" w:eastAsia="宋体" w:cs="宋体"/>
          <w:sz w:val="24"/>
          <w:szCs w:val="24"/>
          <w:highlight w:val="none"/>
        </w:rPr>
        <w:t>对投标产品技术性能先进性和经济性的确定；</w:t>
      </w:r>
    </w:p>
    <w:p>
      <w:pPr>
        <w:numPr>
          <w:ilvl w:val="0"/>
          <w:numId w:val="2"/>
        </w:numPr>
        <w:tabs>
          <w:tab w:val="left" w:pos="540"/>
        </w:tabs>
        <w:spacing w:line="360" w:lineRule="auto"/>
        <w:ind w:left="720" w:hanging="180"/>
        <w:rPr>
          <w:rFonts w:hint="eastAsia" w:ascii="宋体" w:hAnsi="宋体" w:eastAsia="宋体" w:cs="宋体"/>
          <w:sz w:val="24"/>
          <w:szCs w:val="24"/>
          <w:highlight w:val="none"/>
        </w:rPr>
      </w:pPr>
      <w:r>
        <w:rPr>
          <w:rFonts w:hint="eastAsia" w:ascii="宋体" w:hAnsi="宋体" w:eastAsia="宋体" w:cs="宋体"/>
          <w:sz w:val="24"/>
          <w:szCs w:val="24"/>
          <w:highlight w:val="none"/>
        </w:rPr>
        <w:t>对投标人报价的评估确定；</w:t>
      </w:r>
    </w:p>
    <w:p>
      <w:pPr>
        <w:numPr>
          <w:ilvl w:val="0"/>
          <w:numId w:val="2"/>
        </w:numPr>
        <w:tabs>
          <w:tab w:val="left" w:pos="540"/>
        </w:tabs>
        <w:spacing w:line="360" w:lineRule="auto"/>
        <w:ind w:left="720" w:hanging="180"/>
        <w:rPr>
          <w:rFonts w:hint="eastAsia" w:ascii="宋体" w:hAnsi="宋体" w:eastAsia="宋体" w:cs="宋体"/>
          <w:sz w:val="24"/>
          <w:szCs w:val="24"/>
          <w:highlight w:val="none"/>
        </w:rPr>
      </w:pPr>
      <w:r>
        <w:rPr>
          <w:rFonts w:hint="eastAsia" w:ascii="宋体" w:hAnsi="宋体" w:eastAsia="宋体" w:cs="宋体"/>
          <w:sz w:val="24"/>
          <w:szCs w:val="24"/>
          <w:highlight w:val="none"/>
        </w:rPr>
        <w:t>对投标人售后服务机构设置和能力的确定；</w:t>
      </w:r>
    </w:p>
    <w:p>
      <w:pPr>
        <w:numPr>
          <w:ilvl w:val="0"/>
          <w:numId w:val="2"/>
        </w:numPr>
        <w:tabs>
          <w:tab w:val="left" w:pos="540"/>
        </w:tabs>
        <w:spacing w:line="360" w:lineRule="auto"/>
        <w:ind w:left="720" w:hanging="180"/>
        <w:rPr>
          <w:rFonts w:hint="eastAsia" w:ascii="宋体" w:hAnsi="宋体" w:eastAsia="宋体" w:cs="宋体"/>
          <w:sz w:val="24"/>
          <w:szCs w:val="24"/>
          <w:highlight w:val="none"/>
        </w:rPr>
      </w:pPr>
      <w:r>
        <w:rPr>
          <w:rFonts w:hint="eastAsia" w:ascii="宋体" w:hAnsi="宋体" w:eastAsia="宋体" w:cs="宋体"/>
          <w:sz w:val="24"/>
          <w:szCs w:val="24"/>
          <w:highlight w:val="none"/>
        </w:rPr>
        <w:t>对投标人投标文件技术规格偏差的调整确定；</w:t>
      </w:r>
    </w:p>
    <w:p>
      <w:pPr>
        <w:numPr>
          <w:ilvl w:val="0"/>
          <w:numId w:val="2"/>
        </w:numPr>
        <w:tabs>
          <w:tab w:val="left" w:pos="540"/>
        </w:tabs>
        <w:spacing w:line="360" w:lineRule="auto"/>
        <w:ind w:left="720" w:hanging="180"/>
        <w:rPr>
          <w:rFonts w:hint="eastAsia" w:ascii="宋体" w:hAnsi="宋体" w:eastAsia="宋体" w:cs="宋体"/>
          <w:sz w:val="24"/>
          <w:szCs w:val="24"/>
          <w:highlight w:val="none"/>
        </w:rPr>
      </w:pPr>
      <w:r>
        <w:rPr>
          <w:rFonts w:hint="eastAsia" w:ascii="宋体" w:hAnsi="宋体" w:eastAsia="宋体" w:cs="宋体"/>
          <w:sz w:val="24"/>
          <w:szCs w:val="24"/>
          <w:highlight w:val="none"/>
        </w:rPr>
        <w:t>对投标人投标文件商务偏差的调整确定；</w:t>
      </w:r>
    </w:p>
    <w:p>
      <w:pPr>
        <w:numPr>
          <w:ilvl w:val="0"/>
          <w:numId w:val="2"/>
        </w:numPr>
        <w:tabs>
          <w:tab w:val="left" w:pos="540"/>
        </w:tabs>
        <w:spacing w:line="360" w:lineRule="auto"/>
        <w:ind w:left="720" w:hanging="180"/>
        <w:rPr>
          <w:rFonts w:hint="eastAsia" w:ascii="宋体" w:hAnsi="宋体" w:eastAsia="宋体" w:cs="宋体"/>
          <w:sz w:val="24"/>
          <w:szCs w:val="24"/>
          <w:highlight w:val="none"/>
        </w:rPr>
      </w:pPr>
      <w:r>
        <w:rPr>
          <w:rFonts w:hint="eastAsia" w:ascii="宋体" w:hAnsi="宋体" w:eastAsia="宋体" w:cs="宋体"/>
          <w:sz w:val="24"/>
          <w:szCs w:val="24"/>
          <w:highlight w:val="none"/>
        </w:rPr>
        <w:t>对投标人的技术、商务澄清内容答复的确定；</w:t>
      </w:r>
    </w:p>
    <w:p>
      <w:pPr>
        <w:numPr>
          <w:ilvl w:val="0"/>
          <w:numId w:val="2"/>
        </w:numPr>
        <w:tabs>
          <w:tab w:val="left" w:pos="540"/>
          <w:tab w:val="left" w:pos="1260"/>
        </w:tabs>
        <w:spacing w:line="360" w:lineRule="auto"/>
        <w:ind w:left="720" w:hanging="1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对投标人近三年中标业绩表的业绩评估确定；</w:t>
      </w:r>
    </w:p>
    <w:p>
      <w:pPr>
        <w:numPr>
          <w:ilvl w:val="0"/>
          <w:numId w:val="2"/>
        </w:numPr>
        <w:tabs>
          <w:tab w:val="left" w:pos="540"/>
        </w:tabs>
        <w:spacing w:line="360" w:lineRule="auto"/>
        <w:ind w:left="720" w:hanging="180"/>
        <w:rPr>
          <w:rFonts w:hint="eastAsia" w:ascii="宋体" w:hAnsi="宋体" w:eastAsia="宋体" w:cs="宋体"/>
          <w:sz w:val="24"/>
          <w:szCs w:val="24"/>
          <w:highlight w:val="none"/>
        </w:rPr>
      </w:pPr>
      <w:r>
        <w:rPr>
          <w:rFonts w:hint="eastAsia" w:ascii="宋体" w:hAnsi="宋体" w:eastAsia="宋体" w:cs="宋体"/>
          <w:sz w:val="24"/>
          <w:szCs w:val="24"/>
          <w:highlight w:val="none"/>
        </w:rPr>
        <w:t>其他特殊要求因素（如节能、安全和环保等）。</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 评标过程的保密</w:t>
      </w:r>
    </w:p>
    <w:p>
      <w:pPr>
        <w:spacing w:line="360" w:lineRule="auto"/>
        <w:ind w:firstLine="480" w:firstLineChars="200"/>
        <w:rPr>
          <w:rFonts w:hint="eastAsia" w:ascii="宋体" w:hAnsi="宋体" w:eastAsia="宋体" w:cs="宋体"/>
          <w:spacing w:val="-2"/>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.1  </w:t>
      </w:r>
      <w:r>
        <w:rPr>
          <w:rFonts w:hint="eastAsia" w:ascii="宋体" w:hAnsi="宋体" w:eastAsia="宋体" w:cs="宋体"/>
          <w:spacing w:val="-2"/>
          <w:sz w:val="24"/>
          <w:szCs w:val="24"/>
          <w:highlight w:val="none"/>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360" w:lineRule="auto"/>
        <w:ind w:firstLine="480" w:firstLineChars="200"/>
        <w:rPr>
          <w:rFonts w:hint="eastAsia" w:ascii="宋体" w:hAnsi="宋体" w:eastAsia="宋体" w:cs="宋体"/>
          <w:spacing w:val="-2"/>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 xml:space="preserve">.2 </w:t>
      </w:r>
      <w:r>
        <w:rPr>
          <w:rFonts w:hint="eastAsia" w:ascii="宋体" w:hAnsi="宋体" w:eastAsia="宋体" w:cs="宋体"/>
          <w:spacing w:val="-2"/>
          <w:sz w:val="24"/>
          <w:szCs w:val="24"/>
          <w:highlight w:val="none"/>
        </w:rPr>
        <w:t>投标人在评标过程中，所进行的试图影响评标结果的不符合《中华人民共和国政府采购法》及本次招标有关规定的活动，将被取消中标资格。</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 初步评审</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5</w:t>
      </w:r>
      <w:r>
        <w:rPr>
          <w:rFonts w:hint="eastAsia" w:ascii="宋体" w:hAnsi="宋体" w:eastAsia="宋体" w:cs="宋体"/>
          <w:spacing w:val="-2"/>
          <w:sz w:val="24"/>
          <w:szCs w:val="24"/>
          <w:highlight w:val="none"/>
        </w:rPr>
        <w:t>.1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360" w:lineRule="auto"/>
        <w:ind w:firstLine="472" w:firstLineChars="200"/>
        <w:rPr>
          <w:rFonts w:hint="eastAsia" w:ascii="宋体" w:hAnsi="宋体" w:eastAsia="宋体" w:cs="宋体"/>
          <w:b/>
          <w:bCs/>
          <w:spacing w:val="-2"/>
          <w:sz w:val="24"/>
          <w:szCs w:val="24"/>
          <w:highlight w:val="none"/>
        </w:rPr>
      </w:pPr>
      <w:r>
        <w:rPr>
          <w:rFonts w:hint="eastAsia" w:ascii="宋体" w:hAnsi="宋体" w:eastAsia="宋体" w:cs="宋体"/>
          <w:spacing w:val="-2"/>
          <w:sz w:val="24"/>
          <w:szCs w:val="24"/>
          <w:highlight w:val="none"/>
          <w:lang w:val="en-US" w:eastAsia="zh-CN"/>
        </w:rPr>
        <w:t>5</w:t>
      </w:r>
      <w:r>
        <w:rPr>
          <w:rFonts w:hint="eastAsia" w:ascii="宋体" w:hAnsi="宋体" w:eastAsia="宋体" w:cs="宋体"/>
          <w:spacing w:val="-2"/>
          <w:sz w:val="24"/>
          <w:szCs w:val="24"/>
          <w:highlight w:val="none"/>
        </w:rPr>
        <w:t>.2  在评标过程中，评标委员会发现投标人的报价明显低于其他投标报价，使得其投标报价可能低于其个别成本的，应当要求该投标人做出书面说明并提供相关证明材料。</w:t>
      </w:r>
      <w:r>
        <w:rPr>
          <w:rFonts w:hint="eastAsia" w:ascii="宋体" w:hAnsi="宋体" w:eastAsia="宋体" w:cs="宋体"/>
          <w:b/>
          <w:bCs/>
          <w:spacing w:val="-2"/>
          <w:sz w:val="24"/>
          <w:szCs w:val="24"/>
          <w:highlight w:val="none"/>
        </w:rPr>
        <w:t>投标人不能合理说明或者不能提供相关证明材料的，评标委员会认定该投标人以低于成本报价竞标，其投标应作废标处理。</w:t>
      </w:r>
    </w:p>
    <w:p>
      <w:pPr>
        <w:spacing w:line="360" w:lineRule="auto"/>
        <w:ind w:firstLine="355" w:firstLineChars="150"/>
        <w:rPr>
          <w:rFonts w:hint="eastAsia" w:ascii="宋体" w:hAnsi="宋体" w:eastAsia="宋体" w:cs="宋体"/>
          <w:b/>
          <w:spacing w:val="-2"/>
          <w:sz w:val="24"/>
          <w:szCs w:val="24"/>
          <w:highlight w:val="none"/>
          <w:u w:val="single"/>
        </w:rPr>
      </w:pPr>
      <w:r>
        <w:rPr>
          <w:rFonts w:hint="eastAsia" w:ascii="宋体" w:hAnsi="宋体" w:eastAsia="宋体" w:cs="宋体"/>
          <w:b/>
          <w:spacing w:val="-2"/>
          <w:sz w:val="24"/>
          <w:szCs w:val="24"/>
          <w:highlight w:val="none"/>
          <w:u w:val="single"/>
        </w:rPr>
        <w:t xml:space="preserve"> </w:t>
      </w:r>
      <w:r>
        <w:rPr>
          <w:rFonts w:hint="eastAsia" w:ascii="宋体" w:hAnsi="宋体" w:eastAsia="宋体" w:cs="宋体"/>
          <w:b/>
          <w:spacing w:val="-2"/>
          <w:sz w:val="24"/>
          <w:szCs w:val="24"/>
          <w:highlight w:val="none"/>
          <w:u w:val="single"/>
          <w:lang w:val="en-US" w:eastAsia="zh-CN"/>
        </w:rPr>
        <w:t>5</w:t>
      </w:r>
      <w:r>
        <w:rPr>
          <w:rFonts w:hint="eastAsia" w:ascii="宋体" w:hAnsi="宋体" w:eastAsia="宋体" w:cs="宋体"/>
          <w:b/>
          <w:spacing w:val="-2"/>
          <w:sz w:val="24"/>
          <w:szCs w:val="24"/>
          <w:highlight w:val="none"/>
          <w:u w:val="single"/>
        </w:rPr>
        <w:t>.3　投标最低报价，不作为中标的依据。</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5</w:t>
      </w:r>
      <w:r>
        <w:rPr>
          <w:rFonts w:hint="eastAsia" w:ascii="宋体" w:hAnsi="宋体" w:eastAsia="宋体" w:cs="宋体"/>
          <w:spacing w:val="-2"/>
          <w:sz w:val="24"/>
          <w:szCs w:val="24"/>
          <w:highlight w:val="none"/>
        </w:rPr>
        <w:t>.4　招标方不接受不符合国家有关部门相关规定的投标报价或优惠方案。</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5</w:t>
      </w:r>
      <w:r>
        <w:rPr>
          <w:rFonts w:hint="eastAsia" w:ascii="宋体" w:hAnsi="宋体" w:eastAsia="宋体" w:cs="宋体"/>
          <w:spacing w:val="-2"/>
          <w:sz w:val="24"/>
          <w:szCs w:val="24"/>
          <w:highlight w:val="none"/>
        </w:rPr>
        <w:t>.5　在评标过程中，评标委员会发现投标人以他人名义投标、串通投标、以行贿手段谋取中标或者以其他弄虚作假方式投标的，该投标人的投标应作废标处理。</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5</w:t>
      </w:r>
      <w:r>
        <w:rPr>
          <w:rFonts w:hint="eastAsia" w:ascii="宋体" w:hAnsi="宋体" w:eastAsia="宋体" w:cs="宋体"/>
          <w:spacing w:val="-2"/>
          <w:sz w:val="24"/>
          <w:szCs w:val="24"/>
          <w:highlight w:val="none"/>
        </w:rPr>
        <w:t>.6  投标人的资格条件不符合国家有关规定和招标文件要求的，或者拒不按照要求对投标文件进行澄清、说明或补正的，评标委员会可以否决其投标。</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5</w:t>
      </w:r>
      <w:r>
        <w:rPr>
          <w:rFonts w:hint="eastAsia" w:ascii="宋体" w:hAnsi="宋体" w:eastAsia="宋体" w:cs="宋体"/>
          <w:spacing w:val="-2"/>
          <w:sz w:val="24"/>
          <w:szCs w:val="24"/>
          <w:highlight w:val="none"/>
        </w:rPr>
        <w:t>.7  评标委员会应当审查每一投标文件是否对招标文件提出的所有实质性要求和条件做出满足。未能在实质上满足的投标，应作废标处理。</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5</w:t>
      </w:r>
      <w:r>
        <w:rPr>
          <w:rFonts w:hint="eastAsia" w:ascii="宋体" w:hAnsi="宋体" w:eastAsia="宋体" w:cs="宋体"/>
          <w:spacing w:val="-2"/>
          <w:sz w:val="24"/>
          <w:szCs w:val="24"/>
          <w:highlight w:val="none"/>
        </w:rPr>
        <w:t>.8　投标人不得误导、干扰招标方的评标活动，否则将废除其投标。</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5</w:t>
      </w:r>
      <w:r>
        <w:rPr>
          <w:rFonts w:hint="eastAsia" w:ascii="宋体" w:hAnsi="宋体" w:eastAsia="宋体" w:cs="宋体"/>
          <w:spacing w:val="-2"/>
          <w:sz w:val="24"/>
          <w:szCs w:val="24"/>
          <w:highlight w:val="none"/>
        </w:rPr>
        <w:t>.9　评标委员会应当根据招标文件，审查并逐项列出投标文件的全部投标偏差。投标偏差分为重大偏差和细微偏差。</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5</w:t>
      </w:r>
      <w:r>
        <w:rPr>
          <w:rFonts w:hint="eastAsia" w:ascii="宋体" w:hAnsi="宋体" w:eastAsia="宋体" w:cs="宋体"/>
          <w:spacing w:val="-2"/>
          <w:sz w:val="24"/>
          <w:szCs w:val="24"/>
          <w:highlight w:val="none"/>
        </w:rPr>
        <w:t>.10  下列情况属于重大偏差：</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（1）没有按照招标文件要求提供投标保证金的；</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（2）投标文件没有投标人授权代表签字和加盖公章的；</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（3）投标文件中附有招标方不能接受的条件的；</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（4）不符合招标文件中规定的其他实质性要求的。</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投标文件有上述情形之一的，为未能对招标文件做出实质性满足的投标，并作废标处理。</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5</w:t>
      </w:r>
      <w:r>
        <w:rPr>
          <w:rFonts w:hint="eastAsia" w:ascii="宋体" w:hAnsi="宋体" w:eastAsia="宋体" w:cs="宋体"/>
          <w:spacing w:val="-2"/>
          <w:sz w:val="24"/>
          <w:szCs w:val="24"/>
          <w:highlight w:val="none"/>
        </w:rPr>
        <w:t>.11  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评标委员会应当要求存在细小偏差的投标人在评标结束前以书面形式予以补正。拒绝补正的，在详细评审时可以对细微偏差作不利于该投标人的量化。</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5</w:t>
      </w:r>
      <w:r>
        <w:rPr>
          <w:rFonts w:hint="eastAsia" w:ascii="宋体" w:hAnsi="宋体" w:eastAsia="宋体" w:cs="宋体"/>
          <w:spacing w:val="-2"/>
          <w:sz w:val="24"/>
          <w:szCs w:val="24"/>
          <w:highlight w:val="none"/>
        </w:rPr>
        <w:t>.12  评标委员会根据本规定否决不合格投标或者界定为废标后，因有效投标不足三个使得投标明显缺乏竞争性时，根据《中华人民共和国政府采购法》的相关规定，将作废标处理。</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5</w:t>
      </w:r>
      <w:r>
        <w:rPr>
          <w:rFonts w:hint="eastAsia" w:ascii="宋体" w:hAnsi="宋体" w:eastAsia="宋体" w:cs="宋体"/>
          <w:spacing w:val="-2"/>
          <w:sz w:val="24"/>
          <w:szCs w:val="24"/>
          <w:highlight w:val="none"/>
        </w:rPr>
        <w:t>.13  对投标文件满足招标文件条款的审查：</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（1）开标后，评标委员会将组织对投标文件进行审查，检查投标文件是否完整，是否出现计算性错误，投标文件正本是否满足招标文件的格式要求；</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（2）在对投标文件进行详细评估之前，评标委员会将依据投标人提供的资格证明文件审查投标人的财务和技术能力。如果确定投标人无能力履行合同，其投标将被拒绝；</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3）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（4）评标委员会判断投标文件的满足性仅基于投标文件本身而不靠外部证据；</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（5）评标委员会将拒绝被确定为非实质性满足的投标。投标人不能通过修正或撤消不符合之处而使其投标成为实质性满足的投标。</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1.资格性审查</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公开招标采购项目开标结束后，采购人或者采购代理机构应当依法对投标人的资格进行审查。合格投标人不足3家的，不得评标。</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2.符合性审查</w:t>
      </w:r>
    </w:p>
    <w:p>
      <w:pPr>
        <w:pStyle w:val="2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2.1评标委员会审查投标文件是否符合招标文件的基本要求：内容是否完整、资格证明文件是否合格、文件签署是否齐全、有无计算错误等。 </w:t>
      </w:r>
    </w:p>
    <w:p>
      <w:pPr>
        <w:pStyle w:val="2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2.2评标委员会审查投标文件是否实质上响应招标文件的要求。</w:t>
      </w:r>
    </w:p>
    <w:p>
      <w:pPr>
        <w:pStyle w:val="2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1）实质上响应的投标是指与招标文件上的条款、条件和规格相符，没有重大偏离或保留，否则将视为无效投标。</w:t>
      </w:r>
    </w:p>
    <w:p>
      <w:pPr>
        <w:pStyle w:val="24"/>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pPr>
        <w:pStyle w:val="24"/>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A、招标文件第二部分“投标人须知前附表”第18条“投标文件组成”部分中，带“☆”号部分的证明文件不全或无效的；</w:t>
      </w:r>
    </w:p>
    <w:p>
      <w:pPr>
        <w:pStyle w:val="24"/>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B、投标文件未按招标文件的规定签章的；</w:t>
      </w:r>
    </w:p>
    <w:p>
      <w:pPr>
        <w:pStyle w:val="24"/>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C、未按投标文件份数要求提交投标文件的；</w:t>
      </w:r>
    </w:p>
    <w:p>
      <w:pPr>
        <w:pStyle w:val="24"/>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D、招标文件带“☆”号部分任意一款不满足要求的；</w:t>
      </w:r>
    </w:p>
    <w:p>
      <w:pPr>
        <w:pStyle w:val="24"/>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E、报价超过项目预算或经评标委员会认定低于成本的；</w:t>
      </w:r>
    </w:p>
    <w:p>
      <w:pPr>
        <w:pStyle w:val="24"/>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F、投标有效期不足的；</w:t>
      </w:r>
    </w:p>
    <w:p>
      <w:pPr>
        <w:pStyle w:val="24"/>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G、联合体投标文件未附联合体投标协议书的；</w:t>
      </w:r>
    </w:p>
    <w:p>
      <w:pPr>
        <w:pStyle w:val="24"/>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H、不符合招标文件中有关分包规定的；</w:t>
      </w:r>
    </w:p>
    <w:p>
      <w:pPr>
        <w:pStyle w:val="24"/>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I、有串通投标或弄虚作假或有其他违法行为的；</w:t>
      </w:r>
    </w:p>
    <w:p>
      <w:pPr>
        <w:pStyle w:val="24"/>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J、投标人递交的电子投标文件（加密电子投标文件和未加密电子投标文件）均无法满足正常开标、评标使用功能的；</w:t>
      </w:r>
    </w:p>
    <w:p>
      <w:pPr>
        <w:pStyle w:val="24"/>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K、投标人名称或组织结构与领取采购文件时不一致且无有效变更证明的；</w:t>
      </w:r>
    </w:p>
    <w:p>
      <w:pPr>
        <w:pStyle w:val="24"/>
        <w:spacing w:line="360" w:lineRule="auto"/>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L、不符合招标文件中规定的其他实质性要求。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.14评标委员会将根据政府采购政策支持中小企业政策对最后报价进行价格折扣，折</w:t>
      </w:r>
    </w:p>
    <w:p>
      <w:pPr>
        <w:tabs>
          <w:tab w:val="left" w:pos="0"/>
        </w:tabs>
        <w:adjustRightInd w:val="0"/>
        <w:snapToGrid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扣的价格将作为评审价格。</w:t>
      </w:r>
      <w:r>
        <w:rPr>
          <w:rFonts w:hint="eastAsia" w:ascii="宋体" w:hAnsi="宋体" w:eastAsia="宋体" w:cs="宋体"/>
          <w:kern w:val="0"/>
          <w:sz w:val="24"/>
          <w:szCs w:val="24"/>
          <w:highlight w:val="none"/>
          <w:lang w:val="zh-CN"/>
        </w:rPr>
        <w:t>供应商的评审</w:t>
      </w:r>
      <w:r>
        <w:rPr>
          <w:rFonts w:hint="eastAsia" w:ascii="宋体" w:hAnsi="宋体" w:eastAsia="宋体" w:cs="宋体"/>
          <w:bCs/>
          <w:sz w:val="24"/>
          <w:szCs w:val="24"/>
          <w:highlight w:val="none"/>
        </w:rPr>
        <w:t>价格由供应商代表在投标文件中签字确认。</w:t>
      </w:r>
    </w:p>
    <w:p>
      <w:pPr>
        <w:tabs>
          <w:tab w:val="left" w:pos="0"/>
        </w:tabs>
        <w:adjustRightInd w:val="0"/>
        <w:snapToGrid w:val="0"/>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中小企业价格折扣比例及方法</w:t>
      </w:r>
    </w:p>
    <w:tbl>
      <w:tblPr>
        <w:tblStyle w:val="1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noWrap w:val="0"/>
            <w:vAlign w:val="center"/>
          </w:tcPr>
          <w:p>
            <w:pPr>
              <w:snapToGrid w:val="0"/>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根据中华人民共和国财政部、中华人民共和国工业和信息化部《政府采购促进中小企业发展暂行办法》（财库[2011]181号）文件的规定，</w:t>
            </w:r>
            <w:r>
              <w:rPr>
                <w:rFonts w:hint="eastAsia" w:ascii="宋体" w:hAnsi="宋体" w:eastAsia="宋体" w:cs="宋体"/>
                <w:bCs/>
                <w:sz w:val="24"/>
                <w:szCs w:val="24"/>
                <w:highlight w:val="none"/>
              </w:rPr>
              <w:t>属于中小企业</w:t>
            </w:r>
            <w:r>
              <w:rPr>
                <w:rFonts w:hint="eastAsia" w:ascii="宋体" w:hAnsi="宋体" w:eastAsia="宋体" w:cs="宋体"/>
                <w:sz w:val="24"/>
                <w:szCs w:val="24"/>
                <w:highlight w:val="none"/>
              </w:rPr>
              <w:t>评审优惠内容及幅度如下：</w:t>
            </w:r>
          </w:p>
          <w:p>
            <w:pPr>
              <w:snapToGrid w:val="0"/>
              <w:spacing w:line="360" w:lineRule="auto"/>
              <w:ind w:firstLine="241" w:firstLineChars="100"/>
              <w:rPr>
                <w:rFonts w:hint="eastAsia" w:ascii="宋体" w:hAnsi="宋体" w:eastAsia="宋体" w:cs="宋体"/>
                <w:sz w:val="24"/>
                <w:szCs w:val="24"/>
                <w:highlight w:val="none"/>
              </w:rPr>
            </w:pPr>
            <w:r>
              <w:rPr>
                <w:rFonts w:hint="eastAsia" w:ascii="宋体" w:hAnsi="宋体" w:eastAsia="宋体" w:cs="宋体"/>
                <w:b/>
                <w:sz w:val="24"/>
                <w:szCs w:val="24"/>
                <w:highlight w:val="none"/>
              </w:rPr>
              <w:t>（一）</w:t>
            </w:r>
            <w:r>
              <w:rPr>
                <w:rFonts w:hint="eastAsia" w:ascii="宋体" w:hAnsi="宋体" w:eastAsia="宋体" w:cs="宋体"/>
                <w:sz w:val="24"/>
                <w:szCs w:val="24"/>
                <w:highlight w:val="none"/>
              </w:rPr>
              <w:t>中小企业（含中型、小型、微型企业）应当</w:t>
            </w:r>
            <w:r>
              <w:rPr>
                <w:rFonts w:hint="eastAsia" w:ascii="宋体" w:hAnsi="宋体" w:eastAsia="宋体" w:cs="宋体"/>
                <w:bCs/>
                <w:sz w:val="24"/>
                <w:szCs w:val="24"/>
                <w:highlight w:val="none"/>
              </w:rPr>
              <w:t>同时符合以下条</w:t>
            </w:r>
            <w:r>
              <w:rPr>
                <w:rFonts w:hint="eastAsia" w:ascii="宋体" w:hAnsi="宋体" w:eastAsia="宋体" w:cs="宋体"/>
                <w:sz w:val="24"/>
                <w:szCs w:val="24"/>
                <w:highlight w:val="none"/>
              </w:rPr>
              <w:t>件：</w:t>
            </w:r>
          </w:p>
          <w:p>
            <w:pPr>
              <w:pStyle w:val="25"/>
              <w:spacing w:line="360" w:lineRule="auto"/>
              <w:ind w:left="846" w:leftChars="403"/>
              <w:rPr>
                <w:rFonts w:hint="eastAsia" w:ascii="宋体" w:hAnsi="宋体" w:eastAsia="宋体" w:cs="宋体"/>
                <w:sz w:val="24"/>
                <w:szCs w:val="24"/>
                <w:highlight w:val="none"/>
              </w:rPr>
            </w:pPr>
            <w:r>
              <w:rPr>
                <w:rFonts w:hint="eastAsia" w:ascii="宋体" w:hAnsi="宋体" w:eastAsia="宋体" w:cs="宋体"/>
                <w:sz w:val="24"/>
                <w:szCs w:val="24"/>
                <w:highlight w:val="none"/>
              </w:rPr>
              <w:t>①符合中小企业划分标准（按《关于印发中小企业划型标准规定的通知》（工信部联</w:t>
            </w:r>
          </w:p>
          <w:p>
            <w:pPr>
              <w:pStyle w:val="25"/>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企业〔2011〕300号）执行）；</w:t>
            </w:r>
          </w:p>
          <w:p>
            <w:pPr>
              <w:pStyle w:val="25"/>
              <w:spacing w:line="360" w:lineRule="auto"/>
              <w:ind w:left="846" w:leftChars="403"/>
              <w:rPr>
                <w:rFonts w:hint="eastAsia" w:ascii="宋体" w:hAnsi="宋体" w:eastAsia="宋体" w:cs="宋体"/>
                <w:sz w:val="24"/>
                <w:szCs w:val="24"/>
                <w:highlight w:val="none"/>
              </w:rPr>
            </w:pPr>
            <w:r>
              <w:rPr>
                <w:rFonts w:hint="eastAsia" w:ascii="宋体" w:hAnsi="宋体" w:eastAsia="宋体" w:cs="宋体"/>
                <w:sz w:val="24"/>
                <w:szCs w:val="24"/>
                <w:highlight w:val="none"/>
              </w:rPr>
              <w:t>②提供本企业制造的货物、承担的项目或者服务，或者提供其他中小企业制造的货物。</w:t>
            </w:r>
          </w:p>
          <w:p>
            <w:pPr>
              <w:pStyle w:val="25"/>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本项所称货物不包括使用大型企业注册商标的货物；</w:t>
            </w:r>
          </w:p>
          <w:p>
            <w:pPr>
              <w:pStyle w:val="25"/>
              <w:spacing w:line="360" w:lineRule="auto"/>
              <w:ind w:left="846" w:leftChars="403"/>
              <w:rPr>
                <w:rFonts w:hint="eastAsia" w:ascii="宋体" w:hAnsi="宋体" w:eastAsia="宋体" w:cs="宋体"/>
                <w:sz w:val="24"/>
                <w:szCs w:val="24"/>
                <w:highlight w:val="none"/>
              </w:rPr>
            </w:pPr>
            <w:r>
              <w:rPr>
                <w:rFonts w:hint="eastAsia" w:ascii="宋体" w:hAnsi="宋体" w:eastAsia="宋体" w:cs="宋体"/>
                <w:sz w:val="24"/>
                <w:szCs w:val="24"/>
                <w:highlight w:val="none"/>
              </w:rPr>
              <w:t>③小型、微型企业提供中型企业制造的货物的，视同为中型企业。</w:t>
            </w:r>
          </w:p>
          <w:p>
            <w:pPr>
              <w:snapToGrid w:val="0"/>
              <w:spacing w:line="360" w:lineRule="auto"/>
              <w:ind w:firstLine="361" w:firstLineChars="150"/>
              <w:rPr>
                <w:rFonts w:hint="eastAsia" w:ascii="宋体" w:hAnsi="宋体" w:eastAsia="宋体" w:cs="宋体"/>
                <w:sz w:val="24"/>
                <w:szCs w:val="24"/>
                <w:highlight w:val="none"/>
              </w:rPr>
            </w:pPr>
            <w:r>
              <w:rPr>
                <w:rFonts w:hint="eastAsia" w:ascii="宋体" w:hAnsi="宋体" w:eastAsia="宋体" w:cs="宋体"/>
                <w:b/>
                <w:sz w:val="24"/>
                <w:szCs w:val="24"/>
                <w:highlight w:val="none"/>
              </w:rPr>
              <w:t>（二）</w:t>
            </w:r>
            <w:r>
              <w:rPr>
                <w:rFonts w:hint="eastAsia" w:ascii="宋体" w:hAnsi="宋体" w:eastAsia="宋体" w:cs="宋体"/>
                <w:sz w:val="24"/>
                <w:szCs w:val="24"/>
                <w:highlight w:val="none"/>
              </w:rPr>
              <w:t>价格扣除办法：</w:t>
            </w:r>
          </w:p>
          <w:p>
            <w:pPr>
              <w:pStyle w:val="25"/>
              <w:spacing w:line="360" w:lineRule="auto"/>
              <w:ind w:left="657" w:leftChars="313"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1 \* GB3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①</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对于非专门面向中小企业的项目，对小型和微型企业（或联合体各方均为小型、</w:t>
            </w:r>
          </w:p>
          <w:p>
            <w:pPr>
              <w:pStyle w:val="25"/>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微型企业的，残疾人福利性单位、监狱企业视为小微企业）产品的价格给予6%的扣除，用扣除后的价格参与价格的评审。</w:t>
            </w:r>
          </w:p>
          <w:p>
            <w:pPr>
              <w:snapToGrid w:val="0"/>
              <w:spacing w:line="360" w:lineRule="auto"/>
              <w:ind w:firstLine="361" w:firstLineChars="150"/>
              <w:rPr>
                <w:rFonts w:hint="eastAsia" w:ascii="宋体" w:hAnsi="宋体" w:eastAsia="宋体" w:cs="宋体"/>
                <w:sz w:val="24"/>
                <w:szCs w:val="24"/>
                <w:highlight w:val="none"/>
              </w:rPr>
            </w:pPr>
            <w:r>
              <w:rPr>
                <w:rFonts w:hint="eastAsia" w:ascii="宋体" w:hAnsi="宋体" w:eastAsia="宋体" w:cs="宋体"/>
                <w:b/>
                <w:sz w:val="24"/>
                <w:szCs w:val="24"/>
                <w:highlight w:val="none"/>
              </w:rPr>
              <w:t>（三）</w:t>
            </w:r>
            <w:r>
              <w:rPr>
                <w:rFonts w:hint="eastAsia" w:ascii="宋体" w:hAnsi="宋体" w:eastAsia="宋体" w:cs="宋体"/>
                <w:sz w:val="24"/>
                <w:szCs w:val="24"/>
                <w:highlight w:val="none"/>
              </w:rPr>
              <w:t>小型和微型企业适用价格扣除办法时应提供的相关资料：</w:t>
            </w:r>
          </w:p>
          <w:p>
            <w:pPr>
              <w:snapToGrid w:val="0"/>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1 \* GB3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①</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、供应商《中小企业声明函》或残疾人福利性单位声明函。</w:t>
            </w:r>
          </w:p>
          <w:p>
            <w:pPr>
              <w:snapToGrid w:val="0"/>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②、供应商应提供其属地主管部门出具的证明函或中小微企业名录截图；</w:t>
            </w:r>
          </w:p>
          <w:p>
            <w:pPr>
              <w:snapToGrid w:val="0"/>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③、供应商应提供产品生产厂家的属地主管部门出具的证明函或中小微企业名录截图；</w:t>
            </w:r>
          </w:p>
          <w:p>
            <w:pPr>
              <w:snapToGrid w:val="0"/>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④、招标文件中要求提供的产品优惠明细表。</w:t>
            </w:r>
          </w:p>
          <w:p>
            <w:pPr>
              <w:pStyle w:val="25"/>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供应商应同时提供以上四个材料，否则将不给予价格扣除。若所供应产品为进口产品的，不适用《政府采购促进中小企业发展暂行办法》。残疾人福利性单位、监狱企业仅需提供声明函，不须要提供其他证明材料。</w:t>
            </w:r>
          </w:p>
        </w:tc>
      </w:tr>
    </w:tbl>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 详细评审</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6</w:t>
      </w:r>
      <w:r>
        <w:rPr>
          <w:rFonts w:hint="eastAsia" w:ascii="宋体" w:hAnsi="宋体" w:eastAsia="宋体" w:cs="宋体"/>
          <w:spacing w:val="-2"/>
          <w:sz w:val="24"/>
          <w:szCs w:val="24"/>
          <w:highlight w:val="none"/>
        </w:rPr>
        <w:t>.1  经初步评审合格的投标文件，评标委员会应当根据招标文件确定的评标标准和方法，对其技术和商务部分作进一步的评审和比较。</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6</w:t>
      </w:r>
      <w:r>
        <w:rPr>
          <w:rFonts w:hint="eastAsia" w:ascii="宋体" w:hAnsi="宋体" w:eastAsia="宋体" w:cs="宋体"/>
          <w:spacing w:val="-2"/>
          <w:sz w:val="24"/>
          <w:szCs w:val="24"/>
          <w:highlight w:val="none"/>
        </w:rPr>
        <w:t>.2  在评审过程中，为了有助于对投标文件进行审查、评估和比较，招标方&amp;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6</w:t>
      </w:r>
      <w:r>
        <w:rPr>
          <w:rFonts w:hint="eastAsia" w:ascii="宋体" w:hAnsi="宋体" w:eastAsia="宋体" w:cs="宋体"/>
          <w:spacing w:val="-2"/>
          <w:sz w:val="24"/>
          <w:szCs w:val="24"/>
          <w:highlight w:val="none"/>
        </w:rPr>
        <w:t>.3  采用</w:t>
      </w:r>
      <w:r>
        <w:rPr>
          <w:rFonts w:hint="eastAsia" w:ascii="宋体" w:hAnsi="宋体" w:eastAsia="宋体" w:cs="宋体"/>
          <w:spacing w:val="-2"/>
          <w:sz w:val="24"/>
          <w:szCs w:val="24"/>
          <w:highlight w:val="none"/>
          <w:u w:val="single"/>
        </w:rPr>
        <w:t>　综合评分法　</w:t>
      </w:r>
      <w:r>
        <w:rPr>
          <w:rFonts w:hint="eastAsia" w:ascii="宋体" w:hAnsi="宋体" w:eastAsia="宋体" w:cs="宋体"/>
          <w:spacing w:val="-2"/>
          <w:sz w:val="24"/>
          <w:szCs w:val="24"/>
          <w:highlight w:val="none"/>
        </w:rPr>
        <w:t>衡量投标文件是否最大限度地满足招标文件中规定的各项综合评分标准。</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6</w:t>
      </w:r>
      <w:r>
        <w:rPr>
          <w:rFonts w:hint="eastAsia" w:ascii="宋体" w:hAnsi="宋体" w:eastAsia="宋体" w:cs="宋体"/>
          <w:spacing w:val="-2"/>
          <w:sz w:val="24"/>
          <w:szCs w:val="24"/>
          <w:highlight w:val="none"/>
        </w:rPr>
        <w:t>.4  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6</w:t>
      </w:r>
      <w:r>
        <w:rPr>
          <w:rFonts w:hint="eastAsia" w:ascii="宋体" w:hAnsi="宋体" w:eastAsia="宋体" w:cs="宋体"/>
          <w:spacing w:val="-2"/>
          <w:sz w:val="24"/>
          <w:szCs w:val="24"/>
          <w:highlight w:val="none"/>
        </w:rPr>
        <w:t>.5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6</w:t>
      </w:r>
      <w:r>
        <w:rPr>
          <w:rFonts w:hint="eastAsia" w:ascii="宋体" w:hAnsi="宋体" w:eastAsia="宋体" w:cs="宋体"/>
          <w:spacing w:val="-2"/>
          <w:sz w:val="24"/>
          <w:szCs w:val="24"/>
          <w:highlight w:val="none"/>
        </w:rPr>
        <w:t>.6采用综合评分法衡量投标文件在是否最大限度地满足招标文件实质性要求前提下，按照招标文件中规定的各项因素进行综合评审后，依据得分高低，依次确定为中标候选人。</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6</w:t>
      </w:r>
      <w:r>
        <w:rPr>
          <w:rFonts w:hint="eastAsia" w:ascii="宋体" w:hAnsi="宋体" w:eastAsia="宋体" w:cs="宋体"/>
          <w:spacing w:val="-2"/>
          <w:sz w:val="24"/>
          <w:szCs w:val="24"/>
          <w:highlight w:val="none"/>
        </w:rPr>
        <w:t>.7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6</w:t>
      </w:r>
      <w:r>
        <w:rPr>
          <w:rFonts w:hint="eastAsia" w:ascii="宋体" w:hAnsi="宋体" w:eastAsia="宋体" w:cs="宋体"/>
          <w:spacing w:val="-2"/>
          <w:sz w:val="24"/>
          <w:szCs w:val="24"/>
          <w:highlight w:val="none"/>
        </w:rPr>
        <w:t>.8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投标文件的实质性内容。</w:t>
      </w:r>
    </w:p>
    <w:p>
      <w:pPr>
        <w:spacing w:line="360" w:lineRule="auto"/>
        <w:rPr>
          <w:rFonts w:hint="eastAsia" w:ascii="宋体" w:hAnsi="宋体" w:eastAsia="宋体" w:cs="宋体"/>
          <w:b/>
          <w:sz w:val="24"/>
          <w:szCs w:val="24"/>
          <w:highlight w:val="none"/>
        </w:rPr>
      </w:pPr>
    </w:p>
    <w:p>
      <w:pPr>
        <w:spacing w:line="360" w:lineRule="auto"/>
        <w:jc w:val="center"/>
        <w:outlineLvl w:val="1"/>
        <w:rPr>
          <w:rFonts w:hint="eastAsia" w:ascii="宋体" w:hAnsi="宋体" w:eastAsia="宋体" w:cs="宋体"/>
          <w:b/>
          <w:sz w:val="24"/>
          <w:szCs w:val="24"/>
          <w:highlight w:val="none"/>
        </w:rPr>
      </w:pPr>
      <w:bookmarkStart w:id="17" w:name="_Toc64919010"/>
      <w:r>
        <w:rPr>
          <w:rFonts w:hint="eastAsia" w:ascii="宋体" w:hAnsi="宋体" w:eastAsia="宋体" w:cs="宋体"/>
          <w:b/>
          <w:sz w:val="24"/>
          <w:szCs w:val="24"/>
          <w:highlight w:val="none"/>
        </w:rPr>
        <w:t>第</w:t>
      </w:r>
      <w:r>
        <w:rPr>
          <w:rFonts w:hint="eastAsia" w:ascii="宋体" w:hAnsi="宋体" w:eastAsia="宋体" w:cs="宋体"/>
          <w:b/>
          <w:sz w:val="24"/>
          <w:szCs w:val="24"/>
          <w:highlight w:val="none"/>
          <w:lang w:eastAsia="zh-CN"/>
        </w:rPr>
        <w:t>六</w:t>
      </w:r>
      <w:r>
        <w:rPr>
          <w:rFonts w:hint="eastAsia" w:ascii="宋体" w:hAnsi="宋体" w:eastAsia="宋体" w:cs="宋体"/>
          <w:b/>
          <w:sz w:val="24"/>
          <w:szCs w:val="24"/>
          <w:highlight w:val="none"/>
        </w:rPr>
        <w:t>章</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定　标</w:t>
      </w:r>
      <w:bookmarkEnd w:id="17"/>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 定标标准</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.1　合同将授予被确定为实质性响应招标文件要求，经评定认为具备履行合同能力、报价合理、技术和商务条件都符合招标文件要求的得分最高的投标人。</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.2　最低投标价不一定是被授予合同的保证。</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.3　如果确定该投标人没有条件圆满履行合同，招标方将按照投标人的得分高低把合同授予下一个中标候选人。</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 接受和拒绝任何或所有投标的权力</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2</w:t>
      </w:r>
      <w:r>
        <w:rPr>
          <w:rFonts w:hint="eastAsia" w:ascii="宋体" w:hAnsi="宋体" w:eastAsia="宋体" w:cs="宋体"/>
          <w:spacing w:val="-2"/>
          <w:sz w:val="24"/>
          <w:szCs w:val="24"/>
          <w:highlight w:val="none"/>
        </w:rPr>
        <w:t>.1　为维护国家利益，招标方在授予合同之前仍有选择或拒绝任何全部投标的权力。</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 中标通知书</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3</w:t>
      </w:r>
      <w:r>
        <w:rPr>
          <w:rFonts w:hint="eastAsia" w:ascii="宋体" w:hAnsi="宋体" w:eastAsia="宋体" w:cs="宋体"/>
          <w:spacing w:val="-2"/>
          <w:sz w:val="24"/>
          <w:szCs w:val="24"/>
          <w:highlight w:val="none"/>
        </w:rPr>
        <w:t>.1 中标结果确定后，招标方将以书面形式发出《中标通知书》，但发出时间不超过投标有效期，《中标通知书》一经发出即发生法律效力。</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3</w:t>
      </w:r>
      <w:r>
        <w:rPr>
          <w:rFonts w:hint="eastAsia" w:ascii="宋体" w:hAnsi="宋体" w:eastAsia="宋体" w:cs="宋体"/>
          <w:spacing w:val="-2"/>
          <w:sz w:val="24"/>
          <w:szCs w:val="24"/>
          <w:highlight w:val="none"/>
        </w:rPr>
        <w:t>.2  《中标通知书》将作为签订合同的依据。</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3</w:t>
      </w:r>
      <w:r>
        <w:rPr>
          <w:rFonts w:hint="eastAsia" w:ascii="宋体" w:hAnsi="宋体" w:eastAsia="宋体" w:cs="宋体"/>
          <w:spacing w:val="-2"/>
          <w:sz w:val="24"/>
          <w:szCs w:val="24"/>
          <w:highlight w:val="none"/>
        </w:rPr>
        <w:t>.3  中标方在领取《中标通知书》</w:t>
      </w:r>
      <w:r>
        <w:rPr>
          <w:rFonts w:hint="eastAsia" w:ascii="宋体" w:hAnsi="宋体" w:eastAsia="宋体" w:cs="宋体"/>
          <w:spacing w:val="-2"/>
          <w:sz w:val="24"/>
          <w:szCs w:val="24"/>
          <w:highlight w:val="none"/>
          <w:lang w:eastAsia="zh-CN"/>
        </w:rPr>
        <w:t>前</w:t>
      </w:r>
      <w:r>
        <w:rPr>
          <w:rFonts w:hint="eastAsia" w:ascii="宋体" w:hAnsi="宋体" w:eastAsia="宋体" w:cs="宋体"/>
          <w:spacing w:val="-2"/>
          <w:sz w:val="24"/>
          <w:szCs w:val="24"/>
          <w:highlight w:val="none"/>
        </w:rPr>
        <w:t>，必须按招标文件规定向招标代理机构缴纳招标代理服务费。</w:t>
      </w:r>
    </w:p>
    <w:p>
      <w:pPr>
        <w:spacing w:line="360" w:lineRule="auto"/>
        <w:rPr>
          <w:rFonts w:hint="eastAsia" w:ascii="宋体" w:hAnsi="宋体" w:eastAsia="宋体" w:cs="宋体"/>
          <w:b/>
          <w:sz w:val="24"/>
          <w:szCs w:val="24"/>
          <w:highlight w:val="none"/>
        </w:rPr>
      </w:pPr>
    </w:p>
    <w:p>
      <w:pPr>
        <w:spacing w:line="360" w:lineRule="auto"/>
        <w:ind w:firstLine="482" w:firstLineChars="200"/>
        <w:jc w:val="center"/>
        <w:outlineLvl w:val="1"/>
        <w:rPr>
          <w:rFonts w:hint="eastAsia" w:ascii="宋体" w:hAnsi="宋体" w:eastAsia="宋体" w:cs="宋体"/>
          <w:b/>
          <w:sz w:val="24"/>
          <w:szCs w:val="24"/>
          <w:highlight w:val="none"/>
        </w:rPr>
      </w:pPr>
      <w:bookmarkStart w:id="18" w:name="_Toc64919011"/>
      <w:r>
        <w:rPr>
          <w:rFonts w:hint="eastAsia" w:ascii="宋体" w:hAnsi="宋体" w:eastAsia="宋体" w:cs="宋体"/>
          <w:b/>
          <w:sz w:val="24"/>
          <w:szCs w:val="24"/>
          <w:highlight w:val="none"/>
        </w:rPr>
        <w:t>第</w:t>
      </w:r>
      <w:r>
        <w:rPr>
          <w:rFonts w:hint="eastAsia" w:ascii="宋体" w:hAnsi="宋体" w:eastAsia="宋体" w:cs="宋体"/>
          <w:b/>
          <w:sz w:val="24"/>
          <w:szCs w:val="24"/>
          <w:highlight w:val="none"/>
          <w:lang w:eastAsia="zh-CN"/>
        </w:rPr>
        <w:t>七</w:t>
      </w:r>
      <w:r>
        <w:rPr>
          <w:rFonts w:hint="eastAsia" w:ascii="宋体" w:hAnsi="宋体" w:eastAsia="宋体" w:cs="宋体"/>
          <w:b/>
          <w:sz w:val="24"/>
          <w:szCs w:val="24"/>
          <w:highlight w:val="none"/>
        </w:rPr>
        <w:t>章</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sz w:val="24"/>
          <w:szCs w:val="24"/>
          <w:highlight w:val="none"/>
        </w:rPr>
        <w:t>授予合同</w:t>
      </w:r>
      <w:bookmarkEnd w:id="18"/>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 签订合同</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.1  中标方收到招标方的《中标通知书》后三十日内，按照招标文件和中标方投标文件中的约定与采购人签订书面合同，所签订的合同不得对招标文件和中标方的投标文件作实质性修改。</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.2  招标方在授予合同时，有权对招标文件中规定的货物和服务的数量在10%的幅度内予以增加或减少。</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.3  如中标方拒签合同，则按违约处理。招标方将不予退还其履约保证金。</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.4  招标文件、中标方的投标文件及其澄清文件等，均为签订经济合同的依据。</w:t>
      </w:r>
    </w:p>
    <w:p>
      <w:pPr>
        <w:spacing w:line="360"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.5  不允许中标方将中标项目分包或转交他人承担。</w:t>
      </w:r>
    </w:p>
    <w:p>
      <w:pPr>
        <w:spacing w:line="360" w:lineRule="auto"/>
        <w:jc w:val="center"/>
        <w:outlineLvl w:val="0"/>
        <w:rPr>
          <w:rFonts w:hint="eastAsia" w:ascii="宋体" w:hAnsi="宋体" w:eastAsia="宋体" w:cs="宋体"/>
          <w:b/>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b/>
          <w:sz w:val="24"/>
          <w:szCs w:val="24"/>
          <w:highlight w:val="none"/>
        </w:rPr>
      </w:pPr>
      <w:bookmarkStart w:id="19" w:name="_Toc64919012"/>
      <w:r>
        <w:rPr>
          <w:rFonts w:hint="eastAsia" w:ascii="宋体" w:hAnsi="宋体" w:eastAsia="宋体" w:cs="宋体"/>
          <w:b/>
          <w:sz w:val="24"/>
          <w:szCs w:val="24"/>
          <w:highlight w:val="none"/>
        </w:rPr>
        <w:br w:type="page"/>
      </w:r>
    </w:p>
    <w:p>
      <w:pPr>
        <w:spacing w:line="360" w:lineRule="auto"/>
        <w:jc w:val="center"/>
        <w:outlineLvl w:val="0"/>
        <w:rPr>
          <w:rFonts w:hint="eastAsia" w:ascii="宋体" w:hAnsi="宋体" w:eastAsia="宋体" w:cs="宋体"/>
          <w:b/>
          <w:sz w:val="32"/>
          <w:szCs w:val="32"/>
          <w:highlight w:val="none"/>
        </w:rPr>
      </w:pPr>
      <w:r>
        <w:rPr>
          <w:rFonts w:hint="eastAsia" w:ascii="宋体" w:hAnsi="宋体" w:eastAsia="宋体" w:cs="宋体"/>
          <w:b/>
          <w:sz w:val="32"/>
          <w:szCs w:val="32"/>
          <w:highlight w:val="none"/>
        </w:rPr>
        <w:t>第四部分  采购货物清单及技术参数</w:t>
      </w:r>
      <w:bookmarkEnd w:id="19"/>
    </w:p>
    <w:p>
      <w:pPr>
        <w:numPr>
          <w:ilvl w:val="0"/>
          <w:numId w:val="3"/>
        </w:numPr>
        <w:spacing w:line="360"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采购清单</w:t>
      </w:r>
      <w:r>
        <w:rPr>
          <w:rFonts w:hint="eastAsia" w:ascii="宋体" w:hAnsi="宋体" w:eastAsia="宋体" w:cs="宋体"/>
          <w:b/>
          <w:bCs/>
          <w:kern w:val="0"/>
          <w:sz w:val="24"/>
          <w:szCs w:val="24"/>
          <w:highlight w:val="none"/>
          <w:lang w:eastAsia="zh-CN"/>
        </w:rPr>
        <w:t>及</w:t>
      </w:r>
      <w:r>
        <w:rPr>
          <w:rFonts w:hint="eastAsia" w:ascii="宋体" w:hAnsi="宋体" w:eastAsia="宋体" w:cs="宋体"/>
          <w:b/>
          <w:sz w:val="24"/>
          <w:szCs w:val="24"/>
          <w:highlight w:val="none"/>
        </w:rPr>
        <w:t>技术参数</w:t>
      </w:r>
    </w:p>
    <w:p>
      <w:pPr>
        <w:numPr>
          <w:ilvl w:val="0"/>
          <w:numId w:val="0"/>
        </w:numPr>
        <w:spacing w:line="360" w:lineRule="auto"/>
        <w:jc w:val="center"/>
        <w:rPr>
          <w:rFonts w:hint="eastAsia" w:ascii="宋体" w:hAnsi="宋体" w:eastAsia="宋体" w:cs="宋体"/>
          <w:sz w:val="28"/>
          <w:szCs w:val="28"/>
          <w:highlight w:val="none"/>
        </w:rPr>
      </w:pPr>
      <w:r>
        <w:rPr>
          <w:rFonts w:hint="eastAsia" w:ascii="宋体" w:hAnsi="宋体" w:eastAsia="宋体" w:cs="宋体"/>
          <w:b/>
          <w:bCs/>
          <w:sz w:val="28"/>
          <w:szCs w:val="28"/>
          <w:highlight w:val="none"/>
          <w:lang w:eastAsia="zh-CN"/>
        </w:rPr>
        <w:t>一包：</w:t>
      </w:r>
      <w:r>
        <w:rPr>
          <w:rFonts w:hint="eastAsia" w:ascii="宋体" w:hAnsi="宋体" w:eastAsia="宋体" w:cs="宋体"/>
          <w:b/>
          <w:bCs/>
          <w:sz w:val="28"/>
          <w:szCs w:val="28"/>
          <w:highlight w:val="none"/>
          <w:lang w:val="en-US" w:eastAsia="zh-CN"/>
        </w:rPr>
        <w:t>口腔牙科种植机</w:t>
      </w:r>
      <w:r>
        <w:rPr>
          <w:rFonts w:hint="eastAsia" w:ascii="宋体" w:hAnsi="宋体" w:cs="宋体"/>
          <w:b/>
          <w:bCs/>
          <w:sz w:val="28"/>
          <w:szCs w:val="28"/>
          <w:highlight w:val="none"/>
          <w:lang w:eastAsia="zh-CN"/>
        </w:rPr>
        <w:t>（允许采购原装进口）</w:t>
      </w:r>
    </w:p>
    <w:p>
      <w:pPr>
        <w:pStyle w:val="34"/>
        <w:numPr>
          <w:ilvl w:val="0"/>
          <w:numId w:val="0"/>
        </w:numPr>
        <w:spacing w:line="360" w:lineRule="auto"/>
        <w:jc w:val="left"/>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配置清单</w:t>
      </w:r>
    </w:p>
    <w:tbl>
      <w:tblPr>
        <w:tblStyle w:val="14"/>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3114"/>
        <w:gridCol w:w="840"/>
        <w:gridCol w:w="825"/>
        <w:gridCol w:w="1725"/>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8" w:type="dxa"/>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3114" w:type="dxa"/>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名称</w:t>
            </w:r>
          </w:p>
        </w:tc>
        <w:tc>
          <w:tcPr>
            <w:tcW w:w="840" w:type="dxa"/>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825" w:type="dxa"/>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1725" w:type="dxa"/>
          </w:tcPr>
          <w:p>
            <w:pPr>
              <w:spacing w:line="360" w:lineRule="auto"/>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限价</w:t>
            </w:r>
          </w:p>
        </w:tc>
        <w:tc>
          <w:tcPr>
            <w:tcW w:w="1508" w:type="dxa"/>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8" w:type="dxa"/>
            <w:vMerge w:val="restart"/>
            <w:vAlign w:val="center"/>
          </w:tcPr>
          <w:p>
            <w:pPr>
              <w:spacing w:line="360" w:lineRule="auto"/>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w:t>
            </w:r>
          </w:p>
        </w:tc>
        <w:tc>
          <w:tcPr>
            <w:tcW w:w="3114" w:type="dxa"/>
            <w:vAlign w:val="top"/>
          </w:tcPr>
          <w:p>
            <w:pPr>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eastAsia="zh-CN"/>
              </w:rPr>
              <w:t>种植</w:t>
            </w:r>
            <w:r>
              <w:rPr>
                <w:rFonts w:hint="eastAsia" w:ascii="宋体" w:hAnsi="宋体" w:eastAsia="宋体" w:cs="宋体"/>
                <w:kern w:val="0"/>
                <w:sz w:val="24"/>
                <w:szCs w:val="24"/>
                <w:highlight w:val="none"/>
              </w:rPr>
              <w:t>机</w:t>
            </w:r>
          </w:p>
        </w:tc>
        <w:tc>
          <w:tcPr>
            <w:tcW w:w="840" w:type="dxa"/>
            <w:vAlign w:val="top"/>
          </w:tcPr>
          <w:p>
            <w:pPr>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台</w:t>
            </w:r>
          </w:p>
        </w:tc>
        <w:tc>
          <w:tcPr>
            <w:tcW w:w="825" w:type="dxa"/>
            <w:vAlign w:val="top"/>
          </w:tcPr>
          <w:p>
            <w:pPr>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1</w:t>
            </w:r>
          </w:p>
        </w:tc>
        <w:tc>
          <w:tcPr>
            <w:tcW w:w="1725" w:type="dxa"/>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b w:val="0"/>
                <w:bCs/>
                <w:color w:val="000000"/>
                <w:kern w:val="0"/>
                <w:sz w:val="24"/>
                <w:szCs w:val="24"/>
                <w:highlight w:val="none"/>
                <w:lang w:val="en-US" w:eastAsia="zh-CN" w:bidi="ar-SA"/>
              </w:rPr>
              <w:t>9.1万</w:t>
            </w:r>
            <w:r>
              <w:rPr>
                <w:rFonts w:hint="eastAsia" w:ascii="宋体" w:hAnsi="宋体" w:cs="宋体"/>
                <w:b w:val="0"/>
                <w:bCs/>
                <w:color w:val="000000"/>
                <w:kern w:val="0"/>
                <w:sz w:val="24"/>
                <w:szCs w:val="24"/>
                <w:highlight w:val="none"/>
                <w:lang w:val="en-US" w:eastAsia="zh-CN" w:bidi="ar-SA"/>
              </w:rPr>
              <w:t>元</w:t>
            </w:r>
            <w:r>
              <w:rPr>
                <w:rFonts w:hint="eastAsia" w:ascii="宋体" w:hAnsi="宋体" w:eastAsia="宋体" w:cs="宋体"/>
                <w:b w:val="0"/>
                <w:bCs/>
                <w:color w:val="000000"/>
                <w:kern w:val="0"/>
                <w:sz w:val="24"/>
                <w:szCs w:val="24"/>
                <w:highlight w:val="none"/>
                <w:lang w:val="en-US" w:eastAsia="zh-CN" w:bidi="ar-SA"/>
              </w:rPr>
              <w:t>/台</w:t>
            </w:r>
          </w:p>
        </w:tc>
        <w:tc>
          <w:tcPr>
            <w:tcW w:w="1508" w:type="dxa"/>
          </w:tcPr>
          <w:p>
            <w:pPr>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8" w:type="dxa"/>
            <w:vMerge w:val="continue"/>
            <w:vAlign w:val="center"/>
          </w:tcPr>
          <w:p>
            <w:pPr>
              <w:spacing w:line="360" w:lineRule="auto"/>
              <w:jc w:val="center"/>
              <w:rPr>
                <w:rFonts w:hint="eastAsia" w:ascii="宋体" w:hAnsi="宋体" w:eastAsia="宋体" w:cs="宋体"/>
                <w:kern w:val="0"/>
                <w:sz w:val="24"/>
                <w:szCs w:val="24"/>
                <w:highlight w:val="none"/>
              </w:rPr>
            </w:pPr>
          </w:p>
        </w:tc>
        <w:tc>
          <w:tcPr>
            <w:tcW w:w="3114" w:type="dxa"/>
            <w:vAlign w:val="top"/>
          </w:tcPr>
          <w:p>
            <w:pPr>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b w:val="0"/>
                <w:bCs/>
                <w:color w:val="000000"/>
                <w:kern w:val="0"/>
                <w:sz w:val="24"/>
                <w:szCs w:val="24"/>
                <w:highlight w:val="none"/>
                <w:lang w:val="en-US" w:eastAsia="zh-CN" w:bidi="ar-SA"/>
              </w:rPr>
              <w:t xml:space="preserve">种植机弯手机 </w:t>
            </w:r>
          </w:p>
        </w:tc>
        <w:tc>
          <w:tcPr>
            <w:tcW w:w="840" w:type="dxa"/>
            <w:vAlign w:val="top"/>
          </w:tcPr>
          <w:p>
            <w:pPr>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eastAsia="zh-CN"/>
              </w:rPr>
              <w:t>把</w:t>
            </w:r>
          </w:p>
        </w:tc>
        <w:tc>
          <w:tcPr>
            <w:tcW w:w="825" w:type="dxa"/>
            <w:vAlign w:val="top"/>
          </w:tcPr>
          <w:p>
            <w:pPr>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rPr>
              <w:t>4</w:t>
            </w:r>
          </w:p>
        </w:tc>
        <w:tc>
          <w:tcPr>
            <w:tcW w:w="1725" w:type="dxa"/>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b w:val="0"/>
                <w:bCs/>
                <w:color w:val="000000"/>
                <w:kern w:val="0"/>
                <w:sz w:val="24"/>
                <w:szCs w:val="24"/>
                <w:highlight w:val="none"/>
                <w:lang w:val="en-US" w:eastAsia="zh-CN" w:bidi="ar-SA"/>
              </w:rPr>
              <w:t>1.8万</w:t>
            </w:r>
            <w:r>
              <w:rPr>
                <w:rFonts w:hint="eastAsia" w:ascii="宋体" w:hAnsi="宋体" w:cs="宋体"/>
                <w:b w:val="0"/>
                <w:bCs/>
                <w:color w:val="000000"/>
                <w:kern w:val="0"/>
                <w:sz w:val="24"/>
                <w:szCs w:val="24"/>
                <w:highlight w:val="none"/>
                <w:lang w:val="en-US" w:eastAsia="zh-CN" w:bidi="ar-SA"/>
              </w:rPr>
              <w:t>元</w:t>
            </w:r>
            <w:r>
              <w:rPr>
                <w:rFonts w:hint="eastAsia" w:ascii="宋体" w:hAnsi="宋体" w:eastAsia="宋体" w:cs="宋体"/>
                <w:b w:val="0"/>
                <w:bCs/>
                <w:color w:val="000000"/>
                <w:kern w:val="0"/>
                <w:sz w:val="24"/>
                <w:szCs w:val="24"/>
                <w:highlight w:val="none"/>
                <w:lang w:val="en-US" w:eastAsia="zh-CN" w:bidi="ar-SA"/>
              </w:rPr>
              <w:t>/把</w:t>
            </w:r>
          </w:p>
        </w:tc>
        <w:tc>
          <w:tcPr>
            <w:tcW w:w="1508" w:type="dxa"/>
          </w:tcPr>
          <w:p>
            <w:pPr>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8" w:type="dxa"/>
            <w:vMerge w:val="continue"/>
            <w:vAlign w:val="center"/>
          </w:tcPr>
          <w:p>
            <w:pPr>
              <w:spacing w:line="360" w:lineRule="auto"/>
              <w:jc w:val="center"/>
              <w:rPr>
                <w:rFonts w:hint="eastAsia" w:ascii="宋体" w:hAnsi="宋体" w:eastAsia="宋体" w:cs="宋体"/>
                <w:kern w:val="0"/>
                <w:sz w:val="24"/>
                <w:szCs w:val="24"/>
                <w:highlight w:val="none"/>
              </w:rPr>
            </w:pPr>
          </w:p>
        </w:tc>
        <w:tc>
          <w:tcPr>
            <w:tcW w:w="3114" w:type="dxa"/>
            <w:vAlign w:val="top"/>
          </w:tcPr>
          <w:p>
            <w:pPr>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b w:val="0"/>
                <w:bCs/>
                <w:color w:val="000000"/>
                <w:kern w:val="0"/>
                <w:sz w:val="24"/>
                <w:szCs w:val="24"/>
                <w:highlight w:val="none"/>
                <w:lang w:val="en-US" w:eastAsia="zh-CN" w:bidi="ar-SA"/>
              </w:rPr>
              <w:t>种植机直手机</w:t>
            </w:r>
          </w:p>
        </w:tc>
        <w:tc>
          <w:tcPr>
            <w:tcW w:w="840" w:type="dxa"/>
            <w:vAlign w:val="top"/>
          </w:tcPr>
          <w:p>
            <w:pPr>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eastAsia="zh-CN"/>
              </w:rPr>
              <w:t>把</w:t>
            </w:r>
          </w:p>
        </w:tc>
        <w:tc>
          <w:tcPr>
            <w:tcW w:w="825" w:type="dxa"/>
            <w:vAlign w:val="top"/>
          </w:tcPr>
          <w:p>
            <w:pPr>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rPr>
              <w:t>4</w:t>
            </w:r>
          </w:p>
        </w:tc>
        <w:tc>
          <w:tcPr>
            <w:tcW w:w="1725" w:type="dxa"/>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b w:val="0"/>
                <w:bCs/>
                <w:color w:val="000000"/>
                <w:kern w:val="0"/>
                <w:sz w:val="24"/>
                <w:szCs w:val="24"/>
                <w:highlight w:val="none"/>
                <w:lang w:val="en-US" w:eastAsia="zh-CN" w:bidi="ar-SA"/>
              </w:rPr>
              <w:t>1.55万</w:t>
            </w:r>
            <w:r>
              <w:rPr>
                <w:rFonts w:hint="eastAsia" w:ascii="宋体" w:hAnsi="宋体" w:cs="宋体"/>
                <w:b w:val="0"/>
                <w:bCs/>
                <w:color w:val="000000"/>
                <w:kern w:val="0"/>
                <w:sz w:val="24"/>
                <w:szCs w:val="24"/>
                <w:highlight w:val="none"/>
                <w:lang w:val="en-US" w:eastAsia="zh-CN" w:bidi="ar-SA"/>
              </w:rPr>
              <w:t>元</w:t>
            </w:r>
            <w:r>
              <w:rPr>
                <w:rFonts w:hint="eastAsia" w:ascii="宋体" w:hAnsi="宋体" w:eastAsia="宋体" w:cs="宋体"/>
                <w:b w:val="0"/>
                <w:bCs/>
                <w:color w:val="000000"/>
                <w:kern w:val="0"/>
                <w:sz w:val="24"/>
                <w:szCs w:val="24"/>
                <w:highlight w:val="none"/>
                <w:lang w:val="en-US" w:eastAsia="zh-CN" w:bidi="ar-SA"/>
              </w:rPr>
              <w:t>/把</w:t>
            </w:r>
          </w:p>
        </w:tc>
        <w:tc>
          <w:tcPr>
            <w:tcW w:w="1508" w:type="dxa"/>
          </w:tcPr>
          <w:p>
            <w:pPr>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8" w:type="dxa"/>
            <w:vAlign w:val="center"/>
          </w:tcPr>
          <w:p>
            <w:pPr>
              <w:spacing w:line="360" w:lineRule="auto"/>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2</w:t>
            </w:r>
          </w:p>
        </w:tc>
        <w:tc>
          <w:tcPr>
            <w:tcW w:w="3114" w:type="dxa"/>
            <w:vAlign w:val="top"/>
          </w:tcPr>
          <w:p>
            <w:pPr>
              <w:spacing w:line="360" w:lineRule="auto"/>
              <w:jc w:val="center"/>
              <w:rPr>
                <w:rFonts w:hint="eastAsia" w:ascii="宋体" w:hAnsi="宋体" w:eastAsia="宋体" w:cs="宋体"/>
                <w:b w:val="0"/>
                <w:bCs/>
                <w:color w:val="000000"/>
                <w:kern w:val="0"/>
                <w:sz w:val="24"/>
                <w:szCs w:val="24"/>
                <w:highlight w:val="none"/>
                <w:lang w:val="en-US" w:eastAsia="zh-CN" w:bidi="ar-SA"/>
              </w:rPr>
            </w:pPr>
            <w:r>
              <w:rPr>
                <w:rFonts w:hint="eastAsia" w:ascii="宋体" w:hAnsi="宋体" w:eastAsia="宋体" w:cs="宋体"/>
                <w:b w:val="0"/>
                <w:bCs/>
                <w:color w:val="000000"/>
                <w:kern w:val="0"/>
                <w:sz w:val="24"/>
                <w:szCs w:val="24"/>
                <w:highlight w:val="none"/>
                <w:lang w:val="en-US" w:eastAsia="zh-CN" w:bidi="ar-SA"/>
              </w:rPr>
              <w:t>超声骨刀机</w:t>
            </w:r>
          </w:p>
        </w:tc>
        <w:tc>
          <w:tcPr>
            <w:tcW w:w="840" w:type="dxa"/>
            <w:vAlign w:val="top"/>
          </w:tcPr>
          <w:p>
            <w:pPr>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台</w:t>
            </w:r>
          </w:p>
        </w:tc>
        <w:tc>
          <w:tcPr>
            <w:tcW w:w="825" w:type="dxa"/>
            <w:vAlign w:val="top"/>
          </w:tcPr>
          <w:p>
            <w:pPr>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1</w:t>
            </w:r>
          </w:p>
        </w:tc>
        <w:tc>
          <w:tcPr>
            <w:tcW w:w="1725" w:type="dxa"/>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b w:val="0"/>
                <w:bCs/>
                <w:color w:val="000000"/>
                <w:kern w:val="0"/>
                <w:sz w:val="24"/>
                <w:szCs w:val="24"/>
                <w:highlight w:val="none"/>
                <w:lang w:val="en-US" w:eastAsia="zh-CN" w:bidi="ar-SA"/>
              </w:rPr>
              <w:t xml:space="preserve"> 10.8万</w:t>
            </w:r>
            <w:r>
              <w:rPr>
                <w:rFonts w:hint="eastAsia" w:ascii="宋体" w:hAnsi="宋体" w:cs="宋体"/>
                <w:b w:val="0"/>
                <w:bCs/>
                <w:color w:val="000000"/>
                <w:kern w:val="0"/>
                <w:sz w:val="24"/>
                <w:szCs w:val="24"/>
                <w:highlight w:val="none"/>
                <w:lang w:val="en-US" w:eastAsia="zh-CN" w:bidi="ar-SA"/>
              </w:rPr>
              <w:t>元</w:t>
            </w:r>
            <w:r>
              <w:rPr>
                <w:rFonts w:hint="eastAsia" w:ascii="宋体" w:hAnsi="宋体" w:eastAsia="宋体" w:cs="宋体"/>
                <w:b w:val="0"/>
                <w:bCs/>
                <w:color w:val="000000"/>
                <w:kern w:val="0"/>
                <w:sz w:val="24"/>
                <w:szCs w:val="24"/>
                <w:highlight w:val="none"/>
                <w:lang w:val="en-US" w:eastAsia="zh-CN" w:bidi="ar-SA"/>
              </w:rPr>
              <w:t>/台</w:t>
            </w:r>
          </w:p>
        </w:tc>
        <w:tc>
          <w:tcPr>
            <w:tcW w:w="1508" w:type="dxa"/>
          </w:tcPr>
          <w:p>
            <w:pPr>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328" w:type="dxa"/>
            <w:vAlign w:val="center"/>
          </w:tcPr>
          <w:p>
            <w:pPr>
              <w:spacing w:line="360" w:lineRule="auto"/>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w:t>
            </w:r>
          </w:p>
        </w:tc>
        <w:tc>
          <w:tcPr>
            <w:tcW w:w="3114" w:type="dxa"/>
            <w:vAlign w:val="top"/>
          </w:tcPr>
          <w:p>
            <w:pPr>
              <w:spacing w:line="360" w:lineRule="auto"/>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计算机控制局部麻醉系统</w:t>
            </w:r>
          </w:p>
        </w:tc>
        <w:tc>
          <w:tcPr>
            <w:tcW w:w="840" w:type="dxa"/>
            <w:vAlign w:val="top"/>
          </w:tcPr>
          <w:p>
            <w:pPr>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台</w:t>
            </w:r>
          </w:p>
        </w:tc>
        <w:tc>
          <w:tcPr>
            <w:tcW w:w="825" w:type="dxa"/>
            <w:vAlign w:val="top"/>
          </w:tcPr>
          <w:p>
            <w:pPr>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1</w:t>
            </w:r>
          </w:p>
        </w:tc>
        <w:tc>
          <w:tcPr>
            <w:tcW w:w="1725" w:type="dxa"/>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b w:val="0"/>
                <w:bCs/>
                <w:color w:val="000000"/>
                <w:kern w:val="0"/>
                <w:sz w:val="24"/>
                <w:szCs w:val="24"/>
                <w:highlight w:val="none"/>
                <w:lang w:val="en-US" w:eastAsia="zh-CN" w:bidi="ar-SA"/>
              </w:rPr>
              <w:t>8.5万</w:t>
            </w:r>
            <w:r>
              <w:rPr>
                <w:rFonts w:hint="eastAsia" w:ascii="宋体" w:hAnsi="宋体" w:cs="宋体"/>
                <w:b w:val="0"/>
                <w:bCs/>
                <w:color w:val="000000"/>
                <w:kern w:val="0"/>
                <w:sz w:val="24"/>
                <w:szCs w:val="24"/>
                <w:highlight w:val="none"/>
                <w:lang w:val="en-US" w:eastAsia="zh-CN" w:bidi="ar-SA"/>
              </w:rPr>
              <w:t>元</w:t>
            </w:r>
            <w:r>
              <w:rPr>
                <w:rFonts w:hint="eastAsia" w:ascii="宋体" w:hAnsi="宋体" w:eastAsia="宋体" w:cs="宋体"/>
                <w:b w:val="0"/>
                <w:bCs/>
                <w:color w:val="000000"/>
                <w:kern w:val="0"/>
                <w:sz w:val="24"/>
                <w:szCs w:val="24"/>
                <w:highlight w:val="none"/>
                <w:lang w:val="en-US" w:eastAsia="zh-CN" w:bidi="ar-SA"/>
              </w:rPr>
              <w:t>/台</w:t>
            </w:r>
          </w:p>
        </w:tc>
        <w:tc>
          <w:tcPr>
            <w:tcW w:w="1508" w:type="dxa"/>
          </w:tcPr>
          <w:p>
            <w:pPr>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1328" w:type="dxa"/>
            <w:vAlign w:val="center"/>
          </w:tcPr>
          <w:p>
            <w:pPr>
              <w:spacing w:line="360" w:lineRule="auto"/>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4</w:t>
            </w:r>
          </w:p>
        </w:tc>
        <w:tc>
          <w:tcPr>
            <w:tcW w:w="3114" w:type="dxa"/>
            <w:vAlign w:val="top"/>
          </w:tcPr>
          <w:p>
            <w:pPr>
              <w:spacing w:line="360" w:lineRule="auto"/>
              <w:jc w:val="cente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种植体稳固度测量仪</w:t>
            </w:r>
          </w:p>
        </w:tc>
        <w:tc>
          <w:tcPr>
            <w:tcW w:w="840" w:type="dxa"/>
            <w:vAlign w:val="top"/>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台</w:t>
            </w:r>
          </w:p>
        </w:tc>
        <w:tc>
          <w:tcPr>
            <w:tcW w:w="825" w:type="dxa"/>
            <w:vAlign w:val="top"/>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725" w:type="dxa"/>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b w:val="0"/>
                <w:bCs/>
                <w:color w:val="000000"/>
                <w:kern w:val="0"/>
                <w:sz w:val="24"/>
                <w:szCs w:val="24"/>
                <w:highlight w:val="none"/>
                <w:lang w:val="en-US" w:eastAsia="zh-CN" w:bidi="ar-SA"/>
              </w:rPr>
              <w:t>5.2万</w:t>
            </w:r>
            <w:r>
              <w:rPr>
                <w:rFonts w:hint="eastAsia" w:ascii="宋体" w:hAnsi="宋体" w:cs="宋体"/>
                <w:b w:val="0"/>
                <w:bCs/>
                <w:color w:val="000000"/>
                <w:kern w:val="0"/>
                <w:sz w:val="24"/>
                <w:szCs w:val="24"/>
                <w:highlight w:val="none"/>
                <w:lang w:val="en-US" w:eastAsia="zh-CN" w:bidi="ar-SA"/>
              </w:rPr>
              <w:t>元</w:t>
            </w:r>
            <w:r>
              <w:rPr>
                <w:rFonts w:hint="eastAsia" w:ascii="宋体" w:hAnsi="宋体" w:eastAsia="宋体" w:cs="宋体"/>
                <w:b w:val="0"/>
                <w:bCs/>
                <w:color w:val="000000"/>
                <w:kern w:val="0"/>
                <w:sz w:val="24"/>
                <w:szCs w:val="24"/>
                <w:highlight w:val="none"/>
                <w:lang w:val="en-US" w:eastAsia="zh-CN" w:bidi="ar-SA"/>
              </w:rPr>
              <w:t>/台</w:t>
            </w:r>
          </w:p>
        </w:tc>
        <w:tc>
          <w:tcPr>
            <w:tcW w:w="1508" w:type="dxa"/>
          </w:tcPr>
          <w:p>
            <w:pPr>
              <w:spacing w:line="360" w:lineRule="auto"/>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jc w:val="center"/>
        </w:trPr>
        <w:tc>
          <w:tcPr>
            <w:tcW w:w="1328" w:type="dxa"/>
            <w:vAlign w:val="center"/>
          </w:tcPr>
          <w:p>
            <w:pPr>
              <w:spacing w:line="360" w:lineRule="auto"/>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5</w:t>
            </w:r>
          </w:p>
        </w:tc>
        <w:tc>
          <w:tcPr>
            <w:tcW w:w="3114" w:type="dxa"/>
            <w:vAlign w:val="center"/>
          </w:tcPr>
          <w:p>
            <w:pPr>
              <w:spacing w:line="360" w:lineRule="auto"/>
              <w:jc w:val="center"/>
              <w:rPr>
                <w:rFonts w:hint="eastAsia" w:ascii="宋体" w:hAnsi="宋体" w:eastAsia="宋体" w:cs="宋体"/>
                <w:b w:val="0"/>
                <w:bCs/>
                <w:color w:val="000000"/>
                <w:kern w:val="0"/>
                <w:sz w:val="24"/>
                <w:szCs w:val="24"/>
                <w:highlight w:val="none"/>
                <w:lang w:val="en-US" w:eastAsia="zh-CN" w:bidi="ar-SA"/>
              </w:rPr>
            </w:pPr>
            <w:r>
              <w:rPr>
                <w:rFonts w:hint="eastAsia" w:ascii="宋体" w:hAnsi="宋体" w:eastAsia="宋体" w:cs="宋体"/>
                <w:b w:val="0"/>
                <w:bCs/>
                <w:color w:val="000000"/>
                <w:kern w:val="0"/>
                <w:sz w:val="24"/>
                <w:szCs w:val="24"/>
                <w:highlight w:val="none"/>
                <w:lang w:val="en-US" w:eastAsia="zh-CN" w:bidi="ar-SA"/>
              </w:rPr>
              <w:t>口内扫描仪</w:t>
            </w:r>
          </w:p>
        </w:tc>
        <w:tc>
          <w:tcPr>
            <w:tcW w:w="840" w:type="dxa"/>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台</w:t>
            </w:r>
          </w:p>
        </w:tc>
        <w:tc>
          <w:tcPr>
            <w:tcW w:w="825" w:type="dxa"/>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725" w:type="dxa"/>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b w:val="0"/>
                <w:bCs/>
                <w:color w:val="000000"/>
                <w:kern w:val="0"/>
                <w:sz w:val="24"/>
                <w:szCs w:val="24"/>
                <w:highlight w:val="none"/>
                <w:lang w:val="en-US" w:eastAsia="zh-CN" w:bidi="ar-SA"/>
              </w:rPr>
              <w:t>23万</w:t>
            </w:r>
            <w:r>
              <w:rPr>
                <w:rFonts w:hint="eastAsia" w:ascii="宋体" w:hAnsi="宋体" w:cs="宋体"/>
                <w:b w:val="0"/>
                <w:bCs/>
                <w:color w:val="000000"/>
                <w:kern w:val="0"/>
                <w:sz w:val="24"/>
                <w:szCs w:val="24"/>
                <w:highlight w:val="none"/>
                <w:lang w:val="en-US" w:eastAsia="zh-CN" w:bidi="ar-SA"/>
              </w:rPr>
              <w:t>元</w:t>
            </w:r>
            <w:r>
              <w:rPr>
                <w:rFonts w:hint="eastAsia" w:ascii="宋体" w:hAnsi="宋体" w:eastAsia="宋体" w:cs="宋体"/>
                <w:b w:val="0"/>
                <w:bCs/>
                <w:color w:val="000000"/>
                <w:kern w:val="0"/>
                <w:sz w:val="24"/>
                <w:szCs w:val="24"/>
                <w:highlight w:val="none"/>
                <w:lang w:val="en-US" w:eastAsia="zh-CN" w:bidi="ar-SA"/>
              </w:rPr>
              <w:t>/台</w:t>
            </w:r>
          </w:p>
        </w:tc>
        <w:tc>
          <w:tcPr>
            <w:tcW w:w="1508" w:type="dxa"/>
            <w:vAlign w:val="center"/>
          </w:tcPr>
          <w:p>
            <w:pPr>
              <w:spacing w:line="360" w:lineRule="auto"/>
              <w:jc w:val="center"/>
              <w:rPr>
                <w:rFonts w:hint="eastAsia" w:ascii="宋体" w:hAnsi="宋体" w:eastAsia="宋体" w:cs="宋体"/>
                <w:kern w:val="0"/>
                <w:sz w:val="24"/>
                <w:szCs w:val="24"/>
                <w:highlight w:val="none"/>
              </w:rPr>
            </w:pPr>
            <w:r>
              <w:rPr>
                <w:rFonts w:hint="eastAsia" w:ascii="宋体" w:hAnsi="宋体" w:cs="宋体"/>
                <w:color w:val="0000FF"/>
                <w:kern w:val="0"/>
                <w:sz w:val="24"/>
                <w:szCs w:val="24"/>
                <w:highlight w:val="none"/>
                <w:lang w:eastAsia="zh-CN"/>
              </w:rPr>
              <w:t>附专用口扫推车</w:t>
            </w:r>
            <w:r>
              <w:rPr>
                <w:rFonts w:hint="eastAsia" w:ascii="宋体" w:hAnsi="宋体" w:cs="宋体"/>
                <w:color w:val="0000FF"/>
                <w:kern w:val="0"/>
                <w:sz w:val="24"/>
                <w:szCs w:val="24"/>
                <w:highlight w:val="none"/>
                <w:lang w:val="en-US" w:eastAsia="zh-CN"/>
              </w:rPr>
              <w:t>1台</w:t>
            </w:r>
          </w:p>
        </w:tc>
      </w:tr>
    </w:tbl>
    <w:p>
      <w:pPr>
        <w:rPr>
          <w:rFonts w:hint="eastAsia" w:ascii="宋体" w:hAnsi="宋体" w:eastAsia="宋体" w:cs="宋体"/>
          <w:kern w:val="2"/>
          <w:sz w:val="24"/>
          <w:szCs w:val="24"/>
          <w:highlight w:val="none"/>
          <w:lang w:val="en-US" w:eastAsia="zh-CN" w:bidi="ar-SA"/>
        </w:rPr>
      </w:pPr>
    </w:p>
    <w:p>
      <w:pPr>
        <w:numPr>
          <w:ilvl w:val="0"/>
          <w:numId w:val="4"/>
        </w:num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技术参数</w:t>
      </w:r>
    </w:p>
    <w:p>
      <w:pPr>
        <w:tabs>
          <w:tab w:val="left" w:pos="1875"/>
        </w:tabs>
        <w:spacing w:line="360" w:lineRule="auto"/>
        <w:jc w:val="left"/>
        <w:rPr>
          <w:rFonts w:hint="eastAsia" w:ascii="宋体" w:hAnsi="宋体" w:eastAsia="宋体" w:cs="宋体"/>
          <w:b/>
          <w:bCs/>
          <w:color w:val="FF0000"/>
          <w:sz w:val="24"/>
          <w:szCs w:val="24"/>
          <w:highlight w:val="none"/>
          <w:lang w:val="en-US" w:eastAsia="zh-CN"/>
        </w:rPr>
      </w:pPr>
      <w:r>
        <w:rPr>
          <w:rFonts w:hint="eastAsia" w:ascii="宋体" w:hAnsi="宋体" w:eastAsia="宋体" w:cs="宋体"/>
          <w:b/>
          <w:color w:val="000000"/>
          <w:sz w:val="24"/>
          <w:szCs w:val="24"/>
          <w:highlight w:val="none"/>
          <w:lang w:eastAsia="zh-CN"/>
        </w:rPr>
        <w:t>一、</w:t>
      </w:r>
      <w:r>
        <w:rPr>
          <w:rFonts w:hint="eastAsia" w:ascii="宋体" w:hAnsi="宋体" w:eastAsia="宋体" w:cs="宋体"/>
          <w:b/>
          <w:color w:val="000000"/>
          <w:sz w:val="24"/>
          <w:szCs w:val="24"/>
          <w:highlight w:val="none"/>
        </w:rPr>
        <w:t>种植机</w:t>
      </w:r>
      <w:r>
        <w:rPr>
          <w:rFonts w:hint="eastAsia" w:ascii="宋体" w:hAnsi="宋体" w:eastAsia="宋体" w:cs="宋体"/>
          <w:b/>
          <w:color w:val="000000"/>
          <w:sz w:val="24"/>
          <w:szCs w:val="24"/>
          <w:highlight w:val="none"/>
          <w:lang w:eastAsia="zh-CN"/>
        </w:rPr>
        <w:t>套装</w:t>
      </w:r>
      <w:r>
        <w:rPr>
          <w:rFonts w:hint="eastAsia" w:ascii="宋体" w:hAnsi="宋体" w:eastAsia="宋体" w:cs="宋体"/>
          <w:b/>
          <w:color w:val="000000"/>
          <w:sz w:val="24"/>
          <w:szCs w:val="24"/>
          <w:highlight w:val="none"/>
          <w:lang w:val="en-US" w:eastAsia="zh-CN"/>
        </w:rPr>
        <w:t>1套（</w:t>
      </w:r>
      <w:r>
        <w:rPr>
          <w:rFonts w:hint="eastAsia" w:ascii="宋体" w:hAnsi="宋体" w:eastAsia="宋体" w:cs="宋体"/>
          <w:b/>
          <w:color w:val="000000"/>
          <w:sz w:val="24"/>
          <w:szCs w:val="24"/>
          <w:highlight w:val="none"/>
        </w:rPr>
        <w:t>种植机</w:t>
      </w:r>
      <w:r>
        <w:rPr>
          <w:rFonts w:hint="eastAsia" w:ascii="宋体" w:hAnsi="宋体" w:eastAsia="宋体" w:cs="宋体"/>
          <w:b/>
          <w:color w:val="000000"/>
          <w:sz w:val="24"/>
          <w:szCs w:val="24"/>
          <w:highlight w:val="none"/>
          <w:lang w:val="en-US" w:eastAsia="zh-CN"/>
        </w:rPr>
        <w:t>1台、</w:t>
      </w:r>
      <w:r>
        <w:rPr>
          <w:rFonts w:hint="eastAsia" w:ascii="宋体" w:hAnsi="宋体" w:eastAsia="宋体" w:cs="宋体"/>
          <w:b/>
          <w:bCs/>
          <w:i w:val="0"/>
          <w:caps w:val="0"/>
          <w:color w:val="auto"/>
          <w:spacing w:val="0"/>
          <w:kern w:val="2"/>
          <w:sz w:val="24"/>
          <w:szCs w:val="24"/>
          <w:highlight w:val="none"/>
          <w:shd w:val="clear" w:color="auto" w:fill="FFFFFF"/>
          <w:lang w:val="en-US" w:eastAsia="zh-CN" w:bidi="ar-SA"/>
        </w:rPr>
        <w:t>种植机弯手机4把、种植机直手机4把</w:t>
      </w:r>
      <w:r>
        <w:rPr>
          <w:rFonts w:hint="eastAsia" w:ascii="宋体" w:hAnsi="宋体" w:eastAsia="宋体" w:cs="宋体"/>
          <w:b/>
          <w:bCs/>
          <w:color w:val="000000"/>
          <w:sz w:val="24"/>
          <w:szCs w:val="24"/>
          <w:highlight w:val="none"/>
          <w:lang w:val="en-US" w:eastAsia="zh-CN"/>
        </w:rPr>
        <w:t>）</w:t>
      </w:r>
    </w:p>
    <w:p>
      <w:pPr>
        <w:numPr>
          <w:ilvl w:val="0"/>
          <w:numId w:val="0"/>
        </w:numPr>
        <w:spacing w:line="360" w:lineRule="auto"/>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一）、主机显示屏：</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*1、高清无反光彩色玻璃触摸屏，灵敏的触摸反应，4.3英寸大屏幕显示；</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2、广角显示，良好的可读性，呈现360度最优视角；</w:t>
      </w:r>
    </w:p>
    <w:p>
      <w:pPr>
        <w:tabs>
          <w:tab w:val="left" w:pos="1875"/>
        </w:tabs>
        <w:spacing w:line="360" w:lineRule="auto"/>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二</w:t>
      </w:r>
      <w:r>
        <w:rPr>
          <w:rFonts w:hint="eastAsia" w:ascii="宋体" w:hAnsi="宋体" w:cs="宋体"/>
          <w:b w:val="0"/>
          <w:bCs/>
          <w:color w:val="000000"/>
          <w:sz w:val="24"/>
          <w:szCs w:val="24"/>
          <w:highlight w:val="none"/>
          <w:lang w:val="en-US" w:eastAsia="zh-CN"/>
        </w:rPr>
        <w:t>）</w:t>
      </w:r>
      <w:r>
        <w:rPr>
          <w:rFonts w:hint="eastAsia" w:ascii="宋体" w:hAnsi="宋体" w:eastAsia="宋体" w:cs="宋体"/>
          <w:b w:val="0"/>
          <w:bCs/>
          <w:color w:val="000000"/>
          <w:sz w:val="24"/>
          <w:szCs w:val="24"/>
          <w:highlight w:val="none"/>
          <w:lang w:val="en-US" w:eastAsia="zh-CN"/>
        </w:rPr>
        <w:t>、脚踏控制器：</w:t>
      </w:r>
    </w:p>
    <w:p>
      <w:pPr>
        <w:numPr>
          <w:ilvl w:val="0"/>
          <w:numId w:val="0"/>
        </w:numPr>
        <w:spacing w:line="360" w:lineRule="auto"/>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*1、无线脚踏设计，无线路缠绕，提供自由、舒适的手术环境；</w:t>
      </w:r>
    </w:p>
    <w:p>
      <w:pPr>
        <w:numPr>
          <w:ilvl w:val="0"/>
          <w:numId w:val="0"/>
        </w:numPr>
        <w:spacing w:line="360" w:lineRule="auto"/>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2、脚踏可拆卸，便于清洁；</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 xml:space="preserve">*3、脚踏防水等级: IPX 8 </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三）、手术程序及功能设计：</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1、直观的程序设定界面，可调节参数选项不少于6项；</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*2、可视化操作步骤，配以彩图及符号显示，使得调节更为直观便捷；</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3、灵活可编辑的使用程序，可设置</w:t>
      </w:r>
      <w:r>
        <w:rPr>
          <w:rFonts w:hint="eastAsia" w:ascii="宋体" w:hAnsi="宋体" w:eastAsia="宋体" w:cs="宋体"/>
          <w:i w:val="0"/>
          <w:caps w:val="0"/>
          <w:color w:val="auto"/>
          <w:spacing w:val="0"/>
          <w:kern w:val="2"/>
          <w:sz w:val="24"/>
          <w:szCs w:val="24"/>
          <w:highlight w:val="none"/>
          <w:shd w:val="clear" w:color="auto" w:fill="FFFFFF"/>
          <w:lang w:val="de-DE" w:eastAsia="zh-CN" w:bidi="ar-SA"/>
        </w:rPr>
        <w:t xml:space="preserve">4 </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w:t>
      </w:r>
      <w:r>
        <w:rPr>
          <w:rFonts w:hint="eastAsia" w:ascii="宋体" w:hAnsi="宋体" w:eastAsia="宋体" w:cs="宋体"/>
          <w:i w:val="0"/>
          <w:caps w:val="0"/>
          <w:color w:val="auto"/>
          <w:spacing w:val="0"/>
          <w:kern w:val="2"/>
          <w:sz w:val="24"/>
          <w:szCs w:val="24"/>
          <w:highlight w:val="none"/>
          <w:shd w:val="clear" w:color="auto" w:fill="FFFFFF"/>
          <w:lang w:val="de-DE" w:eastAsia="zh-CN" w:bidi="ar-SA"/>
        </w:rPr>
        <w:t xml:space="preserve">10 </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个项目程序，并可通过脚控进行切换；</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de-DE"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*4、</w:t>
      </w:r>
      <w:r>
        <w:rPr>
          <w:rFonts w:hint="eastAsia" w:ascii="宋体" w:hAnsi="宋体" w:eastAsia="宋体" w:cs="宋体"/>
          <w:i w:val="0"/>
          <w:caps w:val="0"/>
          <w:color w:val="auto"/>
          <w:spacing w:val="0"/>
          <w:kern w:val="2"/>
          <w:sz w:val="24"/>
          <w:szCs w:val="24"/>
          <w:highlight w:val="none"/>
          <w:shd w:val="clear" w:color="auto" w:fill="FFFFFF"/>
          <w:lang w:val="de-DE" w:eastAsia="zh-CN" w:bidi="ar-SA"/>
        </w:rPr>
        <w:t>预设口内备洞冲洗功能，一键启动，冲洗清洁一步到位；</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*5、种植机提供10 套可设定的智能手术程序，每套程序均可单独设定4-10个操作步骤，医生可根据需要进行程序预设，从而简化工作流程，提高手术效率；</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bookmarkStart w:id="20" w:name="OLE_LINK14"/>
      <w:bookmarkStart w:id="21" w:name="OLE_LINK15"/>
      <w:r>
        <w:rPr>
          <w:rFonts w:hint="eastAsia" w:ascii="宋体" w:hAnsi="宋体" w:eastAsia="宋体" w:cs="宋体"/>
          <w:i w:val="0"/>
          <w:caps w:val="0"/>
          <w:color w:val="auto"/>
          <w:spacing w:val="0"/>
          <w:kern w:val="2"/>
          <w:sz w:val="24"/>
          <w:szCs w:val="24"/>
          <w:highlight w:val="none"/>
          <w:shd w:val="clear" w:color="auto" w:fill="FFFFFF"/>
          <w:lang w:val="en-US" w:eastAsia="zh-CN" w:bidi="ar-SA"/>
        </w:rPr>
        <w:t>6、实时数据监测，以图表形式显示扭矩力度变化，精准掌控各类植体植入过程</w:t>
      </w:r>
      <w:bookmarkEnd w:id="20"/>
      <w:bookmarkEnd w:id="21"/>
      <w:r>
        <w:rPr>
          <w:rFonts w:hint="eastAsia" w:ascii="宋体" w:hAnsi="宋体" w:eastAsia="宋体" w:cs="宋体"/>
          <w:i w:val="0"/>
          <w:caps w:val="0"/>
          <w:color w:val="auto"/>
          <w:spacing w:val="0"/>
          <w:kern w:val="2"/>
          <w:sz w:val="24"/>
          <w:szCs w:val="24"/>
          <w:highlight w:val="none"/>
          <w:shd w:val="clear" w:color="auto" w:fill="FFFFFF"/>
          <w:lang w:val="en-US" w:eastAsia="zh-CN" w:bidi="ar-SA"/>
        </w:rPr>
        <w:t>；</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7、设有一键自动校准功能，确保始终安全、精准、稳定的动力输出；</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*8、内设SD卡数据存储功能，可追溯并导出手术过程参数，便于病例分析及风险管理；</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四）、种植马达及手机：</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de-DE"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w:t>
      </w:r>
      <w:r>
        <w:rPr>
          <w:rFonts w:hint="eastAsia" w:ascii="宋体" w:hAnsi="宋体" w:eastAsia="宋体" w:cs="宋体"/>
          <w:i w:val="0"/>
          <w:caps w:val="0"/>
          <w:color w:val="auto"/>
          <w:spacing w:val="0"/>
          <w:kern w:val="2"/>
          <w:sz w:val="24"/>
          <w:szCs w:val="24"/>
          <w:highlight w:val="none"/>
          <w:shd w:val="clear" w:color="auto" w:fill="FFFFFF"/>
          <w:lang w:val="de-DE" w:eastAsia="zh-CN" w:bidi="ar-SA"/>
        </w:rPr>
        <w:t>配同品牌原厂进口超轻LED马达一个及光纤弯手机</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4</w:t>
      </w:r>
      <w:r>
        <w:rPr>
          <w:rFonts w:hint="eastAsia" w:ascii="宋体" w:hAnsi="宋体" w:eastAsia="宋体" w:cs="宋体"/>
          <w:i w:val="0"/>
          <w:caps w:val="0"/>
          <w:color w:val="auto"/>
          <w:spacing w:val="0"/>
          <w:kern w:val="2"/>
          <w:sz w:val="24"/>
          <w:szCs w:val="24"/>
          <w:highlight w:val="none"/>
          <w:shd w:val="clear" w:color="auto" w:fill="FFFFFF"/>
          <w:lang w:val="de-DE" w:eastAsia="zh-CN" w:bidi="ar-SA"/>
        </w:rPr>
        <w:t>把，光纤直手机</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4</w:t>
      </w:r>
      <w:r>
        <w:rPr>
          <w:rFonts w:hint="eastAsia" w:ascii="宋体" w:hAnsi="宋体" w:eastAsia="宋体" w:cs="宋体"/>
          <w:i w:val="0"/>
          <w:caps w:val="0"/>
          <w:color w:val="auto"/>
          <w:spacing w:val="0"/>
          <w:kern w:val="2"/>
          <w:sz w:val="24"/>
          <w:szCs w:val="24"/>
          <w:highlight w:val="none"/>
          <w:shd w:val="clear" w:color="auto" w:fill="FFFFFF"/>
          <w:lang w:val="de-DE" w:eastAsia="zh-CN" w:bidi="ar-SA"/>
        </w:rPr>
        <w:t>把；</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de-DE" w:eastAsia="zh-CN" w:bidi="ar-SA"/>
        </w:rPr>
        <w:t>2、</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LED马达最大扭矩：5.5Ncm；</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3、专利的SMARTdrive技术，确保开机低速时也能在低振动下迅速达到高扭矩；</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4、</w:t>
      </w:r>
      <w:r>
        <w:rPr>
          <w:rFonts w:hint="eastAsia" w:ascii="宋体" w:hAnsi="宋体" w:eastAsia="宋体" w:cs="宋体"/>
          <w:i w:val="0"/>
          <w:caps w:val="0"/>
          <w:color w:val="auto"/>
          <w:spacing w:val="0"/>
          <w:kern w:val="2"/>
          <w:sz w:val="24"/>
          <w:szCs w:val="24"/>
          <w:highlight w:val="none"/>
          <w:shd w:val="clear" w:color="auto" w:fill="FFFFFF"/>
          <w:lang w:val="de-DE" w:eastAsia="zh-CN" w:bidi="ar-SA"/>
        </w:rPr>
        <w:t>光纤弯手机传速比：</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20 : 1；</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de-DE" w:eastAsia="zh-CN" w:bidi="ar-SA"/>
        </w:rPr>
      </w:pPr>
      <w:r>
        <w:rPr>
          <w:rFonts w:hint="eastAsia" w:ascii="宋体" w:hAnsi="宋体" w:eastAsia="宋体" w:cs="宋体"/>
          <w:i w:val="0"/>
          <w:caps w:val="0"/>
          <w:color w:val="auto"/>
          <w:spacing w:val="0"/>
          <w:kern w:val="2"/>
          <w:sz w:val="24"/>
          <w:szCs w:val="24"/>
          <w:highlight w:val="none"/>
          <w:shd w:val="clear" w:color="auto" w:fill="FFFFFF"/>
          <w:lang w:val="de-DE" w:eastAsia="zh-CN" w:bidi="ar-SA"/>
        </w:rPr>
        <w:t>5、光纤弯手机转速范围：15 - 2000rpm；</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de-DE" w:eastAsia="zh-CN" w:bidi="ar-SA"/>
        </w:rPr>
      </w:pPr>
      <w:r>
        <w:rPr>
          <w:rFonts w:hint="eastAsia" w:ascii="宋体" w:hAnsi="宋体" w:eastAsia="宋体" w:cs="宋体"/>
          <w:i w:val="0"/>
          <w:caps w:val="0"/>
          <w:color w:val="auto"/>
          <w:spacing w:val="0"/>
          <w:kern w:val="2"/>
          <w:sz w:val="24"/>
          <w:szCs w:val="24"/>
          <w:highlight w:val="none"/>
          <w:shd w:val="clear" w:color="auto" w:fill="FFFFFF"/>
          <w:lang w:val="de-DE" w:eastAsia="zh-CN" w:bidi="ar-SA"/>
        </w:rPr>
        <w:t>6、</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机头采用六角夹紧设计，提供稳固的夹持力，延长器材使用寿命；</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五）、清洁设计：</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1、分段式种植手机组件，马达与连接尾管可拆卸，种植手机机身与机头可拆卸，使得清洁保养更为彻底</w:t>
      </w:r>
      <w:r>
        <w:rPr>
          <w:rFonts w:hint="eastAsia" w:ascii="宋体" w:hAnsi="宋体" w:eastAsia="宋体" w:cs="宋体"/>
          <w:i w:val="0"/>
          <w:caps w:val="0"/>
          <w:color w:val="auto"/>
          <w:spacing w:val="0"/>
          <w:kern w:val="2"/>
          <w:sz w:val="24"/>
          <w:szCs w:val="24"/>
          <w:highlight w:val="none"/>
          <w:shd w:val="clear" w:color="auto" w:fill="FFFFFF"/>
          <w:lang w:val="de-DE" w:eastAsia="zh-CN" w:bidi="ar-SA"/>
        </w:rPr>
        <w:t>；</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2、光滑易清洁的主机表面，可拆卸清洗的脚踏，马达和管线可高温高压消毒；</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六）、其他：</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1、泵输送量：30-110 ml/min；</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de-DE"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2、</w:t>
      </w:r>
      <w:r>
        <w:rPr>
          <w:rFonts w:hint="eastAsia" w:ascii="宋体" w:hAnsi="宋体" w:eastAsia="宋体" w:cs="宋体"/>
          <w:i w:val="0"/>
          <w:caps w:val="0"/>
          <w:color w:val="auto"/>
          <w:spacing w:val="0"/>
          <w:kern w:val="2"/>
          <w:sz w:val="24"/>
          <w:szCs w:val="24"/>
          <w:highlight w:val="none"/>
          <w:shd w:val="clear" w:color="auto" w:fill="FFFFFF"/>
          <w:lang w:val="de-DE" w:eastAsia="zh-CN" w:bidi="ar-SA"/>
        </w:rPr>
        <w:t>输入电压：100-240 V；</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de-DE"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3、</w:t>
      </w:r>
      <w:r>
        <w:rPr>
          <w:rFonts w:hint="eastAsia" w:ascii="宋体" w:hAnsi="宋体" w:eastAsia="宋体" w:cs="宋体"/>
          <w:i w:val="0"/>
          <w:caps w:val="0"/>
          <w:color w:val="auto"/>
          <w:spacing w:val="0"/>
          <w:kern w:val="2"/>
          <w:sz w:val="24"/>
          <w:szCs w:val="24"/>
          <w:highlight w:val="none"/>
          <w:shd w:val="clear" w:color="auto" w:fill="FFFFFF"/>
          <w:lang w:val="de-DE" w:eastAsia="zh-CN" w:bidi="ar-SA"/>
        </w:rPr>
        <w:t>输入频率：50-60 Hz；</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de-DE"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 xml:space="preserve">4、无线脚踏起动器：防护等级IPX8 </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 xml:space="preserve">5、无线脚踏起动器：发射功率最大 3 dBm </w:t>
      </w:r>
    </w:p>
    <w:p>
      <w:pPr>
        <w:numPr>
          <w:ilvl w:val="0"/>
          <w:numId w:val="0"/>
        </w:numPr>
        <w:spacing w:line="360" w:lineRule="auto"/>
        <w:rPr>
          <w:rFonts w:hint="eastAsia" w:ascii="宋体" w:hAnsi="宋体" w:eastAsia="宋体" w:cs="宋体"/>
          <w:b/>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bCs/>
          <w:i w:val="0"/>
          <w:caps w:val="0"/>
          <w:color w:val="auto"/>
          <w:spacing w:val="0"/>
          <w:kern w:val="2"/>
          <w:sz w:val="24"/>
          <w:szCs w:val="24"/>
          <w:highlight w:val="none"/>
          <w:shd w:val="clear" w:color="auto" w:fill="FFFFFF"/>
          <w:lang w:val="en-US" w:eastAsia="zh-CN" w:bidi="ar-SA"/>
        </w:rPr>
        <w:t>二、超声骨刀机1台</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超声骨刀的功能：基于超声频率的技术，进行高度精确的骨切除术，并对切口深度和长度进行恒定的控制，超声骨刀的微米级运动，对粘膜、神经、血管有保护作用，在骨的切割过程减少出血和产热。超声骨刀可以根据临床治疗项目和配备的超声骨刀工作尖种类来实现更多临床应用。预期用途：适用于牙科修复手术、牙体牙髓手术与口腔外科手术</w:t>
      </w:r>
    </w:p>
    <w:p>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2、是否家庭使用：不能家庭使用</w:t>
      </w:r>
    </w:p>
    <w:p>
      <w:pPr>
        <w:pStyle w:val="2"/>
        <w:numPr>
          <w:ilvl w:val="0"/>
          <w:numId w:val="0"/>
        </w:numPr>
        <w:spacing w:line="360" w:lineRule="auto"/>
        <w:ind w:leftChars="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3、工作时接触人体的部位：工作尖</w:t>
      </w:r>
    </w:p>
    <w:p>
      <w:pPr>
        <w:numPr>
          <w:ilvl w:val="0"/>
          <w:numId w:val="0"/>
        </w:numPr>
        <w:spacing w:line="360" w:lineRule="auto"/>
        <w:ind w:leftChars="0"/>
        <w:rPr>
          <w:rFonts w:hint="eastAsia" w:ascii="宋体" w:hAnsi="宋体" w:eastAsia="宋体" w:cs="宋体"/>
          <w:sz w:val="24"/>
          <w:szCs w:val="24"/>
          <w:highlight w:val="none"/>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4、接触人体的材质：工作尖材质：不锈钢</w:t>
      </w:r>
    </w:p>
    <w:p>
      <w:pPr>
        <w:pStyle w:val="2"/>
        <w:numPr>
          <w:ilvl w:val="0"/>
          <w:numId w:val="0"/>
        </w:numPr>
        <w:spacing w:line="360" w:lineRule="auto"/>
        <w:ind w:leftChars="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5、工作原理：通过压电式转换器产生和超声振动</w:t>
      </w:r>
    </w:p>
    <w:p>
      <w:pPr>
        <w:numPr>
          <w:ilvl w:val="0"/>
          <w:numId w:val="0"/>
        </w:numPr>
        <w:spacing w:line="360" w:lineRule="auto"/>
        <w:ind w:leftChars="0"/>
        <w:rPr>
          <w:rFonts w:hint="eastAsia" w:ascii="宋体" w:hAnsi="宋体" w:eastAsia="宋体" w:cs="宋体"/>
          <w:sz w:val="24"/>
          <w:szCs w:val="24"/>
          <w:highlight w:val="none"/>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 xml:space="preserve">6、结构及组成：由主机、手柄（包括马达及电缆）、脚踏控制器、切削工具组成（薄的骨截骨刀（扁平尾巴），型号SB P0500；扁平的燕尾、凹形的三刃缘切割刀，型号 SB P0600）组成；不包含冲洗管路。 </w:t>
      </w:r>
    </w:p>
    <w:p>
      <w:pPr>
        <w:pStyle w:val="2"/>
        <w:numPr>
          <w:ilvl w:val="0"/>
          <w:numId w:val="0"/>
        </w:numPr>
        <w:spacing w:line="360" w:lineRule="auto"/>
        <w:ind w:leftChars="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7、产品性能符合的国家标准：YY/T 1601-2018超声骨组织手术设备</w:t>
      </w:r>
    </w:p>
    <w:p>
      <w:pPr>
        <w:numPr>
          <w:ilvl w:val="0"/>
          <w:numId w:val="0"/>
        </w:numPr>
        <w:spacing w:line="360" w:lineRule="auto"/>
        <w:ind w:leftChars="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*8、额定功率：170W</w:t>
      </w:r>
    </w:p>
    <w:p>
      <w:pPr>
        <w:pStyle w:val="2"/>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*9、实际输出功率：50W</w:t>
      </w:r>
    </w:p>
    <w:p>
      <w:pPr>
        <w:numPr>
          <w:ilvl w:val="0"/>
          <w:numId w:val="5"/>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工作振幅：40-200微米</w:t>
      </w:r>
    </w:p>
    <w:p>
      <w:pPr>
        <w:numPr>
          <w:ilvl w:val="0"/>
          <w:numId w:val="0"/>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11、功率参数调节：0W-50W无极调节</w:t>
      </w:r>
    </w:p>
    <w:p>
      <w:pPr>
        <w:numPr>
          <w:ilvl w:val="0"/>
          <w:numId w:val="0"/>
        </w:numPr>
        <w:spacing w:line="360" w:lineRule="auto"/>
        <w:ind w:leftChars="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12、工作频率：20kHz～32kHz</w:t>
      </w:r>
    </w:p>
    <w:p>
      <w:pPr>
        <w:pStyle w:val="2"/>
        <w:numPr>
          <w:ilvl w:val="0"/>
          <w:numId w:val="0"/>
        </w:numPr>
        <w:spacing w:line="360" w:lineRule="auto"/>
        <w:ind w:leftChars="0"/>
        <w:rPr>
          <w:rFonts w:hint="eastAsia" w:ascii="宋体" w:hAnsi="宋体" w:eastAsia="宋体" w:cs="宋体"/>
          <w:sz w:val="24"/>
          <w:szCs w:val="24"/>
          <w:highlight w:val="none"/>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13、振动频率调节：10级调节</w:t>
      </w:r>
    </w:p>
    <w:p>
      <w:pPr>
        <w:numPr>
          <w:ilvl w:val="0"/>
          <w:numId w:val="0"/>
        </w:numPr>
        <w:spacing w:line="360" w:lineRule="auto"/>
        <w:ind w:leftChars="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14、控制开关：气动脚踏</w:t>
      </w:r>
    </w:p>
    <w:p>
      <w:pPr>
        <w:pStyle w:val="2"/>
        <w:numPr>
          <w:ilvl w:val="0"/>
          <w:numId w:val="0"/>
        </w:numPr>
        <w:spacing w:line="360" w:lineRule="auto"/>
        <w:ind w:leftChars="0"/>
        <w:rPr>
          <w:rFonts w:hint="eastAsia" w:ascii="宋体" w:hAnsi="宋体" w:eastAsia="宋体" w:cs="宋体"/>
          <w:sz w:val="24"/>
          <w:szCs w:val="24"/>
          <w:highlight w:val="none"/>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15、自行程序编制：微电脑控制可自行编制工作程序：10个可设置参数程序</w:t>
      </w:r>
    </w:p>
    <w:p>
      <w:pPr>
        <w:numPr>
          <w:ilvl w:val="0"/>
          <w:numId w:val="0"/>
        </w:numPr>
        <w:spacing w:line="360" w:lineRule="auto"/>
        <w:ind w:leftChars="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16、预设测试：有</w:t>
      </w:r>
    </w:p>
    <w:p>
      <w:pPr>
        <w:pStyle w:val="2"/>
        <w:numPr>
          <w:ilvl w:val="0"/>
          <w:numId w:val="0"/>
        </w:numPr>
        <w:spacing w:line="360" w:lineRule="auto"/>
        <w:ind w:leftChars="0"/>
        <w:rPr>
          <w:rFonts w:hint="eastAsia" w:ascii="宋体" w:hAnsi="宋体" w:eastAsia="宋体" w:cs="宋体"/>
          <w:sz w:val="24"/>
          <w:szCs w:val="24"/>
          <w:highlight w:val="none"/>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17、内置压电数量：6片压电陶瓷发生器：陶瓷片直径：13.3mm</w:t>
      </w:r>
    </w:p>
    <w:p>
      <w:pPr>
        <w:numPr>
          <w:ilvl w:val="0"/>
          <w:numId w:val="0"/>
        </w:numPr>
        <w:spacing w:line="360" w:lineRule="auto"/>
        <w:ind w:leftChars="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18、清洁/灭菌：手柄与电缆、切割工具头、生理盐水袋支撑杆（水蒸气或化学灭菌，灭菌时间：最小121℃ 40min 推荐；最大134℃ 20min 2bar）</w:t>
      </w:r>
    </w:p>
    <w:p>
      <w:pPr>
        <w:pStyle w:val="2"/>
        <w:numPr>
          <w:ilvl w:val="0"/>
          <w:numId w:val="0"/>
        </w:numPr>
        <w:spacing w:line="360" w:lineRule="auto"/>
        <w:ind w:leftChars="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19、冷却冲洗系统：4℃灭菌的蒸馏水或生理盐水</w:t>
      </w:r>
    </w:p>
    <w:p>
      <w:pPr>
        <w:pStyle w:val="2"/>
        <w:numPr>
          <w:ilvl w:val="0"/>
          <w:numId w:val="0"/>
        </w:numPr>
        <w:spacing w:line="360" w:lineRule="auto"/>
        <w:ind w:leftChars="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20、根据仪器型防触电危险设备外供电源类型：I类</w:t>
      </w:r>
    </w:p>
    <w:p>
      <w:pPr>
        <w:pStyle w:val="2"/>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21、电源：230Vca+/-10%  50/60Hz 170VA</w:t>
      </w:r>
    </w:p>
    <w:p>
      <w:pPr>
        <w:numPr>
          <w:ilvl w:val="0"/>
          <w:numId w:val="0"/>
        </w:numPr>
        <w:spacing w:line="360" w:lineRule="auto"/>
        <w:ind w:leftChars="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22、根据仪器避免直接与间接触摸等级：B型应用部分</w:t>
      </w:r>
    </w:p>
    <w:p>
      <w:pPr>
        <w:pStyle w:val="2"/>
        <w:numPr>
          <w:ilvl w:val="0"/>
          <w:numId w:val="0"/>
        </w:numPr>
        <w:spacing w:line="360" w:lineRule="auto"/>
        <w:ind w:leftChars="0"/>
        <w:rPr>
          <w:rFonts w:hint="eastAsia" w:ascii="宋体" w:hAnsi="宋体" w:eastAsia="宋体" w:cs="宋体"/>
          <w:sz w:val="24"/>
          <w:szCs w:val="24"/>
          <w:highlight w:val="none"/>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23、手柄变压器功率/频率：可通过相应的按扭增加或减少参数的数值</w:t>
      </w:r>
    </w:p>
    <w:p>
      <w:p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24、冷却水流量百分比：可通过相应的按扭增加或减少参数的数值</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配置清单：整机（带蠕动泵 ）1台；手柄1个、手柄支架1个、扭力扳手1个、气动脚踏1个、金属消毒盒1个、工作尖放置盒1个（赠送6个工作尖）、灭菌水管2套、冲水支撑杆1个；</w:t>
      </w:r>
    </w:p>
    <w:p>
      <w:pPr>
        <w:numPr>
          <w:ilvl w:val="0"/>
          <w:numId w:val="0"/>
        </w:numPr>
        <w:spacing w:line="360" w:lineRule="auto"/>
        <w:rPr>
          <w:rFonts w:hint="eastAsia" w:ascii="宋体" w:hAnsi="宋体" w:eastAsia="宋体" w:cs="宋体"/>
          <w:b/>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bCs/>
          <w:i w:val="0"/>
          <w:caps w:val="0"/>
          <w:color w:val="auto"/>
          <w:spacing w:val="0"/>
          <w:kern w:val="2"/>
          <w:sz w:val="24"/>
          <w:szCs w:val="24"/>
          <w:highlight w:val="none"/>
          <w:shd w:val="clear" w:color="auto" w:fill="FFFFFF"/>
          <w:lang w:val="en-US" w:eastAsia="zh-CN" w:bidi="ar-SA"/>
        </w:rPr>
        <w:t>三、计算机控制局部麻醉系统1台</w:t>
      </w:r>
    </w:p>
    <w:p>
      <w:pPr>
        <w:pStyle w:val="2"/>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1、具有自动排气功能</w:t>
      </w:r>
    </w:p>
    <w:p>
      <w:p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2、具有自动回吸功能</w:t>
      </w:r>
    </w:p>
    <w:p>
      <w:pPr>
        <w:pStyle w:val="2"/>
        <w:spacing w:line="360" w:lineRule="auto"/>
        <w:rPr>
          <w:rFonts w:hint="eastAsia" w:ascii="宋体" w:hAnsi="宋体" w:eastAsia="宋体" w:cs="宋体"/>
          <w:sz w:val="24"/>
          <w:szCs w:val="24"/>
          <w:highlight w:val="none"/>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3、具有动态压力传感技术，实时反馈注射压力（PDL）</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sz w:val="24"/>
          <w:szCs w:val="24"/>
          <w:highlight w:val="none"/>
          <w:lang w:val="en-US" w:eastAsia="zh-CN"/>
        </w:rPr>
        <w:t>4、</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采用三种给药模式和速度：STA模式（一种速度）缓速：0.3ml/min</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正常模式（两种速度）缓速：0.3ml/min；快速1.7ml/min</w:t>
      </w:r>
    </w:p>
    <w:p>
      <w:pPr>
        <w:pStyle w:val="2"/>
        <w:spacing w:line="360" w:lineRule="auto"/>
        <w:rPr>
          <w:rFonts w:hint="eastAsia" w:ascii="宋体" w:hAnsi="宋体" w:eastAsia="宋体" w:cs="宋体"/>
          <w:sz w:val="24"/>
          <w:szCs w:val="24"/>
          <w:highlight w:val="none"/>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涡轮模式（三种速度）缓速：0.3ml/min；快速1.7ml/min；超快速3.5ml/min</w:t>
      </w:r>
    </w:p>
    <w:p>
      <w:pPr>
        <w:pStyle w:val="2"/>
        <w:numPr>
          <w:ilvl w:val="0"/>
          <w:numId w:val="6"/>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缓速时具备自动巡航功能，可实现自动给药</w:t>
      </w:r>
    </w:p>
    <w:p>
      <w:pPr>
        <w:widowControl w:val="0"/>
        <w:numPr>
          <w:ilvl w:val="0"/>
          <w:numId w:val="6"/>
        </w:numPr>
        <w:spacing w:line="360" w:lineRule="auto"/>
        <w:ind w:left="0" w:leftChars="0" w:firstLine="0" w:firstLineChars="0"/>
        <w:jc w:val="both"/>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具有自动保护装置，当注射压力过大时，可自动停止注射</w:t>
      </w:r>
    </w:p>
    <w:p>
      <w:pPr>
        <w:pStyle w:val="2"/>
        <w:numPr>
          <w:ilvl w:val="0"/>
          <w:numId w:val="6"/>
        </w:numPr>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具有脚踏控制给药功能</w:t>
      </w:r>
    </w:p>
    <w:p>
      <w:pPr>
        <w:numPr>
          <w:ilvl w:val="0"/>
          <w:numId w:val="0"/>
        </w:numPr>
        <w:spacing w:line="360" w:lineRule="auto"/>
        <w:rPr>
          <w:rFonts w:hint="eastAsia" w:ascii="宋体" w:hAnsi="宋体" w:eastAsia="宋体" w:cs="宋体"/>
          <w:b/>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bCs/>
          <w:i w:val="0"/>
          <w:caps w:val="0"/>
          <w:color w:val="auto"/>
          <w:spacing w:val="0"/>
          <w:kern w:val="2"/>
          <w:sz w:val="24"/>
          <w:szCs w:val="24"/>
          <w:highlight w:val="none"/>
          <w:shd w:val="clear" w:color="auto" w:fill="FFFFFF"/>
          <w:lang w:val="en-US" w:eastAsia="zh-CN" w:bidi="ar-SA"/>
        </w:rPr>
        <w:t>四、种植体稳固度测量仪1台</w:t>
      </w:r>
    </w:p>
    <w:p>
      <w:pPr>
        <w:pStyle w:val="2"/>
        <w:numPr>
          <w:ilvl w:val="0"/>
          <w:numId w:val="7"/>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工作条件：环境温度+10℃至+40℃；相对湿度30%~75%；压力700hPa~1060hPa</w:t>
      </w:r>
    </w:p>
    <w:p>
      <w:pPr>
        <w:numPr>
          <w:ilvl w:val="0"/>
          <w:numId w:val="7"/>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IP等级：IP20</w:t>
      </w:r>
    </w:p>
    <w:p>
      <w:pPr>
        <w:pStyle w:val="2"/>
        <w:numPr>
          <w:ilvl w:val="0"/>
          <w:numId w:val="7"/>
        </w:numPr>
        <w:spacing w:line="360" w:lineRule="auto"/>
        <w:ind w:left="0" w:leftChars="0" w:firstLine="0" w:firstLineChars="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额定功率：5VA，Type FW 7660M/05</w:t>
      </w:r>
    </w:p>
    <w:p>
      <w:pPr>
        <w:numPr>
          <w:ilvl w:val="0"/>
          <w:numId w:val="7"/>
        </w:numPr>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用途：用于口腔及颅内区域测量种植体的稳定性。</w:t>
      </w:r>
    </w:p>
    <w:p>
      <w:pPr>
        <w:pStyle w:val="2"/>
        <w:numPr>
          <w:ilvl w:val="0"/>
          <w:numId w:val="7"/>
        </w:numPr>
        <w:spacing w:line="360" w:lineRule="auto"/>
        <w:ind w:left="0" w:leftChars="0" w:firstLine="0" w:firstLineChars="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工作方式：使用非侵入式技术，传感器部件可连接到种植体或者基台上，接受探头的磁脉冲刺激，产生共振频率。</w:t>
      </w:r>
    </w:p>
    <w:p>
      <w:pPr>
        <w:numPr>
          <w:ilvl w:val="0"/>
          <w:numId w:val="7"/>
        </w:numPr>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结果显示：共振频率的结果转换成1~100的数值显示在测量仪屏幕上。</w:t>
      </w:r>
    </w:p>
    <w:p>
      <w:pPr>
        <w:pStyle w:val="2"/>
        <w:numPr>
          <w:ilvl w:val="0"/>
          <w:numId w:val="7"/>
        </w:numPr>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准确度：一个单独传感器的ISQ准确度在±0.5 ISQ单位。在不同的传感器之间，包含附属扭矩的变异和个体变异，其准确度在±2 ISQ单位。</w:t>
      </w:r>
    </w:p>
    <w:p>
      <w:pPr>
        <w:numPr>
          <w:ilvl w:val="0"/>
          <w:numId w:val="7"/>
        </w:numPr>
        <w:spacing w:line="360" w:lineRule="auto"/>
        <w:ind w:left="0" w:leftChars="0" w:firstLine="0" w:firstLineChars="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功能键：数据显示，清除，关闭，存储模式，日期，时间，蜂鸣音量(调节蜂鸣声音大小)，关机时间(设置自动关机前的静止时间)，对比度，退出菜单，语言，主机控制，磁脉冲。</w:t>
      </w:r>
    </w:p>
    <w:p>
      <w:pPr>
        <w:pStyle w:val="2"/>
        <w:numPr>
          <w:ilvl w:val="0"/>
          <w:numId w:val="7"/>
        </w:numPr>
        <w:spacing w:line="360" w:lineRule="auto"/>
        <w:ind w:left="0" w:leftChars="0" w:firstLine="0" w:firstLineChars="0"/>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PC安装：USB连接口：当设备连接到PC端时，可以升级设备的软件以及将下载测量数据传输到电脑上。</w:t>
      </w:r>
    </w:p>
    <w:p>
      <w:pPr>
        <w:numPr>
          <w:ilvl w:val="0"/>
          <w:numId w:val="0"/>
        </w:numPr>
        <w:spacing w:line="360" w:lineRule="auto"/>
        <w:rPr>
          <w:rFonts w:hint="eastAsia" w:ascii="宋体" w:hAnsi="宋体" w:eastAsia="宋体" w:cs="宋体"/>
          <w:b/>
          <w:bCs/>
          <w:i w:val="0"/>
          <w:caps w:val="0"/>
          <w:color w:val="auto"/>
          <w:spacing w:val="0"/>
          <w:kern w:val="2"/>
          <w:sz w:val="24"/>
          <w:szCs w:val="24"/>
          <w:highlight w:val="none"/>
          <w:shd w:val="clear" w:color="auto" w:fill="FFFFFF"/>
          <w:lang w:val="en-US" w:eastAsia="zh-CN" w:bidi="ar-SA"/>
        </w:rPr>
      </w:pPr>
      <w:r>
        <w:rPr>
          <w:rFonts w:hint="eastAsia" w:ascii="宋体" w:hAnsi="宋体" w:eastAsia="宋体" w:cs="宋体"/>
          <w:b/>
          <w:bCs/>
          <w:i w:val="0"/>
          <w:caps w:val="0"/>
          <w:color w:val="auto"/>
          <w:spacing w:val="0"/>
          <w:kern w:val="2"/>
          <w:sz w:val="24"/>
          <w:szCs w:val="24"/>
          <w:highlight w:val="none"/>
          <w:shd w:val="clear" w:color="auto" w:fill="FFFFFF"/>
          <w:lang w:val="en-US" w:eastAsia="zh-CN" w:bidi="ar-SA"/>
        </w:rPr>
        <w:t>五、口内扫描仪1台</w:t>
      </w:r>
      <w:r>
        <w:rPr>
          <w:rFonts w:hint="eastAsia" w:ascii="宋体" w:hAnsi="宋体" w:cs="宋体"/>
          <w:b/>
          <w:bCs/>
          <w:i w:val="0"/>
          <w:caps w:val="0"/>
          <w:color w:val="auto"/>
          <w:spacing w:val="0"/>
          <w:kern w:val="2"/>
          <w:sz w:val="24"/>
          <w:szCs w:val="24"/>
          <w:highlight w:val="none"/>
          <w:shd w:val="clear" w:color="auto" w:fill="FFFFFF"/>
          <w:lang w:val="en-US" w:eastAsia="zh-CN" w:bidi="ar-SA"/>
        </w:rPr>
        <w:t>（附专用口扫推车1台）</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Hans" w:bidi="ar-SA"/>
        </w:rPr>
      </w:pPr>
      <w:r>
        <w:rPr>
          <w:rFonts w:hint="eastAsia" w:ascii="宋体" w:hAnsi="宋体" w:eastAsia="宋体" w:cs="宋体"/>
          <w:i w:val="0"/>
          <w:caps w:val="0"/>
          <w:color w:val="auto"/>
          <w:spacing w:val="0"/>
          <w:kern w:val="2"/>
          <w:sz w:val="24"/>
          <w:szCs w:val="24"/>
          <w:highlight w:val="none"/>
          <w:shd w:val="clear" w:color="auto" w:fill="FFFFFF"/>
          <w:lang w:val="en-US" w:eastAsia="zh-Hans" w:bidi="ar-SA"/>
        </w:rPr>
        <w:t>1</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w:t>
      </w:r>
      <w:r>
        <w:rPr>
          <w:rFonts w:hint="eastAsia" w:ascii="宋体" w:hAnsi="宋体" w:eastAsia="宋体" w:cs="宋体"/>
          <w:i w:val="0"/>
          <w:caps w:val="0"/>
          <w:color w:val="auto"/>
          <w:spacing w:val="0"/>
          <w:kern w:val="2"/>
          <w:sz w:val="24"/>
          <w:szCs w:val="24"/>
          <w:highlight w:val="none"/>
          <w:shd w:val="clear" w:color="auto" w:fill="FFFFFF"/>
          <w:lang w:val="en-US" w:eastAsia="zh-Hans" w:bidi="ar-SA"/>
        </w:rPr>
        <w:t>扫描精度&lt;10微米。</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Hans" w:bidi="ar-SA"/>
        </w:rPr>
      </w:pPr>
      <w:r>
        <w:rPr>
          <w:rFonts w:hint="eastAsia" w:ascii="宋体" w:hAnsi="宋体" w:eastAsia="宋体" w:cs="宋体"/>
          <w:i w:val="0"/>
          <w:caps w:val="0"/>
          <w:color w:val="auto"/>
          <w:spacing w:val="0"/>
          <w:kern w:val="2"/>
          <w:sz w:val="24"/>
          <w:szCs w:val="24"/>
          <w:highlight w:val="none"/>
          <w:shd w:val="clear" w:color="auto" w:fill="FFFFFF"/>
          <w:lang w:val="en-US" w:eastAsia="zh-Hans" w:bidi="ar-SA"/>
        </w:rPr>
        <w:t>2</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w:t>
      </w:r>
      <w:r>
        <w:rPr>
          <w:rFonts w:hint="eastAsia" w:ascii="宋体" w:hAnsi="宋体" w:eastAsia="宋体" w:cs="宋体"/>
          <w:i w:val="0"/>
          <w:caps w:val="0"/>
          <w:color w:val="auto"/>
          <w:spacing w:val="0"/>
          <w:kern w:val="2"/>
          <w:sz w:val="24"/>
          <w:szCs w:val="24"/>
          <w:highlight w:val="none"/>
          <w:shd w:val="clear" w:color="auto" w:fill="FFFFFF"/>
          <w:lang w:val="en-US" w:eastAsia="zh-Hans" w:bidi="ar-SA"/>
        </w:rPr>
        <w:t>引入智能引导系统, 指引用户快捷扫描，减少学习成本。扫描过程中可随时更换扫描头。</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Hans" w:bidi="ar-SA"/>
        </w:rPr>
        <w:t>3</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w:t>
      </w:r>
      <w:r>
        <w:rPr>
          <w:rFonts w:hint="eastAsia" w:ascii="宋体" w:hAnsi="宋体" w:eastAsia="宋体" w:cs="宋体"/>
          <w:i w:val="0"/>
          <w:caps w:val="0"/>
          <w:color w:val="auto"/>
          <w:spacing w:val="0"/>
          <w:kern w:val="2"/>
          <w:sz w:val="24"/>
          <w:szCs w:val="24"/>
          <w:highlight w:val="none"/>
          <w:shd w:val="clear" w:color="auto" w:fill="FFFFFF"/>
          <w:lang w:val="en-US" w:eastAsia="zh-Hans" w:bidi="ar-SA"/>
        </w:rPr>
        <w:t>扫描软件带有数据编辑功能，含有自动识别软组织杂数据并不显示功能，</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自动剔除颊舌侧等不需要的数据，并可自动填补扫描的空洞，实现后台无缝实时优化及高精度全颌后处理及优化。</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Hans" w:bidi="ar-SA"/>
        </w:rPr>
      </w:pPr>
      <w:r>
        <w:rPr>
          <w:rFonts w:hint="eastAsia" w:ascii="宋体" w:hAnsi="宋体" w:eastAsia="宋体" w:cs="宋体"/>
          <w:i w:val="0"/>
          <w:caps w:val="0"/>
          <w:color w:val="auto"/>
          <w:spacing w:val="0"/>
          <w:kern w:val="2"/>
          <w:sz w:val="24"/>
          <w:szCs w:val="24"/>
          <w:highlight w:val="none"/>
          <w:shd w:val="clear" w:color="auto" w:fill="FFFFFF"/>
          <w:lang w:val="en-US" w:eastAsia="zh-Hans" w:bidi="ar-SA"/>
        </w:rPr>
        <w:t>4</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w:t>
      </w:r>
      <w:r>
        <w:rPr>
          <w:rFonts w:hint="eastAsia" w:ascii="宋体" w:hAnsi="宋体" w:eastAsia="宋体" w:cs="宋体"/>
          <w:i w:val="0"/>
          <w:caps w:val="0"/>
          <w:color w:val="auto"/>
          <w:spacing w:val="0"/>
          <w:kern w:val="2"/>
          <w:sz w:val="24"/>
          <w:szCs w:val="24"/>
          <w:highlight w:val="none"/>
          <w:shd w:val="clear" w:color="auto" w:fill="FFFFFF"/>
          <w:lang w:val="en-US" w:eastAsia="zh-Hans" w:bidi="ar-SA"/>
        </w:rPr>
        <w:t>扫描软件含有金属牙扫描模式，提升扫描效果及精度。</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Hans" w:bidi="ar-SA"/>
        </w:rPr>
      </w:pPr>
      <w:r>
        <w:rPr>
          <w:rFonts w:hint="eastAsia" w:ascii="宋体" w:hAnsi="宋体" w:eastAsia="宋体" w:cs="宋体"/>
          <w:i w:val="0"/>
          <w:caps w:val="0"/>
          <w:color w:val="auto"/>
          <w:spacing w:val="0"/>
          <w:kern w:val="2"/>
          <w:sz w:val="24"/>
          <w:szCs w:val="24"/>
          <w:highlight w:val="none"/>
          <w:shd w:val="clear" w:color="auto" w:fill="FFFFFF"/>
          <w:lang w:val="en-US" w:eastAsia="zh-Hans" w:bidi="ar-SA"/>
        </w:rPr>
        <w:t>5</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w:t>
      </w:r>
      <w:r>
        <w:rPr>
          <w:rFonts w:hint="eastAsia" w:ascii="宋体" w:hAnsi="宋体" w:eastAsia="宋体" w:cs="宋体"/>
          <w:i w:val="0"/>
          <w:caps w:val="0"/>
          <w:color w:val="auto"/>
          <w:spacing w:val="0"/>
          <w:kern w:val="2"/>
          <w:sz w:val="24"/>
          <w:szCs w:val="24"/>
          <w:highlight w:val="none"/>
          <w:shd w:val="clear" w:color="auto" w:fill="FFFFFF"/>
          <w:lang w:val="en-US" w:eastAsia="zh-Hans" w:bidi="ar-SA"/>
        </w:rPr>
        <w:t>软件终身免费使用和升级</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w:t>
      </w:r>
      <w:r>
        <w:rPr>
          <w:rFonts w:hint="eastAsia" w:ascii="宋体" w:hAnsi="宋体" w:eastAsia="宋体" w:cs="宋体"/>
          <w:i w:val="0"/>
          <w:caps w:val="0"/>
          <w:color w:val="auto"/>
          <w:spacing w:val="0"/>
          <w:kern w:val="2"/>
          <w:sz w:val="24"/>
          <w:szCs w:val="24"/>
          <w:highlight w:val="none"/>
          <w:shd w:val="clear" w:color="auto" w:fill="FFFFFF"/>
          <w:lang w:val="en-US" w:eastAsia="zh-Hans" w:bidi="ar-SA"/>
        </w:rPr>
        <w:t xml:space="preserve"> </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Hans" w:bidi="ar-SA"/>
        </w:rPr>
        <w:t>6</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w:t>
      </w:r>
      <w:r>
        <w:rPr>
          <w:rFonts w:hint="eastAsia" w:ascii="宋体" w:hAnsi="宋体" w:eastAsia="宋体" w:cs="宋体"/>
          <w:i w:val="0"/>
          <w:caps w:val="0"/>
          <w:color w:val="auto"/>
          <w:spacing w:val="0"/>
          <w:kern w:val="2"/>
          <w:sz w:val="24"/>
          <w:szCs w:val="24"/>
          <w:highlight w:val="none"/>
          <w:shd w:val="clear" w:color="auto" w:fill="FFFFFF"/>
          <w:lang w:val="en-US" w:eastAsia="zh-Hans" w:bidi="ar-SA"/>
        </w:rPr>
        <w:t>扫描仪支架接近开关功能，拿起扫描，落入待机。</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内置防雾和动态指示灯功能。</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Hans" w:bidi="ar-SA"/>
        </w:rPr>
      </w:pPr>
      <w:r>
        <w:rPr>
          <w:rFonts w:hint="eastAsia" w:ascii="宋体" w:hAnsi="宋体" w:eastAsia="宋体" w:cs="宋体"/>
          <w:i w:val="0"/>
          <w:caps w:val="0"/>
          <w:color w:val="auto"/>
          <w:spacing w:val="0"/>
          <w:kern w:val="2"/>
          <w:sz w:val="24"/>
          <w:szCs w:val="24"/>
          <w:highlight w:val="none"/>
          <w:shd w:val="clear" w:color="auto" w:fill="FFFFFF"/>
          <w:lang w:val="en-US" w:eastAsia="zh-Hans" w:bidi="ar-SA"/>
        </w:rPr>
        <w:t>7</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w:t>
      </w:r>
      <w:r>
        <w:rPr>
          <w:rFonts w:hint="eastAsia" w:ascii="宋体" w:hAnsi="宋体" w:eastAsia="宋体" w:cs="宋体"/>
          <w:i w:val="0"/>
          <w:caps w:val="0"/>
          <w:color w:val="auto"/>
          <w:spacing w:val="0"/>
          <w:kern w:val="2"/>
          <w:sz w:val="24"/>
          <w:szCs w:val="24"/>
          <w:highlight w:val="none"/>
          <w:shd w:val="clear" w:color="auto" w:fill="FFFFFF"/>
          <w:lang w:val="en-US" w:eastAsia="zh-Hans" w:bidi="ar-SA"/>
        </w:rPr>
        <w:t>云平台具有传输数据及沟通功能</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Hans" w:bidi="ar-SA"/>
        </w:rPr>
      </w:pPr>
      <w:r>
        <w:rPr>
          <w:rFonts w:hint="eastAsia" w:ascii="宋体" w:hAnsi="宋体" w:eastAsia="宋体" w:cs="宋体"/>
          <w:i w:val="0"/>
          <w:caps w:val="0"/>
          <w:color w:val="auto"/>
          <w:spacing w:val="0"/>
          <w:kern w:val="2"/>
          <w:sz w:val="24"/>
          <w:szCs w:val="24"/>
          <w:highlight w:val="none"/>
          <w:shd w:val="clear" w:color="auto" w:fill="FFFFFF"/>
          <w:lang w:val="en-US" w:eastAsia="zh-Hans" w:bidi="ar-SA"/>
        </w:rPr>
        <w:t>8</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w:t>
      </w:r>
      <w:r>
        <w:rPr>
          <w:rFonts w:hint="eastAsia" w:ascii="宋体" w:hAnsi="宋体" w:eastAsia="宋体" w:cs="宋体"/>
          <w:i w:val="0"/>
          <w:caps w:val="0"/>
          <w:color w:val="auto"/>
          <w:spacing w:val="0"/>
          <w:kern w:val="2"/>
          <w:sz w:val="24"/>
          <w:szCs w:val="24"/>
          <w:highlight w:val="none"/>
          <w:shd w:val="clear" w:color="auto" w:fill="FFFFFF"/>
          <w:lang w:val="en-US" w:eastAsia="zh-Hans" w:bidi="ar-SA"/>
        </w:rPr>
        <w:t>扫描软件具有声音提示指引拼接功能。</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Hans" w:bidi="ar-SA"/>
        </w:rPr>
        <w:t>9</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w:t>
      </w:r>
      <w:r>
        <w:rPr>
          <w:rFonts w:hint="eastAsia" w:ascii="宋体" w:hAnsi="宋体" w:eastAsia="宋体" w:cs="宋体"/>
          <w:i w:val="0"/>
          <w:caps w:val="0"/>
          <w:color w:val="auto"/>
          <w:spacing w:val="0"/>
          <w:kern w:val="2"/>
          <w:sz w:val="24"/>
          <w:szCs w:val="24"/>
          <w:highlight w:val="none"/>
          <w:shd w:val="clear" w:color="auto" w:fill="FFFFFF"/>
          <w:lang w:val="en-US" w:eastAsia="zh-Hans" w:bidi="ar-SA"/>
        </w:rPr>
        <w:t>扫描软件具有安装包网络下载和自动更新功能</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w:t>
      </w:r>
    </w:p>
    <w:p>
      <w:pPr>
        <w:numPr>
          <w:ilvl w:val="0"/>
          <w:numId w:val="0"/>
        </w:num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Hans" w:bidi="ar-SA"/>
        </w:rPr>
      </w:pPr>
      <w:r>
        <w:rPr>
          <w:rFonts w:hint="eastAsia" w:ascii="宋体" w:hAnsi="宋体" w:eastAsia="宋体" w:cs="宋体"/>
          <w:i w:val="0"/>
          <w:caps w:val="0"/>
          <w:color w:val="auto"/>
          <w:spacing w:val="0"/>
          <w:kern w:val="2"/>
          <w:sz w:val="24"/>
          <w:szCs w:val="24"/>
          <w:highlight w:val="none"/>
          <w:shd w:val="clear" w:color="auto" w:fill="FFFFFF"/>
          <w:lang w:val="en-US" w:eastAsia="zh-Hans" w:bidi="ar-SA"/>
        </w:rPr>
        <w:t>10</w:t>
      </w:r>
      <w:r>
        <w:rPr>
          <w:rFonts w:hint="eastAsia" w:ascii="宋体" w:hAnsi="宋体" w:eastAsia="宋体" w:cs="宋体"/>
          <w:i w:val="0"/>
          <w:caps w:val="0"/>
          <w:color w:val="auto"/>
          <w:spacing w:val="0"/>
          <w:kern w:val="2"/>
          <w:sz w:val="24"/>
          <w:szCs w:val="24"/>
          <w:highlight w:val="none"/>
          <w:shd w:val="clear" w:color="auto" w:fill="FFFFFF"/>
          <w:lang w:val="en-US" w:eastAsia="zh-CN" w:bidi="ar-SA"/>
        </w:rPr>
        <w:t>、</w:t>
      </w:r>
      <w:r>
        <w:rPr>
          <w:rFonts w:hint="eastAsia" w:ascii="宋体" w:hAnsi="宋体" w:eastAsia="宋体" w:cs="宋体"/>
          <w:i w:val="0"/>
          <w:caps w:val="0"/>
          <w:color w:val="auto"/>
          <w:spacing w:val="0"/>
          <w:kern w:val="2"/>
          <w:sz w:val="24"/>
          <w:szCs w:val="24"/>
          <w:highlight w:val="none"/>
          <w:shd w:val="clear" w:color="auto" w:fill="FFFFFF"/>
          <w:lang w:val="en-US" w:eastAsia="zh-Hans" w:bidi="ar-SA"/>
        </w:rPr>
        <w:t>扫描软件支持随时导入补扫功能。</w:t>
      </w:r>
    </w:p>
    <w:p>
      <w:pPr>
        <w:pStyle w:val="2"/>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11、扫描范围：11 mm（长）x 11 mm（宽）x 12mm（深）</w:t>
      </w:r>
    </w:p>
    <w:p>
      <w:p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Hans"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12、扫描原理：具有（DLP）结构光的非接触式扫描仪</w:t>
      </w:r>
    </w:p>
    <w:p>
      <w:p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13、扫描帧率：15帧/秒</w:t>
      </w:r>
    </w:p>
    <w:p>
      <w:pPr>
        <w:pStyle w:val="2"/>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14、输出格式：STL, OBJ，PLY ,BEB(加密格式）</w:t>
      </w:r>
    </w:p>
    <w:p>
      <w:pPr>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15、连接线：USB 3.0（2米）</w:t>
      </w:r>
    </w:p>
    <w:p>
      <w:pPr>
        <w:pStyle w:val="2"/>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16、精度(std.)：&lt;0.02mm(3Teeth); &lt;0.08mm(Single Jaw)</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17、消毒方式：泡消; 高温高压</w:t>
      </w:r>
    </w:p>
    <w:p>
      <w:pPr>
        <w:pStyle w:val="2"/>
        <w:spacing w:line="360" w:lineRule="auto"/>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18、功率：输入: 12 Vdc/1.67 A</w:t>
      </w:r>
    </w:p>
    <w:p>
      <w:pPr>
        <w:rPr>
          <w:rFonts w:hint="eastAsia"/>
          <w:highlight w:val="none"/>
          <w:lang w:val="en-US" w:eastAsia="zh-CN"/>
        </w:rPr>
      </w:pPr>
    </w:p>
    <w:p>
      <w:pPr>
        <w:spacing w:line="360" w:lineRule="auto"/>
        <w:jc w:val="center"/>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eastAsia="zh-CN"/>
        </w:rPr>
        <w:t>二</w:t>
      </w:r>
      <w:r>
        <w:rPr>
          <w:rFonts w:hint="eastAsia" w:ascii="宋体" w:hAnsi="宋体" w:eastAsia="宋体" w:cs="宋体"/>
          <w:b/>
          <w:bCs/>
          <w:sz w:val="28"/>
          <w:szCs w:val="28"/>
          <w:highlight w:val="none"/>
          <w:lang w:eastAsia="zh-CN"/>
        </w:rPr>
        <w:t>包：</w:t>
      </w:r>
      <w:r>
        <w:rPr>
          <w:rFonts w:hint="eastAsia" w:ascii="宋体" w:hAnsi="宋体" w:eastAsia="宋体" w:cs="宋体"/>
          <w:b/>
          <w:bCs/>
          <w:sz w:val="28"/>
          <w:szCs w:val="28"/>
          <w:highlight w:val="none"/>
          <w:lang w:val="en-US" w:eastAsia="zh-CN"/>
        </w:rPr>
        <w:t>超声高频外科集成系统</w:t>
      </w:r>
      <w:r>
        <w:rPr>
          <w:rFonts w:hint="eastAsia" w:ascii="宋体" w:hAnsi="宋体" w:cs="宋体"/>
          <w:b/>
          <w:bCs/>
          <w:sz w:val="28"/>
          <w:szCs w:val="28"/>
          <w:highlight w:val="none"/>
          <w:lang w:eastAsia="zh-CN"/>
        </w:rPr>
        <w:t>（允许采购原装进口）</w:t>
      </w:r>
    </w:p>
    <w:p>
      <w:pPr>
        <w:pStyle w:val="34"/>
        <w:numPr>
          <w:ilvl w:val="0"/>
          <w:numId w:val="0"/>
        </w:numPr>
        <w:spacing w:line="360" w:lineRule="auto"/>
        <w:ind w:leftChars="1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配置清单</w:t>
      </w:r>
    </w:p>
    <w:tbl>
      <w:tblPr>
        <w:tblStyle w:val="1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338"/>
        <w:gridCol w:w="960"/>
        <w:gridCol w:w="945"/>
        <w:gridCol w:w="174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8" w:type="dxa"/>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338" w:type="dxa"/>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名称</w:t>
            </w:r>
          </w:p>
        </w:tc>
        <w:tc>
          <w:tcPr>
            <w:tcW w:w="960" w:type="dxa"/>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945" w:type="dxa"/>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1740" w:type="dxa"/>
          </w:tcPr>
          <w:p>
            <w:pPr>
              <w:spacing w:line="360" w:lineRule="auto"/>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限价</w:t>
            </w:r>
          </w:p>
        </w:tc>
        <w:tc>
          <w:tcPr>
            <w:tcW w:w="1723" w:type="dxa"/>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8" w:type="dxa"/>
          </w:tcPr>
          <w:p>
            <w:pPr>
              <w:spacing w:line="360" w:lineRule="auto"/>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w:t>
            </w:r>
          </w:p>
        </w:tc>
        <w:tc>
          <w:tcPr>
            <w:tcW w:w="2338" w:type="dxa"/>
          </w:tcPr>
          <w:p>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超声高频外科集成系统</w:t>
            </w:r>
          </w:p>
        </w:tc>
        <w:tc>
          <w:tcPr>
            <w:tcW w:w="960" w:type="dxa"/>
          </w:tcPr>
          <w:p>
            <w:pPr>
              <w:spacing w:line="360" w:lineRule="auto"/>
              <w:jc w:val="center"/>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eastAsia="zh-CN"/>
              </w:rPr>
              <w:t>台</w:t>
            </w:r>
          </w:p>
        </w:tc>
        <w:tc>
          <w:tcPr>
            <w:tcW w:w="945" w:type="dxa"/>
          </w:tcPr>
          <w:p>
            <w:pPr>
              <w:spacing w:line="360" w:lineRule="auto"/>
              <w:jc w:val="center"/>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w:t>
            </w:r>
          </w:p>
        </w:tc>
        <w:tc>
          <w:tcPr>
            <w:tcW w:w="1740" w:type="dxa"/>
          </w:tcPr>
          <w:p>
            <w:pPr>
              <w:spacing w:line="360" w:lineRule="auto"/>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59万元/台</w:t>
            </w:r>
          </w:p>
        </w:tc>
        <w:tc>
          <w:tcPr>
            <w:tcW w:w="1723" w:type="dxa"/>
          </w:tcPr>
          <w:p>
            <w:pPr>
              <w:spacing w:line="360" w:lineRule="auto"/>
              <w:jc w:val="center"/>
              <w:rPr>
                <w:rFonts w:hint="eastAsia" w:ascii="宋体" w:hAnsi="宋体" w:eastAsia="宋体" w:cs="宋体"/>
                <w:kern w:val="0"/>
                <w:sz w:val="24"/>
                <w:szCs w:val="24"/>
                <w:highlight w:val="none"/>
              </w:rPr>
            </w:pPr>
          </w:p>
        </w:tc>
      </w:tr>
    </w:tbl>
    <w:p>
      <w:pPr>
        <w:pStyle w:val="34"/>
        <w:numPr>
          <w:ilvl w:val="0"/>
          <w:numId w:val="0"/>
        </w:numPr>
        <w:spacing w:line="360" w:lineRule="auto"/>
        <w:ind w:leftChars="1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（2）技术参数</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一、主机参数要求：</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1、一台主机可分别输出双极能量和超声能量，便于术中连接双极电刀和超声刀刀头。</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2、配备高分辨率广角触摸屏显示器。</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3、主机具备中文操作系统。</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4、主机可显示当前工作时的功率大小。</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5、主机有自检功能,且自检时间不超过三秒钟。</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6、可通过U盘更新软件，能够兼容未来同品牌耗材，并且应用到临床当中。</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二、超声刀头要求：</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1、新款刀头可安全处理 7mm的血管（需提供说明文件）。</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2、超声刀头振动频率≥55000HZ。</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3、超声刀头振动幅度：60～100微米。</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4、超声刀头具备切割、凝血、夹持、分离等功能。</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5、具有腔镜手术刀头与开放手术刀头。</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6、刀头具有以下长度：9cm,17cm,23cm,36cm,45cm。</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7、具备弧形刀头。</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8、具备一体化手控按钮，有高低档位两个按钮。</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9、具备组织感应技术，即将完成切割时会有不同音调的提示音。</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10、集成手柄超声刀头，使用更加便捷。</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三、双极电刀刀头要求：</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1、切割和凝闭可以同时进行，钳口集切割，凝闭，抓持，分离于一体。</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2、可安全切割和凝闭最大7mm的脉管。</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3、刀头有温控设置，可将钳口内温度控制在100度以内。</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4、有效的将侧向热损伤控制在1mm以内。</w:t>
      </w:r>
    </w:p>
    <w:p>
      <w:pPr>
        <w:numPr>
          <w:ilvl w:val="0"/>
          <w:numId w:val="0"/>
        </w:numPr>
        <w:spacing w:line="360" w:lineRule="auto"/>
        <w:ind w:firstLine="240" w:firstLineChars="100"/>
        <w:jc w:val="left"/>
        <w:rPr>
          <w:rFonts w:hint="eastAsia" w:ascii="宋体" w:hAnsi="宋体" w:eastAsia="宋体" w:cs="宋体"/>
          <w:i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5、最新一代带关节头的刀头，刀头可左右旋转110度。</w:t>
      </w:r>
    </w:p>
    <w:p>
      <w:pPr>
        <w:numPr>
          <w:ilvl w:val="0"/>
          <w:numId w:val="0"/>
        </w:numPr>
        <w:spacing w:line="360" w:lineRule="auto"/>
        <w:ind w:leftChars="0"/>
        <w:rPr>
          <w:rFonts w:hint="eastAsia" w:ascii="宋体" w:hAnsi="宋体" w:eastAsia="宋体" w:cs="宋体"/>
          <w:b/>
          <w:sz w:val="24"/>
          <w:szCs w:val="24"/>
          <w:highlight w:val="none"/>
          <w:lang w:eastAsia="zh-CN"/>
        </w:rPr>
      </w:pPr>
      <w:r>
        <w:rPr>
          <w:rFonts w:hint="eastAsia" w:ascii="宋体" w:hAnsi="宋体" w:eastAsia="宋体" w:cs="宋体"/>
          <w:i w:val="0"/>
          <w:caps w:val="0"/>
          <w:color w:val="auto"/>
          <w:spacing w:val="0"/>
          <w:kern w:val="2"/>
          <w:sz w:val="24"/>
          <w:szCs w:val="24"/>
          <w:highlight w:val="none"/>
          <w:shd w:val="clear" w:color="auto" w:fill="FFFFFF"/>
          <w:lang w:val="en-US" w:eastAsia="zh-CN" w:bidi="ar-SA"/>
        </w:rPr>
        <w:t>另配置：手柄线：2根；超声刀头：4把。</w:t>
      </w:r>
    </w:p>
    <w:p>
      <w:pP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br w:type="page"/>
      </w:r>
    </w:p>
    <w:p>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二</w:t>
      </w:r>
      <w:r>
        <w:rPr>
          <w:rFonts w:hint="eastAsia" w:ascii="宋体" w:hAnsi="宋体" w:eastAsia="宋体" w:cs="宋体"/>
          <w:b/>
          <w:sz w:val="24"/>
          <w:szCs w:val="24"/>
          <w:highlight w:val="none"/>
        </w:rPr>
        <w:t>、配套服务要求</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一、交货日期要求</w:t>
      </w:r>
    </w:p>
    <w:p>
      <w:pPr>
        <w:spacing w:line="360" w:lineRule="auto"/>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sz w:val="24"/>
          <w:szCs w:val="24"/>
          <w:highlight w:val="none"/>
        </w:rPr>
        <w:t>1.供货期限：</w:t>
      </w:r>
      <w:r>
        <w:rPr>
          <w:rFonts w:hint="eastAsia" w:ascii="宋体" w:hAnsi="宋体" w:eastAsia="宋体" w:cs="宋体"/>
          <w:b w:val="0"/>
          <w:bCs w:val="0"/>
          <w:sz w:val="24"/>
          <w:szCs w:val="24"/>
          <w:highlight w:val="none"/>
          <w:vertAlign w:val="baseline"/>
          <w:lang w:eastAsia="zh-CN"/>
        </w:rPr>
        <w:t>自收到中标通知书次日起计算</w:t>
      </w:r>
      <w:r>
        <w:rPr>
          <w:rFonts w:hint="eastAsia" w:ascii="宋体" w:hAnsi="宋体" w:cs="宋体"/>
          <w:b w:val="0"/>
          <w:bCs w:val="0"/>
          <w:sz w:val="24"/>
          <w:szCs w:val="24"/>
          <w:highlight w:val="none"/>
          <w:vertAlign w:val="baseline"/>
          <w:lang w:eastAsia="zh-CN"/>
        </w:rPr>
        <w:t>，</w:t>
      </w:r>
      <w:r>
        <w:rPr>
          <w:rFonts w:hint="eastAsia" w:ascii="宋体" w:hAnsi="宋体" w:eastAsia="宋体" w:cs="宋体"/>
          <w:b w:val="0"/>
          <w:bCs w:val="0"/>
          <w:sz w:val="24"/>
          <w:szCs w:val="24"/>
          <w:highlight w:val="none"/>
          <w:vertAlign w:val="baseline"/>
          <w:lang w:eastAsia="zh-CN"/>
        </w:rPr>
        <w:t>国产设备≤30个日历日，进口设备≤</w:t>
      </w:r>
      <w:r>
        <w:rPr>
          <w:rFonts w:hint="eastAsia" w:ascii="宋体" w:hAnsi="宋体" w:cs="宋体"/>
          <w:b w:val="0"/>
          <w:bCs w:val="0"/>
          <w:sz w:val="24"/>
          <w:szCs w:val="24"/>
          <w:highlight w:val="none"/>
          <w:vertAlign w:val="baseline"/>
          <w:lang w:val="en-US" w:eastAsia="zh-CN"/>
        </w:rPr>
        <w:t>6</w:t>
      </w:r>
      <w:r>
        <w:rPr>
          <w:rFonts w:hint="eastAsia" w:ascii="宋体" w:hAnsi="宋体" w:eastAsia="宋体" w:cs="宋体"/>
          <w:b w:val="0"/>
          <w:bCs w:val="0"/>
          <w:sz w:val="24"/>
          <w:szCs w:val="24"/>
          <w:highlight w:val="none"/>
          <w:vertAlign w:val="baseline"/>
          <w:lang w:eastAsia="zh-CN"/>
        </w:rPr>
        <w:t>0个日历日完成供货及安装。</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2.卖方应准备与采购设备或仪器相符的中文技术资料（如样本、图纸、操作手册、使用说明、维修指南或服务手册等）包装好随每批货物一起发运，运输费用全部由中标方承担。</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3.卖方应按招标文件规定的产品性能、技术要求、质量标准向甲方提供未经使用的全新产品。</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4.卖方应保证其货物经过正确安装、合理操作和维护保养，在货物寿命期内运转良好。</w:t>
      </w:r>
    </w:p>
    <w:p>
      <w:pPr>
        <w:pStyle w:val="5"/>
        <w:ind w:left="0" w:leftChars="0" w:firstLine="0" w:firstLineChars="0"/>
        <w:rPr>
          <w:rFonts w:hint="default" w:ascii="宋体" w:hAnsi="宋体" w:eastAsia="宋体" w:cs="宋体"/>
          <w:spacing w:val="0"/>
          <w:kern w:val="2"/>
          <w:sz w:val="24"/>
          <w:szCs w:val="24"/>
          <w:highlight w:val="none"/>
          <w:lang w:val="en-US" w:eastAsia="zh-CN" w:bidi="ar-SA"/>
        </w:rPr>
      </w:pPr>
      <w:r>
        <w:rPr>
          <w:rFonts w:hint="eastAsia" w:ascii="宋体" w:hAnsi="宋体" w:eastAsia="宋体" w:cs="宋体"/>
          <w:spacing w:val="0"/>
          <w:kern w:val="2"/>
          <w:sz w:val="24"/>
          <w:szCs w:val="24"/>
          <w:highlight w:val="none"/>
          <w:lang w:val="en-US" w:eastAsia="zh-CN" w:bidi="ar-SA"/>
        </w:rPr>
        <w:t>5.质量标准：合格（质量达到现行合格标准，符合国家、行业、地方规定以及招标文件规定的质量和安全标准要求）</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二、安装及验收标准</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1.卖方须按招标文件规定的技术需要提供产品，产品必须是按相应的国际标准和中国政府国家标准以及有关政府部门的规范完成制造和安装的全新产品。投标文件是合同书不可分割的组成部分，其内容相互补充。</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到货后由卖方免费负责安装，安装完成经试运行后由买方、卖方共同验收，达到招标文件采购产品的各项技术指标，并满足国际或国家标准的方可验收合格。全部费用由卖方负责。货物需国家有关部门强制验收的，供需双方不得私自处理验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3.安装验收合格后，卖方应向买方提供以下技术资料：</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(1)系统安装图；</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(2)系统及系统原理图；</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(3)电气系统及系统安装图；</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(4)构件、机械安装图；</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(5)安装手册；</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(6)操作手册；</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(7)维修保养手册；</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(8)制造、安装标准和技术规范；</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(9)安装及验收报告</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(10)产品出厂合格证</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三、售后要求</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设备保修期≥2年，终身维护，为保证设备正常运行，卖方应在中国境内方便的地点设置备件库，存入所有必须的备件，并保证10年以上的供应期。</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设备在质保期内发生故障，都享有免费更换原厂同规格型号的配件；保修期外，卖方终生提供免费上门维修服务，长期提供优质价格优惠的配件，维修只收配件费，其它费用由卖方承担，并提供正规零配件报价单。</w:t>
      </w:r>
    </w:p>
    <w:p>
      <w:pPr>
        <w:pStyle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3、维修在疆内设有常年维修点或提供常驻维修人员，负责提供完善的售后服务。</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4、设备如出现故障，在买方发出要求服务通知的 2小时内响应，24小时到达现场排除故障，如不能解决处理的，应为用户提供同类型的应急代用机;如相同的事故出现两次将无偿更换新机或者退货。</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5、在保修期内因产品质量问题造成的损失，供应商应予以承担。</w:t>
      </w:r>
    </w:p>
    <w:p>
      <w:pPr>
        <w:pStyle w:val="2"/>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6、负责和医院的信息系统连接，提供免费接口及升级服务。</w:t>
      </w:r>
    </w:p>
    <w:p>
      <w:pPr>
        <w:rPr>
          <w:rFonts w:hint="default"/>
          <w:highlight w:val="none"/>
          <w:lang w:val="en-US"/>
        </w:rPr>
      </w:pPr>
      <w:r>
        <w:rPr>
          <w:rFonts w:hint="eastAsia" w:ascii="宋体" w:hAnsi="宋体" w:eastAsia="宋体" w:cs="宋体"/>
          <w:sz w:val="24"/>
          <w:szCs w:val="24"/>
          <w:highlight w:val="none"/>
          <w:lang w:val="en-US" w:eastAsia="zh-CN"/>
        </w:rPr>
        <w:t>7、负责做好相关计量检测及放射检测等检测工作，进口设备提供报关单和检验检疫单。</w:t>
      </w:r>
    </w:p>
    <w:p>
      <w:pPr>
        <w:autoSpaceDE w:val="0"/>
        <w:autoSpaceDN w:val="0"/>
        <w:adjustRightInd w:val="0"/>
        <w:spacing w:line="360" w:lineRule="auto"/>
        <w:rPr>
          <w:rFonts w:hint="eastAsia" w:ascii="宋体" w:hAnsi="宋体" w:eastAsia="宋体" w:cs="宋体"/>
          <w:b w:val="0"/>
          <w:bCs/>
          <w:kern w:val="0"/>
          <w:sz w:val="24"/>
          <w:szCs w:val="24"/>
          <w:highlight w:val="none"/>
          <w:lang w:eastAsia="zh-CN"/>
        </w:rPr>
      </w:pPr>
      <w:r>
        <w:rPr>
          <w:rFonts w:hint="eastAsia" w:ascii="宋体" w:hAnsi="宋体" w:eastAsia="宋体" w:cs="宋体"/>
          <w:b/>
          <w:bCs/>
          <w:i w:val="0"/>
          <w:caps w:val="0"/>
          <w:color w:val="auto"/>
          <w:spacing w:val="0"/>
          <w:kern w:val="2"/>
          <w:sz w:val="24"/>
          <w:szCs w:val="24"/>
          <w:highlight w:val="none"/>
          <w:shd w:val="clear" w:color="auto" w:fill="FFFFFF"/>
          <w:lang w:val="en-US" w:eastAsia="zh-CN" w:bidi="ar-SA"/>
        </w:rPr>
        <w:t>培训</w:t>
      </w:r>
      <w:r>
        <w:rPr>
          <w:rFonts w:hint="eastAsia" w:ascii="宋体" w:hAnsi="宋体" w:eastAsia="宋体" w:cs="宋体"/>
          <w:b w:val="0"/>
          <w:bCs/>
          <w:kern w:val="0"/>
          <w:sz w:val="24"/>
          <w:szCs w:val="24"/>
          <w:highlight w:val="none"/>
        </w:rPr>
        <w:t>：</w:t>
      </w:r>
      <w:r>
        <w:rPr>
          <w:rFonts w:hint="eastAsia" w:ascii="宋体" w:hAnsi="宋体" w:eastAsia="宋体" w:cs="宋体"/>
          <w:b/>
          <w:bCs/>
          <w:sz w:val="24"/>
          <w:szCs w:val="24"/>
          <w:highlight w:val="none"/>
          <w:lang w:val="en-US" w:eastAsia="zh-CN"/>
        </w:rPr>
        <w:t>按照科室要求到疆</w:t>
      </w:r>
      <w:r>
        <w:rPr>
          <w:rFonts w:hint="eastAsia" w:ascii="宋体" w:hAnsi="宋体" w:cs="宋体"/>
          <w:b/>
          <w:bCs/>
          <w:sz w:val="24"/>
          <w:szCs w:val="24"/>
          <w:highlight w:val="none"/>
          <w:lang w:val="en-US" w:eastAsia="zh-CN"/>
        </w:rPr>
        <w:t>内</w:t>
      </w:r>
      <w:r>
        <w:rPr>
          <w:rFonts w:hint="eastAsia" w:ascii="宋体" w:hAnsi="宋体" w:eastAsia="宋体" w:cs="宋体"/>
          <w:b/>
          <w:bCs/>
          <w:sz w:val="24"/>
          <w:szCs w:val="24"/>
          <w:highlight w:val="none"/>
          <w:lang w:val="en-US" w:eastAsia="zh-CN"/>
        </w:rPr>
        <w:t>三级甲等医院</w:t>
      </w:r>
      <w:r>
        <w:rPr>
          <w:rFonts w:hint="eastAsia" w:ascii="宋体" w:hAnsi="宋体" w:cs="宋体"/>
          <w:b/>
          <w:bCs/>
          <w:sz w:val="24"/>
          <w:szCs w:val="24"/>
          <w:highlight w:val="none"/>
          <w:lang w:val="en-US" w:eastAsia="zh-CN"/>
        </w:rPr>
        <w:t>免费</w:t>
      </w:r>
      <w:r>
        <w:rPr>
          <w:rFonts w:hint="eastAsia" w:ascii="宋体" w:hAnsi="宋体" w:eastAsia="宋体" w:cs="宋体"/>
          <w:b/>
          <w:bCs/>
          <w:sz w:val="24"/>
          <w:szCs w:val="24"/>
          <w:highlight w:val="none"/>
          <w:lang w:val="en-US" w:eastAsia="zh-CN"/>
        </w:rPr>
        <w:t>培训</w:t>
      </w:r>
      <w:r>
        <w:rPr>
          <w:rFonts w:hint="eastAsia" w:ascii="宋体" w:hAnsi="宋体" w:cs="宋体"/>
          <w:b/>
          <w:bCs/>
          <w:sz w:val="24"/>
          <w:szCs w:val="24"/>
          <w:highlight w:val="none"/>
          <w:lang w:val="en-US" w:eastAsia="zh-CN"/>
        </w:rPr>
        <w:t>15日</w:t>
      </w:r>
      <w:r>
        <w:rPr>
          <w:rFonts w:hint="eastAsia" w:ascii="宋体" w:hAnsi="宋体" w:eastAsia="宋体" w:cs="宋体"/>
          <w:b/>
          <w:bCs/>
          <w:kern w:val="0"/>
          <w:sz w:val="24"/>
          <w:szCs w:val="24"/>
          <w:highlight w:val="none"/>
          <w:lang w:eastAsia="zh-CN"/>
        </w:rPr>
        <w:t>。</w:t>
      </w:r>
    </w:p>
    <w:p>
      <w:pPr>
        <w:spacing w:line="360" w:lineRule="auto"/>
        <w:rPr>
          <w:rFonts w:hint="eastAsia" w:ascii="宋体" w:hAnsi="宋体" w:eastAsia="宋体" w:cs="宋体"/>
          <w:sz w:val="24"/>
          <w:szCs w:val="24"/>
          <w:highlight w:val="none"/>
        </w:rPr>
      </w:pPr>
      <w:r>
        <w:rPr>
          <w:rFonts w:hint="eastAsia" w:ascii="宋体" w:hAnsi="宋体" w:eastAsia="宋体" w:cs="宋体"/>
          <w:b/>
          <w:bCs/>
          <w:i w:val="0"/>
          <w:caps w:val="0"/>
          <w:color w:val="auto"/>
          <w:spacing w:val="0"/>
          <w:kern w:val="2"/>
          <w:sz w:val="24"/>
          <w:szCs w:val="24"/>
          <w:highlight w:val="none"/>
          <w:shd w:val="clear" w:color="auto" w:fill="FFFFFF"/>
          <w:lang w:val="en-US" w:eastAsia="zh-CN" w:bidi="ar-SA"/>
        </w:rPr>
        <w:t>付款方式：设备安装调试运行正常、发票到、固定资产建立30日付70%、正常运行6个月付20%、10%质保期满一周付清。</w:t>
      </w:r>
    </w:p>
    <w:p>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、售后服务承诺</w:t>
      </w:r>
    </w:p>
    <w:p>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.1设置7*24小时贵宾服务电话，24小时内到达现场进行更换服务。</w:t>
      </w:r>
    </w:p>
    <w:p>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2投标文件中，卖方应对质保期及其以后的服务做出承诺，并具有切实可行的服务措施。注明响应时间及到场时间。不能及时兑现服务承诺内容而影响买方使用时，卖方应给予补偿的承诺，在投标文件中均应明确说明。售后服务人员应是卖方派出的具有一定专业技术和服务水平的人员，并具有卖方的法人授权委托和有关主管部门的资质证书。</w:t>
      </w:r>
    </w:p>
    <w:p>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.3、所有供应商必须提交《医疗器械注册证》（含附页、附表），产品检测报告，技术白皮书（Data Sheet）（进口产品须提交白皮书及完整检测报告（中英文对照版）；国产产品须提交完整检测报告）、彩图。</w:t>
      </w:r>
    </w:p>
    <w:p>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.4投标人应保证提供设备为全新的、先进的、成熟的、完整的和安全可靠的，且设备的技术经济性能符合本招标文件技术部分的要求。</w:t>
      </w:r>
    </w:p>
    <w:p>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.5投标人应提供详细供货清单，清单中依次说明型号、数量、产地、生产厂家等内容。</w:t>
      </w:r>
    </w:p>
    <w:p>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.6本项目为交钥匙工程。</w:t>
      </w:r>
    </w:p>
    <w:p>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.7上述技术指标中凡有品牌描述或指向某品牌的指标描述均为参考指标。</w:t>
      </w:r>
    </w:p>
    <w:p>
      <w:pP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br w:type="page"/>
      </w: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三</w:t>
      </w:r>
      <w:r>
        <w:rPr>
          <w:rFonts w:hint="eastAsia" w:ascii="宋体" w:hAnsi="宋体" w:eastAsia="宋体" w:cs="宋体"/>
          <w:b/>
          <w:sz w:val="24"/>
          <w:szCs w:val="24"/>
          <w:highlight w:val="none"/>
        </w:rPr>
        <w:t>、相关要求：</w:t>
      </w:r>
    </w:p>
    <w:p>
      <w:pPr>
        <w:spacing w:line="360" w:lineRule="auto"/>
        <w:ind w:left="323" w:hanging="323" w:hangingChars="134"/>
        <w:rPr>
          <w:rFonts w:hint="eastAsia" w:ascii="宋体" w:hAnsi="宋体" w:eastAsia="宋体" w:cs="宋体"/>
          <w:b/>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、投标人须按使用单位实际需求组织相关人员省内外培训，达到上岗要求，并提供培训资料。</w:t>
      </w:r>
    </w:p>
    <w:p>
      <w:pPr>
        <w:spacing w:line="360" w:lineRule="auto"/>
        <w:ind w:left="323" w:hanging="323" w:hangingChars="134"/>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、所投产品必须提交《医疗器械注册证》（含附页、附表），产品检测报告，进口产品提供技术白皮书（Data Sheet）（产品须提交白皮书及完整检测报告（</w:t>
      </w:r>
      <w:r>
        <w:rPr>
          <w:rFonts w:hint="eastAsia" w:ascii="宋体" w:hAnsi="宋体" w:eastAsia="宋体" w:cs="宋体"/>
          <w:b/>
          <w:bCs/>
          <w:sz w:val="24"/>
          <w:szCs w:val="24"/>
          <w:highlight w:val="none"/>
          <w:lang w:eastAsia="zh-CN"/>
        </w:rPr>
        <w:t>中</w:t>
      </w:r>
      <w:r>
        <w:rPr>
          <w:rFonts w:hint="eastAsia" w:ascii="宋体" w:hAnsi="宋体" w:eastAsia="宋体" w:cs="宋体"/>
          <w:b/>
          <w:bCs/>
          <w:sz w:val="24"/>
          <w:szCs w:val="24"/>
          <w:highlight w:val="none"/>
        </w:rPr>
        <w:t>文版）；国产产品须提交完整检测报告）、彩图、白皮书等。</w:t>
      </w:r>
    </w:p>
    <w:p>
      <w:pPr>
        <w:spacing w:line="360" w:lineRule="auto"/>
        <w:ind w:left="323" w:hanging="323" w:hangingChars="134"/>
        <w:rPr>
          <w:rFonts w:hint="eastAsia" w:ascii="宋体" w:hAnsi="宋体" w:eastAsia="宋体" w:cs="宋体"/>
          <w:b/>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、设备质量保证期≧2年</w:t>
      </w:r>
      <w:r>
        <w:rPr>
          <w:rFonts w:hint="eastAsia" w:ascii="宋体" w:hAnsi="宋体" w:eastAsia="宋体" w:cs="宋体"/>
          <w:b/>
          <w:sz w:val="24"/>
          <w:szCs w:val="24"/>
          <w:highlight w:val="none"/>
        </w:rPr>
        <w:t>（若招标文件“技术分册”另有规定，执行招标文件“技术分册”中的规定）</w:t>
      </w:r>
      <w:r>
        <w:rPr>
          <w:rFonts w:hint="eastAsia" w:ascii="宋体" w:hAnsi="宋体" w:eastAsia="宋体" w:cs="宋体"/>
          <w:b/>
          <w:bCs/>
          <w:sz w:val="24"/>
          <w:szCs w:val="24"/>
          <w:highlight w:val="none"/>
        </w:rPr>
        <w:t>。在质保期内按要求时间无偿进行保修、包换服务，每半年对设备进行一次维护保养。</w:t>
      </w:r>
    </w:p>
    <w:p>
      <w:pPr>
        <w:spacing w:line="360" w:lineRule="auto"/>
        <w:ind w:left="323" w:hanging="323" w:hangingChars="134"/>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、供应商在投标中需列明医疗设备在使用过程中消耗的耗材或易耗品等的价格，以备院方采购时作为参考依据。</w:t>
      </w:r>
    </w:p>
    <w:p>
      <w:pPr>
        <w:spacing w:line="360" w:lineRule="auto"/>
        <w:ind w:left="323" w:hanging="323" w:hangingChars="134"/>
        <w:rPr>
          <w:rFonts w:hint="eastAsia" w:ascii="宋体" w:hAnsi="宋体" w:eastAsia="宋体" w:cs="宋体"/>
          <w:b/>
          <w:sz w:val="24"/>
          <w:szCs w:val="24"/>
          <w:highlight w:val="none"/>
        </w:rPr>
      </w:pP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、医疗设备需要与医院管理系统发生的数据交换的接口服务费由中标方承担。</w:t>
      </w:r>
    </w:p>
    <w:p>
      <w:pPr>
        <w:spacing w:line="360" w:lineRule="auto"/>
        <w:ind w:left="323" w:hanging="323" w:hangingChars="134"/>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、设备验收时，属于国家规定强制质检范围内的设备，质检费用均由中标方承担。</w:t>
      </w:r>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7</w:t>
      </w:r>
      <w:r>
        <w:rPr>
          <w:rFonts w:hint="eastAsia" w:ascii="宋体" w:hAnsi="宋体" w:eastAsia="宋体" w:cs="宋体"/>
          <w:b/>
          <w:bCs/>
          <w:sz w:val="24"/>
          <w:szCs w:val="24"/>
          <w:highlight w:val="none"/>
        </w:rPr>
        <w:t>、招标文件中标有*、★的均为重要技术参数指标。</w:t>
      </w:r>
    </w:p>
    <w:p>
      <w:pPr>
        <w:spacing w:line="360" w:lineRule="auto"/>
        <w:ind w:left="323" w:hanging="323" w:hangingChars="134"/>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w:t>
      </w:r>
      <w:r>
        <w:rPr>
          <w:rFonts w:hint="eastAsia" w:ascii="宋体" w:hAnsi="宋体" w:eastAsia="宋体" w:cs="宋体"/>
          <w:b/>
          <w:kern w:val="0"/>
          <w:sz w:val="24"/>
          <w:szCs w:val="24"/>
          <w:highlight w:val="none"/>
        </w:rPr>
        <w:t>投标人所投的产品报价不得高于招标文件中产品的预算。</w:t>
      </w:r>
    </w:p>
    <w:p>
      <w:pPr>
        <w:spacing w:line="360" w:lineRule="auto"/>
        <w:ind w:left="323" w:hanging="323" w:hangingChars="134"/>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注：1、所有商品必须满足医院的使用规范要求（需要上传产品清单及规格、清晰的产品图片，正规单位出具的产品检验报告，各产品与证件一一对应，需提供生产厂家的生产许可证，质量管理体系认证，卫生许可证，注册证，投标供应商具有巴州地区的销售资质，确保正品），报价时需要列出各产品的品牌，型号，合格证等；</w:t>
      </w:r>
    </w:p>
    <w:p>
      <w:pPr>
        <w:spacing w:line="360" w:lineRule="auto"/>
        <w:ind w:left="321" w:leftChars="114" w:hanging="82" w:hangingChars="34"/>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2、投标文件中需附各产品正规单位出具的检验报告，签订合同需要提供加盖厂家公章的检验报告和检验报告原件（提供的检验报告不合格造假或非本单位所需产品，将做为不正当货物，我单位有权不给予签合同。</w:t>
      </w:r>
    </w:p>
    <w:p>
      <w:pPr>
        <w:spacing w:line="360" w:lineRule="auto"/>
        <w:rPr>
          <w:rFonts w:hint="eastAsia" w:ascii="宋体" w:hAnsi="宋体" w:eastAsia="宋体" w:cs="宋体"/>
          <w:b/>
          <w:sz w:val="24"/>
          <w:szCs w:val="24"/>
          <w:highlight w:val="none"/>
        </w:rPr>
      </w:pPr>
      <w:bookmarkStart w:id="22" w:name="_Toc64919013"/>
      <w:r>
        <w:rPr>
          <w:rFonts w:hint="eastAsia" w:ascii="宋体" w:hAnsi="宋体" w:eastAsia="宋体" w:cs="宋体"/>
          <w:b/>
          <w:sz w:val="24"/>
          <w:szCs w:val="24"/>
          <w:highlight w:val="none"/>
        </w:rPr>
        <w:br w:type="page"/>
      </w:r>
    </w:p>
    <w:p>
      <w:pPr>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sz w:val="32"/>
          <w:szCs w:val="32"/>
          <w:highlight w:val="none"/>
        </w:rPr>
        <w:t>第五部分  合同部分（模板）</w:t>
      </w:r>
      <w:bookmarkEnd w:id="22"/>
    </w:p>
    <w:p>
      <w:pPr>
        <w:overflowPunct w:val="0"/>
        <w:spacing w:line="360" w:lineRule="auto"/>
        <w:rPr>
          <w:rFonts w:hint="eastAsia" w:ascii="宋体" w:hAnsi="宋体" w:eastAsia="宋体" w:cs="宋体"/>
          <w:b/>
          <w:sz w:val="24"/>
          <w:szCs w:val="24"/>
          <w:highlight w:val="none"/>
        </w:rPr>
      </w:pPr>
    </w:p>
    <w:p>
      <w:pPr>
        <w:overflowPunct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政府采购货物合同书</w:t>
      </w:r>
    </w:p>
    <w:p>
      <w:pPr>
        <w:overflowPunct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合同号：</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甲方（采购方）：</w:t>
      </w:r>
      <w:r>
        <w:rPr>
          <w:rFonts w:hint="eastAsia" w:ascii="宋体" w:hAnsi="宋体" w:eastAsia="宋体" w:cs="宋体"/>
          <w:b/>
          <w:bCs/>
          <w:sz w:val="24"/>
          <w:szCs w:val="24"/>
          <w:highlight w:val="none"/>
          <w:lang w:val="en-US" w:eastAsia="zh-CN"/>
        </w:rPr>
        <w:t>库尔勒市第二人民医院</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招标代理机构：</w:t>
      </w:r>
      <w:r>
        <w:rPr>
          <w:rFonts w:hint="eastAsia" w:ascii="宋体" w:hAnsi="宋体" w:eastAsia="宋体" w:cs="宋体"/>
          <w:b/>
          <w:bCs/>
          <w:sz w:val="24"/>
          <w:szCs w:val="24"/>
          <w:highlight w:val="none"/>
          <w:lang w:val="en-US" w:eastAsia="zh-CN"/>
        </w:rPr>
        <w:t>福建省闽咨造价咨询有限公司新疆分公司</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甲乙双方根据政府采购的有关规定，和中标通知书的要求，经双方友好协商，一致同意达成如下内容，特订立本合同，以便共同遵守。</w:t>
      </w:r>
    </w:p>
    <w:p>
      <w:pPr>
        <w:overflowPunct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第一条：合同标的</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乙方根据甲方需求提供下列货物：</w:t>
      </w:r>
    </w:p>
    <w:tbl>
      <w:tblPr>
        <w:tblStyle w:val="13"/>
        <w:tblW w:w="0" w:type="auto"/>
        <w:tblInd w:w="0" w:type="dxa"/>
        <w:tblLayout w:type="fixed"/>
        <w:tblCellMar>
          <w:top w:w="0" w:type="dxa"/>
          <w:left w:w="0" w:type="dxa"/>
          <w:bottom w:w="0" w:type="dxa"/>
          <w:right w:w="0" w:type="dxa"/>
        </w:tblCellMar>
      </w:tblPr>
      <w:tblGrid>
        <w:gridCol w:w="2525"/>
        <w:gridCol w:w="1650"/>
        <w:gridCol w:w="1127"/>
        <w:gridCol w:w="987"/>
        <w:gridCol w:w="1302"/>
        <w:gridCol w:w="987"/>
        <w:gridCol w:w="1298"/>
      </w:tblGrid>
      <w:tr>
        <w:tblPrEx>
          <w:tblCellMar>
            <w:top w:w="0" w:type="dxa"/>
            <w:left w:w="0" w:type="dxa"/>
            <w:bottom w:w="0" w:type="dxa"/>
            <w:right w:w="0" w:type="dxa"/>
          </w:tblCellMar>
        </w:tblPrEx>
        <w:trPr>
          <w:trHeight w:val="600" w:hRule="atLeast"/>
        </w:trPr>
        <w:tc>
          <w:tcPr>
            <w:tcW w:w="252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adjustRightInd w:val="0"/>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货物名称</w:t>
            </w:r>
          </w:p>
        </w:tc>
        <w:tc>
          <w:tcPr>
            <w:tcW w:w="165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adjustRightInd w:val="0"/>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规格型号</w:t>
            </w:r>
          </w:p>
        </w:tc>
        <w:tc>
          <w:tcPr>
            <w:tcW w:w="112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adjustRightInd w:val="0"/>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单价（元）</w:t>
            </w:r>
          </w:p>
        </w:tc>
        <w:tc>
          <w:tcPr>
            <w:tcW w:w="98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adjustRightInd w:val="0"/>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1302"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adjustRightInd w:val="0"/>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金额（元）</w:t>
            </w:r>
          </w:p>
        </w:tc>
        <w:tc>
          <w:tcPr>
            <w:tcW w:w="98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adjustRightInd w:val="0"/>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质保期</w:t>
            </w:r>
          </w:p>
        </w:tc>
        <w:tc>
          <w:tcPr>
            <w:tcW w:w="129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adjustRightInd w:val="0"/>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CellMar>
            <w:top w:w="0" w:type="dxa"/>
            <w:left w:w="0" w:type="dxa"/>
            <w:bottom w:w="0" w:type="dxa"/>
            <w:right w:w="0" w:type="dxa"/>
          </w:tblCellMar>
        </w:tblPrEx>
        <w:trPr>
          <w:trHeight w:val="571" w:hRule="atLeast"/>
        </w:trPr>
        <w:tc>
          <w:tcPr>
            <w:tcW w:w="25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ind w:firstLine="480"/>
              <w:jc w:val="center"/>
              <w:rPr>
                <w:rFonts w:hint="eastAsia" w:ascii="宋体" w:hAnsi="宋体" w:eastAsia="宋体" w:cs="宋体"/>
                <w:kern w:val="0"/>
                <w:sz w:val="24"/>
                <w:szCs w:val="24"/>
                <w:highlight w:val="none"/>
              </w:rPr>
            </w:pPr>
          </w:p>
        </w:tc>
        <w:tc>
          <w:tcPr>
            <w:tcW w:w="165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ind w:left="143" w:firstLine="480"/>
              <w:jc w:val="center"/>
              <w:rPr>
                <w:rFonts w:hint="eastAsia" w:ascii="宋体" w:hAnsi="宋体" w:eastAsia="宋体" w:cs="宋体"/>
                <w:kern w:val="0"/>
                <w:sz w:val="24"/>
                <w:szCs w:val="24"/>
                <w:highlight w:val="none"/>
              </w:rPr>
            </w:pPr>
          </w:p>
        </w:tc>
        <w:tc>
          <w:tcPr>
            <w:tcW w:w="112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ind w:firstLine="480"/>
              <w:jc w:val="center"/>
              <w:rPr>
                <w:rFonts w:hint="eastAsia" w:ascii="宋体" w:hAnsi="宋体" w:eastAsia="宋体" w:cs="宋体"/>
                <w:kern w:val="0"/>
                <w:sz w:val="24"/>
                <w:szCs w:val="24"/>
                <w:highlight w:val="none"/>
              </w:rPr>
            </w:pPr>
          </w:p>
        </w:tc>
        <w:tc>
          <w:tcPr>
            <w:tcW w:w="98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ind w:firstLine="480"/>
              <w:jc w:val="center"/>
              <w:rPr>
                <w:rFonts w:hint="eastAsia" w:ascii="宋体" w:hAnsi="宋体" w:eastAsia="宋体" w:cs="宋体"/>
                <w:kern w:val="0"/>
                <w:sz w:val="24"/>
                <w:szCs w:val="24"/>
                <w:highlight w:val="none"/>
              </w:rPr>
            </w:pPr>
          </w:p>
        </w:tc>
        <w:tc>
          <w:tcPr>
            <w:tcW w:w="130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ind w:firstLine="480"/>
              <w:jc w:val="center"/>
              <w:rPr>
                <w:rFonts w:hint="eastAsia" w:ascii="宋体" w:hAnsi="宋体" w:eastAsia="宋体" w:cs="宋体"/>
                <w:kern w:val="0"/>
                <w:sz w:val="24"/>
                <w:szCs w:val="24"/>
                <w:highlight w:val="none"/>
              </w:rPr>
            </w:pPr>
          </w:p>
        </w:tc>
        <w:tc>
          <w:tcPr>
            <w:tcW w:w="98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ind w:firstLine="480"/>
              <w:jc w:val="center"/>
              <w:rPr>
                <w:rFonts w:hint="eastAsia" w:ascii="宋体" w:hAnsi="宋体" w:eastAsia="宋体" w:cs="宋体"/>
                <w:kern w:val="0"/>
                <w:sz w:val="24"/>
                <w:szCs w:val="24"/>
                <w:highlight w:val="none"/>
              </w:rPr>
            </w:pPr>
          </w:p>
        </w:tc>
        <w:tc>
          <w:tcPr>
            <w:tcW w:w="12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jc w:val="center"/>
              <w:rPr>
                <w:rFonts w:hint="eastAsia" w:ascii="宋体" w:hAnsi="宋体" w:eastAsia="宋体" w:cs="宋体"/>
                <w:kern w:val="0"/>
                <w:sz w:val="24"/>
                <w:szCs w:val="24"/>
                <w:highlight w:val="none"/>
              </w:rPr>
            </w:pPr>
          </w:p>
        </w:tc>
      </w:tr>
      <w:tr>
        <w:tblPrEx>
          <w:tblCellMar>
            <w:top w:w="0" w:type="dxa"/>
            <w:left w:w="0" w:type="dxa"/>
            <w:bottom w:w="0" w:type="dxa"/>
            <w:right w:w="0" w:type="dxa"/>
          </w:tblCellMar>
        </w:tblPrEx>
        <w:trPr>
          <w:trHeight w:val="483" w:hRule="atLeast"/>
        </w:trPr>
        <w:tc>
          <w:tcPr>
            <w:tcW w:w="25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jc w:val="center"/>
              <w:rPr>
                <w:rFonts w:hint="eastAsia" w:ascii="宋体" w:hAnsi="宋体" w:eastAsia="宋体" w:cs="宋体"/>
                <w:kern w:val="0"/>
                <w:sz w:val="24"/>
                <w:szCs w:val="24"/>
                <w:highlight w:val="none"/>
              </w:rPr>
            </w:pPr>
          </w:p>
        </w:tc>
        <w:tc>
          <w:tcPr>
            <w:tcW w:w="165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jc w:val="center"/>
              <w:rPr>
                <w:rFonts w:hint="eastAsia" w:ascii="宋体" w:hAnsi="宋体" w:eastAsia="宋体" w:cs="宋体"/>
                <w:kern w:val="0"/>
                <w:sz w:val="24"/>
                <w:szCs w:val="24"/>
                <w:highlight w:val="none"/>
              </w:rPr>
            </w:pPr>
          </w:p>
        </w:tc>
        <w:tc>
          <w:tcPr>
            <w:tcW w:w="112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jc w:val="center"/>
              <w:rPr>
                <w:rFonts w:hint="eastAsia" w:ascii="宋体" w:hAnsi="宋体" w:eastAsia="宋体" w:cs="宋体"/>
                <w:kern w:val="0"/>
                <w:sz w:val="24"/>
                <w:szCs w:val="24"/>
                <w:highlight w:val="none"/>
              </w:rPr>
            </w:pPr>
          </w:p>
        </w:tc>
        <w:tc>
          <w:tcPr>
            <w:tcW w:w="98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jc w:val="center"/>
              <w:rPr>
                <w:rFonts w:hint="eastAsia" w:ascii="宋体" w:hAnsi="宋体" w:eastAsia="宋体" w:cs="宋体"/>
                <w:kern w:val="0"/>
                <w:sz w:val="24"/>
                <w:szCs w:val="24"/>
                <w:highlight w:val="none"/>
              </w:rPr>
            </w:pPr>
          </w:p>
        </w:tc>
        <w:tc>
          <w:tcPr>
            <w:tcW w:w="130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jc w:val="center"/>
              <w:rPr>
                <w:rFonts w:hint="eastAsia" w:ascii="宋体" w:hAnsi="宋体" w:eastAsia="宋体" w:cs="宋体"/>
                <w:kern w:val="0"/>
                <w:sz w:val="24"/>
                <w:szCs w:val="24"/>
                <w:highlight w:val="none"/>
              </w:rPr>
            </w:pPr>
          </w:p>
        </w:tc>
        <w:tc>
          <w:tcPr>
            <w:tcW w:w="98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jc w:val="center"/>
              <w:rPr>
                <w:rFonts w:hint="eastAsia" w:ascii="宋体" w:hAnsi="宋体" w:eastAsia="宋体" w:cs="宋体"/>
                <w:kern w:val="0"/>
                <w:sz w:val="24"/>
                <w:szCs w:val="24"/>
                <w:highlight w:val="none"/>
              </w:rPr>
            </w:pPr>
          </w:p>
        </w:tc>
        <w:tc>
          <w:tcPr>
            <w:tcW w:w="12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jc w:val="center"/>
              <w:rPr>
                <w:rFonts w:hint="eastAsia" w:ascii="宋体" w:hAnsi="宋体" w:eastAsia="宋体" w:cs="宋体"/>
                <w:kern w:val="0"/>
                <w:sz w:val="24"/>
                <w:szCs w:val="24"/>
                <w:highlight w:val="none"/>
              </w:rPr>
            </w:pPr>
          </w:p>
        </w:tc>
      </w:tr>
      <w:tr>
        <w:tblPrEx>
          <w:tblCellMar>
            <w:top w:w="0" w:type="dxa"/>
            <w:left w:w="0" w:type="dxa"/>
            <w:bottom w:w="0" w:type="dxa"/>
            <w:right w:w="0" w:type="dxa"/>
          </w:tblCellMar>
        </w:tblPrEx>
        <w:trPr>
          <w:trHeight w:val="550" w:hRule="atLeast"/>
        </w:trPr>
        <w:tc>
          <w:tcPr>
            <w:tcW w:w="25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ind w:firstLine="480"/>
              <w:jc w:val="center"/>
              <w:rPr>
                <w:rFonts w:hint="eastAsia" w:ascii="宋体" w:hAnsi="宋体" w:eastAsia="宋体" w:cs="宋体"/>
                <w:kern w:val="0"/>
                <w:sz w:val="24"/>
                <w:szCs w:val="24"/>
                <w:highlight w:val="none"/>
              </w:rPr>
            </w:pPr>
          </w:p>
        </w:tc>
        <w:tc>
          <w:tcPr>
            <w:tcW w:w="165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jc w:val="center"/>
              <w:rPr>
                <w:rFonts w:hint="eastAsia" w:ascii="宋体" w:hAnsi="宋体" w:eastAsia="宋体" w:cs="宋体"/>
                <w:kern w:val="0"/>
                <w:sz w:val="24"/>
                <w:szCs w:val="24"/>
                <w:highlight w:val="none"/>
              </w:rPr>
            </w:pPr>
          </w:p>
        </w:tc>
        <w:tc>
          <w:tcPr>
            <w:tcW w:w="112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jc w:val="center"/>
              <w:rPr>
                <w:rFonts w:hint="eastAsia" w:ascii="宋体" w:hAnsi="宋体" w:eastAsia="宋体" w:cs="宋体"/>
                <w:kern w:val="0"/>
                <w:sz w:val="24"/>
                <w:szCs w:val="24"/>
                <w:highlight w:val="none"/>
              </w:rPr>
            </w:pPr>
          </w:p>
        </w:tc>
        <w:tc>
          <w:tcPr>
            <w:tcW w:w="98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jc w:val="center"/>
              <w:rPr>
                <w:rFonts w:hint="eastAsia" w:ascii="宋体" w:hAnsi="宋体" w:eastAsia="宋体" w:cs="宋体"/>
                <w:kern w:val="0"/>
                <w:sz w:val="24"/>
                <w:szCs w:val="24"/>
                <w:highlight w:val="none"/>
              </w:rPr>
            </w:pPr>
          </w:p>
        </w:tc>
        <w:tc>
          <w:tcPr>
            <w:tcW w:w="1302"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ind w:firstLine="480"/>
              <w:jc w:val="center"/>
              <w:rPr>
                <w:rFonts w:hint="eastAsia" w:ascii="宋体" w:hAnsi="宋体" w:eastAsia="宋体" w:cs="宋体"/>
                <w:kern w:val="0"/>
                <w:sz w:val="24"/>
                <w:szCs w:val="24"/>
                <w:highlight w:val="none"/>
              </w:rPr>
            </w:pPr>
          </w:p>
        </w:tc>
        <w:tc>
          <w:tcPr>
            <w:tcW w:w="98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jc w:val="center"/>
              <w:rPr>
                <w:rFonts w:hint="eastAsia" w:ascii="宋体" w:hAnsi="宋体" w:eastAsia="宋体" w:cs="宋体"/>
                <w:kern w:val="0"/>
                <w:sz w:val="24"/>
                <w:szCs w:val="24"/>
                <w:highlight w:val="none"/>
              </w:rPr>
            </w:pPr>
          </w:p>
        </w:tc>
        <w:tc>
          <w:tcPr>
            <w:tcW w:w="129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360" w:lineRule="auto"/>
              <w:jc w:val="center"/>
              <w:rPr>
                <w:rFonts w:hint="eastAsia" w:ascii="宋体" w:hAnsi="宋体" w:eastAsia="宋体" w:cs="宋体"/>
                <w:kern w:val="0"/>
                <w:sz w:val="24"/>
                <w:szCs w:val="24"/>
                <w:highlight w:val="none"/>
              </w:rPr>
            </w:pPr>
          </w:p>
        </w:tc>
      </w:tr>
    </w:tbl>
    <w:p>
      <w:pPr>
        <w:overflowPunct w:val="0"/>
        <w:spacing w:line="360" w:lineRule="auto"/>
        <w:rPr>
          <w:rFonts w:hint="eastAsia" w:ascii="宋体" w:hAnsi="宋体" w:eastAsia="宋体" w:cs="宋体"/>
          <w:b/>
          <w:sz w:val="24"/>
          <w:szCs w:val="24"/>
          <w:highlight w:val="none"/>
        </w:rPr>
      </w:pPr>
    </w:p>
    <w:p>
      <w:pPr>
        <w:overflowPunct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第二条：合同价格</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1、货物总价为人民币（大写）：元整。</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2、总价中包括货物金额、安装费、包装费、软件接口费、运输费及运输途中保险费、装卸费及税金。本合同价格一般不得做任何变更与调整。</w:t>
      </w:r>
    </w:p>
    <w:p>
      <w:pPr>
        <w:overflowPunct w:val="0"/>
        <w:spacing w:line="360" w:lineRule="auto"/>
        <w:rPr>
          <w:rFonts w:hint="eastAsia" w:ascii="宋体" w:hAnsi="宋体" w:eastAsia="宋体" w:cs="宋体"/>
          <w:sz w:val="24"/>
          <w:szCs w:val="24"/>
          <w:highlight w:val="none"/>
        </w:rPr>
      </w:pPr>
    </w:p>
    <w:p>
      <w:pPr>
        <w:overflowPunct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第三条：付款方式</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1、甲乙双方确认的货款结算依据：投标文件、中标通知书，采购合同书，乙方开具的发票，甲方出具的验收结算书等。</w:t>
      </w:r>
    </w:p>
    <w:p>
      <w:pPr>
        <w:overflowPunct w:val="0"/>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rPr>
        <w:t>2、</w:t>
      </w:r>
      <w:r>
        <w:rPr>
          <w:rFonts w:hint="eastAsia"/>
          <w:b/>
          <w:bCs/>
          <w:sz w:val="24"/>
          <w:szCs w:val="24"/>
          <w:highlight w:val="none"/>
          <w:vertAlign w:val="baseline"/>
          <w:lang w:eastAsia="zh-CN"/>
        </w:rPr>
        <w:t>以签订合同时双方协商为准。</w:t>
      </w:r>
      <w:r>
        <w:rPr>
          <w:rFonts w:hint="eastAsia" w:ascii="宋体" w:hAnsi="宋体" w:eastAsia="宋体" w:cs="宋体"/>
          <w:b/>
          <w:bCs/>
          <w:sz w:val="24"/>
          <w:szCs w:val="24"/>
          <w:highlight w:val="none"/>
          <w:vertAlign w:val="baseline"/>
          <w:lang w:eastAsia="zh-CN"/>
        </w:rPr>
        <w:t>设备安装调试运行正常、发票到、固定资产建立30日付70%、正常运行6个月付20%、10%质保期满一周付清。</w:t>
      </w:r>
    </w:p>
    <w:p>
      <w:pPr>
        <w:overflowPunct w:val="0"/>
        <w:spacing w:line="360" w:lineRule="auto"/>
        <w:rPr>
          <w:rFonts w:hint="eastAsia" w:ascii="宋体" w:hAnsi="宋体" w:eastAsia="宋体" w:cs="宋体"/>
          <w:sz w:val="24"/>
          <w:szCs w:val="24"/>
          <w:highlight w:val="none"/>
        </w:rPr>
      </w:pPr>
    </w:p>
    <w:p>
      <w:pPr>
        <w:overflowPunct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第四条：交货、包装与验收</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1、交货地点：</w:t>
      </w:r>
      <w:r>
        <w:rPr>
          <w:rFonts w:hint="eastAsia" w:ascii="宋体" w:hAnsi="宋体" w:eastAsia="宋体" w:cs="宋体"/>
          <w:sz w:val="24"/>
          <w:szCs w:val="24"/>
          <w:highlight w:val="none"/>
          <w:lang w:val="en-US" w:eastAsia="zh-CN"/>
        </w:rPr>
        <w:t>库尔勒市第二人民医院</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2、交货时间：2021年 月 日前</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3、货物包装应符合国家标准，以保证货物在运输过程中不受损伤。货物在运输或邮寄途中发生毁损或丢失，由乙方负责。在运输途中、交货前、卸货中发生人身伤害或货物受损的，由乙方负责承担。</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4、货物到达后，甲乙双方均须在场并确认包装的完好性后，安装后由甲方验货。并对货物进行清点验收，共同签字确认。如验收不合格，乙方应退货，预缴押金的要全额退还，一切损失由乙方承担。</w:t>
      </w:r>
    </w:p>
    <w:p>
      <w:pPr>
        <w:overflowPunct w:val="0"/>
        <w:spacing w:line="360" w:lineRule="auto"/>
        <w:ind w:firstLine="482" w:firstLineChars="200"/>
        <w:rPr>
          <w:rFonts w:hint="eastAsia" w:ascii="宋体" w:hAnsi="宋体" w:eastAsia="宋体" w:cs="宋体"/>
          <w:sz w:val="24"/>
          <w:szCs w:val="24"/>
          <w:highlight w:val="none"/>
        </w:rPr>
      </w:pPr>
      <w:r>
        <w:rPr>
          <w:rFonts w:hint="eastAsia" w:ascii="宋体" w:hAnsi="宋体" w:cs="宋体"/>
          <w:b/>
          <w:bCs/>
          <w:sz w:val="24"/>
          <w:szCs w:val="24"/>
          <w:highlight w:val="none"/>
          <w:lang w:eastAsia="zh-CN"/>
        </w:rPr>
        <w:t>注：</w:t>
      </w:r>
      <w:r>
        <w:rPr>
          <w:rFonts w:hint="eastAsia" w:ascii="宋体" w:hAnsi="宋体" w:eastAsia="宋体" w:cs="宋体"/>
          <w:b/>
          <w:bCs/>
          <w:sz w:val="24"/>
          <w:szCs w:val="24"/>
          <w:highlight w:val="none"/>
        </w:rPr>
        <w:t>中标公告发布后中标公司需携带所有三证到本单位查验是否为所需产品。签订合同完需及时送货至指定地点，时间为5个工作日，不得耽误工作，如不能按时供货的谨慎报价，影响采购单位工作进度，造成相关损失的，需赔偿相关损失并上报。</w:t>
      </w:r>
    </w:p>
    <w:p>
      <w:pPr>
        <w:overflowPunct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第五条：本合同的有效组成文件：</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2、中标通知书。</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3、甲方出具的验货结算书。</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4、乙方所提供的其他承诺。</w:t>
      </w:r>
    </w:p>
    <w:p>
      <w:pPr>
        <w:overflowPunct w:val="0"/>
        <w:spacing w:line="360" w:lineRule="auto"/>
        <w:rPr>
          <w:rFonts w:hint="eastAsia" w:ascii="宋体" w:hAnsi="宋体" w:eastAsia="宋体" w:cs="宋体"/>
          <w:sz w:val="24"/>
          <w:szCs w:val="24"/>
          <w:highlight w:val="none"/>
        </w:rPr>
      </w:pPr>
    </w:p>
    <w:p>
      <w:pPr>
        <w:overflowPunct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第六条：质量保证和售后服务：</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乙方应保证所提供的货物是全新、未使用过的原装合格正品，并完全符合国家标准和行业的相关标准。</w:t>
      </w:r>
    </w:p>
    <w:p>
      <w:pPr>
        <w:overflowPunct w:val="0"/>
        <w:spacing w:line="360" w:lineRule="auto"/>
        <w:rPr>
          <w:rFonts w:hint="eastAsia" w:ascii="宋体" w:hAnsi="宋体" w:eastAsia="宋体" w:cs="宋体"/>
          <w:sz w:val="24"/>
          <w:szCs w:val="24"/>
          <w:highlight w:val="none"/>
        </w:rPr>
      </w:pPr>
    </w:p>
    <w:p>
      <w:pPr>
        <w:overflowPunct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第七条：违约责任：</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1、乙方不能按期按约交货或部分交货的，甲方有权不予支付乙方货款，并有权解除合同，乙方并应向甲方偿付相当于不能交货部分货款</w:t>
      </w:r>
      <w:r>
        <w:rPr>
          <w:rFonts w:hint="eastAsia" w:ascii="宋体" w:hAnsi="宋体" w:eastAsia="宋体" w:cs="宋体"/>
          <w:b/>
          <w:bCs/>
          <w:sz w:val="24"/>
          <w:szCs w:val="24"/>
          <w:highlight w:val="none"/>
          <w:u w:val="single"/>
        </w:rPr>
        <w:t>5%</w:t>
      </w:r>
      <w:r>
        <w:rPr>
          <w:rFonts w:hint="eastAsia" w:ascii="宋体" w:hAnsi="宋体" w:eastAsia="宋体" w:cs="宋体"/>
          <w:sz w:val="24"/>
          <w:szCs w:val="24"/>
          <w:highlight w:val="none"/>
        </w:rPr>
        <w:t>的违约金。</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2、乙方所提供货物品种、数量、质量不符合国家法律法规和本合同规定的，甲方有权拒收，由乙方负责包换或退货，并承担由此而支付的实际费用。</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3、乙方逾期交货的，按逾期缴货部分货款计算，向甲方偿付每日千分之五的违约金，并承担甲方因此所受的损失费用。</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4、乙方违反本合同相关约定的，除应当承担违约责任外，因乙方违约导致甲方产生其他相关损失的，乙方应当赔偿甲方因此产生的经济损失。</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5、甲方未按合同约定逾期付款的，应按照每日千分之五的比例向乙方偿付逾期货款的违约金。</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6、甲方违反本合同规定拒绝接货的，应当承担由此对乙方造成的损失。</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7、双方必须严格执行《中华人民共和国</w:t>
      </w:r>
      <w:r>
        <w:rPr>
          <w:rFonts w:hint="eastAsia" w:ascii="宋体" w:hAnsi="宋体" w:eastAsia="宋体" w:cs="宋体"/>
          <w:sz w:val="24"/>
          <w:szCs w:val="24"/>
          <w:highlight w:val="none"/>
          <w:lang w:eastAsia="zh-CN"/>
        </w:rPr>
        <w:t>民</w:t>
      </w:r>
      <w:r>
        <w:rPr>
          <w:rFonts w:hint="eastAsia" w:ascii="宋体" w:hAnsi="宋体" w:eastAsia="宋体" w:cs="宋体"/>
          <w:sz w:val="24"/>
          <w:szCs w:val="24"/>
          <w:highlight w:val="none"/>
        </w:rPr>
        <w:t>法</w:t>
      </w:r>
      <w:r>
        <w:rPr>
          <w:rFonts w:hint="eastAsia" w:ascii="宋体" w:hAnsi="宋体" w:eastAsia="宋体" w:cs="宋体"/>
          <w:sz w:val="24"/>
          <w:szCs w:val="24"/>
          <w:highlight w:val="none"/>
          <w:lang w:eastAsia="zh-CN"/>
        </w:rPr>
        <w:t>典</w:t>
      </w:r>
      <w:r>
        <w:rPr>
          <w:rFonts w:hint="eastAsia" w:ascii="宋体" w:hAnsi="宋体" w:eastAsia="宋体" w:cs="宋体"/>
          <w:sz w:val="24"/>
          <w:szCs w:val="24"/>
          <w:highlight w:val="none"/>
        </w:rPr>
        <w:t>》的有关违约责任规定。</w:t>
      </w:r>
    </w:p>
    <w:p>
      <w:pPr>
        <w:overflowPunct w:val="0"/>
        <w:spacing w:line="360" w:lineRule="auto"/>
        <w:rPr>
          <w:rFonts w:hint="eastAsia" w:ascii="宋体" w:hAnsi="宋体" w:eastAsia="宋体" w:cs="宋体"/>
          <w:sz w:val="24"/>
          <w:szCs w:val="24"/>
          <w:highlight w:val="none"/>
        </w:rPr>
      </w:pPr>
    </w:p>
    <w:p>
      <w:pPr>
        <w:overflowPunct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第八条：不可抗力</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本合同生效后发生不可抗力的，发生不可抗力的一方应立即通知对方和巴音郭楞蒙古自治州政府采购办，并在不可抗力发生之日起五天内提供不可抗力的详情及有关证明文件送交对方和巴音郭楞蒙古自治州政府采购办。</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2、发生不可抗力事件时，双方应协商以寻找一个合理的解决方法，并尽一切努力减轻不可抗力产生的后果。如不可抗力影响双方合同正常执行的，双方应友好协商解决本合同是否继续履行或终止。</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3、一方因不可抗力不能按本合同约定履行的，可以减轻或免除一方的违约责任，一方不能证明不能按本合同约定履行是因不可抗力的，应当承担本合同约定的违约和赔偿责任。</w:t>
      </w:r>
    </w:p>
    <w:p>
      <w:pPr>
        <w:overflowPunct w:val="0"/>
        <w:spacing w:line="360" w:lineRule="auto"/>
        <w:rPr>
          <w:rFonts w:hint="eastAsia" w:ascii="宋体" w:hAnsi="宋体" w:eastAsia="宋体" w:cs="宋体"/>
          <w:sz w:val="24"/>
          <w:szCs w:val="24"/>
          <w:highlight w:val="none"/>
        </w:rPr>
      </w:pPr>
    </w:p>
    <w:p>
      <w:pPr>
        <w:overflowPunct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第九条：合同的解除和变更</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当合同一方要求变更或解除合同时，在新协议未达成前，原合同仍然有效。要求变更的一方应及时书面通知对方巴音郭楞蒙古自治州政府采购办，对方在接到通知15日内书面给予答复，逾期未答复则视为已同意。双方达成协议的，按新协议执行，并报巴音郭楞蒙古自治州政府采购办备案。</w:t>
      </w:r>
    </w:p>
    <w:p>
      <w:pPr>
        <w:overflowPunct w:val="0"/>
        <w:spacing w:line="360" w:lineRule="auto"/>
        <w:rPr>
          <w:rFonts w:hint="eastAsia" w:ascii="宋体" w:hAnsi="宋体" w:eastAsia="宋体" w:cs="宋体"/>
          <w:sz w:val="24"/>
          <w:szCs w:val="24"/>
          <w:highlight w:val="none"/>
        </w:rPr>
      </w:pPr>
    </w:p>
    <w:p>
      <w:pPr>
        <w:overflowPunct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第十条：争议解决方式</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甲乙双方在合同执行中发生争议，由甲乙双方协商解决，协商解决不了的，甲乙双方均有权向巴音郭楞蒙古自治州政府采购办投诉或向合同签署所在地人民法院提起诉讼。</w:t>
      </w:r>
    </w:p>
    <w:p>
      <w:pPr>
        <w:overflowPunct w:val="0"/>
        <w:spacing w:line="360" w:lineRule="auto"/>
        <w:rPr>
          <w:rFonts w:hint="eastAsia" w:ascii="宋体" w:hAnsi="宋体" w:eastAsia="宋体" w:cs="宋体"/>
          <w:sz w:val="24"/>
          <w:szCs w:val="24"/>
          <w:highlight w:val="none"/>
        </w:rPr>
      </w:pPr>
    </w:p>
    <w:p>
      <w:pPr>
        <w:overflowPunct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第十一条：合同生效及其他</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1、本合同经甲乙双方盖章和代表签字日期，即为本合同生效日期。如双方盖章签字日期不一致时，以最后盖章签字方的盖章签字日期为合同的生效日期。</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2、本合同一式陆份，甲伍份，乙方一份，政府采购办、招标代理公司各一套</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3、本合同的未尽事项，必要时由甲乙双方另订补充协议，经甲乙双方盖章和双方授权代表签字后与本合同具有同等法律效力，补充协议必须交巴音郭楞蒙古自治州政府采购办备案。</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                                   乙方：</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地址：            </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经办人：                                      经办人：         </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电话：                                         电话：                           </w:t>
      </w:r>
    </w:p>
    <w:p>
      <w:pPr>
        <w:overflowPunct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（注：本章提供的合同通用条款为一般格式范本，仅供参考。合同双方可根据项目实际情况进行补充修订或依法另行签订补充合同。）</w:t>
      </w:r>
    </w:p>
    <w:p>
      <w:pPr>
        <w:spacing w:line="360" w:lineRule="auto"/>
        <w:jc w:val="center"/>
        <w:outlineLvl w:val="0"/>
        <w:rPr>
          <w:rFonts w:hint="eastAsia" w:ascii="宋体" w:hAnsi="宋体" w:eastAsia="宋体" w:cs="宋体"/>
          <w:b/>
          <w:sz w:val="24"/>
          <w:szCs w:val="24"/>
          <w:highlight w:val="none"/>
        </w:rPr>
      </w:pPr>
      <w:bookmarkStart w:id="23" w:name="_Toc64919014"/>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spacing w:line="360" w:lineRule="auto"/>
        <w:jc w:val="center"/>
        <w:outlineLvl w:val="0"/>
        <w:rPr>
          <w:rFonts w:hint="eastAsia" w:ascii="宋体" w:hAnsi="宋体" w:eastAsia="宋体" w:cs="宋体"/>
          <w:b/>
          <w:sz w:val="32"/>
          <w:szCs w:val="32"/>
          <w:highlight w:val="none"/>
        </w:rPr>
      </w:pPr>
      <w:r>
        <w:rPr>
          <w:rFonts w:hint="eastAsia" w:ascii="宋体" w:hAnsi="宋体" w:eastAsia="宋体" w:cs="宋体"/>
          <w:b/>
          <w:sz w:val="32"/>
          <w:szCs w:val="32"/>
          <w:highlight w:val="none"/>
        </w:rPr>
        <w:t>第六部分 投标文件格式</w:t>
      </w:r>
      <w:bookmarkEnd w:id="23"/>
    </w:p>
    <w:p>
      <w:pPr>
        <w:spacing w:line="360" w:lineRule="auto"/>
        <w:ind w:firstLine="1930" w:firstLineChars="801"/>
        <w:rPr>
          <w:rFonts w:hint="eastAsia" w:ascii="宋体" w:hAnsi="宋体" w:eastAsia="宋体" w:cs="宋体"/>
          <w:b/>
          <w:sz w:val="24"/>
          <w:szCs w:val="24"/>
          <w:highlight w:val="none"/>
        </w:rPr>
      </w:pPr>
    </w:p>
    <w:p>
      <w:pPr>
        <w:spacing w:line="360" w:lineRule="auto"/>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按如下顺序编制投标文件：</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一、投标文件封面</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二、☆营业执照、组织机构代码证、税务登记证等相关招标文件要求资格</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三、☆法定代表人身份证明及授权委托书</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四、☆投标保证金</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五、中、小微企业声明函（中、小、微型企业产品价格需扣除的须提供）</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六、供应商认为有必要提供的声明及文件资料</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七、不参与围标串标承诺书</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八、中华人民共和国政府采购法第二十二条应当具备的条件</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九、☆投标函</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十、☆开标一览表</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十一、☆投标报价明细表</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十二、☆服务承诺书</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十三、商务条款偏离说明表</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十四、投标人自行编写的技术文件</w:t>
      </w:r>
    </w:p>
    <w:p>
      <w:pPr>
        <w:spacing w:line="360"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十五、投标人自行编写的服务文件</w:t>
      </w:r>
    </w:p>
    <w:p>
      <w:pPr>
        <w:spacing w:line="360" w:lineRule="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十六、其他材料</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24" w:name="_Toc36632471"/>
      <w:bookmarkStart w:id="25" w:name="_Toc256000035"/>
      <w:r>
        <w:rPr>
          <w:rFonts w:hint="eastAsia" w:ascii="宋体" w:hAnsi="宋体" w:eastAsia="宋体" w:cs="宋体"/>
          <w:b/>
          <w:sz w:val="32"/>
          <w:szCs w:val="32"/>
          <w:highlight w:val="none"/>
        </w:rPr>
        <w:t>一、投标文件格式</w:t>
      </w:r>
      <w:bookmarkEnd w:id="24"/>
      <w:r>
        <w:rPr>
          <w:rFonts w:hint="eastAsia" w:ascii="宋体" w:hAnsi="宋体" w:eastAsia="宋体" w:cs="宋体"/>
          <w:sz w:val="24"/>
          <w:szCs w:val="24"/>
          <w:highlight w:val="none"/>
        </w:rPr>
        <w:br w:type="page"/>
      </w: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一、投标文件封面</w:t>
      </w:r>
      <w:bookmarkEnd w:id="25"/>
    </w:p>
    <w:p>
      <w:pPr>
        <w:pStyle w:val="26"/>
        <w:spacing w:line="360" w:lineRule="auto"/>
        <w:rPr>
          <w:rFonts w:hint="eastAsia" w:ascii="宋体" w:hAnsi="宋体" w:eastAsia="宋体" w:cs="宋体"/>
          <w:b/>
          <w:sz w:val="24"/>
          <w:szCs w:val="24"/>
          <w:highlight w:val="none"/>
        </w:rPr>
      </w:pPr>
    </w:p>
    <w:p>
      <w:pPr>
        <w:pStyle w:val="26"/>
        <w:spacing w:line="360" w:lineRule="auto"/>
        <w:jc w:val="center"/>
        <w:rPr>
          <w:rFonts w:hint="eastAsia" w:ascii="宋体" w:hAnsi="宋体" w:eastAsia="宋体" w:cs="宋体"/>
          <w:sz w:val="24"/>
          <w:szCs w:val="24"/>
          <w:highlight w:val="none"/>
        </w:rPr>
      </w:pPr>
    </w:p>
    <w:p>
      <w:pPr>
        <w:pStyle w:val="26"/>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w:t>
      </w:r>
    </w:p>
    <w:p>
      <w:pPr>
        <w:pStyle w:val="26"/>
        <w:spacing w:line="360" w:lineRule="auto"/>
        <w:jc w:val="center"/>
        <w:rPr>
          <w:rFonts w:hint="eastAsia" w:ascii="宋体" w:hAnsi="宋体" w:eastAsia="宋体" w:cs="宋体"/>
          <w:sz w:val="24"/>
          <w:szCs w:val="24"/>
          <w:highlight w:val="none"/>
        </w:rPr>
      </w:pPr>
    </w:p>
    <w:p>
      <w:pPr>
        <w:pStyle w:val="26"/>
        <w:spacing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（项目编号）</w:t>
      </w:r>
    </w:p>
    <w:p>
      <w:pPr>
        <w:pStyle w:val="26"/>
        <w:spacing w:line="360" w:lineRule="auto"/>
        <w:jc w:val="center"/>
        <w:rPr>
          <w:rFonts w:hint="eastAsia" w:ascii="宋体" w:hAnsi="宋体" w:eastAsia="宋体" w:cs="宋体"/>
          <w:sz w:val="24"/>
          <w:szCs w:val="24"/>
          <w:highlight w:val="none"/>
        </w:rPr>
      </w:pPr>
    </w:p>
    <w:p>
      <w:pPr>
        <w:pStyle w:val="26"/>
        <w:spacing w:line="360" w:lineRule="auto"/>
        <w:jc w:val="center"/>
        <w:rPr>
          <w:rFonts w:hint="eastAsia" w:ascii="宋体" w:hAnsi="宋体" w:eastAsia="宋体" w:cs="宋体"/>
          <w:sz w:val="24"/>
          <w:szCs w:val="24"/>
          <w:highlight w:val="none"/>
        </w:rPr>
      </w:pPr>
    </w:p>
    <w:p>
      <w:pPr>
        <w:pStyle w:val="26"/>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投标文件</w:t>
      </w:r>
    </w:p>
    <w:p>
      <w:pPr>
        <w:pStyle w:val="26"/>
        <w:spacing w:line="360" w:lineRule="auto"/>
        <w:jc w:val="center"/>
        <w:rPr>
          <w:rFonts w:hint="eastAsia" w:ascii="宋体" w:hAnsi="宋体" w:eastAsia="宋体" w:cs="宋体"/>
          <w:sz w:val="24"/>
          <w:szCs w:val="24"/>
          <w:highlight w:val="none"/>
        </w:rPr>
      </w:pPr>
    </w:p>
    <w:p>
      <w:pPr>
        <w:pStyle w:val="26"/>
        <w:spacing w:line="360" w:lineRule="auto"/>
        <w:jc w:val="center"/>
        <w:rPr>
          <w:rFonts w:hint="eastAsia" w:ascii="宋体" w:hAnsi="宋体" w:eastAsia="宋体" w:cs="宋体"/>
          <w:sz w:val="24"/>
          <w:szCs w:val="24"/>
          <w:highlight w:val="none"/>
        </w:rPr>
      </w:pPr>
    </w:p>
    <w:p>
      <w:pPr>
        <w:pStyle w:val="26"/>
        <w:spacing w:line="360" w:lineRule="auto"/>
        <w:jc w:val="center"/>
        <w:rPr>
          <w:rFonts w:hint="eastAsia" w:ascii="宋体" w:hAnsi="宋体" w:eastAsia="宋体" w:cs="宋体"/>
          <w:b/>
          <w:sz w:val="24"/>
          <w:szCs w:val="24"/>
          <w:highlight w:val="none"/>
        </w:rPr>
      </w:pPr>
    </w:p>
    <w:p>
      <w:pPr>
        <w:pStyle w:val="26"/>
        <w:spacing w:line="360" w:lineRule="auto"/>
        <w:jc w:val="center"/>
        <w:rPr>
          <w:rFonts w:hint="eastAsia" w:ascii="宋体" w:hAnsi="宋体" w:eastAsia="宋体" w:cs="宋体"/>
          <w:b/>
          <w:sz w:val="24"/>
          <w:szCs w:val="24"/>
          <w:highlight w:val="none"/>
        </w:rPr>
      </w:pPr>
    </w:p>
    <w:p>
      <w:pPr>
        <w:pStyle w:val="26"/>
        <w:spacing w:line="360" w:lineRule="auto"/>
        <w:jc w:val="center"/>
        <w:rPr>
          <w:rFonts w:hint="eastAsia" w:ascii="宋体" w:hAnsi="宋体" w:eastAsia="宋体" w:cs="宋体"/>
          <w:b/>
          <w:sz w:val="24"/>
          <w:szCs w:val="24"/>
          <w:highlight w:val="none"/>
        </w:rPr>
      </w:pPr>
    </w:p>
    <w:p>
      <w:pPr>
        <w:pStyle w:val="26"/>
        <w:spacing w:line="360" w:lineRule="auto"/>
        <w:jc w:val="center"/>
        <w:rPr>
          <w:rFonts w:hint="eastAsia" w:ascii="宋体" w:hAnsi="宋体" w:eastAsia="宋体" w:cs="宋体"/>
          <w:b/>
          <w:sz w:val="24"/>
          <w:szCs w:val="24"/>
          <w:highlight w:val="none"/>
        </w:rPr>
      </w:pPr>
    </w:p>
    <w:p>
      <w:pPr>
        <w:pStyle w:val="26"/>
        <w:spacing w:line="360" w:lineRule="auto"/>
        <w:jc w:val="center"/>
        <w:rPr>
          <w:rFonts w:hint="eastAsia" w:ascii="宋体" w:hAnsi="宋体" w:eastAsia="宋体" w:cs="宋体"/>
          <w:b/>
          <w:sz w:val="24"/>
          <w:szCs w:val="24"/>
          <w:highlight w:val="none"/>
        </w:rPr>
      </w:pPr>
    </w:p>
    <w:p>
      <w:pPr>
        <w:pStyle w:val="26"/>
        <w:spacing w:line="360" w:lineRule="auto"/>
        <w:jc w:val="center"/>
        <w:rPr>
          <w:rFonts w:hint="eastAsia" w:ascii="宋体" w:hAnsi="宋体" w:eastAsia="宋体" w:cs="宋体"/>
          <w:b/>
          <w:sz w:val="24"/>
          <w:szCs w:val="24"/>
          <w:highlight w:val="none"/>
        </w:rPr>
      </w:pPr>
    </w:p>
    <w:p>
      <w:pPr>
        <w:pStyle w:val="26"/>
        <w:spacing w:line="360" w:lineRule="auto"/>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（电子签章）</w:t>
      </w:r>
    </w:p>
    <w:p>
      <w:pPr>
        <w:pStyle w:val="26"/>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（电子签名）</w:t>
      </w:r>
    </w:p>
    <w:p>
      <w:pPr>
        <w:pStyle w:val="26"/>
        <w:spacing w:line="360" w:lineRule="auto"/>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（年/月/日）</w:t>
      </w:r>
    </w:p>
    <w:p>
      <w:pPr>
        <w:pStyle w:val="27"/>
        <w:spacing w:line="360" w:lineRule="auto"/>
        <w:outlineLvl w:val="2"/>
        <w:rPr>
          <w:rFonts w:hint="eastAsia" w:ascii="宋体" w:hAnsi="宋体" w:eastAsia="宋体" w:cs="宋体"/>
          <w:b w:val="0"/>
          <w:sz w:val="24"/>
          <w:szCs w:val="24"/>
          <w:highlight w:val="none"/>
        </w:rPr>
      </w:pPr>
    </w:p>
    <w:p>
      <w:pPr>
        <w:spacing w:line="360" w:lineRule="auto"/>
        <w:rPr>
          <w:rFonts w:hint="eastAsia" w:ascii="宋体" w:hAnsi="宋体" w:eastAsia="宋体" w:cs="宋体"/>
          <w:b/>
          <w:sz w:val="24"/>
          <w:szCs w:val="24"/>
          <w:highlight w:val="none"/>
        </w:rPr>
      </w:pPr>
    </w:p>
    <w:p>
      <w:pPr>
        <w:spacing w:line="360" w:lineRule="auto"/>
        <w:rPr>
          <w:rFonts w:hint="eastAsia" w:ascii="宋体" w:hAnsi="宋体" w:eastAsia="宋体" w:cs="宋体"/>
          <w:b/>
          <w:sz w:val="32"/>
          <w:szCs w:val="32"/>
          <w:highlight w:val="none"/>
        </w:rPr>
      </w:pPr>
      <w:r>
        <w:rPr>
          <w:rFonts w:hint="eastAsia" w:ascii="宋体" w:hAnsi="宋体" w:eastAsia="宋体" w:cs="宋体"/>
          <w:sz w:val="24"/>
          <w:szCs w:val="24"/>
          <w:highlight w:val="none"/>
        </w:rPr>
        <w:br w:type="page"/>
      </w:r>
      <w:bookmarkStart w:id="26" w:name="_Toc36632473"/>
      <w:bookmarkStart w:id="27" w:name="_Toc36632474"/>
      <w:r>
        <w:rPr>
          <w:rFonts w:hint="eastAsia" w:ascii="宋体" w:hAnsi="宋体" w:eastAsia="宋体" w:cs="宋体"/>
          <w:b/>
          <w:sz w:val="32"/>
          <w:szCs w:val="32"/>
          <w:highlight w:val="none"/>
        </w:rPr>
        <w:t>二、资格审查材料</w:t>
      </w:r>
      <w:bookmarkEnd w:id="26"/>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lang w:eastAsia="zh-CN"/>
        </w:rPr>
        <w:t>二</w:t>
      </w:r>
      <w:r>
        <w:rPr>
          <w:rFonts w:hint="eastAsia" w:ascii="宋体" w:hAnsi="宋体" w:eastAsia="宋体" w:cs="宋体"/>
          <w:b/>
          <w:sz w:val="24"/>
          <w:szCs w:val="24"/>
          <w:highlight w:val="none"/>
        </w:rPr>
        <w:t>、☆营业执照、组织机构代码证、税务登记证</w:t>
      </w:r>
      <w:bookmarkEnd w:id="27"/>
      <w:r>
        <w:rPr>
          <w:rFonts w:hint="eastAsia" w:ascii="宋体" w:hAnsi="宋体" w:eastAsia="宋体" w:cs="宋体"/>
          <w:b/>
          <w:sz w:val="24"/>
          <w:szCs w:val="24"/>
          <w:highlight w:val="none"/>
        </w:rPr>
        <w:t>等招标文件相关要求资格</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医疗器械经营（生产）许可证、所投产品的产品注册证书；</w:t>
      </w:r>
      <w:bookmarkStart w:id="28" w:name="_Toc480371719"/>
      <w:bookmarkStart w:id="29" w:name="_Toc480368422"/>
    </w:p>
    <w:bookmarkEnd w:id="28"/>
    <w:bookmarkEnd w:id="29"/>
    <w:p>
      <w:pPr>
        <w:numPr>
          <w:ilvl w:val="0"/>
          <w:numId w:val="0"/>
        </w:numPr>
        <w:spacing w:line="360" w:lineRule="auto"/>
        <w:ind w:leftChars="0"/>
        <w:jc w:val="center"/>
        <w:rPr>
          <w:rFonts w:hint="eastAsia" w:ascii="宋体" w:hAnsi="宋体" w:eastAsia="宋体" w:cs="宋体"/>
          <w:highlight w:val="none"/>
        </w:rPr>
      </w:pPr>
      <w:r>
        <w:rPr>
          <w:rFonts w:hint="eastAsia" w:ascii="宋体" w:hAnsi="宋体" w:eastAsia="宋体" w:cs="宋体"/>
          <w:sz w:val="24"/>
          <w:szCs w:val="24"/>
          <w:highlight w:val="none"/>
        </w:rPr>
        <w:br w:type="page"/>
      </w:r>
      <w:bookmarkStart w:id="30" w:name="_Toc36632475"/>
      <w:r>
        <w:rPr>
          <w:rFonts w:hint="eastAsia" w:ascii="宋体" w:hAnsi="宋体" w:eastAsia="宋体" w:cs="宋体"/>
          <w:sz w:val="24"/>
          <w:szCs w:val="24"/>
          <w:highlight w:val="none"/>
          <w:lang w:eastAsia="zh-CN"/>
        </w:rPr>
        <w:t>三、</w:t>
      </w:r>
      <w:r>
        <w:rPr>
          <w:rFonts w:hint="eastAsia" w:ascii="宋体" w:hAnsi="宋体" w:eastAsia="宋体" w:cs="宋体"/>
          <w:b/>
          <w:sz w:val="24"/>
          <w:szCs w:val="24"/>
          <w:highlight w:val="none"/>
        </w:rPr>
        <w:t>☆法定代表人身份证明及授权委托书</w:t>
      </w:r>
      <w:bookmarkEnd w:id="30"/>
    </w:p>
    <w:p>
      <w:pPr>
        <w:spacing w:line="360" w:lineRule="auto"/>
        <w:jc w:val="center"/>
        <w:rPr>
          <w:rFonts w:hint="eastAsia" w:ascii="宋体" w:hAnsi="宋体" w:eastAsia="宋体" w:cs="宋体"/>
          <w:sz w:val="24"/>
          <w:szCs w:val="24"/>
          <w:highlight w:val="none"/>
        </w:rPr>
      </w:pPr>
      <w:bookmarkStart w:id="31" w:name="_Toc36632476"/>
      <w:bookmarkStart w:id="32" w:name="_Toc468535482"/>
      <w:bookmarkStart w:id="33" w:name="_Toc480368424"/>
      <w:bookmarkStart w:id="34" w:name="_Toc480368653"/>
      <w:bookmarkStart w:id="35" w:name="_Toc480368595"/>
      <w:bookmarkStart w:id="36" w:name="_Toc480371721"/>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法定代表人资格证明文件</w:t>
      </w:r>
      <w:bookmarkEnd w:id="31"/>
      <w:bookmarkEnd w:id="32"/>
      <w:bookmarkEnd w:id="33"/>
      <w:bookmarkEnd w:id="34"/>
      <w:bookmarkEnd w:id="35"/>
      <w:bookmarkEnd w:id="36"/>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（代理机构名称）：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兹有          同志为             公司法定代表人，代表我公司办理一切社会公务事宜，具有法律效力。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附法定代表人基本情况：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姓名：          性别：     年龄：     职务：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身份证号码：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通讯地址：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电话号码：                   邮政编码：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bl>
      <w:tblPr>
        <w:tblStyle w:val="13"/>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法定代表人《居民身份证》扫描件</w:t>
            </w:r>
          </w:p>
        </w:tc>
      </w:tr>
    </w:tbl>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投标人名称（电子签章）：           </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法定代表人（电子签名） ：           </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bookmarkStart w:id="37" w:name="_Toc468535483"/>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bookmarkStart w:id="38" w:name="_Toc480368596"/>
      <w:bookmarkStart w:id="39" w:name="_Toc480371722"/>
      <w:bookmarkStart w:id="40" w:name="_Toc480368425"/>
      <w:bookmarkStart w:id="41" w:name="_Toc480368654"/>
    </w:p>
    <w:p>
      <w:pPr>
        <w:spacing w:line="360" w:lineRule="auto"/>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bookmarkStart w:id="42" w:name="_Toc36632477"/>
      <w:r>
        <w:rPr>
          <w:rFonts w:hint="eastAsia" w:ascii="宋体" w:hAnsi="宋体" w:eastAsia="宋体" w:cs="宋体"/>
          <w:b/>
          <w:sz w:val="24"/>
          <w:szCs w:val="24"/>
          <w:highlight w:val="none"/>
        </w:rPr>
        <w:t>法定代表人授权书</w:t>
      </w:r>
      <w:bookmarkEnd w:id="37"/>
      <w:bookmarkEnd w:id="38"/>
      <w:bookmarkEnd w:id="39"/>
      <w:bookmarkEnd w:id="40"/>
      <w:bookmarkEnd w:id="41"/>
      <w:bookmarkEnd w:id="42"/>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福建省闽咨造价咨询有限公司新疆分公司</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兹授权           同志为我公司参加贵单位组织的编号为（项目编号</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lang w:val="en-US" w:eastAsia="zh-CN"/>
        </w:rPr>
        <w:t>MZCZ01-2021001</w:t>
      </w:r>
      <w:r>
        <w:rPr>
          <w:rFonts w:hint="eastAsia" w:ascii="宋体" w:hAnsi="宋体" w:eastAsia="宋体" w:cs="宋体"/>
          <w:sz w:val="24"/>
          <w:szCs w:val="24"/>
          <w:highlight w:val="none"/>
        </w:rPr>
        <w:t>）的（项目名称</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lang w:val="en-US" w:eastAsia="zh-CN"/>
        </w:rPr>
        <w:t>库尔勒市第二人民医院医疗设备采购招标</w:t>
      </w:r>
      <w:r>
        <w:rPr>
          <w:rFonts w:hint="eastAsia" w:ascii="宋体" w:hAnsi="宋体" w:cs="宋体"/>
          <w:sz w:val="24"/>
          <w:szCs w:val="24"/>
          <w:highlight w:val="none"/>
          <w:lang w:eastAsia="zh-CN"/>
        </w:rPr>
        <w:t>项目</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（包段：</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采购活动的投标代表人，全权代表我公司处理在该项目采购活动中的一切事宜。代理期限从      年    月    日起至      年    月    日止。 </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投标人（电子签章）：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法定代表人（电子签名）：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签发日期：       年     月     日</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代理人工作单位：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职务：                        性别：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身份证号码：                              </w:t>
      </w:r>
    </w:p>
    <w:p>
      <w:pPr>
        <w:spacing w:line="360" w:lineRule="auto"/>
        <w:rPr>
          <w:rFonts w:hint="eastAsia" w:ascii="宋体" w:hAnsi="宋体" w:eastAsia="宋体" w:cs="宋体"/>
          <w:sz w:val="24"/>
          <w:szCs w:val="24"/>
          <w:highlight w:val="none"/>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886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粘贴被授权人身份证（扫描件）</w:t>
            </w:r>
          </w:p>
        </w:tc>
      </w:tr>
    </w:tbl>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43" w:name="_Toc36632478"/>
      <w:r>
        <w:rPr>
          <w:rFonts w:hint="eastAsia" w:ascii="宋体" w:hAnsi="宋体" w:eastAsia="宋体" w:cs="宋体"/>
          <w:b/>
          <w:sz w:val="24"/>
          <w:szCs w:val="24"/>
          <w:highlight w:val="none"/>
        </w:rPr>
        <w:t>制造商授权书（进口设备提供）</w:t>
      </w:r>
      <w:r>
        <w:rPr>
          <w:rFonts w:hint="eastAsia" w:ascii="宋体" w:hAnsi="宋体" w:eastAsia="宋体" w:cs="宋体"/>
          <w:sz w:val="24"/>
          <w:szCs w:val="24"/>
          <w:highlight w:val="none"/>
        </w:rPr>
        <w:t>（适用于产品不是投标人自己生产的）</w:t>
      </w:r>
    </w:p>
    <w:p>
      <w:pPr>
        <w:spacing w:line="360" w:lineRule="auto"/>
        <w:rPr>
          <w:rFonts w:hint="eastAsia" w:ascii="宋体" w:hAnsi="宋体" w:eastAsia="宋体" w:cs="宋体"/>
          <w:b/>
          <w:sz w:val="24"/>
          <w:szCs w:val="24"/>
          <w:highlight w:val="none"/>
        </w:rPr>
      </w:pPr>
    </w:p>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制造商（或总代理）授权书</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福建省闽咨造价咨询有限公司新疆分公司</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    （制造商名称）  是按国家法律成立的一家制造厂，主要营业地点设在      （制造商地址）  。兹授权   （投标人名称）   作为我方真正的合法的代理人进行下列活动：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（1）代表我方办理贵方采购项目编号为                  的招标文件要求提供的由我方制造的    （货物名称）    的有关事宜，并对我方具有约束力。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（2）作为制造商，我方保证以投标人合作者身份来约束自己，并对该投标共同和分别负责。</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（3）我方兹授权  （投标人名称）   全权办理和履行此项目招标文件中约定的一切事宜。兹确认  （投标人名称）    及其正式授权代表依此办理一切合法事宜。</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我方于      年  月  日签署本文件 （投标人名称）于   年  月  日接受此文件,以此为证。</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投标人名称(电子签章)：             出具授权书的制造厂名称(签章):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法定代表人（电子签名）：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正式授权代表（签章）：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职    务：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职    务：                  </w:t>
      </w:r>
    </w:p>
    <w:p>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t xml:space="preserve">部    门：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部    门：    </w:t>
      </w:r>
      <w:bookmarkEnd w:id="43"/>
      <w:bookmarkStart w:id="44" w:name="_Toc480368426"/>
      <w:bookmarkStart w:id="45" w:name="_Toc480371723"/>
    </w:p>
    <w:p>
      <w:pPr>
        <w:spacing w:line="360" w:lineRule="auto"/>
        <w:rPr>
          <w:rFonts w:hint="eastAsia" w:ascii="宋体" w:hAnsi="宋体" w:eastAsia="宋体" w:cs="宋体"/>
          <w:b/>
          <w:bCs/>
          <w:sz w:val="24"/>
          <w:szCs w:val="24"/>
          <w:highlight w:val="none"/>
          <w:lang w:eastAsia="zh-CN"/>
        </w:rPr>
      </w:pPr>
    </w:p>
    <w:p>
      <w:pPr>
        <w:spacing w:line="360" w:lineRule="auto"/>
        <w:rPr>
          <w:rFonts w:hint="eastAsia" w:ascii="宋体" w:hAnsi="宋体" w:eastAsia="宋体" w:cs="宋体"/>
          <w:b/>
          <w:bCs/>
          <w:sz w:val="24"/>
          <w:szCs w:val="24"/>
          <w:highlight w:val="none"/>
          <w:lang w:eastAsia="zh-CN"/>
        </w:rPr>
      </w:pPr>
    </w:p>
    <w:p>
      <w:pPr>
        <w:spacing w:line="360" w:lineRule="auto"/>
        <w:rPr>
          <w:rFonts w:hint="eastAsia" w:ascii="宋体" w:hAnsi="宋体" w:eastAsia="宋体" w:cs="宋体"/>
          <w:b/>
          <w:bCs/>
          <w:sz w:val="24"/>
          <w:szCs w:val="24"/>
          <w:highlight w:val="none"/>
          <w:lang w:eastAsia="zh-CN"/>
        </w:rPr>
      </w:pPr>
    </w:p>
    <w:p>
      <w:pPr>
        <w:spacing w:line="360" w:lineRule="auto"/>
        <w:rPr>
          <w:rFonts w:hint="eastAsia" w:ascii="宋体" w:hAnsi="宋体" w:eastAsia="宋体" w:cs="宋体"/>
          <w:b/>
          <w:bCs/>
          <w:sz w:val="24"/>
          <w:szCs w:val="24"/>
          <w:highlight w:val="none"/>
          <w:lang w:eastAsia="zh-CN"/>
        </w:rPr>
      </w:pPr>
    </w:p>
    <w:p>
      <w:pPr>
        <w:spacing w:line="360" w:lineRule="auto"/>
        <w:rPr>
          <w:rFonts w:hint="eastAsia" w:ascii="宋体" w:hAnsi="宋体" w:eastAsia="宋体" w:cs="宋体"/>
          <w:b/>
          <w:bCs/>
          <w:sz w:val="24"/>
          <w:szCs w:val="24"/>
          <w:highlight w:val="none"/>
          <w:lang w:eastAsia="zh-CN"/>
        </w:rPr>
      </w:pPr>
    </w:p>
    <w:p>
      <w:pPr>
        <w:spacing w:line="360" w:lineRule="auto"/>
        <w:rPr>
          <w:rFonts w:hint="eastAsia" w:ascii="宋体" w:hAnsi="宋体" w:eastAsia="宋体" w:cs="宋体"/>
          <w:b/>
          <w:bCs/>
          <w:sz w:val="24"/>
          <w:szCs w:val="24"/>
          <w:highlight w:val="none"/>
          <w:lang w:eastAsia="zh-CN"/>
        </w:rPr>
      </w:pPr>
    </w:p>
    <w:p>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br w:type="page"/>
      </w:r>
    </w:p>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四、</w:t>
      </w:r>
      <w:r>
        <w:rPr>
          <w:rFonts w:hint="eastAsia" w:ascii="宋体" w:hAnsi="宋体" w:eastAsia="宋体" w:cs="宋体"/>
          <w:b/>
          <w:bCs/>
          <w:sz w:val="24"/>
          <w:szCs w:val="24"/>
          <w:highlight w:val="none"/>
        </w:rPr>
        <w:t>☆投标保证金</w:t>
      </w:r>
      <w:bookmarkEnd w:id="44"/>
      <w:bookmarkEnd w:id="45"/>
    </w:p>
    <w:p>
      <w:pPr>
        <w:spacing w:line="360" w:lineRule="auto"/>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bookmarkStart w:id="46" w:name="_Toc36632480"/>
      <w:r>
        <w:rPr>
          <w:rFonts w:hint="eastAsia" w:ascii="宋体" w:hAnsi="宋体" w:eastAsia="宋体" w:cs="宋体"/>
          <w:b/>
          <w:sz w:val="24"/>
          <w:szCs w:val="24"/>
          <w:highlight w:val="none"/>
        </w:rPr>
        <w:t>五、中、小微企业声明函（中、小、微型企业产品价格需扣除的须提供）</w:t>
      </w:r>
      <w:bookmarkEnd w:id="46"/>
    </w:p>
    <w:p>
      <w:pPr>
        <w:spacing w:line="360" w:lineRule="auto"/>
        <w:rPr>
          <w:rFonts w:hint="eastAsia" w:ascii="宋体" w:hAnsi="宋体" w:eastAsia="宋体" w:cs="宋体"/>
          <w:sz w:val="24"/>
          <w:szCs w:val="24"/>
          <w:highlight w:val="none"/>
        </w:rPr>
      </w:pPr>
      <w:bookmarkStart w:id="47" w:name="_Toc480371726"/>
      <w:bookmarkStart w:id="48" w:name="_Toc480368429"/>
    </w:p>
    <w:bookmarkEnd w:id="47"/>
    <w:bookmarkEnd w:id="48"/>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项目编号、包号：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本公司郑重声明，根据《政府采购促进中小企业发展暂行办法》（财库[2011]181号）的规定，本公司为______（请填写：中型、小型、微型）企业。即，本公司同时满足以下条件：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本公司对上述声明的真实性负责。如有虚假，将依法承担相应责任。</w:t>
      </w:r>
    </w:p>
    <w:p>
      <w:pPr>
        <w:spacing w:line="360" w:lineRule="auto"/>
        <w:rPr>
          <w:rFonts w:hint="eastAsia" w:ascii="宋体" w:hAnsi="宋体" w:eastAsia="宋体" w:cs="宋体"/>
          <w:sz w:val="24"/>
          <w:szCs w:val="24"/>
          <w:highlight w:val="none"/>
        </w:rPr>
      </w:pPr>
    </w:p>
    <w:p>
      <w:pPr>
        <w:spacing w:line="360" w:lineRule="auto"/>
        <w:jc w:val="right"/>
        <w:rPr>
          <w:rFonts w:hint="eastAsia" w:ascii="宋体" w:hAnsi="宋体" w:eastAsia="宋体" w:cs="宋体"/>
          <w:sz w:val="24"/>
          <w:szCs w:val="24"/>
          <w:highlight w:val="none"/>
        </w:rPr>
      </w:pPr>
    </w:p>
    <w:p>
      <w:pPr>
        <w:spacing w:line="360" w:lineRule="auto"/>
        <w:jc w:val="right"/>
        <w:rPr>
          <w:rFonts w:hint="eastAsia" w:ascii="宋体" w:hAnsi="宋体" w:eastAsia="宋体" w:cs="宋体"/>
          <w:sz w:val="24"/>
          <w:szCs w:val="24"/>
          <w:highlight w:val="none"/>
        </w:rPr>
      </w:pPr>
    </w:p>
    <w:p>
      <w:pPr>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49" w:name="_Toc36632481"/>
      <w:r>
        <w:rPr>
          <w:rFonts w:hint="eastAsia" w:ascii="宋体" w:hAnsi="宋体" w:eastAsia="宋体" w:cs="宋体"/>
          <w:b/>
          <w:sz w:val="24"/>
          <w:szCs w:val="24"/>
          <w:highlight w:val="none"/>
        </w:rPr>
        <w:t>六、供应商认为有必要提供的声明及文件资料</w:t>
      </w:r>
      <w:bookmarkEnd w:id="49"/>
    </w:p>
    <w:p>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供应商认为有必要提供的声明及文件资料</w:t>
      </w:r>
      <w:r>
        <w:rPr>
          <w:rFonts w:hint="eastAsia" w:ascii="宋体" w:hAnsi="宋体" w:eastAsia="宋体" w:cs="宋体"/>
          <w:sz w:val="24"/>
          <w:szCs w:val="24"/>
          <w:highlight w:val="none"/>
          <w:lang w:eastAsia="zh-CN"/>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①供应商在疆设有分公司或售后服务机构证明文件；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②供应商自觉抵制政府采购领域商业贿赂行为承诺书；</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3 \* GB3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③</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节能产品、环境标志产品证明文件；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4 \* GB3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④</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类似项目业绩表；</w:t>
      </w:r>
    </w:p>
    <w:p>
      <w:pPr>
        <w:spacing w:line="360" w:lineRule="auto"/>
        <w:rPr>
          <w:rFonts w:hint="eastAsia" w:ascii="宋体" w:hAnsi="宋体" w:eastAsia="宋体" w:cs="宋体"/>
          <w:sz w:val="24"/>
          <w:szCs w:val="24"/>
          <w:highlight w:val="none"/>
        </w:rPr>
      </w:pPr>
      <w:bookmarkStart w:id="50" w:name="_Toc36632482"/>
      <w:bookmarkStart w:id="51" w:name="_Toc480371728"/>
      <w:bookmarkStart w:id="52" w:name="_Toc480368431"/>
      <w:bookmarkStart w:id="53" w:name="_Toc468535489"/>
      <w:bookmarkStart w:id="54" w:name="_Toc480368602"/>
      <w:bookmarkStart w:id="55" w:name="_Toc480368660"/>
      <w:r>
        <w:rPr>
          <w:rFonts w:hint="eastAsia" w:ascii="宋体" w:hAnsi="宋体" w:eastAsia="宋体" w:cs="宋体"/>
          <w:sz w:val="24"/>
          <w:szCs w:val="24"/>
          <w:highlight w:val="none"/>
        </w:rPr>
        <w:t>附：类似项目业绩表</w:t>
      </w:r>
      <w:bookmarkEnd w:id="50"/>
      <w:bookmarkEnd w:id="51"/>
      <w:bookmarkEnd w:id="52"/>
      <w:bookmarkEnd w:id="53"/>
      <w:bookmarkEnd w:id="54"/>
      <w:bookmarkEnd w:id="55"/>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采购项目编号：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200" w:type="dxa"/>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项目单位名称</w:t>
            </w:r>
          </w:p>
        </w:tc>
        <w:tc>
          <w:tcPr>
            <w:tcW w:w="7200" w:type="dxa"/>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项目单位联系人姓名及联系方式</w:t>
            </w:r>
          </w:p>
        </w:tc>
        <w:tc>
          <w:tcPr>
            <w:tcW w:w="7200" w:type="dxa"/>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7200" w:type="dxa"/>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7200" w:type="dxa"/>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项目实施时间</w:t>
            </w:r>
          </w:p>
        </w:tc>
        <w:tc>
          <w:tcPr>
            <w:tcW w:w="7200" w:type="dxa"/>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项目内容说明</w:t>
            </w:r>
          </w:p>
        </w:tc>
        <w:tc>
          <w:tcPr>
            <w:tcW w:w="7200" w:type="dxa"/>
            <w:noWrap w:val="0"/>
            <w:vAlign w:val="top"/>
          </w:tcPr>
          <w:p>
            <w:pPr>
              <w:spacing w:line="360" w:lineRule="auto"/>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说明：1．每个合同须单独附表，并附上相关证明材料，否则专家在评审时将不予采信；</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2．项目内容请详细说明所承担的具体工作内容，如：网络建设、系统集成、软件开发、网站建设等；</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投标人法定代表人（电子签名）：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投标人名称（电子签章）：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pPr>
        <w:numPr>
          <w:ilvl w:val="0"/>
          <w:numId w:val="8"/>
        </w:numPr>
        <w:spacing w:line="360" w:lineRule="auto"/>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bookmarkStart w:id="56" w:name="_Toc256000045"/>
      <w:bookmarkStart w:id="57" w:name="_Toc36632483"/>
      <w:r>
        <w:rPr>
          <w:rFonts w:hint="eastAsia" w:ascii="宋体" w:hAnsi="宋体" w:eastAsia="宋体" w:cs="宋体"/>
          <w:b/>
          <w:sz w:val="24"/>
          <w:szCs w:val="24"/>
          <w:highlight w:val="none"/>
        </w:rPr>
        <w:t>不参与围标串标承诺书</w:t>
      </w:r>
      <w:bookmarkEnd w:id="56"/>
    </w:p>
    <w:p>
      <w:pPr>
        <w:pStyle w:val="4"/>
        <w:numPr>
          <w:ilvl w:val="0"/>
          <w:numId w:val="0"/>
        </w:numPr>
        <w:spacing w:line="360" w:lineRule="auto"/>
        <w:rPr>
          <w:rFonts w:hint="eastAsia" w:ascii="宋体" w:hAnsi="宋体" w:eastAsia="宋体" w:cs="宋体"/>
          <w:highlight w:val="none"/>
        </w:rPr>
      </w:pP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本人作为（单位名称）                    的法人，清楚知晓我公司本项目投标活动，对以下事项作出承诺：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一、我单位遵循公开、公平、公正、诚实守信的原则，依法依规参与本项目竞标。</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二、我单位在本项目招标投标活动中，未参与围标串标。</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项目编号：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标段号：    </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供应商单位名称：</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供应商法人签名：</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360" w:lineRule="auto"/>
        <w:rPr>
          <w:rFonts w:hint="eastAsia" w:ascii="宋体" w:hAnsi="宋体" w:eastAsia="宋体" w:cs="宋体"/>
          <w:sz w:val="24"/>
          <w:szCs w:val="24"/>
          <w:highlight w:val="none"/>
        </w:rPr>
      </w:pPr>
    </w:p>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p>
      <w:pPr>
        <w:spacing w:line="360" w:lineRule="auto"/>
        <w:jc w:val="center"/>
        <w:rPr>
          <w:rFonts w:hint="eastAsia" w:ascii="宋体" w:hAnsi="宋体" w:eastAsia="宋体" w:cs="宋体"/>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  章</w:t>
      </w: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八、《中华人民共和国政府采购法》第二十二条应当具备的条件；</w:t>
      </w:r>
      <w:bookmarkEnd w:id="57"/>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《中华人民共和国政府采购法》第二十二条应当具备的条件；</w:t>
      </w:r>
    </w:p>
    <w:p>
      <w:pPr>
        <w:spacing w:line="360" w:lineRule="auto"/>
        <w:rPr>
          <w:rFonts w:hint="eastAsia" w:ascii="宋体" w:hAnsi="宋体" w:eastAsia="宋体" w:cs="宋体"/>
          <w:sz w:val="24"/>
          <w:szCs w:val="24"/>
          <w:highlight w:val="none"/>
        </w:rPr>
      </w:pPr>
      <w:bookmarkStart w:id="58" w:name="_Toc36632484"/>
      <w:r>
        <w:rPr>
          <w:rFonts w:hint="eastAsia" w:ascii="宋体" w:hAnsi="宋体" w:eastAsia="宋体" w:cs="宋体"/>
          <w:sz w:val="24"/>
          <w:szCs w:val="24"/>
          <w:highlight w:val="none"/>
        </w:rPr>
        <w:t>①具有独立承担民事责任的能力；</w:t>
      </w:r>
      <w:bookmarkEnd w:id="58"/>
    </w:p>
    <w:p>
      <w:pPr>
        <w:spacing w:line="360" w:lineRule="auto"/>
        <w:rPr>
          <w:rFonts w:hint="eastAsia" w:ascii="宋体" w:hAnsi="宋体" w:eastAsia="宋体" w:cs="宋体"/>
          <w:sz w:val="24"/>
          <w:szCs w:val="24"/>
          <w:highlight w:val="none"/>
        </w:rPr>
      </w:pPr>
      <w:bookmarkStart w:id="59" w:name="_Toc36632485"/>
      <w:r>
        <w:rPr>
          <w:rFonts w:hint="eastAsia" w:ascii="宋体" w:hAnsi="宋体" w:eastAsia="宋体" w:cs="宋体"/>
          <w:sz w:val="24"/>
          <w:szCs w:val="24"/>
          <w:highlight w:val="none"/>
        </w:rPr>
        <w:t>（法人或者其他组织的营业执照等证明文件，自然人的身份证明）</w:t>
      </w:r>
      <w:bookmarkEnd w:id="59"/>
    </w:p>
    <w:p>
      <w:pPr>
        <w:spacing w:line="360" w:lineRule="auto"/>
        <w:rPr>
          <w:rFonts w:hint="eastAsia" w:ascii="宋体" w:hAnsi="宋体" w:eastAsia="宋体" w:cs="宋体"/>
          <w:sz w:val="24"/>
          <w:szCs w:val="24"/>
          <w:highlight w:val="none"/>
        </w:rPr>
      </w:pPr>
      <w:bookmarkStart w:id="60" w:name="_Toc36632486"/>
      <w:r>
        <w:rPr>
          <w:rFonts w:hint="eastAsia" w:ascii="宋体" w:hAnsi="宋体" w:eastAsia="宋体" w:cs="宋体"/>
          <w:sz w:val="24"/>
          <w:szCs w:val="24"/>
          <w:highlight w:val="none"/>
        </w:rPr>
        <w:t>②具有良好的商业信誉和健全的财务会计制度；</w:t>
      </w:r>
      <w:bookmarkEnd w:id="60"/>
    </w:p>
    <w:p>
      <w:pPr>
        <w:numPr>
          <w:ilvl w:val="0"/>
          <w:numId w:val="0"/>
        </w:numPr>
        <w:spacing w:line="360" w:lineRule="auto"/>
        <w:ind w:firstLine="480" w:firstLineChars="200"/>
        <w:rPr>
          <w:rFonts w:hint="eastAsia" w:ascii="宋体" w:hAnsi="宋体" w:eastAsia="宋体" w:cs="宋体"/>
          <w:sz w:val="24"/>
          <w:szCs w:val="24"/>
          <w:highlight w:val="none"/>
        </w:rPr>
      </w:pPr>
      <w:bookmarkStart w:id="61" w:name="_Toc36632487"/>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“信用中国”（www.creditchina.gov.cn）</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“国家企业信用信息公示系统”（http://www.gsxt.gov.cn）</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rPr>
        <w:t>中国裁判文书网</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rPr>
        <w:t>（http://wenshu.court.gov.cn/）</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中国政府采购网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（www.ccgp.gov.cn）网站渠道信用记录失信被执行人、重大税收违法案件当事人名单以及政府采购严重违法失信行为记录名单网上截图证明。</w:t>
      </w:r>
    </w:p>
    <w:p>
      <w:pPr>
        <w:numPr>
          <w:ilvl w:val="0"/>
          <w:numId w:val="0"/>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供应商是法人的应提供经审计的上一年度的财务报告，成立不足一年的提供近期的财务报表和其基本开户银行出具的资信证明；部分其他组织或自然人，没有经审计的财务报告，应当提供银行出具的资信证明。）</w:t>
      </w:r>
      <w:bookmarkEnd w:id="61"/>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3 \* GB3 </w:instrText>
      </w:r>
      <w:r>
        <w:rPr>
          <w:rFonts w:hint="eastAsia" w:ascii="宋体" w:hAnsi="宋体" w:eastAsia="宋体" w:cs="宋体"/>
          <w:sz w:val="24"/>
          <w:szCs w:val="24"/>
          <w:highlight w:val="none"/>
        </w:rPr>
        <w:fldChar w:fldCharType="separate"/>
      </w:r>
      <w:bookmarkStart w:id="62" w:name="_Toc36632488"/>
      <w:r>
        <w:rPr>
          <w:rFonts w:hint="eastAsia" w:ascii="宋体" w:hAnsi="宋体" w:eastAsia="宋体" w:cs="宋体"/>
          <w:sz w:val="24"/>
          <w:szCs w:val="24"/>
          <w:highlight w:val="none"/>
        </w:rPr>
        <w:t>③</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具有履行合同所必需的设备和专业技术能力；</w:t>
      </w:r>
      <w:bookmarkEnd w:id="62"/>
    </w:p>
    <w:p>
      <w:pPr>
        <w:spacing w:line="360" w:lineRule="auto"/>
        <w:rPr>
          <w:rFonts w:hint="eastAsia" w:ascii="宋体" w:hAnsi="宋体" w:eastAsia="宋体" w:cs="宋体"/>
          <w:sz w:val="24"/>
          <w:szCs w:val="24"/>
          <w:highlight w:val="none"/>
        </w:rPr>
      </w:pPr>
      <w:bookmarkStart w:id="63" w:name="_Toc36632489"/>
      <w:r>
        <w:rPr>
          <w:rFonts w:hint="eastAsia" w:ascii="宋体" w:hAnsi="宋体" w:eastAsia="宋体" w:cs="宋体"/>
          <w:sz w:val="24"/>
          <w:szCs w:val="24"/>
          <w:highlight w:val="none"/>
        </w:rPr>
        <w:t>（提供具有履行合同所必需的设备和专业技术能力相关证明材料或声明；）</w:t>
      </w:r>
      <w:bookmarkEnd w:id="63"/>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4 \* GB3 </w:instrText>
      </w:r>
      <w:r>
        <w:rPr>
          <w:rFonts w:hint="eastAsia" w:ascii="宋体" w:hAnsi="宋体" w:eastAsia="宋体" w:cs="宋体"/>
          <w:sz w:val="24"/>
          <w:szCs w:val="24"/>
          <w:highlight w:val="none"/>
        </w:rPr>
        <w:fldChar w:fldCharType="separate"/>
      </w:r>
      <w:bookmarkStart w:id="64" w:name="_Toc36632490"/>
      <w:r>
        <w:rPr>
          <w:rFonts w:hint="eastAsia" w:ascii="宋体" w:hAnsi="宋体" w:eastAsia="宋体" w:cs="宋体"/>
          <w:sz w:val="24"/>
          <w:szCs w:val="24"/>
          <w:highlight w:val="none"/>
        </w:rPr>
        <w:t>④</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有依法缴纳税收和社会保障资金的良好记录；</w:t>
      </w:r>
      <w:bookmarkEnd w:id="64"/>
    </w:p>
    <w:p>
      <w:pPr>
        <w:numPr>
          <w:ilvl w:val="0"/>
          <w:numId w:val="9"/>
        </w:numPr>
        <w:spacing w:line="360" w:lineRule="auto"/>
        <w:ind w:firstLine="480" w:firstLineChars="200"/>
        <w:rPr>
          <w:rFonts w:hint="eastAsia" w:ascii="宋体" w:hAnsi="宋体" w:eastAsia="宋体" w:cs="宋体"/>
          <w:sz w:val="24"/>
          <w:szCs w:val="24"/>
          <w:highlight w:val="none"/>
        </w:rPr>
      </w:pPr>
      <w:bookmarkStart w:id="65" w:name="_Toc36632491"/>
      <w:r>
        <w:rPr>
          <w:rFonts w:hint="eastAsia" w:ascii="宋体" w:hAnsi="宋体" w:eastAsia="宋体" w:cs="宋体"/>
          <w:sz w:val="24"/>
          <w:szCs w:val="24"/>
          <w:highlight w:val="none"/>
        </w:rPr>
        <w:t>提供近一年任三个月的缴纳税收证明资料。</w:t>
      </w:r>
    </w:p>
    <w:p>
      <w:pPr>
        <w:numPr>
          <w:ilvl w:val="0"/>
          <w:numId w:val="9"/>
        </w:num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提供社会保险登记证或社保机构出具的近半年内任一月社保缴纳证明；（专用收据或社会保险缴纳清单）；其他组织和自然人也需提供上述证明。</w:t>
      </w:r>
      <w:bookmarkEnd w:id="65"/>
    </w:p>
    <w:p>
      <w:pPr>
        <w:spacing w:line="360" w:lineRule="auto"/>
        <w:rPr>
          <w:rFonts w:hint="eastAsia" w:ascii="宋体" w:hAnsi="宋体" w:eastAsia="宋体" w:cs="宋体"/>
          <w:sz w:val="24"/>
          <w:szCs w:val="24"/>
          <w:highlight w:val="none"/>
        </w:rPr>
      </w:pPr>
      <w:bookmarkStart w:id="66" w:name="_Toc36632492"/>
      <w:r>
        <w:rPr>
          <w:rFonts w:hint="eastAsia" w:ascii="宋体" w:hAnsi="宋体" w:eastAsia="宋体" w:cs="宋体"/>
          <w:sz w:val="24"/>
          <w:szCs w:val="24"/>
          <w:highlight w:val="none"/>
        </w:rPr>
        <w:t>⑤参加政府采购活动前三年内，在经营活动中没有重大违法记录；</w:t>
      </w:r>
      <w:bookmarkEnd w:id="66"/>
    </w:p>
    <w:p>
      <w:pPr>
        <w:spacing w:line="360" w:lineRule="auto"/>
        <w:rPr>
          <w:rFonts w:hint="eastAsia" w:ascii="宋体" w:hAnsi="宋体" w:eastAsia="宋体" w:cs="宋体"/>
          <w:sz w:val="24"/>
          <w:szCs w:val="24"/>
          <w:highlight w:val="none"/>
        </w:rPr>
      </w:pPr>
      <w:bookmarkStart w:id="67" w:name="_Toc36632493"/>
      <w:r>
        <w:rPr>
          <w:rFonts w:hint="eastAsia" w:ascii="宋体" w:hAnsi="宋体" w:eastAsia="宋体" w:cs="宋体"/>
          <w:sz w:val="24"/>
          <w:szCs w:val="24"/>
          <w:highlight w:val="none"/>
        </w:rPr>
        <w:t>（提供参加政府采购活动近三年无重大违法记录声明书；）</w:t>
      </w:r>
      <w:bookmarkEnd w:id="67"/>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⑥法律、行政法规规定的其他条件;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68" w:name="_Toc36632495"/>
    </w:p>
    <w:p>
      <w:pPr>
        <w:spacing w:line="360" w:lineRule="auto"/>
        <w:jc w:val="left"/>
        <w:rPr>
          <w:rFonts w:hint="eastAsia" w:ascii="宋体" w:hAnsi="宋体" w:eastAsia="宋体" w:cs="宋体"/>
          <w:b/>
          <w:sz w:val="24"/>
          <w:szCs w:val="24"/>
          <w:highlight w:val="none"/>
        </w:rPr>
      </w:pPr>
      <w:r>
        <w:rPr>
          <w:rFonts w:hint="eastAsia" w:ascii="宋体" w:hAnsi="宋体" w:eastAsia="宋体" w:cs="宋体"/>
          <w:b/>
          <w:sz w:val="32"/>
          <w:szCs w:val="32"/>
          <w:highlight w:val="none"/>
        </w:rPr>
        <w:t>三、商务文件</w:t>
      </w:r>
      <w:bookmarkEnd w:id="68"/>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69" w:name="_Toc36632496"/>
      <w:r>
        <w:rPr>
          <w:rFonts w:hint="eastAsia" w:ascii="宋体" w:hAnsi="宋体" w:eastAsia="宋体" w:cs="宋体"/>
          <w:b/>
          <w:sz w:val="24"/>
          <w:szCs w:val="24"/>
          <w:highlight w:val="none"/>
          <w:lang w:eastAsia="zh-CN"/>
        </w:rPr>
        <w:t>九</w:t>
      </w:r>
      <w:r>
        <w:rPr>
          <w:rFonts w:hint="eastAsia" w:ascii="宋体" w:hAnsi="宋体" w:eastAsia="宋体" w:cs="宋体"/>
          <w:b/>
          <w:sz w:val="24"/>
          <w:szCs w:val="24"/>
          <w:highlight w:val="none"/>
        </w:rPr>
        <w:t>、☆投标函</w:t>
      </w:r>
      <w:bookmarkEnd w:id="69"/>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☆投标函</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福建省闽咨造价咨询有限公司新疆分公司</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(投标人名称)授权                    (投标人授权代理人姓名)                      (职务、职称)为我方代表，参加贵方组织的                        (项目名称、项目编号、包号)招标的有关活动，并对此项目进行投标。为此：</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1、我方同意在本项目招标文件中规定的投标有效期内遵守本投标文件中的承诺且在此期限期满之前均具有约束力。</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2、我方承诺已经具备《中华人民共和国政府采购法》中规定的参加政府采购活动的供应商应当具备的条件：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5）参加此项采购活动前三年内，在经营活动中没有重大违法记录；</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3、提供投标人须知规定的全部投标文件，包括在政府采购云平台上传加密电子投标文件一份。</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4、按招标文件要求提供和交付的货物及相关服务的投标报价详见开标一览表。</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5、保证忠实地执行双方所签订的合同，并承担合同规定的责任和义务。</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6、我方承诺完全满足和响应招标文件中的各项技术和服务要求，若有偏差，已在投标文件偏离表中予以明确特别说明。</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7、我方承诺：完全理解投标报价若超过项目预算时，投标将被拒绝。</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8、我方承诺：与在本项目中设计编制技术规格的机构及其附属机构无任何直接隶属关系和利益关联。</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9、如果在开标后规定的投标有效期内撤回投标，我方的投标保证金可被贵方没收。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10、我方完全理解贵方不一定接受最低价的投标或收到的任何投标。</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11、我方承诺：投标文件所提供的一切资料及政府采购云平台申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12、我方已详细审核全部投标文件，包括投标文件修改书（如有的话）、参考资料及有关附件，确认无误。</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13、我方承诺：采购人若需追加采购本项目招标文件所列货物及相关服务的，在不改变合同其他实质性条款的前提下，按相同或更优惠的折扣率保证供货。</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14、我方承诺：如所报货物属国家强制认证产品的，均已通过认证且在有效期内，否则，由此产生的一切法律责任由我方承担。</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15、我方承诺：接受招标文件中的全部条款且无任何异议，保证遵守招标文件的规定。</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1）提供虚假材料谋取中标、成交的；</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2）采取不正当手段诋毁、排挤其他供应商的；</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3）与采购人、其他供应商或者采购代理机构工作人员恶意串通的；</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4）向采购人、采购代理机构工作人员行贿或者提供其他不正当利益的；</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5）在采购过程中与采购人进行协商谈判的；</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6）拒绝有关部门监督检查或提供虚假情况的。</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17、与本投标有关的一切往来通讯请寄：</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地址：____________________________________________________</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邮编：____________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电话：____________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传真：____________</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投标人法定代表人或授权代理人联系电话，e-mail：                                   </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投标人法定代表人电子签名：</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投标人公章：</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 xml:space="preserve"> 日　期：</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说明：除可填报项目外，对本投标函的任何修改将被视为非实质性响应投标，从而导致该投标被拒绝。</w:t>
      </w: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70" w:name="_Toc36632497"/>
      <w:r>
        <w:rPr>
          <w:rFonts w:hint="eastAsia" w:ascii="宋体" w:hAnsi="宋体" w:eastAsia="宋体" w:cs="宋体"/>
          <w:b/>
          <w:sz w:val="24"/>
          <w:szCs w:val="24"/>
          <w:highlight w:val="none"/>
          <w:lang w:eastAsia="zh-CN"/>
        </w:rPr>
        <w:t>十</w:t>
      </w:r>
      <w:r>
        <w:rPr>
          <w:rFonts w:hint="eastAsia" w:ascii="宋体" w:hAnsi="宋体" w:eastAsia="宋体" w:cs="宋体"/>
          <w:b/>
          <w:sz w:val="24"/>
          <w:szCs w:val="24"/>
          <w:highlight w:val="none"/>
        </w:rPr>
        <w:t>、☆开标一览表</w:t>
      </w:r>
      <w:bookmarkEnd w:id="70"/>
    </w:p>
    <w:p>
      <w:pPr>
        <w:spacing w:line="360" w:lineRule="auto"/>
        <w:ind w:firstLine="480" w:firstLineChars="200"/>
        <w:jc w:val="center"/>
        <w:rPr>
          <w:rFonts w:hint="eastAsia" w:ascii="宋体" w:hAnsi="宋体" w:eastAsia="宋体" w:cs="宋体"/>
          <w:sz w:val="24"/>
          <w:szCs w:val="24"/>
          <w:highlight w:val="none"/>
        </w:rPr>
      </w:pPr>
      <w:bookmarkStart w:id="71" w:name="_Toc480368434"/>
      <w:bookmarkStart w:id="72" w:name="_Toc480371731"/>
      <w:r>
        <w:rPr>
          <w:rFonts w:hint="eastAsia" w:ascii="宋体" w:hAnsi="宋体" w:eastAsia="宋体" w:cs="宋体"/>
          <w:sz w:val="24"/>
          <w:szCs w:val="24"/>
          <w:highlight w:val="none"/>
        </w:rPr>
        <w:t>☆开标一览表</w:t>
      </w:r>
      <w:bookmarkEnd w:id="71"/>
      <w:bookmarkEnd w:id="72"/>
    </w:p>
    <w:p>
      <w:pPr>
        <w:spacing w:line="360" w:lineRule="auto"/>
        <w:rPr>
          <w:rFonts w:hint="eastAsia" w:ascii="宋体" w:hAnsi="宋体" w:eastAsia="宋体" w:cs="宋体"/>
          <w:sz w:val="24"/>
          <w:szCs w:val="24"/>
          <w:highlight w:val="none"/>
        </w:rPr>
      </w:pP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价格单位：元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0"/>
        <w:gridCol w:w="6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90" w:type="dxa"/>
            <w:tcBorders>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名称</w:t>
            </w:r>
          </w:p>
        </w:tc>
        <w:tc>
          <w:tcPr>
            <w:tcW w:w="6290" w:type="dxa"/>
            <w:tcBorders>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890"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 标 总 价</w:t>
            </w:r>
          </w:p>
        </w:tc>
        <w:tc>
          <w:tcPr>
            <w:tcW w:w="6290" w:type="dxa"/>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小写：                               元</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大写：                               元</w:t>
            </w:r>
          </w:p>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90"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交货日期</w:t>
            </w:r>
          </w:p>
        </w:tc>
        <w:tc>
          <w:tcPr>
            <w:tcW w:w="6290"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vertAlign w:val="baseline"/>
                <w:lang w:eastAsia="zh-CN"/>
              </w:rPr>
              <w:t>国产设备≤30个日历日，进口设备≤90个日历日完成供货及安装；自收到中标通知书次日起计算。签订合同后30个工作日。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90"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6290"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eastAsia="zh-CN"/>
              </w:rPr>
              <w:t>合格（质量达到现行合格标准，符合国家、行业、地方规定以及招标文件规定的质量和安全标准要求）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90"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项目负责人及联系电话</w:t>
            </w:r>
          </w:p>
        </w:tc>
        <w:tc>
          <w:tcPr>
            <w:tcW w:w="6290" w:type="dxa"/>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备注：                                                                     </w:t>
            </w:r>
          </w:p>
        </w:tc>
      </w:tr>
    </w:tbl>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1、投标人严格按照规定的格式填写,不得更改格式。投标总价为优惠后报价，并作为评审及定标的依据。</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2、任何有选择或有条件的投标总价或表中某一包填写多个报价，均将导致投标被拒绝。</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73" w:name="_Toc36632498"/>
      <w:r>
        <w:rPr>
          <w:rFonts w:hint="eastAsia" w:ascii="宋体" w:hAnsi="宋体" w:eastAsia="宋体" w:cs="宋体"/>
          <w:b/>
          <w:sz w:val="24"/>
          <w:szCs w:val="24"/>
          <w:highlight w:val="none"/>
          <w:lang w:eastAsia="zh-CN"/>
        </w:rPr>
        <w:t>十一</w:t>
      </w:r>
      <w:r>
        <w:rPr>
          <w:rFonts w:hint="eastAsia" w:ascii="宋体" w:hAnsi="宋体" w:eastAsia="宋体" w:cs="宋体"/>
          <w:b/>
          <w:sz w:val="24"/>
          <w:szCs w:val="24"/>
          <w:highlight w:val="none"/>
        </w:rPr>
        <w:t>、☆投标报价明细表</w:t>
      </w:r>
      <w:bookmarkEnd w:id="73"/>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☆投标报价明细表</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                                         价格单位：元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441" w:type="dxa"/>
            <w:tcBorders>
              <w:top w:val="single" w:color="auto" w:sz="12"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418" w:type="dxa"/>
            <w:tcBorders>
              <w:top w:val="single" w:color="auto" w:sz="12"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056" w:type="dxa"/>
            <w:gridSpan w:val="3"/>
            <w:tcBorders>
              <w:top w:val="single" w:color="auto" w:sz="12" w:space="0"/>
              <w:bottom w:val="single" w:color="auto" w:sz="4" w:space="0"/>
              <w:righ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restart"/>
            <w:tcBorders>
              <w:lef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序</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号</w:t>
            </w:r>
          </w:p>
        </w:tc>
        <w:tc>
          <w:tcPr>
            <w:tcW w:w="2441" w:type="dxa"/>
            <w:vMerge w:val="restart"/>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3418" w:type="dxa"/>
            <w:vMerge w:val="restart"/>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品牌、型号</w:t>
            </w:r>
          </w:p>
        </w:tc>
        <w:tc>
          <w:tcPr>
            <w:tcW w:w="3056" w:type="dxa"/>
            <w:gridSpan w:val="3"/>
            <w:tcBorders>
              <w:righ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continue"/>
            <w:tcBorders>
              <w:left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2441" w:type="dxa"/>
            <w:vMerge w:val="continue"/>
            <w:noWrap w:val="0"/>
            <w:vAlign w:val="center"/>
          </w:tcPr>
          <w:p>
            <w:pPr>
              <w:spacing w:line="360" w:lineRule="auto"/>
              <w:rPr>
                <w:rFonts w:hint="eastAsia" w:ascii="宋体" w:hAnsi="宋体" w:eastAsia="宋体" w:cs="宋体"/>
                <w:sz w:val="24"/>
                <w:szCs w:val="24"/>
                <w:highlight w:val="none"/>
              </w:rPr>
            </w:pPr>
          </w:p>
        </w:tc>
        <w:tc>
          <w:tcPr>
            <w:tcW w:w="3418" w:type="dxa"/>
            <w:vMerge w:val="continue"/>
            <w:noWrap w:val="0"/>
            <w:vAlign w:val="center"/>
          </w:tcPr>
          <w:p>
            <w:pPr>
              <w:spacing w:line="360" w:lineRule="auto"/>
              <w:rPr>
                <w:rFonts w:hint="eastAsia" w:ascii="宋体" w:hAnsi="宋体" w:eastAsia="宋体" w:cs="宋体"/>
                <w:sz w:val="24"/>
                <w:szCs w:val="24"/>
                <w:highlight w:val="none"/>
              </w:rPr>
            </w:pPr>
          </w:p>
        </w:tc>
        <w:tc>
          <w:tcPr>
            <w:tcW w:w="955"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955"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146" w:type="dxa"/>
            <w:tcBorders>
              <w:righ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441" w:type="dxa"/>
            <w:noWrap w:val="0"/>
            <w:vAlign w:val="center"/>
          </w:tcPr>
          <w:p>
            <w:pPr>
              <w:spacing w:line="360" w:lineRule="auto"/>
              <w:rPr>
                <w:rFonts w:hint="eastAsia" w:ascii="宋体" w:hAnsi="宋体" w:eastAsia="宋体" w:cs="宋体"/>
                <w:sz w:val="24"/>
                <w:szCs w:val="24"/>
                <w:highlight w:val="none"/>
              </w:rPr>
            </w:pPr>
          </w:p>
        </w:tc>
        <w:tc>
          <w:tcPr>
            <w:tcW w:w="3418" w:type="dxa"/>
            <w:noWrap w:val="0"/>
            <w:vAlign w:val="center"/>
          </w:tcPr>
          <w:p>
            <w:pPr>
              <w:spacing w:line="360" w:lineRule="auto"/>
              <w:rPr>
                <w:rFonts w:hint="eastAsia" w:ascii="宋体" w:hAnsi="宋体" w:eastAsia="宋体" w:cs="宋体"/>
                <w:sz w:val="24"/>
                <w:szCs w:val="24"/>
                <w:highlight w:val="none"/>
              </w:rPr>
            </w:pPr>
          </w:p>
        </w:tc>
        <w:tc>
          <w:tcPr>
            <w:tcW w:w="955" w:type="dxa"/>
            <w:noWrap w:val="0"/>
            <w:vAlign w:val="center"/>
          </w:tcPr>
          <w:p>
            <w:pPr>
              <w:spacing w:line="360" w:lineRule="auto"/>
              <w:rPr>
                <w:rFonts w:hint="eastAsia" w:ascii="宋体" w:hAnsi="宋体" w:eastAsia="宋体" w:cs="宋体"/>
                <w:sz w:val="24"/>
                <w:szCs w:val="24"/>
                <w:highlight w:val="none"/>
              </w:rPr>
            </w:pPr>
          </w:p>
        </w:tc>
        <w:tc>
          <w:tcPr>
            <w:tcW w:w="955" w:type="dxa"/>
            <w:noWrap w:val="0"/>
            <w:vAlign w:val="center"/>
          </w:tcPr>
          <w:p>
            <w:pPr>
              <w:spacing w:line="360" w:lineRule="auto"/>
              <w:rPr>
                <w:rFonts w:hint="eastAsia" w:ascii="宋体" w:hAnsi="宋体" w:eastAsia="宋体" w:cs="宋体"/>
                <w:sz w:val="24"/>
                <w:szCs w:val="24"/>
                <w:highlight w:val="none"/>
              </w:rPr>
            </w:pPr>
          </w:p>
        </w:tc>
        <w:tc>
          <w:tcPr>
            <w:tcW w:w="1146" w:type="dxa"/>
            <w:tcBorders>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441" w:type="dxa"/>
            <w:noWrap w:val="0"/>
            <w:vAlign w:val="center"/>
          </w:tcPr>
          <w:p>
            <w:pPr>
              <w:spacing w:line="360" w:lineRule="auto"/>
              <w:rPr>
                <w:rFonts w:hint="eastAsia" w:ascii="宋体" w:hAnsi="宋体" w:eastAsia="宋体" w:cs="宋体"/>
                <w:sz w:val="24"/>
                <w:szCs w:val="24"/>
                <w:highlight w:val="none"/>
              </w:rPr>
            </w:pPr>
          </w:p>
        </w:tc>
        <w:tc>
          <w:tcPr>
            <w:tcW w:w="3418" w:type="dxa"/>
            <w:noWrap w:val="0"/>
            <w:vAlign w:val="top"/>
          </w:tcPr>
          <w:p>
            <w:pPr>
              <w:spacing w:line="360" w:lineRule="auto"/>
              <w:rPr>
                <w:rFonts w:hint="eastAsia" w:ascii="宋体" w:hAnsi="宋体" w:eastAsia="宋体" w:cs="宋体"/>
                <w:sz w:val="24"/>
                <w:szCs w:val="24"/>
                <w:highlight w:val="none"/>
              </w:rPr>
            </w:pPr>
          </w:p>
        </w:tc>
        <w:tc>
          <w:tcPr>
            <w:tcW w:w="955" w:type="dxa"/>
            <w:noWrap w:val="0"/>
            <w:vAlign w:val="top"/>
          </w:tcPr>
          <w:p>
            <w:pPr>
              <w:spacing w:line="360" w:lineRule="auto"/>
              <w:rPr>
                <w:rFonts w:hint="eastAsia" w:ascii="宋体" w:hAnsi="宋体" w:eastAsia="宋体" w:cs="宋体"/>
                <w:sz w:val="24"/>
                <w:szCs w:val="24"/>
                <w:highlight w:val="none"/>
              </w:rPr>
            </w:pPr>
          </w:p>
        </w:tc>
        <w:tc>
          <w:tcPr>
            <w:tcW w:w="955" w:type="dxa"/>
            <w:noWrap w:val="0"/>
            <w:vAlign w:val="top"/>
          </w:tcPr>
          <w:p>
            <w:pPr>
              <w:spacing w:line="360" w:lineRule="auto"/>
              <w:rPr>
                <w:rFonts w:hint="eastAsia" w:ascii="宋体" w:hAnsi="宋体" w:eastAsia="宋体" w:cs="宋体"/>
                <w:sz w:val="24"/>
                <w:szCs w:val="24"/>
                <w:highlight w:val="none"/>
              </w:rPr>
            </w:pPr>
          </w:p>
        </w:tc>
        <w:tc>
          <w:tcPr>
            <w:tcW w:w="1146" w:type="dxa"/>
            <w:tcBorders>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441" w:type="dxa"/>
            <w:noWrap w:val="0"/>
            <w:vAlign w:val="center"/>
          </w:tcPr>
          <w:p>
            <w:pPr>
              <w:spacing w:line="360" w:lineRule="auto"/>
              <w:rPr>
                <w:rFonts w:hint="eastAsia" w:ascii="宋体" w:hAnsi="宋体" w:eastAsia="宋体" w:cs="宋体"/>
                <w:sz w:val="24"/>
                <w:szCs w:val="24"/>
                <w:highlight w:val="none"/>
              </w:rPr>
            </w:pPr>
          </w:p>
        </w:tc>
        <w:tc>
          <w:tcPr>
            <w:tcW w:w="3418" w:type="dxa"/>
            <w:noWrap w:val="0"/>
            <w:vAlign w:val="top"/>
          </w:tcPr>
          <w:p>
            <w:pPr>
              <w:spacing w:line="360" w:lineRule="auto"/>
              <w:rPr>
                <w:rFonts w:hint="eastAsia" w:ascii="宋体" w:hAnsi="宋体" w:eastAsia="宋体" w:cs="宋体"/>
                <w:sz w:val="24"/>
                <w:szCs w:val="24"/>
                <w:highlight w:val="none"/>
              </w:rPr>
            </w:pPr>
          </w:p>
        </w:tc>
        <w:tc>
          <w:tcPr>
            <w:tcW w:w="955" w:type="dxa"/>
            <w:noWrap w:val="0"/>
            <w:vAlign w:val="top"/>
          </w:tcPr>
          <w:p>
            <w:pPr>
              <w:spacing w:line="360" w:lineRule="auto"/>
              <w:rPr>
                <w:rFonts w:hint="eastAsia" w:ascii="宋体" w:hAnsi="宋体" w:eastAsia="宋体" w:cs="宋体"/>
                <w:sz w:val="24"/>
                <w:szCs w:val="24"/>
                <w:highlight w:val="none"/>
              </w:rPr>
            </w:pPr>
          </w:p>
        </w:tc>
        <w:tc>
          <w:tcPr>
            <w:tcW w:w="955" w:type="dxa"/>
            <w:noWrap w:val="0"/>
            <w:vAlign w:val="top"/>
          </w:tcPr>
          <w:p>
            <w:pPr>
              <w:spacing w:line="360" w:lineRule="auto"/>
              <w:rPr>
                <w:rFonts w:hint="eastAsia" w:ascii="宋体" w:hAnsi="宋体" w:eastAsia="宋体" w:cs="宋体"/>
                <w:sz w:val="24"/>
                <w:szCs w:val="24"/>
                <w:highlight w:val="none"/>
              </w:rPr>
            </w:pPr>
          </w:p>
        </w:tc>
        <w:tc>
          <w:tcPr>
            <w:tcW w:w="1146" w:type="dxa"/>
            <w:tcBorders>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441" w:type="dxa"/>
            <w:noWrap w:val="0"/>
            <w:vAlign w:val="center"/>
          </w:tcPr>
          <w:p>
            <w:pPr>
              <w:spacing w:line="360" w:lineRule="auto"/>
              <w:rPr>
                <w:rFonts w:hint="eastAsia" w:ascii="宋体" w:hAnsi="宋体" w:eastAsia="宋体" w:cs="宋体"/>
                <w:sz w:val="24"/>
                <w:szCs w:val="24"/>
                <w:highlight w:val="none"/>
              </w:rPr>
            </w:pPr>
          </w:p>
        </w:tc>
        <w:tc>
          <w:tcPr>
            <w:tcW w:w="3418" w:type="dxa"/>
            <w:noWrap w:val="0"/>
            <w:vAlign w:val="top"/>
          </w:tcPr>
          <w:p>
            <w:pPr>
              <w:spacing w:line="360" w:lineRule="auto"/>
              <w:rPr>
                <w:rFonts w:hint="eastAsia" w:ascii="宋体" w:hAnsi="宋体" w:eastAsia="宋体" w:cs="宋体"/>
                <w:sz w:val="24"/>
                <w:szCs w:val="24"/>
                <w:highlight w:val="none"/>
              </w:rPr>
            </w:pPr>
          </w:p>
        </w:tc>
        <w:tc>
          <w:tcPr>
            <w:tcW w:w="955" w:type="dxa"/>
            <w:noWrap w:val="0"/>
            <w:vAlign w:val="top"/>
          </w:tcPr>
          <w:p>
            <w:pPr>
              <w:spacing w:line="360" w:lineRule="auto"/>
              <w:rPr>
                <w:rFonts w:hint="eastAsia" w:ascii="宋体" w:hAnsi="宋体" w:eastAsia="宋体" w:cs="宋体"/>
                <w:sz w:val="24"/>
                <w:szCs w:val="24"/>
                <w:highlight w:val="none"/>
              </w:rPr>
            </w:pPr>
          </w:p>
        </w:tc>
        <w:tc>
          <w:tcPr>
            <w:tcW w:w="955" w:type="dxa"/>
            <w:noWrap w:val="0"/>
            <w:vAlign w:val="top"/>
          </w:tcPr>
          <w:p>
            <w:pPr>
              <w:spacing w:line="360" w:lineRule="auto"/>
              <w:rPr>
                <w:rFonts w:hint="eastAsia" w:ascii="宋体" w:hAnsi="宋体" w:eastAsia="宋体" w:cs="宋体"/>
                <w:sz w:val="24"/>
                <w:szCs w:val="24"/>
                <w:highlight w:val="none"/>
              </w:rPr>
            </w:pPr>
          </w:p>
        </w:tc>
        <w:tc>
          <w:tcPr>
            <w:tcW w:w="1146" w:type="dxa"/>
            <w:tcBorders>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44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418" w:type="dxa"/>
            <w:noWrap w:val="0"/>
            <w:vAlign w:val="top"/>
          </w:tcPr>
          <w:p>
            <w:pPr>
              <w:spacing w:line="360" w:lineRule="auto"/>
              <w:rPr>
                <w:rFonts w:hint="eastAsia" w:ascii="宋体" w:hAnsi="宋体" w:eastAsia="宋体" w:cs="宋体"/>
                <w:sz w:val="24"/>
                <w:szCs w:val="24"/>
                <w:highlight w:val="none"/>
              </w:rPr>
            </w:pPr>
          </w:p>
        </w:tc>
        <w:tc>
          <w:tcPr>
            <w:tcW w:w="955" w:type="dxa"/>
            <w:noWrap w:val="0"/>
            <w:vAlign w:val="top"/>
          </w:tcPr>
          <w:p>
            <w:pPr>
              <w:spacing w:line="360" w:lineRule="auto"/>
              <w:rPr>
                <w:rFonts w:hint="eastAsia" w:ascii="宋体" w:hAnsi="宋体" w:eastAsia="宋体" w:cs="宋体"/>
                <w:sz w:val="24"/>
                <w:szCs w:val="24"/>
                <w:highlight w:val="none"/>
              </w:rPr>
            </w:pPr>
          </w:p>
        </w:tc>
        <w:tc>
          <w:tcPr>
            <w:tcW w:w="955" w:type="dxa"/>
            <w:noWrap w:val="0"/>
            <w:vAlign w:val="center"/>
          </w:tcPr>
          <w:p>
            <w:pPr>
              <w:spacing w:line="360" w:lineRule="auto"/>
              <w:rPr>
                <w:rFonts w:hint="eastAsia" w:ascii="宋体" w:hAnsi="宋体" w:eastAsia="宋体" w:cs="宋体"/>
                <w:sz w:val="24"/>
                <w:szCs w:val="24"/>
                <w:highlight w:val="none"/>
              </w:rPr>
            </w:pPr>
          </w:p>
        </w:tc>
        <w:tc>
          <w:tcPr>
            <w:tcW w:w="1146" w:type="dxa"/>
            <w:tcBorders>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2441"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货物费用小计</w:t>
            </w:r>
          </w:p>
        </w:tc>
        <w:tc>
          <w:tcPr>
            <w:tcW w:w="3418"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955"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955"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1146" w:type="dxa"/>
            <w:tcBorders>
              <w:bottom w:val="single" w:color="auto" w:sz="12" w:space="0"/>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2441"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安装调试费用</w:t>
            </w:r>
          </w:p>
        </w:tc>
        <w:tc>
          <w:tcPr>
            <w:tcW w:w="3418"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955"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955"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1146" w:type="dxa"/>
            <w:tcBorders>
              <w:bottom w:val="single" w:color="auto" w:sz="12" w:space="0"/>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2441"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维护与技术支持费用</w:t>
            </w:r>
          </w:p>
        </w:tc>
        <w:tc>
          <w:tcPr>
            <w:tcW w:w="3418"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955"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955"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1146" w:type="dxa"/>
            <w:tcBorders>
              <w:bottom w:val="single" w:color="auto" w:sz="12" w:space="0"/>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2441"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培训费用</w:t>
            </w:r>
          </w:p>
        </w:tc>
        <w:tc>
          <w:tcPr>
            <w:tcW w:w="3418"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955"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955"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1146" w:type="dxa"/>
            <w:tcBorders>
              <w:bottom w:val="single" w:color="auto" w:sz="12" w:space="0"/>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2441"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备品备件费用</w:t>
            </w:r>
          </w:p>
        </w:tc>
        <w:tc>
          <w:tcPr>
            <w:tcW w:w="3418"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955"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955"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1146" w:type="dxa"/>
            <w:tcBorders>
              <w:bottom w:val="single" w:color="auto" w:sz="12" w:space="0"/>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2441"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运输与保险费用</w:t>
            </w:r>
          </w:p>
        </w:tc>
        <w:tc>
          <w:tcPr>
            <w:tcW w:w="3418"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955"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955"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1146" w:type="dxa"/>
            <w:tcBorders>
              <w:bottom w:val="single" w:color="auto" w:sz="12" w:space="0"/>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2441"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3418"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955"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955"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1146" w:type="dxa"/>
            <w:tcBorders>
              <w:bottom w:val="single" w:color="auto" w:sz="12" w:space="0"/>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2441"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3418"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955"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955"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1146" w:type="dxa"/>
            <w:tcBorders>
              <w:bottom w:val="single" w:color="auto" w:sz="12" w:space="0"/>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说明：投标人必须填写报价明细表，否则将导致投标被拒绝。</w:t>
      </w:r>
    </w:p>
    <w:p>
      <w:pPr>
        <w:spacing w:line="360" w:lineRule="auto"/>
        <w:rPr>
          <w:rFonts w:hint="eastAsia" w:ascii="宋体" w:hAnsi="宋体" w:eastAsia="宋体" w:cs="宋体"/>
          <w:sz w:val="24"/>
          <w:szCs w:val="24"/>
          <w:highlight w:val="none"/>
        </w:rPr>
      </w:pPr>
    </w:p>
    <w:p>
      <w:pPr>
        <w:spacing w:line="360"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年   月   日                                       </w:t>
      </w:r>
    </w:p>
    <w:p>
      <w:pPr>
        <w:spacing w:line="360" w:lineRule="auto"/>
        <w:rPr>
          <w:rFonts w:hint="eastAsia" w:ascii="宋体" w:hAnsi="宋体" w:eastAsia="宋体" w:cs="宋体"/>
          <w:sz w:val="24"/>
          <w:szCs w:val="24"/>
          <w:highlight w:val="none"/>
        </w:rPr>
      </w:pP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74" w:name="_Toc36632499"/>
      <w:r>
        <w:rPr>
          <w:rFonts w:hint="eastAsia" w:ascii="宋体" w:hAnsi="宋体" w:eastAsia="宋体" w:cs="宋体"/>
          <w:b/>
          <w:sz w:val="24"/>
          <w:szCs w:val="24"/>
          <w:highlight w:val="none"/>
          <w:lang w:eastAsia="zh-CN"/>
        </w:rPr>
        <w:t>十二</w:t>
      </w:r>
      <w:r>
        <w:rPr>
          <w:rFonts w:hint="eastAsia" w:ascii="宋体" w:hAnsi="宋体" w:eastAsia="宋体" w:cs="宋体"/>
          <w:b/>
          <w:sz w:val="24"/>
          <w:szCs w:val="24"/>
          <w:highlight w:val="none"/>
        </w:rPr>
        <w:t>、☆售后服务承诺书</w:t>
      </w:r>
      <w:bookmarkEnd w:id="74"/>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售后服务：市内有售后服务机构，报价供应商必须按提交的售后服务承诺书，提供售后服务。</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一、拟提供售后服务的项目：</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二、所投产品免费质保期限：</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三、售后免费服务期限：</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四、免费质保期后，如维修是否收取材料费：</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五、免费质保期后，如维修是否收取服务费：</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六、施工及安装等方案计划（内容包含：施工的方案、设计方案、人员安排、货物到指定地点的时间，是否能承诺按用户要求安装到指定地点，验收方案）</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七、售后服务响应及到达现场的时间：</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八、售后服务机构及联系方式：（后附相关房产证明等证明材料）</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九、报价供应商的其他服务承诺及优惠条件：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公司法人代表(盖章或签字)：</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法人授权代表(盖章或签字)：</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项目经办人(盖章或签字)：</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rPr>
          <w:rFonts w:hint="eastAsia" w:ascii="宋体" w:hAnsi="宋体" w:eastAsia="宋体" w:cs="宋体"/>
          <w:sz w:val="24"/>
          <w:szCs w:val="24"/>
          <w:highlight w:val="none"/>
        </w:rPr>
      </w:pP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75" w:name="_Toc36632500"/>
      <w:r>
        <w:rPr>
          <w:rFonts w:hint="eastAsia" w:ascii="宋体" w:hAnsi="宋体" w:eastAsia="宋体" w:cs="宋体"/>
          <w:b/>
          <w:sz w:val="24"/>
          <w:szCs w:val="24"/>
          <w:highlight w:val="none"/>
          <w:lang w:eastAsia="zh-CN"/>
        </w:rPr>
        <w:t>十三</w:t>
      </w:r>
      <w:r>
        <w:rPr>
          <w:rFonts w:hint="eastAsia" w:ascii="宋体" w:hAnsi="宋体" w:eastAsia="宋体" w:cs="宋体"/>
          <w:b/>
          <w:sz w:val="24"/>
          <w:szCs w:val="24"/>
          <w:highlight w:val="none"/>
        </w:rPr>
        <w:t>、商务条款偏离说明表</w:t>
      </w:r>
      <w:bookmarkEnd w:id="75"/>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商务条款偏离说明表</w:t>
      </w: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76" w:name="_Toc36632501"/>
      <w:r>
        <w:rPr>
          <w:rFonts w:hint="eastAsia" w:ascii="宋体" w:hAnsi="宋体" w:eastAsia="宋体" w:cs="宋体"/>
          <w:b/>
          <w:sz w:val="24"/>
          <w:szCs w:val="24"/>
          <w:highlight w:val="none"/>
        </w:rPr>
        <w:t>供应商认为有必要提供的其他资料</w:t>
      </w:r>
      <w:bookmarkEnd w:id="76"/>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供应商认为有必要提供的声明及文件资料</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1）进口原装产品明细表</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项目编号、包号：                                         价格单位：元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9"/>
        <w:gridCol w:w="1719"/>
        <w:gridCol w:w="2110"/>
        <w:gridCol w:w="1331"/>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2" w:type="dxa"/>
            <w:tcBorders>
              <w:top w:val="single" w:color="auto" w:sz="12" w:space="0"/>
              <w:left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719" w:type="dxa"/>
            <w:tcBorders>
              <w:top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1719" w:type="dxa"/>
            <w:tcBorders>
              <w:top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品牌型号</w:t>
            </w:r>
          </w:p>
        </w:tc>
        <w:tc>
          <w:tcPr>
            <w:tcW w:w="2110" w:type="dxa"/>
            <w:tcBorders>
              <w:top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制造商</w:t>
            </w:r>
          </w:p>
        </w:tc>
        <w:tc>
          <w:tcPr>
            <w:tcW w:w="1331" w:type="dxa"/>
            <w:tcBorders>
              <w:top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产地</w:t>
            </w:r>
          </w:p>
        </w:tc>
        <w:tc>
          <w:tcPr>
            <w:tcW w:w="1525" w:type="dxa"/>
            <w:tcBorders>
              <w:top w:val="single" w:color="auto" w:sz="12" w:space="0"/>
              <w:right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719" w:type="dxa"/>
            <w:noWrap w:val="0"/>
            <w:vAlign w:val="top"/>
          </w:tcPr>
          <w:p>
            <w:pPr>
              <w:spacing w:line="360" w:lineRule="auto"/>
              <w:rPr>
                <w:rFonts w:hint="eastAsia" w:ascii="宋体" w:hAnsi="宋体" w:eastAsia="宋体" w:cs="宋体"/>
                <w:sz w:val="24"/>
                <w:szCs w:val="24"/>
                <w:highlight w:val="none"/>
              </w:rPr>
            </w:pPr>
          </w:p>
        </w:tc>
        <w:tc>
          <w:tcPr>
            <w:tcW w:w="1719" w:type="dxa"/>
            <w:noWrap w:val="0"/>
            <w:vAlign w:val="top"/>
          </w:tcPr>
          <w:p>
            <w:pPr>
              <w:spacing w:line="360" w:lineRule="auto"/>
              <w:rPr>
                <w:rFonts w:hint="eastAsia" w:ascii="宋体" w:hAnsi="宋体" w:eastAsia="宋体" w:cs="宋体"/>
                <w:sz w:val="24"/>
                <w:szCs w:val="24"/>
                <w:highlight w:val="none"/>
              </w:rPr>
            </w:pPr>
          </w:p>
        </w:tc>
        <w:tc>
          <w:tcPr>
            <w:tcW w:w="2110" w:type="dxa"/>
            <w:noWrap w:val="0"/>
            <w:vAlign w:val="top"/>
          </w:tcPr>
          <w:p>
            <w:pPr>
              <w:spacing w:line="360" w:lineRule="auto"/>
              <w:rPr>
                <w:rFonts w:hint="eastAsia" w:ascii="宋体" w:hAnsi="宋体" w:eastAsia="宋体" w:cs="宋体"/>
                <w:sz w:val="24"/>
                <w:szCs w:val="24"/>
                <w:highlight w:val="none"/>
              </w:rPr>
            </w:pPr>
          </w:p>
        </w:tc>
        <w:tc>
          <w:tcPr>
            <w:tcW w:w="1331" w:type="dxa"/>
            <w:noWrap w:val="0"/>
            <w:vAlign w:val="top"/>
          </w:tcPr>
          <w:p>
            <w:pPr>
              <w:spacing w:line="360" w:lineRule="auto"/>
              <w:rPr>
                <w:rFonts w:hint="eastAsia" w:ascii="宋体" w:hAnsi="宋体" w:eastAsia="宋体" w:cs="宋体"/>
                <w:sz w:val="24"/>
                <w:szCs w:val="24"/>
                <w:highlight w:val="none"/>
              </w:rPr>
            </w:pPr>
          </w:p>
        </w:tc>
        <w:tc>
          <w:tcPr>
            <w:tcW w:w="1525" w:type="dxa"/>
            <w:tcBorders>
              <w:right w:val="single" w:color="auto" w:sz="12" w:space="0"/>
            </w:tcBorders>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719" w:type="dxa"/>
            <w:noWrap w:val="0"/>
            <w:vAlign w:val="top"/>
          </w:tcPr>
          <w:p>
            <w:pPr>
              <w:spacing w:line="360" w:lineRule="auto"/>
              <w:rPr>
                <w:rFonts w:hint="eastAsia" w:ascii="宋体" w:hAnsi="宋体" w:eastAsia="宋体" w:cs="宋体"/>
                <w:sz w:val="24"/>
                <w:szCs w:val="24"/>
                <w:highlight w:val="none"/>
              </w:rPr>
            </w:pPr>
          </w:p>
        </w:tc>
        <w:tc>
          <w:tcPr>
            <w:tcW w:w="1719" w:type="dxa"/>
            <w:noWrap w:val="0"/>
            <w:vAlign w:val="top"/>
          </w:tcPr>
          <w:p>
            <w:pPr>
              <w:spacing w:line="360" w:lineRule="auto"/>
              <w:rPr>
                <w:rFonts w:hint="eastAsia" w:ascii="宋体" w:hAnsi="宋体" w:eastAsia="宋体" w:cs="宋体"/>
                <w:sz w:val="24"/>
                <w:szCs w:val="24"/>
                <w:highlight w:val="none"/>
              </w:rPr>
            </w:pPr>
          </w:p>
        </w:tc>
        <w:tc>
          <w:tcPr>
            <w:tcW w:w="2110" w:type="dxa"/>
            <w:noWrap w:val="0"/>
            <w:vAlign w:val="top"/>
          </w:tcPr>
          <w:p>
            <w:pPr>
              <w:spacing w:line="360" w:lineRule="auto"/>
              <w:rPr>
                <w:rFonts w:hint="eastAsia" w:ascii="宋体" w:hAnsi="宋体" w:eastAsia="宋体" w:cs="宋体"/>
                <w:sz w:val="24"/>
                <w:szCs w:val="24"/>
                <w:highlight w:val="none"/>
              </w:rPr>
            </w:pPr>
          </w:p>
        </w:tc>
        <w:tc>
          <w:tcPr>
            <w:tcW w:w="1331" w:type="dxa"/>
            <w:noWrap w:val="0"/>
            <w:vAlign w:val="top"/>
          </w:tcPr>
          <w:p>
            <w:pPr>
              <w:spacing w:line="360" w:lineRule="auto"/>
              <w:rPr>
                <w:rFonts w:hint="eastAsia" w:ascii="宋体" w:hAnsi="宋体" w:eastAsia="宋体" w:cs="宋体"/>
                <w:sz w:val="24"/>
                <w:szCs w:val="24"/>
                <w:highlight w:val="none"/>
              </w:rPr>
            </w:pPr>
          </w:p>
        </w:tc>
        <w:tc>
          <w:tcPr>
            <w:tcW w:w="1525" w:type="dxa"/>
            <w:tcBorders>
              <w:right w:val="single" w:color="auto" w:sz="12" w:space="0"/>
            </w:tcBorders>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719" w:type="dxa"/>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1719" w:type="dxa"/>
            <w:noWrap w:val="0"/>
            <w:vAlign w:val="top"/>
          </w:tcPr>
          <w:p>
            <w:pPr>
              <w:spacing w:line="360" w:lineRule="auto"/>
              <w:rPr>
                <w:rFonts w:hint="eastAsia" w:ascii="宋体" w:hAnsi="宋体" w:eastAsia="宋体" w:cs="宋体"/>
                <w:sz w:val="24"/>
                <w:szCs w:val="24"/>
                <w:highlight w:val="none"/>
              </w:rPr>
            </w:pPr>
          </w:p>
        </w:tc>
        <w:tc>
          <w:tcPr>
            <w:tcW w:w="2110" w:type="dxa"/>
            <w:noWrap w:val="0"/>
            <w:vAlign w:val="top"/>
          </w:tcPr>
          <w:p>
            <w:pPr>
              <w:spacing w:line="360" w:lineRule="auto"/>
              <w:rPr>
                <w:rFonts w:hint="eastAsia" w:ascii="宋体" w:hAnsi="宋体" w:eastAsia="宋体" w:cs="宋体"/>
                <w:sz w:val="24"/>
                <w:szCs w:val="24"/>
                <w:highlight w:val="none"/>
              </w:rPr>
            </w:pPr>
          </w:p>
        </w:tc>
        <w:tc>
          <w:tcPr>
            <w:tcW w:w="1331" w:type="dxa"/>
            <w:noWrap w:val="0"/>
            <w:vAlign w:val="top"/>
          </w:tcPr>
          <w:p>
            <w:pPr>
              <w:spacing w:line="360" w:lineRule="auto"/>
              <w:rPr>
                <w:rFonts w:hint="eastAsia" w:ascii="宋体" w:hAnsi="宋体" w:eastAsia="宋体" w:cs="宋体"/>
                <w:sz w:val="24"/>
                <w:szCs w:val="24"/>
                <w:highlight w:val="none"/>
              </w:rPr>
            </w:pPr>
          </w:p>
        </w:tc>
        <w:tc>
          <w:tcPr>
            <w:tcW w:w="1525" w:type="dxa"/>
            <w:tcBorders>
              <w:right w:val="single" w:color="auto" w:sz="12" w:space="0"/>
            </w:tcBorders>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bottom w:val="single" w:color="auto" w:sz="12" w:space="0"/>
            </w:tcBorders>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719"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1719"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2110"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1331"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1525" w:type="dxa"/>
            <w:tcBorders>
              <w:bottom w:val="single" w:color="auto" w:sz="12" w:space="0"/>
              <w:right w:val="single" w:color="auto" w:sz="12" w:space="0"/>
            </w:tcBorders>
            <w:noWrap w:val="0"/>
            <w:vAlign w:val="top"/>
          </w:tcPr>
          <w:p>
            <w:pPr>
              <w:spacing w:line="360" w:lineRule="auto"/>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说明：如所投产品为进口产品，须按规定格式逐项填写。</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sz w:val="24"/>
          <w:szCs w:val="24"/>
          <w:highlight w:val="none"/>
        </w:rPr>
        <w:t>2）环境标志产品明细表</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项目编号、包号：                                         价格单位：元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12" w:space="0"/>
              <w:left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331" w:type="dxa"/>
            <w:tcBorders>
              <w:top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1331" w:type="dxa"/>
            <w:tcBorders>
              <w:top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企业名称</w:t>
            </w:r>
          </w:p>
        </w:tc>
        <w:tc>
          <w:tcPr>
            <w:tcW w:w="1331" w:type="dxa"/>
            <w:tcBorders>
              <w:top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注册商标</w:t>
            </w:r>
          </w:p>
        </w:tc>
        <w:tc>
          <w:tcPr>
            <w:tcW w:w="1331" w:type="dxa"/>
            <w:tcBorders>
              <w:top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规格型号</w:t>
            </w:r>
          </w:p>
        </w:tc>
        <w:tc>
          <w:tcPr>
            <w:tcW w:w="1791" w:type="dxa"/>
            <w:tcBorders>
              <w:top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中国环境标志认证证书编号</w:t>
            </w:r>
          </w:p>
        </w:tc>
        <w:tc>
          <w:tcPr>
            <w:tcW w:w="1830" w:type="dxa"/>
            <w:tcBorders>
              <w:top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认证证书有效截止日期</w:t>
            </w:r>
          </w:p>
        </w:tc>
        <w:tc>
          <w:tcPr>
            <w:tcW w:w="955" w:type="dxa"/>
            <w:tcBorders>
              <w:top w:val="single" w:color="auto" w:sz="12" w:space="0"/>
              <w:right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31" w:type="dxa"/>
            <w:noWrap w:val="0"/>
            <w:vAlign w:val="top"/>
          </w:tcPr>
          <w:p>
            <w:pPr>
              <w:spacing w:line="360" w:lineRule="auto"/>
              <w:rPr>
                <w:rFonts w:hint="eastAsia" w:ascii="宋体" w:hAnsi="宋体" w:eastAsia="宋体" w:cs="宋体"/>
                <w:sz w:val="24"/>
                <w:szCs w:val="24"/>
                <w:highlight w:val="none"/>
              </w:rPr>
            </w:pPr>
          </w:p>
        </w:tc>
        <w:tc>
          <w:tcPr>
            <w:tcW w:w="1331" w:type="dxa"/>
            <w:noWrap w:val="0"/>
            <w:vAlign w:val="top"/>
          </w:tcPr>
          <w:p>
            <w:pPr>
              <w:spacing w:line="360" w:lineRule="auto"/>
              <w:rPr>
                <w:rFonts w:hint="eastAsia" w:ascii="宋体" w:hAnsi="宋体" w:eastAsia="宋体" w:cs="宋体"/>
                <w:sz w:val="24"/>
                <w:szCs w:val="24"/>
                <w:highlight w:val="none"/>
              </w:rPr>
            </w:pPr>
          </w:p>
        </w:tc>
        <w:tc>
          <w:tcPr>
            <w:tcW w:w="1331" w:type="dxa"/>
            <w:noWrap w:val="0"/>
            <w:vAlign w:val="top"/>
          </w:tcPr>
          <w:p>
            <w:pPr>
              <w:spacing w:line="360" w:lineRule="auto"/>
              <w:rPr>
                <w:rFonts w:hint="eastAsia" w:ascii="宋体" w:hAnsi="宋体" w:eastAsia="宋体" w:cs="宋体"/>
                <w:sz w:val="24"/>
                <w:szCs w:val="24"/>
                <w:highlight w:val="none"/>
              </w:rPr>
            </w:pPr>
          </w:p>
        </w:tc>
        <w:tc>
          <w:tcPr>
            <w:tcW w:w="1331" w:type="dxa"/>
            <w:noWrap w:val="0"/>
            <w:vAlign w:val="top"/>
          </w:tcPr>
          <w:p>
            <w:pPr>
              <w:spacing w:line="360" w:lineRule="auto"/>
              <w:rPr>
                <w:rFonts w:hint="eastAsia" w:ascii="宋体" w:hAnsi="宋体" w:eastAsia="宋体" w:cs="宋体"/>
                <w:sz w:val="24"/>
                <w:szCs w:val="24"/>
                <w:highlight w:val="none"/>
              </w:rPr>
            </w:pPr>
          </w:p>
        </w:tc>
        <w:tc>
          <w:tcPr>
            <w:tcW w:w="1791" w:type="dxa"/>
            <w:noWrap w:val="0"/>
            <w:vAlign w:val="top"/>
          </w:tcPr>
          <w:p>
            <w:pPr>
              <w:spacing w:line="360" w:lineRule="auto"/>
              <w:rPr>
                <w:rFonts w:hint="eastAsia" w:ascii="宋体" w:hAnsi="宋体" w:eastAsia="宋体" w:cs="宋体"/>
                <w:sz w:val="24"/>
                <w:szCs w:val="24"/>
                <w:highlight w:val="none"/>
              </w:rPr>
            </w:pPr>
          </w:p>
        </w:tc>
        <w:tc>
          <w:tcPr>
            <w:tcW w:w="1830" w:type="dxa"/>
            <w:noWrap w:val="0"/>
            <w:vAlign w:val="top"/>
          </w:tcPr>
          <w:p>
            <w:pPr>
              <w:spacing w:line="360" w:lineRule="auto"/>
              <w:rPr>
                <w:rFonts w:hint="eastAsia" w:ascii="宋体" w:hAnsi="宋体" w:eastAsia="宋体" w:cs="宋体"/>
                <w:sz w:val="24"/>
                <w:szCs w:val="24"/>
                <w:highlight w:val="none"/>
              </w:rPr>
            </w:pPr>
          </w:p>
        </w:tc>
        <w:tc>
          <w:tcPr>
            <w:tcW w:w="955" w:type="dxa"/>
            <w:tcBorders>
              <w:right w:val="single" w:color="auto" w:sz="12" w:space="0"/>
            </w:tcBorders>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331" w:type="dxa"/>
            <w:noWrap w:val="0"/>
            <w:vAlign w:val="top"/>
          </w:tcPr>
          <w:p>
            <w:pPr>
              <w:spacing w:line="360" w:lineRule="auto"/>
              <w:rPr>
                <w:rFonts w:hint="eastAsia" w:ascii="宋体" w:hAnsi="宋体" w:eastAsia="宋体" w:cs="宋体"/>
                <w:sz w:val="24"/>
                <w:szCs w:val="24"/>
                <w:highlight w:val="none"/>
              </w:rPr>
            </w:pPr>
          </w:p>
        </w:tc>
        <w:tc>
          <w:tcPr>
            <w:tcW w:w="1331" w:type="dxa"/>
            <w:noWrap w:val="0"/>
            <w:vAlign w:val="top"/>
          </w:tcPr>
          <w:p>
            <w:pPr>
              <w:spacing w:line="360" w:lineRule="auto"/>
              <w:rPr>
                <w:rFonts w:hint="eastAsia" w:ascii="宋体" w:hAnsi="宋体" w:eastAsia="宋体" w:cs="宋体"/>
                <w:sz w:val="24"/>
                <w:szCs w:val="24"/>
                <w:highlight w:val="none"/>
              </w:rPr>
            </w:pPr>
          </w:p>
        </w:tc>
        <w:tc>
          <w:tcPr>
            <w:tcW w:w="1331" w:type="dxa"/>
            <w:noWrap w:val="0"/>
            <w:vAlign w:val="top"/>
          </w:tcPr>
          <w:p>
            <w:pPr>
              <w:spacing w:line="360" w:lineRule="auto"/>
              <w:rPr>
                <w:rFonts w:hint="eastAsia" w:ascii="宋体" w:hAnsi="宋体" w:eastAsia="宋体" w:cs="宋体"/>
                <w:sz w:val="24"/>
                <w:szCs w:val="24"/>
                <w:highlight w:val="none"/>
              </w:rPr>
            </w:pPr>
          </w:p>
        </w:tc>
        <w:tc>
          <w:tcPr>
            <w:tcW w:w="1331" w:type="dxa"/>
            <w:noWrap w:val="0"/>
            <w:vAlign w:val="top"/>
          </w:tcPr>
          <w:p>
            <w:pPr>
              <w:spacing w:line="360" w:lineRule="auto"/>
              <w:rPr>
                <w:rFonts w:hint="eastAsia" w:ascii="宋体" w:hAnsi="宋体" w:eastAsia="宋体" w:cs="宋体"/>
                <w:sz w:val="24"/>
                <w:szCs w:val="24"/>
                <w:highlight w:val="none"/>
              </w:rPr>
            </w:pPr>
          </w:p>
        </w:tc>
        <w:tc>
          <w:tcPr>
            <w:tcW w:w="1791" w:type="dxa"/>
            <w:noWrap w:val="0"/>
            <w:vAlign w:val="top"/>
          </w:tcPr>
          <w:p>
            <w:pPr>
              <w:spacing w:line="360" w:lineRule="auto"/>
              <w:rPr>
                <w:rFonts w:hint="eastAsia" w:ascii="宋体" w:hAnsi="宋体" w:eastAsia="宋体" w:cs="宋体"/>
                <w:sz w:val="24"/>
                <w:szCs w:val="24"/>
                <w:highlight w:val="none"/>
              </w:rPr>
            </w:pPr>
          </w:p>
        </w:tc>
        <w:tc>
          <w:tcPr>
            <w:tcW w:w="1830" w:type="dxa"/>
            <w:noWrap w:val="0"/>
            <w:vAlign w:val="top"/>
          </w:tcPr>
          <w:p>
            <w:pPr>
              <w:spacing w:line="360" w:lineRule="auto"/>
              <w:rPr>
                <w:rFonts w:hint="eastAsia" w:ascii="宋体" w:hAnsi="宋体" w:eastAsia="宋体" w:cs="宋体"/>
                <w:sz w:val="24"/>
                <w:szCs w:val="24"/>
                <w:highlight w:val="none"/>
              </w:rPr>
            </w:pPr>
          </w:p>
        </w:tc>
        <w:tc>
          <w:tcPr>
            <w:tcW w:w="955" w:type="dxa"/>
            <w:tcBorders>
              <w:right w:val="single" w:color="auto" w:sz="12" w:space="0"/>
            </w:tcBorders>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331" w:type="dxa"/>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tc>
        <w:tc>
          <w:tcPr>
            <w:tcW w:w="1331" w:type="dxa"/>
            <w:noWrap w:val="0"/>
            <w:vAlign w:val="top"/>
          </w:tcPr>
          <w:p>
            <w:pPr>
              <w:spacing w:line="360" w:lineRule="auto"/>
              <w:rPr>
                <w:rFonts w:hint="eastAsia" w:ascii="宋体" w:hAnsi="宋体" w:eastAsia="宋体" w:cs="宋体"/>
                <w:sz w:val="24"/>
                <w:szCs w:val="24"/>
                <w:highlight w:val="none"/>
              </w:rPr>
            </w:pPr>
          </w:p>
        </w:tc>
        <w:tc>
          <w:tcPr>
            <w:tcW w:w="1331" w:type="dxa"/>
            <w:noWrap w:val="0"/>
            <w:vAlign w:val="top"/>
          </w:tcPr>
          <w:p>
            <w:pPr>
              <w:spacing w:line="360" w:lineRule="auto"/>
              <w:rPr>
                <w:rFonts w:hint="eastAsia" w:ascii="宋体" w:hAnsi="宋体" w:eastAsia="宋体" w:cs="宋体"/>
                <w:sz w:val="24"/>
                <w:szCs w:val="24"/>
                <w:highlight w:val="none"/>
              </w:rPr>
            </w:pPr>
          </w:p>
        </w:tc>
        <w:tc>
          <w:tcPr>
            <w:tcW w:w="1331" w:type="dxa"/>
            <w:noWrap w:val="0"/>
            <w:vAlign w:val="top"/>
          </w:tcPr>
          <w:p>
            <w:pPr>
              <w:spacing w:line="360" w:lineRule="auto"/>
              <w:rPr>
                <w:rFonts w:hint="eastAsia" w:ascii="宋体" w:hAnsi="宋体" w:eastAsia="宋体" w:cs="宋体"/>
                <w:sz w:val="24"/>
                <w:szCs w:val="24"/>
                <w:highlight w:val="none"/>
              </w:rPr>
            </w:pPr>
          </w:p>
        </w:tc>
        <w:tc>
          <w:tcPr>
            <w:tcW w:w="1791" w:type="dxa"/>
            <w:noWrap w:val="0"/>
            <w:vAlign w:val="top"/>
          </w:tcPr>
          <w:p>
            <w:pPr>
              <w:spacing w:line="360" w:lineRule="auto"/>
              <w:rPr>
                <w:rFonts w:hint="eastAsia" w:ascii="宋体" w:hAnsi="宋体" w:eastAsia="宋体" w:cs="宋体"/>
                <w:sz w:val="24"/>
                <w:szCs w:val="24"/>
                <w:highlight w:val="none"/>
              </w:rPr>
            </w:pPr>
          </w:p>
        </w:tc>
        <w:tc>
          <w:tcPr>
            <w:tcW w:w="1830" w:type="dxa"/>
            <w:noWrap w:val="0"/>
            <w:vAlign w:val="top"/>
          </w:tcPr>
          <w:p>
            <w:pPr>
              <w:spacing w:line="360" w:lineRule="auto"/>
              <w:rPr>
                <w:rFonts w:hint="eastAsia" w:ascii="宋体" w:hAnsi="宋体" w:eastAsia="宋体" w:cs="宋体"/>
                <w:sz w:val="24"/>
                <w:szCs w:val="24"/>
                <w:highlight w:val="none"/>
              </w:rPr>
            </w:pPr>
          </w:p>
        </w:tc>
        <w:tc>
          <w:tcPr>
            <w:tcW w:w="955" w:type="dxa"/>
            <w:tcBorders>
              <w:right w:val="single" w:color="auto" w:sz="12" w:space="0"/>
            </w:tcBorders>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bottom w:val="single" w:color="auto" w:sz="12" w:space="0"/>
            </w:tcBorders>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331"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1331"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1331"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1331"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1791"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1830"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955" w:type="dxa"/>
            <w:tcBorders>
              <w:bottom w:val="single" w:color="auto" w:sz="12" w:space="0"/>
              <w:right w:val="single" w:color="auto" w:sz="12" w:space="0"/>
            </w:tcBorders>
            <w:noWrap w:val="0"/>
            <w:vAlign w:val="top"/>
          </w:tcPr>
          <w:p>
            <w:pPr>
              <w:spacing w:line="360" w:lineRule="auto"/>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1、环境标志产品根据财政部、环境保护部最新公布的环境标志产品政府采购清单确定。</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2、如所投产品为环保产品，须提供所投产品在最新公布的环境标志产品政府采购清单所在页扫描件或相关网页截图，否则评分时不予认可。</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3、如所投产品为环保产品，须按规定格式逐项填写，否则评分时不予认可。如所投产品不是环保产品，可不填此表。</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sz w:val="24"/>
          <w:szCs w:val="24"/>
          <w:highlight w:val="none"/>
        </w:rPr>
        <w:t>3）节能产品明细表</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项目编号、包号：                                         价格单位：元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24"/>
        <w:gridCol w:w="1337"/>
        <w:gridCol w:w="1483"/>
        <w:gridCol w:w="1791"/>
        <w:gridCol w:w="2265"/>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12" w:space="0"/>
              <w:left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24" w:type="dxa"/>
            <w:tcBorders>
              <w:top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1337" w:type="dxa"/>
            <w:tcBorders>
              <w:top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制造商</w:t>
            </w:r>
          </w:p>
        </w:tc>
        <w:tc>
          <w:tcPr>
            <w:tcW w:w="1483" w:type="dxa"/>
            <w:tcBorders>
              <w:top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产品型号</w:t>
            </w:r>
          </w:p>
        </w:tc>
        <w:tc>
          <w:tcPr>
            <w:tcW w:w="1791" w:type="dxa"/>
            <w:tcBorders>
              <w:top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节能标志认证证书号</w:t>
            </w:r>
          </w:p>
        </w:tc>
        <w:tc>
          <w:tcPr>
            <w:tcW w:w="2265" w:type="dxa"/>
            <w:tcBorders>
              <w:top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节能产品认证证书有效截止日期</w:t>
            </w:r>
          </w:p>
        </w:tc>
        <w:tc>
          <w:tcPr>
            <w:tcW w:w="1337" w:type="dxa"/>
            <w:tcBorders>
              <w:top w:val="single" w:color="auto" w:sz="12" w:space="0"/>
              <w:right w:val="single" w:color="auto" w:sz="12" w:space="0"/>
            </w:tcBorders>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24" w:type="dxa"/>
            <w:noWrap w:val="0"/>
            <w:vAlign w:val="top"/>
          </w:tcPr>
          <w:p>
            <w:pPr>
              <w:spacing w:line="360" w:lineRule="auto"/>
              <w:rPr>
                <w:rFonts w:hint="eastAsia" w:ascii="宋体" w:hAnsi="宋体" w:eastAsia="宋体" w:cs="宋体"/>
                <w:sz w:val="24"/>
                <w:szCs w:val="24"/>
                <w:highlight w:val="none"/>
              </w:rPr>
            </w:pPr>
          </w:p>
        </w:tc>
        <w:tc>
          <w:tcPr>
            <w:tcW w:w="1337" w:type="dxa"/>
            <w:noWrap w:val="0"/>
            <w:vAlign w:val="top"/>
          </w:tcPr>
          <w:p>
            <w:pPr>
              <w:spacing w:line="360" w:lineRule="auto"/>
              <w:rPr>
                <w:rFonts w:hint="eastAsia" w:ascii="宋体" w:hAnsi="宋体" w:eastAsia="宋体" w:cs="宋体"/>
                <w:sz w:val="24"/>
                <w:szCs w:val="24"/>
                <w:highlight w:val="none"/>
              </w:rPr>
            </w:pPr>
          </w:p>
        </w:tc>
        <w:tc>
          <w:tcPr>
            <w:tcW w:w="1483" w:type="dxa"/>
            <w:noWrap w:val="0"/>
            <w:vAlign w:val="top"/>
          </w:tcPr>
          <w:p>
            <w:pPr>
              <w:spacing w:line="360" w:lineRule="auto"/>
              <w:rPr>
                <w:rFonts w:hint="eastAsia" w:ascii="宋体" w:hAnsi="宋体" w:eastAsia="宋体" w:cs="宋体"/>
                <w:sz w:val="24"/>
                <w:szCs w:val="24"/>
                <w:highlight w:val="none"/>
              </w:rPr>
            </w:pPr>
          </w:p>
        </w:tc>
        <w:tc>
          <w:tcPr>
            <w:tcW w:w="1791" w:type="dxa"/>
            <w:noWrap w:val="0"/>
            <w:vAlign w:val="top"/>
          </w:tcPr>
          <w:p>
            <w:pPr>
              <w:spacing w:line="360" w:lineRule="auto"/>
              <w:rPr>
                <w:rFonts w:hint="eastAsia" w:ascii="宋体" w:hAnsi="宋体" w:eastAsia="宋体" w:cs="宋体"/>
                <w:sz w:val="24"/>
                <w:szCs w:val="24"/>
                <w:highlight w:val="none"/>
              </w:rPr>
            </w:pPr>
          </w:p>
        </w:tc>
        <w:tc>
          <w:tcPr>
            <w:tcW w:w="2265" w:type="dxa"/>
            <w:noWrap w:val="0"/>
            <w:vAlign w:val="top"/>
          </w:tcPr>
          <w:p>
            <w:pPr>
              <w:spacing w:line="360" w:lineRule="auto"/>
              <w:rPr>
                <w:rFonts w:hint="eastAsia" w:ascii="宋体" w:hAnsi="宋体" w:eastAsia="宋体" w:cs="宋体"/>
                <w:sz w:val="24"/>
                <w:szCs w:val="24"/>
                <w:highlight w:val="none"/>
              </w:rPr>
            </w:pPr>
          </w:p>
        </w:tc>
        <w:tc>
          <w:tcPr>
            <w:tcW w:w="1337" w:type="dxa"/>
            <w:tcBorders>
              <w:right w:val="single" w:color="auto" w:sz="12" w:space="0"/>
            </w:tcBorders>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24" w:type="dxa"/>
            <w:noWrap w:val="0"/>
            <w:vAlign w:val="top"/>
          </w:tcPr>
          <w:p>
            <w:pPr>
              <w:spacing w:line="360" w:lineRule="auto"/>
              <w:rPr>
                <w:rFonts w:hint="eastAsia" w:ascii="宋体" w:hAnsi="宋体" w:eastAsia="宋体" w:cs="宋体"/>
                <w:sz w:val="24"/>
                <w:szCs w:val="24"/>
                <w:highlight w:val="none"/>
              </w:rPr>
            </w:pPr>
          </w:p>
        </w:tc>
        <w:tc>
          <w:tcPr>
            <w:tcW w:w="1337" w:type="dxa"/>
            <w:noWrap w:val="0"/>
            <w:vAlign w:val="top"/>
          </w:tcPr>
          <w:p>
            <w:pPr>
              <w:spacing w:line="360" w:lineRule="auto"/>
              <w:rPr>
                <w:rFonts w:hint="eastAsia" w:ascii="宋体" w:hAnsi="宋体" w:eastAsia="宋体" w:cs="宋体"/>
                <w:sz w:val="24"/>
                <w:szCs w:val="24"/>
                <w:highlight w:val="none"/>
              </w:rPr>
            </w:pPr>
          </w:p>
        </w:tc>
        <w:tc>
          <w:tcPr>
            <w:tcW w:w="1483" w:type="dxa"/>
            <w:noWrap w:val="0"/>
            <w:vAlign w:val="top"/>
          </w:tcPr>
          <w:p>
            <w:pPr>
              <w:spacing w:line="360" w:lineRule="auto"/>
              <w:rPr>
                <w:rFonts w:hint="eastAsia" w:ascii="宋体" w:hAnsi="宋体" w:eastAsia="宋体" w:cs="宋体"/>
                <w:sz w:val="24"/>
                <w:szCs w:val="24"/>
                <w:highlight w:val="none"/>
              </w:rPr>
            </w:pPr>
          </w:p>
        </w:tc>
        <w:tc>
          <w:tcPr>
            <w:tcW w:w="1791" w:type="dxa"/>
            <w:noWrap w:val="0"/>
            <w:vAlign w:val="top"/>
          </w:tcPr>
          <w:p>
            <w:pPr>
              <w:spacing w:line="360" w:lineRule="auto"/>
              <w:rPr>
                <w:rFonts w:hint="eastAsia" w:ascii="宋体" w:hAnsi="宋体" w:eastAsia="宋体" w:cs="宋体"/>
                <w:sz w:val="24"/>
                <w:szCs w:val="24"/>
                <w:highlight w:val="none"/>
              </w:rPr>
            </w:pPr>
          </w:p>
        </w:tc>
        <w:tc>
          <w:tcPr>
            <w:tcW w:w="2265" w:type="dxa"/>
            <w:noWrap w:val="0"/>
            <w:vAlign w:val="top"/>
          </w:tcPr>
          <w:p>
            <w:pPr>
              <w:spacing w:line="360" w:lineRule="auto"/>
              <w:rPr>
                <w:rFonts w:hint="eastAsia" w:ascii="宋体" w:hAnsi="宋体" w:eastAsia="宋体" w:cs="宋体"/>
                <w:sz w:val="24"/>
                <w:szCs w:val="24"/>
                <w:highlight w:val="none"/>
              </w:rPr>
            </w:pPr>
          </w:p>
        </w:tc>
        <w:tc>
          <w:tcPr>
            <w:tcW w:w="1337" w:type="dxa"/>
            <w:tcBorders>
              <w:right w:val="single" w:color="auto" w:sz="12" w:space="0"/>
            </w:tcBorders>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524" w:type="dxa"/>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337" w:type="dxa"/>
            <w:noWrap w:val="0"/>
            <w:vAlign w:val="top"/>
          </w:tcPr>
          <w:p>
            <w:pPr>
              <w:spacing w:line="360" w:lineRule="auto"/>
              <w:rPr>
                <w:rFonts w:hint="eastAsia" w:ascii="宋体" w:hAnsi="宋体" w:eastAsia="宋体" w:cs="宋体"/>
                <w:sz w:val="24"/>
                <w:szCs w:val="24"/>
                <w:highlight w:val="none"/>
              </w:rPr>
            </w:pPr>
          </w:p>
        </w:tc>
        <w:tc>
          <w:tcPr>
            <w:tcW w:w="1483" w:type="dxa"/>
            <w:noWrap w:val="0"/>
            <w:vAlign w:val="top"/>
          </w:tcPr>
          <w:p>
            <w:pPr>
              <w:spacing w:line="360" w:lineRule="auto"/>
              <w:rPr>
                <w:rFonts w:hint="eastAsia" w:ascii="宋体" w:hAnsi="宋体" w:eastAsia="宋体" w:cs="宋体"/>
                <w:sz w:val="24"/>
                <w:szCs w:val="24"/>
                <w:highlight w:val="none"/>
              </w:rPr>
            </w:pPr>
          </w:p>
        </w:tc>
        <w:tc>
          <w:tcPr>
            <w:tcW w:w="1791" w:type="dxa"/>
            <w:noWrap w:val="0"/>
            <w:vAlign w:val="top"/>
          </w:tcPr>
          <w:p>
            <w:pPr>
              <w:spacing w:line="360" w:lineRule="auto"/>
              <w:rPr>
                <w:rFonts w:hint="eastAsia" w:ascii="宋体" w:hAnsi="宋体" w:eastAsia="宋体" w:cs="宋体"/>
                <w:sz w:val="24"/>
                <w:szCs w:val="24"/>
                <w:highlight w:val="none"/>
              </w:rPr>
            </w:pPr>
          </w:p>
        </w:tc>
        <w:tc>
          <w:tcPr>
            <w:tcW w:w="2265" w:type="dxa"/>
            <w:noWrap w:val="0"/>
            <w:vAlign w:val="top"/>
          </w:tcPr>
          <w:p>
            <w:pPr>
              <w:spacing w:line="360" w:lineRule="auto"/>
              <w:rPr>
                <w:rFonts w:hint="eastAsia" w:ascii="宋体" w:hAnsi="宋体" w:eastAsia="宋体" w:cs="宋体"/>
                <w:sz w:val="24"/>
                <w:szCs w:val="24"/>
                <w:highlight w:val="none"/>
              </w:rPr>
            </w:pPr>
          </w:p>
        </w:tc>
        <w:tc>
          <w:tcPr>
            <w:tcW w:w="1337" w:type="dxa"/>
            <w:tcBorders>
              <w:right w:val="single" w:color="auto" w:sz="12" w:space="0"/>
            </w:tcBorders>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bottom w:val="single" w:color="auto" w:sz="12" w:space="0"/>
            </w:tcBorders>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524"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1337"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1483"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1791"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2265"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1337" w:type="dxa"/>
            <w:tcBorders>
              <w:bottom w:val="single" w:color="auto" w:sz="12" w:space="0"/>
              <w:right w:val="single" w:color="auto" w:sz="12" w:space="0"/>
            </w:tcBorders>
            <w:noWrap w:val="0"/>
            <w:vAlign w:val="top"/>
          </w:tcPr>
          <w:p>
            <w:pPr>
              <w:spacing w:line="360" w:lineRule="auto"/>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1、节能产品根据财政部、国家发展改革委最新公布的节能产品政府采购清单确定。</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2、如所投产品为节能产品，须提供所投产品在最新公布的节能产品政府采购清单所在页扫描件或相关网页截图，否则评分时不予认可。</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3、如所投产品为节能产品，须按规定格式逐项填写，否则评分时不予认可。如所投产品不是节能产品，可不填此表。</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sz w:val="24"/>
          <w:szCs w:val="24"/>
          <w:highlight w:val="none"/>
        </w:rPr>
        <w:t>4）中、小、微型企业产品明细表</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项目编号、包号：                                         价格单位：元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719"/>
        <w:gridCol w:w="2101"/>
        <w:gridCol w:w="1719"/>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55" w:type="dxa"/>
            <w:tcBorders>
              <w:top w:val="single" w:color="auto" w:sz="12" w:space="0"/>
              <w:lef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719" w:type="dxa"/>
            <w:tcBorders>
              <w:top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2101" w:type="dxa"/>
            <w:tcBorders>
              <w:top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制造商</w:t>
            </w:r>
          </w:p>
        </w:tc>
        <w:tc>
          <w:tcPr>
            <w:tcW w:w="1719" w:type="dxa"/>
            <w:tcBorders>
              <w:top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产品型号</w:t>
            </w:r>
          </w:p>
        </w:tc>
        <w:tc>
          <w:tcPr>
            <w:tcW w:w="2076" w:type="dxa"/>
            <w:tcBorders>
              <w:top w:val="single" w:color="auto" w:sz="12" w:space="0"/>
              <w:righ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719" w:type="dxa"/>
            <w:noWrap w:val="0"/>
            <w:vAlign w:val="top"/>
          </w:tcPr>
          <w:p>
            <w:pPr>
              <w:spacing w:line="360" w:lineRule="auto"/>
              <w:rPr>
                <w:rFonts w:hint="eastAsia" w:ascii="宋体" w:hAnsi="宋体" w:eastAsia="宋体" w:cs="宋体"/>
                <w:sz w:val="24"/>
                <w:szCs w:val="24"/>
                <w:highlight w:val="none"/>
              </w:rPr>
            </w:pPr>
          </w:p>
        </w:tc>
        <w:tc>
          <w:tcPr>
            <w:tcW w:w="2101" w:type="dxa"/>
            <w:noWrap w:val="0"/>
            <w:vAlign w:val="top"/>
          </w:tcPr>
          <w:p>
            <w:pPr>
              <w:spacing w:line="360" w:lineRule="auto"/>
              <w:rPr>
                <w:rFonts w:hint="eastAsia" w:ascii="宋体" w:hAnsi="宋体" w:eastAsia="宋体" w:cs="宋体"/>
                <w:sz w:val="24"/>
                <w:szCs w:val="24"/>
                <w:highlight w:val="none"/>
              </w:rPr>
            </w:pPr>
          </w:p>
        </w:tc>
        <w:tc>
          <w:tcPr>
            <w:tcW w:w="1719" w:type="dxa"/>
            <w:noWrap w:val="0"/>
            <w:vAlign w:val="top"/>
          </w:tcPr>
          <w:p>
            <w:pPr>
              <w:spacing w:line="360" w:lineRule="auto"/>
              <w:rPr>
                <w:rFonts w:hint="eastAsia" w:ascii="宋体" w:hAnsi="宋体" w:eastAsia="宋体" w:cs="宋体"/>
                <w:sz w:val="24"/>
                <w:szCs w:val="24"/>
                <w:highlight w:val="none"/>
              </w:rPr>
            </w:pPr>
          </w:p>
        </w:tc>
        <w:tc>
          <w:tcPr>
            <w:tcW w:w="2076" w:type="dxa"/>
            <w:tcBorders>
              <w:right w:val="single" w:color="auto" w:sz="12" w:space="0"/>
            </w:tcBorders>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719" w:type="dxa"/>
            <w:noWrap w:val="0"/>
            <w:vAlign w:val="top"/>
          </w:tcPr>
          <w:p>
            <w:pPr>
              <w:spacing w:line="360" w:lineRule="auto"/>
              <w:rPr>
                <w:rFonts w:hint="eastAsia" w:ascii="宋体" w:hAnsi="宋体" w:eastAsia="宋体" w:cs="宋体"/>
                <w:sz w:val="24"/>
                <w:szCs w:val="24"/>
                <w:highlight w:val="none"/>
              </w:rPr>
            </w:pPr>
          </w:p>
        </w:tc>
        <w:tc>
          <w:tcPr>
            <w:tcW w:w="2101" w:type="dxa"/>
            <w:noWrap w:val="0"/>
            <w:vAlign w:val="top"/>
          </w:tcPr>
          <w:p>
            <w:pPr>
              <w:spacing w:line="360" w:lineRule="auto"/>
              <w:rPr>
                <w:rFonts w:hint="eastAsia" w:ascii="宋体" w:hAnsi="宋体" w:eastAsia="宋体" w:cs="宋体"/>
                <w:sz w:val="24"/>
                <w:szCs w:val="24"/>
                <w:highlight w:val="none"/>
              </w:rPr>
            </w:pPr>
          </w:p>
        </w:tc>
        <w:tc>
          <w:tcPr>
            <w:tcW w:w="1719" w:type="dxa"/>
            <w:noWrap w:val="0"/>
            <w:vAlign w:val="top"/>
          </w:tcPr>
          <w:p>
            <w:pPr>
              <w:spacing w:line="360" w:lineRule="auto"/>
              <w:rPr>
                <w:rFonts w:hint="eastAsia" w:ascii="宋体" w:hAnsi="宋体" w:eastAsia="宋体" w:cs="宋体"/>
                <w:sz w:val="24"/>
                <w:szCs w:val="24"/>
                <w:highlight w:val="none"/>
              </w:rPr>
            </w:pPr>
          </w:p>
        </w:tc>
        <w:tc>
          <w:tcPr>
            <w:tcW w:w="2076" w:type="dxa"/>
            <w:tcBorders>
              <w:right w:val="single" w:color="auto" w:sz="12" w:space="0"/>
            </w:tcBorders>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719" w:type="dxa"/>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101" w:type="dxa"/>
            <w:noWrap w:val="0"/>
            <w:vAlign w:val="top"/>
          </w:tcPr>
          <w:p>
            <w:pPr>
              <w:spacing w:line="360" w:lineRule="auto"/>
              <w:rPr>
                <w:rFonts w:hint="eastAsia" w:ascii="宋体" w:hAnsi="宋体" w:eastAsia="宋体" w:cs="宋体"/>
                <w:sz w:val="24"/>
                <w:szCs w:val="24"/>
                <w:highlight w:val="none"/>
              </w:rPr>
            </w:pPr>
          </w:p>
        </w:tc>
        <w:tc>
          <w:tcPr>
            <w:tcW w:w="1719" w:type="dxa"/>
            <w:noWrap w:val="0"/>
            <w:vAlign w:val="top"/>
          </w:tcPr>
          <w:p>
            <w:pPr>
              <w:spacing w:line="360" w:lineRule="auto"/>
              <w:rPr>
                <w:rFonts w:hint="eastAsia" w:ascii="宋体" w:hAnsi="宋体" w:eastAsia="宋体" w:cs="宋体"/>
                <w:sz w:val="24"/>
                <w:szCs w:val="24"/>
                <w:highlight w:val="none"/>
              </w:rPr>
            </w:pPr>
          </w:p>
        </w:tc>
        <w:tc>
          <w:tcPr>
            <w:tcW w:w="2076" w:type="dxa"/>
            <w:tcBorders>
              <w:right w:val="single" w:color="auto" w:sz="12" w:space="0"/>
            </w:tcBorders>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bottom w:val="single" w:color="auto" w:sz="12" w:space="0"/>
            </w:tcBorders>
            <w:noWrap w:val="0"/>
            <w:vAlign w:val="top"/>
          </w:tcPr>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719"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2101"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1719"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2076" w:type="dxa"/>
            <w:tcBorders>
              <w:bottom w:val="single" w:color="auto" w:sz="12" w:space="0"/>
              <w:right w:val="single" w:color="auto" w:sz="12" w:space="0"/>
            </w:tcBorders>
            <w:noWrap w:val="0"/>
            <w:vAlign w:val="top"/>
          </w:tcPr>
          <w:p>
            <w:pPr>
              <w:spacing w:line="360" w:lineRule="auto"/>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说明：如所投货物为中、小、微型企业产品，须按规定格式逐项填写，否则评分时不予认可。</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77" w:name="_Toc36632502"/>
      <w:r>
        <w:rPr>
          <w:rFonts w:hint="eastAsia" w:ascii="宋体" w:hAnsi="宋体" w:eastAsia="宋体" w:cs="宋体"/>
          <w:b/>
          <w:sz w:val="24"/>
          <w:szCs w:val="24"/>
          <w:highlight w:val="none"/>
        </w:rPr>
        <w:t>培训方案</w:t>
      </w:r>
      <w:bookmarkEnd w:id="77"/>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备注：格式自拟</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br w:type="page"/>
      </w:r>
    </w:p>
    <w:p>
      <w:pPr>
        <w:spacing w:line="360" w:lineRule="auto"/>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厂家授权</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☆进口产品需提供厂家授权书；（格式见招标文件</w:t>
      </w: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rPr>
        <w:t>页</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制造商授权书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78" w:name="_Toc36632503"/>
      <w:r>
        <w:rPr>
          <w:rFonts w:hint="eastAsia" w:ascii="宋体" w:hAnsi="宋体" w:eastAsia="宋体" w:cs="宋体"/>
          <w:b/>
          <w:sz w:val="32"/>
          <w:szCs w:val="32"/>
          <w:highlight w:val="none"/>
        </w:rPr>
        <w:t>四、技术文件</w:t>
      </w:r>
      <w:bookmarkEnd w:id="78"/>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79" w:name="_Toc36632504"/>
      <w:r>
        <w:rPr>
          <w:rFonts w:hint="eastAsia" w:ascii="宋体" w:hAnsi="宋体" w:eastAsia="宋体" w:cs="宋体"/>
          <w:b/>
          <w:sz w:val="24"/>
          <w:szCs w:val="24"/>
          <w:highlight w:val="none"/>
          <w:lang w:eastAsia="zh-CN"/>
        </w:rPr>
        <w:t>十四</w:t>
      </w:r>
      <w:r>
        <w:rPr>
          <w:rFonts w:hint="eastAsia" w:ascii="宋体" w:hAnsi="宋体" w:eastAsia="宋体" w:cs="宋体"/>
          <w:b/>
          <w:sz w:val="24"/>
          <w:szCs w:val="24"/>
          <w:highlight w:val="none"/>
        </w:rPr>
        <w:t>、投标人自行编写的技术文件</w:t>
      </w:r>
      <w:bookmarkEnd w:id="79"/>
    </w:p>
    <w:p>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rPr>
        <w:t>物主要技术指标和运行性能：</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&lt;1&gt;☆技术明细表（详细描述货物技术指标及性能，包括采用的新工艺、新技术、新材料等）；</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项目编号、包号：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w:t>
            </w:r>
          </w:p>
        </w:tc>
        <w:tc>
          <w:tcPr>
            <w:tcW w:w="2441" w:type="dxa"/>
            <w:tcBorders>
              <w:top w:val="single" w:color="auto" w:sz="12"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725" w:type="dxa"/>
            <w:tcBorders>
              <w:top w:val="single" w:color="auto" w:sz="12"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749" w:type="dxa"/>
            <w:tcBorders>
              <w:top w:val="single" w:color="auto" w:sz="12" w:space="0"/>
              <w:bottom w:val="single" w:color="auto" w:sz="4" w:space="0"/>
              <w:righ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序</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号</w:t>
            </w:r>
          </w:p>
        </w:tc>
        <w:tc>
          <w:tcPr>
            <w:tcW w:w="2441"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品牌、型号</w:t>
            </w:r>
          </w:p>
        </w:tc>
        <w:tc>
          <w:tcPr>
            <w:tcW w:w="4725"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技术规格</w:t>
            </w:r>
          </w:p>
        </w:tc>
        <w:tc>
          <w:tcPr>
            <w:tcW w:w="1749" w:type="dxa"/>
            <w:tcBorders>
              <w:righ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441" w:type="dxa"/>
            <w:noWrap w:val="0"/>
            <w:vAlign w:val="center"/>
          </w:tcPr>
          <w:p>
            <w:pPr>
              <w:spacing w:line="360" w:lineRule="auto"/>
              <w:rPr>
                <w:rFonts w:hint="eastAsia" w:ascii="宋体" w:hAnsi="宋体" w:eastAsia="宋体" w:cs="宋体"/>
                <w:sz w:val="24"/>
                <w:szCs w:val="24"/>
                <w:highlight w:val="none"/>
              </w:rPr>
            </w:pPr>
          </w:p>
        </w:tc>
        <w:tc>
          <w:tcPr>
            <w:tcW w:w="4725" w:type="dxa"/>
            <w:noWrap w:val="0"/>
            <w:vAlign w:val="center"/>
          </w:tcPr>
          <w:p>
            <w:pPr>
              <w:spacing w:line="360" w:lineRule="auto"/>
              <w:rPr>
                <w:rFonts w:hint="eastAsia" w:ascii="宋体" w:hAnsi="宋体" w:eastAsia="宋体" w:cs="宋体"/>
                <w:sz w:val="24"/>
                <w:szCs w:val="24"/>
                <w:highlight w:val="none"/>
              </w:rPr>
            </w:pPr>
          </w:p>
        </w:tc>
        <w:tc>
          <w:tcPr>
            <w:tcW w:w="1749" w:type="dxa"/>
            <w:tcBorders>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441" w:type="dxa"/>
            <w:noWrap w:val="0"/>
            <w:vAlign w:val="center"/>
          </w:tcPr>
          <w:p>
            <w:pPr>
              <w:spacing w:line="360" w:lineRule="auto"/>
              <w:rPr>
                <w:rFonts w:hint="eastAsia" w:ascii="宋体" w:hAnsi="宋体" w:eastAsia="宋体" w:cs="宋体"/>
                <w:sz w:val="24"/>
                <w:szCs w:val="24"/>
                <w:highlight w:val="none"/>
              </w:rPr>
            </w:pPr>
          </w:p>
        </w:tc>
        <w:tc>
          <w:tcPr>
            <w:tcW w:w="4725" w:type="dxa"/>
            <w:noWrap w:val="0"/>
            <w:vAlign w:val="top"/>
          </w:tcPr>
          <w:p>
            <w:pPr>
              <w:spacing w:line="360" w:lineRule="auto"/>
              <w:rPr>
                <w:rFonts w:hint="eastAsia" w:ascii="宋体" w:hAnsi="宋体" w:eastAsia="宋体" w:cs="宋体"/>
                <w:sz w:val="24"/>
                <w:szCs w:val="24"/>
                <w:highlight w:val="none"/>
              </w:rPr>
            </w:pPr>
          </w:p>
        </w:tc>
        <w:tc>
          <w:tcPr>
            <w:tcW w:w="1749" w:type="dxa"/>
            <w:tcBorders>
              <w:right w:val="single" w:color="auto" w:sz="12" w:space="0"/>
            </w:tcBorders>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441" w:type="dxa"/>
            <w:noWrap w:val="0"/>
            <w:vAlign w:val="center"/>
          </w:tcPr>
          <w:p>
            <w:pPr>
              <w:spacing w:line="360" w:lineRule="auto"/>
              <w:rPr>
                <w:rFonts w:hint="eastAsia" w:ascii="宋体" w:hAnsi="宋体" w:eastAsia="宋体" w:cs="宋体"/>
                <w:sz w:val="24"/>
                <w:szCs w:val="24"/>
                <w:highlight w:val="none"/>
              </w:rPr>
            </w:pPr>
          </w:p>
        </w:tc>
        <w:tc>
          <w:tcPr>
            <w:tcW w:w="4725" w:type="dxa"/>
            <w:noWrap w:val="0"/>
            <w:vAlign w:val="top"/>
          </w:tcPr>
          <w:p>
            <w:pPr>
              <w:spacing w:line="360" w:lineRule="auto"/>
              <w:rPr>
                <w:rFonts w:hint="eastAsia" w:ascii="宋体" w:hAnsi="宋体" w:eastAsia="宋体" w:cs="宋体"/>
                <w:sz w:val="24"/>
                <w:szCs w:val="24"/>
                <w:highlight w:val="none"/>
              </w:rPr>
            </w:pPr>
          </w:p>
        </w:tc>
        <w:tc>
          <w:tcPr>
            <w:tcW w:w="1749" w:type="dxa"/>
            <w:tcBorders>
              <w:right w:val="single" w:color="auto" w:sz="12" w:space="0"/>
            </w:tcBorders>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441" w:type="dxa"/>
            <w:noWrap w:val="0"/>
            <w:vAlign w:val="center"/>
          </w:tcPr>
          <w:p>
            <w:pPr>
              <w:spacing w:line="360" w:lineRule="auto"/>
              <w:rPr>
                <w:rFonts w:hint="eastAsia" w:ascii="宋体" w:hAnsi="宋体" w:eastAsia="宋体" w:cs="宋体"/>
                <w:sz w:val="24"/>
                <w:szCs w:val="24"/>
                <w:highlight w:val="none"/>
              </w:rPr>
            </w:pPr>
          </w:p>
        </w:tc>
        <w:tc>
          <w:tcPr>
            <w:tcW w:w="4725" w:type="dxa"/>
            <w:noWrap w:val="0"/>
            <w:vAlign w:val="top"/>
          </w:tcPr>
          <w:p>
            <w:pPr>
              <w:spacing w:line="360" w:lineRule="auto"/>
              <w:rPr>
                <w:rFonts w:hint="eastAsia" w:ascii="宋体" w:hAnsi="宋体" w:eastAsia="宋体" w:cs="宋体"/>
                <w:sz w:val="24"/>
                <w:szCs w:val="24"/>
                <w:highlight w:val="none"/>
              </w:rPr>
            </w:pPr>
          </w:p>
        </w:tc>
        <w:tc>
          <w:tcPr>
            <w:tcW w:w="1749" w:type="dxa"/>
            <w:tcBorders>
              <w:right w:val="single" w:color="auto" w:sz="12" w:space="0"/>
            </w:tcBorders>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441" w:type="dxa"/>
            <w:noWrap w:val="0"/>
            <w:vAlign w:val="center"/>
          </w:tcPr>
          <w:p>
            <w:pPr>
              <w:spacing w:line="360" w:lineRule="auto"/>
              <w:rPr>
                <w:rFonts w:hint="eastAsia" w:ascii="宋体" w:hAnsi="宋体" w:eastAsia="宋体" w:cs="宋体"/>
                <w:sz w:val="24"/>
                <w:szCs w:val="24"/>
                <w:highlight w:val="none"/>
              </w:rPr>
            </w:pPr>
          </w:p>
        </w:tc>
        <w:tc>
          <w:tcPr>
            <w:tcW w:w="4725" w:type="dxa"/>
            <w:noWrap w:val="0"/>
            <w:vAlign w:val="top"/>
          </w:tcPr>
          <w:p>
            <w:pPr>
              <w:spacing w:line="360" w:lineRule="auto"/>
              <w:rPr>
                <w:rFonts w:hint="eastAsia" w:ascii="宋体" w:hAnsi="宋体" w:eastAsia="宋体" w:cs="宋体"/>
                <w:sz w:val="24"/>
                <w:szCs w:val="24"/>
                <w:highlight w:val="none"/>
              </w:rPr>
            </w:pPr>
          </w:p>
        </w:tc>
        <w:tc>
          <w:tcPr>
            <w:tcW w:w="1749" w:type="dxa"/>
            <w:tcBorders>
              <w:right w:val="single" w:color="auto" w:sz="12" w:space="0"/>
            </w:tcBorders>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441"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4725" w:type="dxa"/>
            <w:tcBorders>
              <w:bottom w:val="single" w:color="auto" w:sz="12" w:space="0"/>
            </w:tcBorders>
            <w:noWrap w:val="0"/>
            <w:vAlign w:val="top"/>
          </w:tcPr>
          <w:p>
            <w:pPr>
              <w:spacing w:line="360" w:lineRule="auto"/>
              <w:rPr>
                <w:rFonts w:hint="eastAsia" w:ascii="宋体" w:hAnsi="宋体" w:eastAsia="宋体" w:cs="宋体"/>
                <w:sz w:val="24"/>
                <w:szCs w:val="24"/>
                <w:highlight w:val="none"/>
              </w:rPr>
            </w:pPr>
          </w:p>
        </w:tc>
        <w:tc>
          <w:tcPr>
            <w:tcW w:w="1749" w:type="dxa"/>
            <w:tcBorders>
              <w:bottom w:val="single" w:color="auto" w:sz="12" w:space="0"/>
              <w:right w:val="single" w:color="auto" w:sz="12" w:space="0"/>
            </w:tcBorders>
            <w:noWrap w:val="0"/>
            <w:vAlign w:val="top"/>
          </w:tcPr>
          <w:p>
            <w:pPr>
              <w:spacing w:line="360" w:lineRule="auto"/>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说明：1.投标人必须填写技术明细表。如果此表中所列内容无法满足招标文件中提出的要求或者与投标人在技术文件中提供的内容不一致，投标有可能被拒绝。</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2.技术规格不得完全复制招标文件内容，否则按无效投标处理。</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&lt;2&gt;同货物型号一致的产品手册、彩页、说明书等技术文件（包括但不限于招标文件中要求提供的投标产品样本、使用保养说明书、图纸以及产品检测报告和认定证书等技术资料）；</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&lt;3&gt;货物技术规范偏离表</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项目编号、包号：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101" w:type="dxa"/>
            <w:tcBorders>
              <w:top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货物名称及编号</w:t>
            </w:r>
          </w:p>
        </w:tc>
        <w:tc>
          <w:tcPr>
            <w:tcW w:w="1021" w:type="dxa"/>
            <w:tcBorders>
              <w:top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707" w:type="dxa"/>
            <w:tcBorders>
              <w:top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招标文件技术规范、要求</w:t>
            </w:r>
          </w:p>
        </w:tc>
        <w:tc>
          <w:tcPr>
            <w:tcW w:w="1337" w:type="dxa"/>
            <w:tcBorders>
              <w:top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投标文件对应规范</w:t>
            </w:r>
          </w:p>
        </w:tc>
        <w:tc>
          <w:tcPr>
            <w:tcW w:w="1337" w:type="dxa"/>
            <w:tcBorders>
              <w:top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偏差</w:t>
            </w:r>
          </w:p>
        </w:tc>
        <w:tc>
          <w:tcPr>
            <w:tcW w:w="977" w:type="dxa"/>
            <w:tcBorders>
              <w:top w:val="single" w:color="auto" w:sz="12" w:space="0"/>
              <w:right w:val="single" w:color="auto" w:sz="12"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2101" w:type="dxa"/>
            <w:noWrap w:val="0"/>
            <w:vAlign w:val="center"/>
          </w:tcPr>
          <w:p>
            <w:pPr>
              <w:spacing w:line="360" w:lineRule="auto"/>
              <w:rPr>
                <w:rFonts w:hint="eastAsia" w:ascii="宋体" w:hAnsi="宋体" w:eastAsia="宋体" w:cs="宋体"/>
                <w:sz w:val="24"/>
                <w:szCs w:val="24"/>
                <w:highlight w:val="none"/>
              </w:rPr>
            </w:pPr>
          </w:p>
        </w:tc>
        <w:tc>
          <w:tcPr>
            <w:tcW w:w="1021" w:type="dxa"/>
            <w:noWrap w:val="0"/>
            <w:vAlign w:val="center"/>
          </w:tcPr>
          <w:p>
            <w:pPr>
              <w:spacing w:line="360" w:lineRule="auto"/>
              <w:rPr>
                <w:rFonts w:hint="eastAsia" w:ascii="宋体" w:hAnsi="宋体" w:eastAsia="宋体" w:cs="宋体"/>
                <w:sz w:val="24"/>
                <w:szCs w:val="24"/>
                <w:highlight w:val="none"/>
              </w:rPr>
            </w:pPr>
          </w:p>
        </w:tc>
        <w:tc>
          <w:tcPr>
            <w:tcW w:w="1707" w:type="dxa"/>
            <w:noWrap w:val="0"/>
            <w:vAlign w:val="center"/>
          </w:tcPr>
          <w:p>
            <w:pPr>
              <w:spacing w:line="360" w:lineRule="auto"/>
              <w:rPr>
                <w:rFonts w:hint="eastAsia" w:ascii="宋体" w:hAnsi="宋体" w:eastAsia="宋体" w:cs="宋体"/>
                <w:sz w:val="24"/>
                <w:szCs w:val="24"/>
                <w:highlight w:val="none"/>
              </w:rPr>
            </w:pPr>
          </w:p>
        </w:tc>
        <w:tc>
          <w:tcPr>
            <w:tcW w:w="1337" w:type="dxa"/>
            <w:noWrap w:val="0"/>
            <w:vAlign w:val="center"/>
          </w:tcPr>
          <w:p>
            <w:pPr>
              <w:spacing w:line="360" w:lineRule="auto"/>
              <w:rPr>
                <w:rFonts w:hint="eastAsia" w:ascii="宋体" w:hAnsi="宋体" w:eastAsia="宋体" w:cs="宋体"/>
                <w:sz w:val="24"/>
                <w:szCs w:val="24"/>
                <w:highlight w:val="none"/>
              </w:rPr>
            </w:pPr>
          </w:p>
        </w:tc>
        <w:tc>
          <w:tcPr>
            <w:tcW w:w="1337" w:type="dxa"/>
            <w:noWrap w:val="0"/>
            <w:vAlign w:val="center"/>
          </w:tcPr>
          <w:p>
            <w:pPr>
              <w:spacing w:line="360" w:lineRule="auto"/>
              <w:rPr>
                <w:rFonts w:hint="eastAsia" w:ascii="宋体" w:hAnsi="宋体" w:eastAsia="宋体" w:cs="宋体"/>
                <w:sz w:val="24"/>
                <w:szCs w:val="24"/>
                <w:highlight w:val="none"/>
              </w:rPr>
            </w:pPr>
          </w:p>
        </w:tc>
        <w:tc>
          <w:tcPr>
            <w:tcW w:w="977" w:type="dxa"/>
            <w:tcBorders>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2101" w:type="dxa"/>
            <w:noWrap w:val="0"/>
            <w:vAlign w:val="center"/>
          </w:tcPr>
          <w:p>
            <w:pPr>
              <w:spacing w:line="360" w:lineRule="auto"/>
              <w:rPr>
                <w:rFonts w:hint="eastAsia" w:ascii="宋体" w:hAnsi="宋体" w:eastAsia="宋体" w:cs="宋体"/>
                <w:sz w:val="24"/>
                <w:szCs w:val="24"/>
                <w:highlight w:val="none"/>
              </w:rPr>
            </w:pPr>
          </w:p>
        </w:tc>
        <w:tc>
          <w:tcPr>
            <w:tcW w:w="1021" w:type="dxa"/>
            <w:noWrap w:val="0"/>
            <w:vAlign w:val="center"/>
          </w:tcPr>
          <w:p>
            <w:pPr>
              <w:spacing w:line="360" w:lineRule="auto"/>
              <w:rPr>
                <w:rFonts w:hint="eastAsia" w:ascii="宋体" w:hAnsi="宋体" w:eastAsia="宋体" w:cs="宋体"/>
                <w:sz w:val="24"/>
                <w:szCs w:val="24"/>
                <w:highlight w:val="none"/>
              </w:rPr>
            </w:pPr>
          </w:p>
        </w:tc>
        <w:tc>
          <w:tcPr>
            <w:tcW w:w="1707" w:type="dxa"/>
            <w:noWrap w:val="0"/>
            <w:vAlign w:val="center"/>
          </w:tcPr>
          <w:p>
            <w:pPr>
              <w:spacing w:line="360" w:lineRule="auto"/>
              <w:rPr>
                <w:rFonts w:hint="eastAsia" w:ascii="宋体" w:hAnsi="宋体" w:eastAsia="宋体" w:cs="宋体"/>
                <w:sz w:val="24"/>
                <w:szCs w:val="24"/>
                <w:highlight w:val="none"/>
              </w:rPr>
            </w:pPr>
          </w:p>
        </w:tc>
        <w:tc>
          <w:tcPr>
            <w:tcW w:w="1337" w:type="dxa"/>
            <w:noWrap w:val="0"/>
            <w:vAlign w:val="center"/>
          </w:tcPr>
          <w:p>
            <w:pPr>
              <w:spacing w:line="360" w:lineRule="auto"/>
              <w:rPr>
                <w:rFonts w:hint="eastAsia" w:ascii="宋体" w:hAnsi="宋体" w:eastAsia="宋体" w:cs="宋体"/>
                <w:sz w:val="24"/>
                <w:szCs w:val="24"/>
                <w:highlight w:val="none"/>
              </w:rPr>
            </w:pPr>
          </w:p>
        </w:tc>
        <w:tc>
          <w:tcPr>
            <w:tcW w:w="1337" w:type="dxa"/>
            <w:noWrap w:val="0"/>
            <w:vAlign w:val="center"/>
          </w:tcPr>
          <w:p>
            <w:pPr>
              <w:spacing w:line="360" w:lineRule="auto"/>
              <w:rPr>
                <w:rFonts w:hint="eastAsia" w:ascii="宋体" w:hAnsi="宋体" w:eastAsia="宋体" w:cs="宋体"/>
                <w:sz w:val="24"/>
                <w:szCs w:val="24"/>
                <w:highlight w:val="none"/>
              </w:rPr>
            </w:pPr>
          </w:p>
        </w:tc>
        <w:tc>
          <w:tcPr>
            <w:tcW w:w="977" w:type="dxa"/>
            <w:tcBorders>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2101" w:type="dxa"/>
            <w:noWrap w:val="0"/>
            <w:vAlign w:val="center"/>
          </w:tcPr>
          <w:p>
            <w:pPr>
              <w:spacing w:line="360" w:lineRule="auto"/>
              <w:rPr>
                <w:rFonts w:hint="eastAsia" w:ascii="宋体" w:hAnsi="宋体" w:eastAsia="宋体" w:cs="宋体"/>
                <w:sz w:val="24"/>
                <w:szCs w:val="24"/>
                <w:highlight w:val="none"/>
              </w:rPr>
            </w:pPr>
          </w:p>
        </w:tc>
        <w:tc>
          <w:tcPr>
            <w:tcW w:w="1021" w:type="dxa"/>
            <w:noWrap w:val="0"/>
            <w:vAlign w:val="center"/>
          </w:tcPr>
          <w:p>
            <w:pPr>
              <w:spacing w:line="360" w:lineRule="auto"/>
              <w:rPr>
                <w:rFonts w:hint="eastAsia" w:ascii="宋体" w:hAnsi="宋体" w:eastAsia="宋体" w:cs="宋体"/>
                <w:sz w:val="24"/>
                <w:szCs w:val="24"/>
                <w:highlight w:val="none"/>
              </w:rPr>
            </w:pPr>
          </w:p>
        </w:tc>
        <w:tc>
          <w:tcPr>
            <w:tcW w:w="1707" w:type="dxa"/>
            <w:noWrap w:val="0"/>
            <w:vAlign w:val="center"/>
          </w:tcPr>
          <w:p>
            <w:pPr>
              <w:spacing w:line="360" w:lineRule="auto"/>
              <w:rPr>
                <w:rFonts w:hint="eastAsia" w:ascii="宋体" w:hAnsi="宋体" w:eastAsia="宋体" w:cs="宋体"/>
                <w:sz w:val="24"/>
                <w:szCs w:val="24"/>
                <w:highlight w:val="none"/>
              </w:rPr>
            </w:pPr>
          </w:p>
        </w:tc>
        <w:tc>
          <w:tcPr>
            <w:tcW w:w="1337" w:type="dxa"/>
            <w:noWrap w:val="0"/>
            <w:vAlign w:val="center"/>
          </w:tcPr>
          <w:p>
            <w:pPr>
              <w:spacing w:line="360" w:lineRule="auto"/>
              <w:rPr>
                <w:rFonts w:hint="eastAsia" w:ascii="宋体" w:hAnsi="宋体" w:eastAsia="宋体" w:cs="宋体"/>
                <w:sz w:val="24"/>
                <w:szCs w:val="24"/>
                <w:highlight w:val="none"/>
              </w:rPr>
            </w:pPr>
          </w:p>
        </w:tc>
        <w:tc>
          <w:tcPr>
            <w:tcW w:w="1337" w:type="dxa"/>
            <w:noWrap w:val="0"/>
            <w:vAlign w:val="center"/>
          </w:tcPr>
          <w:p>
            <w:pPr>
              <w:spacing w:line="360" w:lineRule="auto"/>
              <w:rPr>
                <w:rFonts w:hint="eastAsia" w:ascii="宋体" w:hAnsi="宋体" w:eastAsia="宋体" w:cs="宋体"/>
                <w:sz w:val="24"/>
                <w:szCs w:val="24"/>
                <w:highlight w:val="none"/>
              </w:rPr>
            </w:pPr>
          </w:p>
        </w:tc>
        <w:tc>
          <w:tcPr>
            <w:tcW w:w="977" w:type="dxa"/>
            <w:tcBorders>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2101"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1021"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1707"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1337"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1337" w:type="dxa"/>
            <w:tcBorders>
              <w:bottom w:val="single" w:color="auto" w:sz="12" w:space="0"/>
            </w:tcBorders>
            <w:noWrap w:val="0"/>
            <w:vAlign w:val="center"/>
          </w:tcPr>
          <w:p>
            <w:pPr>
              <w:spacing w:line="360" w:lineRule="auto"/>
              <w:rPr>
                <w:rFonts w:hint="eastAsia" w:ascii="宋体" w:hAnsi="宋体" w:eastAsia="宋体" w:cs="宋体"/>
                <w:sz w:val="24"/>
                <w:szCs w:val="24"/>
                <w:highlight w:val="none"/>
              </w:rPr>
            </w:pPr>
          </w:p>
        </w:tc>
        <w:tc>
          <w:tcPr>
            <w:tcW w:w="977" w:type="dxa"/>
            <w:tcBorders>
              <w:bottom w:val="single" w:color="auto" w:sz="12" w:space="0"/>
              <w:right w:val="single" w:color="auto" w:sz="12" w:space="0"/>
            </w:tcBorders>
            <w:noWrap w:val="0"/>
            <w:vAlign w:val="center"/>
          </w:tcPr>
          <w:p>
            <w:pPr>
              <w:spacing w:line="360" w:lineRule="auto"/>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说明：如投标人提交的货物技术规范与招标文件的要求存在偏离，需逐项填写《货物技术规范偏离表》。</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80" w:name="_Toc36632505"/>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二</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、产品稳定性可靠性</w:t>
      </w:r>
      <w:bookmarkEnd w:id="80"/>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备注：须提供有效的相关检测部门出具的报告</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81" w:name="_Toc36632506"/>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三</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、验收标准及验收方案</w:t>
      </w:r>
      <w:bookmarkEnd w:id="81"/>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备注：格式自拟</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82" w:name="_Toc36632507"/>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四</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、质量安全保障措施</w:t>
      </w:r>
      <w:bookmarkEnd w:id="82"/>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备注：针对产品质量、安全，出现问题后的处理方案、赔偿方案、退换货计划等</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83" w:name="_Toc36632508"/>
      <w:r>
        <w:rPr>
          <w:rFonts w:hint="eastAsia" w:ascii="宋体" w:hAnsi="宋体" w:eastAsia="宋体" w:cs="宋体"/>
          <w:b/>
          <w:sz w:val="32"/>
          <w:szCs w:val="32"/>
          <w:highlight w:val="none"/>
        </w:rPr>
        <w:t>五、项目实施方案</w:t>
      </w:r>
      <w:bookmarkEnd w:id="83"/>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备注：格式自拟</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84" w:name="_Toc36632509"/>
      <w:r>
        <w:rPr>
          <w:rFonts w:hint="eastAsia" w:ascii="宋体" w:hAnsi="宋体" w:eastAsia="宋体" w:cs="宋体"/>
          <w:b/>
          <w:sz w:val="32"/>
          <w:szCs w:val="32"/>
          <w:highlight w:val="none"/>
        </w:rPr>
        <w:t>六、服务文件</w:t>
      </w:r>
      <w:bookmarkEnd w:id="84"/>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85" w:name="_Toc36632510"/>
      <w:r>
        <w:rPr>
          <w:rFonts w:hint="eastAsia" w:ascii="宋体" w:hAnsi="宋体" w:eastAsia="宋体" w:cs="宋体"/>
          <w:b/>
          <w:sz w:val="24"/>
          <w:szCs w:val="24"/>
          <w:highlight w:val="none"/>
          <w:lang w:eastAsia="zh-CN"/>
        </w:rPr>
        <w:t>十五</w:t>
      </w:r>
      <w:r>
        <w:rPr>
          <w:rFonts w:hint="eastAsia" w:ascii="宋体" w:hAnsi="宋体" w:eastAsia="宋体" w:cs="宋体"/>
          <w:b/>
          <w:sz w:val="24"/>
          <w:szCs w:val="24"/>
          <w:highlight w:val="none"/>
        </w:rPr>
        <w:t>、投标人自行编写的服务文件</w:t>
      </w:r>
      <w:bookmarkEnd w:id="85"/>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①货物售后服务：</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&lt;1&gt;货物的保修期和售后服务的程序、内容及措施；</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&lt;2&gt;响应时间和技术支持情况；</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&lt;3&gt;培训方案及内容；</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②售后服务网点明细表（包括联系人、详细地址、电话、传真）及本地化服务情况一览表；</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附本地化服务一览表：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691" w:type="dxa"/>
            <w:gridSpan w:val="3"/>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本地化服务形式</w:t>
            </w:r>
          </w:p>
        </w:tc>
        <w:tc>
          <w:tcPr>
            <w:tcW w:w="7691" w:type="dxa"/>
            <w:gridSpan w:val="3"/>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在本地具有分支机构</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在本地具有固定的合作伙伴</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在本地注册成立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本地化服务地点及联系方式</w:t>
            </w:r>
          </w:p>
        </w:tc>
        <w:tc>
          <w:tcPr>
            <w:tcW w:w="2940" w:type="dxa"/>
            <w:noWrap w:val="0"/>
            <w:vAlign w:val="center"/>
          </w:tcPr>
          <w:p>
            <w:pPr>
              <w:spacing w:line="360" w:lineRule="auto"/>
              <w:rPr>
                <w:rFonts w:hint="eastAsia" w:ascii="宋体" w:hAnsi="宋体" w:eastAsia="宋体" w:cs="宋体"/>
                <w:sz w:val="24"/>
                <w:szCs w:val="24"/>
                <w:highlight w:val="none"/>
              </w:rPr>
            </w:pPr>
          </w:p>
        </w:tc>
        <w:tc>
          <w:tcPr>
            <w:tcW w:w="2180"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负责人及联系方式（附身份证号码）</w:t>
            </w:r>
          </w:p>
        </w:tc>
        <w:tc>
          <w:tcPr>
            <w:tcW w:w="2571" w:type="dxa"/>
            <w:noWrap w:val="0"/>
            <w:vAlign w:val="top"/>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服务人员名单及联系方式（附身份证号码）：</w:t>
            </w:r>
          </w:p>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其他有关证明文件说明（如营业执照等）：</w:t>
            </w:r>
          </w:p>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备注：1、具有合作伙伴的应填写合作伙伴的相关资料，并提供双方的合作协议以及合作伙伴的营业执照等证明文件。</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2、如供应商不能提供本地化服务，可不填报。</w:t>
            </w:r>
          </w:p>
        </w:tc>
      </w:tr>
    </w:tbl>
    <w:p>
      <w:pPr>
        <w:pStyle w:val="28"/>
        <w:tabs>
          <w:tab w:val="left" w:pos="6420"/>
        </w:tabs>
        <w:spacing w:line="360" w:lineRule="auto"/>
        <w:rPr>
          <w:rFonts w:hint="eastAsia" w:ascii="宋体" w:hAnsi="宋体" w:eastAsia="宋体" w:cs="宋体"/>
          <w:kern w:val="0"/>
          <w:sz w:val="24"/>
          <w:szCs w:val="24"/>
          <w:highlight w:val="none"/>
        </w:rPr>
      </w:pPr>
    </w:p>
    <w:p>
      <w:pPr>
        <w:pStyle w:val="28"/>
        <w:tabs>
          <w:tab w:val="left" w:pos="6420"/>
        </w:tabs>
        <w:spacing w:line="360" w:lineRule="auto"/>
        <w:rPr>
          <w:rFonts w:hint="eastAsia" w:ascii="宋体" w:hAnsi="宋体" w:eastAsia="宋体" w:cs="宋体"/>
          <w:b/>
          <w:sz w:val="24"/>
          <w:szCs w:val="24"/>
          <w:highlight w:val="none"/>
        </w:rPr>
      </w:pPr>
      <w:r>
        <w:rPr>
          <w:rFonts w:hint="eastAsia" w:ascii="宋体" w:hAnsi="宋体" w:eastAsia="宋体" w:cs="宋体"/>
          <w:kern w:val="0"/>
          <w:sz w:val="24"/>
          <w:szCs w:val="24"/>
          <w:highlight w:val="none"/>
        </w:rPr>
        <w:br w:type="page"/>
      </w:r>
      <w:r>
        <w:rPr>
          <w:rFonts w:hint="eastAsia" w:ascii="宋体" w:hAnsi="宋体" w:eastAsia="宋体" w:cs="宋体"/>
          <w:kern w:val="0"/>
          <w:sz w:val="24"/>
          <w:szCs w:val="24"/>
          <w:highlight w:val="none"/>
        </w:rPr>
        <w:t>③</w:t>
      </w:r>
      <w:r>
        <w:rPr>
          <w:rFonts w:hint="eastAsia" w:ascii="宋体" w:hAnsi="宋体" w:eastAsia="宋体" w:cs="宋体"/>
          <w:b/>
          <w:sz w:val="24"/>
          <w:szCs w:val="24"/>
          <w:highlight w:val="none"/>
        </w:rPr>
        <w:t>服务项目偏离表</w:t>
      </w:r>
    </w:p>
    <w:p>
      <w:pPr>
        <w:pStyle w:val="29"/>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项目编号、包号：</w:t>
      </w:r>
      <w:r>
        <w:rPr>
          <w:rFonts w:hint="eastAsia" w:ascii="宋体" w:hAnsi="宋体" w:eastAsia="宋体" w:cs="宋体"/>
          <w:sz w:val="24"/>
          <w:szCs w:val="24"/>
          <w:highlight w:val="none"/>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528"/>
        <w:gridCol w:w="2674"/>
        <w:gridCol w:w="2483"/>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46" w:type="dxa"/>
            <w:tcBorders>
              <w:top w:val="single" w:color="auto" w:sz="12" w:space="0"/>
              <w:left w:val="single" w:color="auto" w:sz="12" w:space="0"/>
            </w:tcBorders>
            <w:noWrap w:val="0"/>
            <w:vAlign w:val="center"/>
          </w:tcPr>
          <w:p>
            <w:pPr>
              <w:pStyle w:val="28"/>
              <w:tabs>
                <w:tab w:val="left" w:pos="1337"/>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1528" w:type="dxa"/>
            <w:tcBorders>
              <w:top w:val="single" w:color="auto" w:sz="12" w:space="0"/>
            </w:tcBorders>
            <w:noWrap w:val="0"/>
            <w:vAlign w:val="center"/>
          </w:tcPr>
          <w:p>
            <w:pPr>
              <w:pStyle w:val="28"/>
              <w:tabs>
                <w:tab w:val="left" w:pos="1337"/>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招标文件</w:t>
            </w:r>
          </w:p>
          <w:p>
            <w:pPr>
              <w:pStyle w:val="28"/>
              <w:tabs>
                <w:tab w:val="left" w:pos="1337"/>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条款号</w:t>
            </w:r>
          </w:p>
        </w:tc>
        <w:tc>
          <w:tcPr>
            <w:tcW w:w="2674" w:type="dxa"/>
            <w:tcBorders>
              <w:top w:val="single" w:color="auto" w:sz="12" w:space="0"/>
            </w:tcBorders>
            <w:noWrap w:val="0"/>
            <w:vAlign w:val="center"/>
          </w:tcPr>
          <w:p>
            <w:pPr>
              <w:pStyle w:val="28"/>
              <w:tabs>
                <w:tab w:val="left" w:pos="1337"/>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招标文件的服务条款</w:t>
            </w:r>
          </w:p>
        </w:tc>
        <w:tc>
          <w:tcPr>
            <w:tcW w:w="2483" w:type="dxa"/>
            <w:tcBorders>
              <w:top w:val="single" w:color="auto" w:sz="12" w:space="0"/>
            </w:tcBorders>
            <w:noWrap w:val="0"/>
            <w:vAlign w:val="center"/>
          </w:tcPr>
          <w:p>
            <w:pPr>
              <w:pStyle w:val="28"/>
              <w:tabs>
                <w:tab w:val="left" w:pos="1337"/>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投标文件的服务条款</w:t>
            </w:r>
          </w:p>
        </w:tc>
        <w:tc>
          <w:tcPr>
            <w:tcW w:w="1146" w:type="dxa"/>
            <w:tcBorders>
              <w:top w:val="single" w:color="auto" w:sz="12" w:space="0"/>
              <w:right w:val="single" w:color="auto" w:sz="12" w:space="0"/>
            </w:tcBorders>
            <w:noWrap w:val="0"/>
            <w:vAlign w:val="center"/>
          </w:tcPr>
          <w:p>
            <w:pPr>
              <w:pStyle w:val="28"/>
              <w:tabs>
                <w:tab w:val="left" w:pos="1337"/>
              </w:tabs>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c>
          <w:tcPr>
            <w:tcW w:w="1528" w:type="dxa"/>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c>
          <w:tcPr>
            <w:tcW w:w="2674" w:type="dxa"/>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c>
          <w:tcPr>
            <w:tcW w:w="2483" w:type="dxa"/>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c>
          <w:tcPr>
            <w:tcW w:w="1146" w:type="dxa"/>
            <w:tcBorders>
              <w:right w:val="single" w:color="auto" w:sz="12" w:space="0"/>
            </w:tcBorders>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c>
          <w:tcPr>
            <w:tcW w:w="1528" w:type="dxa"/>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c>
          <w:tcPr>
            <w:tcW w:w="2674" w:type="dxa"/>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c>
          <w:tcPr>
            <w:tcW w:w="2483" w:type="dxa"/>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c>
          <w:tcPr>
            <w:tcW w:w="1146" w:type="dxa"/>
            <w:tcBorders>
              <w:right w:val="single" w:color="auto" w:sz="12" w:space="0"/>
            </w:tcBorders>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46" w:type="dxa"/>
            <w:tcBorders>
              <w:left w:val="single" w:color="auto" w:sz="12" w:space="0"/>
            </w:tcBorders>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c>
          <w:tcPr>
            <w:tcW w:w="1528" w:type="dxa"/>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c>
          <w:tcPr>
            <w:tcW w:w="2674" w:type="dxa"/>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c>
          <w:tcPr>
            <w:tcW w:w="2483" w:type="dxa"/>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c>
          <w:tcPr>
            <w:tcW w:w="1146" w:type="dxa"/>
            <w:tcBorders>
              <w:right w:val="single" w:color="auto" w:sz="12" w:space="0"/>
            </w:tcBorders>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46" w:type="dxa"/>
            <w:tcBorders>
              <w:left w:val="single" w:color="auto" w:sz="12" w:space="0"/>
              <w:bottom w:val="single" w:color="auto" w:sz="12" w:space="0"/>
            </w:tcBorders>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c>
          <w:tcPr>
            <w:tcW w:w="1528" w:type="dxa"/>
            <w:tcBorders>
              <w:bottom w:val="single" w:color="auto" w:sz="12" w:space="0"/>
            </w:tcBorders>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c>
          <w:tcPr>
            <w:tcW w:w="2674" w:type="dxa"/>
            <w:tcBorders>
              <w:bottom w:val="single" w:color="auto" w:sz="12" w:space="0"/>
            </w:tcBorders>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c>
          <w:tcPr>
            <w:tcW w:w="2483" w:type="dxa"/>
            <w:tcBorders>
              <w:bottom w:val="single" w:color="auto" w:sz="12" w:space="0"/>
            </w:tcBorders>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c>
          <w:tcPr>
            <w:tcW w:w="1146" w:type="dxa"/>
            <w:tcBorders>
              <w:bottom w:val="single" w:color="auto" w:sz="12" w:space="0"/>
              <w:right w:val="single" w:color="auto" w:sz="12" w:space="0"/>
            </w:tcBorders>
            <w:noWrap w:val="0"/>
            <w:vAlign w:val="center"/>
          </w:tcPr>
          <w:p>
            <w:pPr>
              <w:pStyle w:val="28"/>
              <w:tabs>
                <w:tab w:val="left" w:pos="1337"/>
              </w:tabs>
              <w:spacing w:line="360" w:lineRule="auto"/>
              <w:jc w:val="center"/>
              <w:rPr>
                <w:rFonts w:hint="eastAsia" w:ascii="宋体" w:hAnsi="宋体" w:eastAsia="宋体" w:cs="宋体"/>
                <w:sz w:val="24"/>
                <w:szCs w:val="24"/>
                <w:highlight w:val="none"/>
              </w:rPr>
            </w:pPr>
          </w:p>
        </w:tc>
      </w:tr>
    </w:tbl>
    <w:p>
      <w:pPr>
        <w:pStyle w:val="28"/>
        <w:spacing w:line="360" w:lineRule="auto"/>
        <w:ind w:left="2"/>
        <w:rPr>
          <w:rFonts w:hint="eastAsia" w:ascii="宋体" w:hAnsi="宋体" w:eastAsia="宋体" w:cs="宋体"/>
          <w:sz w:val="24"/>
          <w:szCs w:val="24"/>
          <w:highlight w:val="none"/>
        </w:rPr>
      </w:pPr>
      <w:r>
        <w:rPr>
          <w:rFonts w:hint="eastAsia" w:ascii="宋体" w:hAnsi="宋体" w:eastAsia="宋体" w:cs="宋体"/>
          <w:sz w:val="24"/>
          <w:szCs w:val="24"/>
          <w:highlight w:val="none"/>
        </w:rPr>
        <w:t>说明：如投标人提交的服务条款与招标文件的要求存在偏离，需逐项填写《服务项目偏离表》。</w:t>
      </w:r>
    </w:p>
    <w:p>
      <w:pPr>
        <w:pStyle w:val="28"/>
        <w:spacing w:line="360" w:lineRule="auto"/>
        <w:ind w:left="2"/>
        <w:rPr>
          <w:rFonts w:hint="eastAsia" w:ascii="宋体" w:hAnsi="宋体" w:eastAsia="宋体" w:cs="宋体"/>
          <w:sz w:val="24"/>
          <w:szCs w:val="24"/>
          <w:highlight w:val="none"/>
        </w:rPr>
      </w:pPr>
    </w:p>
    <w:p>
      <w:pPr>
        <w:pStyle w:val="30"/>
        <w:spacing w:before="0" w:after="0" w:line="360" w:lineRule="auto"/>
        <w:ind w:right="17"/>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pPr>
        <w:pStyle w:val="28"/>
        <w:spacing w:line="360" w:lineRule="auto"/>
        <w:rPr>
          <w:rFonts w:hint="eastAsia" w:ascii="宋体" w:hAnsi="宋体" w:eastAsia="宋体" w:cs="宋体"/>
          <w:sz w:val="24"/>
          <w:szCs w:val="24"/>
          <w:highlight w:val="none"/>
        </w:rPr>
      </w:pPr>
    </w:p>
    <w:p>
      <w:pPr>
        <w:pStyle w:val="28"/>
        <w:tabs>
          <w:tab w:val="left" w:pos="1134"/>
          <w:tab w:val="left" w:pos="5481"/>
          <w:tab w:val="left" w:pos="5859"/>
          <w:tab w:val="left" w:pos="8786"/>
        </w:tabs>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360" w:lineRule="auto"/>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spacing w:line="360" w:lineRule="auto"/>
        <w:jc w:val="center"/>
        <w:outlineLvl w:val="0"/>
        <w:rPr>
          <w:rFonts w:hint="eastAsia" w:ascii="宋体" w:hAnsi="宋体" w:eastAsia="宋体" w:cs="宋体"/>
          <w:b/>
          <w:sz w:val="24"/>
          <w:szCs w:val="24"/>
          <w:highlight w:val="none"/>
        </w:rPr>
      </w:pPr>
    </w:p>
    <w:p>
      <w:pPr>
        <w:spacing w:line="360" w:lineRule="auto"/>
        <w:jc w:val="center"/>
        <w:outlineLvl w:val="0"/>
        <w:rPr>
          <w:rFonts w:hint="eastAsia" w:ascii="宋体" w:hAnsi="宋体" w:eastAsia="宋体" w:cs="宋体"/>
          <w:b/>
          <w:sz w:val="24"/>
          <w:szCs w:val="24"/>
          <w:highlight w:val="none"/>
        </w:rPr>
      </w:pPr>
    </w:p>
    <w:p>
      <w:pPr>
        <w:spacing w:line="360" w:lineRule="auto"/>
        <w:jc w:val="center"/>
        <w:outlineLvl w:val="0"/>
        <w:rPr>
          <w:rFonts w:hint="eastAsia" w:ascii="宋体" w:hAnsi="宋体" w:eastAsia="宋体" w:cs="宋体"/>
          <w:b/>
          <w:sz w:val="24"/>
          <w:szCs w:val="24"/>
          <w:highlight w:val="none"/>
        </w:rPr>
      </w:pPr>
    </w:p>
    <w:p>
      <w:pPr>
        <w:spacing w:line="360" w:lineRule="auto"/>
        <w:jc w:val="center"/>
        <w:outlineLvl w:val="0"/>
        <w:rPr>
          <w:rFonts w:hint="eastAsia" w:ascii="宋体" w:hAnsi="宋体" w:eastAsia="宋体" w:cs="宋体"/>
          <w:b/>
          <w:sz w:val="24"/>
          <w:szCs w:val="24"/>
          <w:highlight w:val="none"/>
        </w:rPr>
      </w:pPr>
    </w:p>
    <w:p>
      <w:pPr>
        <w:spacing w:line="360" w:lineRule="auto"/>
        <w:jc w:val="center"/>
        <w:outlineLvl w:val="0"/>
        <w:rPr>
          <w:rFonts w:hint="eastAsia" w:ascii="宋体" w:hAnsi="宋体" w:eastAsia="宋体" w:cs="宋体"/>
          <w:b/>
          <w:sz w:val="24"/>
          <w:szCs w:val="24"/>
          <w:highlight w:val="none"/>
        </w:rPr>
      </w:pPr>
    </w:p>
    <w:p>
      <w:pPr>
        <w:spacing w:line="360" w:lineRule="auto"/>
        <w:jc w:val="center"/>
        <w:outlineLvl w:val="0"/>
        <w:rPr>
          <w:rFonts w:hint="eastAsia" w:ascii="宋体" w:hAnsi="宋体" w:eastAsia="宋体" w:cs="宋体"/>
          <w:b/>
          <w:sz w:val="24"/>
          <w:szCs w:val="24"/>
          <w:highlight w:val="none"/>
        </w:rPr>
      </w:pPr>
    </w:p>
    <w:p>
      <w:pPr>
        <w:spacing w:line="360" w:lineRule="auto"/>
        <w:jc w:val="center"/>
        <w:outlineLvl w:val="0"/>
        <w:rPr>
          <w:rFonts w:hint="eastAsia" w:ascii="宋体" w:hAnsi="宋体" w:eastAsia="宋体" w:cs="宋体"/>
          <w:b/>
          <w:sz w:val="24"/>
          <w:szCs w:val="24"/>
          <w:highlight w:val="none"/>
        </w:rPr>
      </w:pPr>
    </w:p>
    <w:p>
      <w:pPr>
        <w:spacing w:line="360" w:lineRule="auto"/>
        <w:jc w:val="center"/>
        <w:outlineLvl w:val="0"/>
        <w:rPr>
          <w:rFonts w:hint="eastAsia" w:ascii="宋体" w:hAnsi="宋体" w:eastAsia="宋体" w:cs="宋体"/>
          <w:b/>
          <w:sz w:val="24"/>
          <w:szCs w:val="24"/>
          <w:highlight w:val="none"/>
        </w:rPr>
      </w:pPr>
    </w:p>
    <w:p>
      <w:pPr>
        <w:spacing w:line="360" w:lineRule="auto"/>
        <w:jc w:val="center"/>
        <w:outlineLvl w:val="0"/>
        <w:rPr>
          <w:rFonts w:hint="eastAsia" w:ascii="宋体" w:hAnsi="宋体" w:eastAsia="宋体" w:cs="宋体"/>
          <w:b/>
          <w:sz w:val="24"/>
          <w:szCs w:val="24"/>
          <w:highlight w:val="none"/>
        </w:rPr>
      </w:pP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4"/>
        <w:spacing w:line="360" w:lineRule="auto"/>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十六、其他材料</w:t>
      </w:r>
    </w:p>
    <w:p>
      <w:pPr>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kern w:val="2"/>
          <w:sz w:val="24"/>
          <w:szCs w:val="24"/>
          <w:highlight w:val="none"/>
          <w:lang w:val="en-US" w:eastAsia="zh-CN" w:bidi="ar-SA"/>
        </w:rPr>
        <w:br w:type="page"/>
      </w:r>
      <w:bookmarkStart w:id="86" w:name="_Toc64919015"/>
      <w:r>
        <w:rPr>
          <w:rFonts w:hint="eastAsia" w:ascii="宋体" w:hAnsi="宋体" w:eastAsia="宋体" w:cs="宋体"/>
          <w:b/>
          <w:sz w:val="32"/>
          <w:szCs w:val="32"/>
          <w:highlight w:val="none"/>
        </w:rPr>
        <w:t>评 分 标 准</w:t>
      </w:r>
      <w:bookmarkEnd w:id="86"/>
    </w:p>
    <w:p>
      <w:pPr>
        <w:jc w:val="center"/>
        <w:rPr>
          <w:rFonts w:hint="eastAsia" w:ascii="宋体" w:hAnsi="宋体" w:eastAsia="宋体" w:cs="宋体"/>
          <w:b/>
          <w:kern w:val="2"/>
          <w:sz w:val="24"/>
          <w:szCs w:val="24"/>
          <w:highlight w:val="none"/>
          <w:lang w:val="en-US" w:eastAsia="zh-CN" w:bidi="ar-SA"/>
        </w:rPr>
      </w:pPr>
    </w:p>
    <w:p>
      <w:pPr>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初步评审（形式评审）表</w:t>
      </w:r>
    </w:p>
    <w:tbl>
      <w:tblPr>
        <w:tblStyle w:val="13"/>
        <w:tblW w:w="0" w:type="auto"/>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32"/>
        <w:gridCol w:w="8282"/>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PrEx>
        <w:trPr>
          <w:cantSplit/>
          <w:trHeight w:val="593" w:hRule="atLeast"/>
          <w:jc w:val="center"/>
        </w:trPr>
        <w:tc>
          <w:tcPr>
            <w:tcW w:w="1532" w:type="dxa"/>
            <w:noWrap w:val="0"/>
            <w:vAlign w:val="center"/>
          </w:tcPr>
          <w:p>
            <w:pPr>
              <w:pStyle w:val="31"/>
              <w:spacing w:before="0" w:after="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8282" w:type="dxa"/>
            <w:noWrap w:val="0"/>
            <w:vAlign w:val="center"/>
          </w:tcPr>
          <w:p>
            <w:pPr>
              <w:pStyle w:val="31"/>
              <w:spacing w:before="0" w:after="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评审项目</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532" w:type="dxa"/>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8282"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投标保证金的缴纳主体与投标人不一致的，没有按照招标文件要求提供投标担保，或者所提供的投标担保有瑕疵的；</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532" w:type="dxa"/>
            <w:noWrap w:val="0"/>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8282"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投标文件没有投标单位法定代表人或其授权代表签字（章）和加盖投标单位公章的；</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532" w:type="dxa"/>
            <w:noWrap w:val="0"/>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c>
          <w:tcPr>
            <w:tcW w:w="8282"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投标的设备采购完成期限超过招标文件规定期限的；</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532" w:type="dxa"/>
            <w:noWrap w:val="0"/>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w:t>
            </w:r>
          </w:p>
        </w:tc>
        <w:tc>
          <w:tcPr>
            <w:tcW w:w="8282"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投标文件载明的技术规格、技术标准、货物包装方式、检验标准和方法等，不符合招标文件要求的；</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532" w:type="dxa"/>
            <w:noWrap w:val="0"/>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w:t>
            </w:r>
          </w:p>
        </w:tc>
        <w:tc>
          <w:tcPr>
            <w:tcW w:w="8282"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投标文件附有招标人不能接受条件的；</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532" w:type="dxa"/>
            <w:noWrap w:val="0"/>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w:t>
            </w:r>
          </w:p>
        </w:tc>
        <w:tc>
          <w:tcPr>
            <w:tcW w:w="8282"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不满足招标文件实质性要求的其他情形；</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53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w:t>
            </w:r>
          </w:p>
        </w:tc>
        <w:tc>
          <w:tcPr>
            <w:tcW w:w="828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投标报价须具有唯一性；</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9814"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注：1、以上审查项目，"通过"用"Y"表示，"不通过"用"N"表示。</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jc w:val="center"/>
        <w:rPr>
          <w:rFonts w:hint="eastAsia" w:ascii="宋体" w:hAnsi="宋体" w:eastAsia="宋体" w:cs="宋体"/>
          <w:b/>
          <w:kern w:val="2"/>
          <w:sz w:val="24"/>
          <w:szCs w:val="24"/>
          <w:highlight w:val="none"/>
          <w:lang w:val="en-US" w:eastAsia="zh-CN" w:bidi="ar-SA"/>
        </w:rPr>
      </w:pPr>
    </w:p>
    <w:p>
      <w:pPr>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资格评审表</w:t>
      </w:r>
    </w:p>
    <w:tbl>
      <w:tblPr>
        <w:tblStyle w:val="13"/>
        <w:tblW w:w="0" w:type="auto"/>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32"/>
        <w:gridCol w:w="8282"/>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532" w:type="dxa"/>
            <w:noWrap w:val="0"/>
            <w:vAlign w:val="center"/>
          </w:tcPr>
          <w:p>
            <w:pPr>
              <w:pStyle w:val="31"/>
              <w:spacing w:before="0" w:after="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8282" w:type="dxa"/>
            <w:noWrap w:val="0"/>
            <w:vAlign w:val="center"/>
          </w:tcPr>
          <w:p>
            <w:pPr>
              <w:pStyle w:val="31"/>
              <w:spacing w:before="0" w:after="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评审项目</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532" w:type="dxa"/>
            <w:noWrap w:val="0"/>
            <w:vAlign w:val="center"/>
          </w:tcPr>
          <w:p>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8282" w:type="dxa"/>
            <w:noWrap w:val="0"/>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是否提供合格的营业执照</w:t>
            </w:r>
            <w:r>
              <w:rPr>
                <w:rFonts w:hint="eastAsia" w:ascii="宋体" w:hAnsi="宋体" w:cs="宋体"/>
                <w:i w:val="0"/>
                <w:iCs w:val="0"/>
                <w:color w:val="000000"/>
                <w:kern w:val="0"/>
                <w:sz w:val="22"/>
                <w:szCs w:val="22"/>
                <w:highlight w:val="none"/>
                <w:u w:val="none"/>
                <w:lang w:val="en-US" w:eastAsia="zh-CN" w:bidi="ar"/>
              </w:rPr>
              <w:t>（不得超营业执照经营范围）</w:t>
            </w:r>
            <w:r>
              <w:rPr>
                <w:rFonts w:hint="eastAsia" w:ascii="宋体" w:hAnsi="宋体" w:eastAsia="宋体" w:cs="宋体"/>
                <w:i w:val="0"/>
                <w:iCs w:val="0"/>
                <w:color w:val="000000"/>
                <w:kern w:val="0"/>
                <w:sz w:val="22"/>
                <w:szCs w:val="22"/>
                <w:highlight w:val="none"/>
                <w:u w:val="none"/>
                <w:lang w:val="en-US" w:eastAsia="zh-CN" w:bidi="ar"/>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532" w:type="dxa"/>
            <w:noWrap w:val="0"/>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8282" w:type="dxa"/>
            <w:noWrap w:val="0"/>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是否具有满足招标项目需要的资质等级；</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532" w:type="dxa"/>
            <w:noWrap w:val="0"/>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c>
          <w:tcPr>
            <w:tcW w:w="8282" w:type="dxa"/>
            <w:noWrap w:val="0"/>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是否具备所投产品的医疗器械注册证书；</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53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4</w:t>
            </w:r>
          </w:p>
        </w:tc>
        <w:tc>
          <w:tcPr>
            <w:tcW w:w="8282"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是否具备医疗器械经营许可证；</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532"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5</w:t>
            </w:r>
          </w:p>
        </w:tc>
        <w:tc>
          <w:tcPr>
            <w:tcW w:w="8282" w:type="dxa"/>
            <w:noWrap w:val="0"/>
            <w:vAlign w:val="center"/>
          </w:tcPr>
          <w:p>
            <w:pPr>
              <w:keepNext w:val="0"/>
              <w:keepLines w:val="0"/>
              <w:widowControl/>
              <w:suppressLineNumbers w:val="0"/>
              <w:jc w:val="both"/>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是否具备产品厂家独立授权书（进口产品必须提供）；</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1532" w:type="dxa"/>
            <w:noWrap w:val="0"/>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r>
              <w:rPr>
                <w:rFonts w:hint="eastAsia" w:ascii="宋体" w:hAnsi="宋体" w:cs="宋体"/>
                <w:i w:val="0"/>
                <w:iCs w:val="0"/>
                <w:color w:val="000000"/>
                <w:kern w:val="0"/>
                <w:sz w:val="24"/>
                <w:szCs w:val="24"/>
                <w:highlight w:val="none"/>
                <w:u w:val="none"/>
                <w:lang w:val="en-US" w:eastAsia="zh-CN" w:bidi="ar"/>
              </w:rPr>
              <w:t>6</w:t>
            </w:r>
          </w:p>
        </w:tc>
        <w:tc>
          <w:tcPr>
            <w:tcW w:w="8282" w:type="dxa"/>
            <w:noWrap w:val="0"/>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提供的年度财务报表是否满足招标文件的要求；</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32" w:type="dxa"/>
            <w:noWrap w:val="0"/>
            <w:vAlign w:val="center"/>
          </w:tcPr>
          <w:p>
            <w:pPr>
              <w:keepNext w:val="0"/>
              <w:keepLines w:val="0"/>
              <w:widowControl/>
              <w:suppressLineNumbers w:val="0"/>
              <w:jc w:val="center"/>
              <w:textAlignment w:val="center"/>
              <w:rPr>
                <w:rFonts w:hint="eastAsia" w:ascii="宋体" w:hAnsi="宋体" w:cs="宋体"/>
                <w:sz w:val="24"/>
                <w:szCs w:val="24"/>
                <w:highlight w:val="none"/>
                <w:lang w:val="en-US" w:eastAsia="zh-CN"/>
              </w:rPr>
            </w:pPr>
            <w:r>
              <w:rPr>
                <w:rFonts w:hint="eastAsia" w:ascii="宋体" w:hAnsi="宋体" w:cs="宋体"/>
                <w:i w:val="0"/>
                <w:iCs w:val="0"/>
                <w:color w:val="000000"/>
                <w:kern w:val="0"/>
                <w:sz w:val="24"/>
                <w:szCs w:val="24"/>
                <w:highlight w:val="none"/>
                <w:u w:val="none"/>
                <w:lang w:val="en-US" w:eastAsia="zh-CN" w:bidi="ar"/>
              </w:rPr>
              <w:t>7</w:t>
            </w:r>
          </w:p>
        </w:tc>
        <w:tc>
          <w:tcPr>
            <w:tcW w:w="8282" w:type="dxa"/>
            <w:noWrap w:val="0"/>
            <w:vAlign w:val="center"/>
          </w:tcPr>
          <w:p>
            <w:pPr>
              <w:keepNext w:val="0"/>
              <w:keepLines w:val="0"/>
              <w:widowControl/>
              <w:suppressLineNumbers w:val="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企业信誉是否满足招标文件的要求</w:t>
            </w:r>
            <w:r>
              <w:rPr>
                <w:rFonts w:hint="eastAsia" w:ascii="宋体" w:hAnsi="宋体" w:cs="宋体"/>
                <w:i w:val="0"/>
                <w:iCs w:val="0"/>
                <w:color w:val="000000"/>
                <w:kern w:val="0"/>
                <w:sz w:val="22"/>
                <w:szCs w:val="22"/>
                <w:highlight w:val="none"/>
                <w:u w:val="none"/>
                <w:lang w:val="en-US" w:eastAsia="zh-CN" w:bidi="ar"/>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9814" w:type="dxa"/>
            <w:gridSpan w:val="2"/>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注：1、以上审查项目，"通过"用"Y"表示，"不通过"用"N"表示。</w:t>
            </w: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pStyle w:val="5"/>
        <w:rPr>
          <w:rFonts w:hint="eastAsia"/>
          <w:b/>
          <w:bCs/>
          <w:highlight w:val="none"/>
          <w:lang w:val="en-US" w:eastAsia="zh-CN"/>
        </w:rPr>
      </w:pPr>
    </w:p>
    <w:p>
      <w:pPr>
        <w:spacing w:line="360" w:lineRule="auto"/>
        <w:jc w:val="center"/>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技术部分（占总分值的60%）</w:t>
      </w:r>
    </w:p>
    <w:tbl>
      <w:tblPr>
        <w:tblStyle w:val="13"/>
        <w:tblW w:w="0" w:type="auto"/>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2"/>
        <w:gridCol w:w="1425"/>
        <w:gridCol w:w="1517"/>
        <w:gridCol w:w="6410"/>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02" w:type="dxa"/>
            <w:noWrap w:val="0"/>
            <w:vAlign w:val="center"/>
          </w:tcPr>
          <w:p>
            <w:pPr>
              <w:pStyle w:val="31"/>
              <w:spacing w:before="0" w:after="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25" w:type="dxa"/>
            <w:noWrap w:val="0"/>
            <w:vAlign w:val="center"/>
          </w:tcPr>
          <w:p>
            <w:pPr>
              <w:pStyle w:val="31"/>
              <w:spacing w:before="0" w:after="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评审项目</w:t>
            </w:r>
          </w:p>
        </w:tc>
        <w:tc>
          <w:tcPr>
            <w:tcW w:w="1517" w:type="dxa"/>
            <w:noWrap w:val="0"/>
            <w:vAlign w:val="center"/>
          </w:tcPr>
          <w:p>
            <w:pPr>
              <w:pStyle w:val="31"/>
              <w:spacing w:before="0" w:after="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tc>
        <w:tc>
          <w:tcPr>
            <w:tcW w:w="6410" w:type="dxa"/>
            <w:noWrap w:val="0"/>
            <w:vAlign w:val="center"/>
          </w:tcPr>
          <w:p>
            <w:pPr>
              <w:pStyle w:val="31"/>
              <w:spacing w:before="0" w:after="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02" w:type="dxa"/>
            <w:vMerge w:val="restart"/>
            <w:noWrap w:val="0"/>
            <w:vAlign w:val="center"/>
          </w:tcPr>
          <w:p>
            <w:pPr>
              <w:pStyle w:val="31"/>
              <w:spacing w:before="0" w:after="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25" w:type="dxa"/>
            <w:vMerge w:val="restart"/>
            <w:noWrap w:val="0"/>
            <w:vAlign w:val="center"/>
          </w:tcPr>
          <w:p>
            <w:pPr>
              <w:pStyle w:val="31"/>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根据所投产品（设备符合性）（10分）</w:t>
            </w:r>
          </w:p>
        </w:tc>
        <w:tc>
          <w:tcPr>
            <w:tcW w:w="1517" w:type="dxa"/>
            <w:vMerge w:val="restart"/>
            <w:noWrap w:val="0"/>
            <w:vAlign w:val="center"/>
          </w:tcPr>
          <w:p>
            <w:pPr>
              <w:pStyle w:val="31"/>
              <w:spacing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设备符合性（10分）</w:t>
            </w:r>
          </w:p>
        </w:tc>
        <w:tc>
          <w:tcPr>
            <w:tcW w:w="6410"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投标方在应标过程中应充分替用户考虑，在产品选型过程保证提供的设备满足用户对设备档次的基本需求的，根据提供产品的档次情况进行综合对比打分进行打分；优(4分)；良(3分)；中(2分)；差(0分)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02" w:type="dxa"/>
            <w:vMerge w:val="continue"/>
            <w:noWrap w:val="0"/>
            <w:vAlign w:val="center"/>
          </w:tcPr>
          <w:p>
            <w:pPr>
              <w:pStyle w:val="31"/>
              <w:spacing w:before="0" w:after="0" w:line="360" w:lineRule="auto"/>
              <w:ind w:firstLine="0"/>
              <w:jc w:val="center"/>
              <w:rPr>
                <w:rFonts w:hint="eastAsia" w:ascii="宋体" w:hAnsi="宋体" w:eastAsia="宋体" w:cs="宋体"/>
                <w:sz w:val="24"/>
                <w:szCs w:val="24"/>
                <w:highlight w:val="none"/>
              </w:rPr>
            </w:pPr>
          </w:p>
        </w:tc>
        <w:tc>
          <w:tcPr>
            <w:tcW w:w="1425" w:type="dxa"/>
            <w:vMerge w:val="continue"/>
            <w:noWrap w:val="0"/>
            <w:vAlign w:val="center"/>
          </w:tcPr>
          <w:p>
            <w:pPr>
              <w:pStyle w:val="31"/>
              <w:spacing w:before="0" w:after="0" w:line="360" w:lineRule="auto"/>
              <w:ind w:firstLine="0"/>
              <w:jc w:val="center"/>
              <w:rPr>
                <w:rFonts w:hint="eastAsia" w:ascii="宋体" w:hAnsi="宋体" w:eastAsia="宋体" w:cs="宋体"/>
                <w:sz w:val="24"/>
                <w:szCs w:val="24"/>
                <w:highlight w:val="none"/>
              </w:rPr>
            </w:pPr>
          </w:p>
        </w:tc>
        <w:tc>
          <w:tcPr>
            <w:tcW w:w="1517" w:type="dxa"/>
            <w:vMerge w:val="continue"/>
            <w:noWrap w:val="0"/>
            <w:vAlign w:val="center"/>
          </w:tcPr>
          <w:p>
            <w:pPr>
              <w:pStyle w:val="31"/>
              <w:spacing w:before="0" w:after="0" w:line="360" w:lineRule="auto"/>
              <w:ind w:firstLine="0"/>
              <w:jc w:val="center"/>
              <w:rPr>
                <w:rFonts w:hint="eastAsia" w:ascii="宋体" w:hAnsi="宋体" w:eastAsia="宋体" w:cs="宋体"/>
                <w:sz w:val="24"/>
                <w:szCs w:val="24"/>
                <w:highlight w:val="none"/>
              </w:rPr>
            </w:pPr>
          </w:p>
        </w:tc>
        <w:tc>
          <w:tcPr>
            <w:tcW w:w="6410"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投标方所投产品具有一定的品牌知名度和市场认可情况进行对比打分；优(3分)；良(2分)；中(1分)；差(0分)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02" w:type="dxa"/>
            <w:vMerge w:val="continue"/>
            <w:noWrap w:val="0"/>
            <w:vAlign w:val="center"/>
          </w:tcPr>
          <w:p>
            <w:pPr>
              <w:pStyle w:val="31"/>
              <w:spacing w:before="0" w:after="0" w:line="360" w:lineRule="auto"/>
              <w:ind w:firstLine="0"/>
              <w:jc w:val="center"/>
              <w:rPr>
                <w:rFonts w:hint="eastAsia" w:ascii="宋体" w:hAnsi="宋体" w:eastAsia="宋体" w:cs="宋体"/>
                <w:sz w:val="24"/>
                <w:szCs w:val="24"/>
                <w:highlight w:val="none"/>
              </w:rPr>
            </w:pPr>
          </w:p>
        </w:tc>
        <w:tc>
          <w:tcPr>
            <w:tcW w:w="1425" w:type="dxa"/>
            <w:vMerge w:val="continue"/>
            <w:noWrap w:val="0"/>
            <w:vAlign w:val="center"/>
          </w:tcPr>
          <w:p>
            <w:pPr>
              <w:pStyle w:val="31"/>
              <w:spacing w:before="0" w:after="0" w:line="360" w:lineRule="auto"/>
              <w:ind w:firstLine="0"/>
              <w:jc w:val="center"/>
              <w:rPr>
                <w:rFonts w:hint="eastAsia" w:ascii="宋体" w:hAnsi="宋体" w:eastAsia="宋体" w:cs="宋体"/>
                <w:sz w:val="24"/>
                <w:szCs w:val="24"/>
                <w:highlight w:val="none"/>
              </w:rPr>
            </w:pPr>
          </w:p>
        </w:tc>
        <w:tc>
          <w:tcPr>
            <w:tcW w:w="1517" w:type="dxa"/>
            <w:vMerge w:val="continue"/>
            <w:noWrap w:val="0"/>
            <w:vAlign w:val="center"/>
          </w:tcPr>
          <w:p>
            <w:pPr>
              <w:pStyle w:val="31"/>
              <w:spacing w:before="0" w:after="0" w:line="360" w:lineRule="auto"/>
              <w:ind w:firstLine="0"/>
              <w:jc w:val="center"/>
              <w:rPr>
                <w:rFonts w:hint="eastAsia" w:ascii="宋体" w:hAnsi="宋体" w:eastAsia="宋体" w:cs="宋体"/>
                <w:sz w:val="24"/>
                <w:szCs w:val="24"/>
                <w:highlight w:val="none"/>
              </w:rPr>
            </w:pPr>
          </w:p>
        </w:tc>
        <w:tc>
          <w:tcPr>
            <w:tcW w:w="6410" w:type="dxa"/>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投标方所投主要产品能够与用户现有设备以及整个系统进行兼容进行对比打分；优(3分)；良(2分)；中(1分)；差(0分)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02" w:type="dxa"/>
            <w:noWrap w:val="0"/>
            <w:vAlign w:val="center"/>
          </w:tcPr>
          <w:p>
            <w:pPr>
              <w:pStyle w:val="32"/>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425" w:type="dxa"/>
            <w:noWrap w:val="0"/>
            <w:vAlign w:val="center"/>
          </w:tcPr>
          <w:p>
            <w:pPr>
              <w:pStyle w:val="31"/>
              <w:spacing w:before="0" w:after="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配套产品配置及性能指标</w:t>
            </w:r>
          </w:p>
        </w:tc>
        <w:tc>
          <w:tcPr>
            <w:tcW w:w="1517" w:type="dxa"/>
            <w:noWrap w:val="0"/>
            <w:vAlign w:val="center"/>
          </w:tcPr>
          <w:p>
            <w:pPr>
              <w:pStyle w:val="31"/>
              <w:spacing w:before="0" w:after="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配置及性能指标40分</w:t>
            </w:r>
          </w:p>
        </w:tc>
        <w:tc>
          <w:tcPr>
            <w:tcW w:w="6410" w:type="dxa"/>
            <w:noWrap w:val="0"/>
            <w:vAlign w:val="center"/>
          </w:tcPr>
          <w:p>
            <w:pPr>
              <w:pStyle w:val="31"/>
              <w:spacing w:before="0" w:after="0"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根据所投产品的配置与性能指标的响应程度打分，所投产品所有技术参数全部满足的招标文件要求的得基本分40分，每有一项重要指标低于招标文件要求的扣5分，每有一项指标低于要求的扣2分，此项最高得40分，最低得0分。</w:t>
            </w:r>
          </w:p>
          <w:p>
            <w:pPr>
              <w:pStyle w:val="31"/>
              <w:spacing w:before="0" w:after="0" w:line="360" w:lineRule="auto"/>
              <w:ind w:firstLine="0"/>
              <w:rPr>
                <w:rFonts w:hint="eastAsia" w:ascii="宋体" w:hAnsi="宋体" w:eastAsia="宋体" w:cs="宋体"/>
                <w:sz w:val="24"/>
                <w:szCs w:val="24"/>
                <w:highlight w:val="none"/>
              </w:rPr>
            </w:pPr>
            <w:r>
              <w:rPr>
                <w:rFonts w:hint="eastAsia" w:ascii="宋体" w:hAnsi="宋体" w:eastAsia="宋体" w:cs="宋体"/>
                <w:b/>
                <w:sz w:val="24"/>
                <w:szCs w:val="24"/>
                <w:highlight w:val="none"/>
              </w:rPr>
              <w:t>以投标人提供响应招标文件的的检测机构出具的关于本次招标主要产品的检测报告中的检测结果数据为依据进行评分。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02" w:type="dxa"/>
            <w:noWrap w:val="0"/>
            <w:vAlign w:val="center"/>
          </w:tcPr>
          <w:p>
            <w:pPr>
              <w:pStyle w:val="32"/>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425" w:type="dxa"/>
            <w:noWrap w:val="0"/>
            <w:vAlign w:val="center"/>
          </w:tcPr>
          <w:p>
            <w:pPr>
              <w:pStyle w:val="31"/>
              <w:spacing w:before="0" w:after="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产品来源</w:t>
            </w:r>
          </w:p>
        </w:tc>
        <w:tc>
          <w:tcPr>
            <w:tcW w:w="1517" w:type="dxa"/>
            <w:noWrap w:val="0"/>
            <w:vAlign w:val="center"/>
          </w:tcPr>
          <w:p>
            <w:pPr>
              <w:pStyle w:val="31"/>
              <w:spacing w:before="0" w:after="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产品来源情况（1分）</w:t>
            </w:r>
          </w:p>
        </w:tc>
        <w:tc>
          <w:tcPr>
            <w:tcW w:w="6410" w:type="dxa"/>
            <w:noWrap w:val="0"/>
            <w:vAlign w:val="center"/>
          </w:tcPr>
          <w:p>
            <w:pPr>
              <w:pStyle w:val="31"/>
              <w:spacing w:before="0" w:after="0"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投标人为代理商的投标文件中提供了产品来源说明的得1分，投标文件中未提供的不得分；</w:t>
            </w:r>
          </w:p>
          <w:p>
            <w:pPr>
              <w:pStyle w:val="31"/>
              <w:spacing w:before="0" w:after="0"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投标人为制造商的，投标文件中提供生产企业声明函（格式自拟）得1分，投标文件中未提供的不得分。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vMerge w:val="restart"/>
            <w:noWrap w:val="0"/>
            <w:vAlign w:val="center"/>
          </w:tcPr>
          <w:p>
            <w:pPr>
              <w:pStyle w:val="31"/>
              <w:spacing w:line="360" w:lineRule="auto"/>
              <w:ind w:firstLine="72"/>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4</w:t>
            </w:r>
          </w:p>
        </w:tc>
        <w:tc>
          <w:tcPr>
            <w:tcW w:w="1425" w:type="dxa"/>
            <w:vMerge w:val="restar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质保承诺、售后服务体系及服务情况</w:t>
            </w:r>
          </w:p>
        </w:tc>
        <w:tc>
          <w:tcPr>
            <w:tcW w:w="1517"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质保年限</w:t>
            </w:r>
            <w:r>
              <w:rPr>
                <w:rFonts w:hint="eastAsia" w:ascii="宋体" w:hAnsi="宋体" w:eastAsia="宋体" w:cs="宋体"/>
                <w:kern w:val="0"/>
                <w:sz w:val="24"/>
                <w:szCs w:val="24"/>
                <w:highlight w:val="none"/>
              </w:rPr>
              <w:t>（2分）</w:t>
            </w:r>
          </w:p>
        </w:tc>
        <w:tc>
          <w:tcPr>
            <w:tcW w:w="6410"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满足招标文件质保年限的得基本分0分，每增加一年加1分，此项最高不超过2分；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vMerge w:val="continue"/>
            <w:noWrap w:val="0"/>
            <w:vAlign w:val="center"/>
          </w:tcPr>
          <w:p>
            <w:pPr>
              <w:pStyle w:val="31"/>
              <w:spacing w:line="360" w:lineRule="auto"/>
              <w:ind w:firstLine="72"/>
              <w:rPr>
                <w:rFonts w:hint="eastAsia" w:ascii="宋体" w:hAnsi="宋体" w:eastAsia="宋体" w:cs="宋体"/>
                <w:sz w:val="24"/>
                <w:szCs w:val="24"/>
                <w:highlight w:val="none"/>
              </w:rPr>
            </w:pPr>
          </w:p>
        </w:tc>
        <w:tc>
          <w:tcPr>
            <w:tcW w:w="1425" w:type="dxa"/>
            <w:vMerge w:val="continue"/>
            <w:noWrap w:val="0"/>
            <w:vAlign w:val="center"/>
          </w:tcPr>
          <w:p>
            <w:pPr>
              <w:spacing w:line="360" w:lineRule="auto"/>
              <w:rPr>
                <w:rFonts w:hint="eastAsia" w:ascii="宋体" w:hAnsi="宋体" w:eastAsia="宋体" w:cs="宋体"/>
                <w:sz w:val="24"/>
                <w:szCs w:val="24"/>
                <w:highlight w:val="none"/>
              </w:rPr>
            </w:pPr>
          </w:p>
        </w:tc>
        <w:tc>
          <w:tcPr>
            <w:tcW w:w="1517"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售后服务响应时间</w:t>
            </w:r>
            <w:r>
              <w:rPr>
                <w:rFonts w:hint="eastAsia" w:ascii="宋体" w:hAnsi="宋体" w:eastAsia="宋体" w:cs="宋体"/>
                <w:kern w:val="0"/>
                <w:sz w:val="24"/>
                <w:szCs w:val="24"/>
                <w:highlight w:val="none"/>
              </w:rPr>
              <w:t>（2分）</w:t>
            </w:r>
          </w:p>
        </w:tc>
        <w:tc>
          <w:tcPr>
            <w:tcW w:w="6410"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投标人明确列有售后服务响应时间的得1分，优于其他投标人的得2分；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vMerge w:val="continue"/>
            <w:noWrap w:val="0"/>
            <w:vAlign w:val="center"/>
          </w:tcPr>
          <w:p>
            <w:pPr>
              <w:pStyle w:val="33"/>
              <w:spacing w:line="360" w:lineRule="auto"/>
              <w:ind w:firstLine="72"/>
              <w:rPr>
                <w:rFonts w:hint="eastAsia" w:ascii="宋体" w:hAnsi="宋体" w:eastAsia="宋体" w:cs="宋体"/>
                <w:sz w:val="24"/>
                <w:szCs w:val="24"/>
                <w:highlight w:val="none"/>
              </w:rPr>
            </w:pPr>
          </w:p>
        </w:tc>
        <w:tc>
          <w:tcPr>
            <w:tcW w:w="1425" w:type="dxa"/>
            <w:vMerge w:val="continue"/>
            <w:noWrap w:val="0"/>
            <w:vAlign w:val="center"/>
          </w:tcPr>
          <w:p>
            <w:pPr>
              <w:spacing w:line="360" w:lineRule="auto"/>
              <w:rPr>
                <w:rFonts w:hint="eastAsia" w:ascii="宋体" w:hAnsi="宋体" w:eastAsia="宋体" w:cs="宋体"/>
                <w:sz w:val="24"/>
                <w:szCs w:val="24"/>
                <w:highlight w:val="none"/>
              </w:rPr>
            </w:pPr>
          </w:p>
        </w:tc>
        <w:tc>
          <w:tcPr>
            <w:tcW w:w="1517"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售后服务体系</w:t>
            </w:r>
            <w:r>
              <w:rPr>
                <w:rFonts w:hint="eastAsia" w:ascii="宋体" w:hAnsi="宋体" w:eastAsia="宋体" w:cs="宋体"/>
                <w:kern w:val="0"/>
                <w:sz w:val="24"/>
                <w:szCs w:val="24"/>
                <w:highlight w:val="none"/>
              </w:rPr>
              <w:t>（2分）</w:t>
            </w:r>
          </w:p>
        </w:tc>
        <w:tc>
          <w:tcPr>
            <w:tcW w:w="6410"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投标文件中有明确售后服务体系，在疆内设有技术运营机构并提供相关证明材料的得2分，在国内（除疆内）设有技术运营服务机构并提供相关证明材料的得1分。</w:t>
            </w:r>
            <w:r>
              <w:rPr>
                <w:rFonts w:hint="eastAsia" w:ascii="宋体" w:hAnsi="宋体" w:eastAsia="宋体" w:cs="宋体"/>
                <w:b/>
                <w:sz w:val="24"/>
                <w:szCs w:val="24"/>
                <w:highlight w:val="none"/>
              </w:rPr>
              <w:t>（需提供房产租赁合同或房产证等证明材料，请携带原件以备评标委员会审查，无此项得0分）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02" w:type="dxa"/>
            <w:vMerge w:val="continue"/>
            <w:noWrap w:val="0"/>
            <w:vAlign w:val="center"/>
          </w:tcPr>
          <w:p>
            <w:pPr>
              <w:pStyle w:val="33"/>
              <w:spacing w:line="360" w:lineRule="auto"/>
              <w:ind w:firstLine="72"/>
              <w:rPr>
                <w:rFonts w:hint="eastAsia" w:ascii="宋体" w:hAnsi="宋体" w:eastAsia="宋体" w:cs="宋体"/>
                <w:sz w:val="24"/>
                <w:szCs w:val="24"/>
                <w:highlight w:val="none"/>
              </w:rPr>
            </w:pPr>
          </w:p>
        </w:tc>
        <w:tc>
          <w:tcPr>
            <w:tcW w:w="1425" w:type="dxa"/>
            <w:vMerge w:val="continue"/>
            <w:noWrap w:val="0"/>
            <w:vAlign w:val="center"/>
          </w:tcPr>
          <w:p>
            <w:pPr>
              <w:spacing w:line="360" w:lineRule="auto"/>
              <w:rPr>
                <w:rFonts w:hint="eastAsia" w:ascii="宋体" w:hAnsi="宋体" w:eastAsia="宋体" w:cs="宋体"/>
                <w:sz w:val="24"/>
                <w:szCs w:val="24"/>
                <w:highlight w:val="none"/>
              </w:rPr>
            </w:pPr>
          </w:p>
        </w:tc>
        <w:tc>
          <w:tcPr>
            <w:tcW w:w="1517"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配送及安装验收方案（</w:t>
            </w:r>
            <w:r>
              <w:rPr>
                <w:rFonts w:hint="eastAsia" w:ascii="宋体" w:hAnsi="宋体" w:eastAsia="宋体" w:cs="宋体"/>
                <w:kern w:val="0"/>
                <w:sz w:val="24"/>
                <w:szCs w:val="24"/>
                <w:highlight w:val="none"/>
              </w:rPr>
              <w:t>3分</w:t>
            </w:r>
            <w:r>
              <w:rPr>
                <w:rFonts w:hint="eastAsia" w:ascii="宋体" w:hAnsi="宋体" w:eastAsia="宋体" w:cs="宋体"/>
                <w:sz w:val="24"/>
                <w:szCs w:val="24"/>
                <w:highlight w:val="none"/>
              </w:rPr>
              <w:t>）</w:t>
            </w:r>
          </w:p>
        </w:tc>
        <w:tc>
          <w:tcPr>
            <w:tcW w:w="6410" w:type="dxa"/>
            <w:tcBorders>
              <w:top w:val="single" w:color="auto" w:sz="4"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配送车辆安排、货物到指定地点的时间，是否能承诺按用户要求配送到指定地点、安装人员安排、安装实施方案、验收方案等）根据所提供内容分以下四档打分：优(3分)；良(2分)；中(1分)；差(0分)（得差0分值为无此项说明）</w:t>
            </w:r>
          </w:p>
        </w:tc>
      </w:tr>
    </w:tbl>
    <w:p>
      <w:pPr>
        <w:spacing w:line="360" w:lineRule="auto"/>
        <w:jc w:val="center"/>
        <w:rPr>
          <w:rFonts w:hint="eastAsia" w:ascii="宋体" w:hAnsi="宋体" w:eastAsia="宋体" w:cs="宋体"/>
          <w:b/>
          <w:sz w:val="24"/>
          <w:szCs w:val="24"/>
          <w:highlight w:val="none"/>
        </w:rPr>
      </w:pPr>
    </w:p>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商务部分（占总分值的10%）</w:t>
      </w: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1"/>
        <w:gridCol w:w="1279"/>
        <w:gridCol w:w="2429"/>
        <w:gridCol w:w="55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11"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评审项目</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tc>
        <w:tc>
          <w:tcPr>
            <w:tcW w:w="5535" w:type="dxa"/>
            <w:tcBorders>
              <w:top w:val="single" w:color="auto" w:sz="4" w:space="0"/>
              <w:left w:val="single" w:color="auto" w:sz="4" w:space="0"/>
              <w:bottom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9" w:hRule="atLeast"/>
          <w:jc w:val="center"/>
        </w:trPr>
        <w:tc>
          <w:tcPr>
            <w:tcW w:w="611"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企业财务状况资质</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企业财务状况参考。</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（1分）</w:t>
            </w:r>
          </w:p>
        </w:tc>
        <w:tc>
          <w:tcPr>
            <w:tcW w:w="5535" w:type="dxa"/>
            <w:tcBorders>
              <w:top w:val="single" w:color="auto" w:sz="4" w:space="0"/>
              <w:left w:val="single" w:color="auto" w:sz="4"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根据投标文件目录提供（20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rPr>
              <w:t>年度）财务审计报告（1分）不提供的0分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9" w:hRule="atLeast"/>
          <w:jc w:val="center"/>
        </w:trPr>
        <w:tc>
          <w:tcPr>
            <w:tcW w:w="611"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企业实力及社保缴纳情况</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投标人提供的社保缴费凭证等资料综合评定(1分)</w:t>
            </w:r>
          </w:p>
        </w:tc>
        <w:tc>
          <w:tcPr>
            <w:tcW w:w="5535" w:type="dxa"/>
            <w:tcBorders>
              <w:top w:val="single" w:color="auto" w:sz="4" w:space="0"/>
              <w:left w:val="single" w:color="auto" w:sz="4" w:space="0"/>
              <w:bottom w:val="single" w:color="auto" w:sz="4" w:space="0"/>
            </w:tcBorders>
            <w:noWrap w:val="0"/>
            <w:vAlign w:val="center"/>
          </w:tcPr>
          <w:p>
            <w:pPr>
              <w:pStyle w:val="34"/>
              <w:spacing w:line="36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根据企业行业口碑、资信情况、行政处罚、社保缴纳情况,最高分1分，最低分0分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611" w:type="dxa"/>
            <w:tcBorders>
              <w:top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279"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标书质量</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pStyle w:val="31"/>
              <w:spacing w:before="0" w:after="0" w:line="360" w:lineRule="auto"/>
              <w:ind w:firstLine="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标书质量（3分）</w:t>
            </w:r>
          </w:p>
        </w:tc>
        <w:tc>
          <w:tcPr>
            <w:tcW w:w="5535" w:type="dxa"/>
            <w:tcBorders>
              <w:top w:val="single" w:color="auto" w:sz="4" w:space="0"/>
              <w:left w:val="single" w:color="auto" w:sz="4" w:space="0"/>
              <w:bottom w:val="single" w:color="auto" w:sz="4" w:space="0"/>
            </w:tcBorders>
            <w:noWrap w:val="0"/>
            <w:vAlign w:val="center"/>
          </w:tcPr>
          <w:p>
            <w:pPr>
              <w:pStyle w:val="31"/>
              <w:spacing w:before="0" w:after="0"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根据投标文件目录、页码指向准确，内容无涂改、错页、漏页现象，装订规范，双面打印等情况进行综合评定，优秀的得3分，较好的得2分，一般的得1分；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11"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相关项目业绩</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相关项目业绩（4分）</w:t>
            </w:r>
          </w:p>
        </w:tc>
        <w:tc>
          <w:tcPr>
            <w:tcW w:w="5535" w:type="dxa"/>
            <w:tcBorders>
              <w:top w:val="single" w:color="auto" w:sz="4" w:space="0"/>
              <w:left w:val="single" w:color="auto" w:sz="4"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根据投标人近三年类似项目业绩情况进行评定：</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经营业绩根据投标文件所提供的投标截止日前三年内类似经营业绩进行比较：（附合同和中标通知书复印件，每一份合同及中标通知书加1分，直至满4分。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11" w:type="dxa"/>
            <w:tcBorders>
              <w:top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27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其它有利投标资料</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其它有利投标资料(1份)</w:t>
            </w:r>
          </w:p>
        </w:tc>
        <w:tc>
          <w:tcPr>
            <w:tcW w:w="5535" w:type="dxa"/>
            <w:tcBorders>
              <w:top w:val="single" w:color="auto" w:sz="4" w:space="0"/>
              <w:left w:val="single" w:color="auto" w:sz="4"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其它有利投标资料1分。</w:t>
            </w:r>
          </w:p>
        </w:tc>
      </w:tr>
    </w:tbl>
    <w:p>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经济部分（占总分值的30%）</w:t>
      </w: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8"/>
        <w:gridCol w:w="1362"/>
        <w:gridCol w:w="465"/>
        <w:gridCol w:w="74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28"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评审项目</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7499" w:type="dxa"/>
            <w:tcBorders>
              <w:top w:val="single" w:color="auto" w:sz="4" w:space="0"/>
              <w:left w:val="single" w:color="auto" w:sz="4" w:space="0"/>
              <w:bottom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528" w:type="dxa"/>
            <w:tcBorders>
              <w:top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right="-113" w:rightChars="-54"/>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投标人报价</w:t>
            </w:r>
          </w:p>
        </w:tc>
        <w:tc>
          <w:tcPr>
            <w:tcW w:w="4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30分</w:t>
            </w:r>
          </w:p>
        </w:tc>
        <w:tc>
          <w:tcPr>
            <w:tcW w:w="7499" w:type="dxa"/>
            <w:tcBorders>
              <w:top w:val="single" w:color="auto" w:sz="4" w:space="0"/>
              <w:left w:val="single" w:color="auto" w:sz="4" w:space="0"/>
              <w:bottom w:val="single" w:color="auto" w:sz="4" w:space="0"/>
            </w:tcBorders>
            <w:noWrap w:val="0"/>
            <w:vAlign w:val="center"/>
          </w:tcPr>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在满足招标文件要求的前提下，取各投标人有效报价的最低价作为评标基准价,满分为30分；价格分的计算投标报价得分=(评标基准价／投标报价)×0.30×100 。（计算分值时，百分比按四舍五入原则，保留小数点后二位数）</w:t>
            </w:r>
          </w:p>
        </w:tc>
      </w:tr>
    </w:tbl>
    <w:p>
      <w:pPr>
        <w:tabs>
          <w:tab w:val="left" w:pos="2880"/>
        </w:tabs>
        <w:spacing w:line="360" w:lineRule="auto"/>
        <w:jc w:val="center"/>
        <w:rPr>
          <w:rFonts w:hint="eastAsia" w:ascii="宋体" w:hAnsi="宋体" w:eastAsia="宋体" w:cs="宋体"/>
          <w:sz w:val="24"/>
          <w:szCs w:val="24"/>
          <w:highlight w:val="none"/>
        </w:rPr>
      </w:pPr>
    </w:p>
    <w:p>
      <w:pPr>
        <w:spacing w:line="360" w:lineRule="auto"/>
        <w:jc w:val="center"/>
        <w:outlineLvl w:val="0"/>
        <w:rPr>
          <w:rFonts w:hint="eastAsia" w:ascii="宋体" w:hAnsi="宋体" w:eastAsia="宋体" w:cs="宋体"/>
          <w:b/>
          <w:sz w:val="24"/>
          <w:szCs w:val="24"/>
          <w:highlight w:val="none"/>
        </w:rPr>
      </w:pPr>
    </w:p>
    <w:p>
      <w:pPr>
        <w:spacing w:line="360" w:lineRule="auto"/>
        <w:rPr>
          <w:rFonts w:hint="eastAsia" w:ascii="宋体" w:hAnsi="宋体" w:eastAsia="宋体" w:cs="宋体"/>
          <w:sz w:val="24"/>
          <w:szCs w:val="24"/>
          <w:highlight w:val="none"/>
        </w:rPr>
      </w:pPr>
    </w:p>
    <w:sectPr>
      <w:footerReference r:id="rId10" w:type="default"/>
      <w:pgSz w:w="11906" w:h="16838"/>
      <w:pgMar w:top="1134" w:right="1134" w:bottom="1134" w:left="1134" w:header="851" w:footer="992" w:gutter="0"/>
      <w:pgNumType w:start="1"/>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7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7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right="360" w:firstLine="360"/>
      <w:rPr>
        <w:rStyle w:val="17"/>
      </w:rPr>
    </w:pPr>
    <w:r>
      <w:rPr>
        <w:rStyle w:val="17"/>
        <w:rFonts w:hint="eastAsia"/>
      </w:rPr>
      <w:t>第</w:t>
    </w:r>
    <w:r>
      <w:fldChar w:fldCharType="begin"/>
    </w:r>
    <w:r>
      <w:rPr>
        <w:rStyle w:val="17"/>
      </w:rPr>
      <w:instrText xml:space="preserve"> PAGE </w:instrText>
    </w:r>
    <w:r>
      <w:fldChar w:fldCharType="separate"/>
    </w:r>
    <w:r>
      <w:rPr>
        <w:rStyle w:val="17"/>
      </w:rPr>
      <w:t>5</w:t>
    </w:r>
    <w:r>
      <w:fldChar w:fldCharType="end"/>
    </w:r>
    <w:r>
      <w:rPr>
        <w:rStyle w:val="17"/>
        <w:rFonts w:hint="eastAsia"/>
      </w:rPr>
      <w:t>页</w:t>
    </w:r>
  </w:p>
  <w:p>
    <w:pPr>
      <w:pStyle w:val="7"/>
      <w:ind w:right="7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b/>
      </w:rPr>
    </w:pPr>
    <w:r>
      <mc:AlternateContent>
        <mc:Choice Requires="wps">
          <w:drawing>
            <wp:anchor distT="0" distB="0" distL="114300" distR="114300" simplePos="0" relativeHeight="251661312" behindDoc="0" locked="0" layoutInCell="1" allowOverlap="1">
              <wp:simplePos x="0" y="0"/>
              <wp:positionH relativeFrom="column">
                <wp:posOffset>31115</wp:posOffset>
              </wp:positionH>
              <wp:positionV relativeFrom="paragraph">
                <wp:posOffset>9304020</wp:posOffset>
              </wp:positionV>
              <wp:extent cx="61722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5pt;margin-top:732.6pt;height:0pt;width:486pt;z-index:251661312;mso-width-relative:page;mso-height-relative:page;" filled="f" stroked="t" coordsize="21600,21600" o:gfxdata="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dDhvLWAAAACwEAAA8AAAAAAAAAAQAgAAAAIgAAAGRycy9kb3ducmV2LnhtbFBLAQIU&#10;ABQAAAAIAIdO4kCN4DzW9QEAAOQDAAAOAAAAAAAAAAEAIAAAACUBAABkcnMvZTJvRG9jLnhtbFBL&#10;BQYAAAAABgAGAFkBAACMBQAAAAA=&#10;">
              <v:fill on="f" focussize="0,0"/>
              <v:stroke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119495" cy="6119495"/>
          <wp:effectExtent l="0" t="0" r="0" b="0"/>
          <wp:wrapNone/>
          <wp:docPr id="5"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
                  <pic:cNvPicPr>
                    <a:picLocks noChangeAspect="1"/>
                  </pic:cNvPicPr>
                </pic:nvPicPr>
                <pic:blipFill>
                  <a:blip r:embed="rId1">
                    <a:lum bright="70001" contrast="-70000"/>
                  </a:blip>
                  <a:stretch>
                    <a:fillRect/>
                  </a:stretch>
                </pic:blipFill>
                <pic:spPr>
                  <a:xfrm>
                    <a:off x="0" y="0"/>
                    <a:ext cx="6119495" cy="611949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119495" cy="6119495"/>
          <wp:effectExtent l="0" t="0" r="0" b="0"/>
          <wp:wrapNone/>
          <wp:docPr id="2"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
                  <pic:cNvPicPr>
                    <a:picLocks noChangeAspect="1"/>
                  </pic:cNvPicPr>
                </pic:nvPicPr>
                <pic:blipFill>
                  <a:blip r:embed="rId1">
                    <a:lum bright="70001" contrast="-70000"/>
                  </a:blip>
                  <a:stretch>
                    <a:fillRect/>
                  </a:stretch>
                </pic:blipFill>
                <pic:spPr>
                  <a:xfrm>
                    <a:off x="0" y="0"/>
                    <a:ext cx="6119495" cy="6119495"/>
                  </a:xfrm>
                  <a:prstGeom prst="rect">
                    <a:avLst/>
                  </a:prstGeom>
                  <a:noFill/>
                  <a:ln>
                    <a:noFill/>
                  </a:ln>
                </pic:spPr>
              </pic:pic>
            </a:graphicData>
          </a:graphic>
        </wp:anchor>
      </w:drawing>
    </w:r>
    <w:r>
      <w:fldChar w:fldCharType="begin"/>
    </w:r>
    <w:r>
      <w:rPr>
        <w:rStyle w:val="17"/>
      </w:rPr>
      <w:instrText xml:space="preserve">PAGE  </w:instrText>
    </w:r>
    <w:r>
      <w:fldChar w:fldCharType="separate"/>
    </w:r>
    <w:r>
      <w:rPr>
        <w:rStyle w:val="17"/>
      </w:rPr>
      <w:t>1</w:t>
    </w:r>
    <w:r>
      <w:fldChar w:fldCharType="end"/>
    </w:r>
  </w:p>
  <w:p>
    <w:pPr>
      <w:pStyle w:val="8"/>
      <w:jc w:val="right"/>
      <w:rPr>
        <w:rFonts w:ascii="宋体"/>
        <w:b/>
        <w:sz w:val="21"/>
        <w:szCs w:val="21"/>
      </w:rPr>
    </w:pPr>
    <w:r>
      <w:rPr>
        <w:rFonts w:hint="eastAsia" w:ascii="宋体" w:hAnsi="宋体"/>
        <w:b/>
        <w:sz w:val="21"/>
        <w:szCs w:val="21"/>
      </w:rPr>
      <w:t>新疆同孚招投标有限公司招标文件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0DD55"/>
    <w:multiLevelType w:val="singleLevel"/>
    <w:tmpl w:val="AD20DD55"/>
    <w:lvl w:ilvl="0" w:tentative="0">
      <w:start w:val="10"/>
      <w:numFmt w:val="decimal"/>
      <w:suff w:val="nothing"/>
      <w:lvlText w:val="%1、"/>
      <w:lvlJc w:val="left"/>
    </w:lvl>
  </w:abstractNum>
  <w:abstractNum w:abstractNumId="1">
    <w:nsid w:val="BAE603E5"/>
    <w:multiLevelType w:val="singleLevel"/>
    <w:tmpl w:val="BAE603E5"/>
    <w:lvl w:ilvl="0" w:tentative="0">
      <w:start w:val="7"/>
      <w:numFmt w:val="chineseCounting"/>
      <w:suff w:val="nothing"/>
      <w:lvlText w:val="%1、"/>
      <w:lvlJc w:val="left"/>
      <w:rPr>
        <w:rFonts w:hint="eastAsia"/>
      </w:rPr>
    </w:lvl>
  </w:abstractNum>
  <w:abstractNum w:abstractNumId="2">
    <w:nsid w:val="F5026C9F"/>
    <w:multiLevelType w:val="singleLevel"/>
    <w:tmpl w:val="F5026C9F"/>
    <w:lvl w:ilvl="0" w:tentative="0">
      <w:start w:val="5"/>
      <w:numFmt w:val="decimal"/>
      <w:suff w:val="nothing"/>
      <w:lvlText w:val="%1、"/>
      <w:lvlJc w:val="left"/>
    </w:lvl>
  </w:abstractNum>
  <w:abstractNum w:abstractNumId="3">
    <w:nsid w:val="08F23C8C"/>
    <w:multiLevelType w:val="singleLevel"/>
    <w:tmpl w:val="08F23C8C"/>
    <w:lvl w:ilvl="0" w:tentative="0">
      <w:start w:val="1"/>
      <w:numFmt w:val="decimal"/>
      <w:suff w:val="nothing"/>
      <w:lvlText w:val="%1、"/>
      <w:lvlJc w:val="left"/>
    </w:lvl>
  </w:abstractNum>
  <w:abstractNum w:abstractNumId="4">
    <w:nsid w:val="219F15C3"/>
    <w:multiLevelType w:val="multilevel"/>
    <w:tmpl w:val="219F15C3"/>
    <w:lvl w:ilvl="0" w:tentative="0">
      <w:start w:val="1"/>
      <w:numFmt w:val="decimal"/>
      <w:lvlText w:val="（%1）"/>
      <w:lvlJc w:val="left"/>
      <w:pPr>
        <w:tabs>
          <w:tab w:val="left" w:pos="1440"/>
        </w:tabs>
        <w:ind w:left="1440" w:hanging="720"/>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5">
    <w:nsid w:val="274D5254"/>
    <w:multiLevelType w:val="singleLevel"/>
    <w:tmpl w:val="274D5254"/>
    <w:lvl w:ilvl="0" w:tentative="0">
      <w:start w:val="2"/>
      <w:numFmt w:val="decimal"/>
      <w:suff w:val="nothing"/>
      <w:lvlText w:val="（%1）"/>
      <w:lvlJc w:val="left"/>
    </w:lvl>
  </w:abstractNum>
  <w:abstractNum w:abstractNumId="6">
    <w:nsid w:val="2C9E2743"/>
    <w:multiLevelType w:val="singleLevel"/>
    <w:tmpl w:val="2C9E2743"/>
    <w:lvl w:ilvl="0" w:tentative="0">
      <w:start w:val="1"/>
      <w:numFmt w:val="decimal"/>
      <w:suff w:val="nothing"/>
      <w:lvlText w:val="%1、"/>
      <w:lvlJc w:val="left"/>
    </w:lvl>
  </w:abstractNum>
  <w:abstractNum w:abstractNumId="7">
    <w:nsid w:val="60E40880"/>
    <w:multiLevelType w:val="singleLevel"/>
    <w:tmpl w:val="60E40880"/>
    <w:lvl w:ilvl="0" w:tentative="0">
      <w:start w:val="1"/>
      <w:numFmt w:val="decimal"/>
      <w:suff w:val="nothing"/>
      <w:lvlText w:val="%1、"/>
      <w:lvlJc w:val="left"/>
    </w:lvl>
  </w:abstractNum>
  <w:abstractNum w:abstractNumId="8">
    <w:nsid w:val="752AD9FF"/>
    <w:multiLevelType w:val="singleLevel"/>
    <w:tmpl w:val="752AD9FF"/>
    <w:lvl w:ilvl="0" w:tentative="0">
      <w:start w:val="1"/>
      <w:numFmt w:val="chineseCounting"/>
      <w:suff w:val="nothing"/>
      <w:lvlText w:val="%1、"/>
      <w:lvlJc w:val="left"/>
      <w:rPr>
        <w:rFonts w:hint="eastAsia"/>
      </w:rPr>
    </w:lvl>
  </w:abstractNum>
  <w:num w:numId="1">
    <w:abstractNumId w:val="3"/>
  </w:num>
  <w:num w:numId="2">
    <w:abstractNumId w:val="4"/>
  </w:num>
  <w:num w:numId="3">
    <w:abstractNumId w:val="8"/>
  </w:num>
  <w:num w:numId="4">
    <w:abstractNumId w:val="5"/>
  </w:num>
  <w:num w:numId="5">
    <w:abstractNumId w:val="0"/>
  </w:num>
  <w:num w:numId="6">
    <w:abstractNumId w:val="2"/>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13F7F"/>
    <w:rsid w:val="05AB324E"/>
    <w:rsid w:val="0D792445"/>
    <w:rsid w:val="0DF41361"/>
    <w:rsid w:val="101233E1"/>
    <w:rsid w:val="131A2E31"/>
    <w:rsid w:val="156B1F94"/>
    <w:rsid w:val="15B00100"/>
    <w:rsid w:val="164817CD"/>
    <w:rsid w:val="1E484954"/>
    <w:rsid w:val="1E5655FB"/>
    <w:rsid w:val="1F9B7A1C"/>
    <w:rsid w:val="2040689C"/>
    <w:rsid w:val="21E90241"/>
    <w:rsid w:val="23A00F4D"/>
    <w:rsid w:val="27ED1B06"/>
    <w:rsid w:val="29870A84"/>
    <w:rsid w:val="2B392821"/>
    <w:rsid w:val="2B95750B"/>
    <w:rsid w:val="2F237277"/>
    <w:rsid w:val="2FEA71FE"/>
    <w:rsid w:val="30073954"/>
    <w:rsid w:val="342F35A0"/>
    <w:rsid w:val="36A223DE"/>
    <w:rsid w:val="39A5639F"/>
    <w:rsid w:val="39EB62E3"/>
    <w:rsid w:val="3BBC0F77"/>
    <w:rsid w:val="3C700985"/>
    <w:rsid w:val="3D01667D"/>
    <w:rsid w:val="3D9D4816"/>
    <w:rsid w:val="3F505D9D"/>
    <w:rsid w:val="410B426C"/>
    <w:rsid w:val="43CF664E"/>
    <w:rsid w:val="43F04B18"/>
    <w:rsid w:val="45BF4CC6"/>
    <w:rsid w:val="47794BD9"/>
    <w:rsid w:val="478A1C34"/>
    <w:rsid w:val="492A15E8"/>
    <w:rsid w:val="49575AC4"/>
    <w:rsid w:val="4A7260CE"/>
    <w:rsid w:val="55246C39"/>
    <w:rsid w:val="56E13F7F"/>
    <w:rsid w:val="573B54E3"/>
    <w:rsid w:val="5A341138"/>
    <w:rsid w:val="60143CE5"/>
    <w:rsid w:val="607A3012"/>
    <w:rsid w:val="60817C31"/>
    <w:rsid w:val="65840929"/>
    <w:rsid w:val="68063123"/>
    <w:rsid w:val="6A921858"/>
    <w:rsid w:val="7164730F"/>
    <w:rsid w:val="72005970"/>
    <w:rsid w:val="76FA1DFC"/>
    <w:rsid w:val="777A72F7"/>
    <w:rsid w:val="798D364B"/>
    <w:rsid w:val="7B9A2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spacing w:before="260" w:after="260" w:line="416" w:lineRule="auto"/>
      <w:outlineLvl w:val="2"/>
    </w:pPr>
    <w:rPr>
      <w:b/>
      <w:kern w:val="0"/>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5">
    <w:name w:val="Normal Indent"/>
    <w:basedOn w:val="1"/>
    <w:qFormat/>
    <w:uiPriority w:val="0"/>
    <w:pPr>
      <w:spacing w:line="460" w:lineRule="exact"/>
      <w:ind w:firstLine="420"/>
    </w:pPr>
    <w:rPr>
      <w:spacing w:val="14"/>
      <w:kern w:val="24"/>
      <w:sz w:val="24"/>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0"/>
      <w:sz w:val="18"/>
    </w:rPr>
  </w:style>
  <w:style w:type="paragraph" w:styleId="9">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0">
    <w:name w:val="toc 2"/>
    <w:basedOn w:val="1"/>
    <w:next w:val="1"/>
    <w:qFormat/>
    <w:uiPriority w:val="39"/>
    <w:pPr>
      <w:tabs>
        <w:tab w:val="right" w:leader="dot" w:pos="9628"/>
      </w:tabs>
      <w:ind w:left="420" w:leftChars="200"/>
    </w:pPr>
  </w:style>
  <w:style w:type="paragraph" w:styleId="11">
    <w:name w:val="Normal (Web)"/>
    <w:basedOn w:val="1"/>
    <w:next w:val="12"/>
    <w:qFormat/>
    <w:uiPriority w:val="0"/>
    <w:pPr>
      <w:spacing w:before="0" w:beforeAutospacing="1" w:after="0" w:afterAutospacing="1"/>
      <w:ind w:left="0" w:right="0"/>
      <w:jc w:val="left"/>
    </w:pPr>
    <w:rPr>
      <w:kern w:val="0"/>
      <w:sz w:val="24"/>
      <w:lang w:val="en-US" w:eastAsia="zh-CN" w:bidi="ar"/>
    </w:rPr>
  </w:style>
  <w:style w:type="paragraph" w:customStyle="1" w:styleId="1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rPr>
      <w:rFonts w:cs="Times New Roman"/>
    </w:rPr>
  </w:style>
  <w:style w:type="character" w:styleId="18">
    <w:name w:val="Hyperlink"/>
    <w:basedOn w:val="15"/>
    <w:qFormat/>
    <w:uiPriority w:val="99"/>
    <w:rPr>
      <w:rFonts w:cs="Times New Roman"/>
      <w:color w:val="0000FF"/>
      <w:u w:val="single"/>
    </w:rPr>
  </w:style>
  <w:style w:type="paragraph" w:customStyle="1" w:styleId="19">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NormalCharacter"/>
    <w:qFormat/>
    <w:uiPriority w:val="0"/>
  </w:style>
  <w:style w:type="paragraph" w:customStyle="1" w:styleId="23">
    <w:name w:val="正文_1"/>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2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Normal_1"/>
    <w:qFormat/>
    <w:uiPriority w:val="0"/>
    <w:rPr>
      <w:rFonts w:ascii="黑体" w:hAnsi="黑体" w:eastAsia="黑体" w:cs="Times New Roman"/>
      <w:b/>
      <w:sz w:val="32"/>
      <w:szCs w:val="24"/>
      <w:lang w:bidi="ar-SA"/>
    </w:rPr>
  </w:style>
  <w:style w:type="paragraph" w:customStyle="1" w:styleId="28">
    <w:name w:val="正文_2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文本缩进_5"/>
    <w:basedOn w:val="28"/>
    <w:qFormat/>
    <w:uiPriority w:val="0"/>
    <w:pPr>
      <w:spacing w:line="500" w:lineRule="exact"/>
      <w:ind w:left="1588" w:leftChars="832" w:firstLine="433" w:firstLineChars="196"/>
    </w:pPr>
    <w:rPr>
      <w:kern w:val="0"/>
      <w:sz w:val="24"/>
    </w:rPr>
  </w:style>
  <w:style w:type="paragraph" w:customStyle="1" w:styleId="30">
    <w:name w:val="题注_0_0"/>
    <w:basedOn w:val="28"/>
    <w:next w:val="28"/>
    <w:qFormat/>
    <w:uiPriority w:val="0"/>
    <w:pPr>
      <w:spacing w:before="152" w:after="160"/>
    </w:pPr>
    <w:rPr>
      <w:rFonts w:ascii="Arial" w:hAnsi="Arial" w:eastAsia="黑体"/>
      <w:sz w:val="20"/>
      <w:szCs w:val="20"/>
    </w:rPr>
  </w:style>
  <w:style w:type="paragraph" w:customStyle="1" w:styleId="3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2">
    <w:name w:val="样式 宋体 五号 行距: 单倍行距"/>
    <w:basedOn w:val="1"/>
    <w:qFormat/>
    <w:uiPriority w:val="0"/>
    <w:pPr>
      <w:adjustRightInd w:val="0"/>
      <w:jc w:val="left"/>
      <w:textAlignment w:val="baseline"/>
    </w:pPr>
    <w:rPr>
      <w:rFonts w:ascii="宋体" w:hAnsi="宋体"/>
      <w:kern w:val="0"/>
    </w:rPr>
  </w:style>
  <w:style w:type="paragraph" w:customStyle="1" w:styleId="33">
    <w:name w:val="Char1"/>
    <w:basedOn w:val="1"/>
    <w:qFormat/>
    <w:uiPriority w:val="0"/>
    <w:rPr>
      <w:rFonts w:ascii="Tahoma" w:hAnsi="Tahoma"/>
      <w:sz w:val="24"/>
    </w:rPr>
  </w:style>
  <w:style w:type="paragraph" w:customStyle="1"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2021-04-15T03:07:00Z</dcterms:created>
  <dc:creator>博雅</dc:creator>
  <cp:lastModifiedBy>博雅</cp:lastModifiedBy>
  <dcterms:modified xsi:type="dcterms:W3CDTF">2021-08-03T03:56:06Z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B8B67D30EE464809A0BBD4901B8C894F</vt:lpwstr>
  </property>
</Properties>
</file>