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991" w:leftChars="472"/>
        <w:jc w:val="right"/>
        <w:rPr>
          <w:rFonts w:hint="eastAsia" w:ascii="宋体" w:hAnsi="宋体" w:eastAsia="宋体" w:cs="宋体"/>
          <w:b/>
          <w:i w:val="0"/>
          <w:iCs w:val="0"/>
          <w:color w:val="000000"/>
          <w:sz w:val="28"/>
          <w:szCs w:val="28"/>
          <w:highlight w:val="none"/>
          <w:lang w:val="en-US" w:eastAsia="zh-CN"/>
        </w:rPr>
      </w:pPr>
      <w:r>
        <w:rPr>
          <w:rFonts w:hint="eastAsia" w:ascii="宋体" w:hAnsi="宋体" w:eastAsia="宋体" w:cs="宋体"/>
          <w:b/>
          <w:i w:val="0"/>
          <w:iCs w:val="0"/>
          <w:color w:val="000000"/>
          <w:sz w:val="28"/>
          <w:szCs w:val="28"/>
          <w:highlight w:val="none"/>
        </w:rPr>
        <w:t>招标编号：YLYF202</w:t>
      </w:r>
      <w:r>
        <w:rPr>
          <w:rFonts w:hint="eastAsia" w:ascii="宋体" w:hAnsi="宋体" w:eastAsia="宋体" w:cs="宋体"/>
          <w:b/>
          <w:i w:val="0"/>
          <w:iCs w:val="0"/>
          <w:color w:val="000000"/>
          <w:sz w:val="28"/>
          <w:szCs w:val="28"/>
          <w:highlight w:val="none"/>
          <w:lang w:val="en-US"/>
        </w:rPr>
        <w:t>1-158</w:t>
      </w:r>
    </w:p>
    <w:p>
      <w:pPr>
        <w:jc w:val="both"/>
        <w:rPr>
          <w:rFonts w:hint="eastAsia" w:ascii="宋体" w:hAnsi="宋体" w:eastAsia="宋体" w:cs="宋体"/>
          <w:b/>
          <w:bCs/>
          <w:color w:val="000000"/>
          <w:sz w:val="44"/>
          <w:szCs w:val="44"/>
          <w:highlight w:val="none"/>
          <w:shd w:val="clear" w:color="auto" w:fill="FFFFFF"/>
          <w:lang w:val="en-US" w:eastAsia="zh-CN"/>
        </w:rPr>
      </w:pPr>
    </w:p>
    <w:p>
      <w:pPr>
        <w:jc w:val="right"/>
        <w:rPr>
          <w:rFonts w:hint="eastAsia" w:ascii="宋体" w:hAnsi="宋体" w:eastAsia="宋体" w:cs="宋体"/>
          <w:b/>
          <w:bCs/>
          <w:color w:val="000000"/>
          <w:sz w:val="24"/>
          <w:highlight w:val="none"/>
        </w:rPr>
      </w:pPr>
      <w:r>
        <w:rPr>
          <w:rFonts w:hint="eastAsia" w:ascii="宋体" w:hAnsi="宋体" w:eastAsia="宋体" w:cs="宋体"/>
          <w:b/>
          <w:bCs/>
          <w:color w:val="000000"/>
          <w:sz w:val="44"/>
          <w:szCs w:val="44"/>
          <w:highlight w:val="none"/>
          <w:shd w:val="clear" w:color="auto" w:fill="FFFFFF"/>
          <w:lang w:val="en-US" w:eastAsia="zh-CN"/>
        </w:rPr>
        <w:t xml:space="preserve"> </w:t>
      </w:r>
    </w:p>
    <w:p>
      <w:pPr>
        <w:autoSpaceDE w:val="0"/>
        <w:autoSpaceDN w:val="0"/>
        <w:adjustRightInd w:val="0"/>
        <w:rPr>
          <w:rFonts w:hint="eastAsia" w:ascii="宋体" w:hAnsi="宋体" w:eastAsia="宋体" w:cs="宋体"/>
          <w:b/>
          <w:color w:val="000000"/>
          <w:kern w:val="0"/>
          <w:sz w:val="52"/>
          <w:szCs w:val="52"/>
          <w:highlight w:val="none"/>
        </w:rPr>
      </w:pPr>
    </w:p>
    <w:p>
      <w:pPr>
        <w:pStyle w:val="27"/>
        <w:rPr>
          <w:rFonts w:hint="eastAsia"/>
        </w:rPr>
      </w:pPr>
    </w:p>
    <w:p>
      <w:pPr>
        <w:jc w:val="center"/>
        <w:rPr>
          <w:rFonts w:hint="eastAsia" w:ascii="宋体" w:hAnsi="宋体" w:eastAsia="宋体" w:cs="宋体"/>
          <w:b/>
          <w:bCs/>
          <w:color w:val="000000"/>
          <w:sz w:val="52"/>
          <w:szCs w:val="52"/>
          <w:highlight w:val="none"/>
        </w:rPr>
      </w:pPr>
      <w:r>
        <w:rPr>
          <w:rFonts w:hint="eastAsia" w:ascii="宋体" w:hAnsi="宋体" w:eastAsia="宋体" w:cs="宋体"/>
          <w:b/>
          <w:bCs/>
          <w:color w:val="000000"/>
          <w:sz w:val="52"/>
          <w:szCs w:val="52"/>
          <w:highlight w:val="none"/>
        </w:rPr>
        <w:t>霍城县农业水价综合改革计量设施</w:t>
      </w:r>
    </w:p>
    <w:p>
      <w:pPr>
        <w:jc w:val="center"/>
        <w:rPr>
          <w:rFonts w:hint="eastAsia" w:ascii="宋体" w:hAnsi="宋体" w:eastAsia="宋体" w:cs="宋体"/>
          <w:b/>
          <w:bCs/>
          <w:color w:val="000000"/>
          <w:sz w:val="84"/>
          <w:szCs w:val="84"/>
          <w:highlight w:val="none"/>
        </w:rPr>
      </w:pPr>
      <w:r>
        <w:rPr>
          <w:rFonts w:hint="eastAsia" w:ascii="宋体" w:hAnsi="宋体" w:eastAsia="宋体" w:cs="宋体"/>
          <w:b/>
          <w:bCs/>
          <w:color w:val="000000"/>
          <w:sz w:val="52"/>
          <w:szCs w:val="52"/>
          <w:highlight w:val="none"/>
        </w:rPr>
        <w:t>建设项目</w:t>
      </w:r>
    </w:p>
    <w:p>
      <w:pPr>
        <w:jc w:val="center"/>
        <w:rPr>
          <w:rFonts w:hint="eastAsia" w:ascii="宋体" w:hAnsi="宋体" w:eastAsia="宋体" w:cs="宋体"/>
          <w:b/>
          <w:bCs/>
          <w:color w:val="000000"/>
          <w:sz w:val="44"/>
          <w:highlight w:val="none"/>
        </w:rPr>
      </w:pPr>
    </w:p>
    <w:p>
      <w:pPr>
        <w:rPr>
          <w:rFonts w:hint="eastAsia" w:ascii="宋体" w:hAnsi="宋体" w:eastAsia="宋体" w:cs="宋体"/>
          <w:b/>
          <w:color w:val="000000"/>
          <w:sz w:val="84"/>
          <w:szCs w:val="84"/>
          <w:highlight w:val="none"/>
        </w:rPr>
      </w:pPr>
    </w:p>
    <w:p>
      <w:pPr>
        <w:pStyle w:val="27"/>
        <w:ind w:left="0" w:leftChars="0" w:firstLine="0" w:firstLineChars="0"/>
        <w:rPr>
          <w:rFonts w:hint="eastAsia" w:ascii="宋体" w:hAnsi="宋体" w:eastAsia="宋体" w:cs="宋体"/>
          <w:b/>
          <w:color w:val="000000"/>
          <w:sz w:val="84"/>
          <w:szCs w:val="84"/>
          <w:highlight w:val="none"/>
        </w:rPr>
      </w:pPr>
    </w:p>
    <w:p>
      <w:pPr>
        <w:pStyle w:val="27"/>
        <w:rPr>
          <w:rFonts w:hint="eastAsia" w:ascii="宋体" w:hAnsi="宋体" w:eastAsia="宋体" w:cs="宋体"/>
        </w:rPr>
      </w:pPr>
    </w:p>
    <w:p>
      <w:pPr>
        <w:jc w:val="center"/>
        <w:rPr>
          <w:rFonts w:hint="eastAsia" w:ascii="宋体" w:hAnsi="宋体" w:eastAsia="宋体" w:cs="宋体"/>
          <w:b/>
          <w:color w:val="000000"/>
          <w:sz w:val="80"/>
          <w:szCs w:val="80"/>
          <w:highlight w:val="none"/>
        </w:rPr>
      </w:pPr>
      <w:r>
        <w:rPr>
          <w:rFonts w:hint="eastAsia" w:ascii="宋体" w:hAnsi="宋体" w:eastAsia="宋体" w:cs="宋体"/>
          <w:b/>
          <w:color w:val="000000"/>
          <w:sz w:val="80"/>
          <w:szCs w:val="80"/>
          <w:highlight w:val="none"/>
        </w:rPr>
        <w:t>招标文件</w:t>
      </w:r>
    </w:p>
    <w:p>
      <w:pPr>
        <w:rPr>
          <w:rFonts w:hint="eastAsia" w:ascii="宋体" w:hAnsi="宋体" w:eastAsia="宋体" w:cs="宋体"/>
          <w:b/>
          <w:color w:val="000000"/>
          <w:highlight w:val="none"/>
        </w:rPr>
      </w:pPr>
    </w:p>
    <w:p>
      <w:pPr>
        <w:widowControl w:val="0"/>
        <w:wordWrap/>
        <w:adjustRightInd/>
        <w:snapToGrid/>
        <w:spacing w:line="540" w:lineRule="exact"/>
        <w:ind w:left="0" w:leftChars="0" w:right="0" w:firstLine="0" w:firstLineChars="0"/>
        <w:textAlignment w:val="auto"/>
        <w:outlineLvl w:val="9"/>
        <w:rPr>
          <w:rFonts w:hint="eastAsia" w:ascii="宋体" w:hAnsi="宋体" w:eastAsia="宋体" w:cs="宋体"/>
          <w:b/>
          <w:color w:val="000000"/>
          <w:sz w:val="32"/>
          <w:szCs w:val="36"/>
          <w:highlight w:val="none"/>
        </w:rPr>
      </w:pPr>
    </w:p>
    <w:p>
      <w:pPr>
        <w:widowControl w:val="0"/>
        <w:wordWrap/>
        <w:adjustRightInd/>
        <w:snapToGrid/>
        <w:spacing w:line="540" w:lineRule="exact"/>
        <w:ind w:left="0" w:leftChars="0" w:right="0" w:firstLine="0" w:firstLineChars="0"/>
        <w:textAlignment w:val="auto"/>
        <w:outlineLvl w:val="9"/>
        <w:rPr>
          <w:rFonts w:hint="eastAsia" w:ascii="宋体" w:hAnsi="宋体" w:eastAsia="宋体" w:cs="宋体"/>
          <w:b/>
          <w:bCs/>
          <w:color w:val="000000"/>
          <w:kern w:val="0"/>
          <w:sz w:val="32"/>
          <w:highlight w:val="none"/>
        </w:rPr>
      </w:pPr>
    </w:p>
    <w:p>
      <w:pPr>
        <w:widowControl w:val="0"/>
        <w:wordWrap/>
        <w:adjustRightInd/>
        <w:snapToGrid/>
        <w:spacing w:line="540" w:lineRule="exact"/>
        <w:ind w:left="0" w:leftChars="0" w:right="0" w:firstLine="0" w:firstLineChars="0"/>
        <w:textAlignment w:val="auto"/>
        <w:outlineLvl w:val="9"/>
        <w:rPr>
          <w:rFonts w:hint="eastAsia" w:ascii="宋体" w:hAnsi="宋体" w:eastAsia="宋体" w:cs="宋体"/>
          <w:b/>
          <w:bCs/>
          <w:color w:val="000000"/>
          <w:kern w:val="0"/>
          <w:sz w:val="32"/>
          <w:highlight w:val="none"/>
        </w:rPr>
      </w:pPr>
    </w:p>
    <w:p>
      <w:pPr>
        <w:widowControl w:val="0"/>
        <w:wordWrap/>
        <w:adjustRightInd/>
        <w:snapToGrid/>
        <w:spacing w:line="540" w:lineRule="exact"/>
        <w:ind w:left="0" w:leftChars="0" w:right="0" w:firstLine="0" w:firstLineChars="0"/>
        <w:textAlignment w:val="auto"/>
        <w:outlineLvl w:val="9"/>
        <w:rPr>
          <w:rFonts w:hint="eastAsia" w:ascii="宋体" w:hAnsi="宋体" w:eastAsia="宋体" w:cs="宋体"/>
          <w:b/>
          <w:bCs/>
          <w:color w:val="000000"/>
          <w:kern w:val="0"/>
          <w:sz w:val="32"/>
          <w:highlight w:val="none"/>
        </w:rPr>
      </w:pPr>
    </w:p>
    <w:p>
      <w:pPr>
        <w:widowControl w:val="0"/>
        <w:wordWrap/>
        <w:adjustRightInd w:val="0"/>
        <w:snapToGrid w:val="0"/>
        <w:spacing w:line="800" w:lineRule="exact"/>
        <w:ind w:left="991" w:leftChars="472"/>
        <w:textAlignment w:val="auto"/>
        <w:rPr>
          <w:rFonts w:hint="eastAsia" w:ascii="宋体" w:hAnsi="宋体" w:eastAsia="宋体" w:cs="宋体"/>
          <w:b/>
          <w:i w:val="0"/>
          <w:iCs w:val="0"/>
          <w:color w:val="000000"/>
          <w:sz w:val="30"/>
          <w:szCs w:val="30"/>
          <w:highlight w:val="none"/>
        </w:rPr>
      </w:pPr>
      <w:r>
        <w:rPr>
          <w:rFonts w:hint="eastAsia" w:ascii="宋体" w:hAnsi="宋体" w:eastAsia="宋体" w:cs="宋体"/>
          <w:b/>
          <w:i w:val="0"/>
          <w:iCs w:val="0"/>
          <w:color w:val="000000"/>
          <w:sz w:val="30"/>
          <w:szCs w:val="30"/>
          <w:highlight w:val="none"/>
        </w:rPr>
        <w:t>招 标 人：霍城县水利管理站</w:t>
      </w:r>
    </w:p>
    <w:p>
      <w:pPr>
        <w:widowControl w:val="0"/>
        <w:wordWrap/>
        <w:spacing w:line="800" w:lineRule="exact"/>
        <w:ind w:left="991" w:leftChars="472"/>
        <w:textAlignment w:val="auto"/>
        <w:rPr>
          <w:rFonts w:hint="eastAsia" w:ascii="宋体" w:hAnsi="宋体" w:eastAsia="宋体" w:cs="宋体"/>
          <w:b/>
          <w:i w:val="0"/>
          <w:iCs w:val="0"/>
          <w:color w:val="000000"/>
          <w:sz w:val="30"/>
          <w:szCs w:val="30"/>
          <w:highlight w:val="none"/>
        </w:rPr>
      </w:pPr>
      <w:r>
        <w:rPr>
          <w:rFonts w:hint="eastAsia" w:ascii="宋体" w:hAnsi="宋体" w:eastAsia="宋体" w:cs="宋体"/>
          <w:b/>
          <w:i w:val="0"/>
          <w:iCs w:val="0"/>
          <w:color w:val="000000"/>
          <w:sz w:val="30"/>
          <w:szCs w:val="30"/>
          <w:highlight w:val="none"/>
        </w:rPr>
        <w:t>代理机构：</w:t>
      </w:r>
      <w:r>
        <w:rPr>
          <w:rFonts w:hint="eastAsia" w:ascii="宋体" w:hAnsi="宋体" w:eastAsia="宋体" w:cs="宋体"/>
          <w:b/>
          <w:i w:val="0"/>
          <w:iCs w:val="0"/>
          <w:color w:val="000000"/>
          <w:sz w:val="30"/>
          <w:szCs w:val="30"/>
          <w:highlight w:val="none"/>
          <w:lang w:eastAsia="zh-CN"/>
        </w:rPr>
        <w:t>新疆</w:t>
      </w:r>
      <w:r>
        <w:rPr>
          <w:rFonts w:hint="eastAsia" w:ascii="宋体" w:hAnsi="宋体" w:eastAsia="宋体" w:cs="宋体"/>
          <w:b/>
          <w:i w:val="0"/>
          <w:iCs w:val="0"/>
          <w:color w:val="000000"/>
          <w:sz w:val="30"/>
          <w:szCs w:val="30"/>
          <w:highlight w:val="none"/>
        </w:rPr>
        <w:t>毅峰工程项目管理有限公司</w:t>
      </w:r>
    </w:p>
    <w:p>
      <w:pPr>
        <w:widowControl w:val="0"/>
        <w:wordWrap/>
        <w:spacing w:line="800" w:lineRule="exact"/>
        <w:jc w:val="center"/>
        <w:textAlignment w:val="auto"/>
        <w:rPr>
          <w:rFonts w:hint="eastAsia" w:ascii="宋体" w:hAnsi="宋体" w:eastAsia="宋体" w:cs="宋体"/>
          <w:b/>
          <w:i w:val="0"/>
          <w:iCs w:val="0"/>
          <w:color w:val="000000"/>
          <w:sz w:val="30"/>
          <w:szCs w:val="30"/>
          <w:highlight w:val="none"/>
          <w:lang w:val="en-US" w:eastAsia="zh-CN"/>
        </w:rPr>
      </w:pPr>
      <w:r>
        <w:rPr>
          <w:rFonts w:hint="eastAsia" w:ascii="宋体" w:hAnsi="宋体" w:eastAsia="宋体" w:cs="宋体"/>
          <w:b/>
          <w:i w:val="0"/>
          <w:iCs w:val="0"/>
          <w:color w:val="000000"/>
          <w:sz w:val="30"/>
          <w:szCs w:val="30"/>
          <w:highlight w:val="none"/>
          <w:lang w:val="en-US" w:eastAsia="zh-CN"/>
        </w:rPr>
        <w:t>2021年</w:t>
      </w:r>
      <w:r>
        <w:rPr>
          <w:rFonts w:hint="eastAsia" w:ascii="宋体" w:hAnsi="宋体" w:cs="宋体"/>
          <w:b/>
          <w:i w:val="0"/>
          <w:iCs w:val="0"/>
          <w:color w:val="000000"/>
          <w:sz w:val="30"/>
          <w:szCs w:val="30"/>
          <w:highlight w:val="none"/>
          <w:lang w:val="en-US" w:eastAsia="zh-CN"/>
        </w:rPr>
        <w:t>8</w:t>
      </w:r>
      <w:r>
        <w:rPr>
          <w:rFonts w:hint="eastAsia" w:ascii="宋体" w:hAnsi="宋体" w:eastAsia="宋体" w:cs="宋体"/>
          <w:b/>
          <w:i w:val="0"/>
          <w:iCs w:val="0"/>
          <w:color w:val="000000"/>
          <w:sz w:val="30"/>
          <w:szCs w:val="30"/>
          <w:highlight w:val="none"/>
          <w:lang w:val="en-US" w:eastAsia="zh-CN"/>
        </w:rPr>
        <w:t>月</w:t>
      </w:r>
    </w:p>
    <w:p>
      <w:pPr>
        <w:spacing w:line="360" w:lineRule="auto"/>
        <w:jc w:val="center"/>
        <w:rPr>
          <w:rFonts w:hint="eastAsia" w:ascii="宋体" w:hAnsi="宋体" w:eastAsia="宋体" w:cs="宋体"/>
          <w:b/>
          <w:i w:val="0"/>
          <w:iCs w:val="0"/>
          <w:color w:val="000000"/>
          <w:sz w:val="32"/>
          <w:szCs w:val="32"/>
          <w:highlight w:val="none"/>
          <w:lang w:val="en-US" w:eastAsia="zh-CN"/>
        </w:rPr>
        <w:sectPr>
          <w:headerReference r:id="rId4" w:type="first"/>
          <w:headerReference r:id="rId3" w:type="default"/>
          <w:footerReference r:id="rId5" w:type="default"/>
          <w:footerReference r:id="rId6" w:type="even"/>
          <w:pgSz w:w="11906" w:h="16838"/>
          <w:pgMar w:top="1418" w:right="1531" w:bottom="1191" w:left="1531" w:header="851" w:footer="907" w:gutter="0"/>
          <w:pgNumType w:fmt="numberInDash" w:start="0"/>
          <w:cols w:space="720" w:num="1"/>
          <w:titlePg/>
          <w:docGrid w:linePitch="312" w:charSpace="0"/>
        </w:sectPr>
      </w:pPr>
    </w:p>
    <w:p>
      <w:pPr>
        <w:rPr>
          <w:rFonts w:hint="eastAsia" w:ascii="宋体" w:hAnsi="宋体" w:eastAsia="宋体" w:cs="宋体"/>
          <w:color w:val="000000"/>
          <w:highlight w:val="none"/>
        </w:rPr>
      </w:pPr>
      <w:bookmarkStart w:id="0" w:name="_Toc162675143"/>
      <w:bookmarkStart w:id="1" w:name="_Toc175541460"/>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pStyle w:val="26"/>
        <w:rPr>
          <w:rFonts w:hint="eastAsia" w:ascii="宋体" w:hAnsi="宋体" w:eastAsia="宋体" w:cs="宋体"/>
          <w:color w:val="000000"/>
          <w:highlight w:val="none"/>
        </w:rPr>
      </w:pPr>
    </w:p>
    <w:p>
      <w:pPr>
        <w:spacing w:before="0" w:beforeLines="0" w:after="0" w:afterLines="0" w:line="480" w:lineRule="auto"/>
        <w:ind w:left="0" w:leftChars="0" w:right="0" w:firstLine="0" w:firstLineChars="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目录</w:t>
      </w:r>
    </w:p>
    <w:p>
      <w:pPr>
        <w:pStyle w:val="29"/>
        <w:tabs>
          <w:tab w:val="right" w:leader="dot" w:pos="9071"/>
        </w:tabs>
        <w:spacing w:line="48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TOC \o "1-1" \h \u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\l _Toc13238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bCs/>
          <w:color w:val="000000"/>
          <w:sz w:val="28"/>
          <w:szCs w:val="28"/>
          <w:highlight w:val="none"/>
        </w:rPr>
        <w:t>招标公告</w:t>
      </w:r>
      <w:r>
        <w:rPr>
          <w:rFonts w:hint="eastAsia" w:ascii="宋体" w:hAnsi="宋体" w:eastAsia="宋体" w:cs="宋体"/>
          <w:color w:val="000000"/>
          <w:sz w:val="28"/>
          <w:szCs w:val="28"/>
          <w:highlight w:val="none"/>
        </w:rPr>
        <w:tab/>
      </w:r>
      <w:r>
        <w:rPr>
          <w:rFonts w:hint="eastAsia" w:ascii="宋体" w:hAnsi="宋体" w:eastAsia="宋体" w:cs="宋体"/>
          <w:color w:val="000000"/>
          <w:sz w:val="28"/>
          <w:szCs w:val="28"/>
          <w:highlight w:val="none"/>
          <w:lang w:val="en-US"/>
        </w:rPr>
        <w:t>2</w:t>
      </w:r>
      <w:r>
        <w:rPr>
          <w:rFonts w:hint="eastAsia" w:ascii="宋体" w:hAnsi="宋体" w:eastAsia="宋体" w:cs="宋体"/>
          <w:color w:val="000000"/>
          <w:sz w:val="28"/>
          <w:szCs w:val="28"/>
          <w:highlight w:val="none"/>
        </w:rPr>
        <w:fldChar w:fldCharType="end"/>
      </w:r>
    </w:p>
    <w:p>
      <w:pPr>
        <w:pStyle w:val="29"/>
        <w:tabs>
          <w:tab w:val="right" w:leader="dot" w:pos="9071"/>
        </w:tabs>
        <w:spacing w:line="48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\l _Toc16019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第一部分  投标人须知</w:t>
      </w:r>
      <w:r>
        <w:rPr>
          <w:rFonts w:hint="eastAsia" w:ascii="宋体" w:hAnsi="宋体" w:eastAsia="宋体" w:cs="宋体"/>
          <w:color w:val="000000"/>
          <w:sz w:val="28"/>
          <w:szCs w:val="28"/>
          <w:highlight w:val="none"/>
        </w:rPr>
        <w:tab/>
      </w: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PAGEREF _Toc16019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rPr>
        <w:fldChar w:fldCharType="end"/>
      </w:r>
      <w:r>
        <w:rPr>
          <w:rFonts w:hint="eastAsia" w:ascii="宋体" w:hAnsi="宋体" w:eastAsia="宋体" w:cs="宋体"/>
          <w:color w:val="000000"/>
          <w:sz w:val="28"/>
          <w:szCs w:val="28"/>
          <w:highlight w:val="none"/>
        </w:rPr>
        <w:fldChar w:fldCharType="end"/>
      </w:r>
    </w:p>
    <w:p>
      <w:pPr>
        <w:pStyle w:val="29"/>
        <w:tabs>
          <w:tab w:val="right" w:leader="dot" w:pos="9071"/>
        </w:tabs>
        <w:spacing w:line="48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\l _Toc21953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第二部分　　投标文件格式</w:t>
      </w:r>
      <w:r>
        <w:rPr>
          <w:rFonts w:hint="eastAsia" w:ascii="宋体" w:hAnsi="宋体" w:eastAsia="宋体" w:cs="宋体"/>
          <w:color w:val="000000"/>
          <w:sz w:val="28"/>
          <w:szCs w:val="28"/>
          <w:highlight w:val="none"/>
        </w:rPr>
        <w:tab/>
      </w: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PAGEREF _Toc21953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18</w:t>
      </w:r>
      <w:r>
        <w:rPr>
          <w:rFonts w:hint="eastAsia" w:ascii="宋体" w:hAnsi="宋体" w:eastAsia="宋体" w:cs="宋体"/>
          <w:color w:val="000000"/>
          <w:sz w:val="28"/>
          <w:szCs w:val="28"/>
          <w:highlight w:val="none"/>
        </w:rPr>
        <w:fldChar w:fldCharType="end"/>
      </w:r>
      <w:r>
        <w:rPr>
          <w:rFonts w:hint="eastAsia" w:ascii="宋体" w:hAnsi="宋体" w:eastAsia="宋体" w:cs="宋体"/>
          <w:color w:val="000000"/>
          <w:sz w:val="28"/>
          <w:szCs w:val="28"/>
          <w:highlight w:val="none"/>
        </w:rPr>
        <w:fldChar w:fldCharType="end"/>
      </w:r>
    </w:p>
    <w:p>
      <w:pPr>
        <w:pStyle w:val="29"/>
        <w:tabs>
          <w:tab w:val="right" w:leader="dot" w:pos="9071"/>
        </w:tabs>
        <w:spacing w:line="48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\l _Toc25651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第三部分  合同条款</w:t>
      </w:r>
      <w:r>
        <w:rPr>
          <w:rFonts w:hint="eastAsia" w:ascii="宋体" w:hAnsi="宋体" w:eastAsia="宋体" w:cs="宋体"/>
          <w:color w:val="000000"/>
          <w:sz w:val="28"/>
          <w:szCs w:val="28"/>
          <w:highlight w:val="none"/>
        </w:rPr>
        <w:tab/>
      </w: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PAGEREF _Toc25651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19</w:t>
      </w:r>
      <w:r>
        <w:rPr>
          <w:rFonts w:hint="eastAsia" w:ascii="宋体" w:hAnsi="宋体" w:eastAsia="宋体" w:cs="宋体"/>
          <w:color w:val="000000"/>
          <w:sz w:val="28"/>
          <w:szCs w:val="28"/>
          <w:highlight w:val="none"/>
        </w:rPr>
        <w:fldChar w:fldCharType="end"/>
      </w:r>
      <w:r>
        <w:rPr>
          <w:rFonts w:hint="eastAsia" w:ascii="宋体" w:hAnsi="宋体" w:eastAsia="宋体" w:cs="宋体"/>
          <w:color w:val="000000"/>
          <w:sz w:val="28"/>
          <w:szCs w:val="28"/>
          <w:highlight w:val="none"/>
        </w:rPr>
        <w:fldChar w:fldCharType="end"/>
      </w:r>
    </w:p>
    <w:p>
      <w:pPr>
        <w:pStyle w:val="29"/>
        <w:tabs>
          <w:tab w:val="right" w:leader="dot" w:pos="9071"/>
        </w:tabs>
        <w:spacing w:line="48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\l _Toc21207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第四部分  合同书</w:t>
      </w:r>
      <w:r>
        <w:rPr>
          <w:rFonts w:hint="eastAsia" w:ascii="宋体" w:hAnsi="宋体" w:eastAsia="宋体" w:cs="宋体"/>
          <w:color w:val="000000"/>
          <w:sz w:val="28"/>
          <w:szCs w:val="28"/>
          <w:highlight w:val="none"/>
        </w:rPr>
        <w:tab/>
      </w: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PAGEREF _Toc21207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sz w:val="28"/>
          <w:szCs w:val="28"/>
          <w:highlight w:val="none"/>
        </w:rPr>
        <w:t>30</w:t>
      </w:r>
      <w:r>
        <w:rPr>
          <w:rFonts w:hint="eastAsia" w:ascii="宋体" w:hAnsi="宋体" w:eastAsia="宋体" w:cs="宋体"/>
          <w:color w:val="000000"/>
          <w:sz w:val="28"/>
          <w:szCs w:val="28"/>
          <w:highlight w:val="none"/>
        </w:rPr>
        <w:fldChar w:fldCharType="end"/>
      </w:r>
      <w:r>
        <w:rPr>
          <w:rFonts w:hint="eastAsia" w:ascii="宋体" w:hAnsi="宋体" w:eastAsia="宋体" w:cs="宋体"/>
          <w:color w:val="000000"/>
          <w:sz w:val="28"/>
          <w:szCs w:val="28"/>
          <w:highlight w:val="none"/>
        </w:rPr>
        <w:fldChar w:fldCharType="end"/>
      </w:r>
    </w:p>
    <w:p>
      <w:pPr>
        <w:pStyle w:val="29"/>
        <w:tabs>
          <w:tab w:val="right" w:leader="dot" w:pos="9071"/>
        </w:tabs>
        <w:spacing w:line="48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\l _Toc10515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color w:val="000000"/>
          <w:kern w:val="0"/>
          <w:sz w:val="28"/>
          <w:szCs w:val="28"/>
          <w:highlight w:val="none"/>
        </w:rPr>
        <w:t xml:space="preserve">第五部分  </w:t>
      </w:r>
      <w:r>
        <w:rPr>
          <w:rFonts w:hint="eastAsia" w:ascii="宋体" w:hAnsi="宋体" w:eastAsia="宋体" w:cs="宋体"/>
          <w:color w:val="000000"/>
          <w:sz w:val="28"/>
          <w:szCs w:val="28"/>
          <w:highlight w:val="none"/>
        </w:rPr>
        <w:t>技术规格及其它要求</w:t>
      </w:r>
      <w:r>
        <w:rPr>
          <w:rFonts w:hint="eastAsia" w:ascii="宋体" w:hAnsi="宋体" w:eastAsia="宋体" w:cs="宋体"/>
          <w:color w:val="000000"/>
          <w:sz w:val="28"/>
          <w:szCs w:val="28"/>
          <w:highlight w:val="none"/>
        </w:rPr>
        <w:tab/>
      </w: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PAGEREF _Toc10515 </w:instrText>
      </w:r>
      <w:r>
        <w:rPr>
          <w:rFonts w:hint="eastAsia" w:ascii="宋体" w:hAnsi="宋体" w:eastAsia="宋体" w:cs="宋体"/>
          <w:color w:val="000000"/>
          <w:sz w:val="28"/>
          <w:szCs w:val="28"/>
          <w:highlight w:val="none"/>
        </w:rPr>
        <w:fldChar w:fldCharType="separate"/>
      </w:r>
      <w:r>
        <w:rPr>
          <w:rFonts w:hint="eastAsia"/>
          <w:b/>
          <w:lang w:val="en-US" w:eastAsia="zh-CN"/>
        </w:rPr>
        <w:t>31</w:t>
      </w:r>
      <w:r>
        <w:rPr>
          <w:b/>
        </w:rPr>
        <w:t>。</w:t>
      </w:r>
      <w:r>
        <w:rPr>
          <w:rFonts w:hint="eastAsia" w:ascii="宋体" w:hAnsi="宋体" w:eastAsia="宋体" w:cs="宋体"/>
          <w:color w:val="000000"/>
          <w:sz w:val="28"/>
          <w:szCs w:val="28"/>
          <w:highlight w:val="none"/>
        </w:rPr>
        <w:fldChar w:fldCharType="end"/>
      </w:r>
      <w:r>
        <w:rPr>
          <w:rFonts w:hint="eastAsia" w:ascii="宋体" w:hAnsi="宋体" w:eastAsia="宋体" w:cs="宋体"/>
          <w:color w:val="000000"/>
          <w:sz w:val="28"/>
          <w:szCs w:val="28"/>
          <w:highlight w:val="none"/>
        </w:rPr>
        <w:fldChar w:fldCharType="end"/>
      </w:r>
    </w:p>
    <w:p>
      <w:pPr>
        <w:pStyle w:val="29"/>
        <w:tabs>
          <w:tab w:val="right" w:leader="dot" w:pos="9071"/>
        </w:tabs>
        <w:spacing w:line="480" w:lineRule="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HYPERLINK \l _Toc13128 </w:instrText>
      </w:r>
      <w:r>
        <w:rPr>
          <w:rFonts w:hint="eastAsia" w:ascii="宋体" w:hAnsi="宋体" w:eastAsia="宋体" w:cs="宋体"/>
          <w:color w:val="000000"/>
          <w:sz w:val="28"/>
          <w:szCs w:val="28"/>
          <w:highlight w:val="none"/>
        </w:rPr>
        <w:fldChar w:fldCharType="separate"/>
      </w:r>
      <w:r>
        <w:rPr>
          <w:rFonts w:hint="eastAsia" w:ascii="宋体" w:hAnsi="宋体" w:eastAsia="宋体" w:cs="宋体"/>
          <w:bCs/>
          <w:color w:val="000000"/>
          <w:sz w:val="28"/>
          <w:szCs w:val="28"/>
          <w:highlight w:val="none"/>
        </w:rPr>
        <w:t>第</w:t>
      </w:r>
      <w:r>
        <w:rPr>
          <w:rFonts w:hint="eastAsia" w:ascii="宋体" w:hAnsi="宋体" w:cs="宋体"/>
          <w:bCs/>
          <w:color w:val="000000"/>
          <w:sz w:val="28"/>
          <w:szCs w:val="28"/>
          <w:highlight w:val="none"/>
          <w:lang w:eastAsia="zh-CN"/>
        </w:rPr>
        <w:t>六</w:t>
      </w:r>
      <w:r>
        <w:rPr>
          <w:rFonts w:hint="eastAsia" w:ascii="宋体" w:hAnsi="宋体" w:eastAsia="宋体" w:cs="宋体"/>
          <w:bCs/>
          <w:color w:val="000000"/>
          <w:sz w:val="28"/>
          <w:szCs w:val="28"/>
          <w:highlight w:val="none"/>
        </w:rPr>
        <w:t>章 评分标准</w:t>
      </w:r>
      <w:r>
        <w:rPr>
          <w:rFonts w:hint="eastAsia" w:ascii="宋体" w:hAnsi="宋体" w:eastAsia="宋体" w:cs="宋体"/>
          <w:color w:val="000000"/>
          <w:sz w:val="28"/>
          <w:szCs w:val="28"/>
          <w:highlight w:val="none"/>
        </w:rPr>
        <w:tab/>
      </w:r>
      <w:r>
        <w:rPr>
          <w:rFonts w:hint="eastAsia" w:ascii="宋体" w:hAnsi="宋体" w:cs="宋体"/>
          <w:color w:val="000000"/>
          <w:sz w:val="28"/>
          <w:szCs w:val="28"/>
          <w:highlight w:val="none"/>
          <w:lang w:val="en-US" w:eastAsia="zh-CN"/>
        </w:rPr>
        <w:t>6</w:t>
      </w:r>
      <w:r>
        <w:rPr>
          <w:rFonts w:hint="eastAsia" w:ascii="宋体" w:hAnsi="宋体" w:eastAsia="宋体" w:cs="宋体"/>
          <w:color w:val="000000"/>
          <w:sz w:val="28"/>
          <w:szCs w:val="28"/>
          <w:highlight w:val="none"/>
        </w:rPr>
        <w:fldChar w:fldCharType="end"/>
      </w:r>
      <w:r>
        <w:rPr>
          <w:rFonts w:hint="eastAsia" w:ascii="宋体" w:hAnsi="宋体" w:cs="宋体"/>
          <w:color w:val="000000"/>
          <w:sz w:val="28"/>
          <w:szCs w:val="28"/>
          <w:highlight w:val="none"/>
          <w:lang w:val="en-US" w:eastAsia="zh-CN"/>
        </w:rPr>
        <w:t>8</w:t>
      </w:r>
    </w:p>
    <w:p>
      <w:pPr>
        <w:spacing w:line="480" w:lineRule="auto"/>
        <w:jc w:val="both"/>
        <w:rPr>
          <w:rFonts w:hint="eastAsia" w:ascii="宋体" w:hAnsi="宋体" w:eastAsia="宋体" w:cs="宋体"/>
          <w:b/>
          <w:bCs/>
          <w:color w:val="000000"/>
          <w:sz w:val="24"/>
          <w:szCs w:val="24"/>
          <w:highlight w:val="none"/>
          <w:u w:val="none"/>
          <w:lang w:eastAsia="zh-CN"/>
        </w:rPr>
      </w:pPr>
    </w:p>
    <w:p>
      <w:pPr>
        <w:rPr>
          <w:rFonts w:hint="eastAsia" w:ascii="宋体" w:hAnsi="宋体" w:eastAsia="宋体" w:cs="宋体"/>
          <w:kern w:val="2"/>
          <w:sz w:val="21"/>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tabs>
          <w:tab w:val="center" w:pos="4535"/>
        </w:tabs>
        <w:jc w:val="left"/>
        <w:rPr>
          <w:rFonts w:hint="eastAsia" w:ascii="宋体" w:hAnsi="宋体" w:eastAsia="宋体" w:cs="宋体"/>
          <w:highlight w:val="none"/>
          <w:lang w:val="en-US" w:eastAsia="zh-CN"/>
        </w:rPr>
        <w:sectPr>
          <w:headerReference r:id="rId7" w:type="default"/>
          <w:footerReference r:id="rId8" w:type="default"/>
          <w:pgSz w:w="11906" w:h="16838"/>
          <w:pgMar w:top="1134" w:right="1134" w:bottom="1134" w:left="1701" w:header="850" w:footer="992" w:gutter="0"/>
          <w:pgBorders>
            <w:top w:val="thinThickSmallGap" w:color="auto" w:sz="18" w:space="1"/>
            <w:bottom w:val="thinThickSmallGap" w:color="auto" w:sz="18" w:space="1"/>
          </w:pgBorders>
          <w:pgNumType w:fmt="decimal" w:start="1"/>
          <w:cols w:space="720" w:num="1"/>
          <w:rtlGutter w:val="0"/>
          <w:docGrid w:type="lines" w:linePitch="317" w:charSpace="0"/>
        </w:sectPr>
      </w:pPr>
      <w:r>
        <w:rPr>
          <w:rFonts w:hint="eastAsia" w:ascii="宋体" w:hAnsi="宋体" w:eastAsia="宋体" w:cs="宋体"/>
          <w:highlight w:val="none"/>
          <w:lang w:val="en-US" w:eastAsia="zh-CN"/>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ascii="微软雅黑" w:hAnsi="微软雅黑" w:eastAsia="微软雅黑" w:cs="微软雅黑"/>
          <w:b/>
          <w:bCs/>
          <w:i w:val="0"/>
          <w:iCs w:val="0"/>
          <w:caps w:val="0"/>
          <w:color w:val="333333"/>
          <w:spacing w:val="0"/>
          <w:sz w:val="32"/>
          <w:szCs w:val="32"/>
        </w:rPr>
      </w:pPr>
      <w:r>
        <w:rPr>
          <w:rFonts w:hint="eastAsia" w:ascii="宋体" w:hAnsi="宋体" w:eastAsia="宋体" w:cs="宋体"/>
          <w:color w:val="000000"/>
          <w:sz w:val="28"/>
          <w:szCs w:val="28"/>
          <w:highlight w:val="none"/>
        </w:rPr>
        <w:fldChar w:fldCharType="end"/>
      </w:r>
      <w:bookmarkEnd w:id="0"/>
      <w:bookmarkStart w:id="2" w:name="_Toc31495"/>
      <w:r>
        <w:rPr>
          <w:rFonts w:hint="eastAsia" w:ascii="微软雅黑" w:hAnsi="微软雅黑" w:eastAsia="微软雅黑" w:cs="微软雅黑"/>
          <w:b/>
          <w:bCs/>
          <w:i w:val="0"/>
          <w:iCs w:val="0"/>
          <w:caps w:val="0"/>
          <w:color w:val="333333"/>
          <w:spacing w:val="0"/>
          <w:kern w:val="0"/>
          <w:sz w:val="32"/>
          <w:szCs w:val="32"/>
          <w:lang w:val="en-US" w:eastAsia="zh-CN" w:bidi="ar"/>
        </w:rPr>
        <w:t>新疆毅峰工程项目管理有限公司关于霍城县农业水价综合改革计量设施建设项目的公开招标公告</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60" w:lineRule="exact"/>
        <w:ind w:left="0" w:right="0"/>
        <w:textAlignment w:val="auto"/>
      </w:pPr>
      <w:r>
        <w:rPr>
          <w:rFonts w:ascii="仿宋" w:hAnsi="仿宋" w:eastAsia="仿宋" w:cs="仿宋"/>
          <w:i w:val="0"/>
          <w:iCs w:val="0"/>
          <w:caps w:val="0"/>
          <w:spacing w:val="0"/>
          <w:sz w:val="27"/>
          <w:szCs w:val="27"/>
        </w:rPr>
        <w:t>    项目概况</w:t>
      </w:r>
      <w:r>
        <w:rPr>
          <w:rFonts w:hint="eastAsia" w:ascii="仿宋" w:hAnsi="仿宋" w:eastAsia="仿宋" w:cs="仿宋"/>
          <w:i w:val="0"/>
          <w:iCs w:val="0"/>
          <w:caps w:val="0"/>
          <w:spacing w:val="0"/>
          <w:sz w:val="21"/>
          <w:szCs w:val="21"/>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霍城县农业水价综合改革计量设施建设项目的潜在供应商应在伊宁市经济合作区辽宁路350世纪嘉苑服务中心3楼311室 获取采购文件，并于2021年</w:t>
      </w:r>
      <w:r>
        <w:rPr>
          <w:rFonts w:hint="eastAsia" w:ascii="仿宋" w:hAnsi="仿宋" w:eastAsia="仿宋" w:cs="仿宋"/>
          <w:i w:val="0"/>
          <w:iCs w:val="0"/>
          <w:caps w:val="0"/>
          <w:spacing w:val="0"/>
          <w:sz w:val="27"/>
          <w:szCs w:val="27"/>
          <w:lang w:val="en-US" w:eastAsia="zh-CN"/>
        </w:rPr>
        <w:t>08</w:t>
      </w:r>
      <w:r>
        <w:rPr>
          <w:rFonts w:hint="eastAsia" w:ascii="仿宋" w:hAnsi="仿宋" w:eastAsia="仿宋" w:cs="仿宋"/>
          <w:i w:val="0"/>
          <w:iCs w:val="0"/>
          <w:caps w:val="0"/>
          <w:spacing w:val="0"/>
          <w:sz w:val="27"/>
          <w:szCs w:val="27"/>
        </w:rPr>
        <w:t>月</w:t>
      </w:r>
      <w:r>
        <w:rPr>
          <w:rFonts w:hint="default" w:ascii="仿宋" w:hAnsi="仿宋" w:eastAsia="仿宋" w:cs="仿宋"/>
          <w:i w:val="0"/>
          <w:iCs w:val="0"/>
          <w:caps w:val="0"/>
          <w:spacing w:val="0"/>
          <w:sz w:val="27"/>
          <w:szCs w:val="27"/>
          <w:lang w:val="en-US" w:eastAsia="zh-CN"/>
        </w:rPr>
        <w:t>25</w:t>
      </w:r>
      <w:r>
        <w:rPr>
          <w:rFonts w:hint="eastAsia" w:ascii="仿宋" w:hAnsi="仿宋" w:eastAsia="仿宋" w:cs="仿宋"/>
          <w:i w:val="0"/>
          <w:iCs w:val="0"/>
          <w:caps w:val="0"/>
          <w:spacing w:val="0"/>
          <w:sz w:val="27"/>
          <w:szCs w:val="27"/>
        </w:rPr>
        <w:t>日 1</w:t>
      </w:r>
      <w:r>
        <w:rPr>
          <w:rFonts w:hint="default"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:30（北京时间）前提交响应文件。</w:t>
      </w:r>
      <w:r>
        <w:rPr>
          <w:rFonts w:hint="eastAsia" w:ascii="仿宋" w:hAnsi="仿宋" w:eastAsia="仿宋" w:cs="仿宋"/>
          <w:i w:val="0"/>
          <w:iCs w:val="0"/>
          <w:caps w:val="0"/>
          <w:spacing w:val="0"/>
          <w:sz w:val="21"/>
          <w:szCs w:val="21"/>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60" w:lineRule="exact"/>
        <w:ind w:left="0" w:right="0"/>
        <w:jc w:val="both"/>
        <w:textAlignment w:val="auto"/>
        <w:rPr>
          <w:rFonts w:ascii="黑体" w:hAnsi="宋体" w:eastAsia="黑体" w:cs="黑体"/>
          <w:sz w:val="31"/>
          <w:szCs w:val="31"/>
        </w:rPr>
      </w:pPr>
      <w:r>
        <w:rPr>
          <w:rStyle w:val="23"/>
          <w:rFonts w:ascii="黑体" w:hAnsi="宋体" w:eastAsia="黑体" w:cs="黑体"/>
          <w:b/>
          <w:bCs/>
          <w:i w:val="0"/>
          <w:iCs w:val="0"/>
          <w:caps w:val="0"/>
          <w:spacing w:val="0"/>
          <w:sz w:val="27"/>
          <w:szCs w:val="27"/>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eastAsia="仿宋"/>
          <w:lang w:eastAsia="zh-CN"/>
        </w:rPr>
      </w:pPr>
      <w:r>
        <w:rPr>
          <w:rFonts w:hint="eastAsia" w:ascii="仿宋" w:hAnsi="仿宋" w:eastAsia="仿宋" w:cs="仿宋"/>
          <w:i w:val="0"/>
          <w:iCs w:val="0"/>
          <w:caps w:val="0"/>
          <w:spacing w:val="0"/>
          <w:sz w:val="27"/>
          <w:szCs w:val="27"/>
        </w:rPr>
        <w:t>    项目编号：XJYF2021-</w:t>
      </w:r>
      <w:r>
        <w:rPr>
          <w:rFonts w:hint="eastAsia" w:ascii="仿宋" w:hAnsi="仿宋" w:eastAsia="仿宋" w:cs="仿宋"/>
          <w:i w:val="0"/>
          <w:iCs w:val="0"/>
          <w:caps w:val="0"/>
          <w:spacing w:val="0"/>
          <w:sz w:val="27"/>
          <w:szCs w:val="27"/>
          <w:lang w:val="en-US" w:eastAsia="zh-CN"/>
        </w:rPr>
        <w:t>158</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项目名称：霍城县农业水价综合改革计量设施建设项目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eastAsia="仿宋"/>
          <w:lang w:eastAsia="zh-CN"/>
        </w:rPr>
      </w:pPr>
      <w:r>
        <w:rPr>
          <w:rFonts w:hint="eastAsia" w:ascii="仿宋" w:hAnsi="仿宋" w:eastAsia="仿宋" w:cs="仿宋"/>
          <w:i w:val="0"/>
          <w:iCs w:val="0"/>
          <w:caps w:val="0"/>
          <w:spacing w:val="0"/>
          <w:sz w:val="27"/>
          <w:szCs w:val="27"/>
        </w:rPr>
        <w:t>    采购方式：</w:t>
      </w:r>
      <w:r>
        <w:rPr>
          <w:rFonts w:hint="eastAsia" w:ascii="仿宋" w:hAnsi="仿宋" w:eastAsia="仿宋" w:cs="仿宋"/>
          <w:i w:val="0"/>
          <w:iCs w:val="0"/>
          <w:caps w:val="0"/>
          <w:spacing w:val="0"/>
          <w:sz w:val="27"/>
          <w:szCs w:val="27"/>
          <w:lang w:eastAsia="zh-CN"/>
        </w:rPr>
        <w:t>公开招标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lang w:val="en-US"/>
        </w:rPr>
      </w:pPr>
      <w:r>
        <w:rPr>
          <w:rFonts w:hint="eastAsia" w:ascii="仿宋" w:hAnsi="仿宋" w:eastAsia="仿宋" w:cs="仿宋"/>
          <w:i w:val="0"/>
          <w:iCs w:val="0"/>
          <w:caps w:val="0"/>
          <w:spacing w:val="0"/>
          <w:sz w:val="27"/>
          <w:szCs w:val="27"/>
        </w:rPr>
        <w:t>    预算金额（元）：</w:t>
      </w:r>
      <w:r>
        <w:rPr>
          <w:rFonts w:hint="default" w:ascii="仿宋" w:hAnsi="仿宋" w:eastAsia="仿宋" w:cs="仿宋"/>
          <w:i w:val="0"/>
          <w:iCs w:val="0"/>
          <w:caps w:val="0"/>
          <w:spacing w:val="0"/>
          <w:sz w:val="27"/>
          <w:szCs w:val="27"/>
          <w:lang w:val="en-US"/>
        </w:rPr>
        <w:t>5208200.00</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lang w:val="en-US"/>
        </w:rPr>
      </w:pPr>
      <w:r>
        <w:rPr>
          <w:rFonts w:hint="eastAsia" w:ascii="仿宋" w:hAnsi="仿宋" w:eastAsia="仿宋" w:cs="仿宋"/>
          <w:i w:val="0"/>
          <w:iCs w:val="0"/>
          <w:caps w:val="0"/>
          <w:spacing w:val="0"/>
          <w:sz w:val="27"/>
          <w:szCs w:val="27"/>
        </w:rPr>
        <w:t>    最高限价（元）：</w:t>
      </w:r>
      <w:r>
        <w:rPr>
          <w:rFonts w:hint="default" w:ascii="仿宋" w:hAnsi="仿宋" w:eastAsia="仿宋" w:cs="仿宋"/>
          <w:i w:val="0"/>
          <w:iCs w:val="0"/>
          <w:caps w:val="0"/>
          <w:spacing w:val="0"/>
          <w:sz w:val="27"/>
          <w:szCs w:val="27"/>
          <w:lang w:val="en-US"/>
        </w:rPr>
        <w:t>5206830.00</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i w:val="0"/>
          <w:iCs w:val="0"/>
          <w:caps w:val="0"/>
          <w:spacing w:val="0"/>
          <w:sz w:val="21"/>
          <w:szCs w:val="21"/>
        </w:rPr>
      </w:pPr>
      <w:r>
        <w:rPr>
          <w:rFonts w:hint="eastAsia" w:ascii="仿宋" w:hAnsi="仿宋" w:eastAsia="仿宋" w:cs="仿宋"/>
          <w:i w:val="0"/>
          <w:iCs w:val="0"/>
          <w:caps w:val="0"/>
          <w:spacing w:val="0"/>
          <w:sz w:val="27"/>
          <w:szCs w:val="27"/>
        </w:rPr>
        <w:t>    采购需求：</w:t>
      </w:r>
      <w:r>
        <w:rPr>
          <w:rFonts w:hint="eastAsia" w:ascii="仿宋" w:hAnsi="仿宋" w:eastAsia="仿宋" w:cs="仿宋"/>
          <w:i w:val="0"/>
          <w:iCs w:val="0"/>
          <w:caps w:val="0"/>
          <w:spacing w:val="0"/>
          <w:kern w:val="0"/>
          <w:sz w:val="27"/>
          <w:szCs w:val="27"/>
          <w:lang w:val="en-US" w:eastAsia="zh-CN" w:bidi="ar"/>
        </w:rPr>
        <w:br w:type="textWrapping"/>
      </w:r>
      <w:r>
        <w:rPr>
          <w:rFonts w:hint="eastAsia" w:ascii="仿宋" w:hAnsi="仿宋" w:eastAsia="仿宋" w:cs="仿宋"/>
          <w:i w:val="0"/>
          <w:iCs w:val="0"/>
          <w:caps w:val="0"/>
          <w:spacing w:val="0"/>
          <w:kern w:val="0"/>
          <w:sz w:val="27"/>
          <w:szCs w:val="27"/>
          <w:lang w:val="en-US" w:eastAsia="zh-CN" w:bidi="ar"/>
        </w:rPr>
        <w:t>   数量：不限 </w:t>
      </w:r>
      <w:r>
        <w:rPr>
          <w:rFonts w:hint="eastAsia" w:ascii="仿宋" w:hAnsi="仿宋" w:eastAsia="仿宋" w:cs="仿宋"/>
          <w:i w:val="0"/>
          <w:iCs w:val="0"/>
          <w:caps w:val="0"/>
          <w:spacing w:val="0"/>
          <w:kern w:val="0"/>
          <w:sz w:val="21"/>
          <w:szCs w:val="21"/>
          <w:lang w:val="en-US" w:eastAsia="zh-CN" w:bidi="ar"/>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预算金额（元）：</w:t>
      </w:r>
      <w:r>
        <w:rPr>
          <w:rFonts w:hint="default" w:ascii="仿宋" w:hAnsi="仿宋" w:eastAsia="仿宋" w:cs="仿宋"/>
          <w:i w:val="0"/>
          <w:iCs w:val="0"/>
          <w:caps w:val="0"/>
          <w:spacing w:val="0"/>
          <w:sz w:val="27"/>
          <w:szCs w:val="27"/>
          <w:lang w:val="en-US"/>
        </w:rPr>
        <w:t>5208200.00</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单位：批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135" w:firstLineChars="5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简要规格描述：</w:t>
      </w:r>
      <w:r>
        <w:rPr>
          <w:rFonts w:hint="eastAsia" w:ascii="仿宋" w:hAnsi="仿宋" w:eastAsia="仿宋" w:cs="仿宋"/>
          <w:i w:val="0"/>
          <w:iCs w:val="0"/>
          <w:caps w:val="0"/>
          <w:spacing w:val="0"/>
          <w:sz w:val="27"/>
          <w:szCs w:val="27"/>
          <w:lang w:val="en-US" w:eastAsia="zh-CN"/>
        </w:rPr>
        <w:t>内容包括</w:t>
      </w:r>
      <w:r>
        <w:rPr>
          <w:rFonts w:hint="eastAsia" w:ascii="仿宋" w:hAnsi="仿宋" w:eastAsia="仿宋" w:cs="仿宋"/>
          <w:i w:val="0"/>
          <w:iCs w:val="0"/>
          <w:caps w:val="0"/>
          <w:spacing w:val="0"/>
          <w:sz w:val="27"/>
          <w:szCs w:val="27"/>
          <w:lang w:eastAsia="zh-CN"/>
        </w:rPr>
        <w:t>干渠、支渠口供水计量设施配套建设，全县干渠口</w:t>
      </w:r>
      <w:r>
        <w:rPr>
          <w:rFonts w:hint="eastAsia" w:ascii="仿宋" w:hAnsi="仿宋" w:eastAsia="仿宋" w:cs="仿宋"/>
          <w:i w:val="0"/>
          <w:iCs w:val="0"/>
          <w:caps w:val="0"/>
          <w:spacing w:val="0"/>
          <w:sz w:val="27"/>
          <w:szCs w:val="27"/>
          <w:lang w:val="en-US" w:eastAsia="zh-CN"/>
        </w:rPr>
        <w:t>9个，支渠口80个</w:t>
      </w:r>
      <w:r>
        <w:rPr>
          <w:rFonts w:hint="eastAsia" w:ascii="仿宋" w:hAnsi="仿宋" w:eastAsia="仿宋" w:cs="仿宋"/>
          <w:i w:val="0"/>
          <w:iCs w:val="0"/>
          <w:caps w:val="0"/>
          <w:spacing w:val="0"/>
          <w:sz w:val="27"/>
          <w:szCs w:val="27"/>
          <w:lang w:eastAsia="zh-CN"/>
        </w:rPr>
        <w:t>，具体参数详见招标文件</w:t>
      </w:r>
      <w:r>
        <w:rPr>
          <w:rFonts w:hint="eastAsia" w:ascii="仿宋" w:hAnsi="仿宋" w:eastAsia="仿宋" w:cs="仿宋"/>
          <w:i w:val="0"/>
          <w:iCs w:val="0"/>
          <w:caps w:val="0"/>
          <w:spacing w:val="0"/>
          <w:sz w:val="27"/>
          <w:szCs w:val="27"/>
          <w:lang w:val="en-US"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备注：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合同履约期限：</w:t>
      </w:r>
      <w:r>
        <w:rPr>
          <w:rFonts w:hint="default" w:ascii="仿宋" w:hAnsi="仿宋" w:eastAsia="仿宋" w:cs="仿宋"/>
          <w:i w:val="0"/>
          <w:iCs w:val="0"/>
          <w:caps w:val="0"/>
          <w:spacing w:val="0"/>
          <w:sz w:val="27"/>
          <w:szCs w:val="27"/>
          <w:lang w:val="en-US"/>
        </w:rPr>
        <w:t>60</w:t>
      </w:r>
      <w:r>
        <w:rPr>
          <w:rFonts w:hint="eastAsia" w:ascii="仿宋" w:hAnsi="仿宋" w:eastAsia="仿宋" w:cs="仿宋"/>
          <w:i w:val="0"/>
          <w:iCs w:val="0"/>
          <w:caps w:val="0"/>
          <w:spacing w:val="0"/>
          <w:sz w:val="27"/>
          <w:szCs w:val="27"/>
          <w:lang w:val="en-US" w:eastAsia="zh-CN"/>
        </w:rPr>
        <w:t>日历天</w:t>
      </w:r>
      <w:r>
        <w:rPr>
          <w:rFonts w:hint="eastAsia" w:ascii="仿宋" w:hAnsi="仿宋" w:eastAsia="仿宋" w:cs="仿宋"/>
          <w:i w:val="0"/>
          <w:iCs w:val="0"/>
          <w:caps w:val="0"/>
          <w:spacing w:val="0"/>
          <w:sz w:val="27"/>
          <w:szCs w:val="27"/>
          <w:lang w:eastAsia="zh-CN"/>
        </w:rPr>
        <w:t>。</w:t>
      </w:r>
      <w:r>
        <w:rPr>
          <w:rFonts w:hint="eastAsia" w:ascii="仿宋" w:hAnsi="仿宋" w:eastAsia="仿宋" w:cs="仿宋"/>
          <w:i w:val="0"/>
          <w:iCs w:val="0"/>
          <w:caps w:val="0"/>
          <w:spacing w:val="0"/>
          <w:sz w:val="27"/>
          <w:szCs w:val="27"/>
        </w:rPr>
        <w:t> </w:t>
      </w:r>
      <w:r>
        <w:rPr>
          <w:rFonts w:hint="eastAsia" w:ascii="仿宋" w:hAnsi="仿宋" w:eastAsia="仿宋" w:cs="仿宋"/>
          <w:i w:val="0"/>
          <w:iCs w:val="0"/>
          <w:caps w:val="0"/>
          <w:spacing w:val="0"/>
          <w:sz w:val="21"/>
          <w:szCs w:val="21"/>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本项目（否）接受联合体投标。</w:t>
      </w:r>
      <w:r>
        <w:rPr>
          <w:rFonts w:hint="eastAsia" w:ascii="仿宋" w:hAnsi="仿宋" w:eastAsia="仿宋" w:cs="仿宋"/>
          <w:i w:val="0"/>
          <w:iCs w:val="0"/>
          <w:caps w:val="0"/>
          <w:spacing w:val="0"/>
          <w:sz w:val="21"/>
          <w:szCs w:val="21"/>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60" w:lineRule="exact"/>
        <w:ind w:left="0" w:right="0"/>
        <w:jc w:val="both"/>
        <w:textAlignment w:val="auto"/>
        <w:rPr>
          <w:rFonts w:ascii="黑体" w:hAnsi="宋体" w:eastAsia="黑体" w:cs="黑体"/>
          <w:sz w:val="27"/>
          <w:szCs w:val="27"/>
        </w:rPr>
      </w:pPr>
      <w:r>
        <w:rPr>
          <w:rStyle w:val="23"/>
          <w:rFonts w:ascii="黑体" w:hAnsi="宋体" w:eastAsia="黑体" w:cs="黑体"/>
          <w:b/>
          <w:bCs/>
          <w:i w:val="0"/>
          <w:iCs w:val="0"/>
          <w:caps w:val="0"/>
          <w:spacing w:val="0"/>
          <w:sz w:val="27"/>
          <w:szCs w:val="27"/>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2.落实政府采购政策需满足的资格要求：标项1：供应商为中小企业/小微企业,供应商应为监狱企业,供应商应为残疾人福利企业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spacing w:val="0"/>
          <w:sz w:val="27"/>
          <w:szCs w:val="27"/>
        </w:rPr>
        <w:t>    3.本项目的特定资格要求：标项1：投标人需具备电子与智能化工程专业承包贰级及以上资质和有效的安全生产许可证；并在人员、设备、资金等方面具备承担本项目的能力，且财务状况良好。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40" w:lineRule="exact"/>
        <w:ind w:left="0" w:right="0"/>
        <w:jc w:val="both"/>
        <w:textAlignment w:val="auto"/>
        <w:rPr>
          <w:rFonts w:ascii="黑体" w:hAnsi="宋体" w:eastAsia="黑体" w:cs="黑体"/>
          <w:sz w:val="27"/>
          <w:szCs w:val="27"/>
        </w:rPr>
      </w:pPr>
      <w:r>
        <w:rPr>
          <w:rStyle w:val="23"/>
          <w:rFonts w:ascii="黑体" w:hAnsi="宋体" w:eastAsia="黑体" w:cs="黑体"/>
          <w:b/>
          <w:bCs/>
          <w:i w:val="0"/>
          <w:iCs w:val="0"/>
          <w:caps w:val="0"/>
          <w:spacing w:val="0"/>
          <w:sz w:val="27"/>
          <w:szCs w:val="27"/>
        </w:rPr>
        <w:t>三、获取采购文件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eastAsia" w:ascii="仿宋" w:hAnsi="仿宋" w:eastAsia="仿宋" w:cs="仿宋"/>
          <w:i w:val="0"/>
          <w:iCs w:val="0"/>
          <w:caps w:val="0"/>
          <w:spacing w:val="0"/>
          <w:sz w:val="27"/>
          <w:szCs w:val="27"/>
        </w:rPr>
        <w:t>    </w:t>
      </w:r>
      <w:r>
        <w:rPr>
          <w:rFonts w:hint="eastAsia" w:ascii="仿宋" w:hAnsi="仿宋" w:eastAsia="仿宋" w:cs="仿宋"/>
          <w:i w:val="0"/>
          <w:iCs w:val="0"/>
          <w:caps w:val="0"/>
          <w:spacing w:val="0"/>
          <w:sz w:val="27"/>
          <w:szCs w:val="27"/>
          <w:u w:val="none"/>
        </w:rPr>
        <w:t>时间：2021年0</w:t>
      </w:r>
      <w:r>
        <w:rPr>
          <w:rFonts w:hint="default" w:ascii="仿宋" w:hAnsi="仿宋" w:eastAsia="仿宋" w:cs="仿宋"/>
          <w:i w:val="0"/>
          <w:iCs w:val="0"/>
          <w:caps w:val="0"/>
          <w:spacing w:val="0"/>
          <w:sz w:val="27"/>
          <w:szCs w:val="27"/>
          <w:u w:val="none"/>
          <w:lang w:val="en-US"/>
        </w:rPr>
        <w:t>8</w:t>
      </w:r>
      <w:r>
        <w:rPr>
          <w:rFonts w:hint="eastAsia" w:ascii="仿宋" w:hAnsi="仿宋" w:eastAsia="仿宋" w:cs="仿宋"/>
          <w:i w:val="0"/>
          <w:iCs w:val="0"/>
          <w:caps w:val="0"/>
          <w:spacing w:val="0"/>
          <w:sz w:val="27"/>
          <w:szCs w:val="27"/>
          <w:u w:val="none"/>
        </w:rPr>
        <w:t>月</w:t>
      </w:r>
      <w:r>
        <w:rPr>
          <w:rFonts w:hint="default" w:ascii="仿宋" w:hAnsi="仿宋" w:eastAsia="仿宋" w:cs="仿宋"/>
          <w:i w:val="0"/>
          <w:iCs w:val="0"/>
          <w:caps w:val="0"/>
          <w:spacing w:val="0"/>
          <w:sz w:val="27"/>
          <w:szCs w:val="27"/>
          <w:u w:val="none"/>
          <w:lang w:val="en-US"/>
        </w:rPr>
        <w:t>4</w:t>
      </w:r>
      <w:r>
        <w:rPr>
          <w:rFonts w:hint="eastAsia" w:ascii="仿宋" w:hAnsi="仿宋" w:eastAsia="仿宋" w:cs="仿宋"/>
          <w:i w:val="0"/>
          <w:iCs w:val="0"/>
          <w:caps w:val="0"/>
          <w:spacing w:val="0"/>
          <w:sz w:val="27"/>
          <w:szCs w:val="27"/>
          <w:u w:val="none"/>
        </w:rPr>
        <w:t>日至2021年08月</w:t>
      </w:r>
      <w:r>
        <w:rPr>
          <w:rFonts w:hint="default" w:ascii="仿宋" w:hAnsi="仿宋" w:eastAsia="仿宋" w:cs="仿宋"/>
          <w:i w:val="0"/>
          <w:iCs w:val="0"/>
          <w:caps w:val="0"/>
          <w:spacing w:val="0"/>
          <w:sz w:val="27"/>
          <w:szCs w:val="27"/>
          <w:u w:val="none"/>
          <w:lang w:val="en-US" w:eastAsia="zh-CN"/>
        </w:rPr>
        <w:t>10</w:t>
      </w:r>
      <w:r>
        <w:rPr>
          <w:rFonts w:hint="eastAsia" w:ascii="仿宋" w:hAnsi="仿宋" w:eastAsia="仿宋" w:cs="仿宋"/>
          <w:i w:val="0"/>
          <w:iCs w:val="0"/>
          <w:caps w:val="0"/>
          <w:spacing w:val="0"/>
          <w:sz w:val="27"/>
          <w:szCs w:val="27"/>
          <w:u w:val="none"/>
        </w:rPr>
        <w:t>日，每天上午10:00至14:00，下午16:00至20:00（北京时间，法定节假日除外）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eastAsia" w:ascii="仿宋" w:hAnsi="仿宋" w:eastAsia="仿宋" w:cs="仿宋"/>
          <w:i w:val="0"/>
          <w:iCs w:val="0"/>
          <w:caps w:val="0"/>
          <w:spacing w:val="0"/>
          <w:sz w:val="27"/>
          <w:szCs w:val="27"/>
        </w:rPr>
        <w:t>    地点：伊宁市经济合作区辽宁路350世纪嘉苑服务中心3楼311室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eastAsia" w:ascii="仿宋" w:hAnsi="仿宋" w:eastAsia="仿宋" w:cs="仿宋"/>
          <w:i w:val="0"/>
          <w:iCs w:val="0"/>
          <w:caps w:val="0"/>
          <w:spacing w:val="0"/>
          <w:sz w:val="27"/>
          <w:szCs w:val="27"/>
        </w:rPr>
        <w:t>    方式：来人现场购买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eastAsia" w:ascii="仿宋" w:hAnsi="仿宋" w:eastAsia="仿宋" w:cs="仿宋"/>
          <w:i w:val="0"/>
          <w:iCs w:val="0"/>
          <w:caps w:val="0"/>
          <w:spacing w:val="0"/>
          <w:sz w:val="27"/>
          <w:szCs w:val="27"/>
        </w:rPr>
        <w:t>    售价（元）：200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40" w:lineRule="exact"/>
        <w:ind w:left="0" w:right="0"/>
        <w:jc w:val="both"/>
        <w:textAlignment w:val="auto"/>
        <w:rPr>
          <w:rFonts w:ascii="黑体" w:hAnsi="宋体" w:eastAsia="黑体" w:cs="黑体"/>
          <w:sz w:val="27"/>
          <w:szCs w:val="27"/>
        </w:rPr>
      </w:pPr>
      <w:r>
        <w:rPr>
          <w:rStyle w:val="23"/>
          <w:rFonts w:ascii="黑体" w:hAnsi="宋体" w:eastAsia="黑体" w:cs="黑体"/>
          <w:b/>
          <w:bCs/>
          <w:i w:val="0"/>
          <w:iCs w:val="0"/>
          <w:caps w:val="0"/>
          <w:spacing w:val="0"/>
          <w:sz w:val="27"/>
          <w:szCs w:val="27"/>
        </w:rPr>
        <w:t>四、响应文件提交</w:t>
      </w:r>
      <w:r>
        <w:rPr>
          <w:rFonts w:ascii="黑体" w:hAnsi="宋体" w:eastAsia="黑体" w:cs="黑体"/>
          <w:i w:val="0"/>
          <w:iCs w:val="0"/>
          <w:caps w:val="0"/>
          <w:spacing w:val="0"/>
          <w:sz w:val="27"/>
          <w:szCs w:val="27"/>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eastAsia" w:ascii="仿宋" w:hAnsi="仿宋" w:eastAsia="仿宋" w:cs="仿宋"/>
          <w:i w:val="0"/>
          <w:iCs w:val="0"/>
          <w:caps w:val="0"/>
          <w:spacing w:val="0"/>
          <w:sz w:val="27"/>
          <w:szCs w:val="27"/>
        </w:rPr>
        <w:t>    截止时间：2021年</w:t>
      </w:r>
      <w:r>
        <w:rPr>
          <w:rFonts w:hint="eastAsia" w:ascii="仿宋" w:hAnsi="仿宋" w:eastAsia="仿宋" w:cs="仿宋"/>
          <w:i w:val="0"/>
          <w:iCs w:val="0"/>
          <w:caps w:val="0"/>
          <w:spacing w:val="0"/>
          <w:sz w:val="27"/>
          <w:szCs w:val="27"/>
          <w:lang w:val="en-US" w:eastAsia="zh-CN"/>
        </w:rPr>
        <w:t>08</w:t>
      </w:r>
      <w:r>
        <w:rPr>
          <w:rFonts w:hint="eastAsia" w:ascii="仿宋" w:hAnsi="仿宋" w:eastAsia="仿宋" w:cs="仿宋"/>
          <w:i w:val="0"/>
          <w:iCs w:val="0"/>
          <w:caps w:val="0"/>
          <w:spacing w:val="0"/>
          <w:sz w:val="27"/>
          <w:szCs w:val="27"/>
        </w:rPr>
        <w:t>月</w:t>
      </w:r>
      <w:r>
        <w:rPr>
          <w:rFonts w:hint="default" w:ascii="仿宋" w:hAnsi="仿宋" w:eastAsia="仿宋" w:cs="仿宋"/>
          <w:i w:val="0"/>
          <w:iCs w:val="0"/>
          <w:caps w:val="0"/>
          <w:spacing w:val="0"/>
          <w:sz w:val="27"/>
          <w:szCs w:val="27"/>
          <w:lang w:val="en-US" w:eastAsia="zh-CN"/>
        </w:rPr>
        <w:t>25</w:t>
      </w:r>
      <w:r>
        <w:rPr>
          <w:rFonts w:hint="eastAsia" w:ascii="仿宋" w:hAnsi="仿宋" w:eastAsia="仿宋" w:cs="仿宋"/>
          <w:i w:val="0"/>
          <w:iCs w:val="0"/>
          <w:caps w:val="0"/>
          <w:spacing w:val="0"/>
          <w:sz w:val="27"/>
          <w:szCs w:val="27"/>
        </w:rPr>
        <w:t>日 1</w:t>
      </w:r>
      <w:r>
        <w:rPr>
          <w:rFonts w:hint="default"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:30（北京时间）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40" w:lineRule="exact"/>
        <w:ind w:left="0" w:right="0" w:firstLine="424"/>
        <w:jc w:val="both"/>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地点：伊犁哈萨克自治州伊宁市广东路与健康路交汇处市行政服务中心五楼开标厅。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40" w:lineRule="exact"/>
        <w:ind w:left="0" w:right="0" w:firstLine="424"/>
        <w:jc w:val="both"/>
        <w:textAlignment w:val="auto"/>
        <w:rPr>
          <w:rFonts w:ascii="黑体" w:hAnsi="宋体" w:eastAsia="黑体" w:cs="黑体"/>
          <w:sz w:val="27"/>
          <w:szCs w:val="27"/>
        </w:rPr>
      </w:pPr>
      <w:r>
        <w:rPr>
          <w:rStyle w:val="23"/>
          <w:rFonts w:ascii="黑体" w:hAnsi="宋体" w:eastAsia="黑体" w:cs="黑体"/>
          <w:b/>
          <w:bCs/>
          <w:i w:val="0"/>
          <w:iCs w:val="0"/>
          <w:caps w:val="0"/>
          <w:spacing w:val="0"/>
          <w:sz w:val="27"/>
          <w:szCs w:val="27"/>
        </w:rPr>
        <w:t>五、响应文件开启</w:t>
      </w:r>
      <w:r>
        <w:rPr>
          <w:rFonts w:ascii="黑体" w:hAnsi="宋体" w:eastAsia="黑体" w:cs="黑体"/>
          <w:i w:val="0"/>
          <w:iCs w:val="0"/>
          <w:caps w:val="0"/>
          <w:spacing w:val="0"/>
          <w:sz w:val="27"/>
          <w:szCs w:val="27"/>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eastAsia" w:ascii="仿宋" w:hAnsi="仿宋" w:eastAsia="仿宋" w:cs="仿宋"/>
          <w:i w:val="0"/>
          <w:iCs w:val="0"/>
          <w:caps w:val="0"/>
          <w:spacing w:val="0"/>
          <w:sz w:val="27"/>
          <w:szCs w:val="27"/>
        </w:rPr>
        <w:t>    开启时间：2021年</w:t>
      </w:r>
      <w:r>
        <w:rPr>
          <w:rFonts w:hint="eastAsia" w:ascii="仿宋" w:hAnsi="仿宋" w:eastAsia="仿宋" w:cs="仿宋"/>
          <w:i w:val="0"/>
          <w:iCs w:val="0"/>
          <w:caps w:val="0"/>
          <w:spacing w:val="0"/>
          <w:sz w:val="27"/>
          <w:szCs w:val="27"/>
          <w:lang w:val="en-US" w:eastAsia="zh-CN"/>
        </w:rPr>
        <w:t>08</w:t>
      </w:r>
      <w:r>
        <w:rPr>
          <w:rFonts w:hint="eastAsia" w:ascii="仿宋" w:hAnsi="仿宋" w:eastAsia="仿宋" w:cs="仿宋"/>
          <w:i w:val="0"/>
          <w:iCs w:val="0"/>
          <w:caps w:val="0"/>
          <w:spacing w:val="0"/>
          <w:sz w:val="27"/>
          <w:szCs w:val="27"/>
        </w:rPr>
        <w:t>月</w:t>
      </w:r>
      <w:r>
        <w:rPr>
          <w:rFonts w:hint="default" w:ascii="仿宋" w:hAnsi="仿宋" w:eastAsia="仿宋" w:cs="仿宋"/>
          <w:i w:val="0"/>
          <w:iCs w:val="0"/>
          <w:caps w:val="0"/>
          <w:spacing w:val="0"/>
          <w:sz w:val="27"/>
          <w:szCs w:val="27"/>
          <w:lang w:val="en-US" w:eastAsia="zh-CN"/>
        </w:rPr>
        <w:t>25</w:t>
      </w:r>
      <w:r>
        <w:rPr>
          <w:rFonts w:hint="eastAsia" w:ascii="仿宋" w:hAnsi="仿宋" w:eastAsia="仿宋" w:cs="仿宋"/>
          <w:i w:val="0"/>
          <w:iCs w:val="0"/>
          <w:caps w:val="0"/>
          <w:spacing w:val="0"/>
          <w:sz w:val="27"/>
          <w:szCs w:val="27"/>
        </w:rPr>
        <w:t>日 1</w:t>
      </w:r>
      <w:r>
        <w:rPr>
          <w:rFonts w:hint="default"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:30 （北京时间）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40" w:lineRule="exact"/>
        <w:ind w:left="0" w:right="0" w:firstLine="424"/>
        <w:jc w:val="both"/>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地点：伊犁哈萨克自治州伊宁市广东路与健康路交汇处市行政服务中心五楼开标厅。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40" w:lineRule="exact"/>
        <w:ind w:left="0" w:right="0" w:firstLine="424"/>
        <w:jc w:val="both"/>
        <w:textAlignment w:val="auto"/>
        <w:rPr>
          <w:rFonts w:ascii="黑体" w:hAnsi="宋体" w:eastAsia="黑体" w:cs="黑体"/>
          <w:sz w:val="31"/>
          <w:szCs w:val="31"/>
        </w:rPr>
      </w:pPr>
      <w:r>
        <w:rPr>
          <w:rStyle w:val="23"/>
          <w:rFonts w:ascii="黑体" w:hAnsi="宋体" w:eastAsia="黑体" w:cs="黑体"/>
          <w:b/>
          <w:bCs/>
          <w:i w:val="0"/>
          <w:iCs w:val="0"/>
          <w:caps w:val="0"/>
          <w:spacing w:val="0"/>
          <w:sz w:val="27"/>
          <w:szCs w:val="27"/>
        </w:rPr>
        <w:t>六、公告期限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eastAsia" w:ascii="仿宋" w:hAnsi="仿宋" w:eastAsia="仿宋" w:cs="仿宋"/>
          <w:i w:val="0"/>
          <w:iCs w:val="0"/>
          <w:caps w:val="0"/>
          <w:spacing w:val="0"/>
          <w:sz w:val="27"/>
          <w:szCs w:val="27"/>
        </w:rPr>
        <w:t>    自本公告发布之日起5个工作日。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40" w:lineRule="exact"/>
        <w:ind w:left="0" w:right="0"/>
        <w:jc w:val="both"/>
        <w:textAlignment w:val="auto"/>
        <w:rPr>
          <w:rFonts w:ascii="黑体" w:hAnsi="宋体" w:eastAsia="黑体" w:cs="黑体"/>
          <w:sz w:val="27"/>
          <w:szCs w:val="27"/>
        </w:rPr>
      </w:pPr>
      <w:r>
        <w:rPr>
          <w:rStyle w:val="23"/>
          <w:rFonts w:ascii="黑体" w:hAnsi="宋体" w:eastAsia="黑体" w:cs="黑体"/>
          <w:b/>
          <w:bCs/>
          <w:i w:val="0"/>
          <w:iCs w:val="0"/>
          <w:caps w:val="0"/>
          <w:spacing w:val="0"/>
          <w:sz w:val="27"/>
          <w:szCs w:val="27"/>
        </w:rPr>
        <w:t>七、其他补充事宜</w:t>
      </w:r>
      <w:r>
        <w:rPr>
          <w:rFonts w:ascii="黑体" w:hAnsi="宋体" w:eastAsia="黑体" w:cs="黑体"/>
          <w:i w:val="0"/>
          <w:iCs w:val="0"/>
          <w:caps w:val="0"/>
          <w:spacing w:val="0"/>
          <w:sz w:val="27"/>
          <w:szCs w:val="27"/>
        </w:rPr>
        <w:t>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获取文件需携带的资料：购买文件须携带法定代表人身份证明或法定代表人授权委托书、被授权委托人身份证、有效经年检的三证合一营业执照副本原件或事业单位法人证书原件、企业资质证书、“信用中国”（www.creditchina.gov.cn）、“中国政府采购网”（www.ccgp.gov.cn）列入失信被执行人、重大税收违法案件当事人名单、政府采购严重违法失信行为记录名单网页打印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eastAsia" w:ascii="仿宋" w:hAnsi="仿宋" w:eastAsia="仿宋" w:cs="仿宋"/>
          <w:i w:val="0"/>
          <w:iCs w:val="0"/>
          <w:caps w:val="0"/>
          <w:spacing w:val="0"/>
          <w:sz w:val="27"/>
          <w:szCs w:val="27"/>
        </w:rPr>
        <w:t>注：以上证件均为原件，并同时提供叁套盖公司鲜章的复印件，不接受公证件。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440" w:lineRule="exact"/>
        <w:ind w:left="0" w:right="0"/>
        <w:jc w:val="both"/>
        <w:textAlignment w:val="auto"/>
        <w:rPr>
          <w:rFonts w:ascii="黑体" w:hAnsi="宋体" w:eastAsia="黑体" w:cs="黑体"/>
          <w:sz w:val="31"/>
          <w:szCs w:val="31"/>
        </w:rPr>
      </w:pPr>
      <w:r>
        <w:rPr>
          <w:rStyle w:val="23"/>
          <w:rFonts w:ascii="黑体" w:hAnsi="宋体" w:eastAsia="黑体" w:cs="黑体"/>
          <w:b/>
          <w:bCs/>
          <w:i w:val="0"/>
          <w:iCs w:val="0"/>
          <w:caps w:val="0"/>
          <w:spacing w:val="0"/>
          <w:sz w:val="27"/>
          <w:szCs w:val="27"/>
        </w:rPr>
        <w:t>八、凡对本次招标提出询问，请按以下方式联系</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名 称：霍城县水利管理站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地 址：新疆伊犁州霍城县</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联系方式：0999-7783159</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名 称：新疆毅峰工程项目管理有限公司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地 址：伊宁市经济合作区辽宁路350世纪嘉苑服务中心3楼311室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联系方式：15214890227</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项目联系人：曹惠</w:t>
      </w:r>
    </w:p>
    <w:p>
      <w:pPr>
        <w:keepNext w:val="0"/>
        <w:keepLines w:val="0"/>
        <w:pageBreakBefore w:val="0"/>
        <w:kinsoku/>
        <w:wordWrap/>
        <w:overflowPunct/>
        <w:topLinePunct w:val="0"/>
        <w:autoSpaceDE/>
        <w:autoSpaceDN/>
        <w:bidi w:val="0"/>
        <w:adjustRightInd/>
        <w:snapToGrid/>
        <w:spacing w:line="440" w:lineRule="exact"/>
        <w:ind w:firstLine="540" w:firstLineChars="200"/>
        <w:textAlignment w:val="auto"/>
      </w:pPr>
      <w:r>
        <w:rPr>
          <w:rFonts w:hint="eastAsia" w:ascii="仿宋" w:hAnsi="仿宋" w:eastAsia="仿宋" w:cs="仿宋"/>
          <w:i w:val="0"/>
          <w:iCs w:val="0"/>
          <w:caps w:val="0"/>
          <w:spacing w:val="0"/>
          <w:sz w:val="27"/>
          <w:szCs w:val="27"/>
        </w:rPr>
        <w:t>电 话：15214890227</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440" w:lineRule="exact"/>
        <w:textAlignment w:val="auto"/>
      </w:pPr>
    </w:p>
    <w:p>
      <w:pPr>
        <w:wordWrap/>
        <w:adjustRightInd/>
        <w:snapToGrid/>
        <w:spacing w:line="440" w:lineRule="exact"/>
        <w:textAlignment w:val="auto"/>
        <w:rPr>
          <w:rFonts w:hint="eastAsia" w:ascii="宋体" w:hAnsi="宋体" w:eastAsia="宋体" w:cs="宋体"/>
          <w:color w:val="000000"/>
          <w:kern w:val="0"/>
          <w:sz w:val="28"/>
          <w:szCs w:val="28"/>
          <w:highlight w:val="none"/>
          <w:lang w:eastAsia="zh-CN"/>
        </w:rPr>
      </w:pPr>
    </w:p>
    <w:p>
      <w:pPr>
        <w:rPr>
          <w:rFonts w:hint="eastAsia" w:ascii="宋体" w:hAnsi="宋体" w:eastAsia="宋体" w:cs="宋体"/>
          <w:color w:val="000000"/>
          <w:highlight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rPr>
          <w:rFonts w:hint="eastAsia" w:ascii="宋体" w:hAnsi="宋体" w:eastAsia="宋体" w:cs="宋体"/>
          <w:color w:val="000000"/>
          <w:highlight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8"/>
        <w:widowControl/>
        <w:spacing w:before="75" w:beforeAutospacing="0" w:after="75" w:afterAutospacing="0"/>
        <w:ind w:left="0" w:right="0" w:firstLine="0"/>
        <w:rPr>
          <w:rStyle w:val="23"/>
          <w:rFonts w:hint="eastAsia" w:ascii="宋体" w:hAnsi="宋体" w:eastAsia="宋体" w:cs="宋体"/>
          <w:i w:val="0"/>
          <w:caps w:val="0"/>
          <w:color w:val="000000"/>
          <w:spacing w:val="0"/>
          <w:sz w:val="27"/>
          <w:szCs w:val="27"/>
          <w:highlight w:val="none"/>
          <w:u w:val="none"/>
        </w:rPr>
      </w:pPr>
    </w:p>
    <w:p>
      <w:pPr>
        <w:pStyle w:val="12"/>
        <w:spacing w:line="480" w:lineRule="exact"/>
        <w:ind w:right="-15"/>
        <w:jc w:val="center"/>
        <w:outlineLvl w:val="0"/>
        <w:rPr>
          <w:rFonts w:hint="eastAsia" w:ascii="宋体" w:hAnsi="宋体" w:eastAsia="宋体" w:cs="宋体"/>
          <w:b/>
          <w:bCs/>
          <w:color w:val="000000"/>
          <w:highlight w:val="none"/>
        </w:rPr>
      </w:pPr>
      <w:bookmarkStart w:id="3" w:name="_Toc16019"/>
      <w:r>
        <w:rPr>
          <w:rFonts w:hint="eastAsia" w:ascii="宋体" w:hAnsi="宋体" w:eastAsia="宋体" w:cs="宋体"/>
          <w:b/>
          <w:bCs/>
          <w:color w:val="000000"/>
          <w:sz w:val="44"/>
          <w:highlight w:val="none"/>
        </w:rPr>
        <w:t>第一部分  投标人须知</w:t>
      </w:r>
      <w:bookmarkEnd w:id="2"/>
      <w:bookmarkEnd w:id="3"/>
    </w:p>
    <w:p>
      <w:pPr>
        <w:tabs>
          <w:tab w:val="left" w:pos="1260"/>
        </w:tabs>
        <w:spacing w:line="520" w:lineRule="exact"/>
        <w:jc w:val="center"/>
        <w:outlineLvl w:val="0"/>
        <w:rPr>
          <w:rFonts w:hint="eastAsia" w:ascii="宋体" w:hAnsi="宋体" w:eastAsia="宋体" w:cs="宋体"/>
          <w:b/>
          <w:bCs/>
          <w:color w:val="000000"/>
          <w:sz w:val="32"/>
          <w:szCs w:val="32"/>
          <w:highlight w:val="none"/>
        </w:rPr>
      </w:pPr>
      <w:bookmarkStart w:id="4" w:name="_Toc17098"/>
      <w:bookmarkStart w:id="5" w:name="_Toc6283"/>
      <w:r>
        <w:rPr>
          <w:rFonts w:hint="eastAsia" w:ascii="宋体" w:hAnsi="宋体" w:eastAsia="宋体" w:cs="宋体"/>
          <w:b/>
          <w:bCs/>
          <w:color w:val="000000"/>
          <w:sz w:val="32"/>
          <w:szCs w:val="32"/>
          <w:highlight w:val="none"/>
        </w:rPr>
        <w:t>投标人须知表</w:t>
      </w:r>
      <w:bookmarkEnd w:id="4"/>
      <w:bookmarkEnd w:id="5"/>
    </w:p>
    <w:tbl>
      <w:tblPr>
        <w:tblStyle w:val="20"/>
        <w:tblW w:w="99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2"/>
        <w:gridCol w:w="1968"/>
        <w:gridCol w:w="68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9"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1"/>
                <w:szCs w:val="21"/>
                <w:highlight w:val="none"/>
              </w:rPr>
            </w:pPr>
            <w:bookmarkStart w:id="6" w:name="_Toc23971"/>
            <w:r>
              <w:rPr>
                <w:rFonts w:hint="eastAsia" w:ascii="宋体" w:hAnsi="宋体" w:eastAsia="宋体" w:cs="宋体"/>
                <w:color w:val="000000"/>
                <w:kern w:val="0"/>
                <w:sz w:val="21"/>
                <w:szCs w:val="21"/>
                <w:highlight w:val="none"/>
              </w:rPr>
              <w:t>项号</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6820" w:type="dxa"/>
            <w:vAlign w:val="center"/>
          </w:tcPr>
          <w:p>
            <w:pPr>
              <w:widowControl w:val="0"/>
              <w:wordWrap/>
              <w:autoSpaceDE w:val="0"/>
              <w:autoSpaceDN w:val="0"/>
              <w:adjustRightInd/>
              <w:snapToGrid/>
              <w:spacing w:before="0" w:beforeAutospacing="0" w:after="0" w:afterAutospacing="0" w:line="30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7" w:hRule="atLeast"/>
          <w:jc w:val="center"/>
        </w:trPr>
        <w:tc>
          <w:tcPr>
            <w:tcW w:w="1202" w:type="dxa"/>
            <w:tcBorders>
              <w:bottom w:val="single" w:color="auto" w:sz="4" w:space="0"/>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１</w:t>
            </w:r>
          </w:p>
        </w:tc>
        <w:tc>
          <w:tcPr>
            <w:tcW w:w="1968" w:type="dxa"/>
            <w:tcBorders>
              <w:left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工程名称</w:t>
            </w:r>
          </w:p>
        </w:tc>
        <w:tc>
          <w:tcPr>
            <w:tcW w:w="6820" w:type="dxa"/>
            <w:tcBorders>
              <w:bottom w:val="single" w:color="auto" w:sz="4" w:space="0"/>
            </w:tcBorders>
            <w:vAlign w:val="center"/>
          </w:tcPr>
          <w:p>
            <w:pPr>
              <w:widowControl w:val="0"/>
              <w:wordWrap/>
              <w:autoSpaceDE w:val="0"/>
              <w:autoSpaceDN w:val="0"/>
              <w:adjustRightInd/>
              <w:snapToGrid/>
              <w:spacing w:before="0" w:beforeAutospacing="0" w:after="0" w:afterAutospacing="0" w:line="500" w:lineRule="exact"/>
              <w:ind w:left="0" w:right="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霍城县农业水价综合改革计量设施建设项目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7" w:hRule="atLeast"/>
          <w:jc w:val="center"/>
        </w:trPr>
        <w:tc>
          <w:tcPr>
            <w:tcW w:w="1202" w:type="dxa"/>
            <w:tcBorders>
              <w:top w:val="single" w:color="auto" w:sz="4" w:space="0"/>
              <w:bottom w:val="single" w:color="auto" w:sz="4" w:space="0"/>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968" w:type="dxa"/>
            <w:tcBorders>
              <w:top w:val="single" w:color="auto" w:sz="4" w:space="0"/>
              <w:left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建设单位</w:t>
            </w:r>
          </w:p>
        </w:tc>
        <w:tc>
          <w:tcPr>
            <w:tcW w:w="6820" w:type="dxa"/>
            <w:tcBorders>
              <w:top w:val="single" w:color="auto" w:sz="4" w:space="0"/>
              <w:bottom w:val="single" w:color="auto" w:sz="4" w:space="0"/>
            </w:tcBorders>
            <w:vAlign w:val="center"/>
          </w:tcPr>
          <w:p>
            <w:pPr>
              <w:widowControl w:val="0"/>
              <w:tabs>
                <w:tab w:val="left" w:pos="360"/>
              </w:tabs>
              <w:wordWrap/>
              <w:adjustRightInd/>
              <w:snapToGrid/>
              <w:spacing w:before="0" w:beforeAutospacing="0" w:after="0" w:afterAutospacing="0" w:line="50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霍城县水利管理站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1" w:hRule="atLeast"/>
          <w:jc w:val="center"/>
        </w:trPr>
        <w:tc>
          <w:tcPr>
            <w:tcW w:w="1202" w:type="dxa"/>
            <w:tcBorders>
              <w:top w:val="single" w:color="auto" w:sz="4" w:space="0"/>
              <w:bottom w:val="single" w:color="auto" w:sz="4" w:space="0"/>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1968" w:type="dxa"/>
            <w:tcBorders>
              <w:top w:val="single" w:color="auto" w:sz="4" w:space="0"/>
              <w:left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建设地点</w:t>
            </w:r>
          </w:p>
        </w:tc>
        <w:tc>
          <w:tcPr>
            <w:tcW w:w="6820" w:type="dxa"/>
            <w:tcBorders>
              <w:top w:val="single" w:color="auto" w:sz="4" w:space="0"/>
              <w:bottom w:val="single" w:color="auto" w:sz="4" w:space="0"/>
            </w:tcBorders>
            <w:vAlign w:val="center"/>
          </w:tcPr>
          <w:p>
            <w:pPr>
              <w:widowControl w:val="0"/>
              <w:wordWrap/>
              <w:autoSpaceDN w:val="0"/>
              <w:adjustRightInd/>
              <w:snapToGrid/>
              <w:spacing w:before="0" w:beforeAutospacing="0" w:after="0" w:afterAutospacing="0" w:line="500" w:lineRule="exact"/>
              <w:ind w:left="0" w:right="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霍城县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0" w:hRule="atLeast"/>
          <w:jc w:val="center"/>
        </w:trPr>
        <w:tc>
          <w:tcPr>
            <w:tcW w:w="1202" w:type="dxa"/>
            <w:tcBorders>
              <w:top w:val="single" w:color="auto" w:sz="4" w:space="0"/>
              <w:bottom w:val="single" w:color="auto" w:sz="4" w:space="0"/>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1968" w:type="dxa"/>
            <w:tcBorders>
              <w:top w:val="single" w:color="auto" w:sz="4" w:space="0"/>
              <w:left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招标内容</w:t>
            </w:r>
          </w:p>
        </w:tc>
        <w:tc>
          <w:tcPr>
            <w:tcW w:w="6820" w:type="dxa"/>
            <w:tcBorders>
              <w:top w:val="single" w:color="auto" w:sz="4" w:space="0"/>
              <w:bottom w:val="single" w:color="auto" w:sz="4" w:space="0"/>
            </w:tcBorders>
            <w:vAlign w:val="center"/>
          </w:tcPr>
          <w:p>
            <w:pPr>
              <w:widowControl w:val="0"/>
              <w:wordWrap/>
              <w:adjustRightInd/>
              <w:snapToGrid/>
              <w:spacing w:before="0" w:beforeAutospacing="0" w:after="0" w:afterAutospacing="0" w:line="500" w:lineRule="exact"/>
              <w:ind w:left="0" w:right="0"/>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内容包括</w:t>
            </w:r>
            <w:r>
              <w:rPr>
                <w:rFonts w:hint="eastAsia" w:ascii="宋体" w:hAnsi="宋体" w:eastAsia="宋体" w:cs="宋体"/>
                <w:color w:val="000000"/>
                <w:kern w:val="0"/>
                <w:sz w:val="21"/>
                <w:szCs w:val="21"/>
                <w:highlight w:val="none"/>
                <w:lang w:eastAsia="zh-CN"/>
              </w:rPr>
              <w:t>干渠、支渠口供水计量设施配套建设，全县干渠口</w:t>
            </w:r>
            <w:r>
              <w:rPr>
                <w:rFonts w:hint="eastAsia" w:ascii="宋体" w:hAnsi="宋体" w:eastAsia="宋体" w:cs="宋体"/>
                <w:color w:val="000000"/>
                <w:kern w:val="0"/>
                <w:sz w:val="21"/>
                <w:szCs w:val="21"/>
                <w:highlight w:val="none"/>
                <w:lang w:val="en-US" w:eastAsia="zh-CN"/>
              </w:rPr>
              <w:t>9个，支渠口80个。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8" w:hRule="atLeast"/>
          <w:jc w:val="center"/>
        </w:trPr>
        <w:tc>
          <w:tcPr>
            <w:tcW w:w="1202" w:type="dxa"/>
            <w:tcBorders>
              <w:top w:val="single" w:color="auto" w:sz="4" w:space="0"/>
              <w:bottom w:val="single" w:color="auto" w:sz="4" w:space="0"/>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1968" w:type="dxa"/>
            <w:tcBorders>
              <w:top w:val="single" w:color="auto" w:sz="4" w:space="0"/>
              <w:left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招标方式</w:t>
            </w:r>
          </w:p>
        </w:tc>
        <w:tc>
          <w:tcPr>
            <w:tcW w:w="6820" w:type="dxa"/>
            <w:tcBorders>
              <w:top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50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  ）公开招标    （      ）邀请招标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8" w:hRule="atLeast"/>
          <w:jc w:val="center"/>
        </w:trPr>
        <w:tc>
          <w:tcPr>
            <w:tcW w:w="1202" w:type="dxa"/>
            <w:tcBorders>
              <w:top w:val="single" w:color="auto" w:sz="4" w:space="0"/>
              <w:bottom w:val="single" w:color="auto" w:sz="4" w:space="0"/>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1968" w:type="dxa"/>
            <w:tcBorders>
              <w:top w:val="single" w:color="auto" w:sz="4" w:space="0"/>
              <w:left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供货范围</w:t>
            </w:r>
          </w:p>
        </w:tc>
        <w:tc>
          <w:tcPr>
            <w:tcW w:w="6820" w:type="dxa"/>
            <w:tcBorders>
              <w:top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500" w:lineRule="exact"/>
              <w:ind w:left="1181" w:right="0" w:hanging="1033" w:hangingChars="492"/>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招标文件及清单中的所有内容。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2" w:hRule="atLeast"/>
          <w:jc w:val="center"/>
        </w:trPr>
        <w:tc>
          <w:tcPr>
            <w:tcW w:w="1202" w:type="dxa"/>
            <w:tcBorders>
              <w:top w:val="single" w:color="auto" w:sz="4" w:space="0"/>
              <w:bottom w:val="single" w:color="auto" w:sz="4" w:space="0"/>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1968" w:type="dxa"/>
            <w:tcBorders>
              <w:top w:val="single" w:color="auto" w:sz="4" w:space="0"/>
              <w:left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质量要求</w:t>
            </w:r>
          </w:p>
        </w:tc>
        <w:tc>
          <w:tcPr>
            <w:tcW w:w="6820" w:type="dxa"/>
            <w:tcBorders>
              <w:top w:val="single" w:color="auto" w:sz="4" w:space="0"/>
              <w:bottom w:val="single" w:color="auto" w:sz="4" w:space="0"/>
            </w:tcBorders>
            <w:vAlign w:val="center"/>
          </w:tcPr>
          <w:p>
            <w:pPr>
              <w:widowControl w:val="0"/>
              <w:wordWrap/>
              <w:autoSpaceDE w:val="0"/>
              <w:autoSpaceDN w:val="0"/>
              <w:adjustRightInd/>
              <w:snapToGrid/>
              <w:spacing w:before="0" w:beforeAutospacing="0" w:after="0" w:afterAutospacing="0" w:line="50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设备制造标准按国标现行规定（国标、部标或行业标准）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1"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46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 金 来 源</w:t>
            </w:r>
          </w:p>
        </w:tc>
        <w:tc>
          <w:tcPr>
            <w:tcW w:w="6820" w:type="dxa"/>
            <w:vAlign w:val="center"/>
          </w:tcPr>
          <w:p>
            <w:pPr>
              <w:widowControl w:val="0"/>
              <w:wordWrap/>
              <w:autoSpaceDE w:val="0"/>
              <w:autoSpaceDN w:val="0"/>
              <w:adjustRightInd/>
              <w:snapToGrid/>
              <w:spacing w:before="0" w:beforeAutospacing="0" w:after="0" w:afterAutospacing="0" w:line="500" w:lineRule="exact"/>
              <w:ind w:left="0" w:right="0"/>
              <w:textAlignment w:val="auto"/>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自筹资金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52"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投标人</w:t>
            </w:r>
          </w:p>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资质要求</w:t>
            </w:r>
          </w:p>
        </w:tc>
        <w:tc>
          <w:tcPr>
            <w:tcW w:w="6820" w:type="dxa"/>
            <w:vAlign w:val="center"/>
          </w:tcPr>
          <w:p>
            <w:pPr>
              <w:widowControl w:val="0"/>
              <w:wordWrap/>
              <w:autoSpaceDE w:val="0"/>
              <w:autoSpaceDN w:val="0"/>
              <w:adjustRightInd/>
              <w:snapToGrid/>
              <w:spacing w:before="0" w:beforeAutospacing="0" w:after="0" w:afterAutospacing="0" w:line="440" w:lineRule="exact"/>
              <w:ind w:left="0" w:right="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1、投标人必须符合《中华人民共和国政府采购法》第二十二条要求。</w:t>
            </w:r>
          </w:p>
          <w:p>
            <w:pPr>
              <w:widowControl w:val="0"/>
              <w:wordWrap/>
              <w:autoSpaceDE w:val="0"/>
              <w:autoSpaceDN w:val="0"/>
              <w:adjustRightInd/>
              <w:snapToGrid/>
              <w:spacing w:before="0" w:beforeAutospacing="0" w:after="0" w:afterAutospacing="0" w:line="440" w:lineRule="exact"/>
              <w:ind w:left="0" w:right="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2、投标人需具备电子与智能化工程专业承包贰级及以上资质和有效的安全生产许可证；并在人员、设备、资金等方面具备承担本项目的能力，且财务状况良好。</w:t>
            </w:r>
          </w:p>
          <w:p>
            <w:pPr>
              <w:widowControl w:val="0"/>
              <w:wordWrap/>
              <w:autoSpaceDE w:val="0"/>
              <w:autoSpaceDN w:val="0"/>
              <w:adjustRightInd/>
              <w:snapToGrid/>
              <w:spacing w:before="0" w:beforeAutospacing="0" w:after="0" w:afterAutospacing="0" w:line="440" w:lineRule="exact"/>
              <w:ind w:left="0" w:right="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1）落实政府采购政策需满足的资格要求：满足《中华人民共和国政府采购法》第二十二条规定；（2）未被“信用中国”（www.creditchina.gov.cn）、“中国政府采购网”（www.ccgp.gov.cn）列入失信被执行人、重大税收违法案件当事人名单、政府采购严重违法失信行为记录名单；（3）落实政府采购政策需满足的资格要求： &lt;1&gt;《政府采购促进中小企业发展暂行办法》（财库[2011]181号）； &lt;2&gt;《财政部、司法部关于政府采购支持监狱企业发展有关问题的通知》（财库[2014]68号）； &lt;3&gt;《国务院办公厅关于建立政府强制采购节能产品制度的通知》（国发办[2007]51号）；&lt;4&gt;《财政部民政部中国残疾人联合会关于促进残疾人就业政府采购政策的通知》财库[2017]141号。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0"/>
                <w:sz w:val="21"/>
                <w:szCs w:val="21"/>
                <w:highlight w:val="none"/>
              </w:rPr>
            </w:pPr>
            <w:bookmarkStart w:id="7" w:name="_Toc256690622"/>
            <w:bookmarkStart w:id="8" w:name="_Toc256694498"/>
            <w:r>
              <w:rPr>
                <w:rFonts w:hint="eastAsia" w:ascii="宋体" w:hAnsi="宋体" w:eastAsia="宋体" w:cs="宋体"/>
                <w:color w:val="000000"/>
                <w:kern w:val="0"/>
                <w:sz w:val="21"/>
                <w:szCs w:val="21"/>
                <w:highlight w:val="none"/>
              </w:rPr>
              <w:t>踏勘现场</w:t>
            </w:r>
            <w:bookmarkEnd w:id="7"/>
            <w:bookmarkEnd w:id="8"/>
          </w:p>
        </w:tc>
        <w:tc>
          <w:tcPr>
            <w:tcW w:w="6820" w:type="dxa"/>
            <w:vAlign w:val="center"/>
          </w:tcPr>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8"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投标有效期</w:t>
            </w:r>
          </w:p>
        </w:tc>
        <w:tc>
          <w:tcPr>
            <w:tcW w:w="6820" w:type="dxa"/>
            <w:vAlign w:val="center"/>
          </w:tcPr>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60 天（日历天）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5"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投标保证金额</w:t>
            </w:r>
          </w:p>
        </w:tc>
        <w:tc>
          <w:tcPr>
            <w:tcW w:w="6820" w:type="dxa"/>
            <w:vAlign w:val="center"/>
          </w:tcPr>
          <w:p>
            <w:pPr>
              <w:widowControl w:val="0"/>
              <w:wordWrap/>
              <w:autoSpaceDE w:val="0"/>
              <w:autoSpaceDN w:val="0"/>
              <w:adjustRightInd/>
              <w:snapToGrid/>
              <w:spacing w:before="0" w:beforeAutospacing="0" w:after="0" w:afterAutospacing="0" w:line="400" w:lineRule="exact"/>
              <w:ind w:left="1920" w:right="0" w:hanging="1680" w:hangingChars="800"/>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小写：100000.00元；大写：壹拾万元整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47"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投标保证金提交方式</w:t>
            </w:r>
          </w:p>
        </w:tc>
        <w:tc>
          <w:tcPr>
            <w:tcW w:w="6820" w:type="dxa"/>
            <w:vAlign w:val="center"/>
          </w:tcPr>
          <w:p>
            <w:pPr>
              <w:widowControl w:val="0"/>
              <w:wordWrap/>
              <w:autoSpaceDE w:val="0"/>
              <w:autoSpaceDN w:val="0"/>
              <w:adjustRightInd/>
              <w:snapToGrid/>
              <w:spacing w:before="0" w:beforeAutospacing="0" w:after="0" w:afterAutospacing="0" w:line="36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单位名称：</w:t>
            </w:r>
            <w:r>
              <w:rPr>
                <w:rFonts w:hint="eastAsia" w:ascii="宋体" w:hAnsi="宋体" w:eastAsia="宋体" w:cs="宋体"/>
                <w:color w:val="000000"/>
                <w:kern w:val="0"/>
                <w:sz w:val="21"/>
                <w:szCs w:val="21"/>
                <w:highlight w:val="none"/>
                <w:lang w:eastAsia="zh-CN"/>
              </w:rPr>
              <w:t>新疆</w:t>
            </w:r>
            <w:r>
              <w:rPr>
                <w:rFonts w:hint="eastAsia" w:ascii="宋体" w:hAnsi="宋体" w:eastAsia="宋体" w:cs="宋体"/>
                <w:color w:val="000000"/>
                <w:kern w:val="0"/>
                <w:sz w:val="21"/>
                <w:szCs w:val="21"/>
                <w:highlight w:val="none"/>
              </w:rPr>
              <w:t>毅峰工程项目管理有限公司</w:t>
            </w:r>
          </w:p>
          <w:p>
            <w:pPr>
              <w:widowControl w:val="0"/>
              <w:wordWrap/>
              <w:autoSpaceDE w:val="0"/>
              <w:autoSpaceDN w:val="0"/>
              <w:adjustRightInd/>
              <w:snapToGrid/>
              <w:spacing w:before="0" w:beforeAutospacing="0" w:after="0" w:afterAutospacing="0" w:line="36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帐    号：108252958990</w:t>
            </w:r>
          </w:p>
          <w:p>
            <w:pPr>
              <w:widowControl w:val="0"/>
              <w:wordWrap/>
              <w:autoSpaceDE w:val="0"/>
              <w:autoSpaceDN w:val="0"/>
              <w:adjustRightInd/>
              <w:snapToGrid/>
              <w:spacing w:before="0" w:beforeAutospacing="0" w:after="0" w:afterAutospacing="0" w:line="36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行    号：104898001081</w:t>
            </w:r>
          </w:p>
          <w:p>
            <w:pPr>
              <w:widowControl w:val="0"/>
              <w:wordWrap/>
              <w:autoSpaceDE w:val="0"/>
              <w:autoSpaceDN w:val="0"/>
              <w:adjustRightInd/>
              <w:snapToGrid/>
              <w:spacing w:before="0" w:beforeAutospacing="0" w:after="0" w:afterAutospacing="0" w:line="36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 户 行：中国银行伊宁市边境经济合作区四川路支行</w:t>
            </w:r>
          </w:p>
          <w:p>
            <w:pPr>
              <w:widowControl w:val="0"/>
              <w:wordWrap/>
              <w:autoSpaceDE w:val="0"/>
              <w:autoSpaceDN w:val="0"/>
              <w:adjustRightInd/>
              <w:snapToGrid/>
              <w:spacing w:before="0" w:beforeAutospacing="0" w:after="0" w:afterAutospacing="0" w:line="36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保证金的缴纳形式：从投标人基本账户以银行电汇或网银形式汇至投标保证金专用账户或保函，投标人提交投标保证金应充分考虑资金在途时间。各投标单位缴纳投标保证金时须在附加信息及用途栏内注明“投标保证金、</w:t>
            </w:r>
            <w:r>
              <w:rPr>
                <w:rFonts w:hint="eastAsia" w:ascii="宋体" w:hAnsi="宋体" w:eastAsia="宋体" w:cs="宋体"/>
                <w:color w:val="000000"/>
                <w:kern w:val="0"/>
                <w:sz w:val="21"/>
                <w:szCs w:val="21"/>
                <w:highlight w:val="none"/>
                <w:lang w:eastAsia="zh-CN"/>
              </w:rPr>
              <w:t>项目</w:t>
            </w:r>
            <w:r>
              <w:rPr>
                <w:rFonts w:hint="eastAsia" w:ascii="宋体" w:hAnsi="宋体" w:eastAsia="宋体" w:cs="宋体"/>
                <w:color w:val="000000"/>
                <w:kern w:val="0"/>
                <w:sz w:val="21"/>
                <w:szCs w:val="21"/>
                <w:highlight w:val="none"/>
              </w:rPr>
              <w:t>名称”（以投标保证金接收方银行到账信息为准）。若投标人未按照上述规定缴纳投标保证金,投标文件将被拒绝评审。</w:t>
            </w:r>
          </w:p>
          <w:p>
            <w:pPr>
              <w:widowControl w:val="0"/>
              <w:wordWrap/>
              <w:autoSpaceDE w:val="0"/>
              <w:autoSpaceDN w:val="0"/>
              <w:adjustRightInd/>
              <w:snapToGrid/>
              <w:spacing w:before="0" w:beforeAutospacing="0" w:after="0" w:afterAutospacing="0" w:line="36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投标保证金有效期：投标截止时间后60天。</w:t>
            </w:r>
          </w:p>
          <w:p>
            <w:pPr>
              <w:widowControl w:val="0"/>
              <w:wordWrap/>
              <w:autoSpaceDE w:val="0"/>
              <w:autoSpaceDN w:val="0"/>
              <w:adjustRightInd/>
              <w:snapToGrid/>
              <w:spacing w:before="0" w:beforeAutospacing="0" w:after="0" w:afterAutospacing="0" w:line="36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开标时，投标人必须提供保证金收据原件做为保证金到账的凭证，不能提供保证金收据原件的，其投标无效。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4"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投标文件份数</w:t>
            </w:r>
          </w:p>
        </w:tc>
        <w:tc>
          <w:tcPr>
            <w:tcW w:w="6820" w:type="dxa"/>
            <w:vAlign w:val="center"/>
          </w:tcPr>
          <w:p>
            <w:pPr>
              <w:widowControl w:val="0"/>
              <w:numPr>
                <w:ilvl w:val="0"/>
                <w:numId w:val="2"/>
              </w:numPr>
              <w:wordWrap/>
              <w:autoSpaceDE w:val="0"/>
              <w:autoSpaceDN w:val="0"/>
              <w:adjustRightInd/>
              <w:snapToGrid/>
              <w:spacing w:before="0" w:beforeAutospacing="0" w:after="0" w:afterAutospacing="0" w:line="52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正本</w:t>
            </w:r>
            <w:r>
              <w:rPr>
                <w:rFonts w:hint="eastAsia" w:ascii="宋体" w:hAnsi="宋体" w:eastAsia="宋体" w:cs="宋体"/>
                <w:color w:val="000000"/>
                <w:kern w:val="0"/>
                <w:sz w:val="21"/>
                <w:szCs w:val="21"/>
                <w:highlight w:val="none"/>
                <w:u w:val="single"/>
              </w:rPr>
              <w:t>壹</w:t>
            </w:r>
            <w:r>
              <w:rPr>
                <w:rFonts w:hint="eastAsia" w:ascii="宋体" w:hAnsi="宋体" w:eastAsia="宋体" w:cs="宋体"/>
                <w:color w:val="000000"/>
                <w:kern w:val="0"/>
                <w:sz w:val="21"/>
                <w:szCs w:val="21"/>
                <w:highlight w:val="none"/>
              </w:rPr>
              <w:t>本，副本</w:t>
            </w:r>
            <w:r>
              <w:rPr>
                <w:rFonts w:hint="eastAsia" w:ascii="宋体" w:hAnsi="宋体" w:eastAsia="宋体" w:cs="宋体"/>
                <w:color w:val="000000"/>
                <w:kern w:val="0"/>
                <w:sz w:val="21"/>
                <w:szCs w:val="21"/>
                <w:highlight w:val="none"/>
                <w:u w:val="single"/>
              </w:rPr>
              <w:t>肆</w:t>
            </w:r>
            <w:r>
              <w:rPr>
                <w:rFonts w:hint="eastAsia" w:ascii="宋体" w:hAnsi="宋体" w:eastAsia="宋体" w:cs="宋体"/>
                <w:color w:val="000000"/>
                <w:kern w:val="0"/>
                <w:sz w:val="21"/>
                <w:szCs w:val="21"/>
                <w:highlight w:val="none"/>
              </w:rPr>
              <w:t>本；均为书面文本。</w:t>
            </w:r>
          </w:p>
          <w:p>
            <w:pPr>
              <w:widowControl w:val="0"/>
              <w:numPr>
                <w:ilvl w:val="0"/>
                <w:numId w:val="2"/>
              </w:numPr>
              <w:wordWrap/>
              <w:autoSpaceDE w:val="0"/>
              <w:autoSpaceDN w:val="0"/>
              <w:adjustRightInd/>
              <w:snapToGrid/>
              <w:spacing w:before="0" w:beforeAutospacing="0" w:after="0" w:afterAutospacing="0" w:line="520" w:lineRule="exact"/>
              <w:ind w:left="0" w:right="0"/>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标书电子版</w:t>
            </w:r>
            <w:r>
              <w:rPr>
                <w:rFonts w:hint="eastAsia" w:ascii="宋体" w:hAnsi="宋体" w:eastAsia="宋体" w:cs="宋体"/>
                <w:color w:val="000000"/>
                <w:kern w:val="0"/>
                <w:sz w:val="21"/>
                <w:szCs w:val="21"/>
                <w:highlight w:val="none"/>
                <w:lang w:val="en-US" w:eastAsia="zh-CN"/>
              </w:rPr>
              <w:t>U盘2份(其中包含提供正本PDF格式一份，word一份投标文件)；开标时单独密封随标书一起递交；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9"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投标文件截止时间</w:t>
            </w:r>
          </w:p>
        </w:tc>
        <w:tc>
          <w:tcPr>
            <w:tcW w:w="6820" w:type="dxa"/>
            <w:vAlign w:val="center"/>
          </w:tcPr>
          <w:p>
            <w:pPr>
              <w:widowControl w:val="0"/>
              <w:wordWrap/>
              <w:autoSpaceDE w:val="0"/>
              <w:autoSpaceDN w:val="0"/>
              <w:adjustRightInd/>
              <w:snapToGrid/>
              <w:spacing w:before="0" w:beforeAutospacing="0" w:after="0" w:afterAutospacing="0" w:line="400" w:lineRule="exact"/>
              <w:ind w:left="0" w:right="0"/>
              <w:textAlignment w:val="auto"/>
              <w:rPr>
                <w:rFonts w:hint="default" w:ascii="宋体" w:hAnsi="宋体" w:eastAsia="宋体" w:cs="宋体"/>
                <w:sz w:val="20"/>
                <w:szCs w:val="22"/>
                <w:highlight w:val="none"/>
                <w:lang w:val="en-US"/>
              </w:rPr>
            </w:pPr>
            <w:r>
              <w:rPr>
                <w:rFonts w:hint="eastAsia" w:ascii="宋体" w:hAnsi="宋体" w:eastAsia="宋体" w:cs="宋体"/>
                <w:sz w:val="20"/>
                <w:szCs w:val="22"/>
                <w:highlight w:val="none"/>
              </w:rPr>
              <w:t>投标截止日期：</w:t>
            </w:r>
            <w:r>
              <w:rPr>
                <w:rFonts w:hint="default" w:ascii="宋体" w:hAnsi="宋体" w:cs="宋体"/>
                <w:sz w:val="20"/>
                <w:szCs w:val="22"/>
                <w:highlight w:val="none"/>
                <w:lang w:val="en-US" w:eastAsia="zh-CN"/>
              </w:rPr>
              <w:t>2021年8月25日</w:t>
            </w:r>
          </w:p>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sz w:val="20"/>
                <w:szCs w:val="22"/>
                <w:highlight w:val="none"/>
              </w:rPr>
            </w:pPr>
            <w:r>
              <w:rPr>
                <w:rFonts w:hint="eastAsia" w:ascii="宋体" w:hAnsi="宋体" w:eastAsia="宋体" w:cs="宋体"/>
                <w:sz w:val="20"/>
                <w:szCs w:val="22"/>
                <w:highlight w:val="none"/>
              </w:rPr>
              <w:t>时        间：</w:t>
            </w:r>
            <w:r>
              <w:rPr>
                <w:rFonts w:hint="eastAsia" w:ascii="宋体" w:hAnsi="宋体" w:eastAsia="宋体" w:cs="宋体"/>
                <w:sz w:val="20"/>
                <w:szCs w:val="22"/>
                <w:highlight w:val="none"/>
                <w:lang w:eastAsia="zh-CN"/>
              </w:rPr>
              <w:t>1</w:t>
            </w:r>
            <w:r>
              <w:rPr>
                <w:rFonts w:hint="default" w:ascii="宋体" w:hAnsi="宋体" w:cs="宋体"/>
                <w:sz w:val="20"/>
                <w:szCs w:val="22"/>
                <w:highlight w:val="none"/>
                <w:lang w:val="en-US" w:eastAsia="zh-CN"/>
              </w:rPr>
              <w:t>0</w:t>
            </w:r>
            <w:r>
              <w:rPr>
                <w:rFonts w:hint="eastAsia" w:ascii="宋体" w:hAnsi="宋体" w:eastAsia="宋体" w:cs="宋体"/>
                <w:sz w:val="20"/>
                <w:szCs w:val="22"/>
                <w:highlight w:val="none"/>
                <w:lang w:eastAsia="zh-CN"/>
              </w:rPr>
              <w:t>：30</w:t>
            </w:r>
            <w:r>
              <w:rPr>
                <w:rFonts w:hint="eastAsia" w:ascii="宋体" w:hAnsi="宋体" w:eastAsia="宋体" w:cs="宋体"/>
                <w:sz w:val="20"/>
                <w:szCs w:val="22"/>
                <w:highlight w:val="none"/>
              </w:rPr>
              <w:t>分（北京时间）</w:t>
            </w:r>
          </w:p>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sz w:val="20"/>
                <w:szCs w:val="20"/>
                <w:highlight w:val="none"/>
              </w:rPr>
            </w:pPr>
            <w:r>
              <w:rPr>
                <w:rFonts w:hint="eastAsia" w:ascii="宋体" w:hAnsi="宋体" w:eastAsia="宋体" w:cs="宋体"/>
                <w:sz w:val="20"/>
                <w:szCs w:val="22"/>
                <w:highlight w:val="none"/>
              </w:rPr>
              <w:t>地  点：伊犁哈萨克自治州伊宁市广东路与健康路交汇处市行政政务服务中心五楼开标厅。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8"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开标时间</w:t>
            </w:r>
          </w:p>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及地点</w:t>
            </w:r>
          </w:p>
        </w:tc>
        <w:tc>
          <w:tcPr>
            <w:tcW w:w="6820" w:type="dxa"/>
            <w:vAlign w:val="center"/>
          </w:tcPr>
          <w:p>
            <w:pPr>
              <w:widowControl w:val="0"/>
              <w:wordWrap/>
              <w:autoSpaceDE w:val="0"/>
              <w:autoSpaceDN w:val="0"/>
              <w:adjustRightInd/>
              <w:snapToGrid/>
              <w:spacing w:before="0" w:beforeAutospacing="0" w:after="0" w:afterAutospacing="0" w:line="400" w:lineRule="exact"/>
              <w:ind w:left="0" w:right="0"/>
              <w:textAlignment w:val="auto"/>
              <w:rPr>
                <w:rFonts w:hint="default" w:ascii="宋体" w:hAnsi="宋体" w:eastAsia="宋体" w:cs="宋体"/>
                <w:color w:val="000000"/>
                <w:kern w:val="0"/>
                <w:sz w:val="21"/>
                <w:szCs w:val="21"/>
                <w:highlight w:val="none"/>
                <w:lang w:val="en-US"/>
              </w:rPr>
            </w:pPr>
            <w:r>
              <w:rPr>
                <w:rFonts w:hint="eastAsia" w:ascii="宋体" w:hAnsi="宋体" w:eastAsia="宋体" w:cs="宋体"/>
                <w:color w:val="000000"/>
                <w:kern w:val="0"/>
                <w:sz w:val="21"/>
                <w:szCs w:val="21"/>
                <w:highlight w:val="none"/>
              </w:rPr>
              <w:t>开  标  日  期：</w:t>
            </w:r>
            <w:r>
              <w:rPr>
                <w:rFonts w:hint="default" w:ascii="宋体" w:hAnsi="宋体" w:cs="宋体"/>
                <w:color w:val="000000"/>
                <w:kern w:val="0"/>
                <w:sz w:val="21"/>
                <w:szCs w:val="21"/>
                <w:highlight w:val="none"/>
                <w:u w:val="single"/>
                <w:lang w:val="en-US" w:eastAsia="zh-CN"/>
              </w:rPr>
              <w:t>2021年8月25日</w:t>
            </w:r>
          </w:p>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时        间：</w:t>
            </w:r>
            <w:r>
              <w:rPr>
                <w:rFonts w:hint="eastAsia" w:ascii="宋体" w:hAnsi="宋体" w:eastAsia="宋体" w:cs="宋体"/>
                <w:color w:val="000000"/>
                <w:kern w:val="0"/>
                <w:sz w:val="21"/>
                <w:szCs w:val="21"/>
                <w:highlight w:val="none"/>
                <w:u w:val="single"/>
                <w:lang w:eastAsia="zh-CN"/>
              </w:rPr>
              <w:t>1</w:t>
            </w:r>
            <w:r>
              <w:rPr>
                <w:rFonts w:hint="default" w:ascii="宋体" w:hAnsi="宋体" w:cs="宋体"/>
                <w:color w:val="000000"/>
                <w:kern w:val="0"/>
                <w:sz w:val="21"/>
                <w:szCs w:val="21"/>
                <w:highlight w:val="none"/>
                <w:u w:val="single"/>
                <w:lang w:val="en-US" w:eastAsia="zh-CN"/>
              </w:rPr>
              <w:t>0</w:t>
            </w:r>
            <w:r>
              <w:rPr>
                <w:rFonts w:hint="eastAsia" w:ascii="宋体" w:hAnsi="宋体" w:eastAsia="宋体" w:cs="宋体"/>
                <w:color w:val="000000"/>
                <w:kern w:val="0"/>
                <w:sz w:val="21"/>
                <w:szCs w:val="21"/>
                <w:highlight w:val="none"/>
                <w:u w:val="single"/>
                <w:lang w:eastAsia="zh-CN"/>
              </w:rPr>
              <w:t>：30</w:t>
            </w:r>
            <w:r>
              <w:rPr>
                <w:rFonts w:hint="eastAsia" w:ascii="宋体" w:hAnsi="宋体" w:eastAsia="宋体" w:cs="宋体"/>
                <w:color w:val="000000"/>
                <w:kern w:val="0"/>
                <w:sz w:val="21"/>
                <w:szCs w:val="21"/>
                <w:highlight w:val="none"/>
              </w:rPr>
              <w:t>分（北京时间）</w:t>
            </w:r>
          </w:p>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地点：伊犁哈萨克自治州伊宁市广东路与健康路交汇处市行政政务服务中心五楼开标厅。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8"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采购预算价</w:t>
            </w:r>
            <w:r>
              <w:rPr>
                <w:rFonts w:hint="eastAsia" w:ascii="宋体" w:hAnsi="宋体" w:eastAsia="宋体" w:cs="宋体"/>
                <w:color w:val="000000"/>
                <w:kern w:val="0"/>
                <w:sz w:val="21"/>
                <w:szCs w:val="21"/>
                <w:highlight w:val="none"/>
                <w:lang w:val="en-US" w:eastAsia="zh-CN"/>
              </w:rPr>
              <w:t>(元)</w:t>
            </w:r>
          </w:p>
        </w:tc>
        <w:tc>
          <w:tcPr>
            <w:tcW w:w="6820" w:type="dxa"/>
            <w:vAlign w:val="center"/>
          </w:tcPr>
          <w:p>
            <w:pPr>
              <w:widowControl w:val="0"/>
              <w:wordWrap/>
              <w:autoSpaceDE w:val="0"/>
              <w:autoSpaceDN w:val="0"/>
              <w:adjustRightInd/>
              <w:snapToGrid/>
              <w:spacing w:before="0" w:beforeAutospacing="0" w:after="0" w:afterAutospacing="0" w:line="400" w:lineRule="exact"/>
              <w:ind w:left="0" w:right="0"/>
              <w:jc w:val="left"/>
              <w:textAlignment w:val="auto"/>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小写：5206830.00元；大写：伍佰贰拾万零陆仟捌佰叁拾元整</w:t>
            </w:r>
          </w:p>
          <w:p>
            <w:pPr>
              <w:widowControl w:val="0"/>
              <w:wordWrap/>
              <w:autoSpaceDE w:val="0"/>
              <w:autoSpaceDN w:val="0"/>
              <w:adjustRightInd/>
              <w:snapToGrid/>
              <w:spacing w:before="0" w:beforeAutospacing="0" w:after="0" w:afterAutospacing="0" w:line="400" w:lineRule="exact"/>
              <w:ind w:left="0" w:right="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注;超过采购预算价的按废标处理。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开标需携带的证件</w:t>
            </w:r>
          </w:p>
        </w:tc>
        <w:tc>
          <w:tcPr>
            <w:tcW w:w="6820" w:type="dxa"/>
            <w:vAlign w:val="center"/>
          </w:tcPr>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开标需携带：法定代表人身份证明或法定代表人授权委托书、被授权委托人身份证、有效经年检的三证合一营业执照副本原件或事业单位法人证书原件、企业资质证书、项目负责人</w:t>
            </w:r>
            <w:r>
              <w:rPr>
                <w:rFonts w:hint="eastAsia" w:ascii="宋体" w:hAnsi="宋体" w:cs="宋体"/>
                <w:b w:val="0"/>
                <w:bCs w:val="0"/>
                <w:color w:val="000000"/>
                <w:kern w:val="0"/>
                <w:sz w:val="21"/>
                <w:szCs w:val="21"/>
                <w:highlight w:val="none"/>
                <w:lang w:eastAsia="zh-CN"/>
              </w:rPr>
              <w:t>中级</w:t>
            </w:r>
            <w:r>
              <w:rPr>
                <w:rFonts w:hint="eastAsia" w:ascii="宋体" w:hAnsi="宋体" w:eastAsia="宋体" w:cs="宋体"/>
                <w:b w:val="0"/>
                <w:bCs w:val="0"/>
                <w:color w:val="000000"/>
                <w:kern w:val="0"/>
                <w:sz w:val="21"/>
                <w:szCs w:val="21"/>
                <w:highlight w:val="none"/>
                <w:lang w:eastAsia="zh-CN"/>
              </w:rPr>
              <w:t>职称证书、无重大违法记录的声明函</w:t>
            </w:r>
            <w:r>
              <w:rPr>
                <w:rFonts w:hint="eastAsia" w:ascii="宋体" w:hAnsi="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eastAsia="zh-CN"/>
              </w:rPr>
              <w:t>近半年的完税证明、“信用中国”（www.creditchina.gov.cn）、“中国政府采购网”（www.ccgp.gov.cn）列入失信被执行人、重大税收违法案件当事人名单、政府采购严重违法失信行为记录名单网页打印页、保证金收据。</w:t>
            </w:r>
          </w:p>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注：开标时以上证件需携带原件，不接受公证件；如不提供按废标处理。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06" w:hRule="atLeast"/>
          <w:jc w:val="center"/>
        </w:trPr>
        <w:tc>
          <w:tcPr>
            <w:tcW w:w="1202" w:type="dxa"/>
            <w:tcBorders>
              <w:right w:val="single" w:color="auto" w:sz="4" w:space="0"/>
            </w:tcBorders>
            <w:vAlign w:val="center"/>
          </w:tcPr>
          <w:p>
            <w:pPr>
              <w:widowControl w:val="0"/>
              <w:wordWrap/>
              <w:autoSpaceDE w:val="0"/>
              <w:autoSpaceDN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w:t>
            </w:r>
          </w:p>
        </w:tc>
        <w:tc>
          <w:tcPr>
            <w:tcW w:w="1968" w:type="dxa"/>
            <w:tcBorders>
              <w:left w:val="single" w:color="auto" w:sz="4" w:space="0"/>
            </w:tcBorders>
            <w:vAlign w:val="center"/>
          </w:tcPr>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招标代理服务费</w:t>
            </w:r>
          </w:p>
        </w:tc>
        <w:tc>
          <w:tcPr>
            <w:tcW w:w="6820" w:type="dxa"/>
            <w:vAlign w:val="center"/>
          </w:tcPr>
          <w:p>
            <w:pPr>
              <w:widowControl w:val="0"/>
              <w:wordWrap/>
              <w:autoSpaceDE w:val="0"/>
              <w:autoSpaceDN w:val="0"/>
              <w:adjustRightInd/>
              <w:snapToGrid/>
              <w:spacing w:before="0" w:beforeAutospacing="0" w:after="0" w:afterAutospacing="0" w:line="400" w:lineRule="exact"/>
              <w:ind w:left="0" w:right="0"/>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eastAsia="zh-CN"/>
              </w:rPr>
              <w:t>由中标人按相关规定支付招标代理服务费。</w:t>
            </w:r>
          </w:p>
        </w:tc>
      </w:tr>
    </w:tbl>
    <w:p>
      <w:pPr>
        <w:rPr>
          <w:rFonts w:hint="eastAsia" w:ascii="宋体" w:hAnsi="宋体" w:eastAsia="宋体" w:cs="宋体"/>
          <w:color w:val="000000"/>
          <w:highlight w:val="none"/>
        </w:rPr>
      </w:pPr>
      <w:r>
        <w:rPr>
          <w:rFonts w:hint="eastAsia" w:ascii="宋体" w:hAnsi="宋体" w:eastAsia="宋体" w:cs="宋体"/>
          <w:color w:val="000000"/>
          <w:highlight w:val="none"/>
        </w:rPr>
        <w:t>备注：如有矛盾，以本表为准</w:t>
      </w:r>
      <w:bookmarkEnd w:id="6"/>
      <w:r>
        <w:rPr>
          <w:rFonts w:hint="eastAsia" w:ascii="宋体" w:hAnsi="宋体" w:eastAsia="宋体" w:cs="宋体"/>
          <w:color w:val="000000"/>
          <w:highlight w:val="none"/>
        </w:rPr>
        <w:t>。</w:t>
      </w:r>
    </w:p>
    <w:p>
      <w:pPr>
        <w:rPr>
          <w:rFonts w:hint="eastAsia" w:ascii="宋体" w:hAnsi="宋体" w:eastAsia="宋体" w:cs="宋体"/>
          <w:color w:val="000000"/>
          <w:highlight w:val="none"/>
        </w:rPr>
      </w:pPr>
    </w:p>
    <w:bookmarkEnd w:id="1"/>
    <w:p>
      <w:pPr>
        <w:pStyle w:val="12"/>
        <w:tabs>
          <w:tab w:val="left" w:pos="525"/>
          <w:tab w:val="left" w:pos="4305"/>
        </w:tabs>
        <w:spacing w:line="480" w:lineRule="exact"/>
        <w:ind w:right="-15"/>
        <w:jc w:val="center"/>
        <w:outlineLvl w:val="1"/>
        <w:rPr>
          <w:rFonts w:hint="eastAsia" w:ascii="宋体" w:hAnsi="宋体" w:eastAsia="宋体" w:cs="宋体"/>
          <w:color w:val="000000"/>
          <w:sz w:val="32"/>
          <w:highlight w:val="none"/>
        </w:rPr>
      </w:pPr>
      <w:bookmarkStart w:id="9" w:name="_Toc6344"/>
      <w:bookmarkStart w:id="10" w:name="_Toc175541461"/>
      <w:r>
        <w:rPr>
          <w:rFonts w:hint="eastAsia" w:ascii="宋体" w:hAnsi="宋体" w:eastAsia="宋体" w:cs="宋体"/>
          <w:b/>
          <w:color w:val="000000"/>
          <w:sz w:val="32"/>
          <w:highlight w:val="none"/>
        </w:rPr>
        <w:t>一  总   则</w:t>
      </w:r>
      <w:bookmarkEnd w:id="9"/>
      <w:bookmarkEnd w:id="10"/>
    </w:p>
    <w:p>
      <w:pPr>
        <w:pStyle w:val="12"/>
        <w:wordWrap/>
        <w:snapToGrid/>
        <w:spacing w:line="500" w:lineRule="exact"/>
        <w:ind w:left="0" w:leftChars="0" w:right="0" w:firstLine="57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1.适用范围本招标文件仅适用于本招标书中所述的货物采购。</w:t>
      </w:r>
      <w:r>
        <w:rPr>
          <w:rFonts w:hint="eastAsia" w:ascii="宋体" w:hAnsi="宋体" w:eastAsia="宋体" w:cs="宋体"/>
          <w:color w:val="000000"/>
          <w:sz w:val="28"/>
          <w:szCs w:val="28"/>
          <w:highlight w:val="none"/>
        </w:rPr>
        <w:tab/>
      </w:r>
    </w:p>
    <w:p>
      <w:pPr>
        <w:tabs>
          <w:tab w:val="left" w:pos="360"/>
        </w:tabs>
        <w:wordWrap/>
        <w:snapToGrid/>
        <w:spacing w:line="500" w:lineRule="exact"/>
        <w:ind w:left="0" w:leftChars="0" w:right="0"/>
        <w:textAlignment w:val="auto"/>
        <w:rPr>
          <w:rFonts w:hint="eastAsia" w:ascii="宋体" w:hAnsi="宋体" w:eastAsia="宋体" w:cs="宋体"/>
          <w:color w:val="000000"/>
          <w:kern w:val="2"/>
          <w:sz w:val="28"/>
          <w:szCs w:val="28"/>
          <w:highlight w:val="none"/>
          <w:lang w:val="en-US" w:eastAsia="zh-CN"/>
        </w:rPr>
      </w:pPr>
      <w:r>
        <w:rPr>
          <w:rFonts w:hint="eastAsia" w:ascii="宋体" w:hAnsi="宋体" w:eastAsia="宋体" w:cs="宋体"/>
          <w:color w:val="000000"/>
          <w:sz w:val="28"/>
          <w:szCs w:val="28"/>
          <w:highlight w:val="none"/>
        </w:rPr>
        <w:t xml:space="preserve">    2.1招标人</w:t>
      </w:r>
      <w:r>
        <w:rPr>
          <w:rFonts w:hint="eastAsia" w:ascii="宋体" w:hAnsi="宋体" w:eastAsia="宋体" w:cs="宋体"/>
          <w:color w:val="000000"/>
          <w:kern w:val="2"/>
          <w:sz w:val="28"/>
          <w:szCs w:val="28"/>
          <w:highlight w:val="none"/>
          <w:lang w:val="en-US" w:eastAsia="zh-CN"/>
        </w:rPr>
        <w:t>：霍城县水利管理站</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2.2招标代理机构：</w:t>
      </w:r>
      <w:r>
        <w:rPr>
          <w:rStyle w:val="23"/>
          <w:rFonts w:hint="eastAsia" w:ascii="宋体" w:hAnsi="宋体" w:eastAsia="宋体" w:cs="宋体"/>
          <w:b w:val="0"/>
          <w:bCs/>
          <w:i w:val="0"/>
          <w:caps w:val="0"/>
          <w:color w:val="000000"/>
          <w:spacing w:val="0"/>
          <w:sz w:val="28"/>
          <w:szCs w:val="28"/>
          <w:highlight w:val="none"/>
          <w:lang w:eastAsia="zh-CN"/>
        </w:rPr>
        <w:t>新疆</w:t>
      </w:r>
      <w:r>
        <w:rPr>
          <w:rStyle w:val="23"/>
          <w:rFonts w:hint="eastAsia" w:ascii="宋体" w:hAnsi="宋体" w:eastAsia="宋体" w:cs="宋体"/>
          <w:b w:val="0"/>
          <w:bCs/>
          <w:i w:val="0"/>
          <w:caps w:val="0"/>
          <w:color w:val="000000"/>
          <w:spacing w:val="0"/>
          <w:sz w:val="28"/>
          <w:szCs w:val="28"/>
          <w:highlight w:val="none"/>
        </w:rPr>
        <w:t>毅峰工程项目管理有限公司</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2.3招标方：招标人和招标代理机构</w:t>
      </w:r>
    </w:p>
    <w:p>
      <w:pPr>
        <w:wordWrap/>
        <w:snapToGrid/>
        <w:spacing w:line="500" w:lineRule="exact"/>
        <w:ind w:left="0" w:leftChars="0" w:right="0" w:firstLine="420" w:firstLineChars="1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2.4货物:系指投标人根据本合同规定须向招标人提供的一切产品、设备或其它材料。</w:t>
      </w:r>
    </w:p>
    <w:p>
      <w:pPr>
        <w:wordWrap/>
        <w:snapToGrid/>
        <w:spacing w:line="500" w:lineRule="exact"/>
        <w:ind w:left="0" w:leftChars="0" w:right="0" w:firstLine="523" w:firstLineChars="187"/>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2.5服务:系指根据本合同规定投标人承担与供货有关的辅助服务，如运输、保险以及其它的伴随服务，例如安装、调式、提供技术援助等合同中规定投标人应承担的其它义务</w:t>
      </w:r>
    </w:p>
    <w:p>
      <w:pPr>
        <w:wordWrap/>
        <w:snapToGrid/>
        <w:spacing w:line="500" w:lineRule="exact"/>
        <w:ind w:left="0" w:leftChars="0" w:right="0" w:firstLine="523" w:firstLineChars="187"/>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2.6招标人:系指购买货物和服务的单位。</w:t>
      </w:r>
    </w:p>
    <w:p>
      <w:pPr>
        <w:wordWrap/>
        <w:snapToGrid/>
        <w:spacing w:line="500" w:lineRule="exact"/>
        <w:ind w:left="0" w:leftChars="0" w:right="0" w:firstLine="523" w:firstLineChars="187"/>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2.7投标人:系指提供货物和服务的公司或其它实体。</w:t>
      </w:r>
    </w:p>
    <w:p>
      <w:pPr>
        <w:pStyle w:val="12"/>
        <w:numPr>
          <w:ilvl w:val="0"/>
          <w:numId w:val="3"/>
        </w:numPr>
        <w:wordWrap/>
        <w:snapToGrid/>
        <w:spacing w:line="500" w:lineRule="exact"/>
        <w:ind w:left="0" w:leftChars="0" w:right="0" w:firstLine="562" w:firstLineChars="200"/>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合格的投标人</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 具备以下条件的为合格的投标人</w:t>
      </w:r>
    </w:p>
    <w:p>
      <w:pPr>
        <w:widowControl w:val="0"/>
        <w:wordWrap/>
        <w:adjustRightInd/>
        <w:snapToGrid/>
        <w:spacing w:line="500" w:lineRule="exact"/>
        <w:ind w:left="0" w:leftChars="0" w:right="0" w:firstLine="562" w:firstLineChars="200"/>
        <w:jc w:val="left"/>
        <w:textAlignment w:val="auto"/>
        <w:outlineLvl w:val="9"/>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基本资格条件</w:t>
      </w:r>
    </w:p>
    <w:p>
      <w:pPr>
        <w:widowControl w:val="0"/>
        <w:wordWrap/>
        <w:adjustRightInd/>
        <w:snapToGrid/>
        <w:spacing w:line="500" w:lineRule="exact"/>
        <w:ind w:left="0" w:leftChars="0" w:right="0" w:firstLine="560" w:firstLineChars="20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  具有独立承担民事责任的能力；</w:t>
      </w:r>
    </w:p>
    <w:p>
      <w:pPr>
        <w:widowControl w:val="0"/>
        <w:wordWrap/>
        <w:adjustRightInd/>
        <w:snapToGrid/>
        <w:spacing w:line="500" w:lineRule="exact"/>
        <w:ind w:left="0" w:leftChars="0" w:right="0" w:firstLine="560" w:firstLineChars="20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  具有良好的商业信誉和健全的财务会计制度；</w:t>
      </w:r>
    </w:p>
    <w:p>
      <w:pPr>
        <w:widowControl w:val="0"/>
        <w:wordWrap/>
        <w:adjustRightInd/>
        <w:snapToGrid/>
        <w:spacing w:line="500" w:lineRule="exact"/>
        <w:ind w:left="0" w:leftChars="0" w:right="0" w:firstLine="560" w:firstLineChars="20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  具有履行合同所必需的设备和专业技术能力；</w:t>
      </w:r>
    </w:p>
    <w:p>
      <w:pPr>
        <w:widowControl w:val="0"/>
        <w:wordWrap/>
        <w:adjustRightInd/>
        <w:snapToGrid/>
        <w:spacing w:line="500" w:lineRule="exact"/>
        <w:ind w:left="0" w:leftChars="0" w:right="0" w:firstLine="560" w:firstLineChars="20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  有依法缴纳税收和社会保障资金的良好记录；</w:t>
      </w:r>
    </w:p>
    <w:p>
      <w:pPr>
        <w:widowControl w:val="0"/>
        <w:wordWrap/>
        <w:adjustRightInd/>
        <w:snapToGrid/>
        <w:spacing w:line="500" w:lineRule="exact"/>
        <w:ind w:left="0" w:leftChars="0" w:right="0" w:firstLine="560" w:firstLineChars="20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  参加政府采购活动前三年内，在经营活动中没有重大违法记录；</w:t>
      </w:r>
    </w:p>
    <w:p>
      <w:pPr>
        <w:widowControl w:val="0"/>
        <w:wordWrap/>
        <w:adjustRightInd/>
        <w:snapToGrid/>
        <w:spacing w:line="500" w:lineRule="exact"/>
        <w:ind w:left="0" w:leftChars="0" w:right="0" w:firstLine="560" w:firstLineChars="200"/>
        <w:jc w:val="left"/>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6  法律、行政法规规定的其他条件。</w:t>
      </w:r>
    </w:p>
    <w:p>
      <w:pPr>
        <w:widowControl w:val="0"/>
        <w:wordWrap/>
        <w:adjustRightInd/>
        <w:snapToGrid/>
        <w:spacing w:line="500" w:lineRule="exact"/>
        <w:ind w:left="0" w:leftChars="0" w:right="0" w:firstLine="560" w:firstLineChars="200"/>
        <w:jc w:val="left"/>
        <w:textAlignment w:val="auto"/>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7、本项目的特定资格要求：投标人需具备电子与智能化工程专业承包贰级及以上资质和有效的安全生产许可证；并在人员、设备、资金等方面具备承担本项目的能力，且财务状况良好。</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3.3 投标人是响应招标、参加投标竞争的法人或其他组织。</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 投标人在本次招标投标活动中，必须遵循《中华人民共和国招标投标法》的规定。</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4.投标费用</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投标人应自行承担所有与编写和提交投标文件有关的费用，不论投标的结果如何，招标方在任何情况下均无义务和责任承担这些费用。</w:t>
      </w:r>
      <w:bookmarkStart w:id="11" w:name="_Toc175541462"/>
    </w:p>
    <w:p>
      <w:pPr>
        <w:wordWrap/>
        <w:snapToGrid/>
        <w:spacing w:line="500" w:lineRule="exact"/>
        <w:ind w:left="0" w:leftChars="0" w:right="0"/>
        <w:textAlignment w:val="auto"/>
        <w:rPr>
          <w:rFonts w:hint="eastAsia" w:ascii="宋体" w:hAnsi="宋体" w:eastAsia="宋体" w:cs="宋体"/>
          <w:color w:val="000000"/>
          <w:sz w:val="28"/>
          <w:szCs w:val="28"/>
          <w:highlight w:val="none"/>
        </w:rPr>
      </w:pPr>
    </w:p>
    <w:p>
      <w:pPr>
        <w:pStyle w:val="12"/>
        <w:wordWrap/>
        <w:snapToGrid/>
        <w:spacing w:line="500" w:lineRule="exact"/>
        <w:ind w:left="0" w:leftChars="0" w:right="0"/>
        <w:jc w:val="center"/>
        <w:textAlignment w:val="auto"/>
        <w:outlineLvl w:val="1"/>
        <w:rPr>
          <w:rFonts w:hint="eastAsia" w:ascii="宋体" w:hAnsi="宋体" w:eastAsia="宋体" w:cs="宋体"/>
          <w:b/>
          <w:bCs/>
          <w:color w:val="000000"/>
          <w:sz w:val="32"/>
          <w:szCs w:val="32"/>
          <w:highlight w:val="none"/>
        </w:rPr>
      </w:pPr>
      <w:bookmarkStart w:id="12" w:name="_Toc30438"/>
      <w:r>
        <w:rPr>
          <w:rFonts w:hint="eastAsia" w:ascii="宋体" w:hAnsi="宋体" w:eastAsia="宋体" w:cs="宋体"/>
          <w:b/>
          <w:bCs/>
          <w:color w:val="000000"/>
          <w:sz w:val="32"/>
          <w:szCs w:val="32"/>
          <w:highlight w:val="none"/>
        </w:rPr>
        <w:t>二   招 标 文 件</w:t>
      </w:r>
      <w:bookmarkEnd w:id="11"/>
      <w:bookmarkEnd w:id="12"/>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5.招标文件</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5.1招标文件包括下列内容：</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5.1.1招标书</w:t>
      </w:r>
      <w:r>
        <w:rPr>
          <w:rFonts w:hint="eastAsia" w:ascii="宋体" w:hAnsi="宋体" w:eastAsia="宋体" w:cs="宋体"/>
          <w:color w:val="000000"/>
          <w:sz w:val="28"/>
          <w:szCs w:val="28"/>
          <w:highlight w:val="none"/>
        </w:rPr>
        <w:cr/>
      </w:r>
      <w:r>
        <w:rPr>
          <w:rFonts w:hint="eastAsia" w:ascii="宋体" w:hAnsi="宋体" w:eastAsia="宋体" w:cs="宋体"/>
          <w:color w:val="000000"/>
          <w:sz w:val="28"/>
          <w:szCs w:val="28"/>
          <w:highlight w:val="none"/>
        </w:rPr>
        <w:t xml:space="preserve">    5.1.2投标人须知</w:t>
      </w:r>
      <w:r>
        <w:rPr>
          <w:rFonts w:hint="eastAsia" w:ascii="宋体" w:hAnsi="宋体" w:eastAsia="宋体" w:cs="宋体"/>
          <w:color w:val="000000"/>
          <w:sz w:val="28"/>
          <w:szCs w:val="28"/>
          <w:highlight w:val="none"/>
        </w:rPr>
        <w:cr/>
      </w:r>
      <w:r>
        <w:rPr>
          <w:rFonts w:hint="eastAsia" w:ascii="宋体" w:hAnsi="宋体" w:eastAsia="宋体" w:cs="宋体"/>
          <w:color w:val="000000"/>
          <w:sz w:val="28"/>
          <w:szCs w:val="28"/>
          <w:highlight w:val="none"/>
        </w:rPr>
        <w:t xml:space="preserve">    5.1.3投标文件格式</w:t>
      </w:r>
      <w:r>
        <w:rPr>
          <w:rFonts w:hint="eastAsia" w:ascii="宋体" w:hAnsi="宋体" w:eastAsia="宋体" w:cs="宋体"/>
          <w:color w:val="000000"/>
          <w:sz w:val="28"/>
          <w:szCs w:val="28"/>
          <w:highlight w:val="none"/>
        </w:rPr>
        <w:cr/>
      </w:r>
      <w:r>
        <w:rPr>
          <w:rFonts w:hint="eastAsia" w:ascii="宋体" w:hAnsi="宋体" w:eastAsia="宋体" w:cs="宋体"/>
          <w:color w:val="000000"/>
          <w:sz w:val="28"/>
          <w:szCs w:val="28"/>
          <w:highlight w:val="none"/>
        </w:rPr>
        <w:t xml:space="preserve">    5.1.4 合同条款</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5.1.5合同书</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w:t>
      </w:r>
      <w:r>
        <w:rPr>
          <w:rFonts w:hint="eastAsia" w:hAnsi="宋体" w:cs="宋体"/>
          <w:color w:val="000000"/>
          <w:sz w:val="28"/>
          <w:szCs w:val="28"/>
          <w:highlight w:val="none"/>
          <w:lang w:val="en-US" w:eastAsia="zh-CN"/>
        </w:rPr>
        <w:t>6</w:t>
      </w:r>
      <w:r>
        <w:rPr>
          <w:rFonts w:hint="eastAsia" w:ascii="宋体" w:hAnsi="宋体" w:eastAsia="宋体" w:cs="宋体"/>
          <w:color w:val="000000"/>
          <w:sz w:val="28"/>
          <w:szCs w:val="28"/>
          <w:highlight w:val="none"/>
        </w:rPr>
        <w:t>技术规格及其它要求</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5.2投标人应认真阅读招标文件中所有的事项、格式、条款和规范等要求。如果没有按照招标文件要求提交全部资料或者投标文件没有对招标文件作出实质性响应，其风险应由投标人自行承担。根据有关规定，该投标将被拒绝。</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6．招标文件的澄清</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投标人对招标文件如有要求澄清的内容，应在投标截止日期前</w:t>
      </w:r>
      <w:r>
        <w:rPr>
          <w:rFonts w:hint="eastAsia" w:ascii="宋体" w:hAnsi="宋体" w:eastAsia="宋体" w:cs="宋体"/>
          <w:color w:val="000000"/>
          <w:sz w:val="28"/>
          <w:szCs w:val="28"/>
          <w:highlight w:val="none"/>
          <w:u w:val="single"/>
        </w:rPr>
        <w:t>15</w:t>
      </w:r>
      <w:r>
        <w:rPr>
          <w:rFonts w:hint="eastAsia" w:ascii="宋体" w:hAnsi="宋体" w:eastAsia="宋体" w:cs="宋体"/>
          <w:color w:val="000000"/>
          <w:sz w:val="28"/>
          <w:szCs w:val="28"/>
          <w:highlight w:val="none"/>
        </w:rPr>
        <w:t xml:space="preserve">天内以书面形式通知招标方。招标方将视情况确定采用适当方式予以澄清或以书面形式予以答复。同时将书面答复通知每个购买招标文件的投标人(答复中不包括问题的来源)。  </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7．招标文件的修改</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7.1在投标截止期前15天，无论出于何种原因，招标方可主动地或在解答投标人提出的问题时对招标文件进行修改，修改的内容为招标文件的组成部分。  </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7.2招标文件的修改将以书面形式通知所有购买招标文件的投标人，并对他们具有约束力。如果修改招标文件的时间距投标截止时间不足15天，相应延长投标截止时间。    </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7.3投标人在收到上述修改通知后，应在24小时内以书面形式通知招标人，确认己收到该修改。</w:t>
      </w:r>
    </w:p>
    <w:p>
      <w:pPr>
        <w:pStyle w:val="12"/>
        <w:wordWrap/>
        <w:snapToGrid/>
        <w:spacing w:line="500" w:lineRule="exact"/>
        <w:ind w:left="0" w:leftChars="0" w:right="0"/>
        <w:jc w:val="center"/>
        <w:textAlignment w:val="auto"/>
        <w:outlineLvl w:val="1"/>
        <w:rPr>
          <w:rFonts w:hint="eastAsia" w:ascii="宋体" w:hAnsi="宋体" w:eastAsia="宋体" w:cs="宋体"/>
          <w:b/>
          <w:bCs/>
          <w:color w:val="000000"/>
          <w:sz w:val="32"/>
          <w:szCs w:val="32"/>
          <w:highlight w:val="none"/>
        </w:rPr>
      </w:pPr>
      <w:bookmarkStart w:id="13" w:name="_Toc175541463"/>
      <w:bookmarkStart w:id="14" w:name="_Toc17530"/>
      <w:r>
        <w:rPr>
          <w:rFonts w:hint="eastAsia" w:ascii="宋体" w:hAnsi="宋体" w:eastAsia="宋体" w:cs="宋体"/>
          <w:b/>
          <w:bCs/>
          <w:color w:val="000000"/>
          <w:sz w:val="32"/>
          <w:szCs w:val="32"/>
          <w:highlight w:val="none"/>
        </w:rPr>
        <w:t>三  投标文件的编制</w:t>
      </w:r>
      <w:bookmarkEnd w:id="13"/>
      <w:bookmarkEnd w:id="14"/>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 xml:space="preserve">  8．投标文件的编制要求</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8.1投标人应仔细阅读招标文件的所有内容，了解招标文件的要求。按招标文件的要求编制投标文件，并保证提供的全部资料的真实性，以使其投标对招标文件作出实质性响应，否则，其投标将被否绝。</w:t>
      </w:r>
      <w:r>
        <w:rPr>
          <w:rFonts w:hint="eastAsia" w:ascii="宋体" w:hAnsi="宋体" w:eastAsia="宋体" w:cs="宋体"/>
          <w:color w:val="000000"/>
          <w:sz w:val="28"/>
          <w:szCs w:val="28"/>
          <w:highlight w:val="none"/>
        </w:rPr>
        <w:cr/>
      </w:r>
      <w:r>
        <w:rPr>
          <w:rFonts w:hint="eastAsia" w:ascii="宋体" w:hAnsi="宋体" w:eastAsia="宋体" w:cs="宋体"/>
          <w:color w:val="000000"/>
          <w:sz w:val="28"/>
          <w:szCs w:val="28"/>
          <w:highlight w:val="none"/>
        </w:rPr>
        <w:t xml:space="preserve">    8.2投标的语言和计量单位</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8.2.1投标人提交的投标文件以及投标人与招标机构就有关投标的所有来往函电均应以中文书写。投标人提供的支持文件和印刷的文献可以使用其他语言，但相应内容应附有中文翻译本，在解释时以中文翻译本为准。</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除招标文件规定的计量单位外，投标文件的计量单位应使用中华人民共和国法定计量单位（国际单位制和国家选定的其他计量单位）。</w:t>
      </w:r>
    </w:p>
    <w:p>
      <w:pPr>
        <w:pStyle w:val="12"/>
        <w:wordWrap/>
        <w:snapToGrid/>
        <w:spacing w:line="500" w:lineRule="exact"/>
        <w:ind w:left="0" w:leftChars="0" w:right="0" w:firstLine="562" w:firstLineChars="200"/>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9. 投标文件的构成</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9.1 投标人编制的投标文件应包括下列内容： </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（1）开标一览表及投标保证金； </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（2）投标分项报价明细表； </w:t>
      </w:r>
    </w:p>
    <w:p>
      <w:pPr>
        <w:pStyle w:val="12"/>
        <w:numPr>
          <w:ilvl w:val="0"/>
          <w:numId w:val="0"/>
        </w:numPr>
        <w:wordWrap/>
        <w:snapToGrid/>
        <w:spacing w:line="500" w:lineRule="exact"/>
        <w:ind w:leftChars="20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（3）企业营业执照</w:t>
      </w:r>
    </w:p>
    <w:p>
      <w:pPr>
        <w:pStyle w:val="12"/>
        <w:wordWrap/>
        <w:snapToGrid/>
        <w:spacing w:line="500" w:lineRule="exact"/>
        <w:ind w:left="0" w:leftChars="0" w:right="0" w:firstLine="420" w:firstLineChars="1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r>
        <w:rPr>
          <w:rFonts w:hint="eastAsia" w:ascii="宋体" w:hAnsi="宋体" w:eastAsia="宋体" w:cs="宋体"/>
          <w:color w:val="000000"/>
          <w:sz w:val="28"/>
          <w:szCs w:val="28"/>
          <w:highlight w:val="none"/>
          <w:lang w:eastAsia="zh-CN"/>
        </w:rPr>
        <w:t>上一</w:t>
      </w:r>
      <w:r>
        <w:rPr>
          <w:rFonts w:hint="eastAsia" w:ascii="宋体" w:hAnsi="宋体" w:eastAsia="宋体" w:cs="宋体"/>
          <w:color w:val="000000"/>
          <w:sz w:val="28"/>
          <w:szCs w:val="28"/>
          <w:highlight w:val="none"/>
        </w:rPr>
        <w:t>年度财务报告或资信证明；</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（5）法定代表人身份证明或法定代表人授权委托书和被授权人身份证复印件或法定代表人身份证复印件；</w:t>
      </w:r>
    </w:p>
    <w:p>
      <w:pPr>
        <w:pStyle w:val="12"/>
        <w:wordWrap/>
        <w:snapToGrid/>
        <w:spacing w:line="500" w:lineRule="exact"/>
        <w:ind w:left="0" w:leftChars="0" w:right="0" w:firstLine="420" w:firstLineChars="15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（6）</w:t>
      </w:r>
      <w:r>
        <w:rPr>
          <w:rFonts w:hint="eastAsia" w:ascii="宋体" w:hAnsi="宋体" w:eastAsia="宋体" w:cs="宋体"/>
          <w:color w:val="000000"/>
          <w:sz w:val="28"/>
          <w:szCs w:val="28"/>
          <w:highlight w:val="none"/>
          <w:lang w:eastAsia="zh-CN"/>
        </w:rPr>
        <w:t>具备</w:t>
      </w:r>
      <w:r>
        <w:rPr>
          <w:rFonts w:hint="eastAsia" w:ascii="宋体" w:hAnsi="宋体" w:eastAsia="宋体" w:cs="宋体"/>
          <w:color w:val="000000"/>
          <w:sz w:val="28"/>
          <w:szCs w:val="28"/>
          <w:highlight w:val="none"/>
        </w:rPr>
        <w:t>电子与智能化工程专业承包贰级及以上资质</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项目负责人具备中级及以上技术职称；</w:t>
      </w:r>
    </w:p>
    <w:p>
      <w:pPr>
        <w:pStyle w:val="12"/>
        <w:wordWrap/>
        <w:snapToGrid/>
        <w:spacing w:line="500" w:lineRule="exact"/>
        <w:ind w:left="0" w:leftChars="0" w:right="0" w:firstLine="420" w:firstLineChars="1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w:t>
      </w:r>
      <w:r>
        <w:rPr>
          <w:rFonts w:hint="eastAsia" w:ascii="宋体" w:hAnsi="宋体" w:eastAsia="宋体" w:cs="宋体"/>
          <w:color w:val="000000"/>
          <w:sz w:val="28"/>
          <w:szCs w:val="28"/>
          <w:highlight w:val="none"/>
          <w:lang w:val="en-US" w:eastAsia="zh-CN"/>
        </w:rPr>
        <w:t>“信用中国”（www.creditchina.gov.cn）、“中国政府采购网”（www.ccgp.gov.cn）列入失信被执行人、重大税收违法案件当事人名单、政府采购严重违法失信行为记录名单网页打印页、无重大违法记录的声明函；</w:t>
      </w:r>
    </w:p>
    <w:p>
      <w:pPr>
        <w:pStyle w:val="12"/>
        <w:wordWrap/>
        <w:snapToGrid/>
        <w:spacing w:line="500" w:lineRule="exact"/>
        <w:ind w:left="0" w:leftChars="0" w:right="0" w:firstLine="420" w:firstLineChars="1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由税务机关出具的近半年纳税证明</w:t>
      </w:r>
      <w:r>
        <w:rPr>
          <w:rFonts w:hint="eastAsia" w:ascii="宋体" w:hAnsi="宋体" w:eastAsia="宋体" w:cs="宋体"/>
          <w:color w:val="000000"/>
          <w:sz w:val="28"/>
          <w:szCs w:val="28"/>
          <w:highlight w:val="none"/>
        </w:rPr>
        <w:t>；</w:t>
      </w:r>
    </w:p>
    <w:p>
      <w:pPr>
        <w:pStyle w:val="12"/>
        <w:wordWrap/>
        <w:snapToGrid/>
        <w:spacing w:line="500" w:lineRule="exact"/>
        <w:ind w:left="0" w:leftChars="0" w:right="0" w:firstLine="420" w:firstLineChars="1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r>
        <w:rPr>
          <w:rFonts w:hint="eastAsia" w:hAnsi="宋体" w:cs="宋体"/>
          <w:color w:val="000000"/>
          <w:sz w:val="28"/>
          <w:szCs w:val="28"/>
          <w:highlight w:val="none"/>
          <w:lang w:val="en-US" w:eastAsia="zh-CN"/>
        </w:rPr>
        <w:t>9</w:t>
      </w:r>
      <w:r>
        <w:rPr>
          <w:rFonts w:hint="eastAsia" w:ascii="宋体" w:hAnsi="宋体" w:eastAsia="宋体" w:cs="宋体"/>
          <w:color w:val="000000"/>
          <w:sz w:val="28"/>
          <w:szCs w:val="28"/>
          <w:highlight w:val="none"/>
        </w:rPr>
        <w:t>）201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eastAsia="zh-CN"/>
        </w:rPr>
        <w:t>至今</w:t>
      </w:r>
      <w:r>
        <w:rPr>
          <w:rFonts w:hint="eastAsia" w:ascii="宋体" w:hAnsi="宋体" w:eastAsia="宋体" w:cs="宋体"/>
          <w:color w:val="000000"/>
          <w:sz w:val="28"/>
          <w:szCs w:val="28"/>
          <w:highlight w:val="none"/>
        </w:rPr>
        <w:t>以往销售业绩。</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9.2 第9.1条中第（1）-（1</w:t>
      </w:r>
      <w:r>
        <w:rPr>
          <w:rFonts w:hint="eastAsia" w:ascii="宋体" w:hAnsi="宋体" w:eastAsia="宋体" w:cs="宋体"/>
          <w:color w:val="000000"/>
          <w:sz w:val="28"/>
          <w:szCs w:val="28"/>
          <w:highlight w:val="none"/>
          <w:lang w:val="en-US" w:eastAsia="zh-CN"/>
        </w:rPr>
        <w:t>0</w:t>
      </w:r>
      <w:r>
        <w:rPr>
          <w:rFonts w:hint="eastAsia" w:ascii="宋体" w:hAnsi="宋体" w:eastAsia="宋体" w:cs="宋体"/>
          <w:color w:val="000000"/>
          <w:sz w:val="28"/>
          <w:szCs w:val="28"/>
          <w:highlight w:val="none"/>
        </w:rPr>
        <w:t>）项为必备项，投标方必须提供，否则将视为对本招标文件的不响应，其投标将被否决。</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10．投标书格式</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投标人应按招标文件中的投标格式和投标分项报价表，填写所提供的货物、货物简介、来源、数量及价格。</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11．投标报价</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11.1 投标人应按招标文件中的格式填写开标一览表。</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11.2投标人应按投标分项报价表上标明本合同拟提供货物的单价和总价, 大写金额与小写金额不一致的，以大写金额为准；如单价和总价不符,以单价累计为准。</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11.3投标人应在投标文件中标明，本合同拟提供货物及服务的单价和总价，单价和总价均以交货地点报价为准（消耗性材料不计入报价表，费用摊入）。</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11.4投标报价表上的价格应包括：</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⑴ 交货地点报价：报价应包括制造和装配设备所使用的材料、部件及设备本身已支付或将支付的进口税、产品税、销售税和其它税费；以及设备运至交货地点的运输价和保险费；</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⑵ 所有伴随服务的费用：安装调试、培训等伴随服务费用；</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11.5 投标人对每种货物只允许有一个报价,任何有选择的报价将不予接受，任何选择性报价将否决其投标。在工程内容未进行变更情况下，投标报价表中标明的价格在合同执行过程中是固定不变的，不得以任何理由予以变更。以可调整的价格提交的投标将按招标文件规定作为非响应性投标而予以拒绝。</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11.6招标人不接受投标人对任何未办理正常进口手续的非中华人民共和国境内生产的货物的投标报价。</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11.7 投标货币：投标人提供的货物和服务一律用</w:t>
      </w:r>
      <w:r>
        <w:rPr>
          <w:rFonts w:hint="eastAsia" w:ascii="宋体" w:hAnsi="宋体" w:eastAsia="宋体" w:cs="宋体"/>
          <w:color w:val="000000"/>
          <w:sz w:val="28"/>
          <w:szCs w:val="28"/>
          <w:highlight w:val="none"/>
          <w:u w:val="single"/>
        </w:rPr>
        <w:t>人民币</w:t>
      </w:r>
      <w:r>
        <w:rPr>
          <w:rFonts w:hint="eastAsia" w:ascii="宋体" w:hAnsi="宋体" w:eastAsia="宋体" w:cs="宋体"/>
          <w:color w:val="000000"/>
          <w:sz w:val="28"/>
          <w:szCs w:val="28"/>
          <w:highlight w:val="none"/>
        </w:rPr>
        <w:t>报价。</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12. 证明投标人合格和资格的文件</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按照第9.1条的规定，投标人应提交证明其有资格参加投标和一旦其投标被接受则有能力履行合同的文件，并作为其投标文件的一部分，如果投标人为联合体，则联合体各方应分别提交资格文件、联合体协议并注明主办人。</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12.1 投标人提交的合格性证明文件应满足招标文件要求,投标人在投标时应符合本须知第3条的规定。</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13．证明货物的合格性和符合招标文件规定的文件。</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13.1 投标人应提交证明文件证明其拟投标的货物的合格性符合招标文件的规定。该证明文件作为其投标文件的一部分。</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13.2 投标人应逐条对招标人要求的技术规格进行评议，指出自己提供货物和服务是否做出实质性的响应。</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13.3 投标人应注意：招标人在技术规格中指出的工艺、材料、设备、参数和商标或样本目录号码仅作为说明并没有限制性，投标人可以在投标中选用替代标准，但这些替代标准要优于或相当于技术规格中要求的标准。</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 xml:space="preserve"> 14. 投标有效期</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14.1 投标有效期为实际开标之日起60天。投标有效期少于规定时间的可以视为不响应招标而予以否绝。</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bCs/>
          <w:color w:val="000000"/>
          <w:sz w:val="28"/>
          <w:szCs w:val="28"/>
          <w:highlight w:val="none"/>
        </w:rPr>
        <w:t>15.  投标文件的书写要求,签署及份数</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15.1 投标文件须用A4纸打印或复印。</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15.2 投标文件的书写应清楚工整，修改处应加盖投标单位公章。</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15.3 表述不清、未按要求填写或可能导致非唯一理解的投标文件将被被否决其投标。</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15.4投标文件中</w:t>
      </w:r>
      <w:r>
        <w:rPr>
          <w:rFonts w:hint="eastAsia" w:ascii="宋体" w:hAnsi="宋体" w:eastAsia="宋体" w:cs="宋体"/>
          <w:color w:val="000000"/>
          <w:sz w:val="28"/>
          <w:szCs w:val="28"/>
          <w:highlight w:val="none"/>
          <w:lang w:eastAsia="zh-CN"/>
        </w:rPr>
        <w:t>每页</w:t>
      </w:r>
      <w:r>
        <w:rPr>
          <w:rFonts w:hint="eastAsia" w:ascii="宋体" w:hAnsi="宋体" w:eastAsia="宋体" w:cs="宋体"/>
          <w:color w:val="000000"/>
          <w:sz w:val="28"/>
          <w:szCs w:val="28"/>
          <w:highlight w:val="none"/>
        </w:rPr>
        <w:t>需由企业法</w:t>
      </w:r>
      <w:r>
        <w:rPr>
          <w:rFonts w:hint="eastAsia" w:ascii="宋体" w:hAnsi="宋体" w:eastAsia="宋体" w:cs="宋体"/>
          <w:color w:val="000000"/>
          <w:sz w:val="28"/>
          <w:szCs w:val="28"/>
          <w:highlight w:val="none"/>
          <w:lang w:eastAsia="zh-CN"/>
        </w:rPr>
        <w:t>定代表</w:t>
      </w:r>
      <w:r>
        <w:rPr>
          <w:rFonts w:hint="eastAsia" w:ascii="宋体" w:hAnsi="宋体" w:eastAsia="宋体" w:cs="宋体"/>
          <w:color w:val="000000"/>
          <w:sz w:val="28"/>
          <w:szCs w:val="28"/>
          <w:highlight w:val="none"/>
        </w:rPr>
        <w:t>人或企业法定代表人授权委托人逐</w:t>
      </w:r>
      <w:r>
        <w:rPr>
          <w:rFonts w:hint="eastAsia" w:ascii="宋体" w:hAnsi="宋体" w:eastAsia="宋体" w:cs="宋体"/>
          <w:color w:val="000000"/>
          <w:sz w:val="28"/>
          <w:szCs w:val="28"/>
          <w:highlight w:val="none"/>
          <w:lang w:eastAsia="zh-CN"/>
        </w:rPr>
        <w:t>页</w:t>
      </w:r>
      <w:r>
        <w:rPr>
          <w:rFonts w:hint="eastAsia" w:ascii="宋体" w:hAnsi="宋体" w:eastAsia="宋体" w:cs="宋体"/>
          <w:color w:val="000000"/>
          <w:sz w:val="28"/>
          <w:szCs w:val="28"/>
          <w:highlight w:val="none"/>
        </w:rPr>
        <w:t>签署及加盖单位的公章。</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15.5投标文件的份数：一式</w:t>
      </w:r>
      <w:r>
        <w:rPr>
          <w:rFonts w:hint="eastAsia" w:ascii="宋体" w:hAnsi="宋体" w:eastAsia="宋体" w:cs="宋体"/>
          <w:b/>
          <w:bCs/>
          <w:color w:val="000000"/>
          <w:sz w:val="28"/>
          <w:szCs w:val="28"/>
          <w:highlight w:val="none"/>
          <w:u w:val="single"/>
        </w:rPr>
        <w:t>伍</w:t>
      </w:r>
      <w:r>
        <w:rPr>
          <w:rFonts w:hint="eastAsia" w:ascii="宋体" w:hAnsi="宋体" w:eastAsia="宋体" w:cs="宋体"/>
          <w:color w:val="000000"/>
          <w:sz w:val="28"/>
          <w:szCs w:val="28"/>
          <w:highlight w:val="none"/>
        </w:rPr>
        <w:t>份。正本</w:t>
      </w:r>
      <w:r>
        <w:rPr>
          <w:rFonts w:hint="eastAsia" w:ascii="宋体" w:hAnsi="宋体" w:eastAsia="宋体" w:cs="宋体"/>
          <w:b/>
          <w:bCs/>
          <w:color w:val="000000"/>
          <w:sz w:val="28"/>
          <w:szCs w:val="28"/>
          <w:highlight w:val="none"/>
          <w:u w:val="single"/>
        </w:rPr>
        <w:t>壹</w:t>
      </w:r>
      <w:r>
        <w:rPr>
          <w:rFonts w:hint="eastAsia" w:ascii="宋体" w:hAnsi="宋体" w:eastAsia="宋体" w:cs="宋体"/>
          <w:color w:val="000000"/>
          <w:sz w:val="28"/>
          <w:szCs w:val="28"/>
          <w:highlight w:val="none"/>
        </w:rPr>
        <w:t>份，副本</w:t>
      </w:r>
      <w:r>
        <w:rPr>
          <w:rFonts w:hint="eastAsia" w:ascii="宋体" w:hAnsi="宋体" w:eastAsia="宋体" w:cs="宋体"/>
          <w:b/>
          <w:bCs/>
          <w:color w:val="000000"/>
          <w:sz w:val="28"/>
          <w:szCs w:val="28"/>
          <w:highlight w:val="none"/>
          <w:u w:val="single"/>
        </w:rPr>
        <w:t>肆</w:t>
      </w:r>
      <w:r>
        <w:rPr>
          <w:rFonts w:hint="eastAsia" w:ascii="宋体" w:hAnsi="宋体" w:eastAsia="宋体" w:cs="宋体"/>
          <w:color w:val="000000"/>
          <w:sz w:val="28"/>
          <w:szCs w:val="28"/>
          <w:highlight w:val="none"/>
        </w:rPr>
        <w:t>份，并在投标文件封面左上角注明“正本”、“副本”，字样，一旦正本和副本不符,以正本为准，参考资料不限量。</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15.6 投标单位可根据投标设备的具体需要自行编制其它文件纳入投标书。</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15.7 电报、电话、传真投标概不接受。</w:t>
      </w:r>
    </w:p>
    <w:p>
      <w:pPr>
        <w:pStyle w:val="12"/>
        <w:wordWrap/>
        <w:snapToGrid/>
        <w:spacing w:line="500" w:lineRule="exact"/>
        <w:ind w:left="0" w:leftChars="0" w:right="0"/>
        <w:textAlignment w:val="auto"/>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color w:val="000000"/>
          <w:sz w:val="28"/>
          <w:szCs w:val="28"/>
          <w:highlight w:val="none"/>
        </w:rPr>
        <w:t>16. 投标保证金</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16.1 投标人应在投标时提交金额为</w:t>
      </w:r>
      <w:r>
        <w:rPr>
          <w:rFonts w:hint="eastAsia" w:ascii="宋体" w:hAnsi="宋体" w:eastAsia="宋体" w:cs="宋体"/>
          <w:b/>
          <w:bCs/>
          <w:color w:val="000000"/>
          <w:sz w:val="28"/>
          <w:szCs w:val="28"/>
          <w:highlight w:val="none"/>
          <w:u w:val="single"/>
          <w:lang w:eastAsia="zh-CN"/>
        </w:rPr>
        <w:t>壹拾</w:t>
      </w:r>
      <w:r>
        <w:rPr>
          <w:rFonts w:hint="eastAsia" w:ascii="宋体" w:hAnsi="宋体" w:eastAsia="宋体" w:cs="宋体"/>
          <w:b/>
          <w:bCs/>
          <w:color w:val="000000"/>
          <w:sz w:val="28"/>
          <w:szCs w:val="28"/>
          <w:highlight w:val="none"/>
          <w:u w:val="single"/>
        </w:rPr>
        <w:t>万元整</w:t>
      </w:r>
      <w:r>
        <w:rPr>
          <w:rFonts w:hint="eastAsia" w:ascii="宋体" w:hAnsi="宋体" w:eastAsia="宋体" w:cs="宋体"/>
          <w:color w:val="000000"/>
          <w:sz w:val="28"/>
          <w:szCs w:val="28"/>
          <w:highlight w:val="none"/>
        </w:rPr>
        <w:t>的投标保证金。</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16.2 投标保证金用于保护本次招标免受投标人的违规、违约行为而引起的风险。</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16.3 投标保证金应以现金或者支票形式从其基本账户转至招标人指定账户（不得为个人账户）。投标保证金必须以投标人名义交纳。</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16.4 未交纳投标保证金的投标，将被予以否绝。</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16.5 发生以下情况投标保证金可能不予退还：</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（1）如果投标人在投标有效期内撤回投标；</w:t>
      </w:r>
    </w:p>
    <w:p>
      <w:pPr>
        <w:pStyle w:val="12"/>
        <w:wordWrap/>
        <w:snapToGrid/>
        <w:spacing w:line="500" w:lineRule="exact"/>
        <w:ind w:left="0" w:leftChars="0" w:right="0" w:firstLine="57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（2）如果中标人未能按34条规定签订合同；</w:t>
      </w:r>
    </w:p>
    <w:p>
      <w:pPr>
        <w:pStyle w:val="12"/>
        <w:wordWrap/>
        <w:snapToGrid/>
        <w:spacing w:line="500" w:lineRule="exact"/>
        <w:ind w:left="0" w:leftChars="0" w:right="0" w:firstLine="708" w:firstLineChars="253"/>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(3)由于投标人串标、通标等违规、违法或过失行为导致开标失败，重新开标的；</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16.6 未中标的投标人的投标保证金将在定标结束后7天内予以退还；</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16.7 中标的投标人的投标保证金，在合同签订后予以退还。</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16.8 中标人无正当理由拒签合同的，视为中标人自动放弃中标资格，招标人按评委委员会推选中标候选人次序确定中标人；放弃中标资格的投标人，其投标保证金不予退还，给招标人造成的损失超过投标保证金数额的，中标人还应当对超过部分予以赔偿。</w:t>
      </w:r>
    </w:p>
    <w:p>
      <w:pPr>
        <w:wordWrap/>
        <w:snapToGrid/>
        <w:spacing w:line="500" w:lineRule="exact"/>
        <w:ind w:left="0" w:leftChars="0" w:right="0"/>
        <w:jc w:val="left"/>
        <w:textAlignment w:val="auto"/>
        <w:rPr>
          <w:rFonts w:hint="eastAsia" w:ascii="宋体" w:hAnsi="宋体" w:eastAsia="宋体" w:cs="宋体"/>
          <w:color w:val="000000"/>
          <w:sz w:val="28"/>
          <w:szCs w:val="28"/>
          <w:highlight w:val="none"/>
        </w:rPr>
      </w:pPr>
      <w:bookmarkStart w:id="15" w:name="_Toc175541464"/>
    </w:p>
    <w:p>
      <w:pPr>
        <w:pStyle w:val="12"/>
        <w:wordWrap/>
        <w:snapToGrid/>
        <w:spacing w:line="500" w:lineRule="exact"/>
        <w:ind w:left="0" w:leftChars="0" w:right="0"/>
        <w:jc w:val="center"/>
        <w:textAlignment w:val="auto"/>
        <w:outlineLvl w:val="1"/>
        <w:rPr>
          <w:rFonts w:hint="eastAsia" w:ascii="宋体" w:hAnsi="宋体" w:eastAsia="宋体" w:cs="宋体"/>
          <w:b/>
          <w:color w:val="000000"/>
          <w:sz w:val="32"/>
          <w:szCs w:val="32"/>
          <w:highlight w:val="none"/>
        </w:rPr>
      </w:pPr>
      <w:bookmarkStart w:id="16" w:name="_Toc22181"/>
      <w:r>
        <w:rPr>
          <w:rFonts w:hint="eastAsia" w:ascii="宋体" w:hAnsi="宋体" w:eastAsia="宋体" w:cs="宋体"/>
          <w:b/>
          <w:color w:val="000000"/>
          <w:sz w:val="32"/>
          <w:szCs w:val="32"/>
          <w:highlight w:val="none"/>
        </w:rPr>
        <w:t>四   投标文件的递交</w:t>
      </w:r>
      <w:bookmarkEnd w:id="15"/>
      <w:bookmarkEnd w:id="16"/>
    </w:p>
    <w:p>
      <w:pPr>
        <w:pStyle w:val="12"/>
        <w:wordWrap/>
        <w:snapToGrid/>
        <w:spacing w:line="500" w:lineRule="exact"/>
        <w:ind w:left="0" w:leftChars="0" w:right="0"/>
        <w:textAlignment w:val="auto"/>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color w:val="000000"/>
          <w:sz w:val="28"/>
          <w:szCs w:val="28"/>
          <w:highlight w:val="none"/>
        </w:rPr>
        <w:t>17．投标文件的密封与标记</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17.1投标人应将投标文件正本和副本分开装入信袋内加以密封，并在信袋上标明“正本”或“副本”字样，在密封处加盖本单位行政公章</w:t>
      </w:r>
      <w:r>
        <w:rPr>
          <w:rFonts w:hint="eastAsia" w:ascii="宋体" w:hAnsi="宋体" w:eastAsia="宋体" w:cs="宋体"/>
          <w:color w:val="000000"/>
          <w:sz w:val="28"/>
          <w:szCs w:val="28"/>
          <w:highlight w:val="none"/>
          <w:lang w:eastAsia="zh-CN"/>
        </w:rPr>
        <w:t>及法定代表人章</w:t>
      </w:r>
      <w:r>
        <w:rPr>
          <w:rFonts w:hint="eastAsia" w:ascii="宋体" w:hAnsi="宋体" w:eastAsia="宋体" w:cs="宋体"/>
          <w:color w:val="000000"/>
          <w:sz w:val="28"/>
          <w:szCs w:val="28"/>
          <w:highlight w:val="none"/>
        </w:rPr>
        <w:t>。</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17.2所有投标文件信袋上均应写明：</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(1)招标代理机构：</w:t>
      </w:r>
      <w:r>
        <w:rPr>
          <w:rFonts w:hint="eastAsia" w:ascii="宋体" w:hAnsi="宋体" w:eastAsia="宋体" w:cs="宋体"/>
          <w:color w:val="000000"/>
          <w:sz w:val="28"/>
          <w:szCs w:val="28"/>
          <w:highlight w:val="none"/>
          <w:lang w:eastAsia="zh-CN"/>
        </w:rPr>
        <w:t>新疆</w:t>
      </w:r>
      <w:r>
        <w:rPr>
          <w:rFonts w:hint="eastAsia" w:ascii="宋体" w:hAnsi="宋体" w:eastAsia="宋体" w:cs="宋体"/>
          <w:color w:val="000000"/>
          <w:sz w:val="28"/>
          <w:szCs w:val="28"/>
          <w:highlight w:val="none"/>
        </w:rPr>
        <w:t>毅峰工程项目管理有限公司。</w:t>
      </w:r>
    </w:p>
    <w:p>
      <w:pPr>
        <w:wordWrap/>
        <w:snapToGrid/>
        <w:spacing w:line="500" w:lineRule="exact"/>
        <w:ind w:left="0" w:leftChars="0" w:right="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 xml:space="preserve">    (2)招标项目名称：</w:t>
      </w:r>
      <w:r>
        <w:rPr>
          <w:rFonts w:hint="eastAsia" w:ascii="宋体" w:hAnsi="宋体" w:eastAsia="宋体" w:cs="宋体"/>
          <w:color w:val="000000"/>
          <w:sz w:val="28"/>
          <w:szCs w:val="28"/>
          <w:highlight w:val="none"/>
          <w:lang w:eastAsia="zh-CN"/>
        </w:rPr>
        <w:t>霍城县农业水价综合改革计量设施建设项目</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(3)投标企业名称和地址：</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(4)注明“投标截止时间前不准启封”。</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17.3未按本须知要求密封、标记和投递的投标文件，招标人将予以拒绝，并退还给投标人。</w:t>
      </w:r>
    </w:p>
    <w:p>
      <w:pPr>
        <w:pStyle w:val="12"/>
        <w:wordWrap/>
        <w:snapToGrid/>
        <w:spacing w:line="500" w:lineRule="exact"/>
        <w:ind w:left="0" w:leftChars="0" w:right="0" w:firstLine="56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18.  投标文件递交的截止时间</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18.1 投标人必须在招标书规定的投标截止日期前将投标文件送达招标文件中指定的投标地点。</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18.2 超过投标截止时间送达的投标文件将不予接受。</w:t>
      </w:r>
    </w:p>
    <w:p>
      <w:pPr>
        <w:pStyle w:val="12"/>
        <w:wordWrap/>
        <w:snapToGrid/>
        <w:spacing w:line="500" w:lineRule="exact"/>
        <w:ind w:left="0" w:leftChars="0" w:right="0"/>
        <w:textAlignment w:val="auto"/>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color w:val="000000"/>
          <w:sz w:val="28"/>
          <w:szCs w:val="28"/>
          <w:highlight w:val="none"/>
        </w:rPr>
        <w:t>19.  投标文件的修改和撤销</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19.1 投标人在提交投标文件后可对其投标文件进行修改或撤销。但招标方须在投标截止时间前收到该修改或撤销的书面通知。</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19.2投标人对投标文件的修改或撤销应按第17和18条规定进行准备、密封、标记和递交。</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19.3投标截止时间后不得修改投标文件。</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19.4投标人不得在投标截止时间起至投标文件有效期满前撤销投标文件，否则将不予退还其投标保证金。</w:t>
      </w:r>
      <w:bookmarkStart w:id="17" w:name="_Toc22361"/>
      <w:bookmarkStart w:id="18" w:name="_Toc175541465"/>
    </w:p>
    <w:p>
      <w:pPr>
        <w:pStyle w:val="12"/>
        <w:wordWrap/>
        <w:snapToGrid/>
        <w:spacing w:line="500" w:lineRule="exact"/>
        <w:ind w:left="0" w:leftChars="0" w:right="0"/>
        <w:jc w:val="left"/>
        <w:textAlignment w:val="auto"/>
        <w:outlineLvl w:val="9"/>
        <w:rPr>
          <w:rFonts w:hint="eastAsia" w:ascii="宋体" w:hAnsi="宋体" w:eastAsia="宋体" w:cs="宋体"/>
          <w:color w:val="000000"/>
          <w:sz w:val="28"/>
          <w:szCs w:val="28"/>
          <w:highlight w:val="none"/>
        </w:rPr>
      </w:pPr>
    </w:p>
    <w:p>
      <w:pPr>
        <w:pStyle w:val="12"/>
        <w:wordWrap/>
        <w:snapToGrid/>
        <w:spacing w:line="500" w:lineRule="exact"/>
        <w:ind w:left="0" w:leftChars="0" w:right="0"/>
        <w:jc w:val="center"/>
        <w:textAlignment w:val="auto"/>
        <w:outlineLvl w:val="1"/>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五   开标 唱标 评标</w:t>
      </w:r>
      <w:bookmarkEnd w:id="17"/>
      <w:bookmarkEnd w:id="18"/>
    </w:p>
    <w:p>
      <w:pPr>
        <w:pStyle w:val="12"/>
        <w:wordWrap/>
        <w:snapToGrid/>
        <w:spacing w:line="500" w:lineRule="exact"/>
        <w:ind w:left="0" w:leftChars="0" w:right="0" w:firstLine="645"/>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20.有效证件</w:t>
      </w:r>
    </w:p>
    <w:p>
      <w:pPr>
        <w:pStyle w:val="12"/>
        <w:wordWrap/>
        <w:snapToGrid/>
        <w:spacing w:line="500" w:lineRule="exact"/>
        <w:ind w:left="0" w:leftChars="0" w:right="0" w:firstLine="645"/>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20.1开标前，招标人及监督组将查验投标人以下证件：</w:t>
      </w:r>
    </w:p>
    <w:p>
      <w:pPr>
        <w:pStyle w:val="12"/>
        <w:widowControl w:val="0"/>
        <w:numPr>
          <w:ilvl w:val="0"/>
          <w:numId w:val="0"/>
        </w:numPr>
        <w:wordWrap/>
        <w:adjustRightInd/>
        <w:snapToGrid/>
        <w:spacing w:line="500" w:lineRule="exact"/>
        <w:ind w:left="0" w:leftChars="0" w:right="0" w:firstLine="562" w:firstLineChars="200"/>
        <w:jc w:val="both"/>
        <w:textAlignment w:val="auto"/>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rPr>
        <w:t>投标企业有效经年检的三证合一营业执照副本原件或事业单位法人证书原件；</w:t>
      </w:r>
    </w:p>
    <w:p>
      <w:pPr>
        <w:pStyle w:val="12"/>
        <w:widowControl w:val="0"/>
        <w:numPr>
          <w:ilvl w:val="0"/>
          <w:numId w:val="0"/>
        </w:numPr>
        <w:wordWrap/>
        <w:adjustRightInd/>
        <w:snapToGrid/>
        <w:spacing w:line="500" w:lineRule="exact"/>
        <w:ind w:left="0" w:leftChars="0" w:right="0" w:firstLine="562" w:firstLineChars="200"/>
        <w:jc w:val="both"/>
        <w:textAlignment w:val="auto"/>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2</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法定代表人身份证明书或法定代表人授权委托书和法定代表人身份证复印件</w:t>
      </w:r>
      <w:r>
        <w:rPr>
          <w:rFonts w:hint="eastAsia" w:ascii="宋体" w:hAnsi="宋体" w:eastAsia="宋体" w:cs="宋体"/>
          <w:b/>
          <w:bCs/>
          <w:color w:val="000000"/>
          <w:sz w:val="28"/>
          <w:szCs w:val="28"/>
          <w:highlight w:val="none"/>
        </w:rPr>
        <w:t>；</w:t>
      </w:r>
    </w:p>
    <w:p>
      <w:pPr>
        <w:pStyle w:val="12"/>
        <w:widowControl w:val="0"/>
        <w:numPr>
          <w:ilvl w:val="0"/>
          <w:numId w:val="0"/>
        </w:numPr>
        <w:wordWrap/>
        <w:adjustRightInd/>
        <w:snapToGrid/>
        <w:spacing w:line="500" w:lineRule="exact"/>
        <w:ind w:left="0" w:leftChars="0" w:right="0" w:firstLine="562" w:firstLineChars="200"/>
        <w:jc w:val="both"/>
        <w:textAlignment w:val="auto"/>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3</w:t>
      </w:r>
      <w:r>
        <w:rPr>
          <w:rFonts w:hint="eastAsia" w:ascii="宋体" w:hAnsi="宋体" w:eastAsia="宋体" w:cs="宋体"/>
          <w:b/>
          <w:bCs/>
          <w:color w:val="000000"/>
          <w:sz w:val="28"/>
          <w:szCs w:val="28"/>
          <w:highlight w:val="none"/>
          <w:lang w:eastAsia="zh-CN"/>
        </w:rPr>
        <w:t>）企业资质证书；</w:t>
      </w:r>
    </w:p>
    <w:p>
      <w:pPr>
        <w:pStyle w:val="12"/>
        <w:widowControl w:val="0"/>
        <w:numPr>
          <w:ilvl w:val="0"/>
          <w:numId w:val="0"/>
        </w:numPr>
        <w:wordWrap/>
        <w:adjustRightInd/>
        <w:snapToGrid/>
        <w:spacing w:line="500" w:lineRule="exact"/>
        <w:ind w:left="0" w:leftChars="0" w:right="0" w:firstLine="562" w:firstLineChars="200"/>
        <w:jc w:val="both"/>
        <w:textAlignment w:val="auto"/>
        <w:outlineLvl w:val="9"/>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4</w:t>
      </w:r>
      <w:r>
        <w:rPr>
          <w:rFonts w:hint="eastAsia" w:ascii="宋体" w:hAnsi="宋体" w:eastAsia="宋体" w:cs="宋体"/>
          <w:b/>
          <w:bCs/>
          <w:color w:val="000000"/>
          <w:sz w:val="28"/>
          <w:szCs w:val="28"/>
          <w:highlight w:val="none"/>
          <w:lang w:eastAsia="zh-CN"/>
        </w:rPr>
        <w:t>）项目负责人中级职称证</w:t>
      </w:r>
    </w:p>
    <w:p>
      <w:pPr>
        <w:pStyle w:val="12"/>
        <w:widowControl w:val="0"/>
        <w:numPr>
          <w:ilvl w:val="0"/>
          <w:numId w:val="0"/>
        </w:numPr>
        <w:wordWrap/>
        <w:adjustRightInd/>
        <w:snapToGrid/>
        <w:spacing w:line="500" w:lineRule="exact"/>
        <w:ind w:right="0" w:firstLine="562" w:firstLineChars="200"/>
        <w:jc w:val="both"/>
        <w:textAlignment w:val="auto"/>
        <w:outlineLvl w:val="9"/>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eastAsia="zh-CN"/>
        </w:rPr>
        <w:t>（</w:t>
      </w:r>
      <w:r>
        <w:rPr>
          <w:rFonts w:hint="eastAsia" w:hAnsi="宋体" w:cs="宋体"/>
          <w:b/>
          <w:bCs/>
          <w:color w:val="000000"/>
          <w:sz w:val="28"/>
          <w:szCs w:val="28"/>
          <w:highlight w:val="none"/>
          <w:lang w:val="en-US" w:eastAsia="zh-CN"/>
        </w:rPr>
        <w:t>5</w:t>
      </w:r>
      <w:r>
        <w:rPr>
          <w:rFonts w:hint="eastAsia" w:ascii="宋体" w:hAnsi="宋体" w:eastAsia="宋体" w:cs="宋体"/>
          <w:b/>
          <w:bCs/>
          <w:color w:val="000000"/>
          <w:sz w:val="28"/>
          <w:szCs w:val="28"/>
          <w:highlight w:val="none"/>
          <w:lang w:eastAsia="zh-CN"/>
        </w:rPr>
        <w:t>）近半年的完税证明</w:t>
      </w:r>
    </w:p>
    <w:p>
      <w:pPr>
        <w:pStyle w:val="12"/>
        <w:widowControl w:val="0"/>
        <w:numPr>
          <w:ilvl w:val="0"/>
          <w:numId w:val="0"/>
        </w:numPr>
        <w:wordWrap/>
        <w:adjustRightInd/>
        <w:snapToGrid/>
        <w:spacing w:line="500" w:lineRule="exact"/>
        <w:ind w:left="0" w:leftChars="0" w:right="0" w:firstLine="562" w:firstLineChars="200"/>
        <w:jc w:val="both"/>
        <w:textAlignment w:val="auto"/>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eastAsia="zh-CN"/>
        </w:rPr>
        <w:t>（</w:t>
      </w:r>
      <w:r>
        <w:rPr>
          <w:rFonts w:hint="eastAsia" w:hAnsi="宋体" w:cs="宋体"/>
          <w:b/>
          <w:bCs/>
          <w:color w:val="000000"/>
          <w:sz w:val="28"/>
          <w:szCs w:val="28"/>
          <w:highlight w:val="none"/>
          <w:lang w:val="en-US" w:eastAsia="zh-CN"/>
        </w:rPr>
        <w:t>6</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无重大违法记录的声明函</w:t>
      </w:r>
    </w:p>
    <w:p>
      <w:pPr>
        <w:pStyle w:val="12"/>
        <w:widowControl w:val="0"/>
        <w:numPr>
          <w:ilvl w:val="0"/>
          <w:numId w:val="0"/>
        </w:numPr>
        <w:wordWrap/>
        <w:adjustRightInd/>
        <w:snapToGrid/>
        <w:spacing w:line="500" w:lineRule="exact"/>
        <w:ind w:left="0" w:leftChars="0" w:right="0" w:firstLine="562" w:firstLineChars="200"/>
        <w:jc w:val="both"/>
        <w:textAlignment w:val="auto"/>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eastAsia="zh-CN"/>
        </w:rPr>
        <w:t>（</w:t>
      </w:r>
      <w:r>
        <w:rPr>
          <w:rFonts w:hint="eastAsia" w:hAnsi="宋体" w:cs="宋体"/>
          <w:b/>
          <w:bCs/>
          <w:color w:val="000000"/>
          <w:sz w:val="28"/>
          <w:szCs w:val="28"/>
          <w:highlight w:val="none"/>
          <w:lang w:val="en-US" w:eastAsia="zh-CN"/>
        </w:rPr>
        <w:t>7</w:t>
      </w:r>
      <w:r>
        <w:rPr>
          <w:rFonts w:hint="eastAsia" w:ascii="宋体" w:hAnsi="宋体" w:eastAsia="宋体" w:cs="宋体"/>
          <w:b/>
          <w:bCs/>
          <w:color w:val="000000"/>
          <w:sz w:val="28"/>
          <w:szCs w:val="28"/>
          <w:highlight w:val="none"/>
          <w:lang w:eastAsia="zh-CN"/>
        </w:rPr>
        <w:t>）“信用中国”（www.creditchina.gov.cn）、“中国政府采购网”（www.ccgp.gov.cn）列入失信被执行人、重大税收违法案件当事人名单、政府采购严重违法失信行为记录名单网页打印页截图。</w:t>
      </w:r>
    </w:p>
    <w:p>
      <w:pPr>
        <w:pStyle w:val="12"/>
        <w:widowControl w:val="0"/>
        <w:numPr>
          <w:ilvl w:val="0"/>
          <w:numId w:val="0"/>
        </w:numPr>
        <w:wordWrap/>
        <w:adjustRightInd/>
        <w:snapToGrid/>
        <w:spacing w:line="500" w:lineRule="exact"/>
        <w:ind w:leftChars="200" w:right="0"/>
        <w:jc w:val="both"/>
        <w:textAlignment w:val="auto"/>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eastAsia="zh-CN"/>
        </w:rPr>
        <w:t>（</w:t>
      </w:r>
      <w:r>
        <w:rPr>
          <w:rFonts w:hint="eastAsia" w:hAnsi="宋体" w:cs="宋体"/>
          <w:b/>
          <w:bCs/>
          <w:color w:val="000000"/>
          <w:sz w:val="28"/>
          <w:szCs w:val="28"/>
          <w:highlight w:val="none"/>
          <w:lang w:val="en-US" w:eastAsia="zh-CN"/>
        </w:rPr>
        <w:t>8</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rPr>
        <w:t>投标保证金的收据原件</w:t>
      </w:r>
    </w:p>
    <w:p>
      <w:pPr>
        <w:pStyle w:val="12"/>
        <w:wordWrap/>
        <w:snapToGrid/>
        <w:spacing w:line="500" w:lineRule="exact"/>
        <w:ind w:left="0" w:leftChars="0" w:right="0" w:firstLine="645"/>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投标人必须按上述要求携带证件</w:t>
      </w:r>
      <w:r>
        <w:rPr>
          <w:rFonts w:hint="eastAsia" w:ascii="宋体" w:hAnsi="宋体" w:eastAsia="宋体" w:cs="宋体"/>
          <w:b/>
          <w:bCs/>
          <w:color w:val="000000"/>
          <w:sz w:val="28"/>
          <w:szCs w:val="28"/>
          <w:highlight w:val="none"/>
          <w:lang w:eastAsia="zh-CN"/>
        </w:rPr>
        <w:t>原件</w:t>
      </w:r>
      <w:r>
        <w:rPr>
          <w:rFonts w:hint="eastAsia" w:ascii="宋体" w:hAnsi="宋体" w:eastAsia="宋体" w:cs="宋体"/>
          <w:b/>
          <w:bCs/>
          <w:color w:val="000000"/>
          <w:sz w:val="28"/>
          <w:szCs w:val="28"/>
          <w:highlight w:val="none"/>
        </w:rPr>
        <w:t>，复印件或公证件均不予认可。</w:t>
      </w:r>
    </w:p>
    <w:p>
      <w:pPr>
        <w:pStyle w:val="12"/>
        <w:wordWrap/>
        <w:snapToGrid/>
        <w:spacing w:line="500" w:lineRule="exact"/>
        <w:ind w:left="0" w:leftChars="0" w:right="0" w:firstLine="645"/>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20.2 上述证件齐全的投标人为合格的投标人。</w:t>
      </w:r>
    </w:p>
    <w:p>
      <w:pPr>
        <w:pStyle w:val="12"/>
        <w:wordWrap/>
        <w:snapToGrid/>
        <w:spacing w:line="500" w:lineRule="exact"/>
        <w:ind w:left="0" w:leftChars="0" w:right="0" w:firstLine="57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21.  开标</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21.1 招标方按招标文件规定的时间地点开标，由相关监督部门组成监督组监标，届时所有投标人应派代表参加。</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21.2 开标时唱报价、投标文件的修改、撤销以及评标委员会认为合适的其它内容。</w:t>
      </w:r>
    </w:p>
    <w:p>
      <w:pPr>
        <w:pStyle w:val="12"/>
        <w:wordWrap/>
        <w:snapToGrid/>
        <w:spacing w:line="500" w:lineRule="exact"/>
        <w:ind w:left="0" w:leftChars="0" w:right="0" w:firstLine="644" w:firstLineChars="23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21.3招标代理机构将对开标进行相关记录。与会的投标人代表应在登记册上签字证明出席。</w:t>
      </w:r>
    </w:p>
    <w:p>
      <w:pPr>
        <w:pStyle w:val="12"/>
        <w:wordWrap/>
        <w:snapToGrid/>
        <w:spacing w:line="500" w:lineRule="exact"/>
        <w:ind w:left="0" w:leftChars="0" w:right="0" w:firstLine="56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22.无效的投标文件 </w:t>
      </w:r>
    </w:p>
    <w:p>
      <w:pPr>
        <w:pStyle w:val="12"/>
        <w:widowControl w:val="0"/>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开标时，投标文件出现下列情形之一的，应当作为无效投标文件，不得进入评标：</w:t>
      </w:r>
    </w:p>
    <w:p>
      <w:pPr>
        <w:pStyle w:val="12"/>
        <w:widowControl w:val="0"/>
        <w:numPr>
          <w:ilvl w:val="0"/>
          <w:numId w:val="0"/>
        </w:numPr>
        <w:wordWrap/>
        <w:adjustRightInd w:val="0"/>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投标文件未按照招标文件要求予以密封的；</w:t>
      </w:r>
    </w:p>
    <w:p>
      <w:pPr>
        <w:pStyle w:val="12"/>
        <w:widowControl w:val="0"/>
        <w:numPr>
          <w:ilvl w:val="0"/>
          <w:numId w:val="0"/>
        </w:numPr>
        <w:tabs>
          <w:tab w:val="left" w:pos="-105"/>
        </w:tabs>
        <w:wordWrap/>
        <w:adjustRightInd w:val="0"/>
        <w:snapToGrid/>
        <w:spacing w:line="500" w:lineRule="exact"/>
        <w:ind w:left="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投标文件未按规定时间送达的；</w:t>
      </w:r>
    </w:p>
    <w:p>
      <w:pPr>
        <w:pStyle w:val="12"/>
        <w:widowControl w:val="0"/>
        <w:numPr>
          <w:ilvl w:val="0"/>
          <w:numId w:val="0"/>
        </w:numPr>
        <w:tabs>
          <w:tab w:val="left" w:pos="-105"/>
        </w:tabs>
        <w:wordWrap/>
        <w:adjustRightInd w:val="0"/>
        <w:snapToGrid/>
        <w:spacing w:line="500" w:lineRule="exact"/>
        <w:ind w:left="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投标人的法定代表人或委托代理人未参加开标会议的；</w:t>
      </w:r>
    </w:p>
    <w:p>
      <w:pPr>
        <w:pStyle w:val="12"/>
        <w:widowControl w:val="0"/>
        <w:numPr>
          <w:ilvl w:val="0"/>
          <w:numId w:val="0"/>
        </w:numPr>
        <w:wordWrap/>
        <w:adjustRightInd w:val="0"/>
        <w:snapToGrid/>
        <w:spacing w:line="500" w:lineRule="exact"/>
        <w:ind w:left="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按本文件第20条规定证件不齐全的；</w:t>
      </w:r>
    </w:p>
    <w:p>
      <w:pPr>
        <w:pStyle w:val="12"/>
        <w:wordWrap/>
        <w:snapToGrid/>
        <w:spacing w:line="500" w:lineRule="exact"/>
        <w:ind w:left="0" w:leftChars="0" w:right="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23.唱标  </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由投标人推选的代表检查有效投标文件的密封标志情况，经确认无误后，由相关工作人员当众拆封，宣读投标人名称、投标报价和投标文件的其他主要内容。开标时，未宣读和记录的投标价格在评标时将不予考虑。</w:t>
      </w:r>
    </w:p>
    <w:p>
      <w:pPr>
        <w:pStyle w:val="12"/>
        <w:widowControl/>
        <w:wordWrap/>
        <w:snapToGrid/>
        <w:spacing w:line="500" w:lineRule="exact"/>
        <w:ind w:left="0" w:leftChars="0" w:right="0" w:firstLine="551" w:firstLineChars="196"/>
        <w:jc w:val="left"/>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24.评标  </w:t>
      </w:r>
    </w:p>
    <w:p>
      <w:pPr>
        <w:pStyle w:val="12"/>
        <w:widowControl/>
        <w:wordWrap/>
        <w:snapToGrid/>
        <w:spacing w:line="500" w:lineRule="exact"/>
        <w:ind w:left="0" w:leftChars="0" w:right="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24.1评标委员会</w:t>
      </w:r>
    </w:p>
    <w:p>
      <w:pPr>
        <w:pStyle w:val="12"/>
        <w:widowControl/>
        <w:wordWrap/>
        <w:snapToGrid/>
        <w:spacing w:line="500" w:lineRule="exact"/>
        <w:ind w:left="0" w:leftChars="0" w:right="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评标委员会依法组建，负责评标活动，向招标人推荐中标候选人。评标委员会成员名单在中标结果确定前应当保密。</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评标委员会由招标人的代表，以及有关技术、经济等方面的专家组成，成员人数为五人以上的单数，其中技术、经济等方面的专家不得少于成员总数的三分之二。评标委员会设负责人的，评标委员会负责人由评标委员会成员推举产生。评标委员会负责人与评标委员会的其他成员有同等的表决权。</w:t>
      </w:r>
    </w:p>
    <w:p>
      <w:pPr>
        <w:pStyle w:val="12"/>
        <w:widowControl/>
        <w:wordWrap/>
        <w:snapToGrid/>
        <w:spacing w:line="500" w:lineRule="exact"/>
        <w:ind w:left="0" w:leftChars="0" w:right="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24.2评标的依据为招标文件和投标文件。</w:t>
      </w:r>
    </w:p>
    <w:p>
      <w:pPr>
        <w:pStyle w:val="12"/>
        <w:wordWrap/>
        <w:snapToGrid/>
        <w:spacing w:line="500" w:lineRule="exact"/>
        <w:ind w:left="0" w:leftChars="0" w:right="0" w:firstLine="562" w:firstLineChars="200"/>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25.评标过程的保密性</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25.1开标后，直到授予投标人合同止，凡是属于审查、澄清,评价和比较的有关资料以及授标建议等均不得向投标人或其他无关的人员透露。</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25.2投标人在评标过程中，所进行的力图影响评标结果的不符合招标投标法的活动，都可能导致其被取消中标资格。</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25.3 招标方对投标人未中标的原因不做任何书面解释。</w:t>
      </w:r>
    </w:p>
    <w:p>
      <w:pPr>
        <w:pStyle w:val="12"/>
        <w:wordWrap/>
        <w:snapToGrid/>
        <w:spacing w:line="500" w:lineRule="exact"/>
        <w:ind w:left="0" w:leftChars="0" w:right="0"/>
        <w:textAlignment w:val="auto"/>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b/>
          <w:color w:val="000000"/>
          <w:sz w:val="28"/>
          <w:szCs w:val="28"/>
          <w:highlight w:val="none"/>
        </w:rPr>
        <w:t>26.对投标文件的初步审查和响应性确定</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26.1开标后评标委员会对以下内容审查</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（1）投标文件是否有投标单位法定代表人或其授权代表签字和加盖了投标单位的公章；</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（2）相关证件是否齐全；</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（3）投标人是否对同一招标项目做出两个以上报价而未明确效力；</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（4）技术性能、技术参数、使用年限是否满足招标文件要求；</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（5）货物到货地点是否符合招标文件要求；</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（6）交货期是否符合招标文件要求；</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26.2如果单价与总价有出入则以单价为准，修正总价；若大写与数字间有出入，则以大写金额为准,若投标人拒绝接受上述修正,其投标将可能被否决。</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26.3在对投标文件进行详细评估之前,评标委员会将审查每一份投标文件是否对招标文件的要求做出了实质性的响应。实质性响应的投标应该是与招标文件的全部条款,条件和规格相符,而没有重大偏离。重大偏离系指影响到合同的供货范围,质量性能和规格或在实质上与招标文件不一致,而且限制了招标人的权力和投标人的义务。而纠正或承认这些偏离将会对投标人的竞争地位产生不公正的影响。</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26.4 判断投标文件的响应性仅基于投标文件本身而不靠外部证据。</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26.5 招标人将拒绝被定为非响应性的投标,投标人不能通过修正或撤销不符之处而使其投标成为响应性投标。</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26.6 评标委员会将允许投标中有微小的不正规,不一致或不规则,而该微小之处不构成重大偏离。</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27．投标文件的澄清或调整</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27.1 为有助于投标的审查、评价和比较，评标委员会有权要求投标人对投标文件进行澄清或调整。有关澄清或调整的要求和答复应以书面形式，并有法人授权代表的签章。</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27.2 如果投标人在投标文件中未对招标文件中的条款或参数要求提出偏离意见或澄清，将视同投标人同意招标文件的全部或部分要求。</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28. 投标的评价和比较</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28.1 评标委员会将按照规定仅对确定为实质上响应招标文件要求的投标进行评价和比较(详见第七部分评标标准）。</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28.2 评标委员会在评标时对下列因素不予考虑：</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（1）如果投标中有价格调整，对合同实施期间即使允许价格调整，报价也只能作为价格的最高限。</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28.3 评标以目的地交货的价格为基础，按照第11项要求调整。</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28.4 评标委员会在评标时，除了考虑投标人的报价和售后服务价格之外，还要考虑下列因素：</w:t>
      </w:r>
    </w:p>
    <w:p>
      <w:pPr>
        <w:pStyle w:val="12"/>
        <w:wordWrap/>
        <w:snapToGrid/>
        <w:spacing w:line="500" w:lineRule="exact"/>
        <w:ind w:left="0" w:leftChars="0" w:right="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28.4.1投标设备的技术水平、性能；</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28.4.2投标设备的质量和适应性；</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28.4.3投标文件中的付款方式；</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28.4.4交货期、完工期和供货能力；</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28.4.5配套设备的齐全性（如有需要）；</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28.4.6备品备件和售后服务承诺；</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28.4.7其他特殊要求因素（如安全及环保等）；</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　　28.4.8投标人的综合实力、资质、业绩和信誉等；</w:t>
      </w:r>
    </w:p>
    <w:p>
      <w:pPr>
        <w:pStyle w:val="12"/>
        <w:wordWrap/>
        <w:snapToGrid/>
        <w:spacing w:line="500" w:lineRule="exact"/>
        <w:ind w:left="0" w:leftChars="0" w:right="0"/>
        <w:jc w:val="lef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28.4.9设备寿命期内的运营和维修保养费。</w:t>
      </w:r>
    </w:p>
    <w:p>
      <w:pPr>
        <w:pStyle w:val="12"/>
        <w:wordWrap/>
        <w:snapToGrid/>
        <w:spacing w:line="500" w:lineRule="exact"/>
        <w:ind w:left="0" w:leftChars="0" w:right="0"/>
        <w:jc w:val="center"/>
        <w:textAlignment w:val="auto"/>
        <w:outlineLvl w:val="9"/>
        <w:rPr>
          <w:rFonts w:hint="eastAsia" w:ascii="宋体" w:hAnsi="宋体" w:eastAsia="宋体" w:cs="宋体"/>
          <w:color w:val="000000"/>
          <w:sz w:val="32"/>
          <w:szCs w:val="32"/>
          <w:highlight w:val="none"/>
        </w:rPr>
      </w:pPr>
      <w:bookmarkStart w:id="19" w:name="_Toc30672"/>
    </w:p>
    <w:p>
      <w:pPr>
        <w:pStyle w:val="12"/>
        <w:wordWrap/>
        <w:snapToGrid/>
        <w:spacing w:line="500" w:lineRule="exact"/>
        <w:ind w:left="0" w:leftChars="0" w:right="0"/>
        <w:jc w:val="center"/>
        <w:textAlignment w:val="auto"/>
        <w:outlineLvl w:val="1"/>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六  中标及授予合同</w:t>
      </w:r>
      <w:bookmarkEnd w:id="19"/>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29.中标候选人的确定</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评标委员会根据评议把实质上响应招标文件要求的，并且是最有利于招标人的投标人，确定为中标候选人。</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30. 授予合同</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30.1 招标人将对中标候选人是否有资格满意地履行合同义务进行复审。</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30.2 如果审查通过，招标人将把合同授予最有利于招标人的投标人,如果审查没有通过，将否决其投标。在这种情况下，招标人将对下一个最有利于招标人的投标人做类似的审查。</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31．定标原则</w:t>
      </w:r>
    </w:p>
    <w:p>
      <w:pPr>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31.1能够最大限度地满足招标文件中规定的各项综合评价标准；</w:t>
      </w:r>
    </w:p>
    <w:p>
      <w:pPr>
        <w:pStyle w:val="12"/>
        <w:wordWrap/>
        <w:snapToGrid/>
        <w:spacing w:line="500" w:lineRule="exact"/>
        <w:ind w:left="0" w:leftChars="0" w:righ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31.2</w:t>
      </w:r>
      <w:r>
        <w:rPr>
          <w:rFonts w:hint="eastAsia" w:ascii="宋体" w:hAnsi="宋体" w:eastAsia="宋体" w:cs="宋体"/>
          <w:color w:val="000000"/>
          <w:spacing w:val="-2"/>
          <w:sz w:val="28"/>
          <w:szCs w:val="28"/>
          <w:highlight w:val="none"/>
        </w:rPr>
        <w:t>能够满足招标文件的实质性要求。</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32. 中标通知书</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32.1 在投标有效期满之前，招标人将以书面形式通知中标人，其投标已被接受，对未中标人不解释落标原因，退还投标文件副本。</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32.2 中标通知书是合同的一个组成部分。</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33.拒绝某些或所有投标的权力</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招标机构有权在定标之前拒绝任何有不正当行为或扰乱正常招标工作的投标人，由此对投标人造成的损失不负任何责任，同时对此也不做任何解释。</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34．签订合同</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34.1 中标人在收到招标人的中标通知书后七（7）天内，应按要求派代表前来最后洽谈和签订合同。</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34.2 如果中标人没按照规定时间与招标人签订合同，视为中标人自动放弃中标，其投标保证金不予退还。在此情况下可将标授予下一个有利于招标人的中标候选人。</w:t>
      </w:r>
    </w:p>
    <w:p>
      <w:pPr>
        <w:pStyle w:val="12"/>
        <w:wordWrap/>
        <w:snapToGrid/>
        <w:spacing w:line="500" w:lineRule="exact"/>
        <w:ind w:left="0" w:leftChars="0" w:right="0" w:firstLine="57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34.3 签订合同时，买卖双方共同承认的招标文件、投标文件及评标过程中形成的书面文件均作为签订合同的依据。</w:t>
      </w:r>
    </w:p>
    <w:p>
      <w:pPr>
        <w:pStyle w:val="12"/>
        <w:wordWrap/>
        <w:snapToGrid/>
        <w:spacing w:line="500" w:lineRule="exact"/>
        <w:ind w:left="0" w:leftChars="0" w:right="0" w:firstLine="57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34．4中标人在收到中标通知书后，须按要求派代表前来最后洽谈和签订合同，并向招标人缴纳中标金额</w:t>
      </w:r>
      <w:r>
        <w:rPr>
          <w:rFonts w:hint="eastAsia" w:ascii="宋体" w:hAnsi="宋体" w:eastAsia="宋体" w:cs="宋体"/>
          <w:color w:val="000000"/>
          <w:sz w:val="28"/>
          <w:szCs w:val="28"/>
          <w:highlight w:val="none"/>
          <w:u w:val="single"/>
          <w:lang w:val="en-US" w:eastAsia="zh-CN"/>
        </w:rPr>
        <w:t>5</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的履约保证金（履约保证金提交方式只为现金），履约保证金在全部货物送达现场并安装调试合格后由需方和其他有关单位验收合格后十日内返还）。</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35．合同的组成</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下列文件均为合同不可分割部分：</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（1）招标文件；</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（2）中标人中标的投标文件；</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（3）合同条款；</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（4）技术规格要求及承诺；</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（5）订货合同；</w:t>
      </w:r>
    </w:p>
    <w:p>
      <w:pPr>
        <w:pStyle w:val="12"/>
        <w:wordWrap/>
        <w:snapToGrid/>
        <w:spacing w:line="500" w:lineRule="exact"/>
        <w:ind w:left="0" w:leftChars="0" w:right="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（6）其他。</w:t>
      </w:r>
    </w:p>
    <w:p>
      <w:pPr>
        <w:spacing w:line="480" w:lineRule="exact"/>
        <w:jc w:val="left"/>
        <w:rPr>
          <w:rFonts w:hint="eastAsia" w:ascii="宋体" w:hAnsi="宋体" w:eastAsia="宋体" w:cs="宋体"/>
          <w:color w:val="000000"/>
          <w:sz w:val="28"/>
          <w:highlight w:val="none"/>
        </w:rPr>
      </w:pPr>
    </w:p>
    <w:p>
      <w:pPr>
        <w:spacing w:line="480" w:lineRule="exact"/>
        <w:jc w:val="left"/>
        <w:rPr>
          <w:rFonts w:hint="eastAsia" w:ascii="宋体" w:hAnsi="宋体" w:eastAsia="宋体" w:cs="宋体"/>
          <w:color w:val="000000"/>
          <w:sz w:val="28"/>
          <w:highlight w:val="none"/>
        </w:rPr>
      </w:pPr>
    </w:p>
    <w:p>
      <w:pPr>
        <w:spacing w:line="480" w:lineRule="exact"/>
        <w:jc w:val="left"/>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6"/>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rPr>
          <w:rFonts w:hint="eastAsia" w:ascii="宋体" w:hAnsi="宋体" w:eastAsia="宋体" w:cs="宋体"/>
          <w:color w:val="000000"/>
          <w:sz w:val="28"/>
          <w:highlight w:val="none"/>
        </w:rPr>
      </w:pPr>
    </w:p>
    <w:p>
      <w:pPr>
        <w:pStyle w:val="27"/>
        <w:rPr>
          <w:rFonts w:hint="eastAsia"/>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firstLine="1760" w:firstLineChars="400"/>
        <w:outlineLvl w:val="0"/>
        <w:rPr>
          <w:rFonts w:hint="eastAsia" w:ascii="宋体" w:hAnsi="宋体" w:eastAsia="宋体" w:cs="宋体"/>
          <w:color w:val="000000"/>
          <w:sz w:val="44"/>
          <w:highlight w:val="none"/>
        </w:rPr>
      </w:pPr>
      <w:bookmarkStart w:id="20" w:name="_Toc175541467"/>
      <w:bookmarkStart w:id="21" w:name="_Toc21953"/>
      <w:bookmarkStart w:id="22" w:name="_Toc5665"/>
      <w:r>
        <w:rPr>
          <w:rFonts w:hint="eastAsia" w:ascii="宋体" w:hAnsi="宋体" w:eastAsia="宋体" w:cs="宋体"/>
          <w:color w:val="000000"/>
          <w:sz w:val="44"/>
          <w:highlight w:val="none"/>
        </w:rPr>
        <w:t>第二部分　　投标文件格式</w:t>
      </w:r>
      <w:bookmarkEnd w:id="20"/>
      <w:bookmarkEnd w:id="21"/>
      <w:bookmarkEnd w:id="22"/>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rPr>
          <w:rFonts w:hint="eastAsia" w:ascii="宋体" w:hAnsi="宋体" w:eastAsia="宋体" w:cs="宋体"/>
          <w:color w:val="000000"/>
          <w:sz w:val="28"/>
          <w:highlight w:val="none"/>
        </w:rPr>
      </w:pPr>
    </w:p>
    <w:p>
      <w:pPr>
        <w:pStyle w:val="27"/>
        <w:rPr>
          <w:rFonts w:hint="eastAsia" w:ascii="宋体" w:hAnsi="宋体" w:eastAsia="宋体" w:cs="宋体"/>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jc w:val="center"/>
        <w:rPr>
          <w:rFonts w:hint="eastAsia" w:ascii="宋体" w:hAnsi="宋体" w:eastAsia="宋体" w:cs="宋体"/>
          <w:color w:val="000000"/>
          <w:sz w:val="52"/>
          <w:szCs w:val="52"/>
          <w:highlight w:val="none"/>
        </w:rPr>
      </w:pPr>
      <w:bookmarkStart w:id="23" w:name="_Toc175541478"/>
    </w:p>
    <w:p>
      <w:pPr>
        <w:jc w:val="center"/>
        <w:rPr>
          <w:rFonts w:hint="eastAsia" w:ascii="宋体" w:hAnsi="宋体" w:eastAsia="宋体" w:cs="宋体"/>
          <w:color w:val="000000"/>
          <w:sz w:val="52"/>
          <w:szCs w:val="52"/>
          <w:highlight w:val="none"/>
        </w:rPr>
      </w:pPr>
    </w:p>
    <w:p>
      <w:pPr>
        <w:jc w:val="center"/>
        <w:rPr>
          <w:rFonts w:hint="eastAsia" w:ascii="宋体" w:hAnsi="宋体" w:eastAsia="宋体" w:cs="宋体"/>
          <w:color w:val="000000"/>
          <w:sz w:val="52"/>
          <w:szCs w:val="52"/>
          <w:highlight w:val="none"/>
        </w:rPr>
      </w:pPr>
    </w:p>
    <w:p>
      <w:pPr>
        <w:jc w:val="center"/>
        <w:rPr>
          <w:rFonts w:hint="eastAsia" w:ascii="宋体" w:hAnsi="宋体" w:eastAsia="宋体" w:cs="宋体"/>
          <w:color w:val="000000"/>
          <w:sz w:val="52"/>
          <w:szCs w:val="52"/>
          <w:highlight w:val="none"/>
        </w:rPr>
      </w:pPr>
      <w:r>
        <w:rPr>
          <w:rFonts w:hint="eastAsia" w:ascii="宋体" w:hAnsi="宋体" w:eastAsia="宋体" w:cs="宋体"/>
          <w:color w:val="000000"/>
          <w:sz w:val="52"/>
          <w:szCs w:val="52"/>
          <w:highlight w:val="none"/>
        </w:rPr>
        <w:t>投标书</w:t>
      </w:r>
      <w:bookmarkEnd w:id="23"/>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firstLine="645"/>
        <w:rPr>
          <w:rFonts w:hint="eastAsia" w:ascii="宋体" w:hAnsi="宋体" w:eastAsia="宋体" w:cs="宋体"/>
          <w:color w:val="000000"/>
          <w:sz w:val="28"/>
          <w:highlight w:val="none"/>
        </w:rPr>
      </w:pPr>
      <w:r>
        <w:rPr>
          <w:rFonts w:hint="eastAsia" w:ascii="宋体" w:hAnsi="宋体" w:eastAsia="宋体" w:cs="宋体"/>
          <w:color w:val="000000"/>
          <w:sz w:val="28"/>
          <w:highlight w:val="none"/>
        </w:rPr>
        <w:t>　　　项目名称:</w:t>
      </w: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firstLine="645"/>
        <w:rPr>
          <w:rFonts w:hint="eastAsia" w:ascii="宋体" w:hAnsi="宋体" w:eastAsia="宋体" w:cs="宋体"/>
          <w:color w:val="000000"/>
          <w:sz w:val="28"/>
          <w:highlight w:val="none"/>
        </w:rPr>
      </w:pPr>
      <w:r>
        <w:rPr>
          <w:rFonts w:hint="eastAsia" w:ascii="宋体" w:hAnsi="宋体" w:eastAsia="宋体" w:cs="宋体"/>
          <w:color w:val="000000"/>
          <w:sz w:val="28"/>
          <w:highlight w:val="none"/>
        </w:rPr>
        <w:t>　　　投标单位:</w:t>
      </w: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firstLine="645"/>
        <w:rPr>
          <w:rFonts w:hint="eastAsia" w:ascii="宋体" w:hAnsi="宋体" w:eastAsia="宋体" w:cs="宋体"/>
          <w:color w:val="000000"/>
          <w:sz w:val="28"/>
          <w:highlight w:val="none"/>
        </w:rPr>
      </w:pPr>
      <w:r>
        <w:rPr>
          <w:rFonts w:hint="eastAsia" w:ascii="宋体" w:hAnsi="宋体" w:eastAsia="宋体" w:cs="宋体"/>
          <w:color w:val="000000"/>
          <w:sz w:val="28"/>
          <w:highlight w:val="none"/>
        </w:rPr>
        <w:t>　　　投标单位授权代表:</w:t>
      </w: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p>
    <w:p>
      <w:pPr>
        <w:pStyle w:val="12"/>
        <w:spacing w:line="520" w:lineRule="exact"/>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投标单位:(公章)</w:t>
      </w:r>
    </w:p>
    <w:p>
      <w:pPr>
        <w:pStyle w:val="12"/>
        <w:spacing w:line="520" w:lineRule="exact"/>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年   月   日</w:t>
      </w:r>
    </w:p>
    <w:p>
      <w:pPr>
        <w:rPr>
          <w:rFonts w:hint="eastAsia" w:ascii="宋体" w:hAnsi="宋体" w:eastAsia="宋体" w:cs="宋体"/>
          <w:color w:val="000000"/>
          <w:sz w:val="28"/>
          <w:highlight w:val="none"/>
        </w:rPr>
      </w:pPr>
    </w:p>
    <w:p>
      <w:pPr>
        <w:pStyle w:val="27"/>
        <w:rPr>
          <w:rFonts w:hint="eastAsia" w:ascii="宋体" w:hAnsi="宋体" w:eastAsia="宋体" w:cs="宋体"/>
        </w:rPr>
      </w:pPr>
    </w:p>
    <w:p>
      <w:pPr>
        <w:pStyle w:val="28"/>
        <w:spacing w:line="360" w:lineRule="exact"/>
        <w:jc w:val="both"/>
        <w:rPr>
          <w:rFonts w:hint="eastAsia" w:ascii="宋体" w:hAnsi="宋体" w:eastAsia="宋体" w:cs="宋体"/>
          <w:color w:val="000000"/>
          <w:sz w:val="32"/>
          <w:szCs w:val="32"/>
          <w:highlight w:val="none"/>
        </w:rPr>
      </w:pPr>
      <w:bookmarkStart w:id="24" w:name="_Toc175541479"/>
      <w:bookmarkStart w:id="25" w:name="_Toc17851"/>
    </w:p>
    <w:p>
      <w:pPr>
        <w:pStyle w:val="28"/>
        <w:spacing w:line="360" w:lineRule="exact"/>
        <w:jc w:val="both"/>
        <w:rPr>
          <w:rFonts w:hint="eastAsia" w:ascii="宋体" w:hAnsi="宋体" w:eastAsia="宋体" w:cs="宋体"/>
          <w:color w:val="000000"/>
          <w:sz w:val="32"/>
          <w:szCs w:val="32"/>
          <w:highlight w:val="none"/>
        </w:rPr>
      </w:pPr>
    </w:p>
    <w:p>
      <w:pPr>
        <w:pStyle w:val="28"/>
        <w:spacing w:line="360" w:lineRule="exact"/>
        <w:jc w:val="both"/>
        <w:rPr>
          <w:rFonts w:hint="eastAsia" w:ascii="宋体" w:hAnsi="宋体" w:eastAsia="宋体" w:cs="宋体"/>
          <w:b/>
          <w:color w:val="000000"/>
          <w:sz w:val="21"/>
          <w:szCs w:val="21"/>
          <w:highlight w:val="none"/>
        </w:rPr>
      </w:pPr>
      <w:r>
        <w:rPr>
          <w:rFonts w:hint="eastAsia" w:ascii="宋体" w:hAnsi="宋体" w:eastAsia="宋体" w:cs="宋体"/>
          <w:color w:val="000000"/>
          <w:sz w:val="32"/>
          <w:szCs w:val="32"/>
          <w:highlight w:val="none"/>
        </w:rPr>
        <w:t>一、</w:t>
      </w:r>
      <w:bookmarkEnd w:id="24"/>
      <w:bookmarkEnd w:id="25"/>
      <w:r>
        <w:rPr>
          <w:rFonts w:hint="eastAsia" w:ascii="宋体" w:hAnsi="宋体" w:eastAsia="宋体" w:cs="宋体"/>
          <w:b/>
          <w:color w:val="000000"/>
          <w:sz w:val="32"/>
          <w:szCs w:val="32"/>
          <w:highlight w:val="none"/>
        </w:rPr>
        <w:t>投标函</w:t>
      </w:r>
    </w:p>
    <w:p>
      <w:pPr>
        <w:pStyle w:val="28"/>
        <w:spacing w:line="360" w:lineRule="exact"/>
        <w:rPr>
          <w:rFonts w:hint="eastAsia" w:ascii="宋体" w:hAnsi="宋体" w:eastAsia="宋体" w:cs="宋体"/>
          <w:color w:val="000000"/>
          <w:sz w:val="24"/>
          <w:szCs w:val="24"/>
          <w:highlight w:val="none"/>
        </w:rPr>
      </w:pP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致：</w:t>
      </w:r>
      <w:r>
        <w:rPr>
          <w:rFonts w:hint="eastAsia" w:ascii="宋体" w:hAnsi="宋体" w:eastAsia="宋体" w:cs="宋体"/>
          <w:color w:val="000000"/>
          <w:sz w:val="24"/>
          <w:szCs w:val="24"/>
          <w:highlight w:val="none"/>
          <w:u w:val="single"/>
        </w:rPr>
        <w:t xml:space="preserve">                        （采购人）</w:t>
      </w:r>
      <w:r>
        <w:rPr>
          <w:rFonts w:hint="eastAsia" w:ascii="宋体" w:hAnsi="宋体" w:eastAsia="宋体" w:cs="宋体"/>
          <w:color w:val="000000"/>
          <w:sz w:val="24"/>
          <w:szCs w:val="24"/>
          <w:highlight w:val="none"/>
        </w:rPr>
        <w:t>：</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w:t>
      </w:r>
      <w:r>
        <w:rPr>
          <w:rFonts w:hint="eastAsia" w:ascii="宋体" w:hAnsi="宋体" w:eastAsia="宋体" w:cs="宋体"/>
          <w:color w:val="000000"/>
          <w:sz w:val="24"/>
          <w:szCs w:val="24"/>
          <w:highlight w:val="none"/>
          <w:lang w:eastAsia="zh-CN"/>
        </w:rPr>
        <w:t>新疆毅峰工程项目管理有限公司</w:t>
      </w:r>
      <w:r>
        <w:rPr>
          <w:rFonts w:hint="eastAsia" w:ascii="宋体" w:hAnsi="宋体" w:eastAsia="宋体" w:cs="宋体"/>
          <w:color w:val="000000"/>
          <w:sz w:val="24"/>
          <w:szCs w:val="24"/>
          <w:highlight w:val="none"/>
        </w:rPr>
        <w:t>编号为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项目名称为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标段招标文件，经仔细阅读和研究，我们决定参加投标。</w:t>
      </w:r>
    </w:p>
    <w:p>
      <w:pPr>
        <w:pStyle w:val="28"/>
        <w:numPr>
          <w:ilvl w:val="0"/>
          <w:numId w:val="4"/>
        </w:numPr>
        <w:spacing w:line="360" w:lineRule="exact"/>
        <w:ind w:left="48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我们愿意按照招标文件的一切要求，提供包括完成该项目全部内容的设备、安装调试、人工、机械、车辆增值税票以及质保期间免收工时费。</w:t>
      </w:r>
    </w:p>
    <w:p>
      <w:pPr>
        <w:pStyle w:val="28"/>
        <w:numPr>
          <w:ilvl w:val="0"/>
          <w:numId w:val="0"/>
        </w:numPr>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总价格为人民币大写         (￥：         )。</w:t>
      </w:r>
      <w:r>
        <w:rPr>
          <w:rFonts w:hint="eastAsia" w:ascii="宋体" w:hAnsi="宋体" w:eastAsia="宋体" w:cs="宋体"/>
          <w:color w:val="000000"/>
          <w:sz w:val="24"/>
          <w:szCs w:val="24"/>
          <w:highlight w:val="none"/>
        </w:rPr>
        <w:t xml:space="preserve">    明细见《投标报价表》。</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2、如果我们的投标书被接受，我们将严格履行招标文件中规定的每一项要求，按期、按质、按量履行合同的义务。</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3、我们同意按招标文件中的规定，本投标书的有效期限为开标后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60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4、我们愿意提供招标方在招标文件中要求的所有资料。</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5、我们认为你们有权决定中标者，还认为你们有权接受或拒绝所有的投标者。</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6、我们愿意遵守招标通告及招标文件中所列的收费标准。</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7、我们承诺该项投标在开标后的全过程中保持有效，不作任何更改和变动。</w:t>
      </w:r>
    </w:p>
    <w:p>
      <w:pPr>
        <w:pStyle w:val="28"/>
        <w:spacing w:line="3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8、我们愿意按招标文件的规定交纳投标保证金；</w:t>
      </w:r>
    </w:p>
    <w:p>
      <w:pPr>
        <w:pStyle w:val="28"/>
        <w:spacing w:line="3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9、如果我们中标，我们愿意在签订合同时按合同金额的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%支付履约保证金。</w:t>
      </w:r>
    </w:p>
    <w:p>
      <w:pPr>
        <w:pStyle w:val="28"/>
        <w:spacing w:line="36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10、如我方中标，我方愿意缴纳招标代理费及其他相关费用。</w:t>
      </w:r>
    </w:p>
    <w:p>
      <w:pPr>
        <w:pStyle w:val="28"/>
        <w:spacing w:line="36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10、综合说明：</w:t>
      </w:r>
    </w:p>
    <w:p>
      <w:pPr>
        <w:pStyle w:val="28"/>
        <w:spacing w:line="36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（1）伴随服务及配合措施；</w:t>
      </w:r>
    </w:p>
    <w:p>
      <w:pPr>
        <w:pStyle w:val="28"/>
        <w:spacing w:line="36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（2）要求甲方提供的配合；</w:t>
      </w:r>
    </w:p>
    <w:p>
      <w:pPr>
        <w:pStyle w:val="28"/>
        <w:spacing w:line="36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（3）对招标文件有不同意见的偏离说明；</w:t>
      </w:r>
    </w:p>
    <w:p>
      <w:pPr>
        <w:pStyle w:val="28"/>
        <w:spacing w:line="36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（4）其它说明。</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所有有关标书的函电，请按下列地址联系：</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p>
    <w:p>
      <w:pPr>
        <w:pStyle w:val="28"/>
        <w:spacing w:line="3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p>
    <w:p>
      <w:pPr>
        <w:pStyle w:val="28"/>
        <w:spacing w:line="360" w:lineRule="exact"/>
        <w:ind w:left="3400" w:firstLine="4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投标方：（单位盖章）</w:t>
      </w:r>
    </w:p>
    <w:p>
      <w:pPr>
        <w:pStyle w:val="28"/>
        <w:spacing w:line="360" w:lineRule="exact"/>
        <w:ind w:left="38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法定代表人或授权委托人：（签字或盖章）</w:t>
      </w:r>
    </w:p>
    <w:p>
      <w:pPr>
        <w:pStyle w:val="28"/>
        <w:spacing w:line="360" w:lineRule="exact"/>
        <w:ind w:firstLine="46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pStyle w:val="12"/>
        <w:spacing w:line="400" w:lineRule="exact"/>
        <w:ind w:right="-15"/>
        <w:rPr>
          <w:rFonts w:hint="eastAsia" w:ascii="宋体" w:hAnsi="宋体" w:eastAsia="宋体" w:cs="宋体"/>
          <w:color w:val="000000"/>
          <w:sz w:val="24"/>
          <w:szCs w:val="24"/>
          <w:highlight w:val="none"/>
        </w:rPr>
      </w:pPr>
    </w:p>
    <w:p>
      <w:pPr>
        <w:pStyle w:val="12"/>
        <w:spacing w:line="400" w:lineRule="exact"/>
        <w:ind w:right="-15"/>
        <w:rPr>
          <w:rFonts w:hint="eastAsia" w:ascii="宋体" w:hAnsi="宋体" w:eastAsia="宋体" w:cs="宋体"/>
          <w:color w:val="000000"/>
          <w:sz w:val="28"/>
          <w:highlight w:val="none"/>
        </w:rPr>
      </w:pPr>
    </w:p>
    <w:p>
      <w:pPr>
        <w:pStyle w:val="12"/>
        <w:spacing w:line="400" w:lineRule="exact"/>
        <w:ind w:right="-15"/>
        <w:rPr>
          <w:rFonts w:hint="eastAsia" w:ascii="宋体" w:hAnsi="宋体" w:eastAsia="宋体" w:cs="宋体"/>
          <w:color w:val="000000"/>
          <w:sz w:val="28"/>
          <w:highlight w:val="none"/>
        </w:rPr>
      </w:pPr>
    </w:p>
    <w:p>
      <w:pPr>
        <w:pStyle w:val="12"/>
        <w:spacing w:line="400" w:lineRule="exact"/>
        <w:ind w:right="-15"/>
        <w:rPr>
          <w:rFonts w:hint="eastAsia" w:ascii="宋体" w:hAnsi="宋体" w:eastAsia="宋体" w:cs="宋体"/>
          <w:color w:val="000000"/>
          <w:sz w:val="28"/>
          <w:highlight w:val="none"/>
        </w:rPr>
      </w:pPr>
    </w:p>
    <w:p>
      <w:pPr>
        <w:rPr>
          <w:rFonts w:hint="eastAsia" w:ascii="宋体" w:hAnsi="宋体" w:eastAsia="宋体" w:cs="宋体"/>
          <w:highlight w:val="none"/>
        </w:rPr>
      </w:pPr>
    </w:p>
    <w:p>
      <w:pPr>
        <w:pStyle w:val="12"/>
        <w:numPr>
          <w:ilvl w:val="0"/>
          <w:numId w:val="0"/>
        </w:numPr>
        <w:ind w:right="-15"/>
        <w:jc w:val="both"/>
        <w:outlineLvl w:val="1"/>
        <w:rPr>
          <w:rFonts w:hint="eastAsia" w:ascii="宋体" w:hAnsi="宋体" w:eastAsia="宋体" w:cs="宋体"/>
          <w:b/>
          <w:bCs/>
          <w:color w:val="000000"/>
          <w:sz w:val="32"/>
          <w:szCs w:val="32"/>
          <w:highlight w:val="none"/>
        </w:rPr>
      </w:pPr>
      <w:bookmarkStart w:id="26" w:name="_Toc175541480"/>
      <w:bookmarkStart w:id="27" w:name="_Toc14907"/>
      <w:r>
        <w:rPr>
          <w:rFonts w:hint="eastAsia" w:ascii="宋体" w:hAnsi="宋体" w:eastAsia="宋体" w:cs="宋体"/>
          <w:b/>
          <w:bCs/>
          <w:color w:val="000000"/>
          <w:sz w:val="32"/>
          <w:szCs w:val="32"/>
          <w:highlight w:val="none"/>
          <w:lang w:eastAsia="zh-CN"/>
        </w:rPr>
        <w:t>二、</w:t>
      </w:r>
      <w:r>
        <w:rPr>
          <w:rFonts w:hint="eastAsia" w:ascii="宋体" w:hAnsi="宋体" w:eastAsia="宋体" w:cs="宋体"/>
          <w:b/>
          <w:bCs/>
          <w:color w:val="000000"/>
          <w:sz w:val="32"/>
          <w:szCs w:val="32"/>
          <w:highlight w:val="none"/>
        </w:rPr>
        <w:t>开标一览表</w:t>
      </w:r>
      <w:bookmarkEnd w:id="26"/>
      <w:bookmarkEnd w:id="27"/>
    </w:p>
    <w:p>
      <w:pPr>
        <w:rPr>
          <w:rFonts w:hint="eastAsia" w:ascii="宋体" w:hAnsi="宋体" w:eastAsia="宋体" w:cs="宋体"/>
          <w:highlight w:val="none"/>
          <w:lang w:val="zh-TW" w:eastAsia="zh-TW"/>
        </w:rPr>
      </w:pPr>
    </w:p>
    <w:p>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eastAsia="zh-CN"/>
        </w:rPr>
        <w:t>项目名称：</w:t>
      </w:r>
    </w:p>
    <w:tbl>
      <w:tblPr>
        <w:tblStyle w:val="20"/>
        <w:tblpPr w:leftFromText="180" w:rightFromText="180" w:vertAnchor="text" w:horzAnchor="page" w:tblpX="769" w:tblpY="614"/>
        <w:tblOverlap w:val="never"/>
        <w:tblW w:w="9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72"/>
        <w:gridCol w:w="3572"/>
        <w:gridCol w:w="2272"/>
        <w:gridCol w:w="1371"/>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0" w:hRule="atLeast"/>
        </w:trPr>
        <w:tc>
          <w:tcPr>
            <w:tcW w:w="12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序号</w:t>
            </w:r>
          </w:p>
        </w:tc>
        <w:tc>
          <w:tcPr>
            <w:tcW w:w="3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4"/>
                <w:szCs w:val="24"/>
                <w:highlight w:val="none"/>
                <w:u w:val="none"/>
                <w:shd w:val="clear" w:color="auto" w:fill="auto"/>
                <w:lang w:val="zh-TW" w:eastAsia="zh-CN" w:bidi="zh-TW"/>
              </w:rPr>
              <w:t>项目</w:t>
            </w:r>
            <w: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t>名称</w:t>
            </w:r>
          </w:p>
        </w:tc>
        <w:tc>
          <w:tcPr>
            <w:tcW w:w="2272"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投标总报价（元）</w:t>
            </w:r>
          </w:p>
        </w:tc>
        <w:tc>
          <w:tcPr>
            <w:tcW w:w="13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4"/>
                <w:szCs w:val="24"/>
                <w:highlight w:val="none"/>
                <w:u w:val="none"/>
                <w:shd w:val="clear" w:color="auto" w:fill="auto"/>
                <w:lang w:val="zh-TW" w:eastAsia="zh-CN" w:bidi="zh-TW"/>
              </w:rPr>
              <w:t>交货期</w:t>
            </w:r>
          </w:p>
        </w:tc>
        <w:tc>
          <w:tcPr>
            <w:tcW w:w="13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3" w:hRule="atLeast"/>
        </w:trPr>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1</w:t>
            </w:r>
          </w:p>
        </w:tc>
        <w:tc>
          <w:tcPr>
            <w:tcW w:w="3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p>
        </w:tc>
        <w:tc>
          <w:tcPr>
            <w:tcW w:w="3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p>
        </w:tc>
        <w:tc>
          <w:tcPr>
            <w:tcW w:w="35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c>
          <w:tcPr>
            <w:tcW w:w="2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before="0" w:beforeAutospacing="0" w:after="0" w:afterAutospacing="0" w:line="300" w:lineRule="exact"/>
              <w:ind w:left="0" w:right="0"/>
              <w:jc w:val="cente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p>
        </w:tc>
      </w:tr>
    </w:tbl>
    <w:p>
      <w:pPr>
        <w:jc w:val="left"/>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单位:元</w:t>
      </w:r>
    </w:p>
    <w:p>
      <w:pPr>
        <w:pStyle w:val="12"/>
        <w:spacing w:line="480" w:lineRule="exact"/>
        <w:ind w:right="-15"/>
        <w:rPr>
          <w:rFonts w:hint="eastAsia" w:ascii="宋体" w:hAnsi="宋体" w:eastAsia="宋体" w:cs="宋体"/>
          <w:color w:val="000000"/>
          <w:sz w:val="28"/>
          <w:highlight w:val="none"/>
        </w:rPr>
      </w:pPr>
      <w:r>
        <w:rPr>
          <w:rFonts w:hint="eastAsia" w:ascii="宋体" w:hAnsi="宋体" w:eastAsia="宋体" w:cs="宋体"/>
          <w:color w:val="000000"/>
          <w:sz w:val="22"/>
          <w:szCs w:val="16"/>
          <w:highlight w:val="none"/>
        </w:rPr>
        <w:t>注:</w:t>
      </w:r>
    </w:p>
    <w:p>
      <w:pPr>
        <w:pStyle w:val="12"/>
        <w:spacing w:line="480" w:lineRule="exact"/>
        <w:ind w:right="-15"/>
        <w:rPr>
          <w:rFonts w:hint="eastAsia" w:ascii="宋体" w:hAnsi="宋体" w:eastAsia="宋体" w:cs="宋体"/>
          <w:color w:val="000000"/>
          <w:sz w:val="28"/>
          <w:highlight w:val="none"/>
        </w:rPr>
      </w:pPr>
      <w:r>
        <w:rPr>
          <w:rFonts w:hint="eastAsia" w:ascii="宋体" w:hAnsi="宋体" w:eastAsia="宋体" w:cs="宋体"/>
          <w:color w:val="000000"/>
          <w:sz w:val="24"/>
          <w:szCs w:val="24"/>
          <w:highlight w:val="none"/>
        </w:rPr>
        <w:t xml:space="preserve">   1、</w:t>
      </w:r>
      <w:r>
        <w:rPr>
          <w:rFonts w:hint="eastAsia" w:ascii="宋体" w:hAnsi="宋体" w:eastAsia="宋体" w:cs="宋体"/>
          <w:color w:val="000000"/>
          <w:sz w:val="28"/>
          <w:highlight w:val="none"/>
        </w:rPr>
        <w:t>投标报价表上的价格应包括：</w:t>
      </w:r>
    </w:p>
    <w:p>
      <w:pPr>
        <w:pStyle w:val="12"/>
        <w:spacing w:line="480" w:lineRule="exact"/>
        <w:ind w:right="-15" w:firstLine="560" w:firstLineChars="200"/>
        <w:rPr>
          <w:rFonts w:hint="eastAsia" w:ascii="宋体" w:hAnsi="宋体" w:eastAsia="宋体" w:cs="宋体"/>
          <w:color w:val="000000"/>
          <w:sz w:val="28"/>
          <w:highlight w:val="none"/>
        </w:rPr>
      </w:pPr>
      <w:r>
        <w:rPr>
          <w:rFonts w:hint="eastAsia" w:ascii="宋体" w:hAnsi="宋体" w:eastAsia="宋体" w:cs="宋体"/>
          <w:color w:val="000000"/>
          <w:sz w:val="28"/>
          <w:highlight w:val="none"/>
        </w:rPr>
        <w:t>⑴ 交货地点报价：报价应包括制造和装配设备所使用的材料、部件及设备本身已支付或将支付的进口税、产品税、销售税和其它税费；以及设备运至交货地点的运输价和保险费；</w:t>
      </w:r>
    </w:p>
    <w:p>
      <w:pPr>
        <w:pStyle w:val="12"/>
        <w:spacing w:line="480" w:lineRule="exact"/>
        <w:ind w:right="-15" w:firstLine="56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8"/>
          <w:highlight w:val="none"/>
        </w:rPr>
        <w:t>⑵ 所有伴随服务的费用：软件编制费、安装调试、系统集成、培训等伴随服务费用；</w:t>
      </w:r>
    </w:p>
    <w:p>
      <w:pPr>
        <w:pStyle w:val="12"/>
        <w:numPr>
          <w:ilvl w:val="0"/>
          <w:numId w:val="4"/>
        </w:numPr>
        <w:spacing w:line="480" w:lineRule="exact"/>
        <w:ind w:left="480" w:leftChars="0" w:right="-15" w:firstLine="0" w:firstLineChars="0"/>
        <w:rPr>
          <w:rFonts w:hint="eastAsia" w:ascii="宋体" w:hAnsi="宋体" w:eastAsia="宋体" w:cs="宋体"/>
          <w:color w:val="000000"/>
          <w:sz w:val="28"/>
          <w:highlight w:val="none"/>
        </w:rPr>
      </w:pPr>
      <w:r>
        <w:rPr>
          <w:rFonts w:hint="eastAsia" w:ascii="宋体" w:hAnsi="宋体" w:eastAsia="宋体" w:cs="宋体"/>
          <w:color w:val="000000"/>
          <w:sz w:val="28"/>
          <w:highlight w:val="none"/>
        </w:rPr>
        <w:t>此表在开标大会上当众宣读，务必填写清楚，准确无误。</w:t>
      </w:r>
    </w:p>
    <w:p>
      <w:pPr>
        <w:widowControl w:val="0"/>
        <w:numPr>
          <w:ilvl w:val="0"/>
          <w:numId w:val="0"/>
        </w:numPr>
        <w:jc w:val="both"/>
        <w:rPr>
          <w:rFonts w:hint="eastAsia" w:ascii="宋体" w:hAnsi="宋体" w:eastAsia="宋体" w:cs="宋体"/>
          <w:highlight w:val="none"/>
        </w:rPr>
      </w:pPr>
    </w:p>
    <w:p>
      <w:pPr>
        <w:ind w:right="-391"/>
        <w:rPr>
          <w:rFonts w:hint="eastAsia" w:ascii="宋体" w:hAnsi="宋体" w:eastAsia="宋体" w:cs="宋体"/>
          <w:color w:val="000000"/>
          <w:sz w:val="24"/>
          <w:szCs w:val="24"/>
          <w:highlight w:val="none"/>
        </w:rPr>
      </w:pPr>
    </w:p>
    <w:p>
      <w:pPr>
        <w:ind w:right="-39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投标单位法人代表签字:                       投标单位公章:          </w:t>
      </w:r>
    </w:p>
    <w:p>
      <w:pPr>
        <w:ind w:right="-391" w:firstLine="10920" w:firstLineChars="3900"/>
        <w:rPr>
          <w:rFonts w:hint="eastAsia" w:ascii="宋体" w:hAnsi="宋体" w:eastAsia="宋体" w:cs="宋体"/>
          <w:color w:val="000000"/>
          <w:sz w:val="28"/>
          <w:szCs w:val="28"/>
          <w:highlight w:val="none"/>
        </w:rPr>
      </w:pPr>
    </w:p>
    <w:p>
      <w:pPr>
        <w:ind w:right="-391"/>
        <w:jc w:val="center"/>
        <w:rPr>
          <w:rFonts w:hint="eastAsia" w:ascii="宋体" w:hAnsi="宋体" w:eastAsia="宋体" w:cs="宋体"/>
          <w:color w:val="000000"/>
          <w:sz w:val="28"/>
          <w:szCs w:val="28"/>
          <w:highlight w:val="none"/>
        </w:rPr>
        <w:sectPr>
          <w:footerReference r:id="rId11" w:type="first"/>
          <w:headerReference r:id="rId9" w:type="default"/>
          <w:footerReference r:id="rId10" w:type="default"/>
          <w:pgSz w:w="11906" w:h="16838"/>
          <w:pgMar w:top="1134" w:right="1134" w:bottom="1134" w:left="1134" w:header="964" w:footer="1191" w:gutter="0"/>
          <w:pgBorders>
            <w:top w:val="thinThickSmallGap" w:color="auto" w:sz="18" w:space="1"/>
            <w:bottom w:val="thinThickSmallGap" w:color="auto" w:sz="18" w:space="1"/>
          </w:pgBorders>
          <w:pgNumType w:fmt="decimal" w:start="1"/>
          <w:cols w:space="0" w:num="1"/>
          <w:titlePg/>
          <w:rtlGutter w:val="0"/>
          <w:docGrid w:type="lines" w:linePitch="317" w:charSpace="0"/>
        </w:sectPr>
      </w:pPr>
      <w:r>
        <w:rPr>
          <w:rFonts w:hint="eastAsia" w:ascii="宋体" w:hAnsi="宋体" w:eastAsia="宋体" w:cs="宋体"/>
          <w:color w:val="000000"/>
          <w:sz w:val="28"/>
          <w:szCs w:val="28"/>
          <w:highlight w:val="none"/>
        </w:rPr>
        <w:t xml:space="preserve">                           填写日期：    年  月 </w:t>
      </w:r>
    </w:p>
    <w:p>
      <w:pPr>
        <w:pStyle w:val="27"/>
        <w:ind w:left="0" w:leftChars="0" w:firstLine="0" w:firstLineChars="0"/>
        <w:rPr>
          <w:rFonts w:hint="eastAsia" w:ascii="宋体" w:hAnsi="宋体" w:eastAsia="宋体" w:cs="宋体"/>
          <w:lang w:val="en-US" w:eastAsia="zh-CN"/>
        </w:rPr>
      </w:pPr>
      <w:r>
        <w:rPr>
          <w:rFonts w:hint="eastAsia" w:ascii="宋体" w:hAnsi="宋体" w:eastAsia="宋体" w:cs="宋体"/>
          <w:color w:val="000000"/>
          <w:sz w:val="32"/>
          <w:szCs w:val="32"/>
          <w:highlight w:val="none"/>
          <w:lang w:eastAsia="zh-CN"/>
        </w:rPr>
        <w:t>二、</w:t>
      </w:r>
      <w:r>
        <w:rPr>
          <w:rFonts w:hint="eastAsia" w:ascii="宋体" w:hAnsi="宋体" w:eastAsia="宋体" w:cs="宋体"/>
          <w:color w:val="000000"/>
          <w:sz w:val="32"/>
          <w:szCs w:val="32"/>
          <w:highlight w:val="none"/>
        </w:rPr>
        <w:t>投标分项报价明细表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886"/>
        <w:gridCol w:w="4738"/>
        <w:gridCol w:w="2214"/>
        <w:gridCol w:w="793"/>
        <w:gridCol w:w="846"/>
        <w:gridCol w:w="846"/>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序号</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t>设备</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名称</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项目特征描述</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单位</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数量</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单价（元）</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合计（元）</w:t>
            </w: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一</w:t>
            </w:r>
          </w:p>
        </w:tc>
        <w:tc>
          <w:tcPr>
            <w:tcW w:w="975"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取水口水量监测系统</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748" w:type="pct"/>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68" w:type="pct"/>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（一）</w:t>
            </w:r>
          </w:p>
        </w:tc>
        <w:tc>
          <w:tcPr>
            <w:tcW w:w="975"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干渠口水量监测</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748" w:type="pct"/>
            <w:vAlign w:val="bottom"/>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0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处</w:t>
            </w:r>
          </w:p>
        </w:tc>
        <w:tc>
          <w:tcPr>
            <w:tcW w:w="268" w:type="pct"/>
            <w:vAlign w:val="bottom"/>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6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9</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975"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单个干渠口水量监测</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748" w:type="pct"/>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68" w:type="pct"/>
            <w:vAlign w:val="top"/>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1</w:t>
            </w:r>
          </w:p>
        </w:tc>
        <w:tc>
          <w:tcPr>
            <w:tcW w:w="975"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雷达流量计</w:t>
            </w:r>
          </w:p>
        </w:tc>
        <w:tc>
          <w:tcPr>
            <w:tcW w:w="1601" w:type="pct"/>
            <w:vAlign w:val="bottom"/>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测速范围：</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0</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1-20</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米/秒；测速精度：</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±0.01</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米/ 秒：</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±1%FS；</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测速频率：</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24GHz；</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雷达流速仪波束角：12°；垂直角范围：30~70° ；自动垂直角补偿：精度土1</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;分</w:t>
            </w:r>
            <w:r>
              <w:rPr>
                <w:rFonts w:hint="eastAsia" w:ascii="宋体" w:hAnsi="宋体" w:eastAsia="宋体" w:cs="宋体"/>
                <w:color w:val="000000"/>
                <w:spacing w:val="0"/>
                <w:w w:val="100"/>
                <w:kern w:val="2"/>
                <w:position w:val="0"/>
                <w:sz w:val="21"/>
                <w:szCs w:val="21"/>
                <w:highlight w:val="none"/>
                <w:u w:val="none"/>
                <w:shd w:val="clear" w:color="auto" w:fill="auto"/>
                <w:lang w:val="zh-CN" w:eastAsia="zh-CN" w:bidi="zh-TW"/>
              </w:rPr>
              <w:t xml:space="preserve">辨率土 </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0.</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1° ；测距范围：</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30m；</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测距精度：</w:t>
            </w:r>
            <w:r>
              <w:rPr>
                <w:rFonts w:hint="eastAsia" w:ascii="宋体" w:hAnsi="宋体" w:eastAsia="宋体" w:cs="宋体"/>
                <w:color w:val="000000"/>
                <w:spacing w:val="0"/>
                <w:w w:val="100"/>
                <w:kern w:val="2"/>
                <w:position w:val="0"/>
                <w:sz w:val="21"/>
                <w:szCs w:val="21"/>
                <w:highlight w:val="none"/>
                <w:u w:val="none"/>
                <w:shd w:val="clear" w:color="auto" w:fill="auto"/>
                <w:lang w:val="zh-CN" w:eastAsia="zh-CN" w:bidi="zh-TW"/>
              </w:rPr>
              <w:t>土</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2mm；</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测距分辨率</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 xml:space="preserve">：1mm </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；雷达水位计频率：</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 xml:space="preserve">26GHz </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；雷达水位计波束角：7°雷达水位计天线：透镜天线；姿态角智能感知及补偿：水平角、横滚角精度±1</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;分辨率±0.1°; 工作电压</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：6~30V；</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功耗：工作电流</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〈80mA,</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待机电流</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 xml:space="preserve">〈55mA </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 xml:space="preserve">（@；通讯接口： </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RS485,</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 xml:space="preserve">通讯协议： </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modbus</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协议</w:t>
            </w:r>
          </w:p>
        </w:tc>
        <w:tc>
          <w:tcPr>
            <w:tcW w:w="74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0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台</w:t>
            </w:r>
          </w:p>
        </w:tc>
        <w:tc>
          <w:tcPr>
            <w:tcW w:w="26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6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2</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太阳能电池板</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12V60W</w:t>
            </w:r>
          </w:p>
        </w:tc>
        <w:tc>
          <w:tcPr>
            <w:tcW w:w="74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块</w:t>
            </w:r>
          </w:p>
        </w:tc>
        <w:tc>
          <w:tcPr>
            <w:tcW w:w="26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6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3</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蓄电池</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65AH, 12V</w:t>
            </w:r>
          </w:p>
        </w:tc>
        <w:tc>
          <w:tcPr>
            <w:tcW w:w="74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块</w:t>
            </w:r>
          </w:p>
        </w:tc>
        <w:tc>
          <w:tcPr>
            <w:tcW w:w="26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6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4</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太阳能控制器</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12V/24V20A</w:t>
            </w:r>
          </w:p>
        </w:tc>
        <w:tc>
          <w:tcPr>
            <w:tcW w:w="74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0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个</w:t>
            </w:r>
          </w:p>
        </w:tc>
        <w:tc>
          <w:tcPr>
            <w:tcW w:w="26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6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5</w:t>
            </w:r>
          </w:p>
        </w:tc>
        <w:tc>
          <w:tcPr>
            <w:tcW w:w="975" w:type="pct"/>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太阳能安装支架</w:t>
            </w:r>
          </w:p>
        </w:tc>
        <w:tc>
          <w:tcPr>
            <w:tcW w:w="1601" w:type="pct"/>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exact"/>
              <w:ind w:left="0" w:leftChars="0" w:right="0" w:rightChars="0"/>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t>定制</w:t>
            </w:r>
          </w:p>
        </w:tc>
        <w:tc>
          <w:tcPr>
            <w:tcW w:w="74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0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套</w:t>
            </w:r>
          </w:p>
        </w:tc>
        <w:tc>
          <w:tcPr>
            <w:tcW w:w="26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6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6</w:t>
            </w:r>
          </w:p>
        </w:tc>
        <w:tc>
          <w:tcPr>
            <w:tcW w:w="975" w:type="pct"/>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数据遥测终端机</w:t>
            </w:r>
          </w:p>
        </w:tc>
        <w:tc>
          <w:tcPr>
            <w:tcW w:w="1601" w:type="pct"/>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exact"/>
              <w:ind w:left="0" w:leftChars="0" w:right="0" w:rightChars="0"/>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模拟</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量输入：不低于2路隔离</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 xml:space="preserve">4-20mA </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（或</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0</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5V</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）信号输入；开关量输入:不低</w:t>
            </w:r>
            <w:r>
              <w:rPr>
                <w:rFonts w:hint="eastAsia" w:ascii="宋体" w:hAnsi="宋体" w:cs="宋体"/>
                <w:color w:val="000000"/>
                <w:spacing w:val="0"/>
                <w:w w:val="100"/>
                <w:kern w:val="2"/>
                <w:position w:val="0"/>
                <w:sz w:val="21"/>
                <w:szCs w:val="21"/>
                <w:highlight w:val="none"/>
                <w:u w:val="none"/>
                <w:shd w:val="clear" w:color="auto" w:fill="auto"/>
                <w:lang w:val="en-US" w:eastAsia="zh-CN" w:bidi="zh-TW"/>
              </w:rPr>
              <w:t>于</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4路隔离开关量输入，2路开关量输出；4路可控电源输岀；工作温度:</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-25</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~65</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通讯协议集成水资源协议、水文协议、标准</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MODBUS</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协议可选。支持</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4G</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全网通。支持 多中心发送数据，至少支持3个中心。</w:t>
            </w:r>
          </w:p>
        </w:tc>
        <w:tc>
          <w:tcPr>
            <w:tcW w:w="74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0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kern w:val="2"/>
                <w:sz w:val="21"/>
                <w:szCs w:val="21"/>
                <w:highlight w:val="none"/>
                <w:u w:val="none"/>
                <w:shd w:val="clear" w:color="auto" w:fill="auto"/>
                <w:lang w:val="zh-TW" w:eastAsia="zh-CN" w:bidi="zh-TW"/>
              </w:rPr>
              <w:t>台</w:t>
            </w:r>
          </w:p>
        </w:tc>
        <w:tc>
          <w:tcPr>
            <w:tcW w:w="26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6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7</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1A1517"/>
                <w:spacing w:val="0"/>
                <w:w w:val="100"/>
                <w:position w:val="0"/>
                <w:sz w:val="21"/>
                <w:szCs w:val="21"/>
                <w:highlight w:val="none"/>
              </w:rPr>
              <w:t>图像摄像机</w:t>
            </w:r>
          </w:p>
        </w:tc>
        <w:tc>
          <w:tcPr>
            <w:tcW w:w="1601" w:type="pct"/>
            <w:vAlign w:val="center"/>
          </w:tcPr>
          <w:p>
            <w:pPr>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r>
              <w:rPr>
                <w:rFonts w:hint="eastAsia" w:ascii="宋体" w:hAnsi="宋体" w:eastAsia="宋体" w:cs="宋体"/>
                <w:color w:val="1A1517"/>
                <w:spacing w:val="0"/>
                <w:w w:val="100"/>
                <w:position w:val="0"/>
                <w:sz w:val="21"/>
                <w:szCs w:val="21"/>
                <w:highlight w:val="none"/>
              </w:rPr>
              <w:t>具有超低照度，在光线较暗或无光源的环境，</w:t>
            </w:r>
            <w:r>
              <w:rPr>
                <w:rFonts w:hint="eastAsia" w:ascii="宋体" w:hAnsi="宋体" w:eastAsia="宋体" w:cs="宋体"/>
                <w:color w:val="1A1517"/>
                <w:spacing w:val="0"/>
                <w:w w:val="100"/>
                <w:position w:val="0"/>
                <w:sz w:val="21"/>
                <w:szCs w:val="21"/>
                <w:highlight w:val="none"/>
                <w:lang w:eastAsia="zh-CN"/>
              </w:rPr>
              <w:t>仍</w:t>
            </w:r>
            <w:r>
              <w:rPr>
                <w:rFonts w:hint="eastAsia" w:ascii="宋体" w:hAnsi="宋体" w:eastAsia="宋体" w:cs="宋体"/>
                <w:color w:val="1A1517"/>
                <w:spacing w:val="0"/>
                <w:w w:val="100"/>
                <w:position w:val="0"/>
                <w:sz w:val="21"/>
                <w:szCs w:val="21"/>
                <w:highlight w:val="none"/>
              </w:rPr>
              <w:t>然拍照得较为清晰的图片；2、通讯端口具有防</w:t>
            </w:r>
            <w:r>
              <w:rPr>
                <w:rFonts w:hint="eastAsia" w:ascii="宋体" w:hAnsi="宋体" w:eastAsia="宋体" w:cs="宋体"/>
                <w:color w:val="1A1517"/>
                <w:spacing w:val="0"/>
                <w:w w:val="100"/>
                <w:position w:val="0"/>
                <w:sz w:val="21"/>
                <w:szCs w:val="21"/>
                <w:highlight w:val="none"/>
                <w:lang w:eastAsia="zh-CN"/>
              </w:rPr>
              <w:t>浪</w:t>
            </w:r>
            <w:r>
              <w:rPr>
                <w:rFonts w:hint="eastAsia" w:ascii="宋体" w:hAnsi="宋体" w:eastAsia="宋体" w:cs="宋体"/>
                <w:color w:val="1A1517"/>
                <w:spacing w:val="0"/>
                <w:w w:val="100"/>
                <w:position w:val="0"/>
                <w:sz w:val="21"/>
                <w:szCs w:val="21"/>
                <w:highlight w:val="none"/>
              </w:rPr>
              <w:t>涌保护，防误接保护。3、电源防反接保护、防</w:t>
            </w:r>
            <w:r>
              <w:rPr>
                <w:rFonts w:hint="eastAsia" w:ascii="宋体" w:hAnsi="宋体" w:eastAsia="宋体" w:cs="宋体"/>
                <w:color w:val="1A1517"/>
                <w:spacing w:val="0"/>
                <w:w w:val="100"/>
                <w:position w:val="0"/>
                <w:sz w:val="21"/>
                <w:szCs w:val="21"/>
                <w:highlight w:val="none"/>
                <w:lang w:eastAsia="zh-CN"/>
              </w:rPr>
              <w:t>雷</w:t>
            </w:r>
            <w:r>
              <w:rPr>
                <w:rFonts w:hint="eastAsia" w:ascii="宋体" w:hAnsi="宋体" w:eastAsia="宋体" w:cs="宋体"/>
                <w:color w:val="1A1517"/>
                <w:spacing w:val="0"/>
                <w:w w:val="100"/>
                <w:position w:val="0"/>
                <w:sz w:val="21"/>
                <w:szCs w:val="21"/>
                <w:highlight w:val="none"/>
              </w:rPr>
              <w:t>、防浪涌</w:t>
            </w:r>
            <w:r>
              <w:rPr>
                <w:rFonts w:hint="eastAsia" w:ascii="宋体" w:hAnsi="宋体" w:eastAsia="宋体" w:cs="宋体"/>
                <w:color w:val="1A1517"/>
                <w:spacing w:val="0"/>
                <w:w w:val="100"/>
                <w:position w:val="0"/>
                <w:sz w:val="21"/>
                <w:szCs w:val="21"/>
                <w:highlight w:val="none"/>
                <w:lang w:eastAsia="zh-CN"/>
              </w:rPr>
              <w:t>，</w:t>
            </w:r>
            <w:r>
              <w:rPr>
                <w:rFonts w:hint="eastAsia" w:ascii="宋体" w:hAnsi="宋体" w:eastAsia="宋体" w:cs="宋体"/>
                <w:color w:val="1A1517"/>
                <w:spacing w:val="0"/>
                <w:w w:val="100"/>
                <w:position w:val="0"/>
                <w:sz w:val="21"/>
                <w:szCs w:val="21"/>
                <w:highlight w:val="none"/>
              </w:rPr>
              <w:t>4、电源电压：</w:t>
            </w:r>
            <w:r>
              <w:rPr>
                <w:rFonts w:hint="eastAsia" w:ascii="宋体" w:hAnsi="宋体" w:eastAsia="宋体" w:cs="宋体"/>
                <w:color w:val="1A1517"/>
                <w:spacing w:val="0"/>
                <w:w w:val="100"/>
                <w:position w:val="0"/>
                <w:sz w:val="21"/>
                <w:szCs w:val="21"/>
                <w:highlight w:val="none"/>
                <w:lang w:val="en-US" w:eastAsia="en-US" w:bidi="en-US"/>
              </w:rPr>
              <w:t>DC7</w:t>
            </w:r>
            <w:r>
              <w:rPr>
                <w:rFonts w:hint="eastAsia" w:ascii="宋体" w:hAnsi="宋体" w:eastAsia="宋体" w:cs="宋体"/>
                <w:color w:val="1A1517"/>
                <w:spacing w:val="0"/>
                <w:w w:val="100"/>
                <w:position w:val="0"/>
                <w:sz w:val="21"/>
                <w:szCs w:val="21"/>
                <w:highlight w:val="none"/>
                <w:lang w:val="en-US" w:eastAsia="zh-CN" w:bidi="en-US"/>
              </w:rPr>
              <w:t>~</w:t>
            </w:r>
            <w:r>
              <w:rPr>
                <w:rFonts w:hint="eastAsia" w:ascii="宋体" w:hAnsi="宋体" w:eastAsia="宋体" w:cs="宋体"/>
                <w:color w:val="1A1517"/>
                <w:spacing w:val="0"/>
                <w:w w:val="100"/>
                <w:position w:val="0"/>
                <w:sz w:val="21"/>
                <w:szCs w:val="21"/>
                <w:highlight w:val="none"/>
                <w:lang w:val="en-US" w:eastAsia="en-US" w:bidi="en-US"/>
              </w:rPr>
              <w:t xml:space="preserve">28V </w:t>
            </w:r>
            <w:r>
              <w:rPr>
                <w:rFonts w:hint="eastAsia" w:ascii="宋体" w:hAnsi="宋体" w:eastAsia="宋体" w:cs="宋体"/>
                <w:color w:val="1A1517"/>
                <w:spacing w:val="0"/>
                <w:w w:val="100"/>
                <w:position w:val="0"/>
                <w:sz w:val="21"/>
                <w:szCs w:val="21"/>
                <w:highlight w:val="none"/>
              </w:rPr>
              <w:t xml:space="preserve">（标准电压 </w:t>
            </w:r>
            <w:r>
              <w:rPr>
                <w:rFonts w:hint="eastAsia" w:ascii="宋体" w:hAnsi="宋体" w:eastAsia="宋体" w:cs="宋体"/>
                <w:color w:val="1A1517"/>
                <w:spacing w:val="0"/>
                <w:w w:val="100"/>
                <w:position w:val="0"/>
                <w:sz w:val="21"/>
                <w:szCs w:val="21"/>
                <w:highlight w:val="none"/>
                <w:lang w:val="en-US" w:eastAsia="zh-CN"/>
              </w:rPr>
              <w:t>1</w:t>
            </w:r>
            <w:r>
              <w:rPr>
                <w:rFonts w:hint="eastAsia" w:ascii="宋体" w:hAnsi="宋体" w:eastAsia="宋体" w:cs="宋体"/>
                <w:color w:val="1A1517"/>
                <w:spacing w:val="0"/>
                <w:w w:val="100"/>
                <w:position w:val="0"/>
                <w:sz w:val="21"/>
                <w:szCs w:val="21"/>
                <w:highlight w:val="none"/>
                <w:lang w:val="en-US" w:eastAsia="en-US" w:bidi="en-US"/>
              </w:rPr>
              <w:t>2V）</w:t>
            </w:r>
            <w:r>
              <w:rPr>
                <w:rFonts w:hint="eastAsia" w:ascii="宋体" w:hAnsi="宋体" w:eastAsia="宋体" w:cs="宋体"/>
                <w:color w:val="1A1517"/>
                <w:spacing w:val="0"/>
                <w:w w:val="100"/>
                <w:position w:val="0"/>
                <w:sz w:val="21"/>
                <w:szCs w:val="21"/>
                <w:highlight w:val="none"/>
              </w:rPr>
              <w:t>；工作电流：典型值：</w:t>
            </w:r>
            <w:r>
              <w:rPr>
                <w:rFonts w:hint="eastAsia" w:ascii="宋体" w:hAnsi="宋体" w:eastAsia="宋体" w:cs="宋体"/>
                <w:color w:val="1A1517"/>
                <w:spacing w:val="0"/>
                <w:w w:val="100"/>
                <w:position w:val="0"/>
                <w:sz w:val="21"/>
                <w:szCs w:val="21"/>
                <w:highlight w:val="none"/>
                <w:lang w:val="en-US" w:eastAsia="en-US" w:bidi="en-US"/>
              </w:rPr>
              <w:t>80mA</w:t>
            </w:r>
            <w:r>
              <w:rPr>
                <w:rFonts w:hint="eastAsia" w:ascii="宋体" w:hAnsi="宋体" w:eastAsia="宋体" w:cs="宋体"/>
                <w:color w:val="1A1517"/>
                <w:spacing w:val="0"/>
                <w:w w:val="100"/>
                <w:position w:val="0"/>
                <w:sz w:val="21"/>
                <w:szCs w:val="21"/>
                <w:highlight w:val="none"/>
              </w:rPr>
              <w:t>夜视最大值</w:t>
            </w:r>
            <w:r>
              <w:rPr>
                <w:rFonts w:hint="eastAsia" w:ascii="宋体" w:hAnsi="宋体" w:eastAsia="宋体" w:cs="宋体"/>
                <w:color w:val="1A1517"/>
                <w:spacing w:val="0"/>
                <w:w w:val="100"/>
                <w:position w:val="0"/>
                <w:sz w:val="21"/>
                <w:szCs w:val="21"/>
                <w:highlight w:val="none"/>
                <w:lang w:eastAsia="zh-CN"/>
              </w:rPr>
              <w:t>：＜</w:t>
            </w:r>
            <w:r>
              <w:rPr>
                <w:rFonts w:hint="eastAsia" w:ascii="宋体" w:hAnsi="宋体" w:eastAsia="宋体" w:cs="宋体"/>
                <w:color w:val="1A1517"/>
                <w:spacing w:val="0"/>
                <w:w w:val="100"/>
                <w:position w:val="0"/>
                <w:sz w:val="21"/>
                <w:szCs w:val="21"/>
                <w:highlight w:val="none"/>
                <w:lang w:val="en-US" w:eastAsia="en-US" w:bidi="en-US"/>
              </w:rPr>
              <w:t>400mA</w:t>
            </w:r>
            <w:r>
              <w:rPr>
                <w:rFonts w:hint="eastAsia" w:ascii="宋体" w:hAnsi="宋体" w:eastAsia="宋体" w:cs="宋体"/>
                <w:color w:val="1A1517"/>
                <w:spacing w:val="0"/>
                <w:w w:val="100"/>
                <w:position w:val="0"/>
                <w:sz w:val="21"/>
                <w:szCs w:val="21"/>
                <w:highlight w:val="none"/>
                <w:lang w:val="en-US" w:eastAsia="zh-CN" w:bidi="en-US"/>
              </w:rPr>
              <w:t>，</w:t>
            </w:r>
            <w:r>
              <w:rPr>
                <w:rFonts w:hint="eastAsia" w:ascii="宋体" w:hAnsi="宋体" w:eastAsia="宋体" w:cs="宋体"/>
                <w:color w:val="1A1517"/>
                <w:spacing w:val="0"/>
                <w:w w:val="100"/>
                <w:position w:val="0"/>
                <w:sz w:val="21"/>
                <w:szCs w:val="21"/>
                <w:highlight w:val="none"/>
                <w:lang w:val="en-US" w:eastAsia="en-US" w:bidi="en-US"/>
              </w:rPr>
              <w:t>5、</w:t>
            </w:r>
            <w:r>
              <w:rPr>
                <w:rFonts w:hint="eastAsia" w:ascii="宋体" w:hAnsi="宋体" w:eastAsia="宋体" w:cs="宋体"/>
                <w:color w:val="1A1517"/>
                <w:spacing w:val="0"/>
                <w:w w:val="100"/>
                <w:position w:val="0"/>
                <w:sz w:val="21"/>
                <w:szCs w:val="21"/>
                <w:highlight w:val="none"/>
              </w:rPr>
              <w:t>工作温度：</w:t>
            </w:r>
            <w:r>
              <w:rPr>
                <w:rFonts w:hint="eastAsia" w:ascii="宋体" w:hAnsi="宋体" w:eastAsia="宋体" w:cs="宋体"/>
                <w:color w:val="1A1517"/>
                <w:spacing w:val="0"/>
                <w:w w:val="100"/>
                <w:position w:val="0"/>
                <w:sz w:val="21"/>
                <w:szCs w:val="21"/>
                <w:highlight w:val="none"/>
                <w:lang w:val="en-US" w:eastAsia="en-US" w:bidi="en-US"/>
              </w:rPr>
              <w:t>-40</w:t>
            </w:r>
            <w:r>
              <w:rPr>
                <w:rFonts w:hint="eastAsia" w:ascii="宋体" w:hAnsi="宋体" w:eastAsia="宋体" w:cs="宋体"/>
                <w:color w:val="1A1517"/>
                <w:spacing w:val="0"/>
                <w:w w:val="100"/>
                <w:position w:val="0"/>
                <w:sz w:val="21"/>
                <w:szCs w:val="21"/>
                <w:highlight w:val="none"/>
              </w:rPr>
              <w:t>度〜85度；6、系统启动</w:t>
            </w:r>
            <w:r>
              <w:rPr>
                <w:rFonts w:hint="eastAsia" w:ascii="宋体" w:hAnsi="宋体" w:eastAsia="宋体" w:cs="宋体"/>
                <w:color w:val="1A1517"/>
                <w:spacing w:val="0"/>
                <w:w w:val="100"/>
                <w:position w:val="0"/>
                <w:sz w:val="21"/>
                <w:szCs w:val="21"/>
                <w:highlight w:val="none"/>
                <w:lang w:eastAsia="zh-CN"/>
              </w:rPr>
              <w:t>时</w:t>
            </w:r>
            <w:r>
              <w:rPr>
                <w:rFonts w:hint="eastAsia" w:ascii="宋体" w:hAnsi="宋体" w:eastAsia="宋体" w:cs="宋体"/>
                <w:color w:val="1A1517"/>
                <w:spacing w:val="0"/>
                <w:w w:val="100"/>
                <w:position w:val="0"/>
                <w:sz w:val="21"/>
                <w:szCs w:val="21"/>
                <w:highlight w:val="none"/>
              </w:rPr>
              <w:t>间（上电拍照时间）</w:t>
            </w:r>
            <w:r>
              <w:rPr>
                <w:rFonts w:hint="eastAsia" w:ascii="宋体" w:hAnsi="宋体" w:eastAsia="宋体" w:cs="宋体"/>
                <w:color w:val="000000"/>
                <w:spacing w:val="0"/>
                <w:w w:val="100"/>
                <w:position w:val="0"/>
                <w:sz w:val="21"/>
                <w:szCs w:val="21"/>
                <w:highlight w:val="none"/>
                <w:lang w:eastAsia="zh-CN"/>
              </w:rPr>
              <w:t>：</w:t>
            </w:r>
            <w:r>
              <w:rPr>
                <w:rFonts w:hint="eastAsia" w:ascii="宋体" w:hAnsi="宋体" w:eastAsia="宋体" w:cs="宋体"/>
                <w:color w:val="1A1517"/>
                <w:spacing w:val="0"/>
                <w:w w:val="100"/>
                <w:position w:val="0"/>
                <w:sz w:val="21"/>
                <w:szCs w:val="21"/>
                <w:highlight w:val="none"/>
              </w:rPr>
              <w:t>〈3秒，拍照超时时间：白天＜1秒</w:t>
            </w:r>
            <w:r>
              <w:rPr>
                <w:rFonts w:hint="eastAsia" w:ascii="宋体" w:hAnsi="宋体" w:eastAsia="宋体" w:cs="宋体"/>
                <w:color w:val="1A1517"/>
                <w:spacing w:val="0"/>
                <w:w w:val="100"/>
                <w:position w:val="0"/>
                <w:sz w:val="21"/>
                <w:szCs w:val="21"/>
                <w:highlight w:val="none"/>
                <w:lang w:eastAsia="zh-CN"/>
              </w:rPr>
              <w:t>，</w:t>
            </w:r>
            <w:r>
              <w:rPr>
                <w:rFonts w:hint="eastAsia" w:ascii="宋体" w:hAnsi="宋体" w:eastAsia="宋体" w:cs="宋体"/>
                <w:color w:val="1A1517"/>
                <w:spacing w:val="0"/>
                <w:w w:val="100"/>
                <w:position w:val="0"/>
                <w:sz w:val="21"/>
                <w:szCs w:val="21"/>
                <w:highlight w:val="none"/>
              </w:rPr>
              <w:t xml:space="preserve">晚上＜3秒7、200万像素8、照度： </w:t>
            </w:r>
            <w:r>
              <w:rPr>
                <w:rFonts w:hint="eastAsia" w:ascii="宋体" w:hAnsi="宋体" w:eastAsia="宋体" w:cs="宋体"/>
                <w:color w:val="1A1517"/>
                <w:spacing w:val="0"/>
                <w:w w:val="100"/>
                <w:position w:val="0"/>
                <w:sz w:val="21"/>
                <w:szCs w:val="21"/>
                <w:highlight w:val="none"/>
                <w:lang w:val="en-US" w:eastAsia="en-US" w:bidi="en-US"/>
              </w:rPr>
              <w:t xml:space="preserve">0.0005LUX： </w:t>
            </w:r>
            <w:r>
              <w:rPr>
                <w:rFonts w:hint="eastAsia" w:ascii="宋体" w:hAnsi="宋体" w:eastAsia="宋体" w:cs="宋体"/>
                <w:color w:val="1A1517"/>
                <w:spacing w:val="0"/>
                <w:w w:val="100"/>
                <w:position w:val="0"/>
                <w:sz w:val="21"/>
                <w:szCs w:val="21"/>
                <w:highlight w:val="none"/>
              </w:rPr>
              <w:t>9、防水等级：</w:t>
            </w:r>
            <w:r>
              <w:rPr>
                <w:rFonts w:hint="eastAsia" w:ascii="宋体" w:hAnsi="宋体" w:eastAsia="宋体" w:cs="宋体"/>
                <w:color w:val="1A1517"/>
                <w:spacing w:val="0"/>
                <w:w w:val="100"/>
                <w:position w:val="0"/>
                <w:sz w:val="21"/>
                <w:szCs w:val="21"/>
                <w:highlight w:val="none"/>
                <w:lang w:val="en-US" w:eastAsia="en-US" w:bidi="en-US"/>
              </w:rPr>
              <w:t xml:space="preserve">IP67； </w:t>
            </w:r>
            <w:r>
              <w:rPr>
                <w:rFonts w:hint="eastAsia" w:ascii="宋体" w:hAnsi="宋体" w:eastAsia="宋体" w:cs="宋体"/>
                <w:color w:val="1A1517"/>
                <w:spacing w:val="0"/>
                <w:w w:val="100"/>
                <w:position w:val="0"/>
                <w:sz w:val="21"/>
                <w:szCs w:val="21"/>
                <w:highlight w:val="none"/>
              </w:rPr>
              <w:t>10、多种图像分辩率支持：</w:t>
            </w:r>
            <w:r>
              <w:rPr>
                <w:rFonts w:hint="eastAsia" w:ascii="宋体" w:hAnsi="宋体" w:eastAsia="宋体" w:cs="宋体"/>
                <w:color w:val="1A1517"/>
                <w:spacing w:val="0"/>
                <w:w w:val="100"/>
                <w:position w:val="0"/>
                <w:sz w:val="21"/>
                <w:szCs w:val="21"/>
                <w:highlight w:val="none"/>
                <w:lang w:val="en-US" w:eastAsia="en-US" w:bidi="en-US"/>
              </w:rPr>
              <w:t>1920X1080 （1080p）</w:t>
            </w:r>
            <w:r>
              <w:rPr>
                <w:rFonts w:hint="eastAsia" w:ascii="宋体" w:hAnsi="宋体" w:eastAsia="宋体" w:cs="宋体"/>
                <w:color w:val="1A1517"/>
                <w:spacing w:val="0"/>
                <w:w w:val="100"/>
                <w:position w:val="0"/>
                <w:sz w:val="21"/>
                <w:szCs w:val="21"/>
                <w:highlight w:val="none"/>
              </w:rPr>
              <w:t xml:space="preserve">、1280X1024、 </w:t>
            </w:r>
            <w:r>
              <w:rPr>
                <w:rFonts w:hint="eastAsia" w:ascii="宋体" w:hAnsi="宋体" w:eastAsia="宋体" w:cs="宋体"/>
                <w:color w:val="1A1517"/>
                <w:spacing w:val="0"/>
                <w:w w:val="100"/>
                <w:position w:val="0"/>
                <w:sz w:val="21"/>
                <w:szCs w:val="21"/>
                <w:highlight w:val="none"/>
                <w:lang w:val="en-US" w:eastAsia="en-US" w:bidi="en-US"/>
              </w:rPr>
              <w:t>1280X960 （960p）</w:t>
            </w:r>
            <w:r>
              <w:rPr>
                <w:rFonts w:hint="eastAsia" w:ascii="宋体" w:hAnsi="宋体" w:eastAsia="宋体" w:cs="宋体"/>
                <w:color w:val="1A1517"/>
                <w:spacing w:val="0"/>
                <w:w w:val="100"/>
                <w:position w:val="0"/>
                <w:sz w:val="21"/>
                <w:szCs w:val="21"/>
                <w:highlight w:val="none"/>
              </w:rPr>
              <w:t>、</w:t>
            </w:r>
            <w:r>
              <w:rPr>
                <w:rFonts w:hint="eastAsia" w:ascii="宋体" w:hAnsi="宋体" w:eastAsia="宋体" w:cs="宋体"/>
                <w:color w:val="1A1517"/>
                <w:spacing w:val="0"/>
                <w:w w:val="100"/>
                <w:position w:val="0"/>
                <w:sz w:val="21"/>
                <w:szCs w:val="21"/>
                <w:highlight w:val="none"/>
                <w:lang w:val="en-US" w:eastAsia="en-US" w:bidi="en-US"/>
              </w:rPr>
              <w:t>1280X800, 1280X720 （720p）</w:t>
            </w:r>
            <w:r>
              <w:rPr>
                <w:rFonts w:hint="eastAsia" w:ascii="宋体" w:hAnsi="宋体" w:eastAsia="宋体" w:cs="宋体"/>
                <w:color w:val="000000"/>
                <w:spacing w:val="0"/>
                <w:w w:val="100"/>
                <w:position w:val="0"/>
                <w:sz w:val="21"/>
                <w:szCs w:val="21"/>
                <w:highlight w:val="none"/>
              </w:rPr>
              <w:t>、</w:t>
            </w:r>
            <w:r>
              <w:rPr>
                <w:rFonts w:hint="eastAsia" w:ascii="宋体" w:hAnsi="宋体" w:eastAsia="宋体" w:cs="宋体"/>
                <w:color w:val="1A1517"/>
                <w:spacing w:val="0"/>
                <w:w w:val="100"/>
                <w:position w:val="0"/>
                <w:sz w:val="21"/>
                <w:szCs w:val="21"/>
                <w:highlight w:val="none"/>
              </w:rPr>
              <w:t>1024X768、800X600、</w:t>
            </w:r>
            <w:r>
              <w:rPr>
                <w:rFonts w:hint="eastAsia" w:ascii="宋体" w:hAnsi="宋体" w:eastAsia="宋体" w:cs="宋体"/>
                <w:color w:val="1A1517"/>
                <w:spacing w:val="0"/>
                <w:w w:val="100"/>
                <w:position w:val="0"/>
                <w:sz w:val="21"/>
                <w:szCs w:val="21"/>
                <w:highlight w:val="none"/>
                <w:lang w:val="en-US" w:eastAsia="en-US" w:bidi="en-US"/>
              </w:rPr>
              <w:t>640X480 （VGA）</w:t>
            </w:r>
            <w:r>
              <w:rPr>
                <w:rFonts w:hint="eastAsia" w:ascii="宋体" w:hAnsi="宋体" w:eastAsia="宋体" w:cs="宋体"/>
                <w:color w:val="1A1517"/>
                <w:spacing w:val="0"/>
                <w:w w:val="100"/>
                <w:position w:val="0"/>
                <w:sz w:val="21"/>
                <w:szCs w:val="21"/>
                <w:highlight w:val="none"/>
                <w:lang w:val="zh-CN" w:eastAsia="zh-CN" w:bidi="zh-CN"/>
              </w:rPr>
              <w:t>、</w:t>
            </w:r>
            <w:r>
              <w:rPr>
                <w:rFonts w:hint="eastAsia" w:ascii="宋体" w:hAnsi="宋体" w:eastAsia="宋体" w:cs="宋体"/>
                <w:color w:val="1A1517"/>
                <w:spacing w:val="0"/>
                <w:w w:val="100"/>
                <w:position w:val="0"/>
                <w:sz w:val="21"/>
                <w:szCs w:val="21"/>
                <w:highlight w:val="none"/>
                <w:lang w:val="en-US" w:eastAsia="en-US" w:bidi="en-US"/>
              </w:rPr>
              <w:t xml:space="preserve">320X240； </w:t>
            </w:r>
            <w:r>
              <w:rPr>
                <w:rFonts w:hint="eastAsia" w:ascii="宋体" w:hAnsi="宋体" w:eastAsia="宋体" w:cs="宋体"/>
                <w:color w:val="1A1517"/>
                <w:spacing w:val="0"/>
                <w:w w:val="100"/>
                <w:position w:val="0"/>
                <w:sz w:val="21"/>
                <w:szCs w:val="21"/>
                <w:highlight w:val="none"/>
                <w:lang w:val="zh-CN" w:eastAsia="zh-CN" w:bidi="zh-CN"/>
              </w:rPr>
              <w:t>11、</w:t>
            </w:r>
            <w:r>
              <w:rPr>
                <w:rFonts w:hint="eastAsia" w:ascii="宋体" w:hAnsi="宋体" w:eastAsia="宋体" w:cs="宋体"/>
                <w:color w:val="1A1517"/>
                <w:spacing w:val="0"/>
                <w:w w:val="100"/>
                <w:position w:val="0"/>
                <w:sz w:val="21"/>
                <w:szCs w:val="21"/>
                <w:highlight w:val="none"/>
              </w:rPr>
              <w:t>支持多种串口波特率： 9600、19200、38400、57600、115200； 12、支持多种压缩比，0〜8级压缩。</w:t>
            </w:r>
          </w:p>
        </w:tc>
        <w:tc>
          <w:tcPr>
            <w:tcW w:w="74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00" w:firstLineChars="0"/>
              <w:jc w:val="center"/>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kern w:val="2"/>
                <w:sz w:val="21"/>
                <w:szCs w:val="21"/>
                <w:highlight w:val="none"/>
                <w:u w:val="none"/>
                <w:shd w:val="clear" w:color="auto" w:fill="auto"/>
                <w:lang w:val="zh-TW" w:eastAsia="zh-CN" w:bidi="zh-TW"/>
              </w:rPr>
              <w:t>台</w:t>
            </w:r>
          </w:p>
        </w:tc>
        <w:tc>
          <w:tcPr>
            <w:tcW w:w="268" w:type="pct"/>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60" w:firstLineChars="0"/>
              <w:jc w:val="center"/>
              <w:rPr>
                <w:rFonts w:hint="eastAsia" w:ascii="宋体" w:hAnsi="宋体" w:eastAsia="宋体" w:cs="宋体"/>
                <w:color w:val="000000"/>
                <w:spacing w:val="0"/>
                <w:w w:val="100"/>
                <w:position w:val="0"/>
                <w:sz w:val="21"/>
                <w:szCs w:val="21"/>
                <w:highlight w:val="none"/>
                <w:lang w:val="en-US" w:eastAsia="zh-CN"/>
              </w:rPr>
            </w:pPr>
            <w:r>
              <w:rPr>
                <w:rFonts w:hint="eastAsia" w:ascii="宋体" w:hAnsi="宋体" w:eastAsia="宋体" w:cs="宋体"/>
                <w:color w:val="000000"/>
                <w:spacing w:val="0"/>
                <w:w w:val="100"/>
                <w:position w:val="0"/>
                <w:sz w:val="21"/>
                <w:szCs w:val="21"/>
                <w:highlight w:val="none"/>
                <w:lang w:val="en-US" w:eastAsia="zh-CN"/>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8</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电源防雷模块</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只</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9</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信号防雷模块</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只</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1</w:t>
            </w:r>
            <w:r>
              <w:rPr>
                <w:rFonts w:hint="eastAsia" w:ascii="宋体" w:hAnsi="宋体" w:cs="宋体"/>
                <w:i w:val="0"/>
                <w:color w:val="000000"/>
                <w:sz w:val="21"/>
                <w:szCs w:val="21"/>
                <w:highlight w:val="none"/>
                <w:u w:val="none"/>
                <w:lang w:val="en-US" w:eastAsia="zh-CN"/>
              </w:rPr>
              <w:t>0</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户外机柜</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zh-TW" w:eastAsia="zh-CN" w:bidi="ar-SA"/>
              </w:rPr>
              <w:t>定制加工</w:t>
            </w:r>
            <w:r>
              <w:rPr>
                <w:rFonts w:hint="eastAsia" w:ascii="宋体" w:hAnsi="宋体" w:eastAsia="宋体" w:cs="宋体"/>
                <w:i w:val="0"/>
                <w:color w:val="000000"/>
                <w:kern w:val="2"/>
                <w:sz w:val="21"/>
                <w:szCs w:val="21"/>
                <w:highlight w:val="none"/>
                <w:u w:val="none"/>
                <w:lang w:val="en-US" w:eastAsia="en-US" w:bidi="ar-SA"/>
              </w:rPr>
              <w:t>500*600*300,</w:t>
            </w:r>
            <w:r>
              <w:rPr>
                <w:rFonts w:hint="eastAsia" w:ascii="宋体" w:hAnsi="宋体" w:eastAsia="宋体" w:cs="宋体"/>
                <w:i w:val="0"/>
                <w:color w:val="000000"/>
                <w:kern w:val="2"/>
                <w:sz w:val="21"/>
                <w:szCs w:val="21"/>
                <w:highlight w:val="none"/>
                <w:u w:val="none"/>
                <w:lang w:val="zh-TW" w:eastAsia="zh-CN" w:bidi="ar-SA"/>
              </w:rPr>
              <w:t>内含空开、线槽、接线端子等</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11</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信号电缆</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en-US" w:eastAsia="en-US" w:bidi="ar-SA"/>
              </w:rPr>
              <w:t>RVVP 4*1</w:t>
            </w:r>
            <w:r>
              <w:rPr>
                <w:rFonts w:hint="eastAsia" w:ascii="宋体" w:hAnsi="宋体" w:eastAsia="宋体" w:cs="宋体"/>
                <w:i w:val="0"/>
                <w:color w:val="000000"/>
                <w:kern w:val="2"/>
                <w:sz w:val="21"/>
                <w:szCs w:val="21"/>
                <w:highlight w:val="none"/>
                <w:u w:val="none"/>
                <w:lang w:val="en-US" w:eastAsia="zh-CN" w:bidi="ar-SA"/>
              </w:rPr>
              <w:t>.</w:t>
            </w:r>
            <w:r>
              <w:rPr>
                <w:rFonts w:hint="eastAsia" w:ascii="宋体" w:hAnsi="宋体" w:eastAsia="宋体" w:cs="宋体"/>
                <w:i w:val="0"/>
                <w:color w:val="000000"/>
                <w:kern w:val="2"/>
                <w:sz w:val="21"/>
                <w:szCs w:val="21"/>
                <w:highlight w:val="none"/>
                <w:u w:val="none"/>
                <w:lang w:val="zh-TW" w:eastAsia="zh-CN" w:bidi="ar-SA"/>
              </w:rPr>
              <w:t>0</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米</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30</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12</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电源线</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en-US" w:eastAsia="en-US" w:bidi="ar-SA"/>
              </w:rPr>
              <w:t>RVV 2*2</w:t>
            </w:r>
            <w:r>
              <w:rPr>
                <w:rFonts w:hint="eastAsia" w:ascii="宋体" w:hAnsi="宋体" w:eastAsia="宋体" w:cs="宋体"/>
                <w:i w:val="0"/>
                <w:color w:val="000000"/>
                <w:kern w:val="2"/>
                <w:sz w:val="21"/>
                <w:szCs w:val="21"/>
                <w:highlight w:val="none"/>
                <w:u w:val="none"/>
                <w:lang w:val="en-US" w:eastAsia="zh-CN" w:bidi="ar-SA"/>
              </w:rPr>
              <w:t>.</w:t>
            </w:r>
            <w:r>
              <w:rPr>
                <w:rFonts w:hint="eastAsia" w:ascii="宋体" w:hAnsi="宋体" w:eastAsia="宋体" w:cs="宋体"/>
                <w:i w:val="0"/>
                <w:color w:val="000000"/>
                <w:kern w:val="2"/>
                <w:sz w:val="21"/>
                <w:szCs w:val="21"/>
                <w:highlight w:val="none"/>
                <w:u w:val="none"/>
                <w:lang w:val="zh-TW" w:eastAsia="zh-CN" w:bidi="ar-SA"/>
              </w:rPr>
              <w:t>5</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米</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30</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13</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防雷地网建设</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en-US" w:eastAsia="zh-CN" w:bidi="ar-SA"/>
              </w:rPr>
              <w:t>≤</w:t>
            </w:r>
            <w:r>
              <w:rPr>
                <w:rFonts w:hint="eastAsia" w:ascii="宋体" w:hAnsi="宋体" w:eastAsia="宋体" w:cs="宋体"/>
                <w:i w:val="0"/>
                <w:color w:val="000000"/>
                <w:kern w:val="2"/>
                <w:sz w:val="21"/>
                <w:szCs w:val="21"/>
                <w:highlight w:val="none"/>
                <w:u w:val="none"/>
                <w:lang w:val="en-US" w:eastAsia="en-US" w:bidi="ar-SA"/>
              </w:rPr>
              <w:t>10</w:t>
            </w:r>
            <w:r>
              <w:rPr>
                <w:rFonts w:hint="eastAsia" w:ascii="宋体" w:hAnsi="宋体" w:eastAsia="宋体" w:cs="宋体"/>
                <w:i w:val="0"/>
                <w:color w:val="000000"/>
                <w:kern w:val="2"/>
                <w:sz w:val="21"/>
                <w:szCs w:val="21"/>
                <w:highlight w:val="none"/>
                <w:u w:val="none"/>
                <w:lang w:val="zh-TW" w:eastAsia="zh-CN" w:bidi="ar-SA"/>
              </w:rPr>
              <w:t>欧姆</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处</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14</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监测立杆</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zh-TW" w:eastAsia="zh-CN" w:bidi="ar-SA"/>
              </w:rPr>
              <w:t>φ219立杆，高5米，基础</w:t>
            </w:r>
            <w:r>
              <w:rPr>
                <w:rFonts w:hint="eastAsia" w:ascii="宋体" w:hAnsi="宋体" w:eastAsia="宋体" w:cs="宋体"/>
                <w:i w:val="0"/>
                <w:color w:val="000000"/>
                <w:kern w:val="2"/>
                <w:sz w:val="21"/>
                <w:szCs w:val="21"/>
                <w:highlight w:val="none"/>
                <w:u w:val="none"/>
                <w:lang w:val="en-US" w:eastAsia="en-US" w:bidi="ar-SA"/>
              </w:rPr>
              <w:t>1200*1200*1800m;</w:t>
            </w:r>
            <w:r>
              <w:rPr>
                <w:rFonts w:hint="eastAsia" w:ascii="宋体" w:hAnsi="宋体" w:eastAsia="宋体" w:cs="宋体"/>
                <w:i w:val="0"/>
                <w:color w:val="000000"/>
                <w:kern w:val="2"/>
                <w:sz w:val="21"/>
                <w:szCs w:val="21"/>
                <w:highlight w:val="none"/>
                <w:u w:val="none"/>
                <w:lang w:val="zh-TW" w:eastAsia="zh-CN" w:bidi="ar-SA"/>
              </w:rPr>
              <w:t>立杆上预埋件嵌套式连接，立杆可旋转式。带横臂，横臂</w:t>
            </w:r>
            <w:r>
              <w:rPr>
                <w:rFonts w:hint="eastAsia" w:ascii="宋体" w:hAnsi="宋体" w:eastAsia="宋体" w:cs="宋体"/>
                <w:i w:val="0"/>
                <w:color w:val="000000"/>
                <w:kern w:val="2"/>
                <w:sz w:val="21"/>
                <w:szCs w:val="21"/>
                <w:highlight w:val="none"/>
                <w:u w:val="none"/>
                <w:lang w:val="en-US" w:eastAsia="en-US" w:bidi="ar-SA"/>
              </w:rPr>
              <w:t xml:space="preserve">DN80 </w:t>
            </w:r>
            <w:r>
              <w:rPr>
                <w:rFonts w:hint="eastAsia" w:ascii="宋体" w:hAnsi="宋体" w:eastAsia="宋体" w:cs="宋体"/>
                <w:i w:val="0"/>
                <w:color w:val="000000"/>
                <w:kern w:val="2"/>
                <w:sz w:val="21"/>
                <w:szCs w:val="21"/>
                <w:highlight w:val="none"/>
                <w:u w:val="none"/>
                <w:lang w:val="zh-TW" w:eastAsia="zh-CN" w:bidi="ar-SA"/>
              </w:rPr>
              <w:t>（根据渠宽定制）</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15</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钢测桥</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zh-TW" w:eastAsia="zh-CN" w:bidi="ar-SA"/>
              </w:rPr>
              <w:t>根据渠道尺寸定制加工</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cs="宋体"/>
                <w:color w:val="000000"/>
                <w:spacing w:val="0"/>
                <w:w w:val="100"/>
                <w:kern w:val="2"/>
                <w:position w:val="0"/>
                <w:sz w:val="21"/>
                <w:szCs w:val="21"/>
                <w:highlight w:val="none"/>
                <w:u w:val="none"/>
                <w:shd w:val="clear" w:color="auto" w:fill="auto"/>
                <w:lang w:val="en-US" w:eastAsia="zh-CN" w:bidi="zh-TW"/>
              </w:rPr>
              <w:t>10米桥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16</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反光水尺</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zh-TW" w:eastAsia="zh-CN" w:bidi="ar-SA"/>
              </w:rPr>
              <w:t>根据渠道边坡长度及边坡比定制</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17</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渠道流量率定费用</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处</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18</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en-US" w:eastAsia="en-US" w:bidi="ar-SA"/>
              </w:rPr>
              <w:t>GPRS</w:t>
            </w:r>
            <w:r>
              <w:rPr>
                <w:rFonts w:hint="eastAsia" w:ascii="宋体" w:hAnsi="宋体" w:eastAsia="宋体" w:cs="宋体"/>
                <w:i w:val="0"/>
                <w:color w:val="000000"/>
                <w:kern w:val="2"/>
                <w:sz w:val="21"/>
                <w:szCs w:val="21"/>
                <w:highlight w:val="none"/>
                <w:u w:val="none"/>
                <w:lang w:val="zh-TW" w:eastAsia="zh-CN" w:bidi="ar-SA"/>
              </w:rPr>
              <w:t>通讯费</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3年</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张/年</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sz w:val="21"/>
                <w:szCs w:val="21"/>
                <w:highlight w:val="none"/>
                <w:u w:val="none"/>
                <w:lang w:val="en-US" w:eastAsia="zh-CN"/>
              </w:rPr>
              <w:t>19</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辅材</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批</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（二）</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支渠水量监测系统</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处</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80</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单个支渠水量监测系</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1</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一体式雷达水位计</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只</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2</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钢测桥</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cs="宋体"/>
                <w:color w:val="000000"/>
                <w:spacing w:val="0"/>
                <w:w w:val="100"/>
                <w:kern w:val="2"/>
                <w:position w:val="0"/>
                <w:sz w:val="21"/>
                <w:szCs w:val="21"/>
                <w:highlight w:val="none"/>
                <w:u w:val="none"/>
                <w:shd w:val="clear" w:color="auto" w:fill="auto"/>
                <w:lang w:val="en-US" w:eastAsia="zh-CN" w:bidi="zh-TW"/>
              </w:rPr>
              <w:t>根据渠道宽度定制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3</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通讯费</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年</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3</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4</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辅材</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rPr>
              <w:t>5</w:t>
            </w:r>
          </w:p>
        </w:tc>
        <w:tc>
          <w:tcPr>
            <w:tcW w:w="975" w:type="pct"/>
            <w:vAlign w:val="center"/>
          </w:tcPr>
          <w:p>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color w:val="000000"/>
                <w:spacing w:val="0"/>
                <w:w w:val="100"/>
                <w:position w:val="0"/>
                <w:sz w:val="21"/>
                <w:szCs w:val="21"/>
                <w:highlight w:val="none"/>
              </w:rPr>
              <w:t>渠道流量率定费用</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color w:val="000000"/>
                <w:spacing w:val="0"/>
                <w:w w:val="100"/>
                <w:position w:val="0"/>
                <w:sz w:val="21"/>
                <w:szCs w:val="21"/>
                <w:highlight w:val="none"/>
              </w:rPr>
              <w:t>处</w:t>
            </w:r>
          </w:p>
        </w:tc>
        <w:tc>
          <w:tcPr>
            <w:tcW w:w="268" w:type="pct"/>
            <w:vAlign w:val="center"/>
          </w:tcPr>
          <w:p>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20" w:firstLineChars="0"/>
              <w:jc w:val="center"/>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color w:val="000000"/>
                <w:spacing w:val="0"/>
                <w:w w:val="100"/>
                <w:position w:val="0"/>
                <w:sz w:val="21"/>
                <w:szCs w:val="21"/>
                <w:highlight w:val="none"/>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i w:val="0"/>
                <w:color w:val="000000"/>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rPr>
              <w:t>6</w:t>
            </w:r>
          </w:p>
        </w:tc>
        <w:tc>
          <w:tcPr>
            <w:tcW w:w="975" w:type="pc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540" w:firstLineChars="0"/>
              <w:jc w:val="both"/>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color w:val="000000"/>
                <w:spacing w:val="0"/>
                <w:w w:val="100"/>
                <w:position w:val="0"/>
                <w:sz w:val="21"/>
                <w:szCs w:val="21"/>
                <w:highlight w:val="none"/>
              </w:rPr>
              <w:t>标准断面</w:t>
            </w:r>
          </w:p>
        </w:tc>
        <w:tc>
          <w:tcPr>
            <w:tcW w:w="1601" w:type="pc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color w:val="000000"/>
                <w:spacing w:val="0"/>
                <w:w w:val="100"/>
                <w:position w:val="0"/>
                <w:sz w:val="21"/>
                <w:szCs w:val="21"/>
                <w:highlight w:val="none"/>
              </w:rPr>
              <w:t>15米修复</w:t>
            </w:r>
          </w:p>
        </w:tc>
        <w:tc>
          <w:tcPr>
            <w:tcW w:w="748" w:type="pc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color w:val="000000"/>
                <w:spacing w:val="0"/>
                <w:w w:val="100"/>
                <w:position w:val="0"/>
                <w:sz w:val="21"/>
                <w:szCs w:val="21"/>
                <w:highlight w:val="none"/>
              </w:rPr>
              <w:t>项</w:t>
            </w:r>
          </w:p>
        </w:tc>
        <w:tc>
          <w:tcPr>
            <w:tcW w:w="268" w:type="pc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220" w:firstLineChars="0"/>
              <w:jc w:val="center"/>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color w:val="000000"/>
                <w:spacing w:val="0"/>
                <w:w w:val="100"/>
                <w:position w:val="0"/>
                <w:sz w:val="21"/>
                <w:szCs w:val="21"/>
                <w:highlight w:val="none"/>
              </w:rPr>
              <w:t>1</w:t>
            </w: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SA"/>
              </w:rPr>
            </w:pP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SA"/>
              </w:rPr>
            </w:pP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i w:val="0"/>
                <w:color w:val="000000"/>
                <w:kern w:val="2"/>
                <w:sz w:val="15"/>
                <w:szCs w:val="15"/>
                <w:highlight w:val="none"/>
                <w:u w:val="none"/>
                <w:lang w:val="en-US" w:eastAsia="zh-CN" w:bidi="ar-SA"/>
              </w:rPr>
            </w:pPr>
            <w:r>
              <w:rPr>
                <w:rFonts w:hint="eastAsia" w:ascii="宋体" w:hAnsi="宋体" w:eastAsia="宋体" w:cs="宋体"/>
                <w:color w:val="000000"/>
                <w:spacing w:val="0"/>
                <w:w w:val="100"/>
                <w:position w:val="0"/>
                <w:sz w:val="15"/>
                <w:szCs w:val="15"/>
                <w:highlight w:val="none"/>
              </w:rPr>
              <w:t>根据现场情况需要修断面</w:t>
            </w:r>
            <w:r>
              <w:rPr>
                <w:rFonts w:hint="eastAsia" w:ascii="宋体" w:hAnsi="宋体" w:eastAsia="宋体" w:cs="宋体"/>
                <w:color w:val="000000"/>
                <w:spacing w:val="0"/>
                <w:w w:val="100"/>
                <w:position w:val="0"/>
                <w:sz w:val="15"/>
                <w:szCs w:val="15"/>
                <w:highlight w:val="none"/>
                <w:lang w:eastAsia="zh-CN"/>
              </w:rPr>
              <w:t>处修复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二</w:t>
            </w:r>
          </w:p>
        </w:tc>
        <w:tc>
          <w:tcPr>
            <w:tcW w:w="975" w:type="pct"/>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exact"/>
              <w:ind w:left="0" w:leftChars="0" w:right="0" w:rightChars="0" w:firstLine="680" w:firstLineChars="0"/>
              <w:jc w:val="both"/>
              <w:rPr>
                <w:rFonts w:hint="eastAsia" w:ascii="宋体" w:hAnsi="宋体" w:eastAsia="宋体" w:cs="宋体"/>
                <w:kern w:val="2"/>
                <w:sz w:val="21"/>
                <w:szCs w:val="21"/>
                <w:highlight w:val="none"/>
                <w:u w:val="none"/>
                <w:shd w:val="clear" w:color="auto" w:fill="auto"/>
                <w:lang w:val="zh-TW" w:eastAsia="zh-CN" w:bidi="zh-TW"/>
              </w:rPr>
            </w:pPr>
            <w:r>
              <w:rPr>
                <w:rFonts w:hint="eastAsia" w:ascii="宋体" w:hAnsi="宋体" w:eastAsia="宋体" w:cs="宋体"/>
                <w:b/>
                <w:bCs/>
                <w:color w:val="000000"/>
                <w:spacing w:val="0"/>
                <w:w w:val="100"/>
                <w:position w:val="0"/>
                <w:sz w:val="21"/>
                <w:szCs w:val="21"/>
                <w:highlight w:val="none"/>
              </w:rPr>
              <w:t>软件系统</w:t>
            </w:r>
          </w:p>
        </w:tc>
        <w:tc>
          <w:tcPr>
            <w:tcW w:w="16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kern w:val="2"/>
                <w:sz w:val="21"/>
                <w:szCs w:val="21"/>
                <w:highlight w:val="none"/>
                <w:lang w:val="zh-TW" w:eastAsia="zh-CN" w:bidi="ar-SA"/>
              </w:rPr>
            </w:pP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kern w:val="2"/>
                <w:sz w:val="21"/>
                <w:szCs w:val="21"/>
                <w:highlight w:val="none"/>
                <w:lang w:val="zh-TW" w:eastAsia="zh-CN" w:bidi="ar-SA"/>
              </w:rPr>
            </w:pPr>
          </w:p>
        </w:tc>
        <w:tc>
          <w:tcPr>
            <w:tcW w:w="2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kern w:val="2"/>
                <w:sz w:val="21"/>
                <w:szCs w:val="21"/>
                <w:highlight w:val="none"/>
                <w:lang w:val="zh-TW" w:eastAsia="zh-CN" w:bidi="ar-SA"/>
              </w:rPr>
            </w:pP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SA"/>
              </w:rPr>
            </w:pP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SA"/>
              </w:rPr>
            </w:pP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1</w:t>
            </w:r>
          </w:p>
        </w:tc>
        <w:tc>
          <w:tcPr>
            <w:tcW w:w="9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灌区水量监测应用系统软件</w:t>
            </w:r>
          </w:p>
        </w:tc>
        <w:tc>
          <w:tcPr>
            <w:tcW w:w="16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通过平台集中展示流域水情监测点数据</w:t>
            </w: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2</w:t>
            </w:r>
          </w:p>
        </w:tc>
        <w:tc>
          <w:tcPr>
            <w:tcW w:w="9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数据采集交互平台</w:t>
            </w:r>
          </w:p>
        </w:tc>
        <w:tc>
          <w:tcPr>
            <w:tcW w:w="16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灌区取水分水口水量数据监测</w:t>
            </w: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3</w:t>
            </w:r>
          </w:p>
        </w:tc>
        <w:tc>
          <w:tcPr>
            <w:tcW w:w="9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数据库系统</w:t>
            </w:r>
          </w:p>
        </w:tc>
        <w:tc>
          <w:tcPr>
            <w:tcW w:w="16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灌区量测水数据存储</w:t>
            </w:r>
          </w:p>
        </w:tc>
        <w:tc>
          <w:tcPr>
            <w:tcW w:w="74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4</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en-US" w:eastAsia="en-US" w:bidi="ar-SA"/>
              </w:rPr>
              <w:t>GIS</w:t>
            </w:r>
            <w:r>
              <w:rPr>
                <w:rFonts w:hint="eastAsia" w:ascii="宋体" w:hAnsi="宋体" w:eastAsia="宋体" w:cs="宋体"/>
                <w:i w:val="0"/>
                <w:color w:val="000000"/>
                <w:kern w:val="2"/>
                <w:sz w:val="21"/>
                <w:szCs w:val="21"/>
                <w:highlight w:val="none"/>
                <w:u w:val="none"/>
                <w:lang w:val="zh-TW" w:eastAsia="zh-CN" w:bidi="ar-SA"/>
              </w:rPr>
              <w:t>地图系统</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地图展示监测点位信息</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5</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移动</w:t>
            </w:r>
            <w:r>
              <w:rPr>
                <w:rFonts w:hint="eastAsia" w:ascii="宋体" w:hAnsi="宋体" w:eastAsia="宋体" w:cs="宋体"/>
                <w:i w:val="0"/>
                <w:color w:val="000000"/>
                <w:kern w:val="2"/>
                <w:sz w:val="21"/>
                <w:szCs w:val="21"/>
                <w:highlight w:val="none"/>
                <w:u w:val="none"/>
                <w:lang w:val="en-US" w:eastAsia="en-US" w:bidi="ar-SA"/>
              </w:rPr>
              <w:t>APP</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套</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6</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云服务器租赁费</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年</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3</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sz w:val="21"/>
                <w:szCs w:val="21"/>
                <w:highlight w:val="none"/>
                <w:u w:val="none"/>
                <w:lang w:val="en-US" w:eastAsia="zh-CN"/>
              </w:rPr>
              <w:t>三</w:t>
            </w: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cs="宋体"/>
                <w:i w:val="0"/>
                <w:color w:val="000000"/>
                <w:kern w:val="2"/>
                <w:sz w:val="21"/>
                <w:szCs w:val="21"/>
                <w:highlight w:val="none"/>
                <w:u w:val="none"/>
                <w:lang w:val="zh-TW" w:eastAsia="zh-CN" w:bidi="ar-SA"/>
              </w:rPr>
              <w:t>暂</w:t>
            </w:r>
            <w:r>
              <w:rPr>
                <w:rFonts w:hint="eastAsia" w:ascii="宋体" w:hAnsi="宋体" w:eastAsia="宋体" w:cs="宋体"/>
                <w:i w:val="0"/>
                <w:color w:val="000000"/>
                <w:kern w:val="2"/>
                <w:sz w:val="21"/>
                <w:szCs w:val="21"/>
                <w:highlight w:val="none"/>
                <w:u w:val="none"/>
                <w:lang w:val="zh-TW" w:eastAsia="zh-CN" w:bidi="ar-SA"/>
              </w:rPr>
              <w:t>列金</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项</w:t>
            </w: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CN" w:bidi="ar-SA"/>
              </w:rPr>
              <w:t>1</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100000</w:t>
            </w: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TW" w:bidi="ar-SA"/>
              </w:rPr>
              <w:t>设备费</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TW" w:bidi="ar-SA"/>
              </w:rPr>
              <w:t>运保费</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TW" w:bidi="ar-SA"/>
              </w:rPr>
              <w:t>安装费</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4"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zh-TW" w:eastAsia="zh-TW" w:bidi="ar-SA"/>
              </w:rPr>
              <w:t>其它</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4"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zh-TW" w:eastAsia="zh-TW" w:bidi="ar-SA"/>
              </w:rPr>
              <w:t>投标总报价（元）</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小写：</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宋体" w:hAnsi="宋体" w:eastAsia="宋体" w:cs="宋体"/>
                <w:i w:val="0"/>
                <w:color w:val="000000"/>
                <w:kern w:val="2"/>
                <w:sz w:val="21"/>
                <w:szCs w:val="21"/>
                <w:highlight w:val="none"/>
                <w:u w:val="none"/>
                <w:lang w:val="zh-TW" w:eastAsia="zh-CN" w:bidi="ar-SA"/>
              </w:rPr>
            </w:pPr>
            <w:r>
              <w:rPr>
                <w:rFonts w:hint="eastAsia" w:ascii="宋体" w:hAnsi="宋体" w:eastAsia="宋体" w:cs="宋体"/>
                <w:i w:val="0"/>
                <w:color w:val="000000"/>
                <w:kern w:val="2"/>
                <w:sz w:val="21"/>
                <w:szCs w:val="21"/>
                <w:highlight w:val="none"/>
                <w:u w:val="none"/>
                <w:lang w:val="en-US" w:eastAsia="zh-CN" w:bidi="ar-SA"/>
              </w:rPr>
              <w:t>大写：</w:t>
            </w: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34"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975"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color w:val="000000"/>
                <w:kern w:val="2"/>
                <w:sz w:val="21"/>
                <w:szCs w:val="21"/>
                <w:highlight w:val="none"/>
                <w:u w:val="none"/>
                <w:lang w:val="zh-TW" w:eastAsia="zh-TW" w:bidi="ar-SA"/>
              </w:rPr>
            </w:pPr>
            <w:r>
              <w:rPr>
                <w:rFonts w:hint="eastAsia" w:ascii="宋体" w:hAnsi="宋体" w:eastAsia="宋体" w:cs="宋体"/>
                <w:i w:val="0"/>
                <w:color w:val="000000"/>
                <w:kern w:val="2"/>
                <w:sz w:val="21"/>
                <w:szCs w:val="21"/>
                <w:highlight w:val="none"/>
                <w:u w:val="none"/>
                <w:lang w:val="en-US" w:eastAsia="zh-CN" w:bidi="ar-SA"/>
              </w:rPr>
              <w:t>报价说明</w:t>
            </w:r>
          </w:p>
        </w:tc>
        <w:tc>
          <w:tcPr>
            <w:tcW w:w="1601"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74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68"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zh-TW"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28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2"/>
                <w:sz w:val="21"/>
                <w:szCs w:val="21"/>
                <w:highlight w:val="none"/>
                <w:u w:val="none"/>
                <w:lang w:val="en-US" w:eastAsia="zh-CN" w:bidi="ar-SA"/>
              </w:rPr>
            </w:pPr>
          </w:p>
        </w:tc>
        <w:tc>
          <w:tcPr>
            <w:tcW w:w="498" w:type="pct"/>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r>
    </w:tbl>
    <w:p>
      <w:pPr>
        <w:pStyle w:val="12"/>
        <w:spacing w:line="400" w:lineRule="exact"/>
        <w:ind w:right="-15"/>
        <w:rPr>
          <w:rFonts w:hint="eastAsia" w:ascii="宋体" w:hAnsi="宋体" w:eastAsia="宋体" w:cs="宋体"/>
          <w:color w:val="000000"/>
          <w:sz w:val="28"/>
          <w:szCs w:val="24"/>
          <w:highlight w:val="none"/>
        </w:rPr>
      </w:pPr>
      <w:r>
        <w:rPr>
          <w:rFonts w:hint="eastAsia" w:ascii="宋体" w:hAnsi="宋体" w:eastAsia="宋体" w:cs="宋体"/>
          <w:color w:val="000000"/>
          <w:sz w:val="28"/>
          <w:szCs w:val="24"/>
          <w:highlight w:val="none"/>
        </w:rPr>
        <w:t>注: 1、如果按单价计算的结果与总价不一致,以单价为准修正总价</w:t>
      </w:r>
      <w:r>
        <w:rPr>
          <w:rFonts w:hint="eastAsia" w:ascii="宋体" w:hAnsi="宋体" w:eastAsia="宋体" w:cs="宋体"/>
          <w:color w:val="000000"/>
          <w:sz w:val="28"/>
          <w:szCs w:val="24"/>
          <w:highlight w:val="none"/>
          <w:lang w:eastAsia="zh-CN"/>
        </w:rPr>
        <w:t>。</w:t>
      </w:r>
    </w:p>
    <w:p>
      <w:pPr>
        <w:pStyle w:val="12"/>
        <w:spacing w:line="400" w:lineRule="exact"/>
        <w:ind w:right="-15" w:firstLine="560" w:firstLineChars="200"/>
        <w:rPr>
          <w:rFonts w:hint="eastAsia" w:ascii="宋体" w:hAnsi="宋体" w:eastAsia="宋体" w:cs="宋体"/>
          <w:color w:val="000000"/>
          <w:sz w:val="28"/>
          <w:szCs w:val="24"/>
          <w:highlight w:val="none"/>
        </w:rPr>
      </w:pPr>
      <w:r>
        <w:rPr>
          <w:rFonts w:hint="eastAsia" w:ascii="宋体" w:hAnsi="宋体" w:eastAsia="宋体" w:cs="宋体"/>
          <w:color w:val="000000"/>
          <w:sz w:val="28"/>
          <w:szCs w:val="24"/>
          <w:highlight w:val="none"/>
        </w:rPr>
        <w:t>2、企业应详细报出所配设备的型号规格，并在备注中注明生产厂家。</w:t>
      </w:r>
    </w:p>
    <w:p>
      <w:pPr>
        <w:pStyle w:val="12"/>
        <w:spacing w:line="400" w:lineRule="exact"/>
        <w:ind w:right="-15"/>
        <w:rPr>
          <w:rFonts w:hint="eastAsia" w:ascii="宋体" w:hAnsi="宋体" w:eastAsia="宋体" w:cs="宋体"/>
          <w:color w:val="000000"/>
          <w:sz w:val="28"/>
          <w:highlight w:val="none"/>
        </w:rPr>
      </w:pPr>
    </w:p>
    <w:p>
      <w:pPr>
        <w:pStyle w:val="12"/>
        <w:spacing w:line="400" w:lineRule="exact"/>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投标单位法人授权代表人签字:            </w:t>
      </w:r>
    </w:p>
    <w:p>
      <w:pPr>
        <w:pStyle w:val="12"/>
        <w:spacing w:line="400" w:lineRule="exact"/>
        <w:ind w:right="-15"/>
        <w:rPr>
          <w:rFonts w:hint="eastAsia" w:ascii="宋体" w:hAnsi="宋体" w:eastAsia="宋体" w:cs="宋体"/>
          <w:color w:val="000000"/>
          <w:sz w:val="28"/>
          <w:highlight w:val="none"/>
        </w:rPr>
      </w:pPr>
    </w:p>
    <w:p>
      <w:pPr>
        <w:pStyle w:val="12"/>
        <w:spacing w:line="400" w:lineRule="exact"/>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投标单位公章:</w:t>
      </w:r>
    </w:p>
    <w:p>
      <w:pPr>
        <w:pStyle w:val="12"/>
        <w:spacing w:line="400" w:lineRule="exact"/>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w:t>
      </w:r>
    </w:p>
    <w:p>
      <w:pPr>
        <w:pStyle w:val="28"/>
        <w:spacing w:line="600" w:lineRule="exact"/>
        <w:rPr>
          <w:rFonts w:hint="eastAsia" w:ascii="宋体" w:hAnsi="宋体" w:eastAsia="宋体" w:cs="宋体"/>
          <w:color w:val="000000"/>
          <w:sz w:val="28"/>
          <w:highlight w:val="none"/>
        </w:rPr>
      </w:pPr>
      <w:r>
        <w:rPr>
          <w:rFonts w:hint="eastAsia" w:ascii="宋体" w:hAnsi="宋体" w:eastAsia="宋体" w:cs="宋体"/>
          <w:color w:val="000000"/>
          <w:sz w:val="28"/>
          <w:highlight w:val="none"/>
        </w:rPr>
        <w:t>填写日期:</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年</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月</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日</w:t>
      </w:r>
    </w:p>
    <w:p>
      <w:pPr>
        <w:pStyle w:val="26"/>
        <w:ind w:left="0" w:leftChars="0" w:firstLine="0" w:firstLineChars="0"/>
        <w:rPr>
          <w:rFonts w:hint="eastAsia" w:ascii="宋体" w:hAnsi="宋体" w:eastAsia="宋体" w:cs="宋体"/>
          <w:color w:val="000000"/>
          <w:sz w:val="28"/>
          <w:szCs w:val="28"/>
          <w:highlight w:val="none"/>
        </w:rPr>
      </w:pPr>
    </w:p>
    <w:p>
      <w:pPr>
        <w:pStyle w:val="26"/>
        <w:ind w:left="0" w:leftChars="0" w:firstLine="0" w:firstLineChars="0"/>
        <w:rPr>
          <w:rFonts w:hint="eastAsia" w:ascii="宋体" w:hAnsi="宋体" w:eastAsia="宋体" w:cs="宋体"/>
          <w:color w:val="000000"/>
          <w:sz w:val="28"/>
          <w:szCs w:val="28"/>
          <w:highlight w:val="none"/>
        </w:rPr>
      </w:pPr>
    </w:p>
    <w:p>
      <w:pPr>
        <w:pStyle w:val="26"/>
        <w:ind w:left="0" w:leftChars="0" w:firstLine="0" w:firstLineChars="0"/>
        <w:rPr>
          <w:rFonts w:hint="eastAsia" w:ascii="宋体" w:hAnsi="宋体" w:eastAsia="宋体" w:cs="宋体"/>
          <w:color w:val="000000"/>
          <w:sz w:val="28"/>
          <w:szCs w:val="28"/>
          <w:highlight w:val="none"/>
        </w:rPr>
      </w:pPr>
    </w:p>
    <w:p>
      <w:pPr>
        <w:pStyle w:val="26"/>
        <w:ind w:left="0" w:leftChars="0" w:firstLine="0" w:firstLineChars="0"/>
        <w:rPr>
          <w:rFonts w:hint="eastAsia" w:ascii="宋体" w:hAnsi="宋体" w:eastAsia="宋体" w:cs="宋体"/>
          <w:color w:val="000000"/>
          <w:sz w:val="28"/>
          <w:szCs w:val="28"/>
          <w:highlight w:val="none"/>
        </w:rPr>
      </w:pPr>
    </w:p>
    <w:p>
      <w:pPr>
        <w:pStyle w:val="26"/>
        <w:ind w:left="0" w:leftChars="0" w:firstLine="0" w:firstLineChars="0"/>
        <w:rPr>
          <w:rFonts w:hint="eastAsia" w:ascii="宋体" w:hAnsi="宋体" w:eastAsia="宋体" w:cs="宋体"/>
          <w:color w:val="000000"/>
          <w:sz w:val="28"/>
          <w:szCs w:val="28"/>
          <w:highlight w:val="none"/>
        </w:rPr>
      </w:pPr>
    </w:p>
    <w:p>
      <w:pPr>
        <w:pStyle w:val="26"/>
        <w:ind w:left="0" w:leftChars="0" w:firstLine="0" w:firstLineChars="0"/>
        <w:rPr>
          <w:rFonts w:hint="eastAsia" w:ascii="宋体" w:hAnsi="宋体" w:eastAsia="宋体" w:cs="宋体"/>
          <w:color w:val="000000"/>
          <w:sz w:val="28"/>
          <w:szCs w:val="28"/>
          <w:highlight w:val="none"/>
        </w:rPr>
        <w:sectPr>
          <w:pgSz w:w="16838" w:h="11905" w:orient="landscape"/>
          <w:pgMar w:top="1134" w:right="1134" w:bottom="1134" w:left="1134" w:header="964" w:footer="1191" w:gutter="0"/>
          <w:pgBorders>
            <w:top w:val="thinThickSmallGap" w:color="auto" w:sz="18" w:space="1"/>
            <w:bottom w:val="thinThickSmallGap" w:color="auto" w:sz="18" w:space="1"/>
          </w:pgBorders>
          <w:pgNumType w:fmt="decimal" w:start="1"/>
          <w:cols w:space="0" w:num="1"/>
          <w:titlePg/>
          <w:rtlGutter w:val="0"/>
          <w:docGrid w:type="lines" w:linePitch="321" w:charSpace="0"/>
        </w:sectPr>
      </w:pPr>
    </w:p>
    <w:p>
      <w:pPr>
        <w:pStyle w:val="28"/>
        <w:spacing w:line="600" w:lineRule="exact"/>
        <w:rPr>
          <w:rFonts w:hint="eastAsia" w:ascii="宋体" w:hAnsi="宋体" w:eastAsia="宋体" w:cs="宋体"/>
          <w:color w:val="000000"/>
          <w:sz w:val="32"/>
          <w:szCs w:val="32"/>
          <w:highlight w:val="none"/>
          <w:lang w:eastAsia="zh-CN"/>
        </w:rPr>
      </w:pPr>
      <w:bookmarkStart w:id="28" w:name="_Toc175541483"/>
    </w:p>
    <w:p>
      <w:pPr>
        <w:pStyle w:val="28"/>
        <w:spacing w:line="600" w:lineRule="exact"/>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eastAsia="zh-CN"/>
        </w:rPr>
        <w:t>四、</w:t>
      </w:r>
      <w:r>
        <w:rPr>
          <w:rFonts w:hint="eastAsia" w:ascii="宋体" w:hAnsi="宋体" w:eastAsia="宋体" w:cs="宋体"/>
          <w:color w:val="000000"/>
          <w:sz w:val="32"/>
          <w:szCs w:val="32"/>
          <w:highlight w:val="none"/>
        </w:rPr>
        <w:t>备品备件清单</w:t>
      </w:r>
    </w:p>
    <w:p>
      <w:pPr>
        <w:pStyle w:val="28"/>
        <w:spacing w:line="600" w:lineRule="exact"/>
        <w:rPr>
          <w:rFonts w:hint="eastAsia" w:ascii="宋体" w:hAnsi="宋体" w:eastAsia="宋体" w:cs="宋体"/>
          <w:color w:val="000000"/>
          <w:sz w:val="28"/>
          <w:szCs w:val="28"/>
          <w:highlight w:val="none"/>
        </w:rPr>
      </w:pPr>
    </w:p>
    <w:tbl>
      <w:tblPr>
        <w:tblStyle w:val="20"/>
        <w:tblW w:w="90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008"/>
        <w:gridCol w:w="1816"/>
        <w:gridCol w:w="807"/>
        <w:gridCol w:w="807"/>
        <w:gridCol w:w="1151"/>
        <w:gridCol w:w="12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3" w:hRule="atLeast"/>
          <w:jc w:val="center"/>
        </w:trPr>
        <w:tc>
          <w:tcPr>
            <w:tcW w:w="1252"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序号</w:t>
            </w:r>
          </w:p>
        </w:tc>
        <w:tc>
          <w:tcPr>
            <w:tcW w:w="2008" w:type="dxa"/>
            <w:vAlign w:val="center"/>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备品备件名称</w:t>
            </w:r>
          </w:p>
        </w:tc>
        <w:tc>
          <w:tcPr>
            <w:tcW w:w="1816" w:type="dxa"/>
            <w:tcBorders>
              <w:bottom w:val="single" w:color="auto" w:sz="4" w:space="0"/>
            </w:tcBorders>
            <w:vAlign w:val="center"/>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品牌、规格</w:t>
            </w:r>
          </w:p>
        </w:tc>
        <w:tc>
          <w:tcPr>
            <w:tcW w:w="807" w:type="dxa"/>
            <w:tcBorders>
              <w:right w:val="single" w:color="auto" w:sz="4" w:space="0"/>
            </w:tcBorders>
            <w:vAlign w:val="center"/>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单位</w:t>
            </w:r>
          </w:p>
        </w:tc>
        <w:tc>
          <w:tcPr>
            <w:tcW w:w="807" w:type="dxa"/>
            <w:tcBorders>
              <w:left w:val="single" w:color="auto" w:sz="4" w:space="0"/>
            </w:tcBorders>
            <w:vAlign w:val="center"/>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数量</w:t>
            </w:r>
          </w:p>
        </w:tc>
        <w:tc>
          <w:tcPr>
            <w:tcW w:w="1151" w:type="dxa"/>
            <w:vAlign w:val="center"/>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参数</w:t>
            </w:r>
          </w:p>
        </w:tc>
        <w:tc>
          <w:tcPr>
            <w:tcW w:w="1215" w:type="dxa"/>
            <w:tcBorders>
              <w:right w:val="single" w:color="auto" w:sz="4" w:space="0"/>
            </w:tcBorders>
            <w:vAlign w:val="center"/>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252"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2008"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816" w:type="dxa"/>
            <w:tcBorders>
              <w:top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lef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151"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215"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252"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p>
        </w:tc>
        <w:tc>
          <w:tcPr>
            <w:tcW w:w="2008"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816"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lef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151"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215"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252"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p>
        </w:tc>
        <w:tc>
          <w:tcPr>
            <w:tcW w:w="2008"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816"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lef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151"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215"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252"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p>
        </w:tc>
        <w:tc>
          <w:tcPr>
            <w:tcW w:w="2008"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816"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lef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151"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215"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252"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p>
        </w:tc>
        <w:tc>
          <w:tcPr>
            <w:tcW w:w="2008"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816"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lef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151"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215"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252"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2008"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816"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807" w:type="dxa"/>
            <w:tcBorders>
              <w:lef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151" w:type="dxa"/>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c>
          <w:tcPr>
            <w:tcW w:w="1215"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7841" w:type="dxa"/>
            <w:gridSpan w:val="6"/>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备品备件须在售后服务点有备件库存贮</w:t>
            </w:r>
          </w:p>
        </w:tc>
        <w:tc>
          <w:tcPr>
            <w:tcW w:w="1215" w:type="dxa"/>
            <w:tcBorders>
              <w:right w:val="single" w:color="auto" w:sz="4" w:space="0"/>
            </w:tcBorders>
            <w:vAlign w:val="top"/>
          </w:tcPr>
          <w:p>
            <w:pPr>
              <w:pStyle w:val="28"/>
              <w:spacing w:before="0" w:beforeAutospacing="0" w:after="0" w:afterAutospacing="0" w:line="600" w:lineRule="exact"/>
              <w:ind w:left="0" w:right="0"/>
              <w:jc w:val="center"/>
              <w:rPr>
                <w:rFonts w:hint="eastAsia" w:ascii="宋体" w:hAnsi="宋体" w:eastAsia="宋体" w:cs="宋体"/>
                <w:color w:val="000000"/>
                <w:sz w:val="28"/>
                <w:szCs w:val="28"/>
                <w:highlight w:val="none"/>
              </w:rPr>
            </w:pPr>
          </w:p>
        </w:tc>
      </w:tr>
    </w:tbl>
    <w:p>
      <w:pPr>
        <w:pStyle w:val="28"/>
        <w:spacing w:line="600" w:lineRule="exact"/>
        <w:rPr>
          <w:rFonts w:hint="eastAsia" w:ascii="宋体" w:hAnsi="宋体" w:eastAsia="宋体" w:cs="宋体"/>
          <w:color w:val="000000"/>
          <w:sz w:val="28"/>
          <w:szCs w:val="28"/>
          <w:highlight w:val="none"/>
        </w:rPr>
      </w:pPr>
    </w:p>
    <w:p>
      <w:pPr>
        <w:pStyle w:val="28"/>
        <w:spacing w:line="600" w:lineRule="exact"/>
        <w:rPr>
          <w:rFonts w:hint="eastAsia" w:ascii="宋体" w:hAnsi="宋体" w:eastAsia="宋体" w:cs="宋体"/>
          <w:color w:val="000000"/>
          <w:sz w:val="28"/>
          <w:szCs w:val="28"/>
          <w:highlight w:val="none"/>
        </w:rPr>
      </w:pPr>
    </w:p>
    <w:p>
      <w:pPr>
        <w:pStyle w:val="28"/>
        <w:spacing w:line="6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投标方：（单位盖章）</w:t>
      </w:r>
    </w:p>
    <w:p>
      <w:pPr>
        <w:pStyle w:val="28"/>
        <w:spacing w:line="6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法定代表人或授权委托人：（签字或盖章）</w:t>
      </w:r>
    </w:p>
    <w:p>
      <w:pPr>
        <w:pStyle w:val="28"/>
        <w:spacing w:line="600" w:lineRule="exact"/>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日期：         年         月       日</w:t>
      </w:r>
    </w:p>
    <w:p>
      <w:pP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pStyle w:val="12"/>
        <w:ind w:right="-15"/>
        <w:jc w:val="both"/>
        <w:outlineLvl w:val="1"/>
        <w:rPr>
          <w:rFonts w:hint="eastAsia" w:ascii="宋体" w:hAnsi="宋体" w:eastAsia="宋体" w:cs="宋体"/>
          <w:color w:val="000000"/>
          <w:sz w:val="32"/>
          <w:szCs w:val="32"/>
          <w:highlight w:val="none"/>
          <w:lang w:eastAsia="zh-CN"/>
        </w:rPr>
      </w:pPr>
      <w:bookmarkStart w:id="29" w:name="_Toc11566"/>
    </w:p>
    <w:p>
      <w:pPr>
        <w:pStyle w:val="12"/>
        <w:ind w:right="-15"/>
        <w:jc w:val="both"/>
        <w:outlineLvl w:val="1"/>
        <w:rPr>
          <w:rFonts w:hint="eastAsia" w:ascii="宋体" w:hAnsi="宋体" w:eastAsia="宋体" w:cs="宋体"/>
          <w:color w:val="000000"/>
          <w:sz w:val="32"/>
          <w:szCs w:val="32"/>
          <w:highlight w:val="none"/>
          <w:lang w:eastAsia="zh-CN"/>
        </w:rPr>
      </w:pPr>
    </w:p>
    <w:p>
      <w:pPr>
        <w:pStyle w:val="12"/>
        <w:ind w:right="-15"/>
        <w:jc w:val="both"/>
        <w:outlineLvl w:val="1"/>
        <w:rPr>
          <w:rFonts w:hint="eastAsia" w:ascii="宋体" w:hAnsi="宋体" w:eastAsia="宋体" w:cs="宋体"/>
          <w:color w:val="000000"/>
          <w:sz w:val="32"/>
          <w:szCs w:val="32"/>
          <w:highlight w:val="none"/>
          <w:lang w:eastAsia="zh-CN"/>
        </w:rPr>
      </w:pPr>
    </w:p>
    <w:p>
      <w:pPr>
        <w:pStyle w:val="12"/>
        <w:ind w:right="-15"/>
        <w:jc w:val="both"/>
        <w:outlineLvl w:val="1"/>
        <w:rPr>
          <w:rFonts w:hint="eastAsia" w:ascii="宋体" w:hAnsi="宋体" w:eastAsia="宋体" w:cs="宋体"/>
          <w:color w:val="000000"/>
          <w:sz w:val="32"/>
          <w:szCs w:val="32"/>
          <w:highlight w:val="none"/>
          <w:lang w:eastAsia="zh-CN"/>
        </w:rPr>
      </w:pPr>
    </w:p>
    <w:p>
      <w:pPr>
        <w:pStyle w:val="12"/>
        <w:ind w:right="-15"/>
        <w:jc w:val="both"/>
        <w:outlineLvl w:val="1"/>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eastAsia="zh-CN"/>
        </w:rPr>
        <w:t>五</w:t>
      </w:r>
      <w:r>
        <w:rPr>
          <w:rFonts w:hint="eastAsia" w:ascii="宋体" w:hAnsi="宋体" w:eastAsia="宋体" w:cs="宋体"/>
          <w:color w:val="000000"/>
          <w:sz w:val="32"/>
          <w:szCs w:val="32"/>
          <w:highlight w:val="none"/>
        </w:rPr>
        <w:t>、 企业法人营业执照</w:t>
      </w:r>
      <w:r>
        <w:rPr>
          <w:rFonts w:hint="eastAsia" w:ascii="宋体" w:hAnsi="宋体" w:eastAsia="宋体" w:cs="宋体"/>
          <w:color w:val="000000"/>
          <w:sz w:val="32"/>
          <w:szCs w:val="32"/>
          <w:highlight w:val="none"/>
          <w:lang w:eastAsia="zh-CN"/>
        </w:rPr>
        <w:t>、资质证书</w:t>
      </w:r>
      <w:r>
        <w:rPr>
          <w:rFonts w:hint="eastAsia" w:ascii="宋体" w:hAnsi="宋体" w:eastAsia="宋体" w:cs="宋体"/>
          <w:color w:val="000000"/>
          <w:sz w:val="32"/>
          <w:szCs w:val="32"/>
          <w:highlight w:val="none"/>
        </w:rPr>
        <w:t>复印件</w:t>
      </w:r>
      <w:r>
        <w:rPr>
          <w:rFonts w:hint="eastAsia" w:ascii="宋体" w:hAnsi="宋体" w:eastAsia="宋体" w:cs="宋体"/>
          <w:color w:val="000000"/>
          <w:sz w:val="32"/>
          <w:szCs w:val="32"/>
          <w:highlight w:val="none"/>
          <w:lang w:eastAsia="zh-CN"/>
        </w:rPr>
        <w:t>等相关资料</w:t>
      </w:r>
      <w:r>
        <w:rPr>
          <w:rFonts w:hint="eastAsia" w:ascii="宋体" w:hAnsi="宋体" w:eastAsia="宋体" w:cs="宋体"/>
          <w:color w:val="000000"/>
          <w:sz w:val="32"/>
          <w:szCs w:val="32"/>
          <w:highlight w:val="none"/>
        </w:rPr>
        <w:t>并加盖单位公章</w:t>
      </w:r>
      <w:bookmarkEnd w:id="29"/>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jc w:val="center"/>
        <w:rPr>
          <w:rFonts w:hint="eastAsia" w:ascii="宋体" w:hAnsi="宋体" w:eastAsia="宋体" w:cs="宋体"/>
          <w:b/>
          <w:bCs/>
          <w:color w:val="000000"/>
          <w:sz w:val="32"/>
          <w:szCs w:val="32"/>
          <w:highlight w:val="none"/>
        </w:rPr>
      </w:pPr>
    </w:p>
    <w:p>
      <w:pPr>
        <w:pStyle w:val="8"/>
        <w:rPr>
          <w:rFonts w:hint="eastAsia" w:ascii="宋体" w:hAnsi="宋体" w:eastAsia="宋体" w:cs="宋体"/>
          <w:color w:val="000000"/>
          <w:highlight w:val="none"/>
        </w:rPr>
      </w:pPr>
    </w:p>
    <w:p>
      <w:pPr>
        <w:jc w:val="both"/>
        <w:rPr>
          <w:rFonts w:hint="eastAsia" w:ascii="宋体" w:hAnsi="宋体" w:eastAsia="宋体" w:cs="宋体"/>
          <w:b/>
          <w:bCs/>
          <w:color w:val="000000"/>
          <w:sz w:val="32"/>
          <w:szCs w:val="32"/>
          <w:highlight w:val="none"/>
        </w:rPr>
      </w:pPr>
    </w:p>
    <w:p>
      <w:pPr>
        <w:pStyle w:val="12"/>
        <w:ind w:right="-15"/>
        <w:jc w:val="both"/>
        <w:outlineLvl w:val="1"/>
        <w:rPr>
          <w:rFonts w:hint="eastAsia" w:ascii="宋体" w:hAnsi="宋体" w:eastAsia="宋体" w:cs="宋体"/>
          <w:color w:val="000000"/>
          <w:sz w:val="32"/>
          <w:szCs w:val="32"/>
          <w:highlight w:val="none"/>
        </w:rPr>
      </w:pPr>
      <w:bookmarkStart w:id="30" w:name="_Toc15556"/>
      <w:r>
        <w:rPr>
          <w:rFonts w:hint="eastAsia" w:ascii="宋体" w:hAnsi="宋体" w:eastAsia="宋体" w:cs="宋体"/>
          <w:color w:val="000000"/>
          <w:sz w:val="32"/>
          <w:szCs w:val="32"/>
          <w:highlight w:val="none"/>
          <w:lang w:eastAsia="zh-CN"/>
        </w:rPr>
        <w:t>六</w:t>
      </w:r>
      <w:r>
        <w:rPr>
          <w:rFonts w:hint="eastAsia" w:ascii="宋体" w:hAnsi="宋体" w:eastAsia="宋体" w:cs="宋体"/>
          <w:color w:val="000000"/>
          <w:sz w:val="32"/>
          <w:szCs w:val="32"/>
          <w:highlight w:val="none"/>
        </w:rPr>
        <w:t xml:space="preserve"> </w:t>
      </w:r>
      <w:bookmarkEnd w:id="28"/>
      <w:bookmarkEnd w:id="30"/>
      <w:r>
        <w:rPr>
          <w:rFonts w:hint="eastAsia" w:ascii="宋体" w:hAnsi="宋体" w:eastAsia="宋体" w:cs="宋体"/>
          <w:color w:val="000000"/>
          <w:sz w:val="32"/>
          <w:szCs w:val="32"/>
          <w:highlight w:val="none"/>
          <w:lang w:eastAsia="zh-CN"/>
        </w:rPr>
        <w:t>、</w:t>
      </w:r>
      <w:r>
        <w:rPr>
          <w:rFonts w:hint="eastAsia" w:ascii="宋体" w:hAnsi="宋体" w:eastAsia="宋体" w:cs="宋体"/>
          <w:color w:val="000000"/>
          <w:sz w:val="32"/>
          <w:szCs w:val="32"/>
          <w:highlight w:val="none"/>
        </w:rPr>
        <w:t>法定代表人身份证明书</w:t>
      </w:r>
    </w:p>
    <w:p>
      <w:pPr>
        <w:rPr>
          <w:rFonts w:hint="eastAsia" w:ascii="宋体" w:hAnsi="宋体" w:eastAsia="宋体" w:cs="宋体"/>
          <w:bCs/>
          <w:i w:val="0"/>
          <w:iCs w:val="0"/>
          <w:color w:val="000000"/>
          <w:sz w:val="24"/>
          <w:highlight w:val="none"/>
        </w:rPr>
      </w:pPr>
    </w:p>
    <w:p>
      <w:pPr>
        <w:wordWrap w:val="0"/>
        <w:spacing w:line="560" w:lineRule="exact"/>
        <w:ind w:firstLine="480" w:firstLineChars="200"/>
        <w:rPr>
          <w:rFonts w:hint="eastAsia" w:ascii="宋体" w:hAnsi="宋体" w:eastAsia="宋体" w:cs="宋体"/>
          <w:bCs/>
          <w:i w:val="0"/>
          <w:iCs w:val="0"/>
          <w:color w:val="000000"/>
          <w:sz w:val="24"/>
          <w:highlight w:val="none"/>
          <w:u w:val="single"/>
        </w:rPr>
      </w:pPr>
      <w:r>
        <w:rPr>
          <w:rFonts w:hint="eastAsia" w:ascii="宋体" w:hAnsi="宋体" w:eastAsia="宋体" w:cs="宋体"/>
          <w:bCs/>
          <w:i w:val="0"/>
          <w:iCs w:val="0"/>
          <w:color w:val="000000"/>
          <w:sz w:val="24"/>
          <w:highlight w:val="none"/>
        </w:rPr>
        <w:t>投标人名称：</w:t>
      </w:r>
      <w:r>
        <w:rPr>
          <w:rFonts w:hint="eastAsia" w:ascii="宋体" w:hAnsi="宋体" w:eastAsia="宋体" w:cs="宋体"/>
          <w:bCs/>
          <w:i w:val="0"/>
          <w:iCs w:val="0"/>
          <w:color w:val="000000"/>
          <w:sz w:val="24"/>
          <w:highlight w:val="none"/>
          <w:u w:val="single"/>
        </w:rPr>
        <w:t xml:space="preserve">                                 </w:t>
      </w:r>
    </w:p>
    <w:p>
      <w:pPr>
        <w:wordWrap w:val="0"/>
        <w:spacing w:line="560" w:lineRule="exact"/>
        <w:ind w:firstLine="480" w:firstLineChars="200"/>
        <w:rPr>
          <w:rFonts w:hint="eastAsia" w:ascii="宋体" w:hAnsi="宋体" w:eastAsia="宋体" w:cs="宋体"/>
          <w:bCs/>
          <w:i w:val="0"/>
          <w:iCs w:val="0"/>
          <w:color w:val="000000"/>
          <w:sz w:val="24"/>
          <w:highlight w:val="none"/>
          <w:u w:val="single"/>
        </w:rPr>
      </w:pPr>
      <w:r>
        <w:rPr>
          <w:rFonts w:hint="eastAsia" w:ascii="宋体" w:hAnsi="宋体" w:eastAsia="宋体" w:cs="宋体"/>
          <w:bCs/>
          <w:i w:val="0"/>
          <w:iCs w:val="0"/>
          <w:color w:val="000000"/>
          <w:sz w:val="24"/>
          <w:highlight w:val="none"/>
        </w:rPr>
        <w:t>单位性质：</w:t>
      </w:r>
      <w:r>
        <w:rPr>
          <w:rFonts w:hint="eastAsia" w:ascii="宋体" w:hAnsi="宋体" w:eastAsia="宋体" w:cs="宋体"/>
          <w:bCs/>
          <w:i w:val="0"/>
          <w:iCs w:val="0"/>
          <w:color w:val="000000"/>
          <w:sz w:val="24"/>
          <w:highlight w:val="none"/>
          <w:u w:val="single"/>
        </w:rPr>
        <w:t xml:space="preserve">                                   </w:t>
      </w:r>
    </w:p>
    <w:p>
      <w:pPr>
        <w:wordWrap w:val="0"/>
        <w:spacing w:line="560" w:lineRule="exact"/>
        <w:ind w:firstLine="480" w:firstLineChars="200"/>
        <w:rPr>
          <w:rFonts w:hint="eastAsia" w:ascii="宋体" w:hAnsi="宋体" w:eastAsia="宋体" w:cs="宋体"/>
          <w:bCs/>
          <w:i w:val="0"/>
          <w:iCs w:val="0"/>
          <w:color w:val="000000"/>
          <w:sz w:val="24"/>
          <w:highlight w:val="none"/>
          <w:u w:val="single"/>
        </w:rPr>
      </w:pPr>
      <w:r>
        <w:rPr>
          <w:rFonts w:hint="eastAsia" w:ascii="宋体" w:hAnsi="宋体" w:eastAsia="宋体" w:cs="宋体"/>
          <w:bCs/>
          <w:i w:val="0"/>
          <w:iCs w:val="0"/>
          <w:color w:val="000000"/>
          <w:sz w:val="24"/>
          <w:highlight w:val="none"/>
        </w:rPr>
        <w:t>成立时间：</w:t>
      </w:r>
      <w:r>
        <w:rPr>
          <w:rFonts w:hint="eastAsia" w:ascii="宋体" w:hAnsi="宋体" w:eastAsia="宋体" w:cs="宋体"/>
          <w:bCs/>
          <w:i w:val="0"/>
          <w:iCs w:val="0"/>
          <w:color w:val="000000"/>
          <w:sz w:val="24"/>
          <w:highlight w:val="none"/>
          <w:u w:val="single"/>
        </w:rPr>
        <w:t xml:space="preserve">                                   </w:t>
      </w:r>
    </w:p>
    <w:p>
      <w:pPr>
        <w:wordWrap w:val="0"/>
        <w:spacing w:line="560" w:lineRule="exact"/>
        <w:ind w:firstLine="480" w:firstLineChars="200"/>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经营期限：</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4"/>
          <w:highlight w:val="none"/>
        </w:rPr>
        <w:t xml:space="preserve"> </w:t>
      </w:r>
    </w:p>
    <w:p>
      <w:pPr>
        <w:wordWrap w:val="0"/>
        <w:spacing w:line="560" w:lineRule="exact"/>
        <w:ind w:firstLine="480" w:firstLineChars="200"/>
        <w:rPr>
          <w:rFonts w:hint="eastAsia" w:ascii="宋体" w:hAnsi="宋体" w:eastAsia="宋体" w:cs="宋体"/>
          <w:bCs/>
          <w:i w:val="0"/>
          <w:iCs w:val="0"/>
          <w:color w:val="000000"/>
          <w:sz w:val="24"/>
          <w:highlight w:val="none"/>
          <w:u w:val="single"/>
        </w:rPr>
      </w:pPr>
      <w:r>
        <w:rPr>
          <w:rFonts w:hint="eastAsia" w:ascii="宋体" w:hAnsi="宋体" w:eastAsia="宋体" w:cs="宋体"/>
          <w:bCs/>
          <w:i w:val="0"/>
          <w:iCs w:val="0"/>
          <w:color w:val="000000"/>
          <w:sz w:val="24"/>
          <w:highlight w:val="none"/>
        </w:rPr>
        <w:t>姓名：</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4"/>
          <w:highlight w:val="none"/>
        </w:rPr>
        <w:t>性别：</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4"/>
          <w:highlight w:val="none"/>
        </w:rPr>
        <w:t>年龄：</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4"/>
          <w:highlight w:val="none"/>
        </w:rPr>
        <w:t>职务：</w:t>
      </w:r>
      <w:r>
        <w:rPr>
          <w:rFonts w:hint="eastAsia" w:ascii="宋体" w:hAnsi="宋体" w:eastAsia="宋体" w:cs="宋体"/>
          <w:bCs/>
          <w:i w:val="0"/>
          <w:iCs w:val="0"/>
          <w:color w:val="000000"/>
          <w:sz w:val="24"/>
          <w:highlight w:val="none"/>
          <w:u w:val="single"/>
        </w:rPr>
        <w:t xml:space="preserve">          </w:t>
      </w:r>
    </w:p>
    <w:p>
      <w:pPr>
        <w:spacing w:line="560" w:lineRule="exact"/>
        <w:ind w:firstLine="480" w:firstLineChars="200"/>
        <w:rPr>
          <w:rFonts w:hint="eastAsia" w:ascii="宋体" w:hAnsi="宋体" w:eastAsia="宋体" w:cs="宋体"/>
          <w:bCs/>
          <w:i w:val="0"/>
          <w:iCs w:val="0"/>
          <w:color w:val="000000"/>
          <w:sz w:val="24"/>
          <w:highlight w:val="none"/>
          <w:u w:val="single"/>
        </w:rPr>
      </w:pPr>
      <w:r>
        <w:rPr>
          <w:rFonts w:hint="eastAsia" w:ascii="宋体" w:hAnsi="宋体" w:eastAsia="宋体" w:cs="宋体"/>
          <w:bCs/>
          <w:i w:val="0"/>
          <w:iCs w:val="0"/>
          <w:color w:val="000000"/>
          <w:sz w:val="24"/>
          <w:highlight w:val="none"/>
        </w:rPr>
        <w:t>系</w:t>
      </w:r>
      <w:r>
        <w:rPr>
          <w:rFonts w:hint="eastAsia" w:ascii="宋体" w:hAnsi="宋体" w:eastAsia="宋体" w:cs="宋体"/>
          <w:bCs/>
          <w:i w:val="0"/>
          <w:iCs w:val="0"/>
          <w:color w:val="000000"/>
          <w:sz w:val="24"/>
          <w:highlight w:val="none"/>
          <w:u w:val="single"/>
        </w:rPr>
        <w:t xml:space="preserve">                （投标人）           </w:t>
      </w:r>
      <w:r>
        <w:rPr>
          <w:rFonts w:hint="eastAsia" w:ascii="宋体" w:hAnsi="宋体" w:eastAsia="宋体" w:cs="宋体"/>
          <w:bCs/>
          <w:i w:val="0"/>
          <w:iCs w:val="0"/>
          <w:color w:val="000000"/>
          <w:sz w:val="24"/>
          <w:highlight w:val="none"/>
        </w:rPr>
        <w:t>的法定代表人。</w:t>
      </w:r>
    </w:p>
    <w:p>
      <w:pPr>
        <w:spacing w:line="560" w:lineRule="exact"/>
        <w:ind w:firstLine="480" w:firstLineChars="200"/>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特此声明。</w:t>
      </w:r>
    </w:p>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rPr>
      </w:pPr>
    </w:p>
    <w:p>
      <w:pPr>
        <w:spacing w:line="560" w:lineRule="exact"/>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kern w:val="2"/>
          <w:sz w:val="24"/>
          <w:highlight w:val="none"/>
          <w:lang w:val="en-US" w:eastAsia="zh-CN" w:bidi="ar-SA"/>
        </w:rPr>
        <w:pict>
          <v:rect id="文本框 5" o:spid="_x0000_s1035" o:spt="1" style="position:absolute;left:0pt;margin-left:93.5pt;margin-top:13.1pt;height:146.6pt;width:289.1pt;z-index:251659264;mso-width-relative:page;mso-height-relative:page;" fillcolor="#FFFFFF" filled="t" o:preferrelative="t" stroked="t" coordsize="21600,21600">
            <v:path/>
            <v:fill on="t" focussize="0,0"/>
            <v:stroke color="#000000" color2="#FFFFFF" miterlimit="2" dashstyle="1 1" endcap="round"/>
            <v:imagedata gain="65536f" blacklevel="0f" gamma="0" o:title=""/>
            <o:lock v:ext="edit" position="f" selection="f" grouping="f" rotation="f" cropping="f" text="f" aspectratio="f"/>
            <v:textbox>
              <w:txbxContent>
                <w:p>
                  <w:pPr>
                    <w:rPr>
                      <w:rFonts w:hint="eastAsia"/>
                    </w:rPr>
                  </w:pPr>
                </w:p>
                <w:p>
                  <w:pPr>
                    <w:rPr>
                      <w:rFonts w:hint="eastAsia"/>
                    </w:rPr>
                  </w:pPr>
                </w:p>
                <w:p>
                  <w:pPr>
                    <w:rPr>
                      <w:rFonts w:hint="eastAsia"/>
                    </w:rPr>
                  </w:pPr>
                </w:p>
                <w:p>
                  <w:pPr>
                    <w:rPr>
                      <w:rFonts w:hint="eastAsia"/>
                    </w:rPr>
                  </w:pPr>
                </w:p>
                <w:p>
                  <w:pPr>
                    <w:jc w:val="center"/>
                    <w:rPr>
                      <w:rFonts w:hint="eastAsia" w:ascii="宋体" w:hAnsi="宋体" w:eastAsia="宋体" w:cs="宋体"/>
                      <w:sz w:val="28"/>
                      <w:szCs w:val="28"/>
                    </w:rPr>
                  </w:pPr>
                  <w:r>
                    <w:rPr>
                      <w:rFonts w:hint="eastAsia" w:ascii="宋体" w:hAnsi="宋体" w:eastAsia="宋体" w:cs="宋体"/>
                      <w:sz w:val="28"/>
                      <w:szCs w:val="28"/>
                    </w:rPr>
                    <w:t>法定代表人身份证复印件（正</w:t>
                  </w:r>
                  <w:r>
                    <w:rPr>
                      <w:rFonts w:hint="eastAsia" w:ascii="宋体" w:hAnsi="宋体" w:eastAsia="宋体" w:cs="宋体"/>
                      <w:sz w:val="28"/>
                      <w:szCs w:val="28"/>
                      <w:lang w:eastAsia="zh-CN"/>
                    </w:rPr>
                    <w:t>反</w:t>
                  </w:r>
                  <w:r>
                    <w:rPr>
                      <w:rFonts w:hint="eastAsia" w:ascii="宋体" w:hAnsi="宋体" w:eastAsia="宋体" w:cs="宋体"/>
                      <w:sz w:val="28"/>
                      <w:szCs w:val="28"/>
                    </w:rPr>
                    <w:t>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v:rect>
        </w:pict>
      </w:r>
    </w:p>
    <w:p>
      <w:pPr>
        <w:spacing w:line="560" w:lineRule="exact"/>
        <w:rPr>
          <w:rFonts w:hint="eastAsia" w:ascii="宋体" w:hAnsi="宋体" w:eastAsia="宋体" w:cs="宋体"/>
          <w:bCs/>
          <w:i w:val="0"/>
          <w:iCs w:val="0"/>
          <w:color w:val="000000"/>
          <w:sz w:val="24"/>
          <w:highlight w:val="none"/>
        </w:rPr>
      </w:pPr>
    </w:p>
    <w:p>
      <w:pPr>
        <w:spacing w:line="560" w:lineRule="exact"/>
        <w:rPr>
          <w:rFonts w:hint="eastAsia" w:ascii="宋体" w:hAnsi="宋体" w:eastAsia="宋体" w:cs="宋体"/>
          <w:bCs/>
          <w:i w:val="0"/>
          <w:iCs w:val="0"/>
          <w:color w:val="000000"/>
          <w:sz w:val="24"/>
          <w:highlight w:val="none"/>
        </w:rPr>
      </w:pPr>
    </w:p>
    <w:p>
      <w:pPr>
        <w:spacing w:line="560" w:lineRule="exact"/>
        <w:ind w:firstLine="1800" w:firstLineChars="750"/>
        <w:rPr>
          <w:rFonts w:hint="eastAsia" w:ascii="宋体" w:hAnsi="宋体" w:eastAsia="宋体" w:cs="宋体"/>
          <w:bCs/>
          <w:i w:val="0"/>
          <w:iCs w:val="0"/>
          <w:color w:val="000000"/>
          <w:sz w:val="24"/>
          <w:highlight w:val="none"/>
        </w:rPr>
      </w:pPr>
    </w:p>
    <w:p>
      <w:pPr>
        <w:spacing w:line="560" w:lineRule="exact"/>
        <w:ind w:firstLine="1800" w:firstLineChars="750"/>
        <w:rPr>
          <w:rFonts w:hint="eastAsia" w:ascii="宋体" w:hAnsi="宋体" w:eastAsia="宋体" w:cs="宋体"/>
          <w:bCs/>
          <w:i w:val="0"/>
          <w:iCs w:val="0"/>
          <w:color w:val="000000"/>
          <w:sz w:val="24"/>
          <w:highlight w:val="none"/>
        </w:rPr>
      </w:pPr>
    </w:p>
    <w:p>
      <w:pPr>
        <w:spacing w:line="560" w:lineRule="exact"/>
        <w:ind w:firstLine="1800" w:firstLineChars="750"/>
        <w:rPr>
          <w:rFonts w:hint="eastAsia" w:ascii="宋体" w:hAnsi="宋体" w:eastAsia="宋体" w:cs="宋体"/>
          <w:bCs/>
          <w:i w:val="0"/>
          <w:iCs w:val="0"/>
          <w:color w:val="000000"/>
          <w:sz w:val="24"/>
          <w:highlight w:val="none"/>
        </w:rPr>
      </w:pPr>
    </w:p>
    <w:p>
      <w:pPr>
        <w:spacing w:line="560" w:lineRule="exact"/>
        <w:ind w:firstLine="1800" w:firstLineChars="750"/>
        <w:rPr>
          <w:rFonts w:hint="eastAsia" w:ascii="宋体" w:hAnsi="宋体" w:eastAsia="宋体" w:cs="宋体"/>
          <w:bCs/>
          <w:i w:val="0"/>
          <w:iCs w:val="0"/>
          <w:color w:val="000000"/>
          <w:sz w:val="24"/>
          <w:highlight w:val="none"/>
        </w:rPr>
      </w:pPr>
    </w:p>
    <w:p>
      <w:pPr>
        <w:spacing w:line="560" w:lineRule="exact"/>
        <w:ind w:firstLine="1800" w:firstLineChars="750"/>
        <w:rPr>
          <w:rFonts w:hint="eastAsia" w:ascii="宋体" w:hAnsi="宋体" w:eastAsia="宋体" w:cs="宋体"/>
          <w:bCs/>
          <w:i w:val="0"/>
          <w:iCs w:val="0"/>
          <w:color w:val="000000"/>
          <w:sz w:val="24"/>
          <w:highlight w:val="none"/>
        </w:rPr>
      </w:pPr>
    </w:p>
    <w:p>
      <w:pPr>
        <w:spacing w:line="560" w:lineRule="exact"/>
        <w:ind w:firstLine="1800" w:firstLineChars="750"/>
        <w:rPr>
          <w:rFonts w:hint="eastAsia" w:ascii="宋体" w:hAnsi="宋体" w:eastAsia="宋体" w:cs="宋体"/>
          <w:bCs/>
          <w:i w:val="0"/>
          <w:iCs w:val="0"/>
          <w:color w:val="000000"/>
          <w:sz w:val="24"/>
          <w:highlight w:val="none"/>
          <w:u w:val="single"/>
        </w:rPr>
      </w:pPr>
      <w:r>
        <w:rPr>
          <w:rFonts w:hint="eastAsia" w:ascii="宋体" w:hAnsi="宋体" w:eastAsia="宋体" w:cs="宋体"/>
          <w:bCs/>
          <w:i w:val="0"/>
          <w:iCs w:val="0"/>
          <w:color w:val="000000"/>
          <w:sz w:val="24"/>
          <w:highlight w:val="none"/>
        </w:rPr>
        <w:t>投标人：</w:t>
      </w:r>
      <w:r>
        <w:rPr>
          <w:rFonts w:hint="eastAsia" w:ascii="宋体" w:hAnsi="宋体" w:eastAsia="宋体" w:cs="宋体"/>
          <w:bCs/>
          <w:i w:val="0"/>
          <w:iCs w:val="0"/>
          <w:color w:val="000000"/>
          <w:sz w:val="24"/>
          <w:highlight w:val="none"/>
          <w:u w:val="single"/>
        </w:rPr>
        <w:t xml:space="preserve">                      （盖单位公章）</w:t>
      </w:r>
    </w:p>
    <w:p>
      <w:pPr>
        <w:spacing w:line="560" w:lineRule="exact"/>
        <w:ind w:firstLine="3360" w:firstLineChars="1400"/>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日</w:t>
      </w:r>
    </w:p>
    <w:p>
      <w:pPr>
        <w:spacing w:line="360" w:lineRule="auto"/>
        <w:ind w:firstLine="1560" w:firstLineChars="650"/>
        <w:rPr>
          <w:rFonts w:hint="eastAsia" w:ascii="宋体" w:hAnsi="宋体" w:eastAsia="宋体" w:cs="宋体"/>
          <w:i w:val="0"/>
          <w:iCs w:val="0"/>
          <w:color w:val="000000"/>
          <w:sz w:val="24"/>
          <w:highlight w:val="none"/>
        </w:rPr>
      </w:pPr>
    </w:p>
    <w:p>
      <w:pPr>
        <w:spacing w:line="360" w:lineRule="auto"/>
        <w:ind w:firstLine="1560" w:firstLineChars="650"/>
        <w:rPr>
          <w:rFonts w:hint="eastAsia" w:ascii="宋体" w:hAnsi="宋体" w:eastAsia="宋体" w:cs="宋体"/>
          <w:i w:val="0"/>
          <w:iCs w:val="0"/>
          <w:color w:val="000000"/>
          <w:sz w:val="24"/>
          <w:highlight w:val="none"/>
        </w:rPr>
      </w:pPr>
    </w:p>
    <w:p>
      <w:pPr>
        <w:spacing w:line="360" w:lineRule="auto"/>
        <w:ind w:firstLine="482" w:firstLineChars="200"/>
        <w:rPr>
          <w:rFonts w:hint="eastAsia" w:ascii="宋体" w:hAnsi="宋体" w:eastAsia="宋体" w:cs="宋体"/>
          <w:i w:val="0"/>
          <w:iCs w:val="0"/>
          <w:color w:val="000000"/>
          <w:sz w:val="24"/>
          <w:highlight w:val="none"/>
        </w:rPr>
      </w:pPr>
      <w:r>
        <w:rPr>
          <w:rFonts w:hint="eastAsia" w:ascii="宋体" w:hAnsi="宋体" w:eastAsia="宋体" w:cs="宋体"/>
          <w:b/>
          <w:bCs/>
          <w:i w:val="0"/>
          <w:iCs w:val="0"/>
          <w:color w:val="000000"/>
          <w:sz w:val="24"/>
          <w:highlight w:val="none"/>
        </w:rPr>
        <w:t>注：法定代表人本人为投标代表参加开标时，此法定代表人身份证明书除每份资格审查申请文件必须装订外，还应单独携带一份原件在递交投标文件时查验。</w:t>
      </w:r>
    </w:p>
    <w:p>
      <w:pPr>
        <w:outlineLvl w:val="9"/>
        <w:rPr>
          <w:rFonts w:hint="eastAsia" w:ascii="宋体" w:hAnsi="宋体" w:eastAsia="宋体" w:cs="宋体"/>
          <w:b/>
          <w:bCs/>
          <w:i w:val="0"/>
          <w:iCs w:val="0"/>
          <w:color w:val="000000"/>
          <w:sz w:val="24"/>
          <w:highlight w:val="none"/>
        </w:rPr>
      </w:pPr>
    </w:p>
    <w:p>
      <w:pPr>
        <w:jc w:val="center"/>
        <w:outlineLvl w:val="9"/>
        <w:rPr>
          <w:rFonts w:hint="eastAsia" w:ascii="宋体" w:hAnsi="宋体" w:eastAsia="宋体" w:cs="宋体"/>
          <w:b/>
          <w:bCs/>
          <w:i w:val="0"/>
          <w:iCs w:val="0"/>
          <w:color w:val="000000"/>
          <w:sz w:val="28"/>
          <w:szCs w:val="28"/>
          <w:highlight w:val="none"/>
        </w:rPr>
      </w:pPr>
    </w:p>
    <w:p>
      <w:pPr>
        <w:jc w:val="center"/>
        <w:outlineLvl w:val="9"/>
        <w:rPr>
          <w:rFonts w:hint="eastAsia" w:ascii="宋体" w:hAnsi="宋体" w:eastAsia="宋体" w:cs="宋体"/>
          <w:b/>
          <w:bCs/>
          <w:i w:val="0"/>
          <w:iCs w:val="0"/>
          <w:color w:val="000000"/>
          <w:sz w:val="28"/>
          <w:szCs w:val="28"/>
          <w:highlight w:val="none"/>
        </w:rPr>
      </w:pPr>
    </w:p>
    <w:p>
      <w:pPr>
        <w:jc w:val="center"/>
        <w:outlineLvl w:val="0"/>
        <w:rPr>
          <w:rFonts w:hint="eastAsia" w:ascii="宋体" w:hAnsi="宋体" w:eastAsia="宋体" w:cs="宋体"/>
          <w:b/>
          <w:bCs/>
          <w:i w:val="0"/>
          <w:iCs w:val="0"/>
          <w:color w:val="000000"/>
          <w:sz w:val="28"/>
          <w:szCs w:val="28"/>
          <w:highlight w:val="none"/>
        </w:rPr>
      </w:pPr>
      <w:bookmarkStart w:id="31" w:name="_Toc15799"/>
      <w:r>
        <w:rPr>
          <w:rFonts w:hint="eastAsia" w:ascii="宋体" w:hAnsi="宋体" w:eastAsia="宋体" w:cs="宋体"/>
          <w:b/>
          <w:bCs/>
          <w:i w:val="0"/>
          <w:iCs w:val="0"/>
          <w:color w:val="000000"/>
          <w:sz w:val="28"/>
          <w:szCs w:val="28"/>
          <w:highlight w:val="none"/>
        </w:rPr>
        <w:t>法定代表人授权委托书</w:t>
      </w:r>
      <w:bookmarkEnd w:id="31"/>
    </w:p>
    <w:p>
      <w:pPr>
        <w:spacing w:line="560" w:lineRule="exact"/>
        <w:ind w:firstLine="480" w:firstLineChars="200"/>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本人</w:t>
      </w:r>
      <w:r>
        <w:rPr>
          <w:rFonts w:hint="eastAsia" w:ascii="宋体" w:hAnsi="宋体" w:eastAsia="宋体" w:cs="宋体"/>
          <w:bCs/>
          <w:i w:val="0"/>
          <w:iCs w:val="0"/>
          <w:color w:val="000000"/>
          <w:sz w:val="24"/>
          <w:highlight w:val="none"/>
          <w:u w:val="single"/>
        </w:rPr>
        <w:t xml:space="preserve">  （姓名）    </w:t>
      </w:r>
      <w:r>
        <w:rPr>
          <w:rFonts w:hint="eastAsia" w:ascii="宋体" w:hAnsi="宋体" w:eastAsia="宋体" w:cs="宋体"/>
          <w:bCs/>
          <w:i w:val="0"/>
          <w:iCs w:val="0"/>
          <w:color w:val="000000"/>
          <w:sz w:val="24"/>
          <w:highlight w:val="none"/>
        </w:rPr>
        <w:t>系</w:t>
      </w:r>
      <w:r>
        <w:rPr>
          <w:rFonts w:hint="eastAsia" w:ascii="宋体" w:hAnsi="宋体" w:eastAsia="宋体" w:cs="宋体"/>
          <w:bCs/>
          <w:i w:val="0"/>
          <w:iCs w:val="0"/>
          <w:color w:val="000000"/>
          <w:sz w:val="24"/>
          <w:highlight w:val="none"/>
          <w:u w:val="single"/>
        </w:rPr>
        <w:t xml:space="preserve">    （申请人名称）      </w:t>
      </w:r>
      <w:r>
        <w:rPr>
          <w:rFonts w:hint="eastAsia" w:ascii="宋体" w:hAnsi="宋体" w:eastAsia="宋体" w:cs="宋体"/>
          <w:bCs/>
          <w:i w:val="0"/>
          <w:iCs w:val="0"/>
          <w:color w:val="000000"/>
          <w:sz w:val="24"/>
          <w:highlight w:val="none"/>
        </w:rPr>
        <w:t>的法定代表人，现委托</w:t>
      </w:r>
      <w:r>
        <w:rPr>
          <w:rFonts w:hint="eastAsia" w:ascii="宋体" w:hAnsi="宋体" w:eastAsia="宋体" w:cs="宋体"/>
          <w:bCs/>
          <w:i w:val="0"/>
          <w:iCs w:val="0"/>
          <w:color w:val="000000"/>
          <w:sz w:val="24"/>
          <w:highlight w:val="none"/>
          <w:u w:val="single"/>
        </w:rPr>
        <w:t xml:space="preserve"> （姓名） </w:t>
      </w:r>
      <w:r>
        <w:rPr>
          <w:rFonts w:hint="eastAsia" w:ascii="宋体" w:hAnsi="宋体" w:eastAsia="宋体" w:cs="宋体"/>
          <w:bCs/>
          <w:i w:val="0"/>
          <w:iCs w:val="0"/>
          <w:color w:val="000000"/>
          <w:sz w:val="24"/>
          <w:highlight w:val="none"/>
        </w:rPr>
        <w:t>为我方代理人。代理人根据授权，以我方名义签署、澄清、说明、补正、递交、撤回、修改</w:t>
      </w:r>
      <w:r>
        <w:rPr>
          <w:rFonts w:hint="eastAsia" w:ascii="宋体" w:hAnsi="宋体" w:eastAsia="宋体" w:cs="宋体"/>
          <w:bCs/>
          <w:i w:val="0"/>
          <w:iCs w:val="0"/>
          <w:color w:val="000000"/>
          <w:sz w:val="24"/>
          <w:highlight w:val="none"/>
          <w:u w:val="single"/>
        </w:rPr>
        <w:t xml:space="preserve">    （项目名称）    </w:t>
      </w:r>
      <w:r>
        <w:rPr>
          <w:rFonts w:hint="eastAsia" w:ascii="宋体" w:hAnsi="宋体" w:eastAsia="宋体" w:cs="宋体"/>
          <w:bCs/>
          <w:i w:val="0"/>
          <w:iCs w:val="0"/>
          <w:color w:val="000000"/>
          <w:sz w:val="24"/>
          <w:highlight w:val="none"/>
        </w:rPr>
        <w:t>标段施工投标文件、签订合同和处理有关事宜，其法律后果由我方承担。</w:t>
      </w:r>
    </w:p>
    <w:p>
      <w:pPr>
        <w:spacing w:line="560" w:lineRule="exact"/>
        <w:ind w:firstLine="480" w:firstLineChars="200"/>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委托期限：</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4"/>
          <w:highlight w:val="none"/>
        </w:rPr>
        <w:t>。</w:t>
      </w:r>
    </w:p>
    <w:p>
      <w:pPr>
        <w:spacing w:line="560" w:lineRule="exact"/>
        <w:ind w:firstLine="480" w:firstLineChars="200"/>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代理人无转委托权。</w:t>
      </w:r>
    </w:p>
    <w:p>
      <w:pPr>
        <w:wordWrap w:val="0"/>
        <w:spacing w:line="560" w:lineRule="exact"/>
        <w:ind w:firstLine="480" w:firstLineChars="200"/>
        <w:rPr>
          <w:rFonts w:hint="eastAsia" w:ascii="宋体" w:hAnsi="宋体" w:eastAsia="宋体" w:cs="宋体"/>
          <w:bCs/>
          <w:i w:val="0"/>
          <w:iCs w:val="0"/>
          <w:color w:val="000000"/>
          <w:sz w:val="24"/>
          <w:highlight w:val="none"/>
          <w:u w:val="single"/>
        </w:rPr>
      </w:pPr>
      <w:r>
        <w:rPr>
          <w:rFonts w:hint="eastAsia" w:ascii="宋体" w:hAnsi="宋体" w:eastAsia="宋体" w:cs="宋体"/>
          <w:bCs/>
          <w:i w:val="0"/>
          <w:iCs w:val="0"/>
          <w:color w:val="000000"/>
          <w:sz w:val="24"/>
          <w:highlight w:val="none"/>
        </w:rPr>
        <w:t>代理人：</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4"/>
          <w:highlight w:val="none"/>
        </w:rPr>
        <w:t xml:space="preserve">   性别：</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4"/>
          <w:highlight w:val="none"/>
        </w:rPr>
        <w:t xml:space="preserve">  年龄：</w:t>
      </w:r>
      <w:r>
        <w:rPr>
          <w:rFonts w:hint="eastAsia" w:ascii="宋体" w:hAnsi="宋体" w:eastAsia="宋体" w:cs="宋体"/>
          <w:bCs/>
          <w:i w:val="0"/>
          <w:iCs w:val="0"/>
          <w:color w:val="000000"/>
          <w:sz w:val="24"/>
          <w:highlight w:val="none"/>
          <w:u w:val="single"/>
        </w:rPr>
        <w:t xml:space="preserve">        </w:t>
      </w:r>
    </w:p>
    <w:p>
      <w:pPr>
        <w:wordWrap w:val="0"/>
        <w:spacing w:line="560" w:lineRule="exact"/>
        <w:ind w:firstLine="453" w:firstLineChars="189"/>
        <w:rPr>
          <w:rFonts w:hint="eastAsia" w:ascii="宋体" w:hAnsi="宋体" w:eastAsia="宋体" w:cs="宋体"/>
          <w:bCs/>
          <w:i w:val="0"/>
          <w:iCs w:val="0"/>
          <w:color w:val="000000"/>
          <w:sz w:val="28"/>
          <w:szCs w:val="28"/>
          <w:highlight w:val="none"/>
          <w:u w:val="single"/>
        </w:rPr>
      </w:pPr>
      <w:r>
        <w:rPr>
          <w:rFonts w:hint="eastAsia" w:ascii="宋体" w:hAnsi="宋体" w:eastAsia="宋体" w:cs="宋体"/>
          <w:bCs/>
          <w:i w:val="0"/>
          <w:iCs w:val="0"/>
          <w:color w:val="000000"/>
          <w:sz w:val="24"/>
          <w:highlight w:val="none"/>
        </w:rPr>
        <w:t>部  门：</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4"/>
          <w:highlight w:val="none"/>
        </w:rPr>
        <w:t xml:space="preserve">  职务：</w:t>
      </w:r>
      <w:r>
        <w:rPr>
          <w:rFonts w:hint="eastAsia" w:ascii="宋体" w:hAnsi="宋体" w:eastAsia="宋体" w:cs="宋体"/>
          <w:bCs/>
          <w:i w:val="0"/>
          <w:iCs w:val="0"/>
          <w:color w:val="000000"/>
          <w:sz w:val="24"/>
          <w:highlight w:val="none"/>
          <w:u w:val="single"/>
        </w:rPr>
        <w:t xml:space="preserve">      </w:t>
      </w:r>
      <w:r>
        <w:rPr>
          <w:rFonts w:hint="eastAsia" w:ascii="宋体" w:hAnsi="宋体" w:eastAsia="宋体" w:cs="宋体"/>
          <w:bCs/>
          <w:i w:val="0"/>
          <w:iCs w:val="0"/>
          <w:color w:val="000000"/>
          <w:sz w:val="28"/>
          <w:szCs w:val="28"/>
          <w:highlight w:val="none"/>
          <w:u w:val="single"/>
        </w:rPr>
        <w:t xml:space="preserve">  </w:t>
      </w:r>
    </w:p>
    <w:p>
      <w:pPr>
        <w:spacing w:line="360" w:lineRule="auto"/>
        <w:rPr>
          <w:rFonts w:hint="eastAsia" w:ascii="宋体" w:hAnsi="宋体" w:eastAsia="宋体" w:cs="宋体"/>
          <w:bCs/>
          <w:i w:val="0"/>
          <w:iCs w:val="0"/>
          <w:color w:val="000000"/>
          <w:sz w:val="30"/>
          <w:szCs w:val="30"/>
          <w:highlight w:val="none"/>
          <w:u w:val="single"/>
        </w:rPr>
      </w:pPr>
      <w:r>
        <w:rPr>
          <w:rFonts w:hint="eastAsia" w:ascii="宋体" w:hAnsi="宋体" w:eastAsia="宋体" w:cs="宋体"/>
          <w:bCs/>
          <w:i w:val="0"/>
          <w:iCs w:val="0"/>
          <w:color w:val="000000"/>
          <w:kern w:val="2"/>
          <w:sz w:val="30"/>
          <w:szCs w:val="30"/>
          <w:highlight w:val="none"/>
          <w:lang w:val="en-US" w:eastAsia="zh-CN" w:bidi="ar-SA"/>
        </w:rPr>
        <w:pict>
          <v:rect id="文本框 1" o:spid="_x0000_s1036" o:spt="1" style="position:absolute;left:0pt;margin-left:215.4pt;margin-top:12.6pt;height:161.05pt;width:234.75pt;z-index:251660288;mso-width-relative:page;mso-height-relative:page;" fillcolor="#FFFFFF" filled="t" o:preferrelative="t" stroked="t" coordsize="21600,21600">
            <v:path/>
            <v:fill on="t" focussize="0,0"/>
            <v:stroke color="#000000" color2="#FFFFFF" miterlimit="2" dashstyle="1 1" endcap="round"/>
            <v:imagedata gain="65536f" blacklevel="0f" gamma="0" o:title=""/>
            <o:lock v:ext="edit" position="f" selection="f" grouping="f" rotation="f" cropping="f" text="f"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宋体" w:hAnsi="宋体" w:eastAsia="宋体" w:cs="宋体"/>
                      <w:sz w:val="24"/>
                    </w:rPr>
                  </w:pPr>
                  <w:r>
                    <w:rPr>
                      <w:rFonts w:hint="eastAsia" w:ascii="宋体" w:hAnsi="宋体" w:eastAsia="宋体" w:cs="宋体"/>
                      <w:sz w:val="24"/>
                    </w:rPr>
                    <w:t>代理人身份证复印件</w:t>
                  </w:r>
                  <w:r>
                    <w:rPr>
                      <w:rFonts w:hint="eastAsia" w:ascii="宋体" w:hAnsi="宋体" w:eastAsia="宋体" w:cs="宋体"/>
                      <w:sz w:val="28"/>
                      <w:szCs w:val="28"/>
                    </w:rPr>
                    <w:t>（正</w:t>
                  </w:r>
                  <w:r>
                    <w:rPr>
                      <w:rFonts w:hint="eastAsia" w:ascii="宋体" w:hAnsi="宋体" w:eastAsia="宋体" w:cs="宋体"/>
                      <w:sz w:val="28"/>
                      <w:szCs w:val="28"/>
                      <w:lang w:eastAsia="zh-CN"/>
                    </w:rPr>
                    <w:t>反</w:t>
                  </w:r>
                  <w:r>
                    <w:rPr>
                      <w:rFonts w:hint="eastAsia" w:ascii="宋体" w:hAnsi="宋体" w:eastAsia="宋体" w:cs="宋体"/>
                      <w:sz w:val="28"/>
                      <w:szCs w:val="28"/>
                    </w:rPr>
                    <w:t>面</w:t>
                  </w:r>
                  <w:r>
                    <w:rPr>
                      <w:rFonts w:hint="eastAsia" w:ascii="宋体" w:hAnsi="宋体" w:eastAsia="宋体" w:cs="宋体"/>
                      <w:sz w:val="24"/>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v:rect>
        </w:pict>
      </w:r>
      <w:r>
        <w:rPr>
          <w:rFonts w:hint="eastAsia" w:ascii="宋体" w:hAnsi="宋体" w:eastAsia="宋体" w:cs="宋体"/>
          <w:bCs/>
          <w:i w:val="0"/>
          <w:iCs w:val="0"/>
          <w:color w:val="000000"/>
          <w:kern w:val="2"/>
          <w:sz w:val="28"/>
          <w:szCs w:val="28"/>
          <w:highlight w:val="none"/>
          <w:lang w:val="en-US" w:eastAsia="zh-CN" w:bidi="ar-SA"/>
        </w:rPr>
        <w:pict>
          <v:rect id="文本框 12" o:spid="_x0000_s1037" o:spt="1" style="position:absolute;left:0pt;margin-left:-26.1pt;margin-top:12.2pt;height:161.45pt;width:236.2pt;z-index:251661312;mso-width-relative:page;mso-height-relative:page;" fillcolor="#FFFFFF" filled="t" o:preferrelative="t" stroked="t" coordsize="21600,21600">
            <v:path/>
            <v:fill on="t" focussize="0,0"/>
            <v:stroke color="#000000" color2="#FFFFFF" miterlimit="2" dashstyle="1 1" endcap="round"/>
            <v:imagedata gain="65536f" blacklevel="0f" gamma="0" o:title=""/>
            <o:lock v:ext="edit" position="f" selection="f" grouping="f" rotation="f" cropping="f" text="f"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宋体" w:hAnsi="宋体" w:eastAsia="宋体" w:cs="宋体"/>
                      <w:sz w:val="24"/>
                    </w:rPr>
                  </w:pPr>
                  <w:r>
                    <w:rPr>
                      <w:rFonts w:hint="eastAsia" w:ascii="宋体" w:hAnsi="宋体" w:eastAsia="宋体" w:cs="宋体"/>
                      <w:sz w:val="24"/>
                    </w:rPr>
                    <w:t>法定代表人身份证复印件</w:t>
                  </w:r>
                  <w:r>
                    <w:rPr>
                      <w:rFonts w:hint="eastAsia" w:ascii="宋体" w:hAnsi="宋体" w:eastAsia="宋体" w:cs="宋体"/>
                      <w:sz w:val="28"/>
                      <w:szCs w:val="28"/>
                    </w:rPr>
                    <w:t>（正</w:t>
                  </w:r>
                  <w:r>
                    <w:rPr>
                      <w:rFonts w:hint="eastAsia" w:ascii="宋体" w:hAnsi="宋体" w:eastAsia="宋体" w:cs="宋体"/>
                      <w:sz w:val="28"/>
                      <w:szCs w:val="28"/>
                      <w:lang w:eastAsia="zh-CN"/>
                    </w:rPr>
                    <w:t>反</w:t>
                  </w:r>
                  <w:r>
                    <w:rPr>
                      <w:rFonts w:hint="eastAsia" w:ascii="宋体" w:hAnsi="宋体" w:eastAsia="宋体" w:cs="宋体"/>
                      <w:sz w:val="28"/>
                      <w:szCs w:val="28"/>
                    </w:rPr>
                    <w:t>面</w:t>
                  </w:r>
                  <w:r>
                    <w:rPr>
                      <w:rFonts w:hint="eastAsia" w:ascii="宋体" w:hAnsi="宋体" w:eastAsia="宋体" w:cs="宋体"/>
                      <w:sz w:val="24"/>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v:rect>
        </w:pict>
      </w:r>
    </w:p>
    <w:p>
      <w:pPr>
        <w:spacing w:line="360" w:lineRule="auto"/>
        <w:rPr>
          <w:rFonts w:hint="eastAsia" w:ascii="宋体" w:hAnsi="宋体" w:eastAsia="宋体" w:cs="宋体"/>
          <w:bCs/>
          <w:i w:val="0"/>
          <w:iCs w:val="0"/>
          <w:color w:val="000000"/>
          <w:sz w:val="30"/>
          <w:szCs w:val="30"/>
          <w:highlight w:val="none"/>
        </w:rPr>
      </w:pPr>
    </w:p>
    <w:p>
      <w:pPr>
        <w:spacing w:line="360" w:lineRule="auto"/>
        <w:rPr>
          <w:rFonts w:hint="eastAsia" w:ascii="宋体" w:hAnsi="宋体" w:eastAsia="宋体" w:cs="宋体"/>
          <w:bCs/>
          <w:i w:val="0"/>
          <w:iCs w:val="0"/>
          <w:color w:val="000000"/>
          <w:sz w:val="30"/>
          <w:szCs w:val="30"/>
          <w:highlight w:val="none"/>
        </w:rPr>
      </w:pPr>
    </w:p>
    <w:p>
      <w:pPr>
        <w:spacing w:line="360" w:lineRule="auto"/>
        <w:rPr>
          <w:rFonts w:hint="eastAsia" w:ascii="宋体" w:hAnsi="宋体" w:eastAsia="宋体" w:cs="宋体"/>
          <w:bCs/>
          <w:i w:val="0"/>
          <w:iCs w:val="0"/>
          <w:color w:val="000000"/>
          <w:sz w:val="30"/>
          <w:szCs w:val="30"/>
          <w:highlight w:val="none"/>
        </w:rPr>
      </w:pPr>
    </w:p>
    <w:p>
      <w:pPr>
        <w:spacing w:line="360" w:lineRule="auto"/>
        <w:rPr>
          <w:rFonts w:hint="eastAsia" w:ascii="宋体" w:hAnsi="宋体" w:eastAsia="宋体" w:cs="宋体"/>
          <w:bCs/>
          <w:i w:val="0"/>
          <w:iCs w:val="0"/>
          <w:color w:val="000000"/>
          <w:sz w:val="30"/>
          <w:szCs w:val="30"/>
          <w:highlight w:val="none"/>
        </w:rPr>
      </w:pPr>
    </w:p>
    <w:p>
      <w:pPr>
        <w:spacing w:line="360" w:lineRule="auto"/>
        <w:rPr>
          <w:rFonts w:hint="eastAsia" w:ascii="宋体" w:hAnsi="宋体" w:eastAsia="宋体" w:cs="宋体"/>
          <w:bCs/>
          <w:i w:val="0"/>
          <w:iCs w:val="0"/>
          <w:color w:val="000000"/>
          <w:sz w:val="30"/>
          <w:szCs w:val="30"/>
          <w:highlight w:val="none"/>
        </w:rPr>
      </w:pPr>
    </w:p>
    <w:p>
      <w:pPr>
        <w:spacing w:line="440" w:lineRule="exact"/>
        <w:ind w:firstLine="3259" w:firstLineChars="1358"/>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  标  人：</w:t>
      </w: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（盖单位公章）</w:t>
      </w:r>
    </w:p>
    <w:p>
      <w:pPr>
        <w:spacing w:line="440" w:lineRule="exact"/>
        <w:ind w:firstLine="3259" w:firstLineChars="1358"/>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法定代表人或其委托代理人：</w:t>
      </w: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w:t>
      </w:r>
      <w:r>
        <w:rPr>
          <w:rFonts w:hint="eastAsia" w:ascii="宋体" w:hAnsi="宋体" w:eastAsia="宋体" w:cs="宋体"/>
          <w:bCs/>
          <w:i w:val="0"/>
          <w:iCs w:val="0"/>
          <w:color w:val="000000"/>
          <w:sz w:val="24"/>
          <w:highlight w:val="none"/>
        </w:rPr>
        <w:t>签字</w:t>
      </w:r>
      <w:r>
        <w:rPr>
          <w:rFonts w:hint="eastAsia" w:ascii="宋体" w:hAnsi="宋体" w:eastAsia="宋体" w:cs="宋体"/>
          <w:i w:val="0"/>
          <w:iCs w:val="0"/>
          <w:color w:val="000000"/>
          <w:sz w:val="24"/>
          <w:highlight w:val="none"/>
        </w:rPr>
        <w:t>）</w:t>
      </w:r>
    </w:p>
    <w:p>
      <w:pPr>
        <w:wordWrap w:val="0"/>
        <w:spacing w:line="440" w:lineRule="exact"/>
        <w:ind w:firstLine="3259" w:firstLineChars="1358"/>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委托代理人：</w:t>
      </w: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（签字）</w:t>
      </w:r>
    </w:p>
    <w:p>
      <w:pPr>
        <w:wordWrap w:val="0"/>
        <w:spacing w:line="440" w:lineRule="exact"/>
        <w:ind w:firstLine="3259" w:firstLineChars="1358"/>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rPr>
        <w:t>地址：</w:t>
      </w:r>
      <w:r>
        <w:rPr>
          <w:rFonts w:hint="eastAsia" w:ascii="宋体" w:hAnsi="宋体" w:eastAsia="宋体" w:cs="宋体"/>
          <w:i w:val="0"/>
          <w:iCs w:val="0"/>
          <w:color w:val="000000"/>
          <w:sz w:val="24"/>
          <w:highlight w:val="none"/>
          <w:u w:val="single"/>
        </w:rPr>
        <w:t xml:space="preserve">                                  </w:t>
      </w:r>
    </w:p>
    <w:p>
      <w:pPr>
        <w:wordWrap w:val="0"/>
        <w:spacing w:line="440" w:lineRule="exact"/>
        <w:ind w:firstLine="3259" w:firstLineChars="1358"/>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电话：</w:t>
      </w:r>
      <w:r>
        <w:rPr>
          <w:rFonts w:hint="eastAsia" w:ascii="宋体" w:hAnsi="宋体" w:eastAsia="宋体" w:cs="宋体"/>
          <w:i w:val="0"/>
          <w:iCs w:val="0"/>
          <w:color w:val="000000"/>
          <w:sz w:val="24"/>
          <w:highlight w:val="none"/>
          <w:u w:val="single"/>
        </w:rPr>
        <w:t xml:space="preserve">                                  </w:t>
      </w:r>
    </w:p>
    <w:p>
      <w:pPr>
        <w:wordWrap w:val="0"/>
        <w:spacing w:line="440" w:lineRule="exact"/>
        <w:ind w:firstLine="3259" w:firstLineChars="1358"/>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传真：</w:t>
      </w:r>
      <w:r>
        <w:rPr>
          <w:rFonts w:hint="eastAsia" w:ascii="宋体" w:hAnsi="宋体" w:eastAsia="宋体" w:cs="宋体"/>
          <w:i w:val="0"/>
          <w:iCs w:val="0"/>
          <w:color w:val="000000"/>
          <w:sz w:val="24"/>
          <w:highlight w:val="none"/>
          <w:u w:val="single"/>
        </w:rPr>
        <w:t xml:space="preserve">                                  </w:t>
      </w:r>
    </w:p>
    <w:p>
      <w:pPr>
        <w:wordWrap w:val="0"/>
        <w:spacing w:line="440" w:lineRule="exact"/>
        <w:ind w:firstLine="3259" w:firstLineChars="1358"/>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rPr>
        <w:t>邮政编码：</w:t>
      </w:r>
      <w:r>
        <w:rPr>
          <w:rFonts w:hint="eastAsia" w:ascii="宋体" w:hAnsi="宋体" w:eastAsia="宋体" w:cs="宋体"/>
          <w:i w:val="0"/>
          <w:iCs w:val="0"/>
          <w:color w:val="000000"/>
          <w:sz w:val="24"/>
          <w:highlight w:val="none"/>
          <w:u w:val="single"/>
        </w:rPr>
        <w:t xml:space="preserve">                              </w:t>
      </w:r>
    </w:p>
    <w:p>
      <w:pPr>
        <w:spacing w:line="440" w:lineRule="exact"/>
        <w:ind w:firstLine="4699" w:firstLineChars="1958"/>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highlight w:val="none"/>
          <w:u w:val="single"/>
        </w:rPr>
        <w:t xml:space="preserve">   </w:t>
      </w:r>
      <w:r>
        <w:rPr>
          <w:rFonts w:hint="eastAsia" w:ascii="宋体" w:hAnsi="宋体" w:eastAsia="宋体" w:cs="宋体"/>
          <w:i w:val="0"/>
          <w:iCs w:val="0"/>
          <w:color w:val="000000"/>
          <w:sz w:val="24"/>
          <w:highlight w:val="none"/>
        </w:rPr>
        <w:t>日</w:t>
      </w:r>
    </w:p>
    <w:p>
      <w:pPr>
        <w:spacing w:line="460" w:lineRule="exact"/>
        <w:ind w:firstLine="482" w:firstLineChars="200"/>
        <w:rPr>
          <w:rFonts w:hint="eastAsia" w:ascii="宋体" w:hAnsi="宋体" w:eastAsia="宋体" w:cs="宋体"/>
          <w:b/>
          <w:bCs/>
          <w:i w:val="0"/>
          <w:iCs w:val="0"/>
          <w:color w:val="000000"/>
          <w:sz w:val="24"/>
          <w:highlight w:val="none"/>
        </w:rPr>
      </w:pPr>
      <w:r>
        <w:rPr>
          <w:rFonts w:hint="eastAsia" w:ascii="宋体" w:hAnsi="宋体" w:eastAsia="宋体" w:cs="宋体"/>
          <w:b/>
          <w:bCs/>
          <w:i w:val="0"/>
          <w:iCs w:val="0"/>
          <w:color w:val="000000"/>
          <w:sz w:val="24"/>
          <w:highlight w:val="none"/>
        </w:rPr>
        <w:t>注：委托代理人参加开标时，此委托书除每份资格审查申请文件必须装订外，还应单独携带一份原件在递交投标文件时查验。</w:t>
      </w:r>
    </w:p>
    <w:p>
      <w:pPr>
        <w:pStyle w:val="12"/>
        <w:ind w:right="-15"/>
        <w:jc w:val="both"/>
        <w:outlineLvl w:val="9"/>
        <w:rPr>
          <w:rFonts w:hint="eastAsia" w:ascii="宋体" w:hAnsi="宋体" w:eastAsia="宋体" w:cs="宋体"/>
          <w:color w:val="000000"/>
          <w:sz w:val="32"/>
          <w:szCs w:val="32"/>
          <w:highlight w:val="none"/>
          <w:lang w:eastAsia="zh-CN"/>
        </w:rPr>
      </w:pPr>
      <w:bookmarkStart w:id="32" w:name="_Toc175541484"/>
      <w:bookmarkStart w:id="33" w:name="_Toc20690"/>
    </w:p>
    <w:p>
      <w:pPr>
        <w:pStyle w:val="12"/>
        <w:ind w:right="-15"/>
        <w:jc w:val="both"/>
        <w:outlineLvl w:val="1"/>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lang w:eastAsia="zh-CN"/>
        </w:rPr>
        <w:t>七</w:t>
      </w:r>
      <w:r>
        <w:rPr>
          <w:rFonts w:hint="eastAsia" w:ascii="宋体" w:hAnsi="宋体" w:eastAsia="宋体" w:cs="宋体"/>
          <w:color w:val="000000"/>
          <w:sz w:val="32"/>
          <w:szCs w:val="32"/>
          <w:highlight w:val="none"/>
        </w:rPr>
        <w:t>、 投标企业资格报告</w:t>
      </w:r>
      <w:bookmarkEnd w:id="32"/>
      <w:bookmarkEnd w:id="33"/>
    </w:p>
    <w:p>
      <w:pPr>
        <w:pStyle w:val="12"/>
        <w:spacing w:line="460" w:lineRule="exact"/>
        <w:ind w:right="-17" w:firstLine="560" w:firstLineChars="200"/>
        <w:rPr>
          <w:rFonts w:hint="eastAsia" w:ascii="宋体" w:hAnsi="宋体" w:eastAsia="宋体" w:cs="宋体"/>
          <w:color w:val="000000"/>
          <w:sz w:val="28"/>
          <w:highlight w:val="none"/>
        </w:rPr>
      </w:pPr>
    </w:p>
    <w:p>
      <w:pPr>
        <w:pStyle w:val="12"/>
        <w:spacing w:line="460" w:lineRule="exact"/>
        <w:ind w:right="-17" w:firstLine="560" w:firstLineChars="200"/>
        <w:rPr>
          <w:rFonts w:hint="eastAsia" w:ascii="宋体" w:hAnsi="宋体" w:eastAsia="宋体" w:cs="宋体"/>
          <w:color w:val="000000"/>
          <w:sz w:val="28"/>
          <w:highlight w:val="none"/>
        </w:rPr>
      </w:pPr>
      <w:r>
        <w:rPr>
          <w:rFonts w:hint="eastAsia" w:ascii="宋体" w:hAnsi="宋体" w:eastAsia="宋体" w:cs="宋体"/>
          <w:color w:val="000000"/>
          <w:sz w:val="28"/>
          <w:highlight w:val="none"/>
        </w:rPr>
        <w:t>（1）投标人信誉证明；</w:t>
      </w:r>
    </w:p>
    <w:p>
      <w:pPr>
        <w:pStyle w:val="12"/>
        <w:spacing w:line="500" w:lineRule="exact"/>
        <w:ind w:right="-15" w:firstLine="560" w:firstLineChars="200"/>
        <w:rPr>
          <w:rFonts w:hint="eastAsia" w:ascii="宋体" w:hAnsi="宋体" w:eastAsia="宋体" w:cs="宋体"/>
          <w:color w:val="000000"/>
          <w:sz w:val="28"/>
          <w:highlight w:val="none"/>
        </w:rPr>
      </w:pPr>
      <w:r>
        <w:rPr>
          <w:rFonts w:hint="eastAsia" w:ascii="宋体" w:hAnsi="宋体" w:eastAsia="宋体" w:cs="宋体"/>
          <w:color w:val="000000"/>
          <w:sz w:val="28"/>
          <w:highlight w:val="none"/>
        </w:rPr>
        <w:t>（2）投标人简介（包括供货能力、销售情况、主要产品、生产装备及检测手段、组织机构、人员情况、工程技术人员数等内容）</w:t>
      </w:r>
    </w:p>
    <w:p>
      <w:pPr>
        <w:pStyle w:val="12"/>
        <w:spacing w:line="500" w:lineRule="exact"/>
        <w:ind w:right="-15" w:firstLine="560" w:firstLineChars="200"/>
        <w:rPr>
          <w:rFonts w:hint="eastAsia" w:ascii="宋体" w:hAnsi="宋体" w:eastAsia="宋体" w:cs="宋体"/>
          <w:color w:val="000000"/>
          <w:sz w:val="28"/>
          <w:highlight w:val="none"/>
        </w:rPr>
      </w:pPr>
      <w:r>
        <w:rPr>
          <w:rFonts w:hint="eastAsia" w:ascii="宋体" w:hAnsi="宋体" w:eastAsia="宋体" w:cs="宋体"/>
          <w:color w:val="000000"/>
          <w:sz w:val="28"/>
          <w:highlight w:val="none"/>
        </w:rPr>
        <w:t>（3）售后服务承诺</w:t>
      </w:r>
    </w:p>
    <w:p>
      <w:pPr>
        <w:pStyle w:val="12"/>
        <w:spacing w:line="500" w:lineRule="exact"/>
        <w:ind w:right="-15" w:firstLine="560" w:firstLineChars="200"/>
        <w:rPr>
          <w:rFonts w:hint="eastAsia" w:ascii="宋体" w:hAnsi="宋体" w:eastAsia="宋体" w:cs="宋体"/>
          <w:color w:val="000000"/>
          <w:sz w:val="28"/>
          <w:highlight w:val="none"/>
        </w:rPr>
      </w:pPr>
      <w:r>
        <w:rPr>
          <w:rFonts w:hint="eastAsia" w:ascii="宋体" w:hAnsi="宋体" w:eastAsia="宋体" w:cs="宋体"/>
          <w:color w:val="000000"/>
          <w:sz w:val="28"/>
          <w:highlight w:val="none"/>
        </w:rPr>
        <w:t>（4）投标人认为有必要提供的</w:t>
      </w:r>
      <w:r>
        <w:rPr>
          <w:rFonts w:hint="eastAsia" w:ascii="宋体" w:hAnsi="宋体" w:eastAsia="宋体" w:cs="宋体"/>
          <w:color w:val="000000"/>
          <w:sz w:val="28"/>
          <w:highlight w:val="none"/>
          <w:lang w:eastAsia="zh-CN"/>
        </w:rPr>
        <w:t>其他内容及资料</w:t>
      </w:r>
      <w:r>
        <w:rPr>
          <w:rFonts w:hint="eastAsia" w:ascii="宋体" w:hAnsi="宋体" w:eastAsia="宋体" w:cs="宋体"/>
          <w:color w:val="000000"/>
          <w:sz w:val="28"/>
          <w:highlight w:val="none"/>
        </w:rPr>
        <w:t>。</w:t>
      </w:r>
    </w:p>
    <w:p>
      <w:pPr>
        <w:pStyle w:val="12"/>
        <w:spacing w:line="480" w:lineRule="auto"/>
        <w:ind w:right="-15"/>
        <w:rPr>
          <w:rFonts w:hint="eastAsia" w:ascii="宋体" w:hAnsi="宋体" w:eastAsia="宋体" w:cs="宋体"/>
          <w:color w:val="000000"/>
          <w:sz w:val="44"/>
          <w:highlight w:val="none"/>
        </w:rPr>
      </w:pPr>
    </w:p>
    <w:p>
      <w:pPr>
        <w:pStyle w:val="12"/>
        <w:spacing w:line="480" w:lineRule="auto"/>
        <w:ind w:right="-15"/>
        <w:rPr>
          <w:rFonts w:hint="eastAsia" w:ascii="宋体" w:hAnsi="宋体" w:eastAsia="宋体" w:cs="宋体"/>
          <w:color w:val="000000"/>
          <w:sz w:val="28"/>
          <w:highlight w:val="none"/>
        </w:rPr>
      </w:pPr>
    </w:p>
    <w:p>
      <w:pPr>
        <w:pStyle w:val="12"/>
        <w:spacing w:line="480" w:lineRule="auto"/>
        <w:ind w:right="-15"/>
        <w:rPr>
          <w:rFonts w:hint="eastAsia" w:ascii="宋体" w:hAnsi="宋体" w:eastAsia="宋体" w:cs="宋体"/>
          <w:color w:val="000000"/>
          <w:sz w:val="28"/>
          <w:highlight w:val="none"/>
        </w:rPr>
      </w:pPr>
    </w:p>
    <w:p>
      <w:pPr>
        <w:pStyle w:val="12"/>
        <w:spacing w:line="460" w:lineRule="exact"/>
        <w:ind w:right="-15"/>
        <w:rPr>
          <w:rFonts w:hint="eastAsia" w:ascii="宋体" w:hAnsi="宋体" w:eastAsia="宋体" w:cs="宋体"/>
          <w:color w:val="000000"/>
          <w:sz w:val="32"/>
          <w:highlight w:val="none"/>
        </w:rPr>
      </w:pPr>
    </w:p>
    <w:p>
      <w:pPr>
        <w:pStyle w:val="12"/>
        <w:spacing w:line="460" w:lineRule="exact"/>
        <w:ind w:right="-15"/>
        <w:rPr>
          <w:rFonts w:hint="eastAsia" w:ascii="宋体" w:hAnsi="宋体" w:eastAsia="宋体" w:cs="宋体"/>
          <w:color w:val="000000"/>
          <w:sz w:val="32"/>
          <w:highlight w:val="none"/>
        </w:rPr>
      </w:pPr>
    </w:p>
    <w:p>
      <w:pPr>
        <w:pStyle w:val="12"/>
        <w:spacing w:line="480" w:lineRule="auto"/>
        <w:ind w:right="-15"/>
        <w:jc w:val="center"/>
        <w:rPr>
          <w:rFonts w:hint="eastAsia" w:ascii="宋体" w:hAnsi="宋体" w:eastAsia="宋体" w:cs="宋体"/>
          <w:color w:val="000000"/>
          <w:sz w:val="44"/>
          <w:highlight w:val="none"/>
        </w:rPr>
      </w:pPr>
    </w:p>
    <w:p>
      <w:pPr>
        <w:pStyle w:val="12"/>
        <w:spacing w:line="480" w:lineRule="auto"/>
        <w:ind w:right="-15"/>
        <w:jc w:val="center"/>
        <w:rPr>
          <w:rFonts w:hint="eastAsia" w:ascii="宋体" w:hAnsi="宋体" w:eastAsia="宋体" w:cs="宋体"/>
          <w:color w:val="000000"/>
          <w:sz w:val="44"/>
          <w:highlight w:val="none"/>
        </w:rPr>
      </w:pPr>
    </w:p>
    <w:p>
      <w:pPr>
        <w:pStyle w:val="12"/>
        <w:spacing w:line="480" w:lineRule="auto"/>
        <w:ind w:right="-15"/>
        <w:jc w:val="center"/>
        <w:rPr>
          <w:rFonts w:hint="eastAsia" w:ascii="宋体" w:hAnsi="宋体" w:eastAsia="宋体" w:cs="宋体"/>
          <w:color w:val="000000"/>
          <w:sz w:val="44"/>
          <w:highlight w:val="none"/>
        </w:rPr>
      </w:pPr>
    </w:p>
    <w:p>
      <w:pPr>
        <w:pStyle w:val="12"/>
        <w:spacing w:line="480" w:lineRule="auto"/>
        <w:ind w:right="-15"/>
        <w:jc w:val="center"/>
        <w:rPr>
          <w:rFonts w:hint="eastAsia" w:ascii="宋体" w:hAnsi="宋体" w:eastAsia="宋体" w:cs="宋体"/>
          <w:color w:val="000000"/>
          <w:sz w:val="44"/>
          <w:highlight w:val="none"/>
        </w:rPr>
      </w:pPr>
    </w:p>
    <w:p>
      <w:pPr>
        <w:pStyle w:val="12"/>
        <w:spacing w:line="480" w:lineRule="auto"/>
        <w:ind w:right="-15"/>
        <w:jc w:val="center"/>
        <w:rPr>
          <w:rFonts w:hint="eastAsia" w:ascii="宋体" w:hAnsi="宋体" w:eastAsia="宋体" w:cs="宋体"/>
          <w:color w:val="000000"/>
          <w:sz w:val="44"/>
          <w:highlight w:val="none"/>
        </w:rPr>
      </w:pPr>
    </w:p>
    <w:p>
      <w:pPr>
        <w:pStyle w:val="12"/>
        <w:spacing w:line="480" w:lineRule="auto"/>
        <w:ind w:right="-15"/>
        <w:jc w:val="both"/>
        <w:rPr>
          <w:rFonts w:hint="eastAsia" w:ascii="宋体" w:hAnsi="宋体" w:eastAsia="宋体" w:cs="宋体"/>
          <w:color w:val="000000"/>
          <w:sz w:val="44"/>
          <w:highlight w:val="none"/>
        </w:rPr>
      </w:pPr>
    </w:p>
    <w:p>
      <w:pPr>
        <w:rPr>
          <w:rFonts w:hint="eastAsia" w:ascii="宋体" w:hAnsi="宋体" w:eastAsia="宋体" w:cs="宋体"/>
          <w:color w:val="000000"/>
          <w:sz w:val="44"/>
          <w:highlight w:val="none"/>
        </w:rPr>
      </w:pPr>
    </w:p>
    <w:p>
      <w:pPr>
        <w:pStyle w:val="2"/>
        <w:rPr>
          <w:rFonts w:hint="eastAsia" w:ascii="宋体" w:hAnsi="宋体" w:eastAsia="宋体" w:cs="宋体"/>
          <w:color w:val="000000"/>
          <w:sz w:val="44"/>
          <w:highlight w:val="none"/>
        </w:rPr>
      </w:pPr>
    </w:p>
    <w:p>
      <w:pPr>
        <w:pStyle w:val="3"/>
        <w:rPr>
          <w:rFonts w:hint="eastAsia" w:ascii="宋体" w:hAnsi="宋体" w:eastAsia="宋体" w:cs="宋体"/>
          <w:color w:val="000000"/>
          <w:sz w:val="44"/>
          <w:highlight w:val="none"/>
        </w:rPr>
      </w:pPr>
    </w:p>
    <w:p>
      <w:pPr>
        <w:pStyle w:val="3"/>
        <w:rPr>
          <w:rFonts w:hint="eastAsia" w:ascii="宋体" w:hAnsi="宋体" w:eastAsia="宋体" w:cs="宋体"/>
          <w:color w:val="000000"/>
          <w:sz w:val="44"/>
          <w:highlight w:val="none"/>
        </w:rPr>
      </w:pPr>
    </w:p>
    <w:p>
      <w:pPr>
        <w:pStyle w:val="3"/>
        <w:rPr>
          <w:rFonts w:hint="eastAsia" w:ascii="宋体" w:hAnsi="宋体" w:eastAsia="宋体" w:cs="宋体"/>
          <w:color w:val="000000"/>
          <w:sz w:val="44"/>
          <w:highlight w:val="none"/>
        </w:rPr>
      </w:pPr>
    </w:p>
    <w:p>
      <w:pPr>
        <w:pStyle w:val="12"/>
        <w:ind w:right="-15"/>
        <w:jc w:val="both"/>
        <w:outlineLvl w:val="1"/>
        <w:rPr>
          <w:rFonts w:hint="eastAsia" w:ascii="宋体" w:hAnsi="宋体" w:eastAsia="宋体" w:cs="宋体"/>
          <w:color w:val="000000"/>
          <w:sz w:val="32"/>
          <w:szCs w:val="32"/>
          <w:highlight w:val="none"/>
        </w:rPr>
      </w:pPr>
      <w:bookmarkStart w:id="34" w:name="_Toc175541485"/>
      <w:bookmarkStart w:id="35" w:name="_Toc25193"/>
      <w:r>
        <w:rPr>
          <w:rFonts w:hint="eastAsia" w:ascii="宋体" w:hAnsi="宋体" w:eastAsia="宋体" w:cs="宋体"/>
          <w:color w:val="000000"/>
          <w:sz w:val="32"/>
          <w:szCs w:val="32"/>
          <w:highlight w:val="none"/>
          <w:lang w:eastAsia="zh-CN"/>
        </w:rPr>
        <w:t>八</w:t>
      </w:r>
      <w:r>
        <w:rPr>
          <w:rFonts w:hint="eastAsia" w:ascii="宋体" w:hAnsi="宋体" w:eastAsia="宋体" w:cs="宋体"/>
          <w:color w:val="000000"/>
          <w:sz w:val="32"/>
          <w:szCs w:val="32"/>
          <w:highlight w:val="none"/>
        </w:rPr>
        <w:t>、 投标设备报告</w:t>
      </w:r>
      <w:bookmarkEnd w:id="34"/>
      <w:bookmarkEnd w:id="35"/>
    </w:p>
    <w:p>
      <w:pPr>
        <w:pStyle w:val="12"/>
        <w:spacing w:line="480" w:lineRule="auto"/>
        <w:ind w:right="-15"/>
        <w:rPr>
          <w:rFonts w:hint="eastAsia" w:ascii="宋体" w:hAnsi="宋体" w:eastAsia="宋体" w:cs="宋体"/>
          <w:color w:val="000000"/>
          <w:sz w:val="28"/>
          <w:highlight w:val="none"/>
        </w:rPr>
      </w:pPr>
    </w:p>
    <w:p>
      <w:pPr>
        <w:pStyle w:val="12"/>
        <w:tabs>
          <w:tab w:val="left" w:pos="330"/>
        </w:tabs>
        <w:spacing w:line="480" w:lineRule="auto"/>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（1）所投设备使用寿命的承诺；</w:t>
      </w:r>
    </w:p>
    <w:p>
      <w:pPr>
        <w:pStyle w:val="12"/>
        <w:tabs>
          <w:tab w:val="left" w:pos="330"/>
        </w:tabs>
        <w:spacing w:line="480" w:lineRule="auto"/>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（2）投标设备型号、规格、技术参数和说明；</w:t>
      </w:r>
    </w:p>
    <w:p>
      <w:pPr>
        <w:pStyle w:val="12"/>
        <w:tabs>
          <w:tab w:val="left" w:pos="330"/>
        </w:tabs>
        <w:spacing w:line="480" w:lineRule="auto"/>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（3）投标设备的测试方面采取的技术和组织措施；</w:t>
      </w:r>
    </w:p>
    <w:p>
      <w:pPr>
        <w:pStyle w:val="12"/>
        <w:tabs>
          <w:tab w:val="left" w:pos="330"/>
        </w:tabs>
        <w:spacing w:line="480" w:lineRule="auto"/>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（4）交货地点、交货时间、交货方式、交货进度及运输条件；</w:t>
      </w:r>
    </w:p>
    <w:p>
      <w:pPr>
        <w:pStyle w:val="12"/>
        <w:spacing w:line="480" w:lineRule="auto"/>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（5）技术服务；</w:t>
      </w:r>
    </w:p>
    <w:p>
      <w:pPr>
        <w:pStyle w:val="12"/>
        <w:spacing w:line="480" w:lineRule="auto"/>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（6）备品、备件清单提供情况；</w:t>
      </w:r>
    </w:p>
    <w:p>
      <w:pPr>
        <w:pStyle w:val="12"/>
        <w:spacing w:line="480" w:lineRule="auto"/>
        <w:ind w:right="-15"/>
        <w:rPr>
          <w:rFonts w:hint="eastAsia" w:ascii="宋体" w:hAnsi="宋体" w:eastAsia="宋体" w:cs="宋体"/>
          <w:color w:val="000000"/>
          <w:sz w:val="28"/>
          <w:highlight w:val="none"/>
        </w:rPr>
      </w:pPr>
      <w:r>
        <w:rPr>
          <w:rFonts w:hint="eastAsia" w:ascii="宋体" w:hAnsi="宋体" w:eastAsia="宋体" w:cs="宋体"/>
          <w:color w:val="000000"/>
          <w:sz w:val="28"/>
          <w:highlight w:val="none"/>
        </w:rPr>
        <w:t>（7）投标单位认为有必要说明的问题。</w:t>
      </w:r>
    </w:p>
    <w:p>
      <w:pPr>
        <w:pStyle w:val="12"/>
        <w:spacing w:line="480" w:lineRule="auto"/>
        <w:ind w:right="-15"/>
        <w:rPr>
          <w:rFonts w:hint="eastAsia" w:ascii="宋体" w:hAnsi="宋体" w:eastAsia="宋体" w:cs="宋体"/>
          <w:color w:val="000000"/>
          <w:sz w:val="28"/>
          <w:highlight w:val="none"/>
        </w:rPr>
      </w:pPr>
    </w:p>
    <w:p>
      <w:pPr>
        <w:pStyle w:val="12"/>
        <w:spacing w:line="460" w:lineRule="exact"/>
        <w:ind w:right="-15"/>
        <w:rPr>
          <w:rFonts w:hint="eastAsia" w:ascii="宋体" w:hAnsi="宋体" w:eastAsia="宋体" w:cs="宋体"/>
          <w:color w:val="000000"/>
          <w:sz w:val="32"/>
          <w:highlight w:val="none"/>
        </w:rPr>
      </w:pPr>
    </w:p>
    <w:p>
      <w:pPr>
        <w:pStyle w:val="12"/>
        <w:spacing w:line="460" w:lineRule="exact"/>
        <w:ind w:right="-15"/>
        <w:rPr>
          <w:rFonts w:hint="eastAsia" w:ascii="宋体" w:hAnsi="宋体" w:eastAsia="宋体" w:cs="宋体"/>
          <w:color w:val="000000"/>
          <w:sz w:val="32"/>
          <w:highlight w:val="none"/>
        </w:rPr>
      </w:pPr>
    </w:p>
    <w:p>
      <w:pPr>
        <w:pStyle w:val="12"/>
        <w:spacing w:line="460" w:lineRule="exact"/>
        <w:ind w:right="-15"/>
        <w:rPr>
          <w:rFonts w:hint="eastAsia" w:ascii="宋体" w:hAnsi="宋体" w:eastAsia="宋体" w:cs="宋体"/>
          <w:color w:val="000000"/>
          <w:sz w:val="32"/>
          <w:highlight w:val="none"/>
        </w:rPr>
        <w:sectPr>
          <w:headerReference r:id="rId12" w:type="default"/>
          <w:footerReference r:id="rId13" w:type="default"/>
          <w:pgSz w:w="11905" w:h="16838"/>
          <w:pgMar w:top="1134" w:right="1134" w:bottom="1134" w:left="1134" w:header="964" w:footer="1191" w:gutter="0"/>
          <w:pgBorders>
            <w:top w:val="thinThickSmallGap" w:color="auto" w:sz="18" w:space="1"/>
            <w:bottom w:val="thinThickSmallGap" w:color="auto" w:sz="18" w:space="1"/>
          </w:pgBorders>
          <w:pgNumType w:fmt="decimal"/>
          <w:cols w:space="0" w:num="1"/>
          <w:titlePg/>
          <w:rtlGutter w:val="0"/>
          <w:docGrid w:type="lines" w:linePitch="321" w:charSpace="0"/>
        </w:sectPr>
      </w:pPr>
    </w:p>
    <w:p>
      <w:pPr>
        <w:pStyle w:val="12"/>
        <w:ind w:right="-15"/>
        <w:jc w:val="both"/>
        <w:outlineLvl w:val="1"/>
        <w:rPr>
          <w:rFonts w:hint="eastAsia" w:ascii="宋体" w:hAnsi="宋体" w:eastAsia="宋体" w:cs="宋体"/>
          <w:b/>
          <w:bCs/>
          <w:color w:val="000000"/>
          <w:sz w:val="32"/>
          <w:szCs w:val="32"/>
          <w:highlight w:val="none"/>
        </w:rPr>
      </w:pPr>
      <w:bookmarkStart w:id="36" w:name="_Toc16850"/>
      <w:bookmarkStart w:id="37" w:name="_Toc175541486"/>
      <w:bookmarkStart w:id="38" w:name="_Toc175541488"/>
      <w:bookmarkStart w:id="39" w:name="_Toc11964"/>
      <w:r>
        <w:rPr>
          <w:rFonts w:hint="eastAsia" w:ascii="宋体" w:hAnsi="宋体" w:eastAsia="宋体" w:cs="宋体"/>
          <w:b/>
          <w:bCs/>
          <w:color w:val="000000"/>
          <w:sz w:val="32"/>
          <w:szCs w:val="32"/>
          <w:highlight w:val="none"/>
          <w:lang w:eastAsia="zh-CN"/>
        </w:rPr>
        <w:t>九</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技术</w:t>
      </w:r>
      <w:r>
        <w:rPr>
          <w:rFonts w:hint="eastAsia" w:ascii="宋体" w:hAnsi="宋体" w:eastAsia="宋体" w:cs="宋体"/>
          <w:b/>
          <w:bCs/>
          <w:color w:val="000000"/>
          <w:sz w:val="32"/>
          <w:szCs w:val="32"/>
          <w:highlight w:val="none"/>
        </w:rPr>
        <w:t>条款偏离表</w:t>
      </w:r>
      <w:bookmarkEnd w:id="36"/>
      <w:bookmarkEnd w:id="37"/>
    </w:p>
    <w:p>
      <w:pPr>
        <w:spacing w:line="120" w:lineRule="exact"/>
        <w:rPr>
          <w:rFonts w:hint="eastAsia" w:ascii="宋体" w:hAnsi="宋体" w:eastAsia="宋体" w:cs="宋体"/>
          <w:color w:val="000000"/>
          <w:sz w:val="10"/>
          <w:highlight w:val="none"/>
        </w:rPr>
      </w:pPr>
    </w:p>
    <w:p>
      <w:pPr>
        <w:spacing w:line="42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投标人名称：                                            </w:t>
      </w:r>
    </w:p>
    <w:tbl>
      <w:tblPr>
        <w:tblStyle w:val="20"/>
        <w:tblW w:w="15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143"/>
        <w:gridCol w:w="1607"/>
        <w:gridCol w:w="4149"/>
        <w:gridCol w:w="3707"/>
        <w:gridCol w:w="162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7"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143"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w:t>
            </w:r>
          </w:p>
        </w:tc>
        <w:tc>
          <w:tcPr>
            <w:tcW w:w="1607"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备注</w:t>
            </w:r>
          </w:p>
        </w:tc>
        <w:tc>
          <w:tcPr>
            <w:tcW w:w="4149"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招标技术指标</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投标技术指标</w:t>
            </w: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差别比较说明</w:t>
            </w: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偏离程度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一</w:t>
            </w:r>
          </w:p>
        </w:tc>
        <w:tc>
          <w:tcPr>
            <w:tcW w:w="2143" w:type="dxa"/>
            <w:vAlign w:val="center"/>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取水口水量监测系统</w:t>
            </w:r>
          </w:p>
        </w:tc>
        <w:tc>
          <w:tcPr>
            <w:tcW w:w="1607" w:type="dxa"/>
            <w:vAlign w:val="top"/>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4149" w:type="dxa"/>
            <w:vAlign w:val="top"/>
          </w:tcPr>
          <w:p>
            <w:pPr>
              <w:widowControl w:val="0"/>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（一）</w:t>
            </w:r>
          </w:p>
        </w:tc>
        <w:tc>
          <w:tcPr>
            <w:tcW w:w="2143" w:type="dxa"/>
            <w:vAlign w:val="bottom"/>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干渠口水量监测</w:t>
            </w:r>
          </w:p>
        </w:tc>
        <w:tc>
          <w:tcPr>
            <w:tcW w:w="1607" w:type="dxa"/>
            <w:vAlign w:val="top"/>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4149" w:type="dxa"/>
            <w:vAlign w:val="top"/>
          </w:tcPr>
          <w:p>
            <w:pPr>
              <w:widowControl w:val="0"/>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2143" w:type="dxa"/>
            <w:vAlign w:val="center"/>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单个干渠口水量监测</w:t>
            </w:r>
          </w:p>
        </w:tc>
        <w:tc>
          <w:tcPr>
            <w:tcW w:w="1607" w:type="dxa"/>
            <w:vAlign w:val="top"/>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4149" w:type="dxa"/>
            <w:vAlign w:val="top"/>
          </w:tcPr>
          <w:p>
            <w:pPr>
              <w:widowControl w:val="0"/>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1</w:t>
            </w:r>
          </w:p>
        </w:tc>
        <w:tc>
          <w:tcPr>
            <w:tcW w:w="2143" w:type="dxa"/>
            <w:vAlign w:val="center"/>
          </w:tcPr>
          <w:p>
            <w:pPr>
              <w:pStyle w:val="34"/>
              <w:widowControl w:val="0"/>
              <w:shd w:val="clear" w:color="auto" w:fill="auto"/>
              <w:spacing w:before="0" w:beforeAutospacing="0" w:after="0" w:afterAutospacing="0" w:line="240" w:lineRule="auto"/>
              <w:ind w:left="0" w:right="0"/>
              <w:jc w:val="left"/>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雷达流量计</w:t>
            </w:r>
          </w:p>
        </w:tc>
        <w:tc>
          <w:tcPr>
            <w:tcW w:w="1607" w:type="dxa"/>
            <w:vAlign w:val="bottom"/>
          </w:tcPr>
          <w:p>
            <w:pPr>
              <w:pStyle w:val="34"/>
              <w:widowControl w:val="0"/>
              <w:shd w:val="clear" w:color="auto" w:fill="auto"/>
              <w:spacing w:before="0" w:beforeAutospacing="0" w:after="0" w:afterAutospacing="0" w:line="240" w:lineRule="auto"/>
              <w:ind w:left="0" w:right="0"/>
              <w:jc w:val="left"/>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4149" w:type="dxa"/>
            <w:vAlign w:val="bottom"/>
          </w:tcPr>
          <w:p>
            <w:pPr>
              <w:pStyle w:val="34"/>
              <w:widowControl w:val="0"/>
              <w:shd w:val="clear" w:color="auto" w:fill="auto"/>
              <w:spacing w:before="0" w:beforeAutospacing="0" w:after="0" w:afterAutospacing="0" w:line="273" w:lineRule="exact"/>
              <w:ind w:left="0" w:leftChars="0" w:right="0" w:firstLine="0" w:firstLineChars="0"/>
              <w:jc w:val="left"/>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测速范围：</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0</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1-20</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米/秒；测速精度：</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±0.01</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米/ 秒：</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±1%FS；</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测速频率：</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24GHz；</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雷达流速仪波束角：12°；垂直角范围：30~70° ；自动垂直角补偿：精度土1</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;分</w:t>
            </w:r>
            <w:r>
              <w:rPr>
                <w:rFonts w:hint="eastAsia" w:ascii="宋体" w:hAnsi="宋体" w:eastAsia="宋体" w:cs="宋体"/>
                <w:color w:val="000000"/>
                <w:spacing w:val="0"/>
                <w:w w:val="100"/>
                <w:kern w:val="2"/>
                <w:position w:val="0"/>
                <w:sz w:val="21"/>
                <w:szCs w:val="21"/>
                <w:highlight w:val="none"/>
                <w:u w:val="none"/>
                <w:shd w:val="clear" w:color="auto" w:fill="auto"/>
                <w:lang w:val="zh-CN" w:eastAsia="zh-CN" w:bidi="zh-TW"/>
              </w:rPr>
              <w:t xml:space="preserve">辨率土 </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0.</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1° ；测距范围：</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30m；</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测距精度：</w:t>
            </w:r>
            <w:r>
              <w:rPr>
                <w:rFonts w:hint="eastAsia" w:ascii="宋体" w:hAnsi="宋体" w:eastAsia="宋体" w:cs="宋体"/>
                <w:color w:val="000000"/>
                <w:spacing w:val="0"/>
                <w:w w:val="100"/>
                <w:kern w:val="2"/>
                <w:position w:val="0"/>
                <w:sz w:val="21"/>
                <w:szCs w:val="21"/>
                <w:highlight w:val="none"/>
                <w:u w:val="none"/>
                <w:shd w:val="clear" w:color="auto" w:fill="auto"/>
                <w:lang w:val="zh-CN" w:eastAsia="zh-CN" w:bidi="zh-TW"/>
              </w:rPr>
              <w:t>土</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2mm；</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测距分辨率</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 xml:space="preserve">：1mm </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；雷达水位计频率：</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 xml:space="preserve">26GHz </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；雷达水位计波束角：7°雷达水位计天线：透镜天线；姿态角智能感知及补偿：水平角、横滚角精度±1</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;分辨率±0.1°; 工作电压</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：6~30V；</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功耗：工作电流</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〈80mA,</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待机电流</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 xml:space="preserve">〈55mA </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 xml:space="preserve">（@；通讯接口： </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RS485,</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 xml:space="preserve">通讯协议： </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modbus</w:t>
            </w: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协议</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2</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太阳能电池板</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12V60W</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3</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蓄电池</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65AH, 12V</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4</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太阳能控制器</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12V/24V20A</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5</w:t>
            </w:r>
          </w:p>
        </w:tc>
        <w:tc>
          <w:tcPr>
            <w:tcW w:w="2143" w:type="dxa"/>
            <w:vAlign w:val="center"/>
          </w:tcPr>
          <w:p>
            <w:pPr>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太阳能安装支架</w:t>
            </w:r>
          </w:p>
        </w:tc>
        <w:tc>
          <w:tcPr>
            <w:tcW w:w="1607" w:type="dxa"/>
            <w:vAlign w:val="center"/>
          </w:tcPr>
          <w:p>
            <w:pPr>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149" w:type="dxa"/>
            <w:vAlign w:val="center"/>
          </w:tcPr>
          <w:p>
            <w:pPr>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CN" w:bidi="zh-TW"/>
              </w:rPr>
              <w:t>定制</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6</w:t>
            </w:r>
          </w:p>
        </w:tc>
        <w:tc>
          <w:tcPr>
            <w:tcW w:w="2143" w:type="dxa"/>
            <w:vAlign w:val="center"/>
          </w:tcPr>
          <w:p>
            <w:pPr>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数据遥测终端机</w:t>
            </w:r>
          </w:p>
        </w:tc>
        <w:tc>
          <w:tcPr>
            <w:tcW w:w="1607" w:type="dxa"/>
            <w:vAlign w:val="center"/>
          </w:tcPr>
          <w:p>
            <w:pPr>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p>
        </w:tc>
        <w:tc>
          <w:tcPr>
            <w:tcW w:w="4149" w:type="dxa"/>
            <w:vAlign w:val="center"/>
          </w:tcPr>
          <w:p>
            <w:pPr>
              <w:spacing w:before="0" w:beforeAutospacing="0" w:after="0" w:afterAutospacing="0"/>
              <w:ind w:left="0" w:right="0"/>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1"/>
                <w:szCs w:val="21"/>
                <w:highlight w:val="none"/>
                <w:u w:val="none"/>
                <w:shd w:val="clear" w:color="auto" w:fill="auto"/>
                <w:lang w:val="zh-TW" w:eastAsia="zh-TW" w:bidi="zh-TW"/>
              </w:rPr>
              <w:t>模拟</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量输入：不低于2路隔离</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 xml:space="preserve">4-20mA </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（或</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0</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5V</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）信号输入；开关量输入:不低4路隔离开关量输入，2路开关量输出；4路可控电源输岀；工作温度:</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-25</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~65</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通讯协议集成水资源协议、水文协议、标准</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MODBUS</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协议可选。支持</w:t>
            </w:r>
            <w:r>
              <w:rPr>
                <w:rFonts w:hint="eastAsia" w:ascii="宋体" w:hAnsi="宋体" w:eastAsia="宋体" w:cs="宋体"/>
                <w:color w:val="000000"/>
                <w:spacing w:val="0"/>
                <w:w w:val="100"/>
                <w:kern w:val="2"/>
                <w:position w:val="0"/>
                <w:sz w:val="21"/>
                <w:szCs w:val="21"/>
                <w:highlight w:val="none"/>
                <w:u w:val="none"/>
                <w:shd w:val="clear" w:color="auto" w:fill="auto"/>
                <w:lang w:val="en-US" w:eastAsia="en-US" w:bidi="zh-TW"/>
              </w:rPr>
              <w:t>4G</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全网通。支持 多中心发送数据，至少支持3个中心。</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7</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1A1517"/>
                <w:spacing w:val="0"/>
                <w:w w:val="100"/>
                <w:position w:val="0"/>
                <w:sz w:val="21"/>
                <w:szCs w:val="21"/>
                <w:highlight w:val="none"/>
              </w:rPr>
              <w:t>图像摄像机</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1A1517"/>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1A1517"/>
                <w:spacing w:val="0"/>
                <w:w w:val="100"/>
                <w:position w:val="0"/>
                <w:sz w:val="21"/>
                <w:szCs w:val="21"/>
                <w:highlight w:val="none"/>
                <w:lang w:val="en-US" w:eastAsia="zh-CN"/>
              </w:rPr>
              <w:t>1、</w:t>
            </w:r>
            <w:r>
              <w:rPr>
                <w:rFonts w:hint="eastAsia" w:ascii="宋体" w:hAnsi="宋体" w:eastAsia="宋体" w:cs="宋体"/>
                <w:color w:val="1A1517"/>
                <w:spacing w:val="0"/>
                <w:w w:val="100"/>
                <w:position w:val="0"/>
                <w:sz w:val="21"/>
                <w:szCs w:val="21"/>
                <w:highlight w:val="none"/>
              </w:rPr>
              <w:t>具有超低照度，在光线较暗或无光源的环境，</w:t>
            </w:r>
            <w:r>
              <w:rPr>
                <w:rFonts w:hint="eastAsia" w:ascii="宋体" w:hAnsi="宋体" w:eastAsia="宋体" w:cs="宋体"/>
                <w:color w:val="1A1517"/>
                <w:spacing w:val="0"/>
                <w:w w:val="100"/>
                <w:position w:val="0"/>
                <w:sz w:val="21"/>
                <w:szCs w:val="21"/>
                <w:highlight w:val="none"/>
                <w:lang w:eastAsia="zh-CN"/>
              </w:rPr>
              <w:t>仍</w:t>
            </w:r>
            <w:r>
              <w:rPr>
                <w:rFonts w:hint="eastAsia" w:ascii="宋体" w:hAnsi="宋体" w:eastAsia="宋体" w:cs="宋体"/>
                <w:color w:val="1A1517"/>
                <w:spacing w:val="0"/>
                <w:w w:val="100"/>
                <w:position w:val="0"/>
                <w:sz w:val="21"/>
                <w:szCs w:val="21"/>
                <w:highlight w:val="none"/>
              </w:rPr>
              <w:t>然拍照得较为清晰的图片；2、通讯端口具有防</w:t>
            </w:r>
            <w:r>
              <w:rPr>
                <w:rFonts w:hint="eastAsia" w:ascii="宋体" w:hAnsi="宋体" w:eastAsia="宋体" w:cs="宋体"/>
                <w:color w:val="1A1517"/>
                <w:spacing w:val="0"/>
                <w:w w:val="100"/>
                <w:position w:val="0"/>
                <w:sz w:val="21"/>
                <w:szCs w:val="21"/>
                <w:highlight w:val="none"/>
                <w:lang w:eastAsia="zh-CN"/>
              </w:rPr>
              <w:t>浪</w:t>
            </w:r>
            <w:r>
              <w:rPr>
                <w:rFonts w:hint="eastAsia" w:ascii="宋体" w:hAnsi="宋体" w:eastAsia="宋体" w:cs="宋体"/>
                <w:color w:val="1A1517"/>
                <w:spacing w:val="0"/>
                <w:w w:val="100"/>
                <w:position w:val="0"/>
                <w:sz w:val="21"/>
                <w:szCs w:val="21"/>
                <w:highlight w:val="none"/>
              </w:rPr>
              <w:t>涌保护，防误接保护。3、电源防反接保护、防</w:t>
            </w:r>
            <w:r>
              <w:rPr>
                <w:rFonts w:hint="eastAsia" w:ascii="宋体" w:hAnsi="宋体" w:eastAsia="宋体" w:cs="宋体"/>
                <w:color w:val="1A1517"/>
                <w:spacing w:val="0"/>
                <w:w w:val="100"/>
                <w:position w:val="0"/>
                <w:sz w:val="21"/>
                <w:szCs w:val="21"/>
                <w:highlight w:val="none"/>
                <w:lang w:eastAsia="zh-CN"/>
              </w:rPr>
              <w:t>雷</w:t>
            </w:r>
            <w:r>
              <w:rPr>
                <w:rFonts w:hint="eastAsia" w:ascii="宋体" w:hAnsi="宋体" w:eastAsia="宋体" w:cs="宋体"/>
                <w:color w:val="1A1517"/>
                <w:spacing w:val="0"/>
                <w:w w:val="100"/>
                <w:position w:val="0"/>
                <w:sz w:val="21"/>
                <w:szCs w:val="21"/>
                <w:highlight w:val="none"/>
              </w:rPr>
              <w:t>、防浪涌</w:t>
            </w:r>
            <w:r>
              <w:rPr>
                <w:rFonts w:hint="eastAsia" w:ascii="宋体" w:hAnsi="宋体" w:eastAsia="宋体" w:cs="宋体"/>
                <w:color w:val="1A1517"/>
                <w:spacing w:val="0"/>
                <w:w w:val="100"/>
                <w:position w:val="0"/>
                <w:sz w:val="21"/>
                <w:szCs w:val="21"/>
                <w:highlight w:val="none"/>
                <w:lang w:eastAsia="zh-CN"/>
              </w:rPr>
              <w:t>，</w:t>
            </w:r>
            <w:r>
              <w:rPr>
                <w:rFonts w:hint="eastAsia" w:ascii="宋体" w:hAnsi="宋体" w:eastAsia="宋体" w:cs="宋体"/>
                <w:color w:val="1A1517"/>
                <w:spacing w:val="0"/>
                <w:w w:val="100"/>
                <w:position w:val="0"/>
                <w:sz w:val="21"/>
                <w:szCs w:val="21"/>
                <w:highlight w:val="none"/>
              </w:rPr>
              <w:t>4、电源电压：</w:t>
            </w:r>
            <w:r>
              <w:rPr>
                <w:rFonts w:hint="eastAsia" w:ascii="宋体" w:hAnsi="宋体" w:eastAsia="宋体" w:cs="宋体"/>
                <w:color w:val="1A1517"/>
                <w:spacing w:val="0"/>
                <w:w w:val="100"/>
                <w:position w:val="0"/>
                <w:sz w:val="21"/>
                <w:szCs w:val="21"/>
                <w:highlight w:val="none"/>
                <w:lang w:val="en-US" w:eastAsia="en-US" w:bidi="en-US"/>
              </w:rPr>
              <w:t>DC7</w:t>
            </w:r>
            <w:r>
              <w:rPr>
                <w:rFonts w:hint="eastAsia" w:ascii="宋体" w:hAnsi="宋体" w:eastAsia="宋体" w:cs="宋体"/>
                <w:color w:val="1A1517"/>
                <w:spacing w:val="0"/>
                <w:w w:val="100"/>
                <w:position w:val="0"/>
                <w:sz w:val="21"/>
                <w:szCs w:val="21"/>
                <w:highlight w:val="none"/>
                <w:lang w:val="en-US" w:eastAsia="zh-CN" w:bidi="en-US"/>
              </w:rPr>
              <w:t>~</w:t>
            </w:r>
            <w:r>
              <w:rPr>
                <w:rFonts w:hint="eastAsia" w:ascii="宋体" w:hAnsi="宋体" w:eastAsia="宋体" w:cs="宋体"/>
                <w:color w:val="1A1517"/>
                <w:spacing w:val="0"/>
                <w:w w:val="100"/>
                <w:position w:val="0"/>
                <w:sz w:val="21"/>
                <w:szCs w:val="21"/>
                <w:highlight w:val="none"/>
                <w:lang w:val="en-US" w:eastAsia="en-US" w:bidi="en-US"/>
              </w:rPr>
              <w:t xml:space="preserve">28V </w:t>
            </w:r>
            <w:r>
              <w:rPr>
                <w:rFonts w:hint="eastAsia" w:ascii="宋体" w:hAnsi="宋体" w:eastAsia="宋体" w:cs="宋体"/>
                <w:color w:val="1A1517"/>
                <w:spacing w:val="0"/>
                <w:w w:val="100"/>
                <w:position w:val="0"/>
                <w:sz w:val="21"/>
                <w:szCs w:val="21"/>
                <w:highlight w:val="none"/>
              </w:rPr>
              <w:t xml:space="preserve">（标准电压 </w:t>
            </w:r>
            <w:r>
              <w:rPr>
                <w:rFonts w:hint="eastAsia" w:ascii="宋体" w:hAnsi="宋体" w:eastAsia="宋体" w:cs="宋体"/>
                <w:color w:val="1A1517"/>
                <w:spacing w:val="0"/>
                <w:w w:val="100"/>
                <w:position w:val="0"/>
                <w:sz w:val="21"/>
                <w:szCs w:val="21"/>
                <w:highlight w:val="none"/>
                <w:lang w:val="en-US" w:eastAsia="zh-CN"/>
              </w:rPr>
              <w:t>1</w:t>
            </w:r>
            <w:r>
              <w:rPr>
                <w:rFonts w:hint="eastAsia" w:ascii="宋体" w:hAnsi="宋体" w:eastAsia="宋体" w:cs="宋体"/>
                <w:color w:val="1A1517"/>
                <w:spacing w:val="0"/>
                <w:w w:val="100"/>
                <w:position w:val="0"/>
                <w:sz w:val="21"/>
                <w:szCs w:val="21"/>
                <w:highlight w:val="none"/>
                <w:lang w:val="en-US" w:eastAsia="en-US" w:bidi="en-US"/>
              </w:rPr>
              <w:t>2V）</w:t>
            </w:r>
            <w:r>
              <w:rPr>
                <w:rFonts w:hint="eastAsia" w:ascii="宋体" w:hAnsi="宋体" w:eastAsia="宋体" w:cs="宋体"/>
                <w:color w:val="1A1517"/>
                <w:spacing w:val="0"/>
                <w:w w:val="100"/>
                <w:position w:val="0"/>
                <w:sz w:val="21"/>
                <w:szCs w:val="21"/>
                <w:highlight w:val="none"/>
              </w:rPr>
              <w:t>；工作电流：典型值：</w:t>
            </w:r>
            <w:r>
              <w:rPr>
                <w:rFonts w:hint="eastAsia" w:ascii="宋体" w:hAnsi="宋体" w:eastAsia="宋体" w:cs="宋体"/>
                <w:color w:val="1A1517"/>
                <w:spacing w:val="0"/>
                <w:w w:val="100"/>
                <w:position w:val="0"/>
                <w:sz w:val="21"/>
                <w:szCs w:val="21"/>
                <w:highlight w:val="none"/>
                <w:lang w:val="en-US" w:eastAsia="en-US" w:bidi="en-US"/>
              </w:rPr>
              <w:t>80mA</w:t>
            </w:r>
            <w:r>
              <w:rPr>
                <w:rFonts w:hint="eastAsia" w:ascii="宋体" w:hAnsi="宋体" w:eastAsia="宋体" w:cs="宋体"/>
                <w:color w:val="1A1517"/>
                <w:spacing w:val="0"/>
                <w:w w:val="100"/>
                <w:position w:val="0"/>
                <w:sz w:val="21"/>
                <w:szCs w:val="21"/>
                <w:highlight w:val="none"/>
              </w:rPr>
              <w:t>夜视最大值</w:t>
            </w:r>
            <w:r>
              <w:rPr>
                <w:rFonts w:hint="eastAsia" w:ascii="宋体" w:hAnsi="宋体" w:eastAsia="宋体" w:cs="宋体"/>
                <w:color w:val="1A1517"/>
                <w:spacing w:val="0"/>
                <w:w w:val="100"/>
                <w:position w:val="0"/>
                <w:sz w:val="21"/>
                <w:szCs w:val="21"/>
                <w:highlight w:val="none"/>
                <w:lang w:eastAsia="zh-CN"/>
              </w:rPr>
              <w:t>：＜</w:t>
            </w:r>
            <w:r>
              <w:rPr>
                <w:rFonts w:hint="eastAsia" w:ascii="宋体" w:hAnsi="宋体" w:eastAsia="宋体" w:cs="宋体"/>
                <w:color w:val="1A1517"/>
                <w:spacing w:val="0"/>
                <w:w w:val="100"/>
                <w:position w:val="0"/>
                <w:sz w:val="21"/>
                <w:szCs w:val="21"/>
                <w:highlight w:val="none"/>
                <w:lang w:val="en-US" w:eastAsia="en-US" w:bidi="en-US"/>
              </w:rPr>
              <w:t>400mA</w:t>
            </w:r>
            <w:r>
              <w:rPr>
                <w:rFonts w:hint="eastAsia" w:ascii="宋体" w:hAnsi="宋体" w:eastAsia="宋体" w:cs="宋体"/>
                <w:color w:val="1A1517"/>
                <w:spacing w:val="0"/>
                <w:w w:val="100"/>
                <w:position w:val="0"/>
                <w:sz w:val="21"/>
                <w:szCs w:val="21"/>
                <w:highlight w:val="none"/>
                <w:lang w:val="en-US" w:eastAsia="zh-CN" w:bidi="en-US"/>
              </w:rPr>
              <w:t>，</w:t>
            </w:r>
            <w:r>
              <w:rPr>
                <w:rFonts w:hint="eastAsia" w:ascii="宋体" w:hAnsi="宋体" w:eastAsia="宋体" w:cs="宋体"/>
                <w:color w:val="1A1517"/>
                <w:spacing w:val="0"/>
                <w:w w:val="100"/>
                <w:position w:val="0"/>
                <w:sz w:val="21"/>
                <w:szCs w:val="21"/>
                <w:highlight w:val="none"/>
                <w:lang w:val="en-US" w:eastAsia="en-US" w:bidi="en-US"/>
              </w:rPr>
              <w:t>5、</w:t>
            </w:r>
            <w:r>
              <w:rPr>
                <w:rFonts w:hint="eastAsia" w:ascii="宋体" w:hAnsi="宋体" w:eastAsia="宋体" w:cs="宋体"/>
                <w:color w:val="1A1517"/>
                <w:spacing w:val="0"/>
                <w:w w:val="100"/>
                <w:position w:val="0"/>
                <w:sz w:val="21"/>
                <w:szCs w:val="21"/>
                <w:highlight w:val="none"/>
              </w:rPr>
              <w:t>工作温度：</w:t>
            </w:r>
            <w:r>
              <w:rPr>
                <w:rFonts w:hint="eastAsia" w:ascii="宋体" w:hAnsi="宋体" w:eastAsia="宋体" w:cs="宋体"/>
                <w:color w:val="1A1517"/>
                <w:spacing w:val="0"/>
                <w:w w:val="100"/>
                <w:position w:val="0"/>
                <w:sz w:val="21"/>
                <w:szCs w:val="21"/>
                <w:highlight w:val="none"/>
                <w:lang w:val="en-US" w:eastAsia="en-US" w:bidi="en-US"/>
              </w:rPr>
              <w:t>-40</w:t>
            </w:r>
            <w:r>
              <w:rPr>
                <w:rFonts w:hint="eastAsia" w:ascii="宋体" w:hAnsi="宋体" w:eastAsia="宋体" w:cs="宋体"/>
                <w:color w:val="1A1517"/>
                <w:spacing w:val="0"/>
                <w:w w:val="100"/>
                <w:position w:val="0"/>
                <w:sz w:val="21"/>
                <w:szCs w:val="21"/>
                <w:highlight w:val="none"/>
              </w:rPr>
              <w:t>度〜85度；6、系统启动</w:t>
            </w:r>
            <w:r>
              <w:rPr>
                <w:rFonts w:hint="eastAsia" w:ascii="宋体" w:hAnsi="宋体" w:eastAsia="宋体" w:cs="宋体"/>
                <w:color w:val="1A1517"/>
                <w:spacing w:val="0"/>
                <w:w w:val="100"/>
                <w:position w:val="0"/>
                <w:sz w:val="21"/>
                <w:szCs w:val="21"/>
                <w:highlight w:val="none"/>
                <w:lang w:eastAsia="zh-CN"/>
              </w:rPr>
              <w:t>时</w:t>
            </w:r>
            <w:r>
              <w:rPr>
                <w:rFonts w:hint="eastAsia" w:ascii="宋体" w:hAnsi="宋体" w:eastAsia="宋体" w:cs="宋体"/>
                <w:color w:val="1A1517"/>
                <w:spacing w:val="0"/>
                <w:w w:val="100"/>
                <w:position w:val="0"/>
                <w:sz w:val="21"/>
                <w:szCs w:val="21"/>
                <w:highlight w:val="none"/>
              </w:rPr>
              <w:t>间（上电拍照时间）</w:t>
            </w:r>
            <w:r>
              <w:rPr>
                <w:rFonts w:hint="eastAsia" w:ascii="宋体" w:hAnsi="宋体" w:eastAsia="宋体" w:cs="宋体"/>
                <w:color w:val="000000"/>
                <w:spacing w:val="0"/>
                <w:w w:val="100"/>
                <w:position w:val="0"/>
                <w:sz w:val="21"/>
                <w:szCs w:val="21"/>
                <w:highlight w:val="none"/>
                <w:lang w:eastAsia="zh-CN"/>
              </w:rPr>
              <w:t>：</w:t>
            </w:r>
            <w:r>
              <w:rPr>
                <w:rFonts w:hint="eastAsia" w:ascii="宋体" w:hAnsi="宋体" w:eastAsia="宋体" w:cs="宋体"/>
                <w:color w:val="1A1517"/>
                <w:spacing w:val="0"/>
                <w:w w:val="100"/>
                <w:position w:val="0"/>
                <w:sz w:val="21"/>
                <w:szCs w:val="21"/>
                <w:highlight w:val="none"/>
              </w:rPr>
              <w:t>〈3秒，拍照超时时间：白天＜1秒</w:t>
            </w:r>
            <w:r>
              <w:rPr>
                <w:rFonts w:hint="eastAsia" w:ascii="宋体" w:hAnsi="宋体" w:eastAsia="宋体" w:cs="宋体"/>
                <w:color w:val="1A1517"/>
                <w:spacing w:val="0"/>
                <w:w w:val="100"/>
                <w:position w:val="0"/>
                <w:sz w:val="21"/>
                <w:szCs w:val="21"/>
                <w:highlight w:val="none"/>
                <w:lang w:eastAsia="zh-CN"/>
              </w:rPr>
              <w:t>，</w:t>
            </w:r>
            <w:r>
              <w:rPr>
                <w:rFonts w:hint="eastAsia" w:ascii="宋体" w:hAnsi="宋体" w:eastAsia="宋体" w:cs="宋体"/>
                <w:color w:val="1A1517"/>
                <w:spacing w:val="0"/>
                <w:w w:val="100"/>
                <w:position w:val="0"/>
                <w:sz w:val="21"/>
                <w:szCs w:val="21"/>
                <w:highlight w:val="none"/>
              </w:rPr>
              <w:t xml:space="preserve">晚上＜3秒7、200万像素8、照度： </w:t>
            </w:r>
            <w:r>
              <w:rPr>
                <w:rFonts w:hint="eastAsia" w:ascii="宋体" w:hAnsi="宋体" w:eastAsia="宋体" w:cs="宋体"/>
                <w:color w:val="1A1517"/>
                <w:spacing w:val="0"/>
                <w:w w:val="100"/>
                <w:position w:val="0"/>
                <w:sz w:val="21"/>
                <w:szCs w:val="21"/>
                <w:highlight w:val="none"/>
                <w:lang w:val="en-US" w:eastAsia="en-US" w:bidi="en-US"/>
              </w:rPr>
              <w:t xml:space="preserve">0.0005LUX： </w:t>
            </w:r>
            <w:r>
              <w:rPr>
                <w:rFonts w:hint="eastAsia" w:ascii="宋体" w:hAnsi="宋体" w:eastAsia="宋体" w:cs="宋体"/>
                <w:color w:val="1A1517"/>
                <w:spacing w:val="0"/>
                <w:w w:val="100"/>
                <w:position w:val="0"/>
                <w:sz w:val="21"/>
                <w:szCs w:val="21"/>
                <w:highlight w:val="none"/>
              </w:rPr>
              <w:t>9、防水等级：</w:t>
            </w:r>
            <w:r>
              <w:rPr>
                <w:rFonts w:hint="eastAsia" w:ascii="宋体" w:hAnsi="宋体" w:eastAsia="宋体" w:cs="宋体"/>
                <w:color w:val="1A1517"/>
                <w:spacing w:val="0"/>
                <w:w w:val="100"/>
                <w:position w:val="0"/>
                <w:sz w:val="21"/>
                <w:szCs w:val="21"/>
                <w:highlight w:val="none"/>
                <w:lang w:val="en-US" w:eastAsia="en-US" w:bidi="en-US"/>
              </w:rPr>
              <w:t xml:space="preserve">IP67； </w:t>
            </w:r>
            <w:r>
              <w:rPr>
                <w:rFonts w:hint="eastAsia" w:ascii="宋体" w:hAnsi="宋体" w:eastAsia="宋体" w:cs="宋体"/>
                <w:color w:val="1A1517"/>
                <w:spacing w:val="0"/>
                <w:w w:val="100"/>
                <w:position w:val="0"/>
                <w:sz w:val="21"/>
                <w:szCs w:val="21"/>
                <w:highlight w:val="none"/>
              </w:rPr>
              <w:t>10、多种图像分辩率支持：</w:t>
            </w:r>
            <w:r>
              <w:rPr>
                <w:rFonts w:hint="eastAsia" w:ascii="宋体" w:hAnsi="宋体" w:eastAsia="宋体" w:cs="宋体"/>
                <w:color w:val="1A1517"/>
                <w:spacing w:val="0"/>
                <w:w w:val="100"/>
                <w:position w:val="0"/>
                <w:sz w:val="21"/>
                <w:szCs w:val="21"/>
                <w:highlight w:val="none"/>
                <w:lang w:val="en-US" w:eastAsia="en-US" w:bidi="en-US"/>
              </w:rPr>
              <w:t>1920X1080 （1080p）</w:t>
            </w:r>
            <w:r>
              <w:rPr>
                <w:rFonts w:hint="eastAsia" w:ascii="宋体" w:hAnsi="宋体" w:eastAsia="宋体" w:cs="宋体"/>
                <w:color w:val="1A1517"/>
                <w:spacing w:val="0"/>
                <w:w w:val="100"/>
                <w:position w:val="0"/>
                <w:sz w:val="21"/>
                <w:szCs w:val="21"/>
                <w:highlight w:val="none"/>
              </w:rPr>
              <w:t xml:space="preserve">、1280X1024、 </w:t>
            </w:r>
            <w:r>
              <w:rPr>
                <w:rFonts w:hint="eastAsia" w:ascii="宋体" w:hAnsi="宋体" w:eastAsia="宋体" w:cs="宋体"/>
                <w:color w:val="1A1517"/>
                <w:spacing w:val="0"/>
                <w:w w:val="100"/>
                <w:position w:val="0"/>
                <w:sz w:val="21"/>
                <w:szCs w:val="21"/>
                <w:highlight w:val="none"/>
                <w:lang w:val="en-US" w:eastAsia="en-US" w:bidi="en-US"/>
              </w:rPr>
              <w:t>1280X960 （960p）</w:t>
            </w:r>
            <w:r>
              <w:rPr>
                <w:rFonts w:hint="eastAsia" w:ascii="宋体" w:hAnsi="宋体" w:eastAsia="宋体" w:cs="宋体"/>
                <w:color w:val="1A1517"/>
                <w:spacing w:val="0"/>
                <w:w w:val="100"/>
                <w:position w:val="0"/>
                <w:sz w:val="21"/>
                <w:szCs w:val="21"/>
                <w:highlight w:val="none"/>
              </w:rPr>
              <w:t>、</w:t>
            </w:r>
            <w:r>
              <w:rPr>
                <w:rFonts w:hint="eastAsia" w:ascii="宋体" w:hAnsi="宋体" w:eastAsia="宋体" w:cs="宋体"/>
                <w:color w:val="1A1517"/>
                <w:spacing w:val="0"/>
                <w:w w:val="100"/>
                <w:position w:val="0"/>
                <w:sz w:val="21"/>
                <w:szCs w:val="21"/>
                <w:highlight w:val="none"/>
                <w:lang w:val="en-US" w:eastAsia="en-US" w:bidi="en-US"/>
              </w:rPr>
              <w:t>1280X800, 1280X720 （720p）</w:t>
            </w:r>
            <w:r>
              <w:rPr>
                <w:rFonts w:hint="eastAsia" w:ascii="宋体" w:hAnsi="宋体" w:eastAsia="宋体" w:cs="宋体"/>
                <w:color w:val="000000"/>
                <w:spacing w:val="0"/>
                <w:w w:val="100"/>
                <w:position w:val="0"/>
                <w:sz w:val="21"/>
                <w:szCs w:val="21"/>
                <w:highlight w:val="none"/>
              </w:rPr>
              <w:t>、</w:t>
            </w:r>
            <w:r>
              <w:rPr>
                <w:rFonts w:hint="eastAsia" w:ascii="宋体" w:hAnsi="宋体" w:eastAsia="宋体" w:cs="宋体"/>
                <w:color w:val="1A1517"/>
                <w:spacing w:val="0"/>
                <w:w w:val="100"/>
                <w:position w:val="0"/>
                <w:sz w:val="21"/>
                <w:szCs w:val="21"/>
                <w:highlight w:val="none"/>
              </w:rPr>
              <w:t>1024X768、800X600、</w:t>
            </w:r>
            <w:r>
              <w:rPr>
                <w:rFonts w:hint="eastAsia" w:ascii="宋体" w:hAnsi="宋体" w:eastAsia="宋体" w:cs="宋体"/>
                <w:color w:val="1A1517"/>
                <w:spacing w:val="0"/>
                <w:w w:val="100"/>
                <w:position w:val="0"/>
                <w:sz w:val="21"/>
                <w:szCs w:val="21"/>
                <w:highlight w:val="none"/>
                <w:lang w:val="en-US" w:eastAsia="en-US" w:bidi="en-US"/>
              </w:rPr>
              <w:t>640X480 （VGA）</w:t>
            </w:r>
            <w:r>
              <w:rPr>
                <w:rFonts w:hint="eastAsia" w:ascii="宋体" w:hAnsi="宋体" w:eastAsia="宋体" w:cs="宋体"/>
                <w:color w:val="1A1517"/>
                <w:spacing w:val="0"/>
                <w:w w:val="100"/>
                <w:position w:val="0"/>
                <w:sz w:val="21"/>
                <w:szCs w:val="21"/>
                <w:highlight w:val="none"/>
                <w:lang w:val="zh-CN" w:eastAsia="zh-CN" w:bidi="zh-CN"/>
              </w:rPr>
              <w:t>、</w:t>
            </w:r>
            <w:r>
              <w:rPr>
                <w:rFonts w:hint="eastAsia" w:ascii="宋体" w:hAnsi="宋体" w:eastAsia="宋体" w:cs="宋体"/>
                <w:color w:val="1A1517"/>
                <w:spacing w:val="0"/>
                <w:w w:val="100"/>
                <w:position w:val="0"/>
                <w:sz w:val="21"/>
                <w:szCs w:val="21"/>
                <w:highlight w:val="none"/>
                <w:lang w:val="en-US" w:eastAsia="en-US" w:bidi="en-US"/>
              </w:rPr>
              <w:t xml:space="preserve">320X240； </w:t>
            </w:r>
            <w:r>
              <w:rPr>
                <w:rFonts w:hint="eastAsia" w:ascii="宋体" w:hAnsi="宋体" w:eastAsia="宋体" w:cs="宋体"/>
                <w:color w:val="1A1517"/>
                <w:spacing w:val="0"/>
                <w:w w:val="100"/>
                <w:position w:val="0"/>
                <w:sz w:val="21"/>
                <w:szCs w:val="21"/>
                <w:highlight w:val="none"/>
                <w:lang w:val="zh-CN" w:eastAsia="zh-CN" w:bidi="zh-CN"/>
              </w:rPr>
              <w:t>11、</w:t>
            </w:r>
            <w:r>
              <w:rPr>
                <w:rFonts w:hint="eastAsia" w:ascii="宋体" w:hAnsi="宋体" w:eastAsia="宋体" w:cs="宋体"/>
                <w:color w:val="1A1517"/>
                <w:spacing w:val="0"/>
                <w:w w:val="100"/>
                <w:position w:val="0"/>
                <w:sz w:val="21"/>
                <w:szCs w:val="21"/>
                <w:highlight w:val="none"/>
              </w:rPr>
              <w:t>支持多种串口波特率： 9600、19200、38400、57600、115200； 12、支持多种压缩比，0〜8级压缩。</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8</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1A1517"/>
                <w:spacing w:val="0"/>
                <w:w w:val="100"/>
                <w:position w:val="0"/>
                <w:sz w:val="21"/>
                <w:szCs w:val="21"/>
                <w:highlight w:val="none"/>
              </w:rPr>
              <w:t>电源防雷模块</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1A1517"/>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9</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1A1517"/>
                <w:spacing w:val="0"/>
                <w:w w:val="100"/>
                <w:position w:val="0"/>
                <w:sz w:val="21"/>
                <w:szCs w:val="21"/>
                <w:highlight w:val="none"/>
              </w:rPr>
              <w:t>信号防雷模块</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1A1517"/>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r>
              <w:rPr>
                <w:rFonts w:hint="eastAsia" w:ascii="宋体" w:hAnsi="宋体" w:cs="宋体"/>
                <w:i w:val="0"/>
                <w:color w:val="000000"/>
                <w:sz w:val="21"/>
                <w:szCs w:val="21"/>
                <w:highlight w:val="none"/>
                <w:u w:val="none"/>
                <w:lang w:val="en-US" w:eastAsia="zh-CN"/>
              </w:rPr>
              <w:t>0</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1A1517"/>
                <w:spacing w:val="0"/>
                <w:w w:val="100"/>
                <w:position w:val="0"/>
                <w:sz w:val="21"/>
                <w:szCs w:val="21"/>
                <w:highlight w:val="none"/>
              </w:rPr>
              <w:t>户外机柜</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1A1517"/>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000000"/>
                <w:spacing w:val="0"/>
                <w:w w:val="100"/>
                <w:position w:val="0"/>
                <w:sz w:val="21"/>
                <w:szCs w:val="21"/>
                <w:highlight w:val="none"/>
              </w:rPr>
              <w:t>定制加工</w:t>
            </w:r>
            <w:r>
              <w:rPr>
                <w:rFonts w:hint="eastAsia" w:ascii="宋体" w:hAnsi="宋体" w:eastAsia="宋体" w:cs="宋体"/>
                <w:color w:val="000000"/>
                <w:spacing w:val="0"/>
                <w:w w:val="100"/>
                <w:position w:val="0"/>
                <w:sz w:val="21"/>
                <w:szCs w:val="21"/>
                <w:highlight w:val="none"/>
                <w:lang w:val="en-US" w:eastAsia="en-US" w:bidi="en-US"/>
              </w:rPr>
              <w:t>500*600*300,</w:t>
            </w:r>
            <w:r>
              <w:rPr>
                <w:rFonts w:hint="eastAsia" w:ascii="宋体" w:hAnsi="宋体" w:eastAsia="宋体" w:cs="宋体"/>
                <w:color w:val="000000"/>
                <w:spacing w:val="0"/>
                <w:w w:val="100"/>
                <w:position w:val="0"/>
                <w:sz w:val="21"/>
                <w:szCs w:val="21"/>
                <w:highlight w:val="none"/>
              </w:rPr>
              <w:t>内含空开、线槽、接线端子等</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default"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11</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1A1517"/>
                <w:spacing w:val="0"/>
                <w:w w:val="100"/>
                <w:position w:val="0"/>
                <w:sz w:val="21"/>
                <w:szCs w:val="21"/>
                <w:highlight w:val="none"/>
              </w:rPr>
              <w:t>信号电缆</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1A1517"/>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000000"/>
                <w:spacing w:val="0"/>
                <w:w w:val="100"/>
                <w:position w:val="0"/>
                <w:sz w:val="21"/>
                <w:szCs w:val="21"/>
                <w:highlight w:val="none"/>
                <w:lang w:val="en-US" w:eastAsia="en-US" w:bidi="en-US"/>
              </w:rPr>
              <w:t>RVVP 4*1</w:t>
            </w:r>
            <w:r>
              <w:rPr>
                <w:rFonts w:hint="eastAsia" w:ascii="宋体" w:hAnsi="宋体" w:eastAsia="宋体" w:cs="宋体"/>
                <w:color w:val="000000"/>
                <w:spacing w:val="0"/>
                <w:w w:val="100"/>
                <w:position w:val="0"/>
                <w:sz w:val="21"/>
                <w:szCs w:val="21"/>
                <w:highlight w:val="none"/>
              </w:rPr>
              <w:t>. 0</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default"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12</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1A1517"/>
                <w:spacing w:val="0"/>
                <w:w w:val="100"/>
                <w:position w:val="0"/>
                <w:sz w:val="21"/>
                <w:szCs w:val="21"/>
                <w:highlight w:val="none"/>
              </w:rPr>
              <w:t>电源线</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1A1517"/>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000000"/>
                <w:spacing w:val="0"/>
                <w:w w:val="100"/>
                <w:position w:val="0"/>
                <w:sz w:val="21"/>
                <w:szCs w:val="21"/>
                <w:highlight w:val="none"/>
                <w:lang w:val="en-US" w:eastAsia="en-US" w:bidi="en-US"/>
              </w:rPr>
              <w:t xml:space="preserve">RVV 2*2. </w:t>
            </w:r>
            <w:r>
              <w:rPr>
                <w:rFonts w:hint="eastAsia" w:ascii="宋体" w:hAnsi="宋体" w:eastAsia="宋体" w:cs="宋体"/>
                <w:color w:val="000000"/>
                <w:spacing w:val="0"/>
                <w:w w:val="100"/>
                <w:position w:val="0"/>
                <w:sz w:val="21"/>
                <w:szCs w:val="21"/>
                <w:highlight w:val="none"/>
              </w:rPr>
              <w:t>5</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default"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13</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000000"/>
                <w:spacing w:val="0"/>
                <w:w w:val="100"/>
                <w:position w:val="0"/>
                <w:sz w:val="21"/>
                <w:szCs w:val="21"/>
                <w:highlight w:val="none"/>
              </w:rPr>
              <w:t>防雷地网建设</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000000"/>
                <w:spacing w:val="0"/>
                <w:w w:val="100"/>
                <w:position w:val="0"/>
                <w:sz w:val="21"/>
                <w:szCs w:val="21"/>
                <w:highlight w:val="none"/>
                <w:lang w:val="en-US" w:eastAsia="zh-CN" w:bidi="en-US"/>
              </w:rPr>
              <w:t>≤</w:t>
            </w:r>
            <w:r>
              <w:rPr>
                <w:rFonts w:hint="eastAsia" w:ascii="宋体" w:hAnsi="宋体" w:eastAsia="宋体" w:cs="宋体"/>
                <w:color w:val="000000"/>
                <w:spacing w:val="0"/>
                <w:w w:val="100"/>
                <w:position w:val="0"/>
                <w:sz w:val="21"/>
                <w:szCs w:val="21"/>
                <w:highlight w:val="none"/>
                <w:lang w:val="en-US" w:eastAsia="en-US" w:bidi="en-US"/>
              </w:rPr>
              <w:t>10</w:t>
            </w:r>
            <w:r>
              <w:rPr>
                <w:rFonts w:hint="eastAsia" w:ascii="宋体" w:hAnsi="宋体" w:eastAsia="宋体" w:cs="宋体"/>
                <w:color w:val="000000"/>
                <w:spacing w:val="0"/>
                <w:w w:val="100"/>
                <w:position w:val="0"/>
                <w:sz w:val="21"/>
                <w:szCs w:val="21"/>
                <w:highlight w:val="none"/>
              </w:rPr>
              <w:t>欧姆</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r>
              <w:rPr>
                <w:rFonts w:hint="eastAsia" w:ascii="宋体" w:hAnsi="宋体" w:cs="宋体"/>
                <w:i w:val="0"/>
                <w:color w:val="000000"/>
                <w:sz w:val="21"/>
                <w:szCs w:val="21"/>
                <w:highlight w:val="none"/>
                <w:u w:val="none"/>
                <w:lang w:val="en-US" w:eastAsia="zh-CN"/>
              </w:rPr>
              <w:t>4</w:t>
            </w:r>
          </w:p>
        </w:tc>
        <w:tc>
          <w:tcPr>
            <w:tcW w:w="2143" w:type="dxa"/>
            <w:vAlign w:val="center"/>
          </w:tcPr>
          <w:p>
            <w:pPr>
              <w:pStyle w:val="34"/>
              <w:widowControl w:val="0"/>
              <w:shd w:val="clear" w:color="auto" w:fill="auto"/>
              <w:spacing w:before="0" w:beforeAutospacing="0" w:after="0" w:afterAutospacing="0" w:line="240" w:lineRule="auto"/>
              <w:ind w:left="0" w:right="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1A1517"/>
                <w:spacing w:val="0"/>
                <w:w w:val="100"/>
                <w:position w:val="0"/>
                <w:sz w:val="21"/>
                <w:szCs w:val="21"/>
                <w:highlight w:val="none"/>
              </w:rPr>
              <w:t>监测立杆</w:t>
            </w:r>
          </w:p>
        </w:tc>
        <w:tc>
          <w:tcPr>
            <w:tcW w:w="1607" w:type="dxa"/>
            <w:vAlign w:val="top"/>
          </w:tcPr>
          <w:p>
            <w:pPr>
              <w:pStyle w:val="34"/>
              <w:widowControl w:val="0"/>
              <w:shd w:val="clear" w:color="auto" w:fill="auto"/>
              <w:spacing w:before="0" w:beforeAutospacing="0" w:after="0" w:afterAutospacing="0" w:line="240" w:lineRule="auto"/>
              <w:ind w:left="0" w:right="0"/>
              <w:jc w:val="left"/>
              <w:rPr>
                <w:rFonts w:hint="eastAsia" w:ascii="宋体" w:hAnsi="宋体" w:eastAsia="宋体" w:cs="宋体"/>
                <w:color w:val="1A1517"/>
                <w:spacing w:val="0"/>
                <w:w w:val="100"/>
                <w:position w:val="0"/>
                <w:sz w:val="21"/>
                <w:szCs w:val="21"/>
                <w:highlight w:val="none"/>
              </w:rPr>
            </w:pPr>
          </w:p>
        </w:tc>
        <w:tc>
          <w:tcPr>
            <w:tcW w:w="4149" w:type="dxa"/>
            <w:vAlign w:val="top"/>
          </w:tcPr>
          <w:p>
            <w:pPr>
              <w:pStyle w:val="34"/>
              <w:widowControl w:val="0"/>
              <w:shd w:val="clear" w:color="auto" w:fill="auto"/>
              <w:spacing w:before="0" w:beforeAutospacing="0" w:after="0" w:afterAutospacing="0" w:line="283" w:lineRule="exact"/>
              <w:ind w:left="0" w:leftChars="0" w:right="0" w:firstLine="14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1A1517"/>
                <w:spacing w:val="0"/>
                <w:w w:val="100"/>
                <w:position w:val="0"/>
                <w:sz w:val="21"/>
                <w:szCs w:val="21"/>
                <w:highlight w:val="none"/>
                <w:lang w:eastAsia="zh-CN"/>
              </w:rPr>
              <w:t>φ</w:t>
            </w:r>
            <w:r>
              <w:rPr>
                <w:rFonts w:hint="eastAsia" w:ascii="宋体" w:hAnsi="宋体" w:eastAsia="宋体" w:cs="宋体"/>
                <w:color w:val="1A1517"/>
                <w:spacing w:val="0"/>
                <w:w w:val="100"/>
                <w:position w:val="0"/>
                <w:sz w:val="21"/>
                <w:szCs w:val="21"/>
                <w:highlight w:val="none"/>
              </w:rPr>
              <w:t>219立杆，高5米，基础</w:t>
            </w:r>
            <w:r>
              <w:rPr>
                <w:rFonts w:hint="eastAsia" w:ascii="宋体" w:hAnsi="宋体" w:eastAsia="宋体" w:cs="宋体"/>
                <w:color w:val="1A1517"/>
                <w:spacing w:val="0"/>
                <w:w w:val="100"/>
                <w:position w:val="0"/>
                <w:sz w:val="21"/>
                <w:szCs w:val="21"/>
                <w:highlight w:val="none"/>
                <w:lang w:val="en-US" w:eastAsia="en-US" w:bidi="en-US"/>
              </w:rPr>
              <w:t>1200*1200*1800m;</w:t>
            </w:r>
            <w:r>
              <w:rPr>
                <w:rFonts w:hint="eastAsia" w:ascii="宋体" w:hAnsi="宋体" w:eastAsia="宋体" w:cs="宋体"/>
                <w:color w:val="1A1517"/>
                <w:spacing w:val="0"/>
                <w:w w:val="100"/>
                <w:position w:val="0"/>
                <w:sz w:val="21"/>
                <w:szCs w:val="21"/>
                <w:highlight w:val="none"/>
              </w:rPr>
              <w:t>立杆上预埋件嵌套式连接，立杆可旋转式。带横臂，横臂</w:t>
            </w:r>
            <w:r>
              <w:rPr>
                <w:rFonts w:hint="eastAsia" w:ascii="宋体" w:hAnsi="宋体" w:eastAsia="宋体" w:cs="宋体"/>
                <w:color w:val="1A1517"/>
                <w:spacing w:val="0"/>
                <w:w w:val="100"/>
                <w:position w:val="0"/>
                <w:sz w:val="21"/>
                <w:szCs w:val="21"/>
                <w:highlight w:val="none"/>
                <w:lang w:val="en-US" w:eastAsia="en-US" w:bidi="en-US"/>
              </w:rPr>
              <w:t xml:space="preserve">DN80 </w:t>
            </w:r>
            <w:r>
              <w:rPr>
                <w:rFonts w:hint="eastAsia" w:ascii="宋体" w:hAnsi="宋体" w:eastAsia="宋体" w:cs="宋体"/>
                <w:color w:val="1A1517"/>
                <w:spacing w:val="0"/>
                <w:w w:val="100"/>
                <w:position w:val="0"/>
                <w:sz w:val="21"/>
                <w:szCs w:val="21"/>
                <w:highlight w:val="none"/>
              </w:rPr>
              <w:t>（根据渠</w:t>
            </w:r>
            <w:r>
              <w:rPr>
                <w:rFonts w:hint="eastAsia" w:ascii="宋体" w:hAnsi="宋体" w:eastAsia="宋体" w:cs="宋体"/>
                <w:color w:val="1A1517"/>
                <w:spacing w:val="0"/>
                <w:w w:val="100"/>
                <w:position w:val="0"/>
                <w:sz w:val="21"/>
                <w:szCs w:val="21"/>
                <w:highlight w:val="none"/>
                <w:lang w:eastAsia="zh-CN"/>
              </w:rPr>
              <w:t>宽定</w:t>
            </w:r>
            <w:r>
              <w:rPr>
                <w:rFonts w:hint="eastAsia" w:ascii="宋体" w:hAnsi="宋体" w:eastAsia="宋体" w:cs="宋体"/>
                <w:color w:val="1A1517"/>
                <w:spacing w:val="0"/>
                <w:w w:val="100"/>
                <w:position w:val="0"/>
                <w:sz w:val="21"/>
                <w:szCs w:val="21"/>
                <w:highlight w:val="none"/>
              </w:rPr>
              <w:t>制）</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r>
              <w:rPr>
                <w:rFonts w:hint="eastAsia" w:ascii="宋体" w:hAnsi="宋体" w:cs="宋体"/>
                <w:i w:val="0"/>
                <w:color w:val="000000"/>
                <w:sz w:val="21"/>
                <w:szCs w:val="21"/>
                <w:highlight w:val="none"/>
                <w:u w:val="none"/>
                <w:lang w:val="en-US" w:eastAsia="zh-CN"/>
              </w:rPr>
              <w:t>5</w:t>
            </w:r>
          </w:p>
        </w:tc>
        <w:tc>
          <w:tcPr>
            <w:tcW w:w="2143" w:type="dxa"/>
            <w:vAlign w:val="bottom"/>
          </w:tcPr>
          <w:p>
            <w:pPr>
              <w:pStyle w:val="34"/>
              <w:widowControl w:val="0"/>
              <w:shd w:val="clear" w:color="auto" w:fill="auto"/>
              <w:spacing w:before="0" w:beforeAutospacing="0" w:after="0" w:afterAutospacing="0" w:line="240" w:lineRule="auto"/>
              <w:ind w:left="0" w:right="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钢测桥</w:t>
            </w:r>
          </w:p>
        </w:tc>
        <w:tc>
          <w:tcPr>
            <w:tcW w:w="1607" w:type="dxa"/>
            <w:vAlign w:val="bottom"/>
          </w:tcPr>
          <w:p>
            <w:pPr>
              <w:pStyle w:val="34"/>
              <w:widowControl w:val="0"/>
              <w:shd w:val="clear" w:color="auto" w:fill="auto"/>
              <w:spacing w:before="0" w:beforeAutospacing="0" w:after="0" w:afterAutospacing="0" w:line="240" w:lineRule="auto"/>
              <w:ind w:left="0" w:right="0"/>
              <w:jc w:val="left"/>
              <w:rPr>
                <w:rFonts w:hint="default" w:ascii="宋体" w:hAnsi="宋体" w:eastAsia="宋体" w:cs="宋体"/>
                <w:color w:val="000000"/>
                <w:spacing w:val="0"/>
                <w:w w:val="100"/>
                <w:position w:val="0"/>
                <w:sz w:val="21"/>
                <w:szCs w:val="21"/>
                <w:highlight w:val="none"/>
                <w:lang w:val="en-US" w:eastAsia="zh-CN"/>
              </w:rPr>
            </w:pPr>
            <w:r>
              <w:rPr>
                <w:rFonts w:hint="eastAsia" w:cs="宋体"/>
                <w:color w:val="000000"/>
                <w:spacing w:val="0"/>
                <w:w w:val="100"/>
                <w:position w:val="0"/>
                <w:sz w:val="21"/>
                <w:szCs w:val="21"/>
                <w:highlight w:val="none"/>
                <w:lang w:val="en-US" w:eastAsia="zh-CN"/>
              </w:rPr>
              <w:t>10米桥</w:t>
            </w:r>
          </w:p>
        </w:tc>
        <w:tc>
          <w:tcPr>
            <w:tcW w:w="4149" w:type="dxa"/>
            <w:vAlign w:val="bottom"/>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根据渠道尺寸定制加工</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default"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16</w:t>
            </w:r>
          </w:p>
        </w:tc>
        <w:tc>
          <w:tcPr>
            <w:tcW w:w="2143" w:type="dxa"/>
            <w:vAlign w:val="bottom"/>
          </w:tcPr>
          <w:p>
            <w:pPr>
              <w:pStyle w:val="34"/>
              <w:widowControl w:val="0"/>
              <w:shd w:val="clear" w:color="auto" w:fill="auto"/>
              <w:spacing w:before="0" w:beforeAutospacing="0" w:after="0" w:afterAutospacing="0" w:line="240" w:lineRule="auto"/>
              <w:ind w:left="0" w:leftChars="0" w:right="0" w:firstLine="0" w:firstLineChars="0"/>
              <w:jc w:val="both"/>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反光水尺</w:t>
            </w:r>
          </w:p>
        </w:tc>
        <w:tc>
          <w:tcPr>
            <w:tcW w:w="1607" w:type="dxa"/>
            <w:vAlign w:val="bottom"/>
          </w:tcPr>
          <w:p>
            <w:pPr>
              <w:pStyle w:val="34"/>
              <w:widowControl w:val="0"/>
              <w:shd w:val="clear" w:color="auto" w:fill="auto"/>
              <w:spacing w:before="0" w:beforeAutospacing="0" w:after="0" w:afterAutospacing="0" w:line="240" w:lineRule="auto"/>
              <w:ind w:left="0" w:leftChars="0" w:right="0" w:firstLine="0" w:firstLineChars="0"/>
              <w:jc w:val="both"/>
              <w:rPr>
                <w:rFonts w:hint="eastAsia" w:ascii="宋体" w:hAnsi="宋体" w:eastAsia="宋体" w:cs="宋体"/>
                <w:color w:val="000000"/>
                <w:spacing w:val="0"/>
                <w:w w:val="100"/>
                <w:position w:val="0"/>
                <w:sz w:val="21"/>
                <w:szCs w:val="21"/>
                <w:highlight w:val="none"/>
              </w:rPr>
            </w:pPr>
          </w:p>
        </w:tc>
        <w:tc>
          <w:tcPr>
            <w:tcW w:w="4149" w:type="dxa"/>
            <w:vAlign w:val="bottom"/>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根据渠道边坡长度及边坡比定制</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default"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17</w:t>
            </w:r>
          </w:p>
        </w:tc>
        <w:tc>
          <w:tcPr>
            <w:tcW w:w="2143" w:type="dxa"/>
            <w:vAlign w:val="center"/>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渠道流量率定费用</w:t>
            </w:r>
          </w:p>
        </w:tc>
        <w:tc>
          <w:tcPr>
            <w:tcW w:w="1607" w:type="dxa"/>
            <w:vAlign w:val="top"/>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position w:val="0"/>
                <w:sz w:val="21"/>
                <w:szCs w:val="21"/>
                <w:highlight w:val="none"/>
              </w:rPr>
            </w:pPr>
          </w:p>
        </w:tc>
        <w:tc>
          <w:tcPr>
            <w:tcW w:w="4149" w:type="dxa"/>
            <w:vAlign w:val="top"/>
          </w:tcPr>
          <w:p>
            <w:pPr>
              <w:widowControl w:val="0"/>
              <w:spacing w:before="0" w:beforeAutospacing="0" w:after="0" w:afterAutospacing="0"/>
              <w:ind w:left="0" w:right="0"/>
              <w:rPr>
                <w:rFonts w:hint="eastAsia" w:ascii="宋体" w:hAnsi="宋体" w:eastAsia="宋体" w:cs="宋体"/>
                <w:kern w:val="2"/>
                <w:sz w:val="21"/>
                <w:szCs w:val="21"/>
                <w:highlight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default"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18</w:t>
            </w:r>
          </w:p>
        </w:tc>
        <w:tc>
          <w:tcPr>
            <w:tcW w:w="2143" w:type="dxa"/>
            <w:vAlign w:val="bottom"/>
          </w:tcPr>
          <w:p>
            <w:pPr>
              <w:pStyle w:val="34"/>
              <w:widowControl w:val="0"/>
              <w:shd w:val="clear" w:color="auto" w:fill="auto"/>
              <w:spacing w:before="0" w:beforeAutospacing="0" w:after="0" w:afterAutospacing="0" w:line="240" w:lineRule="auto"/>
              <w:ind w:left="0" w:leftChars="0" w:right="0" w:firstLine="14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lang w:val="en-US" w:eastAsia="en-US" w:bidi="en-US"/>
              </w:rPr>
              <w:t>GPRS</w:t>
            </w:r>
            <w:r>
              <w:rPr>
                <w:rFonts w:hint="eastAsia" w:ascii="宋体" w:hAnsi="宋体" w:eastAsia="宋体" w:cs="宋体"/>
                <w:color w:val="000000"/>
                <w:spacing w:val="0"/>
                <w:w w:val="100"/>
                <w:position w:val="0"/>
                <w:sz w:val="21"/>
                <w:szCs w:val="21"/>
                <w:highlight w:val="none"/>
              </w:rPr>
              <w:t>通讯费</w:t>
            </w:r>
          </w:p>
        </w:tc>
        <w:tc>
          <w:tcPr>
            <w:tcW w:w="1607" w:type="dxa"/>
            <w:vAlign w:val="top"/>
          </w:tcPr>
          <w:p>
            <w:pPr>
              <w:pStyle w:val="34"/>
              <w:widowControl w:val="0"/>
              <w:shd w:val="clear" w:color="auto" w:fill="auto"/>
              <w:spacing w:before="0" w:beforeAutospacing="0" w:after="0" w:afterAutospacing="0" w:line="240" w:lineRule="auto"/>
              <w:ind w:left="0" w:leftChars="0" w:right="0" w:firstLine="140" w:firstLineChars="0"/>
              <w:jc w:val="left"/>
              <w:rPr>
                <w:rFonts w:hint="eastAsia" w:ascii="宋体" w:hAnsi="宋体" w:eastAsia="宋体" w:cs="宋体"/>
                <w:color w:val="000000"/>
                <w:spacing w:val="0"/>
                <w:w w:val="100"/>
                <w:position w:val="0"/>
                <w:sz w:val="21"/>
                <w:szCs w:val="21"/>
                <w:highlight w:val="none"/>
                <w:lang w:val="en-US" w:eastAsia="en-US" w:bidi="en-US"/>
              </w:rPr>
            </w:pPr>
          </w:p>
        </w:tc>
        <w:tc>
          <w:tcPr>
            <w:tcW w:w="4149" w:type="dxa"/>
            <w:vAlign w:val="top"/>
          </w:tcPr>
          <w:p>
            <w:pPr>
              <w:widowControl w:val="0"/>
              <w:spacing w:before="0" w:beforeAutospacing="0" w:after="0" w:afterAutospacing="0"/>
              <w:ind w:left="0" w:right="0"/>
              <w:rPr>
                <w:rFonts w:hint="eastAsia" w:ascii="宋体" w:hAnsi="宋体" w:eastAsia="宋体" w:cs="宋体"/>
                <w:kern w:val="2"/>
                <w:sz w:val="21"/>
                <w:szCs w:val="21"/>
                <w:highlight w:val="none"/>
                <w:lang w:val="en-US" w:eastAsia="zh-CN"/>
              </w:rPr>
            </w:pPr>
            <w:r>
              <w:rPr>
                <w:rFonts w:hint="eastAsia" w:ascii="宋体" w:hAnsi="宋体" w:eastAsia="宋体" w:cs="宋体"/>
                <w:color w:val="000000"/>
                <w:spacing w:val="0"/>
                <w:w w:val="100"/>
                <w:position w:val="0"/>
                <w:sz w:val="21"/>
                <w:szCs w:val="21"/>
                <w:highlight w:val="none"/>
              </w:rPr>
              <w:t>3年</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default" w:ascii="宋体" w:hAnsi="宋体" w:eastAsia="宋体" w:cs="宋体"/>
                <w:i w:val="0"/>
                <w:color w:val="000000"/>
                <w:kern w:val="2"/>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19</w:t>
            </w:r>
          </w:p>
        </w:tc>
        <w:tc>
          <w:tcPr>
            <w:tcW w:w="2143" w:type="dxa"/>
            <w:vAlign w:val="center"/>
          </w:tcPr>
          <w:p>
            <w:pPr>
              <w:pStyle w:val="34"/>
              <w:widowControl w:val="0"/>
              <w:shd w:val="clear" w:color="auto" w:fill="auto"/>
              <w:spacing w:before="0" w:beforeAutospacing="0" w:after="0" w:afterAutospacing="0" w:line="240" w:lineRule="auto"/>
              <w:ind w:left="0" w:leftChars="0" w:right="0" w:firstLine="48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辅材</w:t>
            </w:r>
          </w:p>
        </w:tc>
        <w:tc>
          <w:tcPr>
            <w:tcW w:w="1607" w:type="dxa"/>
            <w:vAlign w:val="top"/>
          </w:tcPr>
          <w:p>
            <w:pPr>
              <w:pStyle w:val="34"/>
              <w:widowControl w:val="0"/>
              <w:shd w:val="clear" w:color="auto" w:fill="auto"/>
              <w:spacing w:before="0" w:beforeAutospacing="0" w:after="0" w:afterAutospacing="0" w:line="240" w:lineRule="auto"/>
              <w:ind w:left="0" w:leftChars="0" w:right="0" w:firstLine="480" w:firstLineChars="0"/>
              <w:jc w:val="left"/>
              <w:rPr>
                <w:rFonts w:hint="eastAsia" w:ascii="宋体" w:hAnsi="宋体" w:eastAsia="宋体" w:cs="宋体"/>
                <w:color w:val="000000"/>
                <w:spacing w:val="0"/>
                <w:w w:val="100"/>
                <w:position w:val="0"/>
                <w:sz w:val="21"/>
                <w:szCs w:val="21"/>
                <w:highlight w:val="none"/>
              </w:rPr>
            </w:pPr>
          </w:p>
        </w:tc>
        <w:tc>
          <w:tcPr>
            <w:tcW w:w="4149" w:type="dxa"/>
            <w:vAlign w:val="top"/>
          </w:tcPr>
          <w:p>
            <w:pPr>
              <w:widowControl w:val="0"/>
              <w:spacing w:before="0" w:beforeAutospacing="0" w:after="0" w:afterAutospacing="0"/>
              <w:ind w:left="0" w:right="0"/>
              <w:rPr>
                <w:rFonts w:hint="eastAsia" w:ascii="宋体" w:hAnsi="宋体" w:eastAsia="宋体" w:cs="宋体"/>
                <w:kern w:val="2"/>
                <w:sz w:val="21"/>
                <w:szCs w:val="21"/>
                <w:highlight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（二）</w:t>
            </w:r>
          </w:p>
        </w:tc>
        <w:tc>
          <w:tcPr>
            <w:tcW w:w="2143" w:type="dxa"/>
            <w:vAlign w:val="bottom"/>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b/>
                <w:bCs/>
                <w:color w:val="000000"/>
                <w:spacing w:val="0"/>
                <w:w w:val="100"/>
                <w:position w:val="0"/>
                <w:sz w:val="21"/>
                <w:szCs w:val="21"/>
                <w:highlight w:val="none"/>
              </w:rPr>
              <w:t>支渠水量监测系统</w:t>
            </w:r>
          </w:p>
        </w:tc>
        <w:tc>
          <w:tcPr>
            <w:tcW w:w="1607" w:type="dxa"/>
            <w:vAlign w:val="center"/>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b/>
                <w:bCs/>
                <w:color w:val="000000"/>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p>
        </w:tc>
        <w:tc>
          <w:tcPr>
            <w:tcW w:w="2143" w:type="dxa"/>
            <w:vAlign w:val="bottom"/>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单个支渠水量监测系</w:t>
            </w:r>
          </w:p>
        </w:tc>
        <w:tc>
          <w:tcPr>
            <w:tcW w:w="1607" w:type="dxa"/>
            <w:vAlign w:val="center"/>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color w:val="000000"/>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p>
        </w:tc>
        <w:tc>
          <w:tcPr>
            <w:tcW w:w="2143"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color w:val="000000"/>
                <w:spacing w:val="0"/>
                <w:w w:val="100"/>
                <w:position w:val="0"/>
                <w:sz w:val="21"/>
                <w:szCs w:val="21"/>
                <w:highlight w:val="none"/>
              </w:rPr>
              <w:t>一体式雷达水位计</w:t>
            </w:r>
          </w:p>
        </w:tc>
        <w:tc>
          <w:tcPr>
            <w:tcW w:w="1607" w:type="dxa"/>
            <w:vAlign w:val="center"/>
          </w:tcPr>
          <w:p>
            <w:pPr>
              <w:widowControl/>
              <w:spacing w:before="0" w:beforeAutospacing="0" w:after="0" w:afterAutospacing="0"/>
              <w:ind w:left="0" w:right="0"/>
              <w:jc w:val="left"/>
              <w:textAlignment w:val="center"/>
              <w:rPr>
                <w:rFonts w:hint="eastAsia" w:ascii="宋体" w:hAnsi="宋体" w:eastAsia="宋体" w:cs="宋体"/>
                <w:color w:val="000000"/>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2</w:t>
            </w:r>
          </w:p>
        </w:tc>
        <w:tc>
          <w:tcPr>
            <w:tcW w:w="2143" w:type="dxa"/>
            <w:vAlign w:val="center"/>
          </w:tcPr>
          <w:p>
            <w:pPr>
              <w:pStyle w:val="34"/>
              <w:widowControl w:val="0"/>
              <w:shd w:val="clear" w:color="auto" w:fill="auto"/>
              <w:spacing w:before="0" w:beforeAutospacing="0" w:after="0" w:afterAutospacing="0" w:line="240" w:lineRule="auto"/>
              <w:ind w:left="0" w:leftChars="0" w:right="0" w:firstLine="54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钢测桥</w:t>
            </w:r>
          </w:p>
        </w:tc>
        <w:tc>
          <w:tcPr>
            <w:tcW w:w="1607" w:type="dxa"/>
            <w:vAlign w:val="center"/>
          </w:tcPr>
          <w:p>
            <w:pPr>
              <w:pStyle w:val="34"/>
              <w:widowControl w:val="0"/>
              <w:shd w:val="clear" w:color="auto" w:fill="auto"/>
              <w:spacing w:before="0" w:beforeAutospacing="0" w:after="0" w:afterAutospacing="0" w:line="240" w:lineRule="auto"/>
              <w:ind w:left="0" w:right="0"/>
              <w:jc w:val="left"/>
              <w:rPr>
                <w:rFonts w:hint="eastAsia" w:ascii="宋体" w:hAnsi="宋体" w:eastAsia="宋体" w:cs="宋体"/>
                <w:color w:val="000000"/>
                <w:spacing w:val="0"/>
                <w:w w:val="100"/>
                <w:position w:val="0"/>
                <w:sz w:val="21"/>
                <w:szCs w:val="21"/>
                <w:highlight w:val="none"/>
                <w:lang w:eastAsia="zh-CN"/>
              </w:rPr>
            </w:pPr>
            <w:r>
              <w:rPr>
                <w:rFonts w:hint="eastAsia" w:cs="宋体"/>
                <w:color w:val="000000"/>
                <w:spacing w:val="0"/>
                <w:w w:val="100"/>
                <w:position w:val="0"/>
                <w:sz w:val="21"/>
                <w:szCs w:val="21"/>
                <w:highlight w:val="none"/>
                <w:lang w:eastAsia="zh-CN"/>
              </w:rPr>
              <w:t>根据渠道宽度制定</w:t>
            </w: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3</w:t>
            </w:r>
          </w:p>
        </w:tc>
        <w:tc>
          <w:tcPr>
            <w:tcW w:w="2143" w:type="dxa"/>
            <w:vAlign w:val="bottom"/>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通讯费</w:t>
            </w:r>
          </w:p>
        </w:tc>
        <w:tc>
          <w:tcPr>
            <w:tcW w:w="1607" w:type="dxa"/>
            <w:vAlign w:val="center"/>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color w:val="000000"/>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4</w:t>
            </w:r>
          </w:p>
        </w:tc>
        <w:tc>
          <w:tcPr>
            <w:tcW w:w="2143" w:type="dxa"/>
            <w:vAlign w:val="bottom"/>
          </w:tcPr>
          <w:p>
            <w:pPr>
              <w:pStyle w:val="34"/>
              <w:widowControl w:val="0"/>
              <w:shd w:val="clear" w:color="auto" w:fill="auto"/>
              <w:spacing w:before="0" w:beforeAutospacing="0" w:after="0" w:afterAutospacing="0" w:line="240" w:lineRule="auto"/>
              <w:ind w:left="0" w:leftChars="0" w:right="0" w:firstLine="76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b/>
                <w:bCs/>
                <w:color w:val="000000"/>
                <w:spacing w:val="0"/>
                <w:w w:val="100"/>
                <w:position w:val="0"/>
                <w:sz w:val="21"/>
                <w:szCs w:val="21"/>
                <w:highlight w:val="none"/>
              </w:rPr>
              <w:t>辅材</w:t>
            </w:r>
          </w:p>
        </w:tc>
        <w:tc>
          <w:tcPr>
            <w:tcW w:w="1607" w:type="dxa"/>
            <w:vAlign w:val="center"/>
          </w:tcPr>
          <w:p>
            <w:pPr>
              <w:pStyle w:val="34"/>
              <w:widowControl w:val="0"/>
              <w:shd w:val="clear" w:color="auto" w:fill="auto"/>
              <w:spacing w:before="0" w:beforeAutospacing="0" w:after="0" w:afterAutospacing="0" w:line="240" w:lineRule="auto"/>
              <w:ind w:left="0" w:leftChars="0" w:right="0" w:firstLine="760" w:firstLineChars="0"/>
              <w:jc w:val="left"/>
              <w:rPr>
                <w:rFonts w:hint="eastAsia" w:ascii="宋体" w:hAnsi="宋体" w:eastAsia="宋体" w:cs="宋体"/>
                <w:b/>
                <w:bCs/>
                <w:color w:val="000000"/>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kern w:val="2"/>
                <w:sz w:val="21"/>
                <w:szCs w:val="21"/>
                <w:highlight w:val="none"/>
                <w:u w:val="none"/>
                <w:lang w:val="en-US" w:eastAsia="zh-CN"/>
              </w:rPr>
              <w:t>5</w:t>
            </w:r>
          </w:p>
        </w:tc>
        <w:tc>
          <w:tcPr>
            <w:tcW w:w="2143" w:type="dxa"/>
            <w:vAlign w:val="bottom"/>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渠道流量率定费用</w:t>
            </w:r>
          </w:p>
        </w:tc>
        <w:tc>
          <w:tcPr>
            <w:tcW w:w="1607" w:type="dxa"/>
            <w:vAlign w:val="center"/>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color w:val="000000"/>
                <w:spacing w:val="0"/>
                <w:w w:val="100"/>
                <w:position w:val="0"/>
                <w:sz w:val="21"/>
                <w:szCs w:val="21"/>
                <w:highlight w:val="none"/>
              </w:rPr>
            </w:pPr>
          </w:p>
        </w:tc>
        <w:tc>
          <w:tcPr>
            <w:tcW w:w="4149" w:type="dxa"/>
            <w:vAlign w:val="center"/>
          </w:tcPr>
          <w:p>
            <w:pPr>
              <w:widowControl/>
              <w:spacing w:before="0" w:beforeAutospacing="0" w:after="0" w:afterAutospacing="0"/>
              <w:ind w:left="0" w:right="0"/>
              <w:jc w:val="left"/>
              <w:textAlignment w:val="center"/>
              <w:rPr>
                <w:rFonts w:hint="eastAsia" w:ascii="宋体" w:hAnsi="宋体" w:eastAsia="宋体" w:cs="宋体"/>
                <w:i w:val="0"/>
                <w:color w:val="000000"/>
                <w:kern w:val="2"/>
                <w:sz w:val="21"/>
                <w:szCs w:val="21"/>
                <w:highlight w:val="none"/>
                <w:u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kern w:val="2"/>
                <w:sz w:val="21"/>
                <w:szCs w:val="21"/>
                <w:highlight w:val="none"/>
                <w:u w:val="none"/>
                <w:lang w:val="en-US" w:eastAsia="zh-CN"/>
              </w:rPr>
              <w:t>6</w:t>
            </w:r>
          </w:p>
        </w:tc>
        <w:tc>
          <w:tcPr>
            <w:tcW w:w="2143" w:type="dxa"/>
            <w:vAlign w:val="center"/>
          </w:tcPr>
          <w:p>
            <w:pPr>
              <w:pStyle w:val="34"/>
              <w:widowControl w:val="0"/>
              <w:shd w:val="clear" w:color="auto" w:fill="auto"/>
              <w:spacing w:before="0" w:beforeAutospacing="0" w:after="0" w:afterAutospacing="0" w:line="240" w:lineRule="auto"/>
              <w:ind w:left="0" w:leftChars="0" w:right="0" w:firstLine="54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标准断面</w:t>
            </w:r>
          </w:p>
        </w:tc>
        <w:tc>
          <w:tcPr>
            <w:tcW w:w="1607" w:type="dxa"/>
            <w:vAlign w:val="center"/>
          </w:tcPr>
          <w:p>
            <w:pPr>
              <w:pStyle w:val="34"/>
              <w:widowControl w:val="0"/>
              <w:shd w:val="clear" w:color="auto" w:fill="auto"/>
              <w:spacing w:before="0" w:beforeAutospacing="0" w:after="0" w:afterAutospacing="0" w:line="240" w:lineRule="auto"/>
              <w:ind w:left="0" w:right="0"/>
              <w:jc w:val="left"/>
              <w:rPr>
                <w:rFonts w:hint="eastAsia" w:ascii="宋体" w:hAnsi="宋体" w:eastAsia="宋体" w:cs="宋体"/>
                <w:color w:val="000000"/>
                <w:spacing w:val="0"/>
                <w:w w:val="100"/>
                <w:position w:val="0"/>
                <w:sz w:val="21"/>
                <w:szCs w:val="21"/>
                <w:highlight w:val="none"/>
                <w:lang w:eastAsia="zh-CN"/>
              </w:rPr>
            </w:pPr>
            <w:r>
              <w:rPr>
                <w:rFonts w:hint="eastAsia" w:cs="宋体"/>
                <w:color w:val="000000"/>
                <w:spacing w:val="0"/>
                <w:w w:val="100"/>
                <w:position w:val="0"/>
                <w:sz w:val="21"/>
                <w:szCs w:val="21"/>
                <w:highlight w:val="none"/>
                <w:lang w:eastAsia="zh-CN"/>
              </w:rPr>
              <w:t>根据现场情况需要修断面处修复</w:t>
            </w:r>
          </w:p>
        </w:tc>
        <w:tc>
          <w:tcPr>
            <w:tcW w:w="4149" w:type="dxa"/>
            <w:vAlign w:val="center"/>
          </w:tcPr>
          <w:p>
            <w:pPr>
              <w:pStyle w:val="34"/>
              <w:widowControl w:val="0"/>
              <w:shd w:val="clear" w:color="auto" w:fill="auto"/>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15米修复</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二</w:t>
            </w:r>
          </w:p>
        </w:tc>
        <w:tc>
          <w:tcPr>
            <w:tcW w:w="2143" w:type="dxa"/>
            <w:vAlign w:val="bottom"/>
          </w:tcPr>
          <w:p>
            <w:pPr>
              <w:pStyle w:val="34"/>
              <w:widowControl w:val="0"/>
              <w:shd w:val="clear" w:color="auto" w:fill="auto"/>
              <w:spacing w:before="0" w:beforeAutospacing="0" w:after="0" w:afterAutospacing="0" w:line="240" w:lineRule="auto"/>
              <w:ind w:left="0" w:leftChars="0" w:right="0" w:firstLine="68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b/>
                <w:bCs/>
                <w:color w:val="000000"/>
                <w:spacing w:val="0"/>
                <w:w w:val="100"/>
                <w:position w:val="0"/>
                <w:sz w:val="21"/>
                <w:szCs w:val="21"/>
                <w:highlight w:val="none"/>
              </w:rPr>
              <w:t>软件系统</w:t>
            </w:r>
          </w:p>
        </w:tc>
        <w:tc>
          <w:tcPr>
            <w:tcW w:w="1607" w:type="dxa"/>
            <w:vAlign w:val="top"/>
          </w:tcPr>
          <w:p>
            <w:pPr>
              <w:pStyle w:val="34"/>
              <w:widowControl w:val="0"/>
              <w:shd w:val="clear" w:color="auto" w:fill="auto"/>
              <w:spacing w:before="0" w:beforeAutospacing="0" w:after="0" w:afterAutospacing="0" w:line="240" w:lineRule="auto"/>
              <w:ind w:left="0" w:leftChars="0" w:right="0" w:firstLine="680" w:firstLineChars="0"/>
              <w:jc w:val="left"/>
              <w:rPr>
                <w:rFonts w:hint="eastAsia" w:ascii="宋体" w:hAnsi="宋体" w:eastAsia="宋体" w:cs="宋体"/>
                <w:b/>
                <w:bCs/>
                <w:color w:val="000000"/>
                <w:spacing w:val="0"/>
                <w:w w:val="100"/>
                <w:position w:val="0"/>
                <w:sz w:val="21"/>
                <w:szCs w:val="21"/>
                <w:highlight w:val="none"/>
              </w:rPr>
            </w:pPr>
          </w:p>
        </w:tc>
        <w:tc>
          <w:tcPr>
            <w:tcW w:w="4149" w:type="dxa"/>
            <w:vAlign w:val="top"/>
          </w:tcPr>
          <w:p>
            <w:pPr>
              <w:widowControl w:val="0"/>
              <w:spacing w:before="0" w:beforeAutospacing="0" w:after="0" w:afterAutospacing="0"/>
              <w:ind w:left="0" w:right="0"/>
              <w:rPr>
                <w:rFonts w:hint="eastAsia" w:ascii="宋体" w:hAnsi="宋体" w:eastAsia="宋体" w:cs="宋体"/>
                <w:kern w:val="2"/>
                <w:sz w:val="21"/>
                <w:szCs w:val="21"/>
                <w:highlight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p>
        </w:tc>
        <w:tc>
          <w:tcPr>
            <w:tcW w:w="2143" w:type="dxa"/>
            <w:vAlign w:val="bottom"/>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1A1517"/>
                <w:spacing w:val="0"/>
                <w:w w:val="100"/>
                <w:position w:val="0"/>
                <w:sz w:val="21"/>
                <w:szCs w:val="21"/>
                <w:highlight w:val="none"/>
              </w:rPr>
              <w:t>灌区水量监测应</w:t>
            </w:r>
            <w:r>
              <w:rPr>
                <w:rFonts w:hint="eastAsia" w:ascii="宋体" w:hAnsi="宋体" w:eastAsia="宋体" w:cs="宋体"/>
                <w:color w:val="000000"/>
                <w:spacing w:val="0"/>
                <w:w w:val="100"/>
                <w:position w:val="0"/>
                <w:sz w:val="21"/>
                <w:szCs w:val="21"/>
                <w:highlight w:val="none"/>
              </w:rPr>
              <w:t>用系统</w:t>
            </w:r>
            <w:r>
              <w:rPr>
                <w:rFonts w:hint="eastAsia" w:ascii="宋体" w:hAnsi="宋体" w:eastAsia="宋体" w:cs="宋体"/>
                <w:color w:val="000000"/>
                <w:spacing w:val="0"/>
                <w:w w:val="100"/>
                <w:position w:val="0"/>
                <w:sz w:val="21"/>
                <w:szCs w:val="21"/>
                <w:highlight w:val="none"/>
                <w:lang w:eastAsia="zh-CN"/>
              </w:rPr>
              <w:t>软件</w:t>
            </w:r>
          </w:p>
        </w:tc>
        <w:tc>
          <w:tcPr>
            <w:tcW w:w="1607" w:type="dxa"/>
            <w:vAlign w:val="center"/>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color w:val="1A1517"/>
                <w:spacing w:val="0"/>
                <w:w w:val="100"/>
                <w:position w:val="0"/>
                <w:sz w:val="21"/>
                <w:szCs w:val="21"/>
                <w:highlight w:val="none"/>
              </w:rPr>
            </w:pPr>
          </w:p>
        </w:tc>
        <w:tc>
          <w:tcPr>
            <w:tcW w:w="4149" w:type="dxa"/>
            <w:vAlign w:val="center"/>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通过平台集中展示流域水情监测点数据</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2</w:t>
            </w:r>
          </w:p>
        </w:tc>
        <w:tc>
          <w:tcPr>
            <w:tcW w:w="2143" w:type="dxa"/>
            <w:vAlign w:val="top"/>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数据采集交互平台</w:t>
            </w:r>
          </w:p>
        </w:tc>
        <w:tc>
          <w:tcPr>
            <w:tcW w:w="1607" w:type="dxa"/>
            <w:vAlign w:val="bottom"/>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color w:val="000000"/>
                <w:spacing w:val="0"/>
                <w:w w:val="100"/>
                <w:position w:val="0"/>
                <w:sz w:val="21"/>
                <w:szCs w:val="21"/>
                <w:highlight w:val="none"/>
              </w:rPr>
            </w:pPr>
          </w:p>
        </w:tc>
        <w:tc>
          <w:tcPr>
            <w:tcW w:w="4149" w:type="dxa"/>
            <w:vAlign w:val="bottom"/>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灌区取水分水口水量数据监测</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3</w:t>
            </w:r>
          </w:p>
        </w:tc>
        <w:tc>
          <w:tcPr>
            <w:tcW w:w="2143" w:type="dxa"/>
            <w:vAlign w:val="bottom"/>
          </w:tcPr>
          <w:p>
            <w:pPr>
              <w:pStyle w:val="34"/>
              <w:widowControl w:val="0"/>
              <w:shd w:val="clear" w:color="auto" w:fill="auto"/>
              <w:tabs>
                <w:tab w:val="left" w:pos="611"/>
              </w:tabs>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数据库系统</w:t>
            </w:r>
          </w:p>
        </w:tc>
        <w:tc>
          <w:tcPr>
            <w:tcW w:w="1607" w:type="dxa"/>
            <w:vAlign w:val="center"/>
          </w:tcPr>
          <w:p>
            <w:pPr>
              <w:pStyle w:val="34"/>
              <w:widowControl w:val="0"/>
              <w:shd w:val="clear" w:color="auto" w:fill="auto"/>
              <w:tabs>
                <w:tab w:val="left" w:pos="611"/>
              </w:tabs>
              <w:spacing w:before="0" w:beforeAutospacing="0" w:after="0" w:afterAutospacing="0" w:line="240" w:lineRule="auto"/>
              <w:ind w:left="0" w:leftChars="0" w:right="0" w:firstLine="0" w:firstLineChars="0"/>
              <w:jc w:val="left"/>
              <w:rPr>
                <w:rFonts w:hint="eastAsia" w:ascii="宋体" w:hAnsi="宋体" w:eastAsia="宋体" w:cs="宋体"/>
                <w:color w:val="000000"/>
                <w:spacing w:val="0"/>
                <w:w w:val="100"/>
                <w:position w:val="0"/>
                <w:sz w:val="21"/>
                <w:szCs w:val="21"/>
                <w:highlight w:val="none"/>
              </w:rPr>
            </w:pPr>
          </w:p>
        </w:tc>
        <w:tc>
          <w:tcPr>
            <w:tcW w:w="4149" w:type="dxa"/>
            <w:vAlign w:val="center"/>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灌区量测水数据存储</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4</w:t>
            </w:r>
          </w:p>
        </w:tc>
        <w:tc>
          <w:tcPr>
            <w:tcW w:w="2143" w:type="dxa"/>
            <w:vAlign w:val="center"/>
          </w:tcPr>
          <w:p>
            <w:pPr>
              <w:pStyle w:val="34"/>
              <w:widowControl w:val="0"/>
              <w:shd w:val="clear" w:color="auto" w:fill="auto"/>
              <w:spacing w:before="0" w:beforeAutospacing="0" w:after="0" w:afterAutospacing="0" w:line="240" w:lineRule="auto"/>
              <w:ind w:left="0" w:right="0"/>
              <w:jc w:val="both"/>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lang w:val="en-US" w:eastAsia="en-US" w:bidi="en-US"/>
              </w:rPr>
              <w:t>GIS</w:t>
            </w:r>
            <w:r>
              <w:rPr>
                <w:rFonts w:hint="eastAsia" w:ascii="宋体" w:hAnsi="宋体" w:eastAsia="宋体" w:cs="宋体"/>
                <w:color w:val="000000"/>
                <w:spacing w:val="0"/>
                <w:w w:val="100"/>
                <w:position w:val="0"/>
                <w:sz w:val="21"/>
                <w:szCs w:val="21"/>
                <w:highlight w:val="none"/>
              </w:rPr>
              <w:t>地图系统</w:t>
            </w:r>
          </w:p>
        </w:tc>
        <w:tc>
          <w:tcPr>
            <w:tcW w:w="1607" w:type="dxa"/>
            <w:vAlign w:val="center"/>
          </w:tcPr>
          <w:p>
            <w:pPr>
              <w:pStyle w:val="34"/>
              <w:widowControl w:val="0"/>
              <w:shd w:val="clear" w:color="auto" w:fill="auto"/>
              <w:spacing w:before="0" w:beforeAutospacing="0" w:after="0" w:afterAutospacing="0" w:line="240" w:lineRule="auto"/>
              <w:ind w:left="0" w:right="0"/>
              <w:jc w:val="both"/>
              <w:rPr>
                <w:rFonts w:hint="eastAsia" w:ascii="宋体" w:hAnsi="宋体" w:eastAsia="宋体" w:cs="宋体"/>
                <w:color w:val="000000"/>
                <w:spacing w:val="0"/>
                <w:w w:val="100"/>
                <w:position w:val="0"/>
                <w:sz w:val="21"/>
                <w:szCs w:val="21"/>
                <w:highlight w:val="none"/>
                <w:lang w:val="en-US" w:eastAsia="en-US" w:bidi="en-US"/>
              </w:rPr>
            </w:pPr>
          </w:p>
        </w:tc>
        <w:tc>
          <w:tcPr>
            <w:tcW w:w="4149" w:type="dxa"/>
            <w:vAlign w:val="center"/>
          </w:tcPr>
          <w:p>
            <w:pPr>
              <w:pStyle w:val="34"/>
              <w:widowControl w:val="0"/>
              <w:shd w:val="clear" w:color="auto" w:fill="auto"/>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地图展示监测点位信息</w:t>
            </w: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5</w:t>
            </w:r>
          </w:p>
        </w:tc>
        <w:tc>
          <w:tcPr>
            <w:tcW w:w="2143" w:type="dxa"/>
            <w:vAlign w:val="bottom"/>
          </w:tcPr>
          <w:p>
            <w:pPr>
              <w:pStyle w:val="34"/>
              <w:widowControl w:val="0"/>
              <w:shd w:val="clear" w:color="auto" w:fill="auto"/>
              <w:tabs>
                <w:tab w:val="left" w:pos="715"/>
              </w:tabs>
              <w:spacing w:before="0" w:beforeAutospacing="0" w:after="0" w:afterAutospacing="0" w:line="240" w:lineRule="auto"/>
              <w:ind w:left="0" w:leftChars="0" w:right="0" w:firstLine="0" w:firstLineChars="0"/>
              <w:jc w:val="left"/>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移动</w:t>
            </w:r>
            <w:r>
              <w:rPr>
                <w:rFonts w:hint="eastAsia" w:ascii="宋体" w:hAnsi="宋体" w:eastAsia="宋体" w:cs="宋体"/>
                <w:color w:val="000000"/>
                <w:spacing w:val="0"/>
                <w:w w:val="100"/>
                <w:position w:val="0"/>
                <w:sz w:val="21"/>
                <w:szCs w:val="21"/>
                <w:highlight w:val="none"/>
                <w:lang w:val="en-US" w:eastAsia="en-US" w:bidi="en-US"/>
              </w:rPr>
              <w:t>APP</w:t>
            </w:r>
          </w:p>
        </w:tc>
        <w:tc>
          <w:tcPr>
            <w:tcW w:w="1607" w:type="dxa"/>
            <w:vAlign w:val="top"/>
          </w:tcPr>
          <w:p>
            <w:pPr>
              <w:pStyle w:val="34"/>
              <w:widowControl w:val="0"/>
              <w:shd w:val="clear" w:color="auto" w:fill="auto"/>
              <w:tabs>
                <w:tab w:val="left" w:pos="715"/>
              </w:tabs>
              <w:spacing w:before="0" w:beforeAutospacing="0" w:after="0" w:afterAutospacing="0" w:line="240" w:lineRule="auto"/>
              <w:ind w:left="0" w:leftChars="0" w:right="0" w:firstLine="0" w:firstLineChars="0"/>
              <w:jc w:val="left"/>
              <w:rPr>
                <w:rFonts w:hint="eastAsia" w:ascii="宋体" w:hAnsi="宋体" w:eastAsia="宋体" w:cs="宋体"/>
                <w:color w:val="000000"/>
                <w:spacing w:val="0"/>
                <w:w w:val="100"/>
                <w:position w:val="0"/>
                <w:sz w:val="21"/>
                <w:szCs w:val="21"/>
                <w:highlight w:val="none"/>
              </w:rPr>
            </w:pPr>
          </w:p>
        </w:tc>
        <w:tc>
          <w:tcPr>
            <w:tcW w:w="4149" w:type="dxa"/>
            <w:vAlign w:val="top"/>
          </w:tcPr>
          <w:p>
            <w:pPr>
              <w:widowControl w:val="0"/>
              <w:spacing w:before="0" w:beforeAutospacing="0" w:after="0" w:afterAutospacing="0"/>
              <w:ind w:left="0" w:right="0"/>
              <w:rPr>
                <w:rFonts w:hint="eastAsia" w:ascii="宋体" w:hAnsi="宋体" w:eastAsia="宋体" w:cs="宋体"/>
                <w:kern w:val="2"/>
                <w:sz w:val="21"/>
                <w:szCs w:val="21"/>
                <w:highlight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7" w:type="dxa"/>
            <w:vAlign w:val="center"/>
          </w:tcPr>
          <w:p>
            <w:pPr>
              <w:widowControl/>
              <w:wordWrap/>
              <w:adjustRightInd/>
              <w:snapToGrid/>
              <w:spacing w:before="0" w:beforeAutospacing="0" w:after="0" w:afterAutospacing="0" w:line="300" w:lineRule="exact"/>
              <w:ind w:left="0" w:right="0"/>
              <w:jc w:val="center"/>
              <w:textAlignment w:val="center"/>
              <w:rPr>
                <w:rFonts w:hint="eastAsia" w:ascii="宋体" w:hAnsi="宋体" w:eastAsia="宋体" w:cs="宋体"/>
                <w:i w:val="0"/>
                <w:color w:val="000000"/>
                <w:kern w:val="2"/>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6</w:t>
            </w:r>
          </w:p>
        </w:tc>
        <w:tc>
          <w:tcPr>
            <w:tcW w:w="2143" w:type="dxa"/>
            <w:vAlign w:val="bottom"/>
          </w:tcPr>
          <w:p>
            <w:pPr>
              <w:pStyle w:val="34"/>
              <w:widowControl w:val="0"/>
              <w:shd w:val="clear" w:color="auto" w:fill="auto"/>
              <w:spacing w:before="0" w:beforeAutospacing="0" w:after="0" w:afterAutospacing="0" w:line="240" w:lineRule="auto"/>
              <w:ind w:left="0" w:right="0"/>
              <w:jc w:val="both"/>
              <w:rPr>
                <w:rFonts w:hint="eastAsia" w:ascii="宋体" w:hAnsi="宋体" w:eastAsia="宋体" w:cs="宋体"/>
                <w:kern w:val="2"/>
                <w:sz w:val="21"/>
                <w:szCs w:val="21"/>
                <w:highlight w:val="none"/>
                <w:u w:val="none"/>
                <w:shd w:val="clear" w:color="auto" w:fill="auto"/>
                <w:lang w:val="en-US" w:eastAsia="zh-CN" w:bidi="zh-TW"/>
              </w:rPr>
            </w:pPr>
            <w:r>
              <w:rPr>
                <w:rFonts w:hint="eastAsia" w:ascii="宋体" w:hAnsi="宋体" w:eastAsia="宋体" w:cs="宋体"/>
                <w:color w:val="000000"/>
                <w:spacing w:val="0"/>
                <w:w w:val="100"/>
                <w:position w:val="0"/>
                <w:sz w:val="21"/>
                <w:szCs w:val="21"/>
                <w:highlight w:val="none"/>
              </w:rPr>
              <w:t>云服务器租赁费</w:t>
            </w:r>
          </w:p>
        </w:tc>
        <w:tc>
          <w:tcPr>
            <w:tcW w:w="1607" w:type="dxa"/>
            <w:vAlign w:val="top"/>
          </w:tcPr>
          <w:p>
            <w:pPr>
              <w:pStyle w:val="34"/>
              <w:widowControl w:val="0"/>
              <w:shd w:val="clear" w:color="auto" w:fill="auto"/>
              <w:spacing w:before="0" w:beforeAutospacing="0" w:after="0" w:afterAutospacing="0" w:line="240" w:lineRule="auto"/>
              <w:ind w:left="0" w:right="0"/>
              <w:jc w:val="both"/>
              <w:rPr>
                <w:rFonts w:hint="eastAsia" w:ascii="宋体" w:hAnsi="宋体" w:eastAsia="宋体" w:cs="宋体"/>
                <w:color w:val="000000"/>
                <w:spacing w:val="0"/>
                <w:w w:val="100"/>
                <w:position w:val="0"/>
                <w:sz w:val="21"/>
                <w:szCs w:val="21"/>
                <w:highlight w:val="none"/>
              </w:rPr>
            </w:pPr>
          </w:p>
        </w:tc>
        <w:tc>
          <w:tcPr>
            <w:tcW w:w="4149" w:type="dxa"/>
            <w:vAlign w:val="top"/>
          </w:tcPr>
          <w:p>
            <w:pPr>
              <w:widowControl w:val="0"/>
              <w:spacing w:before="0" w:beforeAutospacing="0" w:after="0" w:afterAutospacing="0"/>
              <w:ind w:left="0" w:right="0"/>
              <w:rPr>
                <w:rFonts w:hint="eastAsia" w:ascii="宋体" w:hAnsi="宋体" w:eastAsia="宋体" w:cs="宋体"/>
                <w:kern w:val="2"/>
                <w:sz w:val="21"/>
                <w:szCs w:val="21"/>
                <w:highlight w:val="none"/>
                <w:lang w:val="en-US" w:eastAsia="zh-CN"/>
              </w:rPr>
            </w:pPr>
          </w:p>
        </w:tc>
        <w:tc>
          <w:tcPr>
            <w:tcW w:w="3707" w:type="dxa"/>
            <w:vAlign w:val="center"/>
          </w:tcPr>
          <w:p>
            <w:pPr>
              <w:wordWrap/>
              <w:autoSpaceDE w:val="0"/>
              <w:autoSpaceDN w:val="0"/>
              <w:adjustRightInd w:val="0"/>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1624"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rPr>
            </w:pPr>
          </w:p>
        </w:tc>
        <w:tc>
          <w:tcPr>
            <w:tcW w:w="859" w:type="dxa"/>
            <w:vAlign w:val="center"/>
          </w:tcPr>
          <w:p>
            <w:pPr>
              <w:wordWrap/>
              <w:snapToGrid/>
              <w:spacing w:before="0" w:beforeAutospacing="0" w:after="0" w:afterAutospacing="0" w:line="240" w:lineRule="exact"/>
              <w:ind w:left="0" w:right="0"/>
              <w:jc w:val="center"/>
              <w:textAlignment w:val="auto"/>
              <w:rPr>
                <w:rFonts w:hint="eastAsia" w:ascii="宋体" w:hAnsi="宋体" w:eastAsia="宋体" w:cs="宋体"/>
                <w:color w:val="000000"/>
                <w:sz w:val="24"/>
                <w:szCs w:val="24"/>
                <w:highlight w:val="none"/>
                <w:lang w:eastAsia="zh-CN"/>
              </w:rPr>
            </w:pPr>
          </w:p>
        </w:tc>
      </w:tr>
    </w:tbl>
    <w:p>
      <w:pPr>
        <w:spacing w:line="42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投标人授权代表签字：</w:t>
      </w:r>
      <w:r>
        <w:rPr>
          <w:rFonts w:hint="eastAsia" w:ascii="宋体" w:hAnsi="宋体" w:eastAsia="宋体" w:cs="宋体"/>
          <w:color w:val="000000"/>
          <w:szCs w:val="21"/>
          <w:highlight w:val="none"/>
          <w:u w:val="single"/>
        </w:rPr>
        <w:t xml:space="preserve">             </w:t>
      </w:r>
    </w:p>
    <w:p>
      <w:pPr>
        <w:spacing w:line="42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 章）    盖 章：</w:t>
      </w:r>
      <w:r>
        <w:rPr>
          <w:rFonts w:hint="eastAsia" w:ascii="宋体" w:hAnsi="宋体" w:eastAsia="宋体" w:cs="宋体"/>
          <w:color w:val="000000"/>
          <w:szCs w:val="21"/>
          <w:highlight w:val="none"/>
          <w:u w:val="single"/>
        </w:rPr>
        <w:t xml:space="preserve">             </w:t>
      </w:r>
    </w:p>
    <w:p>
      <w:pPr>
        <w:spacing w:line="42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  期</w:t>
      </w:r>
    </w:p>
    <w:p>
      <w:pPr>
        <w:pStyle w:val="17"/>
        <w:rPr>
          <w:rFonts w:hint="eastAsia" w:ascii="宋体" w:hAnsi="宋体" w:eastAsia="宋体" w:cs="宋体"/>
          <w:color w:val="000000"/>
          <w:highlight w:val="none"/>
        </w:rPr>
      </w:pPr>
    </w:p>
    <w:p>
      <w:pPr>
        <w:spacing w:after="240" w:afterLines="100" w:line="360" w:lineRule="auto"/>
        <w:jc w:val="both"/>
        <w:rPr>
          <w:rFonts w:hint="eastAsia" w:ascii="宋体" w:hAnsi="宋体" w:eastAsia="宋体" w:cs="宋体"/>
          <w:b/>
          <w:color w:val="000000"/>
          <w:sz w:val="32"/>
          <w:szCs w:val="32"/>
          <w:highlight w:val="none"/>
          <w:lang w:eastAsia="zh-CN"/>
        </w:rPr>
      </w:pPr>
      <w:r>
        <w:rPr>
          <w:rFonts w:hint="eastAsia" w:ascii="宋体" w:hAnsi="宋体" w:eastAsia="宋体" w:cs="宋体"/>
          <w:color w:val="000000"/>
          <w:highlight w:val="none"/>
        </w:rPr>
        <w:t>注意：投标人必须说明是否有与招标文件中所有内容不同意见的</w:t>
      </w:r>
    </w:p>
    <w:p>
      <w:pPr>
        <w:spacing w:after="240" w:afterLines="100" w:line="360" w:lineRule="auto"/>
        <w:jc w:val="both"/>
        <w:rPr>
          <w:rFonts w:hint="eastAsia" w:ascii="宋体" w:hAnsi="宋体" w:eastAsia="宋体" w:cs="宋体"/>
          <w:b/>
          <w:color w:val="000000"/>
          <w:sz w:val="32"/>
          <w:szCs w:val="32"/>
          <w:highlight w:val="none"/>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pPr>
    </w:p>
    <w:p>
      <w:pPr>
        <w:pStyle w:val="26"/>
        <w:rPr>
          <w:rFonts w:hint="eastAsia"/>
          <w:lang w:eastAsia="zh-CN"/>
        </w:rPr>
        <w:sectPr>
          <w:headerReference r:id="rId14" w:type="default"/>
          <w:footerReference r:id="rId15" w:type="default"/>
          <w:pgSz w:w="16838" w:h="11905" w:orient="landscape"/>
          <w:pgMar w:top="1134" w:right="1134" w:bottom="1134" w:left="1134" w:header="964" w:footer="1191" w:gutter="0"/>
          <w:pgNumType w:fmt="decimal"/>
          <w:cols w:space="0" w:num="1"/>
          <w:titlePg/>
          <w:rtlGutter w:val="0"/>
          <w:docGrid w:type="lines" w:linePitch="321" w:charSpace="0"/>
        </w:sectPr>
      </w:pPr>
    </w:p>
    <w:p>
      <w:pPr>
        <w:spacing w:after="240" w:afterLines="100" w:line="360" w:lineRule="auto"/>
        <w:jc w:val="both"/>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十、</w:t>
      </w:r>
      <w:r>
        <w:rPr>
          <w:rFonts w:hint="eastAsia" w:ascii="宋体" w:hAnsi="宋体" w:eastAsia="宋体" w:cs="宋体"/>
          <w:b/>
          <w:bCs/>
          <w:color w:val="000000"/>
          <w:sz w:val="32"/>
          <w:szCs w:val="32"/>
          <w:highlight w:val="none"/>
        </w:rPr>
        <w:t>售后服务</w:t>
      </w:r>
    </w:p>
    <w:p>
      <w:pPr>
        <w:spacing w:after="240" w:afterLines="100" w:line="360"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售后服务承诺书</w:t>
      </w:r>
    </w:p>
    <w:p>
      <w:pPr>
        <w:spacing w:after="120" w:afterLines="5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我公司郑重承诺，如被确定为</w:t>
      </w:r>
      <w:r>
        <w:rPr>
          <w:rFonts w:hint="eastAsia" w:ascii="宋体" w:hAnsi="宋体" w:eastAsia="宋体" w:cs="宋体"/>
          <w:color w:val="000000"/>
          <w:sz w:val="24"/>
          <w:szCs w:val="24"/>
          <w:highlight w:val="none"/>
          <w:u w:val="single"/>
        </w:rPr>
        <w:t xml:space="preserve">   &lt;项目名称、项目编号&gt;   </w:t>
      </w:r>
      <w:r>
        <w:rPr>
          <w:rFonts w:hint="eastAsia" w:ascii="宋体" w:hAnsi="宋体" w:eastAsia="宋体" w:cs="宋体"/>
          <w:color w:val="000000"/>
          <w:sz w:val="24"/>
          <w:szCs w:val="24"/>
          <w:highlight w:val="none"/>
        </w:rPr>
        <w:t>中标供应商，将按照以下条款为</w:t>
      </w:r>
      <w:r>
        <w:rPr>
          <w:rFonts w:hint="eastAsia" w:ascii="宋体" w:hAnsi="宋体" w:eastAsia="宋体" w:cs="宋体"/>
          <w:color w:val="000000"/>
          <w:sz w:val="24"/>
          <w:szCs w:val="24"/>
          <w:highlight w:val="none"/>
          <w:u w:val="single"/>
        </w:rPr>
        <w:t xml:space="preserve">  &lt;采购人名称&gt;  </w:t>
      </w:r>
      <w:r>
        <w:rPr>
          <w:rFonts w:hint="eastAsia" w:ascii="宋体" w:hAnsi="宋体" w:eastAsia="宋体" w:cs="宋体"/>
          <w:color w:val="000000"/>
          <w:sz w:val="24"/>
          <w:szCs w:val="24"/>
          <w:highlight w:val="none"/>
        </w:rPr>
        <w:t>提供售后服务：</w:t>
      </w:r>
    </w:p>
    <w:p>
      <w:pPr>
        <w:spacing w:after="120" w:afterLines="5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服务项目：</w:t>
      </w:r>
    </w:p>
    <w:p>
      <w:pPr>
        <w:spacing w:after="120" w:afterLines="5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 免费保修期：</w:t>
      </w:r>
    </w:p>
    <w:p>
      <w:pPr>
        <w:spacing w:after="120" w:afterLines="5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 服务响应及到达现场时间：</w:t>
      </w:r>
    </w:p>
    <w:p>
      <w:pPr>
        <w:spacing w:after="120" w:afterLines="5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 培训计划：</w:t>
      </w:r>
    </w:p>
    <w:p>
      <w:pPr>
        <w:spacing w:after="120" w:afterLines="5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 人员、设备保障及相应的收费标准</w:t>
      </w:r>
      <w:r>
        <w:rPr>
          <w:rFonts w:hint="eastAsia" w:ascii="宋体" w:hAnsi="宋体" w:eastAsia="宋体" w:cs="宋体"/>
          <w:color w:val="000000"/>
          <w:sz w:val="24"/>
          <w:szCs w:val="24"/>
          <w:highlight w:val="none"/>
          <w:lang w:eastAsia="zh-CN"/>
        </w:rPr>
        <w:t>；</w:t>
      </w:r>
    </w:p>
    <w:p>
      <w:pPr>
        <w:spacing w:after="120" w:afterLines="5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 项目所在地的</w:t>
      </w:r>
      <w:r>
        <w:rPr>
          <w:rFonts w:hint="eastAsia" w:ascii="宋体" w:hAnsi="宋体" w:eastAsia="宋体" w:cs="宋体"/>
          <w:color w:val="000000"/>
          <w:sz w:val="24"/>
          <w:highlight w:val="none"/>
        </w:rPr>
        <w:t>售后服务机构</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并提供该机构相关</w:t>
      </w:r>
      <w:r>
        <w:rPr>
          <w:rFonts w:hint="eastAsia" w:ascii="宋体" w:hAnsi="宋体" w:eastAsia="宋体" w:cs="宋体"/>
          <w:color w:val="000000"/>
          <w:sz w:val="24"/>
          <w:highlight w:val="none"/>
          <w:lang w:eastAsia="zh-CN"/>
        </w:rPr>
        <w:t>资格文件</w:t>
      </w:r>
    </w:p>
    <w:p>
      <w:pPr>
        <w:spacing w:after="120" w:afterLines="50"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其他：（投标人可做出优于此项承诺内容的服</w:t>
      </w:r>
      <w:r>
        <w:rPr>
          <w:rFonts w:hint="eastAsia" w:ascii="宋体" w:hAnsi="宋体" w:eastAsia="宋体" w:cs="宋体"/>
          <w:color w:val="000000"/>
          <w:sz w:val="24"/>
          <w:szCs w:val="24"/>
          <w:highlight w:val="none"/>
          <w:lang w:eastAsia="zh-CN"/>
        </w:rPr>
        <w:t>务）</w:t>
      </w:r>
    </w:p>
    <w:p>
      <w:pPr>
        <w:rPr>
          <w:rFonts w:hint="eastAsia" w:ascii="宋体" w:hAnsi="宋体" w:eastAsia="宋体" w:cs="宋体"/>
          <w:kern w:val="2"/>
          <w:sz w:val="21"/>
          <w:highlight w:val="none"/>
          <w:lang w:val="en-US" w:eastAsia="zh-CN"/>
        </w:rPr>
      </w:pPr>
    </w:p>
    <w:p>
      <w:pPr>
        <w:rPr>
          <w:rFonts w:hint="eastAsia" w:ascii="宋体" w:hAnsi="宋体" w:eastAsia="宋体" w:cs="宋体"/>
          <w:highlight w:val="none"/>
          <w:lang w:val="en-US" w:eastAsia="zh-CN"/>
        </w:rPr>
      </w:pPr>
    </w:p>
    <w:p>
      <w:pPr>
        <w:spacing w:after="120" w:afterLines="50"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投标人（须加盖公章）：</w:t>
      </w:r>
      <w:r>
        <w:rPr>
          <w:rFonts w:hint="eastAsia" w:ascii="宋体" w:hAnsi="宋体" w:eastAsia="宋体" w:cs="宋体"/>
          <w:color w:val="000000"/>
          <w:sz w:val="24"/>
          <w:szCs w:val="24"/>
          <w:highlight w:val="none"/>
          <w:u w:val="single"/>
        </w:rPr>
        <w:t xml:space="preserve">                             </w:t>
      </w:r>
    </w:p>
    <w:p>
      <w:pPr>
        <w:pStyle w:val="9"/>
        <w:spacing w:before="60" w:after="120" w:afterLines="50" w:line="360" w:lineRule="auto"/>
        <w:ind w:firstLine="0"/>
        <w:rPr>
          <w:rFonts w:hint="eastAsia" w:ascii="宋体" w:hAnsi="宋体" w:eastAsia="宋体" w:cs="宋体"/>
          <w:color w:val="000000"/>
          <w:sz w:val="24"/>
          <w:szCs w:val="24"/>
          <w:highlight w:val="none"/>
        </w:rPr>
      </w:pPr>
    </w:p>
    <w:p>
      <w:pPr>
        <w:pStyle w:val="9"/>
        <w:spacing w:before="60" w:after="120" w:afterLines="50"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法定代表人或委托代理人：</w:t>
      </w:r>
      <w:r>
        <w:rPr>
          <w:rFonts w:hint="eastAsia" w:ascii="宋体" w:hAnsi="宋体" w:eastAsia="宋体" w:cs="宋体"/>
          <w:color w:val="000000"/>
          <w:sz w:val="24"/>
          <w:szCs w:val="24"/>
          <w:highlight w:val="none"/>
          <w:u w:val="single"/>
        </w:rPr>
        <w:t xml:space="preserve">    （签字或法人名章）       </w:t>
      </w:r>
    </w:p>
    <w:p>
      <w:pPr>
        <w:pStyle w:val="9"/>
        <w:spacing w:before="60" w:after="120" w:afterLines="50" w:line="360" w:lineRule="auto"/>
        <w:ind w:firstLine="0"/>
        <w:rPr>
          <w:rFonts w:hint="eastAsia" w:ascii="宋体" w:hAnsi="宋体" w:eastAsia="宋体" w:cs="宋体"/>
          <w:color w:val="000000"/>
          <w:sz w:val="24"/>
          <w:szCs w:val="24"/>
          <w:highlight w:val="none"/>
        </w:rPr>
      </w:pPr>
    </w:p>
    <w:p>
      <w:pPr>
        <w:pStyle w:val="9"/>
        <w:spacing w:before="60" w:after="120" w:afterLines="50"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pStyle w:val="9"/>
        <w:overflowPunct w:val="0"/>
        <w:spacing w:line="360" w:lineRule="auto"/>
        <w:ind w:firstLine="0"/>
        <w:rPr>
          <w:rFonts w:hint="eastAsia" w:ascii="宋体" w:hAnsi="宋体" w:eastAsia="宋体" w:cs="宋体"/>
          <w:b/>
          <w:color w:val="000000"/>
          <w:sz w:val="21"/>
          <w:szCs w:val="21"/>
          <w:highlight w:val="none"/>
        </w:rPr>
      </w:pPr>
    </w:p>
    <w:p>
      <w:pPr>
        <w:pStyle w:val="9"/>
        <w:overflowPunct w:val="0"/>
        <w:spacing w:line="360" w:lineRule="auto"/>
        <w:ind w:firstLine="0"/>
        <w:rPr>
          <w:rFonts w:hint="eastAsia" w:ascii="宋体" w:hAnsi="宋体" w:eastAsia="宋体" w:cs="宋体"/>
          <w:b/>
          <w:color w:val="000000"/>
          <w:sz w:val="21"/>
          <w:szCs w:val="21"/>
          <w:highlight w:val="none"/>
        </w:rPr>
      </w:pPr>
    </w:p>
    <w:p>
      <w:pPr>
        <w:pStyle w:val="9"/>
        <w:overflowPunct w:val="0"/>
        <w:spacing w:line="360" w:lineRule="auto"/>
        <w:ind w:firstLine="0"/>
        <w:rPr>
          <w:rFonts w:hint="eastAsia" w:ascii="宋体" w:hAnsi="宋体" w:eastAsia="宋体" w:cs="宋体"/>
          <w:b/>
          <w:color w:val="000000"/>
          <w:sz w:val="21"/>
          <w:szCs w:val="21"/>
          <w:highlight w:val="none"/>
        </w:rPr>
      </w:pPr>
    </w:p>
    <w:p>
      <w:pPr>
        <w:pStyle w:val="9"/>
        <w:overflowPunct w:val="0"/>
        <w:ind w:firstLine="0"/>
        <w:rPr>
          <w:rFonts w:hint="eastAsia" w:ascii="宋体" w:hAnsi="宋体" w:eastAsia="宋体" w:cs="宋体"/>
          <w:b/>
          <w:color w:val="000000"/>
          <w:sz w:val="21"/>
          <w:szCs w:val="21"/>
          <w:highlight w:val="none"/>
        </w:rPr>
      </w:pPr>
    </w:p>
    <w:p>
      <w:pPr>
        <w:pStyle w:val="9"/>
        <w:overflowPunct w:val="0"/>
        <w:ind w:firstLine="0"/>
        <w:rPr>
          <w:rFonts w:hint="eastAsia" w:ascii="宋体" w:hAnsi="宋体" w:eastAsia="宋体" w:cs="宋体"/>
          <w:b/>
          <w:color w:val="000000"/>
          <w:sz w:val="21"/>
          <w:szCs w:val="21"/>
          <w:highlight w:val="none"/>
        </w:rPr>
      </w:pPr>
    </w:p>
    <w:p>
      <w:pPr>
        <w:pStyle w:val="9"/>
        <w:overflowPunct w:val="0"/>
        <w:ind w:firstLine="0"/>
        <w:jc w:val="both"/>
        <w:rPr>
          <w:rFonts w:hint="eastAsia" w:ascii="宋体" w:hAnsi="宋体" w:eastAsia="宋体" w:cs="宋体"/>
          <w:b/>
          <w:color w:val="000000"/>
          <w:sz w:val="32"/>
          <w:szCs w:val="32"/>
          <w:highlight w:val="none"/>
          <w:lang w:eastAsia="zh-CN"/>
        </w:rPr>
      </w:pPr>
    </w:p>
    <w:p>
      <w:pPr>
        <w:pStyle w:val="9"/>
        <w:overflowPunct w:val="0"/>
        <w:ind w:firstLine="0"/>
        <w:jc w:val="both"/>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十一、投标</w:t>
      </w:r>
      <w:r>
        <w:rPr>
          <w:rFonts w:hint="eastAsia" w:ascii="宋体" w:hAnsi="宋体" w:eastAsia="宋体" w:cs="宋体"/>
          <w:b/>
          <w:color w:val="000000"/>
          <w:sz w:val="32"/>
          <w:szCs w:val="32"/>
          <w:highlight w:val="none"/>
        </w:rPr>
        <w:t>文件</w:t>
      </w:r>
      <w:r>
        <w:rPr>
          <w:rFonts w:hint="eastAsia" w:ascii="宋体" w:hAnsi="宋体" w:eastAsia="宋体" w:cs="宋体"/>
          <w:b/>
          <w:color w:val="000000"/>
          <w:sz w:val="32"/>
          <w:szCs w:val="32"/>
          <w:highlight w:val="none"/>
          <w:lang w:eastAsia="zh-CN"/>
        </w:rPr>
        <w:t>声明函</w:t>
      </w:r>
    </w:p>
    <w:p>
      <w:pPr>
        <w:pStyle w:val="9"/>
        <w:overflowPunct w:val="0"/>
        <w:ind w:firstLine="0"/>
        <w:rPr>
          <w:rFonts w:hint="eastAsia" w:ascii="宋体" w:hAnsi="宋体" w:eastAsia="宋体" w:cs="宋体"/>
          <w:b/>
          <w:color w:val="000000"/>
          <w:sz w:val="21"/>
          <w:szCs w:val="21"/>
          <w:highlight w:val="none"/>
        </w:rPr>
      </w:pPr>
    </w:p>
    <w:p>
      <w:pPr>
        <w:pStyle w:val="9"/>
        <w:overflowPunct w:val="0"/>
        <w:ind w:firstLine="0"/>
        <w:rPr>
          <w:rFonts w:hint="eastAsia" w:ascii="宋体" w:hAnsi="宋体" w:eastAsia="宋体" w:cs="宋体"/>
          <w:b/>
          <w:color w:val="000000"/>
          <w:sz w:val="21"/>
          <w:szCs w:val="21"/>
          <w:highlight w:val="none"/>
        </w:rPr>
      </w:pPr>
    </w:p>
    <w:p>
      <w:pPr>
        <w:pStyle w:val="9"/>
        <w:overflowPunct w:val="0"/>
        <w:ind w:firstLine="0"/>
        <w:rPr>
          <w:rFonts w:hint="eastAsia" w:ascii="宋体" w:hAnsi="宋体" w:eastAsia="宋体" w:cs="宋体"/>
          <w:color w:val="000000"/>
          <w:sz w:val="21"/>
          <w:szCs w:val="21"/>
          <w:highlight w:val="none"/>
        </w:rPr>
      </w:pPr>
    </w:p>
    <w:p>
      <w:pPr>
        <w:pStyle w:val="9"/>
        <w:overflowPunct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w:t>
      </w:r>
      <w:r>
        <w:rPr>
          <w:rFonts w:hint="eastAsia" w:ascii="宋体" w:hAnsi="宋体" w:eastAsia="宋体" w:cs="宋体"/>
          <w:color w:val="000000"/>
          <w:sz w:val="24"/>
          <w:szCs w:val="24"/>
          <w:highlight w:val="none"/>
          <w:lang w:eastAsia="zh-CN"/>
        </w:rPr>
        <w:t>投标</w:t>
      </w:r>
      <w:r>
        <w:rPr>
          <w:rFonts w:hint="eastAsia" w:ascii="宋体" w:hAnsi="宋体" w:eastAsia="宋体" w:cs="宋体"/>
          <w:color w:val="000000"/>
          <w:sz w:val="24"/>
          <w:szCs w:val="24"/>
          <w:highlight w:val="none"/>
        </w:rPr>
        <w:t>文件的声明函</w:t>
      </w:r>
    </w:p>
    <w:p>
      <w:pPr>
        <w:pStyle w:val="9"/>
        <w:overflowPunct w:val="0"/>
        <w:jc w:val="center"/>
        <w:rPr>
          <w:rFonts w:hint="eastAsia" w:ascii="宋体" w:hAnsi="宋体" w:eastAsia="宋体" w:cs="宋体"/>
          <w:color w:val="000000"/>
          <w:sz w:val="24"/>
          <w:szCs w:val="24"/>
          <w:highlight w:val="none"/>
        </w:rPr>
      </w:pPr>
    </w:p>
    <w:p>
      <w:pPr>
        <w:pStyle w:val="9"/>
        <w:overflowPunct w:val="0"/>
        <w:spacing w:line="400" w:lineRule="exact"/>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9"/>
        <w:overflowPunct w:val="0"/>
        <w:spacing w:line="400" w:lineRule="exact"/>
        <w:ind w:firstLine="6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本公司愿就</w:t>
      </w:r>
      <w:r>
        <w:rPr>
          <w:rFonts w:hint="eastAsia" w:ascii="宋体" w:hAnsi="宋体" w:eastAsia="宋体" w:cs="宋体"/>
          <w:color w:val="000000"/>
          <w:sz w:val="24"/>
          <w:szCs w:val="24"/>
          <w:highlight w:val="none"/>
          <w:lang w:eastAsia="zh-CN"/>
        </w:rPr>
        <w:t>新疆毅峰工程项目管理有限公司</w:t>
      </w:r>
      <w:r>
        <w:rPr>
          <w:rFonts w:hint="eastAsia" w:ascii="宋体" w:hAnsi="宋体" w:eastAsia="宋体" w:cs="宋体"/>
          <w:color w:val="000000"/>
          <w:sz w:val="24"/>
          <w:szCs w:val="24"/>
          <w:highlight w:val="none"/>
        </w:rPr>
        <w:t>组织，采购人为</w:t>
      </w:r>
      <w:r>
        <w:rPr>
          <w:rFonts w:hint="eastAsia" w:ascii="宋体" w:hAnsi="宋体" w:eastAsia="宋体" w:cs="宋体"/>
          <w:color w:val="000000"/>
          <w:sz w:val="24"/>
          <w:szCs w:val="24"/>
          <w:highlight w:val="none"/>
          <w:lang w:eastAsia="zh-CN"/>
        </w:rPr>
        <w:t>霍城县水利局</w:t>
      </w:r>
      <w:r>
        <w:rPr>
          <w:rFonts w:hint="eastAsia" w:ascii="宋体" w:hAnsi="宋体" w:eastAsia="宋体" w:cs="宋体"/>
          <w:color w:val="000000"/>
          <w:sz w:val="24"/>
          <w:szCs w:val="24"/>
          <w:highlight w:val="none"/>
        </w:rPr>
        <w:t>采购的编号为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号的招标活动进行投标。本公司所提交的投标文件中所有关于投标资格的文件、证明和陈述均是真实的、准确的。若与真实情况不符，本公司愿意承担由此而产生的一切后果。</w:t>
      </w:r>
    </w:p>
    <w:p>
      <w:pPr>
        <w:pStyle w:val="9"/>
        <w:overflowPunct w:val="0"/>
        <w:spacing w:line="400" w:lineRule="exact"/>
        <w:rPr>
          <w:rFonts w:hint="eastAsia" w:ascii="宋体" w:hAnsi="宋体" w:eastAsia="宋体" w:cs="宋体"/>
          <w:color w:val="000000"/>
          <w:sz w:val="21"/>
          <w:szCs w:val="21"/>
          <w:highlight w:val="none"/>
        </w:rPr>
      </w:pPr>
    </w:p>
    <w:p>
      <w:pPr>
        <w:pStyle w:val="9"/>
        <w:overflowPunct w:val="0"/>
        <w:spacing w:line="400" w:lineRule="exact"/>
        <w:rPr>
          <w:rFonts w:hint="eastAsia" w:ascii="宋体" w:hAnsi="宋体" w:eastAsia="宋体" w:cs="宋体"/>
          <w:color w:val="000000"/>
          <w:sz w:val="21"/>
          <w:szCs w:val="21"/>
          <w:highlight w:val="none"/>
        </w:rPr>
      </w:pPr>
    </w:p>
    <w:p>
      <w:pPr>
        <w:pStyle w:val="9"/>
        <w:overflowPunct w:val="0"/>
        <w:spacing w:line="400" w:lineRule="exact"/>
        <w:rPr>
          <w:rFonts w:hint="eastAsia" w:ascii="宋体" w:hAnsi="宋体" w:eastAsia="宋体" w:cs="宋体"/>
          <w:color w:val="000000"/>
          <w:sz w:val="21"/>
          <w:szCs w:val="21"/>
          <w:highlight w:val="none"/>
        </w:rPr>
      </w:pPr>
    </w:p>
    <w:p>
      <w:pPr>
        <w:pStyle w:val="9"/>
        <w:overflowPunct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ab/>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4"/>
          <w:szCs w:val="24"/>
          <w:highlight w:val="none"/>
        </w:rPr>
        <w:t xml:space="preserve">     （投标方）法定代表人签字：</w:t>
      </w:r>
    </w:p>
    <w:p>
      <w:pPr>
        <w:pStyle w:val="9"/>
        <w:overflowPunct w:val="0"/>
        <w:spacing w:line="400" w:lineRule="exact"/>
        <w:ind w:left="1700" w:firstLine="425"/>
        <w:rPr>
          <w:rFonts w:hint="eastAsia" w:ascii="宋体" w:hAnsi="宋体" w:eastAsia="宋体" w:cs="宋体"/>
          <w:color w:val="000000"/>
          <w:sz w:val="24"/>
          <w:szCs w:val="24"/>
          <w:highlight w:val="none"/>
        </w:rPr>
      </w:pPr>
    </w:p>
    <w:p>
      <w:pPr>
        <w:pStyle w:val="9"/>
        <w:overflowPunct w:val="0"/>
        <w:spacing w:line="400" w:lineRule="exact"/>
        <w:ind w:left="1700" w:firstLine="4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（投标方）公章：</w:t>
      </w:r>
    </w:p>
    <w:p>
      <w:pPr>
        <w:pStyle w:val="9"/>
        <w:overflowPunct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pStyle w:val="9"/>
        <w:overflowPunct w:val="0"/>
        <w:spacing w:line="400" w:lineRule="exact"/>
        <w:ind w:left="3507" w:firstLine="114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日</w:t>
      </w:r>
    </w:p>
    <w:p>
      <w:pPr>
        <w:pStyle w:val="12"/>
        <w:ind w:right="-15"/>
        <w:jc w:val="both"/>
        <w:outlineLvl w:val="1"/>
        <w:rPr>
          <w:rFonts w:hint="eastAsia" w:ascii="宋体" w:hAnsi="宋体" w:eastAsia="宋体" w:cs="宋体"/>
          <w:color w:val="000000"/>
          <w:sz w:val="32"/>
          <w:szCs w:val="32"/>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32"/>
          <w:szCs w:val="32"/>
          <w:highlight w:val="none"/>
          <w:lang w:eastAsia="zh-CN"/>
        </w:rPr>
        <w:t>十二、</w:t>
      </w:r>
      <w:r>
        <w:rPr>
          <w:rFonts w:hint="eastAsia" w:ascii="宋体" w:hAnsi="宋体" w:eastAsia="宋体" w:cs="宋体"/>
          <w:b/>
          <w:bCs/>
          <w:color w:val="000000"/>
          <w:sz w:val="32"/>
          <w:szCs w:val="32"/>
          <w:highlight w:val="none"/>
        </w:rPr>
        <w:t>项目业绩表</w:t>
      </w:r>
      <w:bookmarkEnd w:id="38"/>
      <w:bookmarkEnd w:id="39"/>
    </w:p>
    <w:p>
      <w:pPr>
        <w:spacing w:line="120" w:lineRule="exact"/>
        <w:rPr>
          <w:rFonts w:hint="eastAsia" w:ascii="宋体" w:hAnsi="宋体" w:eastAsia="宋体" w:cs="宋体"/>
          <w:color w:val="000000"/>
          <w:sz w:val="10"/>
          <w:highlight w:val="none"/>
        </w:rPr>
      </w:pPr>
    </w:p>
    <w:p>
      <w:pPr>
        <w:jc w:val="left"/>
        <w:rPr>
          <w:rFonts w:hint="eastAsia" w:ascii="宋体" w:hAnsi="宋体" w:eastAsia="宋体" w:cs="宋体"/>
          <w:color w:val="000000"/>
          <w:sz w:val="24"/>
          <w:szCs w:val="24"/>
          <w:highlight w:val="none"/>
        </w:rPr>
      </w:pPr>
    </w:p>
    <w:p>
      <w:pPr>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pPr>
        <w:jc w:val="left"/>
        <w:rPr>
          <w:rFonts w:hint="eastAsia" w:ascii="宋体" w:hAnsi="宋体" w:eastAsia="宋体" w:cs="宋体"/>
          <w:color w:val="000000"/>
          <w:sz w:val="24"/>
          <w:szCs w:val="24"/>
          <w:highlight w:val="none"/>
        </w:rPr>
      </w:pPr>
    </w:p>
    <w:tbl>
      <w:tblPr>
        <w:tblStyle w:val="20"/>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634"/>
        <w:gridCol w:w="2633"/>
        <w:gridCol w:w="1152"/>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52" w:type="dxa"/>
            <w:vAlign w:val="top"/>
          </w:tcPr>
          <w:p>
            <w:pPr>
              <w:spacing w:before="0" w:beforeAutospacing="0" w:after="0" w:afterAutospacing="0" w:line="580" w:lineRule="exact"/>
              <w:ind w:left="0" w:right="0"/>
              <w:jc w:val="center"/>
              <w:rPr>
                <w:rFonts w:hint="eastAsia" w:ascii="宋体" w:hAnsi="宋体" w:eastAsia="宋体" w:cs="宋体"/>
                <w:color w:val="000000"/>
                <w:position w:val="2"/>
                <w:sz w:val="28"/>
                <w:szCs w:val="20"/>
                <w:highlight w:val="none"/>
              </w:rPr>
            </w:pPr>
            <w:r>
              <w:rPr>
                <w:rFonts w:hint="eastAsia" w:ascii="宋体" w:hAnsi="宋体" w:eastAsia="宋体" w:cs="宋体"/>
                <w:color w:val="000000"/>
                <w:position w:val="2"/>
                <w:sz w:val="28"/>
                <w:szCs w:val="20"/>
                <w:highlight w:val="none"/>
              </w:rPr>
              <w:t>地  区</w:t>
            </w:r>
          </w:p>
        </w:tc>
        <w:tc>
          <w:tcPr>
            <w:tcW w:w="2634" w:type="dxa"/>
            <w:vAlign w:val="top"/>
          </w:tcPr>
          <w:p>
            <w:pPr>
              <w:spacing w:before="0" w:beforeAutospacing="0" w:after="0" w:afterAutospacing="0" w:line="580" w:lineRule="exact"/>
              <w:ind w:left="0" w:right="0"/>
              <w:jc w:val="center"/>
              <w:rPr>
                <w:rFonts w:hint="eastAsia" w:ascii="宋体" w:hAnsi="宋体" w:eastAsia="宋体" w:cs="宋体"/>
                <w:color w:val="000000"/>
                <w:position w:val="2"/>
                <w:sz w:val="28"/>
                <w:szCs w:val="20"/>
                <w:highlight w:val="none"/>
              </w:rPr>
            </w:pPr>
            <w:r>
              <w:rPr>
                <w:rFonts w:hint="eastAsia" w:ascii="宋体" w:hAnsi="宋体" w:eastAsia="宋体" w:cs="宋体"/>
                <w:color w:val="000000"/>
                <w:position w:val="2"/>
                <w:sz w:val="28"/>
                <w:szCs w:val="20"/>
                <w:highlight w:val="none"/>
              </w:rPr>
              <w:t>项</w:t>
            </w:r>
            <w:r>
              <w:rPr>
                <w:rFonts w:hint="eastAsia" w:ascii="宋体" w:hAnsi="宋体" w:eastAsia="宋体" w:cs="宋体"/>
                <w:color w:val="000000"/>
                <w:position w:val="2"/>
                <w:sz w:val="28"/>
                <w:szCs w:val="20"/>
                <w:highlight w:val="none"/>
                <w:lang w:val="en-US" w:eastAsia="zh-CN"/>
              </w:rPr>
              <w:t xml:space="preserve"> </w:t>
            </w:r>
            <w:r>
              <w:rPr>
                <w:rFonts w:hint="eastAsia" w:ascii="宋体" w:hAnsi="宋体" w:eastAsia="宋体" w:cs="宋体"/>
                <w:color w:val="000000"/>
                <w:position w:val="2"/>
                <w:sz w:val="28"/>
                <w:szCs w:val="20"/>
                <w:highlight w:val="none"/>
              </w:rPr>
              <w:t>目名 称</w:t>
            </w:r>
          </w:p>
        </w:tc>
        <w:tc>
          <w:tcPr>
            <w:tcW w:w="2633" w:type="dxa"/>
            <w:vAlign w:val="top"/>
          </w:tcPr>
          <w:p>
            <w:pPr>
              <w:spacing w:before="0" w:beforeAutospacing="0" w:after="0" w:afterAutospacing="0" w:line="580" w:lineRule="exact"/>
              <w:ind w:left="0" w:right="0"/>
              <w:jc w:val="center"/>
              <w:rPr>
                <w:rFonts w:hint="eastAsia" w:ascii="宋体" w:hAnsi="宋体" w:eastAsia="宋体" w:cs="宋体"/>
                <w:color w:val="000000"/>
                <w:position w:val="2"/>
                <w:sz w:val="28"/>
                <w:szCs w:val="20"/>
                <w:highlight w:val="none"/>
              </w:rPr>
            </w:pPr>
            <w:r>
              <w:rPr>
                <w:rFonts w:hint="eastAsia" w:ascii="宋体" w:hAnsi="宋体" w:eastAsia="宋体" w:cs="宋体"/>
                <w:color w:val="000000"/>
                <w:position w:val="2"/>
                <w:sz w:val="28"/>
                <w:szCs w:val="20"/>
                <w:highlight w:val="none"/>
              </w:rPr>
              <w:t>货 物 型 号</w:t>
            </w:r>
          </w:p>
        </w:tc>
        <w:tc>
          <w:tcPr>
            <w:tcW w:w="1152" w:type="dxa"/>
            <w:vAlign w:val="top"/>
          </w:tcPr>
          <w:p>
            <w:pPr>
              <w:spacing w:before="0" w:beforeAutospacing="0" w:after="0" w:afterAutospacing="0" w:line="580" w:lineRule="exact"/>
              <w:ind w:left="0" w:right="0"/>
              <w:jc w:val="center"/>
              <w:rPr>
                <w:rFonts w:hint="eastAsia" w:ascii="宋体" w:hAnsi="宋体" w:eastAsia="宋体" w:cs="宋体"/>
                <w:color w:val="000000"/>
                <w:position w:val="2"/>
                <w:sz w:val="28"/>
                <w:szCs w:val="20"/>
                <w:highlight w:val="none"/>
              </w:rPr>
            </w:pPr>
            <w:r>
              <w:rPr>
                <w:rFonts w:hint="eastAsia" w:ascii="宋体" w:hAnsi="宋体" w:eastAsia="宋体" w:cs="宋体"/>
                <w:color w:val="000000"/>
                <w:position w:val="2"/>
                <w:sz w:val="28"/>
                <w:szCs w:val="20"/>
                <w:highlight w:val="none"/>
              </w:rPr>
              <w:t>数  量</w:t>
            </w:r>
          </w:p>
        </w:tc>
        <w:tc>
          <w:tcPr>
            <w:tcW w:w="1449" w:type="dxa"/>
            <w:vAlign w:val="top"/>
          </w:tcPr>
          <w:p>
            <w:pPr>
              <w:spacing w:before="0" w:beforeAutospacing="0" w:after="0" w:afterAutospacing="0" w:line="580" w:lineRule="exact"/>
              <w:ind w:left="0" w:right="0"/>
              <w:jc w:val="center"/>
              <w:rPr>
                <w:rFonts w:hint="eastAsia" w:ascii="宋体" w:hAnsi="宋体" w:eastAsia="宋体" w:cs="宋体"/>
                <w:color w:val="000000"/>
                <w:position w:val="2"/>
                <w:sz w:val="28"/>
                <w:szCs w:val="20"/>
                <w:highlight w:val="none"/>
              </w:rPr>
            </w:pPr>
            <w:r>
              <w:rPr>
                <w:rFonts w:hint="eastAsia" w:ascii="宋体" w:hAnsi="宋体" w:eastAsia="宋体" w:cs="宋体"/>
                <w:color w:val="000000"/>
                <w:position w:val="2"/>
                <w:sz w:val="28"/>
                <w:szCs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4"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3"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449"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4"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3"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449"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4"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3"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449"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4"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3"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449"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4"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3"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449"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4"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3"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449"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4"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3"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449"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4"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2633"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152"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c>
          <w:tcPr>
            <w:tcW w:w="1449" w:type="dxa"/>
            <w:vAlign w:val="top"/>
          </w:tcPr>
          <w:p>
            <w:pPr>
              <w:spacing w:before="0" w:beforeAutospacing="0" w:after="0" w:afterAutospacing="0" w:line="580" w:lineRule="exact"/>
              <w:ind w:left="0" w:right="0"/>
              <w:rPr>
                <w:rFonts w:hint="eastAsia" w:ascii="宋体" w:hAnsi="宋体" w:eastAsia="宋体" w:cs="宋体"/>
                <w:color w:val="000000"/>
                <w:sz w:val="24"/>
                <w:szCs w:val="20"/>
                <w:highlight w:val="none"/>
              </w:rPr>
            </w:pPr>
          </w:p>
        </w:tc>
      </w:tr>
    </w:tbl>
    <w:p>
      <w:pPr>
        <w:spacing w:line="660" w:lineRule="exact"/>
        <w:rPr>
          <w:rFonts w:hint="eastAsia" w:ascii="宋体" w:hAnsi="宋体" w:eastAsia="宋体" w:cs="宋体"/>
          <w:color w:val="000000"/>
          <w:sz w:val="28"/>
          <w:highlight w:val="none"/>
        </w:rPr>
      </w:pPr>
      <w:r>
        <w:rPr>
          <w:rFonts w:hint="eastAsia" w:ascii="宋体" w:hAnsi="宋体" w:eastAsia="宋体" w:cs="宋体"/>
          <w:color w:val="000000"/>
          <w:szCs w:val="21"/>
          <w:highlight w:val="none"/>
        </w:rPr>
        <w:t>注意：附中标通知书和合同复印件</w:t>
      </w:r>
      <w:r>
        <w:rPr>
          <w:rFonts w:hint="eastAsia" w:ascii="宋体" w:hAnsi="宋体" w:eastAsia="宋体" w:cs="宋体"/>
          <w:color w:val="000000"/>
          <w:szCs w:val="21"/>
          <w:highlight w:val="none"/>
          <w:lang w:eastAsia="zh-CN"/>
        </w:rPr>
        <w:t>；开标现场需携带原件供评标委员会审查</w:t>
      </w:r>
      <w:r>
        <w:rPr>
          <w:rFonts w:hint="eastAsia" w:ascii="宋体" w:hAnsi="宋体" w:eastAsia="宋体" w:cs="宋体"/>
          <w:color w:val="000000"/>
          <w:szCs w:val="21"/>
          <w:highlight w:val="none"/>
        </w:rPr>
        <w:t>。</w:t>
      </w:r>
    </w:p>
    <w:p>
      <w:pPr>
        <w:spacing w:line="420" w:lineRule="exact"/>
        <w:ind w:firstLine="515"/>
        <w:rPr>
          <w:rFonts w:hint="eastAsia" w:ascii="宋体" w:hAnsi="宋体" w:eastAsia="宋体" w:cs="宋体"/>
          <w:color w:val="000000"/>
          <w:szCs w:val="21"/>
          <w:highlight w:val="none"/>
        </w:rPr>
      </w:pPr>
    </w:p>
    <w:p>
      <w:pPr>
        <w:spacing w:line="420" w:lineRule="exact"/>
        <w:ind w:firstLine="515"/>
        <w:rPr>
          <w:rFonts w:hint="eastAsia" w:ascii="宋体" w:hAnsi="宋体" w:eastAsia="宋体" w:cs="宋体"/>
          <w:color w:val="000000"/>
          <w:szCs w:val="21"/>
          <w:highlight w:val="none"/>
        </w:rPr>
      </w:pPr>
    </w:p>
    <w:p>
      <w:pPr>
        <w:spacing w:line="420" w:lineRule="exact"/>
        <w:ind w:firstLine="51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投标人授权代表签字：</w:t>
      </w:r>
      <w:r>
        <w:rPr>
          <w:rFonts w:hint="eastAsia" w:ascii="宋体" w:hAnsi="宋体" w:eastAsia="宋体" w:cs="宋体"/>
          <w:color w:val="000000"/>
          <w:szCs w:val="21"/>
          <w:highlight w:val="none"/>
          <w:u w:val="single"/>
        </w:rPr>
        <w:t xml:space="preserve">             </w:t>
      </w:r>
    </w:p>
    <w:p>
      <w:pPr>
        <w:spacing w:line="420" w:lineRule="exact"/>
        <w:ind w:firstLine="49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（公 章）    盖 章：</w:t>
      </w:r>
      <w:r>
        <w:rPr>
          <w:rFonts w:hint="eastAsia" w:ascii="宋体" w:hAnsi="宋体" w:eastAsia="宋体" w:cs="宋体"/>
          <w:color w:val="000000"/>
          <w:szCs w:val="21"/>
          <w:highlight w:val="none"/>
          <w:u w:val="single"/>
        </w:rPr>
        <w:t xml:space="preserve">             </w:t>
      </w:r>
    </w:p>
    <w:p>
      <w:pPr>
        <w:spacing w:line="420" w:lineRule="exact"/>
        <w:ind w:firstLine="697" w:firstLineChars="33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日  期 </w:t>
      </w:r>
      <w:r>
        <w:rPr>
          <w:rFonts w:hint="eastAsia" w:ascii="宋体" w:hAnsi="宋体" w:eastAsia="宋体" w:cs="宋体"/>
          <w:color w:val="000000"/>
          <w:szCs w:val="21"/>
          <w:highlight w:val="none"/>
          <w:u w:val="single"/>
        </w:rPr>
        <w:t xml:space="preserve">                   </w:t>
      </w:r>
    </w:p>
    <w:p>
      <w:pPr>
        <w:jc w:val="center"/>
        <w:rPr>
          <w:rFonts w:hint="eastAsia" w:ascii="宋体" w:hAnsi="宋体" w:eastAsia="宋体" w:cs="宋体"/>
          <w:color w:val="000000"/>
          <w:sz w:val="10"/>
          <w:szCs w:val="44"/>
          <w:highlight w:val="none"/>
        </w:rPr>
      </w:pPr>
    </w:p>
    <w:p>
      <w:pPr>
        <w:rPr>
          <w:rFonts w:hint="eastAsia" w:ascii="宋体" w:hAnsi="宋体" w:eastAsia="宋体" w:cs="宋体"/>
          <w:color w:val="000000"/>
          <w:highlight w:val="none"/>
        </w:rPr>
      </w:pPr>
      <w:bookmarkStart w:id="40" w:name="_Toc175541489"/>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17"/>
        <w:rPr>
          <w:rFonts w:hint="eastAsia" w:ascii="宋体" w:hAnsi="宋体" w:eastAsia="宋体" w:cs="宋体"/>
          <w:color w:val="000000"/>
          <w:highlight w:val="none"/>
        </w:rPr>
      </w:pPr>
    </w:p>
    <w:p>
      <w:pPr>
        <w:pStyle w:val="17"/>
        <w:rPr>
          <w:rFonts w:hint="eastAsia" w:ascii="宋体" w:hAnsi="宋体" w:eastAsia="宋体" w:cs="宋体"/>
          <w:color w:val="000000"/>
          <w:highlight w:val="none"/>
        </w:rPr>
      </w:pPr>
    </w:p>
    <w:p>
      <w:pPr>
        <w:rPr>
          <w:rFonts w:hint="eastAsia" w:ascii="宋体" w:hAnsi="宋体" w:eastAsia="宋体" w:cs="宋体"/>
          <w:color w:val="000000"/>
          <w:highlight w:val="none"/>
        </w:rPr>
      </w:pPr>
    </w:p>
    <w:p>
      <w:pPr>
        <w:jc w:val="center"/>
        <w:outlineLvl w:val="9"/>
        <w:rPr>
          <w:rFonts w:hint="eastAsia" w:ascii="宋体" w:hAnsi="宋体" w:eastAsia="宋体" w:cs="宋体"/>
          <w:color w:val="000000"/>
          <w:sz w:val="44"/>
          <w:szCs w:val="44"/>
          <w:highlight w:val="none"/>
        </w:rPr>
      </w:pPr>
      <w:bookmarkStart w:id="41" w:name="_Toc12158"/>
    </w:p>
    <w:p>
      <w:pPr>
        <w:spacing w:line="480" w:lineRule="exact"/>
        <w:rPr>
          <w:rFonts w:hint="eastAsia" w:ascii="宋体" w:hAnsi="宋体" w:eastAsia="宋体" w:cs="宋体"/>
          <w:b/>
          <w:bCs/>
          <w:color w:val="000000"/>
          <w:sz w:val="32"/>
          <w:szCs w:val="32"/>
          <w:highlight w:val="none"/>
        </w:rPr>
      </w:pPr>
      <w:bookmarkStart w:id="42" w:name="_Toc25651"/>
      <w:r>
        <w:rPr>
          <w:rFonts w:hint="eastAsia" w:ascii="宋体" w:hAnsi="宋体" w:eastAsia="宋体" w:cs="宋体"/>
          <w:b/>
          <w:bCs/>
          <w:color w:val="000000"/>
          <w:sz w:val="32"/>
          <w:szCs w:val="32"/>
          <w:highlight w:val="none"/>
          <w:lang w:val="en-US" w:eastAsia="zh-CN"/>
        </w:rPr>
        <w:t>十三、实施</w:t>
      </w:r>
      <w:r>
        <w:rPr>
          <w:rFonts w:hint="eastAsia" w:ascii="宋体" w:hAnsi="宋体" w:eastAsia="宋体" w:cs="宋体"/>
          <w:b/>
          <w:bCs/>
          <w:color w:val="000000"/>
          <w:sz w:val="32"/>
          <w:szCs w:val="32"/>
          <w:highlight w:val="none"/>
        </w:rPr>
        <w:t>方案</w:t>
      </w:r>
    </w:p>
    <w:p>
      <w:pPr>
        <w:spacing w:line="360" w:lineRule="auto"/>
        <w:ind w:firstLine="403" w:firstLineChars="192"/>
        <w:rPr>
          <w:rFonts w:hint="eastAsia" w:ascii="宋体" w:hAnsi="宋体" w:eastAsia="宋体" w:cs="宋体"/>
          <w:color w:val="000000"/>
          <w:szCs w:val="21"/>
          <w:highlight w:val="none"/>
        </w:rPr>
      </w:pPr>
    </w:p>
    <w:p>
      <w:pPr>
        <w:spacing w:line="360" w:lineRule="auto"/>
        <w:ind w:firstLine="403" w:firstLineChars="19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报价人应充分了解现场情况，理解设计方案，满足采购人对施工的要求，并在此基础之上完成</w:t>
      </w:r>
      <w:r>
        <w:rPr>
          <w:rFonts w:hint="eastAsia" w:ascii="宋体" w:hAnsi="宋体" w:eastAsia="宋体" w:cs="宋体"/>
          <w:color w:val="000000"/>
          <w:szCs w:val="21"/>
          <w:highlight w:val="none"/>
          <w:lang w:val="en-US" w:eastAsia="zh-CN"/>
        </w:rPr>
        <w:t>本项目</w:t>
      </w:r>
      <w:r>
        <w:rPr>
          <w:rFonts w:hint="eastAsia" w:ascii="宋体" w:hAnsi="宋体" w:eastAsia="宋体" w:cs="宋体"/>
          <w:color w:val="000000"/>
          <w:szCs w:val="21"/>
          <w:highlight w:val="none"/>
        </w:rPr>
        <w:t>的编写。</w:t>
      </w:r>
    </w:p>
    <w:p>
      <w:pPr>
        <w:spacing w:line="360" w:lineRule="auto"/>
        <w:ind w:firstLine="403" w:firstLineChars="19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报价方案应包括</w:t>
      </w:r>
      <w:r>
        <w:rPr>
          <w:rFonts w:hint="eastAsia" w:ascii="宋体" w:hAnsi="宋体" w:eastAsia="宋体" w:cs="宋体"/>
          <w:color w:val="000000"/>
          <w:szCs w:val="21"/>
          <w:highlight w:val="none"/>
          <w:lang w:eastAsia="zh-CN"/>
        </w:rPr>
        <w:t>但不限于</w:t>
      </w:r>
      <w:r>
        <w:rPr>
          <w:rFonts w:hint="eastAsia" w:ascii="宋体" w:hAnsi="宋体" w:eastAsia="宋体" w:cs="宋体"/>
          <w:color w:val="000000"/>
          <w:szCs w:val="21"/>
          <w:highlight w:val="none"/>
        </w:rPr>
        <w:t>以下内容：</w:t>
      </w:r>
    </w:p>
    <w:p>
      <w:pPr>
        <w:widowControl/>
        <w:numPr>
          <w:ilvl w:val="0"/>
          <w:numId w:val="6"/>
        </w:numPr>
        <w:wordWrap/>
        <w:adjustRightInd/>
        <w:snapToGrid/>
        <w:spacing w:line="480" w:lineRule="exact"/>
        <w:ind w:right="0"/>
        <w:jc w:val="left"/>
        <w:textAlignment w:val="auto"/>
        <w:outlineLvl w:val="9"/>
        <w:rPr>
          <w:rFonts w:hint="eastAsia" w:ascii="宋体" w:hAnsi="宋体" w:eastAsia="宋体" w:cs="宋体"/>
          <w:color w:val="000000"/>
          <w:highlight w:val="none"/>
        </w:rPr>
      </w:pPr>
      <w:r>
        <w:rPr>
          <w:rFonts w:hint="eastAsia" w:ascii="宋体" w:hAnsi="宋体" w:eastAsia="宋体" w:cs="宋体"/>
          <w:color w:val="000000"/>
          <w:highlight w:val="none"/>
        </w:rPr>
        <w:t>整体技术实施方案（包括人员安排、施工安装、调试详细方案、进度计划、工期保证措施、质量保证措施和安全、文明控制措施等。）</w:t>
      </w:r>
    </w:p>
    <w:p>
      <w:pPr>
        <w:widowControl/>
        <w:numPr>
          <w:ilvl w:val="0"/>
          <w:numId w:val="6"/>
        </w:numPr>
        <w:wordWrap/>
        <w:adjustRightInd/>
        <w:snapToGrid/>
        <w:spacing w:line="480" w:lineRule="exact"/>
        <w:ind w:right="0"/>
        <w:jc w:val="left"/>
        <w:textAlignment w:val="auto"/>
        <w:outlineLvl w:val="9"/>
        <w:rPr>
          <w:rFonts w:hint="eastAsia" w:ascii="宋体" w:hAnsi="宋体" w:eastAsia="宋体" w:cs="宋体"/>
          <w:color w:val="000000"/>
          <w:highlight w:val="none"/>
        </w:rPr>
      </w:pPr>
      <w:r>
        <w:rPr>
          <w:rFonts w:hint="eastAsia" w:ascii="宋体" w:hAnsi="宋体" w:eastAsia="宋体" w:cs="宋体"/>
          <w:color w:val="000000"/>
          <w:highlight w:val="none"/>
        </w:rPr>
        <w:t>施工组织方案、实施步骤、目标和任务及时间、人力安排、工期</w:t>
      </w:r>
    </w:p>
    <w:p>
      <w:pPr>
        <w:widowControl/>
        <w:numPr>
          <w:ilvl w:val="0"/>
          <w:numId w:val="6"/>
        </w:numPr>
        <w:wordWrap/>
        <w:adjustRightInd/>
        <w:snapToGrid/>
        <w:spacing w:line="480" w:lineRule="exact"/>
        <w:ind w:right="0"/>
        <w:jc w:val="left"/>
        <w:textAlignment w:val="auto"/>
        <w:outlineLvl w:val="9"/>
        <w:rPr>
          <w:rFonts w:hint="eastAsia" w:ascii="宋体" w:hAnsi="宋体" w:eastAsia="宋体" w:cs="宋体"/>
          <w:color w:val="000000"/>
          <w:highlight w:val="none"/>
        </w:rPr>
      </w:pPr>
      <w:r>
        <w:rPr>
          <w:rFonts w:hint="eastAsia" w:ascii="宋体" w:hAnsi="宋体" w:eastAsia="宋体" w:cs="宋体"/>
          <w:color w:val="000000"/>
          <w:highlight w:val="none"/>
        </w:rPr>
        <w:t>验收标准和实施方法</w:t>
      </w:r>
    </w:p>
    <w:p>
      <w:pPr>
        <w:widowControl/>
        <w:numPr>
          <w:ilvl w:val="0"/>
          <w:numId w:val="6"/>
        </w:numPr>
        <w:wordWrap/>
        <w:adjustRightInd/>
        <w:snapToGrid/>
        <w:spacing w:line="480" w:lineRule="exact"/>
        <w:ind w:right="0"/>
        <w:jc w:val="left"/>
        <w:textAlignment w:val="auto"/>
        <w:outlineLvl w:val="9"/>
        <w:rPr>
          <w:rFonts w:hint="eastAsia" w:ascii="宋体" w:hAnsi="宋体" w:eastAsia="宋体" w:cs="宋体"/>
          <w:color w:val="000000"/>
          <w:highlight w:val="none"/>
        </w:rPr>
      </w:pPr>
      <w:r>
        <w:rPr>
          <w:rFonts w:hint="eastAsia" w:ascii="宋体" w:hAnsi="宋体" w:eastAsia="宋体" w:cs="宋体"/>
          <w:color w:val="000000"/>
          <w:highlight w:val="none"/>
        </w:rPr>
        <w:t>售后服务和培训方案</w:t>
      </w:r>
    </w:p>
    <w:p>
      <w:pPr>
        <w:widowControl/>
        <w:numPr>
          <w:ilvl w:val="0"/>
          <w:numId w:val="6"/>
        </w:numPr>
        <w:wordWrap/>
        <w:adjustRightInd/>
        <w:snapToGrid/>
        <w:spacing w:line="480" w:lineRule="exact"/>
        <w:ind w:left="425" w:leftChars="0" w:right="0" w:hanging="425" w:firstLineChars="0"/>
        <w:jc w:val="left"/>
        <w:textAlignment w:val="auto"/>
        <w:outlineLvl w:val="9"/>
        <w:rPr>
          <w:rFonts w:hint="eastAsia" w:ascii="宋体" w:hAnsi="宋体" w:eastAsia="宋体" w:cs="宋体"/>
          <w:color w:val="000000"/>
          <w:szCs w:val="21"/>
          <w:highlight w:val="none"/>
        </w:rPr>
      </w:pPr>
      <w:r>
        <w:rPr>
          <w:rFonts w:hint="eastAsia" w:ascii="宋体" w:hAnsi="宋体" w:eastAsia="宋体" w:cs="宋体"/>
          <w:color w:val="000000"/>
          <w:highlight w:val="none"/>
        </w:rPr>
        <w:t>报价人认为其它必要的内容</w:t>
      </w: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center"/>
        <w:outlineLvl w:val="0"/>
        <w:rPr>
          <w:rFonts w:hint="eastAsia" w:ascii="宋体" w:hAnsi="宋体" w:eastAsia="宋体" w:cs="宋体"/>
          <w:color w:val="000000"/>
          <w:sz w:val="44"/>
          <w:szCs w:val="44"/>
          <w:highlight w:val="none"/>
        </w:rPr>
      </w:pPr>
    </w:p>
    <w:p>
      <w:pPr>
        <w:jc w:val="both"/>
        <w:outlineLvl w:val="0"/>
        <w:rPr>
          <w:rFonts w:hint="eastAsia" w:ascii="宋体" w:hAnsi="宋体" w:eastAsia="宋体" w:cs="宋体"/>
          <w:color w:val="000000"/>
          <w:sz w:val="44"/>
          <w:szCs w:val="44"/>
          <w:highlight w:val="none"/>
        </w:rPr>
      </w:pPr>
    </w:p>
    <w:p>
      <w:pPr>
        <w:spacing w:line="480" w:lineRule="exact"/>
        <w:rPr>
          <w:rFonts w:hint="eastAsia" w:ascii="宋体" w:hAnsi="宋体" w:eastAsia="宋体" w:cs="宋体"/>
          <w:b/>
          <w:bCs/>
          <w:color w:val="000000"/>
          <w:sz w:val="32"/>
          <w:szCs w:val="32"/>
          <w:highlight w:val="none"/>
        </w:rPr>
      </w:pPr>
      <w:bookmarkStart w:id="43" w:name="_Toc42956287"/>
      <w:bookmarkStart w:id="44" w:name="_Toc42956290"/>
      <w:r>
        <w:rPr>
          <w:rFonts w:hint="eastAsia" w:ascii="宋体" w:hAnsi="宋体" w:eastAsia="宋体" w:cs="宋体"/>
          <w:b/>
          <w:bCs/>
          <w:color w:val="000000"/>
          <w:sz w:val="32"/>
          <w:szCs w:val="32"/>
          <w:highlight w:val="none"/>
          <w:lang w:eastAsia="zh-CN"/>
        </w:rPr>
        <w:t>十四、</w:t>
      </w:r>
      <w:r>
        <w:rPr>
          <w:rFonts w:hint="eastAsia" w:ascii="宋体" w:hAnsi="宋体" w:eastAsia="宋体" w:cs="宋体"/>
          <w:b/>
          <w:bCs/>
          <w:color w:val="000000"/>
          <w:sz w:val="32"/>
          <w:szCs w:val="32"/>
          <w:highlight w:val="none"/>
        </w:rPr>
        <w:t xml:space="preserve">  </w:t>
      </w:r>
      <w:bookmarkEnd w:id="43"/>
      <w:bookmarkEnd w:id="44"/>
      <w:r>
        <w:rPr>
          <w:rFonts w:hint="eastAsia" w:ascii="宋体" w:hAnsi="宋体" w:eastAsia="宋体" w:cs="宋体"/>
          <w:b/>
          <w:bCs/>
          <w:color w:val="000000"/>
          <w:sz w:val="32"/>
          <w:szCs w:val="32"/>
          <w:highlight w:val="none"/>
        </w:rPr>
        <w:t>本项目管理技术人员配置</w:t>
      </w:r>
    </w:p>
    <w:p>
      <w:pPr>
        <w:spacing w:line="360" w:lineRule="auto"/>
        <w:jc w:val="center"/>
        <w:rPr>
          <w:rFonts w:hint="eastAsia" w:ascii="宋体" w:hAnsi="宋体" w:eastAsia="宋体" w:cs="宋体"/>
          <w:b/>
          <w:color w:val="000000"/>
          <w:sz w:val="28"/>
          <w:highlight w:val="none"/>
        </w:rPr>
      </w:pPr>
    </w:p>
    <w:p>
      <w:pPr>
        <w:spacing w:after="120"/>
        <w:ind w:left="420" w:left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（1）本项目的项目负责人简历表</w:t>
      </w:r>
    </w:p>
    <w:p>
      <w:pPr>
        <w:spacing w:line="360" w:lineRule="auto"/>
        <w:ind w:left="1245" w:leftChars="342" w:hanging="527" w:hangingChars="25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项目负责人简历表</w:t>
      </w:r>
    </w:p>
    <w:tbl>
      <w:tblPr>
        <w:tblStyle w:val="20"/>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姓名</w:t>
            </w:r>
          </w:p>
        </w:tc>
        <w:tc>
          <w:tcPr>
            <w:tcW w:w="1773"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07"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性别</w:t>
            </w:r>
          </w:p>
        </w:tc>
        <w:tc>
          <w:tcPr>
            <w:tcW w:w="1658"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685"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年龄</w:t>
            </w:r>
          </w:p>
        </w:tc>
        <w:tc>
          <w:tcPr>
            <w:tcW w:w="134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职务</w:t>
            </w:r>
          </w:p>
        </w:tc>
        <w:tc>
          <w:tcPr>
            <w:tcW w:w="1773"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07"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职称</w:t>
            </w:r>
          </w:p>
        </w:tc>
        <w:tc>
          <w:tcPr>
            <w:tcW w:w="1658"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685"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学历</w:t>
            </w:r>
          </w:p>
        </w:tc>
        <w:tc>
          <w:tcPr>
            <w:tcW w:w="134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参加工作时间</w:t>
            </w:r>
          </w:p>
        </w:tc>
        <w:tc>
          <w:tcPr>
            <w:tcW w:w="2845" w:type="dxa"/>
            <w:gridSpan w:val="4"/>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684"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从事项目经理年限</w:t>
            </w:r>
          </w:p>
        </w:tc>
        <w:tc>
          <w:tcPr>
            <w:tcW w:w="134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具有认证资质</w:t>
            </w:r>
          </w:p>
        </w:tc>
        <w:tc>
          <w:tcPr>
            <w:tcW w:w="6877" w:type="dxa"/>
            <w:gridSpan w:val="8"/>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服务单位</w:t>
            </w:r>
          </w:p>
        </w:tc>
        <w:tc>
          <w:tcPr>
            <w:tcW w:w="2103"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项目名称</w:t>
            </w:r>
          </w:p>
        </w:tc>
        <w:tc>
          <w:tcPr>
            <w:tcW w:w="2112"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服务内容</w:t>
            </w:r>
          </w:p>
        </w:tc>
        <w:tc>
          <w:tcPr>
            <w:tcW w:w="1830"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完成日期</w:t>
            </w:r>
          </w:p>
        </w:tc>
        <w:tc>
          <w:tcPr>
            <w:tcW w:w="134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103"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112"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830"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4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103"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112"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830"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4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103"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112" w:type="dxa"/>
            <w:gridSpan w:val="3"/>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830" w:type="dxa"/>
            <w:gridSpan w:val="2"/>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4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bl>
    <w:p>
      <w:pPr>
        <w:spacing w:line="480" w:lineRule="exac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注：</w:t>
      </w:r>
      <w:r>
        <w:rPr>
          <w:rFonts w:hint="eastAsia" w:ascii="宋体" w:hAnsi="宋体" w:eastAsia="宋体" w:cs="宋体"/>
          <w:color w:val="000000"/>
          <w:highlight w:val="none"/>
        </w:rPr>
        <w:t>1）附项目负责人的证书</w:t>
      </w:r>
    </w:p>
    <w:p>
      <w:pPr>
        <w:spacing w:line="480" w:lineRule="exact"/>
        <w:ind w:firstLine="315" w:firstLineChars="150"/>
        <w:rPr>
          <w:rFonts w:hint="eastAsia" w:ascii="宋体" w:hAnsi="宋体" w:eastAsia="宋体" w:cs="宋体"/>
          <w:color w:val="000000"/>
          <w:highlight w:val="none"/>
        </w:rPr>
      </w:pPr>
      <w:r>
        <w:rPr>
          <w:rFonts w:hint="eastAsia" w:ascii="宋体" w:hAnsi="宋体" w:eastAsia="宋体" w:cs="宋体"/>
          <w:color w:val="000000"/>
          <w:highlight w:val="none"/>
        </w:rPr>
        <w:t>2）要求项目负责人专注于本项目的实施和管理，在项目实施过程中，不能任意更换。</w:t>
      </w:r>
    </w:p>
    <w:p>
      <w:pPr>
        <w:spacing w:after="120"/>
        <w:ind w:left="420" w:leftChars="200"/>
        <w:rPr>
          <w:rFonts w:hint="eastAsia" w:ascii="宋体" w:hAnsi="宋体" w:eastAsia="宋体" w:cs="宋体"/>
          <w:b/>
          <w:color w:val="000000"/>
          <w:szCs w:val="21"/>
          <w:highlight w:val="none"/>
        </w:rPr>
      </w:pPr>
    </w:p>
    <w:p>
      <w:pPr>
        <w:spacing w:after="120"/>
        <w:ind w:left="420" w:left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（2）本项目实施技术服务人员情况表</w:t>
      </w:r>
    </w:p>
    <w:p>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参加本项目的实施技术服务人员情况表</w:t>
      </w:r>
    </w:p>
    <w:tbl>
      <w:tblPr>
        <w:tblStyle w:val="20"/>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spacing w:before="0" w:beforeAutospacing="0" w:after="0" w:afterAutospacing="0"/>
              <w:ind w:left="0" w:right="0"/>
              <w:jc w:val="center"/>
              <w:rPr>
                <w:rFonts w:hint="eastAsia" w:ascii="宋体" w:hAnsi="宋体" w:eastAsia="宋体" w:cs="宋体"/>
                <w:b/>
                <w:color w:val="000000"/>
                <w:sz w:val="20"/>
                <w:szCs w:val="21"/>
                <w:highlight w:val="none"/>
              </w:rPr>
            </w:pPr>
            <w:r>
              <w:rPr>
                <w:rFonts w:hint="eastAsia" w:ascii="宋体" w:hAnsi="宋体" w:eastAsia="宋体" w:cs="宋体"/>
                <w:b/>
                <w:color w:val="000000"/>
                <w:sz w:val="20"/>
                <w:szCs w:val="21"/>
                <w:highlight w:val="none"/>
              </w:rPr>
              <w:t>序号</w:t>
            </w:r>
          </w:p>
        </w:tc>
        <w:tc>
          <w:tcPr>
            <w:tcW w:w="1673" w:type="dxa"/>
            <w:vAlign w:val="center"/>
          </w:tcPr>
          <w:p>
            <w:pPr>
              <w:spacing w:before="0" w:beforeAutospacing="0" w:after="0" w:afterAutospacing="0"/>
              <w:ind w:left="0" w:right="0"/>
              <w:jc w:val="center"/>
              <w:rPr>
                <w:rFonts w:hint="eastAsia" w:ascii="宋体" w:hAnsi="宋体" w:eastAsia="宋体" w:cs="宋体"/>
                <w:b/>
                <w:color w:val="000000"/>
                <w:sz w:val="20"/>
                <w:szCs w:val="21"/>
                <w:highlight w:val="none"/>
              </w:rPr>
            </w:pPr>
            <w:r>
              <w:rPr>
                <w:rFonts w:hint="eastAsia" w:ascii="宋体" w:hAnsi="宋体" w:eastAsia="宋体" w:cs="宋体"/>
                <w:b/>
                <w:color w:val="000000"/>
                <w:sz w:val="20"/>
                <w:szCs w:val="21"/>
                <w:highlight w:val="none"/>
              </w:rPr>
              <w:t>姓名</w:t>
            </w:r>
          </w:p>
        </w:tc>
        <w:tc>
          <w:tcPr>
            <w:tcW w:w="1260" w:type="dxa"/>
            <w:vAlign w:val="center"/>
          </w:tcPr>
          <w:p>
            <w:pPr>
              <w:spacing w:before="0" w:beforeAutospacing="0" w:after="0" w:afterAutospacing="0"/>
              <w:ind w:left="0" w:right="0"/>
              <w:jc w:val="center"/>
              <w:rPr>
                <w:rFonts w:hint="eastAsia" w:ascii="宋体" w:hAnsi="宋体" w:eastAsia="宋体" w:cs="宋体"/>
                <w:b/>
                <w:color w:val="000000"/>
                <w:sz w:val="20"/>
                <w:szCs w:val="21"/>
                <w:highlight w:val="none"/>
              </w:rPr>
            </w:pPr>
            <w:r>
              <w:rPr>
                <w:rFonts w:hint="eastAsia" w:ascii="宋体" w:hAnsi="宋体" w:eastAsia="宋体" w:cs="宋体"/>
                <w:b/>
                <w:color w:val="000000"/>
                <w:sz w:val="20"/>
                <w:szCs w:val="21"/>
                <w:highlight w:val="none"/>
              </w:rPr>
              <w:t>部门</w:t>
            </w:r>
          </w:p>
        </w:tc>
        <w:tc>
          <w:tcPr>
            <w:tcW w:w="1470" w:type="dxa"/>
            <w:vAlign w:val="center"/>
          </w:tcPr>
          <w:p>
            <w:pPr>
              <w:spacing w:before="0" w:beforeAutospacing="0" w:after="0" w:afterAutospacing="0"/>
              <w:ind w:left="0" w:right="0"/>
              <w:jc w:val="center"/>
              <w:rPr>
                <w:rFonts w:hint="eastAsia" w:ascii="宋体" w:hAnsi="宋体" w:eastAsia="宋体" w:cs="宋体"/>
                <w:b/>
                <w:color w:val="000000"/>
                <w:sz w:val="20"/>
                <w:szCs w:val="21"/>
                <w:highlight w:val="none"/>
              </w:rPr>
            </w:pPr>
            <w:r>
              <w:rPr>
                <w:rFonts w:hint="eastAsia" w:ascii="宋体" w:hAnsi="宋体" w:eastAsia="宋体" w:cs="宋体"/>
                <w:b/>
                <w:color w:val="000000"/>
                <w:sz w:val="20"/>
                <w:szCs w:val="21"/>
                <w:highlight w:val="none"/>
              </w:rPr>
              <w:t>职务</w:t>
            </w:r>
          </w:p>
        </w:tc>
        <w:tc>
          <w:tcPr>
            <w:tcW w:w="1365" w:type="dxa"/>
            <w:vAlign w:val="center"/>
          </w:tcPr>
          <w:p>
            <w:pPr>
              <w:spacing w:before="0" w:beforeAutospacing="0" w:after="0" w:afterAutospacing="0"/>
              <w:ind w:left="0" w:right="0"/>
              <w:jc w:val="center"/>
              <w:rPr>
                <w:rFonts w:hint="eastAsia" w:ascii="宋体" w:hAnsi="宋体" w:eastAsia="宋体" w:cs="宋体"/>
                <w:b/>
                <w:color w:val="000000"/>
                <w:sz w:val="20"/>
                <w:szCs w:val="21"/>
                <w:highlight w:val="none"/>
              </w:rPr>
            </w:pPr>
            <w:r>
              <w:rPr>
                <w:rFonts w:hint="eastAsia" w:ascii="宋体" w:hAnsi="宋体" w:eastAsia="宋体" w:cs="宋体"/>
                <w:b/>
                <w:color w:val="000000"/>
                <w:sz w:val="20"/>
                <w:szCs w:val="21"/>
                <w:highlight w:val="none"/>
              </w:rPr>
              <w:t>本项目岗位及职责</w:t>
            </w:r>
          </w:p>
        </w:tc>
        <w:tc>
          <w:tcPr>
            <w:tcW w:w="2302" w:type="dxa"/>
            <w:vAlign w:val="center"/>
          </w:tcPr>
          <w:p>
            <w:pPr>
              <w:spacing w:before="0" w:beforeAutospacing="0" w:after="0" w:afterAutospacing="0"/>
              <w:ind w:left="0" w:right="0"/>
              <w:jc w:val="center"/>
              <w:rPr>
                <w:rFonts w:hint="eastAsia" w:ascii="宋体" w:hAnsi="宋体" w:eastAsia="宋体" w:cs="宋体"/>
                <w:b/>
                <w:color w:val="000000"/>
                <w:sz w:val="20"/>
                <w:szCs w:val="21"/>
                <w:highlight w:val="none"/>
              </w:rPr>
            </w:pPr>
            <w:r>
              <w:rPr>
                <w:rFonts w:hint="eastAsia" w:ascii="宋体" w:hAnsi="宋体" w:eastAsia="宋体" w:cs="宋体"/>
                <w:b/>
                <w:color w:val="000000"/>
                <w:sz w:val="20"/>
                <w:szCs w:val="21"/>
                <w:highlight w:val="none"/>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1</w:t>
            </w:r>
          </w:p>
        </w:tc>
        <w:tc>
          <w:tcPr>
            <w:tcW w:w="1673"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26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47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65"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302"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2</w:t>
            </w:r>
          </w:p>
        </w:tc>
        <w:tc>
          <w:tcPr>
            <w:tcW w:w="1673"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26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47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65"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302"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3</w:t>
            </w:r>
          </w:p>
        </w:tc>
        <w:tc>
          <w:tcPr>
            <w:tcW w:w="1673"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26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47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65"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302"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r>
              <w:rPr>
                <w:rFonts w:hint="eastAsia" w:ascii="宋体" w:hAnsi="宋体" w:eastAsia="宋体" w:cs="宋体"/>
                <w:color w:val="000000"/>
                <w:sz w:val="20"/>
                <w:szCs w:val="21"/>
                <w:highlight w:val="none"/>
              </w:rPr>
              <w:t>….</w:t>
            </w:r>
          </w:p>
        </w:tc>
        <w:tc>
          <w:tcPr>
            <w:tcW w:w="1673"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26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470"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1365"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c>
          <w:tcPr>
            <w:tcW w:w="2302" w:type="dxa"/>
            <w:vAlign w:val="center"/>
          </w:tcPr>
          <w:p>
            <w:pPr>
              <w:spacing w:before="0" w:beforeAutospacing="0" w:after="0" w:afterAutospacing="0"/>
              <w:ind w:left="0" w:right="0"/>
              <w:jc w:val="center"/>
              <w:rPr>
                <w:rFonts w:hint="eastAsia" w:ascii="宋体" w:hAnsi="宋体" w:eastAsia="宋体" w:cs="宋体"/>
                <w:color w:val="000000"/>
                <w:sz w:val="20"/>
                <w:szCs w:val="21"/>
                <w:highlight w:val="none"/>
              </w:rPr>
            </w:pPr>
          </w:p>
        </w:tc>
      </w:tr>
    </w:tbl>
    <w:p>
      <w:pPr>
        <w:spacing w:line="480" w:lineRule="exact"/>
        <w:ind w:left="930" w:hanging="930" w:hangingChars="441"/>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备注</w:t>
      </w:r>
      <w:r>
        <w:rPr>
          <w:rFonts w:hint="eastAsia" w:ascii="宋体" w:hAnsi="宋体" w:eastAsia="宋体" w:cs="宋体"/>
          <w:color w:val="000000"/>
          <w:szCs w:val="21"/>
          <w:highlight w:val="none"/>
        </w:rPr>
        <w:t>：（1）提供所有参与本项目人员的相应毕业证书、身份证明等材料的复印件；</w:t>
      </w:r>
    </w:p>
    <w:p>
      <w:pPr>
        <w:spacing w:line="480" w:lineRule="exact"/>
        <w:ind w:left="930" w:hanging="930" w:hangingChars="441"/>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xml:space="preserve">  </w:t>
      </w:r>
      <w:r>
        <w:rPr>
          <w:rFonts w:hint="eastAsia" w:ascii="宋体" w:hAnsi="宋体" w:eastAsia="宋体" w:cs="宋体"/>
          <w:color w:val="000000"/>
          <w:szCs w:val="21"/>
          <w:highlight w:val="none"/>
        </w:rPr>
        <w:t xml:space="preserve"> </w:t>
      </w:r>
    </w:p>
    <w:p>
      <w:p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000000"/>
          <w:highlight w:val="none"/>
        </w:rPr>
      </w:pPr>
      <w:r>
        <w:rPr>
          <w:rFonts w:hint="eastAsia" w:ascii="宋体" w:hAnsi="宋体" w:eastAsia="宋体" w:cs="宋体"/>
          <w:color w:val="000000"/>
          <w:highlight w:val="none"/>
        </w:rPr>
        <w:t>报价人（公章）：</w:t>
      </w:r>
    </w:p>
    <w:p>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000000"/>
          <w:highlight w:val="none"/>
        </w:rPr>
      </w:pPr>
    </w:p>
    <w:p>
      <w:pPr>
        <w:tabs>
          <w:tab w:val="left" w:pos="676"/>
          <w:tab w:val="left" w:pos="2330"/>
          <w:tab w:val="left" w:pos="9230"/>
        </w:tabs>
        <w:autoSpaceDE w:val="0"/>
        <w:autoSpaceDN w:val="0"/>
        <w:adjustRightInd w:val="0"/>
        <w:spacing w:line="480" w:lineRule="exact"/>
        <w:ind w:left="4700" w:leftChars="2238"/>
        <w:rPr>
          <w:rFonts w:hint="eastAsia" w:ascii="宋体" w:hAnsi="宋体" w:eastAsia="宋体" w:cs="宋体"/>
          <w:color w:val="000000"/>
          <w:highlight w:val="none"/>
        </w:rPr>
      </w:pPr>
      <w:r>
        <w:rPr>
          <w:rFonts w:hint="eastAsia" w:ascii="宋体" w:hAnsi="宋体" w:eastAsia="宋体" w:cs="宋体"/>
          <w:color w:val="000000"/>
          <w:highlight w:val="none"/>
        </w:rPr>
        <w:t>授权代表（签名）：</w:t>
      </w:r>
    </w:p>
    <w:p>
      <w:pPr>
        <w:pStyle w:val="12"/>
        <w:spacing w:line="480" w:lineRule="exact"/>
        <w:jc w:val="left"/>
        <w:rPr>
          <w:rFonts w:hint="eastAsia" w:ascii="宋体" w:hAnsi="宋体" w:eastAsia="宋体" w:cs="宋体"/>
          <w:color w:val="000000"/>
          <w:highlight w:val="none"/>
          <w:lang w:eastAsia="zh-CN"/>
        </w:rPr>
        <w:sectPr>
          <w:pgSz w:w="11905" w:h="16838"/>
          <w:pgMar w:top="1134" w:right="1134" w:bottom="1134" w:left="1134" w:header="964" w:footer="1191" w:gutter="0"/>
          <w:pgNumType w:fmt="decimal"/>
          <w:cols w:space="0" w:num="1"/>
          <w:titlePg/>
          <w:rtlGutter w:val="0"/>
          <w:docGrid w:type="lines" w:linePitch="321" w:charSpace="0"/>
        </w:sectPr>
      </w:pPr>
    </w:p>
    <w:p>
      <w:pPr>
        <w:jc w:val="center"/>
        <w:outlineLvl w:val="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第三部分  合同条款</w:t>
      </w:r>
      <w:bookmarkEnd w:id="40"/>
      <w:bookmarkEnd w:id="41"/>
      <w:bookmarkEnd w:id="42"/>
    </w:p>
    <w:p>
      <w:pPr>
        <w:jc w:val="center"/>
        <w:rPr>
          <w:rFonts w:hint="eastAsia" w:ascii="宋体" w:hAnsi="宋体" w:eastAsia="宋体" w:cs="宋体"/>
          <w:color w:val="000000"/>
          <w:sz w:val="18"/>
          <w:szCs w:val="18"/>
          <w:highlight w:val="none"/>
        </w:rPr>
      </w:pPr>
    </w:p>
    <w:p>
      <w:pPr>
        <w:numPr>
          <w:ilvl w:val="0"/>
          <w:numId w:val="7"/>
        </w:numPr>
        <w:spacing w:line="480" w:lineRule="exact"/>
        <w:ind w:firstLine="280" w:firstLineChars="100"/>
        <w:outlineLvl w:val="1"/>
        <w:rPr>
          <w:rFonts w:hint="eastAsia" w:ascii="宋体" w:hAnsi="宋体" w:eastAsia="宋体" w:cs="宋体"/>
          <w:color w:val="000000"/>
          <w:sz w:val="28"/>
          <w:szCs w:val="28"/>
          <w:highlight w:val="none"/>
        </w:rPr>
      </w:pPr>
      <w:bookmarkStart w:id="45" w:name="_Toc23529"/>
      <w:bookmarkStart w:id="46" w:name="_Toc175541490"/>
      <w:r>
        <w:rPr>
          <w:rFonts w:hint="eastAsia" w:ascii="宋体" w:hAnsi="宋体" w:eastAsia="宋体" w:cs="宋体"/>
          <w:color w:val="000000"/>
          <w:sz w:val="28"/>
          <w:szCs w:val="28"/>
          <w:highlight w:val="none"/>
        </w:rPr>
        <w:t>定义</w:t>
      </w:r>
      <w:bookmarkEnd w:id="45"/>
      <w:bookmarkEnd w:id="46"/>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1.1本合同下列术语应解释为：</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1）“合同”系指买卖双方签署的、合同格式中载明的买卖双方所达成的协议，包括所有的附件、附录和上述文件所提到的构成合同的所有文件。</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2）“合同价”系指根据本合同规定投标人在正确地完全履行合同义务后招标人应付给投标人的价款。</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3）“货物”系指投标人根据本合同规定须向招标人提供的一切产品、设备或其它材料。</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4）“服务”系指根据本合同规定投标人承担与供货有关的辅助服务，如运输、保险以及其它的伴随服务，例如安装、调式、提供技术援助和合同中规定投标人应承担的其它义务</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5）“合同条款”系指本合同条款。</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6）“招标人”系指在本合同条款中指明的购买货物和服务的单位。</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7）“投标人”系指在本合同条款中指明的提供本合同项下货物和服务的公司或其它实体。</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8）“项目现场”系指本合同项下货物安装、运行的现场，其名称在合同条款中指明。</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9）“天”指日历天数。</w:t>
      </w:r>
    </w:p>
    <w:p>
      <w:pPr>
        <w:spacing w:line="480" w:lineRule="exact"/>
        <w:rPr>
          <w:rFonts w:hint="eastAsia" w:ascii="宋体" w:hAnsi="宋体" w:eastAsia="宋体" w:cs="宋体"/>
          <w:color w:val="000000"/>
          <w:sz w:val="28"/>
          <w:szCs w:val="28"/>
          <w:highlight w:val="none"/>
        </w:rPr>
      </w:pPr>
    </w:p>
    <w:p>
      <w:pPr>
        <w:numPr>
          <w:ilvl w:val="0"/>
          <w:numId w:val="7"/>
        </w:numPr>
        <w:spacing w:line="480" w:lineRule="exact"/>
        <w:ind w:firstLine="280" w:firstLineChars="100"/>
        <w:outlineLvl w:val="1"/>
        <w:rPr>
          <w:rFonts w:hint="eastAsia" w:ascii="宋体" w:hAnsi="宋体" w:eastAsia="宋体" w:cs="宋体"/>
          <w:color w:val="000000"/>
          <w:sz w:val="28"/>
          <w:szCs w:val="28"/>
          <w:highlight w:val="none"/>
        </w:rPr>
      </w:pPr>
      <w:bookmarkStart w:id="47" w:name="_Toc31490"/>
      <w:bookmarkStart w:id="48" w:name="_Toc175541491"/>
      <w:r>
        <w:rPr>
          <w:rFonts w:hint="eastAsia" w:ascii="宋体" w:hAnsi="宋体" w:eastAsia="宋体" w:cs="宋体"/>
          <w:color w:val="000000"/>
          <w:sz w:val="28"/>
          <w:szCs w:val="28"/>
          <w:highlight w:val="none"/>
        </w:rPr>
        <w:t>适用性</w:t>
      </w:r>
      <w:bookmarkEnd w:id="47"/>
      <w:bookmarkEnd w:id="48"/>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2.1本合同条款适用于没有被本合同其他部分的条款所取代的范围。</w:t>
      </w:r>
    </w:p>
    <w:p>
      <w:pPr>
        <w:spacing w:line="480" w:lineRule="exact"/>
        <w:ind w:firstLine="560" w:firstLineChars="200"/>
        <w:rPr>
          <w:rFonts w:hint="eastAsia" w:ascii="宋体" w:hAnsi="宋体" w:eastAsia="宋体" w:cs="宋体"/>
          <w:color w:val="000000"/>
          <w:sz w:val="28"/>
          <w:szCs w:val="28"/>
          <w:highlight w:val="none"/>
        </w:rPr>
      </w:pPr>
    </w:p>
    <w:p>
      <w:pPr>
        <w:numPr>
          <w:ilvl w:val="0"/>
          <w:numId w:val="7"/>
        </w:numPr>
        <w:spacing w:line="480" w:lineRule="exact"/>
        <w:ind w:firstLine="280" w:firstLineChars="100"/>
        <w:outlineLvl w:val="1"/>
        <w:rPr>
          <w:rFonts w:hint="eastAsia" w:ascii="宋体" w:hAnsi="宋体" w:eastAsia="宋体" w:cs="宋体"/>
          <w:color w:val="000000"/>
          <w:sz w:val="28"/>
          <w:szCs w:val="28"/>
          <w:highlight w:val="none"/>
        </w:rPr>
      </w:pPr>
      <w:bookmarkStart w:id="49" w:name="_Toc24404"/>
      <w:bookmarkStart w:id="50" w:name="_Toc175541492"/>
      <w:r>
        <w:rPr>
          <w:rFonts w:hint="eastAsia" w:ascii="宋体" w:hAnsi="宋体" w:eastAsia="宋体" w:cs="宋体"/>
          <w:color w:val="000000"/>
          <w:sz w:val="28"/>
          <w:szCs w:val="28"/>
          <w:highlight w:val="none"/>
        </w:rPr>
        <w:t>标准</w:t>
      </w:r>
      <w:bookmarkEnd w:id="49"/>
      <w:bookmarkEnd w:id="50"/>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3.1本合同下交付的货物应符合技术规格参数与要求所述的标准。如果没有提及适用标准，则应符合中华人民共和国有关机构发布的最新版本的标准。</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3.2除非技术规格中另有规定，计量单位均采用中华人民共和国法定计量单位。</w:t>
      </w:r>
    </w:p>
    <w:p>
      <w:pPr>
        <w:spacing w:line="480" w:lineRule="exact"/>
        <w:ind w:firstLine="560" w:firstLineChars="200"/>
        <w:rPr>
          <w:rFonts w:hint="eastAsia" w:ascii="宋体" w:hAnsi="宋体" w:eastAsia="宋体" w:cs="宋体"/>
          <w:color w:val="000000"/>
          <w:sz w:val="28"/>
          <w:szCs w:val="28"/>
          <w:highlight w:val="none"/>
        </w:rPr>
      </w:pPr>
    </w:p>
    <w:p>
      <w:pPr>
        <w:numPr>
          <w:ilvl w:val="0"/>
          <w:numId w:val="7"/>
        </w:numPr>
        <w:spacing w:line="480" w:lineRule="exact"/>
        <w:ind w:firstLine="280" w:firstLineChars="100"/>
        <w:outlineLvl w:val="1"/>
        <w:rPr>
          <w:rFonts w:hint="eastAsia" w:ascii="宋体" w:hAnsi="宋体" w:eastAsia="宋体" w:cs="宋体"/>
          <w:color w:val="000000"/>
          <w:sz w:val="28"/>
          <w:szCs w:val="28"/>
          <w:highlight w:val="none"/>
        </w:rPr>
      </w:pPr>
      <w:bookmarkStart w:id="51" w:name="_Toc175541493"/>
      <w:bookmarkStart w:id="52" w:name="_Toc8570"/>
      <w:r>
        <w:rPr>
          <w:rFonts w:hint="eastAsia" w:ascii="宋体" w:hAnsi="宋体" w:eastAsia="宋体" w:cs="宋体"/>
          <w:color w:val="000000"/>
          <w:sz w:val="28"/>
          <w:szCs w:val="28"/>
          <w:highlight w:val="none"/>
        </w:rPr>
        <w:t>使用合同文件和资料</w:t>
      </w:r>
      <w:bookmarkEnd w:id="51"/>
      <w:bookmarkEnd w:id="52"/>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没有招标人事先书面同意，投标人不得将由招标人或代表招标人提供的有关合同或任何合同条文规格、计划、图纸、模型、样品或资料提供给与履行本合同无关的任何其他人。即使向与履行本合同有关的人员提供，也应注意保密并限于履行合同必须的范围。</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4.2没有招标人事先书面同意，除了履行本合同外，投标人不应使用合同条款第4.1所列举的任何文件和资料。</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4.3除了合同本身以外，合同条款第4.1条所列举的任何文件是招标人的财产。如果招标人有要求，投标人在完成合同后应将这些文件及全部复制件还给招标人。</w:t>
      </w:r>
    </w:p>
    <w:p>
      <w:pPr>
        <w:spacing w:line="480" w:lineRule="exact"/>
        <w:ind w:firstLine="560" w:firstLineChars="200"/>
        <w:rPr>
          <w:rFonts w:hint="eastAsia" w:ascii="宋体" w:hAnsi="宋体" w:eastAsia="宋体" w:cs="宋体"/>
          <w:color w:val="000000"/>
          <w:sz w:val="28"/>
          <w:szCs w:val="28"/>
          <w:highlight w:val="none"/>
        </w:rPr>
      </w:pPr>
    </w:p>
    <w:p>
      <w:pPr>
        <w:numPr>
          <w:ilvl w:val="0"/>
          <w:numId w:val="7"/>
        </w:numPr>
        <w:spacing w:line="480" w:lineRule="exact"/>
        <w:ind w:firstLine="280" w:firstLineChars="100"/>
        <w:outlineLvl w:val="1"/>
        <w:rPr>
          <w:rFonts w:hint="eastAsia" w:ascii="宋体" w:hAnsi="宋体" w:eastAsia="宋体" w:cs="宋体"/>
          <w:color w:val="000000"/>
          <w:sz w:val="28"/>
          <w:szCs w:val="28"/>
          <w:highlight w:val="none"/>
        </w:rPr>
      </w:pPr>
      <w:bookmarkStart w:id="53" w:name="_Toc12773"/>
      <w:bookmarkStart w:id="54" w:name="_Toc175541494"/>
      <w:r>
        <w:rPr>
          <w:rFonts w:hint="eastAsia" w:ascii="宋体" w:hAnsi="宋体" w:eastAsia="宋体" w:cs="宋体"/>
          <w:color w:val="000000"/>
          <w:sz w:val="28"/>
          <w:szCs w:val="28"/>
          <w:highlight w:val="none"/>
        </w:rPr>
        <w:t>权利</w:t>
      </w:r>
      <w:bookmarkEnd w:id="53"/>
      <w:bookmarkEnd w:id="54"/>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5.1投标人应保证，招标人使用该货物或货物的任何一部分时，免受第三方提出的侵犯其专权、商标权、著作权或其它知识产权的起诉。</w:t>
      </w:r>
    </w:p>
    <w:p>
      <w:pPr>
        <w:spacing w:line="480" w:lineRule="exact"/>
        <w:ind w:firstLine="560" w:firstLineChars="200"/>
        <w:rPr>
          <w:rFonts w:hint="eastAsia" w:ascii="宋体" w:hAnsi="宋体" w:eastAsia="宋体" w:cs="宋体"/>
          <w:color w:val="000000"/>
          <w:sz w:val="28"/>
          <w:szCs w:val="28"/>
          <w:highlight w:val="none"/>
        </w:rPr>
      </w:pPr>
    </w:p>
    <w:p>
      <w:pPr>
        <w:numPr>
          <w:ilvl w:val="0"/>
          <w:numId w:val="7"/>
        </w:numPr>
        <w:spacing w:line="480" w:lineRule="exact"/>
        <w:ind w:firstLine="280" w:firstLineChars="100"/>
        <w:outlineLvl w:val="1"/>
        <w:rPr>
          <w:rFonts w:hint="eastAsia" w:ascii="宋体" w:hAnsi="宋体" w:eastAsia="宋体" w:cs="宋体"/>
          <w:color w:val="000000"/>
          <w:sz w:val="28"/>
          <w:szCs w:val="28"/>
          <w:highlight w:val="none"/>
        </w:rPr>
      </w:pPr>
      <w:bookmarkStart w:id="55" w:name="_Toc20347"/>
      <w:bookmarkStart w:id="56" w:name="_Toc175541495"/>
      <w:r>
        <w:rPr>
          <w:rFonts w:hint="eastAsia" w:ascii="宋体" w:hAnsi="宋体" w:eastAsia="宋体" w:cs="宋体"/>
          <w:color w:val="000000"/>
          <w:sz w:val="28"/>
          <w:szCs w:val="28"/>
          <w:highlight w:val="none"/>
        </w:rPr>
        <w:t>履约保证金</w:t>
      </w:r>
      <w:bookmarkEnd w:id="55"/>
      <w:bookmarkEnd w:id="56"/>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6.1投标人应在与招标人签订合同前三个工作日，向招标人提交规定金额的履约保证金。</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6.2履约保证金用于补偿招标人因投标人不能完成其合同义务而蒙受的损失。</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6.3履约保证金应采用人民币，并采用现金方式提交。</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6.4投标人全部设备安装调式完毕均未出现质量问题，并经招标人和其它有关单位验收合格后十日内，招标人退还投标人履约保证金。</w:t>
      </w:r>
    </w:p>
    <w:p>
      <w:pPr>
        <w:numPr>
          <w:ilvl w:val="0"/>
          <w:numId w:val="7"/>
        </w:numPr>
        <w:spacing w:line="480" w:lineRule="exact"/>
        <w:ind w:firstLine="58" w:firstLineChars="21"/>
        <w:outlineLvl w:val="1"/>
        <w:rPr>
          <w:rFonts w:hint="eastAsia" w:ascii="宋体" w:hAnsi="宋体" w:eastAsia="宋体" w:cs="宋体"/>
          <w:color w:val="000000"/>
          <w:sz w:val="28"/>
          <w:szCs w:val="28"/>
          <w:highlight w:val="none"/>
        </w:rPr>
      </w:pPr>
      <w:bookmarkStart w:id="57" w:name="_Toc175541496"/>
      <w:bookmarkStart w:id="58" w:name="_Toc20456"/>
      <w:r>
        <w:rPr>
          <w:rFonts w:hint="eastAsia" w:ascii="宋体" w:hAnsi="宋体" w:eastAsia="宋体" w:cs="宋体"/>
          <w:color w:val="000000"/>
          <w:sz w:val="28"/>
          <w:szCs w:val="28"/>
          <w:highlight w:val="none"/>
        </w:rPr>
        <w:t>检验和测试</w:t>
      </w:r>
      <w:bookmarkEnd w:id="57"/>
      <w:bookmarkEnd w:id="58"/>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7.1招标人或其代表应有权检验和/或测试货物,以确认货物是否符合合同规格的要求,并且不承担额外的费用。合同条款和技术规格将说明招标人要求进行的检验和测试,以及在何处进行这些检验和测试。招标人将及时以书面形式把进行检验和/或招标人测试代表的身份通知投标人。</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7.2检验和测试可以在投标人或制造厂的所在地、交货地点和/或货物的最终目的地进行。如果在投标人或制造厂的所在地进行,投标人应免费为招标人的检验人员提供工作条件,包括但不限于必要的技术资料、检测工具和仪器。</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7.3如果任何被检测或测试的货物不能满足规格的要求,招标人可以拒绝接受该货物,投标人应更换被拒绝的货物,或者免费进行必要的修改以满足规格的要求。</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7.4招标人在货物到达最终目的地后对货物进行检验、测试及必要时拒绝接受货物的权力将不会因为货物在从投标人或制造厂启运前通过了招标人或其代表的检验、测试和认可而受到限制或放弃。</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7.5在交货前,投标人或制造厂应对货物的质量、规格、性能、数量和重量等进行详细而全面的检验，并出具一份证明货物符合合同规定的检验证书，但该证书不能作为有关质量、规格、性能、数量或重量的最终检验。制造厂检验的结果和细节应附在质量检验证书后面。</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7.6合同条款第7条的规定不能免除投标人在本合同项下的保证义务或其他义务。</w:t>
      </w:r>
    </w:p>
    <w:p>
      <w:pPr>
        <w:spacing w:line="480" w:lineRule="exact"/>
        <w:ind w:firstLine="560" w:firstLineChars="200"/>
        <w:rPr>
          <w:rFonts w:hint="eastAsia" w:ascii="宋体" w:hAnsi="宋体" w:eastAsia="宋体" w:cs="宋体"/>
          <w:color w:val="000000"/>
          <w:sz w:val="28"/>
          <w:szCs w:val="28"/>
          <w:highlight w:val="none"/>
        </w:rPr>
      </w:pPr>
    </w:p>
    <w:p>
      <w:pPr>
        <w:spacing w:line="480" w:lineRule="exact"/>
        <w:ind w:firstLine="560" w:firstLineChars="200"/>
        <w:outlineLvl w:val="1"/>
        <w:rPr>
          <w:rFonts w:hint="eastAsia" w:ascii="宋体" w:hAnsi="宋体" w:eastAsia="宋体" w:cs="宋体"/>
          <w:color w:val="000000"/>
          <w:sz w:val="28"/>
          <w:szCs w:val="28"/>
          <w:highlight w:val="none"/>
        </w:rPr>
      </w:pPr>
      <w:bookmarkStart w:id="59" w:name="_Toc12805"/>
      <w:bookmarkStart w:id="60" w:name="_Toc175541497"/>
      <w:r>
        <w:rPr>
          <w:rFonts w:hint="eastAsia" w:ascii="宋体" w:hAnsi="宋体" w:eastAsia="宋体" w:cs="宋体"/>
          <w:color w:val="000000"/>
          <w:sz w:val="28"/>
          <w:szCs w:val="28"/>
          <w:highlight w:val="none"/>
        </w:rPr>
        <w:t>8、  包装、运输和保险</w:t>
      </w:r>
      <w:bookmarkEnd w:id="59"/>
      <w:bookmarkEnd w:id="60"/>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8.1投标人应提供货物运至合同规定的最终目的地所需要的包装,以防止货物在转运中损坏或变质。这类包装应采取防潮、防晒、防锈、防腐蚀、防震动及防止其它损坏的必要保护措施，从而保护货物能够经受多次搬运、装卸及运输。投标人应承担由于其包装或其防护措施不妥而引起的货物锈蚀、损坏和丢失的任何损失的责任或费用。</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8.2投标人负责办理将货物运抵招标文件规定的交货地点的一切运输事项,相关费用应包括在合同总价中。</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8.3投标人应向保险公司以招标人为受益人投保发运合同设备价格100%的运输一切险。</w:t>
      </w:r>
    </w:p>
    <w:p>
      <w:pPr>
        <w:spacing w:line="480" w:lineRule="exact"/>
        <w:ind w:firstLine="560" w:firstLineChars="200"/>
        <w:rPr>
          <w:rFonts w:hint="eastAsia" w:ascii="宋体" w:hAnsi="宋体" w:eastAsia="宋体" w:cs="宋体"/>
          <w:color w:val="000000"/>
          <w:sz w:val="28"/>
          <w:szCs w:val="28"/>
          <w:highlight w:val="none"/>
        </w:rPr>
      </w:pPr>
    </w:p>
    <w:p>
      <w:pPr>
        <w:spacing w:line="480" w:lineRule="exact"/>
        <w:ind w:firstLine="560" w:firstLineChars="200"/>
        <w:outlineLvl w:val="1"/>
        <w:rPr>
          <w:rFonts w:hint="eastAsia" w:ascii="宋体" w:hAnsi="宋体" w:eastAsia="宋体" w:cs="宋体"/>
          <w:color w:val="000000"/>
          <w:sz w:val="28"/>
          <w:szCs w:val="28"/>
          <w:highlight w:val="none"/>
        </w:rPr>
      </w:pPr>
      <w:bookmarkStart w:id="61" w:name="_Toc175541498"/>
      <w:bookmarkStart w:id="62" w:name="_Toc21684"/>
      <w:r>
        <w:rPr>
          <w:rFonts w:hint="eastAsia" w:ascii="宋体" w:hAnsi="宋体" w:eastAsia="宋体" w:cs="宋体"/>
          <w:color w:val="000000"/>
          <w:sz w:val="28"/>
          <w:szCs w:val="28"/>
          <w:highlight w:val="none"/>
        </w:rPr>
        <w:t>9、  伴随服务</w:t>
      </w:r>
      <w:bookmarkEnd w:id="61"/>
      <w:bookmarkEnd w:id="62"/>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9.1投标人可能被要求提供下列服务中的任一或所有服务.包括“第七部分技术规格及其它要求”规定的附加服务(如果有的话):</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9.2实施或监督所供货物的现场组装和/或运行;</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9.3提供货物组装和/或维修所需的工具;</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9.4根据所供货物特点提供相应的操作、维护、保养、使用手册或技术资料；</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9.5在双方商定的一定期限内对所供货物实施运行或监督或维护或修理,但前提条件是该服务并不能免除投标人在合同保证期内所承担的义务;</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9.6在投标人或制造厂和/或在项目现场就所供货物的组装、试运行、运行、维护和/或修理。</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9.7投标人应提供招标文件中规定的所有服务。为履行要求的伴随服务的报价或双方商定的费用应包括在合同价中。</w:t>
      </w:r>
    </w:p>
    <w:p>
      <w:pPr>
        <w:rPr>
          <w:rFonts w:hint="eastAsia" w:ascii="宋体" w:hAnsi="宋体" w:eastAsia="宋体" w:cs="宋体"/>
          <w:color w:val="000000"/>
          <w:highlight w:val="none"/>
        </w:rPr>
      </w:pPr>
      <w:bookmarkStart w:id="63" w:name="_Toc175541499"/>
    </w:p>
    <w:p>
      <w:pPr>
        <w:spacing w:line="480" w:lineRule="exact"/>
        <w:ind w:firstLine="560" w:firstLineChars="200"/>
        <w:outlineLvl w:val="1"/>
        <w:rPr>
          <w:rFonts w:hint="eastAsia" w:ascii="宋体" w:hAnsi="宋体" w:eastAsia="宋体" w:cs="宋体"/>
          <w:color w:val="000000"/>
          <w:sz w:val="28"/>
          <w:szCs w:val="28"/>
          <w:highlight w:val="none"/>
        </w:rPr>
      </w:pPr>
      <w:bookmarkStart w:id="64" w:name="_Toc30724"/>
      <w:r>
        <w:rPr>
          <w:rFonts w:hint="eastAsia" w:ascii="宋体" w:hAnsi="宋体" w:eastAsia="宋体" w:cs="宋体"/>
          <w:color w:val="000000"/>
          <w:sz w:val="28"/>
          <w:szCs w:val="28"/>
          <w:highlight w:val="none"/>
        </w:rPr>
        <w:t>10、 备品备件</w:t>
      </w:r>
      <w:bookmarkEnd w:id="63"/>
      <w:bookmarkEnd w:id="64"/>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10.1正如合同条款所规定,投标人可能被要求提供下列与备品备件有关的材料、通知和资料：</w:t>
      </w:r>
    </w:p>
    <w:p>
      <w:pPr>
        <w:numPr>
          <w:ilvl w:val="0"/>
          <w:numId w:val="8"/>
        </w:numPr>
        <w:tabs>
          <w:tab w:val="clear" w:pos="360"/>
        </w:tabs>
        <w:spacing w:line="480" w:lineRule="exact"/>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招标人从投标人选购备品备件,但前提条件是该选择并不能免除投标人在合同保证期内所承担的义务;</w:t>
      </w:r>
    </w:p>
    <w:p>
      <w:pPr>
        <w:numPr>
          <w:ilvl w:val="0"/>
          <w:numId w:val="8"/>
        </w:numPr>
        <w:tabs>
          <w:tab w:val="clear" w:pos="360"/>
        </w:tabs>
        <w:spacing w:line="480" w:lineRule="exact"/>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在备品备件停止生产的情况下,投标人应事先将要停止生产的计划通知招标人，使招标人有足够的时间采购所需的备品备件;</w:t>
      </w:r>
    </w:p>
    <w:p>
      <w:pPr>
        <w:numPr>
          <w:ilvl w:val="0"/>
          <w:numId w:val="8"/>
        </w:numPr>
        <w:tabs>
          <w:tab w:val="clear" w:pos="360"/>
        </w:tabs>
        <w:spacing w:line="480" w:lineRule="exact"/>
        <w:ind w:firstLine="478" w:firstLineChars="171"/>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在备品备件停止生产后,如果招标人要求,投标人应免费向招标人提供备品备件的蓝图、图纸和规格。</w:t>
      </w:r>
    </w:p>
    <w:p>
      <w:pPr>
        <w:spacing w:line="48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10.2投标人应按照招标文件中的规定提供所需的备品备件。</w:t>
      </w:r>
    </w:p>
    <w:p>
      <w:pPr>
        <w:spacing w:line="480" w:lineRule="exact"/>
        <w:rPr>
          <w:rFonts w:hint="eastAsia" w:ascii="宋体" w:hAnsi="宋体" w:eastAsia="宋体" w:cs="宋体"/>
          <w:color w:val="000000"/>
          <w:sz w:val="28"/>
          <w:szCs w:val="28"/>
          <w:highlight w:val="none"/>
        </w:rPr>
      </w:pPr>
    </w:p>
    <w:p>
      <w:pPr>
        <w:spacing w:line="480" w:lineRule="exact"/>
        <w:ind w:firstLine="560" w:firstLineChars="200"/>
        <w:outlineLvl w:val="1"/>
        <w:rPr>
          <w:rFonts w:hint="eastAsia" w:ascii="宋体" w:hAnsi="宋体" w:eastAsia="宋体" w:cs="宋体"/>
          <w:color w:val="000000"/>
          <w:sz w:val="28"/>
          <w:szCs w:val="28"/>
          <w:highlight w:val="none"/>
        </w:rPr>
      </w:pPr>
      <w:bookmarkStart w:id="65" w:name="_Toc30897"/>
      <w:bookmarkStart w:id="66" w:name="_Toc175541500"/>
      <w:r>
        <w:rPr>
          <w:rFonts w:hint="eastAsia" w:ascii="宋体" w:hAnsi="宋体" w:eastAsia="宋体" w:cs="宋体"/>
          <w:color w:val="000000"/>
          <w:sz w:val="28"/>
          <w:szCs w:val="28"/>
          <w:highlight w:val="none"/>
        </w:rPr>
        <w:t>11、 保证</w:t>
      </w:r>
      <w:bookmarkEnd w:id="65"/>
      <w:bookmarkEnd w:id="66"/>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11.1投标人应保证合同项下所供货物是全新的、未使用过的，是最新或目前的型号，除非合同另有规定，货物应含有设计上和材料的全部最新改进。投标人进一步保证，合同项下提供的全部货物没有设计、材料或工艺上的缺陷（由于按招标人的要求设计或按招标人的规格提供的材料所产生的缺陷除外），或者没有因投标人的行为或疏忽而产生的缺陷。</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11.2本保证应在合同货物最终验收后的一定期限内保持有效,或在最后一批合同货物到达最终目地后的一定期限内保持有效(上述期限见招标书),以先发生的为准。</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11.3招标人应尽快以书面形式通知投标人保证期内所发现的缺陷。</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11.4投标人收到通知后应在规定的时间内以合理的速度免费维修或更换有缺陷的货物或部件。</w:t>
      </w:r>
    </w:p>
    <w:p>
      <w:pPr>
        <w:tabs>
          <w:tab w:val="left" w:pos="420"/>
        </w:tabs>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11.5如果投标人收到通知后在合同规定的时间内没有在合同规定的期限内弥补缺陷,招标人可采取必要的补救措施,但其风险和费用将由投标人承担,招标人根据合同规定对投标人行使的其它权力不受影响。</w:t>
      </w:r>
    </w:p>
    <w:p>
      <w:pPr>
        <w:spacing w:line="480" w:lineRule="exact"/>
        <w:rPr>
          <w:rFonts w:hint="eastAsia" w:ascii="宋体" w:hAnsi="宋体" w:eastAsia="宋体" w:cs="宋体"/>
          <w:color w:val="000000"/>
          <w:sz w:val="28"/>
          <w:szCs w:val="28"/>
          <w:highlight w:val="none"/>
        </w:rPr>
      </w:pPr>
    </w:p>
    <w:p>
      <w:pPr>
        <w:spacing w:line="480" w:lineRule="exact"/>
        <w:ind w:firstLine="560" w:firstLineChars="200"/>
        <w:outlineLvl w:val="1"/>
        <w:rPr>
          <w:rFonts w:hint="eastAsia" w:ascii="宋体" w:hAnsi="宋体" w:eastAsia="宋体" w:cs="宋体"/>
          <w:color w:val="000000"/>
          <w:sz w:val="28"/>
          <w:szCs w:val="28"/>
          <w:highlight w:val="none"/>
        </w:rPr>
      </w:pPr>
      <w:bookmarkStart w:id="67" w:name="_Toc175541501"/>
      <w:bookmarkStart w:id="68" w:name="_Toc20672"/>
      <w:r>
        <w:rPr>
          <w:rFonts w:hint="eastAsia" w:ascii="宋体" w:hAnsi="宋体" w:eastAsia="宋体" w:cs="宋体"/>
          <w:color w:val="000000"/>
          <w:sz w:val="28"/>
          <w:szCs w:val="28"/>
          <w:highlight w:val="none"/>
        </w:rPr>
        <w:t>12、 索赔</w:t>
      </w:r>
      <w:bookmarkEnd w:id="67"/>
      <w:bookmarkEnd w:id="68"/>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12.1如果投标人对偏差负有责任,而招标人在合同条款第13条或合同的其他条款规定的检验、安装、调试、验收和质量保证期内提出了索赔，投标人应按照招标人同意的下列一种或几种方式结合起来解决索赔事宜：</w:t>
      </w:r>
    </w:p>
    <w:p>
      <w:pPr>
        <w:numPr>
          <w:ilvl w:val="0"/>
          <w:numId w:val="9"/>
        </w:numPr>
        <w:tabs>
          <w:tab w:val="left" w:pos="0"/>
          <w:tab w:val="clear" w:pos="360"/>
        </w:tabs>
        <w:spacing w:line="480" w:lineRule="exact"/>
        <w:ind w:left="0" w:firstLine="638" w:firstLineChars="228"/>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投标人同意退货并用合同规定的货币将货款退还给招标人,并承担由此发生的一切损失和费用,包括利息、银行手续费、运费、保险费、检验费、仓储费、装卸费以及为看管和保护退回货物所需的其它必要费用。</w:t>
      </w:r>
    </w:p>
    <w:p>
      <w:pPr>
        <w:numPr>
          <w:ilvl w:val="0"/>
          <w:numId w:val="9"/>
        </w:numPr>
        <w:spacing w:line="480" w:lineRule="exact"/>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根据货物的偏差情况、损坏程度、以及招标人所遭受损失的金额，经买卖双方商定降低货物的价格。</w:t>
      </w:r>
    </w:p>
    <w:p>
      <w:pPr>
        <w:numPr>
          <w:ilvl w:val="0"/>
          <w:numId w:val="9"/>
        </w:numPr>
        <w:tabs>
          <w:tab w:val="left" w:pos="0"/>
          <w:tab w:val="clear" w:pos="360"/>
        </w:tabs>
        <w:spacing w:line="480" w:lineRule="exact"/>
        <w:ind w:left="0" w:firstLine="6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用符合合同规定的规格、质量和性能要求的新零件、部件和/或设备来更换有缺陷的部分和/或修补缺陷部分，投标人应承担一切费用和风险并负担招标人蒙受的全部直接损失费用。同时，投标人应按合同条款第13条规定，相应延长所更换货物的质量保证期。</w:t>
      </w:r>
    </w:p>
    <w:p>
      <w:pPr>
        <w:numPr>
          <w:ilvl w:val="0"/>
          <w:numId w:val="9"/>
        </w:numPr>
        <w:tabs>
          <w:tab w:val="left" w:pos="0"/>
          <w:tab w:val="clear" w:pos="360"/>
        </w:tabs>
        <w:spacing w:line="480" w:lineRule="exact"/>
        <w:ind w:left="0" w:firstLine="6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如果在招标人发出索赔通知书后三十（30）天内，投标人未作答复，上述索赔应视为被对方接受。如果投标人未能在招标人发出索赔通知后三十（30）天内或招标人同意的延长期限内，按照招标人同意的上述规定的任何一种方法解决索赔事宜,招标人将从预付货款或从投标人开具的履约保证金中扣回索赔金额。</w:t>
      </w:r>
    </w:p>
    <w:p>
      <w:pPr>
        <w:spacing w:line="480" w:lineRule="exact"/>
        <w:rPr>
          <w:rFonts w:hint="eastAsia" w:ascii="宋体" w:hAnsi="宋体" w:eastAsia="宋体" w:cs="宋体"/>
          <w:color w:val="000000"/>
          <w:sz w:val="28"/>
          <w:szCs w:val="28"/>
          <w:highlight w:val="none"/>
        </w:rPr>
      </w:pPr>
    </w:p>
    <w:p>
      <w:pPr>
        <w:spacing w:line="480" w:lineRule="exact"/>
        <w:ind w:firstLine="560" w:firstLineChars="200"/>
        <w:outlineLvl w:val="1"/>
        <w:rPr>
          <w:rFonts w:hint="eastAsia" w:ascii="宋体" w:hAnsi="宋体" w:eastAsia="宋体" w:cs="宋体"/>
          <w:color w:val="000000"/>
          <w:sz w:val="28"/>
          <w:szCs w:val="28"/>
          <w:highlight w:val="none"/>
        </w:rPr>
      </w:pPr>
      <w:bookmarkStart w:id="69" w:name="_Toc11390"/>
      <w:bookmarkStart w:id="70" w:name="_Toc175541502"/>
      <w:r>
        <w:rPr>
          <w:rFonts w:hint="eastAsia" w:ascii="宋体" w:hAnsi="宋体" w:eastAsia="宋体" w:cs="宋体"/>
          <w:color w:val="000000"/>
          <w:sz w:val="28"/>
          <w:szCs w:val="28"/>
          <w:highlight w:val="none"/>
        </w:rPr>
        <w:t>13、 付款</w:t>
      </w:r>
      <w:bookmarkEnd w:id="69"/>
      <w:bookmarkEnd w:id="70"/>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13.1本合同项下的付款方法</w:t>
      </w:r>
      <w:r>
        <w:rPr>
          <w:rFonts w:hint="eastAsia" w:ascii="宋体" w:hAnsi="宋体" w:eastAsia="宋体" w:cs="宋体"/>
          <w:color w:val="000000"/>
          <w:sz w:val="28"/>
          <w:szCs w:val="28"/>
          <w:highlight w:val="none"/>
          <w:lang w:eastAsia="zh-CN"/>
        </w:rPr>
        <w:t>：合同中约定</w:t>
      </w:r>
      <w:r>
        <w:rPr>
          <w:rFonts w:hint="eastAsia" w:ascii="宋体" w:hAnsi="宋体" w:eastAsia="宋体" w:cs="宋体"/>
          <w:color w:val="000000"/>
          <w:sz w:val="28"/>
          <w:szCs w:val="28"/>
          <w:highlight w:val="none"/>
        </w:rPr>
        <w:t>。</w:t>
      </w:r>
    </w:p>
    <w:p>
      <w:pPr>
        <w:spacing w:line="480" w:lineRule="exact"/>
        <w:ind w:firstLine="560" w:firstLineChars="200"/>
        <w:outlineLvl w:val="1"/>
        <w:rPr>
          <w:rFonts w:hint="eastAsia" w:ascii="宋体" w:hAnsi="宋体" w:eastAsia="宋体" w:cs="宋体"/>
          <w:color w:val="000000"/>
          <w:sz w:val="28"/>
          <w:szCs w:val="28"/>
          <w:highlight w:val="none"/>
        </w:rPr>
      </w:pPr>
      <w:bookmarkStart w:id="71" w:name="_Toc22259"/>
      <w:bookmarkStart w:id="72" w:name="_Toc175541503"/>
      <w:r>
        <w:rPr>
          <w:rFonts w:hint="eastAsia" w:ascii="宋体" w:hAnsi="宋体" w:eastAsia="宋体" w:cs="宋体"/>
          <w:color w:val="000000"/>
          <w:sz w:val="28"/>
          <w:szCs w:val="28"/>
          <w:highlight w:val="none"/>
        </w:rPr>
        <w:t>14、 价格</w:t>
      </w:r>
      <w:bookmarkEnd w:id="71"/>
      <w:bookmarkEnd w:id="72"/>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14.1投标人在本合同项下提交货物和履行服务的价格在合同中给出。</w:t>
      </w:r>
    </w:p>
    <w:p>
      <w:pPr>
        <w:spacing w:line="480" w:lineRule="exact"/>
        <w:ind w:firstLine="560" w:firstLineChars="200"/>
        <w:outlineLvl w:val="1"/>
        <w:rPr>
          <w:rFonts w:hint="eastAsia" w:ascii="宋体" w:hAnsi="宋体" w:eastAsia="宋体" w:cs="宋体"/>
          <w:color w:val="000000"/>
          <w:sz w:val="28"/>
          <w:szCs w:val="28"/>
          <w:highlight w:val="none"/>
        </w:rPr>
      </w:pPr>
      <w:bookmarkStart w:id="73" w:name="_Toc8764"/>
      <w:bookmarkStart w:id="74" w:name="_Toc175541504"/>
      <w:r>
        <w:rPr>
          <w:rFonts w:hint="eastAsia" w:ascii="宋体" w:hAnsi="宋体" w:eastAsia="宋体" w:cs="宋体"/>
          <w:color w:val="000000"/>
          <w:sz w:val="28"/>
          <w:szCs w:val="28"/>
          <w:highlight w:val="none"/>
        </w:rPr>
        <w:t>15、 变更指令</w:t>
      </w:r>
      <w:bookmarkEnd w:id="73"/>
      <w:bookmarkEnd w:id="74"/>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15.1招标人可以在任何时候书面向投标人发出指令,在本合同的一般范围内变更下述一项或几项;</w:t>
      </w:r>
    </w:p>
    <w:p>
      <w:pPr>
        <w:numPr>
          <w:ilvl w:val="0"/>
          <w:numId w:val="10"/>
        </w:numPr>
        <w:spacing w:line="480" w:lineRule="exact"/>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本合同项下提供的货物是专为招标人制造时,变更图纸、设计或规格；</w:t>
      </w:r>
    </w:p>
    <w:p>
      <w:pPr>
        <w:numPr>
          <w:ilvl w:val="0"/>
          <w:numId w:val="10"/>
        </w:numPr>
        <w:spacing w:line="480" w:lineRule="exact"/>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运输或包装的方法；</w:t>
      </w:r>
    </w:p>
    <w:p>
      <w:pPr>
        <w:numPr>
          <w:ilvl w:val="0"/>
          <w:numId w:val="10"/>
        </w:numPr>
        <w:spacing w:line="480" w:lineRule="exact"/>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交货地点；</w:t>
      </w:r>
    </w:p>
    <w:p>
      <w:pPr>
        <w:numPr>
          <w:ilvl w:val="0"/>
          <w:numId w:val="10"/>
        </w:numPr>
        <w:spacing w:line="480" w:lineRule="exact"/>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投标人提供的服务。</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15.2如果上述变更使投标人履行合同义务的费用或时间增加或减少，将对合同价或交货时间或两者进行公平的调整，同时相应修改合同。投标人根据本条进行调整的要求必须在收到招标人的变更指令后三十（30）天内提出。</w:t>
      </w:r>
    </w:p>
    <w:p>
      <w:pPr>
        <w:spacing w:line="480" w:lineRule="exact"/>
        <w:ind w:firstLine="560" w:firstLineChars="200"/>
        <w:outlineLvl w:val="1"/>
        <w:rPr>
          <w:rFonts w:hint="eastAsia" w:ascii="宋体" w:hAnsi="宋体" w:eastAsia="宋体" w:cs="宋体"/>
          <w:color w:val="000000"/>
          <w:sz w:val="28"/>
          <w:szCs w:val="28"/>
          <w:highlight w:val="none"/>
        </w:rPr>
      </w:pPr>
      <w:bookmarkStart w:id="75" w:name="_Toc5464"/>
      <w:bookmarkStart w:id="76" w:name="_Toc175541505"/>
      <w:r>
        <w:rPr>
          <w:rFonts w:hint="eastAsia" w:ascii="宋体" w:hAnsi="宋体" w:eastAsia="宋体" w:cs="宋体"/>
          <w:color w:val="000000"/>
          <w:sz w:val="28"/>
          <w:szCs w:val="28"/>
          <w:highlight w:val="none"/>
        </w:rPr>
        <w:t>16、 合同修改及投标人履约延误</w:t>
      </w:r>
      <w:bookmarkEnd w:id="75"/>
      <w:bookmarkEnd w:id="76"/>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16.1除了合同条款第17条的情况，不应对合同条款进行任何变更或修改，除非双方同意并签订书面的合同修改书。</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16.2投标人应按照招标文件中规定的交货时间交货和提供服务。</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16.3在履行合同过程中，如果投标人遇到妨碍按时交货和提供服务的情况时，应及时以书面形式将拖延的事实、可能拖延的时间和原因通知招标人。招标人在收到投标人通知后，应尽快对情况进行评价，并确定是否同意延长交货时间以及是否收取误期赔偿费用。延期应通过修改合同的方式由双方认可。</w:t>
      </w:r>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16.4除了合同条款第22条的情况外，除非拖延是根据合同条款第21.2条的规定取得同意而不收取误期赔偿费之外，投标人延误交货，将按合同条款第20条的规定被收取误期赔偿费。</w:t>
      </w:r>
    </w:p>
    <w:p>
      <w:pPr>
        <w:spacing w:line="480" w:lineRule="exact"/>
        <w:ind w:firstLine="560" w:firstLineChars="200"/>
        <w:outlineLvl w:val="1"/>
        <w:rPr>
          <w:rFonts w:hint="eastAsia" w:ascii="宋体" w:hAnsi="宋体" w:eastAsia="宋体" w:cs="宋体"/>
          <w:color w:val="000000"/>
          <w:sz w:val="28"/>
          <w:szCs w:val="28"/>
          <w:highlight w:val="none"/>
        </w:rPr>
      </w:pPr>
      <w:bookmarkStart w:id="77" w:name="_Toc24144"/>
      <w:bookmarkStart w:id="78" w:name="_Toc175541506"/>
      <w:r>
        <w:rPr>
          <w:rFonts w:hint="eastAsia" w:ascii="宋体" w:hAnsi="宋体" w:eastAsia="宋体" w:cs="宋体"/>
          <w:color w:val="000000"/>
          <w:sz w:val="28"/>
          <w:szCs w:val="28"/>
          <w:highlight w:val="none"/>
        </w:rPr>
        <w:t>17、 误期赔偿费</w:t>
      </w:r>
      <w:bookmarkEnd w:id="77"/>
      <w:bookmarkEnd w:id="78"/>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17.1除合同条款第22条规定的情况外，如果投标人没有按照合同规定的时间交货和提供服务，招标人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五（5%）。一旦达到误期赔偿费的最高限额，招标人可考虑根据合同条款第21条的规定终止合同。</w:t>
      </w:r>
    </w:p>
    <w:p>
      <w:pPr>
        <w:spacing w:line="480" w:lineRule="exact"/>
        <w:ind w:firstLine="560" w:firstLineChars="200"/>
        <w:outlineLvl w:val="1"/>
        <w:rPr>
          <w:rFonts w:hint="eastAsia" w:ascii="宋体" w:hAnsi="宋体" w:eastAsia="宋体" w:cs="宋体"/>
          <w:color w:val="000000"/>
          <w:sz w:val="28"/>
          <w:szCs w:val="28"/>
          <w:highlight w:val="none"/>
        </w:rPr>
      </w:pPr>
      <w:bookmarkStart w:id="79" w:name="_Toc175541507"/>
      <w:bookmarkStart w:id="80" w:name="_Toc30962"/>
      <w:r>
        <w:rPr>
          <w:rFonts w:hint="eastAsia" w:ascii="宋体" w:hAnsi="宋体" w:eastAsia="宋体" w:cs="宋体"/>
          <w:color w:val="000000"/>
          <w:sz w:val="28"/>
          <w:szCs w:val="28"/>
          <w:highlight w:val="none"/>
        </w:rPr>
        <w:t>18、 违约终止合同</w:t>
      </w:r>
      <w:bookmarkEnd w:id="79"/>
      <w:bookmarkEnd w:id="80"/>
    </w:p>
    <w:p>
      <w:pPr>
        <w:spacing w:line="4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18.1在招标人对投标人违约而采取的任何补救措施不受影响的情况下，招标人可向投标人发出书面违约通知书，提出终止部分或全部合同：</w:t>
      </w:r>
    </w:p>
    <w:p>
      <w:pPr>
        <w:numPr>
          <w:ilvl w:val="0"/>
          <w:numId w:val="11"/>
        </w:numPr>
        <w:tabs>
          <w:tab w:val="left" w:pos="0"/>
          <w:tab w:val="clear" w:pos="360"/>
        </w:tabs>
        <w:spacing w:line="480" w:lineRule="exact"/>
        <w:ind w:left="0" w:firstLine="638" w:firstLineChars="228"/>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如果投标人未能在合同规定的期限内或招标人根据合同条款第19条的规定同意延长的期限内提供部分或全部货物；</w:t>
      </w:r>
    </w:p>
    <w:p>
      <w:pPr>
        <w:numPr>
          <w:ilvl w:val="0"/>
          <w:numId w:val="11"/>
        </w:numPr>
        <w:spacing w:line="480" w:lineRule="exact"/>
        <w:ind w:firstLine="28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如果投标人未能履行合同规定的其他任何义务；</w:t>
      </w:r>
    </w:p>
    <w:p>
      <w:pPr>
        <w:numPr>
          <w:ilvl w:val="0"/>
          <w:numId w:val="11"/>
        </w:numPr>
        <w:tabs>
          <w:tab w:val="left" w:pos="0"/>
          <w:tab w:val="clear" w:pos="360"/>
        </w:tabs>
        <w:spacing w:line="480" w:lineRule="exact"/>
        <w:ind w:left="0" w:firstLine="6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如果招标人认为投标人在本合同的竞争和实施过程中有腐败和欺诈行为。为此目的,定义下述条件：</w:t>
      </w:r>
    </w:p>
    <w:p>
      <w:pPr>
        <w:spacing w:line="480" w:lineRule="exact"/>
        <w:ind w:firstLine="638" w:firstLineChars="228"/>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a）“腐败行为”是指提供、给予、接受或索取任何有价值的物品来影响招标人在采购过程或合同实施过程中的行为。</w:t>
      </w:r>
    </w:p>
    <w:p>
      <w:pPr>
        <w:spacing w:line="480" w:lineRule="exact"/>
        <w:ind w:firstLine="638" w:firstLineChars="228"/>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b）“欺诈行为”是指为了影响采购过程或合同实施过程而慌报或隐瞒事实，损害招标人利益的行为。</w:t>
      </w:r>
    </w:p>
    <w:p>
      <w:pPr>
        <w:spacing w:line="48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18．2如果招标人根据上述第18.1条的规定，终止了全部或部分合同，招标人可以依其认为适当的条件和方法购买与未交货物类的货物或服务，投标人应承担招标人因购买类似货物或服务而产生的额外支出。但是，投标人应继续执行合同中未终止的部分。</w:t>
      </w:r>
    </w:p>
    <w:p>
      <w:pPr>
        <w:widowControl/>
        <w:spacing w:line="480" w:lineRule="exact"/>
        <w:ind w:firstLine="560" w:firstLineChars="200"/>
        <w:jc w:val="left"/>
        <w:outlineLvl w:val="1"/>
        <w:rPr>
          <w:rFonts w:hint="eastAsia" w:ascii="宋体" w:hAnsi="宋体" w:eastAsia="宋体" w:cs="宋体"/>
          <w:color w:val="000000"/>
          <w:sz w:val="28"/>
          <w:szCs w:val="28"/>
          <w:highlight w:val="none"/>
        </w:rPr>
      </w:pPr>
      <w:bookmarkStart w:id="81" w:name="_Toc175541508"/>
      <w:bookmarkStart w:id="82" w:name="_Toc29466"/>
      <w:r>
        <w:rPr>
          <w:rFonts w:hint="eastAsia" w:ascii="宋体" w:hAnsi="宋体" w:eastAsia="宋体" w:cs="宋体"/>
          <w:color w:val="000000"/>
          <w:sz w:val="28"/>
          <w:szCs w:val="28"/>
          <w:highlight w:val="none"/>
        </w:rPr>
        <w:t>19、 不可抗力</w:t>
      </w:r>
      <w:bookmarkEnd w:id="81"/>
      <w:bookmarkEnd w:id="82"/>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widowControl/>
        <w:spacing w:line="480" w:lineRule="exact"/>
        <w:ind w:right="-17"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19.2 受影响一方应在不可抗力事件发生后尽快用书面形式通知对方，并于不可抗力事件发生后14天内将有关当局出具的证明文件用特快专递或挂号信寄给对方审阅确认。一旦不可抗力事件的影响持续120天以上，双方应通过友好协商在合理的时间内达成进一步履行合同的协议。</w:t>
      </w:r>
    </w:p>
    <w:p>
      <w:pPr>
        <w:pStyle w:val="12"/>
        <w:widowControl/>
        <w:ind w:firstLine="560" w:firstLineChars="200"/>
        <w:jc w:val="left"/>
        <w:rPr>
          <w:rFonts w:hint="eastAsia" w:ascii="宋体" w:hAnsi="宋体" w:eastAsia="宋体" w:cs="宋体"/>
          <w:color w:val="000000"/>
          <w:highlight w:val="none"/>
        </w:rPr>
      </w:pPr>
      <w:r>
        <w:rPr>
          <w:rFonts w:hint="eastAsia" w:ascii="宋体" w:hAnsi="宋体" w:eastAsia="宋体" w:cs="宋体"/>
          <w:color w:val="000000"/>
          <w:sz w:val="28"/>
          <w:highlight w:val="none"/>
        </w:rPr>
        <w:t>19.3因合同一方迟延履行合同后发生不可抗力的，不能免除迟延履行方的相应责任。</w:t>
      </w:r>
    </w:p>
    <w:p>
      <w:pPr>
        <w:widowControl/>
        <w:spacing w:line="480" w:lineRule="exact"/>
        <w:ind w:right="-15" w:firstLine="560" w:firstLineChars="200"/>
        <w:jc w:val="left"/>
        <w:outlineLvl w:val="1"/>
        <w:rPr>
          <w:rFonts w:hint="eastAsia" w:ascii="宋体" w:hAnsi="宋体" w:eastAsia="宋体" w:cs="宋体"/>
          <w:color w:val="000000"/>
          <w:sz w:val="28"/>
          <w:szCs w:val="28"/>
          <w:highlight w:val="none"/>
        </w:rPr>
      </w:pPr>
      <w:bookmarkStart w:id="83" w:name="_Toc175541509"/>
      <w:bookmarkStart w:id="84" w:name="_Toc26212"/>
      <w:r>
        <w:rPr>
          <w:rFonts w:hint="eastAsia" w:ascii="宋体" w:hAnsi="宋体" w:eastAsia="宋体" w:cs="宋体"/>
          <w:color w:val="000000"/>
          <w:sz w:val="28"/>
          <w:szCs w:val="28"/>
          <w:highlight w:val="none"/>
        </w:rPr>
        <w:t>20、 因破产而终止合同</w:t>
      </w:r>
      <w:bookmarkEnd w:id="83"/>
      <w:bookmarkEnd w:id="84"/>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20.1如果投标人破产或无清偿能力，招标人可在任何时候以书面形式通知投标人，提出终止合同而不给投标人补偿。该合同的终止将不损害或影响招标人已经采取或将要采取的任何行动或补救措施的权力。</w:t>
      </w:r>
    </w:p>
    <w:p>
      <w:pPr>
        <w:pStyle w:val="12"/>
        <w:widowControl/>
        <w:ind w:firstLine="220" w:firstLineChars="200"/>
        <w:jc w:val="left"/>
        <w:rPr>
          <w:rFonts w:hint="eastAsia" w:ascii="宋体" w:hAnsi="宋体" w:eastAsia="宋体" w:cs="宋体"/>
          <w:color w:val="000000"/>
          <w:highlight w:val="none"/>
        </w:rPr>
      </w:pPr>
    </w:p>
    <w:p>
      <w:pPr>
        <w:widowControl/>
        <w:spacing w:line="480" w:lineRule="exact"/>
        <w:ind w:right="-15" w:firstLine="560" w:firstLineChars="200"/>
        <w:jc w:val="left"/>
        <w:outlineLvl w:val="1"/>
        <w:rPr>
          <w:rFonts w:hint="eastAsia" w:ascii="宋体" w:hAnsi="宋体" w:eastAsia="宋体" w:cs="宋体"/>
          <w:color w:val="000000"/>
          <w:sz w:val="28"/>
          <w:szCs w:val="28"/>
          <w:highlight w:val="none"/>
        </w:rPr>
      </w:pPr>
      <w:bookmarkStart w:id="85" w:name="_Toc175541510"/>
      <w:bookmarkStart w:id="86" w:name="_Toc26479"/>
      <w:r>
        <w:rPr>
          <w:rFonts w:hint="eastAsia" w:ascii="宋体" w:hAnsi="宋体" w:eastAsia="宋体" w:cs="宋体"/>
          <w:color w:val="000000"/>
          <w:sz w:val="28"/>
          <w:szCs w:val="28"/>
          <w:highlight w:val="none"/>
        </w:rPr>
        <w:t>21、 因招标人的便利而终止合同</w:t>
      </w:r>
      <w:bookmarkEnd w:id="85"/>
      <w:bookmarkEnd w:id="86"/>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21.1招标人可在任何时候出于自身的便利向投标人发出书面通知或部分终止合同，终止通知应明确该终止合同是出于招标人的便利，并明确合同终止的程度，以及终止的生效日期。</w:t>
      </w:r>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21.2对投标人收到终止通知后十（</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0）天内已完成并准备装运的货物，招标人应按原合同价格和条款予以接收，对于剩下的货物，招标人可：</w:t>
      </w:r>
    </w:p>
    <w:p>
      <w:pPr>
        <w:widowControl/>
        <w:numPr>
          <w:ilvl w:val="0"/>
          <w:numId w:val="12"/>
        </w:numPr>
        <w:spacing w:line="480" w:lineRule="exact"/>
        <w:ind w:left="78" w:leftChars="37"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仅对部分货物按照原来的合同价格和条款予以接受；</w:t>
      </w:r>
    </w:p>
    <w:p>
      <w:pPr>
        <w:widowControl/>
        <w:numPr>
          <w:ilvl w:val="0"/>
          <w:numId w:val="12"/>
        </w:numPr>
        <w:spacing w:line="480" w:lineRule="exact"/>
        <w:ind w:left="73" w:leftChars="35" w:right="-15" w:firstLine="562" w:firstLineChars="201"/>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取消对所剩货物的采购并按双方商定的金额向投标人支付部分完成的货物和服务以及投标人以前已采购的材料和部件的费用。</w:t>
      </w:r>
    </w:p>
    <w:p>
      <w:pPr>
        <w:pStyle w:val="12"/>
        <w:rPr>
          <w:rFonts w:hint="eastAsia" w:ascii="宋体" w:hAnsi="宋体" w:eastAsia="宋体" w:cs="宋体"/>
          <w:color w:val="000000"/>
          <w:highlight w:val="none"/>
        </w:rPr>
      </w:pPr>
    </w:p>
    <w:p>
      <w:pPr>
        <w:widowControl/>
        <w:spacing w:line="480" w:lineRule="exact"/>
        <w:ind w:right="-15" w:firstLine="560" w:firstLineChars="200"/>
        <w:jc w:val="left"/>
        <w:outlineLvl w:val="1"/>
        <w:rPr>
          <w:rFonts w:hint="eastAsia" w:ascii="宋体" w:hAnsi="宋体" w:eastAsia="宋体" w:cs="宋体"/>
          <w:color w:val="000000"/>
          <w:sz w:val="28"/>
          <w:szCs w:val="28"/>
          <w:highlight w:val="none"/>
        </w:rPr>
      </w:pPr>
      <w:bookmarkStart w:id="87" w:name="_Toc4867"/>
      <w:bookmarkStart w:id="88" w:name="_Toc175541511"/>
      <w:r>
        <w:rPr>
          <w:rFonts w:hint="eastAsia" w:ascii="宋体" w:hAnsi="宋体" w:eastAsia="宋体" w:cs="宋体"/>
          <w:color w:val="000000"/>
          <w:sz w:val="28"/>
          <w:szCs w:val="28"/>
          <w:highlight w:val="none"/>
        </w:rPr>
        <w:t>22、 争议的解决</w:t>
      </w:r>
      <w:bookmarkEnd w:id="87"/>
      <w:bookmarkEnd w:id="88"/>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22.1在执行本合同中发生的或与本合同有关的争端，双方应通过友好的协商解决。经协商不能达成协议时，任何一方可直接向人民法院提起诉讼，诉讼地点为招标人所在地人民法院。</w:t>
      </w:r>
    </w:p>
    <w:p>
      <w:pPr>
        <w:pStyle w:val="12"/>
        <w:widowControl/>
        <w:ind w:firstLine="220" w:firstLineChars="200"/>
        <w:jc w:val="left"/>
        <w:rPr>
          <w:rFonts w:hint="eastAsia" w:ascii="宋体" w:hAnsi="宋体" w:eastAsia="宋体" w:cs="宋体"/>
          <w:color w:val="000000"/>
          <w:highlight w:val="none"/>
        </w:rPr>
      </w:pPr>
    </w:p>
    <w:p>
      <w:pPr>
        <w:widowControl/>
        <w:spacing w:line="480" w:lineRule="exact"/>
        <w:ind w:right="-15" w:firstLine="560" w:firstLineChars="200"/>
        <w:jc w:val="left"/>
        <w:outlineLvl w:val="1"/>
        <w:rPr>
          <w:rFonts w:hint="eastAsia" w:ascii="宋体" w:hAnsi="宋体" w:eastAsia="宋体" w:cs="宋体"/>
          <w:color w:val="000000"/>
          <w:sz w:val="28"/>
          <w:szCs w:val="28"/>
          <w:highlight w:val="none"/>
        </w:rPr>
      </w:pPr>
      <w:bookmarkStart w:id="89" w:name="_Toc175541512"/>
      <w:bookmarkStart w:id="90" w:name="_Toc1498"/>
      <w:r>
        <w:rPr>
          <w:rFonts w:hint="eastAsia" w:ascii="宋体" w:hAnsi="宋体" w:eastAsia="宋体" w:cs="宋体"/>
          <w:color w:val="000000"/>
          <w:sz w:val="28"/>
          <w:szCs w:val="28"/>
          <w:highlight w:val="none"/>
        </w:rPr>
        <w:t>23、 合同语言</w:t>
      </w:r>
      <w:bookmarkEnd w:id="89"/>
      <w:bookmarkEnd w:id="90"/>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23.1本合同语言为中文。双方交换的与合同有关的信函均用中文书写。</w:t>
      </w:r>
    </w:p>
    <w:p>
      <w:pPr>
        <w:pStyle w:val="12"/>
        <w:widowControl/>
        <w:ind w:firstLine="220" w:firstLineChars="200"/>
        <w:jc w:val="left"/>
        <w:rPr>
          <w:rFonts w:hint="eastAsia" w:ascii="宋体" w:hAnsi="宋体" w:eastAsia="宋体" w:cs="宋体"/>
          <w:color w:val="000000"/>
          <w:highlight w:val="none"/>
        </w:rPr>
      </w:pPr>
    </w:p>
    <w:p>
      <w:pPr>
        <w:widowControl/>
        <w:spacing w:line="480" w:lineRule="exact"/>
        <w:ind w:right="-15" w:firstLine="560" w:firstLineChars="200"/>
        <w:jc w:val="left"/>
        <w:outlineLvl w:val="1"/>
        <w:rPr>
          <w:rFonts w:hint="eastAsia" w:ascii="宋体" w:hAnsi="宋体" w:eastAsia="宋体" w:cs="宋体"/>
          <w:color w:val="000000"/>
          <w:sz w:val="28"/>
          <w:szCs w:val="28"/>
          <w:highlight w:val="none"/>
        </w:rPr>
      </w:pPr>
      <w:bookmarkStart w:id="91" w:name="_Toc1937"/>
      <w:bookmarkStart w:id="92" w:name="_Toc175541513"/>
      <w:r>
        <w:rPr>
          <w:rFonts w:hint="eastAsia" w:ascii="宋体" w:hAnsi="宋体" w:eastAsia="宋体" w:cs="宋体"/>
          <w:color w:val="000000"/>
          <w:sz w:val="28"/>
          <w:szCs w:val="28"/>
          <w:highlight w:val="none"/>
        </w:rPr>
        <w:t>24、 适用法律</w:t>
      </w:r>
      <w:bookmarkEnd w:id="91"/>
      <w:bookmarkEnd w:id="92"/>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24.1本合同应按照中华人民共和国的法律进行解释。</w:t>
      </w:r>
    </w:p>
    <w:p>
      <w:pPr>
        <w:pStyle w:val="12"/>
        <w:widowControl/>
        <w:ind w:firstLine="220" w:firstLineChars="200"/>
        <w:jc w:val="left"/>
        <w:rPr>
          <w:rFonts w:hint="eastAsia" w:ascii="宋体" w:hAnsi="宋体" w:eastAsia="宋体" w:cs="宋体"/>
          <w:color w:val="000000"/>
          <w:highlight w:val="none"/>
        </w:rPr>
      </w:pPr>
    </w:p>
    <w:p>
      <w:pPr>
        <w:widowControl/>
        <w:spacing w:line="480" w:lineRule="exact"/>
        <w:ind w:right="-15" w:firstLine="560" w:firstLineChars="200"/>
        <w:jc w:val="left"/>
        <w:outlineLvl w:val="1"/>
        <w:rPr>
          <w:rFonts w:hint="eastAsia" w:ascii="宋体" w:hAnsi="宋体" w:eastAsia="宋体" w:cs="宋体"/>
          <w:color w:val="000000"/>
          <w:sz w:val="28"/>
          <w:szCs w:val="28"/>
          <w:highlight w:val="none"/>
        </w:rPr>
      </w:pPr>
      <w:bookmarkStart w:id="93" w:name="_Toc749"/>
      <w:bookmarkStart w:id="94" w:name="_Toc175541514"/>
      <w:r>
        <w:rPr>
          <w:rFonts w:hint="eastAsia" w:ascii="宋体" w:hAnsi="宋体" w:eastAsia="宋体" w:cs="宋体"/>
          <w:color w:val="000000"/>
          <w:sz w:val="28"/>
          <w:szCs w:val="28"/>
          <w:highlight w:val="none"/>
        </w:rPr>
        <w:t>25、 通知</w:t>
      </w:r>
      <w:bookmarkEnd w:id="93"/>
      <w:bookmarkEnd w:id="94"/>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25.1本合同一方给对方的通知应用书面形式传真送到合同中规定的对方的地址。传真要经书面确认。</w:t>
      </w:r>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25.2通知以送到日期或通知书的生效日期为生效日期，两者中以晚的一个日期为准。</w:t>
      </w:r>
    </w:p>
    <w:p>
      <w:pPr>
        <w:widowControl/>
        <w:spacing w:line="480" w:lineRule="exact"/>
        <w:ind w:right="-15" w:firstLine="560" w:firstLineChars="200"/>
        <w:jc w:val="left"/>
        <w:outlineLvl w:val="1"/>
        <w:rPr>
          <w:rFonts w:hint="eastAsia" w:ascii="宋体" w:hAnsi="宋体" w:eastAsia="宋体" w:cs="宋体"/>
          <w:color w:val="000000"/>
          <w:sz w:val="28"/>
          <w:szCs w:val="28"/>
          <w:highlight w:val="none"/>
        </w:rPr>
      </w:pPr>
      <w:bookmarkStart w:id="95" w:name="_Toc175541515"/>
      <w:bookmarkStart w:id="96" w:name="_Toc8642"/>
      <w:r>
        <w:rPr>
          <w:rFonts w:hint="eastAsia" w:ascii="宋体" w:hAnsi="宋体" w:eastAsia="宋体" w:cs="宋体"/>
          <w:color w:val="000000"/>
          <w:sz w:val="28"/>
          <w:szCs w:val="28"/>
          <w:highlight w:val="none"/>
        </w:rPr>
        <w:t>26、 税款</w:t>
      </w:r>
      <w:bookmarkEnd w:id="95"/>
      <w:bookmarkEnd w:id="96"/>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26.1按照中华人民共和国税法和有关部门的规定，投标人需交纳的与本合同有关的一切税费均应由投标人负担。</w:t>
      </w:r>
    </w:p>
    <w:p>
      <w:pPr>
        <w:widowControl/>
        <w:spacing w:line="480" w:lineRule="exact"/>
        <w:ind w:right="-15" w:firstLine="560" w:firstLineChars="200"/>
        <w:jc w:val="left"/>
        <w:rPr>
          <w:rFonts w:hint="eastAsia" w:ascii="宋体" w:hAnsi="宋体" w:eastAsia="宋体" w:cs="宋体"/>
          <w:color w:val="000000"/>
          <w:sz w:val="28"/>
          <w:szCs w:val="28"/>
          <w:highlight w:val="none"/>
        </w:rPr>
      </w:pPr>
    </w:p>
    <w:p>
      <w:pPr>
        <w:widowControl/>
        <w:spacing w:line="480" w:lineRule="exact"/>
        <w:ind w:right="-15" w:firstLine="560" w:firstLineChars="200"/>
        <w:jc w:val="left"/>
        <w:outlineLvl w:val="1"/>
        <w:rPr>
          <w:rFonts w:hint="eastAsia" w:ascii="宋体" w:hAnsi="宋体" w:eastAsia="宋体" w:cs="宋体"/>
          <w:color w:val="000000"/>
          <w:sz w:val="28"/>
          <w:szCs w:val="28"/>
          <w:highlight w:val="none"/>
        </w:rPr>
      </w:pPr>
      <w:bookmarkStart w:id="97" w:name="_Toc6964"/>
      <w:bookmarkStart w:id="98" w:name="_Toc175541516"/>
      <w:r>
        <w:rPr>
          <w:rFonts w:hint="eastAsia" w:ascii="宋体" w:hAnsi="宋体" w:eastAsia="宋体" w:cs="宋体"/>
          <w:color w:val="000000"/>
          <w:sz w:val="28"/>
          <w:szCs w:val="28"/>
          <w:highlight w:val="none"/>
        </w:rPr>
        <w:t>27、 合同生效及其他</w:t>
      </w:r>
      <w:bookmarkEnd w:id="97"/>
      <w:bookmarkEnd w:id="98"/>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27.1本合同应在双方签字并加盖公章和招标人收到投标人提交的履约保证金后生效。</w:t>
      </w:r>
    </w:p>
    <w:p>
      <w:pPr>
        <w:widowControl/>
        <w:spacing w:line="480" w:lineRule="exact"/>
        <w:ind w:right="-15"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27.2下述合同附件为本合同不可分割的部分与本合同具有同等效力：</w:t>
      </w:r>
    </w:p>
    <w:p>
      <w:pPr>
        <w:widowControl/>
        <w:numPr>
          <w:ilvl w:val="0"/>
          <w:numId w:val="13"/>
        </w:numPr>
        <w:spacing w:line="480" w:lineRule="exact"/>
        <w:ind w:right="-15" w:firstLine="280" w:firstLineChars="1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供货范围及分项价格表</w:t>
      </w:r>
    </w:p>
    <w:p>
      <w:pPr>
        <w:widowControl/>
        <w:numPr>
          <w:ilvl w:val="0"/>
          <w:numId w:val="13"/>
        </w:numPr>
        <w:spacing w:line="480" w:lineRule="exact"/>
        <w:ind w:right="-15" w:firstLine="280" w:firstLineChars="1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交货批次及交货时间</w:t>
      </w:r>
    </w:p>
    <w:p>
      <w:pPr>
        <w:widowControl/>
        <w:numPr>
          <w:ilvl w:val="0"/>
          <w:numId w:val="13"/>
        </w:numPr>
        <w:spacing w:line="480" w:lineRule="exact"/>
        <w:ind w:right="-15" w:firstLine="280" w:firstLineChars="1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履约保证金</w:t>
      </w:r>
    </w:p>
    <w:p>
      <w:pPr>
        <w:widowControl/>
        <w:numPr>
          <w:ilvl w:val="0"/>
          <w:numId w:val="13"/>
        </w:numPr>
        <w:spacing w:line="480" w:lineRule="exact"/>
        <w:ind w:right="-15" w:firstLine="280" w:firstLineChars="1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招标文件、投标文件、中标通知书</w:t>
      </w:r>
    </w:p>
    <w:p>
      <w:pPr>
        <w:widowControl/>
        <w:spacing w:line="480" w:lineRule="exact"/>
        <w:ind w:right="-15"/>
        <w:jc w:val="left"/>
        <w:rPr>
          <w:rFonts w:hint="eastAsia" w:ascii="宋体" w:hAnsi="宋体" w:eastAsia="宋体" w:cs="宋体"/>
          <w:color w:val="000000"/>
          <w:sz w:val="28"/>
          <w:szCs w:val="28"/>
          <w:highlight w:val="none"/>
        </w:rPr>
      </w:pPr>
    </w:p>
    <w:p>
      <w:pPr>
        <w:widowControl/>
        <w:spacing w:line="480" w:lineRule="exact"/>
        <w:ind w:right="-15"/>
        <w:jc w:val="left"/>
        <w:rPr>
          <w:rFonts w:hint="eastAsia" w:ascii="宋体" w:hAnsi="宋体" w:eastAsia="宋体" w:cs="宋体"/>
          <w:color w:val="000000"/>
          <w:sz w:val="28"/>
          <w:szCs w:val="28"/>
          <w:highlight w:val="none"/>
        </w:rPr>
      </w:pPr>
    </w:p>
    <w:p>
      <w:pPr>
        <w:widowControl/>
        <w:spacing w:line="480" w:lineRule="exact"/>
        <w:ind w:right="-15"/>
        <w:jc w:val="left"/>
        <w:rPr>
          <w:rFonts w:hint="eastAsia" w:ascii="宋体" w:hAnsi="宋体" w:eastAsia="宋体" w:cs="宋体"/>
          <w:color w:val="000000"/>
          <w:sz w:val="28"/>
          <w:szCs w:val="28"/>
          <w:highlight w:val="none"/>
        </w:rPr>
      </w:pPr>
    </w:p>
    <w:p>
      <w:pPr>
        <w:widowControl/>
        <w:spacing w:line="480" w:lineRule="exact"/>
        <w:ind w:right="-15"/>
        <w:jc w:val="left"/>
        <w:rPr>
          <w:rFonts w:hint="eastAsia" w:ascii="宋体" w:hAnsi="宋体" w:eastAsia="宋体" w:cs="宋体"/>
          <w:color w:val="000000"/>
          <w:sz w:val="28"/>
          <w:szCs w:val="28"/>
          <w:highlight w:val="none"/>
        </w:rPr>
      </w:pPr>
    </w:p>
    <w:p>
      <w:pPr>
        <w:widowControl/>
        <w:spacing w:line="480" w:lineRule="exact"/>
        <w:ind w:right="-15"/>
        <w:jc w:val="left"/>
        <w:rPr>
          <w:rFonts w:hint="eastAsia" w:ascii="宋体" w:hAnsi="宋体" w:eastAsia="宋体" w:cs="宋体"/>
          <w:color w:val="000000"/>
          <w:sz w:val="28"/>
          <w:szCs w:val="28"/>
          <w:highlight w:val="none"/>
        </w:rPr>
      </w:pPr>
    </w:p>
    <w:p>
      <w:pPr>
        <w:widowControl/>
        <w:spacing w:line="480" w:lineRule="exact"/>
        <w:ind w:right="-15"/>
        <w:jc w:val="left"/>
        <w:rPr>
          <w:rFonts w:hint="eastAsia" w:ascii="宋体" w:hAnsi="宋体" w:eastAsia="宋体" w:cs="宋体"/>
          <w:color w:val="000000"/>
          <w:sz w:val="28"/>
          <w:szCs w:val="28"/>
          <w:highlight w:val="none"/>
        </w:rPr>
      </w:pPr>
    </w:p>
    <w:p>
      <w:pPr>
        <w:pStyle w:val="2"/>
        <w:rPr>
          <w:rFonts w:hint="eastAsia" w:ascii="宋体" w:hAnsi="宋体" w:eastAsia="宋体" w:cs="宋体"/>
          <w:highlight w:val="none"/>
        </w:rPr>
      </w:pPr>
    </w:p>
    <w:p>
      <w:pPr>
        <w:widowControl/>
        <w:spacing w:line="480" w:lineRule="exact"/>
        <w:ind w:right="-15"/>
        <w:jc w:val="left"/>
        <w:rPr>
          <w:rFonts w:hint="eastAsia" w:ascii="宋体" w:hAnsi="宋体" w:eastAsia="宋体" w:cs="宋体"/>
          <w:color w:val="000000"/>
          <w:sz w:val="28"/>
          <w:szCs w:val="28"/>
          <w:highlight w:val="none"/>
        </w:rPr>
      </w:pPr>
    </w:p>
    <w:p>
      <w:pPr>
        <w:pStyle w:val="12"/>
        <w:spacing w:line="520" w:lineRule="exact"/>
        <w:jc w:val="center"/>
        <w:outlineLvl w:val="0"/>
        <w:rPr>
          <w:rFonts w:hint="eastAsia" w:ascii="宋体" w:hAnsi="宋体" w:eastAsia="宋体" w:cs="宋体"/>
          <w:color w:val="000000"/>
          <w:sz w:val="28"/>
          <w:highlight w:val="none"/>
        </w:rPr>
      </w:pPr>
      <w:bookmarkStart w:id="99" w:name="_Toc21244"/>
      <w:bookmarkStart w:id="100" w:name="_Toc175541517"/>
      <w:bookmarkStart w:id="101" w:name="_Toc21207"/>
      <w:r>
        <w:rPr>
          <w:rFonts w:hint="eastAsia" w:ascii="宋体" w:hAnsi="宋体" w:eastAsia="宋体" w:cs="宋体"/>
          <w:color w:val="000000"/>
          <w:sz w:val="44"/>
          <w:highlight w:val="none"/>
        </w:rPr>
        <w:t>第四部分  合同书</w:t>
      </w:r>
      <w:bookmarkEnd w:id="99"/>
      <w:bookmarkEnd w:id="100"/>
      <w:bookmarkEnd w:id="101"/>
    </w:p>
    <w:p>
      <w:pPr>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合同书编号：</w:t>
      </w:r>
      <w:r>
        <w:rPr>
          <w:rFonts w:hint="eastAsia" w:ascii="宋体" w:hAnsi="宋体" w:eastAsia="宋体" w:cs="宋体"/>
          <w:color w:val="000000"/>
          <w:sz w:val="28"/>
          <w:highlight w:val="none"/>
          <w:u w:val="single"/>
        </w:rPr>
        <w:t xml:space="preserve">                     </w:t>
      </w:r>
    </w:p>
    <w:p>
      <w:pPr>
        <w:pStyle w:val="12"/>
        <w:spacing w:line="480" w:lineRule="exact"/>
        <w:ind w:right="-17" w:firstLine="646"/>
        <w:rPr>
          <w:rFonts w:hint="eastAsia" w:ascii="宋体" w:hAnsi="宋体" w:eastAsia="宋体" w:cs="宋体"/>
          <w:color w:val="000000"/>
          <w:sz w:val="28"/>
          <w:highlight w:val="none"/>
        </w:rPr>
      </w:pPr>
      <w:r>
        <w:rPr>
          <w:rFonts w:hint="eastAsia" w:ascii="宋体" w:hAnsi="宋体" w:eastAsia="宋体" w:cs="宋体"/>
          <w:color w:val="000000"/>
          <w:sz w:val="28"/>
          <w:highlight w:val="none"/>
        </w:rPr>
        <w:t>本合同于</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年</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月</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日由</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（以下简称甲方）与</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（以下简称乙方）签订。乙方愿以总价格</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元人民币（分别用大写和阿拉伯数字书写）向甲方提供 </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设备，并经双方协商同意下列条文：</w:t>
      </w:r>
    </w:p>
    <w:p>
      <w:pPr>
        <w:pStyle w:val="12"/>
        <w:spacing w:line="480" w:lineRule="exact"/>
        <w:ind w:right="-17" w:firstLine="570"/>
        <w:rPr>
          <w:rFonts w:hint="eastAsia" w:ascii="宋体" w:hAnsi="宋体" w:eastAsia="宋体" w:cs="宋体"/>
          <w:color w:val="000000"/>
          <w:sz w:val="28"/>
          <w:highlight w:val="none"/>
        </w:rPr>
      </w:pPr>
      <w:r>
        <w:rPr>
          <w:rFonts w:hint="eastAsia" w:ascii="宋体" w:hAnsi="宋体" w:eastAsia="宋体" w:cs="宋体"/>
          <w:color w:val="000000"/>
          <w:sz w:val="28"/>
          <w:highlight w:val="none"/>
        </w:rPr>
        <w:t>（一）本合同甲乙双方必须遵守国家颁布的《合同法》，并各行应负的全部责任。</w:t>
      </w:r>
    </w:p>
    <w:p>
      <w:pPr>
        <w:pStyle w:val="12"/>
        <w:spacing w:line="480" w:lineRule="exact"/>
        <w:ind w:right="-17"/>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（二）下列文件均为本合同不可分割部分，同具有法律效力。</w:t>
      </w:r>
    </w:p>
    <w:p>
      <w:pPr>
        <w:pStyle w:val="12"/>
        <w:spacing w:line="480" w:lineRule="exact"/>
        <w:ind w:right="-17"/>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1、合同书；</w:t>
      </w:r>
    </w:p>
    <w:p>
      <w:pPr>
        <w:pStyle w:val="12"/>
        <w:spacing w:line="480" w:lineRule="exact"/>
        <w:ind w:right="-17"/>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2、中标通知书；</w:t>
      </w:r>
    </w:p>
    <w:p>
      <w:pPr>
        <w:pStyle w:val="12"/>
        <w:spacing w:line="480" w:lineRule="exact"/>
        <w:ind w:right="-17"/>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3、乙方中标的设备投标标书；</w:t>
      </w:r>
    </w:p>
    <w:p>
      <w:pPr>
        <w:pStyle w:val="12"/>
        <w:spacing w:line="480" w:lineRule="exact"/>
        <w:ind w:right="-17" w:firstLine="570"/>
        <w:rPr>
          <w:rFonts w:hint="eastAsia" w:ascii="宋体" w:hAnsi="宋体" w:eastAsia="宋体" w:cs="宋体"/>
          <w:color w:val="000000"/>
          <w:sz w:val="28"/>
          <w:highlight w:val="none"/>
        </w:rPr>
      </w:pPr>
      <w:r>
        <w:rPr>
          <w:rFonts w:hint="eastAsia" w:ascii="宋体" w:hAnsi="宋体" w:eastAsia="宋体" w:cs="宋体"/>
          <w:color w:val="000000"/>
          <w:sz w:val="28"/>
          <w:highlight w:val="none"/>
        </w:rPr>
        <w:t>4、招标书；</w:t>
      </w:r>
    </w:p>
    <w:p>
      <w:pPr>
        <w:pStyle w:val="12"/>
        <w:spacing w:line="480" w:lineRule="exact"/>
        <w:ind w:right="-17" w:firstLine="570"/>
        <w:rPr>
          <w:rFonts w:hint="eastAsia" w:ascii="宋体" w:hAnsi="宋体" w:eastAsia="宋体" w:cs="宋体"/>
          <w:color w:val="000000"/>
          <w:sz w:val="28"/>
          <w:highlight w:val="none"/>
        </w:rPr>
      </w:pPr>
      <w:r>
        <w:rPr>
          <w:rFonts w:hint="eastAsia" w:ascii="宋体" w:hAnsi="宋体" w:eastAsia="宋体" w:cs="宋体"/>
          <w:color w:val="000000"/>
          <w:sz w:val="28"/>
          <w:highlight w:val="none"/>
        </w:rPr>
        <w:t>5、乙方对甲方的承诺；</w:t>
      </w:r>
    </w:p>
    <w:p>
      <w:pPr>
        <w:pStyle w:val="12"/>
        <w:spacing w:line="480" w:lineRule="exact"/>
        <w:ind w:right="-17"/>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（三）乙方保证全部按照《合同法》的规定和交货期向甲方提供上述合格的设备和服务。</w:t>
      </w:r>
    </w:p>
    <w:p>
      <w:pPr>
        <w:pStyle w:val="12"/>
        <w:spacing w:line="480" w:lineRule="exact"/>
        <w:ind w:right="-17"/>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（四）甲方保证按合同规定的时间和方式付给乙方到期应付的货款。</w:t>
      </w:r>
    </w:p>
    <w:p>
      <w:pPr>
        <w:pStyle w:val="12"/>
        <w:spacing w:line="480" w:lineRule="exact"/>
        <w:ind w:right="-17" w:firstLine="570"/>
        <w:rPr>
          <w:rFonts w:hint="eastAsia" w:ascii="宋体" w:hAnsi="宋体" w:eastAsia="宋体" w:cs="宋体"/>
          <w:color w:val="000000"/>
          <w:sz w:val="28"/>
          <w:highlight w:val="none"/>
        </w:rPr>
      </w:pPr>
      <w:r>
        <w:rPr>
          <w:rFonts w:hint="eastAsia" w:ascii="宋体" w:hAnsi="宋体" w:eastAsia="宋体" w:cs="宋体"/>
          <w:color w:val="000000"/>
          <w:sz w:val="28"/>
          <w:highlight w:val="none"/>
        </w:rPr>
        <w:t>（五）如由于乙方产品质量影响甲方验收及使用，乙方应承担由此而造成的一切经济损失。</w:t>
      </w:r>
    </w:p>
    <w:p>
      <w:pPr>
        <w:pStyle w:val="12"/>
        <w:spacing w:line="480" w:lineRule="exact"/>
        <w:ind w:right="-17" w:firstLine="570"/>
        <w:rPr>
          <w:rFonts w:hint="eastAsia" w:ascii="宋体" w:hAnsi="宋体" w:eastAsia="宋体" w:cs="宋体"/>
          <w:color w:val="000000"/>
          <w:sz w:val="28"/>
          <w:highlight w:val="none"/>
        </w:rPr>
      </w:pPr>
      <w:r>
        <w:rPr>
          <w:rFonts w:hint="eastAsia" w:ascii="宋体" w:hAnsi="宋体" w:eastAsia="宋体" w:cs="宋体"/>
          <w:color w:val="000000"/>
          <w:sz w:val="28"/>
          <w:highlight w:val="none"/>
        </w:rPr>
        <w:t>（六）本合同书一式两份，甲乙双方各执一份。</w:t>
      </w:r>
    </w:p>
    <w:p>
      <w:pPr>
        <w:pStyle w:val="12"/>
        <w:spacing w:line="560" w:lineRule="exact"/>
        <w:ind w:right="-17"/>
        <w:rPr>
          <w:rFonts w:hint="eastAsia" w:ascii="宋体" w:hAnsi="宋体" w:eastAsia="宋体" w:cs="宋体"/>
          <w:color w:val="000000"/>
          <w:sz w:val="28"/>
          <w:highlight w:val="none"/>
          <w:u w:val="single"/>
        </w:rPr>
      </w:pPr>
      <w:r>
        <w:rPr>
          <w:rFonts w:hint="eastAsia" w:ascii="宋体" w:hAnsi="宋体" w:eastAsia="宋体" w:cs="宋体"/>
          <w:color w:val="000000"/>
          <w:sz w:val="28"/>
          <w:highlight w:val="none"/>
        </w:rPr>
        <w:t>需    方:</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供    方:</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鉴证单位:</w:t>
      </w:r>
      <w:r>
        <w:rPr>
          <w:rFonts w:hint="eastAsia" w:ascii="宋体" w:hAnsi="宋体" w:eastAsia="宋体" w:cs="宋体"/>
          <w:color w:val="000000"/>
          <w:sz w:val="28"/>
          <w:highlight w:val="none"/>
          <w:u w:val="single"/>
        </w:rPr>
        <w:t xml:space="preserve">           </w:t>
      </w:r>
    </w:p>
    <w:p>
      <w:pPr>
        <w:pStyle w:val="12"/>
        <w:spacing w:line="560" w:lineRule="exact"/>
        <w:ind w:right="-17"/>
        <w:rPr>
          <w:rFonts w:hint="eastAsia" w:ascii="宋体" w:hAnsi="宋体" w:eastAsia="宋体" w:cs="宋体"/>
          <w:color w:val="000000"/>
          <w:sz w:val="28"/>
          <w:highlight w:val="none"/>
          <w:u w:val="single"/>
        </w:rPr>
      </w:pPr>
      <w:r>
        <w:rPr>
          <w:rFonts w:hint="eastAsia" w:ascii="宋体" w:hAnsi="宋体" w:eastAsia="宋体" w:cs="宋体"/>
          <w:color w:val="000000"/>
          <w:sz w:val="28"/>
          <w:highlight w:val="none"/>
        </w:rPr>
        <w:t>单位盖章:</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单位盖章:</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单位盖章:</w:t>
      </w:r>
      <w:r>
        <w:rPr>
          <w:rFonts w:hint="eastAsia" w:ascii="宋体" w:hAnsi="宋体" w:eastAsia="宋体" w:cs="宋体"/>
          <w:color w:val="000000"/>
          <w:sz w:val="28"/>
          <w:highlight w:val="none"/>
          <w:u w:val="single"/>
        </w:rPr>
        <w:t xml:space="preserve">           </w:t>
      </w:r>
    </w:p>
    <w:p>
      <w:pPr>
        <w:pStyle w:val="12"/>
        <w:spacing w:line="560" w:lineRule="exact"/>
        <w:ind w:right="-17"/>
        <w:rPr>
          <w:rFonts w:hint="eastAsia" w:ascii="宋体" w:hAnsi="宋体" w:eastAsia="宋体" w:cs="宋体"/>
          <w:color w:val="000000"/>
          <w:sz w:val="28"/>
          <w:highlight w:val="none"/>
          <w:u w:val="single"/>
        </w:rPr>
      </w:pPr>
      <w:r>
        <w:rPr>
          <w:rFonts w:hint="eastAsia" w:ascii="宋体" w:hAnsi="宋体" w:eastAsia="宋体" w:cs="宋体"/>
          <w:color w:val="000000"/>
          <w:sz w:val="28"/>
          <w:highlight w:val="none"/>
        </w:rPr>
        <w:t>代表签字:</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代表签字:</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代表签字:</w:t>
      </w:r>
      <w:r>
        <w:rPr>
          <w:rFonts w:hint="eastAsia" w:ascii="宋体" w:hAnsi="宋体" w:eastAsia="宋体" w:cs="宋体"/>
          <w:color w:val="000000"/>
          <w:sz w:val="28"/>
          <w:highlight w:val="none"/>
          <w:u w:val="single"/>
        </w:rPr>
        <w:t xml:space="preserve">           </w:t>
      </w:r>
    </w:p>
    <w:p>
      <w:pPr>
        <w:pStyle w:val="12"/>
        <w:spacing w:line="360" w:lineRule="exact"/>
        <w:ind w:right="-17"/>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w:t>
      </w:r>
    </w:p>
    <w:p>
      <w:pPr>
        <w:pStyle w:val="12"/>
        <w:ind w:right="-195"/>
        <w:jc w:val="both"/>
        <w:outlineLvl w:val="0"/>
        <w:rPr>
          <w:rFonts w:hint="eastAsia" w:ascii="宋体" w:hAnsi="宋体" w:eastAsia="宋体" w:cs="宋体"/>
          <w:color w:val="000000"/>
          <w:sz w:val="28"/>
          <w:highlight w:val="none"/>
        </w:rPr>
      </w:pPr>
      <w:r>
        <w:rPr>
          <w:rFonts w:hint="eastAsia" w:ascii="宋体" w:hAnsi="宋体" w:eastAsia="宋体" w:cs="宋体"/>
          <w:color w:val="000000"/>
          <w:sz w:val="28"/>
          <w:highlight w:val="none"/>
        </w:rPr>
        <w:t xml:space="preserve">                                      </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年</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月</w:t>
      </w:r>
      <w:r>
        <w:rPr>
          <w:rFonts w:hint="eastAsia" w:ascii="宋体" w:hAnsi="宋体" w:eastAsia="宋体" w:cs="宋体"/>
          <w:color w:val="000000"/>
          <w:sz w:val="28"/>
          <w:highlight w:val="none"/>
          <w:u w:val="single"/>
        </w:rPr>
        <w:t xml:space="preserve">    </w:t>
      </w:r>
      <w:r>
        <w:rPr>
          <w:rFonts w:hint="eastAsia" w:ascii="宋体" w:hAnsi="宋体" w:eastAsia="宋体" w:cs="宋体"/>
          <w:color w:val="000000"/>
          <w:sz w:val="28"/>
          <w:highlight w:val="none"/>
        </w:rPr>
        <w:t xml:space="preserve"> 日</w:t>
      </w:r>
      <w:bookmarkStart w:id="102" w:name="_Toc175541519"/>
      <w:bookmarkStart w:id="103" w:name="_Toc3562"/>
      <w:bookmarkStart w:id="104" w:name="_Toc9875"/>
    </w:p>
    <w:p>
      <w:pPr>
        <w:pStyle w:val="12"/>
        <w:ind w:right="-195"/>
        <w:jc w:val="both"/>
        <w:outlineLvl w:val="0"/>
        <w:rPr>
          <w:rFonts w:hint="eastAsia" w:ascii="宋体" w:hAnsi="宋体" w:eastAsia="宋体" w:cs="宋体"/>
          <w:color w:val="000000"/>
          <w:sz w:val="28"/>
          <w:highlight w:val="none"/>
        </w:rPr>
      </w:pPr>
    </w:p>
    <w:p>
      <w:pPr>
        <w:pStyle w:val="12"/>
        <w:ind w:right="-195"/>
        <w:jc w:val="center"/>
        <w:outlineLvl w:val="0"/>
        <w:rPr>
          <w:rFonts w:hint="eastAsia" w:ascii="宋体" w:hAnsi="宋体" w:eastAsia="宋体" w:cs="宋体"/>
          <w:color w:val="000000"/>
          <w:sz w:val="48"/>
          <w:highlight w:val="none"/>
        </w:rPr>
      </w:pPr>
    </w:p>
    <w:p>
      <w:pPr>
        <w:pStyle w:val="12"/>
        <w:ind w:right="-195"/>
        <w:jc w:val="center"/>
        <w:outlineLvl w:val="0"/>
        <w:rPr>
          <w:rFonts w:hint="eastAsia" w:ascii="宋体" w:hAnsi="宋体" w:eastAsia="宋体" w:cs="宋体"/>
          <w:color w:val="000000"/>
          <w:sz w:val="48"/>
          <w:highlight w:val="none"/>
        </w:rPr>
      </w:pPr>
      <w:r>
        <w:rPr>
          <w:rFonts w:hint="eastAsia" w:ascii="宋体" w:hAnsi="宋体" w:eastAsia="宋体" w:cs="宋体"/>
          <w:color w:val="000000"/>
          <w:sz w:val="48"/>
          <w:highlight w:val="none"/>
        </w:rPr>
        <w:t>第</w:t>
      </w:r>
      <w:r>
        <w:rPr>
          <w:rFonts w:hint="eastAsia" w:hAnsi="宋体" w:cs="宋体"/>
          <w:color w:val="000000"/>
          <w:sz w:val="48"/>
          <w:highlight w:val="none"/>
          <w:lang w:eastAsia="zh-CN"/>
        </w:rPr>
        <w:t>五</w:t>
      </w:r>
      <w:r>
        <w:rPr>
          <w:rFonts w:hint="eastAsia" w:ascii="宋体" w:hAnsi="宋体" w:eastAsia="宋体" w:cs="宋体"/>
          <w:color w:val="000000"/>
          <w:sz w:val="48"/>
          <w:highlight w:val="none"/>
        </w:rPr>
        <w:t>部分 技术规格及其它要求</w:t>
      </w:r>
      <w:bookmarkEnd w:id="102"/>
      <w:bookmarkEnd w:id="103"/>
      <w:bookmarkEnd w:id="104"/>
    </w:p>
    <w:p>
      <w:pPr>
        <w:pStyle w:val="12"/>
        <w:spacing w:line="480" w:lineRule="exact"/>
        <w:ind w:right="-195"/>
        <w:rPr>
          <w:rFonts w:hint="eastAsia" w:ascii="宋体" w:hAnsi="宋体" w:eastAsia="宋体" w:cs="宋体"/>
          <w:color w:val="000000"/>
          <w:sz w:val="32"/>
          <w:highlight w:val="none"/>
        </w:rPr>
      </w:pPr>
    </w:p>
    <w:p>
      <w:pPr>
        <w:pStyle w:val="12"/>
        <w:spacing w:line="520" w:lineRule="exact"/>
        <w:ind w:right="24" w:firstLine="482" w:firstLineChars="200"/>
        <w:outlineLvl w:val="1"/>
        <w:rPr>
          <w:rFonts w:hint="eastAsia" w:ascii="宋体" w:hAnsi="宋体" w:eastAsia="宋体" w:cs="宋体"/>
          <w:b/>
          <w:bCs/>
          <w:color w:val="000000"/>
          <w:sz w:val="24"/>
          <w:szCs w:val="24"/>
          <w:highlight w:val="none"/>
        </w:rPr>
      </w:pPr>
      <w:bookmarkStart w:id="105" w:name="_Toc175541520"/>
      <w:bookmarkStart w:id="106" w:name="_Toc15495"/>
      <w:r>
        <w:rPr>
          <w:rFonts w:hint="eastAsia" w:ascii="宋体" w:hAnsi="宋体" w:eastAsia="宋体" w:cs="宋体"/>
          <w:b/>
          <w:bCs/>
          <w:color w:val="000000"/>
          <w:sz w:val="24"/>
          <w:szCs w:val="24"/>
          <w:highlight w:val="none"/>
        </w:rPr>
        <w:t>一、总则</w:t>
      </w:r>
      <w:bookmarkEnd w:id="105"/>
      <w:bookmarkEnd w:id="106"/>
    </w:p>
    <w:p>
      <w:pPr>
        <w:pStyle w:val="12"/>
        <w:spacing w:line="520" w:lineRule="exact"/>
        <w:ind w:right="2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1.本章条款仅限于</w:t>
      </w:r>
      <w:r>
        <w:rPr>
          <w:rFonts w:hint="eastAsia" w:ascii="宋体" w:hAnsi="宋体" w:eastAsia="宋体" w:cs="宋体"/>
          <w:color w:val="000000"/>
          <w:sz w:val="24"/>
          <w:szCs w:val="24"/>
          <w:highlight w:val="none"/>
          <w:lang w:eastAsia="zh-CN"/>
        </w:rPr>
        <w:t>霍城县农业水价综合改革计量设施建设项目</w:t>
      </w:r>
      <w:r>
        <w:rPr>
          <w:rFonts w:hint="eastAsia" w:ascii="宋体" w:hAnsi="宋体" w:eastAsia="宋体" w:cs="宋体"/>
          <w:color w:val="000000"/>
          <w:sz w:val="24"/>
          <w:szCs w:val="24"/>
          <w:highlight w:val="none"/>
        </w:rPr>
        <w:t>。</w:t>
      </w:r>
    </w:p>
    <w:p>
      <w:pPr>
        <w:pStyle w:val="12"/>
        <w:spacing w:line="520" w:lineRule="exact"/>
        <w:ind w:right="2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 投标单位应按照系统要求按期完成</w:t>
      </w:r>
      <w:r>
        <w:rPr>
          <w:rFonts w:hint="eastAsia" w:ascii="宋体" w:hAnsi="宋体" w:eastAsia="宋体" w:cs="宋体"/>
          <w:color w:val="000000"/>
          <w:sz w:val="24"/>
          <w:szCs w:val="24"/>
          <w:highlight w:val="none"/>
          <w:lang w:eastAsia="zh-CN"/>
        </w:rPr>
        <w:t>运输</w:t>
      </w:r>
      <w:r>
        <w:rPr>
          <w:rFonts w:hint="eastAsia" w:ascii="宋体" w:hAnsi="宋体" w:eastAsia="宋体" w:cs="宋体"/>
          <w:color w:val="000000"/>
          <w:sz w:val="24"/>
          <w:szCs w:val="24"/>
          <w:highlight w:val="none"/>
        </w:rPr>
        <w:t>设备安装及调试，所需各类设备要按要求及所完成的任务安装到位。系统设备安装应符合设备本身所达到的性能指标。</w:t>
      </w:r>
    </w:p>
    <w:p>
      <w:pPr>
        <w:pStyle w:val="12"/>
        <w:spacing w:line="520" w:lineRule="exact"/>
        <w:ind w:right="2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3.如果投标人没有以书面形式对本章条款提出异议，招标人就可以认为投标人提供产品符合本章条款要求。</w:t>
      </w:r>
    </w:p>
    <w:p>
      <w:pPr>
        <w:pStyle w:val="12"/>
        <w:spacing w:line="520" w:lineRule="exact"/>
        <w:ind w:right="24"/>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4.在签订合同之后，招标人有权提出因规范标准有变化而产生的一些补充要求。</w:t>
      </w:r>
    </w:p>
    <w:p>
      <w:pPr>
        <w:pStyle w:val="12"/>
        <w:spacing w:line="520" w:lineRule="exact"/>
        <w:ind w:right="30" w:firstLine="5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5.本章条款使用标准如与投标人所执行标准发生矛盾时，按较高标准执行。</w:t>
      </w:r>
    </w:p>
    <w:p>
      <w:pPr>
        <w:pStyle w:val="12"/>
        <w:spacing w:line="520" w:lineRule="exact"/>
        <w:ind w:right="30" w:firstLine="5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6.本章未列出的本次招标产品所依据的制造、检验标准，投标人须在投标文件中列出。</w:t>
      </w:r>
    </w:p>
    <w:p>
      <w:pPr>
        <w:pStyle w:val="12"/>
        <w:spacing w:line="520" w:lineRule="exact"/>
        <w:ind w:right="30" w:firstLine="5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7.本次招标所包括的主件及其它辅助材料等均由中标单位（投标人）负责供货，经验收合格后交付招标人使用。</w:t>
      </w:r>
    </w:p>
    <w:p>
      <w:pPr>
        <w:pStyle w:val="12"/>
        <w:spacing w:line="520" w:lineRule="exact"/>
        <w:ind w:right="24" w:firstLine="482" w:firstLineChars="200"/>
        <w:outlineLvl w:val="1"/>
        <w:rPr>
          <w:rFonts w:hint="eastAsia" w:ascii="宋体" w:hAnsi="宋体" w:eastAsia="宋体" w:cs="宋体"/>
          <w:b/>
          <w:bCs/>
          <w:color w:val="000000"/>
          <w:sz w:val="24"/>
          <w:szCs w:val="24"/>
          <w:highlight w:val="none"/>
        </w:rPr>
      </w:pPr>
      <w:bookmarkStart w:id="107" w:name="_Toc8671"/>
      <w:bookmarkStart w:id="108" w:name="_Toc175541522"/>
      <w:r>
        <w:rPr>
          <w:rFonts w:hint="eastAsia" w:ascii="宋体" w:hAnsi="宋体" w:eastAsia="宋体" w:cs="宋体"/>
          <w:b/>
          <w:bCs/>
          <w:color w:val="000000"/>
          <w:sz w:val="24"/>
          <w:szCs w:val="24"/>
          <w:highlight w:val="none"/>
        </w:rPr>
        <w:t>二、其他要求</w:t>
      </w:r>
      <w:bookmarkEnd w:id="107"/>
      <w:bookmarkEnd w:id="108"/>
    </w:p>
    <w:p>
      <w:pPr>
        <w:pStyle w:val="12"/>
        <w:spacing w:line="520" w:lineRule="exact"/>
        <w:ind w:right="30" w:firstLine="5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1、与本次采购设备相关的备品、配件由投标人提供。</w:t>
      </w:r>
    </w:p>
    <w:p>
      <w:pPr>
        <w:pStyle w:val="12"/>
        <w:spacing w:line="520" w:lineRule="exact"/>
        <w:ind w:right="30" w:firstLine="5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2、能充分实现硬件设备的功能，满足系统各项任务要求，操作方便，稳定可靠。</w:t>
      </w:r>
    </w:p>
    <w:p>
      <w:pPr>
        <w:pStyle w:val="12"/>
        <w:spacing w:line="520" w:lineRule="exact"/>
        <w:ind w:right="30" w:firstLine="525"/>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3、送货上门。报价含运输费税金等一切相关费用。</w:t>
      </w:r>
    </w:p>
    <w:p>
      <w:pPr>
        <w:pStyle w:val="12"/>
        <w:spacing w:line="520" w:lineRule="exact"/>
        <w:ind w:right="24" w:firstLine="482" w:firstLineChars="200"/>
        <w:outlineLvl w:val="1"/>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三、招标设备技术规格</w:t>
      </w:r>
    </w:p>
    <w:p>
      <w:pPr>
        <w:pStyle w:val="2"/>
        <w:rPr>
          <w:rFonts w:hint="eastAsia" w:ascii="宋体" w:hAnsi="宋体" w:eastAsia="宋体" w:cs="宋体"/>
          <w:highlight w:val="none"/>
          <w:lang w:val="en-US" w:eastAsia="zh-CN"/>
        </w:rPr>
      </w:pPr>
    </w:p>
    <w:p>
      <w:pPr>
        <w:ind w:firstLine="1260" w:firstLineChars="6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详见招标设备清单 </w:t>
      </w:r>
    </w:p>
    <w:p>
      <w:pPr>
        <w:pStyle w:val="12"/>
        <w:spacing w:line="520" w:lineRule="exact"/>
        <w:ind w:right="24" w:firstLine="482" w:firstLineChars="200"/>
        <w:outlineLvl w:val="1"/>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四、技术要求</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1项目建设背景及建设依据</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1.1项目建设背景</w:t>
      </w:r>
    </w:p>
    <w:p>
      <w:pPr>
        <w:pStyle w:val="37"/>
        <w:spacing w:line="360" w:lineRule="auto"/>
        <w:ind w:firstLine="500"/>
        <w:rPr>
          <w:rFonts w:hint="eastAsia" w:ascii="宋体" w:hAnsi="宋体" w:eastAsia="宋体" w:cs="宋体"/>
          <w:color w:val="000000"/>
          <w:sz w:val="24"/>
          <w:szCs w:val="24"/>
        </w:rPr>
      </w:pPr>
      <w:r>
        <w:rPr>
          <w:rFonts w:hint="eastAsia" w:ascii="宋体" w:hAnsi="宋体" w:eastAsia="宋体" w:cs="宋体"/>
          <w:color w:val="000000"/>
          <w:sz w:val="24"/>
          <w:szCs w:val="24"/>
        </w:rPr>
        <w:t>为贯彻落实国家网络强国战略、</w:t>
      </w:r>
      <w:r>
        <w:rPr>
          <w:rFonts w:hint="eastAsia" w:ascii="宋体" w:hAnsi="宋体" w:eastAsia="宋体" w:cs="宋体"/>
          <w:color w:val="000000"/>
          <w:sz w:val="24"/>
          <w:szCs w:val="24"/>
          <w:lang w:val="zh-CN" w:eastAsia="zh-CN" w:bidi="zh-CN"/>
        </w:rPr>
        <w:t>“互</w:t>
      </w:r>
      <w:r>
        <w:rPr>
          <w:rFonts w:hint="eastAsia" w:ascii="宋体" w:hAnsi="宋体" w:eastAsia="宋体" w:cs="宋体"/>
          <w:color w:val="000000"/>
          <w:sz w:val="24"/>
          <w:szCs w:val="24"/>
        </w:rPr>
        <w:t>联网</w:t>
      </w:r>
      <w:r>
        <w:rPr>
          <w:rFonts w:hint="eastAsia" w:ascii="宋体" w:hAnsi="宋体" w:eastAsia="宋体" w:cs="宋体"/>
          <w:color w:val="000000"/>
          <w:sz w:val="24"/>
          <w:szCs w:val="24"/>
          <w:lang w:val="en-US" w:eastAsia="zh-CN" w:bidi="en-US"/>
        </w:rPr>
        <w:t>+"</w:t>
      </w:r>
      <w:r>
        <w:rPr>
          <w:rFonts w:hint="eastAsia" w:ascii="宋体" w:hAnsi="宋体" w:eastAsia="宋体" w:cs="宋体"/>
          <w:color w:val="000000"/>
          <w:sz w:val="24"/>
          <w:szCs w:val="24"/>
        </w:rPr>
        <w:t>行动计划及大数据战略，科学指导全国水利信息化建设，紧紧围绕“十三五”水利信息化发展的目标，以需求为导向，以应用促发展，全面规划、统筹兼顾、突出重点、整体推进，加强资源整合与共享利用，完善信息化工作体制与发展机制，提升灌区综合决策能力，努力为民生水利发展新需求提供有力支撑，以信息技术与水利业务深度融合为基础，以整合优化与共享利用信息资源为重点，建设灌区水利信息化平台，促进灌区事业的科学可持续发展。</w:t>
      </w:r>
    </w:p>
    <w:p>
      <w:pPr>
        <w:pStyle w:val="37"/>
        <w:spacing w:line="360" w:lineRule="auto"/>
        <w:ind w:firstLine="500"/>
        <w:rPr>
          <w:rFonts w:hint="eastAsia" w:ascii="宋体" w:hAnsi="宋体" w:eastAsia="宋体" w:cs="宋体"/>
          <w:color w:val="000000"/>
          <w:sz w:val="24"/>
          <w:szCs w:val="24"/>
        </w:rPr>
      </w:pPr>
      <w:r>
        <w:rPr>
          <w:rFonts w:hint="eastAsia" w:ascii="宋体" w:hAnsi="宋体" w:eastAsia="宋体" w:cs="宋体"/>
          <w:color w:val="000000"/>
          <w:sz w:val="24"/>
          <w:szCs w:val="24"/>
        </w:rPr>
        <w:t>根据水利部印发的《水利信息化发展</w:t>
      </w:r>
      <w:r>
        <w:rPr>
          <w:rFonts w:hint="eastAsia" w:ascii="宋体" w:hAnsi="宋体" w:eastAsia="宋体" w:cs="宋体"/>
          <w:color w:val="000000"/>
          <w:sz w:val="24"/>
          <w:szCs w:val="24"/>
          <w:lang w:val="zh-CN" w:eastAsia="zh-CN" w:bidi="zh-CN"/>
        </w:rPr>
        <w:t>“十</w:t>
      </w:r>
      <w:r>
        <w:rPr>
          <w:rFonts w:hint="eastAsia" w:ascii="宋体" w:hAnsi="宋体" w:eastAsia="宋体" w:cs="宋体"/>
          <w:color w:val="000000"/>
          <w:sz w:val="24"/>
          <w:szCs w:val="24"/>
        </w:rPr>
        <w:t>三五”规划》中的总体思路与原则等部分内容，确定</w:t>
      </w:r>
      <w:r>
        <w:rPr>
          <w:rFonts w:hint="eastAsia" w:ascii="宋体" w:hAnsi="宋体" w:eastAsia="宋体" w:cs="宋体"/>
          <w:color w:val="000000"/>
          <w:sz w:val="24"/>
          <w:szCs w:val="24"/>
          <w:lang w:val="en-US" w:eastAsia="zh-CN"/>
        </w:rPr>
        <w:t>霍城县</w:t>
      </w:r>
      <w:r>
        <w:rPr>
          <w:rFonts w:hint="eastAsia" w:ascii="宋体" w:hAnsi="宋体" w:eastAsia="宋体" w:cs="宋体"/>
          <w:color w:val="000000"/>
          <w:sz w:val="24"/>
          <w:szCs w:val="24"/>
        </w:rPr>
        <w:t>信息化建设的指导思想为：全面贯彻党的十九大和十九届历次全会精神以及习近平总书记“节水优先、空间均衡、系统治理、两手发力”的新时期治水方针，牢固树立“创新、协调、绿色、开放、共享”的发展理念，紧紧围绕保障粮食安全和水安全、促进农业节水和农田水利工程良性运行，逐步完善农田灌排工程体系，建立农业水权制度和农业节水激励机制，创新农业用水管理方式，促进水资源优化配置，改善水生态环境，实现节水、减排、增产、增效，推进实现农业现代化。</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1.2建设依据</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bookmarkStart w:id="109" w:name="bookmark80"/>
      <w:bookmarkEnd w:id="109"/>
      <w:r>
        <w:rPr>
          <w:rFonts w:hint="eastAsia" w:ascii="宋体" w:hAnsi="宋体" w:eastAsia="宋体" w:cs="宋体"/>
          <w:color w:val="000000"/>
          <w:sz w:val="24"/>
          <w:szCs w:val="24"/>
          <w:lang w:val="en-US" w:eastAsia="zh-CN" w:bidi="ar-SA"/>
        </w:rPr>
        <w:t>《水文自动测报系统技术规范》(SL61-2015)；</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《水利水电工程水情自动测报系统设计规定》(DL/T5051-96 )；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《灌溉渠道系统量水规范》(GBT210303-2007 )；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《水文监测数据通信规约》(SL651-2014 )；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《水文测量规范》(SL58-2014 )；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《水文仪器及水利水文自动化系统型号命名方法》(SL108-2006 )；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bookmarkStart w:id="110" w:name="bookmark81"/>
      <w:bookmarkEnd w:id="110"/>
      <w:r>
        <w:rPr>
          <w:rFonts w:hint="eastAsia" w:ascii="宋体" w:hAnsi="宋体" w:eastAsia="宋体" w:cs="宋体"/>
          <w:color w:val="000000"/>
          <w:sz w:val="24"/>
          <w:szCs w:val="24"/>
          <w:lang w:val="en-US" w:eastAsia="zh-CN" w:bidi="ar-SA"/>
        </w:rPr>
        <w:t>《水利系统通信运行规程》(SL306-2004 )；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bookmarkStart w:id="111" w:name="bookmark82"/>
      <w:bookmarkEnd w:id="111"/>
      <w:r>
        <w:rPr>
          <w:rFonts w:hint="eastAsia" w:ascii="宋体" w:hAnsi="宋体" w:eastAsia="宋体" w:cs="宋体"/>
          <w:color w:val="000000"/>
          <w:sz w:val="24"/>
          <w:szCs w:val="24"/>
          <w:lang w:val="en-US" w:eastAsia="zh-CN" w:bidi="ar-SA"/>
        </w:rPr>
        <w:t>《水利信息网命名及IP地址分配规定》(SL307-2004 )；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《基础水文数据库表结构及标识符标准》(SL324-2005 )；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bookmarkStart w:id="112" w:name="bookmark84"/>
      <w:bookmarkEnd w:id="112"/>
      <w:r>
        <w:rPr>
          <w:rFonts w:hint="eastAsia" w:ascii="宋体" w:hAnsi="宋体" w:eastAsia="宋体" w:cs="宋体"/>
          <w:color w:val="000000"/>
          <w:sz w:val="24"/>
          <w:szCs w:val="24"/>
          <w:lang w:val="en-US" w:eastAsia="zh-CN" w:bidi="ar-SA"/>
        </w:rPr>
        <w:t>《水利系统通信工程验收规程》(SL439-2009 )；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bookmarkStart w:id="113" w:name="bookmark85"/>
      <w:bookmarkEnd w:id="113"/>
      <w:r>
        <w:rPr>
          <w:rFonts w:hint="eastAsia" w:ascii="宋体" w:hAnsi="宋体" w:eastAsia="宋体" w:cs="宋体"/>
          <w:color w:val="000000"/>
          <w:sz w:val="24"/>
          <w:szCs w:val="24"/>
          <w:lang w:val="en-US" w:eastAsia="zh-CN" w:bidi="ar-SA"/>
        </w:rPr>
        <w:t>《水文设施工程初步设计报告编制规程》(SL506-2011 )；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《水利视频监控系统技术规范》(SL515-2013 )；  </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《水利信息系统运行维护规范》(SL715-2015)；</w:t>
      </w:r>
    </w:p>
    <w:p>
      <w:pPr>
        <w:pStyle w:val="37"/>
        <w:widowControl w:val="0"/>
        <w:numPr>
          <w:ilvl w:val="0"/>
          <w:numId w:val="14"/>
        </w:numPr>
        <w:wordWrap/>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《建筑物防雷设计规范» GB50057-2010；</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2.工程建设必要性</w:t>
      </w:r>
    </w:p>
    <w:p>
      <w:pPr>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2.1打造节水示范区，推进现代化灌区的需要</w:t>
      </w:r>
    </w:p>
    <w:p>
      <w:pPr>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近年来，</w:t>
      </w:r>
      <w:r>
        <w:rPr>
          <w:rFonts w:hint="eastAsia" w:ascii="宋体" w:hAnsi="宋体" w:eastAsia="宋体" w:cs="宋体"/>
          <w:sz w:val="24"/>
          <w:szCs w:val="24"/>
          <w:lang w:eastAsia="zh-CN"/>
        </w:rPr>
        <w:t>霍城县</w:t>
      </w:r>
      <w:r>
        <w:rPr>
          <w:rFonts w:hint="eastAsia" w:ascii="宋体" w:hAnsi="宋体" w:eastAsia="宋体" w:cs="宋体"/>
          <w:sz w:val="24"/>
          <w:szCs w:val="24"/>
        </w:rPr>
        <w:t>通过灌区续建配套节水改造项目、高效节水灌溉项目的实施，灌区骨干渠道、以及水利工程设施得以改善，为渠道安全运行创造良好的条件，但在灌区管理方面还存在不足，与现代化灌区管理的要求相差甚远。因此迫切需要建立最严格的水资源管理制度，合理配置水资源，采取相应的信息化措施实施节水灌溉，充分挖掘农业用水节水潜力，努力将</w:t>
      </w:r>
      <w:r>
        <w:rPr>
          <w:rFonts w:hint="eastAsia" w:ascii="宋体" w:hAnsi="宋体" w:eastAsia="宋体" w:cs="宋体"/>
          <w:sz w:val="24"/>
          <w:szCs w:val="24"/>
          <w:lang w:eastAsia="zh-CN"/>
        </w:rPr>
        <w:t>霍城县</w:t>
      </w:r>
      <w:r>
        <w:rPr>
          <w:rFonts w:hint="eastAsia" w:ascii="宋体" w:hAnsi="宋体" w:eastAsia="宋体" w:cs="宋体"/>
          <w:sz w:val="24"/>
          <w:szCs w:val="24"/>
        </w:rPr>
        <w:t>打造成全区乃至中国的节水型示范区，并向其它灌区推广节水灌溉技术服务体</w:t>
      </w:r>
    </w:p>
    <w:p>
      <w:pPr>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2.2提升灌区管理能力，改进社会服务的需要</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当前由于灌区网络、IT基础设施较差以及信息化管理理念不够完善，</w:t>
      </w:r>
      <w:r>
        <w:rPr>
          <w:rFonts w:hint="eastAsia" w:ascii="宋体" w:hAnsi="宋体" w:eastAsia="宋体" w:cs="宋体"/>
          <w:sz w:val="24"/>
          <w:szCs w:val="24"/>
          <w:lang w:eastAsia="zh-CN"/>
        </w:rPr>
        <w:t>霍城县水利局</w:t>
      </w:r>
      <w:r>
        <w:rPr>
          <w:rFonts w:hint="eastAsia" w:ascii="宋体" w:hAnsi="宋体" w:eastAsia="宋体" w:cs="宋体"/>
          <w:sz w:val="24"/>
          <w:szCs w:val="24"/>
        </w:rPr>
        <w:t>信息化软件系统建设比较滞后，因缺乏信息化管理软件，大量的业务资料仍以手工作业为主，无法实现各类资料信息的有效管理，例如:水资源调度工作依然采取人工电话调度的手段，灌区工程资料，工程图表管理方式依然采用纸质存档方式管理，灌区水费计收工作仍然采取人工催缴，效率低下，成本极高，在灌区水情、工情实时监测方面更加缺乏专业的电子化仿真系统，根本无法及时掌握灌区的实时信息，在自动化监测方面灌区闸门基本靠手动来进行闸门的启闭，高效节水灌溉阀门轮灌也均以手动方式操作，自动化监控程度极低。随着信息技术的飞速发展，在移动互联网大数据时代，现有的</w:t>
      </w:r>
      <w:r>
        <w:rPr>
          <w:rFonts w:hint="eastAsia" w:ascii="宋体" w:hAnsi="宋体" w:eastAsia="宋体" w:cs="宋体"/>
          <w:sz w:val="24"/>
          <w:szCs w:val="24"/>
          <w:lang w:val="en-US" w:eastAsia="zh-CN"/>
        </w:rPr>
        <w:t>信息化</w:t>
      </w:r>
      <w:r>
        <w:rPr>
          <w:rFonts w:hint="eastAsia" w:ascii="宋体" w:hAnsi="宋体" w:eastAsia="宋体" w:cs="宋体"/>
          <w:sz w:val="24"/>
          <w:szCs w:val="24"/>
        </w:rPr>
        <w:t>系统早已无法支撑</w:t>
      </w:r>
      <w:r>
        <w:rPr>
          <w:rFonts w:hint="eastAsia" w:ascii="宋体" w:hAnsi="宋体" w:eastAsia="宋体" w:cs="宋体"/>
          <w:sz w:val="24"/>
          <w:szCs w:val="24"/>
          <w:lang w:eastAsia="zh-CN"/>
        </w:rPr>
        <w:t>水权水价改革</w:t>
      </w:r>
      <w:r>
        <w:rPr>
          <w:rFonts w:hint="eastAsia" w:ascii="宋体" w:hAnsi="宋体" w:eastAsia="宋体" w:cs="宋体"/>
          <w:sz w:val="24"/>
          <w:szCs w:val="24"/>
        </w:rPr>
        <w:t>管理需求。</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因此，迫切需要突出发展“智慧水利”，积极应用大数据、云计算等先进理念和现代信息技术，推进</w:t>
      </w:r>
      <w:r>
        <w:rPr>
          <w:rFonts w:hint="eastAsia" w:ascii="宋体" w:hAnsi="宋体" w:eastAsia="宋体" w:cs="宋体"/>
          <w:sz w:val="24"/>
          <w:szCs w:val="24"/>
          <w:lang w:eastAsia="zh-CN"/>
        </w:rPr>
        <w:t>水权水价改革</w:t>
      </w:r>
      <w:r>
        <w:rPr>
          <w:rFonts w:hint="eastAsia" w:ascii="宋体" w:hAnsi="宋体" w:eastAsia="宋体" w:cs="宋体"/>
          <w:sz w:val="24"/>
          <w:szCs w:val="24"/>
        </w:rPr>
        <w:t>建设，改进灌区管理手段，有效提升水利公共管理和社会服务能力，进而提高灌区水资源的利用效率与效益，更好地适应</w:t>
      </w:r>
      <w:r>
        <w:rPr>
          <w:rFonts w:hint="eastAsia" w:ascii="宋体" w:hAnsi="宋体" w:eastAsia="宋体" w:cs="宋体"/>
          <w:sz w:val="24"/>
          <w:szCs w:val="24"/>
          <w:lang w:eastAsia="zh-CN"/>
        </w:rPr>
        <w:t>霍城县</w:t>
      </w:r>
      <w:r>
        <w:rPr>
          <w:rFonts w:hint="eastAsia" w:ascii="宋体" w:hAnsi="宋体" w:eastAsia="宋体" w:cs="宋体"/>
          <w:sz w:val="24"/>
          <w:szCs w:val="24"/>
        </w:rPr>
        <w:t>内部和外部信息社会的发展。</w:t>
      </w:r>
    </w:p>
    <w:p>
      <w:pPr>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2.3贯彻落实“智慧水利”部署的需要</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灌区现代化管理是</w:t>
      </w:r>
      <w:r>
        <w:rPr>
          <w:rFonts w:hint="eastAsia" w:ascii="宋体" w:hAnsi="宋体" w:eastAsia="宋体" w:cs="宋体"/>
          <w:sz w:val="24"/>
          <w:szCs w:val="24"/>
          <w:lang w:eastAsia="zh-CN"/>
        </w:rPr>
        <w:t>新疆</w:t>
      </w:r>
      <w:r>
        <w:rPr>
          <w:rFonts w:hint="eastAsia" w:ascii="宋体" w:hAnsi="宋体" w:eastAsia="宋体" w:cs="宋体"/>
          <w:sz w:val="24"/>
          <w:szCs w:val="24"/>
        </w:rPr>
        <w:t>水利工作的重要内容，开展</w:t>
      </w:r>
      <w:r>
        <w:rPr>
          <w:rFonts w:hint="eastAsia" w:ascii="宋体" w:hAnsi="宋体" w:eastAsia="宋体" w:cs="宋体"/>
          <w:sz w:val="24"/>
          <w:szCs w:val="24"/>
          <w:lang w:eastAsia="zh-CN"/>
        </w:rPr>
        <w:t>霍城县</w:t>
      </w:r>
      <w:r>
        <w:rPr>
          <w:rFonts w:hint="eastAsia" w:ascii="宋体" w:hAnsi="宋体" w:eastAsia="宋体" w:cs="宋体"/>
          <w:sz w:val="24"/>
          <w:szCs w:val="24"/>
        </w:rPr>
        <w:t>现代化</w:t>
      </w:r>
      <w:r>
        <w:rPr>
          <w:rFonts w:hint="eastAsia" w:ascii="宋体" w:hAnsi="宋体" w:eastAsia="宋体" w:cs="宋体"/>
          <w:sz w:val="24"/>
          <w:szCs w:val="24"/>
          <w:lang w:val="en-US" w:eastAsia="zh-CN"/>
        </w:rPr>
        <w:t>灌区</w:t>
      </w:r>
      <w:r>
        <w:rPr>
          <w:rFonts w:hint="eastAsia" w:ascii="宋体" w:hAnsi="宋体" w:eastAsia="宋体" w:cs="宋体"/>
          <w:sz w:val="24"/>
          <w:szCs w:val="24"/>
        </w:rPr>
        <w:t>建设是布局推进智慧水利建设的关键手段。</w:t>
      </w:r>
      <w:r>
        <w:rPr>
          <w:rFonts w:hint="eastAsia" w:ascii="宋体" w:hAnsi="宋体" w:eastAsia="宋体" w:cs="宋体"/>
          <w:sz w:val="24"/>
          <w:szCs w:val="24"/>
          <w:lang w:eastAsia="zh-CN"/>
        </w:rPr>
        <w:t>霍城县</w:t>
      </w:r>
      <w:r>
        <w:rPr>
          <w:rFonts w:hint="eastAsia" w:ascii="宋体" w:hAnsi="宋体" w:eastAsia="宋体" w:cs="宋体"/>
          <w:sz w:val="24"/>
          <w:szCs w:val="24"/>
        </w:rPr>
        <w:t>现代化</w:t>
      </w:r>
      <w:r>
        <w:rPr>
          <w:rFonts w:hint="eastAsia" w:ascii="宋体" w:hAnsi="宋体" w:eastAsia="宋体" w:cs="宋体"/>
          <w:sz w:val="24"/>
          <w:szCs w:val="24"/>
          <w:lang w:eastAsia="zh-CN"/>
        </w:rPr>
        <w:t>水权水价改革</w:t>
      </w:r>
      <w:r>
        <w:rPr>
          <w:rFonts w:hint="eastAsia" w:ascii="宋体" w:hAnsi="宋体" w:eastAsia="宋体" w:cs="宋体"/>
          <w:sz w:val="24"/>
          <w:szCs w:val="24"/>
        </w:rPr>
        <w:t>建设，以数据中心及水慧通平台为核心，构建应用体系、服务门户和运维保障体系，为达成智慧水利“十三五”总体目标起到至关重要的作用。</w:t>
      </w:r>
    </w:p>
    <w:p>
      <w:pPr>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2.4水利行业信息化发展的需要</w:t>
      </w:r>
    </w:p>
    <w:p>
      <w:pPr>
        <w:pStyle w:val="36"/>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随着科学技术水平的飞速发展，信息化将成为未来发展的大趋所势。信息化将成为一个国家综合国力、现代化水平的重要衡量标准。《</w:t>
      </w:r>
      <w:r>
        <w:rPr>
          <w:rFonts w:hint="eastAsia" w:ascii="宋体" w:hAnsi="宋体" w:eastAsia="宋体" w:cs="宋体"/>
          <w:sz w:val="24"/>
          <w:szCs w:val="24"/>
          <w:lang w:eastAsia="zh-CN"/>
        </w:rPr>
        <w:t>新疆</w:t>
      </w:r>
      <w:r>
        <w:rPr>
          <w:rFonts w:hint="eastAsia" w:ascii="宋体" w:hAnsi="宋体" w:eastAsia="宋体" w:cs="宋体"/>
          <w:sz w:val="24"/>
          <w:szCs w:val="24"/>
        </w:rPr>
        <w:t>水利信息化总体规划》中也提出了“坚持‘以水利项目带动水利信息化、以水利信息化促进水利现代化’的发展战略。水利信息化，就是充分利用现代信息技术，开发和利用水利信息资源，包括对水利信息进行采集、传输、存储、处理和利用，提高水利信息资源的应用水平和共享程度，从而全面提高水利建设和水事处理的效率和效能。水利信息化可以提高信息采集、传输的时效性和自动化水平，是水利现代化的基础和重要标志。面对当前国家战略和新经济形势，水利行业正在面临转型升级，水利信息化是实现水利现代化的必由之路，本项目依托</w:t>
      </w:r>
      <w:r>
        <w:rPr>
          <w:rFonts w:hint="eastAsia" w:ascii="宋体" w:hAnsi="宋体" w:eastAsia="宋体" w:cs="宋体"/>
          <w:sz w:val="24"/>
          <w:szCs w:val="24"/>
          <w:lang w:eastAsia="zh-CN"/>
        </w:rPr>
        <w:t>霍城县</w:t>
      </w:r>
      <w:r>
        <w:rPr>
          <w:rFonts w:hint="eastAsia" w:ascii="宋体" w:hAnsi="宋体" w:eastAsia="宋体" w:cs="宋体"/>
          <w:sz w:val="24"/>
          <w:szCs w:val="24"/>
          <w:lang w:val="en-US" w:eastAsia="zh-CN"/>
        </w:rPr>
        <w:t>水利局</w:t>
      </w:r>
      <w:r>
        <w:rPr>
          <w:rFonts w:hint="eastAsia" w:ascii="宋体" w:hAnsi="宋体" w:eastAsia="宋体" w:cs="宋体"/>
          <w:sz w:val="24"/>
          <w:szCs w:val="24"/>
        </w:rPr>
        <w:t>，采用信息化技术，以推进水利管理和服务电子化、高效利用水利信息资源为核心内容，大幅提升灌区管理和运行的信息化水平，促进水利行业信息化发展。</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2.5灌区管理创新的需要</w:t>
      </w:r>
    </w:p>
    <w:p>
      <w:pPr>
        <w:pStyle w:val="35"/>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目前已建信息化系统的使用寿命一般为5年，传感器等前端设备的损坏程度更高，在运行过程中，由于户外设备缺乏保养、应用系统运行积累的故障、水利信息化人才缺乏、相关信息化体制机制不完善、缺乏运行维护资金等因素，造成很多信息化系统在几年之后逐渐无法发挥其应有效果。</w:t>
      </w:r>
    </w:p>
    <w:p>
      <w:pPr>
        <w:pStyle w:val="35"/>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重建轻管现象依然明显。信息化建设项目站点类型众多，业务种类多样，运行成本较高，后期运行维护是项目是否良好运行的关键，目前</w:t>
      </w:r>
      <w:r>
        <w:rPr>
          <w:rFonts w:hint="eastAsia" w:ascii="宋体" w:hAnsi="宋体" w:eastAsia="宋体" w:cs="宋体"/>
          <w:sz w:val="24"/>
          <w:szCs w:val="24"/>
          <w:lang w:eastAsia="zh-CN"/>
        </w:rPr>
        <w:t>霍城县</w:t>
      </w:r>
      <w:r>
        <w:rPr>
          <w:rFonts w:hint="eastAsia" w:ascii="宋体" w:hAnsi="宋体" w:eastAsia="宋体" w:cs="宋体"/>
          <w:sz w:val="24"/>
          <w:szCs w:val="24"/>
        </w:rPr>
        <w:t>已实施的信息化建设项目中，尚未建立起适合信息化建设需要的体制机制，致使：运行维护经费往往无法落实；设备损坏无法得到及时更换；掌握先进信息技木、熟悉水利专业知识的高素质多层次的运行管理人才队伍尚未建立。这些都已成为信息化建设项目无法顺利运行的制约因素。</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3.建设方案</w:t>
      </w:r>
    </w:p>
    <w:p>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3.1取水口水量监测系统</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3.1.1干渠口水量监测</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3.1.1.1监测点统计表</w:t>
      </w:r>
    </w:p>
    <w:tbl>
      <w:tblPr>
        <w:tblStyle w:val="20"/>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96"/>
        <w:gridCol w:w="2834"/>
        <w:gridCol w:w="2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96"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SA"/>
              </w:rPr>
              <w:t>渠首名称</w:t>
            </w: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SA"/>
              </w:rPr>
              <w:t>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vMerge w:val="restart"/>
            <w:tcBorders>
              <w:top w:val="nil"/>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萨尔布拉克渠首</w:t>
            </w: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东干渠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vMerge w:val="continue"/>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总干渠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vMerge w:val="continue"/>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西干渠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vMerge w:val="restart"/>
            <w:tcBorders>
              <w:top w:val="nil"/>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大西沟渠首</w:t>
            </w:r>
          </w:p>
        </w:tc>
        <w:tc>
          <w:tcPr>
            <w:tcW w:w="2834" w:type="dxa"/>
            <w:vMerge w:val="restart"/>
            <w:tcBorders>
              <w:top w:val="nil"/>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东干渠</w:t>
            </w:r>
          </w:p>
        </w:tc>
        <w:tc>
          <w:tcPr>
            <w:tcW w:w="2456" w:type="dxa"/>
            <w:vMerge w:val="restart"/>
            <w:tcBorders>
              <w:top w:val="nil"/>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vMerge w:val="continue"/>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834" w:type="dxa"/>
            <w:vMerge w:val="continue"/>
            <w:tcBorders>
              <w:top w:val="nil"/>
              <w:left w:val="nil"/>
              <w:bottom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56" w:type="dxa"/>
            <w:vMerge w:val="continue"/>
            <w:tcBorders>
              <w:top w:val="nil"/>
              <w:left w:val="nil"/>
              <w:bottom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vMerge w:val="continue"/>
            <w:tcBorders>
              <w:top w:val="nil"/>
              <w:left w:val="single" w:color="auto" w:sz="4" w:space="0"/>
              <w:bottom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西干渠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果子沟渠首</w:t>
            </w: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东干渠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西干渠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小西沟渠首</w:t>
            </w: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小西沟干渠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96"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大东沟渠首</w:t>
            </w:r>
          </w:p>
        </w:tc>
        <w:tc>
          <w:tcPr>
            <w:tcW w:w="2834"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大东沟干渠</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30" w:type="dxa"/>
            <w:gridSpan w:val="2"/>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合计</w:t>
            </w:r>
          </w:p>
        </w:tc>
        <w:tc>
          <w:tcPr>
            <w:tcW w:w="2456"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SA"/>
              </w:rPr>
              <w:t>9</w:t>
            </w:r>
          </w:p>
        </w:tc>
      </w:tr>
    </w:tbl>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3.1.1.2量测方式选择</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明渠渠道量测水常用方法主要有水位-流量关系法和流速-面积法。水位-流量关系法利用水工建筑物，如测流计量渠、堰、槽，将水位与流量的关系公式或数表作为依据，通过测量水位算出瞬时流量和累积流量。流速-面积法则是通过已知渠道断面测量水位计算有效输水断面，并与所测流速相乘得到瞬时流量，再经时间积分即得出累积流量。</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霍城县干渠取水口具有标准断面，采用雷达水位流速—面积法进行测得干渠过水流量，利用雷达流量计测量渠道水位及水体表面中心流速，经过渠道流速系数转换得到平均流速，利用过水断面，得到渠道过水流量。</w:t>
      </w:r>
    </w:p>
    <w:p>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3.1.1.3通讯方式选择</w:t>
      </w:r>
    </w:p>
    <w:p>
      <w:pPr>
        <w:widowControl w:val="0"/>
        <w:numPr>
          <w:ilvl w:val="0"/>
          <w:numId w:val="0"/>
        </w:numPr>
        <w:wordWrap/>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根据项目建设需求，霍城县水情监测系统分布在霍城县全县境内，</w:t>
      </w:r>
      <w:r>
        <w:rPr>
          <w:rFonts w:hint="eastAsia" w:ascii="宋体" w:hAnsi="宋体" w:eastAsia="宋体" w:cs="宋体"/>
          <w:sz w:val="24"/>
          <w:szCs w:val="24"/>
        </w:rPr>
        <w:t>数据采集通信任务，链路的带宽、速率和实时性要求相对较低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因此水情监测站点数据传输采用运营商4G通讯方式。其中，在闸门控制点附近的水情监测点数据传输至闸门控制主干网，再由主干网传输至信息中心。</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3.1.1.4计量设备配置清单</w:t>
      </w:r>
    </w:p>
    <w:tbl>
      <w:tblPr>
        <w:tblStyle w:val="20"/>
        <w:tblW w:w="9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6"/>
        <w:gridCol w:w="1203"/>
        <w:gridCol w:w="5859"/>
        <w:gridCol w:w="612"/>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序号</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设备名称</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项目特征描述</w:t>
            </w:r>
          </w:p>
        </w:tc>
        <w:tc>
          <w:tcPr>
            <w:tcW w:w="612"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单位</w:t>
            </w:r>
          </w:p>
        </w:tc>
        <w:tc>
          <w:tcPr>
            <w:tcW w:w="64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7"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雷达流量计</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测速范围：0.1-20米/秒；测速精度：±0.01米/ 秒：±1%FS；测速频率：24GHz；雷达流速仪波束角：12°；垂直角范围：30~70° ；自动垂直角补偿：精度土1°;分辨率土 0.1° ；测距范围：30m；测距精度：土2mm；测距分辨率：1mm ；雷达水位计频率：26GHz ；雷达水位计波束角：7°雷达水位计天线：透镜天线；姿态角智能感知及补偿：水平角、横滚角精度±1°;分辨率±0.1°; 工作电压：6~30V；功耗：工作电流〈80mA,待机电流〈55mA （@；通讯接口： RS485,通讯协议： modbus协议</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台</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2</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太阳能电池板</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12V60W</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块</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3</w:t>
            </w:r>
          </w:p>
        </w:tc>
        <w:tc>
          <w:tcPr>
            <w:tcW w:w="12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蓄电池</w:t>
            </w:r>
          </w:p>
        </w:tc>
        <w:tc>
          <w:tcPr>
            <w:tcW w:w="58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65AH, 12V</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块</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4</w:t>
            </w:r>
          </w:p>
        </w:tc>
        <w:tc>
          <w:tcPr>
            <w:tcW w:w="12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太阳能控制器</w:t>
            </w:r>
          </w:p>
        </w:tc>
        <w:tc>
          <w:tcPr>
            <w:tcW w:w="58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12V/24V20A</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个</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jc w:val="center"/>
        </w:trPr>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5</w:t>
            </w:r>
          </w:p>
        </w:tc>
        <w:tc>
          <w:tcPr>
            <w:tcW w:w="12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太阳能安装支架</w:t>
            </w:r>
          </w:p>
        </w:tc>
        <w:tc>
          <w:tcPr>
            <w:tcW w:w="58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定制</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套</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5" w:hRule="atLeast"/>
          <w:jc w:val="center"/>
        </w:trPr>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6</w:t>
            </w:r>
          </w:p>
        </w:tc>
        <w:tc>
          <w:tcPr>
            <w:tcW w:w="12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数据遥测终端机</w:t>
            </w:r>
          </w:p>
        </w:tc>
        <w:tc>
          <w:tcPr>
            <w:tcW w:w="58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模拟量输入：不低于2路隔离4-20mA （或0~5V）信号输入；开关量输入:不低4路隔离开关量输入，2路开关量输出；4路可控电源输岀；工作温度:-25℃~65℃；通讯协议集成水资源协议、水文协议、标准MODBUS协议可选。支持4G全网通。支持 多中心发送数据，至少支持3个中心。</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台</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6" w:hRule="atLeast"/>
          <w:jc w:val="center"/>
        </w:trPr>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7</w:t>
            </w:r>
          </w:p>
        </w:tc>
        <w:tc>
          <w:tcPr>
            <w:tcW w:w="12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图像摄像机</w:t>
            </w:r>
          </w:p>
        </w:tc>
        <w:tc>
          <w:tcPr>
            <w:tcW w:w="58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1、具有超低照度，在光线较暗或无光源的环境，仍然拍照得较为清晰的图片；2、通讯端口具有防浪涌保护，防误接保护。3、电源防反接保护、防雷、防浪涌，4、电源电压：DC7~28V （标准电压 12V）；工作电流：典型值：80mA夜视最大值：＜400mA，5、工作温度：-40度〜85度；6、系统启动时间（上电拍照时间）：〈3秒，拍照超时时间：白天＜1秒，晚上＜3秒7、200万像素8、照度： 0.0005LUX： 9、防水等级：IP67； 10、多种图像分辩率支持：1920X1080 （1080p）、1280X1024、 1280X960 （960p）、1280X800, 1280X720 （720p）、1024X768、800X600、640X480 （VGA）、320X240； 11、支持多种串口波特率： 9600、19200、38400、57600、115200； 12、支持多种压缩比，0〜8级压缩。</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台</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jc w:val="center"/>
        </w:trPr>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10</w:t>
            </w:r>
          </w:p>
        </w:tc>
        <w:tc>
          <w:tcPr>
            <w:tcW w:w="12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电源防雷模块</w:t>
            </w:r>
          </w:p>
        </w:tc>
        <w:tc>
          <w:tcPr>
            <w:tcW w:w="58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只</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 xml:space="preserve"> 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11</w:t>
            </w:r>
          </w:p>
        </w:tc>
        <w:tc>
          <w:tcPr>
            <w:tcW w:w="12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信号防雷模块</w:t>
            </w:r>
          </w:p>
        </w:tc>
        <w:tc>
          <w:tcPr>
            <w:tcW w:w="58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只</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12</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户外机柜</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定制加工500*600*300,内含空开、线槽、接线端子等</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套</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13</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信号电缆</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RVVP 4*1. 0</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米</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14</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电源线</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RVV 2*2. 5</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米</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15</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 xml:space="preserve"> 防雷地网建设</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≤10欧姆</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处</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16</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监测立杆</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top"/>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φ219立杆，高5米，基础1200*1200*1800m;立杆上预埋件嵌套式连接，立杆可旋转式。带横臂，横臂DN80 （根据渠宽定制）</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套</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17</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钢测桥</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根据渠道尺寸定制加工</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套</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18</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反光水尺</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根据渠道边坡长度及边坡比定制</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套</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19</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渠道流量率定费用</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top"/>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处</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20</w:t>
            </w:r>
          </w:p>
        </w:tc>
        <w:tc>
          <w:tcPr>
            <w:tcW w:w="12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GPRS通讯费</w:t>
            </w:r>
          </w:p>
        </w:tc>
        <w:tc>
          <w:tcPr>
            <w:tcW w:w="585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top"/>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3年</w:t>
            </w: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张/年</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jc w:val="center"/>
        </w:trPr>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21</w:t>
            </w:r>
          </w:p>
        </w:tc>
        <w:tc>
          <w:tcPr>
            <w:tcW w:w="120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辅材</w:t>
            </w:r>
          </w:p>
        </w:tc>
        <w:tc>
          <w:tcPr>
            <w:tcW w:w="5859" w:type="dxa"/>
            <w:tcBorders>
              <w:top w:val="single" w:color="000000" w:sz="4" w:space="0"/>
              <w:left w:val="nil"/>
              <w:bottom w:val="single" w:color="000000" w:sz="4" w:space="0"/>
              <w:right w:val="single" w:color="000000" w:sz="4" w:space="0"/>
            </w:tcBorders>
            <w:tcMar>
              <w:top w:w="15" w:type="dxa"/>
              <w:left w:w="15" w:type="dxa"/>
              <w:right w:w="15" w:type="dxa"/>
            </w:tcMar>
            <w:vAlign w:val="top"/>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c>
          <w:tcPr>
            <w:tcW w:w="6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批</w:t>
            </w:r>
          </w:p>
        </w:tc>
        <w:tc>
          <w:tcPr>
            <w:tcW w:w="6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9</w:t>
            </w:r>
          </w:p>
        </w:tc>
      </w:tr>
    </w:tbl>
    <w:p>
      <w:pPr>
        <w:rPr>
          <w:rFonts w:hint="eastAsia" w:ascii="宋体" w:hAnsi="宋体" w:eastAsia="宋体" w:cs="宋体"/>
          <w:lang w:val="en-US" w:eastAsia="zh-CN"/>
        </w:rPr>
      </w:pPr>
    </w:p>
    <w:p>
      <w:pPr>
        <w:pStyle w:val="27"/>
        <w:spacing w:line="360" w:lineRule="auto"/>
        <w:ind w:left="0" w:leftChars="0" w:firstLine="0" w:firstLineChars="0"/>
        <w:rPr>
          <w:rFonts w:hint="eastAsia" w:ascii="宋体" w:hAnsi="宋体" w:eastAsia="宋体" w:cs="宋体"/>
          <w:sz w:val="24"/>
          <w:szCs w:val="24"/>
          <w:lang w:val="en-US" w:eastAsia="zh-CN"/>
        </w:rPr>
      </w:pPr>
    </w:p>
    <w:p>
      <w:pPr>
        <w:pStyle w:val="27"/>
        <w:spacing w:line="360" w:lineRule="auto"/>
        <w:ind w:left="0" w:leftChars="0" w:firstLine="0" w:firstLineChars="0"/>
        <w:rPr>
          <w:rFonts w:hint="eastAsia" w:ascii="宋体" w:hAnsi="宋体" w:eastAsia="宋体" w:cs="宋体"/>
          <w:sz w:val="24"/>
          <w:szCs w:val="24"/>
          <w:lang w:val="en-US" w:eastAsia="zh-CN"/>
        </w:rPr>
      </w:pPr>
    </w:p>
    <w:p>
      <w:pPr>
        <w:pStyle w:val="27"/>
        <w:spacing w:line="360" w:lineRule="auto"/>
        <w:ind w:left="0" w:leftChars="0" w:firstLine="0" w:firstLineChars="0"/>
        <w:rPr>
          <w:rFonts w:hint="eastAsia" w:ascii="宋体" w:hAnsi="宋体" w:eastAsia="宋体" w:cs="宋体"/>
          <w:sz w:val="24"/>
          <w:szCs w:val="24"/>
          <w:lang w:val="en-US" w:eastAsia="zh-CN"/>
        </w:rPr>
      </w:pPr>
    </w:p>
    <w:p>
      <w:pPr>
        <w:pStyle w:val="27"/>
        <w:spacing w:line="360" w:lineRule="auto"/>
        <w:ind w:left="0" w:leftChars="0" w:firstLine="0" w:firstLineChars="0"/>
        <w:rPr>
          <w:rFonts w:hint="eastAsia" w:ascii="宋体" w:hAnsi="宋体" w:eastAsia="宋体" w:cs="宋体"/>
          <w:sz w:val="24"/>
          <w:szCs w:val="24"/>
          <w:lang w:val="en-US" w:eastAsia="zh-CN"/>
        </w:rPr>
      </w:pPr>
    </w:p>
    <w:p>
      <w:pPr>
        <w:pStyle w:val="27"/>
        <w:spacing w:line="360" w:lineRule="auto"/>
        <w:ind w:left="0" w:leftChars="0" w:firstLine="0" w:firstLineChars="0"/>
        <w:rPr>
          <w:rFonts w:hint="eastAsia" w:ascii="宋体" w:hAnsi="宋体" w:eastAsia="宋体" w:cs="宋体"/>
          <w:sz w:val="24"/>
          <w:szCs w:val="24"/>
          <w:lang w:val="en-US" w:eastAsia="zh-CN"/>
        </w:rPr>
      </w:pPr>
    </w:p>
    <w:p>
      <w:pPr>
        <w:pStyle w:val="27"/>
        <w:spacing w:line="360" w:lineRule="auto"/>
        <w:ind w:left="0" w:leftChars="0" w:firstLine="0" w:firstLineChars="0"/>
        <w:rPr>
          <w:rFonts w:hint="eastAsia" w:ascii="宋体" w:hAnsi="宋体" w:eastAsia="宋体" w:cs="宋体"/>
          <w:sz w:val="24"/>
          <w:szCs w:val="24"/>
          <w:lang w:val="en-US" w:eastAsia="zh-CN"/>
        </w:rPr>
      </w:pPr>
    </w:p>
    <w:p>
      <w:pPr>
        <w:pStyle w:val="27"/>
        <w:spacing w:line="360" w:lineRule="auto"/>
        <w:ind w:left="0" w:leftChars="0" w:firstLine="0" w:firstLineChars="0"/>
        <w:rPr>
          <w:rFonts w:hint="eastAsia" w:ascii="宋体" w:hAnsi="宋体" w:eastAsia="宋体" w:cs="宋体"/>
          <w:sz w:val="24"/>
          <w:szCs w:val="24"/>
          <w:lang w:val="en-US"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3.1.2支渠水量监测系统</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3.1.2.1监测点统计表</w:t>
      </w:r>
    </w:p>
    <w:tbl>
      <w:tblPr>
        <w:tblStyle w:val="20"/>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1448"/>
        <w:gridCol w:w="2474"/>
        <w:gridCol w:w="3128"/>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2"/>
                <w:sz w:val="24"/>
                <w:szCs w:val="24"/>
              </w:rPr>
            </w:pPr>
            <w:r>
              <w:rPr>
                <w:rFonts w:hint="eastAsia" w:ascii="宋体" w:hAnsi="宋体" w:eastAsia="宋体" w:cs="宋体"/>
                <w:b w:val="0"/>
                <w:i w:val="0"/>
                <w:color w:val="000000"/>
                <w:kern w:val="0"/>
                <w:sz w:val="24"/>
                <w:szCs w:val="24"/>
                <w:lang w:val="en-US" w:eastAsia="zh-CN" w:bidi="ar-SA"/>
              </w:rPr>
              <w:t>序号</w:t>
            </w:r>
          </w:p>
        </w:tc>
        <w:tc>
          <w:tcPr>
            <w:tcW w:w="144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2"/>
                <w:sz w:val="24"/>
                <w:szCs w:val="24"/>
              </w:rPr>
            </w:pPr>
            <w:r>
              <w:rPr>
                <w:rFonts w:hint="eastAsia" w:ascii="宋体" w:hAnsi="宋体" w:eastAsia="宋体" w:cs="宋体"/>
                <w:b w:val="0"/>
                <w:i w:val="0"/>
                <w:color w:val="000000"/>
                <w:kern w:val="0"/>
                <w:sz w:val="24"/>
                <w:szCs w:val="24"/>
                <w:lang w:val="en-US" w:eastAsia="zh-CN" w:bidi="ar-SA"/>
              </w:rPr>
              <w:t>渠首名称</w:t>
            </w:r>
          </w:p>
        </w:tc>
        <w:tc>
          <w:tcPr>
            <w:tcW w:w="2474"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2"/>
                <w:sz w:val="24"/>
                <w:szCs w:val="24"/>
              </w:rPr>
            </w:pPr>
            <w:r>
              <w:rPr>
                <w:rFonts w:hint="eastAsia" w:ascii="宋体" w:hAnsi="宋体" w:eastAsia="宋体" w:cs="宋体"/>
                <w:b w:val="0"/>
                <w:i w:val="0"/>
                <w:color w:val="000000"/>
                <w:kern w:val="0"/>
                <w:sz w:val="24"/>
                <w:szCs w:val="24"/>
                <w:lang w:val="en-US" w:eastAsia="zh-CN" w:bidi="ar-SA"/>
              </w:rPr>
              <w:t>干渠</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2"/>
                <w:sz w:val="24"/>
                <w:szCs w:val="24"/>
              </w:rPr>
            </w:pPr>
            <w:r>
              <w:rPr>
                <w:rFonts w:hint="eastAsia" w:ascii="宋体" w:hAnsi="宋体" w:eastAsia="宋体" w:cs="宋体"/>
                <w:b w:val="0"/>
                <w:i w:val="0"/>
                <w:color w:val="000000"/>
                <w:kern w:val="0"/>
                <w:sz w:val="24"/>
                <w:szCs w:val="24"/>
                <w:lang w:val="en-US" w:eastAsia="zh-CN" w:bidi="ar-SA"/>
              </w:rPr>
              <w:t>支渠名称</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2"/>
                <w:sz w:val="24"/>
                <w:szCs w:val="24"/>
              </w:rPr>
            </w:pPr>
            <w:r>
              <w:rPr>
                <w:rFonts w:hint="eastAsia" w:ascii="宋体" w:hAnsi="宋体" w:eastAsia="宋体" w:cs="宋体"/>
                <w:b w:val="0"/>
                <w:i w:val="0"/>
                <w:color w:val="000000"/>
                <w:kern w:val="0"/>
                <w:sz w:val="24"/>
                <w:szCs w:val="24"/>
                <w:lang w:val="en-US" w:eastAsia="zh-CN" w:bidi="ar-SA"/>
              </w:rPr>
              <w:t>支渠口数量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60" w:type="dxa"/>
            <w:vMerge w:val="restart"/>
            <w:tcBorders>
              <w:top w:val="nil"/>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c>
          <w:tcPr>
            <w:tcW w:w="1448"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萨尔布拉克渠首</w:t>
            </w:r>
          </w:p>
        </w:tc>
        <w:tc>
          <w:tcPr>
            <w:tcW w:w="2474"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总干渠的支渠口</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红旗大渠</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东干渠</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上莫村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下莫村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农田村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韩家庄子村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西干渠</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乔勒潘村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别西铁列克村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restart"/>
            <w:tcBorders>
              <w:top w:val="nil"/>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c>
          <w:tcPr>
            <w:tcW w:w="1448"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果子沟渠首</w:t>
            </w:r>
          </w:p>
        </w:tc>
        <w:tc>
          <w:tcPr>
            <w:tcW w:w="2474"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东干渠</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三队</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牧业村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四队</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麻杆沟1、2库</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芦草沟1队、2队、四宫村3队、三宫</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西干渠</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果子沟牧业村1个、八连1个、二队1个、五队2个</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restart"/>
            <w:tcBorders>
              <w:top w:val="nil"/>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3</w:t>
            </w:r>
          </w:p>
        </w:tc>
        <w:tc>
          <w:tcPr>
            <w:tcW w:w="1448"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大西沟渠首</w:t>
            </w:r>
          </w:p>
        </w:tc>
        <w:tc>
          <w:tcPr>
            <w:tcW w:w="2474"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总干渠的支渠口</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上大西沟村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下大西沟村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新村</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清水河镇东干渠的支渠口</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清水河镇西干渠的支渠口</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西卡子村1组有一个总干渠</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restart"/>
            <w:tcBorders>
              <w:top w:val="nil"/>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4</w:t>
            </w:r>
          </w:p>
        </w:tc>
        <w:tc>
          <w:tcPr>
            <w:tcW w:w="1448"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大东沟渠首</w:t>
            </w:r>
          </w:p>
        </w:tc>
        <w:tc>
          <w:tcPr>
            <w:tcW w:w="2474"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干渠</w:t>
            </w:r>
          </w:p>
        </w:tc>
        <w:tc>
          <w:tcPr>
            <w:tcW w:w="3128" w:type="dxa"/>
            <w:tcBorders>
              <w:top w:val="single" w:color="000000" w:sz="4" w:space="0"/>
              <w:left w:val="nil"/>
              <w:bottom w:val="single" w:color="000000" w:sz="4" w:space="0"/>
              <w:right w:val="nil"/>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果子沟农一组支渠口</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nil"/>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果子沟牧场农一组支渠口</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nil"/>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乌拉斯台村一、二组支渠口</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nil"/>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乌拉斯台村三、四组支渠口</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nil"/>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东庄村一组、西宁庄村四组、西宁庄村二组支渠口</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nil"/>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牧业村、长山梁子村三组支渠口</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restart"/>
            <w:tcBorders>
              <w:top w:val="nil"/>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5</w:t>
            </w:r>
          </w:p>
        </w:tc>
        <w:tc>
          <w:tcPr>
            <w:tcW w:w="1448"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小西沟渠首</w:t>
            </w:r>
          </w:p>
        </w:tc>
        <w:tc>
          <w:tcPr>
            <w:tcW w:w="2474" w:type="dxa"/>
            <w:vMerge w:val="restart"/>
            <w:tcBorders>
              <w:top w:val="nil"/>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水西沟胜利干渠</w:t>
            </w: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大西沟五组支渠口</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别西阿尕什村二组支渠口</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大西沟 六组支渠口</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西宁庄村一组支渠口</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别西阿尕什村一组支渠口</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西宁庄村二组支渠口</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西宁庄村三组支渠口</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vMerge w:val="continue"/>
            <w:tcBorders>
              <w:top w:val="nil"/>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1448"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2474" w:type="dxa"/>
            <w:vMerge w:val="continue"/>
            <w:tcBorders>
              <w:top w:val="nil"/>
              <w:left w:val="nil"/>
              <w:bottom w:val="single" w:color="000000" w:sz="4" w:space="0"/>
              <w:right w:val="single" w:color="000000" w:sz="4" w:space="0"/>
            </w:tcBorders>
            <w:vAlign w:val="center"/>
          </w:tcPr>
          <w:p>
            <w:pPr>
              <w:spacing w:before="0" w:beforeAutospacing="0" w:after="0" w:afterAutospacing="0"/>
              <w:ind w:left="0" w:right="0"/>
              <w:rPr>
                <w:rFonts w:hint="eastAsia" w:ascii="宋体" w:hAnsi="宋体" w:eastAsia="宋体" w:cs="宋体"/>
                <w:sz w:val="20"/>
                <w:szCs w:val="20"/>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东庄村二、三组，喀拉苏村一、二组支渠口</w:t>
            </w: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p>
        </w:tc>
        <w:tc>
          <w:tcPr>
            <w:tcW w:w="144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合计</w:t>
            </w:r>
          </w:p>
        </w:tc>
        <w:tc>
          <w:tcPr>
            <w:tcW w:w="2474"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p>
        </w:tc>
        <w:tc>
          <w:tcPr>
            <w:tcW w:w="3128"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p>
        </w:tc>
        <w:tc>
          <w:tcPr>
            <w:tcW w:w="1276" w:type="dxa"/>
            <w:tcBorders>
              <w:top w:val="single" w:color="000000" w:sz="4" w:space="0"/>
              <w:left w:val="nil"/>
              <w:bottom w:val="single" w:color="000000" w:sz="4" w:space="0"/>
              <w:right w:val="single" w:color="000000" w:sz="4" w:space="0"/>
            </w:tcBorders>
            <w:vAlign w:val="center"/>
          </w:tcPr>
          <w:p>
            <w:pPr>
              <w:widowControl/>
              <w:spacing w:before="0" w:beforeAutospacing="0" w:after="0" w:afterAutospacing="0" w:line="360" w:lineRule="auto"/>
              <w:ind w:left="0" w:leftChars="0" w:right="0" w:firstLine="0" w:firstLineChars="0"/>
              <w:jc w:val="center"/>
              <w:textAlignment w:val="center"/>
              <w:rPr>
                <w:rFonts w:hint="eastAsia" w:ascii="宋体" w:hAnsi="宋体" w:eastAsia="宋体" w:cs="宋体"/>
                <w:b w:val="0"/>
                <w:i w:val="0"/>
                <w:color w:val="000000"/>
                <w:kern w:val="0"/>
                <w:sz w:val="24"/>
                <w:szCs w:val="24"/>
              </w:rPr>
            </w:pPr>
            <w:r>
              <w:rPr>
                <w:rFonts w:hint="eastAsia" w:ascii="宋体" w:hAnsi="宋体" w:eastAsia="宋体" w:cs="宋体"/>
                <w:b w:val="0"/>
                <w:i w:val="0"/>
                <w:color w:val="000000"/>
                <w:kern w:val="0"/>
                <w:sz w:val="24"/>
                <w:szCs w:val="24"/>
                <w:lang w:val="en-US" w:eastAsia="zh-CN" w:bidi="ar-SA"/>
              </w:rPr>
              <w:t>80</w:t>
            </w:r>
          </w:p>
        </w:tc>
      </w:tr>
    </w:tbl>
    <w:p>
      <w:pPr>
        <w:pStyle w:val="27"/>
        <w:ind w:left="0" w:leftChars="0" w:firstLine="0" w:firstLineChars="0"/>
        <w:rPr>
          <w:rFonts w:hint="eastAsia" w:ascii="宋体" w:hAnsi="宋体" w:eastAsia="宋体" w:cs="宋体"/>
          <w:lang w:val="en-US"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3.1.2.2量测方式选择</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明渠渠道量测水常用方法主要有水位-流量关系法和流速-面积法。水位-流量关系法利用水工建筑物，如测流计量渠、堰、槽，将水位与流量的关系公式或数表作为依据，通过测量水位算出瞬时流量和累积流量。流速-面积法则是通过已知渠道断面测量水位计算有效输水断面，并与所测流速相乘得到瞬时流量，再经时间积分即得出累积流量。</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本次霍城县支渠渠道计量采用水位流量关系曲线法，水位计采用一体式雷法水位计，水位计内置RTU、内置锂电池，安装方式采用测桥桥安装方式。</w:t>
      </w:r>
    </w:p>
    <w:p>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3.1.2.3通讯方式选择</w:t>
      </w:r>
    </w:p>
    <w:p>
      <w:pPr>
        <w:widowControl w:val="0"/>
        <w:numPr>
          <w:ilvl w:val="0"/>
          <w:numId w:val="0"/>
        </w:numPr>
        <w:wordWrap/>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根据项目建设需求，霍城县水情监测系统分布在霍城县全县境内，</w:t>
      </w:r>
      <w:r>
        <w:rPr>
          <w:rFonts w:hint="eastAsia" w:ascii="宋体" w:hAnsi="宋体" w:eastAsia="宋体" w:cs="宋体"/>
          <w:sz w:val="24"/>
          <w:szCs w:val="24"/>
        </w:rPr>
        <w:t>数据采集通信任务，链路的带宽、速率和实时性要求相对较低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因此水情监测站点数据传输采用运营商4G通讯方式。其中，在闸门控制点附近的水情监测点数据传输至闸门控制主干网，再由主干网传输至信息中心。</w:t>
      </w:r>
    </w:p>
    <w:p>
      <w:pPr>
        <w:spacing w:line="360" w:lineRule="auto"/>
        <w:rPr>
          <w:rFonts w:hint="eastAsia" w:ascii="宋体" w:hAnsi="宋体" w:eastAsia="宋体" w:cs="宋体"/>
          <w:sz w:val="24"/>
          <w:szCs w:val="22"/>
          <w:lang w:val="en-US" w:eastAsia="zh-CN"/>
        </w:rPr>
      </w:pPr>
      <w:r>
        <w:rPr>
          <w:rFonts w:hint="eastAsia" w:ascii="宋体" w:hAnsi="宋体" w:eastAsia="宋体" w:cs="宋体"/>
          <w:b/>
          <w:bCs/>
          <w:sz w:val="24"/>
          <w:szCs w:val="24"/>
          <w:lang w:val="en-US" w:eastAsia="zh-CN"/>
        </w:rPr>
        <w:t>3.1.2.4计量设备配置清单</w:t>
      </w:r>
    </w:p>
    <w:tbl>
      <w:tblPr>
        <w:tblStyle w:val="20"/>
        <w:tblW w:w="9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8"/>
        <w:gridCol w:w="1328"/>
        <w:gridCol w:w="3819"/>
        <w:gridCol w:w="890"/>
        <w:gridCol w:w="804"/>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序号</w:t>
            </w:r>
          </w:p>
        </w:tc>
        <w:tc>
          <w:tcPr>
            <w:tcW w:w="13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设备名称</w:t>
            </w:r>
          </w:p>
        </w:tc>
        <w:tc>
          <w:tcPr>
            <w:tcW w:w="38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项目特征描述</w:t>
            </w:r>
          </w:p>
        </w:tc>
        <w:tc>
          <w:tcPr>
            <w:tcW w:w="89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单位</w:t>
            </w:r>
          </w:p>
        </w:tc>
        <w:tc>
          <w:tcPr>
            <w:tcW w:w="804"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数量</w:t>
            </w:r>
          </w:p>
        </w:tc>
        <w:tc>
          <w:tcPr>
            <w:tcW w:w="13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w:t>
            </w:r>
          </w:p>
        </w:tc>
        <w:tc>
          <w:tcPr>
            <w:tcW w:w="13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一体式雷达水位计</w:t>
            </w:r>
          </w:p>
        </w:tc>
        <w:tc>
          <w:tcPr>
            <w:tcW w:w="38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基本要求：采用一体化设计，雷达水位计、锂电池、无线传输单元、蓝牙等一体化内置于机壳内</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水位量程:  2m / 5m / 7m</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盲区：0.08m, 具有水利部水文仪器及岩土工程仪器质量监督检验测试中心针对盲区的检测，并满足不大于0.08m的要求</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水位测量精度：±2mm</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分辨率：1mm</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雷达天线: 采用雷达平面微带阵列天线</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雷达频率： 60G Hz</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雷达水位计波束角：8°</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采集周期: 0~24h可设置</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上传周期：0~24h可设置</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电池规格：内置锂电池，不小于57AH</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工作时长：3～5年（与所设置的上报频率有关）</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无线通信方式：内置无线传输功能，支持GPRS/2G/3G/4G、NB-IoT、Cat1、Lora通信方式，可至少向4个中心站分发水位、图片、报警和状态信息等数据，支持数据补发功能，符合SL651-2014和SZY206-2016通信公约</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蓝牙配置：支持蓝牙调参功能，可用手机APP对设备进行现场配置和维护</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历史数据本地下载：可通过蓝牙连接，使用手机APP下载任意时段历史数据</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远程维护管理：支持远程故障诊断、远程设置、远程升级等功能</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工作环境：在-30℃、70℃、 95%RH（40℃时）三种工作环境条件下各保持4h，工作正常；可提供水利部水文仪器及岩土工程仪器质量监督检验测试中心检测报告</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防雷：在带电状态下，承受不低于1000V 、700/10ps的冲击，设备工作正常；可提供水利部水文仪器及岩土工程仪器质量监督检验测试中心检测报告</w:t>
            </w:r>
          </w:p>
          <w:p>
            <w:pPr>
              <w:widowControl/>
              <w:autoSpaceDE w:val="0"/>
              <w:spacing w:before="0" w:beforeAutospacing="0" w:after="0" w:afterAutospacing="0" w:line="300" w:lineRule="exact"/>
              <w:ind w:left="0" w:leftChars="0" w:right="0" w:firstLine="0" w:firstLineChars="0"/>
              <w:jc w:val="left"/>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防护等级：IP68；可提供水利部水文仪器及岩土工程仪器质量监督检验测试中心检测报告</w:t>
            </w:r>
          </w:p>
        </w:tc>
        <w:tc>
          <w:tcPr>
            <w:tcW w:w="89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只</w:t>
            </w:r>
          </w:p>
        </w:tc>
        <w:tc>
          <w:tcPr>
            <w:tcW w:w="804"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80</w:t>
            </w:r>
          </w:p>
        </w:tc>
        <w:tc>
          <w:tcPr>
            <w:tcW w:w="13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jc w:val="center"/>
        </w:trPr>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2</w:t>
            </w:r>
          </w:p>
        </w:tc>
        <w:tc>
          <w:tcPr>
            <w:tcW w:w="13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钢测桥</w:t>
            </w:r>
          </w:p>
        </w:tc>
        <w:tc>
          <w:tcPr>
            <w:tcW w:w="38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c>
          <w:tcPr>
            <w:tcW w:w="8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套</w:t>
            </w:r>
          </w:p>
        </w:tc>
        <w:tc>
          <w:tcPr>
            <w:tcW w:w="8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80</w:t>
            </w:r>
          </w:p>
        </w:tc>
        <w:tc>
          <w:tcPr>
            <w:tcW w:w="13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jc w:val="center"/>
        </w:trPr>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3</w:t>
            </w:r>
          </w:p>
        </w:tc>
        <w:tc>
          <w:tcPr>
            <w:tcW w:w="1328"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通讯费</w:t>
            </w:r>
          </w:p>
        </w:tc>
        <w:tc>
          <w:tcPr>
            <w:tcW w:w="38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c>
          <w:tcPr>
            <w:tcW w:w="89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3年/张</w:t>
            </w:r>
          </w:p>
        </w:tc>
        <w:tc>
          <w:tcPr>
            <w:tcW w:w="804"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80</w:t>
            </w:r>
          </w:p>
        </w:tc>
        <w:tc>
          <w:tcPr>
            <w:tcW w:w="13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4</w:t>
            </w:r>
          </w:p>
        </w:tc>
        <w:tc>
          <w:tcPr>
            <w:tcW w:w="1328"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辅材</w:t>
            </w:r>
          </w:p>
        </w:tc>
        <w:tc>
          <w:tcPr>
            <w:tcW w:w="38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c>
          <w:tcPr>
            <w:tcW w:w="89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套</w:t>
            </w:r>
          </w:p>
        </w:tc>
        <w:tc>
          <w:tcPr>
            <w:tcW w:w="804"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80</w:t>
            </w:r>
          </w:p>
        </w:tc>
        <w:tc>
          <w:tcPr>
            <w:tcW w:w="13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5</w:t>
            </w:r>
          </w:p>
        </w:tc>
        <w:tc>
          <w:tcPr>
            <w:tcW w:w="1328"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渠道流量率定费用</w:t>
            </w:r>
          </w:p>
        </w:tc>
        <w:tc>
          <w:tcPr>
            <w:tcW w:w="38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c>
          <w:tcPr>
            <w:tcW w:w="890"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处</w:t>
            </w:r>
          </w:p>
        </w:tc>
        <w:tc>
          <w:tcPr>
            <w:tcW w:w="804" w:type="dxa"/>
            <w:tcBorders>
              <w:top w:val="single" w:color="000000" w:sz="4" w:space="0"/>
              <w:left w:val="nil"/>
              <w:bottom w:val="single" w:color="000000" w:sz="4" w:space="0"/>
              <w:right w:val="single" w:color="000000" w:sz="4" w:space="0"/>
            </w:tcBorders>
            <w:tcMar>
              <w:top w:w="15" w:type="dxa"/>
              <w:left w:w="15" w:type="dxa"/>
              <w:right w:w="15" w:type="dxa"/>
            </w:tcMar>
            <w:vAlign w:val="bottom"/>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80</w:t>
            </w:r>
          </w:p>
        </w:tc>
        <w:tc>
          <w:tcPr>
            <w:tcW w:w="13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jc w:val="center"/>
        </w:trPr>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6</w:t>
            </w:r>
          </w:p>
        </w:tc>
        <w:tc>
          <w:tcPr>
            <w:tcW w:w="13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标准断面</w:t>
            </w:r>
          </w:p>
        </w:tc>
        <w:tc>
          <w:tcPr>
            <w:tcW w:w="38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15米修复</w:t>
            </w:r>
          </w:p>
        </w:tc>
        <w:tc>
          <w:tcPr>
            <w:tcW w:w="89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项</w:t>
            </w:r>
          </w:p>
        </w:tc>
        <w:tc>
          <w:tcPr>
            <w:tcW w:w="8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80</w:t>
            </w:r>
          </w:p>
        </w:tc>
        <w:tc>
          <w:tcPr>
            <w:tcW w:w="13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utoSpaceDE w:val="0"/>
              <w:spacing w:before="0" w:beforeAutospacing="0" w:after="0" w:afterAutospacing="0" w:line="300" w:lineRule="exact"/>
              <w:ind w:left="0" w:leftChars="0" w:right="0" w:firstLine="0" w:firstLineChars="0"/>
              <w:jc w:val="center"/>
              <w:textAlignment w:val="center"/>
              <w:rPr>
                <w:rFonts w:hint="eastAsia" w:ascii="宋体" w:hAnsi="宋体" w:eastAsia="宋体" w:cs="宋体"/>
                <w:color w:val="000000"/>
                <w:spacing w:val="0"/>
                <w:kern w:val="2"/>
                <w:sz w:val="21"/>
                <w:szCs w:val="21"/>
              </w:rPr>
            </w:pPr>
            <w:r>
              <w:rPr>
                <w:rFonts w:hint="eastAsia" w:ascii="宋体" w:hAnsi="宋体" w:eastAsia="宋体" w:cs="宋体"/>
                <w:color w:val="000000"/>
                <w:spacing w:val="0"/>
                <w:kern w:val="2"/>
                <w:sz w:val="21"/>
                <w:szCs w:val="21"/>
                <w:lang w:val="en-US" w:eastAsia="zh-CN" w:bidi="ar-SA"/>
              </w:rPr>
              <w:t>根据现场情 况需要修断 面处修复</w:t>
            </w:r>
          </w:p>
        </w:tc>
      </w:tr>
    </w:tbl>
    <w:p>
      <w:pPr>
        <w:pStyle w:val="27"/>
        <w:ind w:left="0" w:leftChars="0" w:firstLine="0" w:firstLineChars="0"/>
        <w:rPr>
          <w:rFonts w:hint="eastAsia" w:ascii="宋体" w:hAnsi="宋体" w:eastAsia="宋体" w:cs="宋体"/>
          <w:lang w:val="en-US" w:eastAsia="zh-CN"/>
        </w:rPr>
      </w:pPr>
    </w:p>
    <w:p>
      <w:pPr>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3.2软件系统</w:t>
      </w:r>
    </w:p>
    <w:p>
      <w:pPr>
        <w:spacing w:line="360" w:lineRule="auto"/>
        <w:rPr>
          <w:rFonts w:hint="eastAsia" w:ascii="宋体" w:hAnsi="宋体" w:eastAsia="宋体" w:cs="宋体"/>
          <w:sz w:val="24"/>
          <w:szCs w:val="24"/>
        </w:rPr>
      </w:pPr>
      <w:r>
        <w:rPr>
          <w:rFonts w:hint="eastAsia" w:ascii="宋体" w:hAnsi="宋体" w:eastAsia="宋体" w:cs="宋体"/>
          <w:lang w:val="en-US" w:eastAsia="zh-CN"/>
        </w:rPr>
        <w:t xml:space="preserve">    </w:t>
      </w:r>
      <w:r>
        <w:rPr>
          <w:rFonts w:hint="eastAsia" w:ascii="宋体" w:hAnsi="宋体" w:eastAsia="宋体" w:cs="宋体"/>
          <w:sz w:val="24"/>
          <w:szCs w:val="24"/>
          <w:lang w:eastAsia="zh-CN"/>
        </w:rPr>
        <w:t>霍城县水权水价改革</w:t>
      </w:r>
      <w:r>
        <w:rPr>
          <w:rFonts w:hint="eastAsia" w:ascii="宋体" w:hAnsi="宋体" w:eastAsia="宋体" w:cs="宋体"/>
          <w:sz w:val="24"/>
          <w:szCs w:val="24"/>
        </w:rPr>
        <w:t>数据库系统设计根据当今信息化发展趋势，结合灌区实际，打破与其他系统之间的信息壁垒，实现整个灌区信息资源共享，提高</w:t>
      </w:r>
      <w:r>
        <w:rPr>
          <w:rFonts w:hint="eastAsia" w:ascii="宋体" w:hAnsi="宋体" w:eastAsia="宋体" w:cs="宋体"/>
          <w:sz w:val="24"/>
          <w:szCs w:val="24"/>
          <w:lang w:eastAsia="zh-CN"/>
        </w:rPr>
        <w:t>水权水价改革</w:t>
      </w:r>
      <w:r>
        <w:rPr>
          <w:rFonts w:hint="eastAsia" w:ascii="宋体" w:hAnsi="宋体" w:eastAsia="宋体" w:cs="宋体"/>
          <w:sz w:val="24"/>
          <w:szCs w:val="24"/>
        </w:rPr>
        <w:t>技术水平，最大程度发挥信息化系统的作用，根据信息技术的发展趋势，结合软件工程方法，</w:t>
      </w:r>
      <w:r>
        <w:rPr>
          <w:rFonts w:hint="eastAsia" w:ascii="宋体" w:hAnsi="宋体" w:eastAsia="宋体" w:cs="宋体"/>
          <w:sz w:val="24"/>
          <w:szCs w:val="24"/>
          <w:lang w:eastAsia="zh-CN"/>
        </w:rPr>
        <w:t>霍城县水权水价改革</w:t>
      </w:r>
      <w:r>
        <w:rPr>
          <w:rFonts w:hint="eastAsia" w:ascii="宋体" w:hAnsi="宋体" w:eastAsia="宋体" w:cs="宋体"/>
          <w:sz w:val="24"/>
          <w:szCs w:val="24"/>
        </w:rPr>
        <w:t>系统建设，首先要设计适合</w:t>
      </w:r>
      <w:r>
        <w:rPr>
          <w:rFonts w:hint="eastAsia" w:ascii="宋体" w:hAnsi="宋体" w:eastAsia="宋体" w:cs="宋体"/>
          <w:sz w:val="24"/>
          <w:szCs w:val="24"/>
          <w:lang w:eastAsia="zh-CN"/>
        </w:rPr>
        <w:t>霍城县</w:t>
      </w:r>
      <w:r>
        <w:rPr>
          <w:rFonts w:hint="eastAsia" w:ascii="宋体" w:hAnsi="宋体" w:eastAsia="宋体" w:cs="宋体"/>
          <w:sz w:val="24"/>
          <w:szCs w:val="24"/>
        </w:rPr>
        <w:t>灌区业务应用的数据库。此次数据库设计内容，按照统一的技术体系和规范进行设计，初步形成面向</w:t>
      </w:r>
      <w:r>
        <w:rPr>
          <w:rFonts w:hint="eastAsia" w:ascii="宋体" w:hAnsi="宋体" w:eastAsia="宋体" w:cs="宋体"/>
          <w:sz w:val="24"/>
          <w:szCs w:val="24"/>
          <w:lang w:eastAsia="zh-CN"/>
        </w:rPr>
        <w:t>水权水价改革</w:t>
      </w:r>
      <w:r>
        <w:rPr>
          <w:rFonts w:hint="eastAsia" w:ascii="宋体" w:hAnsi="宋体" w:eastAsia="宋体" w:cs="宋体"/>
          <w:sz w:val="24"/>
          <w:szCs w:val="24"/>
        </w:rPr>
        <w:t>综合体系的数据库结构，为</w:t>
      </w:r>
      <w:r>
        <w:rPr>
          <w:rFonts w:hint="eastAsia" w:ascii="宋体" w:hAnsi="宋体" w:eastAsia="宋体" w:cs="宋体"/>
          <w:sz w:val="24"/>
          <w:szCs w:val="24"/>
          <w:lang w:eastAsia="zh-CN"/>
        </w:rPr>
        <w:t>霍城县水权水价改革</w:t>
      </w:r>
      <w:r>
        <w:rPr>
          <w:rFonts w:hint="eastAsia" w:ascii="宋体" w:hAnsi="宋体" w:eastAsia="宋体" w:cs="宋体"/>
          <w:sz w:val="24"/>
          <w:szCs w:val="24"/>
        </w:rPr>
        <w:t>的不断深入发展创造条件。</w:t>
      </w:r>
    </w:p>
    <w:p>
      <w:pPr>
        <w:spacing w:line="360" w:lineRule="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霍城县水权水价改革</w:t>
      </w:r>
      <w:r>
        <w:rPr>
          <w:rFonts w:hint="eastAsia" w:ascii="宋体" w:hAnsi="宋体" w:eastAsia="宋体" w:cs="宋体"/>
          <w:sz w:val="24"/>
          <w:szCs w:val="24"/>
        </w:rPr>
        <w:t>建设关于灌区业务应用的具体需求，结合全国</w:t>
      </w:r>
      <w:r>
        <w:rPr>
          <w:rFonts w:hint="eastAsia" w:ascii="宋体" w:hAnsi="宋体" w:eastAsia="宋体" w:cs="宋体"/>
          <w:sz w:val="24"/>
          <w:szCs w:val="24"/>
          <w:lang w:eastAsia="zh-CN"/>
        </w:rPr>
        <w:t>水权水价改革</w:t>
      </w:r>
      <w:r>
        <w:rPr>
          <w:rFonts w:hint="eastAsia" w:ascii="宋体" w:hAnsi="宋体" w:eastAsia="宋体" w:cs="宋体"/>
          <w:sz w:val="24"/>
          <w:szCs w:val="24"/>
        </w:rPr>
        <w:t>总体技术要求，参考已建且应用程度较高的大型</w:t>
      </w:r>
      <w:r>
        <w:rPr>
          <w:rFonts w:hint="eastAsia" w:ascii="宋体" w:hAnsi="宋体" w:eastAsia="宋体" w:cs="宋体"/>
          <w:sz w:val="24"/>
          <w:szCs w:val="24"/>
          <w:lang w:val="en-US" w:eastAsia="zh-CN"/>
        </w:rPr>
        <w:t>灌区</w:t>
      </w:r>
      <w:r>
        <w:rPr>
          <w:rFonts w:hint="eastAsia" w:ascii="宋体" w:hAnsi="宋体" w:eastAsia="宋体" w:cs="宋体"/>
          <w:sz w:val="24"/>
          <w:szCs w:val="24"/>
          <w:lang w:eastAsia="zh-CN"/>
        </w:rPr>
        <w:t>水权水价改革</w:t>
      </w:r>
      <w:r>
        <w:rPr>
          <w:rFonts w:hint="eastAsia" w:ascii="宋体" w:hAnsi="宋体" w:eastAsia="宋体" w:cs="宋体"/>
          <w:sz w:val="24"/>
          <w:szCs w:val="24"/>
        </w:rPr>
        <w:t>建设成果，考虑到</w:t>
      </w:r>
      <w:r>
        <w:rPr>
          <w:rFonts w:hint="eastAsia" w:ascii="宋体" w:hAnsi="宋体" w:eastAsia="宋体" w:cs="宋体"/>
          <w:sz w:val="24"/>
          <w:szCs w:val="24"/>
          <w:lang w:eastAsia="zh-CN"/>
        </w:rPr>
        <w:t>霍城县</w:t>
      </w:r>
      <w:r>
        <w:rPr>
          <w:rFonts w:hint="eastAsia" w:ascii="宋体" w:hAnsi="宋体" w:eastAsia="宋体" w:cs="宋体"/>
          <w:sz w:val="24"/>
          <w:szCs w:val="24"/>
        </w:rPr>
        <w:t>灌区目前信息化的现状和建设进展程度，</w:t>
      </w:r>
      <w:r>
        <w:rPr>
          <w:rFonts w:hint="eastAsia" w:ascii="宋体" w:hAnsi="宋体" w:eastAsia="宋体" w:cs="宋体"/>
          <w:sz w:val="24"/>
          <w:szCs w:val="24"/>
          <w:lang w:eastAsia="zh-CN"/>
        </w:rPr>
        <w:t>霍城县水权水价改革</w:t>
      </w:r>
      <w:r>
        <w:rPr>
          <w:rFonts w:hint="eastAsia" w:ascii="宋体" w:hAnsi="宋体" w:eastAsia="宋体" w:cs="宋体"/>
          <w:sz w:val="24"/>
          <w:szCs w:val="24"/>
        </w:rPr>
        <w:t>系统数据库计应涵盖现有业务需求，并为未来其它业务应用系统提供整合接口。通过</w:t>
      </w:r>
      <w:r>
        <w:rPr>
          <w:rFonts w:hint="eastAsia" w:ascii="宋体" w:hAnsi="宋体" w:eastAsia="宋体" w:cs="宋体"/>
          <w:sz w:val="24"/>
          <w:szCs w:val="24"/>
          <w:lang w:eastAsia="zh-CN"/>
        </w:rPr>
        <w:t>霍城县水权水价改革</w:t>
      </w:r>
      <w:r>
        <w:rPr>
          <w:rFonts w:hint="eastAsia" w:ascii="宋体" w:hAnsi="宋体" w:eastAsia="宋体" w:cs="宋体"/>
          <w:sz w:val="24"/>
          <w:szCs w:val="24"/>
        </w:rPr>
        <w:t>系统数据库建设，推进灌区的信息化进展，避免信息化建设条块分割，信息孤立的情况发生。</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3.2.1灌区量测水系统应用软件</w:t>
      </w:r>
    </w:p>
    <w:p>
      <w:pPr>
        <w:pStyle w:val="37"/>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 xml:space="preserve">灌区量测水管理系统以水情信息采集为基础，实现水情信息的实时查询、统 计分析及水情整编，并结合应用软件开发技术、数据库技术和地理信息技术，通 过曲线拟合的手段推导适用性较强的水位流量关系曲线，从而根据水位得到流 量。为灌区的资源调度、水资源经营、工程建设以及综合利用提供科学依据，为 </w:t>
      </w:r>
      <w:r>
        <w:rPr>
          <w:rFonts w:hint="eastAsia" w:ascii="宋体" w:hAnsi="宋体" w:eastAsia="宋体" w:cs="宋体"/>
          <w:color w:val="000000"/>
          <w:sz w:val="24"/>
          <w:szCs w:val="24"/>
          <w:lang w:eastAsia="zh-CN"/>
        </w:rPr>
        <w:t>水权水价改革</w:t>
      </w:r>
      <w:r>
        <w:rPr>
          <w:rFonts w:hint="eastAsia" w:ascii="宋体" w:hAnsi="宋体" w:eastAsia="宋体" w:cs="宋体"/>
          <w:color w:val="000000"/>
          <w:sz w:val="24"/>
          <w:szCs w:val="24"/>
        </w:rPr>
        <w:t>管理工作提供数据基础。</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3.2.2数据采集交互平台</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数据采集交互平台</w:t>
      </w:r>
      <w:r>
        <w:rPr>
          <w:rFonts w:hint="eastAsia" w:ascii="宋体" w:hAnsi="宋体" w:eastAsia="宋体" w:cs="宋体"/>
          <w:color w:val="000000"/>
          <w:sz w:val="24"/>
          <w:szCs w:val="24"/>
        </w:rPr>
        <w:t>按照灌区用水单位的需水情况和灌区工程供水能力 （水库蓄水或渠首引水情况），可以及时快捷地辅助工作人员制定灌区各用水位的用、配水计划，通过系统向灌区直属站（水库、渠首管理站）和基层站下达 配水指令，并根据监测设备上报的各用水计量点测报的数据情况，对配水计划和 执行情况进行分析和考核，以提高灌区用、配水管理效率和统计分析数据的准确性。</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3.2.3数据库系统</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数据库设计用遵循以下原则：</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（1）减少灌区数据的冗余度。数据尽可能不重复，保证数据的一致性，避免重复数据。</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（2）应用程序共享数据资源。这是数据库先进性的重要体现之一，即以最便捷的方式服务于一个或多个应用程序</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（3）数据的独立性。包括数据库中数据的逻辑结构同应用程序相互独立，数据物理结构的变化不影响数据的逻辑结构。</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（4）数据集中控制。利用一种软件实现对数据的维护、更新、增删和检索等一系列操作，并通过数据模型表示各种数据的组织以及数据间的联系。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（5）数据的可控性、安全性控制。包括防止数据丢失、错误更</w:t>
      </w:r>
      <w:r>
        <w:rPr>
          <w:rFonts w:hint="eastAsia" w:ascii="宋体" w:hAnsi="宋体" w:eastAsia="宋体" w:cs="宋体"/>
          <w:color w:val="000000"/>
          <w:sz w:val="24"/>
          <w:szCs w:val="24"/>
          <w:lang w:eastAsia="zh-CN"/>
        </w:rPr>
        <w:t>霍城县</w:t>
      </w:r>
      <w:r>
        <w:rPr>
          <w:rFonts w:hint="eastAsia" w:ascii="宋体" w:hAnsi="宋体" w:eastAsia="宋体" w:cs="宋体"/>
          <w:color w:val="000000"/>
          <w:sz w:val="24"/>
          <w:szCs w:val="24"/>
        </w:rPr>
        <w:t>防止越权使用；完整性控制包括确保数据的正确性、有效性和相容性；并发控制包括在同一时间内允许对数据实现多路存取，同时又能避免用户间的非正常交互使用；维护性控制包括故障的发现和恢复。</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（6）数据编码标准化。在灌区综合数据库建设中需要进行严格完善的数据编码。</w:t>
      </w:r>
    </w:p>
    <w:p>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3.2.4GIS地图系统</w:t>
      </w:r>
    </w:p>
    <w:p>
      <w:pPr>
        <w:pStyle w:val="37"/>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灌区工情及巡检管理</w:t>
      </w:r>
      <w:r>
        <w:rPr>
          <w:rFonts w:hint="eastAsia" w:ascii="宋体" w:hAnsi="宋体" w:eastAsia="宋体" w:cs="宋体"/>
          <w:color w:val="000000"/>
          <w:sz w:val="24"/>
          <w:szCs w:val="24"/>
          <w:lang w:val="en-US" w:eastAsia="zh-CN" w:bidi="en-US"/>
        </w:rPr>
        <w:t>GIS</w:t>
      </w:r>
      <w:r>
        <w:rPr>
          <w:rFonts w:hint="eastAsia" w:ascii="宋体" w:hAnsi="宋体" w:eastAsia="宋体" w:cs="宋体"/>
          <w:color w:val="000000"/>
          <w:sz w:val="24"/>
          <w:szCs w:val="24"/>
        </w:rPr>
        <w:t xml:space="preserve">系统是针对灌区水利工程设施的管理工作而设计的管理软件。水利工程设施通常分布在广阔的地域上，传统的手工管理无法表现水利设施的空间信息，即使基于纸质地图，在水利设施工情信息的空间分布方面也缺乏足够的表现力。这对渠道、闸门等水利建筑物的维护管理工作、水资源的合理调度、防汛指挥工作的开展都带来了极大的不便。通过灌区工情及巡检管理 </w:t>
      </w:r>
      <w:r>
        <w:rPr>
          <w:rFonts w:hint="eastAsia" w:ascii="宋体" w:hAnsi="宋体" w:eastAsia="宋体" w:cs="宋体"/>
          <w:color w:val="000000"/>
          <w:sz w:val="24"/>
          <w:szCs w:val="24"/>
          <w:lang w:val="en-US" w:eastAsia="zh-CN" w:bidi="en-US"/>
        </w:rPr>
        <w:t>GIS</w:t>
      </w:r>
      <w:r>
        <w:rPr>
          <w:rFonts w:hint="eastAsia" w:ascii="宋体" w:hAnsi="宋体" w:eastAsia="宋体" w:cs="宋体"/>
          <w:color w:val="000000"/>
          <w:sz w:val="24"/>
          <w:szCs w:val="24"/>
        </w:rPr>
        <w:t>系统，用户可以通过直观的电子地图，方便的完成水利工程设施的管理工作,为维护工程设施、水资源调度、防汛抗旱提供有力的支持。</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3.2.5移动APP</w:t>
      </w:r>
    </w:p>
    <w:p>
      <w:pPr>
        <w:pStyle w:val="37"/>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移动智能终端应用将使用频率较高、能够充分发挥移动终端优势的水雨情监测、图像采集、等适合通过移动终端管理的灌区业务集成到移动智能终端中，且其所有数据与</w:t>
      </w:r>
      <w:r>
        <w:rPr>
          <w:rFonts w:hint="eastAsia" w:ascii="宋体" w:hAnsi="宋体" w:eastAsia="宋体" w:cs="宋体"/>
          <w:color w:val="000000"/>
          <w:sz w:val="24"/>
          <w:szCs w:val="24"/>
          <w:lang w:val="en-US" w:eastAsia="zh-CN" w:bidi="en-US"/>
        </w:rPr>
        <w:t>PC</w:t>
      </w:r>
      <w:r>
        <w:rPr>
          <w:rFonts w:hint="eastAsia" w:ascii="宋体" w:hAnsi="宋体" w:eastAsia="宋体" w:cs="宋体"/>
          <w:color w:val="000000"/>
          <w:sz w:val="24"/>
          <w:szCs w:val="24"/>
        </w:rPr>
        <w:t>机上的应用保持一致，从而为灌区管理人员提供了新的信息管理模式与手段，为用户开辟了新的信息获取渠道，大大提高灌区工作人员信息发布、传递、接收、处理的及时性与准确性，为决策部门的决策提供科学依据，为灌区工作人员与用水户提供方便快捷的信息服务。</w:t>
      </w:r>
    </w:p>
    <w:p>
      <w:pPr>
        <w:pStyle w:val="3"/>
        <w:widowControl w:val="0"/>
        <w:numPr>
          <w:ilvl w:val="0"/>
          <w:numId w:val="0"/>
        </w:numPr>
        <w:spacing w:after="120"/>
        <w:jc w:val="both"/>
        <w:rPr>
          <w:rFonts w:hint="eastAsia" w:ascii="宋体" w:hAnsi="宋体" w:eastAsia="宋体" w:cs="宋体"/>
          <w:highlight w:val="none"/>
        </w:rPr>
        <w:sectPr>
          <w:footerReference r:id="rId16" w:type="first"/>
          <w:pgSz w:w="11905" w:h="16838"/>
          <w:pgMar w:top="1134" w:right="1134" w:bottom="1134" w:left="1134" w:header="964" w:footer="1191" w:gutter="0"/>
          <w:pgBorders w:offsetFrom="page">
            <w:top w:val="thinThickSmallGap" w:color="auto" w:sz="18" w:space="1"/>
            <w:bottom w:val="thinThickSmallGap" w:color="auto" w:sz="18" w:space="1"/>
          </w:pgBorders>
          <w:pgNumType w:fmt="decimal"/>
          <w:cols w:space="0" w:num="1"/>
          <w:titlePg/>
          <w:rtlGutter w:val="0"/>
          <w:docGrid w:type="lines" w:linePitch="321" w:charSpace="0"/>
        </w:sectPr>
      </w:pPr>
    </w:p>
    <w:p>
      <w:pPr>
        <w:widowControl w:val="0"/>
        <w:numPr>
          <w:ilvl w:val="0"/>
          <w:numId w:val="0"/>
        </w:numPr>
        <w:wordWrap/>
        <w:adjustRightInd w:val="0"/>
        <w:snapToGrid w:val="0"/>
        <w:spacing w:before="157" w:beforeLines="50" w:line="460" w:lineRule="exact"/>
        <w:ind w:right="0"/>
        <w:jc w:val="both"/>
        <w:textAlignment w:val="auto"/>
        <w:outlineLvl w:val="9"/>
        <w:rPr>
          <w:rFonts w:hint="eastAsia" w:ascii="宋体" w:hAnsi="宋体" w:eastAsia="宋体" w:cs="宋体"/>
          <w:b/>
          <w:color w:val="000000"/>
          <w:sz w:val="24"/>
          <w:szCs w:val="24"/>
          <w:highlight w:val="none"/>
        </w:rPr>
      </w:pPr>
      <w:bookmarkStart w:id="114" w:name="_Toc29741"/>
      <w:r>
        <w:rPr>
          <w:rFonts w:hint="eastAsia" w:ascii="宋体" w:hAnsi="宋体" w:eastAsia="宋体" w:cs="宋体"/>
          <w:b/>
          <w:color w:val="000000"/>
          <w:sz w:val="24"/>
          <w:szCs w:val="24"/>
          <w:highlight w:val="none"/>
          <w:lang w:eastAsia="zh-CN"/>
        </w:rPr>
        <w:t>四</w:t>
      </w:r>
      <w:r>
        <w:rPr>
          <w:rFonts w:hint="eastAsia" w:ascii="宋体" w:hAnsi="宋体" w:eastAsia="宋体" w:cs="宋体"/>
          <w:b/>
          <w:color w:val="000000"/>
          <w:sz w:val="24"/>
          <w:szCs w:val="24"/>
          <w:highlight w:val="none"/>
        </w:rPr>
        <w:t>、验收标准和方法</w:t>
      </w:r>
      <w:r>
        <w:rPr>
          <w:rFonts w:hint="eastAsia" w:ascii="宋体" w:hAnsi="宋体" w:eastAsia="宋体" w:cs="宋体"/>
          <w:b/>
          <w:color w:val="000000"/>
          <w:sz w:val="24"/>
          <w:szCs w:val="24"/>
          <w:highlight w:val="none"/>
          <w:lang w:val="en-US" w:eastAsia="zh-CN"/>
        </w:rPr>
        <w:t xml:space="preserve">  </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1、验收标准：按货物（服务）相应的国际标准（国家标准）、本采购文件的所有技术要求及规定进行验收，当发生矛盾时，以所有文件中最高性能指标为准。</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2、验收步骤和要求：</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安装调试完毕，采购人与中标人按招标文件以及合同相关条款要求一同对系统（设备）运行情况进行测试。在此期间，如发现系统（设备）运行有问题或功能无法实现，中标人应根据采购人要求无条件免费按时进行改进修正。之后，中标人向采购人提出验收申请。正式验收合格后双方共同签署正式验收报告。</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B、在采购人安装现场进行安装、调试、试运行、正式验收所发生的一切费用由中标人承担且已包含在本次投标总价中。</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3、投标方提供的产品必须是完整的、全新的、高质量的和工艺精良的合格正品并列出所供货物的标准配置清单。</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4、中标方须提供完整的技术资料（包括产品说明书、用户手册、出厂明细表或装箱单、质量合格证及其它相关文件资料等。</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5、投标人需提供同型号设备检测报告。</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6、投标人必须按</w:t>
      </w:r>
      <w:r>
        <w:rPr>
          <w:rFonts w:hint="eastAsia" w:ascii="宋体" w:hAnsi="宋体" w:eastAsia="宋体" w:cs="宋体"/>
          <w:color w:val="000000"/>
          <w:sz w:val="24"/>
          <w:szCs w:val="24"/>
          <w:highlight w:val="none"/>
          <w:lang w:eastAsia="zh-CN"/>
        </w:rPr>
        <w:t>相关部门</w:t>
      </w:r>
      <w:r>
        <w:rPr>
          <w:rFonts w:hint="eastAsia" w:ascii="宋体" w:hAnsi="宋体" w:eastAsia="宋体" w:cs="宋体"/>
          <w:color w:val="000000"/>
          <w:sz w:val="24"/>
          <w:szCs w:val="24"/>
          <w:highlight w:val="none"/>
        </w:rPr>
        <w:t>的验收要求编制好竣工资料及份数。</w:t>
      </w:r>
    </w:p>
    <w:p>
      <w:pPr>
        <w:adjustRightInd w:val="0"/>
        <w:snapToGrid w:val="0"/>
        <w:spacing w:line="38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五</w:t>
      </w:r>
      <w:r>
        <w:rPr>
          <w:rFonts w:hint="eastAsia" w:ascii="宋体" w:hAnsi="宋体" w:eastAsia="宋体" w:cs="宋体"/>
          <w:b/>
          <w:color w:val="000000"/>
          <w:sz w:val="24"/>
          <w:szCs w:val="24"/>
          <w:highlight w:val="none"/>
        </w:rPr>
        <w:t xml:space="preserve">、安装及技术服务(含培训)要求 </w:t>
      </w:r>
    </w:p>
    <w:p>
      <w:pPr>
        <w:spacing w:line="38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（一）安装服务 </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1、供应商必须承诺按时提供以上货物并完成安装调试。</w:t>
      </w:r>
    </w:p>
    <w:p>
      <w:pPr>
        <w:spacing w:line="38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（二）技术服务 </w:t>
      </w:r>
    </w:p>
    <w:p>
      <w:pPr>
        <w:spacing w:line="3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1、现场培训：在用户现场对用户进行现场培训，培训内容为实机操作，直到用户能够完全独立操作，运行日常工作。</w:t>
      </w:r>
    </w:p>
    <w:p>
      <w:pPr>
        <w:spacing w:line="38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2、技术支持：</w:t>
      </w:r>
    </w:p>
    <w:p>
      <w:pPr>
        <w:spacing w:line="38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（1）在安装调试阶段、试运行期间，保证至少有一名资深工程师在现场进行维护保障。</w:t>
      </w:r>
    </w:p>
    <w:p>
      <w:pPr>
        <w:spacing w:line="380" w:lineRule="exact"/>
        <w:ind w:firstLine="482"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（2）保修期届满后，承诺对设备进行终身免费维护，有责任在设备使用地对设备进行必要的维护或修理，将随时解答客户各类技术问题，向用户提供技术支援。</w:t>
      </w:r>
    </w:p>
    <w:p>
      <w:pPr>
        <w:adjustRightInd w:val="0"/>
        <w:snapToGrid w:val="0"/>
        <w:spacing w:line="38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六</w:t>
      </w:r>
      <w:r>
        <w:rPr>
          <w:rFonts w:hint="eastAsia" w:ascii="宋体" w:hAnsi="宋体" w:eastAsia="宋体" w:cs="宋体"/>
          <w:b/>
          <w:color w:val="000000"/>
          <w:sz w:val="24"/>
          <w:szCs w:val="24"/>
          <w:highlight w:val="none"/>
        </w:rPr>
        <w:t xml:space="preserve">、售后服务要求  </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1、质保期限</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所有投标货物（服务）均须提供</w:t>
      </w:r>
      <w:r>
        <w:rPr>
          <w:rFonts w:hint="eastAsia" w:ascii="宋体" w:hAnsi="宋体" w:eastAsia="宋体" w:cs="宋体"/>
          <w:b/>
          <w:color w:val="000000"/>
          <w:sz w:val="24"/>
          <w:szCs w:val="24"/>
          <w:highlight w:val="none"/>
          <w:u w:val="single"/>
          <w:lang w:val="en-US" w:eastAsia="zh-CN"/>
        </w:rPr>
        <w:t>五</w:t>
      </w:r>
      <w:r>
        <w:rPr>
          <w:rFonts w:hint="eastAsia" w:ascii="宋体" w:hAnsi="宋体" w:eastAsia="宋体" w:cs="宋体"/>
          <w:b/>
          <w:color w:val="000000"/>
          <w:sz w:val="24"/>
          <w:szCs w:val="24"/>
          <w:highlight w:val="none"/>
          <w:u w:val="single"/>
        </w:rPr>
        <w:t>年</w:t>
      </w:r>
      <w:r>
        <w:rPr>
          <w:rFonts w:hint="eastAsia" w:ascii="宋体" w:hAnsi="宋体" w:eastAsia="宋体" w:cs="宋体"/>
          <w:color w:val="000000"/>
          <w:sz w:val="24"/>
          <w:szCs w:val="24"/>
          <w:highlight w:val="none"/>
        </w:rPr>
        <w:t>免费保修期(另有超过</w:t>
      </w:r>
      <w:r>
        <w:rPr>
          <w:rFonts w:hint="eastAsia" w:ascii="宋体" w:hAnsi="宋体" w:eastAsia="宋体" w:cs="宋体"/>
          <w:color w:val="000000"/>
          <w:sz w:val="24"/>
          <w:szCs w:val="24"/>
          <w:highlight w:val="none"/>
          <w:lang w:eastAsia="zh-CN"/>
        </w:rPr>
        <w:t>五</w:t>
      </w:r>
      <w:r>
        <w:rPr>
          <w:rFonts w:hint="eastAsia" w:ascii="宋体" w:hAnsi="宋体" w:eastAsia="宋体" w:cs="宋体"/>
          <w:color w:val="000000"/>
          <w:sz w:val="24"/>
          <w:szCs w:val="24"/>
          <w:highlight w:val="none"/>
        </w:rPr>
        <w:t>年质保规定的,按原规定执行)，保修期从验收合格正式交付给使用单位之日起计算。所有的货物若在保修期内发现有质量问题，供应商应免费免费维修或更换有质量问题的设备。保质期外提供终身维修、保养服务，维修只收取部件成本费，不再收取其他任何费用。</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2、质保期内的服务</w:t>
      </w:r>
    </w:p>
    <w:p>
      <w:pPr>
        <w:adjustRightInd w:val="0"/>
        <w:snapToGrid w:val="0"/>
        <w:spacing w:line="38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供应商必须为交付的所有货物按照国家的相关法规提供免费保修。在产品保修期内，对此项目提供免费维护与产品升级服务，并可就其相关的硬件技术提供免费咨询服务。一旦发生质量问题，供应商在接到通知（包括电话通知）2小时内响应，</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rPr>
        <w:t>小时内派人到达现场维修、更换并排出故障，费用由供应商负责。如供应商在接到通知（包括电话通知）2小时内没响应，</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rPr>
        <w:t>小时内没派人到达现场维修或更换，则视为供应商承认质量问题并且不能及时维修更换，采购方有权自行处理，因此发生的一切费用由供应商承担。保修期间产品的一切质量问题，更换部件及产品本身质量原因造成的直接经济损失应全部由供应商自行负责。</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3、投标人在投标文件中提供其他有价值的服务的方案（如定期维修保养、技术保障等）。</w:t>
      </w:r>
    </w:p>
    <w:p>
      <w:pPr>
        <w:adjustRightInd w:val="0"/>
        <w:snapToGrid w:val="0"/>
        <w:spacing w:line="38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七</w:t>
      </w:r>
      <w:r>
        <w:rPr>
          <w:rFonts w:hint="eastAsia" w:ascii="宋体" w:hAnsi="宋体" w:eastAsia="宋体" w:cs="宋体"/>
          <w:b/>
          <w:color w:val="000000"/>
          <w:sz w:val="24"/>
          <w:szCs w:val="24"/>
          <w:highlight w:val="none"/>
        </w:rPr>
        <w:t xml:space="preserve">、交货期 </w:t>
      </w:r>
    </w:p>
    <w:p>
      <w:pPr>
        <w:spacing w:line="42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按甲方要求时间供货。</w:t>
      </w:r>
    </w:p>
    <w:p>
      <w:pPr>
        <w:spacing w:line="42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八</w:t>
      </w:r>
      <w:r>
        <w:rPr>
          <w:rFonts w:hint="eastAsia" w:ascii="宋体" w:hAnsi="宋体" w:eastAsia="宋体" w:cs="宋体"/>
          <w:b/>
          <w:color w:val="000000"/>
          <w:sz w:val="24"/>
          <w:szCs w:val="24"/>
          <w:highlight w:val="none"/>
        </w:rPr>
        <w:t xml:space="preserve">、配送要求： </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在送货前，给采购方指定的配送点提供一份纸质清单和一份电子文档清单（清单应同实际到货清单一致）；及时将采购物品的电子数据提供给采购人，数据内容包括：采购物品名称、厂家名称、厂家地址、联系方式、采购物品出厂年月、采购物品性能、采购物品价格等。</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2、供应商应对采购物品进行包装，按采购方要求将采购物品配送到指定的地址，由供货商进行配送。如采购物品有错发、残破、污损等质量问题，中标供应商接到反馈意见后6小时内响应，在10天内解决问题。</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3、供应商必须负责音响设备的安装调试。在保修期内的任何故障都要能及时解决问题。</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4、供应商交货时应当向采购人提交《供货交接清单》并接受签收人（指定</w:t>
      </w:r>
      <w:r>
        <w:rPr>
          <w:rFonts w:hint="eastAsia" w:ascii="宋体" w:hAnsi="宋体" w:eastAsia="宋体" w:cs="宋体"/>
          <w:color w:val="000000"/>
          <w:sz w:val="24"/>
          <w:szCs w:val="24"/>
          <w:highlight w:val="none"/>
          <w:lang w:eastAsia="zh-CN"/>
        </w:rPr>
        <w:t>工作</w:t>
      </w:r>
      <w:r>
        <w:rPr>
          <w:rFonts w:hint="eastAsia" w:ascii="宋体" w:hAnsi="宋体" w:eastAsia="宋体" w:cs="宋体"/>
          <w:color w:val="000000"/>
          <w:sz w:val="24"/>
          <w:szCs w:val="24"/>
          <w:highlight w:val="none"/>
        </w:rPr>
        <w:t>人员）、验货人验收。验收合格的，由签收人、验收人在清单上签字或盖章。供货交接清单一式四份，分别由发货人（中标人）、签收人、验收人和采购人各留存一份。</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5、中标供应商须按采购人要求提供如下资料：</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(1)向采购人提供所需采购物品种类款式（纸质图样、电子照片）1套、价目表一份，采购物品制造厂家名单一份；</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(2)每个供货点采购物品交接清单1份；</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(3)《供货配送汇总表》，Excel格式电子版，包括采购物品名称、交货人姓名及电话、指定验货人姓名及电话；</w:t>
      </w:r>
    </w:p>
    <w:p>
      <w:pPr>
        <w:spacing w:line="4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（4）提交供货商所在单位（公司）名称，法人代表身份证、营业执照、税务登记证、机构代码证复印件，单位地址，联系电话，供货商姓名身份证复印件、联系电话。</w:t>
      </w:r>
    </w:p>
    <w:p>
      <w:pPr>
        <w:adjustRightInd w:val="0"/>
        <w:snapToGrid w:val="0"/>
        <w:spacing w:line="42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九</w:t>
      </w:r>
      <w:r>
        <w:rPr>
          <w:rFonts w:hint="eastAsia" w:ascii="宋体" w:hAnsi="宋体" w:eastAsia="宋体" w:cs="宋体"/>
          <w:b/>
          <w:color w:val="000000"/>
          <w:sz w:val="24"/>
          <w:szCs w:val="24"/>
          <w:highlight w:val="none"/>
        </w:rPr>
        <w:t xml:space="preserve">、其它  </w:t>
      </w:r>
    </w:p>
    <w:p>
      <w:pPr>
        <w:adjustRightInd w:val="0"/>
        <w:snapToGrid w:val="0"/>
        <w:spacing w:line="4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人提供的设备应能满足招标文件所提出的各项技术指标和性能要求；若发现投标人在投标文件中所列的各项技术指标和性能有欺诈行为的，采购人有权取消其中标人资格。若在执行合同过程中给采购人造成损失，采购人有权进行索赔并追究其相关责任。投标人若提供招标文件之外的附加功能可在投标文件中单独报价，供采购人参考，其费用不含在投标总价中；若投标人免费提供该附加功能请在投标文件中注明。</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2、中标单位在签订合同时，若坚持提出附加条件和不合理要求，中标资格将被取消，该中标人对由此产生的一切后果负责。</w:t>
      </w:r>
    </w:p>
    <w:p>
      <w:pPr>
        <w:adjustRightInd w:val="0"/>
        <w:snapToGrid w:val="0"/>
        <w:spacing w:line="3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3、货物由使用单位组织人员验收，并出具《货物质量验收报告》。</w:t>
      </w:r>
    </w:p>
    <w:p>
      <w:pPr>
        <w:rPr>
          <w:rFonts w:hint="eastAsia" w:ascii="宋体" w:hAnsi="宋体" w:eastAsia="宋体" w:cs="宋体"/>
          <w:color w:val="000000"/>
          <w:highlight w:val="none"/>
        </w:rPr>
      </w:pPr>
    </w:p>
    <w:bookmarkEnd w:id="114"/>
    <w:p>
      <w:pPr>
        <w:pStyle w:val="4"/>
        <w:spacing w:before="0" w:after="0" w:line="360" w:lineRule="auto"/>
        <w:jc w:val="center"/>
        <w:rPr>
          <w:rFonts w:hint="eastAsia" w:ascii="宋体" w:hAnsi="宋体" w:eastAsia="宋体" w:cs="宋体"/>
          <w:b/>
          <w:bCs/>
          <w:color w:val="000000"/>
          <w:sz w:val="32"/>
          <w:szCs w:val="32"/>
          <w:highlight w:val="none"/>
        </w:rPr>
      </w:pPr>
      <w:bookmarkStart w:id="115" w:name="_Toc13642118"/>
      <w:bookmarkStart w:id="116" w:name="_Toc13889378"/>
      <w:bookmarkStart w:id="117" w:name="_Toc13128"/>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p>
    <w:p>
      <w:pPr>
        <w:rPr>
          <w:rFonts w:hint="eastAsia" w:ascii="宋体" w:hAnsi="宋体" w:eastAsia="宋体" w:cs="宋体"/>
          <w:b/>
          <w:bCs/>
          <w:color w:val="000000"/>
          <w:sz w:val="32"/>
          <w:szCs w:val="32"/>
          <w:highlight w:val="none"/>
        </w:rPr>
      </w:pPr>
    </w:p>
    <w:p>
      <w:pPr>
        <w:pStyle w:val="27"/>
        <w:rPr>
          <w:rFonts w:hint="eastAsia" w:ascii="宋体" w:hAnsi="宋体" w:eastAsia="宋体" w:cs="宋体"/>
          <w:b/>
          <w:bCs/>
          <w:color w:val="000000"/>
          <w:sz w:val="32"/>
          <w:szCs w:val="32"/>
          <w:highlight w:val="none"/>
        </w:rPr>
      </w:pPr>
    </w:p>
    <w:p>
      <w:pPr>
        <w:pStyle w:val="27"/>
        <w:rPr>
          <w:rFonts w:hint="eastAsia" w:ascii="宋体" w:hAnsi="宋体" w:eastAsia="宋体" w:cs="宋体"/>
          <w:b/>
          <w:bCs/>
          <w:color w:val="000000"/>
          <w:sz w:val="32"/>
          <w:szCs w:val="32"/>
          <w:highlight w:val="none"/>
        </w:rPr>
      </w:pPr>
    </w:p>
    <w:p>
      <w:pPr>
        <w:pStyle w:val="27"/>
        <w:rPr>
          <w:rFonts w:hint="eastAsia" w:ascii="宋体" w:hAnsi="宋体" w:eastAsia="宋体" w:cs="宋体"/>
          <w:b/>
          <w:bCs/>
          <w:color w:val="000000"/>
          <w:sz w:val="32"/>
          <w:szCs w:val="32"/>
          <w:highlight w:val="none"/>
        </w:rPr>
      </w:pPr>
    </w:p>
    <w:p>
      <w:pPr>
        <w:pStyle w:val="4"/>
        <w:spacing w:before="0" w:after="0"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第</w:t>
      </w:r>
      <w:r>
        <w:rPr>
          <w:rFonts w:hint="eastAsia" w:ascii="宋体" w:hAnsi="宋体" w:cs="宋体"/>
          <w:b/>
          <w:bCs/>
          <w:color w:val="000000"/>
          <w:sz w:val="32"/>
          <w:szCs w:val="32"/>
          <w:highlight w:val="none"/>
          <w:lang w:eastAsia="zh-CN"/>
        </w:rPr>
        <w:t>六</w:t>
      </w:r>
      <w:r>
        <w:rPr>
          <w:rFonts w:hint="eastAsia" w:ascii="宋体" w:hAnsi="宋体" w:eastAsia="宋体" w:cs="宋体"/>
          <w:b/>
          <w:bCs/>
          <w:color w:val="000000"/>
          <w:sz w:val="32"/>
          <w:szCs w:val="32"/>
          <w:highlight w:val="none"/>
        </w:rPr>
        <w:t>章 评分</w:t>
      </w:r>
      <w:bookmarkEnd w:id="115"/>
      <w:bookmarkEnd w:id="116"/>
      <w:r>
        <w:rPr>
          <w:rFonts w:hint="eastAsia" w:ascii="宋体" w:hAnsi="宋体" w:eastAsia="宋体" w:cs="宋体"/>
          <w:b/>
          <w:bCs/>
          <w:color w:val="000000"/>
          <w:sz w:val="32"/>
          <w:szCs w:val="32"/>
          <w:highlight w:val="none"/>
        </w:rPr>
        <w:t>标准</w:t>
      </w:r>
      <w:bookmarkEnd w:id="117"/>
    </w:p>
    <w:p>
      <w:pPr>
        <w:spacing w:before="120" w:beforeLines="50" w:after="240" w:afterLines="100" w:line="480" w:lineRule="exact"/>
        <w:ind w:firstLine="42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一、评标办法：</w:t>
      </w:r>
    </w:p>
    <w:p>
      <w:pPr>
        <w:spacing w:line="440" w:lineRule="exact"/>
        <w:ind w:firstLine="486"/>
        <w:outlineLvl w:val="0"/>
        <w:rPr>
          <w:rFonts w:hint="eastAsia" w:ascii="宋体" w:hAnsi="宋体" w:eastAsia="宋体" w:cs="宋体"/>
          <w:i w:val="0"/>
          <w:iCs w:val="0"/>
          <w:color w:val="000000"/>
          <w:kern w:val="0"/>
          <w:sz w:val="24"/>
          <w:highlight w:val="none"/>
        </w:rPr>
      </w:pPr>
      <w:bookmarkStart w:id="118" w:name="_Toc4376"/>
      <w:bookmarkStart w:id="119" w:name="_Toc31886"/>
      <w:r>
        <w:rPr>
          <w:rFonts w:hint="eastAsia" w:ascii="宋体" w:hAnsi="宋体" w:eastAsia="宋体" w:cs="宋体"/>
          <w:i w:val="0"/>
          <w:iCs w:val="0"/>
          <w:color w:val="000000"/>
          <w:kern w:val="0"/>
          <w:sz w:val="24"/>
          <w:highlight w:val="none"/>
        </w:rPr>
        <w:t>综合评分法，是指投标文件满足招标文件全部实质性要求，且按照评审因素的量化指标评审得分最高的投标人为中标候选人的评标方法。</w:t>
      </w:r>
      <w:bookmarkEnd w:id="118"/>
    </w:p>
    <w:p>
      <w:pPr>
        <w:spacing w:line="440" w:lineRule="exact"/>
        <w:ind w:firstLine="486"/>
        <w:outlineLvl w:val="0"/>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bookmarkStart w:id="120" w:name="_Toc10922"/>
      <w:r>
        <w:rPr>
          <w:rFonts w:hint="eastAsia" w:ascii="宋体" w:hAnsi="宋体" w:eastAsia="宋体" w:cs="宋体"/>
          <w:i w:val="0"/>
          <w:iCs w:val="0"/>
          <w:color w:val="000000"/>
          <w:kern w:val="0"/>
          <w:sz w:val="24"/>
          <w:highlight w:val="none"/>
        </w:rPr>
        <w:t>审因素的设定应当与投标人所提供货物服务的质量相关，包括投标报价、技术或者服务水平、履约能力、售后服务等。资格条件不得作为评审因素。评审因素应当在招标文件中规定。</w:t>
      </w:r>
      <w:bookmarkEnd w:id="120"/>
    </w:p>
    <w:p>
      <w:pPr>
        <w:spacing w:line="440" w:lineRule="exact"/>
        <w:ind w:firstLine="486"/>
        <w:outlineLvl w:val="0"/>
        <w:rPr>
          <w:rFonts w:hint="eastAsia" w:ascii="宋体" w:hAnsi="宋体" w:eastAsia="宋体" w:cs="宋体"/>
          <w:i w:val="0"/>
          <w:iCs w:val="0"/>
          <w:color w:val="000000"/>
          <w:kern w:val="0"/>
          <w:sz w:val="24"/>
          <w:highlight w:val="none"/>
        </w:rPr>
      </w:pPr>
      <w:bookmarkStart w:id="121" w:name="_Toc12322"/>
      <w:r>
        <w:rPr>
          <w:rFonts w:hint="eastAsia" w:ascii="宋体" w:hAnsi="宋体" w:eastAsia="宋体" w:cs="宋体"/>
          <w:i w:val="0"/>
          <w:iCs w:val="0"/>
          <w:color w:val="000000"/>
          <w:kern w:val="0"/>
          <w:sz w:val="24"/>
          <w:highlight w:val="none"/>
        </w:rPr>
        <w:t>评审因素应当细化和量化，且与相应的商务条件和采购需求对应。商务条件和采购需求指标有区间规定的，评审因素应当量化到相应区间，并设置各区间对应的不同分值。</w:t>
      </w:r>
      <w:bookmarkEnd w:id="121"/>
    </w:p>
    <w:p>
      <w:pPr>
        <w:spacing w:line="440" w:lineRule="exact"/>
        <w:ind w:firstLine="486"/>
        <w:outlineLvl w:val="0"/>
        <w:rPr>
          <w:rFonts w:hint="eastAsia" w:ascii="宋体" w:hAnsi="宋体" w:eastAsia="宋体" w:cs="宋体"/>
          <w:i w:val="0"/>
          <w:iCs w:val="0"/>
          <w:color w:val="000000"/>
          <w:kern w:val="0"/>
          <w:sz w:val="24"/>
          <w:highlight w:val="none"/>
        </w:rPr>
      </w:pPr>
      <w:bookmarkStart w:id="122" w:name="_Toc10147"/>
      <w:r>
        <w:rPr>
          <w:rFonts w:hint="eastAsia" w:ascii="宋体" w:hAnsi="宋体" w:eastAsia="宋体" w:cs="宋体"/>
          <w:i w:val="0"/>
          <w:iCs w:val="0"/>
          <w:color w:val="000000"/>
          <w:kern w:val="0"/>
          <w:sz w:val="24"/>
          <w:highlight w:val="none"/>
        </w:rPr>
        <w:t>评标时，评标委员会各成员应当独立对每个投标人的投标文件进行评价，并汇总每个投标人的得分。</w:t>
      </w:r>
      <w:bookmarkEnd w:id="122"/>
    </w:p>
    <w:p>
      <w:pPr>
        <w:spacing w:line="440" w:lineRule="exact"/>
        <w:ind w:firstLine="486"/>
        <w:outlineLvl w:val="0"/>
        <w:rPr>
          <w:rFonts w:hint="eastAsia" w:ascii="宋体" w:hAnsi="宋体" w:eastAsia="宋体" w:cs="宋体"/>
          <w:i w:val="0"/>
          <w:iCs w:val="0"/>
          <w:color w:val="000000"/>
          <w:kern w:val="0"/>
          <w:sz w:val="24"/>
          <w:highlight w:val="none"/>
        </w:rPr>
      </w:pPr>
      <w:bookmarkStart w:id="123" w:name="_Toc28180"/>
      <w:r>
        <w:rPr>
          <w:rFonts w:hint="eastAsia" w:ascii="宋体" w:hAnsi="宋体" w:eastAsia="宋体" w:cs="宋体"/>
          <w:i w:val="0"/>
          <w:iCs w:val="0"/>
          <w:color w:val="000000"/>
          <w:kern w:val="0"/>
          <w:sz w:val="24"/>
          <w:highlight w:val="none"/>
        </w:rPr>
        <w:t>货物项目的价格分值占总分值的比重不得低于30%；服务项目的价格分值占总分值的比重不得低于10%。执行国家统一定价标准和采用固定价格采购的项目，其价格不列为评审因素。</w:t>
      </w:r>
      <w:bookmarkEnd w:id="123"/>
    </w:p>
    <w:p>
      <w:pPr>
        <w:spacing w:line="440" w:lineRule="exact"/>
        <w:ind w:firstLine="486"/>
        <w:outlineLvl w:val="0"/>
        <w:rPr>
          <w:rFonts w:hint="eastAsia" w:ascii="宋体" w:hAnsi="宋体" w:eastAsia="宋体" w:cs="宋体"/>
          <w:i w:val="0"/>
          <w:iCs w:val="0"/>
          <w:color w:val="000000"/>
          <w:kern w:val="0"/>
          <w:sz w:val="24"/>
          <w:highlight w:val="none"/>
        </w:rPr>
      </w:pPr>
      <w:bookmarkStart w:id="124" w:name="_Toc1493"/>
      <w:r>
        <w:rPr>
          <w:rFonts w:hint="eastAsia" w:ascii="宋体" w:hAnsi="宋体" w:eastAsia="宋体" w:cs="宋体"/>
          <w:i w:val="0"/>
          <w:iCs w:val="0"/>
          <w:color w:val="000000"/>
          <w:kern w:val="0"/>
          <w:sz w:val="24"/>
          <w:highlight w:val="none"/>
        </w:rPr>
        <w:t>价格分应当采用低价优先法计算，即满足招标文件要求且投标价格最低的投标报价为评标基准价，其价格分为满分。其他投标人的价格分统一按照下列公式计算：</w:t>
      </w:r>
      <w:bookmarkEnd w:id="124"/>
    </w:p>
    <w:p>
      <w:pPr>
        <w:pStyle w:val="26"/>
        <w:ind w:firstLine="720" w:firstLineChars="300"/>
        <w:rPr>
          <w:rFonts w:hint="eastAsia" w:ascii="宋体" w:hAnsi="宋体" w:eastAsia="宋体" w:cs="宋体"/>
          <w:i w:val="0"/>
          <w:iCs w:val="0"/>
          <w:color w:val="000000"/>
          <w:kern w:val="0"/>
          <w:sz w:val="24"/>
          <w:szCs w:val="20"/>
          <w:highlight w:val="none"/>
          <w:lang w:val="en-US" w:eastAsia="zh-CN" w:bidi="ar-SA"/>
        </w:rPr>
      </w:pPr>
      <w:r>
        <w:rPr>
          <w:rFonts w:hint="eastAsia" w:ascii="宋体" w:hAnsi="宋体" w:eastAsia="宋体" w:cs="宋体"/>
          <w:i w:val="0"/>
          <w:iCs w:val="0"/>
          <w:color w:val="000000"/>
          <w:kern w:val="0"/>
          <w:sz w:val="24"/>
          <w:szCs w:val="20"/>
          <w:highlight w:val="none"/>
          <w:lang w:val="en-US" w:eastAsia="zh-CN" w:bidi="ar-SA"/>
        </w:rPr>
        <w:t>投标报价得分=(评标基准价／投标报价)×30分</w:t>
      </w:r>
    </w:p>
    <w:p>
      <w:pPr>
        <w:spacing w:line="440" w:lineRule="exact"/>
        <w:ind w:firstLine="486"/>
        <w:outlineLvl w:val="0"/>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评标基准价：满足招标文件要求且经算术修正，依据政府采购政策进行价格扣除后的最低报价为评标基准价（如为中小微企业时）；2、修正后投标报价：评标委员会以开标一览表中投标报价为基础，对其进行算术修正，依据政府采购政策进行价格扣除后，作为投标报价计算的依据。3、根据《政府采购促进中小企业发展暂行办法》的相关规定，对小型和微型企业制造（生产）产品的价格给予6%的扣除，用扣除后的价格参与评审。4、根据《关于促进残疾人就业政府采购政策的通知》（财库[2017]141号），残疾人福利性单位视同小型、微型企业。5、残疾人福利性单位属于小型、微型企业的，不重复享受政策。　　</w:t>
      </w:r>
      <w:bookmarkStart w:id="125" w:name="_Toc3573"/>
    </w:p>
    <w:p>
      <w:pPr>
        <w:spacing w:line="440" w:lineRule="exact"/>
        <w:ind w:firstLine="486"/>
        <w:outlineLvl w:val="0"/>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评标过程中，不得去掉报价中的最高报价和最低报价。</w:t>
      </w:r>
      <w:bookmarkEnd w:id="125"/>
    </w:p>
    <w:p>
      <w:pPr>
        <w:spacing w:line="440" w:lineRule="exact"/>
        <w:ind w:firstLine="486"/>
        <w:outlineLvl w:val="0"/>
        <w:rPr>
          <w:rFonts w:hint="eastAsia" w:ascii="宋体" w:hAnsi="宋体" w:eastAsia="宋体" w:cs="宋体"/>
          <w:b/>
          <w:color w:val="000000"/>
          <w:sz w:val="24"/>
          <w:highlight w:val="none"/>
        </w:rPr>
      </w:pPr>
      <w:bookmarkStart w:id="126" w:name="_Toc10253"/>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rPr>
        <w:t>定标方法</w:t>
      </w:r>
      <w:bookmarkEnd w:id="119"/>
      <w:bookmarkEnd w:id="126"/>
    </w:p>
    <w:p>
      <w:pPr>
        <w:spacing w:line="440" w:lineRule="exact"/>
        <w:outlineLvl w:val="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bookmarkStart w:id="127" w:name="_Toc20060"/>
      <w:bookmarkStart w:id="128" w:name="_Toc12977"/>
      <w:r>
        <w:rPr>
          <w:rFonts w:hint="eastAsia" w:ascii="宋体" w:hAnsi="宋体" w:eastAsia="宋体" w:cs="宋体"/>
          <w:color w:val="000000"/>
          <w:sz w:val="24"/>
          <w:highlight w:val="none"/>
        </w:rPr>
        <w:t>评标委员会推荐的中标候选人应当限定在三人，并标明排列顺序，采用综合评估法的按评分高低顺序排列。招标人应当接受评标委员会推荐的中标候选人，不得在评标委员会推荐的中标候选人之外确定中标人。</w:t>
      </w:r>
      <w:bookmarkEnd w:id="127"/>
      <w:bookmarkEnd w:id="128"/>
      <w:r>
        <w:rPr>
          <w:rFonts w:hint="eastAsia" w:ascii="宋体" w:hAnsi="宋体" w:eastAsia="宋体" w:cs="宋体"/>
          <w:color w:val="000000"/>
          <w:sz w:val="24"/>
          <w:highlight w:val="none"/>
        </w:rPr>
        <w:t xml:space="preserve"> </w:t>
      </w:r>
    </w:p>
    <w:p>
      <w:pPr>
        <w:spacing w:line="440" w:lineRule="exact"/>
        <w:ind w:firstLine="480" w:firstLineChars="200"/>
        <w:outlineLvl w:val="0"/>
        <w:rPr>
          <w:rFonts w:hint="eastAsia" w:ascii="宋体" w:hAnsi="宋体" w:eastAsia="宋体" w:cs="宋体"/>
          <w:color w:val="000000"/>
          <w:sz w:val="24"/>
          <w:highlight w:val="none"/>
        </w:rPr>
      </w:pPr>
      <w:bookmarkStart w:id="129" w:name="_Toc17395"/>
      <w:bookmarkStart w:id="130" w:name="_Toc29982"/>
      <w:r>
        <w:rPr>
          <w:rFonts w:hint="eastAsia" w:ascii="宋体" w:hAnsi="宋体" w:eastAsia="宋体" w:cs="宋体"/>
          <w:color w:val="000000"/>
          <w:sz w:val="24"/>
          <w:highlight w:val="none"/>
        </w:rPr>
        <w:t>招标人应当确定排名第一的中标候选人为中标人。排名第一的中标候选人放弃中标、因不可抗力提出不能履行合同，或者招标文件规定应当提交质量保证金而在规定的期限内未能提交的，招标人可以确定排名第二的中标候选人为中标人。</w:t>
      </w:r>
      <w:bookmarkEnd w:id="129"/>
      <w:bookmarkEnd w:id="130"/>
      <w:bookmarkStart w:id="131" w:name="_Toc18201"/>
    </w:p>
    <w:p>
      <w:pPr>
        <w:spacing w:line="440" w:lineRule="exact"/>
        <w:ind w:firstLine="480" w:firstLineChars="200"/>
        <w:outlineLvl w:val="0"/>
        <w:rPr>
          <w:rFonts w:hint="eastAsia" w:ascii="宋体" w:hAnsi="宋体" w:eastAsia="宋体" w:cs="宋体"/>
          <w:color w:val="000000"/>
          <w:sz w:val="24"/>
          <w:highlight w:val="none"/>
        </w:rPr>
      </w:pPr>
      <w:bookmarkStart w:id="132" w:name="_Toc2874"/>
      <w:r>
        <w:rPr>
          <w:rFonts w:hint="eastAsia" w:ascii="宋体" w:hAnsi="宋体" w:eastAsia="宋体" w:cs="宋体"/>
          <w:color w:val="000000"/>
          <w:sz w:val="24"/>
          <w:highlight w:val="none"/>
        </w:rPr>
        <w:t>排名第二的中标候选人因前款规定的同样原因不能签订合同的，招标人可以确定排名第三的中标候选人为中标人。</w:t>
      </w:r>
      <w:bookmarkEnd w:id="131"/>
      <w:bookmarkEnd w:id="132"/>
    </w:p>
    <w:p>
      <w:pPr>
        <w:tabs>
          <w:tab w:val="left" w:pos="765"/>
        </w:tabs>
        <w:spacing w:line="440" w:lineRule="exact"/>
        <w:rPr>
          <w:rFonts w:hint="eastAsia" w:ascii="宋体" w:hAnsi="宋体" w:eastAsia="宋体" w:cs="宋体"/>
          <w:b/>
          <w:bCs/>
          <w:color w:val="000000"/>
          <w:sz w:val="24"/>
          <w:highlight w:val="none"/>
        </w:rPr>
      </w:pPr>
      <w:bookmarkStart w:id="133" w:name="_Toc91"/>
      <w:r>
        <w:rPr>
          <w:rFonts w:hint="eastAsia" w:ascii="宋体" w:hAnsi="宋体" w:eastAsia="宋体" w:cs="宋体"/>
          <w:b/>
          <w:bCs/>
          <w:color w:val="000000"/>
          <w:sz w:val="24"/>
          <w:highlight w:val="none"/>
        </w:rPr>
        <w:t xml:space="preserve"> 3、评分细则</w:t>
      </w:r>
    </w:p>
    <w:p>
      <w:pPr>
        <w:tabs>
          <w:tab w:val="left" w:pos="7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评分内容由两部分组成，第一部分为技术</w:t>
      </w:r>
      <w:r>
        <w:rPr>
          <w:rFonts w:hint="eastAsia" w:ascii="宋体" w:hAnsi="宋体" w:eastAsia="宋体" w:cs="宋体"/>
          <w:color w:val="000000"/>
          <w:sz w:val="24"/>
          <w:highlight w:val="none"/>
          <w:lang w:eastAsia="zh-CN"/>
        </w:rPr>
        <w:t>商务评审</w:t>
      </w:r>
      <w:r>
        <w:rPr>
          <w:rFonts w:hint="eastAsia" w:ascii="宋体" w:hAnsi="宋体" w:eastAsia="宋体" w:cs="宋体"/>
          <w:color w:val="000000"/>
          <w:sz w:val="24"/>
          <w:highlight w:val="none"/>
        </w:rPr>
        <w:t>部分，第二部分为投标报价部分。第一部分技术商务部分占总分的70%，第二部分为投标报价部分（经济部分）占总分的30%。评价内容及分值见评分细则。</w:t>
      </w:r>
    </w:p>
    <w:p>
      <w:pPr>
        <w:spacing w:line="440" w:lineRule="exact"/>
        <w:outlineLvl w:val="0"/>
        <w:rPr>
          <w:rFonts w:hint="eastAsia" w:ascii="宋体" w:hAnsi="宋体" w:eastAsia="宋体" w:cs="宋体"/>
          <w:b/>
          <w:color w:val="000000"/>
          <w:sz w:val="24"/>
          <w:highlight w:val="none"/>
        </w:rPr>
      </w:pPr>
      <w:bookmarkStart w:id="134" w:name="_Toc25452"/>
      <w:r>
        <w:rPr>
          <w:rFonts w:hint="eastAsia" w:ascii="宋体" w:hAnsi="宋体" w:eastAsia="宋体" w:cs="宋体"/>
          <w:b/>
          <w:color w:val="000000"/>
          <w:sz w:val="24"/>
          <w:highlight w:val="none"/>
          <w:lang w:val="en-US" w:eastAsia="zh-CN"/>
        </w:rPr>
        <w:t>4</w:t>
      </w:r>
      <w:r>
        <w:rPr>
          <w:rFonts w:hint="eastAsia" w:ascii="宋体" w:hAnsi="宋体" w:eastAsia="宋体" w:cs="宋体"/>
          <w:b/>
          <w:color w:val="000000"/>
          <w:sz w:val="24"/>
          <w:highlight w:val="none"/>
        </w:rPr>
        <w:t>评标方法</w:t>
      </w:r>
      <w:bookmarkEnd w:id="133"/>
      <w:bookmarkEnd w:id="134"/>
      <w:r>
        <w:rPr>
          <w:rFonts w:hint="eastAsia" w:ascii="宋体" w:hAnsi="宋体" w:eastAsia="宋体" w:cs="宋体"/>
          <w:b/>
          <w:color w:val="000000"/>
          <w:sz w:val="24"/>
          <w:highlight w:val="none"/>
        </w:rPr>
        <w:t xml:space="preserve"> </w:t>
      </w:r>
    </w:p>
    <w:p>
      <w:pPr>
        <w:tabs>
          <w:tab w:val="left" w:pos="7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1、评审</w:t>
      </w:r>
    </w:p>
    <w:p>
      <w:pPr>
        <w:tabs>
          <w:tab w:val="left" w:pos="7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评标委员会将根据投标文件商务和技术部分的内容按照评分细则中量化的因素及权重独立、客观、公正地进行量化打分。</w:t>
      </w:r>
    </w:p>
    <w:p>
      <w:pPr>
        <w:tabs>
          <w:tab w:val="left" w:pos="765"/>
        </w:tabs>
        <w:spacing w:line="44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2、汇总分项量化结果，以平均得分计算。  </w:t>
      </w:r>
    </w:p>
    <w:p>
      <w:pPr>
        <w:tabs>
          <w:tab w:val="left" w:pos="7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、评标原则和纪律</w:t>
      </w:r>
    </w:p>
    <w:p>
      <w:pPr>
        <w:tabs>
          <w:tab w:val="left" w:pos="7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.1评标原则</w:t>
      </w:r>
    </w:p>
    <w:p>
      <w:pPr>
        <w:tabs>
          <w:tab w:val="left" w:pos="7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（1）评标遵循公平、公正、科学、择优的原则。</w:t>
      </w:r>
    </w:p>
    <w:p>
      <w:pPr>
        <w:tabs>
          <w:tab w:val="left" w:pos="7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（2）对所有投标人的投标评估，都采用相同的程序和标准。</w:t>
      </w:r>
    </w:p>
    <w:p>
      <w:pPr>
        <w:tabs>
          <w:tab w:val="left" w:pos="765"/>
        </w:tabs>
        <w:spacing w:line="44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（3）评标采用综合评估法（见评分细则），严格按照招标文件的要求和</w:t>
      </w:r>
      <w:r>
        <w:rPr>
          <w:rFonts w:hint="eastAsia" w:ascii="宋体" w:hAnsi="宋体" w:eastAsia="宋体" w:cs="宋体"/>
          <w:color w:val="000000"/>
          <w:sz w:val="24"/>
          <w:highlight w:val="none"/>
          <w:lang w:eastAsia="zh-CN"/>
        </w:rPr>
        <w:t>评标</w:t>
      </w:r>
      <w:r>
        <w:rPr>
          <w:rFonts w:hint="eastAsia" w:ascii="宋体" w:hAnsi="宋体" w:eastAsia="宋体" w:cs="宋体"/>
          <w:color w:val="000000"/>
          <w:sz w:val="24"/>
          <w:highlight w:val="none"/>
        </w:rPr>
        <w:t>标准及办法进行。</w:t>
      </w:r>
    </w:p>
    <w:p>
      <w:pPr>
        <w:widowControl w:val="0"/>
        <w:tabs>
          <w:tab w:val="left" w:pos="765"/>
        </w:tabs>
        <w:wordWrap/>
        <w:adjustRightInd/>
        <w:snapToGrid/>
        <w:spacing w:line="440" w:lineRule="exact"/>
        <w:ind w:left="0" w:leftChars="0" w:right="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 根据招标文件规定的评分细则由评标委员会通过打分后，总分后排序推荐出三名中标候选人可以授权评标委员会直接确定中标人。</w:t>
      </w:r>
    </w:p>
    <w:p>
      <w:pPr>
        <w:widowControl w:val="0"/>
        <w:tabs>
          <w:tab w:val="left" w:pos="765"/>
        </w:tabs>
        <w:wordWrap/>
        <w:adjustRightInd/>
        <w:snapToGrid/>
        <w:spacing w:line="440" w:lineRule="exact"/>
        <w:ind w:left="0" w:leftChars="0" w:right="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（5）评标委员会判断投标文件的相应性仅基于投标文件本身而不靠外部证据。</w:t>
      </w:r>
    </w:p>
    <w:p>
      <w:pPr>
        <w:widowControl w:val="0"/>
        <w:tabs>
          <w:tab w:val="left" w:pos="765"/>
        </w:tabs>
        <w:wordWrap/>
        <w:adjustRightInd/>
        <w:snapToGrid/>
        <w:spacing w:line="440" w:lineRule="exact"/>
        <w:ind w:left="0" w:leftChars="0" w:right="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（6）评标委员会拒绝被确定为非实质性响应的投标，投标人不能通过修正或撤销不符之处而使其成为实质性响应的投标。</w:t>
      </w:r>
    </w:p>
    <w:p>
      <w:pPr>
        <w:tabs>
          <w:tab w:val="left" w:pos="765"/>
        </w:tabs>
        <w:spacing w:line="440" w:lineRule="exact"/>
        <w:ind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.2评标纪律</w:t>
      </w:r>
    </w:p>
    <w:p>
      <w:pPr>
        <w:tabs>
          <w:tab w:val="left" w:pos="765"/>
        </w:tabs>
        <w:spacing w:line="440" w:lineRule="exact"/>
        <w:ind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（1）评标委员会应当客观、公正地履行职责，遵守职业道德，对所提出的评审意见承担个人责任。</w:t>
      </w:r>
    </w:p>
    <w:p>
      <w:pPr>
        <w:tabs>
          <w:tab w:val="left" w:pos="765"/>
        </w:tabs>
        <w:spacing w:line="440" w:lineRule="exact"/>
        <w:ind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（2）评标委员会成员与评标活动有关工作人员不得向任何投标人或与评标无关人员透露与评标有关的任何情况。</w:t>
      </w:r>
    </w:p>
    <w:p>
      <w:pPr>
        <w:tabs>
          <w:tab w:val="left" w:pos="765"/>
        </w:tabs>
        <w:spacing w:line="440" w:lineRule="exact"/>
        <w:ind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（3）封闭评标期间，评标不得。独自与外界接触，个人的通讯工具均应交由招标监督人保管。需要和外部联系应通过招标监督人员联系。</w:t>
      </w:r>
    </w:p>
    <w:p>
      <w:pPr>
        <w:tabs>
          <w:tab w:val="left" w:pos="765"/>
        </w:tabs>
        <w:spacing w:line="440" w:lineRule="exact"/>
        <w:ind w:firstLine="720" w:firstLineChars="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（4）评标期间，投标人应服从工作人员的指挥，不得出现干扰评标工作的正常进行或影响评标公正性的现象，否则将视为废标。</w:t>
      </w:r>
    </w:p>
    <w:p>
      <w:pPr>
        <w:pStyle w:val="8"/>
        <w:ind w:left="0" w:leftChars="0" w:firstLine="0" w:firstLineChars="0"/>
        <w:rPr>
          <w:rFonts w:hint="eastAsia" w:ascii="宋体" w:hAnsi="宋体" w:eastAsia="宋体" w:cs="宋体"/>
          <w:color w:val="000000"/>
          <w:highlight w:val="none"/>
        </w:rPr>
      </w:pPr>
    </w:p>
    <w:p>
      <w:pPr>
        <w:tabs>
          <w:tab w:val="left" w:pos="765"/>
        </w:tabs>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附表：评分方法和评标标准</w:t>
      </w:r>
    </w:p>
    <w:p>
      <w:pPr>
        <w:tabs>
          <w:tab w:val="left" w:pos="765"/>
        </w:tabs>
        <w:ind w:firstLine="723" w:firstLineChars="300"/>
        <w:rPr>
          <w:rFonts w:hint="eastAsia" w:ascii="宋体" w:hAnsi="宋体" w:eastAsia="宋体" w:cs="宋体"/>
          <w:b/>
          <w:color w:val="000000"/>
          <w:sz w:val="24"/>
          <w:highlight w:val="none"/>
        </w:rPr>
      </w:pPr>
    </w:p>
    <w:tbl>
      <w:tblPr>
        <w:tblStyle w:val="20"/>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7"/>
        <w:gridCol w:w="976"/>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87" w:type="dxa"/>
            <w:gridSpan w:val="2"/>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t>项目分值</w:t>
            </w:r>
          </w:p>
        </w:tc>
        <w:tc>
          <w:tcPr>
            <w:tcW w:w="8292" w:type="dxa"/>
            <w:gridSpan w:val="2"/>
            <w:vAlign w:val="center"/>
          </w:tcPr>
          <w:p>
            <w:pPr>
              <w:spacing w:before="0" w:beforeAutospacing="0" w:after="0" w:afterAutospacing="0" w:line="290" w:lineRule="exact"/>
              <w:ind w:left="0" w:right="0"/>
              <w:jc w:val="center"/>
              <w:rPr>
                <w:rFonts w:hint="eastAsia" w:ascii="宋体" w:hAnsi="宋体" w:eastAsia="宋体" w:cs="宋体"/>
                <w:color w:val="000000"/>
                <w:sz w:val="24"/>
                <w:szCs w:val="20"/>
                <w:highlight w:val="none"/>
              </w:rPr>
            </w:pPr>
            <w:r>
              <w:rPr>
                <w:rFonts w:hint="eastAsia" w:ascii="宋体" w:hAnsi="宋体" w:eastAsia="宋体" w:cs="宋体"/>
                <w:b/>
                <w:color w:val="000000"/>
                <w:sz w:val="24"/>
                <w:szCs w:val="20"/>
                <w:highlight w:val="none"/>
              </w:rPr>
              <w:t>评分内容及评分方法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987" w:type="dxa"/>
            <w:gridSpan w:val="2"/>
            <w:vMerge w:val="restart"/>
            <w:vAlign w:val="center"/>
          </w:tcPr>
          <w:p>
            <w:pPr>
              <w:spacing w:before="0" w:beforeAutospacing="0" w:after="0" w:afterAutospacing="0" w:line="290" w:lineRule="exact"/>
              <w:ind w:left="0" w:right="0"/>
              <w:jc w:val="cente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初步</w:t>
            </w:r>
          </w:p>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r>
              <w:rPr>
                <w:rFonts w:hint="eastAsia" w:ascii="宋体" w:hAnsi="宋体" w:eastAsia="宋体" w:cs="宋体"/>
                <w:color w:val="000000"/>
                <w:sz w:val="24"/>
                <w:szCs w:val="20"/>
                <w:highlight w:val="none"/>
              </w:rPr>
              <w:t>评审</w:t>
            </w:r>
          </w:p>
        </w:tc>
        <w:tc>
          <w:tcPr>
            <w:tcW w:w="976" w:type="dxa"/>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b/>
                <w:color w:val="000000"/>
                <w:sz w:val="24"/>
                <w:szCs w:val="24"/>
                <w:highlight w:val="none"/>
              </w:rPr>
            </w:pPr>
            <w:r>
              <w:rPr>
                <w:rFonts w:hint="eastAsia" w:ascii="宋体" w:hAnsi="宋体" w:eastAsia="宋体" w:cs="宋体"/>
                <w:color w:val="000000"/>
                <w:kern w:val="0"/>
                <w:sz w:val="24"/>
                <w:szCs w:val="24"/>
                <w:highlight w:val="none"/>
              </w:rPr>
              <w:t>投标文件是否有投标单位法定代表人或其授权代表签字和加盖了投标单位的公章；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2</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b/>
                <w:color w:val="000000"/>
                <w:sz w:val="24"/>
                <w:szCs w:val="24"/>
                <w:highlight w:val="none"/>
              </w:rPr>
            </w:pPr>
            <w:r>
              <w:rPr>
                <w:rFonts w:hint="eastAsia" w:ascii="宋体" w:hAnsi="宋体" w:eastAsia="宋体" w:cs="宋体"/>
                <w:color w:val="000000"/>
                <w:kern w:val="0"/>
                <w:sz w:val="24"/>
                <w:szCs w:val="24"/>
                <w:highlight w:val="none"/>
              </w:rPr>
              <w:t>相关证件是否齐全；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3</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b/>
                <w:color w:val="000000"/>
                <w:sz w:val="24"/>
                <w:szCs w:val="24"/>
                <w:highlight w:val="none"/>
              </w:rPr>
            </w:pPr>
            <w:r>
              <w:rPr>
                <w:rFonts w:hint="eastAsia" w:ascii="宋体" w:hAnsi="宋体" w:eastAsia="宋体" w:cs="宋体"/>
                <w:color w:val="000000"/>
                <w:kern w:val="0"/>
                <w:sz w:val="24"/>
                <w:szCs w:val="24"/>
                <w:highlight w:val="none"/>
              </w:rPr>
              <w:t>投标供应商的报价超过采购预算，且采购人不能支付的；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4</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b/>
                <w:color w:val="000000"/>
                <w:sz w:val="24"/>
                <w:szCs w:val="24"/>
                <w:highlight w:val="none"/>
              </w:rPr>
            </w:pPr>
            <w:r>
              <w:rPr>
                <w:rFonts w:hint="eastAsia" w:ascii="宋体" w:hAnsi="宋体" w:eastAsia="宋体" w:cs="宋体"/>
                <w:color w:val="000000"/>
                <w:kern w:val="0"/>
                <w:sz w:val="24"/>
                <w:szCs w:val="24"/>
                <w:highlight w:val="none"/>
              </w:rPr>
              <w:t>技术性能、技术参数、使用年限是否满足招标文件要求；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spacing w:before="0" w:beforeAutospacing="0" w:after="0" w:afterAutospacing="0" w:line="29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投标文件载明的采购项目完成期限超过招标文件规定期限的；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spacing w:before="0" w:beforeAutospacing="0" w:after="0" w:afterAutospacing="0" w:line="29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投标人需提供售后服务承诺</w:t>
            </w:r>
            <w:r>
              <w:rPr>
                <w:rFonts w:hint="eastAsia" w:ascii="宋体" w:hAnsi="宋体" w:eastAsia="宋体" w:cs="宋体"/>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b/>
                <w:color w:val="000000"/>
                <w:sz w:val="24"/>
                <w:szCs w:val="24"/>
                <w:highlight w:val="none"/>
              </w:rPr>
            </w:pPr>
            <w:r>
              <w:rPr>
                <w:rFonts w:hint="eastAsia" w:ascii="宋体" w:hAnsi="宋体" w:eastAsia="宋体" w:cs="宋体"/>
                <w:color w:val="000000"/>
                <w:kern w:val="0"/>
                <w:sz w:val="24"/>
                <w:szCs w:val="24"/>
                <w:highlight w:val="none"/>
              </w:rPr>
              <w:t>货物到货地点是否符合招标文件要求；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spacing w:before="0" w:beforeAutospacing="0" w:after="0" w:afterAutospacing="0" w:line="29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zh-CN"/>
              </w:rPr>
              <w:t>在评标过程中，发现投标人以他人名义投标、串通投标、以行贿手段谋取成交或者以其他弄虚作假方式投标的；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spacing w:before="0" w:beforeAutospacing="0" w:after="0" w:afterAutospacing="0" w:line="290" w:lineRule="exact"/>
              <w:ind w:left="0" w:right="0"/>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b/>
                <w:color w:val="000000"/>
                <w:kern w:val="2"/>
                <w:sz w:val="24"/>
                <w:szCs w:val="24"/>
                <w:highlight w:val="none"/>
                <w:lang w:val="zh-CN" w:eastAsia="zh-CN"/>
              </w:rPr>
            </w:pPr>
            <w:r>
              <w:rPr>
                <w:rFonts w:hint="eastAsia" w:ascii="宋体" w:hAnsi="宋体" w:eastAsia="宋体" w:cs="宋体"/>
                <w:color w:val="000000"/>
                <w:sz w:val="24"/>
                <w:szCs w:val="24"/>
                <w:highlight w:val="none"/>
                <w:lang w:val="zh-CN"/>
              </w:rPr>
              <w:t>质保期限是否满足采购人需求</w:t>
            </w:r>
            <w:r>
              <w:rPr>
                <w:rFonts w:hint="eastAsia" w:ascii="宋体" w:hAnsi="宋体" w:eastAsia="宋体" w:cs="宋体"/>
                <w:color w:val="00000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987" w:type="dxa"/>
            <w:gridSpan w:val="2"/>
            <w:vMerge w:val="continue"/>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p>
        </w:tc>
        <w:tc>
          <w:tcPr>
            <w:tcW w:w="976" w:type="dxa"/>
            <w:vAlign w:val="center"/>
          </w:tcPr>
          <w:p>
            <w:pPr>
              <w:widowControl/>
              <w:snapToGrid w:val="0"/>
              <w:spacing w:before="100" w:beforeAutospacing="1" w:after="100" w:afterAutospacing="1" w:line="290" w:lineRule="exact"/>
              <w:ind w:left="0" w:right="0"/>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7316" w:type="dxa"/>
            <w:vAlign w:val="center"/>
          </w:tcPr>
          <w:p>
            <w:pPr>
              <w:widowControl/>
              <w:snapToGrid w:val="0"/>
              <w:spacing w:before="100" w:beforeAutospacing="1" w:after="100" w:afterAutospacing="1" w:line="290" w:lineRule="exact"/>
              <w:ind w:left="0" w:right="0"/>
              <w:jc w:val="left"/>
              <w:textAlignment w:val="center"/>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是否满足招标文件的其他要求。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trPr>
        <w:tc>
          <w:tcPr>
            <w:tcW w:w="9279" w:type="dxa"/>
            <w:gridSpan w:val="4"/>
            <w:vAlign w:val="center"/>
          </w:tcPr>
          <w:p>
            <w:pPr>
              <w:spacing w:before="0" w:beforeAutospacing="0" w:after="0" w:afterAutospacing="0" w:line="290" w:lineRule="exact"/>
              <w:ind w:left="0" w:right="0"/>
              <w:jc w:val="center"/>
              <w:rPr>
                <w:rFonts w:hint="eastAsia" w:ascii="宋体" w:hAnsi="宋体" w:eastAsia="宋体" w:cs="宋体"/>
                <w:b/>
                <w:color w:val="000000"/>
                <w:sz w:val="24"/>
                <w:szCs w:val="20"/>
                <w:highlight w:val="none"/>
              </w:rPr>
            </w:pPr>
            <w:r>
              <w:rPr>
                <w:rFonts w:hint="eastAsia" w:ascii="宋体" w:hAnsi="宋体" w:eastAsia="宋体" w:cs="宋体"/>
                <w:color w:val="000000"/>
                <w:sz w:val="24"/>
                <w:szCs w:val="20"/>
                <w:highlight w:val="none"/>
              </w:rPr>
              <w:t>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1" w:hRule="exact"/>
        </w:trPr>
        <w:tc>
          <w:tcPr>
            <w:tcW w:w="950" w:type="dxa"/>
            <w:vAlign w:val="center"/>
          </w:tcPr>
          <w:p>
            <w:pPr>
              <w:widowControl w:val="0"/>
              <w:wordWrap/>
              <w:adjustRightInd/>
              <w:snapToGrid/>
              <w:spacing w:before="0" w:beforeAutospacing="0" w:after="0" w:afterAutospacing="0" w:line="48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w:t>
            </w:r>
          </w:p>
          <w:p>
            <w:pPr>
              <w:widowControl w:val="0"/>
              <w:wordWrap/>
              <w:adjustRightInd/>
              <w:snapToGrid/>
              <w:spacing w:before="0" w:beforeAutospacing="0" w:after="0" w:afterAutospacing="0" w:line="48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30分</w:t>
            </w:r>
          </w:p>
        </w:tc>
        <w:tc>
          <w:tcPr>
            <w:tcW w:w="8329" w:type="dxa"/>
            <w:gridSpan w:val="3"/>
            <w:vAlign w:val="center"/>
          </w:tcPr>
          <w:p>
            <w:pPr>
              <w:widowControl w:val="0"/>
              <w:wordWrap/>
              <w:adjustRightInd/>
              <w:snapToGrid/>
              <w:spacing w:before="0" w:beforeAutospacing="0" w:after="0" w:afterAutospacing="0" w:line="48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满足招标文件要求且以投标价格最低报价为评标基准价，等于基准价为满分。高于投标价格均值的其按照下 </w:t>
            </w:r>
          </w:p>
          <w:p>
            <w:pPr>
              <w:widowControl w:val="0"/>
              <w:wordWrap/>
              <w:adjustRightInd/>
              <w:snapToGrid/>
              <w:spacing w:before="0" w:beforeAutospacing="0" w:after="0" w:afterAutospacing="0" w:line="48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列公式计算：</w:t>
            </w:r>
          </w:p>
          <w:p>
            <w:pPr>
              <w:widowControl w:val="0"/>
              <w:wordWrap/>
              <w:adjustRightInd/>
              <w:snapToGrid/>
              <w:spacing w:before="0" w:beforeAutospacing="0" w:after="0" w:afterAutospacing="0" w:line="48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投标报价得分=(评标基准价／投标报价)×30分</w:t>
            </w:r>
          </w:p>
          <w:p>
            <w:pPr>
              <w:pStyle w:val="39"/>
              <w:spacing w:before="50" w:beforeAutospacing="0" w:after="0" w:afterAutospacing="0" w:line="280" w:lineRule="auto"/>
              <w:ind w:left="106" w:right="167"/>
              <w:jc w:val="both"/>
              <w:rPr>
                <w:rFonts w:hint="eastAsia"/>
                <w:color w:val="000000"/>
                <w:sz w:val="24"/>
                <w:szCs w:val="20"/>
              </w:rPr>
            </w:pPr>
            <w:r>
              <w:rPr>
                <w:rFonts w:hint="eastAsia"/>
                <w:color w:val="000000"/>
                <w:sz w:val="24"/>
                <w:szCs w:val="20"/>
                <w:lang w:val="en-US" w:eastAsia="zh-CN"/>
              </w:rPr>
              <w:t>1</w:t>
            </w:r>
            <w:r>
              <w:rPr>
                <w:rFonts w:hint="eastAsia"/>
                <w:color w:val="000000"/>
                <w:sz w:val="24"/>
                <w:szCs w:val="20"/>
              </w:rPr>
              <w:t>、评标基准价：因落实政府采购政策进行价格调整的，以调整后的价格计算评标基准价和投标报价。</w:t>
            </w:r>
          </w:p>
          <w:p>
            <w:pPr>
              <w:pStyle w:val="39"/>
              <w:spacing w:before="50" w:beforeAutospacing="0" w:after="0" w:afterAutospacing="0" w:line="280" w:lineRule="auto"/>
              <w:ind w:left="106" w:right="167"/>
              <w:jc w:val="both"/>
              <w:rPr>
                <w:rFonts w:hint="eastAsia"/>
                <w:color w:val="000000"/>
                <w:sz w:val="24"/>
                <w:szCs w:val="20"/>
              </w:rPr>
            </w:pPr>
            <w:r>
              <w:rPr>
                <w:rFonts w:hint="eastAsia"/>
                <w:color w:val="000000"/>
                <w:sz w:val="24"/>
                <w:szCs w:val="20"/>
                <w:lang w:eastAsia="zh-CN"/>
              </w:rPr>
              <w:t>（</w:t>
            </w:r>
            <w:r>
              <w:rPr>
                <w:rFonts w:hint="eastAsia"/>
                <w:color w:val="000000"/>
                <w:sz w:val="24"/>
                <w:szCs w:val="20"/>
                <w:lang w:val="en-US" w:eastAsia="zh-CN"/>
              </w:rPr>
              <w:t>2</w:t>
            </w:r>
            <w:r>
              <w:rPr>
                <w:rFonts w:hint="eastAsia"/>
                <w:color w:val="000000"/>
                <w:sz w:val="24"/>
                <w:szCs w:val="20"/>
                <w:lang w:eastAsia="zh-CN"/>
              </w:rPr>
              <w:t>）</w:t>
            </w:r>
            <w:r>
              <w:rPr>
                <w:rFonts w:hint="eastAsia"/>
                <w:color w:val="000000"/>
                <w:sz w:val="24"/>
                <w:szCs w:val="20"/>
              </w:rPr>
              <w:t xml:space="preserve">在评审过程中，投标人报价低于采购预算 </w:t>
            </w:r>
            <w:r>
              <w:rPr>
                <w:rFonts w:hint="eastAsia"/>
                <w:color w:val="000000"/>
                <w:sz w:val="24"/>
                <w:szCs w:val="20"/>
                <w:lang w:val="en-US" w:eastAsia="zh-CN"/>
              </w:rPr>
              <w:t>30</w:t>
            </w:r>
            <w:r>
              <w:rPr>
                <w:rFonts w:hint="eastAsia"/>
                <w:color w:val="000000"/>
                <w:sz w:val="24"/>
                <w:szCs w:val="20"/>
              </w:rPr>
              <w:t>%，有可能影响运维</w:t>
            </w:r>
          </w:p>
          <w:p>
            <w:pPr>
              <w:pStyle w:val="39"/>
              <w:spacing w:before="50" w:beforeAutospacing="0" w:after="0" w:afterAutospacing="0" w:line="280" w:lineRule="auto"/>
              <w:ind w:left="106" w:right="167"/>
              <w:jc w:val="both"/>
              <w:rPr>
                <w:rFonts w:hint="eastAsia"/>
                <w:color w:val="000000"/>
                <w:sz w:val="24"/>
                <w:szCs w:val="20"/>
              </w:rPr>
            </w:pPr>
            <w:r>
              <w:rPr>
                <w:rFonts w:hint="eastAsia"/>
                <w:color w:val="000000"/>
                <w:sz w:val="24"/>
                <w:szCs w:val="20"/>
              </w:rPr>
              <w:t>质量或者不能诚信履约的，评审委员会应当要求其在评审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(2)投标人书面说明应当签字确认或者加盖公章，否则无效。书面说明的签字确认，投标人为法人的，由其法定代表人或者代理人签字确认； 投标人为其他组织的，由其主要负责人或者代理人签字确认；投标人为自然人的，由其本人或者代理人签字确认。</w:t>
            </w:r>
          </w:p>
          <w:p>
            <w:pPr>
              <w:pStyle w:val="39"/>
              <w:spacing w:before="50" w:beforeAutospacing="0" w:after="0" w:afterAutospacing="0" w:line="280" w:lineRule="auto"/>
              <w:ind w:left="106" w:right="167"/>
              <w:jc w:val="both"/>
              <w:rPr>
                <w:rFonts w:hint="eastAsia" w:ascii="宋体" w:hAnsi="宋体" w:eastAsia="宋体" w:cs="宋体"/>
                <w:color w:val="000000"/>
                <w:sz w:val="24"/>
                <w:szCs w:val="24"/>
                <w:highlight w:val="none"/>
              </w:rPr>
            </w:pPr>
            <w:r>
              <w:rPr>
                <w:rFonts w:hint="eastAsia"/>
                <w:color w:val="000000"/>
                <w:sz w:val="24"/>
                <w:szCs w:val="20"/>
              </w:rPr>
              <w:t>(3)投标人提供书面说明后，评审委员会应当结合采购项目采购需求、专业实际情况、投标人财务状况报告、与其他投标人比较情况等就投标人书面说明进行审查评价。投标人拒绝或者变相拒绝提供有效书面说明或者书面说明不能证明其报价合理性的，评审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950" w:type="dxa"/>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rPr>
            </w:pPr>
          </w:p>
        </w:tc>
        <w:tc>
          <w:tcPr>
            <w:tcW w:w="8329" w:type="dxa"/>
            <w:gridSpan w:val="3"/>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技术标打分-附表1</w:t>
            </w:r>
          </w:p>
        </w:tc>
      </w:tr>
    </w:tbl>
    <w:p>
      <w:pPr>
        <w:pStyle w:val="17"/>
        <w:rPr>
          <w:rFonts w:hint="eastAsia" w:ascii="宋体" w:hAnsi="宋体" w:eastAsia="宋体" w:cs="宋体"/>
          <w:color w:val="000000"/>
          <w:sz w:val="28"/>
          <w:szCs w:val="28"/>
          <w:highlight w:val="none"/>
        </w:rPr>
      </w:pPr>
    </w:p>
    <w:p>
      <w:pPr>
        <w:spacing w:before="120" w:beforeLines="50" w:after="240" w:afterLines="100" w:line="480" w:lineRule="exact"/>
        <w:ind w:firstLine="42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二、评分标准：</w:t>
      </w:r>
    </w:p>
    <w:tbl>
      <w:tblPr>
        <w:tblStyle w:val="20"/>
        <w:tblW w:w="51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584"/>
        <w:gridCol w:w="1847"/>
        <w:gridCol w:w="931"/>
        <w:gridCol w:w="57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rPr>
            </w:pPr>
            <w:bookmarkStart w:id="135" w:name="OLE_LINK2"/>
          </w:p>
        </w:tc>
        <w:tc>
          <w:tcPr>
            <w:tcW w:w="285"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355" w:type="pct"/>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评分内容</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2" w:hRule="atLeast"/>
          <w:jc w:val="center"/>
        </w:trPr>
        <w:tc>
          <w:tcPr>
            <w:tcW w:w="554" w:type="pct"/>
            <w:vMerge w:val="restart"/>
            <w:tcBorders>
              <w:top w:val="single" w:color="auto" w:sz="4" w:space="0"/>
              <w:left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w:t>
            </w:r>
            <w:r>
              <w:rPr>
                <w:rFonts w:hint="eastAsia" w:ascii="宋体" w:hAnsi="宋体" w:eastAsia="宋体" w:cs="宋体"/>
                <w:color w:val="000000"/>
                <w:sz w:val="24"/>
                <w:szCs w:val="24"/>
                <w:highlight w:val="none"/>
                <w:lang w:eastAsia="zh-CN"/>
              </w:rPr>
              <w:t>、商务评审</w:t>
            </w:r>
            <w:r>
              <w:rPr>
                <w:rFonts w:hint="eastAsia" w:ascii="宋体" w:hAnsi="宋体" w:eastAsia="宋体" w:cs="宋体"/>
                <w:color w:val="000000"/>
                <w:sz w:val="24"/>
                <w:szCs w:val="24"/>
                <w:highlight w:val="none"/>
              </w:rPr>
              <w:t>部分</w:t>
            </w:r>
          </w:p>
        </w:tc>
        <w:tc>
          <w:tcPr>
            <w:tcW w:w="285"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rPr>
              <w:t>一</w:t>
            </w:r>
          </w:p>
        </w:tc>
        <w:tc>
          <w:tcPr>
            <w:tcW w:w="901"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技术部分</w:t>
            </w:r>
          </w:p>
        </w:tc>
        <w:tc>
          <w:tcPr>
            <w:tcW w:w="454" w:type="pct"/>
            <w:tcBorders>
              <w:top w:val="single" w:color="auto" w:sz="4" w:space="0"/>
              <w:left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45</w:t>
            </w:r>
          </w:p>
        </w:tc>
        <w:tc>
          <w:tcPr>
            <w:tcW w:w="2803"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具体按下列标准要求进行评审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5"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901"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设备配置及技术参数</w:t>
            </w:r>
          </w:p>
        </w:tc>
        <w:tc>
          <w:tcPr>
            <w:tcW w:w="454" w:type="pct"/>
            <w:tcBorders>
              <w:top w:val="single" w:color="auto" w:sz="4" w:space="0"/>
              <w:left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10分</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设备配置及技术参数符合招标文件技术参数要求（0-</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分）（技术参数不满</w:t>
            </w:r>
            <w:r>
              <w:rPr>
                <w:rFonts w:hint="eastAsia" w:ascii="宋体" w:hAnsi="宋体" w:eastAsia="宋体" w:cs="宋体"/>
                <w:color w:val="000000"/>
                <w:sz w:val="24"/>
                <w:szCs w:val="24"/>
                <w:highlight w:val="none"/>
                <w:lang w:eastAsia="zh-CN"/>
              </w:rPr>
              <w:t>足或欠缺均按比例扣分或不得分</w:t>
            </w:r>
            <w:r>
              <w:rPr>
                <w:rFonts w:hint="eastAsia" w:ascii="宋体" w:hAnsi="宋体" w:eastAsia="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5"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p>
        </w:tc>
        <w:tc>
          <w:tcPr>
            <w:tcW w:w="901"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文件编制</w:t>
            </w:r>
          </w:p>
        </w:tc>
        <w:tc>
          <w:tcPr>
            <w:tcW w:w="454"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分</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响应文件编制完整、有条理、有针对性、有目录、总体编排有序，格式规范、装订整齐、内容清晰得</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响应文件编制不完整、没有条理、针对性不强、没有目录、未标注页码、页码未与目录一一对应、格式不规范、装订不整齐、内容不清晰、内容与标题不符、出现与本项目无关内容的，每有一项扣1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4"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color w:val="000000"/>
                <w:kern w:val="2"/>
                <w:sz w:val="24"/>
                <w:szCs w:val="24"/>
                <w:highlight w:val="none"/>
                <w:lang w:val="en-US" w:eastAsia="zh-CN"/>
              </w:rPr>
            </w:pPr>
            <w:r>
              <w:rPr>
                <w:rFonts w:hint="eastAsia" w:ascii="宋体" w:hAnsi="宋体" w:cs="宋体"/>
                <w:color w:val="000000"/>
                <w:sz w:val="24"/>
                <w:szCs w:val="24"/>
                <w:highlight w:val="none"/>
                <w:lang w:val="en-US" w:eastAsia="zh-CN"/>
              </w:rPr>
              <w:t>3</w:t>
            </w:r>
          </w:p>
        </w:tc>
        <w:tc>
          <w:tcPr>
            <w:tcW w:w="901"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72" w:firstLineChars="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sz w:val="24"/>
                <w:szCs w:val="24"/>
                <w:highlight w:val="none"/>
              </w:rPr>
              <w:t>质量保证措施</w:t>
            </w:r>
          </w:p>
        </w:tc>
        <w:tc>
          <w:tcPr>
            <w:tcW w:w="454"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0" w:firstLineChars="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根据货物特性要求，提供质量保证措施方案，组织机构完整细致、保证质量措施针对性强并切实可行（包括质量管理、技术管理、质量措施、质量保证的组织机构、有对项目质量管理的承诺）10分。</w:t>
            </w:r>
          </w:p>
          <w:p>
            <w:pPr>
              <w:spacing w:before="0" w:beforeAutospacing="0" w:after="0" w:afterAutospacing="0" w:line="280" w:lineRule="exact"/>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质量保证措施不够全面、不够细则、条理不清晰、针对性不强、实际可操作性不强、合理可行性不强、出现与本项目无关内容的，每有一项扣2分，没有不得分。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4"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901"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72"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施工进度安排及保障措施</w:t>
            </w:r>
          </w:p>
        </w:tc>
        <w:tc>
          <w:tcPr>
            <w:tcW w:w="454"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lang w:val="en-US" w:eastAsia="zh-CN"/>
              </w:rPr>
              <w:t>分</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项目进度设置合理、可行，完全满足项目总体安排的，得8-1</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分；进度计划大体可行，基本满足进度要求的，得5-7分；进度安排考虑不周，实施较困难的，得0-4分。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4"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901"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72"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人员配备</w:t>
            </w:r>
          </w:p>
        </w:tc>
        <w:tc>
          <w:tcPr>
            <w:tcW w:w="454"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10分</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参与本项目人员不少于5人（提供人员学历证书、专业职称证及2021年缴纳社保证明）。每少一人或者缺少资料扣2分，最多扣10分。</w:t>
            </w:r>
          </w:p>
          <w:p>
            <w:pPr>
              <w:spacing w:before="0" w:beforeAutospacing="0" w:after="0" w:afterAutospacing="0" w:line="280" w:lineRule="exact"/>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以上所有人员须提供2021在投标人企业缴纳养老、医疗、失业保险的证明材料，证明材料和资格证书须提供原件扫描件，否则不得分。）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9"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b/>
                <w:color w:val="000000"/>
                <w:sz w:val="24"/>
                <w:szCs w:val="24"/>
                <w:highlight w:val="none"/>
              </w:rPr>
              <w:t>一</w:t>
            </w:r>
          </w:p>
        </w:tc>
        <w:tc>
          <w:tcPr>
            <w:tcW w:w="901"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lang w:eastAsia="zh-CN"/>
              </w:rPr>
              <w:t>商务</w:t>
            </w:r>
            <w:r>
              <w:rPr>
                <w:rFonts w:hint="eastAsia" w:ascii="宋体" w:hAnsi="宋体" w:eastAsia="宋体" w:cs="宋体"/>
                <w:b/>
                <w:color w:val="000000"/>
                <w:sz w:val="24"/>
                <w:szCs w:val="24"/>
                <w:highlight w:val="none"/>
              </w:rPr>
              <w:t>部分</w:t>
            </w:r>
          </w:p>
        </w:tc>
        <w:tc>
          <w:tcPr>
            <w:tcW w:w="454"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r>
              <w:rPr>
                <w:rFonts w:hint="eastAsia" w:ascii="宋体" w:hAnsi="宋体" w:cs="宋体"/>
                <w:b/>
                <w:color w:val="000000"/>
                <w:sz w:val="24"/>
                <w:szCs w:val="24"/>
                <w:highlight w:val="none"/>
                <w:lang w:val="en-US" w:eastAsia="zh-CN"/>
              </w:rPr>
              <w:t>5</w:t>
            </w:r>
          </w:p>
        </w:tc>
        <w:tc>
          <w:tcPr>
            <w:tcW w:w="2803" w:type="pct"/>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ind w:left="0" w:right="0" w:firstLine="0" w:firstLineChars="0"/>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具体按下列标准要求进行评审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29"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901"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72"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售后服务体系及服务情况</w:t>
            </w:r>
          </w:p>
        </w:tc>
        <w:tc>
          <w:tcPr>
            <w:tcW w:w="454"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售后服务承诺满足用户要求且优于其他投标方的，售后服务体系完备</w:t>
            </w:r>
            <w:r>
              <w:rPr>
                <w:rFonts w:hint="eastAsia" w:ascii="宋体" w:hAnsi="宋体" w:eastAsia="宋体" w:cs="宋体"/>
                <w:color w:val="000000"/>
                <w:sz w:val="24"/>
                <w:szCs w:val="24"/>
                <w:highlight w:val="none"/>
                <w:lang w:val="en-US" w:eastAsia="zh-CN"/>
              </w:rPr>
              <w:t>，可提供本地化服务</w:t>
            </w:r>
            <w:r>
              <w:rPr>
                <w:rFonts w:hint="eastAsia" w:ascii="宋体" w:hAnsi="宋体" w:eastAsia="宋体" w:cs="宋体"/>
                <w:color w:val="000000"/>
                <w:sz w:val="24"/>
                <w:szCs w:val="24"/>
                <w:highlight w:val="none"/>
              </w:rPr>
              <w:t>、有备品备件的得</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分；售后服务承诺周到得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分；售后服务承诺一般得</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分；售后服务体系不完备的不得分。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7"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901"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货物供应方案（服务方案）</w:t>
            </w:r>
          </w:p>
        </w:tc>
        <w:tc>
          <w:tcPr>
            <w:tcW w:w="454" w:type="pct"/>
            <w:tcBorders>
              <w:top w:val="single" w:color="auto" w:sz="4" w:space="0"/>
              <w:left w:val="single" w:color="auto" w:sz="4" w:space="0"/>
              <w:bottom w:val="single" w:color="auto" w:sz="4" w:space="0"/>
              <w:right w:val="single" w:color="auto" w:sz="4" w:space="0"/>
            </w:tcBorders>
            <w:vAlign w:val="center"/>
          </w:tcPr>
          <w:p>
            <w:pPr>
              <w:pStyle w:val="31"/>
              <w:spacing w:beforeAutospacing="0" w:afterAutospacing="0" w:line="360" w:lineRule="auto"/>
              <w:ind w:left="0" w:right="0" w:firstLine="0" w:firstLineChars="0"/>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分</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货物供应方案</w:t>
            </w:r>
            <w:bookmarkStart w:id="136" w:name="_GoBack"/>
            <w:bookmarkEnd w:id="136"/>
            <w:r>
              <w:rPr>
                <w:rFonts w:hint="eastAsia" w:ascii="宋体" w:hAnsi="宋体" w:eastAsia="宋体" w:cs="宋体"/>
                <w:color w:val="000000"/>
                <w:sz w:val="24"/>
                <w:szCs w:val="24"/>
                <w:highlight w:val="none"/>
              </w:rPr>
              <w:t>优良、交货期承诺少于规定的得</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分；货物供应方案可行、交货期符合要求的得</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分；方案不可行、交货期长于要求的不得分。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554" w:type="pct"/>
            <w:vMerge w:val="continue"/>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901"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r>
              <w:rPr>
                <w:rFonts w:hint="eastAsia" w:ascii="宋体" w:hAnsi="宋体" w:eastAsia="宋体" w:cs="宋体"/>
                <w:color w:val="000000"/>
                <w:sz w:val="24"/>
                <w:szCs w:val="24"/>
                <w:highlight w:val="none"/>
                <w:lang w:val="en-US" w:eastAsia="zh-CN"/>
              </w:rPr>
              <w:t>案例</w:t>
            </w:r>
          </w:p>
        </w:tc>
        <w:tc>
          <w:tcPr>
            <w:tcW w:w="454"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w:t>
            </w:r>
          </w:p>
        </w:tc>
        <w:tc>
          <w:tcPr>
            <w:tcW w:w="2803"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280" w:lineRule="exact"/>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lang w:val="en-US" w:eastAsia="zh-CN"/>
              </w:rPr>
              <w:t>近三年</w:t>
            </w:r>
            <w:r>
              <w:rPr>
                <w:rFonts w:hint="eastAsia" w:ascii="宋体" w:hAnsi="宋体" w:eastAsia="宋体" w:cs="宋体"/>
                <w:color w:val="000000"/>
                <w:sz w:val="24"/>
                <w:szCs w:val="24"/>
                <w:highlight w:val="none"/>
              </w:rPr>
              <w:t>承担过</w:t>
            </w:r>
            <w:r>
              <w:rPr>
                <w:rFonts w:hint="eastAsia" w:ascii="宋体" w:hAnsi="宋体" w:eastAsia="宋体" w:cs="宋体"/>
                <w:color w:val="000000"/>
                <w:sz w:val="24"/>
                <w:szCs w:val="24"/>
                <w:highlight w:val="none"/>
                <w:lang w:val="en-US" w:eastAsia="zh-CN"/>
              </w:rPr>
              <w:t>类</w:t>
            </w:r>
            <w:r>
              <w:rPr>
                <w:rFonts w:hint="eastAsia" w:ascii="宋体" w:hAnsi="宋体" w:cs="宋体"/>
                <w:color w:val="000000"/>
                <w:sz w:val="24"/>
                <w:szCs w:val="24"/>
                <w:highlight w:val="none"/>
                <w:lang w:val="en-US" w:eastAsia="zh-CN"/>
              </w:rPr>
              <w:t>似</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有一项业绩</w:t>
            </w:r>
            <w:r>
              <w:rPr>
                <w:rFonts w:hint="eastAsia" w:ascii="宋体" w:hAnsi="宋体" w:eastAsia="宋体" w:cs="宋体"/>
                <w:color w:val="000000"/>
                <w:sz w:val="24"/>
                <w:szCs w:val="24"/>
                <w:highlight w:val="none"/>
                <w:lang w:val="en-US" w:eastAsia="zh-CN"/>
              </w:rPr>
              <w:t>得3分</w:t>
            </w:r>
            <w:r>
              <w:rPr>
                <w:rFonts w:hint="eastAsia" w:ascii="宋体" w:hAnsi="宋体" w:eastAsia="宋体" w:cs="宋体"/>
                <w:color w:val="000000"/>
                <w:sz w:val="24"/>
                <w:szCs w:val="24"/>
                <w:highlight w:val="none"/>
              </w:rPr>
              <w:t>，每</w:t>
            </w:r>
            <w:r>
              <w:rPr>
                <w:rFonts w:hint="eastAsia" w:ascii="宋体" w:hAnsi="宋体" w:eastAsia="宋体" w:cs="宋体"/>
                <w:color w:val="000000"/>
                <w:sz w:val="24"/>
                <w:szCs w:val="24"/>
                <w:highlight w:val="none"/>
                <w:lang w:val="en-US" w:eastAsia="zh-CN"/>
              </w:rPr>
              <w:t>多增加一个得</w:t>
            </w:r>
            <w:r>
              <w:rPr>
                <w:rFonts w:hint="eastAsia" w:ascii="宋体" w:hAnsi="宋体" w:eastAsia="宋体" w:cs="宋体"/>
                <w:color w:val="000000"/>
                <w:sz w:val="24"/>
                <w:szCs w:val="24"/>
                <w:highlight w:val="none"/>
              </w:rPr>
              <w:t>1分，最多</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（备注：投标文件附加盖公章的项目中标通知书和合同复印件，未提供不得分）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554" w:type="pct"/>
            <w:tcBorders>
              <w:left w:val="single" w:color="auto" w:sz="4" w:space="0"/>
              <w:right w:val="single" w:color="auto" w:sz="4" w:space="0"/>
            </w:tcBorders>
            <w:vAlign w:val="center"/>
          </w:tcPr>
          <w:p>
            <w:pPr>
              <w:spacing w:before="0" w:beforeAutospacing="0" w:after="0" w:afterAutospacing="0"/>
              <w:ind w:left="0" w:right="0"/>
              <w:rPr>
                <w:rFonts w:hint="eastAsia" w:ascii="宋体" w:hAnsi="宋体" w:eastAsia="宋体" w:cs="宋体"/>
                <w:color w:val="000000"/>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themeColor="text1"/>
                <w:sz w:val="24"/>
                <w:szCs w:val="24"/>
              </w:rPr>
              <w:t>财务能力和状况</w:t>
            </w:r>
          </w:p>
        </w:tc>
        <w:tc>
          <w:tcPr>
            <w:tcW w:w="9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分</w:t>
            </w:r>
          </w:p>
        </w:tc>
        <w:tc>
          <w:tcPr>
            <w:tcW w:w="574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宋体" w:hAnsi="宋体" w:eastAsia="宋体" w:cs="宋体"/>
                <w:color w:val="000000"/>
                <w:sz w:val="24"/>
                <w:szCs w:val="24"/>
                <w:highlight w:val="none"/>
              </w:rPr>
            </w:pPr>
            <w:r>
              <w:rPr>
                <w:rFonts w:hint="eastAsia" w:asciiTheme="minorEastAsia" w:hAnsiTheme="minorEastAsia" w:eastAsiaTheme="minorEastAsia" w:cstheme="minorEastAsia"/>
                <w:color w:val="000000" w:themeColor="text1"/>
                <w:sz w:val="24"/>
                <w:szCs w:val="24"/>
                <w:highlight w:val="none"/>
              </w:rPr>
              <w:t>提供上年度会计报表，提供原件得</w:t>
            </w:r>
            <w:r>
              <w:rPr>
                <w:rFonts w:hint="eastAsia" w:asciiTheme="minorEastAsia" w:hAnsiTheme="minorEastAsia" w:eastAsiaTheme="minorEastAsia" w:cstheme="minorEastAsia"/>
                <w:color w:val="000000" w:themeColor="text1"/>
                <w:sz w:val="24"/>
                <w:szCs w:val="24"/>
                <w:highlight w:val="none"/>
                <w:lang w:val="en-US" w:eastAsia="zh-CN"/>
              </w:rPr>
              <w:t>4</w:t>
            </w:r>
            <w:r>
              <w:rPr>
                <w:rFonts w:hint="eastAsia" w:asciiTheme="minorEastAsia" w:hAnsiTheme="minorEastAsia" w:eastAsiaTheme="minorEastAsia" w:cstheme="minorEastAsia"/>
                <w:color w:val="000000" w:themeColor="text1"/>
                <w:sz w:val="24"/>
                <w:szCs w:val="24"/>
                <w:highlight w:val="none"/>
              </w:rPr>
              <w:t>分；未提供原件的、不提供者不得分。</w:t>
            </w:r>
          </w:p>
        </w:tc>
      </w:tr>
      <w:bookmarkEnd w:id="135"/>
    </w:tbl>
    <w:p>
      <w:pPr>
        <w:spacing w:line="500" w:lineRule="exact"/>
        <w:ind w:firstLine="560" w:firstLineChars="200"/>
        <w:rPr>
          <w:rFonts w:hint="eastAsia" w:ascii="宋体" w:hAnsi="宋体" w:eastAsia="宋体" w:cs="宋体"/>
          <w:color w:val="000000"/>
          <w:sz w:val="28"/>
          <w:szCs w:val="28"/>
          <w:highlight w:val="none"/>
          <w:lang w:eastAsia="zh-CN"/>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sectPr>
      <w:footerReference r:id="rId17" w:type="first"/>
      <w:pgSz w:w="11905" w:h="16838"/>
      <w:pgMar w:top="1134" w:right="1134" w:bottom="1134" w:left="1134" w:header="964" w:footer="1191" w:gutter="0"/>
      <w:pgBorders w:offsetFrom="page">
        <w:top w:val="thinThickSmallGap" w:color="auto" w:sz="18" w:space="1"/>
        <w:bottom w:val="thinThickSmallGap" w:color="auto" w:sz="18" w:space="1"/>
      </w:pgBorders>
      <w:pgNumType w:fmt="decimal"/>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dashDotStroked" w:color="auto" w:sz="24" w:space="1"/>
      </w:pBd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38"/>
      </w:rPr>
    </w:pPr>
    <w:r>
      <w:fldChar w:fldCharType="begin"/>
    </w:r>
    <w:r>
      <w:rPr>
        <w:rStyle w:val="38"/>
      </w:rPr>
      <w:instrText xml:space="preserve">PAGE  </w:instrText>
    </w:r>
    <w:r>
      <w:fldChar w:fldCharType="separate"/>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w:pict>
        <v:shape id="_x0000_s2058" o:spid="_x0000_s205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- 3 -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2415"/>
        <w:tab w:val="clear" w:pos="4153"/>
      </w:tabs>
    </w:pPr>
    <w:r>
      <w:rPr>
        <w:sz w:val="18"/>
      </w:rPr>
      <w:pict>
        <v:shape id="_x0000_s2059" o:spid="_x0000_s205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hint="eastAsia" w:ascii="楷体_GB2312" w:eastAsia="楷体_GB2312"/>
        <w:sz w:val="21"/>
        <w:szCs w:val="21"/>
      </w:rPr>
    </w:pPr>
    <w:r>
      <w:rPr>
        <w:sz w:val="21"/>
      </w:rPr>
      <w:pict>
        <v:shape id="_x0000_s2060" o:spid="_x0000_s206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- 23 -</w:t>
                </w:r>
                <w:r>
                  <w:fldChar w:fldCharType="end"/>
                </w:r>
              </w:p>
            </w:txbxContent>
          </v:textbox>
        </v:shape>
      </w:pict>
    </w:r>
  </w:p>
  <w:p>
    <w:pPr>
      <w:pStyle w:val="13"/>
      <w:tabs>
        <w:tab w:val="clear" w:pos="4153"/>
        <w:tab w:val="clear" w:pos="8306"/>
      </w:tabs>
      <w:rPr>
        <w:rFonts w:hint="eastAsia" w:ascii="楷体_GB2312" w:eastAsia="楷体_GB2312"/>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ind w:right="-82" w:rightChars="-39"/>
      <w:rPr>
        <w:rFonts w:hint="eastAsia" w:ascii="宋体" w:hAnsi="宋体" w:cs="宋体"/>
        <w:sz w:val="21"/>
        <w:szCs w:val="21"/>
      </w:rPr>
    </w:pPr>
    <w:r>
      <w:rPr>
        <w:sz w:val="21"/>
      </w:rPr>
      <w:pict>
        <v:shape id="_x0000_s2061" o:spid="_x0000_s206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- 32 -</w:t>
                </w:r>
                <w:r>
                  <w:fldChar w:fldCharType="end"/>
                </w:r>
              </w:p>
            </w:txbxContent>
          </v:textbox>
        </v:shape>
      </w:pict>
    </w:r>
  </w:p>
  <w:p>
    <w:pPr>
      <w:pStyle w:val="13"/>
      <w:tabs>
        <w:tab w:val="clear" w:pos="4153"/>
        <w:tab w:val="clear" w:pos="8306"/>
      </w:tabs>
      <w:ind w:right="-82" w:rightChars="-39"/>
      <w:rPr>
        <w:rFonts w:hint="eastAsia" w:ascii="宋体" w:hAnsi="宋体" w:cs="宋体"/>
        <w:sz w:val="21"/>
        <w:szCs w:val="21"/>
      </w:rPr>
    </w:pPr>
    <w:r>
      <w:rPr>
        <w:rFonts w:ascii="Times New Roman" w:hAnsi="Times New Roman" w:eastAsia="宋体" w:cs="Times New Roman"/>
        <w:kern w:val="2"/>
        <w:sz w:val="21"/>
        <w:szCs w:val="18"/>
        <w:lang w:val="en-US" w:eastAsia="zh-CN" w:bidi="ar-SA"/>
      </w:rPr>
      <w:pict>
        <v:rect id="文本框 4" o:spid="_x0000_s2055"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txbxContent>
          </v:textbox>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62" o:spid="_x0000_s206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- 53 -</w:t>
                </w:r>
                <w:r>
                  <w:fldChar w:fldCharType="end"/>
                </w:r>
              </w:p>
            </w:txbxContent>
          </v:textbox>
        </v:shape>
      </w:pict>
    </w:r>
  </w:p>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63" o:spid="_x0000_s206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- 65 -</w:t>
                </w:r>
                <w:r>
                  <w:fldChar w:fldCharType="end"/>
                </w:r>
              </w:p>
            </w:txbxContent>
          </v:textbox>
        </v:shape>
      </w:pic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dashDotStroked" w:color="auto" w:sz="24" w:space="1"/>
      </w:pBdr>
      <w:jc w:val="both"/>
      <w:rPr>
        <w:rFonts w:hint="eastAsia" w:ascii="宋体" w:hAnsi="宋体" w:eastAsia="宋体" w:cs="宋体"/>
        <w:lang w:val="en-US" w:eastAsia="zh-CN"/>
      </w:rPr>
    </w:pPr>
    <w:r>
      <w:rPr>
        <w:rFonts w:hint="eastAsia" w:ascii="宋体" w:hAnsi="宋体" w:eastAsia="宋体" w:cs="宋体"/>
        <w:b w:val="0"/>
        <w:bCs/>
        <w:color w:val="auto"/>
        <w:sz w:val="18"/>
        <w:szCs w:val="18"/>
      </w:rPr>
      <w:t>昭苏县第二热源厂脱硫、除尘、烟气在线监控设备委托第三方运营购买服务项目</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招标编号：201</w:t>
    </w:r>
    <w:r>
      <w:rPr>
        <w:rFonts w:hint="eastAsia" w:ascii="宋体" w:hAnsi="宋体" w:eastAsia="宋体" w:cs="宋体"/>
        <w:lang w:val="en-US" w:eastAsia="zh-CN"/>
      </w:rPr>
      <w:t>8</w:t>
    </w:r>
    <w:r>
      <w:rPr>
        <w:rFonts w:hint="eastAsia" w:ascii="宋体" w:hAnsi="宋体" w:eastAsia="宋体" w:cs="宋体"/>
      </w:rPr>
      <w:t>XJJZ-YL-</w:t>
    </w:r>
    <w:r>
      <w:rPr>
        <w:rFonts w:hint="eastAsia" w:ascii="宋体" w:hAnsi="宋体" w:eastAsia="宋体" w:cs="宋体"/>
        <w:lang w:val="en-US" w:eastAsia="zh-CN"/>
      </w:rPr>
      <w:t>107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410"/>
      </w:tabs>
      <w:jc w:val="left"/>
      <w:rPr>
        <w:rFonts w:hint="eastAsia" w:eastAsia="宋体"/>
        <w:lang w:eastAsia="zh-CN"/>
      </w:rPr>
    </w:pPr>
    <w:r>
      <w:rPr>
        <w:rFonts w:hint="eastAsia"/>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89224"/>
    <w:multiLevelType w:val="singleLevel"/>
    <w:tmpl w:val="DF389224"/>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multilevel"/>
    <w:tmpl w:val="0000000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6"/>
    <w:multiLevelType w:val="multilevel"/>
    <w:tmpl w:val="00000006"/>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multilevel"/>
    <w:tmpl w:val="0000000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multilevel"/>
    <w:tmpl w:val="0000000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singleLevel"/>
    <w:tmpl w:val="0000000A"/>
    <w:lvl w:ilvl="0" w:tentative="0">
      <w:start w:val="3"/>
      <w:numFmt w:val="decimal"/>
      <w:suff w:val="nothing"/>
      <w:lvlText w:val="%1．"/>
      <w:lvlJc w:val="left"/>
    </w:lvl>
  </w:abstractNum>
  <w:abstractNum w:abstractNumId="8">
    <w:nsid w:val="0000000C"/>
    <w:multiLevelType w:val="multilevel"/>
    <w:tmpl w:val="0000000C"/>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4CA281B"/>
    <w:multiLevelType w:val="singleLevel"/>
    <w:tmpl w:val="14CA281B"/>
    <w:lvl w:ilvl="0" w:tentative="0">
      <w:start w:val="1"/>
      <w:numFmt w:val="decimal"/>
      <w:suff w:val="nothing"/>
      <w:lvlText w:val="%1、"/>
      <w:lvlJc w:val="left"/>
    </w:lvl>
  </w:abstractNum>
  <w:abstractNum w:abstractNumId="10">
    <w:nsid w:val="2AA60CB6"/>
    <w:multiLevelType w:val="singleLevel"/>
    <w:tmpl w:val="2AA60CB6"/>
    <w:lvl w:ilvl="0" w:tentative="0">
      <w:start w:val="1"/>
      <w:numFmt w:val="decimal"/>
      <w:suff w:val="nothing"/>
      <w:lvlText w:val="%1、"/>
      <w:lvlJc w:val="left"/>
      <w:pPr>
        <w:ind w:left="480" w:leftChars="0" w:firstLine="0" w:firstLineChars="0"/>
      </w:pPr>
    </w:lvl>
  </w:abstractNum>
  <w:abstractNum w:abstractNumId="11">
    <w:nsid w:val="4AC6E8A2"/>
    <w:multiLevelType w:val="singleLevel"/>
    <w:tmpl w:val="4AC6E8A2"/>
    <w:lvl w:ilvl="0" w:tentative="0">
      <w:start w:val="1"/>
      <w:numFmt w:val="decimal"/>
      <w:suff w:val="nothing"/>
      <w:lvlText w:val="%1、"/>
      <w:lvlJc w:val="left"/>
    </w:lvl>
  </w:abstractNum>
  <w:abstractNum w:abstractNumId="12">
    <w:nsid w:val="53BA4A8A"/>
    <w:multiLevelType w:val="singleLevel"/>
    <w:tmpl w:val="53BA4A8A"/>
    <w:lvl w:ilvl="0" w:tentative="0">
      <w:start w:val="1"/>
      <w:numFmt w:val="decimal"/>
      <w:lvlText w:val="%1."/>
      <w:lvlJc w:val="left"/>
      <w:pPr>
        <w:tabs>
          <w:tab w:val="left" w:pos="425"/>
        </w:tabs>
        <w:ind w:left="425" w:hanging="425"/>
      </w:pPr>
      <w:rPr>
        <w:rFonts w:hint="default"/>
      </w:rPr>
    </w:lvl>
  </w:abstractNum>
  <w:abstractNum w:abstractNumId="13">
    <w:nsid w:val="58408BA6"/>
    <w:multiLevelType w:val="multilevel"/>
    <w:tmpl w:val="58408BA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3"/>
  </w:num>
  <w:num w:numId="2">
    <w:abstractNumId w:val="11"/>
  </w:num>
  <w:num w:numId="3">
    <w:abstractNumId w:val="7"/>
  </w:num>
  <w:num w:numId="4">
    <w:abstractNumId w:val="10"/>
  </w:num>
  <w:num w:numId="5">
    <w:abstractNumId w:val="9"/>
  </w:num>
  <w:num w:numId="6">
    <w:abstractNumId w:val="12"/>
  </w:num>
  <w:num w:numId="7">
    <w:abstractNumId w:val="2"/>
  </w:num>
  <w:num w:numId="8">
    <w:abstractNumId w:val="6"/>
  </w:num>
  <w:num w:numId="9">
    <w:abstractNumId w:val="1"/>
  </w:num>
  <w:num w:numId="10">
    <w:abstractNumId w:val="3"/>
  </w:num>
  <w:num w:numId="11">
    <w:abstractNumId w:val="8"/>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HorizontalSpacing w:val="210"/>
  <w:drawingGridVerticalSpacing w:val="16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40E5217E"/>
    <w:rsid w:val="002729EB"/>
    <w:rsid w:val="00502E5E"/>
    <w:rsid w:val="00546918"/>
    <w:rsid w:val="006C67E3"/>
    <w:rsid w:val="008A1270"/>
    <w:rsid w:val="008D6DC8"/>
    <w:rsid w:val="00964214"/>
    <w:rsid w:val="00BF4423"/>
    <w:rsid w:val="00C533AF"/>
    <w:rsid w:val="01501A2E"/>
    <w:rsid w:val="018D0497"/>
    <w:rsid w:val="02900D63"/>
    <w:rsid w:val="02D46738"/>
    <w:rsid w:val="02FE4DCC"/>
    <w:rsid w:val="03017FA9"/>
    <w:rsid w:val="03144EC8"/>
    <w:rsid w:val="0368479D"/>
    <w:rsid w:val="037A10EF"/>
    <w:rsid w:val="03814D41"/>
    <w:rsid w:val="03BF4636"/>
    <w:rsid w:val="041D530C"/>
    <w:rsid w:val="043819B9"/>
    <w:rsid w:val="04466CE2"/>
    <w:rsid w:val="047B23E9"/>
    <w:rsid w:val="04B00E45"/>
    <w:rsid w:val="04C05882"/>
    <w:rsid w:val="04E745FC"/>
    <w:rsid w:val="054434D4"/>
    <w:rsid w:val="055C453F"/>
    <w:rsid w:val="05855B8E"/>
    <w:rsid w:val="05CE56D6"/>
    <w:rsid w:val="05E32B2A"/>
    <w:rsid w:val="063A688B"/>
    <w:rsid w:val="064B24DB"/>
    <w:rsid w:val="06B75C39"/>
    <w:rsid w:val="074E26A6"/>
    <w:rsid w:val="075D60CA"/>
    <w:rsid w:val="07793F10"/>
    <w:rsid w:val="077B7747"/>
    <w:rsid w:val="081A3B6D"/>
    <w:rsid w:val="081C745E"/>
    <w:rsid w:val="08270886"/>
    <w:rsid w:val="082A5BA6"/>
    <w:rsid w:val="082E5C42"/>
    <w:rsid w:val="083C6232"/>
    <w:rsid w:val="08763669"/>
    <w:rsid w:val="087F1B23"/>
    <w:rsid w:val="08842D50"/>
    <w:rsid w:val="08A7551E"/>
    <w:rsid w:val="08B21908"/>
    <w:rsid w:val="08CB3A74"/>
    <w:rsid w:val="0907118C"/>
    <w:rsid w:val="094307E4"/>
    <w:rsid w:val="095A7E86"/>
    <w:rsid w:val="09B24795"/>
    <w:rsid w:val="09C8786C"/>
    <w:rsid w:val="09CC1AA0"/>
    <w:rsid w:val="09D61246"/>
    <w:rsid w:val="0A006B08"/>
    <w:rsid w:val="0A184B42"/>
    <w:rsid w:val="0A195C1F"/>
    <w:rsid w:val="0A4A1DDE"/>
    <w:rsid w:val="0A876218"/>
    <w:rsid w:val="0AA22CD9"/>
    <w:rsid w:val="0AC75D7D"/>
    <w:rsid w:val="0AD22F70"/>
    <w:rsid w:val="0AE30573"/>
    <w:rsid w:val="0B15389E"/>
    <w:rsid w:val="0B251F31"/>
    <w:rsid w:val="0B4C70F6"/>
    <w:rsid w:val="0B570F48"/>
    <w:rsid w:val="0B8253B0"/>
    <w:rsid w:val="0BA64F31"/>
    <w:rsid w:val="0BA83F19"/>
    <w:rsid w:val="0BAA54E6"/>
    <w:rsid w:val="0BC741D6"/>
    <w:rsid w:val="0C086BAB"/>
    <w:rsid w:val="0C203D5E"/>
    <w:rsid w:val="0C326242"/>
    <w:rsid w:val="0CAA3F84"/>
    <w:rsid w:val="0CAA74EB"/>
    <w:rsid w:val="0CE237E0"/>
    <w:rsid w:val="0D045225"/>
    <w:rsid w:val="0D6E7B68"/>
    <w:rsid w:val="0D753AB5"/>
    <w:rsid w:val="0DD5538E"/>
    <w:rsid w:val="0DE04812"/>
    <w:rsid w:val="0E061AB9"/>
    <w:rsid w:val="0E8B2CEE"/>
    <w:rsid w:val="0E9B0718"/>
    <w:rsid w:val="0F6756C0"/>
    <w:rsid w:val="0F7E2AF5"/>
    <w:rsid w:val="0F867FDE"/>
    <w:rsid w:val="0F9374FA"/>
    <w:rsid w:val="0FAE6C29"/>
    <w:rsid w:val="10100D29"/>
    <w:rsid w:val="10142A71"/>
    <w:rsid w:val="101460E8"/>
    <w:rsid w:val="106649AB"/>
    <w:rsid w:val="106751E7"/>
    <w:rsid w:val="10EB2E4E"/>
    <w:rsid w:val="110846BA"/>
    <w:rsid w:val="112D452B"/>
    <w:rsid w:val="114203D4"/>
    <w:rsid w:val="115439FB"/>
    <w:rsid w:val="118316B3"/>
    <w:rsid w:val="11B87C0C"/>
    <w:rsid w:val="11F02467"/>
    <w:rsid w:val="1216776D"/>
    <w:rsid w:val="1246529F"/>
    <w:rsid w:val="125E23D4"/>
    <w:rsid w:val="12672A07"/>
    <w:rsid w:val="126D79C1"/>
    <w:rsid w:val="12A50D9D"/>
    <w:rsid w:val="12B31D54"/>
    <w:rsid w:val="1324069A"/>
    <w:rsid w:val="134B5AB7"/>
    <w:rsid w:val="134E064A"/>
    <w:rsid w:val="135642C7"/>
    <w:rsid w:val="13994816"/>
    <w:rsid w:val="13A43BC7"/>
    <w:rsid w:val="13C16766"/>
    <w:rsid w:val="13C720BF"/>
    <w:rsid w:val="13F3427F"/>
    <w:rsid w:val="13F44ADE"/>
    <w:rsid w:val="14186323"/>
    <w:rsid w:val="142232CD"/>
    <w:rsid w:val="14396A49"/>
    <w:rsid w:val="145010AA"/>
    <w:rsid w:val="145075D5"/>
    <w:rsid w:val="1455169D"/>
    <w:rsid w:val="146E6FBF"/>
    <w:rsid w:val="147656E9"/>
    <w:rsid w:val="14CD5840"/>
    <w:rsid w:val="14E71663"/>
    <w:rsid w:val="14F01051"/>
    <w:rsid w:val="154166EC"/>
    <w:rsid w:val="155B4168"/>
    <w:rsid w:val="15703CAA"/>
    <w:rsid w:val="157E2856"/>
    <w:rsid w:val="15C54801"/>
    <w:rsid w:val="163C414A"/>
    <w:rsid w:val="163E4684"/>
    <w:rsid w:val="165F74BF"/>
    <w:rsid w:val="1663206A"/>
    <w:rsid w:val="16793A10"/>
    <w:rsid w:val="16AA680B"/>
    <w:rsid w:val="172D3193"/>
    <w:rsid w:val="17316703"/>
    <w:rsid w:val="17407C36"/>
    <w:rsid w:val="1755421C"/>
    <w:rsid w:val="175D5100"/>
    <w:rsid w:val="177D4217"/>
    <w:rsid w:val="17D05103"/>
    <w:rsid w:val="17E140B1"/>
    <w:rsid w:val="17FD1A21"/>
    <w:rsid w:val="181115EC"/>
    <w:rsid w:val="181676D1"/>
    <w:rsid w:val="181E7744"/>
    <w:rsid w:val="18256EF3"/>
    <w:rsid w:val="18344FA5"/>
    <w:rsid w:val="1839155E"/>
    <w:rsid w:val="18487C72"/>
    <w:rsid w:val="185915A6"/>
    <w:rsid w:val="186525F8"/>
    <w:rsid w:val="18970BEF"/>
    <w:rsid w:val="18996C3A"/>
    <w:rsid w:val="18C43AEC"/>
    <w:rsid w:val="18E42ABB"/>
    <w:rsid w:val="18E51E9F"/>
    <w:rsid w:val="18F36C8F"/>
    <w:rsid w:val="19380F53"/>
    <w:rsid w:val="195E788D"/>
    <w:rsid w:val="19B81AD0"/>
    <w:rsid w:val="19D4436C"/>
    <w:rsid w:val="19DA52A2"/>
    <w:rsid w:val="19DB112F"/>
    <w:rsid w:val="1A0A4846"/>
    <w:rsid w:val="1A1B03E7"/>
    <w:rsid w:val="1A4148BD"/>
    <w:rsid w:val="1A44327B"/>
    <w:rsid w:val="1A6A33E2"/>
    <w:rsid w:val="1AA0406A"/>
    <w:rsid w:val="1AD730B5"/>
    <w:rsid w:val="1AF16972"/>
    <w:rsid w:val="1B0A0039"/>
    <w:rsid w:val="1B483F08"/>
    <w:rsid w:val="1B635D7C"/>
    <w:rsid w:val="1B6972F4"/>
    <w:rsid w:val="1B77159C"/>
    <w:rsid w:val="1B7B701F"/>
    <w:rsid w:val="1BB51B52"/>
    <w:rsid w:val="1BDE0C7F"/>
    <w:rsid w:val="1C310DAC"/>
    <w:rsid w:val="1C62426B"/>
    <w:rsid w:val="1C9104BA"/>
    <w:rsid w:val="1CF14FD1"/>
    <w:rsid w:val="1D014AD5"/>
    <w:rsid w:val="1D117E18"/>
    <w:rsid w:val="1D341FFD"/>
    <w:rsid w:val="1D9F49AD"/>
    <w:rsid w:val="1DDF1004"/>
    <w:rsid w:val="1DE61178"/>
    <w:rsid w:val="1DEE108C"/>
    <w:rsid w:val="1E3E148C"/>
    <w:rsid w:val="1EBD1268"/>
    <w:rsid w:val="1EC3335B"/>
    <w:rsid w:val="1ED25EDE"/>
    <w:rsid w:val="1ED504B4"/>
    <w:rsid w:val="1EDE2D81"/>
    <w:rsid w:val="1EE06851"/>
    <w:rsid w:val="1F0919B7"/>
    <w:rsid w:val="1F2156D3"/>
    <w:rsid w:val="1F484B4F"/>
    <w:rsid w:val="1F751971"/>
    <w:rsid w:val="1FAC0F92"/>
    <w:rsid w:val="1FBF5DDF"/>
    <w:rsid w:val="201B4D97"/>
    <w:rsid w:val="20A96F44"/>
    <w:rsid w:val="20AC7A25"/>
    <w:rsid w:val="20C83384"/>
    <w:rsid w:val="20CF1C89"/>
    <w:rsid w:val="211B5DE0"/>
    <w:rsid w:val="213541CA"/>
    <w:rsid w:val="21420F6E"/>
    <w:rsid w:val="215B2EE0"/>
    <w:rsid w:val="219567F3"/>
    <w:rsid w:val="21A437F7"/>
    <w:rsid w:val="21D36D38"/>
    <w:rsid w:val="21D41408"/>
    <w:rsid w:val="21DD0138"/>
    <w:rsid w:val="22245497"/>
    <w:rsid w:val="2287559B"/>
    <w:rsid w:val="22B45A89"/>
    <w:rsid w:val="22C0768B"/>
    <w:rsid w:val="230E7800"/>
    <w:rsid w:val="23C543DD"/>
    <w:rsid w:val="2402095D"/>
    <w:rsid w:val="241F0439"/>
    <w:rsid w:val="24416196"/>
    <w:rsid w:val="24573E1F"/>
    <w:rsid w:val="2468790F"/>
    <w:rsid w:val="24710737"/>
    <w:rsid w:val="249B6CA9"/>
    <w:rsid w:val="24A652E5"/>
    <w:rsid w:val="24AC68B4"/>
    <w:rsid w:val="2505574C"/>
    <w:rsid w:val="2547058C"/>
    <w:rsid w:val="258F6BD6"/>
    <w:rsid w:val="25965DDE"/>
    <w:rsid w:val="25CB7FE1"/>
    <w:rsid w:val="25CF74A0"/>
    <w:rsid w:val="260C3F6F"/>
    <w:rsid w:val="261D3643"/>
    <w:rsid w:val="26253BAC"/>
    <w:rsid w:val="265D2ADF"/>
    <w:rsid w:val="268D4E1F"/>
    <w:rsid w:val="26BA28CD"/>
    <w:rsid w:val="26E73228"/>
    <w:rsid w:val="26F03EEA"/>
    <w:rsid w:val="27071319"/>
    <w:rsid w:val="271274FA"/>
    <w:rsid w:val="27236522"/>
    <w:rsid w:val="27A65F2E"/>
    <w:rsid w:val="27DB7BEF"/>
    <w:rsid w:val="285D006F"/>
    <w:rsid w:val="28741A2B"/>
    <w:rsid w:val="28CE439A"/>
    <w:rsid w:val="294E3002"/>
    <w:rsid w:val="295C576A"/>
    <w:rsid w:val="296F1643"/>
    <w:rsid w:val="29716E35"/>
    <w:rsid w:val="29B253D6"/>
    <w:rsid w:val="29BE2B48"/>
    <w:rsid w:val="2A117A21"/>
    <w:rsid w:val="2A3C3649"/>
    <w:rsid w:val="2A4A52F1"/>
    <w:rsid w:val="2A631886"/>
    <w:rsid w:val="2A6601AD"/>
    <w:rsid w:val="2A9B1C6D"/>
    <w:rsid w:val="2AA373B7"/>
    <w:rsid w:val="2ACC77D9"/>
    <w:rsid w:val="2AE37265"/>
    <w:rsid w:val="2AE858FD"/>
    <w:rsid w:val="2B494B9E"/>
    <w:rsid w:val="2B5808A6"/>
    <w:rsid w:val="2B77083C"/>
    <w:rsid w:val="2BAF552C"/>
    <w:rsid w:val="2C180E22"/>
    <w:rsid w:val="2C1B58EF"/>
    <w:rsid w:val="2C362D97"/>
    <w:rsid w:val="2C364D2F"/>
    <w:rsid w:val="2C3C242D"/>
    <w:rsid w:val="2C46356A"/>
    <w:rsid w:val="2C69638A"/>
    <w:rsid w:val="2D273745"/>
    <w:rsid w:val="2D471F29"/>
    <w:rsid w:val="2D4A695B"/>
    <w:rsid w:val="2DE17C46"/>
    <w:rsid w:val="2DFC0120"/>
    <w:rsid w:val="2E012833"/>
    <w:rsid w:val="2E030037"/>
    <w:rsid w:val="2E3A61A7"/>
    <w:rsid w:val="2E46356C"/>
    <w:rsid w:val="2E747BC1"/>
    <w:rsid w:val="2E9968F9"/>
    <w:rsid w:val="2EA576C8"/>
    <w:rsid w:val="2EB959BA"/>
    <w:rsid w:val="2EFC65CC"/>
    <w:rsid w:val="2EFD4B46"/>
    <w:rsid w:val="2F181F94"/>
    <w:rsid w:val="2F1D5779"/>
    <w:rsid w:val="2F4203B3"/>
    <w:rsid w:val="2F665356"/>
    <w:rsid w:val="2F676ECE"/>
    <w:rsid w:val="2FAA7F1A"/>
    <w:rsid w:val="2FEB247C"/>
    <w:rsid w:val="2FEF29C9"/>
    <w:rsid w:val="30357098"/>
    <w:rsid w:val="307020EA"/>
    <w:rsid w:val="30BF20B2"/>
    <w:rsid w:val="30DF4036"/>
    <w:rsid w:val="30EB46DB"/>
    <w:rsid w:val="310468B2"/>
    <w:rsid w:val="313A4018"/>
    <w:rsid w:val="31413E1A"/>
    <w:rsid w:val="317B59BB"/>
    <w:rsid w:val="31834A85"/>
    <w:rsid w:val="31A54200"/>
    <w:rsid w:val="31C53D2F"/>
    <w:rsid w:val="31C5720F"/>
    <w:rsid w:val="31CA6411"/>
    <w:rsid w:val="31D03A21"/>
    <w:rsid w:val="32047166"/>
    <w:rsid w:val="32291367"/>
    <w:rsid w:val="326A4327"/>
    <w:rsid w:val="32FF5CB9"/>
    <w:rsid w:val="33080DA1"/>
    <w:rsid w:val="33120768"/>
    <w:rsid w:val="341232C4"/>
    <w:rsid w:val="34387B7D"/>
    <w:rsid w:val="34E32370"/>
    <w:rsid w:val="34EB2942"/>
    <w:rsid w:val="350C39C1"/>
    <w:rsid w:val="35321E36"/>
    <w:rsid w:val="35606B42"/>
    <w:rsid w:val="35C5350F"/>
    <w:rsid w:val="36531CEF"/>
    <w:rsid w:val="366922F2"/>
    <w:rsid w:val="368B4909"/>
    <w:rsid w:val="3696698C"/>
    <w:rsid w:val="36C42529"/>
    <w:rsid w:val="36DB30CF"/>
    <w:rsid w:val="36EF4D3D"/>
    <w:rsid w:val="37044B46"/>
    <w:rsid w:val="37454E19"/>
    <w:rsid w:val="375573C1"/>
    <w:rsid w:val="37611C0C"/>
    <w:rsid w:val="37B25C6C"/>
    <w:rsid w:val="37E167BB"/>
    <w:rsid w:val="37F23CBB"/>
    <w:rsid w:val="38070650"/>
    <w:rsid w:val="381E0733"/>
    <w:rsid w:val="38372AD7"/>
    <w:rsid w:val="3840458F"/>
    <w:rsid w:val="384A666A"/>
    <w:rsid w:val="38520FC6"/>
    <w:rsid w:val="386D6018"/>
    <w:rsid w:val="38AE415E"/>
    <w:rsid w:val="38AF010E"/>
    <w:rsid w:val="38D61230"/>
    <w:rsid w:val="38E04E9F"/>
    <w:rsid w:val="38F45AF5"/>
    <w:rsid w:val="38F63FC4"/>
    <w:rsid w:val="38F95F26"/>
    <w:rsid w:val="38FE72CE"/>
    <w:rsid w:val="392F7762"/>
    <w:rsid w:val="393B0B57"/>
    <w:rsid w:val="39630EB6"/>
    <w:rsid w:val="39D12930"/>
    <w:rsid w:val="39E5018A"/>
    <w:rsid w:val="39FB5D52"/>
    <w:rsid w:val="3A2B03BC"/>
    <w:rsid w:val="3A330AD4"/>
    <w:rsid w:val="3A4D35E1"/>
    <w:rsid w:val="3A5E065E"/>
    <w:rsid w:val="3AB7761F"/>
    <w:rsid w:val="3ABD1FE8"/>
    <w:rsid w:val="3AE1613B"/>
    <w:rsid w:val="3AFE1445"/>
    <w:rsid w:val="3B165849"/>
    <w:rsid w:val="3B3700DA"/>
    <w:rsid w:val="3B393CCB"/>
    <w:rsid w:val="3B433107"/>
    <w:rsid w:val="3B4E5913"/>
    <w:rsid w:val="3B7E04E6"/>
    <w:rsid w:val="3BC8202F"/>
    <w:rsid w:val="3C1E1C17"/>
    <w:rsid w:val="3C205131"/>
    <w:rsid w:val="3C215716"/>
    <w:rsid w:val="3C6A7972"/>
    <w:rsid w:val="3C6B2342"/>
    <w:rsid w:val="3C6C19DF"/>
    <w:rsid w:val="3C8B2139"/>
    <w:rsid w:val="3CA23CB4"/>
    <w:rsid w:val="3CD14ECD"/>
    <w:rsid w:val="3CD71EB1"/>
    <w:rsid w:val="3D547C13"/>
    <w:rsid w:val="3D560C40"/>
    <w:rsid w:val="3D8A1320"/>
    <w:rsid w:val="3DAA53FD"/>
    <w:rsid w:val="3DD5254E"/>
    <w:rsid w:val="3DF269EC"/>
    <w:rsid w:val="3DF83944"/>
    <w:rsid w:val="3E052006"/>
    <w:rsid w:val="3E17784D"/>
    <w:rsid w:val="3E400DBD"/>
    <w:rsid w:val="3E8F238A"/>
    <w:rsid w:val="3EAE53B9"/>
    <w:rsid w:val="3ECF6E04"/>
    <w:rsid w:val="3ED9391F"/>
    <w:rsid w:val="3EF45943"/>
    <w:rsid w:val="3F0F663B"/>
    <w:rsid w:val="3F1F3092"/>
    <w:rsid w:val="3F413518"/>
    <w:rsid w:val="3F4761EE"/>
    <w:rsid w:val="3F5F1152"/>
    <w:rsid w:val="3F7A4FCE"/>
    <w:rsid w:val="3F9246B6"/>
    <w:rsid w:val="3FA755F1"/>
    <w:rsid w:val="3FB91823"/>
    <w:rsid w:val="3FBC312F"/>
    <w:rsid w:val="3FBF5946"/>
    <w:rsid w:val="3FD633C9"/>
    <w:rsid w:val="3FFF054B"/>
    <w:rsid w:val="40304A30"/>
    <w:rsid w:val="4034586E"/>
    <w:rsid w:val="40910211"/>
    <w:rsid w:val="40AE3B55"/>
    <w:rsid w:val="40E5217E"/>
    <w:rsid w:val="41263C81"/>
    <w:rsid w:val="41527113"/>
    <w:rsid w:val="41BD3528"/>
    <w:rsid w:val="42161EF4"/>
    <w:rsid w:val="424540DA"/>
    <w:rsid w:val="425B0031"/>
    <w:rsid w:val="42756330"/>
    <w:rsid w:val="42F71E19"/>
    <w:rsid w:val="430945BD"/>
    <w:rsid w:val="431A1E1B"/>
    <w:rsid w:val="431E79AD"/>
    <w:rsid w:val="43293C89"/>
    <w:rsid w:val="43443F4E"/>
    <w:rsid w:val="436B61E3"/>
    <w:rsid w:val="43794380"/>
    <w:rsid w:val="43B0098F"/>
    <w:rsid w:val="43FA3D70"/>
    <w:rsid w:val="443917A4"/>
    <w:rsid w:val="44520CA4"/>
    <w:rsid w:val="448F4129"/>
    <w:rsid w:val="448F65E8"/>
    <w:rsid w:val="449B3F69"/>
    <w:rsid w:val="44BB52D0"/>
    <w:rsid w:val="44C33D98"/>
    <w:rsid w:val="44C561DC"/>
    <w:rsid w:val="44F16FF8"/>
    <w:rsid w:val="450565AD"/>
    <w:rsid w:val="45D117EA"/>
    <w:rsid w:val="460936FD"/>
    <w:rsid w:val="46470511"/>
    <w:rsid w:val="46670E5D"/>
    <w:rsid w:val="46730502"/>
    <w:rsid w:val="468F1A1A"/>
    <w:rsid w:val="46B423F5"/>
    <w:rsid w:val="46C9259B"/>
    <w:rsid w:val="46EA47E2"/>
    <w:rsid w:val="46F446D1"/>
    <w:rsid w:val="46F45E91"/>
    <w:rsid w:val="47721B46"/>
    <w:rsid w:val="4782584C"/>
    <w:rsid w:val="47D17961"/>
    <w:rsid w:val="47DF4D9E"/>
    <w:rsid w:val="47EE4D08"/>
    <w:rsid w:val="480D2B41"/>
    <w:rsid w:val="4824684B"/>
    <w:rsid w:val="482E7617"/>
    <w:rsid w:val="48382AD5"/>
    <w:rsid w:val="487F2F7D"/>
    <w:rsid w:val="489F45BC"/>
    <w:rsid w:val="48DD1F49"/>
    <w:rsid w:val="491A4D02"/>
    <w:rsid w:val="493F138B"/>
    <w:rsid w:val="499E33AA"/>
    <w:rsid w:val="4A2A240B"/>
    <w:rsid w:val="4A5C2598"/>
    <w:rsid w:val="4A6305A7"/>
    <w:rsid w:val="4A6D5156"/>
    <w:rsid w:val="4AEF1639"/>
    <w:rsid w:val="4B010976"/>
    <w:rsid w:val="4B120332"/>
    <w:rsid w:val="4B48598E"/>
    <w:rsid w:val="4B5E6D0D"/>
    <w:rsid w:val="4BA8713A"/>
    <w:rsid w:val="4BD95762"/>
    <w:rsid w:val="4C0108D0"/>
    <w:rsid w:val="4C216AE0"/>
    <w:rsid w:val="4C2D377C"/>
    <w:rsid w:val="4C3F04A5"/>
    <w:rsid w:val="4C487CAD"/>
    <w:rsid w:val="4CA222DE"/>
    <w:rsid w:val="4CAC642B"/>
    <w:rsid w:val="4CBA51E2"/>
    <w:rsid w:val="4CC92F5A"/>
    <w:rsid w:val="4CD95896"/>
    <w:rsid w:val="4CDE0109"/>
    <w:rsid w:val="4D7F3CE7"/>
    <w:rsid w:val="4D9228F2"/>
    <w:rsid w:val="4D9B6A0A"/>
    <w:rsid w:val="4E5500B6"/>
    <w:rsid w:val="4E550952"/>
    <w:rsid w:val="4E6B1584"/>
    <w:rsid w:val="4E6B5F72"/>
    <w:rsid w:val="4EA17C8F"/>
    <w:rsid w:val="4F512B52"/>
    <w:rsid w:val="4F562794"/>
    <w:rsid w:val="4F574DB3"/>
    <w:rsid w:val="4F5F756E"/>
    <w:rsid w:val="4FEE37B5"/>
    <w:rsid w:val="4FFC128B"/>
    <w:rsid w:val="50236DE6"/>
    <w:rsid w:val="502A7627"/>
    <w:rsid w:val="50A966AA"/>
    <w:rsid w:val="50BD3F49"/>
    <w:rsid w:val="51103FCC"/>
    <w:rsid w:val="511A229D"/>
    <w:rsid w:val="51206D10"/>
    <w:rsid w:val="51420082"/>
    <w:rsid w:val="51433E83"/>
    <w:rsid w:val="515725CD"/>
    <w:rsid w:val="516D3C55"/>
    <w:rsid w:val="5183171F"/>
    <w:rsid w:val="51E674A6"/>
    <w:rsid w:val="521117AB"/>
    <w:rsid w:val="525061ED"/>
    <w:rsid w:val="52535ECA"/>
    <w:rsid w:val="525A3696"/>
    <w:rsid w:val="52AB532C"/>
    <w:rsid w:val="52B602E7"/>
    <w:rsid w:val="52DF25C7"/>
    <w:rsid w:val="530621AD"/>
    <w:rsid w:val="531B3E2A"/>
    <w:rsid w:val="5375767B"/>
    <w:rsid w:val="5376727D"/>
    <w:rsid w:val="537E78EC"/>
    <w:rsid w:val="53C16513"/>
    <w:rsid w:val="53D562C5"/>
    <w:rsid w:val="53DA11A0"/>
    <w:rsid w:val="53F333C4"/>
    <w:rsid w:val="54012D88"/>
    <w:rsid w:val="542E2CE0"/>
    <w:rsid w:val="548E3511"/>
    <w:rsid w:val="54FD119D"/>
    <w:rsid w:val="55B44CE1"/>
    <w:rsid w:val="55CA6686"/>
    <w:rsid w:val="55ED7995"/>
    <w:rsid w:val="560667CA"/>
    <w:rsid w:val="567316BC"/>
    <w:rsid w:val="56851D73"/>
    <w:rsid w:val="56E1740D"/>
    <w:rsid w:val="56F41E5D"/>
    <w:rsid w:val="56FF5D0A"/>
    <w:rsid w:val="57523802"/>
    <w:rsid w:val="57C42F66"/>
    <w:rsid w:val="57D21217"/>
    <w:rsid w:val="58164349"/>
    <w:rsid w:val="58177AD3"/>
    <w:rsid w:val="58535C91"/>
    <w:rsid w:val="590221DE"/>
    <w:rsid w:val="59223BFB"/>
    <w:rsid w:val="59243B9C"/>
    <w:rsid w:val="59263D34"/>
    <w:rsid w:val="595E157C"/>
    <w:rsid w:val="595E2704"/>
    <w:rsid w:val="596357CC"/>
    <w:rsid w:val="596B0E10"/>
    <w:rsid w:val="59913ACE"/>
    <w:rsid w:val="59C96862"/>
    <w:rsid w:val="59D20ED5"/>
    <w:rsid w:val="59E33C9C"/>
    <w:rsid w:val="5A0A59B3"/>
    <w:rsid w:val="5A4B65ED"/>
    <w:rsid w:val="5B181A06"/>
    <w:rsid w:val="5B435533"/>
    <w:rsid w:val="5B7573D1"/>
    <w:rsid w:val="5BA20BDA"/>
    <w:rsid w:val="5BBB7029"/>
    <w:rsid w:val="5BCD2FF7"/>
    <w:rsid w:val="5C0F1126"/>
    <w:rsid w:val="5C515B80"/>
    <w:rsid w:val="5C5E064A"/>
    <w:rsid w:val="5CD3112D"/>
    <w:rsid w:val="5D057CA0"/>
    <w:rsid w:val="5D9E57D2"/>
    <w:rsid w:val="5DD251D7"/>
    <w:rsid w:val="5DEE15A0"/>
    <w:rsid w:val="5DF15E0D"/>
    <w:rsid w:val="5DFE51F9"/>
    <w:rsid w:val="5E092693"/>
    <w:rsid w:val="5E197D3B"/>
    <w:rsid w:val="5E335032"/>
    <w:rsid w:val="5E874F91"/>
    <w:rsid w:val="5E98603B"/>
    <w:rsid w:val="5EA64617"/>
    <w:rsid w:val="5EB47540"/>
    <w:rsid w:val="5EB56024"/>
    <w:rsid w:val="5EC60AA1"/>
    <w:rsid w:val="5EF141B8"/>
    <w:rsid w:val="5F355950"/>
    <w:rsid w:val="5F490F1E"/>
    <w:rsid w:val="5F6A0806"/>
    <w:rsid w:val="5FDA3EDB"/>
    <w:rsid w:val="5FDE2AEC"/>
    <w:rsid w:val="5FEE0392"/>
    <w:rsid w:val="5FEE7816"/>
    <w:rsid w:val="602E621D"/>
    <w:rsid w:val="60507E1C"/>
    <w:rsid w:val="605F656F"/>
    <w:rsid w:val="60995511"/>
    <w:rsid w:val="60BD2772"/>
    <w:rsid w:val="60D2171E"/>
    <w:rsid w:val="60E71B99"/>
    <w:rsid w:val="612F15F9"/>
    <w:rsid w:val="61365EF8"/>
    <w:rsid w:val="61376538"/>
    <w:rsid w:val="614433FF"/>
    <w:rsid w:val="61B409BB"/>
    <w:rsid w:val="63800BF4"/>
    <w:rsid w:val="638211C5"/>
    <w:rsid w:val="63841CA0"/>
    <w:rsid w:val="63964BF7"/>
    <w:rsid w:val="63D120D3"/>
    <w:rsid w:val="640D796B"/>
    <w:rsid w:val="642310DB"/>
    <w:rsid w:val="644D378B"/>
    <w:rsid w:val="647E5259"/>
    <w:rsid w:val="64A82053"/>
    <w:rsid w:val="64A84A7D"/>
    <w:rsid w:val="65087501"/>
    <w:rsid w:val="65223BFC"/>
    <w:rsid w:val="65244C0F"/>
    <w:rsid w:val="654A68C5"/>
    <w:rsid w:val="65556747"/>
    <w:rsid w:val="659427D6"/>
    <w:rsid w:val="65C22992"/>
    <w:rsid w:val="65D8715E"/>
    <w:rsid w:val="65DA759B"/>
    <w:rsid w:val="660D2867"/>
    <w:rsid w:val="662C11F1"/>
    <w:rsid w:val="663E0EBB"/>
    <w:rsid w:val="66973CE9"/>
    <w:rsid w:val="66C84911"/>
    <w:rsid w:val="66CC27BE"/>
    <w:rsid w:val="66E00ECD"/>
    <w:rsid w:val="66F218C3"/>
    <w:rsid w:val="670703E9"/>
    <w:rsid w:val="67117F86"/>
    <w:rsid w:val="672A74D6"/>
    <w:rsid w:val="67310F58"/>
    <w:rsid w:val="673D354C"/>
    <w:rsid w:val="675259FF"/>
    <w:rsid w:val="67573D55"/>
    <w:rsid w:val="676705B3"/>
    <w:rsid w:val="679011C9"/>
    <w:rsid w:val="67B47B98"/>
    <w:rsid w:val="67DD4031"/>
    <w:rsid w:val="68034EE4"/>
    <w:rsid w:val="68157585"/>
    <w:rsid w:val="681C366B"/>
    <w:rsid w:val="686852C8"/>
    <w:rsid w:val="68A41FA4"/>
    <w:rsid w:val="68BD30CA"/>
    <w:rsid w:val="68C4022F"/>
    <w:rsid w:val="68C569A1"/>
    <w:rsid w:val="68DB24E0"/>
    <w:rsid w:val="68ED3645"/>
    <w:rsid w:val="68FE2389"/>
    <w:rsid w:val="696F510C"/>
    <w:rsid w:val="69975075"/>
    <w:rsid w:val="69D94680"/>
    <w:rsid w:val="69F92099"/>
    <w:rsid w:val="6A270136"/>
    <w:rsid w:val="6A5F389D"/>
    <w:rsid w:val="6A650948"/>
    <w:rsid w:val="6A841878"/>
    <w:rsid w:val="6A981965"/>
    <w:rsid w:val="6AA23CE2"/>
    <w:rsid w:val="6AA91E79"/>
    <w:rsid w:val="6B1948C4"/>
    <w:rsid w:val="6B2B62EB"/>
    <w:rsid w:val="6B600CCE"/>
    <w:rsid w:val="6BCC402D"/>
    <w:rsid w:val="6BD15992"/>
    <w:rsid w:val="6BE77544"/>
    <w:rsid w:val="6C0F75D2"/>
    <w:rsid w:val="6C3515B0"/>
    <w:rsid w:val="6CA32905"/>
    <w:rsid w:val="6CB96584"/>
    <w:rsid w:val="6CC31DC4"/>
    <w:rsid w:val="6CFE6E47"/>
    <w:rsid w:val="6D270F94"/>
    <w:rsid w:val="6E11230C"/>
    <w:rsid w:val="6E536FD9"/>
    <w:rsid w:val="6E563FDA"/>
    <w:rsid w:val="6E925346"/>
    <w:rsid w:val="6E927B79"/>
    <w:rsid w:val="6E937538"/>
    <w:rsid w:val="6E994E67"/>
    <w:rsid w:val="6E9B4652"/>
    <w:rsid w:val="6EE41DB5"/>
    <w:rsid w:val="6F0C2AFC"/>
    <w:rsid w:val="6F161784"/>
    <w:rsid w:val="6F43230D"/>
    <w:rsid w:val="6F8F09D4"/>
    <w:rsid w:val="6FA5068B"/>
    <w:rsid w:val="6FA75F5A"/>
    <w:rsid w:val="6FB528F2"/>
    <w:rsid w:val="7000242F"/>
    <w:rsid w:val="702517BC"/>
    <w:rsid w:val="703051B1"/>
    <w:rsid w:val="70367912"/>
    <w:rsid w:val="70724FA2"/>
    <w:rsid w:val="70875215"/>
    <w:rsid w:val="708B1190"/>
    <w:rsid w:val="708D2101"/>
    <w:rsid w:val="709F0BCD"/>
    <w:rsid w:val="70A22ABB"/>
    <w:rsid w:val="70E5769E"/>
    <w:rsid w:val="70FC33B8"/>
    <w:rsid w:val="71277464"/>
    <w:rsid w:val="7147465E"/>
    <w:rsid w:val="71497122"/>
    <w:rsid w:val="715E368C"/>
    <w:rsid w:val="71602638"/>
    <w:rsid w:val="717964A5"/>
    <w:rsid w:val="718F0607"/>
    <w:rsid w:val="71E94132"/>
    <w:rsid w:val="728502A1"/>
    <w:rsid w:val="72B9702C"/>
    <w:rsid w:val="72FA4102"/>
    <w:rsid w:val="73064885"/>
    <w:rsid w:val="73863DC7"/>
    <w:rsid w:val="739975C9"/>
    <w:rsid w:val="74766C64"/>
    <w:rsid w:val="74825129"/>
    <w:rsid w:val="74966748"/>
    <w:rsid w:val="74AA2282"/>
    <w:rsid w:val="74B86E05"/>
    <w:rsid w:val="74FE12A0"/>
    <w:rsid w:val="750D2DBE"/>
    <w:rsid w:val="75357C9A"/>
    <w:rsid w:val="754049DA"/>
    <w:rsid w:val="7572722F"/>
    <w:rsid w:val="75902D9B"/>
    <w:rsid w:val="75F860AC"/>
    <w:rsid w:val="761F7FCD"/>
    <w:rsid w:val="763C2E31"/>
    <w:rsid w:val="76A574D0"/>
    <w:rsid w:val="76A66AA1"/>
    <w:rsid w:val="76B26336"/>
    <w:rsid w:val="76CB54FD"/>
    <w:rsid w:val="76E6393D"/>
    <w:rsid w:val="76E77069"/>
    <w:rsid w:val="76EE5D0A"/>
    <w:rsid w:val="772975CE"/>
    <w:rsid w:val="776137AB"/>
    <w:rsid w:val="777050E6"/>
    <w:rsid w:val="7775729D"/>
    <w:rsid w:val="778A378E"/>
    <w:rsid w:val="779A7A3E"/>
    <w:rsid w:val="77AC3E1A"/>
    <w:rsid w:val="77C65B6D"/>
    <w:rsid w:val="781839FB"/>
    <w:rsid w:val="78272A03"/>
    <w:rsid w:val="78327AAF"/>
    <w:rsid w:val="7833799C"/>
    <w:rsid w:val="78381DB9"/>
    <w:rsid w:val="784E77CD"/>
    <w:rsid w:val="784F2F08"/>
    <w:rsid w:val="785D5502"/>
    <w:rsid w:val="78677205"/>
    <w:rsid w:val="78AE5AD4"/>
    <w:rsid w:val="78E322C9"/>
    <w:rsid w:val="79022B0E"/>
    <w:rsid w:val="79184801"/>
    <w:rsid w:val="7942578E"/>
    <w:rsid w:val="794C69AA"/>
    <w:rsid w:val="7955027B"/>
    <w:rsid w:val="798153C3"/>
    <w:rsid w:val="79816F69"/>
    <w:rsid w:val="79AF524E"/>
    <w:rsid w:val="7A104F94"/>
    <w:rsid w:val="7A5B397A"/>
    <w:rsid w:val="7A646987"/>
    <w:rsid w:val="7A9700C3"/>
    <w:rsid w:val="7AC14544"/>
    <w:rsid w:val="7B58048B"/>
    <w:rsid w:val="7B9736B4"/>
    <w:rsid w:val="7B993C1A"/>
    <w:rsid w:val="7BD350C4"/>
    <w:rsid w:val="7C1A6BF3"/>
    <w:rsid w:val="7C480B00"/>
    <w:rsid w:val="7C5034A7"/>
    <w:rsid w:val="7C726AC5"/>
    <w:rsid w:val="7C782A3B"/>
    <w:rsid w:val="7C7C702E"/>
    <w:rsid w:val="7C7D4277"/>
    <w:rsid w:val="7C7E6194"/>
    <w:rsid w:val="7C8B5FEA"/>
    <w:rsid w:val="7C9B7870"/>
    <w:rsid w:val="7C9D3012"/>
    <w:rsid w:val="7CB85462"/>
    <w:rsid w:val="7CD0236F"/>
    <w:rsid w:val="7CD04066"/>
    <w:rsid w:val="7D183E47"/>
    <w:rsid w:val="7D1A0FE2"/>
    <w:rsid w:val="7D1F0D33"/>
    <w:rsid w:val="7D510B7A"/>
    <w:rsid w:val="7DFE7F59"/>
    <w:rsid w:val="7E304EC2"/>
    <w:rsid w:val="7E3923C4"/>
    <w:rsid w:val="7E3D769D"/>
    <w:rsid w:val="7E8D62D2"/>
    <w:rsid w:val="7E9C3D33"/>
    <w:rsid w:val="7ED151AF"/>
    <w:rsid w:val="7EFF08B5"/>
    <w:rsid w:val="7F2F64F3"/>
    <w:rsid w:val="7F591CA5"/>
    <w:rsid w:val="7FA118C2"/>
    <w:rsid w:val="7FD819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Times New Roman" w:hAnsi="Times New Roman" w:eastAsia="宋体" w:cs="Times New Roman"/>
      <w:sz w:val="28"/>
    </w:rPr>
  </w:style>
  <w:style w:type="paragraph" w:styleId="5">
    <w:name w:val="heading 2"/>
    <w:basedOn w:val="1"/>
    <w:next w:val="1"/>
    <w:qFormat/>
    <w:uiPriority w:val="99"/>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unhideWhenUsed/>
    <w:qFormat/>
    <w:uiPriority w:val="0"/>
    <w:pPr>
      <w:keepNext/>
      <w:keepLines/>
      <w:numPr>
        <w:ilvl w:val="2"/>
        <w:numId w:val="1"/>
      </w:numPr>
      <w:adjustRightInd w:val="0"/>
      <w:snapToGrid w:val="0"/>
      <w:spacing w:beforeLines="0" w:afterLines="0" w:line="360" w:lineRule="auto"/>
      <w:ind w:left="720" w:hanging="720" w:firstLineChars="0"/>
      <w:outlineLvl w:val="2"/>
    </w:pPr>
    <w:rPr>
      <w:rFonts w:ascii="Times New Roman" w:hAnsi="Times New Roman" w:eastAsia="宋体"/>
      <w:b/>
      <w:sz w:val="30"/>
    </w:rPr>
  </w:style>
  <w:style w:type="paragraph" w:styleId="7">
    <w:name w:val="heading 4"/>
    <w:basedOn w:val="1"/>
    <w:next w:val="1"/>
    <w:unhideWhenUsed/>
    <w:qFormat/>
    <w:uiPriority w:val="0"/>
    <w:pPr>
      <w:keepNext/>
      <w:numPr>
        <w:ilvl w:val="3"/>
        <w:numId w:val="1"/>
      </w:numPr>
      <w:spacing w:line="360" w:lineRule="auto"/>
      <w:ind w:left="864" w:hanging="864" w:firstLineChars="0"/>
      <w:outlineLvl w:val="3"/>
    </w:pPr>
    <w:rPr>
      <w:rFonts w:ascii="仿宋_GB2312" w:hAnsi="仿宋_GB2312" w:eastAsia="宋体"/>
      <w:b/>
      <w:color w:val="000000"/>
      <w:sz w:val="28"/>
    </w:rPr>
  </w:style>
  <w:style w:type="character" w:default="1" w:styleId="22">
    <w:name w:val="Default Paragraph Font"/>
    <w:semiHidden/>
    <w:qFormat/>
    <w:uiPriority w:val="0"/>
  </w:style>
  <w:style w:type="table" w:default="1" w:styleId="20">
    <w:name w:val="Normal Table"/>
    <w:semiHidden/>
    <w:qFormat/>
    <w:uiPriority w:val="0"/>
    <w:pPr>
      <w:widowControl/>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kern w:val="2"/>
      <w:sz w:val="28"/>
      <w:szCs w:val="24"/>
    </w:rPr>
  </w:style>
  <w:style w:type="paragraph" w:styleId="3">
    <w:name w:val="Body Text First Indent"/>
    <w:basedOn w:val="2"/>
    <w:qFormat/>
    <w:uiPriority w:val="0"/>
    <w:pPr>
      <w:spacing w:after="120"/>
      <w:ind w:firstLine="420" w:firstLineChars="100"/>
    </w:pPr>
    <w:rPr>
      <w:sz w:val="30"/>
    </w:rPr>
  </w:style>
  <w:style w:type="paragraph" w:styleId="8">
    <w:name w:val="table of authorities"/>
    <w:basedOn w:val="1"/>
    <w:next w:val="1"/>
    <w:qFormat/>
    <w:uiPriority w:val="0"/>
    <w:pPr>
      <w:ind w:left="420" w:leftChars="200"/>
    </w:p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10">
    <w:name w:val="annotation text"/>
    <w:basedOn w:val="1"/>
    <w:qFormat/>
    <w:uiPriority w:val="0"/>
    <w:pPr>
      <w:jc w:val="left"/>
    </w:p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next w:val="1"/>
    <w:qFormat/>
    <w:uiPriority w:val="0"/>
    <w:rPr>
      <w:rFonts w:ascii="宋体" w:hAnsi="Courier New" w:eastAsia="宋体" w:cs="Times New Roman"/>
      <w:sz w:val="11"/>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5">
    <w:name w:val="toc 1"/>
    <w:basedOn w:val="1"/>
    <w:next w:val="1"/>
    <w:qFormat/>
    <w:uiPriority w:val="0"/>
    <w:rPr>
      <w:rFonts w:ascii="Times New Roman" w:hAnsi="Times New Roman" w:eastAsia="宋体" w:cs="Times New Roman"/>
    </w:rPr>
  </w:style>
  <w:style w:type="paragraph" w:styleId="16">
    <w:name w:val="List"/>
    <w:basedOn w:val="1"/>
    <w:qFormat/>
    <w:uiPriority w:val="0"/>
    <w:pPr>
      <w:ind w:left="200" w:hanging="200" w:hangingChars="200"/>
    </w:pPr>
    <w:rPr>
      <w:szCs w:val="20"/>
    </w:rPr>
  </w:style>
  <w:style w:type="paragraph" w:styleId="17">
    <w:name w:val="footnote text"/>
    <w:basedOn w:val="1"/>
    <w:qFormat/>
    <w:uiPriority w:val="0"/>
    <w:pPr>
      <w:snapToGrid w:val="0"/>
      <w:jc w:val="left"/>
    </w:pPr>
    <w:rPr>
      <w:sz w:val="18"/>
    </w:r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2"/>
    <w:basedOn w:val="11"/>
    <w:qFormat/>
    <w:uiPriority w:val="0"/>
    <w:pPr>
      <w:tabs>
        <w:tab w:val="left" w:pos="720"/>
        <w:tab w:val="left" w:pos="900"/>
        <w:tab w:val="left" w:pos="1260"/>
        <w:tab w:val="left" w:pos="2160"/>
        <w:tab w:val="left" w:pos="2880"/>
        <w:tab w:val="left" w:pos="3600"/>
        <w:tab w:val="left" w:pos="4320"/>
        <w:tab w:val="left" w:pos="5040"/>
        <w:tab w:val="left" w:pos="5760"/>
      </w:tabs>
      <w:ind w:firstLine="420"/>
    </w:pPr>
    <w:rPr>
      <w:rFonts w:ascii="Times New Roman" w:hAnsi="Times New Roman" w:eastAsia="宋体" w:cs="宋体"/>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rPr>
      <w:rFonts w:ascii="Times New Roman" w:hAnsi="Times New Roman" w:eastAsia="宋体" w:cs="Times New Roman"/>
    </w:rPr>
  </w:style>
  <w:style w:type="character" w:styleId="25">
    <w:name w:val="HTML Sample"/>
    <w:basedOn w:val="22"/>
    <w:qFormat/>
    <w:uiPriority w:val="0"/>
    <w:rPr>
      <w:rFonts w:ascii="Courier New" w:hAnsi="Courier New"/>
    </w:rPr>
  </w:style>
  <w:style w:type="paragraph" w:customStyle="1" w:styleId="26">
    <w:name w:val="z-正文"/>
    <w:basedOn w:val="1"/>
    <w:qFormat/>
    <w:uiPriority w:val="0"/>
    <w:pPr>
      <w:spacing w:line="560" w:lineRule="exact"/>
      <w:ind w:firstLine="200" w:firstLineChars="200"/>
      <w:jc w:val="left"/>
    </w:pPr>
    <w:rPr>
      <w:rFonts w:eastAsia="仿宋_GB2312"/>
      <w:sz w:val="28"/>
      <w:szCs w:val="44"/>
    </w:rPr>
  </w:style>
  <w:style w:type="paragraph" w:customStyle="1" w:styleId="27">
    <w:name w:val="NormalIndent"/>
    <w:basedOn w:val="1"/>
    <w:qFormat/>
    <w:uiPriority w:val="0"/>
    <w:pPr>
      <w:ind w:firstLine="420"/>
      <w:jc w:val="left"/>
    </w:pPr>
    <w:rPr>
      <w:rFonts w:ascii="宋体" w:hAnsi="Calibri"/>
      <w:kern w:val="0"/>
      <w:sz w:val="24"/>
      <w:szCs w:val="20"/>
    </w:rPr>
  </w:style>
  <w:style w:type="paragraph" w:customStyle="1" w:styleId="28">
    <w:name w:val="Plain Text"/>
    <w:basedOn w:val="1"/>
    <w:qFormat/>
    <w:uiPriority w:val="0"/>
    <w:pPr>
      <w:adjustRightInd w:val="0"/>
      <w:textAlignment w:val="baseline"/>
    </w:pPr>
    <w:rPr>
      <w:rFonts w:ascii="宋体" w:hAnsi="Courier New"/>
    </w:rPr>
  </w:style>
  <w:style w:type="paragraph" w:customStyle="1" w:styleId="29">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30">
    <w:name w:val="List Paragraph"/>
    <w:basedOn w:val="1"/>
    <w:qFormat/>
    <w:uiPriority w:val="99"/>
    <w:pPr>
      <w:ind w:firstLine="420" w:firstLineChars="200"/>
    </w:pPr>
  </w:style>
  <w:style w:type="paragraph" w:customStyle="1" w:styleId="3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2">
    <w:name w:val="Default Text"/>
    <w:basedOn w:val="33"/>
    <w:qFormat/>
    <w:uiPriority w:val="0"/>
    <w:pPr>
      <w:widowControl w:val="0"/>
      <w:autoSpaceDE w:val="0"/>
      <w:autoSpaceDN w:val="0"/>
      <w:adjustRightInd w:val="0"/>
    </w:pPr>
    <w:rPr>
      <w:color w:val="000000"/>
      <w:sz w:val="24"/>
      <w:lang w:val="en-US" w:eastAsia="zh-CN" w:bidi="ar-SA"/>
    </w:rPr>
  </w:style>
  <w:style w:type="paragraph" w:customStyle="1" w:styleId="33">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35">
    <w:name w:val="0 正文"/>
    <w:basedOn w:val="1"/>
    <w:qFormat/>
    <w:uiPriority w:val="0"/>
    <w:pPr>
      <w:ind w:firstLine="200" w:firstLineChars="200"/>
      <w:jc w:val="left"/>
    </w:pPr>
    <w:rPr>
      <w:rFonts w:ascii="宋体" w:hAnsi="宋体" w:cs="Arial"/>
      <w:sz w:val="24"/>
    </w:rPr>
  </w:style>
  <w:style w:type="paragraph" w:customStyle="1" w:styleId="36">
    <w:name w:val="my正文"/>
    <w:basedOn w:val="1"/>
    <w:qFormat/>
    <w:uiPriority w:val="0"/>
    <w:pPr>
      <w:ind w:firstLine="480" w:firstLineChars="200"/>
    </w:pPr>
    <w:rPr>
      <w:sz w:val="24"/>
    </w:rPr>
  </w:style>
  <w:style w:type="paragraph" w:customStyle="1" w:styleId="37">
    <w:name w:val="Body text|1"/>
    <w:basedOn w:val="1"/>
    <w:qFormat/>
    <w:uiPriority w:val="0"/>
    <w:pPr>
      <w:spacing w:line="449" w:lineRule="auto"/>
      <w:ind w:firstLine="400"/>
    </w:pPr>
    <w:rPr>
      <w:rFonts w:ascii="MingLiU" w:hAnsi="MingLiU" w:eastAsia="MingLiU" w:cs="MingLiU"/>
      <w:sz w:val="22"/>
      <w:szCs w:val="22"/>
      <w:lang w:val="zh-TW" w:eastAsia="zh-TW" w:bidi="zh-TW"/>
    </w:rPr>
  </w:style>
  <w:style w:type="character" w:customStyle="1" w:styleId="38">
    <w:name w:val="page number"/>
    <w:basedOn w:val="22"/>
    <w:qFormat/>
    <w:uiPriority w:val="0"/>
  </w:style>
  <w:style w:type="paragraph" w:customStyle="1" w:styleId="3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8" textRotate="1"/>
    <customShpInfo spid="_x0000_s2059" textRotate="1"/>
    <customShpInfo spid="_x0000_s2060" textRotate="1"/>
    <customShpInfo spid="_x0000_s2061" textRotate="1"/>
    <customShpInfo spid="_x0000_s2055"/>
    <customShpInfo spid="_x0000_s2062" textRotate="1"/>
    <customShpInfo spid="_x0000_s2063" textRotate="1"/>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32086</Words>
  <Characters>34465</Characters>
  <Lines>0</Lines>
  <Paragraphs>0</Paragraphs>
  <TotalTime>1</TotalTime>
  <ScaleCrop>false</ScaleCrop>
  <LinksUpToDate>false</LinksUpToDate>
  <CharactersWithSpaces>37267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2020-05-13T07:09:00Z</dcterms:created>
  <dc:creator>Administrator</dc:creator>
  <cp:lastModifiedBy>水玉</cp:lastModifiedBy>
  <cp:lastPrinted>2020-12-01T03:33:00Z</cp:lastPrinted>
  <dcterms:modified xsi:type="dcterms:W3CDTF">2021-08-03T11:33:00Z</dcterms:modified>
  <dc:title>招标编号：YLYF2021-158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62DA9F83D1D0473EBB01B68B7A2B7338</vt:lpwstr>
  </property>
</Properties>
</file>