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color w:val="000000"/>
          <w:sz w:val="36"/>
          <w:szCs w:val="36"/>
          <w:lang w:val="en-US" w:eastAsia="zh-CN"/>
        </w:rPr>
      </w:pPr>
      <w:bookmarkStart w:id="0" w:name="_Toc28548"/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麦盖提县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公安局食堂鲜肉类、蔬菜及调味副食品</w:t>
      </w:r>
    </w:p>
    <w:p>
      <w:pPr>
        <w:jc w:val="center"/>
        <w:outlineLvl w:val="0"/>
        <w:rPr>
          <w:rFonts w:hint="eastAsia"/>
          <w:b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color w:val="000000"/>
          <w:sz w:val="36"/>
          <w:szCs w:val="36"/>
          <w:lang w:val="en-US" w:eastAsia="zh-CN"/>
        </w:rPr>
        <w:t>采购项目</w:t>
      </w:r>
      <w:bookmarkEnd w:id="0"/>
      <w:r>
        <w:rPr>
          <w:rFonts w:hint="eastAsia"/>
          <w:b/>
          <w:color w:val="000000"/>
          <w:sz w:val="36"/>
          <w:szCs w:val="36"/>
          <w:lang w:val="en-US" w:eastAsia="zh-CN"/>
        </w:rPr>
        <w:t>（第一、二、三包）</w:t>
      </w:r>
    </w:p>
    <w:p>
      <w:pPr>
        <w:jc w:val="center"/>
        <w:outlineLvl w:val="0"/>
        <w:rPr>
          <w:rFonts w:hint="default"/>
          <w:lang w:val="en-US" w:eastAsia="zh-CN"/>
        </w:rPr>
      </w:pPr>
      <w:bookmarkStart w:id="1" w:name="_Toc25180"/>
      <w:r>
        <w:rPr>
          <w:rFonts w:hint="eastAsia"/>
          <w:b/>
          <w:color w:val="000000"/>
          <w:sz w:val="36"/>
          <w:szCs w:val="36"/>
          <w:lang w:val="en-US" w:eastAsia="zh-CN"/>
        </w:rPr>
        <w:t>招标公告</w:t>
      </w:r>
      <w:bookmarkEnd w:id="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麦盖提县公</w:t>
      </w:r>
      <w:r>
        <w:rPr>
          <w:rFonts w:hint="eastAsia" w:ascii="宋体" w:hAnsi="宋体" w:cs="宋体"/>
          <w:color w:val="000000"/>
          <w:sz w:val="24"/>
          <w:u w:val="none"/>
          <w:shd w:val="clear" w:color="auto" w:fill="FFFFFF"/>
          <w:lang w:val="en-US" w:eastAsia="zh-CN"/>
        </w:rPr>
        <w:t>安局食堂鲜肉类、蔬菜及调味副食品采购项目（第一、二、三包）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的潜在投标人应在</w:t>
      </w:r>
      <w:r>
        <w:rPr>
          <w:rFonts w:hint="eastAsia" w:ascii="宋体" w:hAnsi="宋体" w:cs="宋体"/>
          <w:color w:val="000000" w:themeColor="text1"/>
          <w:sz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喀什市帕依纳甫路海富大厦院内7-142室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获取招标文件，</w:t>
      </w:r>
      <w:r>
        <w:rPr>
          <w:rFonts w:hint="eastAsia" w:ascii="宋体" w:hAnsi="宋体" w:cs="宋体"/>
          <w:color w:val="000000" w:themeColor="text1"/>
          <w:sz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并于2021年 8 月 30日 16:00（北京时间）前递交</w:t>
      </w:r>
      <w:r>
        <w:rPr>
          <w:rFonts w:hint="eastAsia" w:ascii="宋体" w:hAnsi="宋体" w:cs="宋体"/>
          <w:color w:val="000000"/>
          <w:sz w:val="24"/>
          <w:u w:val="none"/>
          <w:shd w:val="clear" w:color="auto" w:fill="FFFFFF"/>
          <w:lang w:val="en-US" w:eastAsia="zh-CN"/>
        </w:rPr>
        <w:t>投标文件。</w:t>
      </w:r>
    </w:p>
    <w:p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/>
          <w:lang w:val="en-US" w:eastAsia="zh-CN"/>
        </w:rPr>
      </w:pPr>
      <w:bookmarkStart w:id="2" w:name="_Toc21951"/>
      <w:r>
        <w:rPr>
          <w:rFonts w:hint="eastAsia"/>
          <w:lang w:val="en-US" w:eastAsia="zh-CN"/>
        </w:rPr>
        <w:t>项目基本情况</w:t>
      </w:r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textAlignment w:val="auto"/>
        <w:rPr>
          <w:rFonts w:hint="default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（一）第一包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项目名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麦盖提县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安局食堂鲜肉类、蔬菜及调味副食品采购项目（第一包）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项目编号：XJTT-(MGT)2021-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03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采购方式：公开招标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/>
          <w:shd w:val="clear" w:color="auto" w:fill="FFFFFF"/>
        </w:rPr>
        <w:t>预算</w:t>
      </w:r>
      <w:r>
        <w:rPr>
          <w:rFonts w:hint="eastAsia" w:hAnsi="宋体" w:cs="宋体"/>
          <w:color w:val="000000"/>
          <w:shd w:val="clear" w:color="auto" w:fill="FFFFFF"/>
          <w:lang w:eastAsia="zh-CN"/>
        </w:rPr>
        <w:t>金额（元）</w:t>
      </w:r>
      <w:r>
        <w:rPr>
          <w:rFonts w:hint="eastAsia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3290100.00元（叁佰贰拾玖万零壹佰元整）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最高限价（元）：3290100.00元（叁佰贰拾玖万零壹佰元整） 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</w:pPr>
      <w:r>
        <w:rPr>
          <w:rFonts w:hint="eastAsia" w:hAnsi="宋体" w:cs="宋体"/>
          <w:color w:val="000000"/>
          <w:shd w:val="clear" w:color="auto" w:fill="FFFFFF"/>
        </w:rPr>
        <w:t>资金来源：</w:t>
      </w:r>
      <w:r>
        <w:rPr>
          <w:rFonts w:hint="eastAsia" w:hAnsi="宋体" w:cs="宋体"/>
          <w:color w:val="000000"/>
          <w:shd w:val="clear" w:color="auto" w:fill="FFFFFF"/>
          <w:lang w:val="en-US" w:eastAsia="zh-CN"/>
        </w:rPr>
        <w:t>伙食补助费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采购内容：肉类（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鲜鸡、鱼、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牛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、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羊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肉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）一批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第二包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项目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麦盖提县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安局食堂鲜肉类、蔬菜及调味副食品采购项目（第二包）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default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</w:rPr>
        <w:t>项目编号：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XJ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TT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-(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MGT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)202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-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采购方式：公开招标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/>
          <w:shd w:val="clear" w:color="auto" w:fill="FFFFFF"/>
        </w:rPr>
        <w:t>预算</w:t>
      </w:r>
      <w:r>
        <w:rPr>
          <w:rFonts w:hint="eastAsia" w:hAnsi="宋体" w:cs="宋体"/>
          <w:color w:val="000000"/>
          <w:shd w:val="clear" w:color="auto" w:fill="FFFFFF"/>
          <w:lang w:eastAsia="zh-CN"/>
        </w:rPr>
        <w:t>金额（元）</w:t>
      </w:r>
      <w:r>
        <w:rPr>
          <w:rFonts w:hint="eastAsia" w:hAnsi="宋体" w:cs="宋体"/>
          <w:color w:val="000000"/>
          <w:shd w:val="clear" w:color="auto" w:fill="FFFFFF"/>
        </w:rPr>
        <w:t>：</w:t>
      </w:r>
      <w:r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2650100.00元（贰佰陆拾伍万零壹佰元整）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最高限价（元）：2650100.00元（贰佰陆拾伍万零壹佰元整） 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资金来源：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伙食补助费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采购内容：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鲜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蔬菜、调味副食品一批；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240" w:firstLineChars="1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第三包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项目名称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麦盖提县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公安局食堂鲜肉类、蔬菜及调味副食品采购项目（第三包）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default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</w:rPr>
        <w:t>项目编号：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XJ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TT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-(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MGT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)202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-</w:t>
      </w:r>
      <w:r>
        <w:rPr>
          <w:rFonts w:hint="eastAsia" w:hAnsi="宋体" w:cs="宋体"/>
          <w:sz w:val="24"/>
          <w:shd w:val="clear" w:color="auto" w:fill="FFFFFF"/>
          <w:lang w:val="en-US" w:eastAsia="zh-CN"/>
        </w:rPr>
        <w:t>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采购方式：公开招标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/>
          <w:shd w:val="clear" w:color="auto" w:fill="FFFFFF"/>
        </w:rPr>
        <w:t>预算</w:t>
      </w:r>
      <w:r>
        <w:rPr>
          <w:rFonts w:hint="eastAsia" w:hAnsi="宋体" w:cs="宋体"/>
          <w:color w:val="000000"/>
          <w:shd w:val="clear" w:color="auto" w:fill="FFFFFF"/>
          <w:lang w:eastAsia="zh-CN"/>
        </w:rPr>
        <w:t>金额（元）</w:t>
      </w:r>
      <w:r>
        <w:rPr>
          <w:rFonts w:hint="eastAsia" w:hAnsi="宋体" w:cs="宋体"/>
          <w:color w:val="000000"/>
          <w:shd w:val="clear" w:color="auto" w:fill="FFFFFF"/>
        </w:rPr>
        <w:t>：</w:t>
      </w:r>
      <w:r>
        <w:rPr>
          <w:rFonts w:hint="eastAsia" w:hAnsi="宋体" w:cs="宋体"/>
          <w:color w:val="000000"/>
          <w:shd w:val="clear" w:color="auto" w:fill="FFFFFF"/>
          <w:lang w:val="en-US" w:eastAsia="zh-CN"/>
        </w:rPr>
        <w:t>1</w:t>
      </w:r>
      <w:r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645300.00元（壹佰陆拾肆万伍仟叁佰元整）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最高限价（元）：1645300.00元（壹佰陆拾肆万伍仟叁佰元整） 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</w:pPr>
      <w:r>
        <w:rPr>
          <w:rFonts w:hint="eastAsia" w:hAnsi="宋体" w:cs="宋体"/>
          <w:color w:val="000000"/>
          <w:shd w:val="clear" w:color="auto" w:fill="FFFFFF"/>
        </w:rPr>
        <w:t>资金来源：</w:t>
      </w:r>
      <w:r>
        <w:rPr>
          <w:rFonts w:hint="eastAsia" w:hAnsi="宋体" w:cs="宋体"/>
          <w:color w:val="000000"/>
          <w:shd w:val="clear" w:color="auto" w:fill="FFFFFF"/>
          <w:lang w:val="en-US" w:eastAsia="zh-CN"/>
        </w:rPr>
        <w:t>伙食补助费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采购内容：大米、面粉、清油一批；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cs="Times New Roman"/>
          <w:lang w:val="en-US" w:eastAsia="zh-CN"/>
        </w:rPr>
      </w:pPr>
      <w:bookmarkStart w:id="3" w:name="_Toc16386"/>
      <w:r>
        <w:rPr>
          <w:rFonts w:hint="eastAsia" w:cs="Times New Roman"/>
          <w:lang w:val="en-US" w:eastAsia="zh-CN"/>
        </w:rPr>
        <w:t>二、投标供应商的资格要求：</w:t>
      </w:r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bookmarkStart w:id="4" w:name="_Toc31590"/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（一）投标商必须符合《中华人民共和国政府采购法》第二十二条的相关规定；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（1）具有独立承担民事责任的能力；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（2）具有良好的商业信誉和健全的财务会计制度；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（3）具有履行合同所必需的设备和专业技术能力；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4）有依法缴纳税收和社会保障资金的良好记录；（需提供近期6个月的法人及被授权人（必须为投标单位正式员工）社保部门出具的投标单位的缴纳社保证明（社保缴费凭证和个人明细表原件）及完税证明原件）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（5）参加政府采购活动前三年内，在经营活动中没有重大违法记录；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（6）法律、行政法规规定的其他条件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（二）具有相应经营范围的企业法人营业执照副本原件、税务登记证原件（国税及地税）、组织机构代码证副本原件或三证合一企业法人营业执照副本原件（具有相应经营范围）；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（三）法人授权委托书原件及法人身份证复印件及投标人身份证原件；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（四）食品流通许可证原件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动植物检疫检验合格证原件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冷库建设资质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资质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原件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五）参加本次招标项目的投标人及生产厂家，如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、必须为完整版）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三、招标文件领取</w:t>
      </w:r>
      <w:bookmarkEnd w:id="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1、获取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2021年8月6日至2021年8月 13日，北京时间上午10:00-14:00至下午15:30-19:30（法定节假日除外）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2、获取地点：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喀什市帕依纳甫路海富大厦院内7-142室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3、获取方式：线下获取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4、补充事宜：获取招标文件时需携带：第二项投标供应商资格要求中的资质证件（以上证件资料均须提供加盖公章的复印件一套）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cs="Times New Roman"/>
          <w:lang w:val="en-US" w:eastAsia="zh-CN"/>
        </w:rPr>
      </w:pPr>
      <w:bookmarkStart w:id="5" w:name="_Toc17502"/>
      <w:r>
        <w:rPr>
          <w:rFonts w:hint="eastAsia" w:cs="Times New Roman"/>
          <w:lang w:val="en-US" w:eastAsia="zh-CN"/>
        </w:rPr>
        <w:t>四、提交投标文件截止时间、开标时间和地点</w:t>
      </w:r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提交投标文件截止时间：2021年08月30日 1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：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时（北京时间）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投标地点：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麦盖提刀郎国际大酒店会议室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开标时间：2021年08月30日 1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：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时（北京时间）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麦盖提刀郎国际大酒店会议室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360" w:lineRule="auto"/>
        <w:ind w:left="0" w:leftChars="0"/>
        <w:jc w:val="left"/>
        <w:textAlignment w:val="auto"/>
        <w:outlineLvl w:val="0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bookmarkStart w:id="6" w:name="_Toc31483"/>
      <w:bookmarkStart w:id="7" w:name="_Toc7415"/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、公告期限</w:t>
      </w:r>
      <w:bookmarkEnd w:id="6"/>
      <w:bookmarkEnd w:id="7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both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bookmarkStart w:id="8" w:name="_Toc20455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联系方式：</w:t>
      </w:r>
      <w:bookmarkEnd w:id="8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bookmarkStart w:id="9" w:name="_Toc9898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1、采购人信息：</w:t>
      </w:r>
      <w:bookmarkEnd w:id="9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名称：麦盖提县公安局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bookmarkStart w:id="10" w:name="_Toc25834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地址：新疆维吾尔自治区喀什地区麦盖提县民生路</w:t>
      </w:r>
      <w:bookmarkEnd w:id="1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联系 人：郑茹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联系电话：18999632760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bookmarkStart w:id="11" w:name="_Toc22722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2、采购代理机构信息</w:t>
      </w:r>
      <w:bookmarkEnd w:id="1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名称：新疆坦途咨询有限公司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地址：喀什市帕依纳甫路海富大厦院内7-142室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刘杰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15999233987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新疆坦途咨询有限公司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2021年8月6日                             </w:t>
      </w:r>
      <w:r>
        <w:rPr>
          <w:rFonts w:hint="eastAsia" w:ascii="宋体" w:hAnsi="宋体" w:eastAsia="宋体" w:cs="宋体"/>
          <w:color w:val="FF0000"/>
          <w:sz w:val="24"/>
          <w:szCs w:val="24"/>
          <w:shd w:val="clear" w:color="auto" w:fill="FFFFFF"/>
          <w:lang w:val="en-US" w:eastAsia="zh-CN"/>
        </w:rPr>
        <w:t xml:space="preserve">      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AA8877"/>
    <w:multiLevelType w:val="singleLevel"/>
    <w:tmpl w:val="CEAA887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6E6EE0"/>
    <w:multiLevelType w:val="singleLevel"/>
    <w:tmpl w:val="396E6E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B42C9F"/>
    <w:multiLevelType w:val="singleLevel"/>
    <w:tmpl w:val="5EB42C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2723"/>
    <w:rsid w:val="04960CCE"/>
    <w:rsid w:val="05991DE9"/>
    <w:rsid w:val="05C5112A"/>
    <w:rsid w:val="06035375"/>
    <w:rsid w:val="073108D1"/>
    <w:rsid w:val="0998770A"/>
    <w:rsid w:val="09D00203"/>
    <w:rsid w:val="0E734461"/>
    <w:rsid w:val="0FA25C11"/>
    <w:rsid w:val="14AC77D4"/>
    <w:rsid w:val="162A6CD4"/>
    <w:rsid w:val="16352292"/>
    <w:rsid w:val="191E3BFF"/>
    <w:rsid w:val="1F793E0D"/>
    <w:rsid w:val="21344726"/>
    <w:rsid w:val="22622947"/>
    <w:rsid w:val="25933B75"/>
    <w:rsid w:val="25AC3DE6"/>
    <w:rsid w:val="25E242B6"/>
    <w:rsid w:val="27A00F85"/>
    <w:rsid w:val="29277AA7"/>
    <w:rsid w:val="294442FA"/>
    <w:rsid w:val="2C87099E"/>
    <w:rsid w:val="2CA629E1"/>
    <w:rsid w:val="2FA1746C"/>
    <w:rsid w:val="2FC401F1"/>
    <w:rsid w:val="31443647"/>
    <w:rsid w:val="314D0ADB"/>
    <w:rsid w:val="3303756F"/>
    <w:rsid w:val="351019DA"/>
    <w:rsid w:val="38246C08"/>
    <w:rsid w:val="39053176"/>
    <w:rsid w:val="39ED2B82"/>
    <w:rsid w:val="3DB922E2"/>
    <w:rsid w:val="472410F0"/>
    <w:rsid w:val="4816530B"/>
    <w:rsid w:val="48300021"/>
    <w:rsid w:val="49C26B47"/>
    <w:rsid w:val="4AF43BA1"/>
    <w:rsid w:val="4BBB38F1"/>
    <w:rsid w:val="4CC93907"/>
    <w:rsid w:val="4DB97720"/>
    <w:rsid w:val="4E9B3F08"/>
    <w:rsid w:val="4ED86DB8"/>
    <w:rsid w:val="51E4306E"/>
    <w:rsid w:val="52DE4363"/>
    <w:rsid w:val="53484777"/>
    <w:rsid w:val="53B66A39"/>
    <w:rsid w:val="54BC28CE"/>
    <w:rsid w:val="54D52F5D"/>
    <w:rsid w:val="553B5BBE"/>
    <w:rsid w:val="57BD6184"/>
    <w:rsid w:val="57CD719C"/>
    <w:rsid w:val="5A7D2D4F"/>
    <w:rsid w:val="5C09526A"/>
    <w:rsid w:val="5DEF5FDC"/>
    <w:rsid w:val="5ED95D12"/>
    <w:rsid w:val="5F527980"/>
    <w:rsid w:val="6227514F"/>
    <w:rsid w:val="655E00F0"/>
    <w:rsid w:val="658A149E"/>
    <w:rsid w:val="669A0F84"/>
    <w:rsid w:val="66FC5F87"/>
    <w:rsid w:val="67832199"/>
    <w:rsid w:val="67982DB9"/>
    <w:rsid w:val="693E5EA9"/>
    <w:rsid w:val="69C414C5"/>
    <w:rsid w:val="69DE66D8"/>
    <w:rsid w:val="6AC3511E"/>
    <w:rsid w:val="6CF74A10"/>
    <w:rsid w:val="6D640B85"/>
    <w:rsid w:val="6E3D2000"/>
    <w:rsid w:val="6E425492"/>
    <w:rsid w:val="74306B31"/>
    <w:rsid w:val="78AF2A6A"/>
    <w:rsid w:val="7DDE05B1"/>
    <w:rsid w:val="7E70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widowControl/>
      <w:autoSpaceDE/>
      <w:autoSpaceDN/>
      <w:spacing w:before="120" w:after="0" w:line="240" w:lineRule="auto"/>
      <w:ind w:left="0" w:firstLine="3584"/>
    </w:p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next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2021-07-28T10:38:00Z</dcterms:created>
  <dc:creator>Administrator</dc:creator>
  <cp:lastModifiedBy>1</cp:lastModifiedBy>
  <dcterms:modified xsi:type="dcterms:W3CDTF">2021-08-06T13:25:50Z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137591E764B14E2E94D5FCEED1178BF1</vt:lpwstr>
  </property>
</Properties>
</file>