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cs="黑体"/>
          <w:b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cs="黑体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一、</w:t>
      </w:r>
      <w:r>
        <w:rPr>
          <w:rFonts w:hint="eastAsia" w:cs="黑体"/>
          <w:b/>
          <w:i w:val="0"/>
          <w:caps w:val="0"/>
          <w:color w:val="000000"/>
          <w:spacing w:val="0"/>
          <w:w w:val="100"/>
          <w:sz w:val="32"/>
          <w:szCs w:val="32"/>
        </w:rPr>
        <w:t>便携式肺功能检测仪</w:t>
      </w:r>
      <w:r>
        <w:rPr>
          <w:rFonts w:hint="eastAsia" w:cs="黑体"/>
          <w:b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cs="黑体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普通</w:t>
      </w:r>
      <w:r>
        <w:rPr>
          <w:rFonts w:hint="eastAsia" w:cs="黑体"/>
          <w:b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cs="黑体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技术</w:t>
      </w:r>
      <w:r>
        <w:rPr>
          <w:rFonts w:hint="eastAsia" w:cs="黑体"/>
          <w:b/>
          <w:i w:val="0"/>
          <w:caps w:val="0"/>
          <w:color w:val="000000"/>
          <w:spacing w:val="0"/>
          <w:w w:val="100"/>
          <w:sz w:val="32"/>
          <w:szCs w:val="32"/>
        </w:rPr>
        <w:t>参数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1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具备国家二类医疗注册资质，注册名称：便携式肺功能检测仪，可适用于医院及基层卫生机构肺通气功能测定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；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2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具备肺通气功能检测、流速容积V-V曲线、最大分钟通气量、慢通气检测、支气管舒张试验，呼吸肌力测定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3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屏幕类型：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≧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3.5寸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电容式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彩色液晶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触摸屏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numPr>
          <w:ilvl w:val="0"/>
          <w:numId w:val="1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仿宋" w:hAnsi="仿宋" w:eastAsia="仿宋"/>
          <w:sz w:val="24"/>
        </w:rPr>
      </w:pP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传感器类型：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高精度压差式流量传感器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numPr>
          <w:ilvl w:val="0"/>
          <w:numId w:val="0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5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检测指标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需包含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：FVC、PEF、FEV1、FEV1/FVC、FEV3、FEV6、MEP、FIVC、PIF、MIP、MVV、MVV6、MV、BF、VT、ERV、IRV、IC等；小气道指标：FEF25\50\75\MMEF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6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可出具多份肺功能报告（肺通气功能，最大通气量、流速容积曲线），呼吸肌力测评报告，支气管舒张试验报告，自我评估问卷报告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7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报告可显示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最大分钟通气、流速/容积环，压力/容积曲线，流速/容积曲线检测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8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多种预计值选择；含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标准预计值、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2017年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中国人4-80岁预计值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、Standard预计值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9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可设置环境参数、进行定标并校验，可实现1-3升定标桶定标选择及三速定标方法，定标报告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可查询打印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10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智能语音提醒测试过程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11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质控结果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A-F级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自动评定分析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12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检测结果结合内置GOLD指南自动分析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，辅助临床诊断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13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检测质控结果可打印在报告上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14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、无线便携设计，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可以连接平板电脑直接读取身份证信息，也可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蓝牙连接身份证读卡器，方便数据录入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15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云端存储，不限测试人数和数据存储数量，可以无线连接平板电脑，也可以PC端中进入医生帐户查询数据和报告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16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内置大容量锂电池，充满电可持续测试6-8小时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17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检测数据实时同步呼吸管理系统，医生可远程查看检测报告，管理病患数据，查看检测统计结果；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检测参数范围：呼气峰值流量：0~840LPM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用力呼气肺活量：0~8L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ind w:firstLine="140" w:firstLineChars="50"/>
        <w:jc w:val="left"/>
        <w:textAlignment w:val="baseline"/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sz w:val="28"/>
        </w:rPr>
      </w:pP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吸气峰值流量：0~840LPM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用力吸气肺活量：0~8L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肺活量：0~8L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ind w:firstLine="140" w:firstLineChars="50"/>
        <w:jc w:val="left"/>
        <w:textAlignment w:val="baseline"/>
        <w:rPr>
          <w:rFonts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</w:pPr>
      <w:r>
        <w:rPr>
          <w:rFonts w:hint="eastAsia" w:ascii="宋体" w:hAnsi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  <w:t>19</w:t>
      </w:r>
      <w:r>
        <w:rPr>
          <w:rFonts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  <w:t>、医生端具有分级诊疗功能，可以与上下级医疗机构进行上下级转诊和远程查看报告</w:t>
      </w:r>
      <w:r>
        <w:rPr>
          <w:rFonts w:hint="eastAsia" w:ascii="宋体" w:hAnsi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ind w:firstLine="140" w:firstLineChars="50"/>
        <w:jc w:val="left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</w:pPr>
      <w:r>
        <w:rPr>
          <w:rFonts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  <w:t>2</w:t>
      </w:r>
      <w:r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  <w:t>0</w:t>
      </w:r>
      <w:r>
        <w:rPr>
          <w:rFonts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  <w:t>、配置：主机一台、电源适配器一个、阀头一个、咬嘴一个、平板电脑一台（屏幕10.4寸，内存32G,插卡/Wifi，蓝牙，续航时间大于12小时）</w:t>
      </w:r>
      <w:r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ind w:firstLine="140" w:firstLineChars="50"/>
        <w:jc w:val="left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</w:pP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ind w:firstLine="140" w:firstLineChars="50"/>
        <w:jc w:val="left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</w:pP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ind w:firstLine="140" w:firstLineChars="50"/>
        <w:jc w:val="left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</w:pP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ind w:firstLine="140" w:firstLineChars="50"/>
        <w:jc w:val="left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</w:pP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ind w:firstLine="140" w:firstLineChars="50"/>
        <w:jc w:val="left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</w:pP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ind w:firstLine="140" w:firstLineChars="50"/>
        <w:jc w:val="left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</w:pP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ind w:firstLine="140" w:firstLineChars="50"/>
        <w:jc w:val="left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</w:pP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cs="黑体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cs="黑体"/>
          <w:b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cs="黑体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二、</w:t>
      </w:r>
      <w:r>
        <w:rPr>
          <w:rFonts w:hint="eastAsia" w:cs="黑体"/>
          <w:b/>
          <w:i w:val="0"/>
          <w:caps w:val="0"/>
          <w:color w:val="000000"/>
          <w:spacing w:val="0"/>
          <w:w w:val="100"/>
          <w:sz w:val="32"/>
          <w:szCs w:val="32"/>
        </w:rPr>
        <w:t>便携式肺功能检测仪</w:t>
      </w:r>
      <w:r>
        <w:rPr>
          <w:rFonts w:hint="eastAsia" w:cs="黑体"/>
          <w:b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cs="黑体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高端</w:t>
      </w:r>
      <w:r>
        <w:rPr>
          <w:rFonts w:hint="eastAsia" w:cs="黑体"/>
          <w:b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cs="黑体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技术</w:t>
      </w:r>
      <w:r>
        <w:rPr>
          <w:rFonts w:hint="eastAsia" w:cs="黑体"/>
          <w:b/>
          <w:i w:val="0"/>
          <w:caps w:val="0"/>
          <w:color w:val="000000"/>
          <w:spacing w:val="0"/>
          <w:w w:val="100"/>
          <w:sz w:val="32"/>
          <w:szCs w:val="32"/>
        </w:rPr>
        <w:t>参数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1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具备国家二类医疗注册资质，注册名称：便携式肺功能检测仪，可适用于医院及基层卫生机构肺通气功能测定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；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2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具备肺通气功能检测、流速容积V-V曲线、最大分钟通气量、慢通气检测、支气管舒张试验，呼吸肌力测定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3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屏幕类型：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≧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3.5寸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电容式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彩色液晶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触摸屏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4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传感器类型：压差式流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量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传感器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5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检测指标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需包含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：FVC、PEF、FEV1、FEV1/FVC、FEV3、FEV6、MEP、FIVC、PIF、MIP、MVV、MVV6、MV、BF、VT、ERV、IRV、IC等；小气道指标：FEF25\50\75\MMEF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6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可出具多份肺功能报告（肺通气功能，最大通气量、流速容积曲线），呼吸肌力测评报告，支气管舒张试验报告，自我评估问卷报告，康复训练数据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7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报告可显示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最大分钟通气、流速/容积环，压力/容积曲线，流速/容积曲线检测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8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多种预计值选择；含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标准预计值、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2017年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中国人4-80岁预计值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、Standard预计值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9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可设置环境参数、进行定标并校验，可实现1-3升定标桶定标选择及三速定标方法，定标报告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可查询打印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10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智能语音提醒测试过程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11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质控结果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A-F级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自动评定分析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12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检测结果结合内置GOLD指南自动分析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，辅助临床诊断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13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检测质控结果可打印在报告上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14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、无线便携设计，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可以连接平板电脑直接读取身份证信息，也可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蓝牙连接身份证读卡器，方便数据录入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15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云端存储，不限测试人数和数据存储数量，可以无线连接平板电脑，也可以PC端中进入医生帐户查询数据和报告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16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内置大容量锂电池，充满电可持续测试6-8小时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17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检测数据实时同步呼吸管理系统，医生可远程查看检测报告，管理病患数据，查看检测统计结果；</w:t>
      </w:r>
    </w:p>
    <w:p>
      <w:pPr>
        <w:widowControl/>
        <w:snapToGrid/>
        <w:spacing w:before="0" w:beforeAutospacing="0" w:after="0" w:afterAutospacing="0" w:line="500" w:lineRule="exact"/>
        <w:jc w:val="left"/>
        <w:textAlignment w:val="baseline"/>
        <w:rPr>
          <w:rFonts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val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val="zh-CN"/>
        </w:rPr>
        <w:t>18、</w:t>
      </w:r>
      <w:r>
        <w:rPr>
          <w:rFonts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val="zh-CN"/>
        </w:rPr>
        <w:t>具备肺康复训练功能，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val="zh-CN"/>
        </w:rPr>
        <w:t>双重训练模式，可调整</w:t>
      </w:r>
      <w:r>
        <w:rPr>
          <w:rFonts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val="zh-CN"/>
        </w:rPr>
        <w:t>训练阻抗，训练、检测结果可按照周/月/季形成历史趋势图表和相应简报，具备科研价值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val="zh-CN"/>
        </w:rPr>
        <w:t>；</w:t>
      </w:r>
    </w:p>
    <w:p>
      <w:pPr>
        <w:widowControl/>
        <w:snapToGrid/>
        <w:spacing w:before="0" w:beforeAutospacing="0" w:after="0" w:afterAutospacing="0" w:line="500" w:lineRule="exact"/>
        <w:jc w:val="left"/>
        <w:textAlignment w:val="baseline"/>
        <w:rPr>
          <w:rFonts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val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val="zh-CN"/>
        </w:rPr>
        <w:t>19、通过显示屏提供情景互动训练，可检测呼吸节奏和深度是否达到预定目标；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</w:pP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2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检测参数范围：呼气峰值流量：0~840LPM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用力呼气肺活量：0~8L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ind w:firstLine="140" w:firstLineChars="50"/>
        <w:jc w:val="left"/>
        <w:textAlignment w:val="baseline"/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</w:pP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吸气峰值流量：0~840LPM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用力吸气肺活量：0~8L</w:t>
      </w:r>
      <w:r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、</w:t>
      </w:r>
      <w:r>
        <w:rPr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肺活量：0~8L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</w:pPr>
      <w:r>
        <w:rPr>
          <w:rFonts w:hint="default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/>
        </w:rPr>
        <w:t>2</w:t>
      </w:r>
      <w:r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  <w:t>1、符合标准的3升定标桶一个；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</w:pPr>
      <w:r>
        <w:rPr>
          <w:rFonts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  <w:t>2</w:t>
      </w:r>
      <w:r>
        <w:rPr>
          <w:rFonts w:hint="eastAsia" w:ascii="宋体" w:hAnsi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  <w:t>2</w:t>
      </w:r>
      <w:r>
        <w:rPr>
          <w:rFonts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  <w:t>、医生端具有分级诊疗功能，可以与上下级医疗机构进行上下级转诊和远程查看报告</w:t>
      </w:r>
      <w:r>
        <w:rPr>
          <w:rFonts w:hint="eastAsia" w:ascii="宋体" w:hAnsi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</w:pPr>
      <w:r>
        <w:rPr>
          <w:rFonts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  <w:t>2</w:t>
      </w:r>
      <w:r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  <w:t>3</w:t>
      </w:r>
      <w:r>
        <w:rPr>
          <w:rFonts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  <w:t>、配置：主机一台、电源适配器一个、阀头一个、咬嘴一个、平板电脑一台（屏幕10.4寸，内存32G,插卡/Wifi，蓝牙，续航时间大于12小时）</w:t>
      </w:r>
      <w:r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  <w:t>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</w:pP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napToGrid/>
        <w:spacing w:before="0" w:beforeAutospacing="0" w:after="0" w:afterAutospacing="0" w:line="300" w:lineRule="auto"/>
        <w:jc w:val="left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u w:color="000000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三、医用超声雾化器技术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eastAsia="zh-CN" w:bidi="ar"/>
        </w:rPr>
        <w:t>参数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1、专业用途：用于干眼雾化治疗</w:t>
      </w:r>
    </w:p>
    <w:p>
      <w:pP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 w:val="0"/>
          <w:bCs w:val="0"/>
          <w:sz w:val="28"/>
          <w:szCs w:val="28"/>
          <w:lang w:eastAsia="zh-CN" w:bidi="ar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搭载冷热雾化双模式；具有中药雾化功能，无需辅助其他方式</w:t>
      </w:r>
    </w:p>
    <w:p>
      <w:pP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3、参数记忆模式，初始参数设置好之后，后续操作一键启动即工作。可实时个性化设置调整治疗参数</w:t>
      </w:r>
    </w:p>
    <w:p>
      <w:pP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4、雾化率：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≧160ml/h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；大功率雾化技术，出雾稳定雾量大，治疗感受更佳</w:t>
      </w:r>
    </w:p>
    <w:p>
      <w:pP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5、加热温度：85°C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±10%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，进步10°C，操作设置有语音提示；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加热锅装水量：800ml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6、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过滤网直径：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≤75um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，防止药渣进入机器内部，避免药渣堵塞引起的机器故障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7、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Hans" w:bidi="ar"/>
        </w:rPr>
        <w:t>设备具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可清洗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Hans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Hans" w:bidi="ar"/>
        </w:rPr>
        <w:t>清洁维护简单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Hans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Hans" w:bidi="ar"/>
        </w:rPr>
        <w:t>无需移动设备</w:t>
      </w:r>
    </w:p>
    <w:p>
      <w:pP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8、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正常工作时整机噪声：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≤50dB（A计权）</w:t>
      </w:r>
    </w:p>
    <w:p>
      <w:pP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9、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治疗时间：5-60分钟，可调，进步5分钟，操作设置有语音提示；一键暂停功能，治疗过程中可一键暂停，恢复治疗点击雾化即可继续工作</w:t>
      </w:r>
    </w:p>
    <w:p>
      <w:pP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0、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低水位提示装置：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当雾化器水槽内无水时，机器可自动停机</w:t>
      </w:r>
    </w:p>
    <w:p>
      <w:pP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、连续工作时间：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在常温下采用交流电源供电时，可连续工作4小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  <w:t>时</w:t>
      </w:r>
    </w:p>
    <w:p>
      <w:pPr>
        <w:pStyle w:val="2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eastAsia="zh-CN" w:bidi="ar"/>
        </w:rPr>
      </w:pPr>
    </w:p>
    <w:p>
      <w:pPr>
        <w:widowControl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四、</w:t>
      </w:r>
      <w:r>
        <w:rPr>
          <w:rFonts w:hint="eastAsia"/>
          <w:b/>
          <w:bCs/>
          <w:sz w:val="32"/>
          <w:szCs w:val="32"/>
        </w:rPr>
        <w:t>溶栓称重床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技术参数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1、背部升降：升降角度0～75º，±5º；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2、腿部升降：升降角度0～35º，±5º；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3、整体升降：整体升降高度为240mm。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4、整体前倾：12±2º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5、整体后倾：12±2º</w:t>
      </w:r>
    </w:p>
    <w:p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床面：采用优质冷轧钢板由模具成型，整体冲孔床面，四角均无焊接缝，钢板厚度≥1.0mm，表面采取静电喷塑处理，采用模压床板工艺，一次模压成型工艺，钢板内填加强筋增加强度，</w:t>
      </w:r>
      <w:r>
        <w:rPr>
          <w:rFonts w:hint="eastAsia"/>
          <w:sz w:val="28"/>
          <w:szCs w:val="28"/>
        </w:rPr>
        <w:t>有透气孔；床板四周内焊接加强筋，增加承载力。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、病床靠背与腿板升降连接采用2.5壁厚管材，将病员的重量均匀地分部在床梁上。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、床板链接采用钢质铰链，模具冲压成型，单片厚度4mm。耐磨，运作无噪音，防折断。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、床框采用40mm×60mm×2.0mm优质碳钢矩管；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、床体四角有输液架插孔，根据需要任意选择输液位置。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1、高强度工程塑料注塑成型，表面光洁，便于清洁；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2、采用挂结构，强度高，稳定性强，拆卸方便；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3、非中空设计，前后塑料局部融合，强度高。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4、床头有控制键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 xml:space="preserve">、床脚采用30×50×2.0mm钢制框架； </w:t>
      </w:r>
    </w:p>
    <w:p>
      <w:pPr>
        <w:autoSpaceDE w:val="0"/>
        <w:autoSpaceDN w:val="0"/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直径≥5 英寸施可瑞中控脚轮四个，床尾中控刹车功能，防静电、静音效果好、制动能力强，转动应灵活、可靠，脚轮与床架装配牢固，制动后病床不会有相对滑动，方便推行及控制，脚轮主架和轮芯采用强承载能力的PA6材质,具有耐油、耐磨、耐药和耐化学品特性，保证脚轮的使用寿命，轮面材质采用耐磨 TPR，具有耐油、耐水、耐药性和耐霉菌的特性，同时还具有良好的减震降噪的作用，脚轮内部配备精密轴承，降低噪音，并提高脚轮整体的顺畅度。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、单个电机推力可以达到6000N，电机电源参数24V，MAX5.2AMP，电动实现背部升降，腿部升降，整体升降。整体升降高度：250MM（床面离地面最低480MM，离地面最高730MM），背部升降范围: 75º±5° ，脚部升降范围：35º±5°，床面前、后倾最大角度：前倾12±2º后倾12±2º。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18、</w:t>
      </w:r>
      <w:r>
        <w:rPr>
          <w:rFonts w:hint="eastAsia"/>
          <w:sz w:val="28"/>
          <w:szCs w:val="28"/>
        </w:rPr>
        <w:t>控制系统：通过手控板操作完成医疗床各种功能，有背部升降，腿部曲伸，整体升降，前倾、后倾功能的按键。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19、</w:t>
      </w:r>
      <w:r>
        <w:rPr>
          <w:rFonts w:hint="eastAsia" w:ascii="宋体" w:hAnsi="宋体" w:cs="宋体"/>
          <w:sz w:val="28"/>
          <w:szCs w:val="28"/>
        </w:rPr>
        <w:t>称重系统：床尾板有称重的系统的显示器，准确显示床上载有物体和病人的重量。</w:t>
      </w: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呼吸睡眠检测仪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技术参数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设备具有≥9导联监测参数：鼻气流、鼾声、血氧饱和度、脉搏、脉搏波形、体位、体动、胸/腹运动、CPAP压力滴定。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配备SD卡存储空间≥16G，可连续记录≥80个以上病例数据。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内置容量≥4000mAh可充电锂电池供电，环保便捷。充满电后可持续记录时间≥40小时。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配备≥2.8寸TFT彩色显示屏直观显示鼻气流、鼾声、血氧饱和度、脉搏、脉搏波、体位、体动、胸/腹运动、CPAP压力滴定、日期时间、电量等参数的数据信号接收情况及数据动态，方便医护人员及用户随时观察设备运行情况，确定设备佩戴是否正确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内置3D陀螺仪，用于监测胸/腹运动、体位、体动这几项参数，该技术与传统的外接胸腹带技术相比具有灵敏度高，抗干扰能力强，随时记录各种微小动作等特点，并节省了昂贵的外接胸腹带作为耗材的使用。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主机轻巧重量（含电池）≤190g，一键操作，设备佩戴简单方便。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可连接到任意CPAP（无创正压呼吸机）产品滴定患者所需治疗压力。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具备自动分析软件，可提供详细的、不同格式的多种总结报告单，如睡眠监测报告报告单、呼吸事件汇总表、血氧汇总表、综合趋势图、压力滴定报表。</w:t>
      </w:r>
    </w:p>
    <w:p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宋体" w:hAnsi="宋体"/>
          <w:b/>
          <w:bCs/>
          <w:sz w:val="32"/>
          <w:szCs w:val="32"/>
        </w:rPr>
        <w:t>、眼震视图仪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技术参数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一、检测功能：</w:t>
      </w:r>
    </w:p>
    <w:p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>1、双温冷热试验</w:t>
      </w:r>
    </w:p>
    <w:p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2、自发性眼震试验</w:t>
      </w:r>
    </w:p>
    <w:p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3、位置性眼震试验</w:t>
      </w:r>
    </w:p>
    <w:p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4、变位性眼震试验</w:t>
      </w:r>
    </w:p>
    <w:p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5、凝视试验</w:t>
      </w:r>
    </w:p>
    <w:p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6、平稳跟随试验</w:t>
      </w:r>
    </w:p>
    <w:p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7、扫视试验</w:t>
      </w:r>
    </w:p>
    <w:p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8、视动性眼震试验</w:t>
      </w:r>
    </w:p>
    <w:p>
      <w:pPr>
        <w:spacing w:line="276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</w:t>
      </w:r>
      <w:r>
        <w:rPr>
          <w:rFonts w:hint="eastAsia" w:ascii="宋体" w:hAnsi="宋体"/>
          <w:sz w:val="28"/>
          <w:szCs w:val="28"/>
          <w:lang w:val="en-US" w:eastAsia="zh-CN"/>
        </w:rPr>
        <w:t>功能</w:t>
      </w:r>
      <w:r>
        <w:rPr>
          <w:rFonts w:hint="eastAsia" w:ascii="宋体" w:hAnsi="宋体"/>
          <w:sz w:val="28"/>
          <w:szCs w:val="28"/>
        </w:rPr>
        <w:t>参数：</w:t>
      </w:r>
    </w:p>
    <w:p>
      <w:pPr>
        <w:spacing w:line="276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1、数据传输： USB传输或1</w:t>
      </w:r>
      <w:r>
        <w:rPr>
          <w:rFonts w:ascii="宋体" w:hAnsi="宋体"/>
          <w:sz w:val="28"/>
          <w:szCs w:val="28"/>
        </w:rPr>
        <w:t>394</w:t>
      </w:r>
      <w:r>
        <w:rPr>
          <w:rFonts w:hint="eastAsia" w:ascii="宋体" w:hAnsi="宋体"/>
          <w:sz w:val="28"/>
          <w:szCs w:val="28"/>
        </w:rPr>
        <w:t>火线传输</w:t>
      </w:r>
    </w:p>
    <w:p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2、通道：4通道</w:t>
      </w:r>
    </w:p>
    <w:p>
      <w:pPr>
        <w:spacing w:line="276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3、采集方式：双摄像头实时采集双眼运动</w:t>
      </w:r>
    </w:p>
    <w:p>
      <w:pPr>
        <w:spacing w:line="276" w:lineRule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、采样率：双眼测试≥10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帧/秒，单眼测试≥17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帧/秒</w:t>
      </w:r>
    </w:p>
    <w:p>
      <w:pPr>
        <w:spacing w:line="276" w:lineRule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、分辨率：≥6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0 x 4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0 像素</w:t>
      </w:r>
    </w:p>
    <w:p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、眼球追踪范围：± 30º</w:t>
      </w:r>
    </w:p>
    <w:p>
      <w:pPr>
        <w:spacing w:line="276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7、眼球捕捉：可自动或手动选择捕捉方式</w:t>
      </w:r>
    </w:p>
    <w:p>
      <w:pPr>
        <w:spacing w:line="276" w:lineRule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、追踪精确度：0.1º</w:t>
      </w:r>
    </w:p>
    <w:p>
      <w:pPr>
        <w:spacing w:line="276" w:lineRule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9</w:t>
      </w:r>
      <w:r>
        <w:rPr>
          <w:rFonts w:hint="eastAsia" w:ascii="宋体" w:hAnsi="宋体"/>
          <w:sz w:val="28"/>
          <w:szCs w:val="28"/>
        </w:rPr>
        <w:t>、眼罩:</w:t>
      </w:r>
      <w:r>
        <w:rPr>
          <w:rFonts w:ascii="宋体" w:hAnsi="宋体"/>
          <w:sz w:val="28"/>
          <w:szCs w:val="28"/>
        </w:rPr>
        <w:t>带有封闭式护目镜及固视测试灯，无需额外暗室条件可同时采集双眼信号</w:t>
      </w:r>
    </w:p>
    <w:p>
      <w:pPr>
        <w:spacing w:line="276" w:lineRule="auto"/>
        <w:ind w:left="1680" w:hanging="1680" w:hangingChars="6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、眼罩重量：单摄像头时，≤3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 xml:space="preserve">0g (含遮光板) </w:t>
      </w:r>
    </w:p>
    <w:p>
      <w:pPr>
        <w:spacing w:line="276" w:lineRule="auto"/>
        <w:ind w:left="1260" w:leftChars="600"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双摄像头时，≤ </w:t>
      </w:r>
      <w:r>
        <w:rPr>
          <w:rFonts w:ascii="宋体" w:hAnsi="宋体"/>
          <w:sz w:val="28"/>
          <w:szCs w:val="28"/>
        </w:rPr>
        <w:t>400</w:t>
      </w:r>
      <w:r>
        <w:rPr>
          <w:rFonts w:hint="eastAsia" w:ascii="宋体" w:hAnsi="宋体"/>
          <w:sz w:val="28"/>
          <w:szCs w:val="28"/>
        </w:rPr>
        <w:t xml:space="preserve">g (含遮光板)  </w:t>
      </w:r>
    </w:p>
    <w:p>
      <w:pPr>
        <w:spacing w:line="276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、视靶: 全视角投影或显示器,无视觉盲区</w:t>
      </w:r>
    </w:p>
    <w:p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、固定气流: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升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 w:ascii="宋体" w:hAnsi="宋体"/>
          <w:sz w:val="28"/>
          <w:szCs w:val="28"/>
        </w:rPr>
        <w:t>分钟</w:t>
      </w:r>
    </w:p>
    <w:p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、气流准确度:±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升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 w:ascii="宋体" w:hAnsi="宋体"/>
          <w:sz w:val="28"/>
          <w:szCs w:val="28"/>
        </w:rPr>
        <w:t>分钟</w:t>
      </w:r>
    </w:p>
    <w:p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、气流温度范围:24℃</w:t>
      </w:r>
      <w:r>
        <w:rPr>
          <w:rFonts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</w:rPr>
        <w:t>50℃（容限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℃</w:t>
      </w:r>
      <w:r>
        <w:rPr>
          <w:rFonts w:ascii="宋体" w:hAnsi="宋体"/>
          <w:sz w:val="28"/>
          <w:szCs w:val="28"/>
        </w:rPr>
        <w:t>-50</w:t>
      </w:r>
      <w:r>
        <w:rPr>
          <w:rFonts w:hint="eastAsia" w:ascii="宋体" w:hAnsi="宋体"/>
          <w:sz w:val="28"/>
          <w:szCs w:val="28"/>
        </w:rPr>
        <w:t>℃）步进</w:t>
      </w:r>
      <w:r>
        <w:rPr>
          <w:rFonts w:ascii="宋体" w:hAnsi="宋体"/>
          <w:sz w:val="28"/>
          <w:szCs w:val="28"/>
        </w:rPr>
        <w:t>0.2</w:t>
      </w:r>
      <w:r>
        <w:rPr>
          <w:rFonts w:hint="eastAsia" w:ascii="宋体" w:hAnsi="宋体"/>
          <w:sz w:val="28"/>
          <w:szCs w:val="28"/>
        </w:rPr>
        <w:t>℃</w:t>
      </w:r>
    </w:p>
    <w:p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、温度准确度:</w:t>
      </w:r>
      <w:r>
        <w:rPr>
          <w:rFonts w:ascii="宋体" w:hAnsi="宋体"/>
          <w:sz w:val="28"/>
          <w:szCs w:val="28"/>
        </w:rPr>
        <w:t>&lt;</w:t>
      </w:r>
      <w:r>
        <w:rPr>
          <w:rFonts w:hint="eastAsia" w:ascii="宋体" w:hAnsi="宋体"/>
          <w:sz w:val="28"/>
          <w:szCs w:val="28"/>
        </w:rPr>
        <w:t>±</w:t>
      </w:r>
      <w:r>
        <w:rPr>
          <w:rFonts w:ascii="宋体" w:hAnsi="宋体"/>
          <w:sz w:val="28"/>
          <w:szCs w:val="28"/>
        </w:rPr>
        <w:t>0.5</w:t>
      </w:r>
      <w:r>
        <w:rPr>
          <w:rFonts w:hint="eastAsia" w:ascii="宋体" w:hAnsi="宋体"/>
          <w:sz w:val="28"/>
          <w:szCs w:val="28"/>
        </w:rPr>
        <w:t>℃</w:t>
      </w:r>
    </w:p>
    <w:p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、温度稳定时间</w:t>
      </w:r>
      <w:r>
        <w:rPr>
          <w:rFonts w:ascii="宋体" w:hAnsi="宋体"/>
          <w:sz w:val="28"/>
          <w:szCs w:val="28"/>
        </w:rPr>
        <w:t>&lt;90</w:t>
      </w:r>
      <w:r>
        <w:rPr>
          <w:rFonts w:hint="eastAsia" w:ascii="宋体" w:hAnsi="宋体"/>
          <w:sz w:val="28"/>
          <w:szCs w:val="28"/>
        </w:rPr>
        <w:t>秒</w:t>
      </w:r>
    </w:p>
    <w:p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、冷热器和电脑联接,电脑可直接控制温度</w:t>
      </w:r>
    </w:p>
    <w:p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、可通过脚踏开关或遥控进行操控</w:t>
      </w:r>
    </w:p>
    <w:p>
      <w:pPr>
        <w:spacing w:line="276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9</w:t>
      </w:r>
      <w:r>
        <w:rPr>
          <w:rFonts w:hint="eastAsia" w:ascii="宋体" w:hAnsi="宋体"/>
          <w:sz w:val="28"/>
          <w:szCs w:val="28"/>
        </w:rPr>
        <w:t>、各测试项目内置各年龄段正常值，可自动计算数值并对异常数值进行标记。</w:t>
      </w:r>
    </w:p>
    <w:p>
      <w:pPr>
        <w:spacing w:line="276" w:lineRule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 w:cs="FrutigerLT-Light"/>
          <w:sz w:val="28"/>
          <w:szCs w:val="28"/>
        </w:rPr>
        <w:t>数据库：无限存储空间、患者统计学资料，患者日志轻松备份，</w:t>
      </w:r>
      <w:r>
        <w:rPr>
          <w:rFonts w:hint="eastAsia" w:ascii="宋体" w:hAnsi="宋体"/>
          <w:sz w:val="28"/>
          <w:szCs w:val="28"/>
        </w:rPr>
        <w:t>可将同一患者的听力、眩晕等各项测试结果进行整合，进行患者数据管理，打印综合报告，也可用于复诊患者康复效果比较以及数据分析三、电脑硬件系统要求</w:t>
      </w:r>
    </w:p>
    <w:p>
      <w:pPr>
        <w:ind w:left="2864" w:leftChars="128" w:hanging="2595" w:hangingChars="927"/>
        <w:rPr>
          <w:rFonts w:hint="eastAsia" w:ascii="宋体" w:hAnsi="宋体" w:cs="FrutigerLT-Light"/>
          <w:sz w:val="28"/>
          <w:szCs w:val="28"/>
        </w:rPr>
      </w:pPr>
      <w:r>
        <w:rPr>
          <w:rFonts w:hint="eastAsia" w:ascii="宋体" w:hAnsi="宋体" w:cs="FrutigerLT-Light"/>
          <w:sz w:val="28"/>
          <w:szCs w:val="28"/>
        </w:rPr>
        <w:t>1、标准：（1）IEC 60601-1（一般安全）I类，BF型</w:t>
      </w:r>
    </w:p>
    <w:p>
      <w:pPr>
        <w:ind w:left="2809" w:leftChars="702" w:hanging="1335" w:hangingChars="477"/>
        <w:rPr>
          <w:rFonts w:hint="eastAsia" w:ascii="宋体" w:hAnsi="宋体" w:cs="FrutigerLT-Light"/>
          <w:sz w:val="28"/>
          <w:szCs w:val="28"/>
        </w:rPr>
      </w:pPr>
      <w:r>
        <w:rPr>
          <w:rFonts w:hint="eastAsia" w:ascii="宋体" w:hAnsi="宋体" w:cs="FrutigerLT-Light"/>
          <w:sz w:val="28"/>
          <w:szCs w:val="28"/>
        </w:rPr>
        <w:t>（2）IEC 60601-1-1（系统安全）I类，BF型</w:t>
      </w:r>
    </w:p>
    <w:p>
      <w:pPr>
        <w:ind w:left="2809" w:leftChars="702" w:hanging="1335" w:hangingChars="477"/>
        <w:rPr>
          <w:rFonts w:ascii="宋体" w:hAnsi="宋体" w:cs="FrutigerLT-Light"/>
          <w:sz w:val="28"/>
          <w:szCs w:val="28"/>
        </w:rPr>
      </w:pPr>
      <w:r>
        <w:rPr>
          <w:rFonts w:hint="eastAsia" w:ascii="宋体" w:hAnsi="宋体" w:cs="FrutigerLT-Light"/>
          <w:sz w:val="28"/>
          <w:szCs w:val="28"/>
        </w:rPr>
        <w:t xml:space="preserve">（3）IEC 60601-1-2（电磁兼容） </w:t>
      </w:r>
    </w:p>
    <w:p>
      <w:pPr>
        <w:ind w:left="2864" w:leftChars="128" w:hanging="2595" w:hangingChars="927"/>
        <w:rPr>
          <w:rFonts w:hint="eastAsia" w:ascii="宋体" w:hAnsi="宋体" w:cs="FrutigerLT-Light"/>
          <w:sz w:val="28"/>
          <w:szCs w:val="28"/>
        </w:rPr>
      </w:pPr>
      <w:r>
        <w:rPr>
          <w:rFonts w:hint="eastAsia" w:ascii="宋体" w:hAnsi="宋体" w:cs="FrutigerLT-Light"/>
          <w:sz w:val="28"/>
          <w:szCs w:val="28"/>
        </w:rPr>
        <w:t>2、计算机配置：（1）操作系统：Windows7 或Windows</w:t>
      </w:r>
      <w:r>
        <w:rPr>
          <w:rFonts w:ascii="宋体" w:hAnsi="宋体" w:cs="FrutigerLT-Light"/>
          <w:sz w:val="28"/>
          <w:szCs w:val="28"/>
        </w:rPr>
        <w:t>10</w:t>
      </w:r>
    </w:p>
    <w:p>
      <w:pPr>
        <w:ind w:left="2771" w:leftChars="1084" w:hanging="495" w:hangingChars="177"/>
        <w:rPr>
          <w:rFonts w:hint="eastAsia" w:ascii="宋体" w:hAnsi="宋体" w:cs="FrutigerLT-Light"/>
          <w:sz w:val="28"/>
          <w:szCs w:val="28"/>
        </w:rPr>
      </w:pPr>
      <w:r>
        <w:rPr>
          <w:rFonts w:hint="eastAsia" w:ascii="宋体" w:hAnsi="宋体" w:cs="FrutigerLT-Light"/>
          <w:sz w:val="28"/>
          <w:szCs w:val="28"/>
        </w:rPr>
        <w:t xml:space="preserve">（2）处理器： Intel G3900 </w:t>
      </w:r>
      <w:r>
        <w:rPr>
          <w:rFonts w:ascii="宋体" w:hAnsi="宋体" w:cs="FrutigerLT-Light"/>
          <w:sz w:val="28"/>
          <w:szCs w:val="28"/>
        </w:rPr>
        <w:t xml:space="preserve"> </w:t>
      </w:r>
      <w:r>
        <w:rPr>
          <w:rFonts w:hint="eastAsia" w:ascii="宋体" w:hAnsi="宋体" w:cs="FrutigerLT-Light"/>
          <w:sz w:val="28"/>
          <w:szCs w:val="28"/>
        </w:rPr>
        <w:t>及以上</w:t>
      </w:r>
    </w:p>
    <w:p>
      <w:pPr>
        <w:ind w:left="2771" w:leftChars="1084" w:hanging="495" w:hangingChars="177"/>
        <w:rPr>
          <w:rFonts w:hint="eastAsia" w:ascii="宋体" w:hAnsi="宋体" w:cs="FrutigerLT-Light"/>
          <w:sz w:val="28"/>
          <w:szCs w:val="28"/>
        </w:rPr>
      </w:pPr>
      <w:r>
        <w:rPr>
          <w:rFonts w:hint="eastAsia" w:ascii="宋体" w:hAnsi="宋体" w:cs="FrutigerLT-Light"/>
          <w:sz w:val="28"/>
          <w:szCs w:val="28"/>
        </w:rPr>
        <w:t>（3）RAM：</w:t>
      </w:r>
      <w:r>
        <w:rPr>
          <w:rFonts w:ascii="宋体" w:hAnsi="宋体" w:cs="FrutigerLT-Light"/>
          <w:sz w:val="28"/>
          <w:szCs w:val="28"/>
        </w:rPr>
        <w:t xml:space="preserve"> </w:t>
      </w:r>
      <w:r>
        <w:rPr>
          <w:rFonts w:hint="eastAsia" w:ascii="宋体" w:hAnsi="宋体" w:cs="FrutigerLT-Light"/>
          <w:sz w:val="28"/>
          <w:szCs w:val="28"/>
        </w:rPr>
        <w:t>4GB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rutigerLT-Light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EFEF6"/>
    <w:multiLevelType w:val="singleLevel"/>
    <w:tmpl w:val="223EFEF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5D80"/>
    <w:rsid w:val="0BDF4924"/>
    <w:rsid w:val="49617490"/>
    <w:rsid w:val="512801ED"/>
    <w:rsid w:val="6E810B01"/>
    <w:rsid w:val="7446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200" w:firstLineChars="200"/>
    </w:pPr>
    <w:rPr>
      <w:rFonts w:ascii="仿宋_GB2312" w:hAnsi="Times New Roman" w:eastAsia="仿宋_GB2312"/>
      <w:sz w:val="30"/>
      <w:szCs w:val="30"/>
    </w:rPr>
  </w:style>
  <w:style w:type="paragraph" w:styleId="3">
    <w:name w:val="Body Text"/>
    <w:basedOn w:val="1"/>
    <w:qFormat/>
    <w:uiPriority w:val="99"/>
    <w:rPr>
      <w:rFonts w:ascii="楷体_GB2312" w:hAnsi="Arial" w:eastAsia="楷体_GB2312"/>
      <w:sz w:val="28"/>
      <w:szCs w:val="28"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7">
    <w:name w:val="font11"/>
    <w:basedOn w:val="5"/>
    <w:qFormat/>
    <w:uiPriority w:val="0"/>
    <w:rPr>
      <w:rFonts w:hint="default" w:ascii="微软雅黑" w:hAnsi="微软雅黑" w:eastAsia="微软雅黑" w:cs="微软雅黑"/>
      <w:color w:val="1F1A17"/>
      <w:sz w:val="24"/>
      <w:szCs w:val="24"/>
      <w:u w:val="none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2021-06-29T11:03:00Z</dcterms:created>
  <dc:creator>lenovo</dc:creator>
  <cp:lastModifiedBy>秋意浓</cp:lastModifiedBy>
  <dcterms:modified xsi:type="dcterms:W3CDTF">2021-07-01T15:06:52Z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501F7693711445DBABFB7B2EA00A14DE</vt:lpwstr>
  </property>
</Properties>
</file>