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Noto Sans Mono CJK JP Regular" w:hAnsi="Noto Sans Mono CJK JP Regular" w:cs="Noto Sans Mono CJK JP Regular" w:eastAsiaTheme="minorEastAsia"/>
          <w:b/>
          <w:color w:val="000000" w:themeColor="text1"/>
          <w:kern w:val="0"/>
          <w:sz w:val="44"/>
          <w:szCs w:val="44"/>
          <w:lang w:val="en-US" w:eastAsia="zh-CN" w:bidi="zh-CN"/>
          <w14:textFill>
            <w14:solidFill>
              <w14:schemeClr w14:val="tx1"/>
            </w14:solidFill>
          </w14:textFill>
        </w:rPr>
      </w:pPr>
    </w:p>
    <w:p>
      <w:pPr>
        <w:autoSpaceDE w:val="0"/>
        <w:autoSpaceDN w:val="0"/>
        <w:jc w:val="center"/>
        <w:rPr>
          <w:rFonts w:hint="eastAsia" w:ascii="Noto Sans Mono CJK JP Regular" w:hAnsi="Noto Sans Mono CJK JP Regular" w:cs="Noto Sans Mono CJK JP Regular" w:eastAsiaTheme="minorEastAsia"/>
          <w:b/>
          <w:color w:val="000000" w:themeColor="text1"/>
          <w:kern w:val="0"/>
          <w:sz w:val="44"/>
          <w:szCs w:val="44"/>
          <w:lang w:val="en-US" w:eastAsia="zh-CN" w:bidi="zh-CN"/>
          <w14:textFill>
            <w14:solidFill>
              <w14:schemeClr w14:val="tx1"/>
            </w14:solidFill>
          </w14:textFill>
        </w:rPr>
      </w:pPr>
      <w:r>
        <w:rPr>
          <w:rFonts w:hint="eastAsia" w:ascii="Noto Sans Mono CJK JP Regular" w:hAnsi="Noto Sans Mono CJK JP Regular" w:cs="Noto Sans Mono CJK JP Regular" w:eastAsiaTheme="minorEastAsia"/>
          <w:b/>
          <w:color w:val="000000" w:themeColor="text1"/>
          <w:kern w:val="0"/>
          <w:sz w:val="44"/>
          <w:szCs w:val="44"/>
          <w:lang w:val="en-US" w:eastAsia="zh-CN" w:bidi="zh-CN"/>
          <w14:textFill>
            <w14:solidFill>
              <w14:schemeClr w14:val="tx1"/>
            </w14:solidFill>
          </w14:textFill>
        </w:rPr>
        <w:t>莎车县教育局中小学图书采购需求书</w:t>
      </w:r>
    </w:p>
    <w:p>
      <w:pPr>
        <w:pStyle w:val="2"/>
        <w:rPr>
          <w:rFonts w:hint="default"/>
          <w:lang w:val="en-US" w:eastAsia="zh-CN"/>
        </w:rPr>
      </w:pPr>
    </w:p>
    <w:p>
      <w:pPr>
        <w:keepNext w:val="0"/>
        <w:keepLines w:val="0"/>
        <w:widowControl/>
        <w:suppressLineNumbers w:val="0"/>
        <w:ind w:firstLine="622" w:firstLineChars="200"/>
        <w:jc w:val="both"/>
        <w:rPr>
          <w:rFonts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一、采购标的需实现的功能或者目标，以及为落实政府采购政策需满足的要求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（一）采购标的需实现的功能或者目标</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初中以及小学第一大类、第二大类、第三大类、第四大类、第五大类图书共计200000本。</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（二）为落实政府采购政策需满足的要求</w:t>
      </w:r>
    </w:p>
    <w:p>
      <w:pPr>
        <w:pStyle w:val="4"/>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（1）《关于中国环境标志产品政府采购实施的意见》（财库[2006]90号）； </w:t>
      </w:r>
    </w:p>
    <w:p>
      <w:pPr>
        <w:pStyle w:val="4"/>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（2）《关于开展政府采购信用担保试点工作的通知》（财库【2011】124号）；</w:t>
      </w:r>
    </w:p>
    <w:p>
      <w:pPr>
        <w:pStyle w:val="4"/>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（3）《关于印发《政府采购促进中小企业发展暂行办法》的通知》（财库【2011】181号）；</w:t>
      </w:r>
    </w:p>
    <w:p>
      <w:pPr>
        <w:pStyle w:val="4"/>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（4）《财政部、司法部关于政府采购支持监狱企业发展有关问题的通知》（财库【2014】68号）；</w:t>
      </w:r>
    </w:p>
    <w:p>
      <w:pPr>
        <w:pStyle w:val="4"/>
        <w:rPr>
          <w:rFonts w:hint="eastAsia" w:ascii="宋体" w:hAnsi="宋体" w:eastAsia="宋体" w:cs="Calibri"/>
          <w:spacing w:val="15"/>
          <w:kern w:val="10"/>
          <w:sz w:val="24"/>
          <w:szCs w:val="24"/>
          <w:lang w:val="en-US" w:eastAsia="zh-CN" w:bidi="ar-SA"/>
        </w:rPr>
      </w:pPr>
      <w:r>
        <w:rPr>
          <w:rFonts w:hint="eastAsia" w:ascii="仿宋_GB2312" w:hAnsi="仿宋_GB2312" w:eastAsia="仿宋_GB2312" w:cs="仿宋_GB2312"/>
          <w:b w:val="0"/>
          <w:bCs w:val="0"/>
          <w:color w:val="000000"/>
          <w:kern w:val="0"/>
          <w:sz w:val="31"/>
          <w:szCs w:val="31"/>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二、供应商资格</w:t>
      </w:r>
    </w:p>
    <w:p>
      <w:pPr>
        <w:pStyle w:val="4"/>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单位，裁判文书网查询在合同纠纷裁决中不得参加本项目招标，国家企业公示信息系统（提供相关查询记录和查询结果并加盖公章）；</w:t>
      </w:r>
    </w:p>
    <w:p>
      <w:pPr>
        <w:pStyle w:val="4"/>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2、具有所投项目相关经营范围的三证合一企业法人营业执照正本或副本原件（要求营业执照里面的经营范围必须包含本项目的经营许可）；</w:t>
      </w:r>
    </w:p>
    <w:p>
      <w:pPr>
        <w:pStyle w:val="4"/>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3、投标单位须提供有效的《出版物经营许可证》或《出版物发行许可证》；</w:t>
      </w:r>
    </w:p>
    <w:p>
      <w:pPr>
        <w:pStyle w:val="4"/>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投标法人授权委托书及被授权委托人身份证原件,被授权委托人必须是投标单位正式员工在本单位缴纳的4月至7月的社保证明原件（单位社保缴费凭证和个人明细表）原件；法定代表人需提供本单位社保缴费凭证原件；</w:t>
      </w:r>
    </w:p>
    <w:p>
      <w:pPr>
        <w:pStyle w:val="4"/>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5、提供税务部门出具的4月至7月的完税证明原件；</w:t>
      </w:r>
    </w:p>
    <w:p>
      <w:pPr>
        <w:pStyle w:val="4"/>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6、提供2020年的财务审计报告（新成立公司需提供银行资信证明）；</w:t>
      </w:r>
    </w:p>
    <w:p>
      <w:pPr>
        <w:pStyle w:val="4"/>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7、提供针对本次项目的反商业贿赂承诺书。</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三、采购标的需执行的国家相关标准、行业标准、地方标准或者其他标准、规范</w:t>
      </w:r>
    </w:p>
    <w:p>
      <w:pPr>
        <w:pStyle w:val="2"/>
        <w:rPr>
          <w:lang w:val="en-US" w:eastAsia="zh-CN"/>
        </w:rPr>
      </w:pPr>
      <w:r>
        <w:rPr>
          <w:rFonts w:hint="eastAsia" w:ascii="仿宋_GB2312" w:hAnsi="仿宋_GB2312" w:eastAsia="仿宋_GB2312" w:cs="仿宋_GB2312"/>
          <w:b w:val="0"/>
          <w:bCs w:val="0"/>
          <w:color w:val="000000"/>
          <w:spacing w:val="0"/>
          <w:kern w:val="0"/>
          <w:sz w:val="31"/>
          <w:szCs w:val="31"/>
          <w:lang w:val="en-US" w:eastAsia="zh-CN" w:bidi="ar"/>
        </w:rPr>
        <w:t>供应商供应图书应符合图书印刷质量及装订执行标准，要求提供国家认可的第三方检测机构出具的20本样书中任意4份质检报告，以确保货物功能的完整性、真实性和有效性，以满足采购人的实际需求，符合政府采购法规要求。</w:t>
      </w:r>
    </w:p>
    <w:p>
      <w:pPr>
        <w:keepNext w:val="0"/>
        <w:keepLines w:val="0"/>
        <w:widowControl/>
        <w:suppressLineNumbers w:val="0"/>
        <w:ind w:firstLine="622"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四、</w:t>
      </w:r>
      <w:r>
        <w:rPr>
          <w:rFonts w:ascii="仿宋_GB2312" w:hAnsi="仿宋_GB2312" w:eastAsia="仿宋_GB2312" w:cs="仿宋_GB2312"/>
          <w:b/>
          <w:bCs/>
          <w:color w:val="000000"/>
          <w:kern w:val="0"/>
          <w:sz w:val="31"/>
          <w:szCs w:val="31"/>
          <w:lang w:val="en-US" w:eastAsia="zh-CN" w:bidi="ar"/>
        </w:rPr>
        <w:t>采购实施计划</w:t>
      </w:r>
      <w:r>
        <w:rPr>
          <w:rFonts w:hint="eastAsia" w:ascii="仿宋_GB2312" w:hAnsi="仿宋_GB2312" w:eastAsia="仿宋_GB2312" w:cs="仿宋_GB2312"/>
          <w:b/>
          <w:bCs/>
          <w:color w:val="000000"/>
          <w:kern w:val="0"/>
          <w:sz w:val="31"/>
          <w:szCs w:val="31"/>
          <w:lang w:val="en-US" w:eastAsia="zh-CN" w:bidi="ar"/>
        </w:rPr>
        <w:t>主要内容</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1、采购内容：图书采购</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w:t>
      </w:r>
      <w:r>
        <w:rPr>
          <w:rFonts w:ascii="仿宋_GB2312" w:hAnsi="仿宋_GB2312" w:eastAsia="仿宋_GB2312" w:cs="仿宋_GB2312"/>
          <w:b w:val="0"/>
          <w:bCs w:val="0"/>
          <w:color w:val="000000"/>
          <w:kern w:val="0"/>
          <w:sz w:val="31"/>
          <w:szCs w:val="31"/>
          <w:lang w:val="en-US" w:eastAsia="zh-CN" w:bidi="ar"/>
        </w:rPr>
        <w:t>采购项目预（概）算</w:t>
      </w:r>
      <w:r>
        <w:rPr>
          <w:rFonts w:hint="eastAsia" w:ascii="仿宋_GB2312" w:hAnsi="仿宋_GB2312" w:eastAsia="仿宋_GB2312" w:cs="仿宋_GB2312"/>
          <w:b w:val="0"/>
          <w:bCs w:val="0"/>
          <w:color w:val="000000"/>
          <w:kern w:val="0"/>
          <w:sz w:val="31"/>
          <w:szCs w:val="31"/>
          <w:lang w:val="en-US" w:eastAsia="zh-CN" w:bidi="ar"/>
        </w:rPr>
        <w:t>：200万</w:t>
      </w:r>
    </w:p>
    <w:p>
      <w:pPr>
        <w:keepNext w:val="0"/>
        <w:keepLines w:val="0"/>
        <w:widowControl/>
        <w:suppressLineNumbers w:val="0"/>
        <w:ind w:firstLine="620" w:firstLineChars="200"/>
        <w:jc w:val="both"/>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w:t>
      </w:r>
      <w:r>
        <w:rPr>
          <w:rFonts w:ascii="仿宋_GB2312" w:hAnsi="仿宋_GB2312" w:eastAsia="仿宋_GB2312" w:cs="仿宋_GB2312"/>
          <w:b w:val="0"/>
          <w:bCs w:val="0"/>
          <w:color w:val="000000"/>
          <w:kern w:val="0"/>
          <w:sz w:val="31"/>
          <w:szCs w:val="31"/>
          <w:lang w:val="en-US" w:eastAsia="zh-CN" w:bidi="ar"/>
        </w:rPr>
        <w:t>最高限价</w:t>
      </w:r>
      <w:r>
        <w:rPr>
          <w:rFonts w:hint="eastAsia" w:ascii="仿宋_GB2312" w:hAnsi="仿宋_GB2312" w:eastAsia="仿宋_GB2312" w:cs="仿宋_GB2312"/>
          <w:b w:val="0"/>
          <w:bCs w:val="0"/>
          <w:color w:val="000000"/>
          <w:kern w:val="0"/>
          <w:sz w:val="31"/>
          <w:szCs w:val="31"/>
          <w:lang w:val="en-US" w:eastAsia="zh-CN" w:bidi="ar"/>
        </w:rPr>
        <w:t>：200万</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w:t>
      </w:r>
      <w:r>
        <w:rPr>
          <w:rFonts w:ascii="仿宋_GB2312" w:hAnsi="仿宋_GB2312" w:eastAsia="仿宋_GB2312" w:cs="仿宋_GB2312"/>
          <w:b w:val="0"/>
          <w:bCs w:val="0"/>
          <w:color w:val="000000"/>
          <w:kern w:val="0"/>
          <w:sz w:val="31"/>
          <w:szCs w:val="31"/>
          <w:lang w:val="en-US" w:eastAsia="zh-CN" w:bidi="ar"/>
        </w:rPr>
        <w:t>开展采购活动的时间安排</w:t>
      </w:r>
      <w:r>
        <w:rPr>
          <w:rFonts w:hint="eastAsia" w:ascii="仿宋_GB2312" w:hAnsi="仿宋_GB2312" w:eastAsia="仿宋_GB2312" w:cs="仿宋_GB2312"/>
          <w:b w:val="0"/>
          <w:bCs w:val="0"/>
          <w:color w:val="000000"/>
          <w:kern w:val="0"/>
          <w:sz w:val="31"/>
          <w:szCs w:val="31"/>
          <w:lang w:val="en-US" w:eastAsia="zh-CN" w:bidi="ar"/>
        </w:rPr>
        <w:t>：2021年9月6日下午16:00(北京时间)</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w:t>
      </w:r>
      <w:r>
        <w:rPr>
          <w:rFonts w:ascii="仿宋_GB2312" w:hAnsi="仿宋_GB2312" w:eastAsia="仿宋_GB2312" w:cs="仿宋_GB2312"/>
          <w:b w:val="0"/>
          <w:bCs w:val="0"/>
          <w:color w:val="000000"/>
          <w:kern w:val="0"/>
          <w:sz w:val="31"/>
          <w:szCs w:val="31"/>
          <w:lang w:val="en-US" w:eastAsia="zh-CN" w:bidi="ar"/>
        </w:rPr>
        <w:t>采购组织形式</w:t>
      </w:r>
      <w:r>
        <w:rPr>
          <w:rFonts w:hint="eastAsia" w:ascii="仿宋_GB2312" w:hAnsi="仿宋_GB2312" w:eastAsia="仿宋_GB2312" w:cs="仿宋_GB2312"/>
          <w:b w:val="0"/>
          <w:bCs w:val="0"/>
          <w:color w:val="000000"/>
          <w:kern w:val="0"/>
          <w:sz w:val="31"/>
          <w:szCs w:val="31"/>
          <w:lang w:val="en-US" w:eastAsia="zh-CN" w:bidi="ar"/>
        </w:rPr>
        <w:t>：机构代理采购</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6、</w:t>
      </w:r>
      <w:r>
        <w:rPr>
          <w:rFonts w:ascii="仿宋_GB2312" w:hAnsi="仿宋_GB2312" w:eastAsia="仿宋_GB2312" w:cs="仿宋_GB2312"/>
          <w:b w:val="0"/>
          <w:bCs w:val="0"/>
          <w:color w:val="000000"/>
          <w:kern w:val="0"/>
          <w:sz w:val="31"/>
          <w:szCs w:val="31"/>
          <w:lang w:val="en-US" w:eastAsia="zh-CN" w:bidi="ar"/>
        </w:rPr>
        <w:t>委托代理安排</w:t>
      </w:r>
      <w:r>
        <w:rPr>
          <w:rFonts w:hint="eastAsia" w:ascii="仿宋_GB2312" w:hAnsi="仿宋_GB2312" w:eastAsia="仿宋_GB2312" w:cs="仿宋_GB2312"/>
          <w:b w:val="0"/>
          <w:bCs w:val="0"/>
          <w:color w:val="000000"/>
          <w:kern w:val="0"/>
          <w:sz w:val="31"/>
          <w:szCs w:val="31"/>
          <w:lang w:val="en-US" w:eastAsia="zh-CN" w:bidi="ar"/>
        </w:rPr>
        <w:t>：新疆永信国金工程管理咨询有限公司</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7、</w:t>
      </w:r>
      <w:r>
        <w:rPr>
          <w:rFonts w:ascii="仿宋_GB2312" w:hAnsi="仿宋_GB2312" w:eastAsia="仿宋_GB2312" w:cs="仿宋_GB2312"/>
          <w:b w:val="0"/>
          <w:bCs w:val="0"/>
          <w:color w:val="000000"/>
          <w:kern w:val="0"/>
          <w:sz w:val="31"/>
          <w:szCs w:val="31"/>
          <w:lang w:val="en-US" w:eastAsia="zh-CN" w:bidi="ar"/>
        </w:rPr>
        <w:t>采购包划分与合同分包</w:t>
      </w:r>
      <w:r>
        <w:rPr>
          <w:rFonts w:hint="eastAsia" w:ascii="仿宋_GB2312" w:hAnsi="仿宋_GB2312" w:eastAsia="仿宋_GB2312" w:cs="仿宋_GB2312"/>
          <w:b w:val="0"/>
          <w:bCs w:val="0"/>
          <w:color w:val="000000"/>
          <w:kern w:val="0"/>
          <w:sz w:val="31"/>
          <w:szCs w:val="31"/>
          <w:lang w:val="en-US" w:eastAsia="zh-CN" w:bidi="ar"/>
        </w:rPr>
        <w:t>：无分包</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8、</w:t>
      </w:r>
      <w:r>
        <w:rPr>
          <w:rFonts w:ascii="仿宋_GB2312" w:hAnsi="仿宋_GB2312" w:eastAsia="仿宋_GB2312" w:cs="仿宋_GB2312"/>
          <w:b w:val="0"/>
          <w:bCs w:val="0"/>
          <w:color w:val="000000"/>
          <w:kern w:val="0"/>
          <w:sz w:val="31"/>
          <w:szCs w:val="31"/>
          <w:lang w:val="en-US" w:eastAsia="zh-CN" w:bidi="ar"/>
        </w:rPr>
        <w:t>采购方式</w:t>
      </w:r>
      <w:r>
        <w:rPr>
          <w:rFonts w:hint="eastAsia" w:ascii="仿宋_GB2312" w:hAnsi="仿宋_GB2312" w:eastAsia="仿宋_GB2312" w:cs="仿宋_GB2312"/>
          <w:b w:val="0"/>
          <w:bCs w:val="0"/>
          <w:color w:val="000000"/>
          <w:kern w:val="0"/>
          <w:sz w:val="31"/>
          <w:szCs w:val="31"/>
          <w:lang w:val="en-US" w:eastAsia="zh-CN" w:bidi="ar"/>
        </w:rPr>
        <w:t>：公开招标</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9、</w:t>
      </w:r>
      <w:r>
        <w:rPr>
          <w:rFonts w:ascii="仿宋_GB2312" w:hAnsi="仿宋_GB2312" w:eastAsia="仿宋_GB2312" w:cs="仿宋_GB2312"/>
          <w:b w:val="0"/>
          <w:bCs w:val="0"/>
          <w:color w:val="000000"/>
          <w:kern w:val="0"/>
          <w:sz w:val="31"/>
          <w:szCs w:val="31"/>
          <w:lang w:val="en-US" w:eastAsia="zh-CN" w:bidi="ar"/>
        </w:rPr>
        <w:t>竞争范围</w:t>
      </w:r>
      <w:r>
        <w:rPr>
          <w:rFonts w:hint="eastAsia" w:ascii="仿宋_GB2312" w:hAnsi="仿宋_GB2312" w:eastAsia="仿宋_GB2312" w:cs="仿宋_GB2312"/>
          <w:b w:val="0"/>
          <w:bCs w:val="0"/>
          <w:color w:val="000000"/>
          <w:kern w:val="0"/>
          <w:sz w:val="31"/>
          <w:szCs w:val="31"/>
          <w:lang w:val="en-US" w:eastAsia="zh-CN" w:bidi="ar"/>
        </w:rPr>
        <w:t>：图书采购</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10、</w:t>
      </w:r>
      <w:r>
        <w:rPr>
          <w:rFonts w:ascii="仿宋_GB2312" w:hAnsi="仿宋_GB2312" w:eastAsia="仿宋_GB2312" w:cs="仿宋_GB2312"/>
          <w:b w:val="0"/>
          <w:bCs w:val="0"/>
          <w:color w:val="000000"/>
          <w:kern w:val="0"/>
          <w:sz w:val="31"/>
          <w:szCs w:val="31"/>
          <w:lang w:val="en-US" w:eastAsia="zh-CN" w:bidi="ar"/>
        </w:rPr>
        <w:t>评审规则</w:t>
      </w:r>
      <w:r>
        <w:rPr>
          <w:rFonts w:hint="eastAsia" w:ascii="仿宋_GB2312" w:hAnsi="仿宋_GB2312" w:eastAsia="仿宋_GB2312" w:cs="仿宋_GB2312"/>
          <w:b w:val="0"/>
          <w:bCs w:val="0"/>
          <w:color w:val="000000"/>
          <w:kern w:val="0"/>
          <w:sz w:val="31"/>
          <w:szCs w:val="31"/>
          <w:lang w:val="en-US" w:eastAsia="zh-CN" w:bidi="ar"/>
        </w:rPr>
        <w:t>：本项目评标办法采用最低评标价法，将依法组建不少于 5 人组成的评标委员会，负责本项目的评标工作。评标委员会按照“公平、公正、科学、择优”的原则，评价参加本次招标的投标供应商所提供的产品价格、性能、质量、服务及其投标文件的符合性及响应性。</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（一）初步评审：</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1、评标委员会根据招标文件规定的评标标准和方法，对投标文件进行全面审核，主要审查投标文件的完整性、符合性以及投标报价的合理性是否满足招标文件中的有关规定。    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2、列出投标文件中的重大偏差和细微偏差。  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重大偏差是指投标文件未能实质上响应招标文件的要求，或者投标文件中存在按照招标文件规定应当判定为无效投标文件的情况。  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细微偏差是指投标文件在实质上响应招标文件的要求，但在个别地方存在漏项或者提供了不完整的技术信息和数据等情况，并且补正这些遗漏或不完整不会对其他投标单位造成不公平的结果。细微偏差不影响投标文件的有效性。</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（二）详细评审：   </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1、经初步评审合格的投标文件，评标委员会应当按照投标报价由低到高的顺序依次进行评审。 </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 资格审查合格后，评标委员会对投标文件进行符合性审查。</w:t>
      </w:r>
    </w:p>
    <w:p>
      <w:pPr>
        <w:keepNext w:val="0"/>
        <w:keepLines w:val="0"/>
        <w:widowControl/>
        <w:suppressLineNumbers w:val="0"/>
        <w:ind w:firstLine="622" w:firstLineChars="200"/>
        <w:jc w:val="both"/>
        <w:rPr>
          <w:rFonts w:hint="default"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bCs/>
          <w:color w:val="auto"/>
          <w:kern w:val="0"/>
          <w:sz w:val="31"/>
          <w:szCs w:val="31"/>
          <w:lang w:val="en-US" w:eastAsia="zh-CN" w:bidi="ar"/>
        </w:rPr>
        <w:t>五、采购标的内容、数量，包括技术要求和商务要求</w:t>
      </w:r>
    </w:p>
    <w:p>
      <w:pPr>
        <w:keepNext w:val="0"/>
        <w:keepLines w:val="0"/>
        <w:widowControl/>
        <w:suppressLineNumbers w:val="0"/>
        <w:ind w:firstLine="620" w:firstLineChars="200"/>
        <w:jc w:val="both"/>
        <w:rPr>
          <w:rFonts w:hint="eastAsia"/>
          <w:lang w:val="en-US" w:eastAsia="zh-CN"/>
        </w:rPr>
      </w:pPr>
      <w:r>
        <w:rPr>
          <w:rFonts w:hint="eastAsia" w:ascii="仿宋_GB2312" w:hAnsi="仿宋_GB2312" w:eastAsia="仿宋_GB2312" w:cs="仿宋_GB2312"/>
          <w:b w:val="0"/>
          <w:bCs w:val="0"/>
          <w:color w:val="auto"/>
          <w:kern w:val="0"/>
          <w:sz w:val="31"/>
          <w:szCs w:val="31"/>
          <w:lang w:val="en-US" w:eastAsia="zh-CN" w:bidi="ar"/>
        </w:rPr>
        <w:t>（一）图书内容、数量</w:t>
      </w:r>
    </w:p>
    <w:tbl>
      <w:tblPr>
        <w:tblStyle w:val="7"/>
        <w:tblpPr w:leftFromText="180" w:rightFromText="180" w:vertAnchor="text" w:horzAnchor="page" w:tblpX="931" w:tblpY="328"/>
        <w:tblOverlap w:val="never"/>
        <w:tblW w:w="10541" w:type="dxa"/>
        <w:tblInd w:w="0" w:type="dxa"/>
        <w:tblLayout w:type="fixed"/>
        <w:tblCellMar>
          <w:top w:w="0" w:type="dxa"/>
          <w:left w:w="108" w:type="dxa"/>
          <w:bottom w:w="0" w:type="dxa"/>
          <w:right w:w="108" w:type="dxa"/>
        </w:tblCellMar>
      </w:tblPr>
      <w:tblGrid>
        <w:gridCol w:w="1096"/>
        <w:gridCol w:w="876"/>
        <w:gridCol w:w="821"/>
        <w:gridCol w:w="844"/>
        <w:gridCol w:w="788"/>
        <w:gridCol w:w="674"/>
        <w:gridCol w:w="785"/>
        <w:gridCol w:w="785"/>
        <w:gridCol w:w="796"/>
        <w:gridCol w:w="785"/>
        <w:gridCol w:w="785"/>
        <w:gridCol w:w="792"/>
        <w:gridCol w:w="714"/>
      </w:tblGrid>
      <w:tr>
        <w:tblPrEx>
          <w:tblCellMar>
            <w:top w:w="0" w:type="dxa"/>
            <w:left w:w="108" w:type="dxa"/>
            <w:bottom w:w="0" w:type="dxa"/>
            <w:right w:w="108" w:type="dxa"/>
          </w:tblCellMar>
        </w:tblPrEx>
        <w:trPr>
          <w:trHeight w:val="517" w:hRule="atLeast"/>
        </w:trPr>
        <w:tc>
          <w:tcPr>
            <w:tcW w:w="1054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rPr>
              <w:t>图 书 数 量</w:t>
            </w:r>
          </w:p>
        </w:tc>
      </w:tr>
      <w:tr>
        <w:tblPrEx>
          <w:tblCellMar>
            <w:top w:w="0" w:type="dxa"/>
            <w:left w:w="108" w:type="dxa"/>
            <w:bottom w:w="0" w:type="dxa"/>
            <w:right w:w="108" w:type="dxa"/>
          </w:tblCellMar>
        </w:tblPrEx>
        <w:trPr>
          <w:trHeight w:val="2014" w:hRule="atLeast"/>
        </w:trPr>
        <w:tc>
          <w:tcPr>
            <w:tcW w:w="1096" w:type="dxa"/>
            <w:vMerge w:val="restart"/>
            <w:tcBorders>
              <w:top w:val="nil"/>
              <w:left w:val="single" w:color="000000" w:sz="4" w:space="0"/>
              <w:bottom w:val="single" w:color="000000" w:sz="4" w:space="0"/>
              <w:right w:val="nil"/>
            </w:tcBorders>
            <w:shd w:val="clear" w:color="auto" w:fill="auto"/>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学校</w:t>
            </w:r>
          </w:p>
        </w:tc>
        <w:tc>
          <w:tcPr>
            <w:tcW w:w="876" w:type="dxa"/>
            <w:tcBorders>
              <w:top w:val="nil"/>
              <w:left w:val="single" w:color="000000" w:sz="4" w:space="0"/>
              <w:bottom w:val="nil"/>
              <w:right w:val="single" w:color="000000" w:sz="4" w:space="0"/>
            </w:tcBorders>
            <w:shd w:val="clear" w:color="auto" w:fill="auto"/>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bdr w:val="single" w:color="000000" w:sz="4" w:space="0"/>
                <w:lang w:val="en-US" w:bidi="ar-SA"/>
              </w:rPr>
              <w:drawing>
                <wp:anchor distT="0" distB="0" distL="114300" distR="114300" simplePos="0" relativeHeight="251659264" behindDoc="0" locked="0" layoutInCell="1" allowOverlap="1">
                  <wp:simplePos x="0" y="0"/>
                  <wp:positionH relativeFrom="column">
                    <wp:posOffset>-50800</wp:posOffset>
                  </wp:positionH>
                  <wp:positionV relativeFrom="paragraph">
                    <wp:posOffset>31750</wp:posOffset>
                  </wp:positionV>
                  <wp:extent cx="541655" cy="2813050"/>
                  <wp:effectExtent l="0" t="0" r="10795" b="6350"/>
                  <wp:wrapNone/>
                  <wp:docPr id="2" name="直接连接符_1"/>
                  <wp:cNvGraphicFramePr/>
                  <a:graphic xmlns:a="http://schemas.openxmlformats.org/drawingml/2006/main">
                    <a:graphicData uri="http://schemas.openxmlformats.org/drawingml/2006/picture">
                      <pic:pic xmlns:pic="http://schemas.openxmlformats.org/drawingml/2006/picture">
                        <pic:nvPicPr>
                          <pic:cNvPr id="2" name="直接连接符_1"/>
                          <pic:cNvPicPr/>
                        </pic:nvPicPr>
                        <pic:blipFill>
                          <a:blip r:embed="rId4" cstate="print"/>
                          <a:stretch>
                            <a:fillRect/>
                          </a:stretch>
                        </pic:blipFill>
                        <pic:spPr>
                          <a:xfrm>
                            <a:off x="0" y="0"/>
                            <a:ext cx="541655" cy="2813050"/>
                          </a:xfrm>
                          <a:prstGeom prst="rect">
                            <a:avLst/>
                          </a:prstGeom>
                          <a:noFill/>
                          <a:ln>
                            <a:noFill/>
                          </a:ln>
                        </pic:spPr>
                      </pic:pic>
                    </a:graphicData>
                  </a:graphic>
                </wp:anchor>
              </w:drawing>
            </w:r>
            <w:r>
              <w:rPr>
                <w:rFonts w:hint="eastAsia" w:ascii="宋体" w:hAnsi="宋体" w:eastAsia="宋体" w:cs="宋体"/>
                <w:color w:val="000000"/>
                <w:lang w:val="en-US"/>
              </w:rPr>
              <w:t xml:space="preserve">类别 </w:t>
            </w:r>
          </w:p>
        </w:tc>
        <w:tc>
          <w:tcPr>
            <w:tcW w:w="82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4"/>
                <w:szCs w:val="24"/>
                <w:lang w:val="en-US"/>
              </w:rPr>
              <w:t>第一大类</w:t>
            </w:r>
          </w:p>
        </w:tc>
        <w:tc>
          <w:tcPr>
            <w:tcW w:w="844"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4"/>
                <w:szCs w:val="24"/>
                <w:lang w:val="en-US"/>
              </w:rPr>
              <w:t>第二大类</w:t>
            </w:r>
          </w:p>
        </w:tc>
        <w:tc>
          <w:tcPr>
            <w:tcW w:w="6904" w:type="dxa"/>
            <w:gridSpan w:val="9"/>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rPr>
              <w:t>第三大类</w:t>
            </w:r>
          </w:p>
        </w:tc>
      </w:tr>
      <w:tr>
        <w:tblPrEx>
          <w:tblCellMar>
            <w:top w:w="0" w:type="dxa"/>
            <w:left w:w="108" w:type="dxa"/>
            <w:bottom w:w="0" w:type="dxa"/>
            <w:right w:w="108" w:type="dxa"/>
          </w:tblCellMar>
        </w:tblPrEx>
        <w:trPr>
          <w:trHeight w:val="2337" w:hRule="atLeast"/>
        </w:trPr>
        <w:tc>
          <w:tcPr>
            <w:tcW w:w="1096" w:type="dxa"/>
            <w:vMerge w:val="continue"/>
            <w:tcBorders>
              <w:top w:val="nil"/>
              <w:left w:val="single" w:color="000000" w:sz="4" w:space="0"/>
              <w:bottom w:val="single" w:color="000000" w:sz="4" w:space="0"/>
              <w:right w:val="nil"/>
            </w:tcBorders>
            <w:shd w:val="clear" w:color="auto" w:fill="auto"/>
            <w:vAlign w:val="center"/>
          </w:tcPr>
          <w:p>
            <w:pPr>
              <w:jc w:val="center"/>
              <w:rPr>
                <w:rFonts w:ascii="宋体" w:hAnsi="宋体" w:eastAsia="宋体" w:cs="宋体"/>
                <w:color w:val="000000"/>
                <w:sz w:val="24"/>
                <w:szCs w:val="24"/>
              </w:rPr>
            </w:pPr>
          </w:p>
        </w:tc>
        <w:tc>
          <w:tcPr>
            <w:tcW w:w="876"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rPr>
              <w:t>数量</w:t>
            </w:r>
          </w:p>
        </w:tc>
        <w:tc>
          <w:tcPr>
            <w:tcW w:w="821" w:type="dxa"/>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A马列主义、毛邓思想</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B哲学</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C社会科学总论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D政治法律</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E军事</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F经济</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G文化、科学、教育、体育</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H语言文字</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I文学</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J艺术</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K历史、地理</w:t>
            </w:r>
          </w:p>
        </w:tc>
      </w:tr>
      <w:tr>
        <w:tblPrEx>
          <w:tblCellMar>
            <w:top w:w="0" w:type="dxa"/>
            <w:left w:w="108" w:type="dxa"/>
            <w:bottom w:w="0" w:type="dxa"/>
            <w:right w:w="108" w:type="dxa"/>
          </w:tblCellMar>
        </w:tblPrEx>
        <w:trPr>
          <w:trHeight w:val="561"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初中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lang w:val="en-US"/>
              </w:rPr>
            </w:pPr>
            <w:r>
              <w:rPr>
                <w:rFonts w:hint="eastAsia" w:ascii="宋体" w:hAnsi="宋体" w:eastAsia="宋体" w:cs="宋体"/>
                <w:i w:val="0"/>
                <w:iCs w:val="0"/>
                <w:color w:val="000000"/>
                <w:kern w:val="0"/>
                <w:sz w:val="22"/>
                <w:szCs w:val="22"/>
                <w:u w:val="none"/>
                <w:lang w:val="en-US" w:eastAsia="zh-CN" w:bidi="ar"/>
              </w:rPr>
              <w:t>98251</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4130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4108</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9703</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9518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8234</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7908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12239</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14843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11179</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9034</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7355</w:t>
            </w:r>
          </w:p>
        </w:tc>
      </w:tr>
      <w:tr>
        <w:tblPrEx>
          <w:tblCellMar>
            <w:top w:w="0" w:type="dxa"/>
            <w:left w:w="108" w:type="dxa"/>
            <w:bottom w:w="0" w:type="dxa"/>
            <w:right w:w="108" w:type="dxa"/>
          </w:tblCellMar>
        </w:tblPrEx>
        <w:trPr>
          <w:trHeight w:val="561"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szCs w:val="22"/>
                <w:lang w:val="en-US" w:eastAsia="zh-CN" w:bidi="zh-CN"/>
              </w:rPr>
            </w:pPr>
            <w:r>
              <w:rPr>
                <w:rFonts w:hint="eastAsia" w:ascii="宋体" w:hAnsi="宋体" w:eastAsia="宋体" w:cs="宋体"/>
                <w:color w:val="000000"/>
                <w:sz w:val="22"/>
                <w:szCs w:val="22"/>
                <w:lang w:val="en-US" w:eastAsia="zh-CN" w:bidi="zh-CN"/>
              </w:rPr>
              <w:t>小学</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8821</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569</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124</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2116</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908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1026</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777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580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941</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440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400</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940</w:t>
            </w:r>
          </w:p>
        </w:tc>
      </w:tr>
      <w:tr>
        <w:tblPrEx>
          <w:tblCellMar>
            <w:top w:w="0" w:type="dxa"/>
            <w:left w:w="108" w:type="dxa"/>
            <w:bottom w:w="0" w:type="dxa"/>
            <w:right w:w="108" w:type="dxa"/>
          </w:tblCellMar>
        </w:tblPrEx>
        <w:trPr>
          <w:trHeight w:val="1763"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学校</w:t>
            </w:r>
          </w:p>
        </w:tc>
        <w:tc>
          <w:tcPr>
            <w:tcW w:w="876" w:type="dxa"/>
            <w:tcBorders>
              <w:top w:val="single" w:color="000000" w:sz="4" w:space="0"/>
              <w:left w:val="single" w:color="000000" w:sz="4" w:space="0"/>
              <w:bottom w:val="nil"/>
              <w:right w:val="single" w:color="000000" w:sz="4" w:space="0"/>
            </w:tcBorders>
            <w:shd w:val="clear" w:color="auto" w:fill="auto"/>
            <w:noWrap/>
            <w:vAlign w:val="center"/>
          </w:tcPr>
          <w:p>
            <w:pPr>
              <w:widowControl/>
              <w:jc w:val="right"/>
              <w:textAlignment w:val="center"/>
              <w:rPr>
                <w:rFonts w:ascii="宋体" w:hAnsi="宋体" w:eastAsia="宋体" w:cs="宋体"/>
                <w:color w:val="000000"/>
              </w:rPr>
            </w:pPr>
            <w:r>
              <w:rPr>
                <w:rFonts w:hint="eastAsia" w:ascii="宋体" w:hAnsi="宋体" w:eastAsia="宋体" w:cs="宋体"/>
                <w:color w:val="000000"/>
                <w:bdr w:val="single" w:color="000000" w:sz="4" w:space="0"/>
                <w:lang w:val="en-US" w:bidi="ar-SA"/>
              </w:rPr>
              <w:drawing>
                <wp:anchor distT="0" distB="0" distL="114300" distR="114300" simplePos="0" relativeHeight="251660288" behindDoc="0" locked="0" layoutInCell="1" allowOverlap="1">
                  <wp:simplePos x="0" y="0"/>
                  <wp:positionH relativeFrom="column">
                    <wp:posOffset>-34925</wp:posOffset>
                  </wp:positionH>
                  <wp:positionV relativeFrom="paragraph">
                    <wp:posOffset>0</wp:posOffset>
                  </wp:positionV>
                  <wp:extent cx="522605" cy="2363470"/>
                  <wp:effectExtent l="0" t="0" r="10795" b="17780"/>
                  <wp:wrapNone/>
                  <wp:docPr id="3" name="直接连接符_2"/>
                  <wp:cNvGraphicFramePr/>
                  <a:graphic xmlns:a="http://schemas.openxmlformats.org/drawingml/2006/main">
                    <a:graphicData uri="http://schemas.openxmlformats.org/drawingml/2006/picture">
                      <pic:pic xmlns:pic="http://schemas.openxmlformats.org/drawingml/2006/picture">
                        <pic:nvPicPr>
                          <pic:cNvPr id="3" name="直接连接符_2"/>
                          <pic:cNvPicPr/>
                        </pic:nvPicPr>
                        <pic:blipFill>
                          <a:blip r:embed="rId5" cstate="print"/>
                          <a:stretch>
                            <a:fillRect/>
                          </a:stretch>
                        </pic:blipFill>
                        <pic:spPr>
                          <a:xfrm>
                            <a:off x="0" y="0"/>
                            <a:ext cx="522605" cy="2363470"/>
                          </a:xfrm>
                          <a:prstGeom prst="rect">
                            <a:avLst/>
                          </a:prstGeom>
                          <a:noFill/>
                          <a:ln>
                            <a:noFill/>
                          </a:ln>
                        </pic:spPr>
                      </pic:pic>
                    </a:graphicData>
                  </a:graphic>
                </wp:anchor>
              </w:drawing>
            </w:r>
            <w:r>
              <w:rPr>
                <w:rFonts w:hint="eastAsia" w:ascii="宋体" w:hAnsi="宋体" w:eastAsia="宋体" w:cs="宋体"/>
                <w:color w:val="000000"/>
                <w:lang w:val="en-US"/>
              </w:rPr>
              <w:t>类别</w:t>
            </w:r>
          </w:p>
        </w:tc>
        <w:tc>
          <w:tcPr>
            <w:tcW w:w="785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lang w:val="en-US"/>
              </w:rPr>
              <w:t>第四大类</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val="en-US"/>
              </w:rPr>
              <w:t>第五大类</w:t>
            </w:r>
          </w:p>
        </w:tc>
      </w:tr>
      <w:tr>
        <w:tblPrEx>
          <w:tblCellMar>
            <w:top w:w="0" w:type="dxa"/>
            <w:left w:w="108" w:type="dxa"/>
            <w:bottom w:w="0" w:type="dxa"/>
            <w:right w:w="108" w:type="dxa"/>
          </w:tblCellMar>
        </w:tblPrEx>
        <w:trPr>
          <w:trHeight w:val="1938"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szCs w:val="24"/>
              </w:rPr>
            </w:pPr>
          </w:p>
        </w:tc>
        <w:tc>
          <w:tcPr>
            <w:tcW w:w="876" w:type="dxa"/>
            <w:tcBorders>
              <w:top w:val="nil"/>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eastAsia="宋体" w:cs="宋体"/>
                <w:color w:val="000000"/>
              </w:rPr>
            </w:pPr>
            <w:r>
              <w:rPr>
                <w:rFonts w:hint="eastAsia" w:ascii="宋体" w:hAnsi="宋体" w:eastAsia="宋体" w:cs="宋体"/>
                <w:color w:val="000000"/>
                <w:lang w:val="en-US"/>
              </w:rPr>
              <w:t>数量</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N自然、科学总论</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O数理科学和化学</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P天文学、地球、科学</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Q生物、科学</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R医药、卫生</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S农林、科学</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T工业技术</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U交通、运输</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V航空、航天</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X环境科学、安全科学</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lang w:val="en-US"/>
              </w:rPr>
              <w:t>Z综合性图书</w:t>
            </w:r>
          </w:p>
        </w:tc>
      </w:tr>
      <w:tr>
        <w:tblPrEx>
          <w:tblCellMar>
            <w:top w:w="0" w:type="dxa"/>
            <w:left w:w="108" w:type="dxa"/>
            <w:bottom w:w="0" w:type="dxa"/>
            <w:right w:w="108" w:type="dxa"/>
          </w:tblCellMar>
        </w:tblPrEx>
        <w:trPr>
          <w:trHeight w:val="561"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初中</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sz w:val="22"/>
                <w:szCs w:val="22"/>
                <w:lang w:val="en-US" w:eastAsia="zh-CN" w:bidi="zh-CN"/>
              </w:rPr>
            </w:pPr>
            <w:r>
              <w:rPr>
                <w:rFonts w:hint="eastAsia" w:ascii="宋体" w:hAnsi="宋体" w:eastAsia="宋体" w:cs="宋体"/>
                <w:i w:val="0"/>
                <w:iCs w:val="0"/>
                <w:color w:val="000000"/>
                <w:kern w:val="0"/>
                <w:sz w:val="22"/>
                <w:szCs w:val="22"/>
                <w:u w:val="none"/>
                <w:lang w:val="en-US" w:eastAsia="zh-CN" w:bidi="ar"/>
              </w:rPr>
              <w:t>84921</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11174</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8414</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7160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6138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8184</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5920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6275</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8073</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6722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8252</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kern w:val="0"/>
                <w:sz w:val="22"/>
                <w:szCs w:val="22"/>
                <w:u w:val="none"/>
                <w:lang w:val="en-US" w:eastAsia="zh-CN" w:bidi="ar"/>
              </w:rPr>
              <w:t>8609</w:t>
            </w:r>
          </w:p>
        </w:tc>
      </w:tr>
      <w:tr>
        <w:tblPrEx>
          <w:tblCellMar>
            <w:top w:w="0" w:type="dxa"/>
            <w:left w:w="108" w:type="dxa"/>
            <w:bottom w:w="0" w:type="dxa"/>
            <w:right w:w="108" w:type="dxa"/>
          </w:tblCellMar>
        </w:tblPrEx>
        <w:trPr>
          <w:trHeight w:val="561"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小学</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zh-CN"/>
              </w:rPr>
            </w:pPr>
            <w:r>
              <w:rPr>
                <w:rFonts w:hint="eastAsia" w:ascii="宋体" w:hAnsi="宋体" w:eastAsia="宋体" w:cs="宋体"/>
                <w:i w:val="0"/>
                <w:iCs w:val="0"/>
                <w:color w:val="000000"/>
                <w:sz w:val="22"/>
                <w:szCs w:val="22"/>
                <w:u w:val="none"/>
                <w:lang w:val="en-US" w:eastAsia="zh-CN" w:bidi="zh-CN"/>
              </w:rPr>
              <w:t>8007</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752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422</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672</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622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472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172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492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492</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1052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1044</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zh-CN" w:eastAsia="zh-CN" w:bidi="zh-CN"/>
              </w:rPr>
            </w:pPr>
            <w:r>
              <w:rPr>
                <w:rFonts w:hint="eastAsia" w:ascii="宋体" w:hAnsi="宋体" w:eastAsia="宋体" w:cs="宋体"/>
                <w:i w:val="0"/>
                <w:iCs w:val="0"/>
                <w:color w:val="000000"/>
                <w:kern w:val="0"/>
                <w:sz w:val="22"/>
                <w:szCs w:val="22"/>
                <w:u w:val="none"/>
                <w:lang w:val="en-US" w:eastAsia="zh-CN" w:bidi="ar"/>
              </w:rPr>
              <w:t>1815</w:t>
            </w:r>
          </w:p>
        </w:tc>
      </w:tr>
      <w:tr>
        <w:tblPrEx>
          <w:tblCellMar>
            <w:top w:w="0" w:type="dxa"/>
            <w:left w:w="108" w:type="dxa"/>
            <w:bottom w:w="0" w:type="dxa"/>
            <w:right w:w="108" w:type="dxa"/>
          </w:tblCellMar>
        </w:tblPrEx>
        <w:trPr>
          <w:trHeight w:val="527" w:hRule="atLeast"/>
        </w:trPr>
        <w:tc>
          <w:tcPr>
            <w:tcW w:w="10541"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000000"/>
                <w:lang w:val="en-US" w:eastAsia="zh-CN"/>
              </w:rPr>
            </w:pPr>
            <w:r>
              <w:rPr>
                <w:rFonts w:hint="eastAsia" w:ascii="宋体" w:hAnsi="宋体" w:eastAsia="宋体" w:cs="宋体"/>
                <w:color w:val="000000"/>
                <w:lang w:eastAsia="zh-CN"/>
              </w:rPr>
              <w:t>初中：</w:t>
            </w:r>
            <w:r>
              <w:rPr>
                <w:rFonts w:hint="eastAsia" w:ascii="宋体" w:hAnsi="宋体" w:eastAsia="宋体" w:cs="宋体"/>
                <w:color w:val="000000"/>
                <w:lang w:val="en-US" w:eastAsia="zh-CN"/>
              </w:rPr>
              <w:t>183172       小学：16828      合计：200000</w:t>
            </w:r>
          </w:p>
        </w:tc>
      </w:tr>
    </w:tbl>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（二）图书要求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1、提供的所有图书须是《2019年全国中小学图书馆（室）推荐书目》中的图书。</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2、每本图书复本量不能超过200本。</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3、中标方所供图书均符合国家图书质量保证体系要求，必须为正版产品,如经查实为盗版或非法出版物,由中标方承担一切法律责任和费用。</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4、必须保证所供图书100%是2017年以后出版的全新图书，必须要按图书分类包装并包装外部明显备注图书的分类。</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5、中标方所提供的图书内容必须要适合学生年龄段，并要根据中小学图书需求数量分开打包。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6、中标方免费将全部图书送到指定的学校，包括村级小学，教学点，同时提供与纸质图书书目相符的电子版清单。</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7、彩色图书数量小学不能少于总图书的25%，每本图书页数不能少于150页。</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8、纸张需是不低于60克的印刷纸。</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9、所有图书尺寸不小于16.5厘米*22.5厘米。</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（三）基本要求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投标单位必须承诺，保证采购人在使用货物或货物的任何一部分时,免受第三方提出的侵犯其专利权、商标权、著作权或其他知识产权的起诉；应保证所供应图书的内容、版本及进货来源合法，对所供应图书的版本、知识产权、进货来源负相应的法律责任。图书质保期不小于1年，中标投标单位应保证所供应图书装帧质量、印刷质量合格，若新书一年内开裂、掉页，采购人有权全部退货。</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2、投标单位须按采购人的要求组织订货，查重，催交缺货，退换，补配，拆包验收，联系及安排外出现场采购等事宜。</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投标单位按采购人提出的书目及包装要求，将图书及时送交到采购人指定的具体地点，为此所发生的费用全部由投标单位承担。每批到货图书应附送一式二份的批销明细清单（包括批次号、品种总数、总册数等）；每包图书应附送一份验收清单（包括批次号、种数、册数、书名、出版社、单价、总价等）。采购人对图书进行100%验收,送交到采购人的图书若验收时发现有盗版、污损，图文不清，缺页，倒页，缺附件等质量不合格的图书，以及与订单不符的图书，一律予以退货（不能以已加工为理由拒绝），由此造成的损失及费用全部由投标单位承担。如发现有盗版或侵犯他人知识产权的图书，中标人应无条件接受退货，所引起的一切法律责任和经济损失概由中标人负责。</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采购人绝对禁止中标人擅自配书。投标单位送货前应当首先将送货单发送给采购人，由采购人验收后才发货；如果投标单位所送图书与采购人采购图书不符，采购人可以随时将整批图书退回，所产生费用由投标单位承担，并且采购人可以据此认定投标单位为供货不能，构成违约。</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（四）商务要求：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w:t>
      </w:r>
      <w:r>
        <w:rPr>
          <w:rFonts w:ascii="仿宋_GB2312" w:hAnsi="仿宋_GB2312" w:eastAsia="仿宋_GB2312" w:cs="仿宋_GB2312"/>
          <w:b w:val="0"/>
          <w:bCs w:val="0"/>
          <w:color w:val="auto"/>
          <w:kern w:val="0"/>
          <w:sz w:val="31"/>
          <w:szCs w:val="31"/>
          <w:lang w:val="en-US" w:eastAsia="zh-CN" w:bidi="ar"/>
        </w:rPr>
        <w:t>取得采购标的的时间</w:t>
      </w:r>
      <w:r>
        <w:rPr>
          <w:rFonts w:hint="eastAsia" w:ascii="仿宋_GB2312" w:hAnsi="仿宋_GB2312" w:eastAsia="仿宋_GB2312" w:cs="仿宋_GB2312"/>
          <w:b w:val="0"/>
          <w:bCs w:val="0"/>
          <w:color w:val="auto"/>
          <w:kern w:val="0"/>
          <w:sz w:val="31"/>
          <w:szCs w:val="31"/>
          <w:lang w:val="en-US" w:eastAsia="zh-CN" w:bidi="ar"/>
        </w:rPr>
        <w:t>：签订合同后10日内供货</w:t>
      </w:r>
    </w:p>
    <w:p>
      <w:pPr>
        <w:keepNext w:val="0"/>
        <w:keepLines w:val="0"/>
        <w:widowControl/>
        <w:suppressLineNumbers w:val="0"/>
        <w:ind w:firstLine="620" w:firstLineChars="200"/>
        <w:jc w:val="both"/>
        <w:rPr>
          <w:b w:val="0"/>
          <w:bCs w:val="0"/>
          <w:color w:val="auto"/>
        </w:rPr>
      </w:pPr>
      <w:r>
        <w:rPr>
          <w:rFonts w:hint="eastAsia" w:ascii="仿宋_GB2312" w:hAnsi="仿宋_GB2312" w:eastAsia="仿宋_GB2312" w:cs="仿宋_GB2312"/>
          <w:b w:val="0"/>
          <w:bCs w:val="0"/>
          <w:color w:val="auto"/>
          <w:kern w:val="0"/>
          <w:sz w:val="31"/>
          <w:szCs w:val="31"/>
          <w:lang w:val="en-US" w:eastAsia="zh-CN" w:bidi="ar"/>
        </w:rPr>
        <w:t>（2）</w:t>
      </w:r>
      <w:r>
        <w:rPr>
          <w:rFonts w:ascii="仿宋_GB2312" w:hAnsi="仿宋_GB2312" w:eastAsia="仿宋_GB2312" w:cs="仿宋_GB2312"/>
          <w:b w:val="0"/>
          <w:bCs w:val="0"/>
          <w:color w:val="auto"/>
          <w:kern w:val="0"/>
          <w:sz w:val="31"/>
          <w:szCs w:val="31"/>
          <w:lang w:val="en-US" w:eastAsia="zh-CN" w:bidi="ar"/>
        </w:rPr>
        <w:t>取得采购标的的地点</w:t>
      </w:r>
      <w:r>
        <w:rPr>
          <w:rFonts w:hint="eastAsia" w:ascii="仿宋_GB2312" w:hAnsi="仿宋_GB2312" w:eastAsia="仿宋_GB2312" w:cs="仿宋_GB2312"/>
          <w:b w:val="0"/>
          <w:bCs w:val="0"/>
          <w:color w:val="auto"/>
          <w:kern w:val="0"/>
          <w:sz w:val="31"/>
          <w:szCs w:val="31"/>
          <w:lang w:val="en-US" w:eastAsia="zh-CN" w:bidi="ar"/>
        </w:rPr>
        <w:t>：莎车县教育局指定地点</w:t>
      </w:r>
    </w:p>
    <w:p>
      <w:pPr>
        <w:pStyle w:val="6"/>
        <w:spacing w:before="120" w:beforeLines="50" w:after="0" w:line="360" w:lineRule="auto"/>
        <w:ind w:firstLine="620" w:firstLineChars="200"/>
        <w:jc w:val="both"/>
        <w:outlineLvl w:val="9"/>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（3）</w:t>
      </w:r>
      <w:r>
        <w:rPr>
          <w:rFonts w:ascii="仿宋_GB2312" w:hAnsi="仿宋_GB2312" w:eastAsia="仿宋_GB2312" w:cs="仿宋_GB2312"/>
          <w:b w:val="0"/>
          <w:bCs w:val="0"/>
          <w:color w:val="auto"/>
          <w:kern w:val="0"/>
          <w:sz w:val="31"/>
          <w:szCs w:val="31"/>
          <w:lang w:val="en-US" w:eastAsia="zh-CN" w:bidi="ar"/>
        </w:rPr>
        <w:t>付款条件</w:t>
      </w:r>
      <w:r>
        <w:rPr>
          <w:rFonts w:hint="eastAsia" w:ascii="仿宋_GB2312" w:hAnsi="仿宋_GB2312" w:eastAsia="仿宋_GB2312" w:cs="仿宋_GB2312"/>
          <w:b w:val="0"/>
          <w:bCs w:val="0"/>
          <w:color w:val="auto"/>
          <w:kern w:val="0"/>
          <w:sz w:val="31"/>
          <w:szCs w:val="31"/>
          <w:lang w:val="en-US" w:eastAsia="zh-CN" w:bidi="ar"/>
        </w:rPr>
        <w:t>：供货完成经验收后100%支付货款</w:t>
      </w:r>
    </w:p>
    <w:p>
      <w:pPr>
        <w:pStyle w:val="6"/>
        <w:spacing w:before="120" w:beforeLines="50" w:after="0" w:line="360" w:lineRule="auto"/>
        <w:ind w:firstLine="620" w:firstLineChars="200"/>
        <w:jc w:val="both"/>
        <w:outlineLvl w:val="9"/>
        <w:rPr>
          <w:rFonts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（4）</w:t>
      </w:r>
      <w:r>
        <w:rPr>
          <w:rFonts w:ascii="仿宋_GB2312" w:hAnsi="仿宋_GB2312" w:eastAsia="仿宋_GB2312" w:cs="仿宋_GB2312"/>
          <w:b w:val="0"/>
          <w:bCs w:val="0"/>
          <w:color w:val="auto"/>
          <w:kern w:val="0"/>
          <w:sz w:val="31"/>
          <w:szCs w:val="31"/>
          <w:lang w:val="en-US" w:eastAsia="zh-CN" w:bidi="ar"/>
        </w:rPr>
        <w:t>售后服务</w:t>
      </w:r>
      <w:r>
        <w:rPr>
          <w:rFonts w:hint="eastAsia" w:ascii="仿宋_GB2312" w:hAnsi="仿宋_GB2312" w:eastAsia="仿宋_GB2312" w:cs="仿宋_GB2312"/>
          <w:b w:val="0"/>
          <w:bCs w:val="0"/>
          <w:color w:val="auto"/>
          <w:kern w:val="0"/>
          <w:sz w:val="31"/>
          <w:szCs w:val="31"/>
          <w:lang w:val="en-US" w:eastAsia="zh-CN" w:bidi="ar"/>
        </w:rPr>
        <w:t>：售后、保质期为一年</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（五）</w:t>
      </w:r>
      <w:r>
        <w:rPr>
          <w:rFonts w:ascii="仿宋_GB2312" w:hAnsi="仿宋_GB2312" w:eastAsia="仿宋_GB2312" w:cs="仿宋_GB2312"/>
          <w:b w:val="0"/>
          <w:bCs w:val="0"/>
          <w:color w:val="auto"/>
          <w:kern w:val="0"/>
          <w:sz w:val="31"/>
          <w:szCs w:val="31"/>
          <w:lang w:val="en-US" w:eastAsia="zh-CN" w:bidi="ar"/>
        </w:rPr>
        <w:t>可能影响供应商报价和项目实施风险的因素</w:t>
      </w:r>
      <w:r>
        <w:rPr>
          <w:rFonts w:hint="eastAsia" w:ascii="仿宋_GB2312" w:hAnsi="仿宋_GB2312" w:eastAsia="仿宋_GB2312" w:cs="仿宋_GB2312"/>
          <w:b w:val="0"/>
          <w:bCs w:val="0"/>
          <w:color w:val="auto"/>
          <w:kern w:val="0"/>
          <w:sz w:val="31"/>
          <w:szCs w:val="31"/>
          <w:lang w:val="en-US" w:eastAsia="zh-CN" w:bidi="ar"/>
        </w:rPr>
        <w:t>：</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auto"/>
          <w:kern w:val="0"/>
          <w:sz w:val="31"/>
          <w:szCs w:val="31"/>
          <w:lang w:val="en-US" w:eastAsia="zh-CN" w:bidi="ar"/>
        </w:rPr>
      </w:pPr>
      <w:r>
        <w:rPr>
          <w:rFonts w:hint="eastAsia" w:ascii="仿宋_GB2312" w:hAnsi="仿宋_GB2312" w:eastAsia="仿宋_GB2312" w:cs="仿宋_GB2312"/>
          <w:b w:val="0"/>
          <w:bCs w:val="0"/>
          <w:color w:val="auto"/>
          <w:kern w:val="0"/>
          <w:sz w:val="31"/>
          <w:szCs w:val="31"/>
          <w:lang w:val="en-US" w:eastAsia="zh-CN" w:bidi="ar"/>
        </w:rPr>
        <w:t>（1）自然风险：因自然界中的不可抗力所造成的本次公开招标采购工作不能顺利实施的风险。比如因自然灾害影响，供应商不能按时参加本次公开招标活动的风险。</w:t>
      </w:r>
      <w:r>
        <w:rPr>
          <w:rFonts w:hint="eastAsia" w:ascii="仿宋_GB2312" w:hAnsi="仿宋_GB2312" w:eastAsia="仿宋_GB2312" w:cs="仿宋_GB2312"/>
          <w:b w:val="0"/>
          <w:bCs w:val="0"/>
          <w:color w:val="auto"/>
          <w:kern w:val="0"/>
          <w:sz w:val="31"/>
          <w:szCs w:val="31"/>
          <w:lang w:val="en-US" w:eastAsia="zh-CN" w:bidi="ar"/>
        </w:rPr>
        <w:br w:type="textWrapping"/>
      </w:r>
      <w:r>
        <w:rPr>
          <w:rFonts w:hint="eastAsia" w:ascii="仿宋_GB2312" w:hAnsi="仿宋_GB2312" w:eastAsia="仿宋_GB2312" w:cs="仿宋_GB2312"/>
          <w:b w:val="0"/>
          <w:bCs w:val="0"/>
          <w:color w:val="auto"/>
          <w:kern w:val="0"/>
          <w:sz w:val="31"/>
          <w:szCs w:val="31"/>
          <w:lang w:val="en-US" w:eastAsia="zh-CN" w:bidi="ar"/>
        </w:rPr>
        <w:t>       （2）政策风险：因政府政策或行业标准改变，或者企业发展方向改变、企业升级等问题导致本次公开招标采购项目不得不取消或者进行调整。</w:t>
      </w:r>
      <w:r>
        <w:rPr>
          <w:rFonts w:hint="eastAsia" w:ascii="仿宋_GB2312" w:hAnsi="仿宋_GB2312" w:eastAsia="仿宋_GB2312" w:cs="仿宋_GB2312"/>
          <w:b w:val="0"/>
          <w:bCs w:val="0"/>
          <w:color w:val="auto"/>
          <w:kern w:val="0"/>
          <w:sz w:val="31"/>
          <w:szCs w:val="31"/>
          <w:lang w:val="en-US" w:eastAsia="zh-CN" w:bidi="ar"/>
        </w:rPr>
        <w:br w:type="textWrapping"/>
      </w:r>
      <w:r>
        <w:rPr>
          <w:rFonts w:hint="eastAsia" w:ascii="仿宋_GB2312" w:hAnsi="仿宋_GB2312" w:eastAsia="仿宋_GB2312" w:cs="仿宋_GB2312"/>
          <w:b w:val="0"/>
          <w:bCs w:val="0"/>
          <w:color w:val="auto"/>
          <w:kern w:val="0"/>
          <w:sz w:val="31"/>
          <w:szCs w:val="31"/>
          <w:lang w:val="en-US" w:eastAsia="zh-CN" w:bidi="ar"/>
        </w:rPr>
        <w:t>        （3）投标单位风险：投标单位风险是本次公开招标采购中的主要风险之一。投标单位风险主要体现在以下几个方面：一是投标单位本身生产能力达不到，但是却恶意拉低投标价格，以低价格中标之后再在生产中通过不良手段降低产品生产成本，提高利润，损害招标单位的行为；二是投标单位相互串通，实施围标、窜标等违法行为；三是投标单位与企业招标人员相互勾结，通过串通的方式拿到标底价格，进行恶意竞争，影响企业公开招标活动的实施。</w:t>
      </w:r>
      <w:r>
        <w:rPr>
          <w:rFonts w:hint="eastAsia" w:ascii="仿宋_GB2312" w:hAnsi="仿宋_GB2312" w:eastAsia="仿宋_GB2312" w:cs="仿宋_GB2312"/>
          <w:b w:val="0"/>
          <w:bCs w:val="0"/>
          <w:color w:val="auto"/>
          <w:kern w:val="0"/>
          <w:sz w:val="31"/>
          <w:szCs w:val="31"/>
          <w:lang w:val="en-US" w:eastAsia="zh-CN" w:bidi="ar"/>
        </w:rPr>
        <w:br w:type="textWrapping"/>
      </w:r>
      <w:r>
        <w:rPr>
          <w:rFonts w:hint="eastAsia" w:ascii="仿宋_GB2312" w:hAnsi="仿宋_GB2312" w:eastAsia="仿宋_GB2312" w:cs="仿宋_GB2312"/>
          <w:b w:val="0"/>
          <w:bCs w:val="0"/>
          <w:color w:val="auto"/>
          <w:kern w:val="0"/>
          <w:sz w:val="31"/>
          <w:szCs w:val="31"/>
          <w:lang w:val="en-US" w:eastAsia="zh-CN" w:bidi="ar"/>
        </w:rPr>
        <w:t>       （4）质量安全风险：中标单位没有按照标书中的产品技术标准进行供货，向采购人提供不符合要求的图书；后期中标单位提供的图书不符合采购人实际需求。</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（六）该项目无需开展需求调查</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六、采购标的的验收标准</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验收主体</w:t>
      </w:r>
      <w:r>
        <w:rPr>
          <w:rFonts w:hint="eastAsia" w:ascii="仿宋_GB2312" w:hAnsi="仿宋_GB2312" w:eastAsia="仿宋_GB2312" w:cs="仿宋_GB2312"/>
          <w:b w:val="0"/>
          <w:bCs w:val="0"/>
          <w:color w:val="000000"/>
          <w:kern w:val="0"/>
          <w:sz w:val="31"/>
          <w:szCs w:val="31"/>
          <w:lang w:val="en-US" w:eastAsia="zh-CN" w:bidi="ar"/>
        </w:rPr>
        <w:t>：</w:t>
      </w:r>
      <w:r>
        <w:rPr>
          <w:rFonts w:hint="eastAsia" w:ascii="仿宋_GB2312" w:hAnsi="仿宋_GB2312" w:eastAsia="仿宋_GB2312" w:cs="仿宋_GB2312"/>
          <w:b w:val="0"/>
          <w:bCs w:val="0"/>
          <w:color w:val="auto"/>
          <w:kern w:val="0"/>
          <w:sz w:val="31"/>
          <w:szCs w:val="31"/>
          <w:lang w:val="en-US" w:eastAsia="zh-CN" w:bidi="ar"/>
        </w:rPr>
        <w:t>采购人</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时间</w:t>
      </w:r>
      <w:r>
        <w:rPr>
          <w:rFonts w:hint="eastAsia" w:ascii="仿宋_GB2312" w:hAnsi="仿宋_GB2312" w:eastAsia="仿宋_GB2312" w:cs="仿宋_GB2312"/>
          <w:b w:val="0"/>
          <w:bCs w:val="0"/>
          <w:color w:val="000000"/>
          <w:kern w:val="0"/>
          <w:sz w:val="31"/>
          <w:szCs w:val="31"/>
          <w:lang w:val="en-US" w:eastAsia="zh-CN" w:bidi="ar"/>
        </w:rPr>
        <w:t>：签订合同后10日内</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方式</w:t>
      </w:r>
      <w:r>
        <w:rPr>
          <w:rFonts w:hint="eastAsia" w:ascii="仿宋_GB2312" w:hAnsi="仿宋_GB2312" w:eastAsia="仿宋_GB2312" w:cs="仿宋_GB2312"/>
          <w:b w:val="0"/>
          <w:bCs w:val="0"/>
          <w:color w:val="000000"/>
          <w:kern w:val="0"/>
          <w:sz w:val="31"/>
          <w:szCs w:val="31"/>
          <w:lang w:val="en-US" w:eastAsia="zh-CN" w:bidi="ar"/>
        </w:rPr>
        <w:t>：投标人按采购人提出的书目及包装要求，将图书及时送交到采购人指定的具体地点，为此所发生的费用全部由投标人承担。每批到货图书应附送一式二份的批销明细清单（包括批次号、品种总数、总册数等）；每包图书应附送一份验收清单（包括批次号、种数、册数、书名、出版社、单价、总价等）。采购人对图书进行100%验收,送交到采购人的图书若验收时发现有盗版、污损，图文不清，缺页，倒页，缺附件等质量不合格的图书，以及与订单不符的图书，一律予以退货（不能以已加工为理由拒绝），由此造成的损失及费用全部由投标人承担。如发现有盗版或侵犯他人知识产权的图书，中标人应无条件接受退货，所引起的一切法律责任和经济损失概由中标人负责。</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验收</w:t>
      </w:r>
      <w:r>
        <w:rPr>
          <w:rFonts w:ascii="仿宋_GB2312" w:hAnsi="仿宋_GB2312" w:eastAsia="仿宋_GB2312" w:cs="仿宋_GB2312"/>
          <w:b w:val="0"/>
          <w:bCs w:val="0"/>
          <w:color w:val="000000"/>
          <w:kern w:val="0"/>
          <w:sz w:val="31"/>
          <w:szCs w:val="31"/>
          <w:lang w:val="en-US" w:eastAsia="zh-CN" w:bidi="ar"/>
        </w:rPr>
        <w:t>内容</w:t>
      </w:r>
      <w:r>
        <w:rPr>
          <w:rFonts w:hint="eastAsia" w:ascii="仿宋_GB2312" w:hAnsi="仿宋_GB2312" w:eastAsia="仿宋_GB2312" w:cs="仿宋_GB2312"/>
          <w:b w:val="0"/>
          <w:bCs w:val="0"/>
          <w:color w:val="000000"/>
          <w:kern w:val="0"/>
          <w:sz w:val="31"/>
          <w:szCs w:val="31"/>
          <w:lang w:val="en-US" w:eastAsia="zh-CN" w:bidi="ar"/>
        </w:rPr>
        <w:t>：初中小学图书</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验收标准</w:t>
      </w:r>
      <w:r>
        <w:rPr>
          <w:rFonts w:hint="eastAsia" w:ascii="仿宋_GB2312" w:hAnsi="仿宋_GB2312" w:eastAsia="仿宋_GB2312" w:cs="仿宋_GB2312"/>
          <w:b w:val="0"/>
          <w:bCs w:val="0"/>
          <w:color w:val="000000"/>
          <w:kern w:val="0"/>
          <w:sz w:val="31"/>
          <w:szCs w:val="31"/>
          <w:lang w:val="en-US" w:eastAsia="zh-CN" w:bidi="ar"/>
        </w:rPr>
        <w:t>：经检验达到合格标准。</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七、采购标的的其他技术、服务等要求：</w:t>
      </w:r>
      <w:r>
        <w:rPr>
          <w:rFonts w:hint="eastAsia" w:ascii="仿宋_GB2312" w:hAnsi="仿宋_GB2312" w:eastAsia="仿宋_GB2312" w:cs="仿宋_GB2312"/>
          <w:b w:val="0"/>
          <w:bCs w:val="0"/>
          <w:color w:val="000000"/>
          <w:kern w:val="0"/>
          <w:sz w:val="31"/>
          <w:szCs w:val="31"/>
          <w:lang w:val="en-US" w:eastAsia="zh-CN" w:bidi="ar"/>
        </w:rPr>
        <w:t>无</w:t>
      </w:r>
    </w:p>
    <w:p>
      <w:pPr>
        <w:keepNext w:val="0"/>
        <w:keepLines w:val="0"/>
        <w:widowControl/>
        <w:suppressLineNumbers w:val="0"/>
        <w:ind w:firstLine="622"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八、需要满足的其他技术规格要求</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1、货物名称：图书</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2、维保期限：售后、保质期为一年</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3、货物使用单位：莎车县教育局</w:t>
      </w:r>
    </w:p>
    <w:p>
      <w:pPr>
        <w:keepNext w:val="0"/>
        <w:keepLines w:val="0"/>
        <w:widowControl/>
        <w:suppressLineNumbers w:val="0"/>
        <w:ind w:firstLine="620" w:firstLineChars="2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4、维保用途说明：图书维护</w:t>
      </w:r>
    </w:p>
    <w:p>
      <w:pPr>
        <w:keepNext w:val="0"/>
        <w:keepLines w:val="0"/>
        <w:widowControl/>
        <w:suppressLineNumbers w:val="0"/>
        <w:ind w:firstLine="620" w:firstLineChars="200"/>
        <w:jc w:val="both"/>
        <w:rPr>
          <w:rFonts w:hint="eastAsia"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5、维保服务参数要求：中标投标单位应保证所供应图书装帧质量、印刷质量合格，若新书一年内开裂、掉页，采购人有权全部退货。</w:t>
      </w:r>
    </w:p>
    <w:p>
      <w:pPr>
        <w:pStyle w:val="4"/>
        <w:numPr>
          <w:ilvl w:val="0"/>
          <w:numId w:val="0"/>
        </w:numPr>
        <w:jc w:val="right"/>
        <w:rPr>
          <w:rFonts w:hint="eastAsia" w:ascii="仿宋_GB2312" w:hAnsi="仿宋_GB2312" w:eastAsia="仿宋_GB2312" w:cs="仿宋_GB2312"/>
          <w:b w:val="0"/>
          <w:bCs w:val="0"/>
          <w:color w:val="000000"/>
          <w:kern w:val="0"/>
          <w:sz w:val="31"/>
          <w:szCs w:val="31"/>
          <w:lang w:val="en-US" w:eastAsia="zh-CN" w:bidi="ar"/>
        </w:rPr>
      </w:pPr>
    </w:p>
    <w:p>
      <w:pPr>
        <w:pStyle w:val="4"/>
        <w:numPr>
          <w:ilvl w:val="0"/>
          <w:numId w:val="0"/>
        </w:numPr>
        <w:jc w:val="right"/>
        <w:rPr>
          <w:rFonts w:hint="eastAsia" w:ascii="仿宋_GB2312" w:hAnsi="仿宋_GB2312" w:eastAsia="仿宋_GB2312" w:cs="仿宋_GB2312"/>
          <w:b w:val="0"/>
          <w:bCs w:val="0"/>
          <w:color w:val="000000"/>
          <w:kern w:val="0"/>
          <w:sz w:val="31"/>
          <w:szCs w:val="31"/>
          <w:lang w:val="en-US" w:eastAsia="zh-CN" w:bidi="ar"/>
        </w:rPr>
      </w:pPr>
    </w:p>
    <w:p>
      <w:pPr>
        <w:pStyle w:val="4"/>
        <w:numPr>
          <w:ilvl w:val="0"/>
          <w:numId w:val="0"/>
        </w:numPr>
        <w:jc w:val="right"/>
        <w:rPr>
          <w:rFonts w:hint="eastAsia" w:ascii="仿宋_GB2312" w:hAnsi="仿宋_GB2312" w:eastAsia="仿宋_GB2312" w:cs="仿宋_GB2312"/>
          <w:b w:val="0"/>
          <w:bCs w:val="0"/>
          <w:color w:val="000000"/>
          <w:kern w:val="0"/>
          <w:sz w:val="31"/>
          <w:szCs w:val="31"/>
          <w:lang w:val="en-US" w:eastAsia="zh-CN" w:bidi="ar"/>
        </w:rPr>
      </w:pPr>
    </w:p>
    <w:p>
      <w:pPr>
        <w:pStyle w:val="4"/>
        <w:numPr>
          <w:ilvl w:val="0"/>
          <w:numId w:val="0"/>
        </w:numPr>
        <w:jc w:val="right"/>
        <w:rPr>
          <w:rFonts w:hint="eastAsia" w:ascii="仿宋_GB2312" w:hAnsi="仿宋_GB2312" w:eastAsia="仿宋_GB2312" w:cs="仿宋_GB2312"/>
          <w:b w:val="0"/>
          <w:bCs w:val="0"/>
          <w:color w:val="000000"/>
          <w:kern w:val="0"/>
          <w:sz w:val="31"/>
          <w:szCs w:val="31"/>
          <w:lang w:val="en-US" w:eastAsia="zh-CN" w:bidi="ar"/>
        </w:rPr>
      </w:pPr>
      <w:bookmarkStart w:id="0" w:name="_GoBack"/>
      <w:bookmarkEnd w:id="0"/>
    </w:p>
    <w:p>
      <w:pPr>
        <w:pStyle w:val="4"/>
        <w:numPr>
          <w:ilvl w:val="0"/>
          <w:numId w:val="0"/>
        </w:numPr>
        <w:jc w:val="center"/>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采 购 单 位：莎车县教育局</w:t>
      </w:r>
    </w:p>
    <w:p>
      <w:pPr>
        <w:pStyle w:val="4"/>
        <w:numPr>
          <w:ilvl w:val="0"/>
          <w:numId w:val="0"/>
        </w:numPr>
        <w:ind w:firstLine="620" w:firstLineChars="200"/>
        <w:jc w:val="right"/>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2021年8月16日</w:t>
      </w:r>
    </w:p>
    <w:p>
      <w:pPr>
        <w:keepNext w:val="0"/>
        <w:keepLines w:val="0"/>
        <w:widowControl/>
        <w:suppressLineNumbers w:val="0"/>
        <w:ind w:firstLine="620" w:firstLineChars="200"/>
        <w:jc w:val="both"/>
        <w:rPr>
          <w:rFonts w:ascii="仿宋_GB2312" w:hAnsi="仿宋_GB2312" w:eastAsia="仿宋_GB2312" w:cs="仿宋_GB2312"/>
          <w:b w:val="0"/>
          <w:bCs w:val="0"/>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oto Sans Mono CJK JP Regular">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48F729C"/>
    <w:rsid w:val="04911826"/>
    <w:rsid w:val="0A766299"/>
    <w:rsid w:val="0BB330CE"/>
    <w:rsid w:val="0DA21A93"/>
    <w:rsid w:val="126E010B"/>
    <w:rsid w:val="1656228F"/>
    <w:rsid w:val="250B0954"/>
    <w:rsid w:val="33D76E9C"/>
    <w:rsid w:val="371B3004"/>
    <w:rsid w:val="3C7E355F"/>
    <w:rsid w:val="47741A2D"/>
    <w:rsid w:val="485F1214"/>
    <w:rsid w:val="527D0205"/>
    <w:rsid w:val="682C2D0D"/>
    <w:rsid w:val="6F2C48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eastAsia="仿宋_GB2312"/>
      <w:spacing w:val="15"/>
      <w:kern w:val="10"/>
      <w:sz w:val="24"/>
    </w:rPr>
  </w:style>
  <w:style w:type="paragraph" w:styleId="3">
    <w:name w:val="Body Text Indent"/>
    <w:basedOn w:val="1"/>
    <w:unhideWhenUsed/>
    <w:qFormat/>
    <w:uiPriority w:val="0"/>
    <w:pPr>
      <w:spacing w:after="120"/>
      <w:ind w:left="420" w:leftChars="200"/>
    </w:pPr>
  </w:style>
  <w:style w:type="paragraph" w:styleId="4">
    <w:name w:val="Normal Indent"/>
    <w:basedOn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5">
    <w:name w:val="Body Text"/>
    <w:basedOn w:val="1"/>
    <w:next w:val="1"/>
    <w:qFormat/>
    <w:uiPriority w:val="0"/>
    <w:pPr>
      <w:ind w:left="528"/>
    </w:pPr>
    <w:rPr>
      <w:sz w:val="24"/>
      <w:szCs w:val="24"/>
    </w:rPr>
  </w:style>
  <w:style w:type="paragraph" w:styleId="6">
    <w:name w:val="Title"/>
    <w:basedOn w:val="1"/>
    <w:qFormat/>
    <w:uiPriority w:val="0"/>
    <w:pPr>
      <w:spacing w:before="240" w:after="60"/>
      <w:jc w:val="center"/>
      <w:outlineLvl w:val="0"/>
    </w:pPr>
    <w:rPr>
      <w:rFonts w:ascii="Arial" w:hAnsi="Arial" w:cs="Arial"/>
      <w:b/>
      <w:bCs/>
      <w:sz w:val="32"/>
      <w:szCs w:val="32"/>
    </w:rPr>
  </w:style>
  <w:style w:type="paragraph" w:customStyle="1" w:styleId="9">
    <w:name w:val="正文3"/>
    <w:qFormat/>
    <w:uiPriority w:val="99"/>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凉</cp:lastModifiedBy>
  <dcterms:modified xsi:type="dcterms:W3CDTF">2016-12-31T17:49:21Z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986BC928C5A2480F96EB8E1E80BF37A9</vt:lpwstr>
  </property>
</Properties>
</file>