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bCs/>
          <w:i w:val="0"/>
          <w:caps w:val="0"/>
          <w:color w:val="000000"/>
          <w:spacing w:val="0"/>
          <w:w w:val="100"/>
          <w:kern w:val="0"/>
          <w:sz w:val="36"/>
          <w:szCs w:val="36"/>
          <w:lang w:val="en-US" w:eastAsia="zh-CN"/>
        </w:rPr>
      </w:pPr>
      <w:r>
        <w:rPr>
          <w:rFonts w:hint="eastAsia" w:ascii="宋体" w:hAnsi="宋体" w:eastAsia="宋体" w:cs="宋体"/>
          <w:b/>
          <w:bCs/>
          <w:i w:val="0"/>
          <w:caps w:val="0"/>
          <w:color w:val="000000"/>
          <w:spacing w:val="0"/>
          <w:w w:val="100"/>
          <w:kern w:val="0"/>
          <w:sz w:val="36"/>
          <w:szCs w:val="36"/>
          <w:lang w:val="en-US" w:eastAsia="zh-CN"/>
        </w:rPr>
        <w:t>喀什市疾病预防控制中心全自动一体化污水处理系统采购项目第一包设备参数</w:t>
      </w:r>
    </w:p>
    <w:p>
      <w:pPr>
        <w:rPr>
          <w:rFonts w:ascii="宋体" w:hAnsi="宋体"/>
          <w:sz w:val="18"/>
          <w:szCs w:val="18"/>
        </w:rPr>
      </w:pPr>
      <w:r>
        <w:rPr>
          <w:rFonts w:hint="eastAsia" w:ascii="宋体" w:hAnsi="宋体"/>
          <w:sz w:val="18"/>
          <w:szCs w:val="18"/>
        </w:rPr>
        <w:t>设备主要技术参数和配置：</w:t>
      </w:r>
    </w:p>
    <w:tbl>
      <w:tblPr>
        <w:tblStyle w:val="9"/>
        <w:tblW w:w="870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80"/>
        <w:gridCol w:w="1405"/>
        <w:gridCol w:w="3459"/>
        <w:gridCol w:w="872"/>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7" w:type="dxa"/>
            <w:vMerge w:val="restart"/>
            <w:noWrap/>
            <w:vAlign w:val="center"/>
          </w:tcPr>
          <w:p>
            <w:pPr>
              <w:widowControl/>
              <w:spacing w:line="240" w:lineRule="exact"/>
              <w:jc w:val="center"/>
              <w:textAlignment w:val="center"/>
              <w:rPr>
                <w:rFonts w:ascii="新宋体" w:hAnsi="新宋体" w:eastAsia="新宋体" w:cs="新宋体"/>
                <w:b/>
                <w:bCs/>
                <w:color w:val="000000"/>
                <w:sz w:val="21"/>
                <w:szCs w:val="21"/>
              </w:rPr>
            </w:pPr>
            <w:r>
              <w:rPr>
                <w:rFonts w:hint="eastAsia" w:ascii="新宋体" w:hAnsi="新宋体" w:eastAsia="新宋体" w:cs="新宋体"/>
                <w:b/>
                <w:bCs/>
                <w:color w:val="000000"/>
                <w:kern w:val="0"/>
                <w:sz w:val="21"/>
                <w:szCs w:val="21"/>
              </w:rPr>
              <w:t>序号</w:t>
            </w:r>
          </w:p>
        </w:tc>
        <w:tc>
          <w:tcPr>
            <w:tcW w:w="1080" w:type="dxa"/>
            <w:vMerge w:val="restart"/>
            <w:noWrap/>
            <w:vAlign w:val="center"/>
          </w:tcPr>
          <w:p>
            <w:pPr>
              <w:widowControl/>
              <w:spacing w:line="240" w:lineRule="exact"/>
              <w:jc w:val="center"/>
              <w:textAlignment w:val="center"/>
              <w:rPr>
                <w:rFonts w:ascii="新宋体" w:hAnsi="新宋体" w:eastAsia="新宋体" w:cs="新宋体"/>
                <w:b/>
                <w:bCs/>
                <w:color w:val="000000"/>
                <w:sz w:val="21"/>
                <w:szCs w:val="21"/>
              </w:rPr>
            </w:pPr>
            <w:r>
              <w:rPr>
                <w:rFonts w:hint="eastAsia" w:ascii="新宋体" w:hAnsi="新宋体" w:eastAsia="新宋体" w:cs="新宋体"/>
                <w:b/>
                <w:bCs/>
                <w:color w:val="000000"/>
                <w:kern w:val="0"/>
                <w:sz w:val="21"/>
                <w:szCs w:val="21"/>
              </w:rPr>
              <w:t>使用部位</w:t>
            </w:r>
          </w:p>
        </w:tc>
        <w:tc>
          <w:tcPr>
            <w:tcW w:w="1405" w:type="dxa"/>
            <w:vMerge w:val="restart"/>
            <w:noWrap/>
            <w:vAlign w:val="center"/>
          </w:tcPr>
          <w:p>
            <w:pPr>
              <w:widowControl/>
              <w:spacing w:line="240" w:lineRule="exact"/>
              <w:jc w:val="center"/>
              <w:textAlignment w:val="center"/>
              <w:rPr>
                <w:rFonts w:ascii="新宋体" w:hAnsi="新宋体" w:eastAsia="新宋体" w:cs="新宋体"/>
                <w:b/>
                <w:bCs/>
                <w:color w:val="000000"/>
                <w:sz w:val="21"/>
                <w:szCs w:val="21"/>
              </w:rPr>
            </w:pPr>
            <w:r>
              <w:rPr>
                <w:rFonts w:hint="eastAsia" w:ascii="新宋体" w:hAnsi="新宋体" w:eastAsia="新宋体" w:cs="新宋体"/>
                <w:b/>
                <w:bCs/>
                <w:color w:val="000000"/>
                <w:kern w:val="0"/>
                <w:sz w:val="21"/>
                <w:szCs w:val="21"/>
              </w:rPr>
              <w:t>货物名称</w:t>
            </w:r>
          </w:p>
        </w:tc>
        <w:tc>
          <w:tcPr>
            <w:tcW w:w="3459" w:type="dxa"/>
            <w:vMerge w:val="restart"/>
            <w:noWrap/>
            <w:vAlign w:val="center"/>
          </w:tcPr>
          <w:p>
            <w:pPr>
              <w:widowControl/>
              <w:spacing w:line="240" w:lineRule="exact"/>
              <w:jc w:val="center"/>
              <w:textAlignment w:val="center"/>
              <w:rPr>
                <w:rFonts w:ascii="新宋体" w:hAnsi="新宋体" w:eastAsia="新宋体" w:cs="新宋体"/>
                <w:b/>
                <w:bCs/>
                <w:color w:val="000000"/>
                <w:sz w:val="21"/>
                <w:szCs w:val="21"/>
              </w:rPr>
            </w:pPr>
            <w:r>
              <w:rPr>
                <w:rFonts w:hint="eastAsia" w:ascii="新宋体" w:hAnsi="新宋体" w:eastAsia="新宋体" w:cs="新宋体"/>
                <w:b/>
                <w:bCs/>
                <w:color w:val="000000"/>
                <w:kern w:val="0"/>
                <w:sz w:val="21"/>
                <w:szCs w:val="21"/>
              </w:rPr>
              <w:t>主要规格</w:t>
            </w:r>
          </w:p>
        </w:tc>
        <w:tc>
          <w:tcPr>
            <w:tcW w:w="872" w:type="dxa"/>
            <w:vMerge w:val="restart"/>
            <w:noWrap/>
            <w:vAlign w:val="center"/>
          </w:tcPr>
          <w:p>
            <w:pPr>
              <w:widowControl/>
              <w:spacing w:line="240" w:lineRule="exact"/>
              <w:jc w:val="center"/>
              <w:textAlignment w:val="center"/>
              <w:rPr>
                <w:rFonts w:ascii="新宋体" w:hAnsi="新宋体" w:eastAsia="新宋体" w:cs="新宋体"/>
                <w:b/>
                <w:bCs/>
                <w:color w:val="000000"/>
                <w:sz w:val="21"/>
                <w:szCs w:val="21"/>
              </w:rPr>
            </w:pPr>
            <w:r>
              <w:rPr>
                <w:rFonts w:hint="eastAsia" w:ascii="新宋体" w:hAnsi="新宋体" w:eastAsia="新宋体" w:cs="新宋体"/>
                <w:b/>
                <w:bCs/>
                <w:color w:val="000000"/>
                <w:kern w:val="0"/>
                <w:sz w:val="21"/>
                <w:szCs w:val="21"/>
              </w:rPr>
              <w:t>数量</w:t>
            </w:r>
          </w:p>
        </w:tc>
        <w:tc>
          <w:tcPr>
            <w:tcW w:w="1256" w:type="dxa"/>
            <w:vMerge w:val="restart"/>
            <w:noWrap/>
            <w:vAlign w:val="center"/>
          </w:tcPr>
          <w:p>
            <w:pPr>
              <w:widowControl/>
              <w:spacing w:line="240" w:lineRule="exact"/>
              <w:jc w:val="center"/>
              <w:textAlignment w:val="center"/>
              <w:rPr>
                <w:rFonts w:ascii="新宋体" w:hAnsi="新宋体" w:eastAsia="新宋体" w:cs="新宋体"/>
                <w:b/>
                <w:bCs/>
                <w:color w:val="000000"/>
                <w:sz w:val="21"/>
                <w:szCs w:val="21"/>
              </w:rPr>
            </w:pPr>
            <w:r>
              <w:rPr>
                <w:rFonts w:hint="eastAsia" w:ascii="新宋体" w:hAnsi="新宋体" w:eastAsia="新宋体" w:cs="新宋体"/>
                <w:b/>
                <w:bCs/>
                <w:color w:val="000000"/>
                <w:kern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37" w:type="dxa"/>
            <w:vMerge w:val="continue"/>
            <w:noWrap/>
            <w:vAlign w:val="center"/>
          </w:tcPr>
          <w:p>
            <w:pPr>
              <w:spacing w:line="240" w:lineRule="exact"/>
              <w:jc w:val="center"/>
              <w:rPr>
                <w:rFonts w:ascii="新宋体" w:hAnsi="新宋体" w:eastAsia="新宋体" w:cs="新宋体"/>
                <w:color w:val="000000"/>
                <w:sz w:val="18"/>
                <w:szCs w:val="18"/>
              </w:rPr>
            </w:pP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vMerge w:val="continue"/>
            <w:noWrap/>
            <w:vAlign w:val="center"/>
          </w:tcPr>
          <w:p>
            <w:pPr>
              <w:spacing w:line="240" w:lineRule="exact"/>
              <w:jc w:val="center"/>
              <w:rPr>
                <w:rFonts w:ascii="新宋体" w:hAnsi="新宋体" w:eastAsia="新宋体" w:cs="新宋体"/>
                <w:color w:val="000000"/>
                <w:sz w:val="18"/>
                <w:szCs w:val="18"/>
              </w:rPr>
            </w:pPr>
          </w:p>
        </w:tc>
        <w:tc>
          <w:tcPr>
            <w:tcW w:w="3459" w:type="dxa"/>
            <w:vMerge w:val="continue"/>
            <w:noWrap/>
            <w:vAlign w:val="center"/>
          </w:tcPr>
          <w:p>
            <w:pPr>
              <w:spacing w:line="240" w:lineRule="exact"/>
              <w:jc w:val="center"/>
              <w:rPr>
                <w:rFonts w:ascii="新宋体" w:hAnsi="新宋体" w:eastAsia="新宋体" w:cs="新宋体"/>
                <w:color w:val="000000"/>
                <w:sz w:val="18"/>
                <w:szCs w:val="18"/>
              </w:rPr>
            </w:pPr>
          </w:p>
        </w:tc>
        <w:tc>
          <w:tcPr>
            <w:tcW w:w="872" w:type="dxa"/>
            <w:vMerge w:val="continue"/>
            <w:noWrap/>
            <w:vAlign w:val="center"/>
          </w:tcPr>
          <w:p>
            <w:pPr>
              <w:spacing w:line="240" w:lineRule="exact"/>
              <w:jc w:val="center"/>
              <w:rPr>
                <w:rFonts w:ascii="新宋体" w:hAnsi="新宋体" w:eastAsia="新宋体" w:cs="新宋体"/>
                <w:color w:val="000000"/>
                <w:sz w:val="18"/>
                <w:szCs w:val="18"/>
              </w:rPr>
            </w:pPr>
          </w:p>
        </w:tc>
        <w:tc>
          <w:tcPr>
            <w:tcW w:w="1256" w:type="dxa"/>
            <w:vMerge w:val="continue"/>
            <w:noWrap/>
            <w:vAlign w:val="center"/>
          </w:tcPr>
          <w:p>
            <w:pPr>
              <w:spacing w:line="240" w:lineRule="exact"/>
              <w:jc w:val="center"/>
              <w:rPr>
                <w:rFonts w:ascii="新宋体" w:hAnsi="新宋体" w:eastAsia="新宋体" w:cs="新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7" w:type="dxa"/>
            <w:vMerge w:val="continue"/>
            <w:noWrap/>
            <w:vAlign w:val="center"/>
          </w:tcPr>
          <w:p>
            <w:pPr>
              <w:spacing w:line="240" w:lineRule="exact"/>
              <w:jc w:val="center"/>
              <w:rPr>
                <w:rFonts w:ascii="新宋体" w:hAnsi="新宋体" w:eastAsia="新宋体" w:cs="新宋体"/>
                <w:color w:val="000000"/>
                <w:sz w:val="18"/>
                <w:szCs w:val="18"/>
              </w:rPr>
            </w:pP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vMerge w:val="continue"/>
            <w:noWrap/>
            <w:vAlign w:val="center"/>
          </w:tcPr>
          <w:p>
            <w:pPr>
              <w:spacing w:line="240" w:lineRule="exact"/>
              <w:jc w:val="center"/>
              <w:rPr>
                <w:rFonts w:ascii="新宋体" w:hAnsi="新宋体" w:eastAsia="新宋体" w:cs="新宋体"/>
                <w:color w:val="000000"/>
                <w:sz w:val="18"/>
                <w:szCs w:val="18"/>
              </w:rPr>
            </w:pPr>
          </w:p>
        </w:tc>
        <w:tc>
          <w:tcPr>
            <w:tcW w:w="3459" w:type="dxa"/>
            <w:vMerge w:val="continue"/>
            <w:noWrap/>
            <w:vAlign w:val="center"/>
          </w:tcPr>
          <w:p>
            <w:pPr>
              <w:spacing w:line="240" w:lineRule="exact"/>
              <w:jc w:val="center"/>
              <w:rPr>
                <w:rFonts w:ascii="新宋体" w:hAnsi="新宋体" w:eastAsia="新宋体" w:cs="新宋体"/>
                <w:color w:val="000000"/>
                <w:sz w:val="18"/>
                <w:szCs w:val="18"/>
              </w:rPr>
            </w:pPr>
          </w:p>
        </w:tc>
        <w:tc>
          <w:tcPr>
            <w:tcW w:w="872" w:type="dxa"/>
            <w:vMerge w:val="continue"/>
            <w:noWrap/>
            <w:vAlign w:val="center"/>
          </w:tcPr>
          <w:p>
            <w:pPr>
              <w:spacing w:line="240" w:lineRule="exact"/>
              <w:jc w:val="center"/>
              <w:rPr>
                <w:rFonts w:ascii="新宋体" w:hAnsi="新宋体" w:eastAsia="新宋体" w:cs="新宋体"/>
                <w:color w:val="000000"/>
                <w:sz w:val="18"/>
                <w:szCs w:val="18"/>
              </w:rPr>
            </w:pPr>
          </w:p>
        </w:tc>
        <w:tc>
          <w:tcPr>
            <w:tcW w:w="1256" w:type="dxa"/>
            <w:vMerge w:val="continue"/>
            <w:noWrap/>
            <w:vAlign w:val="center"/>
          </w:tcPr>
          <w:p>
            <w:pPr>
              <w:spacing w:line="240" w:lineRule="exact"/>
              <w:jc w:val="center"/>
              <w:rPr>
                <w:rFonts w:ascii="新宋体" w:hAnsi="新宋体" w:eastAsia="新宋体" w:cs="新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37" w:type="dxa"/>
            <w:noWrap/>
            <w:vAlign w:val="center"/>
          </w:tcPr>
          <w:p>
            <w:pPr>
              <w:widowControl/>
              <w:spacing w:line="240" w:lineRule="exact"/>
              <w:jc w:val="center"/>
              <w:textAlignment w:val="center"/>
              <w:rPr>
                <w:rFonts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1</w:t>
            </w:r>
          </w:p>
        </w:tc>
        <w:tc>
          <w:tcPr>
            <w:tcW w:w="1080" w:type="dxa"/>
            <w:vMerge w:val="restart"/>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调节池</w:t>
            </w:r>
          </w:p>
        </w:tc>
        <w:tc>
          <w:tcPr>
            <w:tcW w:w="1405" w:type="dxa"/>
            <w:noWrap/>
            <w:vAlign w:val="center"/>
          </w:tcPr>
          <w:p>
            <w:pPr>
              <w:widowControl/>
              <w:spacing w:line="240" w:lineRule="exact"/>
              <w:jc w:val="center"/>
              <w:textAlignment w:val="center"/>
              <w:rPr>
                <w:rFonts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调节池</w:t>
            </w:r>
          </w:p>
        </w:tc>
        <w:tc>
          <w:tcPr>
            <w:tcW w:w="3459" w:type="dxa"/>
            <w:noWrap/>
            <w:vAlign w:val="center"/>
          </w:tcPr>
          <w:p>
            <w:pPr>
              <w:widowControl/>
              <w:spacing w:line="240" w:lineRule="exact"/>
              <w:textAlignment w:val="center"/>
              <w:rPr>
                <w:rFonts w:ascii="新宋体" w:hAnsi="新宋体" w:eastAsia="新宋体" w:cs="新宋体"/>
                <w:color w:val="000000"/>
                <w:sz w:val="18"/>
                <w:szCs w:val="18"/>
              </w:rPr>
            </w:pPr>
            <w:r>
              <w:rPr>
                <w:rFonts w:hint="eastAsia" w:ascii="新宋体" w:hAnsi="新宋体" w:eastAsia="新宋体" w:cs="新宋体"/>
                <w:color w:val="000000"/>
                <w:sz w:val="18"/>
                <w:szCs w:val="18"/>
              </w:rPr>
              <w:t>30立方碳钢池加防腐</w:t>
            </w:r>
          </w:p>
        </w:tc>
        <w:tc>
          <w:tcPr>
            <w:tcW w:w="872" w:type="dxa"/>
            <w:noWrap/>
            <w:vAlign w:val="center"/>
          </w:tcPr>
          <w:p>
            <w:pPr>
              <w:widowControl/>
              <w:spacing w:line="240" w:lineRule="exact"/>
              <w:jc w:val="center"/>
              <w:textAlignment w:val="center"/>
              <w:rPr>
                <w:rFonts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一套</w:t>
            </w:r>
          </w:p>
        </w:tc>
        <w:tc>
          <w:tcPr>
            <w:tcW w:w="1256" w:type="dxa"/>
            <w:noWrap/>
            <w:vAlign w:val="center"/>
          </w:tcPr>
          <w:p>
            <w:pPr>
              <w:widowControl/>
              <w:spacing w:line="240" w:lineRule="exact"/>
              <w:jc w:val="center"/>
              <w:textAlignment w:val="center"/>
              <w:rPr>
                <w:rFonts w:ascii="新宋体" w:hAnsi="新宋体" w:eastAsia="新宋体" w:cs="新宋体"/>
                <w:color w:val="000000"/>
                <w:kern w:val="0"/>
                <w:sz w:val="21"/>
                <w:szCs w:val="21"/>
              </w:rPr>
            </w:pPr>
            <w:r>
              <w:rPr>
                <w:rFonts w:hint="eastAsia" w:ascii="新宋体" w:hAnsi="新宋体" w:eastAsia="新宋体" w:cs="新宋体"/>
                <w:color w:val="000000"/>
                <w:sz w:val="18"/>
                <w:szCs w:val="18"/>
              </w:rPr>
              <w:t>现场定制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2</w:t>
            </w:r>
          </w:p>
        </w:tc>
        <w:tc>
          <w:tcPr>
            <w:tcW w:w="1080" w:type="dxa"/>
            <w:vMerge w:val="continue"/>
            <w:noWrap/>
            <w:vAlign w:val="center"/>
          </w:tcPr>
          <w:p>
            <w:pPr>
              <w:widowControl/>
              <w:spacing w:line="240" w:lineRule="exact"/>
              <w:jc w:val="center"/>
              <w:textAlignment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机械格栅</w:t>
            </w:r>
          </w:p>
        </w:tc>
        <w:tc>
          <w:tcPr>
            <w:tcW w:w="3459" w:type="dxa"/>
            <w:noWrap/>
            <w:vAlign w:val="center"/>
          </w:tcPr>
          <w:p>
            <w:pPr>
              <w:widowControl/>
              <w:spacing w:line="240" w:lineRule="exact"/>
              <w:textAlignment w:val="center"/>
              <w:rPr>
                <w:rFonts w:ascii="新宋体" w:hAnsi="新宋体" w:eastAsia="新宋体" w:cs="新宋体"/>
                <w:color w:val="000000"/>
                <w:sz w:val="18"/>
                <w:szCs w:val="18"/>
              </w:rPr>
            </w:pPr>
            <w:r>
              <w:rPr>
                <w:rFonts w:hint="eastAsia" w:ascii="新宋体" w:hAnsi="新宋体" w:eastAsia="新宋体" w:cs="新宋体"/>
                <w:color w:val="000000"/>
                <w:sz w:val="18"/>
                <w:szCs w:val="18"/>
              </w:rPr>
              <w:t>自动格栅机成套设备根据现场情况定制</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1套</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3</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潜污泵</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15m³/h、10米 1.1KW</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2台</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4</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液位控制器</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2点式、5m</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个</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5</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真空压力表</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表壳不锈钢、2寸、压力范围0-0.4MPa</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1个</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6</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流量计</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转子流量计、承插连接0-5m³/h、1.2寸</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1个</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7</w:t>
            </w:r>
          </w:p>
        </w:tc>
        <w:tc>
          <w:tcPr>
            <w:tcW w:w="1080" w:type="dxa"/>
            <w:vMerge w:val="restart"/>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厌氧池</w:t>
            </w: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厌氧池组合填料</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弹性立体填料、安装密度80%、比表面积800-5000</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5m³</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8</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厌氧填料支架</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自制/Φ14-6、Φ14镀锌圆钢、6#槽钢</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2.5平米</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9</w:t>
            </w:r>
          </w:p>
        </w:tc>
        <w:tc>
          <w:tcPr>
            <w:tcW w:w="1080" w:type="dxa"/>
            <w:vMerge w:val="restart"/>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好氧池</w:t>
            </w: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好氧填料支架</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自制/Φ14-6、Φ14镀锌圆钢、6#槽钢</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10平米</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10</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好氧组合填料</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弹性立体填料、安装密度80%、比表面积800-5000</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20m³</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11</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曝气盘</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ø200、十字微孔、微孔数4000、溶氧效率30%、气量0.5-3</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20个</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12</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曝气装置</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自制/DN40、配套曝气盘使用、水下PVC</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1台</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13</w:t>
            </w:r>
          </w:p>
        </w:tc>
        <w:tc>
          <w:tcPr>
            <w:tcW w:w="1080" w:type="dxa"/>
            <w:vMerge w:val="restart"/>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沉淀池</w:t>
            </w: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斜管</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Style w:val="12"/>
                <w:rFonts w:hint="eastAsia" w:ascii="新宋体" w:hAnsi="新宋体" w:eastAsia="新宋体" w:cs="新宋体"/>
                <w:sz w:val="18"/>
                <w:szCs w:val="18"/>
              </w:rPr>
              <w:t>ø</w:t>
            </w:r>
            <w:r>
              <w:rPr>
                <w:rFonts w:hint="eastAsia" w:ascii="新宋体" w:hAnsi="新宋体" w:eastAsia="新宋体" w:cs="新宋体"/>
                <w:color w:val="000000"/>
                <w:kern w:val="0"/>
                <w:sz w:val="18"/>
                <w:szCs w:val="18"/>
              </w:rPr>
              <w:t>80*1000*0.8、斜角</w:t>
            </w:r>
            <w:r>
              <w:rPr>
                <w:rStyle w:val="12"/>
                <w:rFonts w:hint="eastAsia" w:ascii="新宋体" w:hAnsi="新宋体" w:eastAsia="新宋体" w:cs="新宋体"/>
                <w:sz w:val="18"/>
                <w:szCs w:val="18"/>
              </w:rPr>
              <w:t>60</w:t>
            </w:r>
            <w:r>
              <w:rPr>
                <w:rFonts w:hint="eastAsia" w:ascii="新宋体" w:hAnsi="新宋体" w:eastAsia="新宋体" w:cs="新宋体"/>
                <w:color w:val="000000"/>
                <w:kern w:val="0"/>
                <w:sz w:val="18"/>
                <w:szCs w:val="18"/>
              </w:rPr>
              <w:t>度、材质</w:t>
            </w:r>
            <w:r>
              <w:rPr>
                <w:rStyle w:val="12"/>
                <w:rFonts w:hint="eastAsia" w:ascii="新宋体" w:hAnsi="新宋体" w:eastAsia="新宋体" w:cs="新宋体"/>
                <w:sz w:val="18"/>
                <w:szCs w:val="18"/>
              </w:rPr>
              <w:t>PP</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1.5m³</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14</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斜管支架</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自制、8＃槽钢</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2.5平米</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15</w:t>
            </w:r>
          </w:p>
        </w:tc>
        <w:tc>
          <w:tcPr>
            <w:tcW w:w="1080" w:type="dxa"/>
            <w:vMerge w:val="continue"/>
            <w:noWrap/>
            <w:vAlign w:val="center"/>
          </w:tcPr>
          <w:p>
            <w:pPr>
              <w:spacing w:line="240" w:lineRule="exact"/>
              <w:jc w:val="center"/>
              <w:rPr>
                <w:rFonts w:ascii="新宋体" w:hAnsi="新宋体" w:eastAsia="新宋体" w:cs="新宋体"/>
                <w:color w:val="000000"/>
                <w:sz w:val="21"/>
                <w:szCs w:val="21"/>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污泥回流泵</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10m³/h、10米 0.75KW</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2台</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17</w:t>
            </w:r>
          </w:p>
        </w:tc>
        <w:tc>
          <w:tcPr>
            <w:tcW w:w="1080"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清水池</w:t>
            </w: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PH调节装置</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自制/0-14、配套PH计PH310 0-14、10L/H</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1台</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18</w:t>
            </w:r>
          </w:p>
        </w:tc>
        <w:tc>
          <w:tcPr>
            <w:tcW w:w="1080"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消毒池</w:t>
            </w: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sz w:val="21"/>
                <w:szCs w:val="21"/>
              </w:rPr>
              <w:t>臭氧消毒器</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100g每小时可调节，安全不易着火</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2台</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17</w:t>
            </w:r>
          </w:p>
        </w:tc>
        <w:tc>
          <w:tcPr>
            <w:tcW w:w="1080" w:type="dxa"/>
            <w:vMerge w:val="restart"/>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设备间</w:t>
            </w:r>
          </w:p>
        </w:tc>
        <w:tc>
          <w:tcPr>
            <w:tcW w:w="1405"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风机</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0.75KW、风量0.65m³/min风压5M、低噪音</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2台</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18</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一体化设备主体</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自制/ 50T/D、    7.5×2.5×2.8m、  6MM、Q235材质+防腐处理</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1台</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19</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PLC电控系统</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自制／DK－10、380V、海为PLC控制、配套触摸屏</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1套</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20</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管阀电缆辅材</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配套现场</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1式</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21</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安装</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配套现场</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1式</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22</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调试</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配套现场</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1式</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23</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人员培训，上墙资料</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配套现场</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1式</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24</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后期维保</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配套现场</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1式</w:t>
            </w:r>
          </w:p>
        </w:tc>
        <w:tc>
          <w:tcPr>
            <w:tcW w:w="1256" w:type="dxa"/>
            <w:noWrap/>
            <w:vAlign w:val="center"/>
          </w:tcPr>
          <w:p>
            <w:pPr>
              <w:spacing w:line="240" w:lineRule="exact"/>
              <w:jc w:val="center"/>
              <w:rPr>
                <w:rFonts w:ascii="新宋体" w:hAnsi="新宋体" w:eastAsia="新宋体" w:cs="新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37"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25</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污水站废气处理</w:t>
            </w:r>
          </w:p>
        </w:tc>
        <w:tc>
          <w:tcPr>
            <w:tcW w:w="3459" w:type="dxa"/>
            <w:noWrap/>
            <w:vAlign w:val="center"/>
          </w:tcPr>
          <w:p>
            <w:pPr>
              <w:widowControl/>
              <w:spacing w:line="240" w:lineRule="exact"/>
              <w:jc w:val="center"/>
              <w:textAlignment w:val="center"/>
              <w:rPr>
                <w:rFonts w:ascii="新宋体" w:hAnsi="新宋体" w:eastAsia="新宋体" w:cs="新宋体"/>
                <w:color w:val="000000"/>
                <w:sz w:val="18"/>
                <w:szCs w:val="18"/>
              </w:rPr>
            </w:pPr>
            <w:r>
              <w:rPr>
                <w:rFonts w:hint="eastAsia" w:ascii="新宋体" w:hAnsi="新宋体" w:eastAsia="新宋体" w:cs="新宋体"/>
                <w:color w:val="000000"/>
                <w:kern w:val="0"/>
                <w:sz w:val="18"/>
                <w:szCs w:val="18"/>
              </w:rPr>
              <w:t>2.2KW、废气处理量1000m³/H、加集气罩、活性炭+光催化</w:t>
            </w:r>
          </w:p>
        </w:tc>
        <w:tc>
          <w:tcPr>
            <w:tcW w:w="872"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1式</w:t>
            </w:r>
          </w:p>
        </w:tc>
        <w:tc>
          <w:tcPr>
            <w:tcW w:w="1256" w:type="dxa"/>
            <w:noWrap/>
            <w:vAlign w:val="center"/>
          </w:tcPr>
          <w:p>
            <w:pPr>
              <w:widowControl/>
              <w:spacing w:line="240" w:lineRule="exact"/>
              <w:jc w:val="center"/>
              <w:textAlignment w:val="center"/>
              <w:rPr>
                <w:rFonts w:ascii="新宋体" w:hAnsi="新宋体" w:eastAsia="新宋体" w:cs="新宋体"/>
                <w:color w:val="000000"/>
                <w:sz w:val="21"/>
                <w:szCs w:val="21"/>
              </w:rPr>
            </w:pPr>
            <w:r>
              <w:rPr>
                <w:rFonts w:hint="eastAsia" w:ascii="新宋体" w:hAnsi="新宋体" w:eastAsia="新宋体" w:cs="新宋体"/>
                <w:color w:val="000000"/>
                <w:kern w:val="0"/>
                <w:sz w:val="21"/>
                <w:szCs w:val="21"/>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37" w:type="dxa"/>
            <w:noWrap/>
            <w:vAlign w:val="center"/>
          </w:tcPr>
          <w:p>
            <w:pPr>
              <w:widowControl/>
              <w:spacing w:line="240" w:lineRule="exact"/>
              <w:jc w:val="center"/>
              <w:textAlignment w:val="center"/>
              <w:rPr>
                <w:rFonts w:ascii="新宋体" w:hAnsi="新宋体" w:eastAsia="新宋体" w:cs="新宋体"/>
                <w:color w:val="000000"/>
                <w:kern w:val="0"/>
                <w:sz w:val="18"/>
                <w:szCs w:val="18"/>
              </w:rPr>
            </w:pPr>
            <w:r>
              <w:rPr>
                <w:rFonts w:hint="eastAsia" w:ascii="新宋体" w:hAnsi="新宋体" w:eastAsia="新宋体" w:cs="新宋体"/>
                <w:color w:val="000000"/>
                <w:kern w:val="0"/>
                <w:sz w:val="18"/>
                <w:szCs w:val="18"/>
              </w:rPr>
              <w:t>26</w:t>
            </w:r>
          </w:p>
        </w:tc>
        <w:tc>
          <w:tcPr>
            <w:tcW w:w="1080" w:type="dxa"/>
            <w:vMerge w:val="continue"/>
            <w:noWrap/>
            <w:vAlign w:val="center"/>
          </w:tcPr>
          <w:p>
            <w:pPr>
              <w:spacing w:line="240" w:lineRule="exact"/>
              <w:jc w:val="center"/>
              <w:rPr>
                <w:rFonts w:ascii="新宋体" w:hAnsi="新宋体" w:eastAsia="新宋体" w:cs="新宋体"/>
                <w:color w:val="000000"/>
                <w:sz w:val="18"/>
                <w:szCs w:val="18"/>
              </w:rPr>
            </w:pPr>
          </w:p>
        </w:tc>
        <w:tc>
          <w:tcPr>
            <w:tcW w:w="1405" w:type="dxa"/>
            <w:noWrap/>
            <w:vAlign w:val="center"/>
          </w:tcPr>
          <w:p>
            <w:pPr>
              <w:widowControl/>
              <w:spacing w:line="240" w:lineRule="exact"/>
              <w:jc w:val="center"/>
              <w:textAlignment w:val="center"/>
              <w:rPr>
                <w:rFonts w:ascii="新宋体" w:hAnsi="新宋体" w:eastAsia="新宋体" w:cs="新宋体"/>
                <w:color w:val="000000"/>
                <w:kern w:val="0"/>
                <w:sz w:val="18"/>
                <w:szCs w:val="18"/>
              </w:rPr>
            </w:pPr>
            <w:r>
              <w:rPr>
                <w:rFonts w:hint="eastAsia" w:ascii="新宋体" w:hAnsi="新宋体" w:eastAsia="新宋体" w:cs="新宋体"/>
                <w:color w:val="000000"/>
                <w:kern w:val="0"/>
                <w:sz w:val="18"/>
                <w:szCs w:val="18"/>
              </w:rPr>
              <w:t>废气管道</w:t>
            </w:r>
          </w:p>
        </w:tc>
        <w:tc>
          <w:tcPr>
            <w:tcW w:w="3459" w:type="dxa"/>
            <w:noWrap/>
            <w:vAlign w:val="center"/>
          </w:tcPr>
          <w:p>
            <w:pPr>
              <w:widowControl/>
              <w:spacing w:line="240" w:lineRule="exact"/>
              <w:jc w:val="center"/>
              <w:textAlignment w:val="center"/>
              <w:rPr>
                <w:rFonts w:ascii="新宋体" w:hAnsi="新宋体" w:eastAsia="新宋体" w:cs="新宋体"/>
                <w:color w:val="000000"/>
                <w:kern w:val="0"/>
                <w:sz w:val="18"/>
                <w:szCs w:val="18"/>
              </w:rPr>
            </w:pPr>
            <w:r>
              <w:rPr>
                <w:rFonts w:hint="eastAsia" w:ascii="新宋体" w:hAnsi="新宋体" w:eastAsia="新宋体" w:cs="新宋体"/>
                <w:color w:val="000000"/>
                <w:kern w:val="0"/>
                <w:sz w:val="18"/>
                <w:szCs w:val="18"/>
              </w:rPr>
              <w:t>Pvc200</w:t>
            </w:r>
          </w:p>
        </w:tc>
        <w:tc>
          <w:tcPr>
            <w:tcW w:w="872" w:type="dxa"/>
            <w:noWrap/>
            <w:vAlign w:val="center"/>
          </w:tcPr>
          <w:p>
            <w:pPr>
              <w:widowControl/>
              <w:spacing w:line="240" w:lineRule="exact"/>
              <w:jc w:val="center"/>
              <w:textAlignment w:val="center"/>
              <w:rPr>
                <w:rFonts w:ascii="新宋体" w:hAnsi="新宋体" w:eastAsia="新宋体" w:cs="新宋体"/>
                <w:color w:val="000000"/>
                <w:kern w:val="0"/>
                <w:sz w:val="21"/>
                <w:szCs w:val="21"/>
              </w:rPr>
            </w:pPr>
            <w:r>
              <w:rPr>
                <w:rFonts w:hint="eastAsia" w:ascii="新宋体" w:hAnsi="新宋体" w:eastAsia="新宋体" w:cs="新宋体"/>
                <w:color w:val="000000"/>
                <w:kern w:val="0"/>
                <w:sz w:val="21"/>
                <w:szCs w:val="21"/>
              </w:rPr>
              <w:t>35米</w:t>
            </w:r>
          </w:p>
        </w:tc>
        <w:tc>
          <w:tcPr>
            <w:tcW w:w="1256" w:type="dxa"/>
            <w:noWrap/>
            <w:vAlign w:val="center"/>
          </w:tcPr>
          <w:p>
            <w:pPr>
              <w:widowControl/>
              <w:spacing w:line="240" w:lineRule="exact"/>
              <w:jc w:val="center"/>
              <w:textAlignment w:val="center"/>
              <w:rPr>
                <w:rFonts w:ascii="新宋体" w:hAnsi="新宋体" w:eastAsia="新宋体" w:cs="新宋体"/>
                <w:color w:val="000000"/>
                <w:kern w:val="0"/>
                <w:sz w:val="21"/>
                <w:szCs w:val="21"/>
              </w:rPr>
            </w:pPr>
          </w:p>
        </w:tc>
      </w:tr>
    </w:tbl>
    <w:p>
      <w:pPr>
        <w:spacing w:line="240" w:lineRule="exact"/>
        <w:jc w:val="center"/>
        <w:rPr>
          <w:rFonts w:ascii="新宋体" w:hAnsi="新宋体" w:eastAsia="新宋体" w:cs="新宋体"/>
          <w:b/>
          <w:sz w:val="21"/>
          <w:szCs w:val="21"/>
        </w:rPr>
      </w:pPr>
    </w:p>
    <w:p>
      <w:pPr>
        <w:spacing w:line="240" w:lineRule="exact"/>
        <w:jc w:val="center"/>
        <w:rPr>
          <w:rFonts w:ascii="新宋体" w:hAnsi="新宋体" w:eastAsia="新宋体" w:cs="新宋体"/>
          <w:b/>
          <w:sz w:val="21"/>
          <w:szCs w:val="21"/>
        </w:rPr>
      </w:pPr>
    </w:p>
    <w:p>
      <w:pPr>
        <w:spacing w:line="240" w:lineRule="exact"/>
        <w:jc w:val="center"/>
        <w:rPr>
          <w:rFonts w:ascii="新宋体" w:hAnsi="新宋体" w:eastAsia="新宋体" w:cs="新宋体"/>
          <w:b/>
          <w:sz w:val="21"/>
          <w:szCs w:val="21"/>
        </w:rPr>
      </w:pPr>
    </w:p>
    <w:p>
      <w:pPr>
        <w:spacing w:line="240" w:lineRule="exact"/>
        <w:rPr>
          <w:rFonts w:ascii="新宋体" w:hAnsi="新宋体" w:eastAsia="新宋体" w:cs="新宋体"/>
          <w:sz w:val="21"/>
          <w:szCs w:val="21"/>
        </w:rPr>
      </w:pPr>
    </w:p>
    <w:p>
      <w:pPr>
        <w:spacing w:line="240" w:lineRule="exact"/>
        <w:jc w:val="right"/>
        <w:rPr>
          <w:rFonts w:ascii="新宋体" w:hAnsi="新宋体" w:eastAsia="新宋体" w:cs="新宋体"/>
          <w:sz w:val="21"/>
          <w:szCs w:val="21"/>
        </w:rPr>
      </w:pPr>
    </w:p>
    <w:p>
      <w:pPr>
        <w:pStyle w:val="3"/>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360" w:lineRule="auto"/>
        <w:ind w:right="82"/>
        <w:jc w:val="both"/>
        <w:textAlignment w:val="baseline"/>
        <w:rPr>
          <w:rFonts w:hint="eastAsia" w:ascii="仿宋" w:hAnsi="仿宋" w:eastAsia="仿宋" w:cs="仿宋"/>
          <w:b/>
          <w:bCs/>
          <w:i w:val="0"/>
          <w:caps w:val="0"/>
          <w:color w:val="000000"/>
          <w:spacing w:val="0"/>
          <w:w w:val="100"/>
          <w:kern w:val="0"/>
          <w:sz w:val="32"/>
          <w:szCs w:val="32"/>
          <w:lang w:val="en-US" w:eastAsia="zh-CN"/>
        </w:rPr>
      </w:pPr>
      <w:r>
        <w:rPr>
          <w:rFonts w:hint="eastAsia" w:ascii="仿宋" w:hAnsi="仿宋" w:eastAsia="仿宋" w:cs="仿宋"/>
          <w:b/>
          <w:bCs/>
          <w:i w:val="0"/>
          <w:caps w:val="0"/>
          <w:color w:val="000000"/>
          <w:spacing w:val="0"/>
          <w:w w:val="100"/>
          <w:kern w:val="0"/>
          <w:sz w:val="32"/>
          <w:szCs w:val="32"/>
          <w:lang w:val="en-US" w:eastAsia="zh-CN"/>
        </w:rPr>
        <w:t>注：土建部分以现场实际施工情况为准，建议各投标单位前往现场进行实际勘察，具体安装单位为：</w:t>
      </w:r>
    </w:p>
    <w:p>
      <w:pPr>
        <w:pStyle w:val="3"/>
        <w:widowControl w:val="0"/>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240" w:lineRule="auto"/>
        <w:jc w:val="both"/>
        <w:textAlignment w:val="baseline"/>
        <w:rPr>
          <w:rFonts w:hint="eastAsia" w:ascii="仿宋" w:hAnsi="仿宋" w:eastAsia="仿宋" w:cs="仿宋"/>
          <w:b w:val="0"/>
          <w:bCs w:val="0"/>
          <w:i w:val="0"/>
          <w:caps w:val="0"/>
          <w:color w:val="000000"/>
          <w:spacing w:val="0"/>
          <w:w w:val="1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1.</w:t>
      </w:r>
      <w:r>
        <w:rPr>
          <w:rFonts w:hint="eastAsia" w:ascii="仿宋" w:hAnsi="仿宋" w:eastAsia="仿宋" w:cs="仿宋"/>
          <w:b w:val="0"/>
          <w:bCs w:val="0"/>
          <w:i w:val="0"/>
          <w:caps w:val="0"/>
          <w:color w:val="000000"/>
          <w:spacing w:val="0"/>
          <w:w w:val="100"/>
          <w:sz w:val="32"/>
          <w:szCs w:val="32"/>
          <w:lang w:eastAsia="zh-CN"/>
        </w:rPr>
        <w:t>喀什市疾病预防控制中心</w:t>
      </w:r>
      <w:r>
        <w:rPr>
          <w:rFonts w:hint="eastAsia" w:ascii="仿宋" w:hAnsi="仿宋" w:eastAsia="仿宋" w:cs="仿宋"/>
          <w:b w:val="0"/>
          <w:bCs w:val="0"/>
          <w:i w:val="0"/>
          <w:caps w:val="0"/>
          <w:color w:val="000000"/>
          <w:spacing w:val="0"/>
          <w:w w:val="100"/>
          <w:sz w:val="32"/>
          <w:szCs w:val="32"/>
          <w:lang w:val="en-US" w:eastAsia="zh-CN"/>
        </w:rPr>
        <w:t xml:space="preserve">        </w:t>
      </w:r>
    </w:p>
    <w:p>
      <w:pPr>
        <w:snapToGrid w:val="0"/>
        <w:spacing w:before="0" w:beforeAutospacing="0" w:after="0" w:afterAutospacing="0" w:line="240" w:lineRule="auto"/>
        <w:ind w:firstLine="1920" w:firstLineChars="600"/>
        <w:textAlignment w:val="baseline"/>
        <w:rPr>
          <w:rFonts w:hint="eastAsia" w:ascii="仿宋" w:hAnsi="仿宋" w:eastAsia="仿宋" w:cs="仿宋"/>
          <w:b w:val="0"/>
          <w:i w:val="0"/>
          <w:caps w:val="0"/>
          <w:spacing w:val="0"/>
          <w:w w:val="100"/>
          <w:sz w:val="32"/>
          <w:szCs w:val="32"/>
          <w:lang w:val="en-US" w:eastAsia="zh-CN"/>
        </w:rPr>
      </w:pPr>
    </w:p>
    <w:p>
      <w:pPr>
        <w:pStyle w:val="3"/>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360" w:lineRule="auto"/>
        <w:ind w:right="82"/>
        <w:jc w:val="both"/>
        <w:textAlignment w:val="baseline"/>
        <w:rPr>
          <w:rFonts w:hint="eastAsia" w:ascii="仿宋" w:hAnsi="仿宋" w:eastAsia="仿宋" w:cs="仿宋"/>
          <w:b/>
          <w:bCs/>
          <w:i w:val="0"/>
          <w:caps w:val="0"/>
          <w:color w:val="000000"/>
          <w:spacing w:val="0"/>
          <w:w w:val="100"/>
          <w:kern w:val="0"/>
          <w:sz w:val="32"/>
          <w:szCs w:val="32"/>
          <w:lang w:val="en-US" w:eastAsia="zh-CN"/>
        </w:rPr>
      </w:pPr>
      <w:r>
        <w:rPr>
          <w:rFonts w:hint="eastAsia" w:ascii="仿宋" w:hAnsi="仿宋" w:eastAsia="仿宋" w:cs="仿宋"/>
          <w:b/>
          <w:bCs/>
          <w:i w:val="0"/>
          <w:caps w:val="0"/>
          <w:color w:val="000000"/>
          <w:spacing w:val="0"/>
          <w:w w:val="100"/>
          <w:kern w:val="0"/>
          <w:sz w:val="32"/>
          <w:szCs w:val="32"/>
          <w:lang w:val="en-US" w:eastAsia="zh-CN"/>
        </w:rPr>
        <w:t>此次招标内容污水处理设备安装、调试、现场培训、环评报告，环评验收、环保应急预案、环保验收等内容，以上内容不再另行付费均包含在此次招标范围内。</w:t>
      </w:r>
      <w:bookmarkStart w:id="0" w:name="_GoBack"/>
      <w:bookmarkEnd w:id="0"/>
    </w:p>
    <w:p>
      <w:pPr>
        <w:spacing w:line="240" w:lineRule="exact"/>
        <w:rPr>
          <w:rFonts w:ascii="新宋体" w:hAnsi="新宋体" w:eastAsia="新宋体" w:cs="新宋体"/>
          <w:sz w:val="21"/>
          <w:szCs w:val="21"/>
        </w:rPr>
      </w:pPr>
    </w:p>
    <w:p>
      <w:pPr>
        <w:rPr>
          <w:sz w:val="21"/>
          <w:szCs w:val="21"/>
        </w:rPr>
      </w:pPr>
    </w:p>
    <w:sectPr>
      <w:footerReference r:id="rId3" w:type="default"/>
      <w:footerReference r:id="rId4" w:type="even"/>
      <w:pgSz w:w="11906" w:h="16838"/>
      <w:pgMar w:top="1440" w:right="1417" w:bottom="1440" w:left="1417" w:header="851" w:footer="992" w:gutter="0"/>
      <w:pgNumType w:start="0"/>
      <w:cols w:space="0" w:num="1"/>
      <w:titlePg/>
      <w:docGrid w:type="lines" w:linePitch="5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pPr>
      <w:pStyle w:val="6"/>
      <w:ind w:right="360"/>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27D07B3"/>
    <w:rsid w:val="00070070"/>
    <w:rsid w:val="002A3386"/>
    <w:rsid w:val="003B2C9E"/>
    <w:rsid w:val="00614B5E"/>
    <w:rsid w:val="00D45499"/>
    <w:rsid w:val="00EB63D5"/>
    <w:rsid w:val="00F22204"/>
    <w:rsid w:val="128C3E43"/>
    <w:rsid w:val="263F5B3D"/>
    <w:rsid w:val="350D4126"/>
    <w:rsid w:val="527D07B3"/>
    <w:rsid w:val="53310039"/>
    <w:rsid w:val="54832B1F"/>
    <w:rsid w:val="6F205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next w:val="1"/>
    <w:qFormat/>
    <w:uiPriority w:val="0"/>
    <w:pPr>
      <w:pBdr>
        <w:top w:val="none" w:color="auto" w:sz="0" w:space="0"/>
        <w:left w:val="none" w:color="auto" w:sz="0" w:space="0"/>
        <w:bottom w:val="none" w:color="auto" w:sz="0" w:space="0"/>
        <w:right w:val="none" w:color="auto" w:sz="0" w:space="0"/>
        <w:between w:val="none" w:color="auto" w:sz="0" w:space="0"/>
      </w:pBdr>
      <w:spacing w:before="100" w:after="100"/>
      <w:outlineLvl w:val="1"/>
    </w:pPr>
    <w:rPr>
      <w:rFonts w:ascii="宋体" w:hAnsi="宋体" w:eastAsia="宋体" w:cs="宋体"/>
      <w:b/>
      <w:bCs/>
      <w:color w:val="000000"/>
      <w:sz w:val="36"/>
      <w:szCs w:val="36"/>
      <w:u w:color="000000"/>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qFormat/>
    <w:uiPriority w:val="0"/>
    <w:pPr>
      <w:spacing w:line="300" w:lineRule="auto"/>
      <w:ind w:firstLine="360"/>
    </w:pPr>
  </w:style>
  <w:style w:type="paragraph" w:styleId="5">
    <w:name w:val="Body Text Indent 2"/>
    <w:basedOn w:val="1"/>
    <w:qFormat/>
    <w:uiPriority w:val="0"/>
    <w:pPr>
      <w:spacing w:line="300" w:lineRule="auto"/>
      <w:ind w:left="3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qFormat/>
    <w:uiPriority w:val="0"/>
    <w:pPr>
      <w:spacing w:line="300" w:lineRule="auto"/>
      <w:ind w:left="215"/>
    </w:pPr>
  </w:style>
  <w:style w:type="character" w:styleId="11">
    <w:name w:val="page number"/>
    <w:basedOn w:val="10"/>
    <w:qFormat/>
    <w:uiPriority w:val="0"/>
  </w:style>
  <w:style w:type="character" w:customStyle="1" w:styleId="12">
    <w:name w:val="font31"/>
    <w:basedOn w:val="1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179</Words>
  <Characters>1025</Characters>
  <Lines>8</Lines>
  <Paragraphs>2</Paragraphs>
  <TotalTime>1</TotalTime>
  <ScaleCrop>false</ScaleCrop>
  <LinksUpToDate>false</LinksUpToDate>
  <CharactersWithSpaces>1202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2021-07-28T03:19:00Z</dcterms:created>
  <dc:creator>浅笑柔心</dc:creator>
  <cp:lastModifiedBy>Administrator</cp:lastModifiedBy>
  <cp:lastPrinted>2021-07-12T13:02:00Z</cp:lastPrinted>
  <dcterms:modified xsi:type="dcterms:W3CDTF">2021-08-10T11:27:08Z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F905194207D7440B8E68972CEB7E9C1E</vt:lpwstr>
  </property>
</Properties>
</file>