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8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</w:pPr>
      <w:bookmarkStart w:id="0" w:name="_Toc28359001"/>
      <w:bookmarkStart w:id="1" w:name="_Toc35393789"/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疏附县人民医院急救中心及附属配套项目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紧急采购医疗设备一批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公开招标公告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eastAsia="zh-CN"/>
        </w:rPr>
        <w:t>疏附县人民医院急救中心及附属配套项目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紧急采购医疗设备一批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应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，并于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2021年9月9日上午10:00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（北京时间）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前递交投标文件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2" w:name="_Toc28359079"/>
      <w:bookmarkStart w:id="3" w:name="_Toc35393621"/>
      <w:bookmarkStart w:id="4" w:name="_Toc28359002"/>
      <w:bookmarkStart w:id="5" w:name="_Toc35393790"/>
      <w:bookmarkStart w:id="6" w:name="_Hlk24379207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疏附县人民医院急救中心及附属配套项目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紧急采购医疗设备一批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项目编号：21GJ-(GK)059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总预算金额：</w:t>
      </w:r>
      <w:bookmarkEnd w:id="6"/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400万元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240" w:firstLineChars="1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第一包 双立柱DR、多参数监护仪，预算金额：180万元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240" w:firstLineChars="1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第二包 彩色多普勒超声诊断系统、心电图机， 预算金额：220万元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（详细数量规格参数见招标文件）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资金来源：新增中央投资、政府专项债券、援疆资金、上级补助资金、自筹资金等多渠道筹措。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本项目不接受联合体投标。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7" w:name="_Toc28359003"/>
      <w:bookmarkStart w:id="8" w:name="_Toc35393791"/>
      <w:bookmarkStart w:id="9" w:name="_Toc35393622"/>
      <w:bookmarkStart w:id="10" w:name="_Toc28359080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  <w:t>申请人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资格要求：</w:t>
      </w:r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bookmarkStart w:id="11" w:name="_Toc35393792"/>
      <w:bookmarkStart w:id="12" w:name="_Toc35393623"/>
      <w:bookmarkStart w:id="13" w:name="_Toc28359081"/>
      <w:bookmarkStart w:id="14" w:name="_Toc28359004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2.有效的独立法人营业执照；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3.有效的《医疗器械生产许可证》或《医疗器械经营许可证》或二类医疗器械备案凭证和设备医疗器械注册证；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法人代表资格证明书及授权书、被授权人身份证；(法人投标须提供法人身份证及法人代表资格证明书)；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近两年任意一年的财务审计报告（新成立不满</w:t>
      </w:r>
      <w:r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个月可提供银行资信证明）；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6.依法缴纳近6个月任意一个月社会保险的凭据；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7.税务部门出具的近6个月任意一个月的完税证明；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8.参与政府采购活动前3年内未被列入失信、重大税收违法案件、财政部门禁止参加政府采购活动的承诺书；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列入经营异常名录信息、列入行政处罚信息（尚在处罚期内的）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、列入严重违法失信企业名单（黑名单）信息及企业信用信息公示报告；（以招标代理或招标人查询为准）</w:t>
      </w:r>
    </w:p>
    <w:p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10.提供针对本次项目《反商业贿赂承诺书》。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三、获取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线下获取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获取地点：喀什经济开发区深喀大道陕西大厦12楼1208室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4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获取时间：202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日至202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日（上午10： 00-14:00，下午16:00-19:30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节假日休息。）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outlineLvl w:val="9"/>
        <w:rPr>
          <w:rFonts w:hint="default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5" w:name="_Toc28359007"/>
      <w:bookmarkStart w:id="16" w:name="_Toc35393794"/>
      <w:bookmarkStart w:id="17" w:name="_Toc28359084"/>
      <w:bookmarkStart w:id="18" w:name="_Toc35393625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四、投标文件递交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截止时间：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2021年9月9日上午10:00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Cs/>
          <w:color w:val="auto"/>
          <w:sz w:val="24"/>
          <w:szCs w:val="24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点：乌鲁木齐市天山区新华北路258号金谷大酒店三楼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号会议室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9" w:name="_Toc28359093"/>
      <w:bookmarkStart w:id="20" w:name="_Toc35393802"/>
      <w:bookmarkStart w:id="21" w:name="_Toc28359016"/>
      <w:bookmarkStart w:id="22" w:name="_Toc35393633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五、开启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时间：：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2021年9月9日上午10:00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（北京时间）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地点：乌鲁木齐市天山区新华北路258号金谷大酒店三楼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号会议室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、公告期限</w:t>
      </w:r>
      <w:bookmarkEnd w:id="15"/>
      <w:bookmarkEnd w:id="16"/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23" w:name="_Toc28359085"/>
      <w:bookmarkStart w:id="24" w:name="_Toc35393627"/>
      <w:bookmarkStart w:id="25" w:name="_Toc35393796"/>
      <w:bookmarkStart w:id="26" w:name="_Toc28359008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对本次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名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疏附县人民医院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地  址：</w:t>
      </w:r>
      <w:bookmarkStart w:id="27" w:name="_Toc28359086"/>
      <w:bookmarkStart w:id="28" w:name="_Toc28359009"/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疏附县人民医院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 xml:space="preserve"> 程露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电话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 xml:space="preserve"> 18999088578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名 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址：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喀什经济开发区深喀大道陕西大厦12楼1208室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联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系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eastAsia="zh-CN"/>
        </w:rPr>
        <w:t>陈雨丽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18209987338</w:t>
      </w:r>
    </w:p>
    <w:p>
      <w:pPr>
        <w:pStyle w:val="9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新疆共建恒业信息咨询有限责任公司  </w:t>
      </w:r>
    </w:p>
    <w:p>
      <w:pPr>
        <w:pStyle w:val="5"/>
        <w:ind w:firstLine="0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</w:t>
      </w:r>
      <w:bookmarkStart w:id="29" w:name="_GoBack"/>
      <w:bookmarkEnd w:id="29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2021年8月19日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19C"/>
    <w:rsid w:val="05A8670F"/>
    <w:rsid w:val="0B653982"/>
    <w:rsid w:val="12FA438F"/>
    <w:rsid w:val="16706D68"/>
    <w:rsid w:val="1C592718"/>
    <w:rsid w:val="25292978"/>
    <w:rsid w:val="3354504F"/>
    <w:rsid w:val="43B3251A"/>
    <w:rsid w:val="45EC4B32"/>
    <w:rsid w:val="470F5709"/>
    <w:rsid w:val="47733512"/>
    <w:rsid w:val="52A11B1B"/>
    <w:rsid w:val="544E251B"/>
    <w:rsid w:val="546F7AE1"/>
    <w:rsid w:val="5ECB33BF"/>
    <w:rsid w:val="5F7D3565"/>
    <w:rsid w:val="6E7147D4"/>
    <w:rsid w:val="7BE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945</Characters>
  <Paragraphs>54</Paragraphs>
  <TotalTime>18</TotalTime>
  <ScaleCrop>false</ScaleCrop>
  <LinksUpToDate>false</LinksUpToDate>
  <CharactersWithSpaces>1081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2020-10-28T10:34:00Z</dcterms:created>
  <dc:creator>-LEI</dc:creator>
  <cp:lastModifiedBy>0℃</cp:lastModifiedBy>
  <cp:lastPrinted>2021-02-01T04:24:00Z</cp:lastPrinted>
  <dcterms:modified xsi:type="dcterms:W3CDTF">2021-08-19T01:58:13Z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E6A5A2C1213045BB870E48B5FD0BD008</vt:lpwstr>
  </property>
</Properties>
</file>