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44"/>
          <w:szCs w:val="44"/>
          <w:lang w:val="en-US" w:eastAsia="zh-CN" w:bidi="zh-CN"/>
          <w14:textFill>
            <w14:solidFill>
              <w14:schemeClr w14:val="tx1"/>
            </w14:solidFill>
          </w14:textFill>
        </w:rPr>
      </w:pPr>
    </w:p>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44"/>
          <w:szCs w:val="44"/>
          <w:lang w:val="en-US" w:eastAsia="zh-CN" w:bidi="zh-CN"/>
          <w14:textFill>
            <w14:solidFill>
              <w14:schemeClr w14:val="tx1"/>
            </w14:solidFill>
          </w14:textFill>
        </w:rPr>
      </w:pPr>
      <w:r>
        <w:rPr>
          <w:rFonts w:hint="eastAsia" w:ascii="Noto Sans Mono CJK JP Regular" w:hAnsi="Noto Sans Mono CJK JP Regular" w:cs="Noto Sans Mono CJK JP Regular" w:eastAsiaTheme="minorEastAsia"/>
          <w:b/>
          <w:color w:val="000000" w:themeColor="text1"/>
          <w:kern w:val="0"/>
          <w:sz w:val="44"/>
          <w:szCs w:val="44"/>
          <w:lang w:val="en-US" w:eastAsia="zh-CN" w:bidi="zh-CN"/>
          <w14:textFill>
            <w14:solidFill>
              <w14:schemeClr w14:val="tx1"/>
            </w14:solidFill>
          </w14:textFill>
        </w:rPr>
        <w:t>莎车县健康莎车（人民医院急诊综合楼）建设项目-医用气动物流系统采购项目</w:t>
      </w:r>
    </w:p>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44"/>
          <w:szCs w:val="44"/>
          <w:lang w:val="en-US" w:eastAsia="zh-CN" w:bidi="zh-CN"/>
          <w14:textFill>
            <w14:solidFill>
              <w14:schemeClr w14:val="tx1"/>
            </w14:solidFill>
          </w14:textFill>
        </w:rPr>
      </w:pPr>
      <w:r>
        <w:rPr>
          <w:rFonts w:hint="eastAsia" w:ascii="Noto Sans Mono CJK JP Regular" w:hAnsi="Noto Sans Mono CJK JP Regular" w:cs="Noto Sans Mono CJK JP Regular" w:eastAsiaTheme="minorEastAsia"/>
          <w:b/>
          <w:color w:val="000000" w:themeColor="text1"/>
          <w:kern w:val="0"/>
          <w:sz w:val="44"/>
          <w:szCs w:val="44"/>
          <w:lang w:val="en-US" w:eastAsia="zh-CN" w:bidi="zh-CN"/>
          <w14:textFill>
            <w14:solidFill>
              <w14:schemeClr w14:val="tx1"/>
            </w14:solidFill>
          </w14:textFill>
        </w:rPr>
        <w:t>采购需求书</w:t>
      </w:r>
    </w:p>
    <w:p>
      <w:pPr>
        <w:pStyle w:val="9"/>
        <w:rPr>
          <w:rFonts w:hint="default"/>
          <w:lang w:val="en-US" w:eastAsia="zh-CN"/>
        </w:rPr>
      </w:pP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给急诊综合楼各个楼层之间安装气动物流系统，使各楼层之间的药物及手术必备品递交能够第一时间送达患者身边，将救治患者的时间大幅度缩小。</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2"/>
        <w:rPr>
          <w:rFonts w:hint="eastAsia" w:ascii="宋体" w:hAnsi="宋体" w:eastAsia="宋体" w:cs="Calibri"/>
          <w:spacing w:val="15"/>
          <w:kern w:val="10"/>
          <w:sz w:val="24"/>
          <w:szCs w:val="24"/>
          <w:lang w:val="en-US" w:eastAsia="zh-CN" w:bidi="ar-SA"/>
        </w:rPr>
      </w:pPr>
      <w:r>
        <w:rPr>
          <w:rFonts w:hint="eastAsia" w:ascii="仿宋_GB2312" w:hAnsi="仿宋_GB2312" w:eastAsia="仿宋_GB2312" w:cs="仿宋_GB2312"/>
          <w:b w:val="0"/>
          <w:bCs w:val="0"/>
          <w:color w:val="000000"/>
          <w:kern w:val="0"/>
          <w:sz w:val="31"/>
          <w:szCs w:val="31"/>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二、供应商资格</w:t>
      </w:r>
    </w:p>
    <w:p>
      <w:pPr>
        <w:pStyle w:val="7"/>
        <w:spacing w:before="30" w:beforeAutospacing="0" w:after="30" w:afterAutospacing="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1、满足《中华人民共和国政府采购法》第二十二条规定； </w:t>
      </w:r>
    </w:p>
    <w:p>
      <w:pPr>
        <w:pStyle w:val="7"/>
        <w:spacing w:before="30" w:beforeAutospacing="0" w:after="30" w:afterAutospacing="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2、具有合格有效的营业执照（三证合一）；</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3、法人代表参加投标应携带《法定代表人身份证明》原件及身份证原件；委托代理人参加投标应提供法人授权委托书原件、法人身份证复印件及被授权委托人身份证原件；</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4、被授权委托人在本单位缴纳的近四个月的社保证明（单位社保缴费凭证和个人明细表）；（新公司提供成立至今的单位社保缴费凭证和个人明细表）；</w:t>
      </w:r>
    </w:p>
    <w:p>
      <w:pPr>
        <w:pStyle w:val="7"/>
        <w:spacing w:before="30" w:beforeAutospacing="0" w:after="30" w:afterAutospacing="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5、税务部门出具的近四月的完税证明；</w:t>
      </w:r>
    </w:p>
    <w:p>
      <w:pPr>
        <w:pStyle w:val="7"/>
        <w:spacing w:before="30" w:beforeAutospacing="0" w:after="30" w:afterAutospacing="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6、2020年度财务审计报告（新成立公司具备有效期内的银行资信证明）；</w:t>
      </w:r>
    </w:p>
    <w:p>
      <w:pPr>
        <w:pStyle w:val="7"/>
        <w:spacing w:before="30" w:beforeAutospacing="0" w:after="30" w:afterAutospacing="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 具有履行合同所必需的设备和专业技术能力的证明材料；</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8、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本次政府采购活动。供应商须提供本单位在“信用中国”网站（www.creditchina.gov.cn）、中国政府采购网（www.ccgp.gov.cn）、国家企业信用信息公示系统（http://www.gsxt.gov.cn）、中国裁判文书网（http://wenshu.court.gov.cn/）查询单位、法定代表人、项目负责人）已公布的信用记录查询截图；（注：提供的查询记录为公告发布之日起的截图，时间不清楚的为无效截图）。</w:t>
      </w:r>
      <w:r>
        <w:rPr>
          <w:rFonts w:hint="default" w:ascii="仿宋_GB2312" w:hAnsi="仿宋_GB2312" w:eastAsia="仿宋_GB2312" w:cs="仿宋_GB2312"/>
          <w:b w:val="0"/>
          <w:bCs w:val="0"/>
          <w:color w:val="000000"/>
          <w:kern w:val="0"/>
          <w:sz w:val="31"/>
          <w:szCs w:val="31"/>
          <w:lang w:val="en-US" w:eastAsia="zh-CN" w:bidi="ar"/>
        </w:rPr>
        <w:t> </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9、投标单位（供应商）具有本单位在参加政府采购活动中前三年内无重大违法记录的承诺书；</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10、投标单位（供应商）具备针对本次采购项目的《反商业贿赂承诺书》；</w:t>
      </w:r>
      <w:r>
        <w:rPr>
          <w:rFonts w:hint="eastAsia" w:ascii="仿宋_GB2312" w:hAnsi="仿宋_GB2312" w:eastAsia="仿宋_GB2312" w:cs="仿宋_GB2312"/>
          <w:b w:val="0"/>
          <w:bCs w:val="0"/>
          <w:color w:val="000000"/>
          <w:kern w:val="0"/>
          <w:sz w:val="31"/>
          <w:szCs w:val="31"/>
          <w:lang w:val="en-US" w:eastAsia="zh-CN" w:bidi="ar"/>
        </w:rPr>
        <w:br w:type="textWrapping"/>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w:t>
      </w:r>
    </w:p>
    <w:p>
      <w:pPr>
        <w:pStyle w:val="2"/>
        <w:rPr>
          <w:rFonts w:hint="eastAsia" w:eastAsiaTheme="minorEastAsia"/>
          <w:sz w:val="28"/>
          <w:szCs w:val="28"/>
          <w:lang w:val="en-US" w:eastAsia="zh-CN"/>
        </w:rPr>
      </w:pPr>
      <w:r>
        <w:rPr>
          <w:rFonts w:hint="eastAsia" w:asciiTheme="minorEastAsia" w:hAnsiTheme="minorEastAsia" w:eastAsiaTheme="minorEastAsia"/>
          <w:color w:val="auto"/>
          <w:sz w:val="28"/>
          <w:szCs w:val="28"/>
          <w:highlight w:val="none"/>
        </w:rPr>
        <w:t>投标人所投货物均应符合国家强制性标准</w:t>
      </w:r>
      <w:r>
        <w:rPr>
          <w:rFonts w:hint="eastAsia" w:asciiTheme="minorEastAsia" w:hAnsiTheme="minorEastAsia" w:eastAsiaTheme="minorEastAsia"/>
          <w:color w:val="auto"/>
          <w:sz w:val="28"/>
          <w:szCs w:val="28"/>
          <w:highlight w:val="none"/>
          <w:lang w:eastAsia="zh-CN"/>
        </w:rPr>
        <w:t>。</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1、采购内容：急诊综合楼医用气动物流系统一批</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w:t>
      </w:r>
      <w:r>
        <w:rPr>
          <w:rFonts w:ascii="仿宋_GB2312" w:hAnsi="仿宋_GB2312" w:eastAsia="仿宋_GB2312" w:cs="仿宋_GB2312"/>
          <w:b w:val="0"/>
          <w:bCs w:val="0"/>
          <w:color w:val="000000"/>
          <w:kern w:val="0"/>
          <w:sz w:val="31"/>
          <w:szCs w:val="31"/>
          <w:lang w:val="en-US" w:eastAsia="zh-CN" w:bidi="ar"/>
        </w:rPr>
        <w:t>采购项目预（概）算</w:t>
      </w:r>
      <w:r>
        <w:rPr>
          <w:rFonts w:hint="eastAsia" w:ascii="仿宋_GB2312" w:hAnsi="仿宋_GB2312" w:eastAsia="仿宋_GB2312" w:cs="仿宋_GB2312"/>
          <w:b w:val="0"/>
          <w:bCs w:val="0"/>
          <w:color w:val="000000"/>
          <w:kern w:val="0"/>
          <w:sz w:val="31"/>
          <w:szCs w:val="31"/>
          <w:lang w:val="en-US" w:eastAsia="zh-CN" w:bidi="ar"/>
        </w:rPr>
        <w:t>：320万</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最高限价</w:t>
      </w:r>
      <w:r>
        <w:rPr>
          <w:rFonts w:hint="eastAsia" w:ascii="仿宋_GB2312" w:hAnsi="仿宋_GB2312" w:eastAsia="仿宋_GB2312" w:cs="仿宋_GB2312"/>
          <w:b w:val="0"/>
          <w:bCs w:val="0"/>
          <w:color w:val="000000"/>
          <w:kern w:val="0"/>
          <w:sz w:val="31"/>
          <w:szCs w:val="31"/>
          <w:lang w:val="en-US" w:eastAsia="zh-CN" w:bidi="ar"/>
        </w:rPr>
        <w:t>：320万</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开展采购活动的时间安排</w:t>
      </w:r>
      <w:r>
        <w:rPr>
          <w:rFonts w:hint="eastAsia" w:ascii="仿宋_GB2312" w:hAnsi="仿宋_GB2312" w:eastAsia="仿宋_GB2312" w:cs="仿宋_GB2312"/>
          <w:b w:val="0"/>
          <w:bCs w:val="0"/>
          <w:color w:val="000000"/>
          <w:kern w:val="0"/>
          <w:sz w:val="31"/>
          <w:szCs w:val="31"/>
          <w:lang w:val="en-US" w:eastAsia="zh-CN" w:bidi="ar"/>
        </w:rPr>
        <w:t>：2021年9月14日上午11:00(北京时间)</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分散采购-委托</w:t>
      </w:r>
      <w:r>
        <w:rPr>
          <w:rFonts w:hint="eastAsia" w:ascii="仿宋_GB2312" w:hAnsi="仿宋_GB2312" w:eastAsia="仿宋_GB2312" w:cs="仿宋_GB2312"/>
          <w:b w:val="0"/>
          <w:bCs w:val="0"/>
          <w:color w:val="000000"/>
          <w:kern w:val="0"/>
          <w:sz w:val="31"/>
          <w:szCs w:val="31"/>
          <w:lang w:val="en-US" w:eastAsia="zh-CN" w:bidi="ar"/>
        </w:rPr>
        <w:t>社会代理机构</w:t>
      </w:r>
      <w:bookmarkStart w:id="1" w:name="_GoBack"/>
      <w:bookmarkEnd w:id="1"/>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：新疆正格招标代理有限公司</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：无分包</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：公开招标</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：全国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：本项目评标办法采用综合评标价法，将依法组建不少于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keepNext w:val="0"/>
        <w:keepLines w:val="0"/>
        <w:widowControl/>
        <w:suppressLineNumbers w:val="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kern w:val="0"/>
          <w:sz w:val="31"/>
          <w:szCs w:val="31"/>
        </w:rPr>
        <w:t>五、</w:t>
      </w:r>
      <w:r>
        <w:rPr>
          <w:rFonts w:hint="eastAsia" w:ascii="仿宋_GB2312" w:hAnsi="仿宋_GB2312" w:eastAsia="仿宋_GB2312" w:cs="仿宋_GB2312"/>
          <w:b w:val="0"/>
          <w:bCs w:val="0"/>
          <w:color w:val="000000"/>
          <w:kern w:val="0"/>
          <w:sz w:val="31"/>
          <w:szCs w:val="31"/>
          <w:lang w:val="en-US" w:eastAsia="zh-CN" w:bidi="ar"/>
        </w:rPr>
        <w:t>采购标的内容、数量，包括技术要求和商务要求</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采购内容；</w:t>
      </w:r>
    </w:p>
    <w:tbl>
      <w:tblPr>
        <w:tblStyle w:val="10"/>
        <w:tblW w:w="5722" w:type="pct"/>
        <w:tblInd w:w="0" w:type="dxa"/>
        <w:tblLayout w:type="fixed"/>
        <w:tblCellMar>
          <w:top w:w="0" w:type="dxa"/>
          <w:left w:w="108" w:type="dxa"/>
          <w:bottom w:w="0" w:type="dxa"/>
          <w:right w:w="108" w:type="dxa"/>
        </w:tblCellMar>
      </w:tblPr>
      <w:tblGrid>
        <w:gridCol w:w="1295"/>
        <w:gridCol w:w="2264"/>
        <w:gridCol w:w="1417"/>
        <w:gridCol w:w="1978"/>
        <w:gridCol w:w="2567"/>
        <w:gridCol w:w="232"/>
      </w:tblGrid>
      <w:tr>
        <w:tblPrEx>
          <w:tblCellMar>
            <w:top w:w="0" w:type="dxa"/>
            <w:left w:w="108" w:type="dxa"/>
            <w:bottom w:w="0" w:type="dxa"/>
            <w:right w:w="108" w:type="dxa"/>
          </w:tblCellMar>
        </w:tblPrEx>
        <w:trPr>
          <w:gridAfter w:val="1"/>
          <w:wAfter w:w="118" w:type="pct"/>
          <w:trHeight w:val="624" w:hRule="atLeast"/>
        </w:trPr>
        <w:tc>
          <w:tcPr>
            <w:tcW w:w="4881" w:type="pct"/>
            <w:gridSpan w:val="5"/>
            <w:vMerge w:val="restart"/>
            <w:tcBorders>
              <w:top w:val="single" w:color="auto" w:sz="8" w:space="0"/>
              <w:left w:val="single" w:color="auto" w:sz="8" w:space="0"/>
              <w:bottom w:val="nil"/>
              <w:right w:val="single" w:color="000000"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莎车县人民医院气动物流系统站点一览表</w:t>
            </w:r>
          </w:p>
        </w:tc>
      </w:tr>
      <w:tr>
        <w:tblPrEx>
          <w:tblCellMar>
            <w:top w:w="0" w:type="dxa"/>
            <w:left w:w="108" w:type="dxa"/>
            <w:bottom w:w="0" w:type="dxa"/>
            <w:right w:w="108" w:type="dxa"/>
          </w:tblCellMar>
        </w:tblPrEx>
        <w:trPr>
          <w:trHeight w:val="315" w:hRule="atLeast"/>
        </w:trPr>
        <w:tc>
          <w:tcPr>
            <w:tcW w:w="4881" w:type="pct"/>
            <w:gridSpan w:val="5"/>
            <w:vMerge w:val="continue"/>
            <w:tcBorders>
              <w:top w:val="single" w:color="auto" w:sz="8" w:space="0"/>
              <w:left w:val="single" w:color="auto" w:sz="8" w:space="0"/>
              <w:bottom w:val="nil"/>
              <w:right w:val="single" w:color="000000" w:sz="8" w:space="0"/>
            </w:tcBorders>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18" w:type="pct"/>
            <w:tcBorders>
              <w:top w:val="nil"/>
              <w:left w:val="nil"/>
              <w:bottom w:val="nil"/>
              <w:right w:val="nil"/>
            </w:tcBorders>
            <w:shd w:val="clear" w:color="auto" w:fill="auto"/>
            <w:noWrap/>
            <w:vAlign w:val="bottom"/>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single" w:color="auto" w:sz="4" w:space="0"/>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楼层</w:t>
            </w:r>
          </w:p>
        </w:tc>
        <w:tc>
          <w:tcPr>
            <w:tcW w:w="2901" w:type="pct"/>
            <w:gridSpan w:val="3"/>
            <w:tcBorders>
              <w:top w:val="single" w:color="auto" w:sz="4" w:space="0"/>
              <w:left w:val="nil"/>
              <w:bottom w:val="single" w:color="auto" w:sz="4" w:space="0"/>
              <w:right w:val="single" w:color="000000"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急诊综合楼</w:t>
            </w:r>
          </w:p>
        </w:tc>
        <w:tc>
          <w:tcPr>
            <w:tcW w:w="1316" w:type="pct"/>
            <w:tcBorders>
              <w:top w:val="single" w:color="auto" w:sz="4" w:space="0"/>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外科综合楼</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13F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特护病区</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12F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11F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手术室</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产房</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726" w:type="pct"/>
            <w:tcBorders>
              <w:top w:val="nil"/>
              <w:left w:val="nil"/>
              <w:bottom w:val="nil"/>
              <w:right w:val="nil"/>
            </w:tcBorders>
            <w:shd w:val="clear" w:color="auto" w:fill="auto"/>
            <w:noWrap/>
            <w:vAlign w:val="bottom"/>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014"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手术室</w:t>
            </w:r>
          </w:p>
        </w:tc>
        <w:tc>
          <w:tcPr>
            <w:tcW w:w="726"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01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输血科收样</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ICU</w:t>
            </w: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输血科发血</w:t>
            </w: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病理科</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检验科</w:t>
            </w: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内镜中心</w:t>
            </w:r>
          </w:p>
        </w:tc>
        <w:tc>
          <w:tcPr>
            <w:tcW w:w="1316" w:type="pct"/>
            <w:tcBorders>
              <w:top w:val="nil"/>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介入科</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消毒供应中心</w:t>
            </w:r>
          </w:p>
        </w:tc>
        <w:tc>
          <w:tcPr>
            <w:tcW w:w="1014" w:type="pct"/>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nil"/>
              <w:right w:val="single" w:color="auto" w:sz="8" w:space="0"/>
            </w:tcBorders>
            <w:shd w:val="clear" w:color="auto" w:fill="auto"/>
            <w:noWrap/>
            <w:vAlign w:val="bottom"/>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285"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急诊采血</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急诊抢救</w:t>
            </w: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single" w:color="auto" w:sz="4" w:space="0"/>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标准病区</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285"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-1F</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病理库</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药房</w:t>
            </w: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316" w:type="pct"/>
            <w:tcBorders>
              <w:top w:val="nil"/>
              <w:left w:val="nil"/>
              <w:bottom w:val="nil"/>
              <w:right w:val="single" w:color="auto" w:sz="8" w:space="0"/>
            </w:tcBorders>
            <w:shd w:val="clear" w:color="auto" w:fill="auto"/>
            <w:noWrap/>
            <w:vAlign w:val="bottom"/>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50" w:hRule="atLeast"/>
        </w:trPr>
        <w:tc>
          <w:tcPr>
            <w:tcW w:w="663" w:type="pct"/>
            <w:tcBorders>
              <w:top w:val="nil"/>
              <w:left w:val="single" w:color="auto" w:sz="8" w:space="0"/>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站点小计</w:t>
            </w:r>
          </w:p>
        </w:tc>
        <w:tc>
          <w:tcPr>
            <w:tcW w:w="116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14</w:t>
            </w:r>
          </w:p>
        </w:tc>
        <w:tc>
          <w:tcPr>
            <w:tcW w:w="726"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p>
        </w:tc>
        <w:tc>
          <w:tcPr>
            <w:tcW w:w="101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w:t>
            </w:r>
          </w:p>
        </w:tc>
        <w:tc>
          <w:tcPr>
            <w:tcW w:w="1316" w:type="pct"/>
            <w:tcBorders>
              <w:top w:val="single" w:color="auto" w:sz="4" w:space="0"/>
              <w:left w:val="nil"/>
              <w:bottom w:val="single" w:color="auto" w:sz="4" w:space="0"/>
              <w:right w:val="single" w:color="auto"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r>
        <w:tblPrEx>
          <w:tblCellMar>
            <w:top w:w="0" w:type="dxa"/>
            <w:left w:w="108" w:type="dxa"/>
            <w:bottom w:w="0" w:type="dxa"/>
            <w:right w:w="108" w:type="dxa"/>
          </w:tblCellMar>
        </w:tblPrEx>
        <w:trPr>
          <w:trHeight w:val="360" w:hRule="atLeast"/>
        </w:trPr>
        <w:tc>
          <w:tcPr>
            <w:tcW w:w="663" w:type="pct"/>
            <w:tcBorders>
              <w:top w:val="nil"/>
              <w:left w:val="single" w:color="auto" w:sz="8" w:space="0"/>
              <w:bottom w:val="single" w:color="auto" w:sz="8" w:space="0"/>
              <w:right w:val="single" w:color="auto" w:sz="4"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站点总计</w:t>
            </w:r>
          </w:p>
        </w:tc>
        <w:tc>
          <w:tcPr>
            <w:tcW w:w="4217" w:type="pct"/>
            <w:gridSpan w:val="4"/>
            <w:tcBorders>
              <w:top w:val="single" w:color="auto" w:sz="4" w:space="0"/>
              <w:left w:val="nil"/>
              <w:bottom w:val="single" w:color="auto" w:sz="8" w:space="0"/>
              <w:right w:val="single" w:color="000000" w:sz="8" w:space="0"/>
            </w:tcBorders>
            <w:shd w:val="clear" w:color="000000" w:fill="FFFFFF"/>
            <w:noWrap/>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31</w:t>
            </w:r>
          </w:p>
        </w:tc>
        <w:tc>
          <w:tcPr>
            <w:tcW w:w="118" w:type="pct"/>
            <w:vAlign w:val="center"/>
          </w:tcPr>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tc>
      </w:tr>
    </w:tbl>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（2）材料清单</w:t>
      </w:r>
    </w:p>
    <w:tbl>
      <w:tblPr>
        <w:tblStyle w:val="10"/>
        <w:tblW w:w="5583" w:type="pct"/>
        <w:tblInd w:w="0" w:type="dxa"/>
        <w:tblLayout w:type="autofit"/>
        <w:tblCellMar>
          <w:top w:w="0" w:type="dxa"/>
          <w:left w:w="108" w:type="dxa"/>
          <w:bottom w:w="0" w:type="dxa"/>
          <w:right w:w="108" w:type="dxa"/>
        </w:tblCellMar>
      </w:tblPr>
      <w:tblGrid>
        <w:gridCol w:w="1027"/>
        <w:gridCol w:w="2405"/>
        <w:gridCol w:w="4372"/>
        <w:gridCol w:w="754"/>
        <w:gridCol w:w="958"/>
      </w:tblGrid>
      <w:tr>
        <w:tblPrEx>
          <w:tblCellMar>
            <w:top w:w="0" w:type="dxa"/>
            <w:left w:w="108" w:type="dxa"/>
            <w:bottom w:w="0" w:type="dxa"/>
            <w:right w:w="108" w:type="dxa"/>
          </w:tblCellMar>
        </w:tblPrEx>
        <w:trPr>
          <w:trHeight w:val="405" w:hRule="atLeast"/>
        </w:trPr>
        <w:tc>
          <w:tcPr>
            <w:tcW w:w="9516" w:type="dxa"/>
            <w:gridSpan w:val="5"/>
            <w:tcBorders>
              <w:top w:val="single" w:color="auto" w:sz="8" w:space="0"/>
              <w:left w:val="single" w:color="auto" w:sz="8" w:space="0"/>
              <w:bottom w:val="single" w:color="auto" w:sz="4" w:space="0"/>
              <w:right w:val="single" w:color="000000"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color w:val="000000"/>
                <w:kern w:val="0"/>
                <w:sz w:val="32"/>
                <w:szCs w:val="32"/>
              </w:rPr>
              <w:t>气动物流系统材料清单</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2"/>
                <w:szCs w:val="22"/>
              </w:rPr>
              <w:t>序号</w:t>
            </w:r>
          </w:p>
        </w:tc>
        <w:tc>
          <w:tcPr>
            <w:tcW w:w="240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2"/>
                <w:szCs w:val="22"/>
              </w:rPr>
              <w:t>名称</w:t>
            </w:r>
          </w:p>
        </w:tc>
        <w:tc>
          <w:tcPr>
            <w:tcW w:w="437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2"/>
                <w:szCs w:val="22"/>
              </w:rPr>
              <w:t>型号</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color w:val="000000"/>
                <w:kern w:val="0"/>
                <w:sz w:val="22"/>
                <w:szCs w:val="22"/>
              </w:rPr>
              <w:t>单位</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b/>
                <w:bCs/>
                <w:kern w:val="0"/>
                <w:sz w:val="22"/>
                <w:szCs w:val="22"/>
              </w:rPr>
              <w:t>数量</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4"/>
                <w:szCs w:val="24"/>
              </w:rPr>
              <w:t>一</w:t>
            </w:r>
          </w:p>
        </w:tc>
        <w:tc>
          <w:tcPr>
            <w:tcW w:w="8489" w:type="dxa"/>
            <w:gridSpan w:val="4"/>
            <w:tcBorders>
              <w:top w:val="single" w:color="auto" w:sz="4" w:space="0"/>
              <w:left w:val="nil"/>
              <w:bottom w:val="single" w:color="auto" w:sz="4" w:space="0"/>
              <w:right w:val="single" w:color="000000" w:sz="8"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4"/>
                <w:szCs w:val="24"/>
              </w:rPr>
              <w:t>硬件部分</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2"/>
                <w:szCs w:val="22"/>
              </w:rPr>
              <w:t>1.1</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2"/>
                <w:szCs w:val="22"/>
              </w:rPr>
              <w:t>站点部分</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2"/>
                <w:szCs w:val="22"/>
              </w:rPr>
              <w:t>　</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　</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　</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nil"/>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1.1.1</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智能化站点（通过）</w:t>
            </w:r>
          </w:p>
        </w:tc>
        <w:tc>
          <w:tcPr>
            <w:tcW w:w="4372" w:type="dxa"/>
            <w:tcBorders>
              <w:top w:val="nil"/>
              <w:left w:val="nil"/>
              <w:bottom w:val="single" w:color="auto" w:sz="4" w:space="0"/>
              <w:right w:val="single" w:color="auto" w:sz="4" w:space="0"/>
            </w:tcBorders>
            <w:shd w:val="clear" w:color="000000" w:fill="FFFFFF"/>
            <w:vAlign w:val="center"/>
          </w:tcPr>
          <w:p>
            <w:pPr>
              <w:widowControl/>
              <w:ind w:firstLine="220" w:firstLineChars="1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160型带触控屏</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套</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23</w:t>
            </w:r>
          </w:p>
        </w:tc>
      </w:tr>
      <w:tr>
        <w:tblPrEx>
          <w:tblCellMar>
            <w:top w:w="0" w:type="dxa"/>
            <w:left w:w="108" w:type="dxa"/>
            <w:bottom w:w="0" w:type="dxa"/>
            <w:right w:w="108" w:type="dxa"/>
          </w:tblCellMar>
        </w:tblPrEx>
        <w:trPr>
          <w:trHeight w:val="330" w:hRule="atLeast"/>
        </w:trPr>
        <w:tc>
          <w:tcPr>
            <w:tcW w:w="102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1.1.2</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智能化站点（末端）</w:t>
            </w:r>
          </w:p>
        </w:tc>
        <w:tc>
          <w:tcPr>
            <w:tcW w:w="4372" w:type="dxa"/>
            <w:tcBorders>
              <w:top w:val="nil"/>
              <w:left w:val="nil"/>
              <w:bottom w:val="single" w:color="auto" w:sz="4" w:space="0"/>
              <w:right w:val="single" w:color="auto" w:sz="4" w:space="0"/>
            </w:tcBorders>
            <w:shd w:val="clear" w:color="000000" w:fill="FFFFFF"/>
            <w:vAlign w:val="center"/>
          </w:tcPr>
          <w:p>
            <w:pPr>
              <w:widowControl/>
              <w:ind w:firstLine="220" w:firstLineChars="1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160型带触控屏</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套</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8</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nil"/>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1.1.3</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站点配件</w:t>
            </w:r>
          </w:p>
        </w:tc>
        <w:tc>
          <w:tcPr>
            <w:tcW w:w="4372" w:type="dxa"/>
            <w:tcBorders>
              <w:top w:val="nil"/>
              <w:left w:val="nil"/>
              <w:bottom w:val="single" w:color="auto" w:sz="4" w:space="0"/>
              <w:right w:val="single" w:color="auto" w:sz="4" w:space="0"/>
            </w:tcBorders>
            <w:shd w:val="clear" w:color="000000" w:fill="FFFFFF"/>
            <w:vAlign w:val="center"/>
          </w:tcPr>
          <w:p>
            <w:pPr>
              <w:widowControl/>
              <w:ind w:firstLine="220" w:firstLineChars="1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传输瓶盛放架+缓冲接受篮</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套</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31</w:t>
            </w:r>
          </w:p>
        </w:tc>
      </w:tr>
      <w:tr>
        <w:tblPrEx>
          <w:tblCellMar>
            <w:top w:w="0" w:type="dxa"/>
            <w:left w:w="108" w:type="dxa"/>
            <w:bottom w:w="0" w:type="dxa"/>
            <w:right w:w="108" w:type="dxa"/>
          </w:tblCellMar>
        </w:tblPrEx>
        <w:trPr>
          <w:trHeight w:val="330" w:hRule="atLeast"/>
        </w:trPr>
        <w:tc>
          <w:tcPr>
            <w:tcW w:w="1027" w:type="dxa"/>
            <w:tcBorders>
              <w:top w:val="single" w:color="auto" w:sz="4" w:space="0"/>
              <w:left w:val="single" w:color="auto" w:sz="8" w:space="0"/>
              <w:bottom w:val="nil"/>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1.1.4</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传输瓶</w:t>
            </w:r>
          </w:p>
        </w:tc>
        <w:tc>
          <w:tcPr>
            <w:tcW w:w="4372" w:type="dxa"/>
            <w:tcBorders>
              <w:top w:val="nil"/>
              <w:left w:val="nil"/>
              <w:bottom w:val="single" w:color="auto" w:sz="4" w:space="0"/>
              <w:right w:val="single" w:color="auto" w:sz="4" w:space="0"/>
            </w:tcBorders>
            <w:shd w:val="clear" w:color="000000" w:fill="FFFFFF"/>
            <w:vAlign w:val="center"/>
          </w:tcPr>
          <w:p>
            <w:pPr>
              <w:widowControl/>
              <w:tabs>
                <w:tab w:val="center" w:pos="1973"/>
              </w:tabs>
              <w:ind w:firstLine="220" w:firstLineChars="1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160型</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个</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62</w:t>
            </w:r>
          </w:p>
        </w:tc>
      </w:tr>
      <w:tr>
        <w:tblPrEx>
          <w:tblCellMar>
            <w:top w:w="0" w:type="dxa"/>
            <w:left w:w="108" w:type="dxa"/>
            <w:bottom w:w="0" w:type="dxa"/>
            <w:right w:w="108" w:type="dxa"/>
          </w:tblCellMar>
        </w:tblPrEx>
        <w:trPr>
          <w:trHeight w:val="330" w:hRule="atLeast"/>
        </w:trPr>
        <w:tc>
          <w:tcPr>
            <w:tcW w:w="102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2"/>
                <w:szCs w:val="22"/>
              </w:rPr>
              <w:t>1.2</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2"/>
                <w:szCs w:val="22"/>
              </w:rPr>
              <w:t>空压机系统/附件</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color w:val="000000"/>
                <w:kern w:val="0"/>
                <w:sz w:val="22"/>
                <w:szCs w:val="22"/>
              </w:rPr>
              <w:t>　</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　</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　</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nil"/>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1.2.1</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风压机</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　</w:t>
            </w:r>
            <w:r>
              <w:rPr>
                <w:rFonts w:hAnsi="标准公文_仿宋" w:eastAsia="标准公文_仿宋"/>
                <w:sz w:val="24"/>
                <w:szCs w:val="24"/>
              </w:rPr>
              <w:t>功率≥4KW</w:t>
            </w:r>
            <w:r>
              <w:rPr>
                <w:rFonts w:hint="eastAsia" w:hAnsi="标准公文_仿宋" w:eastAsia="标准公文_仿宋"/>
                <w:sz w:val="24"/>
                <w:szCs w:val="24"/>
              </w:rPr>
              <w:t>；SD380V</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台</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2</w:t>
            </w:r>
          </w:p>
        </w:tc>
      </w:tr>
      <w:tr>
        <w:tblPrEx>
          <w:tblCellMar>
            <w:top w:w="0" w:type="dxa"/>
            <w:left w:w="108" w:type="dxa"/>
            <w:bottom w:w="0" w:type="dxa"/>
            <w:right w:w="108" w:type="dxa"/>
          </w:tblCellMar>
        </w:tblPrEx>
        <w:trPr>
          <w:trHeight w:val="330" w:hRule="atLeast"/>
        </w:trPr>
        <w:tc>
          <w:tcPr>
            <w:tcW w:w="102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1.2.2</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风机控制系统</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　风机配套</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套</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2</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nil"/>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1.2.3</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光电传感装置</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　风机配套</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个</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7</w:t>
            </w:r>
          </w:p>
        </w:tc>
      </w:tr>
      <w:tr>
        <w:tblPrEx>
          <w:tblCellMar>
            <w:top w:w="0" w:type="dxa"/>
            <w:left w:w="108" w:type="dxa"/>
            <w:bottom w:w="0" w:type="dxa"/>
            <w:right w:w="108" w:type="dxa"/>
          </w:tblCellMar>
        </w:tblPrEx>
        <w:trPr>
          <w:trHeight w:val="330" w:hRule="atLeast"/>
        </w:trPr>
        <w:tc>
          <w:tcPr>
            <w:tcW w:w="1027"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1.2.4</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风压机配套</w:t>
            </w:r>
          </w:p>
        </w:tc>
        <w:tc>
          <w:tcPr>
            <w:tcW w:w="4372" w:type="dxa"/>
            <w:tcBorders>
              <w:top w:val="nil"/>
              <w:left w:val="nil"/>
              <w:bottom w:val="single" w:color="auto" w:sz="4" w:space="0"/>
              <w:right w:val="single" w:color="auto" w:sz="4" w:space="0"/>
            </w:tcBorders>
            <w:shd w:val="clear" w:color="000000" w:fill="FFFFFF"/>
            <w:vAlign w:val="center"/>
          </w:tcPr>
          <w:p>
            <w:pPr>
              <w:widowControl/>
              <w:ind w:firstLine="220" w:firstLineChars="1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消音、连接件、风向切换</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套</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2</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2"/>
                <w:szCs w:val="22"/>
              </w:rPr>
              <w:t>1.3</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2"/>
                <w:szCs w:val="22"/>
              </w:rPr>
              <w:t>传输管道</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color w:val="000000"/>
                <w:kern w:val="0"/>
                <w:sz w:val="22"/>
                <w:szCs w:val="22"/>
              </w:rPr>
              <w:t>　</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　</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　</w:t>
            </w:r>
          </w:p>
        </w:tc>
      </w:tr>
      <w:tr>
        <w:tblPrEx>
          <w:tblCellMar>
            <w:top w:w="0" w:type="dxa"/>
            <w:left w:w="108" w:type="dxa"/>
            <w:bottom w:w="0" w:type="dxa"/>
            <w:right w:w="108" w:type="dxa"/>
          </w:tblCellMar>
        </w:tblPrEx>
        <w:trPr>
          <w:trHeight w:val="270" w:hRule="atLeast"/>
        </w:trPr>
        <w:tc>
          <w:tcPr>
            <w:tcW w:w="102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1.3.1</w:t>
            </w:r>
          </w:p>
        </w:tc>
        <w:tc>
          <w:tcPr>
            <w:tcW w:w="240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直管</w:t>
            </w:r>
          </w:p>
        </w:tc>
        <w:tc>
          <w:tcPr>
            <w:tcW w:w="4372" w:type="dxa"/>
            <w:tcBorders>
              <w:top w:val="nil"/>
              <w:left w:val="nil"/>
              <w:bottom w:val="single" w:color="auto" w:sz="4" w:space="0"/>
              <w:right w:val="single" w:color="auto" w:sz="4" w:space="0"/>
            </w:tcBorders>
            <w:shd w:val="clear" w:color="auto" w:fill="auto"/>
            <w:vAlign w:val="center"/>
          </w:tcPr>
          <w:p>
            <w:pPr>
              <w:widowControl/>
              <w:ind w:firstLine="220" w:firstLineChars="100"/>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直径、壁厚：160X3.2mm 　</w:t>
            </w:r>
          </w:p>
        </w:tc>
        <w:tc>
          <w:tcPr>
            <w:tcW w:w="75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米</w:t>
            </w:r>
          </w:p>
        </w:tc>
        <w:tc>
          <w:tcPr>
            <w:tcW w:w="958" w:type="dxa"/>
            <w:tcBorders>
              <w:top w:val="nil"/>
              <w:left w:val="nil"/>
              <w:bottom w:val="single" w:color="auto" w:sz="4" w:space="0"/>
              <w:right w:val="single" w:color="auto" w:sz="8" w:space="0"/>
            </w:tcBorders>
            <w:shd w:val="clear" w:color="auto" w:fill="auto"/>
            <w:vAlign w:val="center"/>
          </w:tcPr>
          <w:p>
            <w:pPr>
              <w:widowControl/>
              <w:jc w:val="center"/>
            </w:pPr>
            <w:r>
              <w:rPr>
                <w:rFonts w:hint="eastAsia" w:ascii="微软雅黑" w:hAnsi="微软雅黑" w:eastAsia="微软雅黑" w:cs="宋体"/>
                <w:color w:val="000000"/>
                <w:kern w:val="0"/>
                <w:sz w:val="22"/>
                <w:szCs w:val="22"/>
              </w:rPr>
              <w:t>552</w:t>
            </w:r>
          </w:p>
        </w:tc>
      </w:tr>
      <w:tr>
        <w:tblPrEx>
          <w:tblCellMar>
            <w:top w:w="0" w:type="dxa"/>
            <w:left w:w="108" w:type="dxa"/>
            <w:bottom w:w="0" w:type="dxa"/>
            <w:right w:w="108" w:type="dxa"/>
          </w:tblCellMar>
        </w:tblPrEx>
        <w:trPr>
          <w:trHeight w:val="270" w:hRule="atLeast"/>
        </w:trPr>
        <w:tc>
          <w:tcPr>
            <w:tcW w:w="102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1.3.2</w:t>
            </w:r>
          </w:p>
        </w:tc>
        <w:tc>
          <w:tcPr>
            <w:tcW w:w="240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弯管</w:t>
            </w:r>
          </w:p>
        </w:tc>
        <w:tc>
          <w:tcPr>
            <w:tcW w:w="4372" w:type="dxa"/>
            <w:tcBorders>
              <w:top w:val="nil"/>
              <w:left w:val="nil"/>
              <w:bottom w:val="single" w:color="auto" w:sz="4" w:space="0"/>
              <w:right w:val="single" w:color="auto" w:sz="4" w:space="0"/>
            </w:tcBorders>
            <w:shd w:val="clear" w:color="auto" w:fill="auto"/>
            <w:vAlign w:val="center"/>
          </w:tcPr>
          <w:p>
            <w:pPr>
              <w:widowControl/>
              <w:ind w:firstLine="220" w:firstLineChars="100"/>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R</w:t>
            </w:r>
            <w:r>
              <w:rPr>
                <w:rFonts w:hAnsi="标准公文_仿宋" w:eastAsia="标准公文_仿宋"/>
                <w:sz w:val="24"/>
                <w:szCs w:val="24"/>
              </w:rPr>
              <w:t>≤1200mm</w:t>
            </w:r>
          </w:p>
        </w:tc>
        <w:tc>
          <w:tcPr>
            <w:tcW w:w="75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个</w:t>
            </w:r>
          </w:p>
        </w:tc>
        <w:tc>
          <w:tcPr>
            <w:tcW w:w="958" w:type="dxa"/>
            <w:tcBorders>
              <w:top w:val="nil"/>
              <w:left w:val="nil"/>
              <w:bottom w:val="single" w:color="auto" w:sz="4" w:space="0"/>
              <w:right w:val="single" w:color="auto" w:sz="8" w:space="0"/>
            </w:tcBorders>
            <w:shd w:val="clear" w:color="auto" w:fill="auto"/>
            <w:vAlign w:val="center"/>
          </w:tcPr>
          <w:p>
            <w:pPr>
              <w:widowControl/>
              <w:jc w:val="center"/>
            </w:pPr>
            <w:r>
              <w:rPr>
                <w:rFonts w:hint="eastAsia" w:ascii="微软雅黑" w:hAnsi="微软雅黑" w:eastAsia="微软雅黑" w:cs="宋体"/>
                <w:color w:val="000000"/>
                <w:kern w:val="0"/>
                <w:sz w:val="22"/>
                <w:szCs w:val="22"/>
              </w:rPr>
              <w:t>76</w:t>
            </w:r>
          </w:p>
        </w:tc>
      </w:tr>
      <w:tr>
        <w:tblPrEx>
          <w:tblCellMar>
            <w:top w:w="0" w:type="dxa"/>
            <w:left w:w="108" w:type="dxa"/>
            <w:bottom w:w="0" w:type="dxa"/>
            <w:right w:w="108" w:type="dxa"/>
          </w:tblCellMar>
        </w:tblPrEx>
        <w:trPr>
          <w:trHeight w:val="270" w:hRule="atLeast"/>
        </w:trPr>
        <w:tc>
          <w:tcPr>
            <w:tcW w:w="102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1.3.3</w:t>
            </w:r>
          </w:p>
        </w:tc>
        <w:tc>
          <w:tcPr>
            <w:tcW w:w="240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管套</w:t>
            </w:r>
          </w:p>
        </w:tc>
        <w:tc>
          <w:tcPr>
            <w:tcW w:w="4372" w:type="dxa"/>
            <w:tcBorders>
              <w:top w:val="nil"/>
              <w:left w:val="nil"/>
              <w:bottom w:val="single" w:color="auto" w:sz="4" w:space="0"/>
              <w:right w:val="single" w:color="auto" w:sz="4" w:space="0"/>
            </w:tcBorders>
            <w:shd w:val="clear" w:color="auto" w:fill="auto"/>
            <w:noWrap/>
            <w:vAlign w:val="center"/>
          </w:tcPr>
          <w:p>
            <w:pPr>
              <w:widowControl/>
              <w:ind w:firstLine="220" w:firstLineChars="100"/>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微软雅黑"/>
                <w:color w:val="000000"/>
                <w:kern w:val="0"/>
                <w:sz w:val="22"/>
                <w:szCs w:val="22"/>
                <w:lang w:bidi="ar"/>
              </w:rPr>
              <w:t>NW160</w:t>
            </w:r>
            <w:r>
              <w:rPr>
                <w:rFonts w:hint="eastAsia" w:ascii="微软雅黑" w:hAnsi="微软雅黑" w:eastAsia="微软雅黑" w:cs="宋体"/>
                <w:kern w:val="0"/>
                <w:sz w:val="22"/>
                <w:szCs w:val="22"/>
              </w:rPr>
              <w:t>　</w:t>
            </w:r>
          </w:p>
        </w:tc>
        <w:tc>
          <w:tcPr>
            <w:tcW w:w="75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个</w:t>
            </w:r>
          </w:p>
        </w:tc>
        <w:tc>
          <w:tcPr>
            <w:tcW w:w="958" w:type="dxa"/>
            <w:tcBorders>
              <w:top w:val="nil"/>
              <w:left w:val="nil"/>
              <w:bottom w:val="single" w:color="auto" w:sz="4" w:space="0"/>
              <w:right w:val="single" w:color="auto" w:sz="8" w:space="0"/>
            </w:tcBorders>
            <w:shd w:val="clear" w:color="auto" w:fill="auto"/>
            <w:vAlign w:val="center"/>
          </w:tcPr>
          <w:p>
            <w:pPr>
              <w:widowControl/>
              <w:jc w:val="center"/>
            </w:pPr>
            <w:r>
              <w:rPr>
                <w:rFonts w:hint="eastAsia" w:ascii="微软雅黑" w:hAnsi="微软雅黑" w:eastAsia="微软雅黑" w:cs="宋体"/>
                <w:color w:val="000000"/>
                <w:kern w:val="0"/>
                <w:sz w:val="22"/>
                <w:szCs w:val="22"/>
              </w:rPr>
              <w:t>157</w:t>
            </w:r>
          </w:p>
        </w:tc>
      </w:tr>
      <w:tr>
        <w:tblPrEx>
          <w:tblCellMar>
            <w:top w:w="0" w:type="dxa"/>
            <w:left w:w="108" w:type="dxa"/>
            <w:bottom w:w="0" w:type="dxa"/>
            <w:right w:w="108" w:type="dxa"/>
          </w:tblCellMar>
        </w:tblPrEx>
        <w:trPr>
          <w:trHeight w:val="270" w:hRule="atLeast"/>
        </w:trPr>
        <w:tc>
          <w:tcPr>
            <w:tcW w:w="102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1.3.4</w:t>
            </w:r>
          </w:p>
        </w:tc>
        <w:tc>
          <w:tcPr>
            <w:tcW w:w="240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三向转换器</w:t>
            </w:r>
          </w:p>
        </w:tc>
        <w:tc>
          <w:tcPr>
            <w:tcW w:w="4372" w:type="dxa"/>
            <w:tcBorders>
              <w:top w:val="nil"/>
              <w:left w:val="nil"/>
              <w:bottom w:val="single" w:color="auto" w:sz="4" w:space="0"/>
              <w:right w:val="single" w:color="auto" w:sz="4" w:space="0"/>
            </w:tcBorders>
            <w:shd w:val="clear" w:color="auto" w:fill="auto"/>
            <w:vAlign w:val="center"/>
          </w:tcPr>
          <w:p>
            <w:pPr>
              <w:widowControl/>
              <w:ind w:firstLine="220" w:firstLineChars="100"/>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风向转换设备　</w:t>
            </w:r>
          </w:p>
        </w:tc>
        <w:tc>
          <w:tcPr>
            <w:tcW w:w="75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个</w:t>
            </w:r>
          </w:p>
        </w:tc>
        <w:tc>
          <w:tcPr>
            <w:tcW w:w="958" w:type="dxa"/>
            <w:tcBorders>
              <w:top w:val="nil"/>
              <w:left w:val="nil"/>
              <w:bottom w:val="single" w:color="auto" w:sz="4" w:space="0"/>
              <w:right w:val="single" w:color="auto" w:sz="8" w:space="0"/>
            </w:tcBorders>
            <w:shd w:val="clear" w:color="auto" w:fill="auto"/>
            <w:vAlign w:val="center"/>
          </w:tcPr>
          <w:p>
            <w:pPr>
              <w:widowControl/>
              <w:jc w:val="center"/>
            </w:pPr>
            <w:r>
              <w:rPr>
                <w:rFonts w:hint="eastAsia" w:ascii="微软雅黑" w:hAnsi="微软雅黑" w:eastAsia="微软雅黑" w:cs="宋体"/>
                <w:color w:val="000000"/>
                <w:kern w:val="0"/>
                <w:sz w:val="22"/>
                <w:szCs w:val="22"/>
              </w:rPr>
              <w:t>3</w:t>
            </w:r>
          </w:p>
        </w:tc>
      </w:tr>
      <w:tr>
        <w:tblPrEx>
          <w:tblCellMar>
            <w:top w:w="0" w:type="dxa"/>
            <w:left w:w="108" w:type="dxa"/>
            <w:bottom w:w="0" w:type="dxa"/>
            <w:right w:w="108" w:type="dxa"/>
          </w:tblCellMar>
        </w:tblPrEx>
        <w:trPr>
          <w:trHeight w:val="270" w:hRule="atLeast"/>
        </w:trPr>
        <w:tc>
          <w:tcPr>
            <w:tcW w:w="102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1.3.5</w:t>
            </w:r>
          </w:p>
        </w:tc>
        <w:tc>
          <w:tcPr>
            <w:tcW w:w="240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区域转换器</w:t>
            </w:r>
          </w:p>
        </w:tc>
        <w:tc>
          <w:tcPr>
            <w:tcW w:w="4372" w:type="dxa"/>
            <w:tcBorders>
              <w:top w:val="nil"/>
              <w:left w:val="nil"/>
              <w:bottom w:val="single" w:color="auto" w:sz="4" w:space="0"/>
              <w:right w:val="single" w:color="auto" w:sz="4" w:space="0"/>
            </w:tcBorders>
            <w:shd w:val="clear" w:color="auto" w:fill="auto"/>
            <w:vAlign w:val="center"/>
          </w:tcPr>
          <w:p>
            <w:pPr>
              <w:widowControl/>
              <w:ind w:firstLine="220" w:firstLineChars="100"/>
              <w:textAlignment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微软雅黑"/>
                <w:color w:val="000000"/>
                <w:kern w:val="0"/>
                <w:sz w:val="22"/>
                <w:szCs w:val="22"/>
                <w:lang w:bidi="ar"/>
              </w:rPr>
              <w:t>PWZA NW160</w:t>
            </w:r>
          </w:p>
        </w:tc>
        <w:tc>
          <w:tcPr>
            <w:tcW w:w="75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个</w:t>
            </w:r>
          </w:p>
        </w:tc>
        <w:tc>
          <w:tcPr>
            <w:tcW w:w="958" w:type="dxa"/>
            <w:tcBorders>
              <w:top w:val="nil"/>
              <w:left w:val="nil"/>
              <w:bottom w:val="single" w:color="auto" w:sz="4" w:space="0"/>
              <w:right w:val="single" w:color="auto" w:sz="8" w:space="0"/>
            </w:tcBorders>
            <w:shd w:val="clear" w:color="auto" w:fill="auto"/>
            <w:vAlign w:val="center"/>
          </w:tcPr>
          <w:p>
            <w:pPr>
              <w:widowControl/>
              <w:jc w:val="center"/>
            </w:pPr>
            <w:r>
              <w:rPr>
                <w:rFonts w:hint="eastAsia" w:ascii="微软雅黑" w:hAnsi="微软雅黑" w:eastAsia="微软雅黑" w:cs="宋体"/>
                <w:color w:val="000000"/>
                <w:kern w:val="0"/>
                <w:sz w:val="22"/>
                <w:szCs w:val="22"/>
              </w:rPr>
              <w:t>2</w:t>
            </w:r>
          </w:p>
        </w:tc>
      </w:tr>
      <w:tr>
        <w:tblPrEx>
          <w:tblCellMar>
            <w:top w:w="0" w:type="dxa"/>
            <w:left w:w="108" w:type="dxa"/>
            <w:bottom w:w="0" w:type="dxa"/>
            <w:right w:w="108" w:type="dxa"/>
          </w:tblCellMar>
        </w:tblPrEx>
        <w:trPr>
          <w:trHeight w:val="270" w:hRule="atLeast"/>
        </w:trPr>
        <w:tc>
          <w:tcPr>
            <w:tcW w:w="102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1.3.6</w:t>
            </w:r>
          </w:p>
        </w:tc>
        <w:tc>
          <w:tcPr>
            <w:tcW w:w="240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配件</w:t>
            </w:r>
          </w:p>
        </w:tc>
        <w:tc>
          <w:tcPr>
            <w:tcW w:w="4372" w:type="dxa"/>
            <w:tcBorders>
              <w:top w:val="nil"/>
              <w:left w:val="nil"/>
              <w:bottom w:val="single" w:color="auto" w:sz="4" w:space="0"/>
              <w:right w:val="single" w:color="auto" w:sz="4" w:space="0"/>
            </w:tcBorders>
            <w:shd w:val="clear" w:color="000000" w:fill="FFFFFF"/>
            <w:vAlign w:val="center"/>
          </w:tcPr>
          <w:p>
            <w:pPr>
              <w:widowControl/>
              <w:ind w:firstLine="220" w:firstLineChars="1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含直管、管套、管箍、不锈钢管套和空气弯管</w:t>
            </w:r>
          </w:p>
        </w:tc>
        <w:tc>
          <w:tcPr>
            <w:tcW w:w="75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套</w:t>
            </w:r>
          </w:p>
        </w:tc>
        <w:tc>
          <w:tcPr>
            <w:tcW w:w="958" w:type="dxa"/>
            <w:tcBorders>
              <w:top w:val="nil"/>
              <w:left w:val="nil"/>
              <w:bottom w:val="single" w:color="auto" w:sz="4" w:space="0"/>
              <w:right w:val="single" w:color="auto" w:sz="8" w:space="0"/>
            </w:tcBorders>
            <w:shd w:val="clear" w:color="auto" w:fill="auto"/>
            <w:vAlign w:val="center"/>
          </w:tcPr>
          <w:p>
            <w:pPr>
              <w:widowControl/>
              <w:jc w:val="center"/>
            </w:pPr>
            <w:r>
              <w:rPr>
                <w:rFonts w:hint="eastAsia" w:ascii="微软雅黑" w:hAnsi="微软雅黑" w:eastAsia="微软雅黑" w:cs="宋体"/>
                <w:color w:val="000000"/>
                <w:kern w:val="0"/>
                <w:sz w:val="22"/>
                <w:szCs w:val="22"/>
              </w:rPr>
              <w:t>4</w:t>
            </w:r>
          </w:p>
        </w:tc>
      </w:tr>
      <w:tr>
        <w:tblPrEx>
          <w:tblCellMar>
            <w:top w:w="0" w:type="dxa"/>
            <w:left w:w="108" w:type="dxa"/>
            <w:bottom w:w="0" w:type="dxa"/>
            <w:right w:w="108" w:type="dxa"/>
          </w:tblCellMar>
        </w:tblPrEx>
        <w:trPr>
          <w:trHeight w:val="270" w:hRule="atLeast"/>
        </w:trPr>
        <w:tc>
          <w:tcPr>
            <w:tcW w:w="102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1.3.7</w:t>
            </w:r>
          </w:p>
        </w:tc>
        <w:tc>
          <w:tcPr>
            <w:tcW w:w="2405"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系统控制电缆</w:t>
            </w:r>
          </w:p>
        </w:tc>
        <w:tc>
          <w:tcPr>
            <w:tcW w:w="4372"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250米/卷</w:t>
            </w:r>
          </w:p>
        </w:tc>
        <w:tc>
          <w:tcPr>
            <w:tcW w:w="75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米</w:t>
            </w:r>
          </w:p>
        </w:tc>
        <w:tc>
          <w:tcPr>
            <w:tcW w:w="958" w:type="dxa"/>
            <w:tcBorders>
              <w:top w:val="nil"/>
              <w:left w:val="nil"/>
              <w:bottom w:val="single" w:color="auto" w:sz="4" w:space="0"/>
              <w:right w:val="single" w:color="auto" w:sz="8" w:space="0"/>
            </w:tcBorders>
            <w:shd w:val="clear" w:color="auto" w:fill="auto"/>
            <w:vAlign w:val="center"/>
          </w:tcPr>
          <w:p>
            <w:pPr>
              <w:widowControl/>
              <w:jc w:val="center"/>
            </w:pPr>
            <w:r>
              <w:rPr>
                <w:rFonts w:hint="eastAsia" w:ascii="微软雅黑" w:hAnsi="微软雅黑" w:eastAsia="微软雅黑" w:cs="宋体"/>
                <w:color w:val="000000"/>
                <w:kern w:val="0"/>
                <w:sz w:val="22"/>
                <w:szCs w:val="22"/>
              </w:rPr>
              <w:t>750</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4"/>
                <w:szCs w:val="24"/>
              </w:rPr>
              <w:t>二</w:t>
            </w:r>
          </w:p>
        </w:tc>
        <w:tc>
          <w:tcPr>
            <w:tcW w:w="8489" w:type="dxa"/>
            <w:gridSpan w:val="4"/>
            <w:tcBorders>
              <w:top w:val="single" w:color="auto" w:sz="4" w:space="0"/>
              <w:left w:val="nil"/>
              <w:bottom w:val="single" w:color="auto" w:sz="4" w:space="0"/>
              <w:right w:val="single" w:color="000000" w:sz="8"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b/>
                <w:bCs/>
                <w:kern w:val="0"/>
                <w:sz w:val="24"/>
                <w:szCs w:val="24"/>
              </w:rPr>
              <w:t>软件系统</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2.1</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主控电源+主监控系统</w:t>
            </w:r>
          </w:p>
        </w:tc>
        <w:tc>
          <w:tcPr>
            <w:tcW w:w="4372" w:type="dxa"/>
            <w:tcBorders>
              <w:top w:val="nil"/>
              <w:left w:val="nil"/>
              <w:bottom w:val="single" w:color="auto" w:sz="4" w:space="0"/>
              <w:right w:val="single" w:color="auto" w:sz="4" w:space="0"/>
            </w:tcBorders>
            <w:shd w:val="clear" w:color="000000" w:fill="FFFFFF"/>
            <w:vAlign w:val="center"/>
          </w:tcPr>
          <w:p>
            <w:pPr>
              <w:wordWrap w:val="0"/>
              <w:spacing w:line="360" w:lineRule="auto"/>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1.机型 国内品牌商用台式机(非杂牌组装机)。2.CPU：AMD R7-5600G或者Intel I7-10700K，主频≥3.6GHz。3.扩展槽 ≥1个PCI-E*16，≥2个PCI-E*1, ≥1个PCI。  4.内存 ≥16G DDR4 2666MHz，双插槽 。5.显卡 ≥独立显卡显存1G。6.接口 ≥ 8个USB接口，前4后4（前置2*USB3.1 G2,2*USB3.1 G1），串口一个。7.硬盘 ≥512GB PCIe NVMe M.2接口固态硬盘+1T HDD SATA； 8.显示器 ≥23.8吋 窄边框LED低蓝光护眼显示器，支低蓝光调节。</w:t>
            </w:r>
          </w:p>
          <w:p>
            <w:pPr>
              <w:wordWrap w:val="0"/>
              <w:spacing w:line="360" w:lineRule="auto"/>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9.键鼠 PS/2防水抗菌键盘、USB光电抗菌鼠标（有认证）。</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套</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color w:val="000000"/>
                <w:kern w:val="0"/>
                <w:sz w:val="22"/>
                <w:szCs w:val="22"/>
              </w:rPr>
              <w:t>1</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2.2</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系统控制软件</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基础控制软件</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套</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color w:val="000000"/>
                <w:kern w:val="0"/>
                <w:sz w:val="22"/>
                <w:szCs w:val="22"/>
              </w:rPr>
              <w:t>1</w:t>
            </w:r>
          </w:p>
        </w:tc>
      </w:tr>
      <w:tr>
        <w:tblPrEx>
          <w:tblCellMar>
            <w:top w:w="0" w:type="dxa"/>
            <w:left w:w="108" w:type="dxa"/>
            <w:bottom w:w="0" w:type="dxa"/>
            <w:right w:w="108" w:type="dxa"/>
          </w:tblCellMar>
        </w:tblPrEx>
        <w:trPr>
          <w:trHeight w:val="330" w:hRule="atLeast"/>
        </w:trPr>
        <w:tc>
          <w:tcPr>
            <w:tcW w:w="1027"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2.2</w:t>
            </w:r>
          </w:p>
        </w:tc>
        <w:tc>
          <w:tcPr>
            <w:tcW w:w="2405"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区域控制系统软件</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基础控制软件</w:t>
            </w:r>
          </w:p>
        </w:tc>
        <w:tc>
          <w:tcPr>
            <w:tcW w:w="754" w:type="dxa"/>
            <w:tcBorders>
              <w:top w:val="nil"/>
              <w:left w:val="nil"/>
              <w:bottom w:val="single" w:color="auto" w:sz="4"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套</w:t>
            </w:r>
          </w:p>
        </w:tc>
        <w:tc>
          <w:tcPr>
            <w:tcW w:w="958" w:type="dxa"/>
            <w:tcBorders>
              <w:top w:val="nil"/>
              <w:left w:val="nil"/>
              <w:bottom w:val="single" w:color="auto" w:sz="4" w:space="0"/>
              <w:right w:val="single" w:color="auto" w:sz="8" w:space="0"/>
            </w:tcBorders>
            <w:shd w:val="clear" w:color="000000" w:fill="FFFFFF"/>
            <w:vAlign w:val="center"/>
          </w:tcPr>
          <w:p>
            <w:pPr>
              <w:widowControl/>
              <w:jc w:val="center"/>
            </w:pPr>
            <w:r>
              <w:rPr>
                <w:rFonts w:hint="eastAsia" w:ascii="微软雅黑" w:hAnsi="微软雅黑" w:eastAsia="微软雅黑" w:cs="宋体"/>
                <w:color w:val="000000"/>
                <w:kern w:val="0"/>
                <w:sz w:val="22"/>
                <w:szCs w:val="22"/>
              </w:rPr>
              <w:t>3</w:t>
            </w:r>
          </w:p>
        </w:tc>
      </w:tr>
      <w:tr>
        <w:tblPrEx>
          <w:tblCellMar>
            <w:top w:w="0" w:type="dxa"/>
            <w:left w:w="108" w:type="dxa"/>
            <w:bottom w:w="0" w:type="dxa"/>
            <w:right w:w="108" w:type="dxa"/>
          </w:tblCellMar>
        </w:tblPrEx>
        <w:trPr>
          <w:trHeight w:val="340" w:hRule="atLeast"/>
        </w:trPr>
        <w:tc>
          <w:tcPr>
            <w:tcW w:w="1027" w:type="dxa"/>
            <w:tcBorders>
              <w:top w:val="nil"/>
              <w:left w:val="single" w:color="auto" w:sz="8" w:space="0"/>
              <w:bottom w:val="single" w:color="auto" w:sz="8" w:space="0"/>
              <w:right w:val="single" w:color="auto" w:sz="4"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2.3</w:t>
            </w:r>
          </w:p>
        </w:tc>
        <w:tc>
          <w:tcPr>
            <w:tcW w:w="2405" w:type="dxa"/>
            <w:tcBorders>
              <w:top w:val="nil"/>
              <w:left w:val="nil"/>
              <w:bottom w:val="single" w:color="auto" w:sz="8"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BUS型号转换装置</w:t>
            </w:r>
          </w:p>
        </w:tc>
        <w:tc>
          <w:tcPr>
            <w:tcW w:w="4372" w:type="dxa"/>
            <w:tcBorders>
              <w:top w:val="nil"/>
              <w:left w:val="nil"/>
              <w:bottom w:val="single" w:color="auto" w:sz="8" w:space="0"/>
              <w:right w:val="single" w:color="auto" w:sz="4" w:space="0"/>
            </w:tcBorders>
            <w:shd w:val="clear" w:color="000000" w:fill="FFFFFF"/>
            <w:vAlign w:val="center"/>
          </w:tcPr>
          <w:p>
            <w:pPr>
              <w:widowControl/>
              <w:jc w:val="left"/>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kern w:val="0"/>
                <w:sz w:val="22"/>
                <w:szCs w:val="22"/>
              </w:rPr>
              <w:t>信号转换系统和网络</w:t>
            </w:r>
          </w:p>
        </w:tc>
        <w:tc>
          <w:tcPr>
            <w:tcW w:w="754" w:type="dxa"/>
            <w:tcBorders>
              <w:top w:val="nil"/>
              <w:left w:val="nil"/>
              <w:bottom w:val="single" w:color="auto" w:sz="8" w:space="0"/>
              <w:right w:val="single" w:color="auto" w:sz="8" w:space="0"/>
            </w:tcBorders>
            <w:shd w:val="clear" w:color="000000" w:fill="FFFFFF"/>
            <w:vAlign w:val="center"/>
          </w:tcPr>
          <w:p>
            <w:pPr>
              <w:widowControl/>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微软雅黑" w:hAnsi="微软雅黑" w:eastAsia="微软雅黑" w:cs="宋体"/>
                <w:color w:val="000000"/>
                <w:kern w:val="0"/>
                <w:sz w:val="22"/>
                <w:szCs w:val="22"/>
              </w:rPr>
              <w:t>套</w:t>
            </w:r>
          </w:p>
        </w:tc>
        <w:tc>
          <w:tcPr>
            <w:tcW w:w="958" w:type="dxa"/>
            <w:tcBorders>
              <w:top w:val="nil"/>
              <w:left w:val="nil"/>
              <w:bottom w:val="single" w:color="auto" w:sz="8" w:space="0"/>
              <w:right w:val="single" w:color="auto" w:sz="8" w:space="0"/>
            </w:tcBorders>
            <w:shd w:val="clear" w:color="000000" w:fill="FFFFFF"/>
            <w:vAlign w:val="center"/>
          </w:tcPr>
          <w:p>
            <w:pPr>
              <w:widowControl/>
              <w:jc w:val="center"/>
            </w:pPr>
            <w:r>
              <w:rPr>
                <w:rFonts w:hint="eastAsia" w:ascii="微软雅黑" w:hAnsi="微软雅黑" w:eastAsia="微软雅黑" w:cs="宋体"/>
                <w:kern w:val="0"/>
                <w:sz w:val="22"/>
                <w:szCs w:val="22"/>
              </w:rPr>
              <w:t>1</w:t>
            </w:r>
          </w:p>
        </w:tc>
      </w:tr>
    </w:tbl>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bookmarkStart w:id="0" w:name="_Toc9403"/>
      <w:r>
        <w:rPr>
          <w:rFonts w:hint="eastAsia" w:ascii="仿宋_GB2312" w:hAnsi="仿宋_GB2312" w:eastAsia="仿宋_GB2312" w:cs="仿宋_GB2312"/>
          <w:b w:val="0"/>
          <w:bCs w:val="0"/>
          <w:color w:val="000000"/>
          <w:kern w:val="0"/>
          <w:sz w:val="31"/>
          <w:szCs w:val="31"/>
          <w:lang w:val="en-US" w:eastAsia="zh-CN" w:bidi="ar"/>
        </w:rPr>
        <w:t>技术规格</w:t>
      </w:r>
      <w:bookmarkEnd w:id="0"/>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气动物流技术参数</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医用传输信息化建设主要技术要求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配置情况：物流传输传输系统，主要由机房、主控电脑、前置式收发站、三向转换器和输送管道等几部分组成。各部分详细内容请查阅设计图纸和工程量清单。投标人可结合投标产品特点进行深化设计，保证满足本项目的使用要求，设计中风机的风压能保证使传输瓶传到最远的站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适于传送药品、标本、血液标本、血浆、X光片、医疗器械和文件等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适于环境温度-25℃~+60℃</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工作原理：以空气压缩机抽取及压送空气为动力，在密闭的网管中传送物品，并能消除静电</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传送方式：单管双向传输</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控制方式：计算机实时监控。中央控制器控制全系统运行。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各收发工作站供电属‘安全特低电压’供电应≤36V。投标文件需提供由市级或以上质检部门出具的检验报告、具备此功能已安装医院出具的盖章证明文件（文件中需注明医院名称、联系人姓名和电话）。</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管道外径：160mm</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各收发站可对该系统中任意工作站进行控制检测并控制风机吹吸风工作</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传送正常速度：5~8m/s</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系统可根据不同类别科室由系统自动选择传输速度</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系统具有自诊断程序，各收发站可手动控制各工作站位旋转（通过位、接收位、发送位）</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最大载重量：5kg</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满负荷最大传输距离：1500m以上</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启动停止有缓冲，平稳接收；针对医用传输物品的复杂性，系统在设计时分别设有顶端装置、底端装置及各收发站缓冲装置，用于避免物品因突然停止高速运行或过力接触而产生的碰撞，系统启动与停止采用缓冲专利技术，实现传输瓶无振动、无颠簸、平稳接收。此外，针对易碎、易漏及不规则等物品，应设计有各种类型的包装和填充物品，有效防止传输瓶内的振动及碰撞的发生。投标文件需提供由市级或以上质检部门出具的检验报告、具备此功能已安装医院出具的盖章证明文件（文件中需注明医院名称、联系人姓名和电话）。</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管道室内外均可安装，在室外安装时配有防露、防冻、防水、伸缩装置及措施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管道可穿过楼板安装，管道及部件应为防火材料、系统有防火装置。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管道及部件应为防火材料、系统有防火装置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系统无气体交叉污染，请用文字说明措施。前置式收发站、三向转换器、三向阀内气体密封圈为特氟隆材料制成</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系统有防止静电的有效措施。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为保证系统信号不受干扰，信号线路需均有屏蔽措施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可满足业主未来扩大分站数量要求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系统易管理、易维护、易升级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系统具有较强的容错能力和故障恢复能力，传输中如发生断电，数据不会丢失，来电后能自动恢复，继续完成原定操作指令</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前置式收发站、换向器等定位控制采用非机械接触式磁性传感器电子智能定位。故障自诊自动排除。投标文件需提供由市级或以上质检部门出具的检验报告、具备此功能已安装医院出具的盖章证明文件（文件中需注明医院名称、联系人姓名和电话）。</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前置式收发站、三向换向器、换向器的控制器均装有故障诊断软件，当前置式收发站、三向换向器、换向器发生故障时，自动向每一个收发站的画面上和中心控制机发出故障信息。当某一收发站发生故障时，系统能自动关闭此站，而不影响其它收发站的工作。</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有自动返回及运送的安全性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传输瓶到达接收站时，空压机停止工作，传输瓶才弹出。从而保证传输瓶的软抵达和传送物品的安全性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机房配置情况：</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机房安装有高效风机、主控制器等设备。</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主控制器控制整个系统的运行，包括：风机的起动和停止，传输瓶的输送和停止，运行状况的监控和记录，故障的排除等。</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机房技术要求：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高效风机可为整个系统提供动力，其功率应留有扩展余量，可满足业主未来扩大分站数量的要求。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风机寿命10年以上</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风机风量和风压应满足该系统要求，单台风机风量大于9m3/min，风压大于200Mbar，功率≥4KW。</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提供风机启动检测装置，可辅助系统判断风机工作状态，请加以说明。投标文件需提供由市级或以上质检部门出具的检验报告、具备此功能已安装医院出具的盖章证明文件（文件中需注明医院名称、联系人姓名和电话。</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噪声db(A)：工作时噪音最大值不超过55db。投标文件需提供由国家市级及以上质检部门出具的检验报告。</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风机电源380V，AC三相</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可根据需要配消声器噪声&lt;65db，加配消声器后≤50db</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空压机功率应留有以后系统扩展的余量</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可根据需要安装在楼宇的任何位置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可设置某一个收发站为系统兼容回收站，全套系统可只设一个回收站也可在中心机房中的换向器出口安装一个缓冲回收管，可完成回收任务。</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电脑配置情况及技术要求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机型 国内品牌商用台式机(非杂牌组装机)；CPU：AMD R7-5600G或者Intel I7-10700K，主频≥3.6GHz；扩展槽 ≥1个PCI-E*16，≥2个PCI-E*1, ≥1个PCI；内存 ≥16G DDR4 2666MHz，双插槽 ；显卡 ≥独立显卡显存1G；接口 ≥ 8个USB接口，前4后4（前置2*USB3.1 G2,2*USB3.1 G1），串口一个；硬盘 ≥512GB PCIe NVMe M.2接口固态硬盘+1T HDD SATA；显示器 ≥23.8吋 窄边框LED低蓝光护眼显示器，支低蓝光调节；键鼠 PS/2防水抗菌键盘、USB光电抗菌鼠标（有认证）。</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可动态显示文字和动态数据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可显示每个设备动态流程</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可控制全部系统</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可实时监控整个系统得运转状态</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可记录所有收发送记录</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可即时打印或存储打印</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可显示故障区域及故障代码</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若某收发站有故障，可关闭此站，不影响整个系统的运行</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某一子系统有故障或关闭，不影响其他系统正常运行</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可作加密级传送并具安全接收功能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可预置自动半速传送</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可作出统计数据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主监控中心设置监控装置，可与局域网连接，也可实现远程监控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操作软件由原厂开发</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监控PC可实现故障分析查询功能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收发站配置情况及技术要求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配置情况：收发站负责传输瓶的装入、发出输送地点信号、发出起动信号以及接收传输瓶等操作。</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收发站采用前置式，禁止采用敞开式设计，传输时首先开启密闭门，在放入传输瓶后密闭门关闭后传输瓶开始传输，传输瓶发送时从收发站正前方置入，经自身重量进入管道系统，无本地采气产生的交叉感染。投标文件需提供由市级或以上质检部门出具的检验报告、具备此功能已安装医院出具的盖章证明文件（文件中需注明医院名称、联系人姓名和电话）。</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传输瓶需具有发送等待超时功能，时间可随意设定，超时后有语音提醒（该功能可有效防止医护人员未操作、误操作、系统故障等因素造成的传输瓶停留）。投标文件需提供由市级或以上质检部门出具的检验报告。</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具备收发功能；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使用按键式键盘面板，防水防尘，操作简便；并具有光电传感器和系统状态提示灯（投标时请提供面板图片并加以说明）</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中文信息动态界面，可同时显示≥3行的信息</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面板可按键输入并显示≥5位数的目的站代码</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可上下翻页自动搜索地址簿</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可中文显示目的站地址</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可中文显示系统状态</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可中文显示发送站地址</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可中文显示操作提示</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发送遇忙可自动排队等候</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系统可设优先发送及优先接收及目的站转移，全套系统可设1-20个优先级，确保关键科室使用</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系统具有收发站关闭、加密，传输瓶转移及智能返回功能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可设置缺省地址</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内置到达传输瓶气动减速旁路</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每个收发站可编制10个以上到达信号，确保各部门的共用性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按键面板上有专用回传功能快捷键（提供按键面板图片并说明，否则不得分）</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三向转换器配置情况及技术要求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配置情况：三向转换器是为分配收发站而设置。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可在系统内由一主通道分支为三条通道。</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预留可预见的系统扩展接口。</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寿命10年以上</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密封材料为特氟隆制成</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可以垂直安装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为O型皮带软驱动机械装置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传输瓶配置情况及技术要求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两端为双旋盖及密封毡圈，并配有辅助管道密封橡胶圈</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可具有多种颜色</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传输瓶在运行过程中的噪音小于45dB；投标文件需提供由国家市级及以上质检部门出具的检验报告。</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输送管道配置情况：</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输送管材质要求为：优质PVC管道（专用管材），必须达到国内先进传输系统所用管材标准。</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输送管道包括直管、弯管和连接套管，用于传输传输瓶，其管径要求为外径160mm，转弯半径≤1200mm。</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系统可多种类型管道混合使用</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管道穿越楼层等防火分区时，须设置阻火圈。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管道应达到建筑材料标准（适用温度-25℃~+60℃）</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管道具有耐磨性、防腐性和抗压性及抗静电性能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电源技术要求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电源为电子开关电源</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具有防雷击、防杂波、防输出短路保护功能</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一个电源可供≥20个单元（收发站及转换器）</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电源最远可送达≥1500m</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输入电压容许范围为80~270VAC 50/50Hz</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系统质量标准：</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系统产品获得国内质量认证ISO9001等认证</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国内血液检测报告证明，证明系统可传输血液标本。</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投标文件中需列明常用易损备件，并标明备件的价格。</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保修期：系统保修自系统验收合格起，保修叁年，三年内免费更换维修需要的零部件，每季度对设备进行一次巡检和维护保养，质保期满后10年内提供配件，保证设备出现故障后能找到维修配件，配件费用按照投标文件中报价执行。系统在使用过程中有程序升级，公司必须免费升级软件。</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培训计划：中标后开始负责免费培训现场维护人员2人，直到熟练掌握系统运行，出现故障现象能及时排除故障，出现无法解决的问题时，工程师远程及时响应，指导解决现场出现的任何问题，无法解决的工程24小时内到达现场进行解决。设备安装完成后，安排一名技术人员在现场指导系统运行，现场技术人员常驻现场≥6个月。</w:t>
      </w:r>
    </w:p>
    <w:p>
      <w:pPr>
        <w:pStyle w:val="2"/>
        <w:numPr>
          <w:ilvl w:val="0"/>
          <w:numId w:val="0"/>
        </w:numPr>
        <w:rPr>
          <w:rFonts w:hint="eastAsia" w:ascii="仿宋_GB2312" w:hAnsi="仿宋_GB2312" w:eastAsia="仿宋_GB2312" w:cs="仿宋_GB2312"/>
          <w:b w:val="0"/>
          <w:bCs w:val="0"/>
          <w:color w:val="000000"/>
          <w:kern w:val="0"/>
          <w:sz w:val="31"/>
          <w:szCs w:val="31"/>
          <w:lang w:val="en-US" w:eastAsia="zh-CN" w:bidi="ar"/>
        </w:rPr>
      </w:pPr>
    </w:p>
    <w:p>
      <w:pPr>
        <w:pStyle w:val="2"/>
        <w:numPr>
          <w:ilvl w:val="0"/>
          <w:numId w:val="1"/>
        </w:numP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商务要求如下；</w:t>
      </w:r>
    </w:p>
    <w:p>
      <w:pPr>
        <w:widowControl/>
        <w:numPr>
          <w:ilvl w:val="0"/>
          <w:numId w:val="2"/>
        </w:numPr>
        <w:ind w:left="220" w:leftChars="0" w:firstLine="620" w:firstLineChars="0"/>
        <w:rPr>
          <w:rFonts w:hint="eastAsia" w:ascii="仿宋_GB2312" w:hAnsi="仿宋_GB2312" w:eastAsia="仿宋_GB2312" w:cs="仿宋_GB2312"/>
          <w:kern w:val="0"/>
          <w:sz w:val="31"/>
          <w:szCs w:val="31"/>
          <w:lang w:eastAsia="zh-CN"/>
        </w:rPr>
      </w:pPr>
      <w:r>
        <w:rPr>
          <w:rFonts w:ascii="仿宋_GB2312" w:hAnsi="仿宋_GB2312" w:eastAsia="仿宋_GB2312" w:cs="仿宋_GB2312"/>
          <w:kern w:val="0"/>
          <w:sz w:val="31"/>
          <w:szCs w:val="31"/>
        </w:rPr>
        <w:t>取得采购标的的时间</w:t>
      </w:r>
      <w:r>
        <w:rPr>
          <w:rFonts w:hint="eastAsia" w:ascii="仿宋_GB2312" w:hAnsi="仿宋_GB2312" w:eastAsia="仿宋_GB2312" w:cs="仿宋_GB2312"/>
          <w:kern w:val="0"/>
          <w:sz w:val="31"/>
          <w:szCs w:val="31"/>
        </w:rPr>
        <w:t>：合同签订后，60个日历日主要设备到货</w:t>
      </w:r>
      <w:r>
        <w:rPr>
          <w:rFonts w:hint="eastAsia" w:ascii="仿宋_GB2312" w:hAnsi="仿宋_GB2312" w:eastAsia="仿宋_GB2312" w:cs="仿宋_GB2312"/>
          <w:kern w:val="0"/>
          <w:sz w:val="31"/>
          <w:szCs w:val="31"/>
          <w:lang w:eastAsia="zh-CN"/>
        </w:rPr>
        <w:t>（</w:t>
      </w:r>
      <w:r>
        <w:rPr>
          <w:rFonts w:hint="eastAsia" w:ascii="仿宋_GB2312" w:hAnsi="仿宋_GB2312" w:eastAsia="仿宋_GB2312" w:cs="仿宋_GB2312"/>
          <w:kern w:val="0"/>
          <w:sz w:val="31"/>
          <w:szCs w:val="31"/>
        </w:rPr>
        <w:t>施工进度结合主体施工进度考虑</w:t>
      </w:r>
      <w:r>
        <w:rPr>
          <w:rFonts w:hint="eastAsia" w:ascii="仿宋_GB2312" w:hAnsi="仿宋_GB2312" w:eastAsia="仿宋_GB2312" w:cs="仿宋_GB2312"/>
          <w:kern w:val="0"/>
          <w:sz w:val="31"/>
          <w:szCs w:val="31"/>
          <w:lang w:eastAsia="zh-CN"/>
        </w:rPr>
        <w:t>）</w:t>
      </w:r>
    </w:p>
    <w:p>
      <w:pPr>
        <w:widowControl/>
        <w:numPr>
          <w:ilvl w:val="0"/>
          <w:numId w:val="2"/>
        </w:numPr>
        <w:ind w:left="220" w:leftChars="0" w:firstLine="620" w:firstLineChars="0"/>
        <w:rPr>
          <w:rFonts w:ascii="仿宋_GB2312" w:hAnsi="仿宋_GB2312" w:eastAsia="仿宋_GB2312" w:cs="仿宋_GB2312"/>
          <w:kern w:val="0"/>
          <w:sz w:val="31"/>
          <w:szCs w:val="31"/>
        </w:rPr>
      </w:pPr>
      <w:r>
        <w:rPr>
          <w:rFonts w:ascii="仿宋_GB2312" w:hAnsi="仿宋_GB2312" w:eastAsia="仿宋_GB2312" w:cs="仿宋_GB2312"/>
          <w:kern w:val="0"/>
          <w:sz w:val="31"/>
          <w:szCs w:val="31"/>
        </w:rPr>
        <w:t>取得采购标的的地点</w:t>
      </w:r>
      <w:r>
        <w:rPr>
          <w:rFonts w:hint="eastAsia" w:ascii="仿宋_GB2312" w:hAnsi="仿宋_GB2312" w:eastAsia="仿宋_GB2312" w:cs="仿宋_GB2312"/>
          <w:kern w:val="0"/>
          <w:sz w:val="31"/>
          <w:szCs w:val="31"/>
        </w:rPr>
        <w:t>：莎车县</w:t>
      </w:r>
      <w:r>
        <w:rPr>
          <w:rFonts w:hint="eastAsia" w:ascii="仿宋_GB2312" w:hAnsi="仿宋_GB2312" w:eastAsia="仿宋_GB2312" w:cs="仿宋_GB2312"/>
          <w:kern w:val="0"/>
          <w:sz w:val="31"/>
          <w:szCs w:val="31"/>
          <w:lang w:eastAsia="zh-CN"/>
        </w:rPr>
        <w:t>人民医院</w:t>
      </w:r>
      <w:r>
        <w:rPr>
          <w:rFonts w:hint="eastAsia" w:ascii="仿宋_GB2312" w:hAnsi="仿宋_GB2312" w:eastAsia="仿宋_GB2312" w:cs="仿宋_GB2312"/>
          <w:kern w:val="0"/>
          <w:sz w:val="31"/>
          <w:szCs w:val="31"/>
        </w:rPr>
        <w:t>指定地点</w:t>
      </w:r>
    </w:p>
    <w:p>
      <w:pPr>
        <w:widowControl/>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（3）</w:t>
      </w:r>
      <w:r>
        <w:rPr>
          <w:rFonts w:ascii="仿宋_GB2312" w:hAnsi="仿宋_GB2312" w:eastAsia="仿宋_GB2312" w:cs="仿宋_GB2312"/>
          <w:kern w:val="0"/>
          <w:sz w:val="31"/>
          <w:szCs w:val="31"/>
        </w:rPr>
        <w:t>交付（实施）的时间（期限）</w:t>
      </w:r>
      <w:r>
        <w:rPr>
          <w:rFonts w:hint="eastAsia" w:ascii="仿宋_GB2312" w:hAnsi="仿宋_GB2312" w:eastAsia="仿宋_GB2312" w:cs="仿宋_GB2312"/>
          <w:kern w:val="0"/>
          <w:sz w:val="31"/>
          <w:szCs w:val="31"/>
        </w:rPr>
        <w:t>：</w:t>
      </w:r>
      <w:r>
        <w:rPr>
          <w:rFonts w:hint="eastAsia" w:ascii="仿宋_GB2312" w:hAnsi="仿宋_GB2312" w:eastAsia="仿宋_GB2312" w:cs="仿宋_GB2312"/>
          <w:kern w:val="0"/>
          <w:sz w:val="31"/>
          <w:szCs w:val="31"/>
          <w:lang w:val="en-US" w:eastAsia="zh-CN"/>
        </w:rPr>
        <w:t>60</w:t>
      </w:r>
      <w:r>
        <w:rPr>
          <w:rFonts w:hint="eastAsia" w:ascii="仿宋_GB2312" w:hAnsi="仿宋_GB2312" w:eastAsia="仿宋_GB2312" w:cs="仿宋_GB2312"/>
          <w:kern w:val="0"/>
          <w:sz w:val="31"/>
          <w:szCs w:val="31"/>
        </w:rPr>
        <w:t>天</w:t>
      </w:r>
      <w:r>
        <w:rPr>
          <w:rFonts w:hint="eastAsia" w:ascii="仿宋_GB2312" w:hAnsi="仿宋_GB2312" w:eastAsia="仿宋_GB2312" w:cs="仿宋_GB2312"/>
          <w:kern w:val="0"/>
          <w:sz w:val="31"/>
          <w:szCs w:val="31"/>
          <w:lang w:eastAsia="zh-CN"/>
        </w:rPr>
        <w:t>（</w:t>
      </w:r>
      <w:r>
        <w:rPr>
          <w:rFonts w:hint="eastAsia" w:ascii="仿宋_GB2312" w:hAnsi="仿宋_GB2312" w:eastAsia="仿宋_GB2312" w:cs="仿宋_GB2312"/>
          <w:kern w:val="0"/>
          <w:sz w:val="31"/>
          <w:szCs w:val="31"/>
        </w:rPr>
        <w:t>施工进度结合主体施工进度考虑</w:t>
      </w:r>
      <w:r>
        <w:rPr>
          <w:rFonts w:hint="eastAsia" w:ascii="仿宋_GB2312" w:hAnsi="仿宋_GB2312" w:eastAsia="仿宋_GB2312" w:cs="仿宋_GB2312"/>
          <w:kern w:val="0"/>
          <w:sz w:val="31"/>
          <w:szCs w:val="31"/>
          <w:lang w:eastAsia="zh-CN"/>
        </w:rPr>
        <w:t>）</w:t>
      </w:r>
    </w:p>
    <w:p>
      <w:pPr>
        <w:widowControl/>
        <w:ind w:firstLine="620" w:firstLineChars="200"/>
        <w:rPr>
          <w:rFonts w:hint="eastAsia" w:eastAsia="仿宋_GB2312"/>
          <w:lang w:eastAsia="zh-CN"/>
        </w:rPr>
      </w:pPr>
      <w:r>
        <w:rPr>
          <w:rFonts w:hint="eastAsia" w:ascii="仿宋_GB2312" w:hAnsi="仿宋_GB2312" w:eastAsia="仿宋_GB2312" w:cs="仿宋_GB2312"/>
          <w:kern w:val="0"/>
          <w:sz w:val="31"/>
          <w:szCs w:val="31"/>
        </w:rPr>
        <w:t>（4）交付</w:t>
      </w:r>
      <w:r>
        <w:rPr>
          <w:rFonts w:ascii="仿宋_GB2312" w:hAnsi="仿宋_GB2312" w:eastAsia="仿宋_GB2312" w:cs="仿宋_GB2312"/>
          <w:kern w:val="0"/>
          <w:sz w:val="31"/>
          <w:szCs w:val="31"/>
        </w:rPr>
        <w:t>地点（范围</w:t>
      </w:r>
      <w:r>
        <w:rPr>
          <w:rFonts w:hint="eastAsia" w:ascii="仿宋_GB2312" w:hAnsi="仿宋_GB2312" w:eastAsia="仿宋_GB2312" w:cs="仿宋_GB2312"/>
          <w:kern w:val="0"/>
          <w:sz w:val="31"/>
          <w:szCs w:val="31"/>
        </w:rPr>
        <w:t>）：莎车县</w:t>
      </w:r>
      <w:r>
        <w:rPr>
          <w:rFonts w:hint="eastAsia" w:ascii="仿宋_GB2312" w:hAnsi="仿宋_GB2312" w:eastAsia="仿宋_GB2312" w:cs="仿宋_GB2312"/>
          <w:kern w:val="0"/>
          <w:sz w:val="31"/>
          <w:szCs w:val="31"/>
          <w:lang w:eastAsia="zh-CN"/>
        </w:rPr>
        <w:t>人民医院</w:t>
      </w:r>
    </w:p>
    <w:p>
      <w:pPr>
        <w:spacing w:line="511" w:lineRule="exact"/>
        <w:rPr>
          <w:rFonts w:hint="eastAsia" w:ascii="仿宋_GB2312" w:hAnsi="仿宋_GB2312" w:eastAsia="仿宋_GB2312" w:cs="仿宋_GB2312"/>
          <w:b w:val="0"/>
          <w:bCs w:val="0"/>
          <w:kern w:val="0"/>
          <w:sz w:val="31"/>
          <w:szCs w:val="31"/>
        </w:rPr>
      </w:pPr>
      <w:r>
        <w:rPr>
          <w:rFonts w:hint="eastAsia" w:ascii="仿宋_GB2312" w:hAnsi="仿宋_GB2312" w:eastAsia="仿宋_GB2312" w:cs="仿宋_GB2312"/>
          <w:b w:val="0"/>
          <w:bCs w:val="0"/>
          <w:kern w:val="0"/>
          <w:sz w:val="52"/>
          <w:szCs w:val="52"/>
        </w:rPr>
        <w:t>3、</w:t>
      </w:r>
      <w:r>
        <w:rPr>
          <w:rFonts w:ascii="仿宋_GB2312" w:hAnsi="仿宋_GB2312" w:eastAsia="仿宋_GB2312" w:cs="仿宋_GB2312"/>
          <w:b w:val="0"/>
          <w:bCs w:val="0"/>
          <w:kern w:val="0"/>
          <w:sz w:val="31"/>
          <w:szCs w:val="31"/>
        </w:rPr>
        <w:t>付款条件</w:t>
      </w:r>
      <w:r>
        <w:rPr>
          <w:rFonts w:hint="eastAsia" w:ascii="仿宋_GB2312" w:hAnsi="仿宋_GB2312" w:eastAsia="仿宋_GB2312" w:cs="仿宋_GB2312"/>
          <w:b w:val="0"/>
          <w:bCs w:val="0"/>
          <w:kern w:val="0"/>
          <w:sz w:val="31"/>
          <w:szCs w:val="31"/>
        </w:rPr>
        <w:t>：</w:t>
      </w:r>
    </w:p>
    <w:p>
      <w:pPr>
        <w:spacing w:line="511" w:lineRule="exact"/>
        <w:rPr>
          <w:rFonts w:hint="eastAsia" w:ascii="仿宋_GB2312" w:hAnsi="仿宋_GB2312" w:eastAsia="仿宋_GB2312" w:cs="仿宋_GB2312"/>
          <w:b w:val="0"/>
          <w:bCs w:val="0"/>
          <w:kern w:val="0"/>
          <w:sz w:val="31"/>
          <w:szCs w:val="31"/>
          <w:lang w:eastAsia="zh-CN"/>
        </w:rPr>
      </w:pPr>
      <w:r>
        <w:rPr>
          <w:rFonts w:hint="eastAsia" w:ascii="仿宋_GB2312" w:hAnsi="仿宋_GB2312" w:eastAsia="仿宋_GB2312" w:cs="仿宋_GB2312"/>
          <w:b w:val="0"/>
          <w:bCs w:val="0"/>
          <w:kern w:val="0"/>
          <w:sz w:val="31"/>
          <w:szCs w:val="31"/>
          <w:lang w:eastAsia="zh-CN"/>
        </w:rPr>
        <w:t>（1）、进度和方式：合同签订后，缴纳5%的履约保证金，支付合同总价的30%款项；</w:t>
      </w:r>
    </w:p>
    <w:p>
      <w:pPr>
        <w:spacing w:line="511" w:lineRule="exact"/>
        <w:rPr>
          <w:rFonts w:hint="eastAsia" w:ascii="仿宋_GB2312" w:hAnsi="仿宋_GB2312" w:eastAsia="仿宋_GB2312" w:cs="仿宋_GB2312"/>
          <w:b w:val="0"/>
          <w:bCs w:val="0"/>
          <w:kern w:val="0"/>
          <w:sz w:val="31"/>
          <w:szCs w:val="31"/>
          <w:lang w:eastAsia="zh-CN"/>
        </w:rPr>
      </w:pPr>
      <w:r>
        <w:rPr>
          <w:rFonts w:hint="eastAsia" w:ascii="仿宋_GB2312" w:hAnsi="仿宋_GB2312" w:eastAsia="仿宋_GB2312" w:cs="仿宋_GB2312"/>
          <w:b w:val="0"/>
          <w:bCs w:val="0"/>
          <w:kern w:val="0"/>
          <w:sz w:val="31"/>
          <w:szCs w:val="31"/>
          <w:lang w:eastAsia="zh-CN"/>
        </w:rPr>
        <w:t>按照合同约定主要设备到货，支付合同总金额30%款项；</w:t>
      </w:r>
    </w:p>
    <w:p>
      <w:pPr>
        <w:spacing w:line="511" w:lineRule="exact"/>
        <w:rPr>
          <w:rFonts w:hint="eastAsia" w:ascii="仿宋_GB2312" w:hAnsi="仿宋_GB2312" w:eastAsia="仿宋_GB2312" w:cs="仿宋_GB2312"/>
          <w:b w:val="0"/>
          <w:bCs w:val="0"/>
          <w:kern w:val="0"/>
          <w:sz w:val="31"/>
          <w:szCs w:val="31"/>
          <w:lang w:eastAsia="zh-CN"/>
        </w:rPr>
      </w:pPr>
      <w:r>
        <w:rPr>
          <w:rFonts w:hint="eastAsia" w:ascii="仿宋_GB2312" w:hAnsi="仿宋_GB2312" w:eastAsia="仿宋_GB2312" w:cs="仿宋_GB2312"/>
          <w:b w:val="0"/>
          <w:bCs w:val="0"/>
          <w:kern w:val="0"/>
          <w:sz w:val="31"/>
          <w:szCs w:val="31"/>
          <w:lang w:eastAsia="zh-CN"/>
        </w:rPr>
        <w:t>根据主体项目施工情况进场安装，调试完毕，验收合格后支付合同总金额30%款项；</w:t>
      </w:r>
    </w:p>
    <w:p>
      <w:pPr>
        <w:spacing w:line="511" w:lineRule="exact"/>
        <w:rPr>
          <w:rFonts w:hint="eastAsia" w:ascii="仿宋_GB2312" w:hAnsi="仿宋_GB2312" w:eastAsia="仿宋_GB2312" w:cs="仿宋_GB2312"/>
          <w:b w:val="0"/>
          <w:bCs w:val="0"/>
          <w:kern w:val="0"/>
          <w:sz w:val="31"/>
          <w:szCs w:val="31"/>
          <w:lang w:val="en-US" w:eastAsia="zh-CN"/>
        </w:rPr>
      </w:pPr>
      <w:r>
        <w:rPr>
          <w:rFonts w:hint="eastAsia" w:ascii="仿宋_GB2312" w:hAnsi="仿宋_GB2312" w:eastAsia="仿宋_GB2312" w:cs="仿宋_GB2312"/>
          <w:b w:val="0"/>
          <w:bCs w:val="0"/>
          <w:kern w:val="0"/>
          <w:sz w:val="31"/>
          <w:szCs w:val="31"/>
          <w:lang w:eastAsia="zh-CN"/>
        </w:rPr>
        <w:t>质保期满后支付剩余10%款项。</w:t>
      </w:r>
      <w:r>
        <w:rPr>
          <w:rFonts w:hint="eastAsia" w:ascii="仿宋_GB2312" w:hAnsi="仿宋_GB2312" w:eastAsia="仿宋_GB2312" w:cs="仿宋_GB2312"/>
          <w:b w:val="0"/>
          <w:bCs w:val="0"/>
          <w:kern w:val="0"/>
          <w:sz w:val="31"/>
          <w:szCs w:val="31"/>
        </w:rPr>
        <w:t>（以实际签订合同为准）</w:t>
      </w:r>
    </w:p>
    <w:p>
      <w:pPr>
        <w:pStyle w:val="8"/>
        <w:numPr>
          <w:ilvl w:val="0"/>
          <w:numId w:val="0"/>
        </w:numPr>
        <w:spacing w:beforeLines="50" w:after="0" w:line="360" w:lineRule="auto"/>
        <w:jc w:val="both"/>
        <w:outlineLvl w:val="9"/>
        <w:rPr>
          <w:rFonts w:hint="eastAsia" w:ascii="仿宋_GB2312" w:hAnsi="仿宋_GB2312" w:eastAsia="仿宋_GB2312" w:cs="仿宋_GB2312"/>
          <w:b w:val="0"/>
          <w:bCs w:val="0"/>
          <w:kern w:val="0"/>
          <w:sz w:val="31"/>
          <w:szCs w:val="31"/>
        </w:rPr>
      </w:pPr>
      <w:r>
        <w:rPr>
          <w:rFonts w:hint="eastAsia" w:ascii="仿宋_GB2312" w:hAnsi="仿宋_GB2312" w:eastAsia="仿宋_GB2312" w:cs="仿宋_GB2312"/>
          <w:b w:val="0"/>
          <w:bCs w:val="0"/>
          <w:kern w:val="0"/>
          <w:sz w:val="31"/>
          <w:szCs w:val="31"/>
          <w:lang w:val="en-US" w:eastAsia="zh-CN"/>
        </w:rPr>
        <w:t>（2）、</w:t>
      </w:r>
      <w:r>
        <w:rPr>
          <w:rFonts w:ascii="仿宋_GB2312" w:hAnsi="仿宋_GB2312" w:eastAsia="仿宋_GB2312" w:cs="仿宋_GB2312"/>
          <w:b w:val="0"/>
          <w:bCs w:val="0"/>
          <w:kern w:val="0"/>
          <w:sz w:val="31"/>
          <w:szCs w:val="31"/>
        </w:rPr>
        <w:t>售后服务</w:t>
      </w:r>
      <w:r>
        <w:rPr>
          <w:rFonts w:hint="eastAsia" w:ascii="仿宋_GB2312" w:hAnsi="仿宋_GB2312" w:eastAsia="仿宋_GB2312" w:cs="仿宋_GB2312"/>
          <w:b w:val="0"/>
          <w:bCs w:val="0"/>
          <w:kern w:val="0"/>
          <w:sz w:val="31"/>
          <w:szCs w:val="31"/>
          <w:lang w:eastAsia="zh-CN"/>
        </w:rPr>
        <w:t>；</w:t>
      </w:r>
      <w:r>
        <w:rPr>
          <w:rFonts w:hint="eastAsia" w:ascii="仿宋_GB2312" w:hAnsi="仿宋_GB2312" w:eastAsia="仿宋_GB2312" w:cs="仿宋_GB2312"/>
          <w:b w:val="0"/>
          <w:bCs w:val="0"/>
          <w:kern w:val="0"/>
          <w:sz w:val="31"/>
          <w:szCs w:val="31"/>
        </w:rPr>
        <w:t>1小时响应，</w:t>
      </w:r>
      <w:r>
        <w:rPr>
          <w:rFonts w:hint="eastAsia" w:ascii="仿宋_GB2312" w:hAnsi="仿宋_GB2312" w:eastAsia="仿宋_GB2312" w:cs="仿宋_GB2312"/>
          <w:b w:val="0"/>
          <w:bCs w:val="0"/>
          <w:kern w:val="0"/>
          <w:sz w:val="31"/>
          <w:szCs w:val="31"/>
          <w:lang w:val="en-US" w:eastAsia="zh-CN"/>
        </w:rPr>
        <w:t>24</w:t>
      </w:r>
      <w:r>
        <w:rPr>
          <w:rFonts w:hint="eastAsia" w:ascii="仿宋_GB2312" w:hAnsi="仿宋_GB2312" w:eastAsia="仿宋_GB2312" w:cs="仿宋_GB2312"/>
          <w:b w:val="0"/>
          <w:bCs w:val="0"/>
          <w:kern w:val="0"/>
          <w:sz w:val="31"/>
          <w:szCs w:val="31"/>
        </w:rPr>
        <w:t>小时到达现场服务。</w:t>
      </w:r>
    </w:p>
    <w:p>
      <w:pPr>
        <w:pStyle w:val="8"/>
        <w:numPr>
          <w:ilvl w:val="0"/>
          <w:numId w:val="0"/>
        </w:numPr>
        <w:spacing w:beforeLines="50" w:after="0" w:line="360" w:lineRule="auto"/>
        <w:jc w:val="both"/>
        <w:outlineLvl w:val="9"/>
        <w:rPr>
          <w:rFonts w:hint="eastAsia" w:ascii="仿宋_GB2312" w:hAnsi="仿宋_GB2312" w:eastAsia="仿宋_GB2312" w:cs="仿宋_GB2312"/>
          <w:b w:val="0"/>
          <w:bCs w:val="0"/>
          <w:kern w:val="0"/>
          <w:sz w:val="31"/>
          <w:szCs w:val="31"/>
          <w:lang w:val="en-US" w:eastAsia="zh-CN"/>
        </w:rPr>
      </w:pPr>
      <w:r>
        <w:rPr>
          <w:rFonts w:hint="eastAsia" w:ascii="仿宋_GB2312" w:hAnsi="仿宋_GB2312" w:eastAsia="仿宋_GB2312" w:cs="仿宋_GB2312"/>
          <w:b w:val="0"/>
          <w:bCs w:val="0"/>
          <w:kern w:val="0"/>
          <w:sz w:val="31"/>
          <w:szCs w:val="31"/>
          <w:lang w:val="en-US" w:eastAsia="zh-CN"/>
        </w:rPr>
        <w:t>（3）、是否提供保险；货物运至最终目的地的保险费用</w:t>
      </w:r>
    </w:p>
    <w:p>
      <w:pPr>
        <w:widowControl/>
        <w:spacing w:line="520" w:lineRule="exact"/>
        <w:rPr>
          <w:rFonts w:hint="eastAsia" w:ascii="仿宋_GB2312" w:hAnsi="仿宋_GB2312" w:eastAsia="仿宋_GB2312" w:cs="仿宋_GB2312"/>
          <w:b w:val="0"/>
          <w:bCs w:val="0"/>
          <w:kern w:val="0"/>
          <w:sz w:val="31"/>
          <w:szCs w:val="31"/>
          <w:lang w:val="en-US" w:eastAsia="zh-CN"/>
        </w:rPr>
      </w:pPr>
      <w:r>
        <w:rPr>
          <w:rFonts w:hint="eastAsia" w:ascii="仿宋_GB2312" w:hAnsi="仿宋_GB2312" w:eastAsia="仿宋_GB2312" w:cs="仿宋_GB2312"/>
          <w:b w:val="0"/>
          <w:bCs w:val="0"/>
          <w:kern w:val="0"/>
          <w:sz w:val="52"/>
          <w:szCs w:val="52"/>
          <w:lang w:val="en-US" w:eastAsia="zh-CN"/>
        </w:rPr>
        <w:t>4</w:t>
      </w:r>
      <w:r>
        <w:rPr>
          <w:rFonts w:hint="eastAsia" w:ascii="仿宋_GB2312" w:hAnsi="仿宋_GB2312" w:eastAsia="仿宋_GB2312" w:cs="仿宋_GB2312"/>
          <w:b w:val="0"/>
          <w:bCs w:val="0"/>
          <w:kern w:val="0"/>
          <w:sz w:val="31"/>
          <w:szCs w:val="31"/>
          <w:lang w:val="en-US" w:eastAsia="zh-CN"/>
        </w:rPr>
        <w:t>、可能影响供应商报价和项目实施风险的因素：</w:t>
      </w:r>
    </w:p>
    <w:p>
      <w:pPr>
        <w:widowControl/>
        <w:spacing w:line="520" w:lineRule="exact"/>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（1）自然风险：因自然界中的不可抗力所造成的本次竞争性谈判采购工作不能顺利实施的风险。比如因疫情防控，供应商不能按时参加本次公开招标活动的风险。</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（2）政策风险：因政府政策或行业标准改变，或者企业发展方向改变、企业升级等问题导致本次竞争性谈判采购项目不得不取消或者进行调整。</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3）投标单位风险：投标单位风险是本次公开招标采购中的主要风险之一。投标单位风险主要体现在以下几个方面：一是投标单位本身生产能力达不到，但是却恶意拉低投标价格，以低价格中标之后再在生产中通过不良手段降低产品生产成本，提高利润，损害招标单位的行为；二是投标单位相互串通，实施围标、窜标等违法行为；三是投标单位与企业招标人员相互勾结，通过串通的方式拿到标底价格，进行恶意竞争，影响企业公开招标活动的实施。</w:t>
      </w:r>
    </w:p>
    <w:p>
      <w:pPr>
        <w:widowControl/>
        <w:spacing w:line="520" w:lineRule="exact"/>
        <w:ind w:firstLine="620" w:firstLineChars="200"/>
        <w:rPr>
          <w:rFonts w:ascii="仿宋_GB2312" w:hAnsi="仿宋_GB2312" w:eastAsia="仿宋_GB2312" w:cs="仿宋_GB2312"/>
          <w:kern w:val="0"/>
          <w:sz w:val="31"/>
          <w:szCs w:val="31"/>
        </w:rPr>
      </w:pPr>
      <w:r>
        <w:rPr>
          <w:rFonts w:hint="eastAsia" w:ascii="仿宋_GB2312" w:hAnsi="仿宋_GB2312" w:eastAsia="仿宋_GB2312" w:cs="仿宋_GB2312"/>
          <w:kern w:val="0"/>
          <w:sz w:val="31"/>
          <w:szCs w:val="31"/>
        </w:rPr>
        <w:t>（4）质量安全风险：中标单位没有按照标书中的产品技术标准进行供货，向采购人提供不符合要求的图书；后期中标单位提供的图书不符合采购人实际需求。</w:t>
      </w:r>
    </w:p>
    <w:p>
      <w:pPr>
        <w:widowControl/>
        <w:spacing w:line="52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5、该项目是否开展需求调查？（根据办法十一条规定），如开展则提供需求调查报告。</w:t>
      </w:r>
    </w:p>
    <w:p>
      <w:pPr>
        <w:pStyle w:val="2"/>
        <w:spacing w:line="520" w:lineRule="exact"/>
        <w:ind w:firstLine="620"/>
      </w:pPr>
      <w:r>
        <w:rPr>
          <w:rFonts w:hint="eastAsia" w:ascii="仿宋_GB2312" w:hAnsi="仿宋_GB2312" w:eastAsia="仿宋_GB2312" w:cs="仿宋_GB2312"/>
          <w:color w:val="000000"/>
          <w:sz w:val="31"/>
          <w:szCs w:val="31"/>
        </w:rPr>
        <w:t>该项目无需开展需求调查</w:t>
      </w:r>
    </w:p>
    <w:p>
      <w:pPr>
        <w:keepNext w:val="0"/>
        <w:keepLines w:val="0"/>
        <w:widowControl/>
        <w:suppressLineNumbers w:val="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48"/>
          <w:szCs w:val="48"/>
          <w:lang w:val="en-US" w:eastAsia="zh-CN" w:bidi="ar"/>
        </w:rPr>
        <w:t>六</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b/>
          <w:bCs/>
          <w:color w:val="000000"/>
          <w:kern w:val="0"/>
          <w:sz w:val="31"/>
          <w:szCs w:val="31"/>
        </w:rPr>
        <w:t>采购标的的验收标准</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验收主体：采购人</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验收时间：签订合同后60个日历日内到货</w:t>
      </w:r>
      <w:r>
        <w:rPr>
          <w:rFonts w:hint="eastAsia" w:ascii="仿宋_GB2312" w:hAnsi="仿宋_GB2312" w:eastAsia="仿宋_GB2312" w:cs="仿宋_GB2312"/>
          <w:kern w:val="0"/>
          <w:sz w:val="31"/>
          <w:szCs w:val="31"/>
          <w:lang w:eastAsia="zh-CN"/>
        </w:rPr>
        <w:t>（</w:t>
      </w:r>
      <w:r>
        <w:rPr>
          <w:rFonts w:hint="eastAsia" w:ascii="仿宋_GB2312" w:hAnsi="仿宋_GB2312" w:eastAsia="仿宋_GB2312" w:cs="仿宋_GB2312"/>
          <w:kern w:val="0"/>
          <w:sz w:val="31"/>
          <w:szCs w:val="31"/>
        </w:rPr>
        <w:t>施工进度结合主体施工进度考虑</w:t>
      </w:r>
      <w:r>
        <w:rPr>
          <w:rFonts w:hint="eastAsia" w:ascii="仿宋_GB2312" w:hAnsi="仿宋_GB2312" w:eastAsia="仿宋_GB2312" w:cs="仿宋_GB2312"/>
          <w:kern w:val="0"/>
          <w:sz w:val="31"/>
          <w:szCs w:val="31"/>
          <w:lang w:eastAsia="zh-CN"/>
        </w:rPr>
        <w:t>）</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验收方式：货物包装应符合国家标准，以保证货物在运输过程中不受损伤。货物在运输或邮寄途中发生毁损或丢失，由乙方负责。在运输途中、交货前、卸货中发生人身伤害或货物受损的，由乙方负责承担。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验收内容：急诊综合楼医用气动物流系统</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color w:val="000000"/>
          <w:kern w:val="0"/>
          <w:sz w:val="31"/>
          <w:szCs w:val="31"/>
        </w:rPr>
        <w:t>经检验达到所投产品的响应参数</w:t>
      </w:r>
      <w:r>
        <w:rPr>
          <w:rFonts w:hint="eastAsia" w:ascii="仿宋_GB2312" w:hAnsi="仿宋_GB2312" w:eastAsia="仿宋_GB2312" w:cs="仿宋_GB2312"/>
          <w:color w:val="000000"/>
          <w:kern w:val="0"/>
          <w:sz w:val="31"/>
          <w:szCs w:val="31"/>
          <w:lang w:eastAsia="zh-CN"/>
        </w:rPr>
        <w:t>，物流系统正常平顺运转。</w:t>
      </w:r>
    </w:p>
    <w:p>
      <w:pPr>
        <w:widowControl/>
        <w:spacing w:line="560" w:lineRule="exact"/>
        <w:ind w:firstLine="622"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rPr>
        <w:t>七、采购标的的其他技术、服务等要求；</w:t>
      </w:r>
      <w:r>
        <w:rPr>
          <w:rFonts w:hint="eastAsia" w:ascii="仿宋_GB2312" w:hAnsi="仿宋_GB2312" w:eastAsia="仿宋_GB2312" w:cs="仿宋_GB2312"/>
          <w:b w:val="0"/>
          <w:bCs w:val="0"/>
          <w:color w:val="000000"/>
          <w:kern w:val="0"/>
          <w:sz w:val="31"/>
          <w:szCs w:val="31"/>
          <w:lang w:val="en-US" w:eastAsia="zh-CN" w:bidi="ar"/>
        </w:rPr>
        <w:t>：系统安装完成必须达到参数要求，能够平顺使用。不存在卡顿情况，系统设备平顺运行。</w:t>
      </w:r>
    </w:p>
    <w:p>
      <w:pPr>
        <w:widowControl/>
        <w:spacing w:line="560" w:lineRule="exact"/>
        <w:ind w:firstLine="622" w:firstLineChars="200"/>
        <w:rPr>
          <w:rFonts w:ascii="仿宋_GB2312" w:hAnsi="仿宋_GB2312" w:eastAsia="仿宋_GB2312" w:cs="仿宋_GB2312"/>
          <w:b/>
          <w:bCs/>
          <w:color w:val="000000"/>
          <w:kern w:val="0"/>
          <w:sz w:val="31"/>
          <w:szCs w:val="31"/>
        </w:rPr>
      </w:pPr>
      <w:r>
        <w:rPr>
          <w:rFonts w:hint="eastAsia" w:ascii="仿宋_GB2312" w:hAnsi="仿宋_GB2312" w:eastAsia="仿宋_GB2312" w:cs="仿宋_GB2312"/>
          <w:b/>
          <w:bCs/>
          <w:color w:val="000000"/>
          <w:kern w:val="0"/>
          <w:sz w:val="31"/>
          <w:szCs w:val="31"/>
        </w:rPr>
        <w:t>八、需要满足的其他技术规格要求；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1、货物名称：急诊综合楼医用气动物流系统</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2、维保期限：售后、保质期为两年</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3、货物使用单位：莎车县人民医院</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4、维保用途说明：急诊综合楼医用气动物流系统维护</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5、维保服务参数要求；中标投标单位应</w:t>
      </w:r>
      <w:r>
        <w:rPr>
          <w:rFonts w:hint="eastAsia" w:ascii="仿宋_GB2312" w:hAnsi="仿宋_GB2312" w:eastAsia="仿宋_GB2312" w:cs="仿宋_GB2312"/>
          <w:b w:val="0"/>
          <w:bCs w:val="0"/>
          <w:kern w:val="0"/>
          <w:sz w:val="31"/>
          <w:szCs w:val="31"/>
        </w:rPr>
        <w:t>1小时响应，</w:t>
      </w:r>
      <w:r>
        <w:rPr>
          <w:rFonts w:hint="eastAsia" w:ascii="仿宋_GB2312" w:hAnsi="仿宋_GB2312" w:eastAsia="仿宋_GB2312" w:cs="仿宋_GB2312"/>
          <w:b w:val="0"/>
          <w:bCs w:val="0"/>
          <w:kern w:val="0"/>
          <w:sz w:val="31"/>
          <w:szCs w:val="31"/>
          <w:lang w:val="en-US" w:eastAsia="zh-CN"/>
        </w:rPr>
        <w:t>24</w:t>
      </w:r>
      <w:r>
        <w:rPr>
          <w:rFonts w:hint="eastAsia" w:ascii="仿宋_GB2312" w:hAnsi="仿宋_GB2312" w:eastAsia="仿宋_GB2312" w:cs="仿宋_GB2312"/>
          <w:b w:val="0"/>
          <w:bCs w:val="0"/>
          <w:kern w:val="0"/>
          <w:sz w:val="31"/>
          <w:szCs w:val="31"/>
        </w:rPr>
        <w:t>小时到达现场服务。</w:t>
      </w:r>
      <w:r>
        <w:rPr>
          <w:rFonts w:hint="eastAsia" w:ascii="仿宋_GB2312" w:hAnsi="仿宋_GB2312" w:eastAsia="仿宋_GB2312" w:cs="仿宋_GB2312"/>
          <w:b w:val="0"/>
          <w:bCs w:val="0"/>
          <w:kern w:val="0"/>
          <w:sz w:val="31"/>
          <w:szCs w:val="31"/>
          <w:lang w:eastAsia="zh-CN"/>
        </w:rPr>
        <w:t>以最快的速度解决故障问题，使系统正常运行。维保配件必须百分百原厂配件。</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该项目是一般性审查还是重点审查？（对应选择）</w:t>
      </w:r>
    </w:p>
    <w:p>
      <w:pPr>
        <w:pStyle w:val="2"/>
        <w:numPr>
          <w:ilvl w:val="0"/>
          <w:numId w:val="0"/>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1、重点审查</w:t>
      </w:r>
    </w:p>
    <w:p>
      <w:pPr>
        <w:pStyle w:val="2"/>
        <w:numPr>
          <w:ilvl w:val="0"/>
          <w:numId w:val="0"/>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2采购单位审查人员姓名：姜勇</w:t>
      </w:r>
    </w:p>
    <w:p>
      <w:pPr>
        <w:pStyle w:val="2"/>
        <w:numPr>
          <w:ilvl w:val="0"/>
          <w:numId w:val="0"/>
        </w:numPr>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3审查时间：根据总体施工进度来定。（急症楼楼体还在建设中）</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采 购 单 位：莎车县人民医院（盖章）</w:t>
      </w:r>
    </w:p>
    <w:p>
      <w:pPr>
        <w:keepNext w:val="0"/>
        <w:keepLines w:val="0"/>
        <w:widowControl/>
        <w:suppressLineNumbers w:val="0"/>
        <w:ind w:firstLine="5580" w:firstLineChars="18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2021年8月16日</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Mono CJK JP Regular">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标准公文_仿宋">
    <w:altName w:val="黑体"/>
    <w:panose1 w:val="00000000000000000000"/>
    <w:charset w:val="00"/>
    <w:family w:val="auto"/>
    <w:pitch w:val="default"/>
    <w:sig w:usb0="00000000" w:usb1="00000000" w:usb2="00000000" w:usb3="00000000" w:csb0="FFFFFF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1D62D"/>
    <w:multiLevelType w:val="singleLevel"/>
    <w:tmpl w:val="BFA1D62D"/>
    <w:lvl w:ilvl="0" w:tentative="0">
      <w:start w:val="1"/>
      <w:numFmt w:val="decimal"/>
      <w:suff w:val="nothing"/>
      <w:lvlText w:val="（%1）"/>
      <w:lvlJc w:val="left"/>
      <w:pPr>
        <w:ind w:left="220"/>
      </w:pPr>
    </w:lvl>
  </w:abstractNum>
  <w:abstractNum w:abstractNumId="1">
    <w:nsid w:val="3F4C592A"/>
    <w:multiLevelType w:val="singleLevel"/>
    <w:tmpl w:val="3F4C592A"/>
    <w:lvl w:ilvl="0" w:tentative="0">
      <w:start w:val="2"/>
      <w:numFmt w:val="decimal"/>
      <w:suff w:val="nothing"/>
      <w:lvlText w:val="%1、"/>
      <w:lvlJc w:val="left"/>
      <w:rPr>
        <w:rFonts w:hint="default"/>
        <w:sz w:val="52"/>
        <w:szCs w:val="5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1916411"/>
    <w:rsid w:val="01B82028"/>
    <w:rsid w:val="01E80B29"/>
    <w:rsid w:val="02616FB4"/>
    <w:rsid w:val="039E3498"/>
    <w:rsid w:val="048F729C"/>
    <w:rsid w:val="04911826"/>
    <w:rsid w:val="04BC5B52"/>
    <w:rsid w:val="05637ADF"/>
    <w:rsid w:val="065E662A"/>
    <w:rsid w:val="06823F0A"/>
    <w:rsid w:val="07C532AC"/>
    <w:rsid w:val="099A0AD4"/>
    <w:rsid w:val="09CB1B95"/>
    <w:rsid w:val="0A2A69CE"/>
    <w:rsid w:val="0A766299"/>
    <w:rsid w:val="0AB8080E"/>
    <w:rsid w:val="0BB330CE"/>
    <w:rsid w:val="0C4C4000"/>
    <w:rsid w:val="0DA21A93"/>
    <w:rsid w:val="0E9A488E"/>
    <w:rsid w:val="0F7E790C"/>
    <w:rsid w:val="12433C82"/>
    <w:rsid w:val="125A609B"/>
    <w:rsid w:val="126E010B"/>
    <w:rsid w:val="164C7BBE"/>
    <w:rsid w:val="1656228F"/>
    <w:rsid w:val="1A20079B"/>
    <w:rsid w:val="1D341931"/>
    <w:rsid w:val="1E5D547C"/>
    <w:rsid w:val="1E997FFA"/>
    <w:rsid w:val="23706945"/>
    <w:rsid w:val="238C41AD"/>
    <w:rsid w:val="245D5FF3"/>
    <w:rsid w:val="250B0954"/>
    <w:rsid w:val="25905573"/>
    <w:rsid w:val="26264CD5"/>
    <w:rsid w:val="269B784D"/>
    <w:rsid w:val="28DD75D4"/>
    <w:rsid w:val="28FC30E5"/>
    <w:rsid w:val="292841EA"/>
    <w:rsid w:val="2AEA47BD"/>
    <w:rsid w:val="2E035A3A"/>
    <w:rsid w:val="2E0E2925"/>
    <w:rsid w:val="2E7E3053"/>
    <w:rsid w:val="2ED04DC3"/>
    <w:rsid w:val="2F926348"/>
    <w:rsid w:val="2FF953E0"/>
    <w:rsid w:val="313A3513"/>
    <w:rsid w:val="31E85208"/>
    <w:rsid w:val="33D76E9C"/>
    <w:rsid w:val="364F5BDE"/>
    <w:rsid w:val="371B3004"/>
    <w:rsid w:val="37985C5C"/>
    <w:rsid w:val="37B93991"/>
    <w:rsid w:val="37EB2DF0"/>
    <w:rsid w:val="38633AFB"/>
    <w:rsid w:val="3A9B714F"/>
    <w:rsid w:val="3BFA2424"/>
    <w:rsid w:val="3C7E355F"/>
    <w:rsid w:val="3F6235B5"/>
    <w:rsid w:val="3FEB5E72"/>
    <w:rsid w:val="407B3338"/>
    <w:rsid w:val="40AF60FF"/>
    <w:rsid w:val="43972C82"/>
    <w:rsid w:val="44D26F19"/>
    <w:rsid w:val="45EE6484"/>
    <w:rsid w:val="46447A3D"/>
    <w:rsid w:val="46570753"/>
    <w:rsid w:val="477254BF"/>
    <w:rsid w:val="47741A2D"/>
    <w:rsid w:val="47DE0D39"/>
    <w:rsid w:val="47ED1041"/>
    <w:rsid w:val="485F1214"/>
    <w:rsid w:val="490C2ACF"/>
    <w:rsid w:val="4EF46481"/>
    <w:rsid w:val="50062E36"/>
    <w:rsid w:val="51B9222B"/>
    <w:rsid w:val="527D0205"/>
    <w:rsid w:val="52F56C87"/>
    <w:rsid w:val="558561F9"/>
    <w:rsid w:val="562D1484"/>
    <w:rsid w:val="5AC34BD6"/>
    <w:rsid w:val="5AE372E1"/>
    <w:rsid w:val="5C564563"/>
    <w:rsid w:val="5F421A7E"/>
    <w:rsid w:val="5F60166B"/>
    <w:rsid w:val="5F8E729E"/>
    <w:rsid w:val="6147005B"/>
    <w:rsid w:val="618F4213"/>
    <w:rsid w:val="63310449"/>
    <w:rsid w:val="682C2D0D"/>
    <w:rsid w:val="68615708"/>
    <w:rsid w:val="6D8E0624"/>
    <w:rsid w:val="6F2C480B"/>
    <w:rsid w:val="73DF742B"/>
    <w:rsid w:val="758E5AE9"/>
    <w:rsid w:val="761C4FDA"/>
    <w:rsid w:val="76975318"/>
    <w:rsid w:val="76BC3153"/>
    <w:rsid w:val="77FB5591"/>
    <w:rsid w:val="79031B39"/>
    <w:rsid w:val="7A064486"/>
    <w:rsid w:val="7B2B120A"/>
    <w:rsid w:val="7B526016"/>
    <w:rsid w:val="7E8E68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toa heading"/>
    <w:basedOn w:val="1"/>
    <w:next w:val="1"/>
    <w:qFormat/>
    <w:uiPriority w:val="0"/>
    <w:pPr>
      <w:widowControl/>
      <w:autoSpaceDE/>
      <w:autoSpaceDN/>
      <w:spacing w:before="120" w:after="0" w:line="240" w:lineRule="auto"/>
      <w:ind w:left="0" w:firstLine="3584"/>
    </w:pPr>
  </w:style>
  <w:style w:type="paragraph" w:styleId="4">
    <w:name w:val="Body Text"/>
    <w:basedOn w:val="1"/>
    <w:next w:val="1"/>
    <w:qFormat/>
    <w:uiPriority w:val="0"/>
    <w:pPr>
      <w:ind w:left="528"/>
    </w:pPr>
    <w:rPr>
      <w:sz w:val="24"/>
      <w:szCs w:val="24"/>
    </w:rPr>
  </w:style>
  <w:style w:type="paragraph" w:styleId="5">
    <w:name w:val="Body Text Indent"/>
    <w:basedOn w:val="1"/>
    <w:next w:val="6"/>
    <w:unhideWhenUsed/>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Normal (Web)"/>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styleId="8">
    <w:name w:val="Title"/>
    <w:basedOn w:val="1"/>
    <w:qFormat/>
    <w:uiPriority w:val="0"/>
    <w:pPr>
      <w:spacing w:before="240" w:after="60"/>
      <w:jc w:val="center"/>
      <w:outlineLvl w:val="0"/>
    </w:pPr>
    <w:rPr>
      <w:rFonts w:ascii="Arial" w:hAnsi="Arial" w:cs="Arial"/>
      <w:b/>
      <w:bCs/>
      <w:sz w:val="32"/>
      <w:szCs w:val="32"/>
    </w:rPr>
  </w:style>
  <w:style w:type="paragraph" w:styleId="9">
    <w:name w:val="Body Text First Indent 2"/>
    <w:basedOn w:val="5"/>
    <w:next w:val="1"/>
    <w:qFormat/>
    <w:uiPriority w:val="0"/>
    <w:pPr>
      <w:spacing w:line="360" w:lineRule="auto"/>
      <w:ind w:firstLine="200" w:firstLineChars="200"/>
    </w:pPr>
    <w:rPr>
      <w:rFonts w:eastAsia="仿宋_GB2312"/>
      <w:spacing w:val="15"/>
      <w:kern w:val="10"/>
      <w:sz w:val="24"/>
    </w:rPr>
  </w:style>
  <w:style w:type="character" w:styleId="12">
    <w:name w:val="annotation reference"/>
    <w:qFormat/>
    <w:uiPriority w:val="0"/>
    <w:rPr>
      <w:sz w:val="21"/>
      <w:szCs w:val="21"/>
    </w:rPr>
  </w:style>
  <w:style w:type="paragraph" w:customStyle="1" w:styleId="13">
    <w:name w:val="正文3"/>
    <w:qFormat/>
    <w:uiPriority w:val="99"/>
    <w:pPr>
      <w:jc w:val="both"/>
    </w:pPr>
    <w:rPr>
      <w:rFonts w:ascii="Calibri" w:hAnsi="Calibri" w:eastAsia="宋体" w:cs="Calibri"/>
      <w:kern w:val="2"/>
      <w:sz w:val="21"/>
      <w:szCs w:val="21"/>
      <w:lang w:val="en-US" w:eastAsia="zh-CN" w:bidi="ar-SA"/>
    </w:rPr>
  </w:style>
  <w:style w:type="paragraph" w:customStyle="1" w:styleId="14">
    <w:name w:val="Table Paragraph"/>
    <w:basedOn w:val="1"/>
    <w:qFormat/>
    <w:uiPriority w:val="1"/>
  </w:style>
  <w:style w:type="paragraph" w:styleId="15">
    <w:name w:val="List Paragraph"/>
    <w:basedOn w:val="1"/>
    <w:qFormat/>
    <w:uiPriority w:val="34"/>
    <w:pPr>
      <w:ind w:left="528" w:firstLine="4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dcterms:modified xsi:type="dcterms:W3CDTF">2021-08-21T09:40:37Z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986BC928C5A2480F96EB8E1E80BF37A9</vt:lpwstr>
  </property>
</Properties>
</file>