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DE2" w:rsidRDefault="000B0DE2" w:rsidP="000B0DE2">
      <w:pPr>
        <w:pStyle w:val="1"/>
        <w:spacing w:before="0" w:after="0" w:line="460" w:lineRule="exact"/>
        <w:jc w:val="center"/>
        <w:rPr>
          <w:rFonts w:ascii="宋体" w:hAnsi="宋体"/>
        </w:rPr>
      </w:pPr>
      <w:r>
        <w:rPr>
          <w:rFonts w:ascii="宋体" w:hAnsi="宋体" w:hint="eastAsia"/>
        </w:rPr>
        <w:t>招标公告</w:t>
      </w:r>
    </w:p>
    <w:p w:rsidR="000B0DE2" w:rsidRDefault="000B0DE2" w:rsidP="000B0DE2">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28359079"/>
      <w:bookmarkStart w:id="2" w:name="_Toc28359002"/>
      <w:bookmarkStart w:id="3" w:name="_Toc35393621"/>
      <w:bookmarkStart w:id="4" w:name="_Hlk24379207"/>
      <w:r>
        <w:rPr>
          <w:rFonts w:ascii="宋体" w:hAnsi="宋体" w:cs="宋体" w:hint="eastAsia"/>
          <w:szCs w:val="21"/>
        </w:rPr>
        <w:t>项目概况</w:t>
      </w:r>
    </w:p>
    <w:p w:rsidR="000B0DE2" w:rsidRDefault="000B0DE2" w:rsidP="000B0DE2">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新疆大学学生餐饮管理服务中心2021-2022年大宗物资活鱼类采购项目的潜在供应商应在新疆世纪星工程咨询有限公司（乌鲁木齐开发区黄山街81号一品九点阳光七号公寓楼九楼）获取采购文件，并于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377F58">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0B0DE2" w:rsidRDefault="000B0DE2" w:rsidP="000B0DE2">
      <w:pPr>
        <w:spacing w:line="440" w:lineRule="exact"/>
        <w:ind w:firstLine="200"/>
        <w:rPr>
          <w:rFonts w:ascii="宋体" w:hAnsi="宋体" w:cs="宋体"/>
          <w:b/>
          <w:bCs/>
          <w:szCs w:val="21"/>
        </w:rPr>
      </w:pPr>
    </w:p>
    <w:p w:rsidR="000B0DE2" w:rsidRDefault="000B0DE2" w:rsidP="000B0DE2">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-0011</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项目名称：新疆大学学生餐饮管理服务中心2021-2022年大宗物资活鱼类采购项目</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采购方式：公开招标</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418120</w:t>
      </w:r>
      <w:r>
        <w:rPr>
          <w:rFonts w:ascii="宋体" w:hAnsi="宋体" w:hint="eastAsia"/>
          <w:szCs w:val="21"/>
        </w:rPr>
        <w:t>元/年（具体已实际发生量为准）</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color w:val="000000"/>
          <w:kern w:val="0"/>
          <w:sz w:val="22"/>
        </w:rPr>
        <w:t>418120</w:t>
      </w:r>
      <w:r>
        <w:rPr>
          <w:rFonts w:ascii="宋体" w:hAnsi="宋体" w:hint="eastAsia"/>
          <w:szCs w:val="21"/>
        </w:rPr>
        <w:t>元/年（具体已实际发生量为准）。其中：活鱼（两去）报价方式为招上浮价，以北园春官方网价中间价向上浮动</w:t>
      </w:r>
      <w:r>
        <w:rPr>
          <w:rFonts w:ascii="宋体" w:hAnsi="宋体"/>
          <w:szCs w:val="21"/>
        </w:rPr>
        <w:t>，</w:t>
      </w:r>
      <w:r>
        <w:rPr>
          <w:rFonts w:ascii="宋体" w:hAnsi="宋体" w:hint="eastAsia"/>
          <w:szCs w:val="21"/>
        </w:rPr>
        <w:t>上</w:t>
      </w:r>
      <w:r>
        <w:rPr>
          <w:rFonts w:ascii="宋体" w:hAnsi="宋体"/>
          <w:szCs w:val="21"/>
        </w:rPr>
        <w:t>浮率不得</w:t>
      </w:r>
      <w:r>
        <w:rPr>
          <w:rFonts w:ascii="宋体" w:hAnsi="宋体" w:hint="eastAsia"/>
          <w:szCs w:val="21"/>
        </w:rPr>
        <w:t>超</w:t>
      </w:r>
      <w:r>
        <w:rPr>
          <w:rFonts w:ascii="宋体" w:hAnsi="宋体"/>
          <w:szCs w:val="21"/>
        </w:rPr>
        <w:t>于20</w:t>
      </w:r>
      <w:r>
        <w:rPr>
          <w:rFonts w:ascii="宋体" w:hAnsi="宋体" w:hint="eastAsia"/>
          <w:szCs w:val="21"/>
        </w:rPr>
        <w:t>%；活鱼（三去）报价方式为招上浮价，以北园春官方网价中间价向上浮动</w:t>
      </w:r>
      <w:r>
        <w:rPr>
          <w:rFonts w:ascii="宋体" w:hAnsi="宋体"/>
          <w:szCs w:val="21"/>
        </w:rPr>
        <w:t>，</w:t>
      </w:r>
      <w:r>
        <w:rPr>
          <w:rFonts w:ascii="宋体" w:hAnsi="宋体" w:hint="eastAsia"/>
          <w:szCs w:val="21"/>
        </w:rPr>
        <w:t>上</w:t>
      </w:r>
      <w:r>
        <w:rPr>
          <w:rFonts w:ascii="宋体" w:hAnsi="宋体"/>
          <w:szCs w:val="21"/>
        </w:rPr>
        <w:t>浮率不得</w:t>
      </w:r>
      <w:r>
        <w:rPr>
          <w:rFonts w:ascii="宋体" w:hAnsi="宋体" w:hint="eastAsia"/>
          <w:szCs w:val="21"/>
        </w:rPr>
        <w:t>超</w:t>
      </w:r>
      <w:r>
        <w:rPr>
          <w:rFonts w:ascii="宋体" w:hAnsi="宋体"/>
          <w:szCs w:val="21"/>
        </w:rPr>
        <w:t>于30</w:t>
      </w:r>
      <w:r>
        <w:rPr>
          <w:rFonts w:ascii="宋体" w:hAnsi="宋体" w:hint="eastAsia"/>
          <w:szCs w:val="21"/>
        </w:rPr>
        <w:t>%</w:t>
      </w:r>
      <w:r>
        <w:rPr>
          <w:rFonts w:ascii="宋体" w:hAnsi="宋体" w:cs="宋体" w:hint="eastAsia"/>
          <w:szCs w:val="21"/>
        </w:rPr>
        <w:t>。</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0B0DE2" w:rsidRDefault="000B0DE2" w:rsidP="000B0DE2">
      <w:pPr>
        <w:spacing w:line="440" w:lineRule="exact"/>
        <w:ind w:firstLine="200"/>
        <w:rPr>
          <w:rFonts w:ascii="宋体" w:hAnsi="宋体" w:cs="宋体"/>
          <w:b/>
          <w:bCs/>
          <w:szCs w:val="21"/>
        </w:rPr>
      </w:pPr>
      <w:bookmarkStart w:id="5" w:name="_Toc35393791"/>
      <w:bookmarkStart w:id="6" w:name="_Toc28359080"/>
      <w:bookmarkStart w:id="7" w:name="_Toc28359003"/>
      <w:bookmarkStart w:id="8" w:name="_Toc35393622"/>
      <w:r>
        <w:rPr>
          <w:rFonts w:ascii="宋体" w:hAnsi="宋体" w:cs="宋体" w:hint="eastAsia"/>
          <w:b/>
          <w:bCs/>
          <w:szCs w:val="21"/>
        </w:rPr>
        <w:t>二、申请人的资格要求：</w:t>
      </w:r>
      <w:bookmarkEnd w:id="5"/>
      <w:bookmarkEnd w:id="6"/>
      <w:bookmarkEnd w:id="7"/>
      <w:bookmarkEnd w:id="8"/>
    </w:p>
    <w:p w:rsidR="000B0DE2" w:rsidRDefault="000B0DE2" w:rsidP="000B0DE2">
      <w:pPr>
        <w:spacing w:line="440" w:lineRule="exact"/>
        <w:ind w:firstLineChars="200" w:firstLine="420"/>
        <w:rPr>
          <w:rFonts w:ascii="宋体" w:hAnsi="宋体" w:cs="宋体"/>
          <w:szCs w:val="21"/>
        </w:rPr>
      </w:pPr>
      <w:bookmarkStart w:id="9" w:name="_Toc28359004"/>
      <w:bookmarkStart w:id="10" w:name="_Toc28359081"/>
      <w:r>
        <w:rPr>
          <w:rFonts w:ascii="宋体" w:hAnsi="宋体" w:cs="宋体" w:hint="eastAsia"/>
          <w:szCs w:val="21"/>
        </w:rPr>
        <w:t>1.满足《中华人民共和国政府采购法》第二十二条规定；</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（1）具有独立承担民事责任能力的在中华人民共和国境内注册的法人、其他组织或者自然人；企业营业执照或三证合一营业执照；</w:t>
      </w:r>
    </w:p>
    <w:p w:rsidR="000B0DE2" w:rsidRDefault="000B0DE2" w:rsidP="000B0DE2">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lastRenderedPageBreak/>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0B0DE2" w:rsidRDefault="000B0DE2" w:rsidP="000B0DE2">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0B0DE2" w:rsidRDefault="000B0DE2" w:rsidP="000B0DE2">
      <w:pPr>
        <w:spacing w:line="440" w:lineRule="exact"/>
        <w:ind w:firstLineChars="200" w:firstLine="420"/>
        <w:rPr>
          <w:rFonts w:ascii="宋体" w:hAnsi="宋体" w:cs="宋体"/>
          <w:szCs w:val="21"/>
        </w:rPr>
      </w:pPr>
      <w:bookmarkStart w:id="13" w:name="_Toc28359005"/>
      <w:bookmarkStart w:id="14" w:name="_Toc28359082"/>
      <w:bookmarkStart w:id="15" w:name="_Toc35393793"/>
      <w:bookmarkStart w:id="16" w:name="_Toc35393624"/>
      <w:r>
        <w:rPr>
          <w:rFonts w:ascii="宋体" w:hAnsi="宋体" w:cs="宋体" w:hint="eastAsia"/>
          <w:szCs w:val="21"/>
        </w:rPr>
        <w:t>时间：2021年08月2</w:t>
      </w:r>
      <w:r w:rsidR="00377F58">
        <w:rPr>
          <w:rFonts w:ascii="宋体" w:hAnsi="宋体" w:cs="宋体" w:hint="eastAsia"/>
          <w:szCs w:val="21"/>
        </w:rPr>
        <w:t>5</w:t>
      </w:r>
      <w:r>
        <w:rPr>
          <w:rFonts w:ascii="宋体" w:hAnsi="宋体" w:cs="宋体" w:hint="eastAsia"/>
          <w:szCs w:val="21"/>
        </w:rPr>
        <w:t>日至2021年08月3</w:t>
      </w:r>
      <w:r w:rsidR="00377F58">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方式：现场获取</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售价：200元/本</w:t>
      </w:r>
    </w:p>
    <w:p w:rsidR="000B0DE2" w:rsidRDefault="000B0DE2" w:rsidP="000B0DE2">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0B0DE2" w:rsidRDefault="000B0DE2" w:rsidP="000B0DE2">
      <w:pPr>
        <w:spacing w:line="440" w:lineRule="exact"/>
        <w:ind w:firstLine="200"/>
        <w:rPr>
          <w:rFonts w:ascii="宋体" w:hAnsi="宋体" w:cs="宋体"/>
          <w:szCs w:val="21"/>
        </w:rPr>
      </w:pPr>
      <w:bookmarkStart w:id="17" w:name="_Toc28359084"/>
      <w:bookmarkStart w:id="18" w:name="_Toc35393794"/>
      <w:bookmarkStart w:id="19" w:name="_Toc35393625"/>
      <w:bookmarkStart w:id="20" w:name="_Toc28359007"/>
      <w:r>
        <w:rPr>
          <w:rFonts w:ascii="宋体" w:hAnsi="宋体" w:cs="宋体" w:hint="eastAsia"/>
          <w:szCs w:val="21"/>
        </w:rPr>
        <w:t>提交投标文件截止时间：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377F58">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0B0DE2" w:rsidRDefault="000B0DE2" w:rsidP="000B0DE2">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0B0DE2" w:rsidRDefault="000B0DE2" w:rsidP="000B0DE2">
      <w:pPr>
        <w:spacing w:line="440" w:lineRule="exact"/>
        <w:ind w:firstLine="200"/>
        <w:rPr>
          <w:rFonts w:ascii="宋体" w:hAnsi="宋体" w:cs="宋体"/>
          <w:szCs w:val="21"/>
        </w:rPr>
      </w:pPr>
      <w:r>
        <w:rPr>
          <w:rFonts w:ascii="宋体" w:hAnsi="宋体" w:cs="宋体" w:hint="eastAsia"/>
          <w:szCs w:val="21"/>
        </w:rPr>
        <w:t>开标时间：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377F58">
        <w:rPr>
          <w:rFonts w:ascii="宋体" w:hAnsi="宋体" w:cs="宋体" w:hint="eastAsia"/>
          <w:bCs/>
          <w:szCs w:val="21"/>
          <w:u w:val="single"/>
        </w:rPr>
        <w:t>4</w:t>
      </w:r>
      <w:bookmarkStart w:id="21" w:name="_GoBack"/>
      <w:bookmarkEnd w:id="21"/>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0B0DE2" w:rsidRDefault="000B0DE2" w:rsidP="000B0DE2">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0B0DE2" w:rsidRDefault="000B0DE2" w:rsidP="000B0DE2">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0B0DE2" w:rsidRDefault="000B0DE2" w:rsidP="000B0DE2">
      <w:pPr>
        <w:spacing w:line="440" w:lineRule="exact"/>
        <w:ind w:firstLine="200"/>
        <w:rPr>
          <w:rFonts w:ascii="宋体" w:hAnsi="宋体" w:cs="宋体"/>
          <w:b/>
          <w:bCs/>
          <w:szCs w:val="21"/>
        </w:rPr>
      </w:pPr>
      <w:bookmarkStart w:id="22" w:name="_Toc35393795"/>
      <w:bookmarkStart w:id="23" w:name="_Toc35393626"/>
      <w:r>
        <w:rPr>
          <w:rFonts w:ascii="宋体" w:hAnsi="宋体" w:cs="宋体" w:hint="eastAsia"/>
          <w:b/>
          <w:bCs/>
          <w:szCs w:val="21"/>
        </w:rPr>
        <w:t>六、其他补充事宜</w:t>
      </w:r>
      <w:bookmarkEnd w:id="22"/>
      <w:bookmarkEnd w:id="23"/>
    </w:p>
    <w:p w:rsidR="000B0DE2" w:rsidRDefault="000B0DE2" w:rsidP="000B0DE2">
      <w:pPr>
        <w:spacing w:line="440" w:lineRule="exact"/>
        <w:ind w:firstLineChars="200" w:firstLine="420"/>
        <w:rPr>
          <w:rFonts w:ascii="宋体" w:hAnsi="宋体" w:cs="宋体"/>
          <w:szCs w:val="21"/>
        </w:rPr>
      </w:pPr>
      <w:bookmarkStart w:id="24" w:name="_Toc28359085"/>
      <w:bookmarkStart w:id="25" w:name="_Toc35393627"/>
      <w:bookmarkStart w:id="26" w:name="_Toc28359008"/>
      <w:bookmarkStart w:id="27" w:name="_Toc35393796"/>
      <w:r>
        <w:rPr>
          <w:rFonts w:ascii="宋体" w:hAnsi="宋体" w:cs="宋体" w:hint="eastAsia"/>
          <w:szCs w:val="21"/>
        </w:rPr>
        <w:t>1.获取采购文件时应提交的资料：（1）如</w:t>
      </w:r>
      <w:r>
        <w:rPr>
          <w:rFonts w:ascii="宋体" w:hAnsi="宋体" w:cs="宋体"/>
          <w:szCs w:val="21"/>
        </w:rPr>
        <w:t>供应商为</w:t>
      </w:r>
      <w:r>
        <w:rPr>
          <w:rFonts w:ascii="宋体" w:hAnsi="宋体" w:cs="宋体" w:hint="eastAsia"/>
          <w:szCs w:val="21"/>
        </w:rPr>
        <w:t>企业须提供：企业营业执照、法定代</w:t>
      </w:r>
      <w:r>
        <w:rPr>
          <w:rFonts w:ascii="宋体" w:hAnsi="宋体" w:cs="宋体" w:hint="eastAsia"/>
          <w:szCs w:val="21"/>
        </w:rPr>
        <w:lastRenderedPageBreak/>
        <w:t>表人身份证明或法人授权委托书、法定代表人身份证或委托代理人身份证；（1）如</w:t>
      </w:r>
      <w:r>
        <w:rPr>
          <w:rFonts w:ascii="宋体" w:hAnsi="宋体" w:cs="宋体"/>
          <w:szCs w:val="21"/>
        </w:rPr>
        <w:t>供应商为</w:t>
      </w:r>
      <w:r>
        <w:rPr>
          <w:rFonts w:ascii="宋体" w:hAnsi="宋体" w:cs="宋体" w:hint="eastAsia"/>
          <w:szCs w:val="21"/>
        </w:rPr>
        <w:t>自然人须提供：自然人身份证明、（2）有效期内的《食品经营许可证》或《食品生产许可证》、（3）“信用中国”查询失信被执行人、重大税收违法案件当事人名单及“中国政府采购网”查询政府采购严重违法失信行为记录名单截图等资料复印件加盖公章两份。</w:t>
      </w:r>
    </w:p>
    <w:p w:rsidR="000B0DE2" w:rsidRDefault="000B0DE2" w:rsidP="000B0DE2">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1.采购人信息</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名 称：新疆大学</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联系人：张老师</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联系方式：0991-8590039</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电话：0991-3678303</w:t>
      </w:r>
    </w:p>
    <w:p w:rsidR="000B0DE2" w:rsidRDefault="000B0DE2" w:rsidP="000B0DE2">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0B0DE2" w:rsidRDefault="000B0DE2" w:rsidP="000B0DE2">
      <w:pPr>
        <w:spacing w:line="480" w:lineRule="exact"/>
        <w:ind w:firstLineChars="200" w:firstLine="420"/>
        <w:rPr>
          <w:rFonts w:ascii="宋体" w:hAnsi="宋体"/>
          <w:szCs w:val="21"/>
        </w:rPr>
      </w:pPr>
    </w:p>
    <w:p w:rsidR="00B94A0D" w:rsidRPr="000B0DE2" w:rsidRDefault="00B94A0D"/>
    <w:sectPr w:rsidR="00B94A0D" w:rsidRPr="000B0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F7" w:rsidRDefault="001903F7" w:rsidP="000B0DE2">
      <w:r>
        <w:separator/>
      </w:r>
    </w:p>
  </w:endnote>
  <w:endnote w:type="continuationSeparator" w:id="0">
    <w:p w:rsidR="001903F7" w:rsidRDefault="001903F7" w:rsidP="000B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F7" w:rsidRDefault="001903F7" w:rsidP="000B0DE2">
      <w:r>
        <w:separator/>
      </w:r>
    </w:p>
  </w:footnote>
  <w:footnote w:type="continuationSeparator" w:id="0">
    <w:p w:rsidR="001903F7" w:rsidRDefault="001903F7" w:rsidP="000B0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5A"/>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B0DE2"/>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03F7"/>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77F58"/>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2D5A"/>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475D1"/>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ADE0CC-7C0A-4A19-8971-2A8AE7AA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0B0DE2"/>
    <w:pPr>
      <w:widowControl w:val="0"/>
      <w:jc w:val="both"/>
    </w:pPr>
    <w:rPr>
      <w:rFonts w:ascii="Times New Roman" w:eastAsia="宋体" w:hAnsi="Times New Roman" w:cs="Times New Roman"/>
      <w:szCs w:val="24"/>
    </w:rPr>
  </w:style>
  <w:style w:type="paragraph" w:styleId="1">
    <w:name w:val="heading 1"/>
    <w:basedOn w:val="a"/>
    <w:next w:val="a"/>
    <w:link w:val="1Char"/>
    <w:qFormat/>
    <w:rsid w:val="000B0DE2"/>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0B0D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B0DE2"/>
    <w:rPr>
      <w:sz w:val="18"/>
      <w:szCs w:val="18"/>
    </w:rPr>
  </w:style>
  <w:style w:type="paragraph" w:styleId="a4">
    <w:name w:val="footer"/>
    <w:basedOn w:val="a"/>
    <w:link w:val="Char0"/>
    <w:uiPriority w:val="99"/>
    <w:unhideWhenUsed/>
    <w:rsid w:val="000B0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B0DE2"/>
    <w:rPr>
      <w:sz w:val="18"/>
      <w:szCs w:val="18"/>
    </w:rPr>
  </w:style>
  <w:style w:type="character" w:customStyle="1" w:styleId="1Char">
    <w:name w:val="标题 1 Char"/>
    <w:basedOn w:val="a0"/>
    <w:link w:val="1"/>
    <w:rsid w:val="000B0DE2"/>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0B0DE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2021-08-23T08:41:00Z</dcterms:created>
  <dcterms:modified xsi:type="dcterms:W3CDTF">2021-08-24T05:42:00Z</dcterms:modified>
</cp:coreProperties>
</file>