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一</w:t>
      </w:r>
      <w:r>
        <w:rPr>
          <w:rFonts w:ascii="宋体" w:hAnsi="宋体" w:eastAsia="宋体"/>
          <w:b/>
          <w:bCs/>
          <w:sz w:val="32"/>
          <w:szCs w:val="32"/>
        </w:rPr>
        <w:t>.</w:t>
      </w:r>
      <w:r>
        <w:rPr>
          <w:rFonts w:hint="eastAsia" w:ascii="宋体" w:hAnsi="宋体" w:eastAsia="宋体"/>
          <w:b/>
          <w:bCs/>
          <w:sz w:val="32"/>
          <w:szCs w:val="32"/>
        </w:rPr>
        <w:t>乌恰县疾病预防控制中心鼠疫监测实验室净化设施</w:t>
      </w:r>
    </w:p>
    <w:tbl>
      <w:tblPr>
        <w:tblStyle w:val="17"/>
        <w:tblW w:w="13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987"/>
        <w:gridCol w:w="9169"/>
        <w:gridCol w:w="760"/>
        <w:gridCol w:w="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产品名称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规格说明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轻钢龙骨吊顶底架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T型铝合金龙骨..3mm厚度.规格60mmx80mm.中距1500mm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净化彩钢板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50mm厚硫氧镁净化彩钢板.双面喷塑钢板厚度0.5mm.8#镀锌丝杆和专用T型铝合金龙骨配合使用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维修口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50mm厚硫氧镁净化彩钢板.专用铝型封边.双面喷塑钢板厚厚0.5mm.尺寸为600mmx600mm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水泥自流平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高效水泥自流平.厚度2.0mm.100%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医用PVC塑胶地板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厚度：2.0mm.医用抗菌.耐磨.耐冲击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紫外线杀菌车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定时功能，双灯管，360°万向轮底座，紫外线灭菌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铝合金U槽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隔墙地槽铝.隔墙上下用槽铝加固密封.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220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内圆弧阴角线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净化铝合金圆弧.尺寸R=60mm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外圆弧阳角线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净化铝合金圆弧. 尺寸R=100mmx2600mm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根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钢化玻璃窗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1000mmx1200mm厚度50mm.双层.玻璃黑边烤漆，内龙骨为50mm双层净化窗专用龙骨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嵌入式净化灯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36w.1200*300 .成套型嵌入式安装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kern w:val="0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紫外线杀菌灯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30W980*85不锈钢斜边杀菌灯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灯具开关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双联单控开关.10A.暗装.PC材质，阻燃.GB16915.1-2014.GB2099.1-2008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插座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220v，10A，暗装.PC材质，阻燃.GB16915.1-2014.GB2099.1-2008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个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电气配线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暗配， WDZ-BYJ-2.5mm2.KBC穿线管（暗铺方式）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电气配线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暗配 ，WDZ-BYJ-4mm2. KBC穿线管（暗铺方式）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</w:t>
            </w:r>
            <w:r>
              <w:rPr>
                <w:rFonts w:ascii="宋体" w:hAnsi="宋体" w:eastAsia="宋体"/>
                <w:color w:val="000000"/>
                <w:szCs w:val="21"/>
              </w:rPr>
              <w:t>7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电气配线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暗配 ，WDZ-BYJ-6mm2. KBC穿线管（暗铺方式）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卷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8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区域总配电箱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5路25A插座回路.控制系统.嵌入式安装.低压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窗帘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百叶遮光遮阳升降卷拉式手帘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单开门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1.名称:医用钢制成套净化密封单开门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2.型号:专用自动升降扫地条，门上有观察窗，双层中空黑边喷漆钢化玻璃，不锈钢门吸，304不锈钢3寸合页，304不锈钢压把锁，特殊颜色烤漆，单开门尺寸：1000*2200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樘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压差表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压模铸铝，标准为+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%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FS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，直径1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20mm,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高度5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5mm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闭门器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铝合金主材，耐磨耐用，闭门速度可调，0°--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°可调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电动玻璃门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ahoma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7英寸彩色触摸屏.安卓操作系统.2G硬盘.响应速度1s.功率48W.</w:t>
            </w:r>
            <w:r>
              <w:rPr>
                <w:rFonts w:hint="eastAsia" w:ascii="宋体" w:hAnsi="宋体" w:eastAsia="宋体" w:cs="Tahoma"/>
                <w:szCs w:val="21"/>
                <w:shd w:val="clear" w:color="auto" w:fill="FFFFFF"/>
              </w:rPr>
              <w:t xml:space="preserve"> ccc认证.ISO9001认证.CE认证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Tahoma"/>
                <w:szCs w:val="21"/>
                <w:shd w:val="clear" w:color="auto" w:fill="FFFFFF"/>
              </w:rPr>
              <w:t>钢化玻璃，厚度12mm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缓冲间门互锁装置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2套电插锁.2个接近开关.1块电路板.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 xml:space="preserve"> 夜晶屏显示双门电子互锁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试验台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全钢结构，12.7mm实芯理化板台面.带试验台专用电源盒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m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工作指示灯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加厚铝型材，阻燃塑料，渡油黑玻璃L</w:t>
            </w:r>
            <w:r>
              <w:rPr>
                <w:rFonts w:ascii="宋体" w:hAnsi="宋体" w:eastAsia="宋体" w:cs="宋体"/>
                <w:kern w:val="0"/>
                <w:szCs w:val="21"/>
              </w:rPr>
              <w:t>ED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灯珠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实验凳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PU防静电四孔圆椅，椅面直径335MM，表面电阻率：10的7至10的9次方欧，升降气杆可调高度范围约：430MM-570MM，钢电镀带圈五星脚，椅脚半径220MM，金属导电链条，塑料尼龙固定脚杯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消防指示灯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加厚铝型材，阻燃塑料，3</w:t>
            </w:r>
            <w:r>
              <w:rPr>
                <w:rFonts w:ascii="宋体" w:hAnsi="宋体" w:eastAsia="宋体" w:cs="宋体"/>
                <w:kern w:val="0"/>
                <w:szCs w:val="21"/>
              </w:rPr>
              <w:t>20mmx150mmx20mm,LED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光源，功率2</w:t>
            </w:r>
            <w:r>
              <w:rPr>
                <w:rFonts w:ascii="宋体" w:hAnsi="宋体" w:eastAsia="宋体" w:cs="宋体"/>
                <w:kern w:val="0"/>
                <w:szCs w:val="21"/>
              </w:rPr>
              <w:t>W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传递窗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304型不锈钢.机械双门互锁.内置紫外灯.600mmx600mmx600mm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紧急喷淋洗眼器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hd w:val="clear" w:color="auto" w:fill="FFFFFF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304不锈钢外加进口ABS粉末浸塑，厚度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  <w:t>≧</w:t>
            </w: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250微米，冲淋流量为90-180升.洗眼流量12-18L/min可调节.高密度PP+304双层过滤网， 符合美国ANSIZ358.1.2004标准。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套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洗手台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hd w:val="clear" w:color="auto" w:fill="FFFFFF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PE板组合；1000mmx500mm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不锈钢拖把池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5"/>
              <w:shd w:val="clear" w:color="auto" w:fill="FFFFFF"/>
              <w:jc w:val="center"/>
              <w:rPr>
                <w:rFonts w:ascii="宋体" w:hAnsi="宋体" w:eastAsia="宋体" w:cs="Arial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kern w:val="2"/>
                <w:sz w:val="21"/>
                <w:szCs w:val="21"/>
              </w:rPr>
              <w:t>不锈钢1</w:t>
            </w:r>
            <w:r>
              <w:rPr>
                <w:rFonts w:ascii="宋体" w:hAnsi="宋体" w:eastAsia="宋体" w:cs="Arial"/>
                <w:kern w:val="2"/>
                <w:sz w:val="21"/>
                <w:szCs w:val="21"/>
              </w:rPr>
              <w:t>000mmx450mmx1800mm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上下水改造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eastAsia="宋体" w:cs="Tahoma"/>
                <w:kern w:val="0"/>
                <w:szCs w:val="21"/>
              </w:rPr>
              <w:t>满足实验室用水需求的上下水改造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  <w:r>
              <w:rPr>
                <w:rFonts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通风系统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center"/>
              <w:rPr>
                <w:rFonts w:ascii="宋体" w:hAnsi="宋体" w:eastAsia="宋体" w:cs="Tahoma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机组风量：9000m3/h 新风量：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000m3/h 制冷量：1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Kw  加热量：1</w:t>
            </w: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Kw ，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加湿量：</w:t>
            </w: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kg/h，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电机功率：7.5KW机外余压：650Pa,初效过滤器为G4,中效过滤器为：F8.风机箱规格4100mmx1300mmx1300mm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组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彩钢房</w:t>
            </w: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both"/>
              <w:rPr>
                <w:rFonts w:hint="default" w:ascii="宋体" w:hAnsi="宋体" w:eastAsia="宋体" w:cs="Tahom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彩钢房面积120㎡，采用100mm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夹心岩棉板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200mm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工字钢、梁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，1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500mmx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100mm防盗门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2扇，1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0mmx2100mm防盗门1扇，电地暖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㎡。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等线" w:hAnsi="等线" w:eastAsia="等线"/>
                <w:color w:val="000000"/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 w:color="auto" w:fill="FFFFFF"/>
              <w:jc w:val="both"/>
              <w:rPr>
                <w:rFonts w:hint="eastAsia" w:ascii="宋体" w:hAnsi="宋体" w:eastAsia="宋体" w:cs="Tahoma"/>
                <w:kern w:val="0"/>
                <w:szCs w:val="21"/>
                <w:lang w:eastAsia="zh-CN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</w:tr>
    </w:tbl>
    <w:p/>
    <w:p>
      <w:bookmarkStart w:id="0" w:name="_GoBack"/>
      <w:bookmarkEnd w:id="0"/>
    </w:p>
    <w:p/>
    <w:p/>
    <w:p/>
    <w:p/>
    <w:sectPr>
      <w:pgSz w:w="16840" w:h="12474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长城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30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9E3649"/>
    <w:rsid w:val="18372838"/>
    <w:rsid w:val="47F55D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 w:cs="Times New Roman"/>
      <w:b/>
      <w:kern w:val="0"/>
      <w:sz w:val="32"/>
      <w:szCs w:val="20"/>
    </w:rPr>
  </w:style>
  <w:style w:type="paragraph" w:styleId="4">
    <w:name w:val="heading 3"/>
    <w:basedOn w:val="1"/>
    <w:next w:val="1"/>
    <w:link w:val="24"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</w:rPr>
  </w:style>
  <w:style w:type="character" w:default="1" w:styleId="19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adjustRightInd w:val="0"/>
      <w:spacing w:line="312" w:lineRule="atLeast"/>
      <w:ind w:firstLine="420"/>
      <w:textAlignment w:val="baseline"/>
    </w:pPr>
    <w:rPr>
      <w:rFonts w:ascii="Times New Roman" w:hAnsi="Times New Roman" w:eastAsia="宋体" w:cs="Times New Roman"/>
      <w:kern w:val="0"/>
      <w:szCs w:val="20"/>
    </w:rPr>
  </w:style>
  <w:style w:type="paragraph" w:styleId="6">
    <w:name w:val="Body Text"/>
    <w:basedOn w:val="1"/>
    <w:next w:val="1"/>
    <w:link w:val="25"/>
    <w:qFormat/>
    <w:uiPriority w:val="0"/>
    <w:pPr>
      <w:tabs>
        <w:tab w:val="left" w:pos="562"/>
        <w:tab w:val="left" w:pos="3372"/>
        <w:tab w:val="left" w:pos="3653"/>
      </w:tabs>
    </w:pPr>
    <w:rPr>
      <w:rFonts w:ascii="Times New Roman" w:hAnsi="Times New Roman" w:eastAsia="宋体" w:cs="Times New Roman"/>
      <w:sz w:val="24"/>
    </w:rPr>
  </w:style>
  <w:style w:type="paragraph" w:styleId="7">
    <w:name w:val="Body Text Indent"/>
    <w:basedOn w:val="1"/>
    <w:link w:val="26"/>
    <w:qFormat/>
    <w:uiPriority w:val="0"/>
    <w:pPr>
      <w:spacing w:line="360" w:lineRule="auto"/>
      <w:ind w:firstLine="570"/>
    </w:pPr>
    <w:rPr>
      <w:rFonts w:ascii="Times New Roman" w:hAnsi="Times New Roman" w:eastAsia="宋体" w:cs="Times New Roman"/>
      <w:sz w:val="24"/>
    </w:rPr>
  </w:style>
  <w:style w:type="paragraph" w:styleId="8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宋体" w:cs="Times New Roman"/>
    </w:rPr>
  </w:style>
  <w:style w:type="paragraph" w:styleId="9">
    <w:name w:val="Plain Text"/>
    <w:basedOn w:val="1"/>
    <w:link w:val="27"/>
    <w:qFormat/>
    <w:uiPriority w:val="0"/>
    <w:rPr>
      <w:rFonts w:ascii="宋体" w:hAnsi="Courier New" w:eastAsia="宋体" w:cs="Times New Roman"/>
      <w:szCs w:val="20"/>
    </w:rPr>
  </w:style>
  <w:style w:type="paragraph" w:styleId="10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13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14">
    <w:name w:val="Body Text 2"/>
    <w:basedOn w:val="1"/>
    <w:link w:val="28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Body Text First Indent"/>
    <w:basedOn w:val="1"/>
    <w:link w:val="29"/>
    <w:qFormat/>
    <w:uiPriority w:val="0"/>
    <w:pPr>
      <w:spacing w:line="360" w:lineRule="auto"/>
      <w:ind w:firstLine="420"/>
    </w:pPr>
    <w:rPr>
      <w:rFonts w:ascii="宋体" w:hAnsi="宋体" w:eastAsia="宋体" w:cs="Times New Roman"/>
      <w:sz w:val="24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页眉 字符"/>
    <w:basedOn w:val="19"/>
    <w:link w:val="11"/>
    <w:qFormat/>
    <w:uiPriority w:val="99"/>
    <w:rPr>
      <w:sz w:val="18"/>
      <w:szCs w:val="18"/>
    </w:rPr>
  </w:style>
  <w:style w:type="character" w:customStyle="1" w:styleId="21">
    <w:name w:val="页脚 字符"/>
    <w:basedOn w:val="19"/>
    <w:link w:val="10"/>
    <w:qFormat/>
    <w:uiPriority w:val="99"/>
    <w:rPr>
      <w:sz w:val="18"/>
      <w:szCs w:val="18"/>
    </w:rPr>
  </w:style>
  <w:style w:type="character" w:customStyle="1" w:styleId="22">
    <w:name w:val="标题 1 字符"/>
    <w:basedOn w:val="19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4"/>
    </w:rPr>
  </w:style>
  <w:style w:type="character" w:customStyle="1" w:styleId="23">
    <w:name w:val="标题 2 字符"/>
    <w:basedOn w:val="19"/>
    <w:link w:val="3"/>
    <w:qFormat/>
    <w:uiPriority w:val="0"/>
    <w:rPr>
      <w:rFonts w:ascii="Arial" w:hAnsi="Arial" w:eastAsia="黑体" w:cs="Times New Roman"/>
      <w:b/>
      <w:sz w:val="32"/>
    </w:rPr>
  </w:style>
  <w:style w:type="character" w:customStyle="1" w:styleId="24">
    <w:name w:val="标题 3 字符"/>
    <w:basedOn w:val="19"/>
    <w:link w:val="4"/>
    <w:semiHidden/>
    <w:qFormat/>
    <w:uiPriority w:val="0"/>
    <w:rPr>
      <w:rFonts w:ascii="Times New Roman" w:hAnsi="Times New Roman" w:eastAsia="宋体" w:cs="Times New Roman"/>
      <w:b/>
      <w:kern w:val="2"/>
      <w:sz w:val="32"/>
      <w:szCs w:val="24"/>
    </w:rPr>
  </w:style>
  <w:style w:type="character" w:customStyle="1" w:styleId="25">
    <w:name w:val="正文文本 字符"/>
    <w:basedOn w:val="19"/>
    <w:link w:val="6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26">
    <w:name w:val="正文文本缩进 字符"/>
    <w:basedOn w:val="19"/>
    <w:link w:val="7"/>
    <w:qFormat/>
    <w:uiPriority w:val="0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27">
    <w:name w:val="纯文本 字符"/>
    <w:basedOn w:val="19"/>
    <w:link w:val="9"/>
    <w:qFormat/>
    <w:uiPriority w:val="0"/>
    <w:rPr>
      <w:rFonts w:ascii="宋体" w:hAnsi="Courier New" w:eastAsia="宋体" w:cs="Times New Roman"/>
      <w:kern w:val="2"/>
      <w:sz w:val="21"/>
    </w:rPr>
  </w:style>
  <w:style w:type="character" w:customStyle="1" w:styleId="28">
    <w:name w:val="正文文本 2 字符"/>
    <w:basedOn w:val="19"/>
    <w:link w:val="14"/>
    <w:qFormat/>
    <w:uiPriority w:val="0"/>
    <w:rPr>
      <w:rFonts w:ascii="Times New Roman" w:hAnsi="Times New Roman" w:eastAsia="宋体" w:cs="Times New Roman"/>
      <w:kern w:val="2"/>
      <w:sz w:val="24"/>
    </w:rPr>
  </w:style>
  <w:style w:type="character" w:customStyle="1" w:styleId="29">
    <w:name w:val="正文文本首行缩进 字符"/>
    <w:basedOn w:val="25"/>
    <w:link w:val="16"/>
    <w:qFormat/>
    <w:uiPriority w:val="0"/>
    <w:rPr>
      <w:rFonts w:ascii="宋体" w:hAnsi="宋体" w:eastAsia="宋体" w:cs="Times New Roman"/>
      <w:kern w:val="2"/>
      <w:sz w:val="24"/>
      <w:szCs w:val="24"/>
    </w:rPr>
  </w:style>
  <w:style w:type="paragraph" w:customStyle="1" w:styleId="30">
    <w:name w:val="标题 5（有编号）（绿盟科技）"/>
    <w:basedOn w:val="1"/>
    <w:next w:val="31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sz w:val="24"/>
      <w:szCs w:val="28"/>
    </w:rPr>
  </w:style>
  <w:style w:type="paragraph" w:customStyle="1" w:styleId="31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32">
    <w:name w:val="文档正文"/>
    <w:basedOn w:val="1"/>
    <w:qFormat/>
    <w:uiPriority w:val="0"/>
    <w:pPr>
      <w:adjustRightInd w:val="0"/>
      <w:spacing w:line="312" w:lineRule="atLeast"/>
      <w:ind w:firstLine="567"/>
      <w:textAlignment w:val="baseline"/>
    </w:pPr>
    <w:rPr>
      <w:rFonts w:ascii="长城仿宋" w:hAnsi="Times New Roman" w:eastAsia="长城仿宋" w:cs="Times New Roman"/>
      <w:kern w:val="0"/>
      <w:sz w:val="28"/>
      <w:szCs w:val="20"/>
    </w:rPr>
  </w:style>
  <w:style w:type="paragraph" w:customStyle="1" w:styleId="33">
    <w:name w:val="保留正文"/>
    <w:basedOn w:val="6"/>
    <w:qFormat/>
    <w:uiPriority w:val="0"/>
    <w:pPr>
      <w:keepNext/>
      <w:spacing w:after="160"/>
    </w:pPr>
    <w:rPr>
      <w:sz w:val="21"/>
    </w:rPr>
  </w:style>
  <w:style w:type="paragraph" w:customStyle="1" w:styleId="34">
    <w:name w:val="列表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  <w:style w:type="character" w:customStyle="1" w:styleId="35">
    <w:name w:val="窗体控件"/>
    <w:qFormat/>
    <w:uiPriority w:val="1"/>
    <w:rPr>
      <w:rFonts w:ascii="宋体" w:hAnsi="宋体" w:eastAsia="宋体" w:cs="宋体"/>
      <w:sz w:val="24"/>
      <w:szCs w:val="24"/>
      <w:u w:val="single"/>
    </w:rPr>
  </w:style>
  <w:style w:type="paragraph" w:customStyle="1" w:styleId="36">
    <w:name w:val="首行缩进"/>
    <w:basedOn w:val="1"/>
    <w:qFormat/>
    <w:uiPriority w:val="0"/>
    <w:pPr>
      <w:ind w:firstLine="480" w:firstLineChars="200"/>
    </w:pPr>
    <w:rPr>
      <w:rFonts w:ascii="Times New Roman" w:hAnsi="Times New Roman" w:eastAsia="宋体" w:cs="Times New Roman"/>
      <w:lang w:val="zh-CN"/>
    </w:rPr>
  </w:style>
  <w:style w:type="paragraph" w:customStyle="1" w:styleId="37">
    <w:name w:val="正文_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8">
    <w:name w:val="font3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9">
    <w:name w:val="font51"/>
    <w:basedOn w:val="19"/>
    <w:qFormat/>
    <w:uiPriority w:val="0"/>
    <w:rPr>
      <w:rFonts w:hint="eastAsia" w:ascii="宋体" w:hAnsi="宋体" w:eastAsia="宋体" w:cs="宋体"/>
      <w:b/>
      <w:color w:val="FF0000"/>
      <w:sz w:val="21"/>
      <w:szCs w:val="21"/>
      <w:u w:val="none"/>
    </w:rPr>
  </w:style>
  <w:style w:type="character" w:customStyle="1" w:styleId="40">
    <w:name w:val="font41"/>
    <w:basedOn w:val="19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  <w:style w:type="character" w:customStyle="1" w:styleId="41">
    <w:name w:val="font2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42">
    <w:name w:val="F03"/>
    <w:basedOn w:val="1"/>
    <w:qFormat/>
    <w:uiPriority w:val="0"/>
    <w:pPr>
      <w:spacing w:before="156" w:beforeLines="50" w:after="156" w:afterLines="50" w:line="0" w:lineRule="atLeast"/>
      <w:jc w:val="center"/>
    </w:pPr>
    <w:rPr>
      <w:rFonts w:ascii="宋体" w:hAnsi="宋体" w:eastAsia="宋体" w:cs="Times New Roman"/>
      <w:b/>
      <w:color w:val="000000"/>
      <w:kern w:val="48"/>
    </w:rPr>
  </w:style>
  <w:style w:type="paragraph" w:customStyle="1" w:styleId="43">
    <w:name w:val="xl2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楷体_GB2312" w:hAnsi="宋体" w:eastAsia="楷体_GB2312" w:cs="Times New Roman"/>
      <w:kern w:val="0"/>
      <w:sz w:val="24"/>
      <w:szCs w:val="20"/>
    </w:rPr>
  </w:style>
  <w:style w:type="paragraph" w:customStyle="1" w:styleId="4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45">
    <w:name w:val="font11"/>
    <w:basedOn w:val="1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334</Words>
  <Characters>1905</Characters>
  <Lines>15</Lines>
  <Paragraphs>4</Paragraphs>
  <TotalTime>24</TotalTime>
  <ScaleCrop>false</ScaleCrop>
  <LinksUpToDate>false</LinksUpToDate>
  <CharactersWithSpaces>2235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2021-08-25T12:45:00Z</dcterms:created>
  <dc:creator>Lenovo</dc:creator>
  <cp:lastModifiedBy>Administrator</cp:lastModifiedBy>
  <dcterms:modified xsi:type="dcterms:W3CDTF">2021-08-26T10:42:34Z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688BE0986A864F8CB32B6962AA80E938</vt:lpwstr>
  </property>
</Properties>
</file>