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jc w:val="center"/>
        <w:rPr>
          <w:rFonts w:hint="eastAsia" w:ascii="Noto Sans Mono CJK JP Regular" w:hAnsi="Noto Sans Mono CJK JP Regular" w:cs="Noto Sans Mono CJK JP Regular" w:eastAsiaTheme="minorEastAsia"/>
          <w:b/>
          <w:color w:val="000000" w:themeColor="text1"/>
          <w:kern w:val="0"/>
          <w:sz w:val="36"/>
          <w:szCs w:val="36"/>
          <w:lang w:val="en-US" w:eastAsia="zh-CN" w:bidi="zh-CN"/>
          <w14:textFill>
            <w14:solidFill>
              <w14:schemeClr w14:val="tx1"/>
            </w14:solidFill>
          </w14:textFill>
        </w:rPr>
      </w:pPr>
      <w:r>
        <w:rPr>
          <w:rFonts w:hint="eastAsia" w:ascii="Noto Sans Mono CJK JP Regular" w:hAnsi="Noto Sans Mono CJK JP Regular" w:cs="Noto Sans Mono CJK JP Regular" w:eastAsiaTheme="minorEastAsia"/>
          <w:b/>
          <w:color w:val="000000" w:themeColor="text1"/>
          <w:kern w:val="0"/>
          <w:sz w:val="36"/>
          <w:szCs w:val="36"/>
          <w:lang w:val="en-US" w:eastAsia="zh-CN" w:bidi="zh-CN"/>
          <w14:textFill>
            <w14:solidFill>
              <w14:schemeClr w14:val="tx1"/>
            </w14:solidFill>
          </w14:textFill>
        </w:rPr>
        <w:t>莎车县疾病预防控制中心实验室</w:t>
      </w:r>
    </w:p>
    <w:p>
      <w:pPr>
        <w:autoSpaceDE w:val="0"/>
        <w:autoSpaceDN w:val="0"/>
        <w:jc w:val="center"/>
        <w:rPr>
          <w:rFonts w:hint="default"/>
          <w:sz w:val="18"/>
          <w:szCs w:val="18"/>
          <w:lang w:val="en-US" w:eastAsia="zh-CN"/>
        </w:rPr>
      </w:pPr>
      <w:r>
        <w:rPr>
          <w:rFonts w:hint="eastAsia" w:ascii="Noto Sans Mono CJK JP Regular" w:hAnsi="Noto Sans Mono CJK JP Regular" w:cs="Noto Sans Mono CJK JP Regular" w:eastAsiaTheme="minorEastAsia"/>
          <w:b/>
          <w:color w:val="000000" w:themeColor="text1"/>
          <w:kern w:val="0"/>
          <w:sz w:val="36"/>
          <w:szCs w:val="36"/>
          <w:lang w:val="en-US" w:eastAsia="zh-CN" w:bidi="zh-CN"/>
          <w14:textFill>
            <w14:solidFill>
              <w14:schemeClr w14:val="tx1"/>
            </w14:solidFill>
          </w14:textFill>
        </w:rPr>
        <w:t>仪器设备采购项目需求书</w:t>
      </w:r>
    </w:p>
    <w:p>
      <w:pPr>
        <w:keepNext w:val="0"/>
        <w:keepLines w:val="0"/>
        <w:widowControl/>
        <w:suppressLineNumbers w:val="0"/>
        <w:ind w:firstLine="562" w:firstLineChars="200"/>
        <w:jc w:val="both"/>
        <w:rPr>
          <w:rFonts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一、采购标的需实现的功能或者目标，以及为落实政府采购政策需满足的要求</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（一）采购标的需实现的功能或者目标</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满足项目需要的技术、服务、安全等要求，采购项目的数量、交付或者实施的时间和地点。</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（二）为落实政府采购政策需满足的要求</w:t>
      </w:r>
    </w:p>
    <w:p>
      <w:pPr>
        <w:pStyle w:val="2"/>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 xml:space="preserve">（1）《关于中国环境标志产品政府采购实施的意见》（财库[2006]90号）； </w:t>
      </w:r>
    </w:p>
    <w:p>
      <w:pPr>
        <w:pStyle w:val="2"/>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（2）《关于开展政府采购信用担保试点工作的通知》（财库【2011】124号）；</w:t>
      </w:r>
    </w:p>
    <w:p>
      <w:pPr>
        <w:pStyle w:val="2"/>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（3）《关于印发《政府采购促进中小企业发展暂行办法》的通知》（财库【2011】181号）；</w:t>
      </w:r>
    </w:p>
    <w:p>
      <w:pPr>
        <w:pStyle w:val="2"/>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（4）《财政部、司法部关于政府采购支持监狱企业发展有关问题的通知》（财库【2014】68号）；</w:t>
      </w:r>
    </w:p>
    <w:p>
      <w:pPr>
        <w:pStyle w:val="2"/>
        <w:rPr>
          <w:rFonts w:hint="eastAsia" w:ascii="宋体" w:hAnsi="宋体" w:eastAsia="宋体" w:cs="Calibri"/>
          <w:spacing w:val="15"/>
          <w:kern w:val="10"/>
          <w:sz w:val="22"/>
          <w:szCs w:val="22"/>
          <w:lang w:val="en-US" w:eastAsia="zh-CN" w:bidi="ar-SA"/>
        </w:rPr>
      </w:pPr>
      <w:r>
        <w:rPr>
          <w:rFonts w:hint="eastAsia" w:ascii="仿宋_GB2312" w:hAnsi="仿宋_GB2312" w:eastAsia="仿宋_GB2312" w:cs="仿宋_GB2312"/>
          <w:b w:val="0"/>
          <w:bCs w:val="0"/>
          <w:color w:val="000000"/>
          <w:kern w:val="0"/>
          <w:sz w:val="28"/>
          <w:szCs w:val="28"/>
          <w:lang w:val="en-US" w:eastAsia="zh-CN" w:bidi="ar"/>
        </w:rPr>
        <w:t>（5）《关于促进残疾人就业政府采购政策的通知》（财库【2017】141号）等。 注：投标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须提供节能、环保认证证书复印件加盖公章）。</w:t>
      </w:r>
    </w:p>
    <w:p>
      <w:pPr>
        <w:keepNext w:val="0"/>
        <w:keepLines w:val="0"/>
        <w:widowControl/>
        <w:suppressLineNumbers w:val="0"/>
        <w:ind w:firstLine="562" w:firstLineChars="200"/>
        <w:jc w:val="both"/>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二、供应商资格</w:t>
      </w:r>
    </w:p>
    <w:p>
      <w:pPr>
        <w:pStyle w:val="2"/>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1、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查询在合同纠纷裁决中不得参加本项目招标，国家企业公示信息系统（提供相关查询记录和查询结果并加盖公章）；</w:t>
      </w:r>
    </w:p>
    <w:p>
      <w:pPr>
        <w:pStyle w:val="2"/>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2、具有所投项目相关经营范围的三证合一企业法人营业执照正本或副本原件（要求营业执照里面的经营范围必须包含本项目的经营许可）；</w:t>
      </w:r>
    </w:p>
    <w:p>
      <w:pPr>
        <w:ind w:firstLine="560" w:firstLineChars="200"/>
        <w:rPr>
          <w:rFonts w:hint="default"/>
          <w:sz w:val="20"/>
          <w:szCs w:val="20"/>
          <w:lang w:val="en-US" w:eastAsia="zh-CN"/>
        </w:rPr>
      </w:pPr>
      <w:r>
        <w:rPr>
          <w:rFonts w:hint="eastAsia" w:ascii="仿宋_GB2312" w:hAnsi="仿宋_GB2312" w:eastAsia="仿宋_GB2312" w:cs="仿宋_GB2312"/>
          <w:b w:val="0"/>
          <w:bCs w:val="0"/>
          <w:color w:val="000000"/>
          <w:kern w:val="0"/>
          <w:sz w:val="28"/>
          <w:szCs w:val="28"/>
          <w:lang w:val="en-US" w:eastAsia="zh-CN" w:bidi="ar"/>
        </w:rPr>
        <w:t>3、投标企业提供《医疗器械生产企业许可证》或《医疗器械经营企业许可证》及《第二类医疗器械经营备案凭证》；</w:t>
      </w:r>
    </w:p>
    <w:p>
      <w:pPr>
        <w:pStyle w:val="2"/>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4、投标法人授权委托书及被授权委托人身份证原件,被授权委托人必须是投标单位正式员工在本单位缴纳的1月至6月的社保证明原件（单位社保缴费凭证和个人明细表）原件；法定代表人需提供本单位社保缴费凭证原件；</w:t>
      </w:r>
    </w:p>
    <w:p>
      <w:pPr>
        <w:pStyle w:val="2"/>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5、提供税务部门出具的1月至6月的完税证明原件；</w:t>
      </w:r>
    </w:p>
    <w:p>
      <w:pPr>
        <w:pStyle w:val="2"/>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6、提供2020年的财务审计报告（新成立公司需提供银行资信证明）；</w:t>
      </w:r>
    </w:p>
    <w:p>
      <w:pPr>
        <w:pStyle w:val="2"/>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7、提供针对本次项目的反商业贿赂承诺书；</w:t>
      </w:r>
    </w:p>
    <w:p>
      <w:pPr>
        <w:keepNext w:val="0"/>
        <w:keepLines w:val="0"/>
        <w:widowControl/>
        <w:suppressLineNumbers w:val="0"/>
        <w:ind w:firstLine="562" w:firstLineChars="200"/>
        <w:jc w:val="both"/>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三、采购标的需执行的国家相关标准、行业标准、地方标准或者其他标准、规范：无。</w:t>
      </w:r>
    </w:p>
    <w:p>
      <w:pPr>
        <w:keepNext w:val="0"/>
        <w:keepLines w:val="0"/>
        <w:widowControl/>
        <w:suppressLineNumbers w:val="0"/>
        <w:ind w:firstLine="562" w:firstLineChars="200"/>
        <w:jc w:val="both"/>
        <w:rPr>
          <w:rFonts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四、</w:t>
      </w:r>
      <w:r>
        <w:rPr>
          <w:rFonts w:ascii="仿宋_GB2312" w:hAnsi="仿宋_GB2312" w:eastAsia="仿宋_GB2312" w:cs="仿宋_GB2312"/>
          <w:b/>
          <w:bCs/>
          <w:color w:val="000000"/>
          <w:kern w:val="0"/>
          <w:sz w:val="28"/>
          <w:szCs w:val="28"/>
          <w:lang w:val="en-US" w:eastAsia="zh-CN" w:bidi="ar"/>
        </w:rPr>
        <w:t>采购实施计划</w:t>
      </w:r>
      <w:r>
        <w:rPr>
          <w:rFonts w:hint="eastAsia" w:ascii="仿宋_GB2312" w:hAnsi="仿宋_GB2312" w:eastAsia="仿宋_GB2312" w:cs="仿宋_GB2312"/>
          <w:b/>
          <w:bCs/>
          <w:color w:val="000000"/>
          <w:kern w:val="0"/>
          <w:sz w:val="28"/>
          <w:szCs w:val="28"/>
          <w:lang w:val="en-US" w:eastAsia="zh-CN" w:bidi="ar"/>
        </w:rPr>
        <w:t>主要内容</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1、采购内容：实验室仪器设备</w:t>
      </w:r>
    </w:p>
    <w:p>
      <w:pPr>
        <w:keepNext w:val="0"/>
        <w:keepLines w:val="0"/>
        <w:widowControl/>
        <w:suppressLineNumbers w:val="0"/>
        <w:ind w:firstLine="560" w:firstLineChars="200"/>
        <w:jc w:val="both"/>
        <w:rPr>
          <w:rFonts w:hint="default"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2、</w:t>
      </w:r>
      <w:r>
        <w:rPr>
          <w:rFonts w:ascii="仿宋_GB2312" w:hAnsi="仿宋_GB2312" w:eastAsia="仿宋_GB2312" w:cs="仿宋_GB2312"/>
          <w:b w:val="0"/>
          <w:bCs w:val="0"/>
          <w:color w:val="000000"/>
          <w:kern w:val="0"/>
          <w:sz w:val="28"/>
          <w:szCs w:val="28"/>
          <w:lang w:val="en-US" w:eastAsia="zh-CN" w:bidi="ar"/>
        </w:rPr>
        <w:t>采购项目预（概）算</w:t>
      </w:r>
      <w:r>
        <w:rPr>
          <w:rFonts w:hint="eastAsia" w:ascii="仿宋_GB2312" w:hAnsi="仿宋_GB2312" w:eastAsia="仿宋_GB2312" w:cs="仿宋_GB2312"/>
          <w:b w:val="0"/>
          <w:bCs w:val="0"/>
          <w:color w:val="000000"/>
          <w:kern w:val="0"/>
          <w:sz w:val="28"/>
          <w:szCs w:val="28"/>
          <w:lang w:val="en-US" w:eastAsia="zh-CN" w:bidi="ar"/>
        </w:rPr>
        <w:t>：第一标段：2206740元、第二标段：750094元、第三标段：4830000元</w:t>
      </w:r>
    </w:p>
    <w:p>
      <w:pPr>
        <w:keepNext w:val="0"/>
        <w:keepLines w:val="0"/>
        <w:widowControl/>
        <w:suppressLineNumbers w:val="0"/>
        <w:ind w:firstLine="560" w:firstLineChars="200"/>
        <w:jc w:val="both"/>
        <w:rPr>
          <w:rFonts w:hint="default"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3、</w:t>
      </w:r>
      <w:r>
        <w:rPr>
          <w:rFonts w:ascii="仿宋_GB2312" w:hAnsi="仿宋_GB2312" w:eastAsia="仿宋_GB2312" w:cs="仿宋_GB2312"/>
          <w:b w:val="0"/>
          <w:bCs w:val="0"/>
          <w:color w:val="000000"/>
          <w:kern w:val="0"/>
          <w:sz w:val="28"/>
          <w:szCs w:val="28"/>
          <w:lang w:val="en-US" w:eastAsia="zh-CN" w:bidi="ar"/>
        </w:rPr>
        <w:t>最高限价</w:t>
      </w:r>
      <w:r>
        <w:rPr>
          <w:rFonts w:hint="eastAsia" w:ascii="仿宋_GB2312" w:hAnsi="仿宋_GB2312" w:eastAsia="仿宋_GB2312" w:cs="仿宋_GB2312"/>
          <w:b w:val="0"/>
          <w:bCs w:val="0"/>
          <w:color w:val="000000"/>
          <w:kern w:val="0"/>
          <w:sz w:val="28"/>
          <w:szCs w:val="28"/>
          <w:lang w:val="en-US" w:eastAsia="zh-CN" w:bidi="ar"/>
        </w:rPr>
        <w:t>：第一标段：2206740元、第二标段：750094元、第三标段：4830000元</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4、</w:t>
      </w:r>
      <w:r>
        <w:rPr>
          <w:rFonts w:ascii="仿宋_GB2312" w:hAnsi="仿宋_GB2312" w:eastAsia="仿宋_GB2312" w:cs="仿宋_GB2312"/>
          <w:b w:val="0"/>
          <w:bCs w:val="0"/>
          <w:color w:val="000000"/>
          <w:kern w:val="0"/>
          <w:sz w:val="28"/>
          <w:szCs w:val="28"/>
          <w:lang w:val="en-US" w:eastAsia="zh-CN" w:bidi="ar"/>
        </w:rPr>
        <w:t>开展采购活动的时间安排</w:t>
      </w:r>
      <w:r>
        <w:rPr>
          <w:rFonts w:hint="eastAsia" w:ascii="仿宋_GB2312" w:hAnsi="仿宋_GB2312" w:eastAsia="仿宋_GB2312" w:cs="仿宋_GB2312"/>
          <w:b w:val="0"/>
          <w:bCs w:val="0"/>
          <w:color w:val="000000"/>
          <w:kern w:val="0"/>
          <w:sz w:val="28"/>
          <w:szCs w:val="28"/>
          <w:lang w:val="en-US" w:eastAsia="zh-CN" w:bidi="ar"/>
        </w:rPr>
        <w:t>：2021年9月26日下午16:00(北京时间)</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5、</w:t>
      </w:r>
      <w:r>
        <w:rPr>
          <w:rFonts w:ascii="仿宋_GB2312" w:hAnsi="仿宋_GB2312" w:eastAsia="仿宋_GB2312" w:cs="仿宋_GB2312"/>
          <w:b w:val="0"/>
          <w:bCs w:val="0"/>
          <w:color w:val="000000"/>
          <w:kern w:val="0"/>
          <w:sz w:val="28"/>
          <w:szCs w:val="28"/>
          <w:lang w:val="en-US" w:eastAsia="zh-CN" w:bidi="ar"/>
        </w:rPr>
        <w:t>采购组织形式</w:t>
      </w:r>
      <w:r>
        <w:rPr>
          <w:rFonts w:hint="eastAsia" w:ascii="仿宋_GB2312" w:hAnsi="仿宋_GB2312" w:eastAsia="仿宋_GB2312" w:cs="仿宋_GB2312"/>
          <w:b w:val="0"/>
          <w:bCs w:val="0"/>
          <w:color w:val="000000"/>
          <w:kern w:val="0"/>
          <w:sz w:val="28"/>
          <w:szCs w:val="28"/>
          <w:lang w:val="en-US" w:eastAsia="zh-CN" w:bidi="ar"/>
        </w:rPr>
        <w:t>：分散采购-委托中介</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6、</w:t>
      </w:r>
      <w:r>
        <w:rPr>
          <w:rFonts w:ascii="仿宋_GB2312" w:hAnsi="仿宋_GB2312" w:eastAsia="仿宋_GB2312" w:cs="仿宋_GB2312"/>
          <w:b w:val="0"/>
          <w:bCs w:val="0"/>
          <w:color w:val="000000"/>
          <w:kern w:val="0"/>
          <w:sz w:val="28"/>
          <w:szCs w:val="28"/>
          <w:lang w:val="en-US" w:eastAsia="zh-CN" w:bidi="ar"/>
        </w:rPr>
        <w:t>委托代理安排</w:t>
      </w:r>
      <w:r>
        <w:rPr>
          <w:rFonts w:hint="eastAsia" w:ascii="仿宋_GB2312" w:hAnsi="仿宋_GB2312" w:eastAsia="仿宋_GB2312" w:cs="仿宋_GB2312"/>
          <w:b w:val="0"/>
          <w:bCs w:val="0"/>
          <w:color w:val="000000"/>
          <w:kern w:val="0"/>
          <w:sz w:val="28"/>
          <w:szCs w:val="28"/>
          <w:lang w:val="en-US" w:eastAsia="zh-CN" w:bidi="ar"/>
        </w:rPr>
        <w:t>：新疆永信国金工程管理咨询有限公司</w:t>
      </w:r>
    </w:p>
    <w:p>
      <w:pPr>
        <w:keepNext w:val="0"/>
        <w:keepLines w:val="0"/>
        <w:widowControl/>
        <w:suppressLineNumbers w:val="0"/>
        <w:ind w:firstLine="560" w:firstLineChars="200"/>
        <w:jc w:val="both"/>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b w:val="0"/>
          <w:bCs w:val="0"/>
          <w:color w:val="000000"/>
          <w:kern w:val="0"/>
          <w:sz w:val="28"/>
          <w:szCs w:val="28"/>
          <w:lang w:val="en-US" w:eastAsia="zh-CN" w:bidi="ar"/>
        </w:rPr>
        <w:t>7、</w:t>
      </w:r>
      <w:r>
        <w:rPr>
          <w:rFonts w:ascii="仿宋_GB2312" w:hAnsi="仿宋_GB2312" w:eastAsia="仿宋_GB2312" w:cs="仿宋_GB2312"/>
          <w:b w:val="0"/>
          <w:bCs w:val="0"/>
          <w:color w:val="000000"/>
          <w:kern w:val="0"/>
          <w:sz w:val="28"/>
          <w:szCs w:val="28"/>
          <w:lang w:val="en-US" w:eastAsia="zh-CN" w:bidi="ar"/>
        </w:rPr>
        <w:t>采购包划分与合同分包</w:t>
      </w:r>
      <w:r>
        <w:rPr>
          <w:rFonts w:hint="eastAsia" w:ascii="仿宋_GB2312" w:hAnsi="仿宋_GB2312" w:eastAsia="仿宋_GB2312" w:cs="仿宋_GB2312"/>
          <w:b w:val="0"/>
          <w:bCs w:val="0"/>
          <w:color w:val="000000"/>
          <w:kern w:val="0"/>
          <w:sz w:val="28"/>
          <w:szCs w:val="28"/>
          <w:lang w:val="en-US" w:eastAsia="zh-CN" w:bidi="ar"/>
        </w:rPr>
        <w:t>：</w:t>
      </w:r>
      <w:r>
        <w:rPr>
          <w:rFonts w:hint="eastAsia" w:ascii="仿宋_GB2312" w:hAnsi="仿宋_GB2312" w:eastAsia="仿宋_GB2312" w:cs="仿宋_GB2312"/>
          <w:color w:val="000000"/>
          <w:kern w:val="0"/>
          <w:sz w:val="28"/>
          <w:szCs w:val="28"/>
          <w:lang w:bidi="ar"/>
        </w:rPr>
        <w:t>本项目分为</w:t>
      </w:r>
      <w:r>
        <w:rPr>
          <w:rFonts w:hint="eastAsia" w:ascii="仿宋_GB2312" w:hAnsi="仿宋_GB2312" w:eastAsia="仿宋_GB2312" w:cs="仿宋_GB2312"/>
          <w:color w:val="000000"/>
          <w:kern w:val="0"/>
          <w:sz w:val="28"/>
          <w:szCs w:val="28"/>
          <w:lang w:eastAsia="zh-CN" w:bidi="ar"/>
        </w:rPr>
        <w:t>三</w:t>
      </w:r>
      <w:r>
        <w:rPr>
          <w:rFonts w:hint="eastAsia" w:ascii="仿宋_GB2312" w:hAnsi="仿宋_GB2312" w:eastAsia="仿宋_GB2312" w:cs="仿宋_GB2312"/>
          <w:color w:val="000000"/>
          <w:kern w:val="0"/>
          <w:sz w:val="28"/>
          <w:szCs w:val="28"/>
          <w:lang w:bidi="ar"/>
        </w:rPr>
        <w:t>个标段</w:t>
      </w:r>
    </w:p>
    <w:p>
      <w:pPr>
        <w:keepNext w:val="0"/>
        <w:keepLines w:val="0"/>
        <w:widowControl/>
        <w:suppressLineNumbers w:val="0"/>
        <w:ind w:firstLine="560" w:firstLineChars="200"/>
        <w:jc w:val="both"/>
        <w:rPr>
          <w:rFonts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8、</w:t>
      </w:r>
      <w:r>
        <w:rPr>
          <w:rFonts w:ascii="仿宋_GB2312" w:hAnsi="仿宋_GB2312" w:eastAsia="仿宋_GB2312" w:cs="仿宋_GB2312"/>
          <w:b w:val="0"/>
          <w:bCs w:val="0"/>
          <w:color w:val="000000"/>
          <w:kern w:val="0"/>
          <w:sz w:val="28"/>
          <w:szCs w:val="28"/>
          <w:lang w:val="en-US" w:eastAsia="zh-CN" w:bidi="ar"/>
        </w:rPr>
        <w:t>采购方式</w:t>
      </w:r>
      <w:r>
        <w:rPr>
          <w:rFonts w:hint="eastAsia" w:ascii="仿宋_GB2312" w:hAnsi="仿宋_GB2312" w:eastAsia="仿宋_GB2312" w:cs="仿宋_GB2312"/>
          <w:b w:val="0"/>
          <w:bCs w:val="0"/>
          <w:color w:val="000000"/>
          <w:kern w:val="0"/>
          <w:sz w:val="28"/>
          <w:szCs w:val="28"/>
          <w:lang w:val="en-US" w:eastAsia="zh-CN" w:bidi="ar"/>
        </w:rPr>
        <w:t>：公开招标</w:t>
      </w:r>
    </w:p>
    <w:p>
      <w:pPr>
        <w:keepNext w:val="0"/>
        <w:keepLines w:val="0"/>
        <w:widowControl/>
        <w:suppressLineNumbers w:val="0"/>
        <w:ind w:firstLine="560" w:firstLineChars="200"/>
        <w:jc w:val="both"/>
        <w:rPr>
          <w:rFonts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9、招标</w:t>
      </w:r>
      <w:r>
        <w:rPr>
          <w:rFonts w:ascii="仿宋_GB2312" w:hAnsi="仿宋_GB2312" w:eastAsia="仿宋_GB2312" w:cs="仿宋_GB2312"/>
          <w:b w:val="0"/>
          <w:bCs w:val="0"/>
          <w:color w:val="000000"/>
          <w:kern w:val="0"/>
          <w:sz w:val="28"/>
          <w:szCs w:val="28"/>
          <w:lang w:val="en-US" w:eastAsia="zh-CN" w:bidi="ar"/>
        </w:rPr>
        <w:t>范围</w:t>
      </w:r>
      <w:r>
        <w:rPr>
          <w:rFonts w:hint="eastAsia" w:ascii="仿宋_GB2312" w:hAnsi="仿宋_GB2312" w:eastAsia="仿宋_GB2312" w:cs="仿宋_GB2312"/>
          <w:b w:val="0"/>
          <w:bCs w:val="0"/>
          <w:color w:val="000000"/>
          <w:kern w:val="0"/>
          <w:sz w:val="28"/>
          <w:szCs w:val="28"/>
          <w:lang w:val="en-US" w:eastAsia="zh-CN" w:bidi="ar"/>
        </w:rPr>
        <w:t>：实验室仪器设备</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10、</w:t>
      </w:r>
      <w:r>
        <w:rPr>
          <w:rFonts w:ascii="仿宋_GB2312" w:hAnsi="仿宋_GB2312" w:eastAsia="仿宋_GB2312" w:cs="仿宋_GB2312"/>
          <w:b w:val="0"/>
          <w:bCs w:val="0"/>
          <w:color w:val="000000"/>
          <w:kern w:val="0"/>
          <w:sz w:val="28"/>
          <w:szCs w:val="28"/>
          <w:lang w:val="en-US" w:eastAsia="zh-CN" w:bidi="ar"/>
        </w:rPr>
        <w:t>评审规则</w:t>
      </w:r>
      <w:r>
        <w:rPr>
          <w:rFonts w:hint="eastAsia" w:ascii="仿宋_GB2312" w:hAnsi="仿宋_GB2312" w:eastAsia="仿宋_GB2312" w:cs="仿宋_GB2312"/>
          <w:b w:val="0"/>
          <w:bCs w:val="0"/>
          <w:color w:val="000000"/>
          <w:kern w:val="0"/>
          <w:sz w:val="28"/>
          <w:szCs w:val="28"/>
          <w:lang w:val="en-US" w:eastAsia="zh-CN" w:bidi="ar"/>
        </w:rPr>
        <w:t>：本项目评标办法采用综合评标法，将依法组建不少于 5 人组成的评标委员会，负责本项目的评标工作。评标委员会按照“公平、公正、科学、择优”的原则，评价参加本次招标的投标供应商所提供的产品价格、性能、质量、服务及其投标文件的符合性及响应性。</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（一）初步评审：</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1、评标委员会根据招标文件规定的评标标准和方法，对投标文件进行全面审核，主要审查投标文件的完整性、符合性以及投标报价的合理性是否满足招标文件中的有关规定。    </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2、列出投标文件中的重大偏差和细微偏差。     </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重大偏差是指投标文件未能实质上响应招标文件的要求，或者投标文件中存在按照招标文件规定应当判定为无效投标文件的情况。 </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细微偏差是指投标文件在实质上响应招标文件的要求，但在个别地方存在漏项或者提供了不完整的技术信息和数据等情况，并且补正这些遗漏或不完整不会对其他投标单位造成不公平的结果。细微偏差不影响投标文件的有效性。</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 xml:space="preserve">（二）详细评审：   </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1.评标委员会根据招标文件规定的评标标准和方法，对投标文件进行全面审核，主要审查投标文件的完整性、符合性以及投标报价的合理性是否满足招标文件中的有关规定。</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综合评分法，是指响应文件满足采购文件全部实质性要求且按评审因素的量化指标评审得分最高的供应商为成交候选供应商的评审方法。</w:t>
      </w:r>
    </w:p>
    <w:p>
      <w:pPr>
        <w:keepNext w:val="0"/>
        <w:keepLines w:val="0"/>
        <w:widowControl/>
        <w:suppressLineNumbers w:val="0"/>
        <w:ind w:firstLine="560" w:firstLineChars="200"/>
        <w:jc w:val="both"/>
        <w:rPr>
          <w:rFonts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2.评审时，评审小组各成员应当独立对每个有效响应的文件进行评价、打分，然后汇总每个供应商每项评分因素的得分。</w:t>
      </w:r>
    </w:p>
    <w:p>
      <w:pPr>
        <w:keepNext w:val="0"/>
        <w:keepLines w:val="0"/>
        <w:widowControl/>
        <w:suppressLineNumbers w:val="0"/>
        <w:ind w:firstLine="622" w:firstLineChars="200"/>
        <w:jc w:val="both"/>
        <w:rPr>
          <w:rFonts w:hint="default"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bCs/>
          <w:color w:val="auto"/>
          <w:kern w:val="0"/>
          <w:sz w:val="31"/>
          <w:szCs w:val="31"/>
          <w:lang w:val="en-US" w:eastAsia="zh-CN" w:bidi="ar"/>
        </w:rPr>
        <w:t>五、采购标的内容、数量，包括技术要求和商务要求</w:t>
      </w:r>
    </w:p>
    <w:p>
      <w:pPr>
        <w:keepNext w:val="0"/>
        <w:keepLines w:val="0"/>
        <w:widowControl/>
        <w:suppressLineNumbers w:val="0"/>
        <w:ind w:firstLine="620" w:firstLineChars="200"/>
        <w:jc w:val="both"/>
        <w:rPr>
          <w:rFonts w:hint="eastAsia"/>
          <w:lang w:val="en-US" w:eastAsia="zh-CN"/>
        </w:rPr>
      </w:pPr>
      <w:r>
        <w:rPr>
          <w:rFonts w:hint="eastAsia" w:ascii="仿宋_GB2312" w:hAnsi="仿宋_GB2312" w:eastAsia="仿宋_GB2312" w:cs="仿宋_GB2312"/>
          <w:b w:val="0"/>
          <w:bCs w:val="0"/>
          <w:color w:val="auto"/>
          <w:kern w:val="0"/>
          <w:sz w:val="31"/>
          <w:szCs w:val="31"/>
          <w:lang w:val="en-US" w:eastAsia="zh-CN" w:bidi="ar"/>
        </w:rPr>
        <w:t>（一）</w:t>
      </w:r>
      <w:r>
        <w:rPr>
          <w:rFonts w:hint="eastAsia" w:ascii="仿宋_GB2312" w:hAnsi="仿宋_GB2312" w:eastAsia="仿宋_GB2312" w:cs="仿宋_GB2312"/>
          <w:b w:val="0"/>
          <w:bCs w:val="0"/>
          <w:color w:val="000000"/>
          <w:kern w:val="0"/>
          <w:sz w:val="31"/>
          <w:szCs w:val="31"/>
          <w:lang w:val="en-US" w:eastAsia="zh-CN" w:bidi="ar"/>
        </w:rPr>
        <w:t>实验室仪器设备</w:t>
      </w:r>
      <w:r>
        <w:rPr>
          <w:rFonts w:hint="eastAsia" w:ascii="仿宋_GB2312" w:hAnsi="仿宋_GB2312" w:eastAsia="仿宋_GB2312" w:cs="仿宋_GB2312"/>
          <w:b w:val="0"/>
          <w:bCs w:val="0"/>
          <w:color w:val="auto"/>
          <w:kern w:val="0"/>
          <w:sz w:val="31"/>
          <w:szCs w:val="31"/>
          <w:lang w:val="en-US" w:eastAsia="zh-CN" w:bidi="ar"/>
        </w:rPr>
        <w:t>内容、数量</w:t>
      </w:r>
    </w:p>
    <w:p>
      <w:pPr>
        <w:pStyle w:val="3"/>
        <w:spacing w:line="665" w:lineRule="exact"/>
        <w:rPr>
          <w:b/>
          <w:bCs/>
          <w:color w:val="000000" w:themeColor="text1"/>
          <w:spacing w:val="-4"/>
          <w:sz w:val="24"/>
          <w:szCs w:val="24"/>
          <w14:textFill>
            <w14:solidFill>
              <w14:schemeClr w14:val="tx1"/>
            </w14:solidFill>
          </w14:textFill>
        </w:rPr>
      </w:pPr>
      <w:r>
        <w:rPr>
          <w:rFonts w:hint="eastAsia"/>
          <w:b/>
          <w:bCs/>
          <w:color w:val="000000" w:themeColor="text1"/>
          <w:spacing w:val="-4"/>
          <w:sz w:val="24"/>
          <w:szCs w:val="24"/>
          <w14:textFill>
            <w14:solidFill>
              <w14:schemeClr w14:val="tx1"/>
            </w14:solidFill>
          </w14:textFill>
        </w:rPr>
        <w:t>第一标段：</w:t>
      </w:r>
    </w:p>
    <w:tbl>
      <w:tblPr>
        <w:tblStyle w:val="8"/>
        <w:tblW w:w="0" w:type="auto"/>
        <w:tblInd w:w="93" w:type="dxa"/>
        <w:shd w:val="clear" w:color="auto" w:fill="auto"/>
        <w:tblLayout w:type="autofit"/>
        <w:tblCellMar>
          <w:top w:w="0" w:type="dxa"/>
          <w:left w:w="108" w:type="dxa"/>
          <w:bottom w:w="0" w:type="dxa"/>
          <w:right w:w="108" w:type="dxa"/>
        </w:tblCellMar>
      </w:tblPr>
      <w:tblGrid>
        <w:gridCol w:w="658"/>
        <w:gridCol w:w="1207"/>
        <w:gridCol w:w="658"/>
        <w:gridCol w:w="5906"/>
      </w:tblGrid>
      <w:tr>
        <w:tblPrEx>
          <w:shd w:val="clear" w:color="auto" w:fill="auto"/>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货物名称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参数</w:t>
            </w:r>
          </w:p>
        </w:tc>
      </w:tr>
      <w:tr>
        <w:tblPrEx>
          <w:tblCellMar>
            <w:top w:w="0" w:type="dxa"/>
            <w:left w:w="108" w:type="dxa"/>
            <w:bottom w:w="0" w:type="dxa"/>
            <w:right w:w="108" w:type="dxa"/>
          </w:tblCellMar>
        </w:tblPrEx>
        <w:trPr>
          <w:trHeight w:val="68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质谱仪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一、设备主要用途及基本要求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★1、所投标质谱仪为桌面台式机，具备医疗器械注册证；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2、主要用于细菌、真菌等微生物的快速鉴定和分型；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3、同时配置核酸质谱分析模块，进行核酸的质谱分析。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二、技术参数要求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1、质谱仪硬件性能规格要求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★1.1、激光器：采用氮气激光器，频率在1-60Hz且可调，发射次数不小于6*107次（提供厂家技术证明材料）；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▲1.2、离子光路设计：为避免离子源污染，激光入射角度需大于10度；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▲1.3、负离子检测功能：配备负离子检测模块，负离子检测模块的高压电源为±20KV（提供医疗器械注册相关文件证明及第三方权威检测报告）；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▲1.4、配置全自动样品靶真空干靶装置：具备超声波辅助微生物破壁功能，使微生物核糖体蛋白释放更充分，提升鉴定结果，靶板全靶点真空干燥时间≤30S(提供第三方权威检测报告)；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1.5、仪器检测速度：从样本靶入舱到全靶板检测完毕出检测报告所需时间≤12min（提供权威第三方检测报告证明）；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1.6、质谱仪需为桌面台式机，机身净高度（含脚垫）不超过1220mm，满足车载质谱应急使用的需求（提供制造商盖章的产品彩页或第三方证明材料）；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★1.7、真空系统：前级泵应为无油隔膜泵，高真空泵应为分子涡轮泵，分子涡轮泵抽速不低于300L/S（提供制造商证明材料）；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1.8、核酸质谱方案：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1.8.1、进行核酸样品检测，使用预埋基质的硅基样品靶，也可使用不锈钢样品靶；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1.8.2、可提供由同一品牌的核酸提取试剂、核酸提取仪以及质谱仪组成的系统解决方案（分别提供三者的医疗器械注册证）。核酸提取仪必须为单纯的提取模块。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2、软件系统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2.1、具备数据采集和数据处理软件，微生物数据库的谱图离线分析处理及检索软件，谱图采集和鉴定检索在同一个软件内同步完成，无需切换软件;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2.2、操作界面：全中文界面，鉴定结果微生物名称中文和拉丁文同时给出;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2.3、聚类分析软件功能：聚类分析软件具备主成分分析功能和模拟凝胶图功能，具备PCoA、T-SNE分析功能，可用于微生物溯源分析、菌种分型以及蛋白表达差异分析等；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2.4、配备智能分型软件：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2.4.1、能通过人工智能算法，对系统进行大样本量训练，构建微生物鉴定区分模型，进行疑难菌鉴定及微生物种以下的分型鉴定;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2.4.2、提供沙门氏菌不同血清型，主要是B鼠伤寒、C1汤卜逊和D肠炎的建模训练数据集以及区分鉴定结果图（提供所投标质谱仪制造商盖章的证明材料）。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3、数据库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★3.1、为保障用户数据安全，必须具备离线的单机版微生物菌种数据库，且菌种数2000种以上；同时带有科研网络版数据库，鉴定菌种 4000 种以上,可随时维护更新；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3.2、真菌数据库超过350种，且包含冠突曲霉、黄曲霉、草酸青霉、蜂蜜曲霉、酱油曲霉、六出花链格孢等真菌，debeurmannianum毛孢子（Trichosporon debeurmannianum）等，需提供以上菌株质谱鉴定结果和谱图。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4、检测性能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4.1、鉴定质量范围：1-500kDa；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4.2、质量分辨率（线性模式）：&gt;3600(FWHM)@ Angiotensin；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4.3、鉴定灵敏度：50 amol/uL 胰岛素（信噪比&gt;100∶1）；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4.4、质量准确度：≤ 100 ppm (外校准) 质量准确度：≤50ppm （内校准）。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相关试剂：设备需配套具有同品牌的微生物质谱基质试剂（直接使用式）、血培养报阳后直接上质谱鉴定的前处理试剂和霉菌样本质谱前处理试剂（室温保存，前处理时间≤5分钟/样本），确保准确快速提取真菌全蛋白样本，用于质谱检测。试剂需具有医疗器械注册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6、设备具备新冠病毒检测功能（提供证明）。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▲7、仪器具备β内酰胺酶活性检测模块，判断菌株的耐药性（提供所投标质谱仪制造商盖章的证明材料）。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8、仪器具备CE符合性证明（提供制造商盖章的认证证书复印件）。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三、售后服务要求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1、自物品验收合格（以双方在验收报告签订日期为准），质保期不低于2年。数据库、软件终身免费升级到最新版本。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四、配置清单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1、微生物鉴定质谱系统主机：1 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2、工作站：专用电脑1台，Windows10以上操作系统，3.0GHzCPU四核处理器，16GB内存，1TB硬盘，DVD刻录光驱，液晶显示屏，条码扫描器1套;激光打印机1台;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3、专用UPS电源设备(3KVA，＞2h)1台;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4、配备重复样品靶托1块及重复性靶片2块;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5、可配置全自动样品靶真空干靶装置;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6、配套离心机1台，移液枪1把，枪头1包，超声清洗仪1台;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7、数据传输：免费连接lis系统。</w:t>
            </w:r>
          </w:p>
        </w:tc>
      </w:tr>
      <w:tr>
        <w:tblPrEx>
          <w:shd w:val="clear" w:color="auto" w:fill="auto"/>
          <w:tblCellMar>
            <w:top w:w="0" w:type="dxa"/>
            <w:left w:w="108" w:type="dxa"/>
            <w:bottom w:w="0" w:type="dxa"/>
            <w:right w:w="108" w:type="dxa"/>
          </w:tblCellMar>
        </w:tblPrEx>
        <w:trPr>
          <w:trHeight w:val="2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8联排加样枪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0.5-10微升，                                                                                                                                         1.轻松地旋转活塞按钮选择分液量;2.整个枪体在色彩搭配上，灰白色、蓝色相间，符合色彩美学设计;3.人机工效学设计的指掌，便于全手轻松控制，可减少手部疲劳;4.量程范围广（0.5-10ul）;5.使用附件工具，能方便快捷地进行校准和维修;6.快捷轻便的管嘴推出器;7.替换型管嘴连件过滤芯，可防止污染和管嘴损坏;8.可拆卸式管嘴连件，具有高性能的化学防腐性，且可以高温高压消毒;9.枪体重量轻，使用轻巧便捷，可减少手部疲劳。</w:t>
            </w:r>
          </w:p>
        </w:tc>
      </w:tr>
      <w:tr>
        <w:tblPrEx>
          <w:shd w:val="clear" w:color="auto" w:fill="auto"/>
          <w:tblCellMar>
            <w:top w:w="0" w:type="dxa"/>
            <w:left w:w="108" w:type="dxa"/>
            <w:bottom w:w="0" w:type="dxa"/>
            <w:right w:w="108" w:type="dxa"/>
          </w:tblCellMar>
        </w:tblPrEx>
        <w:trPr>
          <w:trHeight w:val="31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8联排加样枪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10-100微升，1.轻松地旋转活塞按钮选择分液量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2.整个枪体在色彩搭配上，灰白色、蓝色相间，符合色彩美学设计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3.人机工效学设计的指掌，便于全手轻松控制，可减少手部疲劳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4.量程范围广（10-100ul）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5.使用附件工具，能方便快捷地进行校准和维修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6.快捷轻便的管嘴推出器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7.替换型管嘴连件过滤芯，可防止污染和管嘴损坏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8.可拆卸式管嘴连件，具有高性能的化学防腐性，且可以高温高压消毒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9.枪体重量轻，使用轻巧便捷，可减少手部疲劳。</w:t>
            </w:r>
          </w:p>
        </w:tc>
      </w:tr>
      <w:tr>
        <w:tblPrEx>
          <w:tblCellMar>
            <w:top w:w="0" w:type="dxa"/>
            <w:left w:w="108" w:type="dxa"/>
            <w:bottom w:w="0" w:type="dxa"/>
            <w:right w:w="108" w:type="dxa"/>
          </w:tblCellMar>
        </w:tblPrEx>
        <w:trPr>
          <w:trHeight w:val="30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单排加样枪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100-1000微升，1.轻松地旋转活塞按钮选择分液量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2.整个枪体在色彩搭配上，灰白色、蓝色相间，符合色彩美学设计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3.人机工效学设计的指掌，便于全手轻松控制，可减少手部疲劳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4.量程范围广（100-1000ul）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5.使用附件工具，能方便快捷地进行校准和维修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6.快捷轻便的管嘴推出器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7.替换型管嘴连件过滤芯，可防止污染和管嘴损坏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8.可拆卸式管嘴连件，具有高性能的化学防腐性，且可以高温高压消毒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9.枪体重量轻，使用轻巧便捷，可减少手部疲劳。</w:t>
            </w:r>
          </w:p>
        </w:tc>
      </w:tr>
      <w:tr>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加样枪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规格：0.25-2.5mL，1.轻松地旋转活塞按钮选择分液量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2.整个枪体在色彩搭配上，灰白色、蓝色相间，符合色彩美学设计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3.人机工效学设计的指掌，便于全手轻松控制，可减少手部疲劳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4.量程范围广（0.25-2.5ml）;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5.使用附件工具，能方便快捷地进行校准和维修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6.快捷轻便的管嘴推出器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7.替换型管嘴连件过滤芯，可防止污染和管嘴损坏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8.可拆卸式管嘴连件，具有高性能的化学防腐性，且可以高温高压消毒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9.枪体重量轻，使用轻巧便捷，可减少手部疲劳。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10、适配吸头10000个。</w:t>
            </w:r>
          </w:p>
        </w:tc>
      </w:tr>
      <w:tr>
        <w:tblPrEx>
          <w:tblCellMar>
            <w:top w:w="0" w:type="dxa"/>
            <w:left w:w="108" w:type="dxa"/>
            <w:bottom w:w="0" w:type="dxa"/>
            <w:right w:w="108" w:type="dxa"/>
          </w:tblCellMar>
        </w:tblPrEx>
        <w:trPr>
          <w:trHeight w:val="29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加样枪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规格：1-10ml，1.轻松地旋转活塞按钮选择分液量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2.整个枪体在色彩搭配上，灰白色、蓝色相间，符合色彩美学设计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3.人机工效学设计的指掌，便于全手轻松控制，可减少手部疲劳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4.量程范围广（1-10ml）;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5.使用附件工具，能方便快捷地进行校准和维修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6.快捷轻便的管嘴推出器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7.替换型管嘴连件过滤芯，可防止污染和管嘴损坏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8.可拆卸式管嘴连件，具有高性能的化学防腐性，且可以高温高压消毒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9.枪体重量轻，使用轻巧便捷，可减少手部疲劳。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10、适配吸头10000个。</w:t>
            </w:r>
          </w:p>
        </w:tc>
      </w:tr>
      <w:tr>
        <w:tblPrEx>
          <w:tblCellMar>
            <w:top w:w="0" w:type="dxa"/>
            <w:left w:w="108" w:type="dxa"/>
            <w:bottom w:w="0" w:type="dxa"/>
            <w:right w:w="108" w:type="dxa"/>
          </w:tblCellMar>
        </w:tblPrEx>
        <w:trPr>
          <w:trHeight w:val="36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紫外线强度测定仪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1.光潜响应：230nm-280nm, λp=254nm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2.量程范围：0- 20000 uW/cm2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3.分辨率：0.1 μW/cm2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4.测量精度：+10 %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5.功率数据存储间隔：1s/10s/60s可选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6.记录周期：10分钟/100分钟/600分钟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7.蓝牙传输距离：50米(空旷区域)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8.探头尺寸：直径39mmx厚15mm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9.主机尺寸：长148x宽76x高26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10.探头线长：1米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11.仪器重量：约293克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12.显示：240*160点阵LCD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13.电池：4节AAA碱性干电池</w:t>
            </w:r>
          </w:p>
        </w:tc>
      </w:tr>
      <w:tr>
        <w:tblPrEx>
          <w:tblCellMar>
            <w:top w:w="0" w:type="dxa"/>
            <w:left w:w="108" w:type="dxa"/>
            <w:bottom w:w="0" w:type="dxa"/>
            <w:right w:w="108" w:type="dxa"/>
          </w:tblCellMar>
        </w:tblPrEx>
        <w:trPr>
          <w:trHeight w:val="3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恒温摇床培养箱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转速范围:起动约40-300r/min,速度显示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温控范围:室温+5-60℃,温度显示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温度精度:±0.5℃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仪表分辨率:0.1℃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振CC幅:20mm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加热功率:400W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装瓶量:烧杯:50ML×35支/100ML×30支/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250ML×20支/500ML×12支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网夹具:440X350mm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定时范围:24小时59分（或常开）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电源:交流220V50HZ。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外形尺寸:700*500*470mm。</w:t>
            </w:r>
          </w:p>
        </w:tc>
      </w:tr>
      <w:tr>
        <w:tblPrEx>
          <w:tblCellMar>
            <w:top w:w="0" w:type="dxa"/>
            <w:left w:w="108" w:type="dxa"/>
            <w:bottom w:w="0" w:type="dxa"/>
            <w:right w:w="108" w:type="dxa"/>
          </w:tblCellMar>
        </w:tblPrEx>
        <w:trPr>
          <w:trHeight w:val="48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微波消解器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1.1电 源：220-240 VAC 50/60Hz 8A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微波频率：2450MHz；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整机安装功率：2600W；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（1）电源要求：220 VAC 50 Hz 15A；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（2）微波源：专业微波源，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*（3）微波输出功率 ：0~1600W；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*（4）微波输出特性：微波非脉冲连续自动变频控制，0～100%自动输出；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（5）微波均匀性：垂直双向波导设计，三维输出技术，匹配谐波功频实现了高度的场均匀性；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*（6）微波腔体：52L，316级全不锈钢腔体，6层防腐耐高温特氟隆涂层；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*（7）自锁式缓冲防爆炉门，在危险出现时能自动提前释放横向压力冲击，确保操作人员人身安全和炉门结构  完整无损；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排风和冷却系统：炉腔配备大功率排风系统，各种反应可在通风，安全和易于观察的环境下长时间连续进行。炉腔通风采用耐酸蚀，大风量离心式风机，排风量不小于5m3/min；炉腔内具有风冷功能，持续为反应罐降温，温度和压力实时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*（9）转盘设计：360°同向往返连续旋转，微波均匀，保证各个样品微波环境相同，提高实验结果的一致性。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*（10）控制方式：触摸屏设计，8寸TFT-LED（800X480彩）大屏幕显示，远距离直读反应进程，实时显示密闭反应罐温度、压力，并可实时显示温压曲线；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（11）操作语言：中文简体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*（12）自动保护功能：具有故障自检系统；当控温和控压中某一系统失灵时，仪器会自动切断微波发射，并且报警；</w:t>
            </w:r>
          </w:p>
        </w:tc>
      </w:tr>
      <w:tr>
        <w:tblPrEx>
          <w:shd w:val="clear" w:color="auto" w:fill="auto"/>
          <w:tblCellMar>
            <w:top w:w="0" w:type="dxa"/>
            <w:left w:w="108" w:type="dxa"/>
            <w:bottom w:w="0" w:type="dxa"/>
            <w:right w:w="108" w:type="dxa"/>
          </w:tblCellMar>
        </w:tblPrEx>
        <w:trPr>
          <w:trHeight w:val="3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电导率测定仪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1.仪器级别:1级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2.测量参数:电导率，TDS，温度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3.测量范围:电导率0.00μS/cm～100mS/cm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4.基本误差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(1)TDS:（0 ～1999）mg/L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(2)温度:（0.0～99.9）℃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(3)电导率:±1.0%FS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(4)TDS:±1.0%FS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(5)温度:±0.3℃±1个字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5.稳定性:(±0.33%FS)/3h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6.电源:AC (220±22)V，(50±l )Hz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7.尺寸(mm):300×220×90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8.重量(kg):1.3</w:t>
            </w:r>
          </w:p>
        </w:tc>
      </w:tr>
      <w:tr>
        <w:tblPrEx>
          <w:tblCellMar>
            <w:top w:w="0" w:type="dxa"/>
            <w:left w:w="108" w:type="dxa"/>
            <w:bottom w:w="0" w:type="dxa"/>
            <w:right w:w="108" w:type="dxa"/>
          </w:tblCellMar>
        </w:tblPrEx>
        <w:trPr>
          <w:trHeight w:val="48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Calibri" w:hAnsi="Calibri" w:eastAsia="宋体" w:cs="Calibri"/>
                <w:i w:val="0"/>
                <w:iCs w:val="0"/>
                <w:color w:val="000000"/>
                <w:sz w:val="21"/>
                <w:szCs w:val="21"/>
                <w:u w:val="none"/>
              </w:rPr>
            </w:pPr>
            <w:r>
              <w:rPr>
                <w:rStyle w:val="11"/>
                <w:rFonts w:eastAsia="宋体"/>
                <w:lang w:val="en-US" w:eastAsia="zh-CN" w:bidi="ar"/>
              </w:rPr>
              <w:t>α</w:t>
            </w:r>
            <w:r>
              <w:rPr>
                <w:rStyle w:val="12"/>
                <w:lang w:val="en-US" w:eastAsia="zh-CN" w:bidi="ar"/>
              </w:rPr>
              <w:t>、</w:t>
            </w:r>
            <w:r>
              <w:rPr>
                <w:rStyle w:val="11"/>
                <w:rFonts w:eastAsia="宋体"/>
                <w:lang w:val="en-US" w:eastAsia="zh-CN" w:bidi="ar"/>
              </w:rPr>
              <w:t>β</w:t>
            </w:r>
            <w:r>
              <w:rPr>
                <w:rStyle w:val="12"/>
                <w:lang w:val="en-US" w:eastAsia="zh-CN" w:bidi="ar"/>
              </w:rPr>
              <w:t>表面沾污测量仪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1、探测器 ：ZnS闪烁体探测器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2、辐射类型：α、β、γ射线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3、探测器规格：JC-FS3002：50cm2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4、报警方式： 超阈值报警、欠压报警、过载报警、探头故障报警、高压故障等声光报警。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5、测量范围： 0.01~9999kCPS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0.01~9999kBq,</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0.01~9999k Bq/cm2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6、本底计数：α： ≤ 0.5 cps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β/γ ：≤ 10cps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7、测量类型：cps、Bq或Bq/cm2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8、探测效率：α： ≥35%(241Am),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Β：≥25%(36Cl)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9、温度：-19℃～+55℃；湿度特性：RH 95% (35℃)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10、相对误差：不超过+-15%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11、本底扣除：扣除和不扣除本底可选，本底测量时间可设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12、显示：大尺寸LCD液晶显示，带背光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13、电源：内置锂电池实现交直流两用。</w:t>
            </w:r>
          </w:p>
        </w:tc>
      </w:tr>
      <w:tr>
        <w:tblPrEx>
          <w:shd w:val="clear" w:color="auto" w:fill="auto"/>
          <w:tblCellMar>
            <w:top w:w="0" w:type="dxa"/>
            <w:left w:w="108" w:type="dxa"/>
            <w:bottom w:w="0" w:type="dxa"/>
            <w:right w:w="108" w:type="dxa"/>
          </w:tblCellMar>
        </w:tblPrEx>
        <w:trPr>
          <w:trHeight w:val="62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χ 、γ 射线巡测仪（套）（含：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环境级、防护级）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通用技术指标：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数据存储：剂量率10万组；全能谱500组；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防护等级：IP67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电池使用时间：＞24小时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报警时间：＜2秒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尺寸：168mm×70mm×32mm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重量：260g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相对误差：≤±10%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温度范围：-40℃~+55℃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温度依赖：＜20%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湿度范围：0~98%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主机探测器指标：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探测器类型：GM管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尺寸：Φ5×12mm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剂量率范围：0.01μSv/h~30mSv/h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能量范围：20keV~1.5MeV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检测射线种类：X、β、γ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3202探头指标：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闪烁体尺寸：Φ50mm×50mm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能量响应：20keV~3.0MeV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能量分辨率：好于7.0%（Cs-137）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剂量率量程：1nSv/h~200μSv/h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采用低钾NaI（TI）+低噪低钾石英光电倍增光</w:t>
            </w:r>
          </w:p>
        </w:tc>
      </w:tr>
      <w:tr>
        <w:tblPrEx>
          <w:shd w:val="clear" w:color="auto" w:fill="auto"/>
          <w:tblCellMar>
            <w:top w:w="0" w:type="dxa"/>
            <w:left w:w="108" w:type="dxa"/>
            <w:bottom w:w="0" w:type="dxa"/>
            <w:right w:w="108" w:type="dxa"/>
          </w:tblCellMar>
        </w:tblPrEx>
        <w:trPr>
          <w:trHeight w:val="27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样品粉碎机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工作电压（V）:AC220V  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功率（W）:1000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转速（转/分）（r/min）:26000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粉碎室尺寸（直径×高）（mm）:∮150×80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每次粉碎量（≤g）:400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粉碎细度（目）:40-200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外形尺寸（直径×高）（mm）:230×190×420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净重（kg）:12.25    </w:t>
            </w:r>
          </w:p>
        </w:tc>
      </w:tr>
      <w:tr>
        <w:tblPrEx>
          <w:tblCellMar>
            <w:top w:w="0" w:type="dxa"/>
            <w:left w:w="108" w:type="dxa"/>
            <w:bottom w:w="0" w:type="dxa"/>
            <w:right w:w="108" w:type="dxa"/>
          </w:tblCellMar>
        </w:tblPrEx>
        <w:trPr>
          <w:trHeight w:val="43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均质器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*1、拍击时间：0-8小时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*2、拍击速度：3～12次/秒（以0.1次/秒步进）实际拍击次数显示，系统自动调节拍击速度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*3、可多段编程：可设定任意参数组合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*4、参数存储：10组多段编程参数保存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5、有效容积：3～400ml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6、无菌袋：17×30cm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7、拍击箱体：不锈钢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8、电源：220VAC/50Hz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9、重量：18.5KG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10、带暂停功能：确保样品安全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11、最大功率：300W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12、显示方式：5寸触摸屏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13、带自动停止防夹功能，可装卸视窗和调整拍击板、钢化玻璃安全门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14、外形尺寸：420×245×340mm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*15、样品室温度：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设置范围：室温-50℃，可任意设定，带拍击箱内温度显示；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消毒功能：拍击箱内消毒灯，可对工作腔预消毒；(单次消毒周期5min,消毒波长253.7min)。</w:t>
            </w:r>
          </w:p>
        </w:tc>
      </w:tr>
      <w:tr>
        <w:tblPrEx>
          <w:shd w:val="clear" w:color="auto" w:fill="auto"/>
          <w:tblCellMar>
            <w:top w:w="0" w:type="dxa"/>
            <w:left w:w="108" w:type="dxa"/>
            <w:bottom w:w="0" w:type="dxa"/>
            <w:right w:w="108" w:type="dxa"/>
          </w:tblCellMar>
        </w:tblPrEx>
        <w:trPr>
          <w:trHeight w:val="9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身高体重计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身高体重测量仪，全自动身高、体重、体型指数BMI、体型（偏瘦、正常、偏胖、肥胖）；同步测量数据清晰语音播报；高亮LED数码显示，不受外界光线和视角影响；高速热敏打印体检报告；自动裁纸。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▲机身折叠性能：根据需要机身可定制折叠，折叠后130cm，便于车载下乡体检，底部自带灵活小轮子，移动方便</w:t>
            </w:r>
          </w:p>
        </w:tc>
      </w:tr>
      <w:tr>
        <w:tblPrEx>
          <w:tblCellMar>
            <w:top w:w="0" w:type="dxa"/>
            <w:left w:w="108" w:type="dxa"/>
            <w:bottom w:w="0" w:type="dxa"/>
            <w:right w:w="108" w:type="dxa"/>
          </w:tblCellMar>
        </w:tblPrEx>
        <w:trPr>
          <w:trHeight w:val="18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空盒气压表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1、测量范围：800～1060hpa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2、使用温度范围：-10～+40℃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3、经过温度、示度和补充正后的测量误差不大于2.0hpa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4、示度盘最小分值：1hpa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5、附温表最小分值：1℃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6、仪器重量不大于1.5Kg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7、仪器尺寸156mm*156mm*115mm</w:t>
            </w:r>
          </w:p>
        </w:tc>
      </w:tr>
      <w:tr>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高温炉（或马弗炉）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1、温度可选：有1000度，1200度可选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2、外壳工艺：外壳采用静电喷塑制作而成，耐高温不易脱落，防腐蚀性好。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3、内胆材料：碳化硅炉胆保温性好，寿命长，可耐温1700℃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4、保温材质：箱内保温材料采用耐火砖及玻璃纤维棉，保温性好，外表不烫手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5、加热元件：采用铁络铝合金或硅碳棒加热，升温速度快，寿命长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6、数显恒温：采用数显高精度控制仪表，运行稳定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7、加热元件：铁络铝合金电阻丝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8、测温元件：1000度的是镍硅热电偶 / 1200度的是铂铑热电偶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选配32段控温，标配是一段控温</w:t>
            </w:r>
          </w:p>
        </w:tc>
      </w:tr>
      <w:tr>
        <w:tblPrEx>
          <w:tblCellMar>
            <w:top w:w="0" w:type="dxa"/>
            <w:left w:w="108" w:type="dxa"/>
            <w:bottom w:w="0" w:type="dxa"/>
            <w:right w:w="108" w:type="dxa"/>
          </w:tblCellMar>
        </w:tblPrEx>
        <w:trPr>
          <w:trHeight w:val="53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激光颗粒物检测仪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1、仪器具有型式批准证书(CPA)、软件著作证书、检测报告证书;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2、仪器设计了恒流控制器， 确保采样流量恒定，切割曲线的正确。配有PM10 PM2.5 切割器，插拔式使用;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3、测定时间：标准时间为1分钟，设有0.1分及手动档（可任意设定采样时间），1分钟出结果;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4、大屏幕液晶显示器,汉字菜单提示;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5、检测灵敏度：0.001mg/m3；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6、重复性误差：±２％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7、具有特别的保护气幕，避免了粉尘对仪器核心部件—光学系统的污染，确保仪器高可靠性。其测量精度：±10%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8、仪器配有三角支架，方便数据检测。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9、仪器配有零值校准仪，提高了仪器测量精度，方便了用户使用。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10、具有公共场所监测模式、大气环境监测模式以及劳动卫生模式。可计算出时间加权平均值（TWA）和短时间接触允许浓度（STEL） 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11、存 贮：可循环存储99组数据。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12、定时采样：可设定测量时间（1～9999）秒，关机时间， 预热时间及采样次数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13、粉尘浓度超标报警阈值设定：浓度最大阈值: 65mg/m3；测定时间：（1～9999）秒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仪器可设定粉尘浓度超标报警阈值，粉尘超标时自动声光报警，或将信号传输到控制中心 进行监控。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14、输出接口：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（1）PC机通讯串行接口：RS232；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（2）微型打印机输出接口；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（3）模拟量输出接口：0—1V；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（4）数字量输出接口：电平信号。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 电源：配有锂电池，可连续使用8小时；附220VAC/12VDC 电源适配器。</w:t>
            </w:r>
          </w:p>
        </w:tc>
      </w:tr>
      <w:tr>
        <w:tblPrEx>
          <w:shd w:val="clear" w:color="auto" w:fill="auto"/>
          <w:tblCellMar>
            <w:top w:w="0" w:type="dxa"/>
            <w:left w:w="108" w:type="dxa"/>
            <w:bottom w:w="0" w:type="dxa"/>
            <w:right w:w="108" w:type="dxa"/>
          </w:tblCellMar>
        </w:tblPrEx>
        <w:trPr>
          <w:trHeight w:val="1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尿素测定仪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1、测量范围：0-5.0mg/L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2、最小示值：0.01ppm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3、重复性：≤2%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4、精度：≤±5%FS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5、充电器：AC 220V 50Hz</w:t>
            </w:r>
          </w:p>
        </w:tc>
      </w:tr>
      <w:tr>
        <w:tblPrEx>
          <w:tblCellMar>
            <w:top w:w="0" w:type="dxa"/>
            <w:left w:w="108" w:type="dxa"/>
            <w:bottom w:w="0" w:type="dxa"/>
            <w:right w:w="108" w:type="dxa"/>
          </w:tblCellMar>
        </w:tblPrEx>
        <w:trPr>
          <w:trHeight w:val="20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水样采样箱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1、容    积：60L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2、温度范围：-19~10℃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3、额定电压:：DC12-24V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4、额定功率：55W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5、外形尺寸：650×400×520mm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6、商品重量:22.5kg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7、制冷剂用量:R134a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8、内部尺寸:360*310*430</w:t>
            </w:r>
          </w:p>
        </w:tc>
      </w:tr>
    </w:tbl>
    <w:p>
      <w:pPr>
        <w:pStyle w:val="3"/>
        <w:spacing w:line="665" w:lineRule="exact"/>
        <w:rPr>
          <w:rFonts w:hint="eastAsia"/>
          <w:b/>
          <w:bCs/>
          <w:color w:val="000000" w:themeColor="text1"/>
          <w:spacing w:val="-4"/>
          <w:sz w:val="24"/>
          <w:szCs w:val="24"/>
          <w14:textFill>
            <w14:solidFill>
              <w14:schemeClr w14:val="tx1"/>
            </w14:solidFill>
          </w14:textFill>
        </w:rPr>
      </w:pPr>
    </w:p>
    <w:p>
      <w:pPr>
        <w:pStyle w:val="3"/>
        <w:spacing w:line="665" w:lineRule="exact"/>
        <w:rPr>
          <w:b/>
          <w:bCs/>
          <w:color w:val="000000" w:themeColor="text1"/>
          <w:spacing w:val="-4"/>
          <w:sz w:val="24"/>
          <w:szCs w:val="24"/>
          <w14:textFill>
            <w14:solidFill>
              <w14:schemeClr w14:val="tx1"/>
            </w14:solidFill>
          </w14:textFill>
        </w:rPr>
      </w:pPr>
      <w:r>
        <w:rPr>
          <w:rFonts w:hint="eastAsia"/>
          <w:b/>
          <w:bCs/>
          <w:color w:val="000000" w:themeColor="text1"/>
          <w:spacing w:val="-4"/>
          <w:sz w:val="24"/>
          <w:szCs w:val="24"/>
          <w14:textFill>
            <w14:solidFill>
              <w14:schemeClr w14:val="tx1"/>
            </w14:solidFill>
          </w14:textFill>
        </w:rPr>
        <w:t>第二标段：</w:t>
      </w:r>
    </w:p>
    <w:tbl>
      <w:tblPr>
        <w:tblStyle w:val="8"/>
        <w:tblW w:w="0" w:type="auto"/>
        <w:tblInd w:w="93" w:type="dxa"/>
        <w:shd w:val="clear" w:color="auto" w:fill="auto"/>
        <w:tblLayout w:type="autofit"/>
        <w:tblCellMar>
          <w:top w:w="0" w:type="dxa"/>
          <w:left w:w="108" w:type="dxa"/>
          <w:bottom w:w="0" w:type="dxa"/>
          <w:right w:w="108" w:type="dxa"/>
        </w:tblCellMar>
      </w:tblPr>
      <w:tblGrid>
        <w:gridCol w:w="658"/>
        <w:gridCol w:w="1078"/>
        <w:gridCol w:w="658"/>
        <w:gridCol w:w="6035"/>
      </w:tblGrid>
      <w:tr>
        <w:tblPrEx>
          <w:shd w:val="clear" w:color="auto" w:fill="auto"/>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货物名称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参数</w:t>
            </w:r>
          </w:p>
        </w:tc>
      </w:tr>
      <w:tr>
        <w:tblPrEx>
          <w:tblCellMar>
            <w:top w:w="0" w:type="dxa"/>
            <w:left w:w="108" w:type="dxa"/>
            <w:bottom w:w="0" w:type="dxa"/>
            <w:right w:w="108" w:type="dxa"/>
          </w:tblCellMar>
        </w:tblPrEx>
        <w:trPr>
          <w:trHeight w:val="27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万用电炉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1.输入电源：≥AC220V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2.频率：≥50Hz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3.功率：≥2000W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4.炉盘尺寸：≥154*154mm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5.控温方式：旋转，无极调温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6.炉盘材质：耐火砖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7.电热丝材质：镍铬丝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8.净重：＜2.1kg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9.产品尺寸：≥185*185*170  </w:t>
            </w:r>
          </w:p>
        </w:tc>
      </w:tr>
      <w:tr>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浊度仪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用途概述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用于测量悬浮于水或透明液体中不溶性颗粒物质所产生的光的散射程度，并能定量表征这些悬浮颗粒物质的含量。可以广泛应用于发电厂、纯净水厂、自来水厂、生活污水处理厂、饮料厂、环保部门、工业用水、制酒行业及制药行业、防疫部门、医院等部门的浊度测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产品特点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流线形外型设计，简洁的操作和较高的性价比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大屏幕LCD数字清晰显示，采用低漂移、高精度电路系统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可靠的定位结构及高精度光路系统，仪器能长时间稳定工作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色度补偿，有效避免试样颜色引起的干扰，能正确反映浊度的概念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高强度长寿命光源，无更换之忧虑，30秒预热时间即可正常工作  技术指标 测定原理90°散射光最小示值（NTU）0.10.010.1测量范围（NTU）</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0～2000～20、0～2000～200、0～800示值误差 ±6％（±2.5％F.S）重复性≤0.5％零点漂移±0.5％F.S产品特点 通用型精度高，稳定性好可用于低浊度分析测量范围宽广，可用于高浊度分析</w:t>
            </w:r>
          </w:p>
        </w:tc>
      </w:tr>
      <w:tr>
        <w:tblPrEx>
          <w:shd w:val="clear" w:color="auto" w:fill="auto"/>
          <w:tblCellMar>
            <w:top w:w="0" w:type="dxa"/>
            <w:left w:w="108" w:type="dxa"/>
            <w:bottom w:w="0" w:type="dxa"/>
            <w:right w:w="108" w:type="dxa"/>
          </w:tblCellMar>
        </w:tblPrEx>
        <w:trPr>
          <w:trHeight w:val="18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扫描枪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无线一维激光红外线扫描枪；2、内部安装两个镀金工艺镜片，精准扫描，高性能激光头，景深距离为30mm-200mm，也能够扫描一般性残缺码，轻松扫描；3、有效识别约24种纸质一维码，采用高性能硬件加速解码芯片，准确解码，≥4mil读码速度，快人一步；4、手动自动模式可随心切换，激光线定位，蜂鸣器提醒；5、采用ABS材质，TPU包胶设计，舒适手感，坚固耐摔；6、采用USB供电设计，Tape-C接口充电，电池容量≥2000毫安，五小时可以充满电量，连续工作时长≥48H；7、兼容windows/Android/Mac os/Linux等主流操作系统，USB接收器即插即用、无线自由。</w:t>
            </w:r>
          </w:p>
        </w:tc>
      </w:tr>
      <w:tr>
        <w:tblPrEx>
          <w:shd w:val="clear" w:color="auto" w:fill="auto"/>
          <w:tblCellMar>
            <w:top w:w="0" w:type="dxa"/>
            <w:left w:w="108" w:type="dxa"/>
            <w:bottom w:w="0" w:type="dxa"/>
            <w:right w:w="108" w:type="dxa"/>
          </w:tblCellMar>
        </w:tblPrEx>
        <w:trPr>
          <w:trHeight w:val="24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过塑机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1、单封口/真空封口两用，满足多种真空包装需求；                                                                                                                                     2、强劲吸力，干湿两用，安全防护，一键真空；                                                                                                                                      3、加长封口宽度≤300mm；                                                                                                                                                  4、真空度：-70KPA；                                                                                                                                                       5、功率≤120W；                                                                                                                                                        6、抽气流速：12L/min；                                                                                                                                            7、镍铬合金发热丝，发热快速，温度稳定，有过热保护功能，自动断电，安全防护。</w:t>
            </w:r>
          </w:p>
        </w:tc>
      </w:tr>
      <w:tr>
        <w:tblPrEx>
          <w:shd w:val="clear" w:color="auto" w:fill="auto"/>
          <w:tblCellMar>
            <w:top w:w="0" w:type="dxa"/>
            <w:left w:w="108" w:type="dxa"/>
            <w:bottom w:w="0" w:type="dxa"/>
            <w:right w:w="108" w:type="dxa"/>
          </w:tblCellMar>
        </w:tblPrEx>
        <w:trPr>
          <w:trHeight w:val="19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离心机（96孔）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一、名称：台式低速离心机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二、主要技术参数：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1、触摸面板、LCD液晶显示：时间、转速/离心力、运行状态、错误代码，运行中可随时修改参数，无需停机，操作简便。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2、采用微机控制、交流变频电机，转速控制精度高。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3、自动计算RCF值，具有RCF/rpm转换键，最短加/减速时间20/25s。时间设定可精确到秒，倒计时小于一分钟时以秒显示。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4、采用特殊的减震器（三级减震），减震效果良好，具有自动平衡功能。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5、采用电子门锁/机械门锁双重设计，简单耐用。故障报错，自动停机。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6、设有门盖保护、超速和转子参数锁定等多种保护功能，防止意外修改参数避免操作失误，故障自动报警功能。10档升降（0档为自由停车），12种自定义工作模式。可选配48/96孔脱帽转子。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7、产品符合CFDA认证。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8、最高转速：     5500r/min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9、最大相对离心力：4900×g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10、最大容量： 4×750ml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11、显示类型： LCD液晶显示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12、时间控制： 0sec-99min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13、电机功率： 交流变频电机800W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14、转速精度：±10rpm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15、噪音：  ≤65 dB(A)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16、电源：  DC220V±22V  50Hz 10A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17、外形尺寸： 570×460×410mm（LxWxH）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18、重量： 52Kg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三、配置清单：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1、主机  1台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2、水平转子：96*2/5ml     1套    (适用于13*100mm/13*75mm真空采血管)</w:t>
            </w:r>
          </w:p>
        </w:tc>
      </w:tr>
      <w:tr>
        <w:tblPrEx>
          <w:shd w:val="clear" w:color="auto" w:fill="auto"/>
          <w:tblCellMar>
            <w:top w:w="0" w:type="dxa"/>
            <w:left w:w="108" w:type="dxa"/>
            <w:bottom w:w="0" w:type="dxa"/>
            <w:right w:w="108" w:type="dxa"/>
          </w:tblCellMar>
        </w:tblPrEx>
        <w:trPr>
          <w:trHeight w:val="11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漩涡混匀器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1.控制方式：单选钮（调速）；2.电机类型：无刷电机；3.震幅：4.5MM（圆周震荡）；4.最大样品处理量：≥50ml；5.转速范围：0-3000RPM；6.功率：12W；7.电压：100-240V  50/60Hz；8.产品尺寸：≤100*93*72mm；9.毛净重：0.56/0.37 kg</w:t>
            </w:r>
          </w:p>
        </w:tc>
      </w:tr>
      <w:tr>
        <w:tblPrEx>
          <w:tblCellMar>
            <w:top w:w="0" w:type="dxa"/>
            <w:left w:w="108" w:type="dxa"/>
            <w:bottom w:w="0" w:type="dxa"/>
            <w:right w:w="108" w:type="dxa"/>
          </w:tblCellMar>
        </w:tblPrEx>
        <w:trPr>
          <w:trHeight w:val="18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ups备用电源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型 号 30KW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输入 电 压 三相五线制AC380V±25%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频 率 50 Hz±10%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功率因数 ≥0.99@额定电压 （100%负载）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输出 电 压 220VAC±1%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频率范围（同步校正） 46HZ-54HZ@50HZ系统或56HZ-64HZ@60HZ系统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频率范围（电池模式） 50HZ±0.1HZ或60HZ±0.1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浪涌比率 3:1（最大）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波形失真 ≤3%THD（线性负载）≤5%THD（整流总谐波）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转换时间 交流到直流 0ms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逆变稳态响应时间 ＜4ms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波 形 纯正弦波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效率 整机效率 ≥95%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电池 电池类型 阀控密封免维护电池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电池 12V100AH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充电时间 8小时充至90%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显示 LCDorLED UPS状态、负载大小、电池容量、输入输出电压、市电模式、电池模式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警告 电池模式 每4秒响一次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电池电量低 每1秒响一次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过载 每0.5秒响一次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错误 连续蜂鸣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环境 湿度 0-95%RH@0-40℃（不结露）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控制管理 RS-232/可选USB 支持</w:t>
            </w:r>
          </w:p>
        </w:tc>
      </w:tr>
      <w:tr>
        <w:tblPrEx>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食物中毒快速检测箱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检测箱预装辅助设备：微型电子天平1台，微型便携式水浴锅1个，手动可调式移液器1把，计时器2个，温度计（100℃）2支，试管架2个，具塞三角烧瓶2个，250ml烧杯1个，100ml烧杯1个， 10ml量筒1个，250ml塑料杯1个，10ml试管3支，小漏斗1个，25ml提取管5个，广泛PH试纸，滤纸1盒，称量纸1包，活性炭1包，药勺3个，一次性滴管10支，剪刀1把，说明书1本。便携式农残速测仪（农残速测卡专用）GDYN-110SA  1台，农残速测卡50片/盒,农残提取液可配300ml/包,甲醛快速检测试剂盒,50次/盒,二氧化硫快速检测试剂盒,50次/盒,吊白块快速检测试剂盒,50次/盒,亚硝酸盐快速检测试剂盒,50次/盒,瘦肉精速测卡10次/盒,瘦肉精对照液5ml/瓶,毒鼠强速测管30次/盒,敌鼠钠盐定性试液包100次/包,鼠药安妥定性试纸40次/包,氟乙酰胺速测管（液）40次/,盒,氰化物检测试剂20次/包,氰化物检测装置1套,食用油酸败快速检测试纸,2×10次/盒,食用油中桐油速测,鉴别试剂50次/盒,食用油中巴豆油速测鉴别试剂,10次/套,食用油中矿物油速测鉴别试剂,10次/盒,生熟豆浆速测液50次/盒,牛乳新鲜度快速检测试剂盒50次/盒,乳品蛋白质含量快速检测试剂盒,50次/盒,甲醇速测盒,50次/盒,笔式电导仪（水质净度检测设备）1支.ABS铝合金箱体,475*325*285mm,1套.详细配置:便携式恒温培养,箱340*260*360mm,餐饮具用大肠群检测纸片,10份/包,5包,独立包装无菌培养皿,浸纸用10个,无菌生理盐水,250ml/瓶,无菌注射器,10ml4支,酒精灯1个,酒精灯用酒精100ml/瓶,75%消毒用酒精250ml/1瓶,消毒棉球50克/1包,无菌采样袋（密封袋）,240*170mm 10个/2包,剪刀(不锈钢材质)1把,镊子(不锈钢材质)1个,一次性手套10只/包,2包,教学光盘和说明书,1套,食品采样箱(详细配置):采样刀1把,无菌采样袋（密封袋）,240*170mm 100个/1包,剪刀1把,采样管（带盖）25ml,10支,普通三角漏斗,60mm口径2个,试管架多功能15孔,1个,一次性手套100只/1包,塑料吸管50只/包,勺子不锈钢材质1把,镊子不锈钢材质1个,标签纸1袋,记号笔,红色、蓝色/2支,塑料密封储物盒5个，纸巾1包，采样记录本1本，铝合金箱1个。</w:t>
            </w:r>
          </w:p>
        </w:tc>
      </w:tr>
      <w:tr>
        <w:tblPrEx>
          <w:shd w:val="clear" w:color="auto" w:fill="auto"/>
          <w:tblCellMar>
            <w:top w:w="0" w:type="dxa"/>
            <w:left w:w="108" w:type="dxa"/>
            <w:bottom w:w="0" w:type="dxa"/>
            <w:right w:w="108" w:type="dxa"/>
          </w:tblCellMar>
        </w:tblPrEx>
        <w:trPr>
          <w:trHeight w:val="77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突发事件有害气体检测箱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20" w:afterAutospacing="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便携式。产品介绍：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是一款可任意选择24种有毒有害气体的分析仪，广泛用于不同环境下气体浓度的检测，主要石油、仓储、市政燃气、消防、冶金、生物医药、能源电力、电厂、化工、应急检测、受限空间检测、管道管路检测、环保局、电子等行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产品特点：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泵吸式采样，采样距离超过10米;2、3.5寸高清彩色屏;3、大容量数据存储，10万条数据容量可通过USB传到电脑;4、六种气体同时显示、单项显示、曲线显示的3种界面可调;5、气体浓度单位可快速切换;6、可显示最大值、最小值及平均值;7、中英文显示界面;8、内置水尘过滤器及温度补偿功能保证测量精度;9、10000mA大容量锂聚合物充电电池;10、声、光、振动三级报警，让用户更方便了解危险;11、可同时检测任意六种气体或扩展至24种气体;12、本安电路设计要求，抗静电，抗电磁干扰;13、可选高温高湿预处理系统及手柄处理更复杂的环境;14、可选配红外无线打印机，可打印公司名称、时间、环境温湿度、气体名称及浓度;15、可选配远程无线传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技术参数：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检测气体：氧气( O2 ) ：0-30%Vol  0.01%Vol  T90≤10S;可燃气( EX )： 0-100%Vol  0.1%Vol  T90≤10S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一氧化碳( CO )：0-1000ppm 0.1ppm  T90≤25S;硫化氢( H2S )：0-100ppm  0.01ppm  T90≤30S;二氧化硫( SO2 )：0-100ppm  0.01ppm  T90≤30S;一氧化氮( NO )：0-500ppm 0.1ppm  T90≤30S;二氧化氮( NO2 )：0-100ppm 0.01ppm  T90≤25S;氯气( CL2 )：0-20ppm  0.01ppm  T90≤30S;氨气( NH3 ):0-100ppm 0.01ppm  T90≤30S;氢气( H2 ):0-1000ppm 0.1ppm  T90≤30S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磷化氢( PH3 ):0-1000 ppm 1ppm  T90≤30S;检测原理 ：电化学、催化燃烧、;采样方式：泵吸式;采样流量：800ml/min;精度：±2%FS;重 复 性：≤±2%;线 性 度：≤±2%;恢复时间：≤30S;显示方式：3.5寸高清彩屏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显示语言：中英文;显示内容：6组气体显示，单组大字气体显示及单组曲线图形显示可转换;电池容量：10000mA聚合物充电电池;充 电 器：USB充电器;数据存储：1O万条数据容量;数据通讯：USB数据接口或选RS232接口;打 印 机：可选配红外无线打印机;防护等级：IP66;防爆等级：Exia II CT4;工作温度：-40℃～70℃;工作湿度：0-99%RH;尺寸重量：235mm×205mm×120mm  2.5kg;标准配置：主机、USB充电器、水尘过滤器、40cm不锈钢采样手柄、铝制箱、合格证、保修卡、说明书;选配配件：1.2m可伸缩采样手柄、温湿度模块、高温降温防尘手柄（400°）、高温高湿预处理系统（200-1300°）、水尘过滤器、挂绳、红外打印机、无线数据传输、CF卡存储。</w:t>
            </w:r>
          </w:p>
        </w:tc>
      </w:tr>
      <w:tr>
        <w:tblPrEx>
          <w:shd w:val="clear" w:color="auto" w:fill="auto"/>
          <w:tblCellMar>
            <w:top w:w="0" w:type="dxa"/>
            <w:left w:w="108" w:type="dxa"/>
            <w:bottom w:w="0" w:type="dxa"/>
            <w:right w:w="108" w:type="dxa"/>
          </w:tblCellMar>
        </w:tblPrEx>
        <w:trPr>
          <w:trHeight w:val="61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硫化氢快速检测仪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便携式。产品介绍：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便携式硫化氢检测仪用于快速检测硫化氢气体浓度、并超标报警的场合，广泛用于不同环境下气体浓度的检测，主要石油、仓储、市政燃气、消防、冶金、生物医药、能源电力、电厂、化工、应急检测、受限空间检测、管道管路检测、环保局、电子等行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产品特点：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1、泵吸式采样，采样距离超过10米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2、2.3寸高清彩色屏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3、大容量数据存储，10万条数据容量可通过USB传到电脑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4、单项显示、曲线显示界面可调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5、气体浓度单位可快速切换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6、可显示最大值、最小值及平均值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7、中英文显示界面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8、内置水尘过滤器及温度补偿功能保证测量精度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9、4500mA大容量锂聚合物充电电池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10、声、光、振动三级报警，让用户更方便了解危险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11、可选高温高湿预处理系统及手柄处理更复杂的环境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产品技术参数：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检测气体： 硫化氢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量程：0-100ppm,0.01ppm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检测原理 ：电化学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采样方式：泵吸式 流量500毫升/分钟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采样流量：500ml/min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精    度：±3%FS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重 复 性：≤±2%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线 性 度：≤±2%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响应时间：T90≤20S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显示方式：2.3寸高清彩屏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显示语言：中英文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显示内容：单组大字气体显示及单组曲线图形显示可转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电池容量：4500mA聚合物充电电池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充 电 器：USB充电器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数据存储：1O万条数据容量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数据通讯：USB数据接口或选RS232接口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防护等级：IP65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防爆等级：Exia II CT4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工作温度：-40℃～70℃。</w:t>
            </w:r>
          </w:p>
        </w:tc>
      </w:tr>
      <w:tr>
        <w:tblPrEx>
          <w:shd w:val="clear" w:color="auto" w:fill="auto"/>
          <w:tblCellMar>
            <w:top w:w="0" w:type="dxa"/>
            <w:left w:w="108" w:type="dxa"/>
            <w:bottom w:w="0" w:type="dxa"/>
            <w:right w:w="108" w:type="dxa"/>
          </w:tblCellMar>
        </w:tblPrEx>
        <w:trPr>
          <w:trHeight w:val="3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二氧化硫自动检测仪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便携式。产品介绍：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便携式二氧化硫检测仪用于快速检测二氧化硫气体浓度、并超标报警的场合，广泛用于不同环境下气体浓度的检测，主要石油、仓储、市政燃气、消防、冶金、生物医药、能源电力、电厂、化工、应急检测、受限空间检测、管道管路检测、环保局、电子等行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产品特点：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1、泵吸式采样，采样距离超过10米;2、2.3寸高清彩色屏;3、大容量数据存储，10万条数据容量可通过USB传到电脑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单项显示、曲线显示界面可调;5、气体浓度单位可快速切换;6、可显示最大值、最小值及平均值;7、中英文显示界面;8、内置水尘过滤器及温度补偿功能保证测量精度;9、4500mA大容量锂聚合物充电电池;10、声、光、振动三级报警，让用户更方便了解危险;11、可选高温高湿预处理系统及手柄处理更复杂的环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产品技术参数：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检测气体： 二氧化硫;量程：0-100ppm,0.01ppm;检测原理 ：电化学;采样方式：泵吸式 流量500毫升/分钟;采样流量：500ml/min;精度：±3%FS;重 复 性：≤±2%;线 性 度：≤±2%;响应时间：T90≤20S;显示方式：2.3寸高清彩屏;显示语言：中英文;显示内容：单组大字气体显示及单组曲线图形显示可转;电池容量：4500mA聚合物充电电池;充 电 器：USB充电器;数据存储：1O万条数据容量;数据通讯：USB数据接口或选RS232接口;防护等级：IP65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防爆等级：Exia II CT4;工作温度：-40℃～70℃;工作湿度：0-99%RH;尺寸重量：165mm×75mm×30mm  0.3kg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标准配置：主机、USB充电器、鳄鱼夹、水尘过滤器、铝制箱、合格证、保修卡、说明书。</w:t>
            </w:r>
          </w:p>
        </w:tc>
      </w:tr>
      <w:tr>
        <w:tblPrEx>
          <w:shd w:val="clear" w:color="auto" w:fill="auto"/>
          <w:tblCellMar>
            <w:top w:w="0" w:type="dxa"/>
            <w:left w:w="108" w:type="dxa"/>
            <w:bottom w:w="0" w:type="dxa"/>
            <w:right w:w="108" w:type="dxa"/>
          </w:tblCellMar>
        </w:tblPrEx>
        <w:trPr>
          <w:trHeight w:val="22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氯气快速检测仪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产品介绍：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便携式氯气检测仪用于快速检测氯气气体浓度、并超标报警的场合，广泛用于不同环境下气体浓度的检测，主要石油、仓储、市政燃气、消防、冶金、生物医药、能源电力、电厂、化工、应急检测、受限空间检测、管道管路检测、环保局、电子等行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产品特点：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1、泵吸式采样，采样距离超过10米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2、2.3寸高清彩色屏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3、大容量数据存储，10万条数据容量可通过USB传到电脑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4、单项显示、曲线显示界面可调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5、气体浓度单位可快速切换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6、可显示最大值、最小值及平均值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7、中英文显示界面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8、内置水尘过滤器及温度补偿功能保证测量精度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9、4500mA大容量锂聚合物充电电池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10、声、光、振动三级报警，让用户更方便了解危险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11、可选高温高湿预处理系统及手柄处理更复杂的环境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产品技术参数：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检测气体： 氯气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量程：0-20ppm,0.01ppm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检测原理 ：电化学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采样方式：泵吸式 流量500毫升/分钟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采样流量：500ml/min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精    度：±3%FS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重 复 性：≤±2%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线 性 度：≤±2%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响应时间：T90≤20S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显示方式：2.3寸高清彩屏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显示语言：中英文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显示内容：单组大字气体显示及单组曲线图形显示可转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电池容量：4500mA聚合物充电电池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充 电 器：USB充电器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数据存储：1O万条数据容量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数据通讯：USB数据接口或选RS232接口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防护等级：IP65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防爆等级：Exia II CT4。</w:t>
            </w:r>
          </w:p>
        </w:tc>
      </w:tr>
      <w:tr>
        <w:tblPrEx>
          <w:shd w:val="clear" w:color="auto" w:fill="auto"/>
          <w:tblCellMar>
            <w:top w:w="0" w:type="dxa"/>
            <w:left w:w="108" w:type="dxa"/>
            <w:bottom w:w="0" w:type="dxa"/>
            <w:right w:w="108" w:type="dxa"/>
          </w:tblCellMar>
        </w:tblPrEx>
        <w:trPr>
          <w:trHeight w:val="17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甲醛快速测定仪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1、检测项目：可快速定量检测各类食品中的甲醛的含量，仪器预留其他项目检测程序和端口，根据日后需求可方便的自主增加检测项目。日后可升级为检测，水产品，肉制品，面制品的综合类型仪器。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仪器特点：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仪器构成：由主机、样品前处理器具和试剂盒等构成，适于现场及实验室使用;2.光路系统：采用进口超高亮发光二极管，光源和检测器采用全固态结构，准确度和精密度高、稳定性强、光源可控；采用光源自动开关节能设计，光源使用寿命达10万小时以上。3.内置曲线：仪器具有内置工作曲线，无需配制标准溶液，只需要用配套试剂进行零点校正后，即可实现样品的快速定量测定。4.测量方式：样品显色和测量为为标准1cm比色皿，无需转移，提高检测精密度。5.耗材配件：提供完备的专用前处理设备和耗材，一站式服务。6.专用试剂盒：配备专用的预制试剂，缩短试剂配制时间，操作简单，使用方便。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功能介绍：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安卓智能操作系统，采用更加人性化操作，仪器具有网线连接、wifi联网上传、GPRS无线远传功能，快速上传数据。2、智能化程度高，仪器具有自检功能：具有开机自检和调零功能，具有自动检测重复性功能。3、检测通道：≥12个检测通道，可以同时测试多个样品，每个样品由程序控制分别独立工作，不会互相干扰。4、配备新一代嵌入式热敏打印机，检测完成可自动打印检测报告和二维码。5、采用标准USB2.0接口设计，支持U盘存储，免驱动插拔，方便数据灵活存贮和移动。6、仪器带有监管平台。检测结果可直接无线上传。实现数据查询、浏览、分析、统计、打印等，并可进行数据曲线图和饼状图分析处理，检测食品甲醛等长短期动态，达到问题预估、预警。7、仪器具有品类多种类样品菜单库，可灵活选择检测样品，不同的检测通道可同时检测不同的样品项目。8、样品处理简单省力，整体操作快速、安全、便捷。9、仪器具有自身保护功能，可设置用户名及密码，防止非工作人员操作等。 10、仪器具有重新校准、锁定、恢复出厂设置功能。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主要参数：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1、主控芯片采用</w:t>
            </w:r>
            <w:r>
              <w:rPr>
                <w:rFonts w:hint="eastAsia" w:ascii="宋体" w:hAnsi="宋体" w:eastAsia="宋体" w:cs="宋体"/>
                <w:i w:val="0"/>
                <w:iCs w:val="0"/>
                <w:color w:val="000000"/>
                <w:kern w:val="0"/>
                <w:sz w:val="22"/>
                <w:szCs w:val="22"/>
                <w:highlight w:val="none"/>
                <w:u w:val="none"/>
                <w:lang w:val="en-US" w:eastAsia="zh-CN" w:bidi="ar"/>
              </w:rPr>
              <w:t>ARMCortex-A7，</w:t>
            </w:r>
            <w:r>
              <w:rPr>
                <w:rFonts w:hint="eastAsia" w:ascii="宋体" w:hAnsi="宋体" w:eastAsia="宋体" w:cs="宋体"/>
                <w:i w:val="0"/>
                <w:iCs w:val="0"/>
                <w:color w:val="000000"/>
                <w:kern w:val="0"/>
                <w:sz w:val="22"/>
                <w:szCs w:val="22"/>
                <w:u w:val="none"/>
                <w:lang w:val="en-US" w:eastAsia="zh-CN" w:bidi="ar"/>
              </w:rPr>
              <w:t xml:space="preserve">RK3288/4核处理器，主频1.88Ghz，运转速度更快速，稳定性更强。2、显示方式：7英寸液晶触摸屏显示，人性化中文操作界面，读数直观、简单。3、直流12V供电，可连接车载电源，可配6ah大容量充电锂电池，方便户外流动测试。4、智能恒流稳压，光强自动校准，长时间连续工作光源无温漂现象。5、不间断进样，连续检测;6、样本编号自动累加。7、检测项目可扩充。8、检测结果可批量打印，批量上传。9、可配置大容量锂电池，固件可升级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技术参数：1、检测下限：1mg/kg;2、检测范围：(0～100)mg/kg;3、吸光度值范围：0.000-4.000A;4、重复性：±0.1%（A）;5、重复性误差：吸光度（A）≤0.003;6、稳定性：光电漂移（A）±0.002（3分钟）;7、吸光度准确度：±2.0%;8、线性误差：±1.0%。</w:t>
            </w:r>
          </w:p>
        </w:tc>
      </w:tr>
      <w:tr>
        <w:tblPrEx>
          <w:shd w:val="clear" w:color="auto" w:fill="auto"/>
          <w:tblCellMar>
            <w:top w:w="0" w:type="dxa"/>
            <w:left w:w="108" w:type="dxa"/>
            <w:bottom w:w="0" w:type="dxa"/>
            <w:right w:w="108" w:type="dxa"/>
          </w:tblCellMar>
        </w:tblPrEx>
        <w:trPr>
          <w:trHeight w:val="28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全自动滴定仪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仪器特点：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按设定电位控制滴定终点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可进行预控制电位(pH)调节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电磁阀控制滴液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可作手动、自动、恒pH(电位)滴定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有滴定终点的延迟电路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供记录仪信号（0～1）V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配本厂生产的JB-1A型搅拌器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新技术指标：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1.仪器极别:0.5级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2.测量范围 　　　　　　　 分辨率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pH:(0.00～14.00)pH 　　　   pH: 0.01pH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mV:(-1400～1400)mV　　 　 mV: 1mV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3.电子单元基本误差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pH:±0.03pH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mV:±5mV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4.电子单元输入阻抗:3×1011Ω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5.电子单元稳定性:±0.01pH/3h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6.电子单元控制基本误差：±0.1pH或±5mV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7.仪器容量分析重复性误差:0.2%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8.电子单元外形尺寸,mm:280×240×130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9.电子单元重量:3kg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10.仪器正常工作条件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a)环境温度:(5～40)°C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b)相对湿度:不大于85%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c)供电电源:AC (220±22)V；（50±1）Hz 。</w:t>
            </w:r>
          </w:p>
        </w:tc>
      </w:tr>
      <w:tr>
        <w:tblPrEx>
          <w:shd w:val="clear" w:color="auto" w:fill="auto"/>
          <w:tblCellMar>
            <w:top w:w="0" w:type="dxa"/>
            <w:left w:w="108" w:type="dxa"/>
            <w:bottom w:w="0" w:type="dxa"/>
            <w:right w:w="108" w:type="dxa"/>
          </w:tblCellMar>
        </w:tblPrEx>
        <w:trPr>
          <w:trHeight w:val="32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多参数水质分析仪（便携式）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1仪器性能：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 LED光源/单色器、比色槽、传感器一体化，无可动部件，大大提高了仪器的精度、灵敏度和可靠性。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1.2电    源：交流电源适配器：220V±10%，50Hz，40W。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1.3显示方式：不小于4.7英寸液晶显示屏，单片机智能控制，人机交互式操作, 具有测量、设置、记录、保存和数据统计处理功能，存储容量大于2000条检测数据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1.4显色方式：要求样品显色和测量为同一密闭器皿，内径19mm圆柱形玻璃比色瓶。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1.5键    盘：5个触摸式微动开关。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1.6检测方式：无需配制标准溶液，仅需零点校正，加入专用试剂显色包即可现场进行被测物质浓度的检测。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1.7打印系统：连接电脑后支持外置打印系统。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1.8软件系统：提供联机软件，可实现样品名称、被检测项目、检测机构、检测人员等信息的。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1.9供电系统：内置可充电锂电池，800mA/h，可连续工作20个小时，便于现场，野外检测。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1.10使用环境：0～40℃。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1.11接口：RS-232/USB接口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1.12仪器尺寸：不大于310×225×125mm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1.13仪器重量：≤2kg。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2检测项目及指标检测项目测定下限测定范围余 氯0.05mg/L0.00-5.00 mg/L总 氯0.05mg/L0.00-5.00 mg/L二氧化氯0.10mg/L0.00-3.00 mg/L氯化物0.5mg/L0.0-4.0 mg/L氰化物0.03mg/L0.00-1.00 mg/L硝酸盐氮0.5mg/L0.00-20.0 mg/L亚硝酸盐氮0.01mg/L0.00-0.40 mg/L色 度5PCU0-200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PCU浊 度A5NTU0-400 NTU浊 度B0.5NTU0.0-60.0 NTU氨 氮0.10mg/L0.00-5.00 mg/L氟化物0.01mg/L0.00-1.00 mg/L溶解氧0.1mg/L0.0-10.0 mg/L总 磷0.02mg/L0.00-1.00 mg/L磷酸盐0.1mg/L0.0～1.0mg/L甲 醛0.05mg/L0.0-1.50 mg/L臭 氧0.05mg/L0.00-2.50 mg/L三价铬0.5mg/L0.0-30.0 mg/L六价铬0.01mg/L0.00-1.00 mg/L硫酸盐5.0mg/L0.0-250.0 mg/L硫化物0.02mg/L0.00-1.00 mg/L化学耗氧量（CDD）10mg/L0-500 mg/LCODmm0.5mg/L0.00-8.00 mg/L总硬度12.5mg/L0-450 mg/L挥发酚0.10mg/L0.00-5.00 mg/LPHpH5.5～9.5锰0.05mg/L0.00-5.00 mg/L铝0.01mg/L0.00-0.50 mg/L铜0.05mg/L0.00-1.00 mg/L铁0.10mg/L0.00-3.00 mg/L锌0.05mg/L0.00-3.00 mg/L银0.05mg/L0.00-1.00 mg/L钙0.10mg/L0.00-2.00 mg/L镁0.2mg/L0.00-20.0 mg/L镍0.05mg/L0.00-0.50 mg/L                                                                 3技术指标要求：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（1）国家标准方法，检测时间5-30分钟。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（2）波长范围：至少包括380、430、470、520、538、595、612、630nm等波长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（3）测量范围：0.001～2.000Abs分辨率：0.001Abs（显示），0.0001 Abs（内部计算）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（4）波长重复性：2nm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（5）稳定性：±0.005A/20min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（6）光    源：光源超高亮发光二极管，使用寿命可达10万小时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（7）检 测 器：集成光电传感器。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（8）接    口：RS-232/USB接口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4 主要配置：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1.4.1 主机1台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1.4.2 恒温消解器1台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1.4.3 滴定器1台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1.4.4 移液器1套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1.4.5 比色器具1套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1.4.6 样品前处理器具1套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1.4.7 微机接口和数据处理软件1套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1.4.8 试剂各1套（每套50次，其中溶解氧20次）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1.4.9主机铝合金箱1个。</w:t>
            </w:r>
          </w:p>
        </w:tc>
      </w:tr>
      <w:tr>
        <w:tblPrEx>
          <w:shd w:val="clear" w:color="auto" w:fill="auto"/>
          <w:tblCellMar>
            <w:top w:w="0" w:type="dxa"/>
            <w:left w:w="108" w:type="dxa"/>
            <w:bottom w:w="0" w:type="dxa"/>
            <w:right w:w="108" w:type="dxa"/>
          </w:tblCellMar>
        </w:tblPrEx>
        <w:trPr>
          <w:trHeight w:val="43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氧气发生器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显示器：5位动态数码LED显示器，可视窗口为90 mm×25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测量范围：21.0%～10ppm O2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传感器原理：离子流氧传感器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测量方式：气体通入式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测量精度：0-100ppm O2为±5%.FS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0-2％ O2为±2%.FS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0～21％O2±1%.FS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响应时间：&lt;20s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环境温度：-10～50℃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环境湿度：&lt;80%RH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稳定性：&lt;±1%.FS (168h)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模拟输出：可编程4-20mA电流输出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供电电源：（220±10%）V AC，50/60Hz，功耗小于6VA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使用寿命：传感器 25000 小时，分析仪 50000 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外形尺寸：L×W×D＝160mm×80mm×176mm</w:t>
            </w:r>
          </w:p>
        </w:tc>
      </w:tr>
      <w:tr>
        <w:tblPrEx>
          <w:shd w:val="clear" w:color="auto" w:fill="auto"/>
          <w:tblCellMar>
            <w:top w:w="0" w:type="dxa"/>
            <w:left w:w="108" w:type="dxa"/>
            <w:bottom w:w="0" w:type="dxa"/>
            <w:right w:w="108" w:type="dxa"/>
          </w:tblCellMar>
        </w:tblPrEx>
        <w:trPr>
          <w:trHeight w:val="25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氢气发生器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精度：±2%FS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重复性：±1%FS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稳定性：±2% FS/7d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响应时间：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T90＜30s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供电电源：85~264VAC,50/60Hz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环境温度：5'℃~45℃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环境湿度：＜90%RH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样气压力：80kPa~110kPa(绝对压力）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样气流量：200~400ml/min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样气温度0℃~50℃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外部控制信号：可输入一组9~28VDC信号控制抽气泵（选配）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干扰气补偿号：输入两组4-20mA干扰气体的补偿信号（默认干扰气体CO、CO2,若含有其他干扰信号，请在订货时说明）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模拟输出：标准配置两组4-20mA模拟输出，可通过菜单自由设定4-20mA,0-20mA,0-1V、0-5V,0-10V输出模式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通讯：RS485(标配）／RS232(选配）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报警输出：两组气体浓度报警开关量输出、两组量程标示开关量输出（自动量程）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报警触点容量：240VAC,0.2A。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量程：可能的最小和最大量程由被测组分类型（气体类型）及其应用决定。下表所列的最小量程是以N2为残余气体组分得到的。对于其它热导率比N,大或小的气体为残余气体时，最小量程也同时变大或变小。</w:t>
            </w:r>
          </w:p>
        </w:tc>
      </w:tr>
      <w:tr>
        <w:tblPrEx>
          <w:shd w:val="clear" w:color="auto" w:fill="auto"/>
          <w:tblCellMar>
            <w:top w:w="0" w:type="dxa"/>
            <w:left w:w="108" w:type="dxa"/>
            <w:bottom w:w="0" w:type="dxa"/>
            <w:right w:w="108" w:type="dxa"/>
          </w:tblCellMar>
        </w:tblPrEx>
        <w:trPr>
          <w:trHeight w:val="41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氮气发生器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显示器：5位动态数码LED显示器，可视窗口为90 mm×25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测量范围：79.0%～99.999% N2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传感器原理：离子流氧传感器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测量方式：气体通入式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测量精度：0-100ppm O2为±5%.FS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0-2％ O2为±2%.FS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0～21％O2±1%.FS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响应时间：&lt;20s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环境温度：-10～50℃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环境湿度：&lt;80%RH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稳定性：&lt;±1%.FS (168h)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模拟输出：可编程4-20mA电流输出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供电电源：（220±10%）V AC，50/60Hz，功耗小于6VA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使用寿命：传感器 25000 小时，分析仪 50000 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外形尺寸：L×W×D＝160mm×80mm×176mm。</w:t>
            </w:r>
          </w:p>
        </w:tc>
      </w:tr>
      <w:tr>
        <w:tblPrEx>
          <w:shd w:val="clear" w:color="auto" w:fill="auto"/>
          <w:tblCellMar>
            <w:top w:w="0" w:type="dxa"/>
            <w:left w:w="108" w:type="dxa"/>
            <w:bottom w:w="0" w:type="dxa"/>
            <w:right w:w="108" w:type="dxa"/>
          </w:tblCellMar>
        </w:tblPrEx>
        <w:trPr>
          <w:trHeight w:val="3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PH电极（（水质监测）玻璃电极）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参比电极。一、产品用途：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PH计是一种用于测量溶液中PH值的测试仪器。该仪器适用于水厂、工业、农业、教学、科研等许多领域的PH值检测，用于控制被测水样的PH值是否达到规定的标准。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二、技术参数：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1.测量范围： 0-14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2.分辨率：0.01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3.重复性：≤3%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4.示值误差： ±10%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5.充电器：AC 220V 50Hz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三、产品特点：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微电脑，薄膜式键盘使用方便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三点校准，读数稳定后锁存当前值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3、2.4寸TFT彩屏显示。</w:t>
            </w:r>
          </w:p>
        </w:tc>
      </w:tr>
      <w:tr>
        <w:tblPrEx>
          <w:tblCellMar>
            <w:top w:w="0" w:type="dxa"/>
            <w:left w:w="108" w:type="dxa"/>
            <w:bottom w:w="0" w:type="dxa"/>
            <w:right w:w="108" w:type="dxa"/>
          </w:tblCellMar>
        </w:tblPrEx>
        <w:trPr>
          <w:trHeight w:val="60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PH测定仪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一、性能特征：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pH 计是一台数字显示 pH 计，它采用蓝色背光、双排数字显示液晶，可同时显示 pH 值、温度值或电位（ mV ）值。该仪器适用于大专院校、研究院所、环境监测、工矿企业等部门的化验室取样测定水溶液的 pH 值和电位（ mV ）值，配上 ORP 电极可测量溶液 ORP （氧化－还原电位）值，配上离子选择性电极可测量该电极的电极电位值。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二、主要技术指标：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、仪器级别： 0.01 级2 、测量范围： pH 0.00~14.00pH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mV 0 ～ ± 1400mV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、分辨率： 0.01pH ， 1mV ， 0.1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、温度补偿范围： 0 ～ 60 ℃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、电子单元基本误差： pH ± 0.05pH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mV ± 1% （ FS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、仪器基本误差：± 0.1pH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、电子单元输入电流：不大于 1 × 10 － 11 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、电子单元输入阻抗：不小于 3 × 10 11 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 、电子单元重复性误差： pH 0.05pH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mV 5mV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 、仪器重复性误差：不大于 0.05pH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 、电子单元稳定性：± 0.05pH ± 1 个字 /3h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 、外形尺寸： 220 × 160 × 65mm （ l × b × h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 、重量： 0.3kg 。</w:t>
            </w:r>
          </w:p>
        </w:tc>
      </w:tr>
      <w:tr>
        <w:tblPrEx>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蒸发皿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直径10Cm，陶瓷.</w:t>
            </w:r>
          </w:p>
        </w:tc>
      </w:tr>
      <w:tr>
        <w:tblPrEx>
          <w:tblCellMar>
            <w:top w:w="0" w:type="dxa"/>
            <w:left w:w="108" w:type="dxa"/>
            <w:bottom w:w="0" w:type="dxa"/>
            <w:right w:w="108" w:type="dxa"/>
          </w:tblCellMar>
        </w:tblPrEx>
        <w:trPr>
          <w:trHeight w:val="6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分光光度计（可见光）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产品介绍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扫描型可见分光光度计是一款可直接显示标准曲线和测试数据的经济型扫描光度计，适用于食品卫生、药物分析、教学、科研医疗检测、石化工业、环境保护与监控等部门。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性能特点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光学系统 双光束比例检测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波长范围 320-1100nm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波长准确率 ±0.5nm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光谱带宽 2nm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波长重复性 0.2nm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杂散光 ≤0.05%T@360nm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光度准确性 0.3%T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光度重复性 0.15%T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光度范围 0-200%T，-0.301-3.000A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基线直线型 ±0.002A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稳定性 ±0.001A/h@500nm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显示范围 -0.3-3A,0-200%T,0-9999C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显示系统 128×64位LCD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波长驱动方式 自动波长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能量（灯源） 进口钨灯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净重 12kg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软件支持 是</w:t>
            </w:r>
          </w:p>
        </w:tc>
      </w:tr>
      <w:tr>
        <w:tblPrEx>
          <w:shd w:val="clear" w:color="auto" w:fill="auto"/>
          <w:tblCellMar>
            <w:top w:w="0" w:type="dxa"/>
            <w:left w:w="108" w:type="dxa"/>
            <w:bottom w:w="0" w:type="dxa"/>
            <w:right w:w="108" w:type="dxa"/>
          </w:tblCellMar>
        </w:tblPrEx>
        <w:trPr>
          <w:trHeight w:val="54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生物安全柜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参数：1Ⅱ级A2型生物安全柜，30%气体外排，70%气体循环；2工作区宽度适合1-2人操作；3前窗10度倾角设计，方便操作；4所有污染部位均应处于负压状态或被负压通道和负压通风系统包围；5玻璃门上沿有气幕保护，防止工作区内外气体交互；6凹盘式工作台，防止液体倾洒后外溢；7主过滤器：采用进口品牌超高效过滤器ULPA，工作区洁净度等级10级；8前窗玻璃：使用光学透视清晰、清洁和消毒时不对其产生负面影响，抗冲击性强的防紫外线钢化玻璃；9可插拔式电源线，方便更换并保证操作人员安全；10底脚不锈钢材质，无裸露螺纹，清洁方便，防止微生物滋生；11负压通道专门设计异物过滤装置，防止纸屑等异物通过负压通道进入风机/过滤器影响产品正常运行12风机：高性能静音风机，可自动根据过滤器堵塞情况调节转速，保证下降气流恒定；13风速：下降风速≥0.28m/s；流入风速≥0.55m/s；14照明：采用LED灯管照明，方便耐用，使用时间为普通荧光灯的5倍以上；15人员保护：碘化钾法测试，前窗操作口的保护因子≥1×106；16产品保护：用YY0569标准规定方法测试，在琼脂培养皿上的枯草芽孢杆菌芽孢不超过2CFU；17交叉污染保护：用YY0569标准规定方法测试，在琼脂培养皿上的枯草芽孢杆菌芽孢不超过1CFU；18实时数字显示系统运行情况，其中下降气流流速和流入气流流速同时显示；19前窗玻璃手拉式开启，不得使用电控，以保证断电时能及时关门防护；20打开前窗后，紫外灯应自动关闭，风机、荧光灯自动开始运行；关闭前窗后，风机和荧光灯自动关闭；21可预约紫外灯消毒时间，自动运行；22用数字显示过滤器剩余使用寿命，在使用寿命剩余10%时自动提示；23可查询紫外灯累计工作时间，以便确定更换时间；24有开门高度警示功能，开门超高或过低均有声光报警提示；25有监测气流波动功能，气流波动超过20%有声光报警提示；26有关门监测功能，未关严门有声光报警提示；27有过滤器监测功能，利用过滤器阻力变化监测过滤器寿命，堵塞或破损均有声光报警提示；28</w:t>
            </w:r>
            <w:r>
              <w:rPr>
                <w:rFonts w:hint="eastAsia" w:ascii="宋体" w:hAnsi="宋体" w:eastAsia="宋体" w:cs="宋体"/>
                <w:i w:val="0"/>
                <w:iCs w:val="0"/>
                <w:color w:val="000000"/>
                <w:kern w:val="0"/>
                <w:sz w:val="22"/>
                <w:szCs w:val="22"/>
                <w:highlight w:val="none"/>
                <w:u w:val="none"/>
                <w:lang w:val="en-US" w:eastAsia="zh-CN" w:bidi="ar"/>
              </w:rPr>
              <w:t>具有国家药监总局颁发的三类医疗器械注册证书；国际</w:t>
            </w:r>
            <w:r>
              <w:rPr>
                <w:rFonts w:hint="eastAsia" w:ascii="宋体" w:hAnsi="宋体" w:eastAsia="宋体" w:cs="宋体"/>
                <w:i w:val="0"/>
                <w:iCs w:val="0"/>
                <w:color w:val="000000"/>
                <w:kern w:val="0"/>
                <w:sz w:val="22"/>
                <w:szCs w:val="22"/>
                <w:u w:val="none"/>
                <w:lang w:val="en-US" w:eastAsia="zh-CN" w:bidi="ar"/>
              </w:rPr>
              <w:t>EN12469认证和CE认。                                                                                                                                  二、技术规格：3气流循环70%循环，30%外排4外形尺寸(宽*深*高)（mm）1360*790*22005内部尺寸(宽*深*高)（mm）1167*610*6806包装尺寸(宽*深*高)（mm）1415*905*17207前窗开口高度（mm）200（最大530）8洁净等级10级（美标FED 209D），CLASS 4（ISO 14644-1）9*过滤器类别防潮、阻燃玻璃纤维超高效过滤器（ULPA）10*过滤器效率99.9995%@0.12µm11下降气流速度(m/s）0.2812流入气流速度(m/s）0.5513排风量（m3/h）45014照度(LX)≥120015噪音dB（A)≤6216*人员保护1*10617产品保护2 CFU18交叉污染保护1 CFU19报警模式声光报警（6种类型）20前窗玻璃材质6mm防紫外线钢化玻璃21工作区内表面材质304不锈钢22积液槽材质304不锈钢23工作区最大承重kg3524柜内插座配置一个防溅插座（左侧）25插座负载能力220V，10A26阀门口2个（右侧），可选配实验室专用水嘴龙头27脚轮万向脚轮28固定底脚可调节高度，无裸露螺纹29工作电压220V±10%30频率50±1HZ31功率(W)（带负载）130032净重（Kg）25833包装重量（Kg）29034认证及体系CFDA三类医疗器械注册证，ISO13485医疗器械生产体系，欧洲EN12469认证，欧洲CE认证35专利气流阻断专利技术（专利号：ZL200520125549.X）</w:t>
            </w:r>
          </w:p>
        </w:tc>
      </w:tr>
      <w:tr>
        <w:tblPrEx>
          <w:shd w:val="clear" w:color="auto" w:fill="auto"/>
          <w:tblCellMar>
            <w:top w:w="0" w:type="dxa"/>
            <w:left w:w="108" w:type="dxa"/>
            <w:bottom w:w="0" w:type="dxa"/>
            <w:right w:w="108" w:type="dxa"/>
          </w:tblCellMar>
        </w:tblPrEx>
        <w:trPr>
          <w:trHeight w:val="6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微板孔离心机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主要技术参数：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1、触摸面板、LCD液晶显示：时间、转速/离心力、运行状态、错误代码，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运行中可随时修改参数，无需停机，操作简便。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2、采用微机控制、交流变频电机，转速控制精度高。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3、自动计算RCF值，具有RCF/rpm转换键，最短加/减速时间20/25s。时间设定可精确到秒，倒计时小于一分钟时以秒显示。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4、采用特殊的减震器（三级减震），减震效果良好，具有自动平衡功能。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5、采用电子门锁/机械门锁双重设计，简单耐用。故障报错，自动停机。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6、设有门盖保护、超速和转子参数锁定等多种保护功能，防止意外修改参数避免操作失误，故障自动报警功能。10档升降（0档为自由停车），12种自定义工作模式。可选配48孔脱帽转子。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7、产品符合CFDA认证。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8、最高转速：     5500r/min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9、最大相对离心力：4900×g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10、最大容量： 4×250ml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11、显示类型： LCD液晶显示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12、时间控制： 0sec-99min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13、电机功率： 交流变频电机550W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14、转速精度：±10rpm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15、噪音： ≤65 dB(A)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16、电源：  DC220V±22V  50Hz 10A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17、外形尺寸： 530×430×370mm（LxWxH）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18、重量： 40Kg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四、配置清单：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1、主机  1台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2、水平酶标转子：2*2*96孔板  1套  </w:t>
            </w:r>
          </w:p>
        </w:tc>
      </w:tr>
      <w:tr>
        <w:tblPrEx>
          <w:shd w:val="clear" w:color="auto" w:fill="auto"/>
          <w:tblCellMar>
            <w:top w:w="0" w:type="dxa"/>
            <w:left w:w="108" w:type="dxa"/>
            <w:bottom w:w="0" w:type="dxa"/>
            <w:right w:w="108" w:type="dxa"/>
          </w:tblCellMar>
        </w:tblPrEx>
        <w:trPr>
          <w:trHeight w:val="14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过氧化氢消毒机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1输入电压：220v50Hz；2工作电压：DC 36V；3额定功耗：850W；☆4晶片：Ф20/1.7MHz*24头；5雾化微粒：≤5um；6消毒水箱：20L；7雾化池储水量：8L；☆8雾化量：256ml/min；9最佳雾化水位：35mm；10噪声：≤50db；11缺水保护：电容感应；12控制方式：一键启动；13设备尺寸：430*400*800mm；14使用面积：无限制；15重量：40KG</w:t>
            </w:r>
          </w:p>
        </w:tc>
      </w:tr>
    </w:tbl>
    <w:p>
      <w:pPr>
        <w:pStyle w:val="3"/>
        <w:spacing w:line="665" w:lineRule="exact"/>
        <w:rPr>
          <w:b/>
          <w:bCs/>
          <w:color w:val="000000" w:themeColor="text1"/>
          <w:spacing w:val="-4"/>
          <w:sz w:val="24"/>
          <w:szCs w:val="24"/>
          <w14:textFill>
            <w14:solidFill>
              <w14:schemeClr w14:val="tx1"/>
            </w14:solidFill>
          </w14:textFill>
        </w:rPr>
      </w:pPr>
      <w:r>
        <w:rPr>
          <w:rFonts w:hint="eastAsia"/>
          <w:b/>
          <w:bCs/>
          <w:color w:val="000000" w:themeColor="text1"/>
          <w:spacing w:val="-4"/>
          <w:sz w:val="24"/>
          <w:szCs w:val="24"/>
          <w14:textFill>
            <w14:solidFill>
              <w14:schemeClr w14:val="tx1"/>
            </w14:solidFill>
          </w14:textFill>
        </w:rPr>
        <w:t>第三标段：</w:t>
      </w:r>
    </w:p>
    <w:tbl>
      <w:tblPr>
        <w:tblStyle w:val="8"/>
        <w:tblW w:w="0" w:type="auto"/>
        <w:tblInd w:w="93" w:type="dxa"/>
        <w:shd w:val="clear" w:color="auto" w:fill="auto"/>
        <w:tblLayout w:type="autofit"/>
        <w:tblCellMar>
          <w:top w:w="0" w:type="dxa"/>
          <w:left w:w="108" w:type="dxa"/>
          <w:bottom w:w="0" w:type="dxa"/>
          <w:right w:w="108" w:type="dxa"/>
        </w:tblCellMar>
      </w:tblPr>
      <w:tblGrid>
        <w:gridCol w:w="658"/>
        <w:gridCol w:w="987"/>
        <w:gridCol w:w="658"/>
        <w:gridCol w:w="6126"/>
      </w:tblGrid>
      <w:tr>
        <w:tblPrEx>
          <w:shd w:val="clear" w:color="auto" w:fill="auto"/>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货物名称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参数</w:t>
            </w:r>
          </w:p>
        </w:tc>
      </w:tr>
      <w:tr>
        <w:tblPrEx>
          <w:shd w:val="clear" w:color="auto" w:fill="auto"/>
          <w:tblCellMar>
            <w:top w:w="0" w:type="dxa"/>
            <w:left w:w="108" w:type="dxa"/>
            <w:bottom w:w="0" w:type="dxa"/>
            <w:right w:w="108" w:type="dxa"/>
          </w:tblCellMar>
        </w:tblPrEx>
        <w:trPr>
          <w:trHeight w:val="81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扩增仪（96孔）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一、技术参数：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1、样本容量：96孔（2*48孔、双模块）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2、光 源：大功率LED（免维护）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3、检测器：高灵敏度光电传感器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4、检测动态范围：1-1010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5、检测灵敏度：可检测单拷贝基因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6、反应体系：15ul-50ul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7、荧光激发波长与荧光检测波长：激发波长470-630nm；检测波长510-665nm；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8、检测的荧光素及染料：FAM、SYBR、VIC、HEX、JOE、TET、CY3、ROX、CY5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9、控温方法：半导体热电模块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11、控温模式：模块控温、试管控温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12、温度准确性：±0.1℃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13、温度均匀性：±0.1℃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14、控温范围：4℃-99℃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15、最大升降温速率：4.5℃/s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16、热盖：电子自动热盖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17、操作系统：WindowsXP/VISTA/7/8等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16、适用耗材：0.2ml PCR管、8联管、48孔板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*17、软件：配置结核耐药项目检测结果判读软件，软件拥有著作权证书。仪器自动输出结核杆菌对利福平/异烟肼的耐药检测结果，直接导出耐药或敏感的结论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18、投标仪器获得NMPA的三类注册证。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*19、2块独立反应模块，独立运行2个不同的实验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*20、在耐药检测分析中，能自动识别熔解峰的温度及峰高，能自动识别重叠峰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*21、19、配套的诊断耐多药试剂，需要包含利福平、异烟肼、乙胺丁醇、链霉素、氟喹诺酮等用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二、配置清单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w:t>
            </w:r>
            <w:r>
              <w:rPr>
                <w:rFonts w:hint="eastAsia" w:ascii="宋体" w:hAnsi="宋体" w:eastAsia="宋体" w:cs="宋体"/>
                <w:i w:val="0"/>
                <w:iCs w:val="0"/>
                <w:color w:val="000000"/>
                <w:kern w:val="0"/>
                <w:sz w:val="22"/>
                <w:szCs w:val="22"/>
                <w:highlight w:val="none"/>
                <w:u w:val="none"/>
                <w:lang w:val="en-US" w:eastAsia="zh-CN" w:bidi="ar"/>
              </w:rPr>
              <w:t>SLAN-96P</w:t>
            </w:r>
            <w:r>
              <w:rPr>
                <w:rFonts w:hint="eastAsia" w:ascii="宋体" w:hAnsi="宋体" w:eastAsia="宋体" w:cs="宋体"/>
                <w:i w:val="0"/>
                <w:iCs w:val="0"/>
                <w:color w:val="000000"/>
                <w:kern w:val="0"/>
                <w:sz w:val="22"/>
                <w:szCs w:val="22"/>
                <w:u w:val="none"/>
                <w:lang w:val="en-US" w:eastAsia="zh-CN" w:bidi="ar"/>
              </w:rPr>
              <w:t>主机一台 2、电源线一根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3、RS232通信线一根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4、USB-TO-RS232转接线一根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5、吹气球一个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6、《用户操作指南》一本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7、SLAN-96S系统软件安装光盘一张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8、保险丝两个(Ф5×20mm – 10A、250V)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9、仪器防尘罩一个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10、合格证一份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11、保修卡一份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12、出厂检测报告一份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13、装箱清单一份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14、熔解曲线结果判读软件一套</w:t>
            </w:r>
          </w:p>
        </w:tc>
      </w:tr>
    </w:tbl>
    <w:p>
      <w:pPr>
        <w:rPr>
          <w:rFonts w:hint="eastAsia" w:ascii="仿宋_GB2312" w:hAnsi="仿宋_GB2312" w:eastAsia="仿宋_GB2312" w:cs="仿宋_GB2312"/>
          <w:b w:val="0"/>
          <w:bCs w:val="0"/>
          <w:color w:val="auto"/>
          <w:kern w:val="0"/>
          <w:sz w:val="28"/>
          <w:szCs w:val="28"/>
          <w:lang w:val="en-US" w:eastAsia="zh-CN" w:bidi="ar"/>
        </w:rPr>
      </w:pPr>
      <w:r>
        <w:rPr>
          <w:rFonts w:hint="eastAsia" w:ascii="宋体" w:hAnsi="宋体" w:eastAsia="宋体" w:cs="宋体"/>
          <w:b/>
          <w:sz w:val="20"/>
          <w:szCs w:val="20"/>
          <w:lang w:val="en-US"/>
        </w:rPr>
        <w:t>备注：以上参数中若指定品牌仅作参考指标，投标人须满足或高于该品牌下各项功能要求即可。</w:t>
      </w:r>
    </w:p>
    <w:p>
      <w:pPr>
        <w:keepNext w:val="0"/>
        <w:keepLines w:val="0"/>
        <w:widowControl/>
        <w:numPr>
          <w:ilvl w:val="0"/>
          <w:numId w:val="1"/>
        </w:numPr>
        <w:suppressLineNumbers w:val="0"/>
        <w:ind w:firstLine="560" w:firstLineChars="200"/>
        <w:jc w:val="both"/>
        <w:rPr>
          <w:rFonts w:hint="eastAsia" w:ascii="仿宋_GB2312" w:hAnsi="仿宋_GB2312" w:eastAsia="仿宋_GB2312" w:cs="仿宋_GB2312"/>
          <w:b w:val="0"/>
          <w:bCs w:val="0"/>
          <w:color w:val="auto"/>
          <w:kern w:val="0"/>
          <w:sz w:val="28"/>
          <w:szCs w:val="28"/>
          <w:lang w:val="en-US" w:eastAsia="zh-CN" w:bidi="ar"/>
        </w:rPr>
      </w:pPr>
      <w:r>
        <w:rPr>
          <w:rFonts w:ascii="仿宋_GB2312" w:hAnsi="仿宋_GB2312" w:eastAsia="仿宋_GB2312" w:cs="仿宋_GB2312"/>
          <w:b w:val="0"/>
          <w:bCs w:val="0"/>
          <w:color w:val="auto"/>
          <w:kern w:val="0"/>
          <w:sz w:val="28"/>
          <w:szCs w:val="28"/>
          <w:lang w:val="en-US" w:eastAsia="zh-CN" w:bidi="ar"/>
        </w:rPr>
        <w:t>取得采购标的的时间</w:t>
      </w:r>
      <w:r>
        <w:rPr>
          <w:rFonts w:hint="eastAsia" w:ascii="仿宋_GB2312" w:hAnsi="仿宋_GB2312" w:eastAsia="仿宋_GB2312" w:cs="仿宋_GB2312"/>
          <w:b w:val="0"/>
          <w:bCs w:val="0"/>
          <w:color w:val="auto"/>
          <w:kern w:val="0"/>
          <w:sz w:val="28"/>
          <w:szCs w:val="28"/>
          <w:lang w:val="en-US" w:eastAsia="zh-CN" w:bidi="ar"/>
        </w:rPr>
        <w:t>：签订合同后10日内供货</w:t>
      </w:r>
    </w:p>
    <w:p>
      <w:pPr>
        <w:keepNext w:val="0"/>
        <w:keepLines w:val="0"/>
        <w:widowControl/>
        <w:numPr>
          <w:ilvl w:val="0"/>
          <w:numId w:val="0"/>
        </w:numPr>
        <w:suppressLineNumbers w:val="0"/>
        <w:ind w:firstLine="560" w:firstLineChars="200"/>
        <w:jc w:val="both"/>
        <w:rPr>
          <w:b w:val="0"/>
          <w:bCs w:val="0"/>
          <w:color w:val="auto"/>
          <w:sz w:val="20"/>
          <w:szCs w:val="20"/>
        </w:rPr>
      </w:pPr>
      <w:r>
        <w:rPr>
          <w:rFonts w:hint="eastAsia" w:ascii="仿宋_GB2312" w:hAnsi="仿宋_GB2312" w:eastAsia="仿宋_GB2312" w:cs="仿宋_GB2312"/>
          <w:b w:val="0"/>
          <w:bCs w:val="0"/>
          <w:color w:val="auto"/>
          <w:kern w:val="0"/>
          <w:sz w:val="28"/>
          <w:szCs w:val="28"/>
          <w:lang w:val="en-US" w:eastAsia="zh-CN" w:bidi="ar"/>
        </w:rPr>
        <w:t>（2）</w:t>
      </w:r>
      <w:r>
        <w:rPr>
          <w:rFonts w:ascii="仿宋_GB2312" w:hAnsi="仿宋_GB2312" w:eastAsia="仿宋_GB2312" w:cs="仿宋_GB2312"/>
          <w:b w:val="0"/>
          <w:bCs w:val="0"/>
          <w:color w:val="auto"/>
          <w:kern w:val="0"/>
          <w:sz w:val="28"/>
          <w:szCs w:val="28"/>
          <w:lang w:val="en-US" w:eastAsia="zh-CN" w:bidi="ar"/>
        </w:rPr>
        <w:t>取得采购标的的地点</w:t>
      </w:r>
      <w:r>
        <w:rPr>
          <w:rFonts w:hint="eastAsia" w:ascii="仿宋_GB2312" w:hAnsi="仿宋_GB2312" w:eastAsia="仿宋_GB2312" w:cs="仿宋_GB2312"/>
          <w:b w:val="0"/>
          <w:bCs w:val="0"/>
          <w:color w:val="auto"/>
          <w:kern w:val="0"/>
          <w:sz w:val="28"/>
          <w:szCs w:val="28"/>
          <w:lang w:val="en-US" w:eastAsia="zh-CN" w:bidi="ar"/>
        </w:rPr>
        <w:t>：莎车县疾病预防控制中心指定地点</w:t>
      </w:r>
    </w:p>
    <w:p>
      <w:pPr>
        <w:pStyle w:val="6"/>
        <w:spacing w:before="120" w:beforeLines="50" w:after="0" w:line="360" w:lineRule="auto"/>
        <w:ind w:firstLine="560" w:firstLineChars="200"/>
        <w:jc w:val="both"/>
        <w:outlineLvl w:val="9"/>
        <w:rPr>
          <w:rFonts w:hint="eastAsia" w:ascii="仿宋_GB2312" w:hAnsi="仿宋_GB2312" w:eastAsia="仿宋_GB2312" w:cs="仿宋_GB2312"/>
          <w:b w:val="0"/>
          <w:bCs w:val="0"/>
          <w:color w:val="auto"/>
          <w:kern w:val="0"/>
          <w:sz w:val="28"/>
          <w:szCs w:val="28"/>
          <w:lang w:val="en-US" w:eastAsia="zh-CN" w:bidi="ar"/>
        </w:rPr>
      </w:pPr>
      <w:r>
        <w:rPr>
          <w:rFonts w:hint="eastAsia" w:ascii="仿宋_GB2312" w:hAnsi="仿宋_GB2312" w:eastAsia="仿宋_GB2312" w:cs="仿宋_GB2312"/>
          <w:b w:val="0"/>
          <w:bCs w:val="0"/>
          <w:color w:val="auto"/>
          <w:kern w:val="0"/>
          <w:sz w:val="28"/>
          <w:szCs w:val="28"/>
          <w:lang w:val="en-US" w:eastAsia="zh-CN" w:bidi="ar"/>
        </w:rPr>
        <w:t>（3）</w:t>
      </w:r>
      <w:r>
        <w:rPr>
          <w:rFonts w:ascii="仿宋_GB2312" w:hAnsi="仿宋_GB2312" w:eastAsia="仿宋_GB2312" w:cs="仿宋_GB2312"/>
          <w:b w:val="0"/>
          <w:bCs w:val="0"/>
          <w:color w:val="auto"/>
          <w:kern w:val="0"/>
          <w:sz w:val="28"/>
          <w:szCs w:val="28"/>
          <w:lang w:val="en-US" w:eastAsia="zh-CN" w:bidi="ar"/>
        </w:rPr>
        <w:t>付款条件</w:t>
      </w:r>
      <w:r>
        <w:rPr>
          <w:rFonts w:hint="eastAsia" w:ascii="仿宋_GB2312" w:hAnsi="仿宋_GB2312" w:eastAsia="仿宋_GB2312" w:cs="仿宋_GB2312"/>
          <w:b w:val="0"/>
          <w:bCs w:val="0"/>
          <w:color w:val="auto"/>
          <w:kern w:val="0"/>
          <w:sz w:val="28"/>
          <w:szCs w:val="28"/>
          <w:lang w:val="en-US" w:eastAsia="zh-CN" w:bidi="ar"/>
        </w:rPr>
        <w:t>：签订合同后支付30%，货物调试安装完成支付65%，质保期结束支付剩余5%</w:t>
      </w:r>
    </w:p>
    <w:p>
      <w:pPr>
        <w:pStyle w:val="6"/>
        <w:spacing w:before="120" w:beforeLines="50" w:after="0" w:line="360" w:lineRule="auto"/>
        <w:ind w:firstLine="560" w:firstLineChars="200"/>
        <w:jc w:val="both"/>
        <w:outlineLvl w:val="9"/>
        <w:rPr>
          <w:rFonts w:ascii="仿宋_GB2312" w:hAnsi="仿宋_GB2312" w:eastAsia="仿宋_GB2312" w:cs="仿宋_GB2312"/>
          <w:b w:val="0"/>
          <w:bCs w:val="0"/>
          <w:color w:val="auto"/>
          <w:kern w:val="0"/>
          <w:sz w:val="28"/>
          <w:szCs w:val="28"/>
          <w:lang w:val="en-US" w:eastAsia="zh-CN" w:bidi="ar"/>
        </w:rPr>
      </w:pPr>
      <w:r>
        <w:rPr>
          <w:rFonts w:hint="eastAsia" w:ascii="仿宋_GB2312" w:hAnsi="仿宋_GB2312" w:eastAsia="仿宋_GB2312" w:cs="仿宋_GB2312"/>
          <w:b w:val="0"/>
          <w:bCs w:val="0"/>
          <w:color w:val="auto"/>
          <w:kern w:val="0"/>
          <w:sz w:val="28"/>
          <w:szCs w:val="28"/>
          <w:lang w:val="en-US" w:eastAsia="zh-CN" w:bidi="ar"/>
        </w:rPr>
        <w:t>（4）</w:t>
      </w:r>
      <w:r>
        <w:rPr>
          <w:rFonts w:ascii="仿宋_GB2312" w:hAnsi="仿宋_GB2312" w:eastAsia="仿宋_GB2312" w:cs="仿宋_GB2312"/>
          <w:b w:val="0"/>
          <w:bCs w:val="0"/>
          <w:color w:val="auto"/>
          <w:kern w:val="0"/>
          <w:sz w:val="28"/>
          <w:szCs w:val="28"/>
          <w:lang w:val="en-US" w:eastAsia="zh-CN" w:bidi="ar"/>
        </w:rPr>
        <w:t>售后服务</w:t>
      </w:r>
      <w:r>
        <w:rPr>
          <w:rFonts w:hint="eastAsia" w:ascii="仿宋_GB2312" w:hAnsi="仿宋_GB2312" w:eastAsia="仿宋_GB2312" w:cs="仿宋_GB2312"/>
          <w:b w:val="0"/>
          <w:bCs w:val="0"/>
          <w:color w:val="auto"/>
          <w:kern w:val="0"/>
          <w:sz w:val="28"/>
          <w:szCs w:val="28"/>
          <w:lang w:val="en-US" w:eastAsia="zh-CN" w:bidi="ar"/>
        </w:rPr>
        <w:t>：除参数中规定的年限外，其余售后三年</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auto"/>
          <w:kern w:val="0"/>
          <w:sz w:val="28"/>
          <w:szCs w:val="28"/>
          <w:lang w:val="en-US" w:eastAsia="zh-CN" w:bidi="ar"/>
        </w:rPr>
      </w:pPr>
      <w:r>
        <w:rPr>
          <w:rFonts w:hint="eastAsia" w:ascii="仿宋_GB2312" w:hAnsi="仿宋_GB2312" w:eastAsia="仿宋_GB2312" w:cs="仿宋_GB2312"/>
          <w:b w:val="0"/>
          <w:bCs w:val="0"/>
          <w:color w:val="auto"/>
          <w:kern w:val="0"/>
          <w:sz w:val="28"/>
          <w:szCs w:val="28"/>
          <w:lang w:val="en-US" w:eastAsia="zh-CN" w:bidi="ar"/>
        </w:rPr>
        <w:t>（五）</w:t>
      </w:r>
      <w:r>
        <w:rPr>
          <w:rFonts w:ascii="仿宋_GB2312" w:hAnsi="仿宋_GB2312" w:eastAsia="仿宋_GB2312" w:cs="仿宋_GB2312"/>
          <w:b w:val="0"/>
          <w:bCs w:val="0"/>
          <w:color w:val="auto"/>
          <w:kern w:val="0"/>
          <w:sz w:val="28"/>
          <w:szCs w:val="28"/>
          <w:lang w:val="en-US" w:eastAsia="zh-CN" w:bidi="ar"/>
        </w:rPr>
        <w:t>可能影响供应商报价和项目实施风险的因素</w:t>
      </w:r>
      <w:r>
        <w:rPr>
          <w:rFonts w:hint="eastAsia" w:ascii="仿宋_GB2312" w:hAnsi="仿宋_GB2312" w:eastAsia="仿宋_GB2312" w:cs="仿宋_GB2312"/>
          <w:b w:val="0"/>
          <w:bCs w:val="0"/>
          <w:color w:val="auto"/>
          <w:kern w:val="0"/>
          <w:sz w:val="28"/>
          <w:szCs w:val="28"/>
          <w:lang w:val="en-US" w:eastAsia="zh-CN" w:bidi="ar"/>
        </w:rPr>
        <w:t>：</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auto"/>
          <w:kern w:val="0"/>
          <w:sz w:val="28"/>
          <w:szCs w:val="28"/>
          <w:lang w:val="en-US" w:eastAsia="zh-CN" w:bidi="ar"/>
        </w:rPr>
      </w:pPr>
      <w:r>
        <w:rPr>
          <w:rFonts w:hint="eastAsia" w:ascii="仿宋_GB2312" w:hAnsi="仿宋_GB2312" w:eastAsia="仿宋_GB2312" w:cs="仿宋_GB2312"/>
          <w:b w:val="0"/>
          <w:bCs w:val="0"/>
          <w:color w:val="auto"/>
          <w:kern w:val="0"/>
          <w:sz w:val="28"/>
          <w:szCs w:val="28"/>
          <w:lang w:val="en-US" w:eastAsia="zh-CN" w:bidi="ar"/>
        </w:rPr>
        <w:t>（1）自然风险：因自然界中的不可抗力所造成的本次公开招标采购工作不能顺利实施的风险。比如因自然灾害影响，供应商不能按时参加本次公开招标活动的风险。</w:t>
      </w:r>
      <w:r>
        <w:rPr>
          <w:rFonts w:hint="eastAsia" w:ascii="仿宋_GB2312" w:hAnsi="仿宋_GB2312" w:eastAsia="仿宋_GB2312" w:cs="仿宋_GB2312"/>
          <w:b w:val="0"/>
          <w:bCs w:val="0"/>
          <w:color w:val="auto"/>
          <w:kern w:val="0"/>
          <w:sz w:val="28"/>
          <w:szCs w:val="28"/>
          <w:lang w:val="en-US" w:eastAsia="zh-CN" w:bidi="ar"/>
        </w:rPr>
        <w:br w:type="textWrapping"/>
      </w:r>
      <w:r>
        <w:rPr>
          <w:rFonts w:hint="eastAsia" w:ascii="仿宋_GB2312" w:hAnsi="仿宋_GB2312" w:eastAsia="仿宋_GB2312" w:cs="仿宋_GB2312"/>
          <w:b w:val="0"/>
          <w:bCs w:val="0"/>
          <w:color w:val="auto"/>
          <w:kern w:val="0"/>
          <w:sz w:val="28"/>
          <w:szCs w:val="28"/>
          <w:lang w:val="en-US" w:eastAsia="zh-CN" w:bidi="ar"/>
        </w:rPr>
        <w:t>       （2）政策风险：因政府政策或行业标准改变，或者企业发展方向改变、企业升级等问题导致本次公开招标采购项目不得不取消或者进行调整。</w:t>
      </w:r>
      <w:r>
        <w:rPr>
          <w:rFonts w:hint="eastAsia" w:ascii="仿宋_GB2312" w:hAnsi="仿宋_GB2312" w:eastAsia="仿宋_GB2312" w:cs="仿宋_GB2312"/>
          <w:b w:val="0"/>
          <w:bCs w:val="0"/>
          <w:color w:val="auto"/>
          <w:kern w:val="0"/>
          <w:sz w:val="28"/>
          <w:szCs w:val="28"/>
          <w:lang w:val="en-US" w:eastAsia="zh-CN" w:bidi="ar"/>
        </w:rPr>
        <w:br w:type="textWrapping"/>
      </w:r>
      <w:r>
        <w:rPr>
          <w:rFonts w:hint="eastAsia" w:ascii="仿宋_GB2312" w:hAnsi="仿宋_GB2312" w:eastAsia="仿宋_GB2312" w:cs="仿宋_GB2312"/>
          <w:b w:val="0"/>
          <w:bCs w:val="0"/>
          <w:color w:val="auto"/>
          <w:kern w:val="0"/>
          <w:sz w:val="28"/>
          <w:szCs w:val="28"/>
          <w:lang w:val="en-US" w:eastAsia="zh-CN" w:bidi="ar"/>
        </w:rPr>
        <w:t>        （3）投标单位风险：投标单位风险是本次公开招标采购中的主要风险之一。投标单位风险主要体现在以下几个方面：一是投标单位本身生产能力达不到，但是却恶意拉低投标价格，以低价格中标之后再在生产中通过不良手段降低产品生产成本，提高利润，损害招标单位的行为；二是投标单位相互串通，实施围标、窜标等违法行为；三是投标单位与企业招标人员相互勾结，通过串通的方式拿到标底价格，进行恶意竞争，影响企业公开招标活动的实施。</w:t>
      </w:r>
      <w:r>
        <w:rPr>
          <w:rFonts w:hint="eastAsia" w:ascii="仿宋_GB2312" w:hAnsi="仿宋_GB2312" w:eastAsia="仿宋_GB2312" w:cs="仿宋_GB2312"/>
          <w:b w:val="0"/>
          <w:bCs w:val="0"/>
          <w:color w:val="auto"/>
          <w:kern w:val="0"/>
          <w:sz w:val="28"/>
          <w:szCs w:val="28"/>
          <w:lang w:val="en-US" w:eastAsia="zh-CN" w:bidi="ar"/>
        </w:rPr>
        <w:br w:type="textWrapping"/>
      </w:r>
      <w:r>
        <w:rPr>
          <w:rFonts w:hint="eastAsia" w:ascii="仿宋_GB2312" w:hAnsi="仿宋_GB2312" w:eastAsia="仿宋_GB2312" w:cs="仿宋_GB2312"/>
          <w:b w:val="0"/>
          <w:bCs w:val="0"/>
          <w:color w:val="auto"/>
          <w:kern w:val="0"/>
          <w:sz w:val="28"/>
          <w:szCs w:val="28"/>
          <w:lang w:val="en-US" w:eastAsia="zh-CN" w:bidi="ar"/>
        </w:rPr>
        <w:t>       （4）质量安全风险：中标单位没有按照标书中的产品技术标准进行供货。</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（六）该项目无需开展需求调查</w:t>
      </w:r>
    </w:p>
    <w:p>
      <w:pPr>
        <w:keepNext w:val="0"/>
        <w:keepLines w:val="0"/>
        <w:widowControl/>
        <w:suppressLineNumbers w:val="0"/>
        <w:ind w:firstLine="562" w:firstLineChars="200"/>
        <w:jc w:val="both"/>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六、采购标的的验收标准</w:t>
      </w:r>
    </w:p>
    <w:p>
      <w:pPr>
        <w:keepNext w:val="0"/>
        <w:keepLines w:val="0"/>
        <w:widowControl/>
        <w:suppressLineNumbers w:val="0"/>
        <w:ind w:firstLine="560" w:firstLineChars="200"/>
        <w:jc w:val="both"/>
        <w:rPr>
          <w:rFonts w:ascii="仿宋_GB2312" w:hAnsi="仿宋_GB2312" w:eastAsia="仿宋_GB2312" w:cs="仿宋_GB2312"/>
          <w:b w:val="0"/>
          <w:bCs w:val="0"/>
          <w:color w:val="000000"/>
          <w:kern w:val="0"/>
          <w:sz w:val="28"/>
          <w:szCs w:val="28"/>
          <w:lang w:val="en-US" w:eastAsia="zh-CN" w:bidi="ar"/>
        </w:rPr>
      </w:pPr>
      <w:r>
        <w:rPr>
          <w:rFonts w:ascii="仿宋_GB2312" w:hAnsi="仿宋_GB2312" w:eastAsia="仿宋_GB2312" w:cs="仿宋_GB2312"/>
          <w:b w:val="0"/>
          <w:bCs w:val="0"/>
          <w:color w:val="000000"/>
          <w:kern w:val="0"/>
          <w:sz w:val="28"/>
          <w:szCs w:val="28"/>
          <w:lang w:val="en-US" w:eastAsia="zh-CN" w:bidi="ar"/>
        </w:rPr>
        <w:t>验收主体</w:t>
      </w:r>
      <w:r>
        <w:rPr>
          <w:rFonts w:hint="eastAsia" w:ascii="仿宋_GB2312" w:hAnsi="仿宋_GB2312" w:eastAsia="仿宋_GB2312" w:cs="仿宋_GB2312"/>
          <w:b w:val="0"/>
          <w:bCs w:val="0"/>
          <w:color w:val="000000"/>
          <w:kern w:val="0"/>
          <w:sz w:val="28"/>
          <w:szCs w:val="28"/>
          <w:lang w:val="en-US" w:eastAsia="zh-CN" w:bidi="ar"/>
        </w:rPr>
        <w:t>：</w:t>
      </w:r>
      <w:r>
        <w:rPr>
          <w:rFonts w:hint="eastAsia" w:ascii="仿宋_GB2312" w:hAnsi="仿宋_GB2312" w:eastAsia="仿宋_GB2312" w:cs="仿宋_GB2312"/>
          <w:b w:val="0"/>
          <w:bCs w:val="0"/>
          <w:color w:val="auto"/>
          <w:kern w:val="0"/>
          <w:sz w:val="28"/>
          <w:szCs w:val="28"/>
          <w:lang w:val="en-US" w:eastAsia="zh-CN" w:bidi="ar"/>
        </w:rPr>
        <w:t>采购人</w:t>
      </w:r>
    </w:p>
    <w:p>
      <w:pPr>
        <w:keepNext w:val="0"/>
        <w:keepLines w:val="0"/>
        <w:widowControl/>
        <w:suppressLineNumbers w:val="0"/>
        <w:ind w:firstLine="560" w:firstLineChars="200"/>
        <w:jc w:val="both"/>
        <w:rPr>
          <w:rFonts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验收</w:t>
      </w:r>
      <w:r>
        <w:rPr>
          <w:rFonts w:ascii="仿宋_GB2312" w:hAnsi="仿宋_GB2312" w:eastAsia="仿宋_GB2312" w:cs="仿宋_GB2312"/>
          <w:b w:val="0"/>
          <w:bCs w:val="0"/>
          <w:color w:val="000000"/>
          <w:kern w:val="0"/>
          <w:sz w:val="28"/>
          <w:szCs w:val="28"/>
          <w:lang w:val="en-US" w:eastAsia="zh-CN" w:bidi="ar"/>
        </w:rPr>
        <w:t>时间</w:t>
      </w:r>
      <w:r>
        <w:rPr>
          <w:rFonts w:hint="eastAsia" w:ascii="仿宋_GB2312" w:hAnsi="仿宋_GB2312" w:eastAsia="仿宋_GB2312" w:cs="仿宋_GB2312"/>
          <w:b w:val="0"/>
          <w:bCs w:val="0"/>
          <w:color w:val="000000"/>
          <w:kern w:val="0"/>
          <w:sz w:val="28"/>
          <w:szCs w:val="28"/>
          <w:lang w:val="en-US" w:eastAsia="zh-CN" w:bidi="ar"/>
        </w:rPr>
        <w:t>：签订合同后10日内</w:t>
      </w:r>
    </w:p>
    <w:p>
      <w:pPr>
        <w:widowControl/>
        <w:ind w:firstLine="560" w:firstLineChars="200"/>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b w:val="0"/>
          <w:bCs w:val="0"/>
          <w:color w:val="000000"/>
          <w:kern w:val="0"/>
          <w:sz w:val="28"/>
          <w:szCs w:val="28"/>
          <w:lang w:val="en-US" w:eastAsia="zh-CN" w:bidi="ar"/>
        </w:rPr>
        <w:t>验收</w:t>
      </w:r>
      <w:r>
        <w:rPr>
          <w:rFonts w:ascii="仿宋_GB2312" w:hAnsi="仿宋_GB2312" w:eastAsia="仿宋_GB2312" w:cs="仿宋_GB2312"/>
          <w:b w:val="0"/>
          <w:bCs w:val="0"/>
          <w:color w:val="000000"/>
          <w:kern w:val="0"/>
          <w:sz w:val="28"/>
          <w:szCs w:val="28"/>
          <w:lang w:val="en-US" w:eastAsia="zh-CN" w:bidi="ar"/>
        </w:rPr>
        <w:t>方式</w:t>
      </w:r>
      <w:r>
        <w:rPr>
          <w:rFonts w:hint="eastAsia" w:ascii="仿宋_GB2312" w:hAnsi="仿宋_GB2312" w:eastAsia="仿宋_GB2312" w:cs="仿宋_GB2312"/>
          <w:b w:val="0"/>
          <w:bCs w:val="0"/>
          <w:color w:val="000000"/>
          <w:kern w:val="0"/>
          <w:sz w:val="28"/>
          <w:szCs w:val="28"/>
          <w:lang w:val="en-US" w:eastAsia="zh-CN" w:bidi="ar"/>
        </w:rPr>
        <w:t>：</w:t>
      </w:r>
      <w:r>
        <w:rPr>
          <w:rFonts w:hint="eastAsia" w:ascii="仿宋_GB2312" w:hAnsi="仿宋_GB2312" w:eastAsia="仿宋_GB2312" w:cs="仿宋_GB2312"/>
          <w:color w:val="000000"/>
          <w:kern w:val="0"/>
          <w:sz w:val="28"/>
          <w:szCs w:val="28"/>
          <w:lang w:bidi="ar"/>
        </w:rPr>
        <w:t>合同期满或者履行完毕后，甲方有权组织</w:t>
      </w:r>
      <w:bookmarkStart w:id="0" w:name="_GoBack"/>
      <w:bookmarkEnd w:id="0"/>
      <w:r>
        <w:rPr>
          <w:rFonts w:hint="eastAsia" w:ascii="仿宋_GB2312" w:hAnsi="仿宋_GB2312" w:eastAsia="仿宋_GB2312" w:cs="仿宋_GB2312"/>
          <w:color w:val="000000"/>
          <w:kern w:val="0"/>
          <w:sz w:val="28"/>
          <w:szCs w:val="28"/>
          <w:lang w:bidi="ar"/>
        </w:rPr>
        <w:t>对乙方履约的验收。</w:t>
      </w:r>
    </w:p>
    <w:p>
      <w:pPr>
        <w:keepNext w:val="0"/>
        <w:keepLines w:val="0"/>
        <w:widowControl/>
        <w:suppressLineNumbers w:val="0"/>
        <w:ind w:firstLine="560" w:firstLineChars="200"/>
        <w:jc w:val="both"/>
        <w:rPr>
          <w:rFonts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验收</w:t>
      </w:r>
      <w:r>
        <w:rPr>
          <w:rFonts w:ascii="仿宋_GB2312" w:hAnsi="仿宋_GB2312" w:eastAsia="仿宋_GB2312" w:cs="仿宋_GB2312"/>
          <w:b w:val="0"/>
          <w:bCs w:val="0"/>
          <w:color w:val="000000"/>
          <w:kern w:val="0"/>
          <w:sz w:val="28"/>
          <w:szCs w:val="28"/>
          <w:lang w:val="en-US" w:eastAsia="zh-CN" w:bidi="ar"/>
        </w:rPr>
        <w:t>内容</w:t>
      </w:r>
      <w:r>
        <w:rPr>
          <w:rFonts w:hint="eastAsia" w:ascii="仿宋_GB2312" w:hAnsi="仿宋_GB2312" w:eastAsia="仿宋_GB2312" w:cs="仿宋_GB2312"/>
          <w:b w:val="0"/>
          <w:bCs w:val="0"/>
          <w:color w:val="000000"/>
          <w:kern w:val="0"/>
          <w:sz w:val="28"/>
          <w:szCs w:val="28"/>
          <w:lang w:val="en-US" w:eastAsia="zh-CN" w:bidi="ar"/>
        </w:rPr>
        <w:t>：实验室仪器设备</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ascii="仿宋_GB2312" w:hAnsi="仿宋_GB2312" w:eastAsia="仿宋_GB2312" w:cs="仿宋_GB2312"/>
          <w:b w:val="0"/>
          <w:bCs w:val="0"/>
          <w:color w:val="000000"/>
          <w:kern w:val="0"/>
          <w:sz w:val="28"/>
          <w:szCs w:val="28"/>
          <w:lang w:val="en-US" w:eastAsia="zh-CN" w:bidi="ar"/>
        </w:rPr>
        <w:t>验收标准</w:t>
      </w:r>
      <w:r>
        <w:rPr>
          <w:rFonts w:hint="eastAsia" w:ascii="仿宋_GB2312" w:hAnsi="仿宋_GB2312" w:eastAsia="仿宋_GB2312" w:cs="仿宋_GB2312"/>
          <w:b w:val="0"/>
          <w:bCs w:val="0"/>
          <w:color w:val="000000"/>
          <w:kern w:val="0"/>
          <w:sz w:val="28"/>
          <w:szCs w:val="28"/>
          <w:lang w:val="en-US" w:eastAsia="zh-CN" w:bidi="ar"/>
        </w:rPr>
        <w:t>：经检验达到合格标准。</w:t>
      </w:r>
    </w:p>
    <w:p>
      <w:pPr>
        <w:keepNext w:val="0"/>
        <w:keepLines w:val="0"/>
        <w:widowControl/>
        <w:suppressLineNumbers w:val="0"/>
        <w:ind w:firstLine="562" w:firstLineChars="200"/>
        <w:jc w:val="both"/>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七、采购标的的其他技术、服务等要求：</w:t>
      </w:r>
      <w:r>
        <w:rPr>
          <w:rFonts w:hint="eastAsia" w:ascii="仿宋_GB2312" w:hAnsi="仿宋_GB2312" w:eastAsia="仿宋_GB2312" w:cs="仿宋_GB2312"/>
          <w:b w:val="0"/>
          <w:bCs w:val="0"/>
          <w:color w:val="000000"/>
          <w:kern w:val="0"/>
          <w:sz w:val="28"/>
          <w:szCs w:val="28"/>
          <w:lang w:val="en-US" w:eastAsia="zh-CN" w:bidi="ar"/>
        </w:rPr>
        <w:t>无</w:t>
      </w:r>
    </w:p>
    <w:p>
      <w:pPr>
        <w:keepNext w:val="0"/>
        <w:keepLines w:val="0"/>
        <w:widowControl/>
        <w:suppressLineNumbers w:val="0"/>
        <w:ind w:firstLine="562" w:firstLineChars="200"/>
        <w:jc w:val="both"/>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八、需要满足的其他技术规格要求</w:t>
      </w:r>
    </w:p>
    <w:p>
      <w:pPr>
        <w:keepNext w:val="0"/>
        <w:keepLines w:val="0"/>
        <w:widowControl/>
        <w:suppressLineNumbers w:val="0"/>
        <w:ind w:firstLine="560" w:firstLineChars="200"/>
        <w:jc w:val="both"/>
        <w:rPr>
          <w:rFonts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1、货物名称：实验室仪器设备</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2、维保期限：除参数中规定的年限外，其余售后三年</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3、货物使用单位：实验室仪器设备</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4、维保用途说明：实验室仪器设备维护</w:t>
      </w:r>
    </w:p>
    <w:p>
      <w:pPr>
        <w:keepNext w:val="0"/>
        <w:keepLines w:val="0"/>
        <w:widowControl/>
        <w:suppressLineNumbers w:val="0"/>
        <w:ind w:firstLine="560" w:firstLineChars="200"/>
        <w:jc w:val="both"/>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5、维保服务参数要求：中标投标单位应保证所供货物质量合格，若质保期内出现问题，采购人有权全部退货。</w:t>
      </w:r>
    </w:p>
    <w:p>
      <w:pPr>
        <w:keepNext w:val="0"/>
        <w:keepLines w:val="0"/>
        <w:widowControl/>
        <w:suppressLineNumbers w:val="0"/>
        <w:ind w:firstLine="562" w:firstLineChars="200"/>
        <w:jc w:val="both"/>
        <w:rPr>
          <w:rFonts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九、该项目为一般性审查</w:t>
      </w:r>
    </w:p>
    <w:p>
      <w:pPr>
        <w:pStyle w:val="2"/>
        <w:numPr>
          <w:ilvl w:val="0"/>
          <w:numId w:val="2"/>
        </w:numPr>
        <w:rPr>
          <w:rFonts w:hint="default"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采购单位审查人员姓名：严伟</w:t>
      </w:r>
    </w:p>
    <w:p>
      <w:pPr>
        <w:pStyle w:val="2"/>
        <w:numPr>
          <w:ilvl w:val="0"/>
          <w:numId w:val="2"/>
        </w:numPr>
        <w:rPr>
          <w:rFonts w:hint="default"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审查时间：2021.9.2</w:t>
      </w:r>
    </w:p>
    <w:p>
      <w:pPr>
        <w:pStyle w:val="2"/>
        <w:numPr>
          <w:ilvl w:val="0"/>
          <w:numId w:val="0"/>
        </w:numPr>
        <w:jc w:val="both"/>
        <w:rPr>
          <w:rFonts w:hint="eastAsia" w:ascii="仿宋_GB2312" w:hAnsi="仿宋_GB2312" w:eastAsia="仿宋_GB2312" w:cs="仿宋_GB2312"/>
          <w:b w:val="0"/>
          <w:bCs w:val="0"/>
          <w:color w:val="000000"/>
          <w:kern w:val="0"/>
          <w:sz w:val="28"/>
          <w:szCs w:val="28"/>
          <w:lang w:val="en-US" w:eastAsia="zh-CN" w:bidi="ar"/>
        </w:rPr>
      </w:pPr>
    </w:p>
    <w:p>
      <w:pPr>
        <w:pStyle w:val="2"/>
        <w:numPr>
          <w:ilvl w:val="0"/>
          <w:numId w:val="0"/>
        </w:numPr>
        <w:jc w:val="center"/>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 xml:space="preserve">                   采 购 单 位：莎车县疾病预防控制中心</w:t>
      </w:r>
    </w:p>
    <w:p>
      <w:pPr>
        <w:pStyle w:val="2"/>
        <w:numPr>
          <w:ilvl w:val="0"/>
          <w:numId w:val="0"/>
        </w:numPr>
        <w:ind w:firstLine="560" w:firstLineChars="200"/>
        <w:jc w:val="center"/>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28"/>
          <w:szCs w:val="28"/>
          <w:lang w:val="en-US" w:eastAsia="zh-CN" w:bidi="ar"/>
        </w:rPr>
        <w:t xml:space="preserve">        </w:t>
      </w:r>
      <w:r>
        <w:rPr>
          <w:rFonts w:hint="eastAsia" w:ascii="仿宋_GB2312" w:hAnsi="仿宋_GB2312" w:eastAsia="仿宋_GB2312" w:cs="仿宋_GB2312"/>
          <w:b w:val="0"/>
          <w:bCs w:val="0"/>
          <w:color w:val="000000"/>
          <w:kern w:val="0"/>
          <w:sz w:val="31"/>
          <w:szCs w:val="31"/>
          <w:lang w:val="en-US" w:eastAsia="zh-CN" w:bidi="ar"/>
        </w:rPr>
        <w:t xml:space="preserve">     </w:t>
      </w:r>
      <w:r>
        <w:rPr>
          <w:rFonts w:hint="default" w:ascii="仿宋_GB2312" w:hAnsi="仿宋_GB2312" w:eastAsia="仿宋_GB2312" w:cs="仿宋_GB2312"/>
          <w:b w:val="0"/>
          <w:bCs w:val="0"/>
          <w:color w:val="000000"/>
          <w:kern w:val="0"/>
          <w:sz w:val="31"/>
          <w:szCs w:val="31"/>
          <w:lang w:val="en-US" w:eastAsia="zh-CN" w:bidi="ar"/>
        </w:rPr>
        <w:t>2021年9月2日</w:t>
      </w:r>
    </w:p>
    <w:p>
      <w:pPr>
        <w:keepNext w:val="0"/>
        <w:keepLines w:val="0"/>
        <w:widowControl/>
        <w:suppressLineNumbers w:val="0"/>
        <w:ind w:firstLine="620" w:firstLineChars="200"/>
        <w:jc w:val="both"/>
        <w:rPr>
          <w:rFonts w:ascii="仿宋_GB2312" w:hAnsi="仿宋_GB2312" w:eastAsia="仿宋_GB2312" w:cs="仿宋_GB2312"/>
          <w:b w:val="0"/>
          <w:bCs w:val="0"/>
          <w:color w:val="000000"/>
          <w:kern w:val="0"/>
          <w:sz w:val="31"/>
          <w:szCs w:val="31"/>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Noto Sans Mono CJK JP Regular">
    <w:altName w:val="Arial"/>
    <w:panose1 w:val="00000000000000000000"/>
    <w:charset w:val="00"/>
    <w:family w:val="swiss"/>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869633"/>
    <w:multiLevelType w:val="singleLevel"/>
    <w:tmpl w:val="12869633"/>
    <w:lvl w:ilvl="0" w:tentative="0">
      <w:start w:val="1"/>
      <w:numFmt w:val="decimal"/>
      <w:suff w:val="nothing"/>
      <w:lvlText w:val="%1、"/>
      <w:lvlJc w:val="left"/>
    </w:lvl>
  </w:abstractNum>
  <w:abstractNum w:abstractNumId="1">
    <w:nsid w:val="6EAF9B0A"/>
    <w:multiLevelType w:val="singleLevel"/>
    <w:tmpl w:val="6EAF9B0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7D0205"/>
    <w:rsid w:val="02C40FCF"/>
    <w:rsid w:val="048F729C"/>
    <w:rsid w:val="04911826"/>
    <w:rsid w:val="06C15122"/>
    <w:rsid w:val="09966EBD"/>
    <w:rsid w:val="0A766299"/>
    <w:rsid w:val="0B004148"/>
    <w:rsid w:val="0BB330CE"/>
    <w:rsid w:val="0DA21A93"/>
    <w:rsid w:val="126E010B"/>
    <w:rsid w:val="13D66CA8"/>
    <w:rsid w:val="15524A55"/>
    <w:rsid w:val="1656228F"/>
    <w:rsid w:val="1EC137C2"/>
    <w:rsid w:val="1F316138"/>
    <w:rsid w:val="1F4E69F5"/>
    <w:rsid w:val="209078C3"/>
    <w:rsid w:val="250B0954"/>
    <w:rsid w:val="2A867A10"/>
    <w:rsid w:val="33D76E9C"/>
    <w:rsid w:val="34414952"/>
    <w:rsid w:val="368E64D2"/>
    <w:rsid w:val="3C7E355F"/>
    <w:rsid w:val="3CED0AEB"/>
    <w:rsid w:val="403F35BB"/>
    <w:rsid w:val="47741A2D"/>
    <w:rsid w:val="485F1214"/>
    <w:rsid w:val="4A1D570A"/>
    <w:rsid w:val="500C48E2"/>
    <w:rsid w:val="512A1DC8"/>
    <w:rsid w:val="52244CD2"/>
    <w:rsid w:val="527D0205"/>
    <w:rsid w:val="53403E04"/>
    <w:rsid w:val="559C75AA"/>
    <w:rsid w:val="570F7309"/>
    <w:rsid w:val="596D3821"/>
    <w:rsid w:val="5D8B0702"/>
    <w:rsid w:val="614F3DBC"/>
    <w:rsid w:val="62BC3321"/>
    <w:rsid w:val="682C2D0D"/>
    <w:rsid w:val="6F2C480B"/>
    <w:rsid w:val="6FD72C97"/>
    <w:rsid w:val="726C3FDA"/>
    <w:rsid w:val="78620DA2"/>
    <w:rsid w:val="79B42C26"/>
    <w:rsid w:val="7A9A4B8D"/>
    <w:rsid w:val="7CAC34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qFormat/>
    <w:uiPriority w:val="0"/>
    <w:pPr>
      <w:spacing w:line="580" w:lineRule="exact"/>
      <w:outlineLvl w:val="0"/>
    </w:pPr>
    <w:rPr>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djustRightInd w:val="0"/>
      <w:spacing w:line="360" w:lineRule="atLeast"/>
      <w:ind w:firstLine="420" w:firstLineChars="200"/>
      <w:jc w:val="left"/>
      <w:textAlignment w:val="baseline"/>
    </w:pPr>
    <w:rPr>
      <w:rFonts w:ascii="Times New Roman" w:hAnsi="Times New Roman" w:cs="Times New Roman"/>
      <w:kern w:val="0"/>
      <w:sz w:val="24"/>
      <w:szCs w:val="24"/>
    </w:rPr>
  </w:style>
  <w:style w:type="paragraph" w:styleId="4">
    <w:name w:val="Body Text"/>
    <w:basedOn w:val="1"/>
    <w:next w:val="1"/>
    <w:qFormat/>
    <w:uiPriority w:val="0"/>
    <w:pPr>
      <w:ind w:left="528"/>
    </w:pPr>
    <w:rPr>
      <w:sz w:val="24"/>
      <w:szCs w:val="24"/>
    </w:rPr>
  </w:style>
  <w:style w:type="paragraph" w:styleId="5">
    <w:name w:val="Body Text Indent"/>
    <w:basedOn w:val="1"/>
    <w:unhideWhenUsed/>
    <w:qFormat/>
    <w:uiPriority w:val="0"/>
    <w:pPr>
      <w:spacing w:after="120"/>
      <w:ind w:left="420" w:leftChars="200"/>
    </w:pPr>
  </w:style>
  <w:style w:type="paragraph" w:styleId="6">
    <w:name w:val="Title"/>
    <w:basedOn w:val="1"/>
    <w:qFormat/>
    <w:uiPriority w:val="0"/>
    <w:pPr>
      <w:spacing w:before="240" w:after="60"/>
      <w:jc w:val="center"/>
      <w:outlineLvl w:val="0"/>
    </w:pPr>
    <w:rPr>
      <w:rFonts w:ascii="Arial" w:hAnsi="Arial" w:cs="Arial"/>
      <w:b/>
      <w:bCs/>
      <w:sz w:val="32"/>
      <w:szCs w:val="32"/>
    </w:rPr>
  </w:style>
  <w:style w:type="paragraph" w:styleId="7">
    <w:name w:val="Body Text First Indent 2"/>
    <w:basedOn w:val="5"/>
    <w:next w:val="1"/>
    <w:qFormat/>
    <w:uiPriority w:val="0"/>
    <w:pPr>
      <w:spacing w:line="360" w:lineRule="auto"/>
      <w:ind w:firstLine="200" w:firstLineChars="200"/>
    </w:pPr>
    <w:rPr>
      <w:rFonts w:eastAsia="仿宋_GB2312"/>
      <w:spacing w:val="15"/>
      <w:kern w:val="10"/>
      <w:sz w:val="24"/>
    </w:rPr>
  </w:style>
  <w:style w:type="paragraph" w:customStyle="1" w:styleId="10">
    <w:name w:val="正文3"/>
    <w:qFormat/>
    <w:uiPriority w:val="99"/>
    <w:pPr>
      <w:jc w:val="both"/>
    </w:pPr>
    <w:rPr>
      <w:rFonts w:ascii="Calibri" w:hAnsi="Calibri" w:eastAsia="宋体" w:cs="Calibri"/>
      <w:kern w:val="2"/>
      <w:sz w:val="21"/>
      <w:szCs w:val="21"/>
      <w:lang w:val="en-US" w:eastAsia="zh-CN" w:bidi="ar-SA"/>
    </w:rPr>
  </w:style>
  <w:style w:type="character" w:customStyle="1" w:styleId="11">
    <w:name w:val="font61"/>
    <w:basedOn w:val="9"/>
    <w:qFormat/>
    <w:uiPriority w:val="0"/>
    <w:rPr>
      <w:rFonts w:hint="eastAsia" w:ascii="宋体" w:hAnsi="宋体" w:eastAsia="宋体" w:cs="宋体"/>
      <w:color w:val="000000"/>
      <w:sz w:val="18"/>
      <w:szCs w:val="18"/>
      <w:u w:val="none"/>
    </w:rPr>
  </w:style>
  <w:style w:type="character" w:customStyle="1" w:styleId="12">
    <w:name w:val="font4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2021-08-11T04:46:00Z</dcterms:created>
  <dc:creator>张珊</dc:creator>
  <cp:lastModifiedBy>Administrator</cp:lastModifiedBy>
  <dcterms:modified xsi:type="dcterms:W3CDTF">2021-09-03T08:24:20Z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986BC928C5A2480F96EB8E1E80BF37A9</vt:lpwstr>
  </property>
</Properties>
</file>