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left"/>
        <w:textAlignment w:val="auto"/>
        <w:rPr>
          <w:rFonts w:hint="eastAsia" w:ascii="华文中宋" w:hAnsi="华文中宋" w:eastAsia="华文中宋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</w:rPr>
        <w:t>哈巴河县哈萨克医医院二期设备采购及信息化建设项目（</w:t>
      </w:r>
      <w:r>
        <w:rPr>
          <w:rFonts w:hint="eastAsia" w:ascii="华文中宋" w:hAnsi="华文中宋" w:eastAsia="华文中宋"/>
          <w:lang w:val="en-US" w:eastAsia="zh-CN"/>
        </w:rPr>
        <w:t>四标段</w:t>
      </w:r>
      <w:r>
        <w:rPr>
          <w:rFonts w:hint="eastAsia" w:ascii="华文中宋" w:hAnsi="华文中宋" w:eastAsia="华文中宋"/>
        </w:rPr>
        <w:t>）</w:t>
      </w:r>
      <w:r>
        <w:rPr>
          <w:rFonts w:hint="eastAsia" w:ascii="华文中宋" w:hAnsi="华文中宋" w:eastAsia="华文中宋"/>
        </w:rPr>
        <w:fldChar w:fldCharType="end"/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四标段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28359002"/>
      <w:bookmarkStart w:id="3" w:name="_Toc35393790"/>
      <w:bookmarkStart w:id="4" w:name="_Toc28359079"/>
      <w:bookmarkStart w:id="5" w:name="_Toc35393621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ZFCGRT2021142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105万元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105万元</w:t>
      </w:r>
      <w:bookmarkStart w:id="33" w:name="_GoBack"/>
      <w:bookmarkEnd w:id="33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两卡制设备。（具体参数及详细内容详见招标文件）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080"/>
      <w:bookmarkStart w:id="8" w:name="_Toc35393622"/>
      <w:bookmarkStart w:id="9" w:name="_Toc35393791"/>
      <w:bookmarkStart w:id="10" w:name="_Toc2835900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04"/>
      <w:bookmarkStart w:id="12" w:name="_Toc2835908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792"/>
      <w:bookmarkStart w:id="14" w:name="_Toc35393623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具有相应的货物供货和安装、调试能力，并有良好的技术支持能力和较强的售后服务能力；3、近三年企业、法定代表人无行贿犯罪记录；4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31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28359084"/>
      <w:bookmarkStart w:id="20" w:name="_Toc35393794"/>
      <w:bookmarkStart w:id="21" w:name="_Toc28359007"/>
      <w:bookmarkStart w:id="22" w:name="_Toc3539362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定代表人授权委托书或法人身份证明书（须备注所投项目名称）；②法定代表人或被授权委托人身份证及近期在本企业缴纳社保证明；③营业执照副本；④“信用中国”（www.creditchina.gov.cn）下载信用报告和中国政府采购网（www.ccgp.gov.cn）网站查询（查询日期不早于本次采购公告日期）⑤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35393627"/>
      <w:bookmarkStart w:id="26" w:name="_Toc28359008"/>
      <w:bookmarkStart w:id="27" w:name="_Toc35393796"/>
      <w:bookmarkStart w:id="28" w:name="_Toc28359085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哈巴河县哈萨克医医院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0906-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6621157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09"/>
      <w:bookmarkStart w:id="30" w:name="_Toc28359086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>辛田华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56E5795"/>
    <w:rsid w:val="0B051A5D"/>
    <w:rsid w:val="0C4E3550"/>
    <w:rsid w:val="0D6057EC"/>
    <w:rsid w:val="10F62E8A"/>
    <w:rsid w:val="16DB16B1"/>
    <w:rsid w:val="181E76A0"/>
    <w:rsid w:val="24D76F83"/>
    <w:rsid w:val="261D2075"/>
    <w:rsid w:val="2A8174F1"/>
    <w:rsid w:val="31CE5CE2"/>
    <w:rsid w:val="39237243"/>
    <w:rsid w:val="41542066"/>
    <w:rsid w:val="4C7D2366"/>
    <w:rsid w:val="4D510965"/>
    <w:rsid w:val="5AA16989"/>
    <w:rsid w:val="5AFD3A06"/>
    <w:rsid w:val="5F2C042B"/>
    <w:rsid w:val="60851DA9"/>
    <w:rsid w:val="64DB7956"/>
    <w:rsid w:val="64FA7B61"/>
    <w:rsid w:val="67DD73AD"/>
    <w:rsid w:val="6A032CA3"/>
    <w:rsid w:val="6D570436"/>
    <w:rsid w:val="6EEA09C7"/>
    <w:rsid w:val="74221CFE"/>
    <w:rsid w:val="761D4522"/>
    <w:rsid w:val="7EC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快乐宝贝</cp:lastModifiedBy>
  <dcterms:modified xsi:type="dcterms:W3CDTF">2021-08-30T12:15:40Z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369D413880F54AAB89EE22D5AC3CAC41</vt:lpwstr>
  </property>
</Properties>
</file>