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hint="eastAsia" w:ascii="仿宋" w:hAnsi="仿宋" w:eastAsia="仿宋" w:cs="仿宋"/>
          <w:b/>
          <w:color w:val="000000"/>
          <w:kern w:val="0"/>
          <w:sz w:val="40"/>
          <w:szCs w:val="40"/>
          <w:lang w:val="en-US" w:eastAsia="zh-CN" w:bidi="zh-CN"/>
        </w:rPr>
      </w:pPr>
      <w:r>
        <w:rPr>
          <w:rFonts w:hint="eastAsia" w:ascii="仿宋" w:hAnsi="仿宋" w:eastAsia="仿宋" w:cs="仿宋"/>
          <w:b/>
          <w:color w:val="000000"/>
          <w:kern w:val="0"/>
          <w:sz w:val="40"/>
          <w:szCs w:val="40"/>
          <w:lang w:val="en-US" w:eastAsia="zh-CN" w:bidi="zh-CN"/>
        </w:rPr>
        <w:t>莎车县莎车镇乡村生态设施建设项目</w:t>
      </w:r>
    </w:p>
    <w:p>
      <w:pPr>
        <w:autoSpaceDE w:val="0"/>
        <w:autoSpaceDN w:val="0"/>
        <w:jc w:val="center"/>
        <w:rPr>
          <w:rFonts w:hint="eastAsia" w:ascii="仿宋" w:hAnsi="仿宋" w:eastAsia="仿宋" w:cs="仿宋"/>
          <w:b/>
          <w:color w:val="000000"/>
          <w:kern w:val="0"/>
          <w:sz w:val="40"/>
          <w:szCs w:val="40"/>
          <w:lang w:val="en-US" w:eastAsia="zh-CN" w:bidi="zh-CN"/>
        </w:rPr>
      </w:pPr>
      <w:r>
        <w:rPr>
          <w:rFonts w:hint="eastAsia" w:ascii="仿宋" w:hAnsi="仿宋" w:eastAsia="仿宋" w:cs="仿宋"/>
          <w:b/>
          <w:color w:val="000000"/>
          <w:kern w:val="0"/>
          <w:sz w:val="40"/>
          <w:szCs w:val="40"/>
          <w:lang w:val="en-US" w:eastAsia="zh-CN" w:bidi="zh-CN"/>
        </w:rPr>
        <w:t>采购需求书</w:t>
      </w:r>
    </w:p>
    <w:p>
      <w:pPr>
        <w:keepNext w:val="0"/>
        <w:keepLines w:val="0"/>
        <w:pageBreakBefore w:val="0"/>
        <w:widowControl/>
        <w:suppressLineNumbers w:val="0"/>
        <w:kinsoku/>
        <w:wordWrap/>
        <w:overflowPunct/>
        <w:topLinePunct w:val="0"/>
        <w:autoSpaceDE/>
        <w:autoSpaceDN/>
        <w:bidi w:val="0"/>
        <w:snapToGrid/>
        <w:spacing w:line="500" w:lineRule="exact"/>
        <w:ind w:firstLine="562" w:firstLineChars="200"/>
        <w:jc w:val="both"/>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一、采购标的需实现的功能或者目标，以及为落实政府采购政策需满足的要求</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（一）采购标的需实现的功能或者目标</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FF"/>
          <w:kern w:val="0"/>
          <w:sz w:val="28"/>
          <w:szCs w:val="28"/>
          <w:lang w:val="en-US" w:eastAsia="zh-CN"/>
        </w:rPr>
      </w:pPr>
      <w:r>
        <w:rPr>
          <w:rFonts w:hint="eastAsia" w:ascii="仿宋" w:hAnsi="仿宋" w:eastAsia="仿宋" w:cs="仿宋"/>
          <w:b w:val="0"/>
          <w:bCs w:val="0"/>
          <w:color w:val="000000"/>
          <w:kern w:val="0"/>
          <w:sz w:val="28"/>
          <w:szCs w:val="28"/>
          <w:lang w:val="en-US" w:eastAsia="zh-CN"/>
        </w:rPr>
        <w:t>为进一步加强莎车县绿化建设，改善生态环境，改善居民生产生活条件，增强居民幸福感、获得感，采购草皮、绿化管道及苗木一批（种植绿植、草坪等、配套管网设施）</w:t>
      </w:r>
      <w:r>
        <w:rPr>
          <w:rFonts w:hint="eastAsia" w:ascii="仿宋" w:hAnsi="仿宋" w:eastAsia="仿宋" w:cs="仿宋"/>
          <w:b w:val="0"/>
          <w:bCs w:val="0"/>
          <w:color w:val="auto"/>
          <w:kern w:val="0"/>
          <w:sz w:val="28"/>
          <w:szCs w:val="28"/>
          <w:lang w:val="en-US" w:eastAsia="zh-CN"/>
        </w:rPr>
        <w:t>。</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（二）为落实政府采购政策需满足的要求</w:t>
      </w:r>
    </w:p>
    <w:p>
      <w:pPr>
        <w:pStyle w:val="6"/>
        <w:keepNext w:val="0"/>
        <w:keepLines w:val="0"/>
        <w:pageBreakBefore w:val="0"/>
        <w:kinsoku/>
        <w:wordWrap/>
        <w:overflowPunct/>
        <w:topLinePunct w:val="0"/>
        <w:autoSpaceDE/>
        <w:autoSpaceDN/>
        <w:bidi w:val="0"/>
        <w:snapToGrid/>
        <w:spacing w:line="500" w:lineRule="exac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 xml:space="preserve">（1）《关于中国环境标志产品政府采购实施的意见》（财库[2006]90号）； </w:t>
      </w:r>
    </w:p>
    <w:p>
      <w:pPr>
        <w:pStyle w:val="6"/>
        <w:keepNext w:val="0"/>
        <w:keepLines w:val="0"/>
        <w:pageBreakBefore w:val="0"/>
        <w:kinsoku/>
        <w:wordWrap/>
        <w:overflowPunct/>
        <w:topLinePunct w:val="0"/>
        <w:autoSpaceDE/>
        <w:autoSpaceDN/>
        <w:bidi w:val="0"/>
        <w:snapToGrid/>
        <w:spacing w:line="500" w:lineRule="exac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（2）《关于开展政府采购信用担保试点工作的通知》（财库【2011】124号）；</w:t>
      </w:r>
    </w:p>
    <w:p>
      <w:pPr>
        <w:pStyle w:val="6"/>
        <w:keepNext w:val="0"/>
        <w:keepLines w:val="0"/>
        <w:pageBreakBefore w:val="0"/>
        <w:kinsoku/>
        <w:wordWrap/>
        <w:overflowPunct/>
        <w:topLinePunct w:val="0"/>
        <w:autoSpaceDE/>
        <w:autoSpaceDN/>
        <w:bidi w:val="0"/>
        <w:snapToGrid/>
        <w:spacing w:line="500" w:lineRule="exac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（3）《关于印发《政府采购促进中小企业发展暂行办法》的通知》（财库【2011】181号）；</w:t>
      </w:r>
    </w:p>
    <w:p>
      <w:pPr>
        <w:pStyle w:val="6"/>
        <w:keepNext w:val="0"/>
        <w:keepLines w:val="0"/>
        <w:pageBreakBefore w:val="0"/>
        <w:kinsoku/>
        <w:wordWrap/>
        <w:overflowPunct/>
        <w:topLinePunct w:val="0"/>
        <w:autoSpaceDE/>
        <w:autoSpaceDN/>
        <w:bidi w:val="0"/>
        <w:snapToGrid/>
        <w:spacing w:line="500" w:lineRule="exac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（4）《财政部、司法部关于政府采购支持监狱企业发展有关问题的通知》（财库【2014】68号）；</w:t>
      </w:r>
    </w:p>
    <w:p>
      <w:pPr>
        <w:pStyle w:val="6"/>
        <w:keepNext w:val="0"/>
        <w:keepLines w:val="0"/>
        <w:pageBreakBefore w:val="0"/>
        <w:kinsoku/>
        <w:wordWrap/>
        <w:overflowPunct/>
        <w:topLinePunct w:val="0"/>
        <w:autoSpaceDE/>
        <w:autoSpaceDN/>
        <w:bidi w:val="0"/>
        <w:snapToGrid/>
        <w:spacing w:line="500" w:lineRule="exact"/>
        <w:rPr>
          <w:rFonts w:hint="eastAsia" w:ascii="仿宋" w:hAnsi="仿宋" w:eastAsia="仿宋" w:cs="仿宋"/>
          <w:spacing w:val="15"/>
          <w:kern w:val="10"/>
          <w:sz w:val="28"/>
          <w:szCs w:val="28"/>
          <w:lang w:val="en-US" w:eastAsia="zh-CN" w:bidi="ar-SA"/>
        </w:rPr>
      </w:pPr>
      <w:r>
        <w:rPr>
          <w:rFonts w:hint="eastAsia" w:ascii="仿宋" w:hAnsi="仿宋" w:eastAsia="仿宋" w:cs="仿宋"/>
          <w:b w:val="0"/>
          <w:bCs w:val="0"/>
          <w:color w:val="000000"/>
          <w:kern w:val="0"/>
          <w:sz w:val="28"/>
          <w:szCs w:val="28"/>
          <w:lang w:val="en-US" w:eastAsia="zh-CN"/>
        </w:rPr>
        <w:t>（5）《关于促进残疾人就业政府采购政策的通知》（财库【2017】141号）等。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keepNext w:val="0"/>
        <w:keepLines w:val="0"/>
        <w:pageBreakBefore w:val="0"/>
        <w:widowControl/>
        <w:suppressLineNumbers w:val="0"/>
        <w:kinsoku/>
        <w:wordWrap/>
        <w:overflowPunct/>
        <w:topLinePunct w:val="0"/>
        <w:autoSpaceDE/>
        <w:autoSpaceDN/>
        <w:bidi w:val="0"/>
        <w:snapToGrid/>
        <w:spacing w:line="500" w:lineRule="exact"/>
        <w:ind w:firstLine="562" w:firstLineChars="200"/>
        <w:jc w:val="both"/>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二、供应商资格</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1、供应商必须符合《中华人民共和国政府采购法》第二十二条的相关规定；</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2落实政府采购政策需满足的资格要求：无</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3本项目的特定资格要求：</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highlight w:val="none"/>
          <w:lang w:val="en-US" w:eastAsia="zh-CN"/>
        </w:rPr>
      </w:pPr>
      <w:r>
        <w:rPr>
          <w:rFonts w:hint="eastAsia" w:ascii="仿宋" w:hAnsi="仿宋" w:eastAsia="仿宋" w:cs="仿宋"/>
          <w:b w:val="0"/>
          <w:bCs w:val="0"/>
          <w:color w:val="000000"/>
          <w:kern w:val="0"/>
          <w:sz w:val="28"/>
          <w:szCs w:val="28"/>
          <w:lang w:val="en-US" w:eastAsia="zh-CN"/>
        </w:rPr>
        <w:t>（1）</w:t>
      </w:r>
      <w:r>
        <w:rPr>
          <w:rFonts w:hint="eastAsia" w:ascii="仿宋" w:hAnsi="仿宋" w:eastAsia="仿宋" w:cs="仿宋"/>
          <w:b w:val="0"/>
          <w:bCs w:val="0"/>
          <w:color w:val="000000"/>
          <w:kern w:val="0"/>
          <w:sz w:val="28"/>
          <w:szCs w:val="28"/>
          <w:highlight w:val="none"/>
          <w:lang w:val="en-US" w:eastAsia="zh-CN"/>
        </w:rPr>
        <w:t>具有合格有效的营业执照（三证合一）；</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highlight w:val="none"/>
          <w:lang w:val="en-US" w:eastAsia="zh-CN"/>
        </w:rPr>
        <w:t>（2）须具有林业主管部门颁发有效的《林木种子生产经营许可证》或《苗木生产经营许可证》和《林业植物检疫登记证》，未两证合一须提供有效的《林木种子生产许可证》和《林木种子经营许可证》或《苗木生产经营许可证》及</w:t>
      </w:r>
      <w:r>
        <w:rPr>
          <w:rFonts w:hint="eastAsia" w:ascii="仿宋" w:hAnsi="仿宋" w:eastAsia="仿宋" w:cs="仿宋"/>
          <w:b w:val="0"/>
          <w:bCs w:val="0"/>
          <w:color w:val="000000"/>
          <w:kern w:val="0"/>
          <w:sz w:val="28"/>
          <w:szCs w:val="28"/>
          <w:lang w:val="en-US" w:eastAsia="zh-CN"/>
        </w:rPr>
        <w:t>《林业植物检疫登记证》；</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（3）法定代表人授权书及被委托人身份证（法定代表人投标提供法定代表人身份证明及身份证）；</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4）供应商具有良好的商业信誉和健全的财务会计制度，提供近1年（2019年度或2020年度）财务审计报告（供应商是法人的提供经审计的财务报告，新公司或其他组织和自然人提供银行出具的近三个月的资信证明）；具有税务局开具依法缴纳2021年度半年完税证明原件或加盖公章的扫描件（2021年成立的新公司无需提供）；</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（5）被委托人必须是投标单位法人或正式员工，需提供社保部门出具的投标单位近连续三个月的缴纳社保证明（单位社保缴纳凭证和委托人个人明细表）（新公司需提供成立至今的社保）；</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6）供应商参加政府采购活动近三年内，在经营活动中没有重大违法记录（未被“信用中国”（www.creditchina.gov.cn）、中国政府采购网（www.ccgp.gov.cn）列入失信被执行人、重大税收违法案件当事人名单、政府采购严重违法失信行为记录名单），（附网上查询截图加盖公章）（注：提供的查询记录为公告发布之日起的截图）；</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（7）提供针对本次项目《反商业贿赂承诺书》及提供本单位在参加政府采购活动中近三年内无重大违法记录的承诺声明函（受行政主管部门的处罚不能参加投标）；</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（8）本项目不接受联合体投标。</w:t>
      </w:r>
    </w:p>
    <w:p>
      <w:pPr>
        <w:keepNext w:val="0"/>
        <w:keepLines w:val="0"/>
        <w:pageBreakBefore w:val="0"/>
        <w:widowControl/>
        <w:suppressLineNumbers w:val="0"/>
        <w:kinsoku/>
        <w:wordWrap/>
        <w:overflowPunct/>
        <w:topLinePunct w:val="0"/>
        <w:autoSpaceDE/>
        <w:autoSpaceDN/>
        <w:bidi w:val="0"/>
        <w:snapToGrid/>
        <w:spacing w:line="500" w:lineRule="exact"/>
        <w:ind w:firstLine="562" w:firstLineChars="200"/>
        <w:jc w:val="both"/>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三、采购标的需执行的国家相关标准、行业标准、地方标准或者其他标准、规范：</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rPr>
        <w:t>1.</w:t>
      </w:r>
      <w:r>
        <w:rPr>
          <w:rFonts w:hint="eastAsia" w:ascii="仿宋" w:hAnsi="仿宋" w:eastAsia="仿宋" w:cs="仿宋"/>
          <w:bCs/>
          <w:color w:val="auto"/>
          <w:kern w:val="0"/>
          <w:sz w:val="28"/>
          <w:szCs w:val="28"/>
          <w:highlight w:val="none"/>
          <w:lang w:eastAsia="zh-CN"/>
        </w:rPr>
        <w:t>一包</w:t>
      </w:r>
      <w:r>
        <w:rPr>
          <w:rFonts w:hint="eastAsia" w:ascii="仿宋" w:hAnsi="仿宋" w:eastAsia="仿宋" w:cs="仿宋"/>
          <w:bCs/>
          <w:color w:val="auto"/>
          <w:kern w:val="0"/>
          <w:sz w:val="28"/>
          <w:szCs w:val="28"/>
          <w:highlight w:val="none"/>
          <w:lang w:val="en-US" w:eastAsia="zh-CN"/>
        </w:rPr>
        <w:t>严格按照《园林绿化工程施工及验收规范 CJJ/T82-2012》相关规定及《埋地聚乙烯给水管道工程技术规程》行业标准(CJJ 101—2004)规范化进行。</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w:t>
      </w:r>
      <w:r>
        <w:rPr>
          <w:rFonts w:hint="eastAsia" w:ascii="仿宋" w:hAnsi="仿宋" w:eastAsia="仿宋" w:cs="仿宋"/>
          <w:bCs/>
          <w:color w:val="auto"/>
          <w:kern w:val="0"/>
          <w:sz w:val="28"/>
          <w:szCs w:val="28"/>
          <w:highlight w:val="none"/>
          <w:lang w:eastAsia="zh-CN"/>
        </w:rPr>
        <w:t>二包</w:t>
      </w:r>
      <w:r>
        <w:rPr>
          <w:rFonts w:hint="eastAsia" w:ascii="仿宋" w:hAnsi="仿宋" w:eastAsia="仿宋" w:cs="仿宋"/>
          <w:bCs/>
          <w:color w:val="auto"/>
          <w:kern w:val="0"/>
          <w:sz w:val="28"/>
          <w:szCs w:val="28"/>
          <w:highlight w:val="none"/>
          <w:lang w:val="en-US" w:eastAsia="zh-CN"/>
        </w:rPr>
        <w:t>严格按照《园林绿化工程施工及验收规范 CJJ/T82-2012》相关规定规范化进行。</w:t>
      </w:r>
    </w:p>
    <w:p>
      <w:pPr>
        <w:keepNext w:val="0"/>
        <w:keepLines w:val="0"/>
        <w:pageBreakBefore w:val="0"/>
        <w:widowControl/>
        <w:suppressLineNumbers w:val="0"/>
        <w:kinsoku/>
        <w:wordWrap/>
        <w:overflowPunct/>
        <w:topLinePunct w:val="0"/>
        <w:autoSpaceDE/>
        <w:autoSpaceDN/>
        <w:bidi w:val="0"/>
        <w:snapToGrid/>
        <w:spacing w:line="500" w:lineRule="exact"/>
        <w:ind w:firstLine="562"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bCs/>
          <w:color w:val="000000"/>
          <w:kern w:val="0"/>
          <w:sz w:val="28"/>
          <w:szCs w:val="28"/>
          <w:lang w:val="en-US" w:eastAsia="zh-CN"/>
        </w:rPr>
        <w:t>四、采购实施计划主要内容</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1、采购内容：</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一包：采购草皮、绿化管道，预算价3570000元。</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二包：采购苗木一批，预算价330000元。</w:t>
      </w:r>
    </w:p>
    <w:p>
      <w:pPr>
        <w:keepNext w:val="0"/>
        <w:keepLines w:val="0"/>
        <w:pageBreakBefore w:val="0"/>
        <w:widowControl/>
        <w:numPr>
          <w:ilvl w:val="0"/>
          <w:numId w:val="0"/>
        </w:numPr>
        <w:suppressLineNumbers w:val="0"/>
        <w:tabs>
          <w:tab w:val="left" w:pos="0"/>
        </w:tabs>
        <w:kinsoku/>
        <w:wordWrap/>
        <w:overflowPunct/>
        <w:topLinePunct w:val="0"/>
        <w:autoSpaceDE/>
        <w:autoSpaceDN/>
        <w:bidi w:val="0"/>
        <w:snapToGrid/>
        <w:spacing w:line="500" w:lineRule="exact"/>
        <w:ind w:firstLine="560" w:firstLineChars="200"/>
        <w:jc w:val="both"/>
        <w:rPr>
          <w:rFonts w:hint="eastAsia" w:ascii="仿宋" w:hAnsi="仿宋" w:eastAsia="仿宋" w:cs="仿宋"/>
          <w:i w:val="0"/>
          <w:caps w:val="0"/>
          <w:smallCaps w:val="0"/>
          <w:color w:val="000000"/>
          <w:spacing w:val="0"/>
          <w:sz w:val="28"/>
          <w:szCs w:val="28"/>
          <w:highlight w:val="none"/>
          <w:lang w:val="en-US" w:eastAsia="zh-CN"/>
        </w:rPr>
      </w:pPr>
      <w:r>
        <w:rPr>
          <w:rFonts w:hint="eastAsia" w:ascii="仿宋" w:hAnsi="仿宋" w:eastAsia="仿宋" w:cs="仿宋"/>
          <w:b w:val="0"/>
          <w:bCs w:val="0"/>
          <w:color w:val="000000"/>
          <w:kern w:val="0"/>
          <w:sz w:val="28"/>
          <w:szCs w:val="28"/>
          <w:lang w:val="en-US" w:eastAsia="zh-CN"/>
        </w:rPr>
        <w:t>2、采购项目总预（概）算：3900000</w:t>
      </w:r>
      <w:r>
        <w:rPr>
          <w:rFonts w:hint="eastAsia" w:ascii="仿宋" w:hAnsi="仿宋" w:eastAsia="仿宋" w:cs="仿宋"/>
          <w:i w:val="0"/>
          <w:caps w:val="0"/>
          <w:smallCaps w:val="0"/>
          <w:color w:val="000000"/>
          <w:spacing w:val="0"/>
          <w:sz w:val="28"/>
          <w:szCs w:val="28"/>
          <w:highlight w:val="none"/>
          <w:lang w:val="en-US" w:eastAsia="zh-CN"/>
        </w:rPr>
        <w:t>元</w:t>
      </w:r>
    </w:p>
    <w:p>
      <w:pPr>
        <w:keepNext w:val="0"/>
        <w:keepLines w:val="0"/>
        <w:pageBreakBefore w:val="0"/>
        <w:widowControl/>
        <w:numPr>
          <w:ilvl w:val="0"/>
          <w:numId w:val="0"/>
        </w:numPr>
        <w:suppressLineNumbers w:val="0"/>
        <w:tabs>
          <w:tab w:val="left" w:pos="0"/>
        </w:tabs>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3、开展采购活动的时间安排：2021年9月28日下午16点00分（北京时间）</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4、采购组织形式：分散委托社会代理机构</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5、委托代理安排：法正项目管理集团有限公司</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6、采购包划分与合同分包：</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1、采购内容：</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一包：采购草皮、绿化管道，预算价3570000元。</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二包：采购苗木一批，预算价330000元。</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8、采购方式：公开招标</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9、竞争范围：全国</w:t>
      </w:r>
    </w:p>
    <w:p>
      <w:pPr>
        <w:keepNext w:val="0"/>
        <w:keepLines w:val="0"/>
        <w:pageBreakBefore w:val="0"/>
        <w:widowControl/>
        <w:suppressLineNumbers w:val="0"/>
        <w:kinsoku/>
        <w:wordWrap/>
        <w:overflowPunct/>
        <w:topLinePunct w:val="0"/>
        <w:autoSpaceDE/>
        <w:autoSpaceDN/>
        <w:bidi w:val="0"/>
        <w:snapToGrid/>
        <w:spacing w:line="500" w:lineRule="exact"/>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10、评审规则：本次评标采用综合评分法，即评委会在符合有效投标范畴且最大限度地满足招标文件实质性要求前提下，对投标人的价格部分、技术部分、商务部分三部分进行综合评审和独立评分。</w:t>
      </w:r>
    </w:p>
    <w:p>
      <w:pPr>
        <w:keepNext w:val="0"/>
        <w:keepLines w:val="0"/>
        <w:pageBreakBefore w:val="0"/>
        <w:widowControl/>
        <w:suppressLineNumbers w:val="0"/>
        <w:kinsoku/>
        <w:wordWrap/>
        <w:overflowPunct/>
        <w:topLinePunct w:val="0"/>
        <w:autoSpaceDE/>
        <w:autoSpaceDN/>
        <w:bidi w:val="0"/>
        <w:snapToGrid/>
        <w:spacing w:line="500" w:lineRule="exact"/>
        <w:ind w:firstLine="622" w:firstLineChars="200"/>
        <w:jc w:val="both"/>
        <w:rPr>
          <w:rFonts w:hint="eastAsia" w:ascii="仿宋" w:hAnsi="仿宋" w:eastAsia="仿宋" w:cs="仿宋"/>
          <w:b/>
          <w:bCs/>
          <w:color w:val="auto"/>
          <w:kern w:val="0"/>
          <w:sz w:val="31"/>
          <w:szCs w:val="31"/>
          <w:lang w:val="en-US" w:eastAsia="zh-CN"/>
        </w:rPr>
      </w:pPr>
    </w:p>
    <w:p>
      <w:pPr>
        <w:keepNext w:val="0"/>
        <w:keepLines w:val="0"/>
        <w:pageBreakBefore w:val="0"/>
        <w:widowControl/>
        <w:suppressLineNumbers w:val="0"/>
        <w:kinsoku/>
        <w:wordWrap/>
        <w:overflowPunct/>
        <w:topLinePunct w:val="0"/>
        <w:autoSpaceDE/>
        <w:autoSpaceDN/>
        <w:bidi w:val="0"/>
        <w:snapToGrid/>
        <w:spacing w:line="500" w:lineRule="exact"/>
        <w:ind w:firstLine="622" w:firstLineChars="200"/>
        <w:jc w:val="both"/>
        <w:rPr>
          <w:rFonts w:hint="eastAsia" w:ascii="仿宋" w:hAnsi="仿宋" w:eastAsia="仿宋" w:cs="仿宋"/>
          <w:b/>
          <w:bCs/>
          <w:color w:val="auto"/>
          <w:kern w:val="0"/>
          <w:sz w:val="31"/>
          <w:szCs w:val="31"/>
          <w:lang w:val="en-US" w:eastAsia="zh-CN"/>
        </w:rPr>
      </w:pPr>
    </w:p>
    <w:p>
      <w:pPr>
        <w:keepNext w:val="0"/>
        <w:keepLines w:val="0"/>
        <w:pageBreakBefore w:val="0"/>
        <w:widowControl/>
        <w:suppressLineNumbers w:val="0"/>
        <w:kinsoku/>
        <w:wordWrap/>
        <w:overflowPunct/>
        <w:topLinePunct w:val="0"/>
        <w:autoSpaceDE/>
        <w:autoSpaceDN/>
        <w:bidi w:val="0"/>
        <w:snapToGrid/>
        <w:spacing w:line="500" w:lineRule="exact"/>
        <w:ind w:firstLine="622" w:firstLineChars="200"/>
        <w:jc w:val="both"/>
        <w:rPr>
          <w:rFonts w:hint="eastAsia" w:ascii="仿宋" w:hAnsi="仿宋" w:eastAsia="仿宋" w:cs="仿宋"/>
          <w:b/>
          <w:bCs/>
          <w:color w:val="auto"/>
          <w:kern w:val="0"/>
          <w:sz w:val="31"/>
          <w:szCs w:val="31"/>
          <w:lang w:val="en-US" w:eastAsia="zh-CN"/>
        </w:rPr>
      </w:pPr>
    </w:p>
    <w:p>
      <w:pPr>
        <w:keepNext w:val="0"/>
        <w:keepLines w:val="0"/>
        <w:pageBreakBefore w:val="0"/>
        <w:widowControl/>
        <w:suppressLineNumbers w:val="0"/>
        <w:kinsoku/>
        <w:wordWrap/>
        <w:overflowPunct/>
        <w:topLinePunct w:val="0"/>
        <w:autoSpaceDE/>
        <w:autoSpaceDN/>
        <w:bidi w:val="0"/>
        <w:snapToGrid/>
        <w:spacing w:line="500" w:lineRule="exact"/>
        <w:ind w:firstLine="622" w:firstLineChars="200"/>
        <w:jc w:val="both"/>
        <w:rPr>
          <w:rFonts w:hint="eastAsia" w:ascii="仿宋" w:hAnsi="仿宋" w:eastAsia="仿宋" w:cs="仿宋"/>
          <w:b/>
          <w:bCs/>
          <w:color w:val="auto"/>
          <w:kern w:val="0"/>
          <w:sz w:val="31"/>
          <w:szCs w:val="31"/>
          <w:lang w:val="en-US" w:eastAsia="zh-CN"/>
        </w:rPr>
      </w:pPr>
    </w:p>
    <w:p>
      <w:pPr>
        <w:keepNext w:val="0"/>
        <w:keepLines w:val="0"/>
        <w:pageBreakBefore w:val="0"/>
        <w:widowControl/>
        <w:suppressLineNumbers w:val="0"/>
        <w:kinsoku/>
        <w:wordWrap/>
        <w:overflowPunct/>
        <w:topLinePunct w:val="0"/>
        <w:autoSpaceDE/>
        <w:autoSpaceDN/>
        <w:bidi w:val="0"/>
        <w:snapToGrid/>
        <w:spacing w:line="500" w:lineRule="exact"/>
        <w:ind w:firstLine="622" w:firstLineChars="200"/>
        <w:jc w:val="both"/>
        <w:rPr>
          <w:rFonts w:hint="eastAsia" w:ascii="仿宋" w:hAnsi="仿宋" w:eastAsia="仿宋" w:cs="仿宋"/>
          <w:b w:val="0"/>
          <w:bCs w:val="0"/>
          <w:color w:val="auto"/>
          <w:kern w:val="0"/>
          <w:sz w:val="31"/>
          <w:szCs w:val="31"/>
          <w:lang w:val="en-US" w:eastAsia="zh-CN"/>
        </w:rPr>
      </w:pPr>
      <w:r>
        <w:rPr>
          <w:rFonts w:hint="eastAsia" w:ascii="仿宋" w:hAnsi="仿宋" w:eastAsia="仿宋" w:cs="仿宋"/>
          <w:b/>
          <w:bCs/>
          <w:color w:val="auto"/>
          <w:kern w:val="0"/>
          <w:sz w:val="31"/>
          <w:szCs w:val="31"/>
          <w:lang w:val="en-US" w:eastAsia="zh-CN"/>
        </w:rPr>
        <w:t>五、采购标的内容、数量，包括技术要求和商务要求</w:t>
      </w:r>
    </w:p>
    <w:p>
      <w:pPr>
        <w:spacing w:line="240" w:lineRule="atLeast"/>
        <w:jc w:val="center"/>
        <w:rPr>
          <w:rFonts w:hint="eastAsia"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一包：采购草皮、绿化管道</w:t>
      </w:r>
    </w:p>
    <w:tbl>
      <w:tblPr>
        <w:tblStyle w:val="13"/>
        <w:tblW w:w="8663" w:type="dxa"/>
        <w:jc w:val="center"/>
        <w:tblLayout w:type="fixed"/>
        <w:tblCellMar>
          <w:top w:w="0" w:type="dxa"/>
          <w:left w:w="0" w:type="dxa"/>
          <w:bottom w:w="0" w:type="dxa"/>
          <w:right w:w="0" w:type="dxa"/>
        </w:tblCellMar>
      </w:tblPr>
      <w:tblGrid>
        <w:gridCol w:w="724"/>
        <w:gridCol w:w="1134"/>
        <w:gridCol w:w="3969"/>
        <w:gridCol w:w="1134"/>
        <w:gridCol w:w="851"/>
        <w:gridCol w:w="851"/>
      </w:tblGrid>
      <w:tr>
        <w:tblPrEx>
          <w:tblCellMar>
            <w:top w:w="0" w:type="dxa"/>
            <w:left w:w="0" w:type="dxa"/>
            <w:bottom w:w="0" w:type="dxa"/>
            <w:right w:w="0" w:type="dxa"/>
          </w:tblCellMar>
        </w:tblPrEx>
        <w:trPr>
          <w:trHeight w:val="480" w:hRule="atLeast"/>
          <w:jc w:val="center"/>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39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规格要求和主要技术参数</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数量</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单位</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tblPrEx>
          <w:tblCellMar>
            <w:top w:w="0" w:type="dxa"/>
            <w:left w:w="0" w:type="dxa"/>
            <w:bottom w:w="0" w:type="dxa"/>
            <w:right w:w="0" w:type="dxa"/>
          </w:tblCellMar>
        </w:tblPrEx>
        <w:trPr>
          <w:trHeight w:val="458" w:hRule="atLeast"/>
          <w:jc w:val="center"/>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铺种草皮</w:t>
            </w:r>
          </w:p>
        </w:tc>
        <w:tc>
          <w:tcPr>
            <w:tcW w:w="39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rPr>
                <w:rFonts w:hint="eastAsia" w:ascii="仿宋" w:hAnsi="仿宋" w:eastAsia="仿宋" w:cs="仿宋"/>
                <w:sz w:val="24"/>
                <w:szCs w:val="24"/>
              </w:rPr>
            </w:pPr>
            <w:r>
              <w:rPr>
                <w:rFonts w:hint="eastAsia" w:ascii="仿宋" w:hAnsi="仿宋" w:eastAsia="仿宋" w:cs="仿宋"/>
                <w:sz w:val="24"/>
                <w:szCs w:val="24"/>
              </w:rPr>
              <w:t>提供优质成品草坪，草籽以高羊茅、黑麦草、早熟禾混播，含养护三年。草坪要求带土，厚度不小于10cm，浓密无杂草，要求耐旱、耐寒、耐践踏。</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50000</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m2</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含养护三年</w:t>
            </w:r>
          </w:p>
        </w:tc>
      </w:tr>
      <w:tr>
        <w:tblPrEx>
          <w:tblCellMar>
            <w:top w:w="0" w:type="dxa"/>
            <w:left w:w="0" w:type="dxa"/>
            <w:bottom w:w="0" w:type="dxa"/>
            <w:right w:w="0" w:type="dxa"/>
          </w:tblCellMar>
        </w:tblPrEx>
        <w:trPr>
          <w:trHeight w:val="538" w:hRule="atLeast"/>
          <w:jc w:val="center"/>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HDPE110管</w:t>
            </w:r>
          </w:p>
        </w:tc>
        <w:tc>
          <w:tcPr>
            <w:tcW w:w="39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rPr>
                <w:rFonts w:hint="eastAsia" w:ascii="仿宋" w:hAnsi="仿宋" w:eastAsia="仿宋" w:cs="仿宋"/>
                <w:sz w:val="24"/>
                <w:szCs w:val="24"/>
              </w:rPr>
            </w:pPr>
            <w:r>
              <w:rPr>
                <w:rFonts w:hint="eastAsia" w:ascii="仿宋" w:hAnsi="仿宋" w:eastAsia="仿宋" w:cs="仿宋"/>
                <w:sz w:val="24"/>
                <w:szCs w:val="24"/>
              </w:rPr>
              <w:t xml:space="preserve">国标，壁厚：6.6mm，米重：2.191KG                          公称直径：110mm ，标准尺寸比SDR17，PN0.8MPa，黑色带蓝条 ，连续使用湿度：20                         </w:t>
            </w:r>
          </w:p>
          <w:p>
            <w:pPr>
              <w:rPr>
                <w:rFonts w:hint="eastAsia" w:ascii="仿宋" w:hAnsi="仿宋" w:eastAsia="仿宋" w:cs="仿宋"/>
                <w:sz w:val="24"/>
                <w:szCs w:val="24"/>
              </w:rPr>
            </w:pPr>
            <w:r>
              <w:rPr>
                <w:rFonts w:hint="eastAsia" w:ascii="仿宋" w:hAnsi="仿宋" w:eastAsia="仿宋" w:cs="仿宋"/>
                <w:sz w:val="24"/>
                <w:szCs w:val="24"/>
              </w:rPr>
              <w:t>原料材质：100%高密度聚乙烯（HDPE），无色、无味、无臭的白色颗粒，添加黑色色母，熔点约为130摄氏度，相对密度为0.914-0.96，具有良好的耐热性和耐寒性，化学稳定性好，还具有较高的刚性和韧性，机械强度好。介电性能，耐环境应力开裂性亦较好，在加工时不添加重金属盐稳定剂，材质无毒性，无结垢层，具有耐腐蚀性能，无电化学腐蚀，具有长久的使用寿命：在额定温度、压力状况下，管道可安全使用30年以上，具有耐冲击性，韧性好，耐冲击强度高，重物直接压过管道，不会导致管道破裂。包含管道安装施工。</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2134.8</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sz w:val="24"/>
                <w:szCs w:val="32"/>
              </w:rPr>
            </w:pPr>
            <w:r>
              <w:rPr>
                <w:rFonts w:hint="eastAsia" w:ascii="仿宋" w:hAnsi="仿宋" w:eastAsia="仿宋" w:cs="仿宋"/>
                <w:sz w:val="24"/>
                <w:szCs w:val="32"/>
              </w:rPr>
              <w:t>m</w:t>
            </w:r>
          </w:p>
        </w:tc>
        <w:tc>
          <w:tcPr>
            <w:tcW w:w="851" w:type="dxa"/>
            <w:vMerge w:val="restart"/>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sz w:val="24"/>
                <w:szCs w:val="32"/>
              </w:rPr>
            </w:pPr>
            <w:r>
              <w:rPr>
                <w:rFonts w:hint="eastAsia" w:ascii="仿宋" w:hAnsi="仿宋" w:eastAsia="仿宋" w:cs="仿宋"/>
                <w:sz w:val="24"/>
                <w:szCs w:val="32"/>
              </w:rPr>
              <w:t>含管道铺设施工安装，管道填埋深度1.3米</w:t>
            </w:r>
          </w:p>
        </w:tc>
      </w:tr>
      <w:tr>
        <w:tblPrEx>
          <w:tblCellMar>
            <w:top w:w="0" w:type="dxa"/>
            <w:left w:w="0" w:type="dxa"/>
            <w:bottom w:w="0" w:type="dxa"/>
            <w:right w:w="0" w:type="dxa"/>
          </w:tblCellMar>
        </w:tblPrEx>
        <w:trPr>
          <w:trHeight w:val="546" w:hRule="atLeast"/>
          <w:jc w:val="center"/>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HDPE50管</w:t>
            </w:r>
          </w:p>
        </w:tc>
        <w:tc>
          <w:tcPr>
            <w:tcW w:w="39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国标，壁厚：2.9mm，米重：0.458KG，公称直径：50mm ，标准尺寸比SDR17，PN0.8MPa，黑色带蓝条 ，连续使用湿度：20 ,原料材质：100%高密度聚乙烯（HDPE），无色、无味、无臭的白色颗粒，添加黑色色母，熔点约为130摄氏度，相对密度为0.914-0.96，具有良好的耐热性和耐寒性，化学稳定性好，还具有较高的刚性和韧性，机械强度好。介电性能，耐环境应力开裂性亦较好，在加工时不添加重金属盐稳定剂，材质无毒性，无结垢层，具有耐腐蚀性能，无电化学腐蚀，具有长久的使用寿命：在额定温度、压力状况下，管道可安全使用30年以上，具有耐冲击性，韧性好，耐冲击强度高，重物直接压过管道，不会导致管道破裂。包含管道安装施工。</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3197</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sz w:val="24"/>
                <w:szCs w:val="32"/>
              </w:rPr>
            </w:pPr>
            <w:r>
              <w:rPr>
                <w:rFonts w:hint="eastAsia" w:ascii="仿宋" w:hAnsi="仿宋" w:eastAsia="仿宋" w:cs="仿宋"/>
                <w:sz w:val="24"/>
                <w:szCs w:val="32"/>
              </w:rPr>
              <w:t>m</w:t>
            </w:r>
          </w:p>
        </w:tc>
        <w:tc>
          <w:tcPr>
            <w:tcW w:w="851" w:type="dxa"/>
            <w:vMerge w:val="continue"/>
            <w:tcBorders>
              <w:left w:val="single" w:color="auto" w:sz="4" w:space="0"/>
              <w:right w:val="single" w:color="000000" w:sz="4" w:space="0"/>
            </w:tcBorders>
            <w:noWrap w:val="0"/>
            <w:vAlign w:val="center"/>
          </w:tcPr>
          <w:p>
            <w:pPr>
              <w:jc w:val="center"/>
              <w:rPr>
                <w:rFonts w:hint="eastAsia" w:ascii="仿宋" w:hAnsi="仿宋" w:eastAsia="仿宋" w:cs="仿宋"/>
                <w:sz w:val="24"/>
                <w:szCs w:val="32"/>
              </w:rPr>
            </w:pPr>
          </w:p>
        </w:tc>
      </w:tr>
      <w:tr>
        <w:tblPrEx>
          <w:tblCellMar>
            <w:top w:w="0" w:type="dxa"/>
            <w:left w:w="0" w:type="dxa"/>
            <w:bottom w:w="0" w:type="dxa"/>
            <w:right w:w="0" w:type="dxa"/>
          </w:tblCellMar>
        </w:tblPrEx>
        <w:trPr>
          <w:trHeight w:val="546" w:hRule="atLeast"/>
          <w:jc w:val="center"/>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HDPE25管</w:t>
            </w:r>
          </w:p>
        </w:tc>
        <w:tc>
          <w:tcPr>
            <w:tcW w:w="39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支管与摇臂立杆,高密度聚乙烯，PN0.8MPa</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10040</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m</w:t>
            </w:r>
          </w:p>
        </w:tc>
        <w:tc>
          <w:tcPr>
            <w:tcW w:w="851" w:type="dxa"/>
            <w:vMerge w:val="continue"/>
            <w:tcBorders>
              <w:left w:val="single" w:color="auto" w:sz="4" w:space="0"/>
              <w:right w:val="single" w:color="000000" w:sz="4" w:space="0"/>
            </w:tcBorders>
            <w:noWrap w:val="0"/>
            <w:vAlign w:val="center"/>
          </w:tcPr>
          <w:p>
            <w:pPr>
              <w:jc w:val="center"/>
              <w:rPr>
                <w:rFonts w:hint="eastAsia" w:ascii="仿宋" w:hAnsi="仿宋" w:eastAsia="仿宋" w:cs="仿宋"/>
                <w:sz w:val="24"/>
                <w:szCs w:val="32"/>
              </w:rPr>
            </w:pPr>
          </w:p>
        </w:tc>
      </w:tr>
      <w:tr>
        <w:tblPrEx>
          <w:tblCellMar>
            <w:top w:w="0" w:type="dxa"/>
            <w:left w:w="0" w:type="dxa"/>
            <w:bottom w:w="0" w:type="dxa"/>
            <w:right w:w="0" w:type="dxa"/>
          </w:tblCellMar>
        </w:tblPrEx>
        <w:trPr>
          <w:trHeight w:val="546" w:hRule="atLeast"/>
          <w:jc w:val="center"/>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T型出水桩</w:t>
            </w:r>
          </w:p>
        </w:tc>
        <w:tc>
          <w:tcPr>
            <w:tcW w:w="39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外接水源口，24米/套，高密度聚乙烯</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92</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套</w:t>
            </w:r>
          </w:p>
        </w:tc>
        <w:tc>
          <w:tcPr>
            <w:tcW w:w="851" w:type="dxa"/>
            <w:vMerge w:val="continue"/>
            <w:tcBorders>
              <w:left w:val="single" w:color="auto" w:sz="4" w:space="0"/>
              <w:right w:val="single" w:color="000000" w:sz="4" w:space="0"/>
            </w:tcBorders>
            <w:noWrap w:val="0"/>
            <w:vAlign w:val="center"/>
          </w:tcPr>
          <w:p>
            <w:pPr>
              <w:jc w:val="center"/>
              <w:rPr>
                <w:rFonts w:hint="eastAsia" w:ascii="仿宋" w:hAnsi="仿宋" w:eastAsia="仿宋" w:cs="仿宋"/>
                <w:sz w:val="24"/>
                <w:szCs w:val="32"/>
              </w:rPr>
            </w:pPr>
          </w:p>
        </w:tc>
      </w:tr>
      <w:tr>
        <w:tblPrEx>
          <w:tblCellMar>
            <w:top w:w="0" w:type="dxa"/>
            <w:left w:w="0" w:type="dxa"/>
            <w:bottom w:w="0" w:type="dxa"/>
            <w:right w:w="0" w:type="dxa"/>
          </w:tblCellMar>
        </w:tblPrEx>
        <w:trPr>
          <w:trHeight w:val="546" w:hRule="atLeast"/>
          <w:jc w:val="center"/>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摇臂喷头De25</w:t>
            </w:r>
          </w:p>
        </w:tc>
        <w:tc>
          <w:tcPr>
            <w:tcW w:w="39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接口尺寸:1/2”外螺纹、3/4外螺纹、1”内螺纹;工作压力范围:150～350kPa；流量:0.43～8.00m3/h；射程:3～10m；塑料材质。</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1569</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sz w:val="24"/>
                <w:szCs w:val="32"/>
              </w:rPr>
            </w:pPr>
            <w:r>
              <w:rPr>
                <w:rFonts w:hint="eastAsia" w:ascii="仿宋" w:hAnsi="仿宋" w:eastAsia="仿宋" w:cs="仿宋"/>
                <w:sz w:val="24"/>
                <w:szCs w:val="32"/>
                <w:lang w:val="en-US" w:eastAsia="zh-CN"/>
              </w:rPr>
              <w:t>套</w:t>
            </w:r>
          </w:p>
        </w:tc>
        <w:tc>
          <w:tcPr>
            <w:tcW w:w="851" w:type="dxa"/>
            <w:vMerge w:val="continue"/>
            <w:tcBorders>
              <w:left w:val="single" w:color="auto" w:sz="4" w:space="0"/>
              <w:right w:val="single" w:color="000000" w:sz="4" w:space="0"/>
            </w:tcBorders>
            <w:noWrap w:val="0"/>
            <w:vAlign w:val="center"/>
          </w:tcPr>
          <w:p>
            <w:pPr>
              <w:jc w:val="center"/>
              <w:rPr>
                <w:rFonts w:hint="eastAsia" w:ascii="仿宋" w:hAnsi="仿宋" w:eastAsia="仿宋" w:cs="仿宋"/>
                <w:sz w:val="24"/>
                <w:szCs w:val="32"/>
              </w:rPr>
            </w:pPr>
          </w:p>
        </w:tc>
      </w:tr>
      <w:tr>
        <w:tblPrEx>
          <w:tblCellMar>
            <w:top w:w="0" w:type="dxa"/>
            <w:left w:w="0" w:type="dxa"/>
            <w:bottom w:w="0" w:type="dxa"/>
            <w:right w:w="0" w:type="dxa"/>
          </w:tblCellMar>
        </w:tblPrEx>
        <w:trPr>
          <w:trHeight w:val="546" w:hRule="atLeast"/>
          <w:jc w:val="center"/>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球阀HDPE50</w:t>
            </w:r>
          </w:p>
        </w:tc>
        <w:tc>
          <w:tcPr>
            <w:tcW w:w="39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装在出生桩与HDPE∅50管上的分水流阀门，高密度聚乙烯配件，DN50钢芯球阀，配件要求16KG压力，高密度聚乙烯（HDPE).</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209</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个</w:t>
            </w:r>
          </w:p>
        </w:tc>
        <w:tc>
          <w:tcPr>
            <w:tcW w:w="851" w:type="dxa"/>
            <w:vMerge w:val="continue"/>
            <w:tcBorders>
              <w:left w:val="single" w:color="auto" w:sz="4" w:space="0"/>
              <w:right w:val="single" w:color="000000" w:sz="4" w:space="0"/>
            </w:tcBorders>
            <w:noWrap w:val="0"/>
            <w:vAlign w:val="center"/>
          </w:tcPr>
          <w:p>
            <w:pPr>
              <w:jc w:val="center"/>
              <w:rPr>
                <w:rFonts w:hint="eastAsia" w:ascii="仿宋" w:hAnsi="仿宋" w:eastAsia="仿宋" w:cs="仿宋"/>
                <w:sz w:val="24"/>
                <w:szCs w:val="32"/>
              </w:rPr>
            </w:pPr>
          </w:p>
        </w:tc>
      </w:tr>
      <w:tr>
        <w:tblPrEx>
          <w:tblCellMar>
            <w:top w:w="0" w:type="dxa"/>
            <w:left w:w="0" w:type="dxa"/>
            <w:bottom w:w="0" w:type="dxa"/>
            <w:right w:w="0" w:type="dxa"/>
          </w:tblCellMar>
        </w:tblPrEx>
        <w:trPr>
          <w:trHeight w:val="546" w:hRule="atLeast"/>
          <w:jc w:val="center"/>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HDPE110蝶阀</w:t>
            </w:r>
          </w:p>
        </w:tc>
        <w:tc>
          <w:tcPr>
            <w:tcW w:w="39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装在出生桩与HDPE∅110管上的分水流阀门，DN110钢芯蝶阀，配件要求16KG压力，高密度聚乙烯（HDPE).</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个</w:t>
            </w:r>
          </w:p>
        </w:tc>
        <w:tc>
          <w:tcPr>
            <w:tcW w:w="851" w:type="dxa"/>
            <w:vMerge w:val="continue"/>
            <w:tcBorders>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sz w:val="24"/>
                <w:szCs w:val="32"/>
              </w:rPr>
            </w:pPr>
          </w:p>
        </w:tc>
      </w:tr>
      <w:tr>
        <w:tblPrEx>
          <w:tblCellMar>
            <w:top w:w="0" w:type="dxa"/>
            <w:left w:w="0" w:type="dxa"/>
            <w:bottom w:w="0" w:type="dxa"/>
            <w:right w:w="0" w:type="dxa"/>
          </w:tblCellMar>
        </w:tblPrEx>
        <w:trPr>
          <w:trHeight w:val="546" w:hRule="atLeast"/>
          <w:jc w:val="center"/>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塑料成品阀门箱</w:t>
            </w:r>
          </w:p>
        </w:tc>
        <w:tc>
          <w:tcPr>
            <w:tcW w:w="39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规格：205*150*230mm                      材料为高密度聚乙烯（PE）塑料，韧性好拉伸不易开裂，阀门箱分箱体和箱盖两部分。</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117</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套</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sz w:val="24"/>
                <w:szCs w:val="32"/>
              </w:rPr>
            </w:pPr>
          </w:p>
        </w:tc>
      </w:tr>
      <w:tr>
        <w:tblPrEx>
          <w:tblCellMar>
            <w:top w:w="0" w:type="dxa"/>
            <w:left w:w="0" w:type="dxa"/>
            <w:bottom w:w="0" w:type="dxa"/>
            <w:right w:w="0" w:type="dxa"/>
          </w:tblCellMar>
        </w:tblPrEx>
        <w:trPr>
          <w:trHeight w:val="546" w:hRule="atLeast"/>
          <w:jc w:val="center"/>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sz w:val="24"/>
                <w:szCs w:val="24"/>
              </w:rPr>
            </w:pPr>
          </w:p>
        </w:tc>
        <w:tc>
          <w:tcPr>
            <w:tcW w:w="39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仿宋" w:hAnsi="仿宋" w:eastAsia="仿宋" w:cs="仿宋"/>
                <w:sz w:val="24"/>
                <w:szCs w:val="24"/>
              </w:rPr>
            </w:pPr>
          </w:p>
        </w:tc>
        <w:tc>
          <w:tcPr>
            <w:tcW w:w="113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sz w:val="24"/>
                <w:szCs w:val="24"/>
              </w:rPr>
            </w:pP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sz w:val="24"/>
                <w:szCs w:val="32"/>
              </w:rPr>
            </w:pP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sz w:val="24"/>
                <w:szCs w:val="32"/>
              </w:rPr>
            </w:pPr>
          </w:p>
        </w:tc>
      </w:tr>
    </w:tbl>
    <w:p>
      <w:pPr>
        <w:spacing w:line="240" w:lineRule="atLeast"/>
        <w:jc w:val="left"/>
        <w:rPr>
          <w:rFonts w:hint="eastAsia" w:ascii="仿宋" w:hAnsi="仿宋" w:eastAsia="仿宋" w:cs="仿宋"/>
          <w:b/>
          <w:bCs/>
          <w:color w:val="000000"/>
          <w:sz w:val="24"/>
          <w:highlight w:val="none"/>
        </w:rPr>
      </w:pPr>
    </w:p>
    <w:p>
      <w:pPr>
        <w:spacing w:line="240" w:lineRule="atLeast"/>
        <w:jc w:val="center"/>
        <w:rPr>
          <w:rFonts w:hint="eastAsia"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二包：采购苗木一批</w:t>
      </w:r>
    </w:p>
    <w:p>
      <w:pPr>
        <w:spacing w:line="240" w:lineRule="atLeast"/>
        <w:jc w:val="left"/>
        <w:rPr>
          <w:rFonts w:hint="eastAsia" w:ascii="仿宋" w:hAnsi="仿宋" w:eastAsia="仿宋" w:cs="仿宋"/>
          <w:b/>
          <w:bCs/>
          <w:color w:val="000000"/>
          <w:sz w:val="24"/>
          <w:highlight w:val="none"/>
        </w:rPr>
      </w:pPr>
    </w:p>
    <w:tbl>
      <w:tblPr>
        <w:tblStyle w:val="13"/>
        <w:tblW w:w="8663" w:type="dxa"/>
        <w:tblInd w:w="0" w:type="dxa"/>
        <w:tblLayout w:type="fixed"/>
        <w:tblCellMar>
          <w:top w:w="0" w:type="dxa"/>
          <w:left w:w="0" w:type="dxa"/>
          <w:bottom w:w="0" w:type="dxa"/>
          <w:right w:w="0" w:type="dxa"/>
        </w:tblCellMar>
      </w:tblPr>
      <w:tblGrid>
        <w:gridCol w:w="724"/>
        <w:gridCol w:w="1134"/>
        <w:gridCol w:w="3969"/>
        <w:gridCol w:w="1134"/>
        <w:gridCol w:w="851"/>
        <w:gridCol w:w="851"/>
      </w:tblGrid>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39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规格要求和主要技术参数</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数量</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单位</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tblPrEx>
          <w:tblCellMar>
            <w:top w:w="0" w:type="dxa"/>
            <w:left w:w="0" w:type="dxa"/>
            <w:bottom w:w="0" w:type="dxa"/>
            <w:right w:w="0" w:type="dxa"/>
          </w:tblCellMar>
        </w:tblPrEx>
        <w:trPr>
          <w:trHeight w:val="458"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速生白蜡</w:t>
            </w:r>
          </w:p>
        </w:tc>
        <w:tc>
          <w:tcPr>
            <w:tcW w:w="39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rPr>
                <w:rFonts w:hint="eastAsia" w:ascii="仿宋" w:hAnsi="仿宋" w:eastAsia="仿宋" w:cs="仿宋"/>
                <w:sz w:val="24"/>
                <w:szCs w:val="24"/>
              </w:rPr>
            </w:pPr>
            <w:r>
              <w:rPr>
                <w:rFonts w:hint="eastAsia" w:ascii="仿宋" w:hAnsi="仿宋" w:eastAsia="仿宋" w:cs="仿宋"/>
                <w:sz w:val="24"/>
                <w:szCs w:val="24"/>
              </w:rPr>
              <w:t>米径：7-8cm，带土球麻绳，定杆3.2m，土球不小于50cm，无病虫害，无创伤，保证苗木全部成活。</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1650</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lang w:eastAsia="zh-CN"/>
              </w:rPr>
              <w:t>棵</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0" w:type="dxa"/>
            <w:bottom w:w="0" w:type="dxa"/>
            <w:right w:w="0" w:type="dxa"/>
          </w:tblCellMar>
        </w:tblPrEx>
        <w:trPr>
          <w:trHeight w:val="538"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速生法桐</w:t>
            </w:r>
          </w:p>
        </w:tc>
        <w:tc>
          <w:tcPr>
            <w:tcW w:w="39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rPr>
                <w:rFonts w:hint="eastAsia" w:ascii="仿宋" w:hAnsi="仿宋" w:eastAsia="仿宋" w:cs="仿宋"/>
                <w:sz w:val="24"/>
                <w:szCs w:val="24"/>
              </w:rPr>
            </w:pPr>
            <w:r>
              <w:rPr>
                <w:rFonts w:hint="eastAsia" w:ascii="仿宋" w:hAnsi="仿宋" w:eastAsia="仿宋" w:cs="仿宋"/>
                <w:sz w:val="24"/>
                <w:szCs w:val="24"/>
              </w:rPr>
              <w:t>米径：7-8cm，带土球麻绳，定杆3.2m，土球不小于50cm，无病虫害，无创伤，保证苗木全部成活。</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650</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sz w:val="24"/>
                <w:szCs w:val="32"/>
              </w:rPr>
            </w:pPr>
            <w:r>
              <w:rPr>
                <w:rFonts w:hint="eastAsia" w:ascii="仿宋" w:hAnsi="仿宋" w:eastAsia="仿宋" w:cs="仿宋"/>
                <w:sz w:val="24"/>
                <w:szCs w:val="24"/>
                <w:lang w:eastAsia="zh-CN"/>
              </w:rPr>
              <w:t>棵</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0" w:type="dxa"/>
            <w:bottom w:w="0" w:type="dxa"/>
            <w:right w:w="0" w:type="dxa"/>
          </w:tblCellMar>
        </w:tblPrEx>
        <w:trPr>
          <w:trHeight w:val="546"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lang w:bidi="ar"/>
              </w:rPr>
            </w:pP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sz w:val="24"/>
                <w:szCs w:val="24"/>
              </w:rPr>
            </w:pPr>
          </w:p>
        </w:tc>
        <w:tc>
          <w:tcPr>
            <w:tcW w:w="39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仿宋" w:hAnsi="仿宋" w:eastAsia="仿宋" w:cs="仿宋"/>
                <w:sz w:val="24"/>
                <w:szCs w:val="24"/>
              </w:rPr>
            </w:pPr>
          </w:p>
        </w:tc>
        <w:tc>
          <w:tcPr>
            <w:tcW w:w="113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sz w:val="24"/>
                <w:szCs w:val="24"/>
              </w:rPr>
            </w:pP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sz w:val="24"/>
                <w:szCs w:val="32"/>
              </w:rPr>
            </w:pP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sz w:val="24"/>
                <w:szCs w:val="32"/>
              </w:rPr>
            </w:pPr>
          </w:p>
        </w:tc>
      </w:tr>
      <w:tr>
        <w:tblPrEx>
          <w:tblCellMar>
            <w:top w:w="0" w:type="dxa"/>
            <w:left w:w="0" w:type="dxa"/>
            <w:bottom w:w="0" w:type="dxa"/>
            <w:right w:w="0" w:type="dxa"/>
          </w:tblCellMar>
        </w:tblPrEx>
        <w:trPr>
          <w:trHeight w:val="546"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lang w:bidi="ar"/>
              </w:rPr>
            </w:pP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sz w:val="24"/>
                <w:szCs w:val="24"/>
              </w:rPr>
            </w:pPr>
          </w:p>
        </w:tc>
        <w:tc>
          <w:tcPr>
            <w:tcW w:w="39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仿宋" w:hAnsi="仿宋" w:eastAsia="仿宋" w:cs="仿宋"/>
                <w:sz w:val="24"/>
                <w:szCs w:val="24"/>
              </w:rPr>
            </w:pPr>
          </w:p>
        </w:tc>
        <w:tc>
          <w:tcPr>
            <w:tcW w:w="113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sz w:val="24"/>
                <w:szCs w:val="24"/>
              </w:rPr>
            </w:pP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sz w:val="24"/>
                <w:szCs w:val="32"/>
              </w:rPr>
            </w:pPr>
          </w:p>
        </w:tc>
        <w:tc>
          <w:tcPr>
            <w:tcW w:w="8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sz w:val="24"/>
                <w:szCs w:val="32"/>
              </w:rPr>
            </w:pPr>
          </w:p>
        </w:tc>
      </w:tr>
    </w:tbl>
    <w:p>
      <w:pPr>
        <w:keepNext w:val="0"/>
        <w:keepLines w:val="0"/>
        <w:widowControl/>
        <w:suppressLineNumbers w:val="0"/>
        <w:spacing w:line="480" w:lineRule="exact"/>
        <w:ind w:firstLine="840" w:firstLineChars="300"/>
        <w:jc w:val="both"/>
        <w:rPr>
          <w:rFonts w:hint="eastAsia" w:ascii="仿宋" w:hAnsi="仿宋" w:eastAsia="仿宋" w:cs="仿宋"/>
          <w:b w:val="0"/>
          <w:bCs w:val="0"/>
          <w:color w:val="auto"/>
          <w:kern w:val="0"/>
          <w:sz w:val="28"/>
          <w:szCs w:val="28"/>
          <w:lang w:val="en-US" w:eastAsia="zh-CN"/>
        </w:rPr>
      </w:pPr>
    </w:p>
    <w:p>
      <w:pPr>
        <w:keepNext w:val="0"/>
        <w:keepLines w:val="0"/>
        <w:widowControl/>
        <w:suppressLineNumbers w:val="0"/>
        <w:spacing w:line="480" w:lineRule="exact"/>
        <w:ind w:firstLine="840" w:firstLineChars="300"/>
        <w:jc w:val="both"/>
        <w:rPr>
          <w:rFonts w:hint="eastAsia" w:ascii="仿宋" w:hAnsi="仿宋" w:eastAsia="仿宋" w:cs="仿宋"/>
          <w:b w:val="0"/>
          <w:bCs w:val="0"/>
          <w:color w:val="auto"/>
          <w:kern w:val="0"/>
          <w:sz w:val="28"/>
          <w:szCs w:val="28"/>
          <w:lang w:val="en-US" w:eastAsia="zh-CN"/>
        </w:rPr>
      </w:pPr>
    </w:p>
    <w:p>
      <w:pPr>
        <w:keepNext w:val="0"/>
        <w:keepLines w:val="0"/>
        <w:widowControl/>
        <w:suppressLineNumbers w:val="0"/>
        <w:spacing w:line="480" w:lineRule="exact"/>
        <w:ind w:firstLine="840" w:firstLineChars="300"/>
        <w:jc w:val="both"/>
        <w:rPr>
          <w:rFonts w:hint="eastAsia" w:ascii="仿宋" w:hAnsi="仿宋" w:eastAsia="仿宋" w:cs="仿宋"/>
          <w:b w:val="0"/>
          <w:bCs w:val="0"/>
          <w:color w:val="auto"/>
          <w:kern w:val="0"/>
          <w:sz w:val="28"/>
          <w:szCs w:val="28"/>
          <w:lang w:val="en-US" w:eastAsia="zh-CN"/>
        </w:rPr>
      </w:pPr>
    </w:p>
    <w:p>
      <w:pPr>
        <w:keepNext w:val="0"/>
        <w:keepLines w:val="0"/>
        <w:widowControl/>
        <w:suppressLineNumbers w:val="0"/>
        <w:spacing w:line="480" w:lineRule="exact"/>
        <w:ind w:firstLine="840" w:firstLineChars="300"/>
        <w:jc w:val="both"/>
        <w:rPr>
          <w:rFonts w:hint="eastAsia" w:ascii="仿宋" w:hAnsi="仿宋" w:eastAsia="仿宋" w:cs="仿宋"/>
          <w:b w:val="0"/>
          <w:bCs w:val="0"/>
          <w:color w:val="auto"/>
          <w:kern w:val="0"/>
          <w:sz w:val="28"/>
          <w:szCs w:val="28"/>
          <w:lang w:val="en-US" w:eastAsia="zh-CN"/>
        </w:rPr>
      </w:pPr>
    </w:p>
    <w:p>
      <w:pPr>
        <w:keepNext w:val="0"/>
        <w:keepLines w:val="0"/>
        <w:pageBreakBefore w:val="0"/>
        <w:widowControl/>
        <w:suppressLineNumbers w:val="0"/>
        <w:kinsoku/>
        <w:wordWrap/>
        <w:overflowPunct/>
        <w:topLinePunct w:val="0"/>
        <w:autoSpaceDE/>
        <w:autoSpaceDN/>
        <w:bidi w:val="0"/>
        <w:spacing w:line="500" w:lineRule="exact"/>
        <w:ind w:left="0" w:firstLine="840" w:firstLineChars="300"/>
        <w:jc w:val="both"/>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1、商务要求：</w:t>
      </w:r>
    </w:p>
    <w:p>
      <w:pPr>
        <w:keepNext w:val="0"/>
        <w:keepLines w:val="0"/>
        <w:pageBreakBefore w:val="0"/>
        <w:widowControl/>
        <w:suppressLineNumbers w:val="0"/>
        <w:kinsoku/>
        <w:wordWrap/>
        <w:overflowPunct/>
        <w:topLinePunct w:val="0"/>
        <w:autoSpaceDE/>
        <w:autoSpaceDN/>
        <w:bidi w:val="0"/>
        <w:spacing w:line="500" w:lineRule="exact"/>
        <w:ind w:left="0" w:firstLine="560" w:firstLineChars="200"/>
        <w:jc w:val="both"/>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（1）取得采购标的的时间：签订合同后于20个日历日内完成供货并种植及安装。</w:t>
      </w:r>
    </w:p>
    <w:p>
      <w:pPr>
        <w:keepNext w:val="0"/>
        <w:keepLines w:val="0"/>
        <w:pageBreakBefore w:val="0"/>
        <w:widowControl/>
        <w:suppressLineNumbers w:val="0"/>
        <w:kinsoku/>
        <w:wordWrap/>
        <w:overflowPunct/>
        <w:topLinePunct w:val="0"/>
        <w:autoSpaceDE/>
        <w:autoSpaceDN/>
        <w:bidi w:val="0"/>
        <w:spacing w:line="500" w:lineRule="exact"/>
        <w:ind w:left="0" w:firstLine="560" w:firstLineChars="200"/>
        <w:jc w:val="both"/>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lang w:val="en-US" w:eastAsia="zh-CN"/>
        </w:rPr>
        <w:t>（2）取得采购标的的地点：莎车县莎车镇人民政府指定地点。</w:t>
      </w:r>
    </w:p>
    <w:p>
      <w:pPr>
        <w:pStyle w:val="11"/>
        <w:keepNext w:val="0"/>
        <w:keepLines w:val="0"/>
        <w:pageBreakBefore w:val="0"/>
        <w:kinsoku/>
        <w:wordWrap/>
        <w:overflowPunct/>
        <w:topLinePunct w:val="0"/>
        <w:autoSpaceDE/>
        <w:autoSpaceDN/>
        <w:bidi w:val="0"/>
        <w:spacing w:before="0" w:after="0" w:line="500" w:lineRule="exact"/>
        <w:ind w:left="0" w:firstLine="560" w:firstLineChars="200"/>
        <w:jc w:val="both"/>
        <w:outlineLvl w:val="9"/>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（3）付款条件：先缴纳5%履约保证金，签订合同后供货完成付合同价的30%，初步验收合格付合同价的60%，最终验收合格后付合同价的10%（具体以签订合同为准）。</w:t>
      </w:r>
    </w:p>
    <w:p>
      <w:pPr>
        <w:pStyle w:val="11"/>
        <w:keepNext w:val="0"/>
        <w:keepLines w:val="0"/>
        <w:pageBreakBefore w:val="0"/>
        <w:kinsoku/>
        <w:wordWrap/>
        <w:overflowPunct/>
        <w:topLinePunct w:val="0"/>
        <w:autoSpaceDE/>
        <w:autoSpaceDN/>
        <w:bidi w:val="0"/>
        <w:spacing w:before="0" w:after="0" w:line="500" w:lineRule="exact"/>
        <w:ind w:left="0" w:firstLine="560" w:firstLineChars="200"/>
        <w:jc w:val="both"/>
        <w:outlineLvl w:val="9"/>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4）售后服务：投标单位有完整的售后服务及应急措施实施方案并有有效的响应时间，如产品质量存在问题，不得验收合格，中标单位需及时处理，并更换货物，送至业主方指定地点（所产生的一切费用由中标单位承担），养护期为3年（养护期满后移交给甲方）。</w:t>
      </w:r>
    </w:p>
    <w:p>
      <w:pPr>
        <w:keepNext w:val="0"/>
        <w:keepLines w:val="0"/>
        <w:pageBreakBefore w:val="0"/>
        <w:widowControl/>
        <w:suppressLineNumbers w:val="0"/>
        <w:kinsoku/>
        <w:wordWrap/>
        <w:overflowPunct/>
        <w:topLinePunct w:val="0"/>
        <w:autoSpaceDE/>
        <w:autoSpaceDN/>
        <w:bidi w:val="0"/>
        <w:spacing w:line="500" w:lineRule="exact"/>
        <w:ind w:left="0" w:firstLine="560" w:firstLineChars="200"/>
        <w:jc w:val="both"/>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2、可能影响供应商报价和项目实施风险的因素：</w:t>
      </w:r>
    </w:p>
    <w:p>
      <w:pPr>
        <w:keepNext w:val="0"/>
        <w:keepLines w:val="0"/>
        <w:pageBreakBefore w:val="0"/>
        <w:widowControl/>
        <w:suppressLineNumbers w:val="0"/>
        <w:kinsoku/>
        <w:wordWrap/>
        <w:overflowPunct/>
        <w:topLinePunct w:val="0"/>
        <w:autoSpaceDE/>
        <w:autoSpaceDN/>
        <w:bidi w:val="0"/>
        <w:spacing w:line="500" w:lineRule="exact"/>
        <w:ind w:left="0" w:firstLine="560" w:firstLineChars="200"/>
        <w:jc w:val="both"/>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（1）自然风险：因自然界中的不可抗力所造成的本次公开招标采购工作不能顺利实施的风险。比如因疫情防控影响，供应商不能按时参加本次公开招标活动的风险。</w:t>
      </w:r>
      <w:r>
        <w:rPr>
          <w:rFonts w:hint="eastAsia" w:ascii="仿宋" w:hAnsi="仿宋" w:eastAsia="仿宋" w:cs="仿宋"/>
          <w:b w:val="0"/>
          <w:bCs w:val="0"/>
          <w:color w:val="auto"/>
          <w:kern w:val="0"/>
          <w:sz w:val="28"/>
          <w:szCs w:val="28"/>
          <w:lang w:val="en-US" w:eastAsia="zh-CN"/>
        </w:rPr>
        <w:br w:type="textWrapping"/>
      </w:r>
      <w:r>
        <w:rPr>
          <w:rFonts w:hint="eastAsia" w:ascii="仿宋" w:hAnsi="仿宋" w:eastAsia="仿宋" w:cs="仿宋"/>
          <w:b w:val="0"/>
          <w:bCs w:val="0"/>
          <w:color w:val="auto"/>
          <w:kern w:val="0"/>
          <w:sz w:val="28"/>
          <w:szCs w:val="28"/>
          <w:lang w:val="en-US" w:eastAsia="zh-CN"/>
        </w:rPr>
        <w:t>      （2）政策风险：因政府政策或行业标准改变，或者企业发展方向改变、企业升级等问题导致本次公开招标采购项目不得不取消或者进行调整。</w:t>
      </w:r>
      <w:r>
        <w:rPr>
          <w:rFonts w:hint="eastAsia" w:ascii="仿宋" w:hAnsi="仿宋" w:eastAsia="仿宋" w:cs="仿宋"/>
          <w:b w:val="0"/>
          <w:bCs w:val="0"/>
          <w:color w:val="auto"/>
          <w:kern w:val="0"/>
          <w:sz w:val="28"/>
          <w:szCs w:val="28"/>
          <w:lang w:val="en-US" w:eastAsia="zh-CN"/>
        </w:rPr>
        <w:br w:type="textWrapping"/>
      </w:r>
      <w:r>
        <w:rPr>
          <w:rFonts w:hint="eastAsia" w:ascii="仿宋" w:hAnsi="仿宋" w:eastAsia="仿宋" w:cs="仿宋"/>
          <w:b w:val="0"/>
          <w:bCs w:val="0"/>
          <w:color w:val="auto"/>
          <w:kern w:val="0"/>
          <w:sz w:val="28"/>
          <w:szCs w:val="28"/>
          <w:lang w:val="en-US" w:eastAsia="zh-CN"/>
        </w:rPr>
        <w:t>        （3）投标单位风险：</w:t>
      </w:r>
      <w:r>
        <w:rPr>
          <w:rFonts w:hint="eastAsia" w:ascii="仿宋" w:hAnsi="仿宋" w:eastAsia="仿宋" w:cs="仿宋"/>
          <w:kern w:val="0"/>
          <w:sz w:val="28"/>
          <w:szCs w:val="28"/>
        </w:rPr>
        <w:t>投标单位风险是本次公开招标采购中的主要风险之一。投标单位风险主要体现在以下几个方面：一以低价格中标之后再在生产中通过不良手段降低产品生产成本，提高利润，损害招标单位的行为；二是投标单位相互串通，实施围标、串标等违法行为；三是投标单位与招标代理公司人员相互勾结，进行恶意竞争，影响企业公开招标活动的实施。</w:t>
      </w:r>
      <w:r>
        <w:rPr>
          <w:rFonts w:hint="eastAsia" w:ascii="仿宋" w:hAnsi="仿宋" w:eastAsia="仿宋" w:cs="仿宋"/>
          <w:b w:val="0"/>
          <w:bCs w:val="0"/>
          <w:color w:val="auto"/>
          <w:kern w:val="0"/>
          <w:sz w:val="28"/>
          <w:szCs w:val="28"/>
          <w:lang w:val="en-US" w:eastAsia="zh-CN"/>
        </w:rPr>
        <w:br w:type="textWrapping"/>
      </w:r>
      <w:r>
        <w:rPr>
          <w:rFonts w:hint="eastAsia" w:ascii="仿宋" w:hAnsi="仿宋" w:eastAsia="仿宋" w:cs="仿宋"/>
          <w:b w:val="0"/>
          <w:bCs w:val="0"/>
          <w:color w:val="auto"/>
          <w:kern w:val="0"/>
          <w:sz w:val="28"/>
          <w:szCs w:val="28"/>
          <w:lang w:val="en-US" w:eastAsia="zh-CN"/>
        </w:rPr>
        <w:t>       （4）质量安全风险：中标单位未按照招标文件中的产品技术标准进行供货，向采购人提供不符合要求的；后期中标单位提供的货物不符合采购人实际需求。</w:t>
      </w:r>
    </w:p>
    <w:p>
      <w:pPr>
        <w:keepNext w:val="0"/>
        <w:keepLines w:val="0"/>
        <w:pageBreakBefore w:val="0"/>
        <w:widowControl/>
        <w:suppressLineNumbers w:val="0"/>
        <w:kinsoku/>
        <w:wordWrap/>
        <w:overflowPunct/>
        <w:topLinePunct w:val="0"/>
        <w:autoSpaceDE/>
        <w:autoSpaceDN/>
        <w:bidi w:val="0"/>
        <w:spacing w:line="500" w:lineRule="exact"/>
        <w:ind w:left="0"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3、该项目无需开展需求调查</w:t>
      </w:r>
    </w:p>
    <w:p>
      <w:pPr>
        <w:keepNext w:val="0"/>
        <w:keepLines w:val="0"/>
        <w:pageBreakBefore w:val="0"/>
        <w:widowControl/>
        <w:suppressLineNumbers w:val="0"/>
        <w:kinsoku/>
        <w:wordWrap/>
        <w:overflowPunct/>
        <w:topLinePunct w:val="0"/>
        <w:autoSpaceDE/>
        <w:autoSpaceDN/>
        <w:bidi w:val="0"/>
        <w:spacing w:line="500" w:lineRule="exact"/>
        <w:ind w:left="0" w:firstLine="562" w:firstLineChars="200"/>
        <w:jc w:val="both"/>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六、采购标的的验收标准</w:t>
      </w:r>
    </w:p>
    <w:p>
      <w:pPr>
        <w:keepNext w:val="0"/>
        <w:keepLines w:val="0"/>
        <w:pageBreakBefore w:val="0"/>
        <w:widowControl/>
        <w:suppressLineNumbers w:val="0"/>
        <w:kinsoku/>
        <w:wordWrap/>
        <w:overflowPunct/>
        <w:topLinePunct w:val="0"/>
        <w:autoSpaceDE/>
        <w:autoSpaceDN/>
        <w:bidi w:val="0"/>
        <w:spacing w:line="500" w:lineRule="exact"/>
        <w:ind w:left="0" w:firstLine="560" w:firstLineChars="200"/>
        <w:jc w:val="both"/>
        <w:rPr>
          <w:rFonts w:hint="default"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验收主体：</w:t>
      </w:r>
      <w:r>
        <w:rPr>
          <w:rFonts w:hint="eastAsia" w:ascii="仿宋" w:hAnsi="仿宋" w:eastAsia="仿宋" w:cs="仿宋"/>
          <w:b w:val="0"/>
          <w:bCs w:val="0"/>
          <w:color w:val="auto"/>
          <w:kern w:val="0"/>
          <w:sz w:val="28"/>
          <w:szCs w:val="28"/>
          <w:lang w:val="en-US" w:eastAsia="zh-CN"/>
        </w:rPr>
        <w:t>采购人、中标单位、其他未中标投标单位</w:t>
      </w:r>
    </w:p>
    <w:p>
      <w:pPr>
        <w:keepNext w:val="0"/>
        <w:keepLines w:val="0"/>
        <w:pageBreakBefore w:val="0"/>
        <w:widowControl/>
        <w:suppressLineNumbers w:val="0"/>
        <w:kinsoku/>
        <w:wordWrap/>
        <w:overflowPunct/>
        <w:topLinePunct w:val="0"/>
        <w:autoSpaceDE/>
        <w:autoSpaceDN/>
        <w:bidi w:val="0"/>
        <w:spacing w:line="500" w:lineRule="exact"/>
        <w:ind w:left="0"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验收时间：签订合同后20日内</w:t>
      </w:r>
    </w:p>
    <w:p>
      <w:pPr>
        <w:keepNext w:val="0"/>
        <w:keepLines w:val="0"/>
        <w:pageBreakBefore w:val="0"/>
        <w:widowControl/>
        <w:suppressLineNumbers w:val="0"/>
        <w:kinsoku/>
        <w:wordWrap/>
        <w:overflowPunct/>
        <w:topLinePunct w:val="0"/>
        <w:autoSpaceDE/>
        <w:autoSpaceDN/>
        <w:bidi w:val="0"/>
        <w:spacing w:line="500" w:lineRule="exact"/>
        <w:ind w:left="0" w:firstLine="560" w:firstLineChars="200"/>
        <w:jc w:val="both"/>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验收方式：所投产品需执行财库[2016]205号，甲方应当依法组织履约验收工作，完整细化验收方案，明确验收方式、时间、程序等内容。应当邀请实际使用人参与验收，甲方也可邀请第三方专业机构进行验收，并出具验收人员名单及意见，验收时严格按照采购合同对每项技术、服务、安全标准的情况进行验收，并出具验收报告，验收结果报告由参与验收所有人员共同签署并存档。验收合格后，甲方根据采购合同支付采购资金，并报送本级财政部门。</w:t>
      </w:r>
    </w:p>
    <w:p>
      <w:pPr>
        <w:keepNext w:val="0"/>
        <w:keepLines w:val="0"/>
        <w:pageBreakBefore w:val="0"/>
        <w:widowControl/>
        <w:suppressLineNumbers w:val="0"/>
        <w:kinsoku/>
        <w:wordWrap/>
        <w:overflowPunct/>
        <w:topLinePunct w:val="0"/>
        <w:autoSpaceDE/>
        <w:autoSpaceDN/>
        <w:bidi w:val="0"/>
        <w:spacing w:line="500" w:lineRule="exact"/>
        <w:ind w:left="0"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验收内容：一包：采购草皮、绿化管道</w:t>
      </w:r>
    </w:p>
    <w:p>
      <w:pPr>
        <w:keepNext w:val="0"/>
        <w:keepLines w:val="0"/>
        <w:pageBreakBefore w:val="0"/>
        <w:widowControl/>
        <w:suppressLineNumbers w:val="0"/>
        <w:kinsoku/>
        <w:wordWrap/>
        <w:overflowPunct/>
        <w:topLinePunct w:val="0"/>
        <w:autoSpaceDE/>
        <w:autoSpaceDN/>
        <w:bidi w:val="0"/>
        <w:spacing w:line="500" w:lineRule="exact"/>
        <w:ind w:left="0" w:firstLine="1960" w:firstLineChars="7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二包：变采购苗木一批</w:t>
      </w:r>
    </w:p>
    <w:p>
      <w:pPr>
        <w:keepNext w:val="0"/>
        <w:keepLines w:val="0"/>
        <w:pageBreakBefore w:val="0"/>
        <w:widowControl/>
        <w:suppressLineNumbers w:val="0"/>
        <w:kinsoku/>
        <w:wordWrap/>
        <w:overflowPunct/>
        <w:topLinePunct w:val="0"/>
        <w:autoSpaceDE/>
        <w:autoSpaceDN/>
        <w:bidi w:val="0"/>
        <w:spacing w:line="500" w:lineRule="exact"/>
        <w:ind w:left="0"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验收标准：</w:t>
      </w:r>
      <w:r>
        <w:rPr>
          <w:rFonts w:hint="eastAsia" w:ascii="仿宋" w:hAnsi="仿宋" w:eastAsia="仿宋" w:cs="仿宋"/>
          <w:color w:val="000000"/>
          <w:kern w:val="0"/>
          <w:sz w:val="28"/>
          <w:szCs w:val="28"/>
        </w:rPr>
        <w:t>经检验达到所投产品的响应参数</w:t>
      </w:r>
      <w:r>
        <w:rPr>
          <w:rFonts w:hint="eastAsia" w:ascii="仿宋" w:hAnsi="仿宋" w:eastAsia="仿宋" w:cs="仿宋"/>
          <w:b w:val="0"/>
          <w:bCs w:val="0"/>
          <w:color w:val="000000"/>
          <w:kern w:val="0"/>
          <w:sz w:val="28"/>
          <w:szCs w:val="28"/>
          <w:lang w:val="en-US" w:eastAsia="zh-CN"/>
        </w:rPr>
        <w:t>。</w:t>
      </w:r>
    </w:p>
    <w:p>
      <w:pPr>
        <w:keepNext w:val="0"/>
        <w:keepLines w:val="0"/>
        <w:pageBreakBefore w:val="0"/>
        <w:widowControl/>
        <w:suppressLineNumbers w:val="0"/>
        <w:kinsoku/>
        <w:wordWrap/>
        <w:overflowPunct/>
        <w:topLinePunct w:val="0"/>
        <w:autoSpaceDE/>
        <w:autoSpaceDN/>
        <w:bidi w:val="0"/>
        <w:spacing w:line="500" w:lineRule="exact"/>
        <w:ind w:left="0" w:firstLine="562" w:firstLineChars="200"/>
        <w:jc w:val="both"/>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七、采购标的的其他技术、服务等要求：</w:t>
      </w:r>
      <w:r>
        <w:rPr>
          <w:rFonts w:hint="eastAsia" w:ascii="仿宋" w:hAnsi="仿宋" w:eastAsia="仿宋" w:cs="仿宋"/>
          <w:b w:val="0"/>
          <w:bCs w:val="0"/>
          <w:color w:val="000000"/>
          <w:kern w:val="0"/>
          <w:sz w:val="28"/>
          <w:szCs w:val="28"/>
          <w:lang w:val="en-US" w:eastAsia="zh-CN"/>
        </w:rPr>
        <w:t>无</w:t>
      </w:r>
    </w:p>
    <w:p>
      <w:pPr>
        <w:keepNext w:val="0"/>
        <w:keepLines w:val="0"/>
        <w:pageBreakBefore w:val="0"/>
        <w:widowControl/>
        <w:suppressLineNumbers w:val="0"/>
        <w:kinsoku/>
        <w:wordWrap/>
        <w:overflowPunct/>
        <w:topLinePunct w:val="0"/>
        <w:autoSpaceDE/>
        <w:autoSpaceDN/>
        <w:bidi w:val="0"/>
        <w:spacing w:line="500" w:lineRule="exact"/>
        <w:ind w:left="0" w:firstLine="562" w:firstLineChars="200"/>
        <w:jc w:val="both"/>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八、需要满足的其他技术规格要求</w:t>
      </w:r>
    </w:p>
    <w:p>
      <w:pPr>
        <w:keepNext w:val="0"/>
        <w:keepLines w:val="0"/>
        <w:pageBreakBefore w:val="0"/>
        <w:widowControl/>
        <w:suppressLineNumbers w:val="0"/>
        <w:kinsoku/>
        <w:wordWrap/>
        <w:overflowPunct/>
        <w:topLinePunct w:val="0"/>
        <w:autoSpaceDE/>
        <w:autoSpaceDN/>
        <w:bidi w:val="0"/>
        <w:spacing w:line="500" w:lineRule="exact"/>
        <w:ind w:left="0"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1、货物名称：草皮、绿化管道及苗木</w:t>
      </w:r>
    </w:p>
    <w:p>
      <w:pPr>
        <w:keepNext w:val="0"/>
        <w:keepLines w:val="0"/>
        <w:pageBreakBefore w:val="0"/>
        <w:widowControl/>
        <w:suppressLineNumbers w:val="0"/>
        <w:kinsoku/>
        <w:wordWrap/>
        <w:overflowPunct/>
        <w:topLinePunct w:val="0"/>
        <w:autoSpaceDE/>
        <w:autoSpaceDN/>
        <w:bidi w:val="0"/>
        <w:spacing w:line="500" w:lineRule="exact"/>
        <w:ind w:left="0"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2、货物使用单位：莎车县莎车镇人民政府</w:t>
      </w:r>
    </w:p>
    <w:p>
      <w:pPr>
        <w:keepNext w:val="0"/>
        <w:keepLines w:val="0"/>
        <w:pageBreakBefore w:val="0"/>
        <w:widowControl/>
        <w:suppressLineNumbers w:val="0"/>
        <w:kinsoku/>
        <w:wordWrap/>
        <w:overflowPunct/>
        <w:topLinePunct w:val="0"/>
        <w:autoSpaceDE/>
        <w:autoSpaceDN/>
        <w:bidi w:val="0"/>
        <w:spacing w:line="500" w:lineRule="exact"/>
        <w:ind w:left="0"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3、养护期限：</w:t>
      </w:r>
      <w:r>
        <w:rPr>
          <w:rFonts w:hint="eastAsia" w:ascii="仿宋" w:hAnsi="仿宋" w:eastAsia="仿宋" w:cs="仿宋"/>
          <w:b w:val="0"/>
          <w:bCs w:val="0"/>
          <w:color w:val="auto"/>
          <w:kern w:val="0"/>
          <w:sz w:val="28"/>
          <w:szCs w:val="28"/>
          <w:lang w:val="en-US" w:eastAsia="zh-CN"/>
        </w:rPr>
        <w:t>3年（养护期满后移交给甲方）</w:t>
      </w:r>
    </w:p>
    <w:p>
      <w:pPr>
        <w:keepNext w:val="0"/>
        <w:keepLines w:val="0"/>
        <w:pageBreakBefore w:val="0"/>
        <w:widowControl/>
        <w:suppressLineNumbers w:val="0"/>
        <w:kinsoku/>
        <w:wordWrap/>
        <w:overflowPunct/>
        <w:topLinePunct w:val="0"/>
        <w:autoSpaceDE/>
        <w:autoSpaceDN/>
        <w:bidi w:val="0"/>
        <w:spacing w:line="500" w:lineRule="exact"/>
        <w:ind w:left="0" w:firstLine="560" w:firstLineChars="200"/>
        <w:jc w:val="both"/>
        <w:rPr>
          <w:rFonts w:hint="eastAsia" w:ascii="仿宋" w:hAnsi="仿宋" w:eastAsia="仿宋" w:cs="仿宋"/>
          <w:b w:val="0"/>
          <w:bCs w:val="0"/>
          <w:color w:val="0000FF"/>
          <w:kern w:val="0"/>
          <w:sz w:val="28"/>
          <w:szCs w:val="28"/>
          <w:lang w:val="en-US" w:eastAsia="zh-CN"/>
        </w:rPr>
      </w:pPr>
      <w:r>
        <w:rPr>
          <w:rFonts w:hint="eastAsia" w:ascii="仿宋" w:hAnsi="仿宋" w:eastAsia="仿宋" w:cs="仿宋"/>
          <w:b w:val="0"/>
          <w:bCs w:val="0"/>
          <w:color w:val="000000"/>
          <w:kern w:val="0"/>
          <w:sz w:val="28"/>
          <w:szCs w:val="28"/>
          <w:lang w:val="en-US" w:eastAsia="zh-CN"/>
        </w:rPr>
        <w:t>4、</w:t>
      </w:r>
      <w:r>
        <w:rPr>
          <w:rFonts w:hint="eastAsia" w:ascii="仿宋" w:hAnsi="仿宋" w:eastAsia="仿宋" w:cs="仿宋"/>
          <w:b w:val="0"/>
          <w:bCs w:val="0"/>
          <w:color w:val="auto"/>
          <w:kern w:val="0"/>
          <w:sz w:val="28"/>
          <w:szCs w:val="28"/>
          <w:lang w:val="en-US" w:eastAsia="zh-CN"/>
        </w:rPr>
        <w:t>养护要求</w:t>
      </w:r>
      <w:r>
        <w:rPr>
          <w:rFonts w:hint="eastAsia" w:ascii="仿宋" w:hAnsi="仿宋" w:eastAsia="仿宋" w:cs="仿宋"/>
          <w:b w:val="0"/>
          <w:bCs w:val="0"/>
          <w:color w:val="0000FF"/>
          <w:kern w:val="0"/>
          <w:sz w:val="28"/>
          <w:szCs w:val="28"/>
          <w:lang w:val="en-US" w:eastAsia="zh-CN"/>
        </w:rPr>
        <w:t>：</w:t>
      </w:r>
    </w:p>
    <w:p>
      <w:pPr>
        <w:keepNext w:val="0"/>
        <w:keepLines w:val="0"/>
        <w:pageBreakBefore w:val="0"/>
        <w:widowControl/>
        <w:suppressLineNumbers w:val="0"/>
        <w:kinsoku/>
        <w:wordWrap/>
        <w:overflowPunct/>
        <w:topLinePunct w:val="0"/>
        <w:autoSpaceDE/>
        <w:autoSpaceDN/>
        <w:bidi w:val="0"/>
        <w:spacing w:line="500" w:lineRule="exact"/>
        <w:ind w:left="0" w:firstLine="560" w:firstLineChars="200"/>
        <w:jc w:val="both"/>
        <w:rPr>
          <w:rFonts w:hint="default" w:ascii="仿宋" w:hAnsi="仿宋" w:eastAsia="仿宋" w:cs="仿宋"/>
          <w:color w:val="000000"/>
          <w:kern w:val="0"/>
          <w:sz w:val="28"/>
          <w:szCs w:val="28"/>
          <w:lang w:val="en-US" w:eastAsia="zh-CN"/>
        </w:rPr>
      </w:pPr>
      <w:r>
        <w:rPr>
          <w:rFonts w:hint="eastAsia" w:ascii="仿宋" w:hAnsi="仿宋" w:eastAsia="仿宋" w:cs="仿宋"/>
          <w:b w:val="0"/>
          <w:bCs w:val="0"/>
          <w:color w:val="auto"/>
          <w:kern w:val="0"/>
          <w:sz w:val="28"/>
          <w:szCs w:val="28"/>
          <w:lang w:val="en-US" w:eastAsia="zh-CN"/>
        </w:rPr>
        <w:t>一包：</w:t>
      </w:r>
      <w:r>
        <w:rPr>
          <w:rFonts w:hint="eastAsia" w:ascii="仿宋" w:hAnsi="仿宋" w:eastAsia="仿宋" w:cs="仿宋"/>
          <w:color w:val="000000"/>
          <w:kern w:val="0"/>
          <w:sz w:val="28"/>
          <w:szCs w:val="28"/>
          <w:lang w:eastAsia="zh-CN"/>
        </w:rPr>
        <w:t>草皮、绿化管道</w:t>
      </w:r>
      <w:r>
        <w:rPr>
          <w:rFonts w:hint="eastAsia" w:ascii="仿宋" w:hAnsi="仿宋" w:eastAsia="仿宋" w:cs="仿宋"/>
          <w:color w:val="000000"/>
          <w:kern w:val="0"/>
          <w:sz w:val="28"/>
          <w:szCs w:val="28"/>
          <w:lang w:val="en-US" w:eastAsia="zh-CN"/>
        </w:rPr>
        <w:t>的养护要求</w:t>
      </w:r>
      <w:bookmarkStart w:id="0" w:name="_GoBack"/>
      <w:bookmarkEnd w:id="0"/>
    </w:p>
    <w:p>
      <w:pPr>
        <w:keepNext w:val="0"/>
        <w:keepLines w:val="0"/>
        <w:pageBreakBefore w:val="0"/>
        <w:widowControl/>
        <w:suppressLineNumbers w:val="0"/>
        <w:kinsoku/>
        <w:wordWrap/>
        <w:overflowPunct/>
        <w:topLinePunct w:val="0"/>
        <w:autoSpaceDE/>
        <w:autoSpaceDN/>
        <w:bidi w:val="0"/>
        <w:spacing w:line="500" w:lineRule="exact"/>
        <w:ind w:left="0" w:firstLine="560" w:firstLineChars="200"/>
        <w:jc w:val="both"/>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按甲方要求（草坪覆盖率达98%以上;草坪内杂草覆盖率不超过3%，每年修剪2次以上；生长和颜色正常，不枯黄，基本无病虫害；补植时间≤7天）进行病虫害防治和监测、施肥、浇灌、排水、中耕除草、修剪、植物防护（防寒、旱、台、涝、高温等）、补植、绿化管护范围内水路管护及零星维修自行完善水路水系，绿地内垃圾收集、清运等工作，对破坏绿地行为及时进行制止，绿化养护达到园林绿化养护二级质量标准。</w:t>
      </w:r>
    </w:p>
    <w:p>
      <w:pPr>
        <w:keepNext w:val="0"/>
        <w:keepLines w:val="0"/>
        <w:pageBreakBefore w:val="0"/>
        <w:widowControl/>
        <w:suppressLineNumbers w:val="0"/>
        <w:kinsoku/>
        <w:wordWrap/>
        <w:overflowPunct/>
        <w:topLinePunct w:val="0"/>
        <w:autoSpaceDE/>
        <w:autoSpaceDN/>
        <w:bidi w:val="0"/>
        <w:spacing w:line="500" w:lineRule="exact"/>
        <w:ind w:left="0" w:firstLine="560" w:firstLineChars="200"/>
        <w:jc w:val="both"/>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二包：</w:t>
      </w:r>
      <w:r>
        <w:rPr>
          <w:rFonts w:hint="eastAsia" w:ascii="仿宋" w:hAnsi="仿宋" w:eastAsia="仿宋" w:cs="仿宋"/>
          <w:color w:val="000000"/>
          <w:kern w:val="0"/>
          <w:sz w:val="28"/>
          <w:szCs w:val="28"/>
          <w:lang w:eastAsia="zh-CN"/>
        </w:rPr>
        <w:t>苗木的养护</w:t>
      </w:r>
      <w:r>
        <w:rPr>
          <w:rFonts w:hint="eastAsia" w:ascii="仿宋" w:hAnsi="仿宋" w:eastAsia="仿宋" w:cs="仿宋"/>
          <w:color w:val="000000"/>
          <w:kern w:val="0"/>
          <w:sz w:val="28"/>
          <w:szCs w:val="28"/>
          <w:lang w:val="en-US" w:eastAsia="zh-CN"/>
        </w:rPr>
        <w:t>要求</w:t>
      </w:r>
    </w:p>
    <w:p>
      <w:pPr>
        <w:keepNext w:val="0"/>
        <w:keepLines w:val="0"/>
        <w:pageBreakBefore w:val="0"/>
        <w:widowControl/>
        <w:suppressLineNumbers w:val="0"/>
        <w:kinsoku/>
        <w:wordWrap/>
        <w:overflowPunct/>
        <w:topLinePunct w:val="0"/>
        <w:autoSpaceDE/>
        <w:autoSpaceDN/>
        <w:bidi w:val="0"/>
        <w:spacing w:line="500" w:lineRule="exact"/>
        <w:ind w:left="0" w:firstLine="560" w:firstLineChars="200"/>
        <w:jc w:val="both"/>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按甲方要求（树形基本完美，树冠基本饱满及完整，规格基本整齐，无死树，树干基本挺直，枝叶生长正常，无明显枯枝，植株基本无失水萎蔫和沥涝现象，基本无病虫害，补植时间≤7天）进行病虫害防治和监测、施肥、浇灌、排水、中耕除草、修剪、植物防护（防寒、旱、台、涝、高温等）、补植、绿地内垃圾收集、清运等工作，对破坏绿地行为及时进行制止，绿化养护达到园林绿化养护二级质量标准。</w:t>
      </w:r>
    </w:p>
    <w:p>
      <w:pPr>
        <w:pStyle w:val="2"/>
        <w:keepNext w:val="0"/>
        <w:keepLines w:val="0"/>
        <w:pageBreakBefore w:val="0"/>
        <w:kinsoku/>
        <w:wordWrap/>
        <w:overflowPunct/>
        <w:topLinePunct w:val="0"/>
        <w:autoSpaceDE/>
        <w:autoSpaceDN/>
        <w:bidi w:val="0"/>
        <w:spacing w:line="500" w:lineRule="exact"/>
        <w:ind w:left="0"/>
        <w:jc w:val="both"/>
        <w:rPr>
          <w:rFonts w:hint="eastAsia" w:ascii="仿宋" w:hAnsi="仿宋" w:eastAsia="仿宋" w:cs="仿宋"/>
          <w:color w:val="000000"/>
          <w:kern w:val="0"/>
          <w:sz w:val="28"/>
          <w:szCs w:val="28"/>
          <w:lang w:val="en-US" w:eastAsia="zh-CN"/>
        </w:rPr>
      </w:pPr>
    </w:p>
    <w:p>
      <w:pPr>
        <w:keepNext w:val="0"/>
        <w:keepLines w:val="0"/>
        <w:pageBreakBefore w:val="0"/>
        <w:widowControl/>
        <w:kinsoku/>
        <w:wordWrap/>
        <w:overflowPunct/>
        <w:topLinePunct w:val="0"/>
        <w:autoSpaceDE/>
        <w:autoSpaceDN/>
        <w:bidi w:val="0"/>
        <w:spacing w:line="500" w:lineRule="exact"/>
        <w:ind w:left="0" w:firstLine="562" w:firstLineChars="200"/>
        <w:jc w:val="both"/>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九、一般性审查和重点审查：</w:t>
      </w:r>
    </w:p>
    <w:p>
      <w:pPr>
        <w:pStyle w:val="6"/>
        <w:keepNext w:val="0"/>
        <w:keepLines w:val="0"/>
        <w:pageBreakBefore w:val="0"/>
        <w:kinsoku/>
        <w:wordWrap/>
        <w:overflowPunct/>
        <w:topLinePunct w:val="0"/>
        <w:autoSpaceDE/>
        <w:autoSpaceDN/>
        <w:bidi w:val="0"/>
        <w:spacing w:line="500" w:lineRule="exact"/>
        <w:ind w:left="0"/>
        <w:jc w:val="both"/>
        <w:rPr>
          <w:rFonts w:hint="eastAsia" w:ascii="仿宋" w:hAnsi="仿宋" w:eastAsia="仿宋" w:cs="仿宋"/>
          <w:color w:val="000000"/>
          <w:sz w:val="28"/>
          <w:szCs w:val="28"/>
        </w:rPr>
      </w:pPr>
      <w:r>
        <w:rPr>
          <w:rFonts w:hint="eastAsia" w:ascii="仿宋" w:hAnsi="仿宋" w:eastAsia="仿宋" w:cs="仿宋"/>
          <w:color w:val="000000"/>
          <w:sz w:val="28"/>
          <w:szCs w:val="28"/>
        </w:rPr>
        <w:t>该项目是一般性审查还是重点审查？</w:t>
      </w:r>
    </w:p>
    <w:p>
      <w:pPr>
        <w:pStyle w:val="6"/>
        <w:keepNext w:val="0"/>
        <w:keepLines w:val="0"/>
        <w:pageBreakBefore w:val="0"/>
        <w:numPr>
          <w:ilvl w:val="0"/>
          <w:numId w:val="1"/>
        </w:numPr>
        <w:kinsoku/>
        <w:wordWrap/>
        <w:overflowPunct/>
        <w:topLinePunct w:val="0"/>
        <w:autoSpaceDE/>
        <w:autoSpaceDN/>
        <w:bidi w:val="0"/>
        <w:spacing w:line="500" w:lineRule="exact"/>
        <w:ind w:left="0" w:firstLine="620" w:firstLineChars="0"/>
        <w:jc w:val="both"/>
        <w:rPr>
          <w:rFonts w:hint="eastAsia" w:ascii="仿宋" w:hAnsi="仿宋" w:eastAsia="仿宋" w:cs="仿宋"/>
          <w:color w:val="000000"/>
          <w:sz w:val="28"/>
          <w:szCs w:val="28"/>
        </w:rPr>
      </w:pPr>
      <w:r>
        <w:rPr>
          <w:rFonts w:hint="eastAsia" w:ascii="仿宋" w:hAnsi="仿宋" w:eastAsia="仿宋" w:cs="仿宋"/>
          <w:color w:val="000000"/>
          <w:sz w:val="28"/>
          <w:szCs w:val="28"/>
        </w:rPr>
        <w:t>一般性审查</w:t>
      </w:r>
    </w:p>
    <w:p>
      <w:pPr>
        <w:pStyle w:val="6"/>
        <w:keepNext w:val="0"/>
        <w:keepLines w:val="0"/>
        <w:pageBreakBefore w:val="0"/>
        <w:kinsoku/>
        <w:wordWrap/>
        <w:overflowPunct/>
        <w:topLinePunct w:val="0"/>
        <w:autoSpaceDE/>
        <w:autoSpaceDN/>
        <w:bidi w:val="0"/>
        <w:spacing w:line="500" w:lineRule="exact"/>
        <w:ind w:left="0" w:firstLine="0" w:firstLineChars="0"/>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采购单位审查人员姓名：</w:t>
      </w:r>
    </w:p>
    <w:p>
      <w:pPr>
        <w:pStyle w:val="6"/>
        <w:keepNext w:val="0"/>
        <w:keepLines w:val="0"/>
        <w:pageBreakBefore w:val="0"/>
        <w:numPr>
          <w:ilvl w:val="0"/>
          <w:numId w:val="1"/>
        </w:numPr>
        <w:kinsoku/>
        <w:wordWrap/>
        <w:overflowPunct/>
        <w:topLinePunct w:val="0"/>
        <w:autoSpaceDE/>
        <w:autoSpaceDN/>
        <w:bidi w:val="0"/>
        <w:spacing w:line="500" w:lineRule="exact"/>
        <w:ind w:left="0" w:firstLine="620" w:firstLineChars="0"/>
        <w:jc w:val="both"/>
        <w:rPr>
          <w:rFonts w:hint="eastAsia" w:ascii="仿宋" w:hAnsi="仿宋" w:eastAsia="仿宋" w:cs="仿宋"/>
          <w:color w:val="000000"/>
          <w:sz w:val="28"/>
          <w:szCs w:val="28"/>
        </w:rPr>
      </w:pPr>
      <w:r>
        <w:rPr>
          <w:rFonts w:hint="eastAsia" w:ascii="仿宋" w:hAnsi="仿宋" w:eastAsia="仿宋" w:cs="仿宋"/>
          <w:color w:val="000000"/>
          <w:sz w:val="28"/>
          <w:szCs w:val="28"/>
        </w:rPr>
        <w:t>审查时间：2021年</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日</w:t>
      </w:r>
    </w:p>
    <w:p>
      <w:pPr>
        <w:pStyle w:val="6"/>
        <w:keepNext w:val="0"/>
        <w:keepLines w:val="0"/>
        <w:pageBreakBefore w:val="0"/>
        <w:kinsoku/>
        <w:wordWrap/>
        <w:overflowPunct/>
        <w:topLinePunct w:val="0"/>
        <w:autoSpaceDE/>
        <w:autoSpaceDN/>
        <w:bidi w:val="0"/>
        <w:spacing w:line="500" w:lineRule="exact"/>
        <w:ind w:left="0"/>
        <w:jc w:val="both"/>
        <w:rPr>
          <w:rFonts w:hint="eastAsia" w:ascii="仿宋" w:hAnsi="仿宋" w:eastAsia="仿宋" w:cs="仿宋"/>
          <w:b/>
          <w:sz w:val="28"/>
          <w:szCs w:val="28"/>
        </w:rPr>
      </w:pPr>
    </w:p>
    <w:p>
      <w:pPr>
        <w:keepNext w:val="0"/>
        <w:keepLines w:val="0"/>
        <w:pageBreakBefore w:val="0"/>
        <w:widowControl/>
        <w:kinsoku/>
        <w:wordWrap/>
        <w:overflowPunct/>
        <w:topLinePunct w:val="0"/>
        <w:autoSpaceDE/>
        <w:autoSpaceDN/>
        <w:bidi w:val="0"/>
        <w:spacing w:line="500" w:lineRule="exact"/>
        <w:ind w:left="0" w:firstLine="562" w:firstLineChars="200"/>
        <w:jc w:val="both"/>
        <w:rPr>
          <w:rFonts w:hint="eastAsia" w:ascii="仿宋" w:hAnsi="仿宋" w:eastAsia="仿宋" w:cs="仿宋"/>
          <w:b/>
          <w:bCs/>
          <w:color w:val="000000"/>
          <w:kern w:val="0"/>
          <w:sz w:val="28"/>
          <w:szCs w:val="28"/>
        </w:rPr>
      </w:pPr>
    </w:p>
    <w:p>
      <w:pPr>
        <w:pStyle w:val="6"/>
        <w:keepNext w:val="0"/>
        <w:keepLines w:val="0"/>
        <w:pageBreakBefore w:val="0"/>
        <w:kinsoku/>
        <w:wordWrap/>
        <w:overflowPunct/>
        <w:topLinePunct w:val="0"/>
        <w:autoSpaceDE/>
        <w:autoSpaceDN/>
        <w:bidi w:val="0"/>
        <w:spacing w:line="500" w:lineRule="exact"/>
        <w:ind w:left="0" w:firstLine="0" w:firstLineChars="0"/>
        <w:jc w:val="both"/>
        <w:rPr>
          <w:rFonts w:hint="eastAsia" w:ascii="仿宋" w:hAnsi="仿宋" w:eastAsia="仿宋" w:cs="仿宋"/>
          <w:color w:val="000000"/>
          <w:sz w:val="28"/>
          <w:szCs w:val="28"/>
        </w:rPr>
      </w:pPr>
    </w:p>
    <w:p>
      <w:pPr>
        <w:pStyle w:val="6"/>
        <w:keepNext w:val="0"/>
        <w:keepLines w:val="0"/>
        <w:pageBreakBefore w:val="0"/>
        <w:kinsoku/>
        <w:wordWrap/>
        <w:overflowPunct/>
        <w:topLinePunct w:val="0"/>
        <w:autoSpaceDE/>
        <w:autoSpaceDN/>
        <w:bidi w:val="0"/>
        <w:spacing w:line="500" w:lineRule="exact"/>
        <w:ind w:left="0" w:firstLine="0" w:firstLineChars="0"/>
        <w:jc w:val="both"/>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highlight w:val="none"/>
          <w:lang w:eastAsia="zh-CN"/>
        </w:rPr>
        <w:t xml:space="preserve">  </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lang w:eastAsia="zh-CN"/>
        </w:rPr>
        <w:t>采购单位：</w:t>
      </w:r>
      <w:r>
        <w:rPr>
          <w:rFonts w:hint="eastAsia" w:ascii="仿宋" w:hAnsi="仿宋" w:eastAsia="仿宋" w:cs="仿宋"/>
          <w:color w:val="000000"/>
          <w:sz w:val="28"/>
          <w:szCs w:val="28"/>
          <w:highlight w:val="none"/>
          <w:lang w:val="en-US" w:eastAsia="zh-CN"/>
        </w:rPr>
        <w:t>莎车县莎车镇人民政府</w:t>
      </w:r>
    </w:p>
    <w:p>
      <w:pPr>
        <w:pStyle w:val="6"/>
        <w:keepNext w:val="0"/>
        <w:keepLines w:val="0"/>
        <w:pageBreakBefore w:val="0"/>
        <w:kinsoku/>
        <w:wordWrap/>
        <w:overflowPunct/>
        <w:topLinePunct w:val="0"/>
        <w:autoSpaceDE/>
        <w:autoSpaceDN/>
        <w:bidi w:val="0"/>
        <w:spacing w:line="500" w:lineRule="exact"/>
        <w:ind w:left="0" w:firstLine="5320" w:firstLineChars="1900"/>
        <w:jc w:val="both"/>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2021年</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lang w:eastAsia="zh-CN"/>
        </w:rPr>
        <w:t>月</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lang w:eastAsia="zh-CN"/>
        </w:rPr>
        <w:t>日</w:t>
      </w:r>
    </w:p>
    <w:p>
      <w:pPr>
        <w:keepNext w:val="0"/>
        <w:keepLines w:val="0"/>
        <w:widowControl/>
        <w:suppressLineNumbers w:val="0"/>
        <w:ind w:firstLine="620" w:firstLineChars="200"/>
        <w:jc w:val="both"/>
        <w:rPr>
          <w:rFonts w:hint="eastAsia" w:ascii="仿宋" w:hAnsi="仿宋" w:eastAsia="仿宋" w:cs="仿宋"/>
          <w:b w:val="0"/>
          <w:bCs w:val="0"/>
          <w:color w:val="000000"/>
          <w:kern w:val="0"/>
          <w:sz w:val="31"/>
          <w:szCs w:val="31"/>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69633"/>
    <w:multiLevelType w:val="singleLevel"/>
    <w:tmpl w:val="12869633"/>
    <w:lvl w:ilvl="0" w:tentative="0">
      <w:start w:val="1"/>
      <w:numFmt w:val="decimal"/>
      <w:suff w:val="nothing"/>
      <w:lvlText w:val="%1、"/>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001F6A56"/>
    <w:rsid w:val="00244666"/>
    <w:rsid w:val="01886B18"/>
    <w:rsid w:val="025E7509"/>
    <w:rsid w:val="02A402C8"/>
    <w:rsid w:val="033528B7"/>
    <w:rsid w:val="03DA05FC"/>
    <w:rsid w:val="04081CCF"/>
    <w:rsid w:val="054170E8"/>
    <w:rsid w:val="0580398C"/>
    <w:rsid w:val="0591277B"/>
    <w:rsid w:val="06204485"/>
    <w:rsid w:val="066A4E9F"/>
    <w:rsid w:val="070847AB"/>
    <w:rsid w:val="07E54376"/>
    <w:rsid w:val="07EC7742"/>
    <w:rsid w:val="084B44A5"/>
    <w:rsid w:val="08650C1A"/>
    <w:rsid w:val="08EC6681"/>
    <w:rsid w:val="09632C4E"/>
    <w:rsid w:val="09D20362"/>
    <w:rsid w:val="09F87377"/>
    <w:rsid w:val="0A480ACE"/>
    <w:rsid w:val="0A4C061F"/>
    <w:rsid w:val="0A6967C6"/>
    <w:rsid w:val="0A831F92"/>
    <w:rsid w:val="0ADC4AE5"/>
    <w:rsid w:val="0AF8422B"/>
    <w:rsid w:val="0BD06CE1"/>
    <w:rsid w:val="0BF836F7"/>
    <w:rsid w:val="0C3F7EB7"/>
    <w:rsid w:val="0CD57729"/>
    <w:rsid w:val="0DA519A4"/>
    <w:rsid w:val="0EA57EE1"/>
    <w:rsid w:val="0F985B63"/>
    <w:rsid w:val="0FE31E14"/>
    <w:rsid w:val="109C4902"/>
    <w:rsid w:val="11D63F02"/>
    <w:rsid w:val="129E3992"/>
    <w:rsid w:val="13321106"/>
    <w:rsid w:val="135A2230"/>
    <w:rsid w:val="140A1D20"/>
    <w:rsid w:val="1416747D"/>
    <w:rsid w:val="16572D9C"/>
    <w:rsid w:val="17A04172"/>
    <w:rsid w:val="18212AC4"/>
    <w:rsid w:val="186D5742"/>
    <w:rsid w:val="188F357D"/>
    <w:rsid w:val="18E41E82"/>
    <w:rsid w:val="1A115583"/>
    <w:rsid w:val="1A5E4B19"/>
    <w:rsid w:val="1A756F1A"/>
    <w:rsid w:val="1AED0B4D"/>
    <w:rsid w:val="1AF51645"/>
    <w:rsid w:val="1CB538E0"/>
    <w:rsid w:val="1CB53E17"/>
    <w:rsid w:val="1CC4446D"/>
    <w:rsid w:val="1D9C51D8"/>
    <w:rsid w:val="1FEF0686"/>
    <w:rsid w:val="20B84809"/>
    <w:rsid w:val="20C9409F"/>
    <w:rsid w:val="21294C41"/>
    <w:rsid w:val="23210355"/>
    <w:rsid w:val="23876E7A"/>
    <w:rsid w:val="24123784"/>
    <w:rsid w:val="2530701C"/>
    <w:rsid w:val="25814744"/>
    <w:rsid w:val="25EC67CE"/>
    <w:rsid w:val="262914F1"/>
    <w:rsid w:val="264333BC"/>
    <w:rsid w:val="2707315E"/>
    <w:rsid w:val="27340544"/>
    <w:rsid w:val="286618DA"/>
    <w:rsid w:val="287428E7"/>
    <w:rsid w:val="287D7678"/>
    <w:rsid w:val="28873EA0"/>
    <w:rsid w:val="292715A4"/>
    <w:rsid w:val="296C01E4"/>
    <w:rsid w:val="2A0409A7"/>
    <w:rsid w:val="2A9A3B05"/>
    <w:rsid w:val="2A9C21E2"/>
    <w:rsid w:val="2AC36911"/>
    <w:rsid w:val="2AC5012B"/>
    <w:rsid w:val="2AE44639"/>
    <w:rsid w:val="2B254B0D"/>
    <w:rsid w:val="2BDB7C66"/>
    <w:rsid w:val="2C6211F4"/>
    <w:rsid w:val="2CE42194"/>
    <w:rsid w:val="2CFC636E"/>
    <w:rsid w:val="2D460A0A"/>
    <w:rsid w:val="2E1778A9"/>
    <w:rsid w:val="2EB34CE4"/>
    <w:rsid w:val="2EF84720"/>
    <w:rsid w:val="2F054DF7"/>
    <w:rsid w:val="2F3B2AAD"/>
    <w:rsid w:val="2F5254E1"/>
    <w:rsid w:val="308727B0"/>
    <w:rsid w:val="30AD67EC"/>
    <w:rsid w:val="30C80203"/>
    <w:rsid w:val="31196C39"/>
    <w:rsid w:val="316C4696"/>
    <w:rsid w:val="328F4AA6"/>
    <w:rsid w:val="32EC493F"/>
    <w:rsid w:val="333B13F8"/>
    <w:rsid w:val="33F63E70"/>
    <w:rsid w:val="3517414D"/>
    <w:rsid w:val="35E96F30"/>
    <w:rsid w:val="36410812"/>
    <w:rsid w:val="367B1D78"/>
    <w:rsid w:val="36FF1560"/>
    <w:rsid w:val="36FF6AB4"/>
    <w:rsid w:val="37097AF2"/>
    <w:rsid w:val="38515F47"/>
    <w:rsid w:val="38597767"/>
    <w:rsid w:val="3871695D"/>
    <w:rsid w:val="39323A35"/>
    <w:rsid w:val="393E67E9"/>
    <w:rsid w:val="39B036DB"/>
    <w:rsid w:val="3B324081"/>
    <w:rsid w:val="3BD1626F"/>
    <w:rsid w:val="3CA57F0F"/>
    <w:rsid w:val="3DCF11B2"/>
    <w:rsid w:val="3DFB01DD"/>
    <w:rsid w:val="3E3E205A"/>
    <w:rsid w:val="3F0D06B2"/>
    <w:rsid w:val="3F0E3A80"/>
    <w:rsid w:val="3F195024"/>
    <w:rsid w:val="3F643196"/>
    <w:rsid w:val="3FC04177"/>
    <w:rsid w:val="3FE95439"/>
    <w:rsid w:val="3FF61290"/>
    <w:rsid w:val="41651C36"/>
    <w:rsid w:val="41D43210"/>
    <w:rsid w:val="42006F15"/>
    <w:rsid w:val="4251688D"/>
    <w:rsid w:val="42575CFB"/>
    <w:rsid w:val="42AC02CD"/>
    <w:rsid w:val="42FC62D4"/>
    <w:rsid w:val="43495AC3"/>
    <w:rsid w:val="44D76E1F"/>
    <w:rsid w:val="458050E5"/>
    <w:rsid w:val="45B260FA"/>
    <w:rsid w:val="466D0BF3"/>
    <w:rsid w:val="46EF5997"/>
    <w:rsid w:val="46FE48A4"/>
    <w:rsid w:val="476F7349"/>
    <w:rsid w:val="47DB0D4A"/>
    <w:rsid w:val="48744B74"/>
    <w:rsid w:val="48D45784"/>
    <w:rsid w:val="48EA6659"/>
    <w:rsid w:val="490A6755"/>
    <w:rsid w:val="490B4B78"/>
    <w:rsid w:val="4917637F"/>
    <w:rsid w:val="492D5B70"/>
    <w:rsid w:val="49505B29"/>
    <w:rsid w:val="495976AF"/>
    <w:rsid w:val="4A8C6235"/>
    <w:rsid w:val="4BE2712B"/>
    <w:rsid w:val="4D0D45BC"/>
    <w:rsid w:val="4E543EF1"/>
    <w:rsid w:val="4EA13B4D"/>
    <w:rsid w:val="501671B9"/>
    <w:rsid w:val="513D2A81"/>
    <w:rsid w:val="5173572E"/>
    <w:rsid w:val="51CD07B2"/>
    <w:rsid w:val="52864A3F"/>
    <w:rsid w:val="52FA7774"/>
    <w:rsid w:val="534030B4"/>
    <w:rsid w:val="53522D46"/>
    <w:rsid w:val="53872749"/>
    <w:rsid w:val="54373EBE"/>
    <w:rsid w:val="545C59FB"/>
    <w:rsid w:val="54A40963"/>
    <w:rsid w:val="54B42EFB"/>
    <w:rsid w:val="55F63369"/>
    <w:rsid w:val="56CA692B"/>
    <w:rsid w:val="56F755B7"/>
    <w:rsid w:val="57833077"/>
    <w:rsid w:val="584D41D1"/>
    <w:rsid w:val="5880349F"/>
    <w:rsid w:val="59FA13B1"/>
    <w:rsid w:val="5A375362"/>
    <w:rsid w:val="5A4D7A0A"/>
    <w:rsid w:val="5A5908D4"/>
    <w:rsid w:val="5BF83707"/>
    <w:rsid w:val="5BF96EF7"/>
    <w:rsid w:val="5C83012A"/>
    <w:rsid w:val="5C836A26"/>
    <w:rsid w:val="5CB32C25"/>
    <w:rsid w:val="5DCB2169"/>
    <w:rsid w:val="5E2A3A75"/>
    <w:rsid w:val="5E472AB9"/>
    <w:rsid w:val="5EFD57AD"/>
    <w:rsid w:val="5F110C36"/>
    <w:rsid w:val="5FCE70ED"/>
    <w:rsid w:val="607769C7"/>
    <w:rsid w:val="60B410C1"/>
    <w:rsid w:val="61394126"/>
    <w:rsid w:val="61846351"/>
    <w:rsid w:val="61C15BFF"/>
    <w:rsid w:val="625143CD"/>
    <w:rsid w:val="632D7CE7"/>
    <w:rsid w:val="6352427D"/>
    <w:rsid w:val="636D1971"/>
    <w:rsid w:val="63D81F82"/>
    <w:rsid w:val="64313135"/>
    <w:rsid w:val="64327B7B"/>
    <w:rsid w:val="643D1E09"/>
    <w:rsid w:val="646005F5"/>
    <w:rsid w:val="65B476B2"/>
    <w:rsid w:val="65D85E8B"/>
    <w:rsid w:val="66861DE8"/>
    <w:rsid w:val="669914ED"/>
    <w:rsid w:val="67001932"/>
    <w:rsid w:val="67B80C5D"/>
    <w:rsid w:val="68364D3B"/>
    <w:rsid w:val="68641E76"/>
    <w:rsid w:val="68BA5CE7"/>
    <w:rsid w:val="69417018"/>
    <w:rsid w:val="6A167F60"/>
    <w:rsid w:val="6ABC7CD9"/>
    <w:rsid w:val="6B030127"/>
    <w:rsid w:val="6C3D3292"/>
    <w:rsid w:val="6CB24EA8"/>
    <w:rsid w:val="6D796931"/>
    <w:rsid w:val="6EA92DA7"/>
    <w:rsid w:val="6F3F59A5"/>
    <w:rsid w:val="6F55058C"/>
    <w:rsid w:val="6FFE7209"/>
    <w:rsid w:val="7192325B"/>
    <w:rsid w:val="71953C07"/>
    <w:rsid w:val="71C3155D"/>
    <w:rsid w:val="721A69B3"/>
    <w:rsid w:val="734B7DE7"/>
    <w:rsid w:val="738B4DC6"/>
    <w:rsid w:val="73C46363"/>
    <w:rsid w:val="73FA22D6"/>
    <w:rsid w:val="741F7117"/>
    <w:rsid w:val="749D74D9"/>
    <w:rsid w:val="756641EE"/>
    <w:rsid w:val="76001EE6"/>
    <w:rsid w:val="761A3E2D"/>
    <w:rsid w:val="775F0144"/>
    <w:rsid w:val="77E654F8"/>
    <w:rsid w:val="7856351C"/>
    <w:rsid w:val="79ED34F8"/>
    <w:rsid w:val="7A01426C"/>
    <w:rsid w:val="7A1A5C9D"/>
    <w:rsid w:val="7A506EB6"/>
    <w:rsid w:val="7B345FE5"/>
    <w:rsid w:val="7C01487B"/>
    <w:rsid w:val="7C7849D6"/>
    <w:rsid w:val="7C9A4C41"/>
    <w:rsid w:val="7C9C14FB"/>
    <w:rsid w:val="7CB933BC"/>
    <w:rsid w:val="7DAE41A3"/>
    <w:rsid w:val="7DF60BA9"/>
    <w:rsid w:val="7EDE7260"/>
    <w:rsid w:val="7F503481"/>
    <w:rsid w:val="7F9A1D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next w:val="1"/>
    <w:qFormat/>
    <w:uiPriority w:val="0"/>
    <w:pPr>
      <w:adjustRightInd w:val="0"/>
      <w:spacing w:line="360" w:lineRule="atLeast"/>
      <w:ind w:firstLine="200" w:firstLineChars="200"/>
      <w:jc w:val="left"/>
      <w:textAlignment w:val="baseline"/>
    </w:pPr>
    <w:rPr>
      <w:rFonts w:ascii="Times New Roman" w:hAnsi="Times New Roman" w:cs="Times New Roman"/>
      <w:kern w:val="0"/>
      <w:sz w:val="24"/>
      <w:szCs w:val="24"/>
    </w:rPr>
  </w:style>
  <w:style w:type="paragraph" w:styleId="7">
    <w:name w:val="Body Text"/>
    <w:basedOn w:val="1"/>
    <w:next w:val="1"/>
    <w:qFormat/>
    <w:uiPriority w:val="0"/>
    <w:pPr>
      <w:ind w:left="528"/>
    </w:pPr>
    <w:rPr>
      <w:sz w:val="24"/>
      <w:szCs w:val="24"/>
    </w:rPr>
  </w:style>
  <w:style w:type="paragraph" w:styleId="8">
    <w:name w:val="Body Text Indent"/>
    <w:basedOn w:val="1"/>
    <w:qFormat/>
    <w:uiPriority w:val="0"/>
    <w:pPr>
      <w:spacing w:after="120"/>
      <w:ind w:left="200" w:leftChars="200"/>
    </w:pPr>
  </w:style>
  <w:style w:type="paragraph" w:styleId="9">
    <w:name w:val="List"/>
    <w:basedOn w:val="1"/>
    <w:qFormat/>
    <w:uiPriority w:val="0"/>
    <w:pPr>
      <w:adjustRightInd w:val="0"/>
      <w:snapToGrid w:val="0"/>
      <w:spacing w:line="312" w:lineRule="auto"/>
      <w:ind w:firstLine="0" w:firstLineChars="0"/>
      <w:jc w:val="center"/>
    </w:pPr>
    <w:rPr>
      <w:rFonts w:ascii="黑体" w:hAnsi="宋体" w:eastAsia="黑体" w:cs="宋体"/>
      <w:snapToGrid w:val="0"/>
      <w:szCs w:val="24"/>
    </w:rPr>
  </w:style>
  <w:style w:type="paragraph" w:styleId="10">
    <w:name w:val="Normal (Web)"/>
    <w:basedOn w:val="1"/>
    <w:qFormat/>
    <w:uiPriority w:val="0"/>
    <w:pPr>
      <w:spacing w:before="100" w:beforeAutospacing="1" w:after="100" w:afterAutospacing="1"/>
    </w:pPr>
  </w:style>
  <w:style w:type="paragraph" w:styleId="11">
    <w:name w:val="Title"/>
    <w:basedOn w:val="1"/>
    <w:qFormat/>
    <w:uiPriority w:val="0"/>
    <w:pPr>
      <w:spacing w:before="240" w:after="60"/>
      <w:jc w:val="center"/>
      <w:outlineLvl w:val="0"/>
    </w:pPr>
    <w:rPr>
      <w:rFonts w:ascii="Arial" w:hAnsi="Arial" w:cs="Arial"/>
      <w:b/>
      <w:bCs/>
      <w:sz w:val="32"/>
      <w:szCs w:val="32"/>
    </w:rPr>
  </w:style>
  <w:style w:type="paragraph" w:styleId="12">
    <w:name w:val="Body Text First Indent 2"/>
    <w:basedOn w:val="8"/>
    <w:next w:val="1"/>
    <w:qFormat/>
    <w:uiPriority w:val="0"/>
    <w:pPr>
      <w:spacing w:line="360" w:lineRule="auto"/>
      <w:ind w:firstLine="200" w:firstLineChars="200"/>
    </w:pPr>
    <w:rPr>
      <w:rFonts w:eastAsia="仿宋_GB2312"/>
      <w:spacing w:val="15"/>
      <w:kern w:val="10"/>
      <w:sz w:val="24"/>
    </w:rPr>
  </w:style>
  <w:style w:type="paragraph" w:customStyle="1" w:styleId="15">
    <w:name w:val="正文3"/>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Pages>
  <Words>0</Words>
  <Characters>4458</Characters>
  <Lines>0</Lines>
  <Paragraphs>107</Paragraphs>
  <TotalTime>8</TotalTime>
  <ScaleCrop>false</ScaleCrop>
  <LinksUpToDate>false</LinksUpToDate>
  <CharactersWithSpaces>5945</CharactersWithSpaces>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HUAWEI</cp:lastModifiedBy>
  <cp:lastPrinted>2021-09-06T04:15:00Z</cp:lastPrinted>
  <dcterms:modified xsi:type="dcterms:W3CDTF">2021-09-07T17:27:14Z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B3E69AEA64004B0D86C296041DD22162</vt:lpwstr>
  </property>
</Properties>
</file>