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dashed" w:color="E5E5E5" w:sz="6" w:space="15"/>
          <w:right w:val="none" w:color="auto" w:sz="0" w:space="0"/>
        </w:pBdr>
        <w:spacing w:before="0" w:beforeAutospacing="0" w:after="0" w:afterAutospacing="0"/>
        <w:ind w:left="0" w:right="0"/>
        <w:jc w:val="center"/>
        <w:rPr>
          <w:rFonts w:hint="eastAsia" w:ascii="宋体" w:hAnsi="宋体" w:eastAsia="宋体" w:cs="宋体"/>
          <w:b/>
          <w:bCs/>
          <w:color w:val="202020"/>
          <w:kern w:val="0"/>
          <w:sz w:val="32"/>
          <w:szCs w:val="32"/>
          <w:lang w:val="en-US" w:eastAsia="zh-CN" w:bidi="ar"/>
        </w:rPr>
      </w:pPr>
      <w:r>
        <w:rPr>
          <w:rFonts w:hint="eastAsia" w:ascii="宋体" w:hAnsi="宋体" w:eastAsia="宋体" w:cs="宋体"/>
          <w:b/>
          <w:bCs/>
          <w:color w:val="202020"/>
          <w:kern w:val="0"/>
          <w:sz w:val="32"/>
          <w:szCs w:val="32"/>
          <w:lang w:val="en-US" w:eastAsia="zh-CN" w:bidi="ar"/>
        </w:rPr>
        <w:t>托克逊县人民医院应急医疗物资仓储及附属设施项目</w:t>
      </w:r>
    </w:p>
    <w:p>
      <w:pPr>
        <w:keepNext w:val="0"/>
        <w:keepLines w:val="0"/>
        <w:widowControl/>
        <w:suppressLineNumbers w:val="0"/>
        <w:pBdr>
          <w:top w:val="none" w:color="auto" w:sz="0" w:space="0"/>
          <w:left w:val="none" w:color="auto" w:sz="0" w:space="0"/>
          <w:bottom w:val="dashed" w:color="E5E5E5" w:sz="6" w:space="15"/>
          <w:right w:val="none" w:color="auto" w:sz="0" w:space="0"/>
        </w:pBdr>
        <w:spacing w:before="0" w:beforeAutospacing="0" w:after="0" w:afterAutospacing="0"/>
        <w:ind w:left="0" w:right="0"/>
        <w:jc w:val="center"/>
        <w:rPr>
          <w:rFonts w:ascii="宋体" w:hAnsi="宋体" w:eastAsia="宋体" w:cs="宋体"/>
          <w:b/>
          <w:bCs/>
          <w:color w:val="202020"/>
          <w:kern w:val="0"/>
          <w:sz w:val="32"/>
          <w:szCs w:val="32"/>
          <w:lang w:val="en-US" w:eastAsia="zh-CN" w:bidi="ar"/>
        </w:rPr>
      </w:pPr>
      <w:r>
        <w:rPr>
          <w:rFonts w:hint="eastAsia" w:ascii="宋体" w:hAnsi="宋体" w:eastAsia="宋体" w:cs="宋体"/>
          <w:b/>
          <w:bCs/>
          <w:color w:val="202020"/>
          <w:kern w:val="0"/>
          <w:sz w:val="32"/>
          <w:szCs w:val="32"/>
          <w:lang w:val="en-US" w:eastAsia="zh-CN" w:bidi="ar"/>
        </w:rPr>
        <w:t xml:space="preserve">采购附属设备招标公告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textAlignment w:val="auto"/>
        <w:rPr>
          <w:rStyle w:val="6"/>
          <w:rFonts w:hint="eastAsia" w:ascii="黑体" w:hAnsi="宋体" w:eastAsia="黑体" w:cs="黑体"/>
          <w:b/>
          <w:sz w:val="27"/>
          <w:szCs w:val="27"/>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项目概况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500"/>
        </w:tabs>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托克逊县人民医院应急医疗物资仓储及附属设施项目采购附属设备的潜在投标人应在吐鲁番市高昌区青年路670号新疆德宏招标代理有限公司获取招标文件，并于202</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29</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30</w:t>
      </w:r>
      <w:r>
        <w:rPr>
          <w:rFonts w:hint="eastAsia" w:ascii="仿宋" w:hAnsi="仿宋" w:eastAsia="仿宋" w:cs="仿宋"/>
          <w:sz w:val="28"/>
          <w:szCs w:val="28"/>
          <w:lang w:eastAsia="zh-CN"/>
        </w:rPr>
        <w:t>（北京时间）前递交投标文件。</w:t>
      </w:r>
    </w:p>
    <w:p>
      <w:pPr>
        <w:pStyle w:val="3"/>
        <w:keepNext w:val="0"/>
        <w:keepLines w:val="0"/>
        <w:pageBreakBefore w:val="0"/>
        <w:widowControl/>
        <w:numPr>
          <w:ilvl w:val="0"/>
          <w:numId w:val="1"/>
        </w:numPr>
        <w:suppressLineNumbers w:val="0"/>
        <w:kinsoku/>
        <w:wordWrap/>
        <w:overflowPunct/>
        <w:topLinePunct w:val="0"/>
        <w:autoSpaceDE/>
        <w:autoSpaceDN/>
        <w:bidi w:val="0"/>
        <w:spacing w:before="255" w:beforeAutospacing="0" w:after="255" w:afterAutospacing="0" w:line="380" w:lineRule="exact"/>
        <w:ind w:left="0" w:right="0"/>
        <w:jc w:val="both"/>
        <w:textAlignment w:val="auto"/>
        <w:rPr>
          <w:rStyle w:val="6"/>
          <w:rFonts w:ascii="黑体" w:hAnsi="宋体" w:eastAsia="黑体" w:cs="黑体"/>
          <w:sz w:val="28"/>
          <w:szCs w:val="28"/>
        </w:rPr>
      </w:pPr>
      <w:r>
        <w:rPr>
          <w:rStyle w:val="6"/>
          <w:rFonts w:ascii="黑体" w:hAnsi="宋体" w:eastAsia="黑体" w:cs="黑体"/>
          <w:sz w:val="28"/>
          <w:szCs w:val="28"/>
        </w:rPr>
        <w:t>项目基本情况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default" w:ascii="仿宋" w:hAnsi="仿宋" w:eastAsia="仿宋" w:cs="仿宋"/>
          <w:color w:val="FF0000"/>
          <w:sz w:val="28"/>
          <w:szCs w:val="28"/>
          <w:lang w:val="en-US" w:eastAsia="zh-CN"/>
        </w:rPr>
      </w:pPr>
      <w:r>
        <w:rPr>
          <w:rFonts w:hint="eastAsia" w:ascii="仿宋" w:hAnsi="仿宋" w:eastAsia="仿宋" w:cs="仿宋"/>
          <w:sz w:val="28"/>
          <w:szCs w:val="28"/>
          <w:lang w:eastAsia="zh-CN"/>
        </w:rPr>
        <w:t>项目编号：TKXZFCG(GK)DH202</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024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500"/>
        </w:tabs>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项目名称：托克逊县人民医院应急医疗物资仓储及附属设施项目采购附属设备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采购方式：公开招标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采购内容及</w:t>
      </w:r>
      <w:r>
        <w:rPr>
          <w:rFonts w:hint="eastAsia" w:ascii="仿宋" w:hAnsi="仿宋" w:eastAsia="仿宋" w:cs="仿宋"/>
          <w:sz w:val="28"/>
          <w:szCs w:val="28"/>
          <w:lang w:eastAsia="zh-CN"/>
        </w:rPr>
        <w:t>预算金额：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第一包   急救设备一批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7075000元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第二包   血透机、医用冷藏柜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480000元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第三包   彩超2台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5050000元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第四包   消毒设备一批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4585000元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第五包   ECMO一 台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2000000元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500"/>
        </w:tabs>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第六包   自体血液回收机一台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230000元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第七包   便携式彩超一台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580000元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合同履约期限：</w:t>
      </w:r>
      <w:r>
        <w:rPr>
          <w:rFonts w:hint="eastAsia" w:ascii="仿宋" w:hAnsi="仿宋" w:eastAsia="仿宋" w:cs="仿宋"/>
          <w:sz w:val="28"/>
          <w:szCs w:val="28"/>
          <w:lang w:val="en-US" w:eastAsia="zh-CN"/>
        </w:rPr>
        <w:t>详见招标文件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本项目（否）接受联合体投标</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jc w:val="both"/>
        <w:textAlignment w:val="auto"/>
        <w:rPr>
          <w:rStyle w:val="6"/>
          <w:rFonts w:ascii="黑体" w:hAnsi="宋体" w:eastAsia="黑体" w:cs="黑体"/>
          <w:sz w:val="28"/>
          <w:szCs w:val="28"/>
        </w:rPr>
      </w:pPr>
      <w:r>
        <w:rPr>
          <w:rStyle w:val="6"/>
          <w:rFonts w:ascii="黑体" w:hAnsi="宋体" w:eastAsia="黑体" w:cs="黑体"/>
          <w:sz w:val="28"/>
          <w:szCs w:val="28"/>
        </w:rPr>
        <w:t>二、申请人的资格要求：</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满足《中华人民共和国政府采购法》第二十二条规定；</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落实政府采购政策需满足的资格要求：1.(1)标记*符号的节能产品。(2)其他。2.采购《节能产品政府采购清单》内的产品。3.政府采购优先采购：(1)非标记*符号的节能产品。(2)环境标志产品；采购产品为《节能产品政府采购清单》内非标记*符号的节能产品及《环境标志产品政府采购清单》内的产品。4.支持中小企业发展：给予小型、微型企业的价格给予6%-10%的扣除，用扣除后的价格参与评审，本项目具体扣除比例为6%。5.政府采购支持中小企业发展政策。6.其它法律法规规定要求的政策。7.《财政部、司法部关于政府采购支持监狱企业发展有关问题的通知》（财库〔2014〕68号）。</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本项目的特定资格要求：1.须具备独立承担民事责任能力的在中华人民共和国境内注册的法人营业执照（经营范围内包含本次招标内容）；</w:t>
      </w:r>
      <w:r>
        <w:rPr>
          <w:rFonts w:hint="eastAsia" w:ascii="仿宋" w:hAnsi="仿宋" w:eastAsia="仿宋" w:cs="仿宋"/>
          <w:color w:val="auto"/>
          <w:sz w:val="28"/>
          <w:szCs w:val="28"/>
        </w:rPr>
        <w:t>2.提供有效的《医疗器械生产许可证》（生产范围含本项目的相关内容）或《医疗器械经营许可证》（经营范围含本项目的相关内容）；3.提供所投医疗产品的《中华人民共和国医疗器械注册证》（投标人须出具加盖生产企业公章的复印件）；4.进口产品须提供生产厂家至投标单位完整授权链（终端授权书须提供原件）；</w:t>
      </w:r>
      <w:r>
        <w:rPr>
          <w:rFonts w:hint="eastAsia" w:ascii="仿宋" w:hAnsi="仿宋" w:eastAsia="仿宋" w:cs="仿宋"/>
          <w:sz w:val="28"/>
          <w:szCs w:val="28"/>
        </w:rPr>
        <w:t>5.社保缴纳证明（供应商提供单位近3个月社保缴纳凭证及人员明细（含委托人））；6.凡拟参加本次招标项目的投标人，须提供“信用中国”网站（www.creditchina.gov.cn）、中国政府采购网（www.ccgp.gov.cn）、国家企业信用信息公示系统（http://www.gsxt.gov.cn）查询结果，如被列入失信被执行人、重大税收违法案件当事人名单、政府采购严重违法失信行为记录名单的（尚在处罚期内的），将拒绝其参加本次政府采购活动； 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8.本项目不接受联合体报名；9.其它由法律法规要求的限制条件。</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jc w:val="both"/>
        <w:textAlignment w:val="auto"/>
        <w:rPr>
          <w:rFonts w:ascii="黑体" w:hAnsi="宋体" w:eastAsia="黑体" w:cs="黑体"/>
          <w:sz w:val="24"/>
          <w:szCs w:val="24"/>
        </w:rPr>
      </w:pPr>
      <w:r>
        <w:rPr>
          <w:rStyle w:val="6"/>
          <w:rFonts w:ascii="黑体" w:hAnsi="宋体" w:eastAsia="黑体" w:cs="黑体"/>
          <w:sz w:val="28"/>
          <w:szCs w:val="28"/>
        </w:rPr>
        <w:t>三、获取招标文件</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时间：202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09</w:t>
      </w:r>
      <w:r>
        <w:rPr>
          <w:rFonts w:hint="eastAsia" w:ascii="仿宋" w:hAnsi="仿宋" w:eastAsia="仿宋" w:cs="仿宋"/>
          <w:sz w:val="28"/>
          <w:szCs w:val="28"/>
        </w:rPr>
        <w:t>月</w:t>
      </w:r>
      <w:r>
        <w:rPr>
          <w:rFonts w:hint="eastAsia" w:ascii="仿宋" w:hAnsi="仿宋" w:eastAsia="仿宋" w:cs="仿宋"/>
          <w:sz w:val="28"/>
          <w:szCs w:val="28"/>
          <w:lang w:val="en-US" w:eastAsia="zh-CN"/>
        </w:rPr>
        <w:t>09</w:t>
      </w:r>
      <w:r>
        <w:rPr>
          <w:rFonts w:hint="eastAsia" w:ascii="仿宋" w:hAnsi="仿宋" w:eastAsia="仿宋" w:cs="仿宋"/>
          <w:sz w:val="28"/>
          <w:szCs w:val="28"/>
        </w:rPr>
        <w:t>日至202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09</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日，每天上午10:00至</w:t>
      </w:r>
      <w:r>
        <w:rPr>
          <w:rFonts w:hint="eastAsia" w:ascii="仿宋" w:hAnsi="仿宋" w:eastAsia="仿宋" w:cs="仿宋"/>
          <w:sz w:val="28"/>
          <w:szCs w:val="28"/>
          <w:lang w:val="en-US" w:eastAsia="zh-CN"/>
        </w:rPr>
        <w:t>14</w:t>
      </w:r>
      <w:r>
        <w:rPr>
          <w:rFonts w:hint="eastAsia" w:ascii="仿宋" w:hAnsi="仿宋" w:eastAsia="仿宋" w:cs="仿宋"/>
          <w:sz w:val="28"/>
          <w:szCs w:val="28"/>
        </w:rPr>
        <w:t>:</w:t>
      </w:r>
      <w:r>
        <w:rPr>
          <w:rFonts w:hint="eastAsia" w:ascii="仿宋" w:hAnsi="仿宋" w:eastAsia="仿宋" w:cs="仿宋"/>
          <w:sz w:val="28"/>
          <w:szCs w:val="28"/>
          <w:lang w:val="en-US" w:eastAsia="zh-CN"/>
        </w:rPr>
        <w:t>0</w:t>
      </w:r>
      <w:r>
        <w:rPr>
          <w:rFonts w:hint="eastAsia" w:ascii="仿宋" w:hAnsi="仿宋" w:eastAsia="仿宋" w:cs="仿宋"/>
          <w:sz w:val="28"/>
          <w:szCs w:val="28"/>
        </w:rPr>
        <w:t>0，下午</w:t>
      </w:r>
      <w:r>
        <w:rPr>
          <w:rFonts w:hint="eastAsia" w:ascii="仿宋" w:hAnsi="仿宋" w:eastAsia="仿宋" w:cs="仿宋"/>
          <w:sz w:val="28"/>
          <w:szCs w:val="28"/>
          <w:lang w:val="en-US" w:eastAsia="zh-CN"/>
        </w:rPr>
        <w:t>16</w:t>
      </w:r>
      <w:r>
        <w:rPr>
          <w:rFonts w:hint="eastAsia" w:ascii="仿宋" w:hAnsi="仿宋" w:eastAsia="仿宋" w:cs="仿宋"/>
          <w:sz w:val="28"/>
          <w:szCs w:val="28"/>
        </w:rPr>
        <w:t>:30至</w:t>
      </w:r>
      <w:r>
        <w:rPr>
          <w:rFonts w:hint="eastAsia" w:ascii="仿宋" w:hAnsi="仿宋" w:eastAsia="仿宋" w:cs="仿宋"/>
          <w:sz w:val="28"/>
          <w:szCs w:val="28"/>
          <w:lang w:val="en-US" w:eastAsia="zh-CN"/>
        </w:rPr>
        <w:t>20</w:t>
      </w:r>
      <w:r>
        <w:rPr>
          <w:rFonts w:hint="eastAsia" w:ascii="仿宋" w:hAnsi="仿宋" w:eastAsia="仿宋" w:cs="仿宋"/>
          <w:sz w:val="28"/>
          <w:szCs w:val="28"/>
        </w:rPr>
        <w:t>:</w:t>
      </w:r>
      <w:r>
        <w:rPr>
          <w:rFonts w:hint="eastAsia" w:ascii="仿宋" w:hAnsi="仿宋" w:eastAsia="仿宋" w:cs="仿宋"/>
          <w:sz w:val="28"/>
          <w:szCs w:val="28"/>
          <w:lang w:val="en-US" w:eastAsia="zh-CN"/>
        </w:rPr>
        <w:t>00</w:t>
      </w:r>
      <w:r>
        <w:rPr>
          <w:rFonts w:hint="eastAsia" w:ascii="仿宋" w:hAnsi="仿宋" w:eastAsia="仿宋" w:cs="仿宋"/>
          <w:sz w:val="28"/>
          <w:szCs w:val="28"/>
        </w:rPr>
        <w:t>（北京时间，法定节假日除外）</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地点：吐鲁番市高昌区青年路670号新疆德宏招标代理有限公司  </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获取</w:t>
      </w:r>
      <w:r>
        <w:rPr>
          <w:rFonts w:hint="eastAsia" w:ascii="仿宋" w:hAnsi="仿宋" w:eastAsia="仿宋" w:cs="仿宋"/>
          <w:sz w:val="28"/>
          <w:szCs w:val="28"/>
        </w:rPr>
        <w:t>方式：线下获取  </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获取招标文件时需携带的资料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营业执照原件；（2）法人代表或其委托代理人应携带本人身份证原件及复印件，委托代理人还应携带《法人代表授权委托书》原件；（3）《医疗器械生产（经营）许可证》（生产（经营）范围含本项目的相关内容）；（4）所投医疗产品的《中华人民共和国医疗器械注册证》（投标人须提供加盖生产企业公章的复印件）；（5）进口产品须提供生产厂家至投标单位完整授权链（终端授权书须提供原件）</w:t>
      </w:r>
      <w:bookmarkStart w:id="0" w:name="_GoBack"/>
      <w:bookmarkEnd w:id="0"/>
      <w:r>
        <w:rPr>
          <w:rFonts w:hint="eastAsia" w:ascii="仿宋" w:hAnsi="仿宋" w:eastAsia="仿宋" w:cs="仿宋"/>
          <w:sz w:val="28"/>
          <w:szCs w:val="28"/>
          <w:lang w:val="en-US" w:eastAsia="zh-CN"/>
        </w:rPr>
        <w:t>（三包、五包提供）；（6）社保缴纳证明（供应商提供单位近3个月社保缴纳凭证及人员明细（含委托人））；（7）信用中国网站、国家企业信用信息公示系统及中国政府采购网网站查询截图。</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（审查上述所有原件合格后，予以发售招标文件）</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投标单位报名成功与否，均须将上述所有报名所需材料胶装成册并编辑页码和逐页加盖本单位公章，提供一份给新疆德宏招标代理公司留存，同时，投标单位被授权人须在《投标单位报名登记表》上签字确认查验结果。</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售价（元）：</w:t>
      </w:r>
      <w:r>
        <w:rPr>
          <w:rFonts w:hint="eastAsia" w:ascii="仿宋" w:hAnsi="仿宋" w:eastAsia="仿宋" w:cs="仿宋"/>
          <w:sz w:val="28"/>
          <w:szCs w:val="28"/>
          <w:lang w:val="en-US" w:eastAsia="zh-CN"/>
        </w:rPr>
        <w:t>300</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jc w:val="both"/>
        <w:textAlignment w:val="auto"/>
        <w:rPr>
          <w:rFonts w:ascii="黑体" w:hAnsi="宋体" w:eastAsia="黑体" w:cs="黑体"/>
          <w:sz w:val="24"/>
          <w:szCs w:val="24"/>
        </w:rPr>
      </w:pPr>
      <w:r>
        <w:rPr>
          <w:rStyle w:val="6"/>
          <w:rFonts w:ascii="黑体" w:hAnsi="宋体" w:eastAsia="黑体" w:cs="黑体"/>
          <w:sz w:val="28"/>
          <w:szCs w:val="28"/>
        </w:rPr>
        <w:t>四、提交投标文件截止时间、开标时间和地点</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提交投标文件截止时间：202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09</w:t>
      </w:r>
      <w:r>
        <w:rPr>
          <w:rFonts w:hint="eastAsia" w:ascii="仿宋" w:hAnsi="仿宋" w:eastAsia="仿宋" w:cs="仿宋"/>
          <w:sz w:val="28"/>
          <w:szCs w:val="28"/>
        </w:rPr>
        <w:t>月</w:t>
      </w:r>
      <w:r>
        <w:rPr>
          <w:rFonts w:hint="eastAsia" w:ascii="仿宋" w:hAnsi="仿宋" w:eastAsia="仿宋" w:cs="仿宋"/>
          <w:sz w:val="28"/>
          <w:szCs w:val="28"/>
          <w:lang w:val="en-US" w:eastAsia="zh-CN"/>
        </w:rPr>
        <w:t>29</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w:t>
      </w:r>
      <w:r>
        <w:rPr>
          <w:rFonts w:hint="eastAsia" w:ascii="仿宋" w:hAnsi="仿宋" w:eastAsia="仿宋" w:cs="仿宋"/>
          <w:sz w:val="28"/>
          <w:szCs w:val="28"/>
          <w:lang w:val="en-US" w:eastAsia="zh-CN"/>
        </w:rPr>
        <w:t>30</w:t>
      </w:r>
      <w:r>
        <w:rPr>
          <w:rFonts w:hint="eastAsia" w:ascii="仿宋" w:hAnsi="仿宋" w:eastAsia="仿宋" w:cs="仿宋"/>
          <w:sz w:val="28"/>
          <w:szCs w:val="28"/>
        </w:rPr>
        <w:t>（北京时间）</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投标地点：吐鲁番市建设工程交易中心 </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default" w:ascii="仿宋" w:hAnsi="仿宋" w:eastAsia="仿宋" w:cs="仿宋"/>
          <w:sz w:val="28"/>
          <w:szCs w:val="28"/>
          <w:lang w:val="en-US"/>
        </w:rPr>
      </w:pPr>
      <w:r>
        <w:rPr>
          <w:rFonts w:hint="eastAsia" w:ascii="仿宋" w:hAnsi="仿宋" w:eastAsia="仿宋" w:cs="仿宋"/>
          <w:sz w:val="28"/>
          <w:szCs w:val="28"/>
        </w:rPr>
        <w:t>开标时间：202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09</w:t>
      </w:r>
      <w:r>
        <w:rPr>
          <w:rFonts w:hint="eastAsia" w:ascii="仿宋" w:hAnsi="仿宋" w:eastAsia="仿宋" w:cs="仿宋"/>
          <w:sz w:val="28"/>
          <w:szCs w:val="28"/>
        </w:rPr>
        <w:t>月</w:t>
      </w:r>
      <w:r>
        <w:rPr>
          <w:rFonts w:hint="eastAsia" w:ascii="仿宋" w:hAnsi="仿宋" w:eastAsia="仿宋" w:cs="仿宋"/>
          <w:sz w:val="28"/>
          <w:szCs w:val="28"/>
          <w:lang w:val="en-US" w:eastAsia="zh-CN"/>
        </w:rPr>
        <w:t>29</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w:t>
      </w:r>
      <w:r>
        <w:rPr>
          <w:rFonts w:hint="eastAsia" w:ascii="仿宋" w:hAnsi="仿宋" w:eastAsia="仿宋" w:cs="仿宋"/>
          <w:sz w:val="28"/>
          <w:szCs w:val="28"/>
          <w:lang w:val="en-US" w:eastAsia="zh-CN"/>
        </w:rPr>
        <w:t>30</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开标地点：吐鲁番市建设工程交易中心</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jc w:val="both"/>
        <w:textAlignment w:val="auto"/>
        <w:rPr>
          <w:rFonts w:ascii="黑体" w:hAnsi="宋体" w:eastAsia="黑体" w:cs="黑体"/>
          <w:sz w:val="28"/>
          <w:szCs w:val="28"/>
        </w:rPr>
      </w:pPr>
      <w:r>
        <w:rPr>
          <w:rStyle w:val="6"/>
          <w:rFonts w:ascii="黑体" w:hAnsi="宋体" w:eastAsia="黑体" w:cs="黑体"/>
          <w:sz w:val="28"/>
          <w:szCs w:val="28"/>
        </w:rPr>
        <w:t>五、公告期限</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sz w:val="22"/>
          <w:szCs w:val="21"/>
        </w:rPr>
      </w:pPr>
      <w:r>
        <w:rPr>
          <w:rFonts w:hint="eastAsia" w:ascii="仿宋" w:hAnsi="仿宋" w:eastAsia="仿宋" w:cs="仿宋"/>
          <w:sz w:val="28"/>
          <w:szCs w:val="28"/>
        </w:rPr>
        <w:t>自本公告发布之日起5个工作日。</w:t>
      </w:r>
    </w:p>
    <w:p>
      <w:pPr>
        <w:pStyle w:val="3"/>
        <w:keepNext w:val="0"/>
        <w:keepLines w:val="0"/>
        <w:pageBreakBefore w:val="0"/>
        <w:widowControl/>
        <w:suppressLineNumbers w:val="0"/>
        <w:kinsoku/>
        <w:wordWrap/>
        <w:overflowPunct/>
        <w:topLinePunct w:val="0"/>
        <w:autoSpaceDE/>
        <w:autoSpaceDN/>
        <w:bidi w:val="0"/>
        <w:spacing w:before="255" w:beforeAutospacing="0" w:after="255" w:afterAutospacing="0" w:line="380" w:lineRule="exact"/>
        <w:ind w:left="0" w:right="0"/>
        <w:jc w:val="both"/>
        <w:textAlignment w:val="auto"/>
        <w:rPr>
          <w:rFonts w:ascii="黑体" w:hAnsi="宋体" w:eastAsia="黑体" w:cs="黑体"/>
          <w:sz w:val="28"/>
          <w:szCs w:val="28"/>
        </w:rPr>
      </w:pPr>
      <w:r>
        <w:rPr>
          <w:rStyle w:val="6"/>
          <w:rFonts w:ascii="黑体" w:hAnsi="宋体" w:eastAsia="黑体" w:cs="黑体"/>
          <w:sz w:val="28"/>
          <w:szCs w:val="28"/>
        </w:rPr>
        <w:t>六、对本次采购提出询问，请按以下方式联系</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2"/>
          <w:szCs w:val="21"/>
        </w:rPr>
      </w:pPr>
      <w:r>
        <w:rPr>
          <w:rFonts w:hint="eastAsia" w:ascii="仿宋" w:hAnsi="仿宋" w:eastAsia="仿宋" w:cs="仿宋"/>
          <w:sz w:val="28"/>
          <w:szCs w:val="28"/>
        </w:rPr>
        <w:t>1.采购人信息</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名 称：托克逊县人民医院</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 址：托克逊县友好东路</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联系方式：0995—8828731 </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2.采购代理机构信息</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名 称：新疆德宏招标代理有限公司</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 址：新疆吐鲁番市高昌区青年路670号（建行5楼）</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项目联系人：魏</w:t>
      </w:r>
      <w:r>
        <w:rPr>
          <w:rFonts w:hint="eastAsia" w:ascii="仿宋" w:hAnsi="仿宋" w:eastAsia="仿宋" w:cs="仿宋"/>
          <w:sz w:val="28"/>
          <w:szCs w:val="28"/>
          <w:lang w:val="en-US" w:eastAsia="zh-CN"/>
        </w:rPr>
        <w:t>工</w:t>
      </w:r>
    </w:p>
    <w:p>
      <w:pPr>
        <w:pStyle w:val="3"/>
        <w:keepNext w:val="0"/>
        <w:keepLines w:val="0"/>
        <w:pageBreakBefore w:val="0"/>
        <w:widowControl/>
        <w:suppressLineNumbers w:val="0"/>
        <w:kinsoku/>
        <w:wordWrap/>
        <w:overflowPunct/>
        <w:topLinePunct w:val="0"/>
        <w:autoSpaceDE/>
        <w:autoSpaceDN/>
        <w:bidi w:val="0"/>
        <w:spacing w:before="75" w:beforeAutospacing="0" w:after="75" w:afterAutospacing="0" w:line="38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联系方式：17709959996</w:t>
      </w:r>
    </w:p>
    <w:p>
      <w:pPr>
        <w:pStyle w:val="3"/>
        <w:keepNext w:val="0"/>
        <w:keepLines w:val="0"/>
        <w:widowControl/>
        <w:suppressLineNumbers w:val="0"/>
        <w:spacing w:before="75" w:beforeAutospacing="0" w:after="75" w:afterAutospacing="0"/>
        <w:ind w:left="0" w:right="0" w:firstLine="420"/>
        <w:rPr>
          <w:rFonts w:hint="eastAsia" w:ascii="仿宋" w:hAnsi="仿宋" w:eastAsia="仿宋" w:cs="仿宋"/>
        </w:rPr>
      </w:pPr>
    </w:p>
    <w:p>
      <w:pPr>
        <w:keepNext w:val="0"/>
        <w:keepLines w:val="0"/>
        <w:pageBreakBefore w:val="0"/>
        <w:widowControl/>
        <w:kinsoku/>
        <w:wordWrap/>
        <w:overflowPunct/>
        <w:topLinePunct w:val="0"/>
        <w:autoSpaceDE/>
        <w:autoSpaceDN/>
        <w:bidi w:val="0"/>
        <w:spacing w:line="240" w:lineRule="auto"/>
        <w:textAlignment w:val="auto"/>
      </w:pPr>
    </w:p>
    <w:sectPr>
      <w:pgSz w:w="11906" w:h="16838"/>
      <w:pgMar w:top="1440" w:right="1701" w:bottom="1440"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6295D"/>
    <w:multiLevelType w:val="singleLevel"/>
    <w:tmpl w:val="8B5629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461846"/>
    <w:rsid w:val="008B7726"/>
    <w:rsid w:val="00D31D50"/>
    <w:rsid w:val="014836C4"/>
    <w:rsid w:val="01D23C7B"/>
    <w:rsid w:val="02011F2D"/>
    <w:rsid w:val="02BD1258"/>
    <w:rsid w:val="02FA17BB"/>
    <w:rsid w:val="03113A9C"/>
    <w:rsid w:val="033E4E25"/>
    <w:rsid w:val="04713340"/>
    <w:rsid w:val="0542051B"/>
    <w:rsid w:val="062A47DF"/>
    <w:rsid w:val="066156E0"/>
    <w:rsid w:val="06F47B4F"/>
    <w:rsid w:val="074824A8"/>
    <w:rsid w:val="076C63C4"/>
    <w:rsid w:val="08253ED1"/>
    <w:rsid w:val="098040C9"/>
    <w:rsid w:val="0A1B4207"/>
    <w:rsid w:val="0A5C6FE2"/>
    <w:rsid w:val="0B430946"/>
    <w:rsid w:val="0CD757FE"/>
    <w:rsid w:val="0CF9622F"/>
    <w:rsid w:val="0D292B13"/>
    <w:rsid w:val="0D5675D5"/>
    <w:rsid w:val="0D843B4E"/>
    <w:rsid w:val="0D9B09DC"/>
    <w:rsid w:val="0E37057B"/>
    <w:rsid w:val="0E497066"/>
    <w:rsid w:val="0EC77EDC"/>
    <w:rsid w:val="0FEB5BBA"/>
    <w:rsid w:val="128876E5"/>
    <w:rsid w:val="13DD1F4F"/>
    <w:rsid w:val="147E54DF"/>
    <w:rsid w:val="14EB12B7"/>
    <w:rsid w:val="154232E2"/>
    <w:rsid w:val="168D6B8F"/>
    <w:rsid w:val="16BB08C0"/>
    <w:rsid w:val="16C14EC1"/>
    <w:rsid w:val="17D42B01"/>
    <w:rsid w:val="18C001B4"/>
    <w:rsid w:val="1A357F42"/>
    <w:rsid w:val="1C6F017A"/>
    <w:rsid w:val="1CB5359E"/>
    <w:rsid w:val="1CD85002"/>
    <w:rsid w:val="1D8526BD"/>
    <w:rsid w:val="1DFE2EF6"/>
    <w:rsid w:val="1ED17518"/>
    <w:rsid w:val="1F7B5DEC"/>
    <w:rsid w:val="1FD0596C"/>
    <w:rsid w:val="2101189E"/>
    <w:rsid w:val="212D18DF"/>
    <w:rsid w:val="21DB7F3A"/>
    <w:rsid w:val="23917E9C"/>
    <w:rsid w:val="24DB4478"/>
    <w:rsid w:val="250B3A24"/>
    <w:rsid w:val="254570DB"/>
    <w:rsid w:val="257F4628"/>
    <w:rsid w:val="27102DEB"/>
    <w:rsid w:val="278B6F06"/>
    <w:rsid w:val="286A1EA4"/>
    <w:rsid w:val="28855F2F"/>
    <w:rsid w:val="2A227BF3"/>
    <w:rsid w:val="2A6C6E92"/>
    <w:rsid w:val="2ABB4499"/>
    <w:rsid w:val="2B2978E9"/>
    <w:rsid w:val="2BC15394"/>
    <w:rsid w:val="2BF13B6E"/>
    <w:rsid w:val="2C6E6FF7"/>
    <w:rsid w:val="2D10387E"/>
    <w:rsid w:val="2DBB560E"/>
    <w:rsid w:val="2DFD29BB"/>
    <w:rsid w:val="2E4C4233"/>
    <w:rsid w:val="2E6D31EE"/>
    <w:rsid w:val="2E947883"/>
    <w:rsid w:val="32A40875"/>
    <w:rsid w:val="33892053"/>
    <w:rsid w:val="34CE34C0"/>
    <w:rsid w:val="36CF023C"/>
    <w:rsid w:val="36DC71D9"/>
    <w:rsid w:val="3701670E"/>
    <w:rsid w:val="379B7B3B"/>
    <w:rsid w:val="38765DD9"/>
    <w:rsid w:val="38E02862"/>
    <w:rsid w:val="3B002C7F"/>
    <w:rsid w:val="3B2C44B8"/>
    <w:rsid w:val="3B441D1D"/>
    <w:rsid w:val="3BAF245B"/>
    <w:rsid w:val="3BEE577C"/>
    <w:rsid w:val="3C11075C"/>
    <w:rsid w:val="3C6A62F7"/>
    <w:rsid w:val="3C961980"/>
    <w:rsid w:val="3D2E0017"/>
    <w:rsid w:val="3DCD0BA7"/>
    <w:rsid w:val="3DE63FE1"/>
    <w:rsid w:val="3E845FAD"/>
    <w:rsid w:val="3F696854"/>
    <w:rsid w:val="3F9C1351"/>
    <w:rsid w:val="3FAD6E9B"/>
    <w:rsid w:val="3FCB0D5D"/>
    <w:rsid w:val="41802D7B"/>
    <w:rsid w:val="419B3458"/>
    <w:rsid w:val="420B268A"/>
    <w:rsid w:val="44080A11"/>
    <w:rsid w:val="442E3454"/>
    <w:rsid w:val="44EE250D"/>
    <w:rsid w:val="45295C65"/>
    <w:rsid w:val="46885C10"/>
    <w:rsid w:val="46CA3DEB"/>
    <w:rsid w:val="46DD17C3"/>
    <w:rsid w:val="46E15D82"/>
    <w:rsid w:val="49CA66F8"/>
    <w:rsid w:val="4B1B3DE6"/>
    <w:rsid w:val="4BA446C3"/>
    <w:rsid w:val="4C6430F8"/>
    <w:rsid w:val="4C81264B"/>
    <w:rsid w:val="4C831727"/>
    <w:rsid w:val="4CCD725D"/>
    <w:rsid w:val="4D1E099B"/>
    <w:rsid w:val="4D674FD0"/>
    <w:rsid w:val="4DE60E85"/>
    <w:rsid w:val="4DE6218D"/>
    <w:rsid w:val="4E943352"/>
    <w:rsid w:val="4ED73D91"/>
    <w:rsid w:val="4ED83A89"/>
    <w:rsid w:val="4F5E6D4C"/>
    <w:rsid w:val="4F816004"/>
    <w:rsid w:val="4FF04FD9"/>
    <w:rsid w:val="505B4158"/>
    <w:rsid w:val="51646795"/>
    <w:rsid w:val="517C3431"/>
    <w:rsid w:val="528079B3"/>
    <w:rsid w:val="52ED085B"/>
    <w:rsid w:val="53160BB2"/>
    <w:rsid w:val="54A860FB"/>
    <w:rsid w:val="555714D9"/>
    <w:rsid w:val="559408FE"/>
    <w:rsid w:val="56317EFF"/>
    <w:rsid w:val="5633420B"/>
    <w:rsid w:val="569738F8"/>
    <w:rsid w:val="56EF3D1D"/>
    <w:rsid w:val="5754062C"/>
    <w:rsid w:val="57C43615"/>
    <w:rsid w:val="581F35C0"/>
    <w:rsid w:val="58795AC8"/>
    <w:rsid w:val="59151FE9"/>
    <w:rsid w:val="59BF0753"/>
    <w:rsid w:val="5A782D50"/>
    <w:rsid w:val="5AED33B9"/>
    <w:rsid w:val="5B86325F"/>
    <w:rsid w:val="5D9B46CE"/>
    <w:rsid w:val="5E05720A"/>
    <w:rsid w:val="5E3211C1"/>
    <w:rsid w:val="5EA74D3F"/>
    <w:rsid w:val="60522BE2"/>
    <w:rsid w:val="60714CFA"/>
    <w:rsid w:val="60D162E4"/>
    <w:rsid w:val="6104055E"/>
    <w:rsid w:val="623269B7"/>
    <w:rsid w:val="62760853"/>
    <w:rsid w:val="635E2B24"/>
    <w:rsid w:val="63A8644A"/>
    <w:rsid w:val="64F60459"/>
    <w:rsid w:val="660C07E8"/>
    <w:rsid w:val="68D61908"/>
    <w:rsid w:val="695A27B2"/>
    <w:rsid w:val="696E659B"/>
    <w:rsid w:val="697948BC"/>
    <w:rsid w:val="69F62374"/>
    <w:rsid w:val="6B1C7552"/>
    <w:rsid w:val="6B3409F6"/>
    <w:rsid w:val="6BA451E4"/>
    <w:rsid w:val="6D4D359B"/>
    <w:rsid w:val="6E135E62"/>
    <w:rsid w:val="6E344310"/>
    <w:rsid w:val="6F3C2480"/>
    <w:rsid w:val="6FD17AAD"/>
    <w:rsid w:val="7135349F"/>
    <w:rsid w:val="71B175F2"/>
    <w:rsid w:val="71D442AB"/>
    <w:rsid w:val="71F574A2"/>
    <w:rsid w:val="728174FC"/>
    <w:rsid w:val="735E0D0F"/>
    <w:rsid w:val="74BD7109"/>
    <w:rsid w:val="750F1F6A"/>
    <w:rsid w:val="75566D2C"/>
    <w:rsid w:val="75D63B33"/>
    <w:rsid w:val="75E37361"/>
    <w:rsid w:val="764B5847"/>
    <w:rsid w:val="76FA40B0"/>
    <w:rsid w:val="772036BC"/>
    <w:rsid w:val="775F1CD2"/>
    <w:rsid w:val="782D7251"/>
    <w:rsid w:val="785D1B32"/>
    <w:rsid w:val="78B11374"/>
    <w:rsid w:val="78DB06CD"/>
    <w:rsid w:val="798333D9"/>
    <w:rsid w:val="7A077A25"/>
    <w:rsid w:val="7B02063E"/>
    <w:rsid w:val="7B0407C0"/>
    <w:rsid w:val="7B3178CA"/>
    <w:rsid w:val="7B9A2056"/>
    <w:rsid w:val="7BF002EE"/>
    <w:rsid w:val="7C733E4C"/>
    <w:rsid w:val="7D43403E"/>
    <w:rsid w:val="7DC72582"/>
    <w:rsid w:val="7DF13639"/>
    <w:rsid w:val="7E9F1BD1"/>
    <w:rsid w:val="7F3A7316"/>
    <w:rsid w:val="7FA16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sz w:val="21"/>
    </w:r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6">
    <w:name w:val="Strong"/>
    <w:basedOn w:val="5"/>
    <w:qFormat/>
    <w:uiPriority w:val="22"/>
    <w:rPr>
      <w:b/>
    </w:rPr>
  </w:style>
  <w:style w:type="character" w:styleId="7">
    <w:name w:val="Hyperlink"/>
    <w:basedOn w:val="5"/>
    <w:semiHidden/>
    <w:unhideWhenUsed/>
    <w:qFormat/>
    <w:uiPriority w:val="99"/>
    <w:rPr>
      <w:color w:val="0000FF"/>
      <w:u w:val="single"/>
    </w:rPr>
  </w:style>
  <w:style w:type="character" w:styleId="8">
    <w:name w:val="HTML Sample"/>
    <w:basedOn w:val="5"/>
    <w:semiHidden/>
    <w:unhideWhenUsed/>
    <w:qFormat/>
    <w:uiPriority w:val="99"/>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142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2021-09-08T12:08:51Z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