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6"/>
          <w:szCs w:val="36"/>
          <w:lang w:val="en-US" w:eastAsia="zh-CN" w:bidi="ar"/>
        </w:rPr>
      </w:pPr>
      <w:r>
        <w:rPr>
          <w:rFonts w:hint="eastAsia" w:ascii="仿宋_GB2312" w:hAnsi="仿宋_GB2312" w:eastAsia="仿宋_GB2312" w:cs="仿宋_GB2312"/>
          <w:b/>
          <w:bCs/>
          <w:color w:val="000000"/>
          <w:kern w:val="0"/>
          <w:sz w:val="36"/>
          <w:szCs w:val="36"/>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随着近几年医院业务范围的不断扩大，业务量日益增多，病种也越来越复杂，但是由于目前我院的医疗设备特别短缺，多种设备陈旧落后、故障频繁、维修成本也非常高。已到了报废的边缘，急需更新，所以为了提高我院的诊疗水平，必须提高医疗设备条件，才能更好的服务于患者，满足他们的就医需求，特购置医疗设备一批。</w:t>
      </w:r>
    </w:p>
    <w:p>
      <w:pPr>
        <w:keepNext w:val="0"/>
        <w:keepLines w:val="0"/>
        <w:widowControl/>
        <w:numPr>
          <w:ilvl w:val="0"/>
          <w:numId w:val="0"/>
        </w:numPr>
        <w:suppressLineNumbers w:val="0"/>
        <w:ind w:firstLine="62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31"/>
          <w:szCs w:val="31"/>
          <w:lang w:val="en-US" w:eastAsia="zh-CN" w:bidi="ar"/>
        </w:rPr>
        <w:t>（二）、</w:t>
      </w:r>
      <w:r>
        <w:rPr>
          <w:rFonts w:hint="eastAsia" w:ascii="仿宋_GB2312" w:hAnsi="仿宋_GB2312" w:eastAsia="仿宋_GB2312" w:cs="仿宋_GB2312"/>
          <w:b/>
          <w:bCs/>
          <w:color w:val="000000"/>
          <w:kern w:val="0"/>
          <w:sz w:val="28"/>
          <w:szCs w:val="28"/>
          <w:lang w:val="en-US" w:eastAsia="zh-CN" w:bidi="ar"/>
        </w:rPr>
        <w:t>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（5）《关于促进残疾人就业政府采购政策的通知》（财库【2017】141号）等。 </w:t>
      </w:r>
    </w:p>
    <w:p>
      <w:pPr>
        <w:rPr>
          <w:rFonts w:hint="eastAsia" w:ascii="仿宋_GB2312" w:hAnsi="仿宋_GB2312" w:eastAsia="仿宋_GB2312" w:cs="仿宋_GB2312"/>
          <w:b w:val="0"/>
          <w:bCs w:val="0"/>
          <w:color w:val="000000"/>
          <w:kern w:val="0"/>
          <w:sz w:val="31"/>
          <w:szCs w:val="31"/>
          <w:lang w:val="en-US" w:eastAsia="zh-CN" w:bidi="ar"/>
        </w:rPr>
      </w:pPr>
    </w:p>
    <w:p>
      <w:pPr>
        <w:pStyle w:val="2"/>
        <w:rPr>
          <w:rFonts w:hint="default"/>
          <w:lang w:val="en-US" w:eastAsia="zh-CN"/>
        </w:rPr>
      </w:pPr>
    </w:p>
    <w:p>
      <w:pPr>
        <w:pStyle w:val="2"/>
        <w:spacing w:line="500" w:lineRule="exac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二、供应商资格：</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000000"/>
          <w:kern w:val="0"/>
          <w:sz w:val="31"/>
          <w:szCs w:val="31"/>
          <w:lang w:val="zh-CN" w:eastAsia="zh-CN" w:bidi="ar"/>
        </w:rPr>
        <w:t>投标人必须符合《中华人民共和国政府采购法》第二十二条的相关规定</w:t>
      </w:r>
    </w:p>
    <w:p>
      <w:pPr>
        <w:pStyle w:val="2"/>
        <w:spacing w:line="500" w:lineRule="exact"/>
        <w:ind w:left="0" w:leftChars="0" w:firstLine="620" w:firstLineChars="200"/>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1、企业三证合一的法人营业执照原件或含二维码的营业执照复印件盖公章（现场核查）；</w:t>
      </w:r>
    </w:p>
    <w:p>
      <w:pPr>
        <w:pStyle w:val="2"/>
        <w:spacing w:line="500" w:lineRule="exact"/>
        <w:ind w:left="0" w:leftChars="0" w:firstLine="620" w:firstLineChars="200"/>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2、法定代表人授权书原件及被授权人身份证原件，法人资格证明，法人本人参与投标提供法人身份证原件；</w:t>
      </w:r>
    </w:p>
    <w:p>
      <w:pPr>
        <w:pStyle w:val="2"/>
        <w:spacing w:line="500" w:lineRule="exact"/>
        <w:ind w:left="0" w:leftChars="0" w:firstLine="620" w:firstLineChars="200"/>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 xml:space="preserve"> 3、法定代表人或被委托人：由社保部门或税务局出具的投标单位缴纳的社保证明和个人缴纳的社保明细表原件（近半年任意</w:t>
      </w:r>
      <w:r>
        <w:rPr>
          <w:rFonts w:hint="eastAsia" w:ascii="仿宋_GB2312" w:hAnsi="仿宋_GB2312" w:eastAsia="仿宋_GB2312" w:cs="仿宋_GB2312"/>
          <w:b w:val="0"/>
          <w:bCs w:val="0"/>
          <w:color w:val="000000"/>
          <w:kern w:val="0"/>
          <w:sz w:val="31"/>
          <w:szCs w:val="31"/>
          <w:lang w:val="en-US" w:eastAsia="zh-CN" w:bidi="ar"/>
        </w:rPr>
        <w:t>4个月</w:t>
      </w:r>
      <w:r>
        <w:rPr>
          <w:rFonts w:hint="eastAsia" w:ascii="仿宋_GB2312" w:hAnsi="仿宋_GB2312" w:eastAsia="仿宋_GB2312" w:cs="仿宋_GB2312"/>
          <w:b w:val="0"/>
          <w:bCs w:val="0"/>
          <w:color w:val="000000"/>
          <w:kern w:val="0"/>
          <w:sz w:val="31"/>
          <w:szCs w:val="31"/>
          <w:lang w:val="zh-CN" w:eastAsia="zh-CN" w:bidi="ar"/>
        </w:rPr>
        <w:t>的社保缴费凭证及个人缴费明细）；被委托人必须是投标单位正式员工；</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zh-CN" w:eastAsia="zh-CN" w:bidi="ar"/>
        </w:rPr>
        <w:t>4、</w:t>
      </w:r>
      <w:r>
        <w:rPr>
          <w:rFonts w:hint="eastAsia" w:ascii="仿宋_GB2312" w:hAnsi="仿宋_GB2312" w:eastAsia="仿宋_GB2312" w:cs="仿宋_GB2312"/>
          <w:b w:val="0"/>
          <w:bCs w:val="0"/>
          <w:color w:val="000000"/>
          <w:kern w:val="0"/>
          <w:sz w:val="31"/>
          <w:szCs w:val="31"/>
          <w:lang w:val="en-US" w:eastAsia="zh-CN" w:bidi="ar"/>
        </w:rPr>
        <w:t>2020年</w:t>
      </w:r>
      <w:r>
        <w:rPr>
          <w:rFonts w:hint="eastAsia" w:ascii="仿宋_GB2312" w:hAnsi="仿宋_GB2312" w:eastAsia="仿宋_GB2312" w:cs="仿宋_GB2312"/>
          <w:b w:val="0"/>
          <w:bCs w:val="0"/>
          <w:color w:val="000000"/>
          <w:kern w:val="0"/>
          <w:sz w:val="31"/>
          <w:szCs w:val="31"/>
          <w:lang w:val="zh-CN" w:eastAsia="zh-CN" w:bidi="ar"/>
        </w:rPr>
        <w:t>的财务审计报告原件（新成立公司不足一年的提供近三个月内有效的银行资信证明原件）；</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zh-CN" w:eastAsia="zh-CN" w:bidi="ar"/>
        </w:rPr>
        <w:t>5、在税务局依法缴纳</w:t>
      </w:r>
      <w:r>
        <w:rPr>
          <w:rFonts w:hint="eastAsia" w:ascii="仿宋_GB2312" w:hAnsi="仿宋_GB2312" w:eastAsia="仿宋_GB2312" w:cs="仿宋_GB2312"/>
          <w:b w:val="0"/>
          <w:bCs w:val="0"/>
          <w:color w:val="000000"/>
          <w:kern w:val="0"/>
          <w:sz w:val="31"/>
          <w:szCs w:val="31"/>
          <w:lang w:val="en-US" w:eastAsia="zh-CN" w:bidi="ar"/>
        </w:rPr>
        <w:t>近半年任意三个月</w:t>
      </w:r>
      <w:r>
        <w:rPr>
          <w:rFonts w:hint="eastAsia" w:ascii="仿宋_GB2312" w:hAnsi="仿宋_GB2312" w:eastAsia="仿宋_GB2312" w:cs="仿宋_GB2312"/>
          <w:b w:val="0"/>
          <w:bCs w:val="0"/>
          <w:color w:val="000000"/>
          <w:kern w:val="0"/>
          <w:sz w:val="31"/>
          <w:szCs w:val="31"/>
          <w:lang w:val="zh-CN" w:eastAsia="zh-CN" w:bidi="ar"/>
        </w:rPr>
        <w:t>税收证明的良好记录；（或由税务局出具的无拖欠税收证明）</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zh-CN" w:eastAsia="zh-CN" w:bidi="ar"/>
        </w:rPr>
        <w:t>6、在“信用中国”网站（</w:t>
      </w:r>
      <w:r>
        <w:rPr>
          <w:rFonts w:hint="eastAsia" w:ascii="仿宋_GB2312" w:hAnsi="仿宋_GB2312" w:eastAsia="仿宋_GB2312" w:cs="仿宋_GB2312"/>
          <w:b w:val="0"/>
          <w:bCs w:val="0"/>
          <w:color w:val="000000"/>
          <w:kern w:val="0"/>
          <w:sz w:val="31"/>
          <w:szCs w:val="31"/>
          <w:lang w:val="zh-CN" w:eastAsia="zh-CN" w:bidi="ar"/>
        </w:rPr>
        <w:fldChar w:fldCharType="begin"/>
      </w:r>
      <w:r>
        <w:rPr>
          <w:rFonts w:hint="eastAsia" w:ascii="仿宋_GB2312" w:hAnsi="仿宋_GB2312" w:eastAsia="仿宋_GB2312" w:cs="仿宋_GB2312"/>
          <w:b w:val="0"/>
          <w:bCs w:val="0"/>
          <w:color w:val="000000"/>
          <w:kern w:val="0"/>
          <w:sz w:val="31"/>
          <w:szCs w:val="31"/>
          <w:lang w:val="zh-CN" w:eastAsia="zh-CN" w:bidi="ar"/>
        </w:rPr>
        <w:instrText xml:space="preserve"> INCLUDEPICTURE "C:\\Users\\Administrator\\AppData\\Roaming\\Tencent\\QQTempSys\\%W@GJ$ACOF(TYDYECOKVDYB.png" \* MERGEFORMATINET </w:instrText>
      </w:r>
      <w:r>
        <w:rPr>
          <w:rFonts w:hint="eastAsia" w:ascii="仿宋_GB2312" w:hAnsi="仿宋_GB2312" w:eastAsia="仿宋_GB2312" w:cs="仿宋_GB2312"/>
          <w:b w:val="0"/>
          <w:bCs w:val="0"/>
          <w:color w:val="000000"/>
          <w:kern w:val="0"/>
          <w:sz w:val="31"/>
          <w:szCs w:val="31"/>
          <w:lang w:val="zh-CN" w:eastAsia="zh-CN" w:bidi="ar"/>
        </w:rPr>
        <w:fldChar w:fldCharType="separate"/>
      </w:r>
      <w:r>
        <w:rPr>
          <w:rFonts w:hint="eastAsia" w:ascii="仿宋_GB2312" w:hAnsi="仿宋_GB2312" w:eastAsia="仿宋_GB2312" w:cs="仿宋_GB2312"/>
          <w:b w:val="0"/>
          <w:bCs w:val="0"/>
          <w:color w:val="000000"/>
          <w:kern w:val="0"/>
          <w:sz w:val="31"/>
          <w:szCs w:val="31"/>
          <w:lang w:val="zh-CN" w:eastAsia="zh-CN" w:bidi="ar"/>
        </w:rPr>
        <w:drawing>
          <wp:inline distT="0" distB="0" distL="114300" distR="114300">
            <wp:extent cx="189230" cy="142875"/>
            <wp:effectExtent l="0" t="0" r="1270" b="9525"/>
            <wp:docPr id="5"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W@GJ$ACOF(TYDYECOKVDYB"/>
                    <pic:cNvPicPr>
                      <a:picLocks noChangeAspect="1"/>
                    </pic:cNvPicPr>
                  </pic:nvPicPr>
                  <pic:blipFill>
                    <a:blip r:embed="rId4"/>
                    <a:stretch>
                      <a:fillRect/>
                    </a:stretch>
                  </pic:blipFill>
                  <pic:spPr>
                    <a:xfrm>
                      <a:off x="0" y="0"/>
                      <a:ext cx="189230" cy="142875"/>
                    </a:xfrm>
                    <a:prstGeom prst="rect">
                      <a:avLst/>
                    </a:prstGeom>
                    <a:noFill/>
                    <a:ln>
                      <a:noFill/>
                    </a:ln>
                  </pic:spPr>
                </pic:pic>
              </a:graphicData>
            </a:graphic>
          </wp:inline>
        </w:drawing>
      </w:r>
      <w:r>
        <w:rPr>
          <w:rFonts w:hint="eastAsia" w:ascii="仿宋_GB2312" w:hAnsi="仿宋_GB2312" w:eastAsia="仿宋_GB2312" w:cs="仿宋_GB2312"/>
          <w:b w:val="0"/>
          <w:bCs w:val="0"/>
          <w:color w:val="000000"/>
          <w:kern w:val="0"/>
          <w:sz w:val="31"/>
          <w:szCs w:val="31"/>
          <w:lang w:val="zh-CN" w:eastAsia="zh-CN" w:bidi="ar"/>
        </w:rPr>
        <w:fldChar w:fldCharType="end"/>
      </w:r>
      <w:r>
        <w:rPr>
          <w:rFonts w:hint="eastAsia" w:ascii="仿宋_GB2312" w:hAnsi="仿宋_GB2312" w:eastAsia="仿宋_GB2312" w:cs="仿宋_GB2312"/>
          <w:b w:val="0"/>
          <w:bCs w:val="0"/>
          <w:color w:val="000000"/>
          <w:kern w:val="0"/>
          <w:sz w:val="31"/>
          <w:szCs w:val="31"/>
          <w:lang w:val="zh-CN" w:eastAsia="zh-CN" w:bidi="ar"/>
        </w:rPr>
        <w:t>http://www.creditchina.gov.cn）、中国政府采购网（</w:t>
      </w:r>
      <w:r>
        <w:rPr>
          <w:rFonts w:hint="eastAsia" w:ascii="仿宋_GB2312" w:hAnsi="仿宋_GB2312" w:eastAsia="仿宋_GB2312" w:cs="仿宋_GB2312"/>
          <w:b w:val="0"/>
          <w:bCs w:val="0"/>
          <w:color w:val="000000"/>
          <w:kern w:val="0"/>
          <w:sz w:val="31"/>
          <w:szCs w:val="31"/>
          <w:lang w:val="zh-CN" w:eastAsia="zh-CN" w:bidi="ar"/>
        </w:rPr>
        <w:fldChar w:fldCharType="begin"/>
      </w:r>
      <w:r>
        <w:rPr>
          <w:rFonts w:hint="eastAsia" w:ascii="仿宋_GB2312" w:hAnsi="仿宋_GB2312" w:eastAsia="仿宋_GB2312" w:cs="仿宋_GB2312"/>
          <w:b w:val="0"/>
          <w:bCs w:val="0"/>
          <w:color w:val="000000"/>
          <w:kern w:val="0"/>
          <w:sz w:val="31"/>
          <w:szCs w:val="31"/>
          <w:lang w:val="zh-CN" w:eastAsia="zh-CN" w:bidi="ar"/>
        </w:rPr>
        <w:instrText xml:space="preserve"> INCLUDEPICTURE "C:\\Users\\Administrator\\AppData\\Roaming\\Tencent\\QQTempSys\\%W@GJ$ACOF(TYDYECOKVDYB.png" \* MERGEFORMATINET </w:instrText>
      </w:r>
      <w:r>
        <w:rPr>
          <w:rFonts w:hint="eastAsia" w:ascii="仿宋_GB2312" w:hAnsi="仿宋_GB2312" w:eastAsia="仿宋_GB2312" w:cs="仿宋_GB2312"/>
          <w:b w:val="0"/>
          <w:bCs w:val="0"/>
          <w:color w:val="000000"/>
          <w:kern w:val="0"/>
          <w:sz w:val="31"/>
          <w:szCs w:val="31"/>
          <w:lang w:val="zh-CN" w:eastAsia="zh-CN" w:bidi="ar"/>
        </w:rPr>
        <w:fldChar w:fldCharType="separate"/>
      </w:r>
      <w:r>
        <w:rPr>
          <w:rFonts w:hint="eastAsia" w:ascii="仿宋_GB2312" w:hAnsi="仿宋_GB2312" w:eastAsia="仿宋_GB2312" w:cs="仿宋_GB2312"/>
          <w:b w:val="0"/>
          <w:bCs w:val="0"/>
          <w:color w:val="000000"/>
          <w:kern w:val="0"/>
          <w:sz w:val="31"/>
          <w:szCs w:val="31"/>
          <w:lang w:val="zh-CN" w:eastAsia="zh-CN" w:bidi="ar"/>
        </w:rPr>
        <w:drawing>
          <wp:inline distT="0" distB="0" distL="114300" distR="114300">
            <wp:extent cx="189230" cy="142875"/>
            <wp:effectExtent l="0" t="0" r="1270" b="9525"/>
            <wp:docPr id="3"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GJ$ACOF(TYDYECOKVDYB"/>
                    <pic:cNvPicPr>
                      <a:picLocks noChangeAspect="1"/>
                    </pic:cNvPicPr>
                  </pic:nvPicPr>
                  <pic:blipFill>
                    <a:blip r:embed="rId4"/>
                    <a:stretch>
                      <a:fillRect/>
                    </a:stretch>
                  </pic:blipFill>
                  <pic:spPr>
                    <a:xfrm>
                      <a:off x="0" y="0"/>
                      <a:ext cx="189230" cy="142875"/>
                    </a:xfrm>
                    <a:prstGeom prst="rect">
                      <a:avLst/>
                    </a:prstGeom>
                    <a:noFill/>
                    <a:ln>
                      <a:noFill/>
                    </a:ln>
                  </pic:spPr>
                </pic:pic>
              </a:graphicData>
            </a:graphic>
          </wp:inline>
        </w:drawing>
      </w:r>
      <w:r>
        <w:rPr>
          <w:rFonts w:hint="eastAsia" w:ascii="仿宋_GB2312" w:hAnsi="仿宋_GB2312" w:eastAsia="仿宋_GB2312" w:cs="仿宋_GB2312"/>
          <w:b w:val="0"/>
          <w:bCs w:val="0"/>
          <w:color w:val="000000"/>
          <w:kern w:val="0"/>
          <w:sz w:val="31"/>
          <w:szCs w:val="31"/>
          <w:lang w:val="zh-CN" w:eastAsia="zh-CN" w:bidi="ar"/>
        </w:rPr>
        <w:fldChar w:fldCharType="end"/>
      </w:r>
      <w:r>
        <w:rPr>
          <w:rFonts w:hint="eastAsia" w:ascii="仿宋_GB2312" w:hAnsi="仿宋_GB2312" w:eastAsia="仿宋_GB2312" w:cs="仿宋_GB2312"/>
          <w:b w:val="0"/>
          <w:bCs w:val="0"/>
          <w:color w:val="000000"/>
          <w:kern w:val="0"/>
          <w:sz w:val="31"/>
          <w:szCs w:val="31"/>
          <w:lang w:val="zh-CN" w:eastAsia="zh-CN" w:bidi="ar"/>
        </w:rPr>
        <w:t>http://www.ccgp.gov.cn）上的无不良行为记录网上截图；</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zh-CN" w:eastAsia="zh-CN" w:bidi="ar"/>
        </w:rPr>
        <w:t>7、在参加政府采购活动中前三年内无重大违法记录的承诺书；</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zh-CN" w:eastAsia="zh-CN" w:bidi="ar"/>
        </w:rPr>
        <w:t>8、针对本次采购项目《反商业贿赂承诺书》的书面声明；</w:t>
      </w:r>
    </w:p>
    <w:p>
      <w:pPr>
        <w:pStyle w:val="2"/>
        <w:spacing w:line="500" w:lineRule="exact"/>
        <w:ind w:left="0" w:leftChars="0"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9、第一、五、七包中为进口的产品投标商需提供：《医疗器械经营许可证》和进口产品生产厂家针对本项目的授权书原件或区域总代理针对本项目的转授权函并加盖公章</w:t>
      </w:r>
    </w:p>
    <w:p>
      <w:pPr>
        <w:pStyle w:val="2"/>
        <w:spacing w:line="500" w:lineRule="exact"/>
        <w:ind w:left="0" w:leftChars="0"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10、其他包非进口产品投标商需提供：《医疗器械生产许可证》或《医疗器械经营许可证》及《二类医疗器械经营备案凭证》</w:t>
      </w:r>
    </w:p>
    <w:p>
      <w:pPr>
        <w:pStyle w:val="2"/>
        <w:spacing w:line="500" w:lineRule="exact"/>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en-US" w:eastAsia="zh-CN" w:bidi="ar"/>
        </w:rPr>
        <w:t>11</w:t>
      </w:r>
      <w:r>
        <w:rPr>
          <w:rFonts w:hint="eastAsia" w:ascii="仿宋_GB2312" w:hAnsi="仿宋_GB2312" w:eastAsia="仿宋_GB2312" w:cs="仿宋_GB2312"/>
          <w:b w:val="0"/>
          <w:bCs w:val="0"/>
          <w:color w:val="000000"/>
          <w:kern w:val="0"/>
          <w:sz w:val="31"/>
          <w:szCs w:val="31"/>
          <w:lang w:val="zh-CN" w:eastAsia="zh-CN" w:bidi="ar"/>
        </w:rPr>
        <w:t>、本项目不接受联合体；</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供应商供货应与产品原始技术资料及标书技术文件一致，应符合我国有关技术规范和技术标准，如提供货物验收不合格，所有损失由供货方自己承担，安装调试完毕后中标单位一同参与验收。</w:t>
      </w:r>
    </w:p>
    <w:p>
      <w:pPr>
        <w:keepNext w:val="0"/>
        <w:keepLines w:val="0"/>
        <w:widowControl/>
        <w:suppressLineNumbers w:val="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spacing w:line="360" w:lineRule="auto"/>
        <w:ind w:firstLine="620" w:firstLineChars="200"/>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1、采购内容：</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第一包：微生物质谱仪（进口），2500000.00元（大写：贰佰伍拾万元整）。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第二包：全自动粪便分析仪，300000.00元（大写：叁拾万元整）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第三包：冷链系统、温控冷链系统探头、2℃～8℃储血专用冰箱、-20℃以下储血浆专用低温冰箱、2℃～8℃试剂储存专用冰箱、零下20度医用冰箱、医用冷藏柜、-86度冰箱，495000.00元（大写：肆拾玖万伍仟元整）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第四包：血小板恒温振荡保存箱、专用取血箱、恒温水浴箱、血型血清学离心机、热合机、恒温融浆机、标本低速离心机（30转）、便携式血小板保存箱、热合机，298000.00元（大写：贰拾玖万捌仟元整）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第五包：全自动细菌药敏鉴定仪（进口），金额：950000.00元（大写：玖拾伍万元整）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第六包：全自动血培养系统，400000.00元（大写：肆拾万元整）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第七包：全自动大便分析仪、双目显微镜（进口）、荧光显微镜，金额：240000.00元（大写：贰拾肆万元整）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第八包：糖化血红蛋白分析仪，250000.00元（大写：贰拾伍万元整）</w:t>
      </w:r>
    </w:p>
    <w:p>
      <w:pPr>
        <w:spacing w:line="360" w:lineRule="auto"/>
        <w:ind w:firstLine="620" w:firstLineChars="200"/>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第九包：标本低速离心机、超声清洗器、生物安全柜、恒温培养箱、超净台、电子灭菌器、空气消毒机、高压灭菌器（小型）、高压灭菌器、危化品储存柜、比重仪，409000.00元（大写：肆拾万玖仟元整）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2、开展采购活动的时间安排：</w:t>
      </w:r>
    </w:p>
    <w:p>
      <w:pPr>
        <w:spacing w:line="360" w:lineRule="auto"/>
        <w:ind w:left="617" w:leftChars="294"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1、时间：2021年9月24日起至2021年9月30日上午10:30-13:30时及下午16:00-19:00时（北京时间)节假日除外</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2、方式：登录新疆政府采购网政采云线上获取</w:t>
      </w:r>
    </w:p>
    <w:p>
      <w:pPr>
        <w:spacing w:line="360" w:lineRule="auto"/>
        <w:ind w:left="617" w:leftChars="294"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3、开户行信息：</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账户名称：新疆锦天恒业工程项目管理有限公司</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账号：860080012010104842233</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开户行：新疆喀什农村商业银行股份有限公司丝路支  行</w:t>
      </w:r>
    </w:p>
    <w:p>
      <w:pPr>
        <w:spacing w:line="360" w:lineRule="auto"/>
        <w:ind w:left="927" w:leftChars="294" w:hanging="310" w:hangingChars="1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4、递交投标文件时间：投标书应于2021年10月15日上午11：00前（北京时间）提交到开标现场。</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5、开标时间：2021年10月15日上午11：00时（北京时间）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6、开标地点：莎车县莎车宾馆会议中心</w:t>
      </w:r>
      <w:bookmarkStart w:id="0" w:name="_GoBack"/>
      <w:bookmarkEnd w:id="0"/>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5、采购组织形式：委托中介采购（机构代理采购）</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6、委托代理安排：新疆锦天恒业工程项目管理有限公司</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7、采购包划分与合同分包：分为九个包</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8、采购方式：公开招标</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9、竞争范围：全国</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10、评审规则：</w:t>
      </w:r>
    </w:p>
    <w:p>
      <w:pPr>
        <w:spacing w:line="360" w:lineRule="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一、综合评分</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综合评分法，是指响应文件满足采购文件全部实质性要求且按评审因素的量化指标评审得分最高的供应商为成交候选供应商的评审方法。</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2.评审时，评审小组各成员应当独立对每个有效响应的文件进行评价、打分，然后汇总每个供应商每项评分因素的得分。</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360" w:lineRule="auto"/>
        <w:ind w:firstLine="622" w:firstLineChars="200"/>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五、采购标的内容、数量，包括技术要求和商务要求：</w:t>
      </w:r>
    </w:p>
    <w:tbl>
      <w:tblPr>
        <w:tblStyle w:val="5"/>
        <w:tblpPr w:leftFromText="180" w:rightFromText="180" w:vertAnchor="text" w:horzAnchor="page" w:tblpX="845" w:tblpY="523"/>
        <w:tblOverlap w:val="never"/>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25"/>
        <w:gridCol w:w="1913"/>
        <w:gridCol w:w="616"/>
        <w:gridCol w:w="1245"/>
        <w:gridCol w:w="867"/>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4"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sz w:val="21"/>
                <w:szCs w:val="21"/>
              </w:rPr>
            </w:pPr>
            <w:r>
              <w:rPr>
                <w:rFonts w:hint="eastAsia" w:ascii="仿宋" w:hAnsi="仿宋" w:eastAsia="仿宋" w:cs="仿宋"/>
                <w:i w:val="0"/>
                <w:caps w:val="0"/>
                <w:color w:val="000000"/>
                <w:spacing w:val="0"/>
                <w:kern w:val="0"/>
                <w:sz w:val="21"/>
                <w:szCs w:val="21"/>
                <w:lang w:val="en-US" w:eastAsia="zh-CN" w:bidi="ar"/>
              </w:rPr>
              <w:t>包项序号</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sz w:val="21"/>
                <w:szCs w:val="21"/>
              </w:rPr>
            </w:pPr>
            <w:r>
              <w:rPr>
                <w:rFonts w:hint="eastAsia" w:ascii="仿宋" w:hAnsi="仿宋" w:eastAsia="仿宋" w:cs="仿宋"/>
                <w:i w:val="0"/>
                <w:caps w:val="0"/>
                <w:color w:val="000000"/>
                <w:spacing w:val="0"/>
                <w:kern w:val="0"/>
                <w:sz w:val="21"/>
                <w:szCs w:val="21"/>
                <w:lang w:val="en-US" w:eastAsia="zh-CN" w:bidi="ar"/>
              </w:rPr>
              <w:t>标项名称</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sz w:val="21"/>
                <w:szCs w:val="21"/>
              </w:rPr>
            </w:pPr>
            <w:r>
              <w:rPr>
                <w:rFonts w:hint="eastAsia" w:ascii="仿宋" w:hAnsi="仿宋" w:eastAsia="仿宋" w:cs="仿宋"/>
                <w:i w:val="0"/>
                <w:caps w:val="0"/>
                <w:color w:val="000000"/>
                <w:spacing w:val="0"/>
                <w:kern w:val="0"/>
                <w:sz w:val="21"/>
                <w:szCs w:val="21"/>
                <w:lang w:val="en-US" w:eastAsia="zh-CN" w:bidi="ar"/>
              </w:rPr>
              <w:t>数量</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sz w:val="21"/>
                <w:szCs w:val="21"/>
              </w:rPr>
            </w:pPr>
            <w:r>
              <w:rPr>
                <w:rFonts w:hint="eastAsia" w:ascii="仿宋" w:hAnsi="仿宋" w:eastAsia="仿宋" w:cs="仿宋"/>
                <w:i w:val="0"/>
                <w:caps w:val="0"/>
                <w:color w:val="000000"/>
                <w:spacing w:val="0"/>
                <w:kern w:val="0"/>
                <w:sz w:val="21"/>
                <w:szCs w:val="21"/>
                <w:lang w:val="en-US" w:eastAsia="zh-CN" w:bidi="ar"/>
              </w:rPr>
              <w:t>预算金额(万元)</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sz w:val="21"/>
                <w:szCs w:val="21"/>
              </w:rPr>
            </w:pPr>
            <w:r>
              <w:rPr>
                <w:rFonts w:hint="eastAsia" w:ascii="仿宋" w:hAnsi="仿宋" w:eastAsia="仿宋" w:cs="仿宋"/>
                <w:i w:val="0"/>
                <w:caps w:val="0"/>
                <w:color w:val="000000"/>
                <w:spacing w:val="0"/>
                <w:kern w:val="0"/>
                <w:sz w:val="21"/>
                <w:szCs w:val="21"/>
                <w:lang w:val="en-US" w:eastAsia="zh-CN" w:bidi="ar"/>
              </w:rPr>
              <w:t>单位</w:t>
            </w:r>
          </w:p>
        </w:tc>
        <w:tc>
          <w:tcPr>
            <w:tcW w:w="4428"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sz w:val="21"/>
                <w:szCs w:val="21"/>
              </w:rPr>
            </w:pPr>
            <w:r>
              <w:rPr>
                <w:rFonts w:hint="eastAsia" w:ascii="仿宋" w:hAnsi="仿宋" w:eastAsia="仿宋" w:cs="仿宋"/>
                <w:i w:val="0"/>
                <w:caps w:val="0"/>
                <w:color w:val="000000"/>
                <w:spacing w:val="0"/>
                <w:kern w:val="0"/>
                <w:sz w:val="21"/>
                <w:szCs w:val="21"/>
                <w:lang w:val="en-US" w:eastAsia="zh-CN" w:bidi="ar"/>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78"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微生物质谱仪（进口）</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250</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套</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微生物质谱仪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8"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2</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全自动粪便分析仪</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2</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台</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全自动粪便分析仪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3</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冷链系统、温控冷链系统探头、2℃～8℃储血专用冰箱、-20℃以下储血浆专用低温冰箱、2℃～8℃试剂储存专用冰箱、零下20度医用冰箱、医用冷藏柜、-86度冰箱</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49.5</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批</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冷链系统、温控冷链系统探头、2℃～8℃储血专用冰箱、-20℃以下储血浆专用低温冰箱、2℃～8℃试剂储存专用冰箱、零下20度医用冰箱、医用冷藏柜、-86度冰箱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4</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血小板恒温振荡保存箱、专用取血箱、恒温水浴箱、血型血清学离心机、热合机、恒温融浆机、标本低速离心机（30转）、便携式血小板保存箱、热合机</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29.8</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批</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血小板恒温振荡保存箱、专用取血箱、恒温水浴箱、血型血清学离心机、热合机、恒温融浆机、标本低速离心机（30转）、便携式血小板保存箱、热合机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5</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全自动细菌药敏鉴定仪（进口）</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95</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套</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sz w:val="21"/>
                <w:szCs w:val="21"/>
                <w:u w:val="none"/>
                <w:lang w:val="en-US" w:eastAsia="zh-CN"/>
              </w:rPr>
            </w:pPr>
          </w:p>
          <w:p>
            <w:pPr>
              <w:keepNext w:val="0"/>
              <w:keepLines w:val="0"/>
              <w:widowControl/>
              <w:suppressLineNumbers w:val="0"/>
              <w:wordWrap w:val="0"/>
              <w:spacing w:line="360" w:lineRule="auto"/>
              <w:ind w:left="0" w:firstLine="0"/>
              <w:jc w:val="cente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细菌鉴定、药敏试验</w:t>
            </w:r>
          </w:p>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6</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全自动血培养系统</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套</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全自动血培养系统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7</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全自动大便分析仪、双目显微镜（进口）、荧光显微镜</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批</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全自动大便分析仪、双目显微镜（进口）、荧光显微镜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8</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糖化血红蛋白分析仪</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leftChars="0" w:firstLine="0" w:firstLineChars="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套</w:t>
            </w:r>
          </w:p>
        </w:tc>
        <w:tc>
          <w:tcPr>
            <w:tcW w:w="4428"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sz w:val="21"/>
                <w:szCs w:val="21"/>
                <w:u w:val="none"/>
                <w:lang w:val="en-US" w:eastAsia="zh-CN"/>
              </w:rPr>
            </w:pPr>
          </w:p>
          <w:p>
            <w:pPr>
              <w:keepNext w:val="0"/>
              <w:keepLines w:val="0"/>
              <w:widowControl/>
              <w:suppressLineNumbers w:val="0"/>
              <w:wordWrap w:val="0"/>
              <w:spacing w:line="360" w:lineRule="auto"/>
              <w:ind w:left="0" w:firstLine="0"/>
              <w:jc w:val="center"/>
              <w:rPr>
                <w:rFonts w:hint="eastAsia" w:ascii="仿宋" w:hAnsi="仿宋" w:eastAsia="仿宋" w:cs="仿宋"/>
                <w:sz w:val="21"/>
                <w:szCs w:val="21"/>
                <w:u w:val="none"/>
                <w:lang w:val="en-US" w:eastAsia="zh-CN"/>
              </w:rPr>
            </w:pPr>
          </w:p>
          <w:p>
            <w:pPr>
              <w:keepNext w:val="0"/>
              <w:keepLines w:val="0"/>
              <w:widowControl/>
              <w:suppressLineNumbers w:val="0"/>
              <w:wordWrap w:val="0"/>
              <w:spacing w:line="360" w:lineRule="auto"/>
              <w:ind w:left="0" w:firstLine="0"/>
              <w:jc w:val="cente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糖化血红蛋白检测</w:t>
            </w:r>
          </w:p>
          <w:p>
            <w:pPr>
              <w:keepNext w:val="0"/>
              <w:keepLines w:val="0"/>
              <w:widowControl/>
              <w:suppressLineNumbers w:val="0"/>
              <w:wordWrap w:val="0"/>
              <w:spacing w:line="360" w:lineRule="auto"/>
              <w:ind w:left="0" w:leftChars="0" w:firstLine="0" w:firstLineChars="0"/>
              <w:jc w:val="center"/>
              <w:rPr>
                <w:rFonts w:hint="eastAsia" w:ascii="仿宋" w:hAnsi="仿宋" w:eastAsia="仿宋" w:cs="仿宋"/>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12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9</w:t>
            </w:r>
          </w:p>
        </w:tc>
        <w:tc>
          <w:tcPr>
            <w:tcW w:w="1913"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sz w:val="21"/>
                <w:szCs w:val="21"/>
                <w:u w:val="none"/>
                <w:lang w:eastAsia="zh-CN"/>
              </w:rPr>
            </w:pPr>
            <w:r>
              <w:rPr>
                <w:rFonts w:hint="eastAsia" w:ascii="仿宋" w:hAnsi="仿宋" w:eastAsia="仿宋" w:cs="仿宋"/>
                <w:sz w:val="21"/>
                <w:szCs w:val="21"/>
                <w:u w:val="none"/>
                <w:lang w:eastAsia="zh-CN"/>
              </w:rPr>
              <w:t>标本低速离心机、超声清洗器、生物安全柜、恒温培养箱、超净台、电子灭菌器、空气消毒机、高压灭菌器（小型）、高压灭菌器、危化品储存柜、比重仪</w:t>
            </w:r>
          </w:p>
        </w:tc>
        <w:tc>
          <w:tcPr>
            <w:tcW w:w="616"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1</w:t>
            </w:r>
          </w:p>
        </w:tc>
        <w:tc>
          <w:tcPr>
            <w:tcW w:w="1245" w:type="dxa"/>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40.9</w:t>
            </w:r>
          </w:p>
        </w:tc>
        <w:tc>
          <w:tcPr>
            <w:tcW w:w="867" w:type="dxa"/>
            <w:tcBorders>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批</w:t>
            </w:r>
          </w:p>
        </w:tc>
        <w:tc>
          <w:tcPr>
            <w:tcW w:w="4428"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spacing w:line="360" w:lineRule="auto"/>
              <w:ind w:left="0" w:firstLine="0"/>
              <w:jc w:val="center"/>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sz w:val="21"/>
                <w:szCs w:val="21"/>
                <w:u w:val="none"/>
                <w:lang w:eastAsia="zh-CN"/>
              </w:rPr>
              <w:t>标本低速离心机、超声清洗器、生物安全柜、恒温培养箱、超净台、电子灭菌器、空气消毒机、高压灭菌器（小型）、高压灭菌器、危化品储存柜、比重仪</w:t>
            </w:r>
          </w:p>
        </w:tc>
      </w:tr>
    </w:tbl>
    <w:p>
      <w:pPr>
        <w:pStyle w:val="2"/>
        <w:ind w:left="0" w:leftChars="0" w:firstLine="0" w:firstLineChars="0"/>
        <w:rPr>
          <w:rFonts w:hint="eastAsia" w:ascii="仿宋" w:hAnsi="仿宋" w:eastAsia="仿宋" w:cs="仿宋"/>
          <w:sz w:val="21"/>
          <w:szCs w:val="21"/>
        </w:rPr>
      </w:pP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ind w:firstLine="620" w:firstLineChars="200"/>
        <w:jc w:val="left"/>
        <w:rPr>
          <w:rFonts w:ascii="仿宋_GB2312" w:hAnsi="仿宋_GB2312" w:eastAsia="仿宋_GB2312" w:cs="仿宋_GB2312"/>
          <w:b w:val="0"/>
          <w:bCs w:val="0"/>
          <w:color w:val="auto"/>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zh-CN" w:eastAsia="zh-CN" w:bidi="ar"/>
        </w:rPr>
        <w:t>莎车县人民医院，莎车县人民医院纪检组、本次项目的中标单位及具体使用部门</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：具体以签订合同为准</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：组成验收小组，邀请中标单位及实际使用部门参与验收</w:t>
      </w:r>
    </w:p>
    <w:p>
      <w:pPr>
        <w:ind w:firstLine="620" w:firstLineChars="200"/>
        <w:jc w:val="left"/>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对验收不达标的设备，所发生的一切费用及给甲方造成的经济；损失，均由中标公司承担；甲方保留追究其经济及法律责任的权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：检验科及输血科医疗设备1批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：符合国家产品标准，以最终验收小组及产品验收报告为准</w:t>
      </w:r>
    </w:p>
    <w:p>
      <w:pPr>
        <w:keepNext w:val="0"/>
        <w:keepLines w:val="0"/>
        <w:widowControl/>
        <w:suppressLineNumbers w:val="0"/>
        <w:ind w:firstLine="622"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r>
        <w:rPr>
          <w:rFonts w:hint="eastAsia" w:ascii="仿宋_GB2312" w:hAnsi="仿宋_GB2312" w:eastAsia="仿宋_GB2312" w:cs="仿宋_GB2312"/>
          <w:b w:val="0"/>
          <w:bCs w:val="0"/>
          <w:color w:val="000000"/>
          <w:kern w:val="0"/>
          <w:sz w:val="31"/>
          <w:szCs w:val="31"/>
          <w:lang w:val="zh-CN" w:eastAsia="zh-CN" w:bidi="ar"/>
        </w:rPr>
        <w:t>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1、设备名称：检验科及输血科医疗设备</w:t>
      </w:r>
    </w:p>
    <w:p>
      <w:pPr>
        <w:keepNext w:val="0"/>
        <w:keepLines w:val="0"/>
        <w:widowControl/>
        <w:suppressLineNumbers w:val="0"/>
        <w:ind w:firstLine="620" w:firstLineChars="200"/>
        <w:jc w:val="both"/>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kern w:val="0"/>
          <w:sz w:val="31"/>
          <w:szCs w:val="31"/>
          <w:lang w:val="en-US" w:eastAsia="zh-CN" w:bidi="ar"/>
        </w:rPr>
        <w:t>2、维保期限：按具体要求进行保修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3、设备使用单位：莎车县人民医院检验科及输血科</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（一）该项目是一般性审查还是重点审查？（对应选择）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1、一般性审查√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2、重点审查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3、采购单位审查人员姓名：王虎军</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审查时间：根据项目实施进度来定。</w:t>
      </w:r>
    </w:p>
    <w:p>
      <w:pPr>
        <w:pStyle w:val="2"/>
        <w:rPr>
          <w:rFonts w:hint="default"/>
          <w:b/>
          <w:bCs/>
          <w:lang w:val="en-US" w:eastAsia="zh-CN"/>
        </w:rPr>
      </w:pPr>
    </w:p>
    <w:p>
      <w:pPr>
        <w:pStyle w:val="2"/>
        <w:numPr>
          <w:ilvl w:val="0"/>
          <w:numId w:val="0"/>
        </w:numPr>
        <w:jc w:val="both"/>
        <w:rPr>
          <w:rFonts w:hint="eastAsia" w:ascii="仿宋_GB2312" w:hAnsi="仿宋_GB2312" w:eastAsia="仿宋_GB2312" w:cs="仿宋_GB2312"/>
          <w:b w:val="0"/>
          <w:bCs w:val="0"/>
          <w:color w:val="000000"/>
          <w:kern w:val="0"/>
          <w:sz w:val="28"/>
          <w:szCs w:val="28"/>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采 购 单 位：</w:t>
      </w:r>
    </w:p>
    <w:p>
      <w:pPr>
        <w:pStyle w:val="2"/>
        <w:numPr>
          <w:ilvl w:val="0"/>
          <w:numId w:val="0"/>
        </w:numPr>
        <w:ind w:firstLine="560" w:firstLineChars="200"/>
        <w:jc w:val="center"/>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2021年9月23日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63237F8"/>
    <w:rsid w:val="0B6E035F"/>
    <w:rsid w:val="0FDD4CAA"/>
    <w:rsid w:val="118C42EF"/>
    <w:rsid w:val="133C5D26"/>
    <w:rsid w:val="1CC6368F"/>
    <w:rsid w:val="21361914"/>
    <w:rsid w:val="21601D38"/>
    <w:rsid w:val="25B476B5"/>
    <w:rsid w:val="25C038DD"/>
    <w:rsid w:val="25EC6FF7"/>
    <w:rsid w:val="2CCB128C"/>
    <w:rsid w:val="387024F3"/>
    <w:rsid w:val="3DB57A38"/>
    <w:rsid w:val="3E680B58"/>
    <w:rsid w:val="42720304"/>
    <w:rsid w:val="502003F5"/>
    <w:rsid w:val="527D0205"/>
    <w:rsid w:val="55016B51"/>
    <w:rsid w:val="554C666A"/>
    <w:rsid w:val="59504308"/>
    <w:rsid w:val="600477D3"/>
    <w:rsid w:val="6BBF7D35"/>
    <w:rsid w:val="6F2C480B"/>
    <w:rsid w:val="6FD82437"/>
    <w:rsid w:val="74B44A94"/>
    <w:rsid w:val="7ED80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spacing w:before="120"/>
    </w:pPr>
    <w:rPr>
      <w:rFonts w:ascii="Cambria" w:hAnsi="Cambria"/>
      <w:sz w:val="24"/>
      <w:szCs w:val="24"/>
    </w:rPr>
  </w:style>
  <w:style w:type="paragraph" w:styleId="4">
    <w:name w:val="Title"/>
    <w:basedOn w:val="1"/>
    <w:qFormat/>
    <w:uiPriority w:val="0"/>
    <w:pPr>
      <w:spacing w:before="240" w:after="60"/>
      <w:jc w:val="center"/>
      <w:outlineLvl w:val="0"/>
    </w:pPr>
    <w:rPr>
      <w:rFonts w:ascii="Arial" w:hAnsi="Arial" w:cs="Arial"/>
      <w:b/>
      <w:bCs/>
      <w:sz w:val="32"/>
      <w:szCs w:val="32"/>
    </w:rPr>
  </w:style>
  <w:style w:type="paragraph" w:customStyle="1" w:styleId="7">
    <w:name w:val="正文3"/>
    <w:qFormat/>
    <w:uiPriority w:val="99"/>
    <w:pPr>
      <w:jc w:val="both"/>
    </w:pPr>
    <w:rPr>
      <w:rFonts w:ascii="Calibri" w:hAnsi="Calibri" w:eastAsia="宋体" w:cs="Calibri"/>
      <w:kern w:val="2"/>
      <w:sz w:val="21"/>
      <w:szCs w:val="21"/>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牵着*^_^*蜗牛去散步</cp:lastModifiedBy>
  <dcterms:modified xsi:type="dcterms:W3CDTF">2021-09-23T13:09:42Z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986BC928C5A2480F96EB8E1E80BF37A9</vt:lpwstr>
  </property>
</Properties>
</file>