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hint="eastAsia" w:ascii="宋体" w:hAnsi="宋体" w:eastAsia="宋体" w:cs="宋体"/>
          <w:b/>
          <w:color w:val="auto"/>
          <w:sz w:val="56"/>
          <w:szCs w:val="56"/>
          <w:highlight w:val="none"/>
          <w:lang w:val="en-US" w:eastAsia="zh-CN"/>
        </w:rPr>
      </w:pPr>
    </w:p>
    <w:p>
      <w:pPr>
        <w:spacing w:line="720" w:lineRule="exact"/>
        <w:jc w:val="center"/>
        <w:rPr>
          <w:rFonts w:hint="eastAsia" w:ascii="宋体" w:hAnsi="宋体" w:cs="宋体"/>
          <w:b/>
          <w:bCs/>
          <w:color w:val="auto"/>
          <w:sz w:val="52"/>
          <w:szCs w:val="52"/>
          <w:highlight w:val="none"/>
          <w:lang w:val="en-US" w:eastAsia="zh-CN"/>
        </w:rPr>
      </w:pPr>
      <w:r>
        <w:rPr>
          <w:rFonts w:hint="eastAsia" w:ascii="宋体" w:hAnsi="宋体" w:cs="宋体"/>
          <w:b/>
          <w:bCs/>
          <w:color w:val="auto"/>
          <w:sz w:val="52"/>
          <w:szCs w:val="52"/>
          <w:highlight w:val="none"/>
          <w:lang w:val="en-US" w:eastAsia="zh-CN"/>
        </w:rPr>
        <w:t>洛浦县妇幼能力提升项目</w:t>
      </w:r>
    </w:p>
    <w:p>
      <w:pPr>
        <w:spacing w:line="720" w:lineRule="exact"/>
        <w:jc w:val="center"/>
        <w:rPr>
          <w:rFonts w:hint="eastAsia" w:ascii="宋体" w:hAnsi="宋体" w:eastAsia="宋体" w:cs="宋体"/>
          <w:b/>
          <w:color w:val="auto"/>
          <w:sz w:val="56"/>
          <w:szCs w:val="56"/>
          <w:highlight w:val="none"/>
        </w:rPr>
      </w:pPr>
      <w:r>
        <w:rPr>
          <w:rFonts w:hint="eastAsia" w:ascii="宋体" w:hAnsi="宋体" w:cs="宋体"/>
          <w:b/>
          <w:color w:val="auto"/>
          <w:sz w:val="56"/>
          <w:szCs w:val="56"/>
          <w:highlight w:val="none"/>
          <w:lang w:eastAsia="zh-CN"/>
        </w:rPr>
        <w:t>招标</w:t>
      </w:r>
      <w:r>
        <w:rPr>
          <w:rFonts w:hint="eastAsia" w:ascii="宋体" w:hAnsi="宋体" w:eastAsia="宋体" w:cs="宋体"/>
          <w:b/>
          <w:color w:val="auto"/>
          <w:sz w:val="56"/>
          <w:szCs w:val="56"/>
          <w:highlight w:val="none"/>
        </w:rPr>
        <w:t>文件</w:t>
      </w:r>
    </w:p>
    <w:p>
      <w:pPr>
        <w:pStyle w:val="26"/>
        <w:spacing w:line="720" w:lineRule="exact"/>
        <w:jc w:val="center"/>
        <w:rPr>
          <w:rFonts w:hint="default" w:ascii="宋体" w:hAnsi="宋体" w:eastAsia="宋体" w:cs="宋体"/>
          <w:b/>
          <w:color w:val="auto"/>
          <w:spacing w:val="14"/>
          <w:kern w:val="2"/>
          <w:sz w:val="28"/>
          <w:szCs w:val="28"/>
          <w:highlight w:val="none"/>
          <w:lang w:val="en-US"/>
        </w:rPr>
      </w:pPr>
      <w:r>
        <w:rPr>
          <w:rFonts w:hint="eastAsia" w:ascii="宋体" w:hAnsi="宋体" w:eastAsia="宋体" w:cs="宋体"/>
          <w:b/>
          <w:color w:val="auto"/>
          <w:sz w:val="40"/>
          <w:szCs w:val="40"/>
          <w:highlight w:val="none"/>
        </w:rPr>
        <w:t>招标编号：</w:t>
      </w:r>
      <w:r>
        <w:rPr>
          <w:rFonts w:hint="eastAsia" w:ascii="宋体" w:hAnsi="宋体" w:eastAsia="宋体" w:cs="宋体"/>
          <w:b/>
          <w:color w:val="auto"/>
          <w:sz w:val="40"/>
          <w:szCs w:val="40"/>
          <w:highlight w:val="none"/>
          <w:lang w:eastAsia="zh-CN"/>
        </w:rPr>
        <w:t>WTHH2021-HT00</w:t>
      </w:r>
      <w:r>
        <w:rPr>
          <w:rFonts w:hint="eastAsia" w:ascii="宋体" w:hAnsi="宋体" w:cs="宋体"/>
          <w:b/>
          <w:color w:val="auto"/>
          <w:sz w:val="40"/>
          <w:szCs w:val="40"/>
          <w:highlight w:val="none"/>
          <w:lang w:val="en-US" w:eastAsia="zh-CN"/>
        </w:rPr>
        <w:t>35</w:t>
      </w:r>
    </w:p>
    <w:p>
      <w:pPr>
        <w:pStyle w:val="26"/>
        <w:spacing w:line="600" w:lineRule="exact"/>
        <w:jc w:val="center"/>
        <w:rPr>
          <w:rFonts w:hint="eastAsia" w:ascii="宋体" w:hAnsi="宋体" w:eastAsia="宋体" w:cs="宋体"/>
          <w:b/>
          <w:color w:val="auto"/>
          <w:spacing w:val="14"/>
          <w:kern w:val="2"/>
          <w:sz w:val="28"/>
          <w:szCs w:val="28"/>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spacing w:val="14"/>
          <w:kern w:val="2"/>
          <w:sz w:val="32"/>
          <w:szCs w:val="32"/>
          <w:highlight w:val="none"/>
        </w:rPr>
      </w:pPr>
    </w:p>
    <w:p>
      <w:pPr>
        <w:pStyle w:val="26"/>
        <w:spacing w:line="600" w:lineRule="exact"/>
        <w:jc w:val="center"/>
        <w:rPr>
          <w:rFonts w:hint="eastAsia" w:ascii="宋体" w:hAnsi="宋体" w:eastAsia="宋体" w:cs="宋体"/>
          <w:b/>
          <w:color w:val="auto"/>
          <w:kern w:val="2"/>
          <w:sz w:val="32"/>
          <w:szCs w:val="32"/>
          <w:highlight w:val="none"/>
          <w:lang w:eastAsia="zh-CN"/>
        </w:rPr>
      </w:pPr>
      <w:r>
        <w:rPr>
          <w:rFonts w:hint="eastAsia" w:ascii="宋体" w:hAnsi="宋体" w:cs="宋体"/>
          <w:b/>
          <w:color w:val="auto"/>
          <w:kern w:val="2"/>
          <w:sz w:val="32"/>
          <w:szCs w:val="32"/>
          <w:highlight w:val="none"/>
          <w:lang w:eastAsia="zh-CN"/>
        </w:rPr>
        <w:t>招标</w:t>
      </w:r>
      <w:r>
        <w:rPr>
          <w:rFonts w:hint="eastAsia" w:ascii="宋体" w:hAnsi="宋体" w:eastAsia="宋体" w:cs="宋体"/>
          <w:b/>
          <w:color w:val="auto"/>
          <w:kern w:val="2"/>
          <w:sz w:val="32"/>
          <w:szCs w:val="32"/>
          <w:highlight w:val="none"/>
        </w:rPr>
        <w:t>人 ：</w:t>
      </w:r>
      <w:r>
        <w:rPr>
          <w:rFonts w:hint="eastAsia" w:ascii="宋体" w:hAnsi="宋体" w:cs="宋体"/>
          <w:b/>
          <w:color w:val="auto"/>
          <w:kern w:val="2"/>
          <w:sz w:val="32"/>
          <w:szCs w:val="32"/>
          <w:highlight w:val="none"/>
          <w:lang w:eastAsia="zh-CN"/>
        </w:rPr>
        <w:t>洛浦县妇幼保健站</w:t>
      </w:r>
    </w:p>
    <w:p>
      <w:pPr>
        <w:spacing w:line="600" w:lineRule="exact"/>
        <w:jc w:val="center"/>
        <w:rPr>
          <w:rFonts w:hint="eastAsia" w:ascii="宋体" w:hAnsi="宋体" w:eastAsia="宋体" w:cs="宋体"/>
          <w:b/>
          <w:color w:val="auto"/>
          <w:kern w:val="2"/>
          <w:sz w:val="32"/>
          <w:szCs w:val="32"/>
          <w:highlight w:val="none"/>
        </w:rPr>
      </w:pPr>
      <w:r>
        <w:rPr>
          <w:rFonts w:hint="eastAsia" w:ascii="宋体" w:hAnsi="宋体" w:eastAsia="宋体" w:cs="宋体"/>
          <w:b/>
          <w:color w:val="auto"/>
          <w:kern w:val="2"/>
          <w:sz w:val="32"/>
          <w:szCs w:val="32"/>
          <w:highlight w:val="none"/>
        </w:rPr>
        <w:t>招标代理机构：新疆沃图恒辉建设工程项目管理有限公司</w:t>
      </w:r>
    </w:p>
    <w:p>
      <w:pPr>
        <w:spacing w:line="6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二〇</w:t>
      </w:r>
      <w:r>
        <w:rPr>
          <w:rFonts w:hint="eastAsia" w:ascii="宋体" w:hAnsi="宋体" w:cs="宋体"/>
          <w:b/>
          <w:color w:val="auto"/>
          <w:sz w:val="32"/>
          <w:szCs w:val="32"/>
          <w:highlight w:val="none"/>
          <w:lang w:eastAsia="zh-CN"/>
        </w:rPr>
        <w:t>二一</w:t>
      </w:r>
      <w:r>
        <w:rPr>
          <w:rFonts w:hint="eastAsia" w:ascii="宋体" w:hAnsi="宋体" w:eastAsia="宋体" w:cs="宋体"/>
          <w:b/>
          <w:color w:val="auto"/>
          <w:sz w:val="32"/>
          <w:szCs w:val="32"/>
          <w:highlight w:val="none"/>
        </w:rPr>
        <w:t>年</w:t>
      </w:r>
      <w:r>
        <w:rPr>
          <w:rFonts w:hint="eastAsia" w:ascii="宋体" w:hAnsi="宋体" w:cs="宋体"/>
          <w:b/>
          <w:color w:val="auto"/>
          <w:sz w:val="32"/>
          <w:szCs w:val="32"/>
          <w:highlight w:val="none"/>
          <w:lang w:eastAsia="zh-CN"/>
        </w:rPr>
        <w:t>九</w:t>
      </w:r>
      <w:r>
        <w:rPr>
          <w:rFonts w:hint="eastAsia" w:ascii="宋体" w:hAnsi="宋体" w:eastAsia="宋体" w:cs="宋体"/>
          <w:b/>
          <w:color w:val="auto"/>
          <w:sz w:val="32"/>
          <w:szCs w:val="32"/>
          <w:highlight w:val="none"/>
          <w:lang w:eastAsia="zh-CN"/>
        </w:rPr>
        <w:t>月</w:t>
      </w:r>
    </w:p>
    <w:p>
      <w:pPr>
        <w:pStyle w:val="13"/>
        <w:spacing w:line="600" w:lineRule="exact"/>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23"/>
        <w:rPr>
          <w:rFonts w:hint="eastAsia" w:ascii="宋体" w:hAnsi="宋体" w:eastAsia="宋体" w:cs="宋体"/>
          <w:color w:val="auto"/>
          <w:highlight w:val="none"/>
        </w:rPr>
      </w:pPr>
    </w:p>
    <w:p>
      <w:pPr>
        <w:rPr>
          <w:rFonts w:hint="eastAsia" w:ascii="宋体" w:hAnsi="宋体"/>
          <w:b/>
          <w:bCs/>
          <w:color w:val="auto"/>
          <w:sz w:val="28"/>
          <w:szCs w:val="28"/>
          <w:highlight w:val="none"/>
        </w:rPr>
      </w:pPr>
      <w:r>
        <w:rPr>
          <w:rFonts w:hint="eastAsia" w:ascii="宋体" w:hAnsi="宋体"/>
          <w:b/>
          <w:bCs/>
          <w:color w:val="auto"/>
          <w:sz w:val="28"/>
          <w:szCs w:val="28"/>
          <w:highlight w:val="none"/>
          <w:lang w:val="en-US" w:eastAsia="zh-CN"/>
        </w:rPr>
        <w:t>采购办</w:t>
      </w:r>
      <w:r>
        <w:rPr>
          <w:rFonts w:hint="eastAsia" w:ascii="宋体" w:hAnsi="宋体"/>
          <w:b/>
          <w:bCs/>
          <w:color w:val="auto"/>
          <w:sz w:val="28"/>
          <w:szCs w:val="28"/>
          <w:highlight w:val="none"/>
        </w:rPr>
        <w:t>备案登记栏</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34" w:hRule="atLeast"/>
          <w:jc w:val="center"/>
        </w:trPr>
        <w:tc>
          <w:tcPr>
            <w:tcW w:w="8477" w:type="dxa"/>
            <w:noWrap w:val="0"/>
            <w:vAlign w:val="top"/>
          </w:tcPr>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jc w:val="center"/>
              <w:rPr>
                <w:rFonts w:hint="eastAsia"/>
                <w:color w:val="auto"/>
                <w:highlight w:val="none"/>
              </w:rPr>
            </w:pPr>
          </w:p>
          <w:p>
            <w:pPr>
              <w:pStyle w:val="6"/>
              <w:numPr>
                <w:ilvl w:val="0"/>
                <w:numId w:val="0"/>
              </w:numPr>
              <w:ind w:leftChars="0"/>
              <w:jc w:val="both"/>
              <w:rPr>
                <w:rFonts w:hint="eastAsia"/>
                <w:color w:val="auto"/>
                <w:highlight w:val="none"/>
              </w:rPr>
            </w:pPr>
          </w:p>
          <w:p>
            <w:pPr>
              <w:jc w:val="center"/>
              <w:rPr>
                <w:rFonts w:hint="eastAsia"/>
                <w:color w:val="auto"/>
                <w:highlight w:val="none"/>
              </w:rPr>
            </w:pPr>
          </w:p>
          <w:p>
            <w:pPr>
              <w:jc w:val="center"/>
              <w:rPr>
                <w:rFonts w:hint="eastAsia"/>
                <w:color w:val="auto"/>
                <w:sz w:val="24"/>
                <w:szCs w:val="24"/>
                <w:highlight w:val="none"/>
              </w:rPr>
            </w:pPr>
          </w:p>
          <w:p>
            <w:pPr>
              <w:jc w:val="center"/>
              <w:rPr>
                <w:rFonts w:hint="eastAsia"/>
                <w:color w:val="auto"/>
                <w:sz w:val="24"/>
                <w:szCs w:val="24"/>
                <w:highlight w:val="none"/>
              </w:rPr>
            </w:pPr>
            <w:r>
              <w:rPr>
                <w:rFonts w:hint="eastAsia"/>
                <w:color w:val="auto"/>
                <w:sz w:val="24"/>
                <w:szCs w:val="24"/>
                <w:highlight w:val="none"/>
              </w:rPr>
              <w:t>本</w:t>
            </w:r>
            <w:r>
              <w:rPr>
                <w:rFonts w:hint="eastAsia"/>
                <w:color w:val="auto"/>
                <w:sz w:val="24"/>
                <w:szCs w:val="24"/>
                <w:highlight w:val="none"/>
                <w:lang w:eastAsia="zh-CN"/>
              </w:rPr>
              <w:t>竞争性谈判文件</w:t>
            </w:r>
            <w:r>
              <w:rPr>
                <w:rFonts w:hint="eastAsia"/>
                <w:color w:val="auto"/>
                <w:sz w:val="24"/>
                <w:szCs w:val="24"/>
                <w:highlight w:val="none"/>
              </w:rPr>
              <w:t>已报备</w:t>
            </w:r>
          </w:p>
          <w:p>
            <w:pPr>
              <w:jc w:val="center"/>
              <w:rPr>
                <w:rFonts w:hint="eastAsia"/>
                <w:color w:val="auto"/>
                <w:sz w:val="24"/>
                <w:szCs w:val="24"/>
                <w:highlight w:val="none"/>
              </w:rPr>
            </w:pPr>
          </w:p>
          <w:p>
            <w:pPr>
              <w:pStyle w:val="7"/>
              <w:ind w:left="0" w:leftChars="0" w:firstLine="0" w:firstLineChars="0"/>
              <w:rPr>
                <w:rFonts w:hint="eastAsia"/>
                <w:color w:val="auto"/>
                <w:sz w:val="24"/>
                <w:szCs w:val="24"/>
                <w:highlight w:val="none"/>
              </w:rPr>
            </w:pPr>
          </w:p>
          <w:p>
            <w:pPr>
              <w:pStyle w:val="7"/>
              <w:ind w:left="0" w:leftChars="0" w:firstLine="0" w:firstLineChars="0"/>
              <w:rPr>
                <w:rFonts w:hint="eastAsia"/>
                <w:color w:val="auto"/>
                <w:sz w:val="24"/>
                <w:szCs w:val="24"/>
                <w:highlight w:val="none"/>
              </w:rPr>
            </w:pPr>
          </w:p>
          <w:p>
            <w:pPr>
              <w:pStyle w:val="7"/>
              <w:rPr>
                <w:rFonts w:hint="eastAsia"/>
                <w:color w:val="auto"/>
                <w:sz w:val="24"/>
                <w:szCs w:val="24"/>
                <w:highlight w:val="none"/>
              </w:rPr>
            </w:pPr>
          </w:p>
          <w:p>
            <w:pPr>
              <w:pStyle w:val="7"/>
              <w:rPr>
                <w:rFonts w:hint="eastAsia"/>
                <w:color w:val="auto"/>
                <w:sz w:val="24"/>
                <w:szCs w:val="24"/>
                <w:highlight w:val="none"/>
              </w:rPr>
            </w:pPr>
          </w:p>
          <w:p>
            <w:pPr>
              <w:pStyle w:val="7"/>
              <w:rPr>
                <w:rFonts w:hint="eastAsia"/>
                <w:color w:val="auto"/>
                <w:sz w:val="24"/>
                <w:szCs w:val="24"/>
                <w:highlight w:val="none"/>
              </w:rPr>
            </w:pPr>
          </w:p>
          <w:p>
            <w:pPr>
              <w:pStyle w:val="7"/>
              <w:rPr>
                <w:rFonts w:hint="eastAsia"/>
                <w:color w:val="auto"/>
                <w:sz w:val="24"/>
                <w:szCs w:val="24"/>
                <w:highlight w:val="none"/>
              </w:rPr>
            </w:pPr>
          </w:p>
          <w:p>
            <w:pPr>
              <w:pStyle w:val="7"/>
              <w:rPr>
                <w:rFonts w:hint="eastAsia"/>
                <w:color w:val="auto"/>
                <w:sz w:val="24"/>
                <w:szCs w:val="24"/>
                <w:highlight w:val="none"/>
              </w:rPr>
            </w:pPr>
          </w:p>
          <w:p>
            <w:pPr>
              <w:pStyle w:val="7"/>
              <w:rPr>
                <w:rFonts w:hint="eastAsia"/>
                <w:color w:val="auto"/>
                <w:sz w:val="24"/>
                <w:szCs w:val="24"/>
                <w:highlight w:val="none"/>
              </w:rPr>
            </w:pPr>
          </w:p>
          <w:p>
            <w:pPr>
              <w:pStyle w:val="7"/>
              <w:ind w:left="0" w:leftChars="0" w:firstLine="0" w:firstLineChars="0"/>
              <w:rPr>
                <w:rFonts w:hint="eastAsia"/>
                <w:color w:val="auto"/>
                <w:sz w:val="24"/>
                <w:szCs w:val="24"/>
                <w:highlight w:val="none"/>
              </w:rPr>
            </w:pPr>
          </w:p>
          <w:p>
            <w:pPr>
              <w:jc w:val="center"/>
              <w:rPr>
                <w:rFonts w:hint="eastAsia"/>
                <w:color w:val="auto"/>
                <w:sz w:val="24"/>
                <w:szCs w:val="24"/>
                <w:highlight w:val="none"/>
              </w:rPr>
            </w:pPr>
          </w:p>
          <w:p>
            <w:pPr>
              <w:rPr>
                <w:rFonts w:hint="eastAsia"/>
                <w:color w:val="auto"/>
                <w:sz w:val="24"/>
                <w:szCs w:val="24"/>
                <w:highlight w:val="none"/>
              </w:rPr>
            </w:pPr>
          </w:p>
          <w:p>
            <w:pPr>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color w:val="auto"/>
                <w:sz w:val="28"/>
                <w:szCs w:val="28"/>
                <w:highlight w:val="none"/>
                <w:lang w:eastAsia="zh-CN"/>
              </w:rPr>
            </w:pPr>
            <w:r>
              <w:rPr>
                <w:rFonts w:hint="eastAsia"/>
                <w:color w:val="auto"/>
                <w:sz w:val="28"/>
                <w:szCs w:val="28"/>
                <w:highlight w:val="none"/>
                <w:lang w:val="en-US" w:eastAsia="zh-CN"/>
              </w:rPr>
              <w:t>项目</w:t>
            </w:r>
            <w:r>
              <w:rPr>
                <w:rFonts w:hint="eastAsia"/>
                <w:color w:val="auto"/>
                <w:sz w:val="28"/>
                <w:szCs w:val="28"/>
                <w:highlight w:val="none"/>
              </w:rPr>
              <w:t>名称：</w:t>
            </w:r>
            <w:r>
              <w:rPr>
                <w:rFonts w:hint="eastAsia" w:ascii="宋体" w:hAnsi="宋体" w:cs="宋体"/>
                <w:bCs/>
                <w:color w:val="auto"/>
                <w:sz w:val="28"/>
                <w:szCs w:val="28"/>
                <w:highlight w:val="none"/>
                <w:lang w:val="zh-CN" w:eastAsia="zh-CN"/>
              </w:rPr>
              <w:t>洛浦县妇幼能力提升项目</w:t>
            </w:r>
          </w:p>
          <w:p>
            <w:pPr>
              <w:ind w:firstLine="840" w:firstLineChars="300"/>
              <w:rPr>
                <w:rFonts w:hint="eastAsia"/>
                <w:color w:val="auto"/>
                <w:sz w:val="28"/>
                <w:szCs w:val="28"/>
                <w:highlight w:val="none"/>
              </w:rPr>
            </w:pPr>
          </w:p>
          <w:p>
            <w:pPr>
              <w:jc w:val="both"/>
              <w:rPr>
                <w:rFonts w:hint="default" w:eastAsia="宋体"/>
                <w:color w:val="auto"/>
                <w:sz w:val="28"/>
                <w:szCs w:val="28"/>
                <w:highlight w:val="none"/>
                <w:lang w:val="en-US" w:eastAsia="zh-CN"/>
              </w:rPr>
            </w:pPr>
            <w:r>
              <w:rPr>
                <w:rFonts w:hint="eastAsia"/>
                <w:color w:val="auto"/>
                <w:sz w:val="28"/>
                <w:szCs w:val="28"/>
                <w:highlight w:val="none"/>
              </w:rPr>
              <w:t>备案日期</w:t>
            </w:r>
            <w:r>
              <w:rPr>
                <w:rFonts w:hint="eastAsia"/>
                <w:color w:val="auto"/>
                <w:sz w:val="28"/>
                <w:szCs w:val="28"/>
                <w:highlight w:val="none"/>
                <w:lang w:eastAsia="zh-CN"/>
              </w:rPr>
              <w:t>：</w:t>
            </w:r>
            <w:r>
              <w:rPr>
                <w:rFonts w:hint="eastAsia"/>
                <w:color w:val="auto"/>
                <w:sz w:val="28"/>
                <w:szCs w:val="28"/>
                <w:highlight w:val="none"/>
                <w:lang w:val="en-US" w:eastAsia="zh-CN"/>
              </w:rPr>
              <w:t xml:space="preserve">   年   月   日</w:t>
            </w:r>
          </w:p>
          <w:p>
            <w:pPr>
              <w:rPr>
                <w:rFonts w:hint="eastAsia"/>
                <w:color w:val="auto"/>
                <w:highlight w:val="none"/>
              </w:rPr>
            </w:pPr>
          </w:p>
        </w:tc>
      </w:tr>
    </w:tbl>
    <w:p>
      <w:pPr>
        <w:pageBreakBefore w:val="0"/>
        <w:kinsoku/>
        <w:wordWrap/>
        <w:overflowPunct/>
        <w:topLinePunct w:val="0"/>
        <w:bidi w:val="0"/>
        <w:spacing w:line="360" w:lineRule="auto"/>
        <w:ind w:right="560"/>
        <w:jc w:val="right"/>
        <w:rPr>
          <w:rFonts w:hint="eastAsia" w:ascii="宋体" w:hAnsi="宋体" w:eastAsia="宋体"/>
          <w:color w:val="auto"/>
          <w:highlight w:val="none"/>
        </w:rPr>
        <w:sectPr>
          <w:footerReference r:id="rId3" w:type="default"/>
          <w:pgSz w:w="11907" w:h="16840"/>
          <w:pgMar w:top="1440" w:right="1080" w:bottom="1440" w:left="1080" w:header="851" w:footer="851" w:gutter="0"/>
          <w:pgNumType w:fmt="decimal" w:start="1"/>
          <w:cols w:space="720" w:num="1"/>
          <w:docGrid w:linePitch="462" w:charSpace="0"/>
        </w:sectPr>
      </w:pPr>
      <w:r>
        <w:rPr>
          <w:rFonts w:hint="eastAsia" w:ascii="宋体" w:hAnsi="宋体" w:cs="宋体"/>
          <w:color w:val="auto"/>
          <w:sz w:val="28"/>
          <w:szCs w:val="28"/>
          <w:highlight w:val="none"/>
          <w:lang w:val="en-US" w:eastAsia="zh-CN"/>
        </w:rPr>
        <w:t xml:space="preserve">    洛浦县</w:t>
      </w:r>
      <w:r>
        <w:rPr>
          <w:rFonts w:hint="eastAsia" w:ascii="宋体" w:hAnsi="宋体" w:eastAsia="宋体" w:cs="宋体"/>
          <w:color w:val="auto"/>
          <w:sz w:val="28"/>
          <w:szCs w:val="28"/>
          <w:highlight w:val="none"/>
        </w:rPr>
        <w:t>政府采购管理办公室</w:t>
      </w:r>
    </w:p>
    <w:p>
      <w:pPr>
        <w:pStyle w:val="13"/>
        <w:spacing w:line="6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目录</w:t>
      </w:r>
    </w:p>
    <w:p>
      <w:pPr>
        <w:spacing w:line="600" w:lineRule="exact"/>
        <w:rPr>
          <w:rFonts w:hint="eastAsia" w:ascii="宋体" w:hAnsi="宋体" w:eastAsia="宋体" w:cs="宋体"/>
          <w:color w:val="auto"/>
          <w:highlight w:val="none"/>
        </w:rPr>
      </w:pPr>
    </w:p>
    <w:p>
      <w:pPr>
        <w:pStyle w:val="13"/>
        <w:tabs>
          <w:tab w:val="right" w:leader="dot" w:pos="8789"/>
          <w:tab w:val="clear" w:pos="9628"/>
        </w:tabs>
        <w:spacing w:line="600" w:lineRule="exact"/>
        <w:rPr>
          <w:rFonts w:hint="eastAsia" w:ascii="宋体" w:hAnsi="宋体" w:eastAsia="宋体" w:cs="宋体"/>
          <w:b w:val="0"/>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TOC \o "1-3" \h \z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"_Toc507513093"</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招标公告</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t>1</w:t>
      </w:r>
      <w:r>
        <w:rPr>
          <w:rFonts w:hint="eastAsia" w:ascii="宋体" w:hAnsi="宋体" w:eastAsia="宋体" w:cs="宋体"/>
          <w:b w:val="0"/>
          <w:color w:val="auto"/>
          <w:sz w:val="28"/>
          <w:szCs w:val="28"/>
          <w:highlight w:val="none"/>
        </w:rPr>
        <w:fldChar w:fldCharType="end"/>
      </w:r>
    </w:p>
    <w:p>
      <w:pPr>
        <w:pStyle w:val="13"/>
        <w:tabs>
          <w:tab w:val="right" w:leader="dot" w:pos="8789"/>
          <w:tab w:val="clear" w:pos="9628"/>
        </w:tabs>
        <w:spacing w:line="600" w:lineRule="exac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"_Toc507513094"</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第一部份 投标须知</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PAGEREF _Toc507513094 \h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b w:val="0"/>
          <w:color w:val="auto"/>
          <w:sz w:val="28"/>
          <w:szCs w:val="28"/>
          <w:highlight w:val="none"/>
        </w:rPr>
        <w:t>1</w:t>
      </w:r>
      <w:r>
        <w:rPr>
          <w:rFonts w:hint="eastAsia" w:ascii="宋体" w:hAnsi="宋体" w:eastAsia="宋体" w:cs="宋体"/>
          <w:b w:val="0"/>
          <w:color w:val="auto"/>
          <w:sz w:val="28"/>
          <w:szCs w:val="28"/>
          <w:highlight w:val="none"/>
        </w:rPr>
        <w:fldChar w:fldCharType="end"/>
      </w:r>
      <w:r>
        <w:rPr>
          <w:rFonts w:hint="eastAsia" w:ascii="宋体" w:hAnsi="宋体" w:eastAsia="宋体" w:cs="宋体"/>
          <w:b w:val="0"/>
          <w:color w:val="auto"/>
          <w:sz w:val="28"/>
          <w:szCs w:val="28"/>
          <w:highlight w:val="none"/>
        </w:rPr>
        <w:fldChar w:fldCharType="end"/>
      </w:r>
    </w:p>
    <w:p>
      <w:pPr>
        <w:pStyle w:val="13"/>
        <w:tabs>
          <w:tab w:val="right" w:leader="dot" w:pos="8789"/>
          <w:tab w:val="clear" w:pos="9628"/>
        </w:tabs>
        <w:spacing w:line="600" w:lineRule="exac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"_Toc507513095"</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第二部分 招标说明</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PAGEREF _Toc507513095 \h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b w:val="0"/>
          <w:color w:val="auto"/>
          <w:sz w:val="28"/>
          <w:szCs w:val="28"/>
          <w:highlight w:val="none"/>
        </w:rPr>
        <w:t>6</w:t>
      </w:r>
      <w:r>
        <w:rPr>
          <w:rFonts w:hint="eastAsia" w:ascii="宋体" w:hAnsi="宋体" w:eastAsia="宋体" w:cs="宋体"/>
          <w:b w:val="0"/>
          <w:color w:val="auto"/>
          <w:sz w:val="28"/>
          <w:szCs w:val="28"/>
          <w:highlight w:val="none"/>
        </w:rPr>
        <w:fldChar w:fldCharType="end"/>
      </w:r>
      <w:r>
        <w:rPr>
          <w:rFonts w:hint="eastAsia" w:ascii="宋体" w:hAnsi="宋体" w:eastAsia="宋体" w:cs="宋体"/>
          <w:b w:val="0"/>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"_Toc507513096"</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第一章 总则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_Toc507513096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"_Toc507513097"</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第二章 招标文件</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_Toc507513097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3"/>
        <w:tabs>
          <w:tab w:val="right" w:leader="dot" w:pos="8789"/>
          <w:tab w:val="clear" w:pos="9628"/>
        </w:tabs>
        <w:spacing w:line="600" w:lineRule="exac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"_Toc507513098"</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第三部分</w:t>
      </w:r>
      <w:bookmarkStart w:id="0" w:name="_Hlt507513121"/>
      <w:r>
        <w:rPr>
          <w:rStyle w:val="21"/>
          <w:rFonts w:hint="eastAsia" w:ascii="宋体" w:hAnsi="宋体" w:eastAsia="宋体" w:cs="宋体"/>
          <w:b w:val="0"/>
          <w:color w:val="auto"/>
          <w:sz w:val="28"/>
          <w:szCs w:val="28"/>
          <w:highlight w:val="none"/>
        </w:rPr>
        <w:t xml:space="preserve"> 投</w:t>
      </w:r>
      <w:bookmarkEnd w:id="0"/>
      <w:r>
        <w:rPr>
          <w:rStyle w:val="21"/>
          <w:rFonts w:hint="eastAsia" w:ascii="宋体" w:hAnsi="宋体" w:eastAsia="宋体" w:cs="宋体"/>
          <w:b w:val="0"/>
          <w:color w:val="auto"/>
          <w:sz w:val="28"/>
          <w:szCs w:val="28"/>
          <w:highlight w:val="none"/>
        </w:rPr>
        <w:t>标说明</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PAGEREF _Toc507513098 \h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b w:val="0"/>
          <w:color w:val="auto"/>
          <w:sz w:val="28"/>
          <w:szCs w:val="28"/>
          <w:highlight w:val="none"/>
        </w:rPr>
        <w:t>9</w:t>
      </w:r>
      <w:r>
        <w:rPr>
          <w:rFonts w:hint="eastAsia" w:ascii="宋体" w:hAnsi="宋体" w:eastAsia="宋体" w:cs="宋体"/>
          <w:b w:val="0"/>
          <w:color w:val="auto"/>
          <w:sz w:val="28"/>
          <w:szCs w:val="28"/>
          <w:highlight w:val="none"/>
        </w:rPr>
        <w:fldChar w:fldCharType="end"/>
      </w:r>
      <w:r>
        <w:rPr>
          <w:rFonts w:hint="eastAsia" w:ascii="宋体" w:hAnsi="宋体" w:eastAsia="宋体" w:cs="宋体"/>
          <w:b w:val="0"/>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"_Toc507513099"</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第一章 对投标人的资质要求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_Toc507513099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"_Toc507513100"</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第二章 投标文件的编写</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_Toc507513100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9</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"_Toc507513101"</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第三章 投标文件的递交</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_Toc507513101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16</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"_Toc507513102"</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第四章 评标委员会</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_Toc507513102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"_Toc507513103"</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第五章 开　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"_Toc507513104"</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bCs/>
          <w:color w:val="auto"/>
          <w:sz w:val="28"/>
          <w:szCs w:val="28"/>
          <w:highlight w:val="none"/>
        </w:rPr>
        <w:t>第六章 评　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_Toc507513104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18</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"_Toc507513105"</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第七章 定　标</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instrText xml:space="preserve">HYPERLINK \l "_Toc507513106"</w:instrText>
      </w:r>
      <w:r>
        <w:rPr>
          <w:rStyle w:val="21"/>
          <w:rFonts w:hint="eastAsia" w:ascii="宋体" w:hAnsi="宋体" w:eastAsia="宋体" w:cs="宋体"/>
          <w:color w:val="auto"/>
          <w:sz w:val="28"/>
          <w:szCs w:val="28"/>
          <w:highlight w:val="none"/>
        </w:rPr>
        <w:instrText xml:space="preserve"> </w:instrText>
      </w:r>
      <w:r>
        <w:rPr>
          <w:rFonts w:hint="eastAsia" w:ascii="宋体" w:hAnsi="宋体" w:eastAsia="宋体" w:cs="宋体"/>
          <w:color w:val="auto"/>
          <w:sz w:val="28"/>
          <w:szCs w:val="28"/>
          <w:highlight w:val="none"/>
        </w:rPr>
        <w:fldChar w:fldCharType="separate"/>
      </w:r>
      <w:r>
        <w:rPr>
          <w:rStyle w:val="21"/>
          <w:rFonts w:hint="eastAsia" w:ascii="宋体" w:hAnsi="宋体" w:eastAsia="宋体" w:cs="宋体"/>
          <w:color w:val="auto"/>
          <w:sz w:val="28"/>
          <w:szCs w:val="28"/>
          <w:highlight w:val="none"/>
        </w:rPr>
        <w:t>第八章 授予合同</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_Toc507513106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24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pPr>
        <w:pStyle w:val="13"/>
        <w:tabs>
          <w:tab w:val="right" w:leader="dot" w:pos="8789"/>
          <w:tab w:val="clear" w:pos="9628"/>
        </w:tabs>
        <w:spacing w:line="600" w:lineRule="exac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"_Toc507513107"</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第四部分 采购需求</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PAGEREF _Toc507513107 \h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b w:val="0"/>
          <w:color w:val="auto"/>
          <w:sz w:val="28"/>
          <w:szCs w:val="28"/>
          <w:highlight w:val="none"/>
        </w:rPr>
        <w:t>24</w:t>
      </w:r>
      <w:r>
        <w:rPr>
          <w:rFonts w:hint="eastAsia" w:ascii="宋体" w:hAnsi="宋体" w:eastAsia="宋体" w:cs="宋体"/>
          <w:b w:val="0"/>
          <w:color w:val="auto"/>
          <w:sz w:val="28"/>
          <w:szCs w:val="28"/>
          <w:highlight w:val="none"/>
        </w:rPr>
        <w:fldChar w:fldCharType="end"/>
      </w:r>
      <w:r>
        <w:rPr>
          <w:rFonts w:hint="eastAsia" w:ascii="宋体" w:hAnsi="宋体" w:eastAsia="宋体" w:cs="宋体"/>
          <w:b w:val="0"/>
          <w:color w:val="auto"/>
          <w:sz w:val="28"/>
          <w:szCs w:val="28"/>
          <w:highlight w:val="none"/>
        </w:rPr>
        <w:fldChar w:fldCharType="end"/>
      </w:r>
    </w:p>
    <w:p>
      <w:pPr>
        <w:pStyle w:val="13"/>
        <w:tabs>
          <w:tab w:val="right" w:leader="dot" w:pos="8789"/>
          <w:tab w:val="clear" w:pos="9628"/>
        </w:tabs>
        <w:spacing w:line="600" w:lineRule="exact"/>
        <w:ind w:firstLine="560" w:firstLineChars="200"/>
        <w:jc w:val="lef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"_Toc507513108"</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第五部分 合同部分（模板）</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PAGEREF _Toc507513108 \h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b w:val="0"/>
          <w:color w:val="auto"/>
          <w:sz w:val="28"/>
          <w:szCs w:val="28"/>
          <w:highlight w:val="none"/>
        </w:rPr>
        <w:t>25</w:t>
      </w:r>
      <w:r>
        <w:rPr>
          <w:rFonts w:hint="eastAsia" w:ascii="宋体" w:hAnsi="宋体" w:eastAsia="宋体" w:cs="宋体"/>
          <w:b w:val="0"/>
          <w:color w:val="auto"/>
          <w:sz w:val="28"/>
          <w:szCs w:val="28"/>
          <w:highlight w:val="none"/>
        </w:rPr>
        <w:fldChar w:fldCharType="end"/>
      </w:r>
      <w:r>
        <w:rPr>
          <w:rFonts w:hint="eastAsia" w:ascii="宋体" w:hAnsi="宋体" w:eastAsia="宋体" w:cs="宋体"/>
          <w:b w:val="0"/>
          <w:color w:val="auto"/>
          <w:sz w:val="28"/>
          <w:szCs w:val="28"/>
          <w:highlight w:val="none"/>
        </w:rPr>
        <w:fldChar w:fldCharType="end"/>
      </w:r>
    </w:p>
    <w:p>
      <w:pPr>
        <w:pStyle w:val="13"/>
        <w:tabs>
          <w:tab w:val="right" w:leader="dot" w:pos="8789"/>
          <w:tab w:val="clear" w:pos="9628"/>
        </w:tabs>
        <w:spacing w:line="600" w:lineRule="exact"/>
        <w:rPr>
          <w:rFonts w:hint="eastAsia" w:ascii="宋体" w:hAnsi="宋体" w:eastAsia="宋体" w:cs="宋体"/>
          <w:b w:val="0"/>
          <w:color w:val="auto"/>
          <w:sz w:val="28"/>
          <w:szCs w:val="28"/>
          <w:highlight w:val="none"/>
        </w:rPr>
      </w:pPr>
      <w:r>
        <w:rPr>
          <w:rFonts w:hint="eastAsia" w:ascii="宋体" w:hAnsi="宋体" w:eastAsia="宋体" w:cs="宋体"/>
          <w:b w:val="0"/>
          <w:color w:val="auto"/>
          <w:sz w:val="28"/>
          <w:szCs w:val="28"/>
          <w:highlight w:val="none"/>
        </w:rPr>
        <w:fldChar w:fldCharType="begin"/>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instrText xml:space="preserve">HYPERLINK \l "_Toc507513109"</w:instrText>
      </w:r>
      <w:r>
        <w:rPr>
          <w:rStyle w:val="21"/>
          <w:rFonts w:hint="eastAsia" w:ascii="宋体" w:hAnsi="宋体" w:eastAsia="宋体" w:cs="宋体"/>
          <w:b w:val="0"/>
          <w:color w:val="auto"/>
          <w:sz w:val="28"/>
          <w:szCs w:val="28"/>
          <w:highlight w:val="none"/>
        </w:rPr>
        <w:instrText xml:space="preserve"> </w:instrText>
      </w:r>
      <w:r>
        <w:rPr>
          <w:rFonts w:hint="eastAsia" w:ascii="宋体" w:hAnsi="宋体" w:eastAsia="宋体" w:cs="宋体"/>
          <w:b w:val="0"/>
          <w:color w:val="auto"/>
          <w:sz w:val="28"/>
          <w:szCs w:val="28"/>
          <w:highlight w:val="none"/>
        </w:rPr>
        <w:fldChar w:fldCharType="separate"/>
      </w:r>
      <w:r>
        <w:rPr>
          <w:rStyle w:val="21"/>
          <w:rFonts w:hint="eastAsia" w:ascii="宋体" w:hAnsi="宋体" w:eastAsia="宋体" w:cs="宋体"/>
          <w:b w:val="0"/>
          <w:color w:val="auto"/>
          <w:sz w:val="28"/>
          <w:szCs w:val="28"/>
          <w:highlight w:val="none"/>
        </w:rPr>
        <w:t>第六部分 附　件</w:t>
      </w:r>
      <w:r>
        <w:rPr>
          <w:rFonts w:hint="eastAsia" w:ascii="宋体" w:hAnsi="宋体" w:eastAsia="宋体" w:cs="宋体"/>
          <w:b w:val="0"/>
          <w:color w:val="auto"/>
          <w:sz w:val="28"/>
          <w:szCs w:val="28"/>
          <w:highlight w:val="none"/>
        </w:rPr>
        <w:tab/>
      </w:r>
      <w:r>
        <w:rPr>
          <w:rFonts w:hint="eastAsia" w:ascii="宋体" w:hAnsi="宋体" w:eastAsia="宋体" w:cs="宋体"/>
          <w:b w:val="0"/>
          <w:color w:val="auto"/>
          <w:sz w:val="28"/>
          <w:szCs w:val="28"/>
          <w:highlight w:val="none"/>
        </w:rPr>
        <w:fldChar w:fldCharType="begin"/>
      </w:r>
      <w:r>
        <w:rPr>
          <w:rFonts w:hint="eastAsia" w:ascii="宋体" w:hAnsi="宋体" w:eastAsia="宋体" w:cs="宋体"/>
          <w:b w:val="0"/>
          <w:color w:val="auto"/>
          <w:sz w:val="28"/>
          <w:szCs w:val="28"/>
          <w:highlight w:val="none"/>
        </w:rPr>
        <w:instrText xml:space="preserve"> PAGEREF _Toc507513109 \h </w:instrText>
      </w:r>
      <w:r>
        <w:rPr>
          <w:rFonts w:hint="eastAsia" w:ascii="宋体" w:hAnsi="宋体" w:eastAsia="宋体" w:cs="宋体"/>
          <w:b w:val="0"/>
          <w:color w:val="auto"/>
          <w:sz w:val="28"/>
          <w:szCs w:val="28"/>
          <w:highlight w:val="none"/>
        </w:rPr>
        <w:fldChar w:fldCharType="separate"/>
      </w:r>
      <w:r>
        <w:rPr>
          <w:rFonts w:hint="eastAsia" w:ascii="宋体" w:hAnsi="宋体" w:eastAsia="宋体" w:cs="宋体"/>
          <w:b w:val="0"/>
          <w:color w:val="auto"/>
          <w:sz w:val="28"/>
          <w:szCs w:val="28"/>
          <w:highlight w:val="none"/>
        </w:rPr>
        <w:t>32</w:t>
      </w:r>
      <w:r>
        <w:rPr>
          <w:rFonts w:hint="eastAsia" w:ascii="宋体" w:hAnsi="宋体" w:eastAsia="宋体" w:cs="宋体"/>
          <w:b w:val="0"/>
          <w:color w:val="auto"/>
          <w:sz w:val="28"/>
          <w:szCs w:val="28"/>
          <w:highlight w:val="none"/>
        </w:rPr>
        <w:fldChar w:fldCharType="end"/>
      </w:r>
      <w:r>
        <w:rPr>
          <w:rFonts w:hint="eastAsia" w:ascii="宋体" w:hAnsi="宋体" w:eastAsia="宋体" w:cs="宋体"/>
          <w:b w:val="0"/>
          <w:color w:val="auto"/>
          <w:sz w:val="28"/>
          <w:szCs w:val="28"/>
          <w:highlight w:val="none"/>
        </w:rPr>
        <w:fldChar w:fldCharType="end"/>
      </w:r>
    </w:p>
    <w:p>
      <w:pPr>
        <w:pStyle w:val="14"/>
        <w:tabs>
          <w:tab w:val="right" w:leader="dot" w:pos="8789"/>
          <w:tab w:val="clear" w:pos="9628"/>
        </w:tabs>
        <w:spacing w:line="6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end"/>
      </w:r>
    </w:p>
    <w:p>
      <w:pPr>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pStyle w:val="2"/>
        <w:ind w:left="0" w:leftChars="0" w:firstLine="0" w:firstLineChars="0"/>
        <w:rPr>
          <w:rFonts w:hint="eastAsia" w:ascii="宋体" w:hAnsi="宋体" w:eastAsia="宋体" w:cs="宋体"/>
          <w:color w:val="auto"/>
          <w:sz w:val="28"/>
          <w:szCs w:val="28"/>
          <w:highlight w:val="none"/>
        </w:rPr>
      </w:pPr>
    </w:p>
    <w:p>
      <w:pPr>
        <w:keepLines w:val="0"/>
        <w:pageBreakBefore w:val="0"/>
        <w:widowControl w:val="0"/>
        <w:numPr>
          <w:ilvl w:val="0"/>
          <w:numId w:val="2"/>
        </w:numPr>
        <w:kinsoku/>
        <w:wordWrap/>
        <w:overflowPunct/>
        <w:topLinePunct w:val="0"/>
        <w:autoSpaceDE/>
        <w:autoSpaceDN/>
        <w:bidi w:val="0"/>
        <w:adjustRightInd/>
        <w:snapToGrid/>
        <w:spacing w:line="520" w:lineRule="exact"/>
        <w:jc w:val="center"/>
        <w:textAlignment w:val="auto"/>
        <w:outlineLvl w:val="0"/>
        <w:rPr>
          <w:rFonts w:hint="eastAsia" w:ascii="宋体" w:hAnsi="宋体" w:cs="宋体"/>
          <w:b/>
          <w:bCs/>
          <w:sz w:val="36"/>
          <w:szCs w:val="36"/>
          <w:lang w:val="en-US" w:eastAsia="zh-CN"/>
        </w:rPr>
      </w:pPr>
      <w:bookmarkStart w:id="1" w:name="_Toc22564"/>
      <w:r>
        <w:rPr>
          <w:rFonts w:hint="eastAsia" w:ascii="宋体" w:hAnsi="宋体" w:cs="宋体"/>
          <w:b/>
          <w:bCs/>
          <w:sz w:val="36"/>
          <w:szCs w:val="36"/>
          <w:lang w:val="en-US" w:eastAsia="zh-CN"/>
        </w:rPr>
        <w:t xml:space="preserve"> </w:t>
      </w:r>
      <w:bookmarkEnd w:id="1"/>
      <w:bookmarkStart w:id="2" w:name="_Toc1287"/>
      <w:r>
        <w:rPr>
          <w:rFonts w:hint="eastAsia" w:ascii="宋体" w:hAnsi="宋体" w:cs="宋体"/>
          <w:b/>
          <w:bCs/>
          <w:sz w:val="36"/>
          <w:szCs w:val="36"/>
          <w:lang w:val="en-US" w:eastAsia="zh-CN"/>
        </w:rPr>
        <w:t>招标公告</w:t>
      </w:r>
      <w:bookmarkEnd w:id="2"/>
    </w:p>
    <w:p>
      <w:pPr>
        <w:pStyle w:val="24"/>
        <w:numPr>
          <w:ilvl w:val="0"/>
          <w:numId w:val="0"/>
        </w:num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spacing w:line="460" w:lineRule="exact"/>
        <w:jc w:val="center"/>
        <w:textAlignment w:val="baseline"/>
        <w:rPr>
          <w:rFonts w:hint="eastAsia" w:ascii="宋体" w:hAnsi="宋体" w:eastAsia="宋体" w:cs="宋体"/>
          <w:b/>
          <w:color w:val="auto"/>
          <w:kern w:val="0"/>
          <w:sz w:val="28"/>
          <w:szCs w:val="28"/>
          <w:highlight w:val="none"/>
        </w:rPr>
      </w:pPr>
      <w:r>
        <w:rPr>
          <w:rFonts w:hint="eastAsia" w:ascii="宋体" w:hAnsi="宋体" w:cs="宋体"/>
          <w:b/>
          <w:color w:val="auto"/>
          <w:kern w:val="0"/>
          <w:sz w:val="28"/>
          <w:szCs w:val="28"/>
          <w:highlight w:val="none"/>
          <w:lang w:eastAsia="zh-CN"/>
        </w:rPr>
        <w:t>洛浦县妇幼能力提</w:t>
      </w:r>
      <w:r>
        <w:rPr>
          <w:rFonts w:hint="eastAsia" w:ascii="宋体" w:hAnsi="宋体" w:cs="宋体"/>
          <w:b/>
          <w:color w:val="auto"/>
          <w:kern w:val="0"/>
          <w:sz w:val="28"/>
          <w:szCs w:val="28"/>
          <w:highlight w:val="none"/>
          <w:lang w:val="zh-CN" w:eastAsia="zh-CN"/>
        </w:rPr>
        <w:t>升</w:t>
      </w:r>
      <w:r>
        <w:rPr>
          <w:rFonts w:hint="eastAsia" w:ascii="宋体" w:hAnsi="宋体" w:cs="宋体"/>
          <w:b/>
          <w:color w:val="auto"/>
          <w:kern w:val="0"/>
          <w:sz w:val="28"/>
          <w:szCs w:val="28"/>
          <w:highlight w:val="none"/>
          <w:lang w:eastAsia="zh-CN"/>
        </w:rPr>
        <w:t>项目</w:t>
      </w:r>
      <w:r>
        <w:rPr>
          <w:rFonts w:hint="eastAsia" w:ascii="宋体" w:hAnsi="宋体" w:eastAsia="宋体" w:cs="宋体"/>
          <w:b/>
          <w:color w:val="auto"/>
          <w:kern w:val="0"/>
          <w:sz w:val="28"/>
          <w:szCs w:val="28"/>
          <w:highlight w:val="none"/>
        </w:rPr>
        <w:t>招标公告</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08" w:type="dxa"/>
            <w:noWrap w:val="0"/>
            <w:vAlign w:val="top"/>
          </w:tcPr>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项目概况</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vertAlign w:val="baseline"/>
              </w:rPr>
            </w:pPr>
            <w:r>
              <w:rPr>
                <w:rFonts w:hint="eastAsia" w:ascii="仿宋" w:hAnsi="仿宋" w:eastAsia="仿宋" w:cs="仿宋"/>
                <w:color w:val="auto"/>
                <w:kern w:val="0"/>
                <w:sz w:val="28"/>
                <w:szCs w:val="28"/>
                <w:highlight w:val="none"/>
              </w:rPr>
              <w:t>    </w:t>
            </w:r>
            <w:r>
              <w:rPr>
                <w:rFonts w:hint="eastAsia" w:ascii="仿宋" w:hAnsi="仿宋" w:eastAsia="仿宋" w:cs="仿宋"/>
                <w:color w:val="auto"/>
                <w:kern w:val="0"/>
                <w:sz w:val="28"/>
                <w:szCs w:val="28"/>
                <w:highlight w:val="none"/>
                <w:lang w:eastAsia="zh-CN"/>
              </w:rPr>
              <w:t>洛浦县妇幼能力提升项目</w:t>
            </w:r>
            <w:r>
              <w:rPr>
                <w:rFonts w:hint="eastAsia" w:ascii="仿宋" w:hAnsi="仿宋" w:eastAsia="仿宋" w:cs="仿宋"/>
                <w:color w:val="auto"/>
                <w:kern w:val="0"/>
                <w:sz w:val="28"/>
                <w:szCs w:val="28"/>
                <w:highlight w:val="none"/>
              </w:rPr>
              <w:t>的潜在供应商凡愿参与本次投标且满足供应商资格要求的，请供应商自行登录新疆政府采购网（www.ccgp-xinjiang.gov.cn）下载本项目</w:t>
            </w:r>
            <w:r>
              <w:rPr>
                <w:rFonts w:hint="eastAsia" w:ascii="仿宋" w:hAnsi="仿宋" w:eastAsia="仿宋" w:cs="仿宋"/>
                <w:color w:val="auto"/>
                <w:kern w:val="0"/>
                <w:sz w:val="28"/>
                <w:szCs w:val="28"/>
                <w:highlight w:val="none"/>
                <w:lang w:eastAsia="zh-CN"/>
              </w:rPr>
              <w:t>招标</w:t>
            </w:r>
            <w:r>
              <w:rPr>
                <w:rFonts w:hint="eastAsia" w:ascii="仿宋" w:hAnsi="仿宋" w:eastAsia="仿宋" w:cs="仿宋"/>
                <w:color w:val="auto"/>
                <w:kern w:val="0"/>
                <w:sz w:val="28"/>
                <w:szCs w:val="28"/>
                <w:highlight w:val="none"/>
              </w:rPr>
              <w:t>文件，并于</w:t>
            </w:r>
            <w:r>
              <w:rPr>
                <w:rFonts w:hint="eastAsia" w:ascii="仿宋" w:hAnsi="仿宋" w:eastAsia="仿宋" w:cs="仿宋"/>
                <w:color w:val="auto"/>
                <w:kern w:val="0"/>
                <w:sz w:val="28"/>
                <w:szCs w:val="28"/>
                <w:highlight w:val="none"/>
                <w:lang w:eastAsia="zh-CN"/>
              </w:rPr>
              <w:t>2021年</w:t>
            </w:r>
            <w:r>
              <w:rPr>
                <w:rFonts w:hint="eastAsia" w:ascii="仿宋" w:hAnsi="仿宋" w:eastAsia="仿宋" w:cs="仿宋"/>
                <w:color w:val="auto"/>
                <w:kern w:val="0"/>
                <w:sz w:val="28"/>
                <w:szCs w:val="28"/>
                <w:highlight w:val="none"/>
                <w:lang w:val="en-US" w:eastAsia="zh-CN"/>
              </w:rPr>
              <w:t xml:space="preserve"> 10 </w:t>
            </w:r>
            <w:r>
              <w:rPr>
                <w:rFonts w:hint="eastAsia" w:ascii="仿宋" w:hAnsi="仿宋" w:eastAsia="仿宋" w:cs="仿宋"/>
                <w:color w:val="auto"/>
                <w:kern w:val="0"/>
                <w:sz w:val="28"/>
                <w:szCs w:val="28"/>
                <w:highlight w:val="none"/>
                <w:lang w:eastAsia="zh-CN"/>
              </w:rPr>
              <w:t>月</w:t>
            </w:r>
            <w:r>
              <w:rPr>
                <w:rFonts w:hint="eastAsia" w:ascii="仿宋" w:hAnsi="仿宋" w:eastAsia="仿宋" w:cs="仿宋"/>
                <w:color w:val="auto"/>
                <w:kern w:val="0"/>
                <w:sz w:val="28"/>
                <w:szCs w:val="28"/>
                <w:highlight w:val="none"/>
                <w:lang w:val="en-US" w:eastAsia="zh-CN"/>
              </w:rPr>
              <w:t>18</w:t>
            </w:r>
            <w:r>
              <w:rPr>
                <w:rFonts w:hint="eastAsia" w:ascii="仿宋" w:hAnsi="仿宋" w:eastAsia="仿宋" w:cs="仿宋"/>
                <w:color w:val="auto"/>
                <w:kern w:val="0"/>
                <w:sz w:val="28"/>
                <w:szCs w:val="28"/>
                <w:highlight w:val="none"/>
                <w:lang w:eastAsia="zh-CN"/>
              </w:rPr>
              <w:t>日 16:</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lang w:eastAsia="zh-CN"/>
              </w:rPr>
              <w:t>0</w:t>
            </w:r>
            <w:r>
              <w:rPr>
                <w:rFonts w:hint="eastAsia" w:ascii="仿宋" w:hAnsi="仿宋" w:eastAsia="仿宋" w:cs="仿宋"/>
                <w:color w:val="auto"/>
                <w:kern w:val="0"/>
                <w:sz w:val="28"/>
                <w:szCs w:val="28"/>
                <w:highlight w:val="none"/>
              </w:rPr>
              <w:t>（北京时间）前提交响应文件。</w:t>
            </w:r>
          </w:p>
        </w:tc>
      </w:tr>
    </w:tbl>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jc w:val="both"/>
        <w:textAlignment w:val="baseline"/>
        <w:outlineLvl w:val="1"/>
        <w:rPr>
          <w:rFonts w:hint="eastAsia" w:ascii="仿宋" w:hAnsi="仿宋" w:eastAsia="仿宋" w:cs="仿宋"/>
          <w:b/>
          <w:bCs/>
          <w:color w:val="auto"/>
          <w:kern w:val="2"/>
          <w:sz w:val="28"/>
          <w:szCs w:val="28"/>
          <w:highlight w:val="none"/>
          <w:lang w:val="en-US" w:eastAsia="zh-CN" w:bidi="ar-SA"/>
        </w:rPr>
      </w:pPr>
      <w:bookmarkStart w:id="3" w:name="_Toc35393790"/>
      <w:bookmarkStart w:id="4" w:name="_Toc28359079"/>
      <w:bookmarkStart w:id="5" w:name="_Toc35393621"/>
      <w:bookmarkStart w:id="6" w:name="_Toc28359002"/>
      <w:bookmarkStart w:id="7" w:name="_Toc18115"/>
      <w:bookmarkStart w:id="8" w:name="_Hlk24379207"/>
      <w:r>
        <w:rPr>
          <w:rFonts w:hint="eastAsia" w:ascii="仿宋" w:hAnsi="仿宋" w:eastAsia="仿宋" w:cs="仿宋"/>
          <w:b/>
          <w:bCs/>
          <w:color w:val="auto"/>
          <w:kern w:val="2"/>
          <w:sz w:val="28"/>
          <w:szCs w:val="28"/>
          <w:highlight w:val="none"/>
          <w:lang w:val="en-US" w:eastAsia="zh-CN" w:bidi="ar-SA"/>
        </w:rPr>
        <w:t>一、项目基本情况</w:t>
      </w:r>
      <w:bookmarkEnd w:id="3"/>
      <w:bookmarkEnd w:id="4"/>
      <w:bookmarkEnd w:id="5"/>
      <w:bookmarkEnd w:id="6"/>
      <w:bookmarkEnd w:id="7"/>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1、</w:t>
      </w:r>
      <w:r>
        <w:rPr>
          <w:rFonts w:hint="eastAsia" w:ascii="仿宋" w:hAnsi="仿宋" w:eastAsia="仿宋" w:cs="仿宋"/>
          <w:color w:val="auto"/>
          <w:kern w:val="0"/>
          <w:sz w:val="28"/>
          <w:szCs w:val="28"/>
          <w:highlight w:val="none"/>
        </w:rPr>
        <w:t>项目编号：</w:t>
      </w:r>
      <w:r>
        <w:rPr>
          <w:rFonts w:hint="eastAsia" w:ascii="仿宋" w:hAnsi="仿宋" w:eastAsia="仿宋" w:cs="仿宋"/>
          <w:color w:val="auto"/>
          <w:kern w:val="0"/>
          <w:sz w:val="28"/>
          <w:szCs w:val="28"/>
          <w:highlight w:val="none"/>
          <w:lang w:eastAsia="zh-CN"/>
        </w:rPr>
        <w:t>WTHH2021-HT0035</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2、</w:t>
      </w:r>
      <w:r>
        <w:rPr>
          <w:rFonts w:hint="eastAsia" w:ascii="仿宋" w:hAnsi="仿宋" w:eastAsia="仿宋" w:cs="仿宋"/>
          <w:color w:val="auto"/>
          <w:kern w:val="0"/>
          <w:sz w:val="28"/>
          <w:szCs w:val="28"/>
          <w:highlight w:val="none"/>
        </w:rPr>
        <w:t>项目名称：</w:t>
      </w:r>
      <w:r>
        <w:rPr>
          <w:rFonts w:hint="eastAsia" w:ascii="仿宋" w:hAnsi="仿宋" w:eastAsia="仿宋" w:cs="仿宋"/>
          <w:color w:val="auto"/>
          <w:kern w:val="0"/>
          <w:sz w:val="28"/>
          <w:szCs w:val="28"/>
          <w:highlight w:val="none"/>
          <w:lang w:eastAsia="zh-CN"/>
        </w:rPr>
        <w:t>洛浦县妇幼能力提</w:t>
      </w:r>
      <w:r>
        <w:rPr>
          <w:rFonts w:hint="eastAsia" w:ascii="仿宋" w:hAnsi="仿宋" w:eastAsia="仿宋" w:cs="仿宋"/>
          <w:color w:val="auto"/>
          <w:kern w:val="0"/>
          <w:sz w:val="28"/>
          <w:szCs w:val="28"/>
          <w:highlight w:val="none"/>
          <w:lang w:val="zh-CN" w:eastAsia="zh-CN"/>
        </w:rPr>
        <w:t>升</w:t>
      </w:r>
      <w:r>
        <w:rPr>
          <w:rFonts w:hint="eastAsia" w:ascii="仿宋" w:hAnsi="仿宋" w:eastAsia="仿宋" w:cs="仿宋"/>
          <w:color w:val="auto"/>
          <w:kern w:val="0"/>
          <w:sz w:val="28"/>
          <w:szCs w:val="28"/>
          <w:highlight w:val="none"/>
          <w:lang w:eastAsia="zh-CN"/>
        </w:rPr>
        <w:t>项目</w:t>
      </w:r>
    </w:p>
    <w:bookmarkEnd w:id="8"/>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预算金额：</w:t>
      </w:r>
      <w:r>
        <w:rPr>
          <w:rFonts w:hint="eastAsia" w:ascii="仿宋" w:hAnsi="仿宋" w:eastAsia="仿宋" w:cs="仿宋"/>
          <w:color w:val="auto"/>
          <w:kern w:val="0"/>
          <w:sz w:val="28"/>
          <w:szCs w:val="28"/>
          <w:highlight w:val="none"/>
          <w:lang w:val="en-US" w:eastAsia="zh-CN"/>
        </w:rPr>
        <w:t>204.65万</w:t>
      </w:r>
      <w:r>
        <w:rPr>
          <w:rFonts w:hint="eastAsia" w:ascii="仿宋" w:hAnsi="仿宋" w:eastAsia="仿宋" w:cs="仿宋"/>
          <w:color w:val="auto"/>
          <w:kern w:val="0"/>
          <w:sz w:val="28"/>
          <w:szCs w:val="28"/>
          <w:highlight w:val="none"/>
          <w:lang w:eastAsia="zh-CN"/>
        </w:rPr>
        <w:t>元；</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最高限价：</w:t>
      </w:r>
      <w:r>
        <w:rPr>
          <w:rFonts w:hint="eastAsia" w:ascii="仿宋" w:hAnsi="仿宋" w:eastAsia="仿宋" w:cs="仿宋"/>
          <w:color w:val="auto"/>
          <w:kern w:val="0"/>
          <w:sz w:val="28"/>
          <w:szCs w:val="28"/>
          <w:highlight w:val="none"/>
          <w:lang w:val="en-US" w:eastAsia="zh-CN"/>
        </w:rPr>
        <w:t>204.65万</w:t>
      </w:r>
      <w:r>
        <w:rPr>
          <w:rFonts w:hint="eastAsia" w:ascii="仿宋" w:hAnsi="仿宋" w:eastAsia="仿宋" w:cs="仿宋"/>
          <w:color w:val="auto"/>
          <w:kern w:val="0"/>
          <w:sz w:val="28"/>
          <w:szCs w:val="28"/>
          <w:highlight w:val="none"/>
          <w:lang w:eastAsia="zh-CN"/>
        </w:rPr>
        <w:t>元；（投标报价总价，</w:t>
      </w:r>
      <w:r>
        <w:rPr>
          <w:rFonts w:hint="eastAsia" w:ascii="仿宋" w:hAnsi="仿宋" w:eastAsia="仿宋" w:cs="仿宋"/>
          <w:color w:val="auto"/>
          <w:kern w:val="0"/>
          <w:sz w:val="28"/>
          <w:szCs w:val="28"/>
          <w:highlight w:val="none"/>
          <w:lang w:val="en-US" w:eastAsia="zh-CN"/>
        </w:rPr>
        <w:t>总</w:t>
      </w:r>
      <w:r>
        <w:rPr>
          <w:rFonts w:hint="eastAsia" w:ascii="仿宋" w:hAnsi="仿宋" w:eastAsia="仿宋" w:cs="仿宋"/>
          <w:color w:val="auto"/>
          <w:kern w:val="0"/>
          <w:sz w:val="28"/>
          <w:szCs w:val="28"/>
          <w:highlight w:val="none"/>
          <w:lang w:eastAsia="zh-CN"/>
        </w:rPr>
        <w:t>价高于预算限价按无效报价处理）</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采购需求：</w:t>
      </w:r>
    </w:p>
    <w:tbl>
      <w:tblPr>
        <w:tblStyle w:val="16"/>
        <w:tblW w:w="94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82"/>
        <w:gridCol w:w="2003"/>
        <w:gridCol w:w="887"/>
        <w:gridCol w:w="1527"/>
        <w:gridCol w:w="723"/>
        <w:gridCol w:w="2727"/>
        <w:gridCol w:w="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782"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标项序号</w:t>
            </w:r>
          </w:p>
        </w:tc>
        <w:tc>
          <w:tcPr>
            <w:tcW w:w="2003"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标项名称</w:t>
            </w:r>
          </w:p>
        </w:tc>
        <w:tc>
          <w:tcPr>
            <w:tcW w:w="887"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数量</w:t>
            </w:r>
          </w:p>
        </w:tc>
        <w:tc>
          <w:tcPr>
            <w:tcW w:w="1527"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预算金额</w:t>
            </w:r>
          </w:p>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（元）</w:t>
            </w:r>
          </w:p>
        </w:tc>
        <w:tc>
          <w:tcPr>
            <w:tcW w:w="723"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单位</w:t>
            </w:r>
          </w:p>
        </w:tc>
        <w:tc>
          <w:tcPr>
            <w:tcW w:w="2727"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简要规格描述</w:t>
            </w:r>
          </w:p>
        </w:tc>
        <w:tc>
          <w:tcPr>
            <w:tcW w:w="818"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1" w:hRule="atLeast"/>
        </w:trPr>
        <w:tc>
          <w:tcPr>
            <w:tcW w:w="782"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ind w:firstLine="240" w:firstLineChars="100"/>
              <w:jc w:val="center"/>
              <w:rPr>
                <w:rFonts w:hint="eastAsia" w:ascii="仿宋" w:hAnsi="仿宋" w:eastAsia="仿宋" w:cs="仿宋"/>
                <w:color w:val="auto"/>
                <w:kern w:val="0"/>
                <w:sz w:val="24"/>
                <w:szCs w:val="24"/>
                <w:highlight w:val="none"/>
                <w:lang w:eastAsia="zh-CN" w:bidi="ar"/>
              </w:rPr>
            </w:pPr>
            <w:r>
              <w:rPr>
                <w:rFonts w:hint="eastAsia" w:ascii="仿宋" w:hAnsi="仿宋" w:eastAsia="仿宋" w:cs="仿宋"/>
                <w:color w:val="auto"/>
                <w:kern w:val="0"/>
                <w:sz w:val="24"/>
                <w:szCs w:val="24"/>
                <w:highlight w:val="none"/>
                <w:lang w:val="en-US" w:eastAsia="zh-CN" w:bidi="ar"/>
              </w:rPr>
              <w:t>1</w:t>
            </w:r>
          </w:p>
        </w:tc>
        <w:tc>
          <w:tcPr>
            <w:tcW w:w="2003"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eastAsia="zh-CN"/>
              </w:rPr>
              <w:t>洛浦县妇幼能力提</w:t>
            </w:r>
            <w:r>
              <w:rPr>
                <w:rFonts w:hint="eastAsia" w:ascii="仿宋" w:hAnsi="仿宋" w:eastAsia="仿宋" w:cs="仿宋"/>
                <w:color w:val="auto"/>
                <w:kern w:val="0"/>
                <w:sz w:val="24"/>
                <w:szCs w:val="24"/>
                <w:highlight w:val="none"/>
                <w:lang w:val="zh-CN" w:eastAsia="zh-CN"/>
              </w:rPr>
              <w:t>升</w:t>
            </w:r>
            <w:r>
              <w:rPr>
                <w:rFonts w:hint="eastAsia" w:ascii="仿宋" w:hAnsi="仿宋" w:eastAsia="仿宋" w:cs="仿宋"/>
                <w:color w:val="auto"/>
                <w:kern w:val="0"/>
                <w:sz w:val="24"/>
                <w:szCs w:val="24"/>
                <w:highlight w:val="none"/>
                <w:lang w:eastAsia="zh-CN"/>
              </w:rPr>
              <w:t>项目</w:t>
            </w:r>
          </w:p>
        </w:tc>
        <w:tc>
          <w:tcPr>
            <w:tcW w:w="887"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rPr>
              <w:t>1</w:t>
            </w:r>
          </w:p>
        </w:tc>
        <w:tc>
          <w:tcPr>
            <w:tcW w:w="1527"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8"/>
                <w:szCs w:val="28"/>
                <w:highlight w:val="none"/>
                <w:lang w:val="en-US" w:eastAsia="zh-CN"/>
              </w:rPr>
              <w:t>2046500</w:t>
            </w:r>
          </w:p>
        </w:tc>
        <w:tc>
          <w:tcPr>
            <w:tcW w:w="723"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default"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批</w:t>
            </w:r>
          </w:p>
        </w:tc>
        <w:tc>
          <w:tcPr>
            <w:tcW w:w="2727"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lang w:val="en-US" w:eastAsia="zh-CN" w:bidi="ar"/>
              </w:rPr>
            </w:pPr>
            <w:r>
              <w:rPr>
                <w:rFonts w:hint="eastAsia" w:ascii="仿宋" w:hAnsi="仿宋" w:eastAsia="仿宋" w:cs="仿宋"/>
                <w:color w:val="auto"/>
                <w:kern w:val="0"/>
                <w:sz w:val="24"/>
                <w:szCs w:val="24"/>
                <w:highlight w:val="none"/>
                <w:lang w:val="en-US" w:eastAsia="zh-CN" w:bidi="ar"/>
              </w:rPr>
              <w:t>（具体参数、要求详见采购文件）</w:t>
            </w:r>
          </w:p>
        </w:tc>
        <w:tc>
          <w:tcPr>
            <w:tcW w:w="818" w:type="dxa"/>
            <w:noWrap w:val="0"/>
            <w:tcMar>
              <w:top w:w="75" w:type="dxa"/>
              <w:left w:w="150" w:type="dxa"/>
              <w:bottom w:w="75" w:type="dxa"/>
              <w:right w:w="150" w:type="dxa"/>
            </w:tcMar>
            <w:vAlign w:val="center"/>
          </w:tcPr>
          <w:p>
            <w:pPr>
              <w:pageBreakBefore w:val="0"/>
              <w:widowControl/>
              <w:kinsoku/>
              <w:wordWrap w:val="0"/>
              <w:overflowPunct/>
              <w:topLinePunct w:val="0"/>
              <w:autoSpaceDE/>
              <w:autoSpaceDN/>
              <w:bidi w:val="0"/>
              <w:spacing w:line="460" w:lineRule="exact"/>
              <w:jc w:val="center"/>
              <w:rPr>
                <w:rFonts w:hint="eastAsia" w:ascii="仿宋" w:hAnsi="仿宋" w:eastAsia="仿宋" w:cs="仿宋"/>
                <w:color w:val="auto"/>
                <w:kern w:val="0"/>
                <w:sz w:val="24"/>
                <w:szCs w:val="24"/>
                <w:highlight w:val="none"/>
                <w:lang w:bidi="ar"/>
              </w:rPr>
            </w:pPr>
          </w:p>
        </w:tc>
      </w:tr>
    </w:tbl>
    <w:p>
      <w:pPr>
        <w:pageBreakBefore w:val="0"/>
        <w:kinsoku/>
        <w:overflowPunct/>
        <w:topLinePunct w:val="0"/>
        <w:autoSpaceDE/>
        <w:autoSpaceDN/>
        <w:bidi w:val="0"/>
        <w:spacing w:line="460" w:lineRule="exact"/>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6、合同履行期限：20天（日历日）（具体时间与甲方签订合同为主）</w:t>
      </w:r>
    </w:p>
    <w:p>
      <w:pPr>
        <w:pageBreakBefore w:val="0"/>
        <w:kinsoku/>
        <w:overflowPunct/>
        <w:topLinePunct w:val="0"/>
        <w:autoSpaceDE/>
        <w:autoSpaceDN/>
        <w:bidi w:val="0"/>
        <w:spacing w:line="460" w:lineRule="exact"/>
        <w:ind w:firstLine="280" w:firstLineChars="100"/>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7、</w:t>
      </w:r>
      <w:r>
        <w:rPr>
          <w:rFonts w:hint="eastAsia" w:ascii="仿宋" w:hAnsi="仿宋" w:eastAsia="仿宋" w:cs="仿宋"/>
          <w:color w:val="auto"/>
          <w:sz w:val="28"/>
          <w:szCs w:val="28"/>
          <w:highlight w:val="none"/>
          <w:lang w:val="en-US" w:eastAsia="zh-CN"/>
        </w:rPr>
        <w:t>资金来源：专项资金</w:t>
      </w:r>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jc w:val="both"/>
        <w:textAlignment w:val="baseline"/>
        <w:outlineLvl w:val="1"/>
        <w:rPr>
          <w:rFonts w:hint="eastAsia" w:ascii="仿宋" w:hAnsi="仿宋" w:eastAsia="仿宋" w:cs="仿宋"/>
          <w:b/>
          <w:bCs/>
          <w:color w:val="auto"/>
          <w:kern w:val="2"/>
          <w:sz w:val="28"/>
          <w:szCs w:val="28"/>
          <w:highlight w:val="none"/>
          <w:lang w:val="en-US" w:eastAsia="zh-CN" w:bidi="ar-SA"/>
        </w:rPr>
      </w:pPr>
      <w:bookmarkStart w:id="9" w:name="_Toc35393622"/>
      <w:bookmarkStart w:id="10" w:name="_Toc28359003"/>
      <w:bookmarkStart w:id="11" w:name="_Toc28359080"/>
      <w:bookmarkStart w:id="12" w:name="_Toc23856"/>
      <w:bookmarkStart w:id="13" w:name="_Toc35393791"/>
      <w:r>
        <w:rPr>
          <w:rFonts w:hint="eastAsia" w:ascii="仿宋" w:hAnsi="仿宋" w:eastAsia="仿宋" w:cs="仿宋"/>
          <w:b/>
          <w:bCs/>
          <w:color w:val="auto"/>
          <w:kern w:val="2"/>
          <w:sz w:val="28"/>
          <w:szCs w:val="28"/>
          <w:highlight w:val="none"/>
          <w:lang w:val="en-US" w:eastAsia="zh-CN" w:bidi="ar-SA"/>
        </w:rPr>
        <w:t>二、申请人的资格要求</w:t>
      </w:r>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val="en-US" w:eastAsia="zh-CN"/>
        </w:rPr>
      </w:pPr>
      <w:bookmarkStart w:id="14" w:name="_Toc28359004"/>
      <w:bookmarkStart w:id="15" w:name="_Toc35393623"/>
      <w:bookmarkStart w:id="16" w:name="_Toc35393792"/>
      <w:bookmarkStart w:id="17" w:name="_Toc28359081"/>
      <w:r>
        <w:rPr>
          <w:rFonts w:hint="eastAsia" w:ascii="仿宋" w:hAnsi="仿宋" w:eastAsia="仿宋" w:cs="仿宋"/>
          <w:color w:val="auto"/>
          <w:kern w:val="0"/>
          <w:sz w:val="28"/>
          <w:szCs w:val="28"/>
          <w:highlight w:val="none"/>
          <w:lang w:val="en-US" w:eastAsia="zh-CN"/>
        </w:rPr>
        <w:t>1.  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2、 落实政府采购政策需满足的资格要求：（1）根据财政部发布的《政府采购促进中小企业发展管理办法》（财库[2020]46 号）的规定；</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 提供有效的企业法人三证合一证营业执照（营业执照须包含本次招标内容），</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4、法定代表人的需携带法定代表人证明书（原件）及法定代表人身份证（原件）；委托代理人需携带法定代表人授权委托书（原件）及委托代理人身份证（原件）；</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5、 投标企业须提供2020年财务审计报告（2021年新成立公司提供近6个月有效的银行资信证明）；</w:t>
      </w:r>
    </w:p>
    <w:p>
      <w:pPr>
        <w:keepNext w:val="0"/>
        <w:keepLines w:val="0"/>
        <w:pageBreakBefore w:val="0"/>
        <w:widowControl w:val="0"/>
        <w:kinsoku/>
        <w:wordWrap/>
        <w:overflowPunct/>
        <w:topLinePunct w:val="0"/>
        <w:autoSpaceDE/>
        <w:autoSpaceDN/>
        <w:bidi w:val="0"/>
        <w:adjustRightInd w:val="0"/>
        <w:snapToGrid/>
        <w:spacing w:line="460" w:lineRule="exact"/>
        <w:ind w:left="558" w:leftChars="266" w:firstLine="0" w:firstLineChars="0"/>
        <w:jc w:val="both"/>
        <w:textAlignment w:val="baseline"/>
        <w:rPr>
          <w:rFonts w:hint="eastAsia" w:ascii="仿宋" w:hAnsi="仿宋" w:eastAsia="仿宋" w:cs="仿宋"/>
          <w:i w:val="0"/>
          <w:iCs w:val="0"/>
          <w:caps w:val="0"/>
          <w:color w:val="000000"/>
          <w:spacing w:val="0"/>
          <w:sz w:val="27"/>
          <w:szCs w:val="27"/>
          <w:lang w:eastAsia="zh-CN"/>
        </w:rPr>
      </w:pPr>
      <w:r>
        <w:rPr>
          <w:rFonts w:hint="eastAsia" w:ascii="仿宋" w:hAnsi="仿宋" w:eastAsia="仿宋" w:cs="仿宋"/>
          <w:color w:val="auto"/>
          <w:kern w:val="0"/>
          <w:sz w:val="28"/>
          <w:szCs w:val="28"/>
          <w:highlight w:val="none"/>
          <w:lang w:val="en-US" w:eastAsia="zh-CN"/>
        </w:rPr>
        <w:t>6、</w:t>
      </w:r>
      <w:r>
        <w:rPr>
          <w:rFonts w:ascii="仿宋" w:hAnsi="仿宋" w:eastAsia="仿宋" w:cs="仿宋"/>
          <w:i w:val="0"/>
          <w:iCs w:val="0"/>
          <w:caps w:val="0"/>
          <w:color w:val="000000"/>
          <w:spacing w:val="0"/>
          <w:sz w:val="27"/>
          <w:szCs w:val="27"/>
        </w:rPr>
        <w:t>投标人</w:t>
      </w:r>
      <w:r>
        <w:rPr>
          <w:rFonts w:hint="eastAsia" w:ascii="仿宋" w:hAnsi="仿宋" w:eastAsia="仿宋" w:cs="仿宋"/>
          <w:color w:val="auto"/>
          <w:kern w:val="0"/>
          <w:sz w:val="28"/>
          <w:szCs w:val="28"/>
          <w:highlight w:val="none"/>
          <w:lang w:val="en-US" w:eastAsia="zh-CN"/>
        </w:rPr>
        <w:t>须提供</w:t>
      </w:r>
      <w:r>
        <w:rPr>
          <w:rFonts w:ascii="仿宋" w:hAnsi="仿宋" w:eastAsia="仿宋" w:cs="仿宋"/>
          <w:i w:val="0"/>
          <w:iCs w:val="0"/>
          <w:caps w:val="0"/>
          <w:color w:val="000000"/>
          <w:spacing w:val="0"/>
          <w:sz w:val="27"/>
          <w:szCs w:val="27"/>
        </w:rPr>
        <w:t>《医疗器械经营许可证》或《医疗器械生产许可证》</w:t>
      </w:r>
      <w:r>
        <w:rPr>
          <w:rFonts w:hint="eastAsia" w:ascii="仿宋" w:hAnsi="仿宋" w:eastAsia="仿宋" w:cs="仿宋"/>
          <w:i w:val="0"/>
          <w:iCs w:val="0"/>
          <w:caps w:val="0"/>
          <w:color w:val="000000"/>
          <w:spacing w:val="0"/>
          <w:sz w:val="27"/>
          <w:szCs w:val="27"/>
          <w:lang w:eastAsia="zh-CN"/>
        </w:rPr>
        <w:t>；</w:t>
      </w:r>
    </w:p>
    <w:p>
      <w:pPr>
        <w:keepNext w:val="0"/>
        <w:keepLines w:val="0"/>
        <w:pageBreakBefore w:val="0"/>
        <w:widowControl w:val="0"/>
        <w:kinsoku/>
        <w:wordWrap/>
        <w:overflowPunct/>
        <w:topLinePunct w:val="0"/>
        <w:autoSpaceDE/>
        <w:autoSpaceDN/>
        <w:bidi w:val="0"/>
        <w:adjustRightInd w:val="0"/>
        <w:snapToGrid/>
        <w:spacing w:line="460" w:lineRule="exact"/>
        <w:ind w:left="558" w:leftChars="266" w:firstLine="0" w:firstLineChars="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7、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被列入经营异常名录的企业，将拒绝其参加本次政府采购活动；</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lang w:val="en-US" w:eastAsia="zh-CN"/>
        </w:rPr>
      </w:pPr>
      <w:r>
        <w:rPr>
          <w:rFonts w:hint="eastAsia" w:ascii="仿宋" w:hAnsi="仿宋" w:eastAsia="仿宋" w:cs="仿宋"/>
          <w:color w:val="auto"/>
          <w:kern w:val="0"/>
          <w:sz w:val="28"/>
          <w:szCs w:val="28"/>
          <w:highlight w:val="none"/>
          <w:lang w:val="en-US" w:eastAsia="zh-CN"/>
        </w:rPr>
        <w:t>8、单位负责人为同一人或者存在直接控股、管理关系的不同供应商，不得同时参加本次政府采购活动。</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9、本项目不接受联合体投标。</w:t>
      </w:r>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jc w:val="both"/>
        <w:textAlignment w:val="baseline"/>
        <w:outlineLvl w:val="1"/>
        <w:rPr>
          <w:rFonts w:hint="eastAsia" w:ascii="仿宋" w:hAnsi="仿宋" w:eastAsia="仿宋" w:cs="仿宋"/>
          <w:b/>
          <w:bCs/>
          <w:color w:val="auto"/>
          <w:kern w:val="2"/>
          <w:sz w:val="28"/>
          <w:szCs w:val="28"/>
          <w:highlight w:val="none"/>
          <w:lang w:val="en-US" w:eastAsia="zh-CN" w:bidi="ar-SA"/>
        </w:rPr>
      </w:pPr>
      <w:bookmarkStart w:id="18" w:name="_Toc8503"/>
      <w:r>
        <w:rPr>
          <w:rFonts w:hint="eastAsia" w:ascii="仿宋" w:hAnsi="仿宋" w:eastAsia="仿宋" w:cs="仿宋"/>
          <w:b/>
          <w:bCs/>
          <w:color w:val="auto"/>
          <w:kern w:val="2"/>
          <w:sz w:val="28"/>
          <w:szCs w:val="28"/>
          <w:highlight w:val="none"/>
          <w:lang w:val="en-US" w:eastAsia="zh-CN" w:bidi="ar-SA"/>
        </w:rPr>
        <w:t>三、获取招标文件</w:t>
      </w:r>
      <w:bookmarkEnd w:id="14"/>
      <w:bookmarkEnd w:id="15"/>
      <w:bookmarkEnd w:id="16"/>
      <w:bookmarkEnd w:id="17"/>
      <w:bookmarkEnd w:id="18"/>
    </w:p>
    <w:p>
      <w:pPr>
        <w:pageBreakBefore w:val="0"/>
        <w:widowControl w:val="0"/>
        <w:kinsoku/>
        <w:wordWrap/>
        <w:overflowPunct/>
        <w:topLinePunct w:val="0"/>
        <w:autoSpaceDE/>
        <w:autoSpaceDN/>
        <w:bidi w:val="0"/>
        <w:adjustRightInd w:val="0"/>
        <w:snapToGrid/>
        <w:spacing w:line="460" w:lineRule="exact"/>
        <w:ind w:firstLine="280" w:firstLineChars="10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1、时间：2021年 9 月 28日至2021年 10 月 9 日20:00（北京时间）</w:t>
      </w:r>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ind w:firstLine="280" w:firstLineChars="100"/>
        <w:jc w:val="both"/>
        <w:textAlignment w:val="baseline"/>
        <w:outlineLvl w:val="1"/>
        <w:rPr>
          <w:rFonts w:hint="eastAsia" w:ascii="仿宋" w:hAnsi="仿宋" w:eastAsia="仿宋" w:cs="仿宋"/>
          <w:color w:val="auto"/>
          <w:kern w:val="0"/>
          <w:sz w:val="28"/>
          <w:szCs w:val="28"/>
          <w:highlight w:val="none"/>
        </w:rPr>
      </w:pPr>
      <w:bookmarkStart w:id="19" w:name="_Toc12457"/>
      <w:bookmarkStart w:id="20" w:name="_Toc28359082"/>
      <w:bookmarkStart w:id="21" w:name="_Toc28359005"/>
      <w:bookmarkStart w:id="22" w:name="_Toc35393624"/>
      <w:bookmarkStart w:id="23" w:name="_Toc35393793"/>
      <w:r>
        <w:rPr>
          <w:rFonts w:hint="eastAsia" w:ascii="仿宋" w:hAnsi="仿宋" w:eastAsia="仿宋" w:cs="仿宋"/>
          <w:color w:val="auto"/>
          <w:kern w:val="0"/>
          <w:sz w:val="28"/>
          <w:szCs w:val="28"/>
          <w:highlight w:val="none"/>
        </w:rPr>
        <w:t>2、地点：新疆政府采购网（www.ccgp-xinjiang.gov.cn） </w:t>
      </w:r>
      <w:bookmarkEnd w:id="19"/>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ind w:firstLine="280" w:firstLineChars="100"/>
        <w:jc w:val="both"/>
        <w:textAlignment w:val="baseline"/>
        <w:outlineLvl w:val="1"/>
        <w:rPr>
          <w:rFonts w:hint="eastAsia" w:ascii="仿宋" w:hAnsi="仿宋" w:eastAsia="仿宋" w:cs="仿宋"/>
          <w:color w:val="auto"/>
          <w:kern w:val="0"/>
          <w:sz w:val="28"/>
          <w:szCs w:val="28"/>
          <w:highlight w:val="none"/>
        </w:rPr>
      </w:pPr>
      <w:bookmarkStart w:id="24" w:name="_Toc23405"/>
      <w:r>
        <w:rPr>
          <w:rFonts w:hint="eastAsia" w:ascii="仿宋" w:hAnsi="仿宋" w:eastAsia="仿宋" w:cs="仿宋"/>
          <w:color w:val="auto"/>
          <w:kern w:val="0"/>
          <w:sz w:val="28"/>
          <w:szCs w:val="28"/>
          <w:highlight w:val="none"/>
          <w:lang w:val="en-US" w:eastAsia="zh-CN"/>
        </w:rPr>
        <w:t>3、</w:t>
      </w:r>
      <w:r>
        <w:rPr>
          <w:rFonts w:hint="eastAsia" w:ascii="仿宋" w:hAnsi="仿宋" w:eastAsia="仿宋" w:cs="仿宋"/>
          <w:color w:val="auto"/>
          <w:kern w:val="0"/>
          <w:sz w:val="28"/>
          <w:szCs w:val="28"/>
          <w:highlight w:val="none"/>
        </w:rPr>
        <w:t>方式：在新疆政府采购网（http://www.ccgp-xinjiang.gov.cn/）的该采购公告附件中直接下载招标（采购）文件</w:t>
      </w:r>
      <w:bookmarkEnd w:id="24"/>
      <w:r>
        <w:rPr>
          <w:rFonts w:hint="eastAsia" w:ascii="仿宋" w:hAnsi="仿宋" w:eastAsia="仿宋" w:cs="仿宋"/>
          <w:color w:val="auto"/>
          <w:kern w:val="0"/>
          <w:sz w:val="28"/>
          <w:szCs w:val="28"/>
          <w:highlight w:val="none"/>
          <w:lang w:eastAsia="zh-CN"/>
        </w:rPr>
        <w:t>。</w:t>
      </w:r>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ind w:firstLine="280" w:firstLineChars="100"/>
        <w:jc w:val="both"/>
        <w:textAlignment w:val="baseline"/>
        <w:outlineLvl w:val="1"/>
        <w:rPr>
          <w:rFonts w:hint="eastAsia" w:ascii="仿宋" w:hAnsi="仿宋" w:eastAsia="仿宋" w:cs="仿宋"/>
          <w:color w:val="auto"/>
          <w:kern w:val="0"/>
          <w:sz w:val="28"/>
          <w:szCs w:val="28"/>
          <w:highlight w:val="none"/>
          <w:lang w:val="en-US" w:eastAsia="zh-CN"/>
        </w:rPr>
      </w:pPr>
      <w:bookmarkStart w:id="25" w:name="_Toc19650"/>
      <w:r>
        <w:rPr>
          <w:rFonts w:hint="eastAsia" w:ascii="仿宋" w:hAnsi="仿宋" w:eastAsia="仿宋" w:cs="仿宋"/>
          <w:color w:val="auto"/>
          <w:kern w:val="0"/>
          <w:sz w:val="28"/>
          <w:szCs w:val="28"/>
          <w:highlight w:val="none"/>
          <w:lang w:val="en-US" w:eastAsia="zh-CN"/>
        </w:rPr>
        <w:t>4、</w:t>
      </w:r>
      <w:r>
        <w:rPr>
          <w:rFonts w:hint="eastAsia" w:ascii="仿宋" w:hAnsi="仿宋" w:eastAsia="仿宋" w:cs="仿宋"/>
          <w:color w:val="auto"/>
          <w:kern w:val="0"/>
          <w:sz w:val="28"/>
          <w:szCs w:val="28"/>
          <w:highlight w:val="none"/>
        </w:rPr>
        <w:t>方式：线上自行下载</w:t>
      </w:r>
      <w:bookmarkEnd w:id="25"/>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ind w:firstLine="280" w:firstLineChars="100"/>
        <w:jc w:val="both"/>
        <w:textAlignment w:val="baseline"/>
        <w:outlineLvl w:val="1"/>
        <w:rPr>
          <w:rFonts w:hint="eastAsia" w:ascii="仿宋" w:hAnsi="仿宋" w:eastAsia="仿宋" w:cs="仿宋"/>
          <w:color w:val="auto"/>
          <w:kern w:val="0"/>
          <w:sz w:val="28"/>
          <w:szCs w:val="28"/>
          <w:highlight w:val="none"/>
        </w:rPr>
      </w:pPr>
      <w:bookmarkStart w:id="26" w:name="_Toc27922"/>
      <w:r>
        <w:rPr>
          <w:rFonts w:hint="eastAsia" w:ascii="仿宋" w:hAnsi="仿宋" w:eastAsia="仿宋" w:cs="仿宋"/>
          <w:color w:val="auto"/>
          <w:kern w:val="0"/>
          <w:sz w:val="28"/>
          <w:szCs w:val="28"/>
          <w:highlight w:val="none"/>
          <w:lang w:val="en-US" w:eastAsia="zh-CN"/>
        </w:rPr>
        <w:t>5</w:t>
      </w:r>
      <w:r>
        <w:rPr>
          <w:rFonts w:hint="eastAsia" w:ascii="仿宋" w:hAnsi="仿宋" w:eastAsia="仿宋" w:cs="仿宋"/>
          <w:color w:val="auto"/>
          <w:kern w:val="0"/>
          <w:sz w:val="28"/>
          <w:szCs w:val="28"/>
          <w:highlight w:val="none"/>
        </w:rPr>
        <w:t>、售价（元）：</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元/份</w:t>
      </w:r>
      <w:bookmarkEnd w:id="26"/>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ind w:firstLine="280" w:firstLineChars="100"/>
        <w:jc w:val="both"/>
        <w:textAlignment w:val="baseline"/>
        <w:outlineLvl w:val="1"/>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6、获取文件时提供：须提供申请人的资格要求内全部内容的扫描件。（上述内容不全者不予申请采购文件）</w:t>
      </w:r>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jc w:val="both"/>
        <w:textAlignment w:val="baseline"/>
        <w:outlineLvl w:val="1"/>
        <w:rPr>
          <w:rFonts w:hint="eastAsia" w:ascii="仿宋" w:hAnsi="仿宋" w:eastAsia="仿宋" w:cs="仿宋"/>
          <w:b/>
          <w:bCs/>
          <w:color w:val="auto"/>
          <w:kern w:val="2"/>
          <w:sz w:val="28"/>
          <w:szCs w:val="28"/>
          <w:highlight w:val="none"/>
          <w:lang w:val="en-US" w:eastAsia="zh-CN" w:bidi="ar-SA"/>
        </w:rPr>
      </w:pPr>
      <w:bookmarkStart w:id="27" w:name="_Toc5030"/>
      <w:r>
        <w:rPr>
          <w:rFonts w:hint="eastAsia" w:ascii="仿宋" w:hAnsi="仿宋" w:eastAsia="仿宋" w:cs="仿宋"/>
          <w:b/>
          <w:bCs/>
          <w:color w:val="auto"/>
          <w:kern w:val="2"/>
          <w:sz w:val="28"/>
          <w:szCs w:val="28"/>
          <w:highlight w:val="none"/>
          <w:lang w:val="en-US" w:eastAsia="zh-CN" w:bidi="ar-SA"/>
        </w:rPr>
        <w:t>四、提交投标文件</w:t>
      </w:r>
      <w:bookmarkEnd w:id="20"/>
      <w:bookmarkEnd w:id="21"/>
      <w:r>
        <w:rPr>
          <w:rFonts w:hint="eastAsia" w:ascii="仿宋" w:hAnsi="仿宋" w:eastAsia="仿宋" w:cs="仿宋"/>
          <w:b/>
          <w:bCs/>
          <w:color w:val="auto"/>
          <w:kern w:val="2"/>
          <w:sz w:val="28"/>
          <w:szCs w:val="28"/>
          <w:highlight w:val="none"/>
          <w:lang w:val="en-US" w:eastAsia="zh-CN" w:bidi="ar-SA"/>
        </w:rPr>
        <w:t>截止时间、开标时间和地点</w:t>
      </w:r>
      <w:bookmarkEnd w:id="22"/>
      <w:bookmarkEnd w:id="23"/>
      <w:bookmarkEnd w:id="27"/>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1、提交投标文件截止时间：2021年</w:t>
      </w:r>
      <w:r>
        <w:rPr>
          <w:rFonts w:hint="eastAsia" w:ascii="仿宋" w:hAnsi="仿宋" w:eastAsia="仿宋" w:cs="仿宋"/>
          <w:color w:val="auto"/>
          <w:kern w:val="0"/>
          <w:sz w:val="28"/>
          <w:szCs w:val="28"/>
          <w:highlight w:val="none"/>
          <w:lang w:val="en-US" w:eastAsia="zh-CN"/>
        </w:rPr>
        <w:t xml:space="preserve"> 10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 xml:space="preserve"> 18</w:t>
      </w:r>
      <w:r>
        <w:rPr>
          <w:rFonts w:hint="eastAsia" w:ascii="仿宋" w:hAnsi="仿宋" w:eastAsia="仿宋" w:cs="仿宋"/>
          <w:color w:val="auto"/>
          <w:kern w:val="0"/>
          <w:sz w:val="28"/>
          <w:szCs w:val="28"/>
          <w:highlight w:val="none"/>
        </w:rPr>
        <w:t xml:space="preserve">日 </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eastAsia="zh-CN"/>
        </w:rPr>
        <w:t>（北京时间）</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2、投标地点：</w:t>
      </w:r>
      <w:r>
        <w:rPr>
          <w:rFonts w:hint="eastAsia" w:ascii="仿宋" w:hAnsi="仿宋" w:eastAsia="仿宋" w:cs="仿宋"/>
          <w:color w:val="auto"/>
          <w:kern w:val="0"/>
          <w:sz w:val="28"/>
          <w:szCs w:val="28"/>
          <w:highlight w:val="none"/>
          <w:lang w:eastAsia="zh-CN"/>
        </w:rPr>
        <w:t>洛浦县政务服务和公共资源交易中心(洛浦县文化路115号，洛浦县建设局5楼)</w:t>
      </w:r>
      <w:r>
        <w:rPr>
          <w:rFonts w:hint="eastAsia" w:ascii="仿宋" w:hAnsi="仿宋" w:eastAsia="仿宋" w:cs="仿宋"/>
          <w:color w:val="auto"/>
          <w:kern w:val="0"/>
          <w:sz w:val="28"/>
          <w:szCs w:val="28"/>
          <w:highlight w:val="none"/>
        </w:rPr>
        <w:t>。 </w:t>
      </w:r>
    </w:p>
    <w:p>
      <w:pPr>
        <w:keepNext w:val="0"/>
        <w:keepLines w:val="0"/>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3、开标时间：2021年</w:t>
      </w:r>
      <w:r>
        <w:rPr>
          <w:rFonts w:hint="eastAsia" w:ascii="仿宋" w:hAnsi="仿宋" w:eastAsia="仿宋" w:cs="仿宋"/>
          <w:color w:val="auto"/>
          <w:kern w:val="0"/>
          <w:sz w:val="28"/>
          <w:szCs w:val="28"/>
          <w:highlight w:val="none"/>
          <w:lang w:val="en-US" w:eastAsia="zh-CN"/>
        </w:rPr>
        <w:t xml:space="preserve"> 10 </w:t>
      </w:r>
      <w:r>
        <w:rPr>
          <w:rFonts w:hint="eastAsia" w:ascii="仿宋" w:hAnsi="仿宋" w:eastAsia="仿宋" w:cs="仿宋"/>
          <w:color w:val="auto"/>
          <w:kern w:val="0"/>
          <w:sz w:val="28"/>
          <w:szCs w:val="28"/>
          <w:highlight w:val="none"/>
        </w:rPr>
        <w:t>月</w:t>
      </w:r>
      <w:r>
        <w:rPr>
          <w:rFonts w:hint="eastAsia" w:ascii="仿宋" w:hAnsi="仿宋" w:eastAsia="仿宋" w:cs="仿宋"/>
          <w:color w:val="auto"/>
          <w:kern w:val="0"/>
          <w:sz w:val="28"/>
          <w:szCs w:val="28"/>
          <w:highlight w:val="none"/>
          <w:lang w:val="en-US" w:eastAsia="zh-CN"/>
        </w:rPr>
        <w:t xml:space="preserve"> 18 </w:t>
      </w:r>
      <w:r>
        <w:rPr>
          <w:rFonts w:hint="eastAsia" w:ascii="仿宋" w:hAnsi="仿宋" w:eastAsia="仿宋" w:cs="仿宋"/>
          <w:color w:val="auto"/>
          <w:kern w:val="0"/>
          <w:sz w:val="28"/>
          <w:szCs w:val="28"/>
          <w:highlight w:val="none"/>
        </w:rPr>
        <w:t xml:space="preserve">日 </w:t>
      </w:r>
      <w:r>
        <w:rPr>
          <w:rFonts w:hint="eastAsia" w:ascii="仿宋" w:hAnsi="仿宋" w:eastAsia="仿宋" w:cs="仿宋"/>
          <w:color w:val="auto"/>
          <w:kern w:val="0"/>
          <w:sz w:val="28"/>
          <w:szCs w:val="28"/>
          <w:highlight w:val="none"/>
          <w:lang w:val="en-US" w:eastAsia="zh-CN"/>
        </w:rPr>
        <w:t>16</w:t>
      </w:r>
      <w:r>
        <w:rPr>
          <w:rFonts w:hint="eastAsia" w:ascii="仿宋" w:hAnsi="仿宋" w:eastAsia="仿宋" w:cs="仿宋"/>
          <w:color w:val="auto"/>
          <w:kern w:val="0"/>
          <w:sz w:val="28"/>
          <w:szCs w:val="28"/>
          <w:highlight w:val="none"/>
        </w:rPr>
        <w:t>:</w:t>
      </w:r>
      <w:r>
        <w:rPr>
          <w:rFonts w:hint="eastAsia" w:ascii="仿宋" w:hAnsi="仿宋" w:eastAsia="仿宋" w:cs="仿宋"/>
          <w:color w:val="auto"/>
          <w:kern w:val="0"/>
          <w:sz w:val="28"/>
          <w:szCs w:val="28"/>
          <w:highlight w:val="none"/>
          <w:lang w:val="en-US" w:eastAsia="zh-CN"/>
        </w:rPr>
        <w:t>0</w:t>
      </w:r>
      <w:r>
        <w:rPr>
          <w:rFonts w:hint="eastAsia" w:ascii="仿宋" w:hAnsi="仿宋" w:eastAsia="仿宋" w:cs="仿宋"/>
          <w:color w:val="auto"/>
          <w:kern w:val="0"/>
          <w:sz w:val="28"/>
          <w:szCs w:val="28"/>
          <w:highlight w:val="none"/>
        </w:rPr>
        <w:t>0</w:t>
      </w:r>
      <w:r>
        <w:rPr>
          <w:rFonts w:hint="eastAsia" w:ascii="仿宋" w:hAnsi="仿宋" w:eastAsia="仿宋" w:cs="仿宋"/>
          <w:color w:val="auto"/>
          <w:kern w:val="0"/>
          <w:sz w:val="28"/>
          <w:szCs w:val="28"/>
          <w:highlight w:val="none"/>
          <w:lang w:eastAsia="zh-CN"/>
        </w:rPr>
        <w:t>（北京时间）</w:t>
      </w:r>
    </w:p>
    <w:p>
      <w:pPr>
        <w:pageBreakBefore w:val="0"/>
        <w:widowControl w:val="0"/>
        <w:kinsoku/>
        <w:wordWrap/>
        <w:overflowPunct/>
        <w:topLinePunct w:val="0"/>
        <w:autoSpaceDE/>
        <w:autoSpaceDN/>
        <w:bidi w:val="0"/>
        <w:adjustRightInd w:val="0"/>
        <w:snapToGrid/>
        <w:spacing w:line="460" w:lineRule="exact"/>
        <w:ind w:firstLine="560" w:firstLineChars="200"/>
        <w:jc w:val="both"/>
        <w:textAlignment w:val="baseline"/>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rPr>
        <w:t>4、开标地点：洛浦县政务服务和公共资源交易中心(洛浦县文化路115号，洛浦县建设局5楼)</w:t>
      </w:r>
      <w:bookmarkStart w:id="28" w:name="_Toc35393627"/>
      <w:bookmarkStart w:id="29" w:name="_Toc35393796"/>
      <w:bookmarkStart w:id="30" w:name="_Toc28359008"/>
      <w:bookmarkStart w:id="31" w:name="_Toc28359085"/>
    </w:p>
    <w:p>
      <w:pPr>
        <w:keepNext/>
        <w:keepLines/>
        <w:pageBreakBefore w:val="0"/>
        <w:widowControl w:val="0"/>
        <w:numPr>
          <w:ilvl w:val="0"/>
          <w:numId w:val="0"/>
        </w:numPr>
        <w:kinsoku/>
        <w:wordWrap/>
        <w:overflowPunct/>
        <w:topLinePunct w:val="0"/>
        <w:autoSpaceDE/>
        <w:autoSpaceDN/>
        <w:bidi w:val="0"/>
        <w:adjustRightInd w:val="0"/>
        <w:snapToGrid/>
        <w:spacing w:before="0" w:after="0" w:line="460" w:lineRule="exact"/>
        <w:jc w:val="both"/>
        <w:textAlignment w:val="baseline"/>
        <w:outlineLvl w:val="1"/>
        <w:rPr>
          <w:rFonts w:hint="eastAsia" w:ascii="仿宋" w:hAnsi="仿宋" w:eastAsia="仿宋" w:cs="仿宋"/>
          <w:b w:val="0"/>
          <w:bCs w:val="0"/>
          <w:color w:val="auto"/>
          <w:kern w:val="2"/>
          <w:sz w:val="28"/>
          <w:szCs w:val="28"/>
          <w:highlight w:val="none"/>
          <w:lang w:val="en-US" w:eastAsia="zh-CN" w:bidi="ar-SA"/>
        </w:rPr>
      </w:pPr>
      <w:bookmarkStart w:id="32" w:name="_Toc7180"/>
      <w:r>
        <w:rPr>
          <w:rFonts w:hint="eastAsia" w:ascii="仿宋" w:hAnsi="仿宋" w:eastAsia="仿宋" w:cs="仿宋"/>
          <w:b/>
          <w:bCs/>
          <w:color w:val="auto"/>
          <w:kern w:val="2"/>
          <w:sz w:val="28"/>
          <w:szCs w:val="28"/>
          <w:highlight w:val="none"/>
          <w:lang w:val="en-US" w:eastAsia="zh-CN" w:bidi="ar-SA"/>
        </w:rPr>
        <w:t>五、对本次招标提出询问，请按以下方式联系</w:t>
      </w:r>
      <w:r>
        <w:rPr>
          <w:rFonts w:hint="eastAsia" w:ascii="仿宋" w:hAnsi="仿宋" w:eastAsia="仿宋" w:cs="仿宋"/>
          <w:b w:val="0"/>
          <w:bCs w:val="0"/>
          <w:color w:val="auto"/>
          <w:kern w:val="2"/>
          <w:sz w:val="28"/>
          <w:szCs w:val="28"/>
          <w:highlight w:val="none"/>
          <w:lang w:val="en-US" w:eastAsia="zh-CN" w:bidi="ar-SA"/>
        </w:rPr>
        <w:t>。</w:t>
      </w:r>
      <w:bookmarkEnd w:id="28"/>
      <w:bookmarkEnd w:id="29"/>
      <w:bookmarkEnd w:id="30"/>
      <w:bookmarkEnd w:id="31"/>
      <w:bookmarkEnd w:id="32"/>
    </w:p>
    <w:p>
      <w:pPr>
        <w:pageBreakBefore w:val="0"/>
        <w:widowControl/>
        <w:kinsoku/>
        <w:overflowPunct/>
        <w:topLinePunct w:val="0"/>
        <w:autoSpaceDE/>
        <w:autoSpaceDN/>
        <w:bidi w:val="0"/>
        <w:spacing w:before="0" w:beforeAutospacing="0" w:after="0" w:afterAutospacing="0" w:line="460" w:lineRule="exact"/>
        <w:ind w:firstLine="280" w:firstLineChars="100"/>
        <w:jc w:val="both"/>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1、采购人信息</w:t>
      </w:r>
    </w:p>
    <w:p>
      <w:pPr>
        <w:pageBreakBefore w:val="0"/>
        <w:widowControl/>
        <w:kinsoku/>
        <w:overflowPunct/>
        <w:topLinePunct w:val="0"/>
        <w:autoSpaceDE/>
        <w:autoSpaceDN/>
        <w:bidi w:val="0"/>
        <w:spacing w:before="0" w:beforeAutospacing="0" w:after="0" w:afterAutospacing="0" w:line="460" w:lineRule="exact"/>
        <w:ind w:firstLine="280" w:firstLineChars="100"/>
        <w:jc w:val="both"/>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 洛浦县妇幼保健站</w:t>
      </w:r>
    </w:p>
    <w:p>
      <w:pPr>
        <w:pageBreakBefore w:val="0"/>
        <w:widowControl/>
        <w:kinsoku/>
        <w:overflowPunct/>
        <w:topLinePunct w:val="0"/>
        <w:autoSpaceDE/>
        <w:autoSpaceDN/>
        <w:bidi w:val="0"/>
        <w:spacing w:before="0" w:beforeAutospacing="0" w:after="0" w:afterAutospacing="0" w:line="460" w:lineRule="exact"/>
        <w:ind w:firstLine="280" w:firstLineChars="100"/>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项目联系人（询问）：史东霞</w:t>
      </w:r>
    </w:p>
    <w:p>
      <w:pPr>
        <w:pageBreakBefore w:val="0"/>
        <w:widowControl/>
        <w:kinsoku/>
        <w:overflowPunct/>
        <w:topLinePunct w:val="0"/>
        <w:autoSpaceDE/>
        <w:autoSpaceDN/>
        <w:bidi w:val="0"/>
        <w:spacing w:before="0" w:beforeAutospacing="0" w:after="0" w:afterAutospacing="0" w:line="460" w:lineRule="exact"/>
        <w:ind w:firstLine="280" w:firstLineChars="100"/>
        <w:jc w:val="left"/>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项目联系方式（询问）：15199278281</w:t>
      </w:r>
    </w:p>
    <w:p>
      <w:pPr>
        <w:pageBreakBefore w:val="0"/>
        <w:widowControl/>
        <w:kinsoku/>
        <w:overflowPunct/>
        <w:topLinePunct w:val="0"/>
        <w:autoSpaceDE/>
        <w:autoSpaceDN/>
        <w:bidi w:val="0"/>
        <w:spacing w:before="0" w:beforeAutospacing="0" w:after="0" w:afterAutospacing="0" w:line="460" w:lineRule="exact"/>
        <w:ind w:firstLine="280" w:firstLineChars="1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2、采购代理机构信息</w:t>
      </w:r>
    </w:p>
    <w:p>
      <w:pPr>
        <w:pageBreakBefore w:val="0"/>
        <w:widowControl/>
        <w:kinsoku/>
        <w:overflowPunct/>
        <w:topLinePunct w:val="0"/>
        <w:autoSpaceDE/>
        <w:autoSpaceDN/>
        <w:bidi w:val="0"/>
        <w:spacing w:before="0" w:beforeAutospacing="0" w:after="0" w:afterAutospacing="0" w:line="460" w:lineRule="exact"/>
        <w:ind w:firstLine="280" w:firstLineChars="1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名    称： </w:t>
      </w:r>
      <w:r>
        <w:rPr>
          <w:rFonts w:hint="eastAsia" w:ascii="仿宋" w:hAnsi="仿宋" w:eastAsia="仿宋" w:cs="仿宋"/>
          <w:color w:val="auto"/>
          <w:sz w:val="28"/>
          <w:szCs w:val="28"/>
          <w:highlight w:val="none"/>
          <w:lang w:eastAsia="zh-CN"/>
        </w:rPr>
        <w:t>新疆沃图恒辉建设工程项目管理有限公司</w:t>
      </w:r>
      <w:r>
        <w:rPr>
          <w:rFonts w:hint="eastAsia" w:ascii="仿宋" w:hAnsi="仿宋" w:eastAsia="仿宋" w:cs="仿宋"/>
          <w:color w:val="auto"/>
          <w:kern w:val="0"/>
          <w:sz w:val="28"/>
          <w:szCs w:val="28"/>
          <w:highlight w:val="none"/>
          <w:lang w:val="en-US" w:eastAsia="zh-CN" w:bidi="ar-SA"/>
        </w:rPr>
        <w:t> </w:t>
      </w:r>
    </w:p>
    <w:p>
      <w:pPr>
        <w:pageBreakBefore w:val="0"/>
        <w:widowControl/>
        <w:kinsoku/>
        <w:overflowPunct/>
        <w:topLinePunct w:val="0"/>
        <w:autoSpaceDE/>
        <w:autoSpaceDN/>
        <w:bidi w:val="0"/>
        <w:spacing w:before="0" w:beforeAutospacing="0" w:after="0" w:afterAutospacing="0" w:line="460" w:lineRule="exact"/>
        <w:ind w:firstLine="280" w:firstLineChars="1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地    址：</w:t>
      </w:r>
      <w:r>
        <w:rPr>
          <w:rFonts w:hint="eastAsia" w:ascii="仿宋" w:hAnsi="仿宋" w:eastAsia="仿宋" w:cs="仿宋"/>
          <w:color w:val="auto"/>
          <w:sz w:val="28"/>
          <w:szCs w:val="28"/>
          <w:highlight w:val="none"/>
          <w:lang w:val="en-US" w:eastAsia="zh-CN"/>
        </w:rPr>
        <w:t>和田地区和田市名门大酒店B座6楼</w:t>
      </w:r>
    </w:p>
    <w:p>
      <w:pPr>
        <w:pageBreakBefore w:val="0"/>
        <w:widowControl/>
        <w:kinsoku/>
        <w:overflowPunct/>
        <w:topLinePunct w:val="0"/>
        <w:autoSpaceDE/>
        <w:autoSpaceDN/>
        <w:bidi w:val="0"/>
        <w:spacing w:before="0" w:beforeAutospacing="0" w:after="0" w:afterAutospacing="0" w:line="460" w:lineRule="exact"/>
        <w:ind w:firstLine="280" w:firstLineChars="1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项目联系人（询问）：张工</w:t>
      </w:r>
    </w:p>
    <w:p>
      <w:pPr>
        <w:keepNext w:val="0"/>
        <w:keepLines w:val="0"/>
        <w:pageBreakBefore w:val="0"/>
        <w:widowControl w:val="0"/>
        <w:kinsoku/>
        <w:wordWrap/>
        <w:overflowPunct/>
        <w:topLinePunct w:val="0"/>
        <w:autoSpaceDE/>
        <w:autoSpaceDN/>
        <w:bidi w:val="0"/>
        <w:adjustRightInd w:val="0"/>
        <w:snapToGrid/>
        <w:spacing w:line="460" w:lineRule="exact"/>
        <w:ind w:firstLine="280" w:firstLineChars="100"/>
        <w:jc w:val="both"/>
        <w:textAlignment w:val="baseline"/>
        <w:rPr>
          <w:rFonts w:hint="eastAsia"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rPr>
        <w:t>项目联系方式（询问）：</w:t>
      </w:r>
      <w:r>
        <w:rPr>
          <w:rFonts w:hint="eastAsia" w:ascii="仿宋" w:hAnsi="仿宋" w:eastAsia="仿宋" w:cs="仿宋"/>
          <w:color w:val="auto"/>
          <w:kern w:val="0"/>
          <w:sz w:val="28"/>
          <w:szCs w:val="28"/>
          <w:highlight w:val="none"/>
          <w:lang w:val="en-US" w:eastAsia="zh-CN"/>
        </w:rPr>
        <w:t xml:space="preserve">13579707334 </w:t>
      </w:r>
    </w:p>
    <w:p>
      <w:pPr>
        <w:pageBreakBefore w:val="0"/>
        <w:widowControl/>
        <w:numPr>
          <w:ilvl w:val="0"/>
          <w:numId w:val="3"/>
        </w:numPr>
        <w:kinsoku/>
        <w:overflowPunct/>
        <w:topLinePunct w:val="0"/>
        <w:autoSpaceDE/>
        <w:autoSpaceDN/>
        <w:bidi w:val="0"/>
        <w:spacing w:before="0" w:beforeAutospacing="0" w:after="0" w:afterAutospacing="0" w:line="460" w:lineRule="exact"/>
        <w:ind w:firstLine="280" w:firstLineChars="100"/>
        <w:jc w:val="left"/>
        <w:rPr>
          <w:rFonts w:hint="eastAsia"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同级政府采购监督管理部门名称：</w:t>
      </w:r>
    </w:p>
    <w:p>
      <w:pPr>
        <w:pStyle w:val="2"/>
        <w:rPr>
          <w:rFonts w:hint="eastAsia" w:ascii="宋体" w:hAnsi="宋体" w:eastAsia="宋体" w:cs="宋体"/>
          <w:color w:val="auto"/>
          <w:sz w:val="28"/>
          <w:szCs w:val="28"/>
          <w:highlight w:val="none"/>
        </w:rPr>
        <w:sectPr>
          <w:headerReference r:id="rId4" w:type="default"/>
          <w:footerReference r:id="rId5" w:type="default"/>
          <w:footerReference r:id="rId6" w:type="even"/>
          <w:pgSz w:w="11850" w:h="16783"/>
          <w:pgMar w:top="1440" w:right="1080" w:bottom="1440" w:left="1080" w:header="851" w:footer="992" w:gutter="0"/>
          <w:pgNumType w:start="1"/>
          <w:cols w:space="720" w:num="1"/>
          <w:docGrid w:type="linesAndChars" w:linePitch="312" w:charSpace="0"/>
        </w:sectPr>
      </w:pPr>
      <w:r>
        <w:rPr>
          <w:rFonts w:hint="eastAsia" w:ascii="仿宋" w:hAnsi="仿宋" w:eastAsia="仿宋" w:cs="仿宋"/>
          <w:color w:val="auto"/>
          <w:kern w:val="0"/>
          <w:sz w:val="28"/>
          <w:szCs w:val="28"/>
          <w:highlight w:val="none"/>
          <w:lang w:val="en-US" w:eastAsia="zh-CN" w:bidi="ar-SA"/>
        </w:rPr>
        <w:t>名  称：洛浦县政府采购办公室  联系电话：0903-6622186</w:t>
      </w:r>
    </w:p>
    <w:p>
      <w:pPr>
        <w:pStyle w:val="26"/>
        <w:spacing w:line="440" w:lineRule="exact"/>
        <w:jc w:val="center"/>
        <w:outlineLvl w:val="0"/>
        <w:rPr>
          <w:rFonts w:hint="eastAsia" w:ascii="宋体" w:hAnsi="宋体" w:eastAsia="宋体" w:cs="宋体"/>
          <w:b/>
          <w:color w:val="auto"/>
          <w:kern w:val="2"/>
          <w:sz w:val="36"/>
          <w:szCs w:val="20"/>
          <w:highlight w:val="none"/>
        </w:rPr>
      </w:pPr>
      <w:bookmarkStart w:id="33" w:name="_Toc507513094"/>
      <w:r>
        <w:rPr>
          <w:rFonts w:hint="eastAsia" w:ascii="宋体" w:hAnsi="宋体" w:eastAsia="宋体" w:cs="宋体"/>
          <w:b/>
          <w:color w:val="auto"/>
          <w:kern w:val="2"/>
          <w:sz w:val="36"/>
          <w:szCs w:val="20"/>
          <w:highlight w:val="none"/>
        </w:rPr>
        <w:t>第一部份 投标须知</w:t>
      </w:r>
      <w:bookmarkEnd w:id="33"/>
    </w:p>
    <w:tbl>
      <w:tblPr>
        <w:tblStyle w:val="16"/>
        <w:tblpPr w:leftFromText="180" w:rightFromText="180" w:vertAnchor="text" w:horzAnchor="page" w:tblpX="879" w:tblpY="437"/>
        <w:tblOverlap w:val="never"/>
        <w:tblW w:w="1032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00"/>
        <w:gridCol w:w="2864"/>
        <w:gridCol w:w="69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500"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6961" w:type="dxa"/>
            <w:noWrap w:val="0"/>
            <w:vAlign w:val="center"/>
          </w:tcPr>
          <w:p>
            <w:pPr>
              <w:overflowPunct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洛浦县妇幼能力提</w:t>
            </w:r>
            <w:r>
              <w:rPr>
                <w:rFonts w:hint="eastAsia" w:asciiTheme="minorEastAsia" w:hAnsiTheme="minorEastAsia" w:eastAsiaTheme="minorEastAsia" w:cstheme="minorEastAsia"/>
                <w:color w:val="auto"/>
                <w:sz w:val="24"/>
                <w:szCs w:val="24"/>
                <w:highlight w:val="none"/>
                <w:lang w:val="zh-CN" w:eastAsia="zh-CN"/>
              </w:rPr>
              <w:t>升</w:t>
            </w:r>
            <w:r>
              <w:rPr>
                <w:rFonts w:hint="eastAsia" w:asciiTheme="minorEastAsia" w:hAnsiTheme="minorEastAsia" w:eastAsiaTheme="minorEastAsia" w:cstheme="minorEastAsia"/>
                <w:color w:val="auto"/>
                <w:sz w:val="24"/>
                <w:szCs w:val="24"/>
                <w:highlight w:val="none"/>
                <w:lang w:eastAsia="zh-CN"/>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项目编号</w:t>
            </w:r>
          </w:p>
        </w:tc>
        <w:tc>
          <w:tcPr>
            <w:tcW w:w="6961" w:type="dxa"/>
            <w:noWrap w:val="0"/>
            <w:vAlign w:val="center"/>
          </w:tcPr>
          <w:p>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WTHH2021-HT0035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p>
        </w:tc>
        <w:tc>
          <w:tcPr>
            <w:tcW w:w="6961" w:type="dxa"/>
            <w:noWrap w:val="0"/>
            <w:vAlign w:val="top"/>
          </w:tcPr>
          <w:p>
            <w:pPr>
              <w:overflowPunct w:val="0"/>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洛浦县妇幼能力提</w:t>
            </w:r>
            <w:r>
              <w:rPr>
                <w:rFonts w:hint="eastAsia" w:asciiTheme="minorEastAsia" w:hAnsiTheme="minorEastAsia" w:eastAsiaTheme="minorEastAsia" w:cstheme="minorEastAsia"/>
                <w:color w:val="auto"/>
                <w:sz w:val="24"/>
                <w:szCs w:val="24"/>
                <w:highlight w:val="none"/>
                <w:lang w:val="zh-CN" w:eastAsia="zh-CN"/>
              </w:rPr>
              <w:t>升</w:t>
            </w:r>
            <w:r>
              <w:rPr>
                <w:rFonts w:hint="eastAsia" w:asciiTheme="minorEastAsia" w:hAnsiTheme="minorEastAsia" w:eastAsiaTheme="minorEastAsia" w:cstheme="minorEastAsia"/>
                <w:color w:val="auto"/>
                <w:sz w:val="24"/>
                <w:szCs w:val="24"/>
                <w:highlight w:val="none"/>
                <w:lang w:eastAsia="zh-CN"/>
              </w:rPr>
              <w:t>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联系方式</w:t>
            </w:r>
          </w:p>
        </w:tc>
        <w:tc>
          <w:tcPr>
            <w:tcW w:w="6961" w:type="dxa"/>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w:t>
            </w:r>
            <w:r>
              <w:rPr>
                <w:rFonts w:hint="eastAsia" w:asciiTheme="minorEastAsia" w:hAnsiTheme="minorEastAsia" w:eastAsiaTheme="minorEastAsia" w:cstheme="minorEastAsia"/>
                <w:color w:val="auto"/>
                <w:sz w:val="24"/>
                <w:szCs w:val="24"/>
                <w:highlight w:val="none"/>
                <w:lang w:val="en-US" w:eastAsia="zh-CN"/>
              </w:rPr>
              <w:t>购单位：洛浦县妇幼保健站</w:t>
            </w:r>
          </w:p>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采购单位地址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洛浦县</w:t>
            </w:r>
          </w:p>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r>
              <w:rPr>
                <w:rFonts w:hint="eastAsia" w:asciiTheme="minorEastAsia" w:hAnsiTheme="minorEastAsia" w:eastAsiaTheme="minorEastAsia" w:cstheme="minorEastAsia"/>
                <w:color w:val="auto"/>
                <w:sz w:val="24"/>
                <w:szCs w:val="24"/>
                <w:highlight w:val="none"/>
                <w:lang w:eastAsia="zh-CN"/>
              </w:rPr>
              <w:t>史东霞</w:t>
            </w: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eastAsiaTheme="minorEastAsia" w:cstheme="minorEastAsia"/>
                <w:color w:val="auto"/>
                <w:sz w:val="24"/>
                <w:szCs w:val="24"/>
                <w:highlight w:val="none"/>
                <w:lang w:val="en-US" w:eastAsia="zh-CN"/>
              </w:rPr>
              <w:t>15199278218</w:t>
            </w:r>
          </w:p>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招标代理机构：</w:t>
            </w:r>
            <w:r>
              <w:rPr>
                <w:rFonts w:hint="eastAsia" w:asciiTheme="minorEastAsia" w:hAnsiTheme="minorEastAsia" w:eastAsiaTheme="minorEastAsia" w:cstheme="minorEastAsia"/>
                <w:i w:val="0"/>
                <w:caps w:val="0"/>
                <w:color w:val="000000"/>
                <w:spacing w:val="0"/>
                <w:sz w:val="24"/>
                <w:szCs w:val="24"/>
              </w:rPr>
              <w:t>新疆沃图恒辉建设工程项目管理有限公司</w:t>
            </w:r>
          </w:p>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招标公司地址：</w:t>
            </w:r>
            <w:r>
              <w:rPr>
                <w:rFonts w:hint="eastAsia" w:asciiTheme="minorEastAsia" w:hAnsiTheme="minorEastAsia" w:eastAsiaTheme="minorEastAsia" w:cstheme="minorEastAsia"/>
                <w:color w:val="auto"/>
                <w:sz w:val="24"/>
                <w:szCs w:val="24"/>
                <w:highlight w:val="none"/>
                <w:lang w:val="en-US" w:eastAsia="zh-CN"/>
              </w:rPr>
              <w:t>和田地区和田市名门大酒店B座6楼</w:t>
            </w:r>
          </w:p>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项目联系人：</w:t>
            </w:r>
            <w:r>
              <w:rPr>
                <w:rFonts w:hint="eastAsia" w:asciiTheme="minorEastAsia" w:hAnsiTheme="minorEastAsia" w:eastAsiaTheme="minorEastAsia" w:cstheme="minorEastAsia"/>
                <w:color w:val="auto"/>
                <w:sz w:val="24"/>
                <w:szCs w:val="24"/>
                <w:highlight w:val="none"/>
                <w:lang w:eastAsia="zh-CN"/>
              </w:rPr>
              <w:t>张工</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13579707334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4</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招标</w:t>
            </w:r>
            <w:r>
              <w:rPr>
                <w:rFonts w:hint="eastAsia" w:asciiTheme="minorEastAsia" w:hAnsiTheme="minorEastAsia" w:eastAsiaTheme="minorEastAsia" w:cstheme="minorEastAsia"/>
                <w:color w:val="auto"/>
                <w:sz w:val="24"/>
                <w:szCs w:val="24"/>
                <w:highlight w:val="none"/>
              </w:rPr>
              <w:t>内容</w:t>
            </w:r>
          </w:p>
        </w:tc>
        <w:tc>
          <w:tcPr>
            <w:tcW w:w="6961" w:type="dxa"/>
            <w:noWrap w:val="0"/>
            <w:vAlign w:val="center"/>
          </w:tcPr>
          <w:p>
            <w:pPr>
              <w:overflowPunct w:val="0"/>
              <w:spacing w:line="440" w:lineRule="exact"/>
              <w:jc w:val="left"/>
              <w:rPr>
                <w:rFonts w:hint="eastAsia" w:asciiTheme="minorEastAsia" w:hAnsiTheme="minorEastAsia" w:eastAsiaTheme="minorEastAsia" w:cstheme="minorEastAsia"/>
                <w:color w:val="auto"/>
                <w:kern w:val="0"/>
                <w:sz w:val="24"/>
                <w:szCs w:val="24"/>
                <w:highlight w:val="none"/>
                <w:lang w:eastAsia="zh-CN"/>
              </w:rPr>
            </w:pPr>
            <w:r>
              <w:rPr>
                <w:rFonts w:hint="eastAsia" w:asciiTheme="minorEastAsia" w:hAnsiTheme="minorEastAsia" w:eastAsiaTheme="minorEastAsia" w:cstheme="minorEastAsia"/>
                <w:color w:val="auto"/>
                <w:kern w:val="0"/>
                <w:sz w:val="24"/>
                <w:szCs w:val="24"/>
                <w:highlight w:val="none"/>
                <w:lang w:eastAsia="zh-CN"/>
              </w:rPr>
              <w:t>洛浦县妇幼能力提</w:t>
            </w:r>
            <w:r>
              <w:rPr>
                <w:rFonts w:hint="eastAsia" w:asciiTheme="minorEastAsia" w:hAnsiTheme="minorEastAsia" w:eastAsiaTheme="minorEastAsia" w:cstheme="minorEastAsia"/>
                <w:color w:val="auto"/>
                <w:kern w:val="0"/>
                <w:sz w:val="24"/>
                <w:szCs w:val="24"/>
                <w:highlight w:val="none"/>
                <w:lang w:val="zh-CN" w:eastAsia="zh-CN"/>
              </w:rPr>
              <w:t>升</w:t>
            </w:r>
            <w:r>
              <w:rPr>
                <w:rFonts w:hint="eastAsia" w:asciiTheme="minorEastAsia" w:hAnsiTheme="minorEastAsia" w:eastAsiaTheme="minorEastAsia" w:cstheme="minorEastAsia"/>
                <w:color w:val="auto"/>
                <w:kern w:val="0"/>
                <w:sz w:val="24"/>
                <w:szCs w:val="24"/>
                <w:highlight w:val="none"/>
                <w:lang w:eastAsia="zh-CN"/>
              </w:rPr>
              <w:t>项目采购清单范围内的全部内容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5</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采购预算</w:t>
            </w:r>
          </w:p>
        </w:tc>
        <w:tc>
          <w:tcPr>
            <w:tcW w:w="6961" w:type="dxa"/>
            <w:noWrap w:val="0"/>
            <w:vAlign w:val="center"/>
          </w:tcPr>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204.65万元整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500" w:type="dxa"/>
            <w:tcBorders>
              <w:bottom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6</w:t>
            </w:r>
          </w:p>
        </w:tc>
        <w:tc>
          <w:tcPr>
            <w:tcW w:w="2864" w:type="dxa"/>
            <w:tcBorders>
              <w:bottom w:val="single" w:color="auto" w:sz="4" w:space="0"/>
              <w:right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投标资格</w:t>
            </w:r>
          </w:p>
        </w:tc>
        <w:tc>
          <w:tcPr>
            <w:tcW w:w="6961" w:type="dxa"/>
            <w:tcBorders>
              <w:left w:val="single" w:color="auto" w:sz="4" w:space="0"/>
              <w:bottom w:val="single" w:color="auto" w:sz="4" w:space="0"/>
            </w:tcBorders>
            <w:noWrap w:val="0"/>
            <w:vAlign w:val="center"/>
          </w:tcPr>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  满足《中华人民共和国政府采购法》第二十二条规定；</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 落实政府采购政策需满足的资格要求：（1）根据财政部发布的《政府采购促进中小企业发展管理办法》（财库[2020]46 号）的规定；</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 提供有效的企业法人三证合一证营业执照（营业执照须包含本次招标内容），</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4、法定代表人的需携带法定代表人证明书（原件）及法定代表人身份证（原件）；委托代理人需携带法定代表人授权委托书（原件）及委托代理人身份证（原件）；</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 投标企业须提供2020年财务审计报告（2021年新成立公司提供近6个月有效的银行资信证明）；</w:t>
            </w:r>
          </w:p>
          <w:p>
            <w:pPr>
              <w:widowControl/>
              <w:spacing w:line="440" w:lineRule="exact"/>
              <w:jc w:val="lef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val="en-US" w:eastAsia="zh-CN"/>
              </w:rPr>
              <w:t>须提供</w:t>
            </w:r>
            <w:r>
              <w:rPr>
                <w:rFonts w:hint="eastAsia" w:asciiTheme="minorEastAsia" w:hAnsiTheme="minorEastAsia" w:eastAsiaTheme="minorEastAsia" w:cstheme="minorEastAsia"/>
                <w:color w:val="auto"/>
                <w:sz w:val="24"/>
                <w:szCs w:val="24"/>
                <w:highlight w:val="none"/>
              </w:rPr>
              <w:t>《医疗器械经营许可证》或《医疗器械生产许可证》</w:t>
            </w:r>
            <w:r>
              <w:rPr>
                <w:rFonts w:hint="eastAsia" w:asciiTheme="minorEastAsia" w:hAnsiTheme="minorEastAsia" w:eastAsiaTheme="minorEastAsia" w:cstheme="minorEastAsia"/>
                <w:color w:val="auto"/>
                <w:sz w:val="24"/>
                <w:szCs w:val="24"/>
                <w:highlight w:val="none"/>
                <w:lang w:eastAsia="zh-CN"/>
              </w:rPr>
              <w:t>；</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被列入经营异常名录的企业，将拒绝其参加本次政府采购活动；</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8、单位负责人为同一人或者存在直接控股、管理关系的不同供应商，不得同时参加本次政府采购活动。</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9、本项目不接受联合体投标。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4" w:hRule="atLeast"/>
        </w:trPr>
        <w:tc>
          <w:tcPr>
            <w:tcW w:w="500" w:type="dxa"/>
            <w:tcBorders>
              <w:bottom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7</w:t>
            </w:r>
          </w:p>
        </w:tc>
        <w:tc>
          <w:tcPr>
            <w:tcW w:w="2864" w:type="dxa"/>
            <w:tcBorders>
              <w:bottom w:val="single" w:color="auto" w:sz="4" w:space="0"/>
              <w:right w:val="single" w:color="auto" w:sz="4" w:space="0"/>
            </w:tcBorders>
            <w:noWrap w:val="0"/>
            <w:vAlign w:val="center"/>
          </w:tcPr>
          <w:p>
            <w:pPr>
              <w:pStyle w:val="27"/>
              <w:spacing w:line="440" w:lineRule="exact"/>
              <w:ind w:left="38"/>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信用情况</w:t>
            </w:r>
          </w:p>
        </w:tc>
        <w:tc>
          <w:tcPr>
            <w:tcW w:w="6961" w:type="dxa"/>
            <w:tcBorders>
              <w:left w:val="single" w:color="auto" w:sz="4" w:space="0"/>
              <w:bottom w:val="single" w:color="auto" w:sz="4" w:space="0"/>
            </w:tcBorders>
            <w:noWrap w:val="0"/>
            <w:vAlign w:val="center"/>
          </w:tcPr>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1、信用记录查询时间及方式：</w:t>
            </w:r>
          </w:p>
          <w:p>
            <w:pPr>
              <w:widowControl/>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（1）查询时间：自招标公告发布日期起至开标</w:t>
            </w:r>
            <w:r>
              <w:rPr>
                <w:rFonts w:hint="eastAsia" w:asciiTheme="minorEastAsia" w:hAnsiTheme="minorEastAsia" w:eastAsiaTheme="minorEastAsia" w:cstheme="minorEastAsia"/>
                <w:color w:val="auto"/>
                <w:sz w:val="24"/>
                <w:szCs w:val="24"/>
                <w:highlight w:val="none"/>
                <w:lang w:eastAsia="zh-CN"/>
              </w:rPr>
              <w:t>截止时间前</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各投标单位须在此时间范围内查询</w:t>
            </w:r>
            <w:r>
              <w:rPr>
                <w:rFonts w:hint="eastAsia" w:asciiTheme="minorEastAsia" w:hAnsiTheme="minorEastAsia" w:eastAsiaTheme="minorEastAsia" w:cstheme="minorEastAsia"/>
                <w:color w:val="auto"/>
                <w:sz w:val="24"/>
                <w:szCs w:val="24"/>
                <w:highlight w:val="none"/>
              </w:rPr>
              <w:t>超</w:t>
            </w:r>
            <w:r>
              <w:rPr>
                <w:rFonts w:hint="eastAsia" w:asciiTheme="minorEastAsia" w:hAnsiTheme="minorEastAsia" w:eastAsiaTheme="minorEastAsia" w:cstheme="minorEastAsia"/>
                <w:color w:val="auto"/>
                <w:sz w:val="24"/>
                <w:szCs w:val="24"/>
                <w:highlight w:val="none"/>
                <w:lang w:eastAsia="zh-CN"/>
              </w:rPr>
              <w:t>过</w:t>
            </w:r>
            <w:r>
              <w:rPr>
                <w:rFonts w:hint="eastAsia" w:asciiTheme="minorEastAsia" w:hAnsiTheme="minorEastAsia" w:eastAsiaTheme="minorEastAsia" w:cstheme="minorEastAsia"/>
                <w:color w:val="auto"/>
                <w:sz w:val="24"/>
                <w:szCs w:val="24"/>
                <w:highlight w:val="none"/>
              </w:rPr>
              <w:t>此时间范围</w:t>
            </w:r>
            <w:r>
              <w:rPr>
                <w:rFonts w:hint="eastAsia" w:asciiTheme="minorEastAsia" w:hAnsiTheme="minorEastAsia" w:eastAsiaTheme="minorEastAsia" w:cstheme="minorEastAsia"/>
                <w:color w:val="auto"/>
                <w:sz w:val="24"/>
                <w:szCs w:val="24"/>
                <w:highlight w:val="none"/>
                <w:lang w:eastAsia="zh-CN"/>
              </w:rPr>
              <w:t>内</w:t>
            </w:r>
            <w:r>
              <w:rPr>
                <w:rFonts w:hint="eastAsia" w:asciiTheme="minorEastAsia" w:hAnsiTheme="minorEastAsia" w:eastAsiaTheme="minorEastAsia" w:cstheme="minorEastAsia"/>
                <w:color w:val="auto"/>
                <w:sz w:val="24"/>
                <w:szCs w:val="24"/>
                <w:highlight w:val="none"/>
              </w:rPr>
              <w:t>将被视为无效投标。</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widowControl/>
              <w:spacing w:line="44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（3）供应商参加政府采购活动时，应当就自己的诚信情况在投标文件中进行承诺。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9" w:hRule="atLeast"/>
        </w:trPr>
        <w:tc>
          <w:tcPr>
            <w:tcW w:w="500" w:type="dxa"/>
            <w:tcBorders>
              <w:top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8</w:t>
            </w:r>
          </w:p>
        </w:tc>
        <w:tc>
          <w:tcPr>
            <w:tcW w:w="2864" w:type="dxa"/>
            <w:tcBorders>
              <w:top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是否接受联合体投标</w:t>
            </w:r>
          </w:p>
        </w:tc>
        <w:tc>
          <w:tcPr>
            <w:tcW w:w="6961" w:type="dxa"/>
            <w:tcBorders>
              <w:top w:val="single" w:color="auto" w:sz="4" w:space="0"/>
            </w:tcBorders>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本项目不接受联合体投标</w:t>
            </w:r>
            <w:r>
              <w:rPr>
                <w:rFonts w:hint="eastAsia" w:asciiTheme="minorEastAsia" w:hAnsiTheme="minorEastAsia" w:eastAsiaTheme="minorEastAsia" w:cstheme="minorEastAsia"/>
                <w:color w:val="auto"/>
                <w:sz w:val="24"/>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9</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招标文件发放日期</w:t>
            </w:r>
          </w:p>
        </w:tc>
        <w:tc>
          <w:tcPr>
            <w:tcW w:w="6961" w:type="dxa"/>
            <w:noWrap w:val="0"/>
            <w:vAlign w:val="center"/>
          </w:tcPr>
          <w:p>
            <w:pPr>
              <w:overflowPunct w:val="0"/>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kern w:val="0"/>
                <w:sz w:val="24"/>
                <w:szCs w:val="24"/>
                <w:highlight w:val="none"/>
              </w:rPr>
              <w:t>20</w:t>
            </w:r>
            <w:r>
              <w:rPr>
                <w:rFonts w:hint="eastAsia" w:asciiTheme="minorEastAsia" w:hAnsiTheme="minorEastAsia" w:eastAsiaTheme="minorEastAsia" w:cstheme="minorEastAsia"/>
                <w:color w:val="auto"/>
                <w:kern w:val="0"/>
                <w:sz w:val="24"/>
                <w:szCs w:val="24"/>
                <w:highlight w:val="none"/>
                <w:lang w:val="en-US" w:eastAsia="zh-CN"/>
              </w:rPr>
              <w:t>21</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09</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28</w:t>
            </w:r>
            <w:r>
              <w:rPr>
                <w:rFonts w:hint="eastAsia" w:asciiTheme="minorEastAsia" w:hAnsiTheme="minorEastAsia" w:eastAsiaTheme="minorEastAsia" w:cstheme="minorEastAsia"/>
                <w:color w:val="auto"/>
                <w:kern w:val="0"/>
                <w:sz w:val="24"/>
                <w:szCs w:val="24"/>
                <w:highlight w:val="none"/>
              </w:rPr>
              <w:t>日至 20</w:t>
            </w:r>
            <w:r>
              <w:rPr>
                <w:rFonts w:hint="eastAsia" w:asciiTheme="minorEastAsia" w:hAnsiTheme="minorEastAsia" w:eastAsiaTheme="minorEastAsia" w:cstheme="minorEastAsia"/>
                <w:color w:val="auto"/>
                <w:kern w:val="0"/>
                <w:sz w:val="24"/>
                <w:szCs w:val="24"/>
                <w:highlight w:val="none"/>
                <w:lang w:val="en-US" w:eastAsia="zh-CN"/>
              </w:rPr>
              <w:t>21</w:t>
            </w:r>
            <w:r>
              <w:rPr>
                <w:rFonts w:hint="eastAsia" w:asciiTheme="minorEastAsia" w:hAnsiTheme="minorEastAsia" w:eastAsiaTheme="minorEastAsia" w:cstheme="minorEastAsia"/>
                <w:color w:val="auto"/>
                <w:kern w:val="0"/>
                <w:sz w:val="24"/>
                <w:szCs w:val="24"/>
                <w:highlight w:val="none"/>
              </w:rPr>
              <w:t>年</w:t>
            </w:r>
            <w:r>
              <w:rPr>
                <w:rFonts w:hint="eastAsia" w:asciiTheme="minorEastAsia" w:hAnsiTheme="minorEastAsia" w:eastAsiaTheme="minorEastAsia" w:cstheme="minorEastAsia"/>
                <w:color w:val="auto"/>
                <w:kern w:val="0"/>
                <w:sz w:val="24"/>
                <w:szCs w:val="24"/>
                <w:highlight w:val="none"/>
                <w:lang w:val="en-US" w:eastAsia="zh-CN"/>
              </w:rPr>
              <w:t>10</w:t>
            </w:r>
            <w:r>
              <w:rPr>
                <w:rFonts w:hint="eastAsia" w:asciiTheme="minorEastAsia" w:hAnsiTheme="minorEastAsia" w:eastAsiaTheme="minorEastAsia" w:cstheme="minorEastAsia"/>
                <w:color w:val="auto"/>
                <w:kern w:val="0"/>
                <w:sz w:val="24"/>
                <w:szCs w:val="24"/>
                <w:highlight w:val="none"/>
              </w:rPr>
              <w:t>月</w:t>
            </w:r>
            <w:r>
              <w:rPr>
                <w:rFonts w:hint="eastAsia" w:asciiTheme="minorEastAsia" w:hAnsiTheme="minorEastAsia" w:eastAsiaTheme="minorEastAsia" w:cstheme="minorEastAsia"/>
                <w:color w:val="auto"/>
                <w:kern w:val="0"/>
                <w:sz w:val="24"/>
                <w:szCs w:val="24"/>
                <w:highlight w:val="none"/>
                <w:lang w:val="en-US" w:eastAsia="zh-CN"/>
              </w:rPr>
              <w:t>09</w:t>
            </w:r>
            <w:r>
              <w:rPr>
                <w:rFonts w:hint="eastAsia" w:asciiTheme="minorEastAsia" w:hAnsiTheme="minorEastAsia" w:eastAsiaTheme="minorEastAsia" w:cstheme="minorEastAsia"/>
                <w:color w:val="auto"/>
                <w:kern w:val="0"/>
                <w:sz w:val="24"/>
                <w:szCs w:val="24"/>
                <w:highlight w:val="none"/>
              </w:rPr>
              <w:t>日</w:t>
            </w:r>
          </w:p>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（每日10：</w:t>
            </w:r>
            <w:r>
              <w:rPr>
                <w:rFonts w:hint="eastAsia" w:asciiTheme="minorEastAsia" w:hAnsiTheme="minorEastAsia" w:eastAsiaTheme="minorEastAsia" w:cstheme="minorEastAsia"/>
                <w:color w:val="auto"/>
                <w:sz w:val="24"/>
                <w:szCs w:val="24"/>
                <w:highlight w:val="none"/>
                <w:lang w:val="en-US" w:eastAsia="zh-CN"/>
              </w:rPr>
              <w:t>00</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0-</w:t>
            </w:r>
            <w:r>
              <w:rPr>
                <w:rFonts w:hint="eastAsia" w:asciiTheme="minorEastAsia" w:hAnsiTheme="minorEastAsia" w:eastAsiaTheme="minorEastAsia" w:cstheme="minorEastAsia"/>
                <w:color w:val="auto"/>
                <w:sz w:val="24"/>
                <w:szCs w:val="24"/>
                <w:highlight w:val="none"/>
                <w:lang w:val="en-US" w:eastAsia="zh-CN"/>
              </w:rPr>
              <w:t>20</w:t>
            </w:r>
            <w:r>
              <w:rPr>
                <w:rFonts w:hint="eastAsia" w:asciiTheme="minorEastAsia" w:hAnsiTheme="minorEastAsia" w:eastAsiaTheme="minorEastAsia" w:cstheme="minorEastAsia"/>
                <w:color w:val="auto"/>
                <w:sz w:val="24"/>
                <w:szCs w:val="24"/>
                <w:highlight w:val="none"/>
              </w:rPr>
              <w:t>：00，北京时间，节假日除外)</w:t>
            </w:r>
          </w:p>
          <w:p>
            <w:pPr>
              <w:widowControl/>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地点：新疆政府采购网（www.ccgp-xinjiang.gov.cn）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11</w:t>
            </w:r>
          </w:p>
        </w:tc>
        <w:tc>
          <w:tcPr>
            <w:tcW w:w="2864" w:type="dxa"/>
            <w:noWrap w:val="0"/>
            <w:vAlign w:val="center"/>
          </w:tcPr>
          <w:p>
            <w:pPr>
              <w:overflowPunct w:val="0"/>
              <w:spacing w:line="440" w:lineRule="exact"/>
              <w:ind w:left="240" w:hanging="240" w:hangingChars="1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投标文件递交截止时间及开标时间</w:t>
            </w:r>
          </w:p>
        </w:tc>
        <w:tc>
          <w:tcPr>
            <w:tcW w:w="6961" w:type="dxa"/>
            <w:noWrap w:val="0"/>
            <w:vAlign w:val="center"/>
          </w:tcPr>
          <w:p>
            <w:pPr>
              <w:widowControl/>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20</w:t>
            </w:r>
            <w:r>
              <w:rPr>
                <w:rFonts w:hint="eastAsia" w:asciiTheme="minorEastAsia" w:hAnsiTheme="minorEastAsia" w:eastAsiaTheme="minorEastAsia" w:cstheme="minorEastAsia"/>
                <w:color w:val="auto"/>
                <w:sz w:val="24"/>
                <w:szCs w:val="24"/>
                <w:highlight w:val="none"/>
                <w:lang w:val="en-US" w:eastAsia="zh-CN"/>
              </w:rPr>
              <w:t>21</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18</w:t>
            </w:r>
            <w:r>
              <w:rPr>
                <w:rFonts w:hint="eastAsia" w:asciiTheme="minorEastAsia" w:hAnsiTheme="minorEastAsia" w:eastAsiaTheme="minorEastAsia" w:cstheme="minorEastAsia"/>
                <w:color w:val="auto"/>
                <w:sz w:val="24"/>
                <w:szCs w:val="24"/>
                <w:highlight w:val="none"/>
              </w:rPr>
              <w:t>日</w:t>
            </w:r>
            <w:r>
              <w:rPr>
                <w:rFonts w:hint="eastAsia" w:asciiTheme="minorEastAsia" w:hAnsiTheme="minorEastAsia" w:eastAsiaTheme="minorEastAsia" w:cstheme="minorEastAsia"/>
                <w:color w:val="auto"/>
                <w:sz w:val="24"/>
                <w:szCs w:val="24"/>
                <w:highlight w:val="none"/>
                <w:lang w:eastAsia="zh-CN"/>
              </w:rPr>
              <w:t>下</w:t>
            </w:r>
            <w:r>
              <w:rPr>
                <w:rFonts w:hint="eastAsia" w:asciiTheme="minorEastAsia" w:hAnsiTheme="minorEastAsia" w:eastAsiaTheme="minorEastAsia" w:cstheme="minorEastAsia"/>
                <w:color w:val="auto"/>
                <w:sz w:val="24"/>
                <w:szCs w:val="24"/>
                <w:highlight w:val="none"/>
              </w:rPr>
              <w:t>午1</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：00(北京时间)（如有变动另行通知）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12</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投标文件递交及开标地点</w:t>
            </w:r>
          </w:p>
        </w:tc>
        <w:tc>
          <w:tcPr>
            <w:tcW w:w="6961" w:type="dxa"/>
            <w:noWrap w:val="0"/>
            <w:vAlign w:val="center"/>
          </w:tcPr>
          <w:p>
            <w:pPr>
              <w:widowControl/>
              <w:spacing w:line="440" w:lineRule="exact"/>
              <w:jc w:val="left"/>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洛浦县政务服务和公共资源交易中心(洛浦县文化路115号，洛浦县建设局5楼)。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 w:type="dxa"/>
            <w:tcBorders>
              <w:top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13</w:t>
            </w:r>
          </w:p>
        </w:tc>
        <w:tc>
          <w:tcPr>
            <w:tcW w:w="2864" w:type="dxa"/>
            <w:tcBorders>
              <w:top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招标有效期</w:t>
            </w:r>
          </w:p>
        </w:tc>
        <w:tc>
          <w:tcPr>
            <w:tcW w:w="6961" w:type="dxa"/>
            <w:tcBorders>
              <w:top w:val="single" w:color="auto" w:sz="4" w:space="0"/>
            </w:tcBorders>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90</w:t>
            </w:r>
            <w:r>
              <w:rPr>
                <w:rFonts w:hint="eastAsia" w:asciiTheme="minorEastAsia" w:hAnsiTheme="minorEastAsia" w:eastAsiaTheme="minorEastAsia" w:cstheme="minorEastAsia"/>
                <w:color w:val="auto"/>
                <w:sz w:val="24"/>
                <w:szCs w:val="24"/>
                <w:highlight w:val="none"/>
              </w:rPr>
              <w:t>天</w:t>
            </w:r>
            <w:r>
              <w:rPr>
                <w:rFonts w:hint="eastAsia" w:asciiTheme="minorEastAsia" w:hAnsiTheme="minorEastAsia" w:eastAsiaTheme="minorEastAsia" w:cstheme="minorEastAsia"/>
                <w:color w:val="auto"/>
                <w:sz w:val="24"/>
                <w:szCs w:val="24"/>
                <w:highlight w:val="none"/>
                <w:lang w:eastAsia="zh-CN"/>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500" w:type="dxa"/>
            <w:tcBorders>
              <w:top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14</w:t>
            </w:r>
          </w:p>
        </w:tc>
        <w:tc>
          <w:tcPr>
            <w:tcW w:w="2864" w:type="dxa"/>
            <w:tcBorders>
              <w:top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供货周</w:t>
            </w:r>
            <w:r>
              <w:rPr>
                <w:rFonts w:hint="eastAsia" w:asciiTheme="minorEastAsia" w:hAnsiTheme="minorEastAsia" w:eastAsiaTheme="minorEastAsia" w:cstheme="minorEastAsia"/>
                <w:color w:val="auto"/>
                <w:sz w:val="24"/>
                <w:szCs w:val="24"/>
                <w:highlight w:val="none"/>
              </w:rPr>
              <w:t>期</w:t>
            </w:r>
          </w:p>
        </w:tc>
        <w:tc>
          <w:tcPr>
            <w:tcW w:w="6961" w:type="dxa"/>
            <w:tcBorders>
              <w:top w:val="single" w:color="auto" w:sz="4" w:space="0"/>
            </w:tcBorders>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20天（日历日）（具体时间与甲方签订合同为主）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 w:type="dxa"/>
            <w:tcBorders>
              <w:top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kern w:val="0"/>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15</w:t>
            </w:r>
          </w:p>
        </w:tc>
        <w:tc>
          <w:tcPr>
            <w:tcW w:w="2864" w:type="dxa"/>
            <w:tcBorders>
              <w:top w:val="single" w:color="auto" w:sz="4" w:space="0"/>
            </w:tcBorders>
            <w:noWrap w:val="0"/>
            <w:vAlign w:val="center"/>
          </w:tcPr>
          <w:p>
            <w:pPr>
              <w:overflowPunct w:val="0"/>
              <w:spacing w:line="440" w:lineRule="exact"/>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质量承诺保证</w:t>
            </w:r>
          </w:p>
        </w:tc>
        <w:tc>
          <w:tcPr>
            <w:tcW w:w="6961" w:type="dxa"/>
            <w:tcBorders>
              <w:top w:val="single" w:color="auto" w:sz="4" w:space="0"/>
            </w:tcBorders>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供应商须自行提供。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5"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w:t>
            </w:r>
          </w:p>
        </w:tc>
        <w:tc>
          <w:tcPr>
            <w:tcW w:w="2864" w:type="dxa"/>
            <w:tcBorders>
              <w:top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服务期限</w:t>
            </w:r>
          </w:p>
        </w:tc>
        <w:tc>
          <w:tcPr>
            <w:tcW w:w="6961"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详见第四部分采购需求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交货地点</w:t>
            </w:r>
          </w:p>
        </w:tc>
        <w:tc>
          <w:tcPr>
            <w:tcW w:w="6961"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按甲方指定地点验收、交货。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trPr>
        <w:tc>
          <w:tcPr>
            <w:tcW w:w="500" w:type="dxa"/>
            <w:tcBorders>
              <w:bottom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18</w:t>
            </w:r>
          </w:p>
        </w:tc>
        <w:tc>
          <w:tcPr>
            <w:tcW w:w="2864" w:type="dxa"/>
            <w:tcBorders>
              <w:bottom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评标方法</w:t>
            </w:r>
          </w:p>
        </w:tc>
        <w:tc>
          <w:tcPr>
            <w:tcW w:w="6961" w:type="dxa"/>
            <w:tcBorders>
              <w:bottom w:val="single" w:color="auto" w:sz="4" w:space="0"/>
            </w:tcBorders>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综合评分法；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19</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投标保证金</w:t>
            </w:r>
          </w:p>
        </w:tc>
        <w:tc>
          <w:tcPr>
            <w:tcW w:w="6961" w:type="dxa"/>
            <w:noWrap w:val="0"/>
            <w:vAlign w:val="center"/>
          </w:tcPr>
          <w:p>
            <w:pPr>
              <w:pStyle w:val="22"/>
              <w:rPr>
                <w:rFonts w:hint="eastAsia"/>
                <w:lang w:val="en-US" w:eastAsia="zh-CN"/>
              </w:rPr>
            </w:pPr>
            <w:r>
              <w:rPr>
                <w:rFonts w:hint="eastAsia"/>
                <w:lang w:val="en-US" w:eastAsia="zh-CN"/>
              </w:rPr>
              <w:t>投标保证金的金额：人民币贰万元整，于2021年10月18日16时00分前（以到账时间为准)从投标人基本账户以支票或银行电汇或网银形式汇至指定账户，投标人递交投标保证金应充分考虑资金在途时间。（汇款时请备注项目名称）</w:t>
            </w:r>
          </w:p>
          <w:p>
            <w:pPr>
              <w:pStyle w:val="22"/>
              <w:rPr>
                <w:rFonts w:hint="eastAsia"/>
                <w:lang w:val="en-US" w:eastAsia="zh-CN"/>
              </w:rPr>
            </w:pPr>
            <w:r>
              <w:rPr>
                <w:rFonts w:hint="eastAsia"/>
                <w:lang w:val="en-US" w:eastAsia="zh-CN"/>
              </w:rPr>
              <w:t>开户单位名称：洛浦县政务服务和公共资源交易中心</w:t>
            </w:r>
          </w:p>
          <w:p>
            <w:pPr>
              <w:pStyle w:val="22"/>
              <w:rPr>
                <w:rFonts w:hint="eastAsia"/>
                <w:lang w:val="en-US" w:eastAsia="zh-CN"/>
              </w:rPr>
            </w:pPr>
            <w:r>
              <w:rPr>
                <w:rFonts w:hint="eastAsia"/>
                <w:lang w:val="en-US" w:eastAsia="zh-CN"/>
              </w:rPr>
              <w:t>开户银行：洛浦县农村信用合作联社艾德莱斯广场信用社</w:t>
            </w:r>
          </w:p>
          <w:p>
            <w:pPr>
              <w:pStyle w:val="22"/>
              <w:rPr>
                <w:rFonts w:hint="default"/>
                <w:lang w:val="en-US" w:eastAsia="zh-CN"/>
              </w:rPr>
            </w:pPr>
            <w:r>
              <w:rPr>
                <w:rFonts w:hint="eastAsia"/>
                <w:lang w:val="en-US" w:eastAsia="zh-CN"/>
              </w:rPr>
              <w:t>账户账号： 98001010641759521000023</w:t>
            </w:r>
          </w:p>
          <w:p>
            <w:pPr>
              <w:pStyle w:val="22"/>
              <w:rPr>
                <w:rFonts w:hint="eastAsia"/>
                <w:lang w:val="en-US" w:eastAsia="zh-CN"/>
              </w:rPr>
            </w:pPr>
            <w:r>
              <w:rPr>
                <w:rFonts w:hint="eastAsia"/>
                <w:lang w:val="en-US" w:eastAsia="zh-CN"/>
              </w:rPr>
              <w:t>开户行行号：402896500026</w:t>
            </w:r>
          </w:p>
          <w:p>
            <w:pPr>
              <w:pStyle w:val="22"/>
              <w:rPr>
                <w:rFonts w:hint="eastAsia"/>
                <w:lang w:val="en-US" w:eastAsia="zh-CN"/>
              </w:rPr>
            </w:pPr>
            <w:r>
              <w:rPr>
                <w:rFonts w:hint="eastAsia"/>
                <w:lang w:val="en-US" w:eastAsia="zh-CN"/>
              </w:rPr>
              <w:t>投标保证金的形式：转账汇款（对公转账，从基本账户转入）、保函（银行保函、工程保险保函、担保保函）</w:t>
            </w:r>
          </w:p>
          <w:p>
            <w:pPr>
              <w:pStyle w:val="22"/>
              <w:rPr>
                <w:rFonts w:hint="eastAsia"/>
                <w:lang w:val="en-US" w:eastAsia="zh-CN"/>
              </w:rPr>
            </w:pPr>
            <w:r>
              <w:rPr>
                <w:rFonts w:hint="eastAsia"/>
                <w:lang w:val="en-US" w:eastAsia="zh-CN"/>
              </w:rPr>
              <w:t>退还投标保证金时，请携带法人授权委托书及委托人的身份证复印件（加盖公章及法人章）、汇款凭证，银行开户许可证，找招标文件中的项目负责人办理。</w:t>
            </w:r>
          </w:p>
          <w:p>
            <w:pPr>
              <w:pStyle w:val="22"/>
              <w:rPr>
                <w:rFonts w:hint="eastAsia"/>
                <w:lang w:val="en-US" w:eastAsia="zh-CN"/>
              </w:rPr>
            </w:pPr>
            <w:r>
              <w:rPr>
                <w:rFonts w:hint="eastAsia"/>
                <w:lang w:val="en-US" w:eastAsia="zh-CN"/>
              </w:rPr>
              <w:t>注意：由投标人基本账户汇出，且不得以分公司的名义转账，投标保证金需在2021年10月18日16：00前到账，超过时间则不予认可。逾期到账或未备注，造成的后果由供应商自行承担！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投标文件份数</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sz w:val="24"/>
                <w:szCs w:val="24"/>
                <w:highlight w:val="none"/>
              </w:rPr>
              <w:t>开标一览表</w:t>
            </w:r>
          </w:p>
        </w:tc>
        <w:tc>
          <w:tcPr>
            <w:tcW w:w="6961" w:type="dxa"/>
            <w:noWrap w:val="0"/>
            <w:vAlign w:val="center"/>
          </w:tcPr>
          <w:p>
            <w:pPr>
              <w:overflowPunct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投标文件由技术标、商务标组成，</w:t>
            </w:r>
            <w:r>
              <w:rPr>
                <w:rFonts w:hint="eastAsia" w:asciiTheme="minorEastAsia" w:hAnsiTheme="minorEastAsia" w:eastAsiaTheme="minorEastAsia" w:cstheme="minorEastAsia"/>
                <w:b/>
                <w:bCs/>
                <w:color w:val="auto"/>
                <w:sz w:val="24"/>
                <w:szCs w:val="24"/>
                <w:highlight w:val="none"/>
                <w:lang w:eastAsia="zh-CN"/>
              </w:rPr>
              <w:t>壹</w:t>
            </w:r>
            <w:r>
              <w:rPr>
                <w:rFonts w:hint="eastAsia" w:asciiTheme="minorEastAsia" w:hAnsiTheme="minorEastAsia" w:eastAsiaTheme="minorEastAsia" w:cstheme="minorEastAsia"/>
                <w:b/>
                <w:bCs/>
                <w:color w:val="auto"/>
                <w:sz w:val="24"/>
                <w:szCs w:val="24"/>
                <w:highlight w:val="none"/>
              </w:rPr>
              <w:t>正</w:t>
            </w:r>
            <w:r>
              <w:rPr>
                <w:rFonts w:hint="eastAsia" w:asciiTheme="minorEastAsia" w:hAnsiTheme="minorEastAsia" w:eastAsiaTheme="minorEastAsia" w:cstheme="minorEastAsia"/>
                <w:b/>
                <w:bCs/>
                <w:color w:val="auto"/>
                <w:sz w:val="24"/>
                <w:szCs w:val="24"/>
                <w:highlight w:val="none"/>
                <w:lang w:eastAsia="zh-CN"/>
              </w:rPr>
              <w:t>肆</w:t>
            </w:r>
            <w:r>
              <w:rPr>
                <w:rFonts w:hint="eastAsia" w:asciiTheme="minorEastAsia" w:hAnsiTheme="minorEastAsia" w:eastAsiaTheme="minorEastAsia" w:cstheme="minorEastAsia"/>
                <w:b/>
                <w:bCs/>
                <w:color w:val="auto"/>
                <w:sz w:val="24"/>
                <w:szCs w:val="24"/>
                <w:highlight w:val="none"/>
              </w:rPr>
              <w:t>副，必须胶装装订。</w:t>
            </w:r>
          </w:p>
          <w:p>
            <w:pPr>
              <w:overflowPunct w:val="0"/>
              <w:spacing w:line="440" w:lineRule="exac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电子版U盘</w:t>
            </w:r>
            <w:r>
              <w:rPr>
                <w:rFonts w:hint="eastAsia" w:asciiTheme="minorEastAsia" w:hAnsiTheme="minorEastAsia" w:eastAsiaTheme="minorEastAsia" w:cstheme="minorEastAsia"/>
                <w:b/>
                <w:bCs/>
                <w:color w:val="auto"/>
                <w:sz w:val="24"/>
                <w:szCs w:val="24"/>
                <w:highlight w:val="none"/>
                <w:lang w:eastAsia="zh-CN"/>
              </w:rPr>
              <w:t>商务、技术各</w:t>
            </w:r>
            <w:r>
              <w:rPr>
                <w:rFonts w:hint="eastAsia" w:asciiTheme="minorEastAsia" w:hAnsiTheme="minorEastAsia" w:eastAsiaTheme="minorEastAsia" w:cstheme="minorEastAsia"/>
                <w:b/>
                <w:bCs/>
                <w:color w:val="auto"/>
                <w:sz w:val="24"/>
                <w:szCs w:val="24"/>
                <w:highlight w:val="none"/>
              </w:rPr>
              <w:t>一个</w:t>
            </w:r>
            <w:r>
              <w:rPr>
                <w:rFonts w:hint="eastAsia" w:asciiTheme="minorEastAsia" w:hAnsiTheme="minorEastAsia" w:eastAsiaTheme="minorEastAsia" w:cstheme="minorEastAsia"/>
                <w:b/>
                <w:bCs/>
                <w:color w:val="auto"/>
                <w:sz w:val="24"/>
                <w:szCs w:val="24"/>
                <w:highlight w:val="none"/>
                <w:lang w:eastAsia="zh-CN"/>
              </w:rPr>
              <w:t>单独密封也可密封在一起</w:t>
            </w:r>
          </w:p>
          <w:p>
            <w:pPr>
              <w:overflowPunct w:val="0"/>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highlight w:val="none"/>
              </w:rPr>
              <w:t>开标一览表一份（单独密封）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59" w:hRule="atLeast"/>
        </w:trPr>
        <w:tc>
          <w:tcPr>
            <w:tcW w:w="500" w:type="dxa"/>
            <w:tcBorders>
              <w:top w:val="single" w:color="auto" w:sz="4" w:space="0"/>
              <w:bottom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21</w:t>
            </w:r>
          </w:p>
        </w:tc>
        <w:tc>
          <w:tcPr>
            <w:tcW w:w="2864" w:type="dxa"/>
            <w:tcBorders>
              <w:top w:val="single" w:color="auto" w:sz="4" w:space="0"/>
              <w:bottom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投标文件编制、密封</w:t>
            </w:r>
          </w:p>
        </w:tc>
        <w:tc>
          <w:tcPr>
            <w:tcW w:w="6961" w:type="dxa"/>
            <w:tcBorders>
              <w:top w:val="single" w:color="auto" w:sz="4" w:space="0"/>
              <w:bottom w:val="single" w:color="auto" w:sz="4" w:space="0"/>
            </w:tcBorders>
            <w:noWrap w:val="0"/>
            <w:vAlign w:val="center"/>
          </w:tcPr>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投标文件分为开标一览表信封、投标文件电子版信封和投标文件袋，密封内容必须包括下列内容：</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1.1开标一览表信封</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 开标一览表；</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1.2投标文件电子版信封</w:t>
            </w:r>
          </w:p>
          <w:p>
            <w:pPr>
              <w:widowControl/>
              <w:spacing w:line="440" w:lineRule="exact"/>
              <w:jc w:val="left"/>
              <w:rPr>
                <w:rFonts w:hint="eastAsia" w:asciiTheme="minorEastAsia" w:hAnsiTheme="minorEastAsia" w:eastAsiaTheme="minorEastAsia" w:cstheme="minorEastAsia"/>
                <w:color w:val="auto"/>
                <w:spacing w:val="0"/>
                <w:kern w:val="2"/>
                <w:sz w:val="24"/>
                <w:szCs w:val="24"/>
                <w:highlight w:val="none"/>
                <w:lang w:val="en-US" w:eastAsia="zh-CN" w:bidi="ar-SA"/>
              </w:rPr>
            </w:pPr>
            <w:r>
              <w:rPr>
                <w:rFonts w:hint="eastAsia" w:asciiTheme="minorEastAsia" w:hAnsiTheme="minorEastAsia" w:eastAsiaTheme="minorEastAsia" w:cstheme="minorEastAsia"/>
                <w:color w:val="auto"/>
                <w:spacing w:val="0"/>
                <w:kern w:val="2"/>
                <w:sz w:val="24"/>
                <w:szCs w:val="24"/>
                <w:highlight w:val="none"/>
                <w:lang w:val="en-US" w:eastAsia="zh-CN" w:bidi="ar-SA"/>
              </w:rPr>
              <w:t>（1）</w:t>
            </w:r>
            <w:r>
              <w:rPr>
                <w:rFonts w:hint="eastAsia" w:asciiTheme="minorEastAsia" w:hAnsiTheme="minorEastAsia" w:eastAsiaTheme="minorEastAsia" w:cstheme="minorEastAsia"/>
                <w:color w:val="auto"/>
                <w:sz w:val="24"/>
                <w:szCs w:val="24"/>
                <w:highlight w:val="none"/>
              </w:rPr>
              <w:t>电子版U盘</w:t>
            </w:r>
            <w:r>
              <w:rPr>
                <w:rFonts w:hint="eastAsia" w:asciiTheme="minorEastAsia" w:hAnsiTheme="minorEastAsia" w:eastAsiaTheme="minorEastAsia" w:cstheme="minorEastAsia"/>
                <w:color w:val="auto"/>
                <w:sz w:val="24"/>
                <w:szCs w:val="24"/>
                <w:highlight w:val="none"/>
                <w:lang w:eastAsia="zh-CN"/>
              </w:rPr>
              <w:t>商务、技术各</w:t>
            </w:r>
            <w:r>
              <w:rPr>
                <w:rFonts w:hint="eastAsia" w:asciiTheme="minorEastAsia" w:hAnsiTheme="minorEastAsia" w:eastAsiaTheme="minorEastAsia" w:cstheme="minorEastAsia"/>
                <w:color w:val="auto"/>
                <w:sz w:val="24"/>
                <w:szCs w:val="24"/>
                <w:highlight w:val="none"/>
              </w:rPr>
              <w:t>一个</w:t>
            </w:r>
            <w:r>
              <w:rPr>
                <w:rFonts w:hint="eastAsia" w:asciiTheme="minorEastAsia" w:hAnsiTheme="minorEastAsia" w:eastAsiaTheme="minorEastAsia" w:cstheme="minorEastAsia"/>
                <w:color w:val="auto"/>
                <w:sz w:val="24"/>
                <w:szCs w:val="24"/>
                <w:highlight w:val="none"/>
                <w:lang w:eastAsia="zh-CN"/>
              </w:rPr>
              <w:t>可单独密封也可密封在一起</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投标文件袋（正、副可分别密封，也可密封在一个密封袋中）</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投标文件编制详见第三部分投标说明第二章4.2；</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2、投标文件及“开标一览表”按招标文件要求制作并密封提交。否则其投标被拒绝（</w:t>
            </w:r>
            <w:r>
              <w:rPr>
                <w:rFonts w:hint="eastAsia" w:asciiTheme="minorEastAsia" w:hAnsiTheme="minorEastAsia" w:eastAsiaTheme="minorEastAsia" w:cstheme="minorEastAsia"/>
                <w:b/>
                <w:color w:val="auto"/>
                <w:sz w:val="24"/>
                <w:szCs w:val="24"/>
                <w:highlight w:val="none"/>
              </w:rPr>
              <w:t>商务标/技术标，可分开制作也可制作在一本里，用隔页纸标明</w:t>
            </w:r>
            <w:r>
              <w:rPr>
                <w:rFonts w:hint="eastAsia" w:asciiTheme="minorEastAsia" w:hAnsiTheme="minorEastAsia" w:eastAsiaTheme="minorEastAsia" w:cstheme="minorEastAsia"/>
                <w:color w:val="auto"/>
                <w:sz w:val="24"/>
                <w:szCs w:val="24"/>
                <w:highlight w:val="none"/>
              </w:rPr>
              <w:t xml:space="preserve">）。 </w:t>
            </w:r>
          </w:p>
          <w:p>
            <w:pPr>
              <w:widowControl/>
              <w:spacing w:line="440" w:lineRule="exact"/>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3、封面格式：</w:t>
            </w:r>
            <w:r>
              <w:rPr>
                <w:rFonts w:hint="eastAsia" w:asciiTheme="minorEastAsia" w:hAnsiTheme="minorEastAsia" w:eastAsiaTheme="minorEastAsia" w:cstheme="minorEastAsia"/>
                <w:color w:val="auto"/>
                <w:kern w:val="0"/>
                <w:sz w:val="24"/>
                <w:szCs w:val="24"/>
                <w:highlight w:val="none"/>
              </w:rPr>
              <w:t>投标文件袋、投标文件电子版和《</w:t>
            </w:r>
            <w:r>
              <w:rPr>
                <w:rFonts w:hint="eastAsia" w:asciiTheme="minorEastAsia" w:hAnsiTheme="minorEastAsia" w:eastAsiaTheme="minorEastAsia" w:cstheme="minorEastAsia"/>
                <w:color w:val="auto"/>
                <w:sz w:val="24"/>
                <w:szCs w:val="24"/>
                <w:highlight w:val="none"/>
              </w:rPr>
              <w:t>开标一览表</w:t>
            </w:r>
            <w:r>
              <w:rPr>
                <w:rFonts w:hint="eastAsia" w:asciiTheme="minorEastAsia" w:hAnsiTheme="minorEastAsia" w:eastAsiaTheme="minorEastAsia" w:cstheme="minorEastAsia"/>
                <w:color w:val="auto"/>
                <w:kern w:val="0"/>
                <w:sz w:val="24"/>
                <w:szCs w:val="24"/>
                <w:highlight w:val="none"/>
              </w:rPr>
              <w:t>》密封袋上应写明：</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招标单位：</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项目名称：</w:t>
            </w:r>
          </w:p>
          <w:p>
            <w:pPr>
              <w:spacing w:line="440" w:lineRule="exact"/>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项目编号：</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投标单位名称：</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投标单位联系人：</w:t>
            </w:r>
          </w:p>
          <w:p>
            <w:pPr>
              <w:widowControl/>
              <w:spacing w:line="440" w:lineRule="exact"/>
              <w:ind w:firstLine="480" w:firstLineChars="200"/>
              <w:jc w:val="lef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投标单位联系电话：</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（“正本”/“副本”）</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（开标一览表/</w:t>
            </w:r>
            <w:r>
              <w:rPr>
                <w:rFonts w:hint="eastAsia" w:asciiTheme="minorEastAsia" w:hAnsiTheme="minorEastAsia" w:eastAsiaTheme="minorEastAsia" w:cstheme="minorEastAsia"/>
                <w:color w:val="auto"/>
                <w:kern w:val="0"/>
                <w:sz w:val="24"/>
                <w:szCs w:val="24"/>
                <w:highlight w:val="none"/>
              </w:rPr>
              <w:t>投标文件电子版</w:t>
            </w:r>
            <w:r>
              <w:rPr>
                <w:rFonts w:hint="eastAsia" w:asciiTheme="minorEastAsia" w:hAnsiTheme="minorEastAsia" w:eastAsiaTheme="minorEastAsia" w:cstheme="minorEastAsia"/>
                <w:color w:val="auto"/>
                <w:sz w:val="24"/>
                <w:szCs w:val="24"/>
                <w:highlight w:val="none"/>
              </w:rPr>
              <w:t>）</w:t>
            </w:r>
          </w:p>
          <w:p>
            <w:pPr>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21</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投标文件的签署规定</w:t>
            </w:r>
          </w:p>
        </w:tc>
        <w:tc>
          <w:tcPr>
            <w:tcW w:w="6961"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1.投标文件的页面必须用印刷体打印。</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2.投标文件应清楚工整，一般不准修改。个别非实质性修改之处必须由投标人的法定代表人（负责人）或经其正式授权的代表在修改的每一页上签字或盖投标单位公章后才有效。</w:t>
            </w:r>
          </w:p>
          <w:p>
            <w:pPr>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3.投标文件应由法定代表人或法人授权代表在规定的签章处逐一签署或加盖单位公章</w:t>
            </w:r>
            <w:r>
              <w:rPr>
                <w:rFonts w:hint="eastAsia" w:asciiTheme="minorEastAsia" w:hAnsiTheme="minorEastAsia" w:eastAsiaTheme="minorEastAsia" w:cstheme="minorEastAsia"/>
                <w:bCs/>
                <w:color w:val="auto"/>
                <w:sz w:val="24"/>
                <w:szCs w:val="24"/>
                <w:highlight w:val="none"/>
              </w:rPr>
              <w:t>，投标文件方为有效。</w:t>
            </w:r>
          </w:p>
          <w:p>
            <w:pPr>
              <w:spacing w:line="440" w:lineRule="exact"/>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color w:val="auto"/>
                <w:sz w:val="24"/>
                <w:szCs w:val="24"/>
                <w:highlight w:val="none"/>
              </w:rPr>
              <w:t>4.</w:t>
            </w:r>
            <w:r>
              <w:rPr>
                <w:rFonts w:hint="eastAsia" w:asciiTheme="minorEastAsia" w:hAnsiTheme="minorEastAsia" w:eastAsiaTheme="minorEastAsia" w:cstheme="minorEastAsia"/>
                <w:bCs/>
                <w:color w:val="auto"/>
                <w:sz w:val="24"/>
                <w:szCs w:val="24"/>
                <w:highlight w:val="none"/>
              </w:rPr>
              <w:t>投标文件正本需逐页加盖公章、签署，并编好始末页码,如不按要求签署编制的造成的后果由投标人自行负责。</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5.所有投标文件必须提交正本</w:t>
            </w:r>
            <w:r>
              <w:rPr>
                <w:rFonts w:hint="eastAsia" w:asciiTheme="minorEastAsia" w:hAnsiTheme="minorEastAsia" w:eastAsiaTheme="minorEastAsia" w:cstheme="minorEastAsia"/>
                <w:color w:val="auto"/>
                <w:sz w:val="24"/>
                <w:szCs w:val="24"/>
                <w:highlight w:val="none"/>
                <w:u w:val="single"/>
                <w:lang w:eastAsia="zh-CN"/>
              </w:rPr>
              <w:t>壹</w:t>
            </w:r>
            <w:r>
              <w:rPr>
                <w:rFonts w:hint="eastAsia" w:asciiTheme="minorEastAsia" w:hAnsiTheme="minorEastAsia" w:eastAsiaTheme="minorEastAsia" w:cstheme="minorEastAsia"/>
                <w:color w:val="auto"/>
                <w:sz w:val="24"/>
                <w:szCs w:val="24"/>
                <w:highlight w:val="none"/>
              </w:rPr>
              <w:t>套和副本</w:t>
            </w:r>
            <w:r>
              <w:rPr>
                <w:rFonts w:hint="eastAsia" w:asciiTheme="minorEastAsia" w:hAnsiTheme="minorEastAsia" w:eastAsiaTheme="minorEastAsia" w:cstheme="minorEastAsia"/>
                <w:b w:val="0"/>
                <w:bCs w:val="0"/>
                <w:color w:val="auto"/>
                <w:sz w:val="24"/>
                <w:szCs w:val="24"/>
                <w:highlight w:val="none"/>
                <w:lang w:eastAsia="zh-CN"/>
              </w:rPr>
              <w:t>肆</w:t>
            </w:r>
            <w:r>
              <w:rPr>
                <w:rFonts w:hint="eastAsia" w:asciiTheme="minorEastAsia" w:hAnsiTheme="minorEastAsia" w:eastAsiaTheme="minorEastAsia" w:cstheme="minorEastAsia"/>
                <w:color w:val="auto"/>
                <w:sz w:val="24"/>
                <w:szCs w:val="24"/>
                <w:highlight w:val="none"/>
              </w:rPr>
              <w:t>套</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（如不满足将拒绝其投标），并在封面上标记“正本”或“副本”。</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6.投标文件的正本与副本应当完全一致。当正本和副本之间出现差异时，以正本为准。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1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22</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投标文件格式</w:t>
            </w:r>
          </w:p>
        </w:tc>
        <w:tc>
          <w:tcPr>
            <w:tcW w:w="6961"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1.投标人应按招标文件提供的范本格式认真填写投标文件、开标一览表。</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2.投标人应按招标文件的格式要求及附件向招标公司提交投标文件，否则视为不响应招标文件要求，如招标文件没有提供格式的，投标人可自行设置。</w:t>
            </w:r>
          </w:p>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3.投标人应将投标文件按规定的顺序编排、并应编制目录、逐页标注连续页码，</w:t>
            </w:r>
            <w:r>
              <w:rPr>
                <w:rFonts w:hint="eastAsia" w:asciiTheme="minorEastAsia" w:hAnsiTheme="minorEastAsia" w:eastAsiaTheme="minorEastAsia" w:cstheme="minorEastAsia"/>
                <w:b/>
                <w:bCs/>
                <w:color w:val="auto"/>
                <w:sz w:val="24"/>
                <w:szCs w:val="24"/>
                <w:highlight w:val="none"/>
              </w:rPr>
              <w:t>必须采用胶装，</w:t>
            </w:r>
            <w:r>
              <w:rPr>
                <w:rFonts w:hint="eastAsia" w:asciiTheme="minorEastAsia" w:hAnsiTheme="minorEastAsia" w:eastAsiaTheme="minorEastAsia" w:cstheme="minorEastAsia"/>
                <w:b/>
                <w:color w:val="auto"/>
                <w:sz w:val="24"/>
                <w:szCs w:val="24"/>
                <w:highlight w:val="none"/>
              </w:rPr>
              <w:t>不得采用活页装订，否则视为无效投标文件。</w:t>
            </w:r>
          </w:p>
          <w:p>
            <w:pPr>
              <w:widowControl/>
              <w:spacing w:line="44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rPr>
              <w:t>4.电报、电话、传真、电子邮件等形式的投标概不接受。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00" w:type="dxa"/>
            <w:tcBorders>
              <w:top w:val="single" w:color="auto" w:sz="4" w:space="0"/>
            </w:tcBorders>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23</w:t>
            </w:r>
          </w:p>
        </w:tc>
        <w:tc>
          <w:tcPr>
            <w:tcW w:w="2864" w:type="dxa"/>
            <w:tcBorders>
              <w:top w:val="single" w:color="auto" w:sz="4" w:space="0"/>
              <w:bottom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付款方式及币种</w:t>
            </w:r>
          </w:p>
        </w:tc>
        <w:tc>
          <w:tcPr>
            <w:tcW w:w="6961" w:type="dxa"/>
            <w:tcBorders>
              <w:top w:val="single" w:color="auto" w:sz="4" w:space="0"/>
            </w:tcBorders>
            <w:noWrap w:val="0"/>
            <w:vAlign w:val="center"/>
          </w:tcPr>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1、付款币种</w:t>
            </w:r>
          </w:p>
          <w:p>
            <w:pPr>
              <w:overflowPunct w:val="0"/>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本次招标所述的项目资金均以人民币支付。</w:t>
            </w:r>
          </w:p>
          <w:p>
            <w:pPr>
              <w:numPr>
                <w:ilvl w:val="0"/>
                <w:numId w:val="4"/>
              </w:numPr>
              <w:spacing w:line="440" w:lineRule="exact"/>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付款方式：</w:t>
            </w:r>
            <w:r>
              <w:rPr>
                <w:rFonts w:hint="eastAsia" w:asciiTheme="minorEastAsia" w:hAnsiTheme="minorEastAsia" w:eastAsiaTheme="minorEastAsia" w:cstheme="minorEastAsia"/>
                <w:color w:val="auto"/>
                <w:sz w:val="24"/>
                <w:szCs w:val="24"/>
                <w:highlight w:val="none"/>
                <w:lang w:val="en-US" w:eastAsia="zh-CN"/>
              </w:rPr>
              <w:t>按合同约定交付验收后全额支付货款</w:t>
            </w:r>
          </w:p>
          <w:p>
            <w:pPr>
              <w:spacing w:line="440" w:lineRule="exact"/>
              <w:jc w:val="lef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备注：最终付款方式以和甲方单位签订合同为准。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24</w:t>
            </w:r>
          </w:p>
        </w:tc>
        <w:tc>
          <w:tcPr>
            <w:tcW w:w="2864" w:type="dxa"/>
            <w:tcBorders>
              <w:top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投标费用</w:t>
            </w:r>
          </w:p>
        </w:tc>
        <w:tc>
          <w:tcPr>
            <w:tcW w:w="6961" w:type="dxa"/>
            <w:noWrap w:val="0"/>
            <w:vAlign w:val="center"/>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25</w:t>
            </w:r>
          </w:p>
        </w:tc>
        <w:tc>
          <w:tcPr>
            <w:tcW w:w="2864" w:type="dxa"/>
            <w:tcBorders>
              <w:top w:val="single" w:color="auto" w:sz="4" w:space="0"/>
            </w:tcBorders>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招标代理服务费</w:t>
            </w:r>
          </w:p>
        </w:tc>
        <w:tc>
          <w:tcPr>
            <w:tcW w:w="6961" w:type="dxa"/>
            <w:noWrap w:val="0"/>
            <w:vAlign w:val="center"/>
          </w:tcPr>
          <w:p>
            <w:pPr>
              <w:widowControl/>
              <w:spacing w:line="440" w:lineRule="exact"/>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根据国家计委《招标代理服务收费管理暂行办法》（计价格[2002]1980号）所规定标准由中标企业向招标代理机构支付。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35"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26</w:t>
            </w:r>
          </w:p>
        </w:tc>
        <w:tc>
          <w:tcPr>
            <w:tcW w:w="2864" w:type="dxa"/>
            <w:noWrap w:val="0"/>
            <w:vAlign w:val="center"/>
          </w:tcPr>
          <w:p>
            <w:pPr>
              <w:overflowPunct w:val="0"/>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低于成本价不正当</w:t>
            </w:r>
          </w:p>
          <w:p>
            <w:pPr>
              <w:overflowPunct w:val="0"/>
              <w:spacing w:line="440" w:lineRule="exact"/>
              <w:jc w:val="cente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竞争预防措施</w:t>
            </w:r>
          </w:p>
        </w:tc>
        <w:tc>
          <w:tcPr>
            <w:tcW w:w="6961" w:type="dxa"/>
            <w:noWrap w:val="0"/>
            <w:vAlign w:val="center"/>
          </w:tcPr>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spacing w:line="4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spacing w:line="440" w:lineRule="exact"/>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27</w:t>
            </w:r>
          </w:p>
        </w:tc>
        <w:tc>
          <w:tcPr>
            <w:tcW w:w="2864" w:type="dxa"/>
            <w:noWrap w:val="0"/>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质疑须知</w:t>
            </w:r>
          </w:p>
        </w:tc>
        <w:tc>
          <w:tcPr>
            <w:tcW w:w="6961" w:type="dxa"/>
            <w:noWrap w:val="0"/>
            <w:vAlign w:val="top"/>
          </w:tcPr>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接收质疑函的方式：现场递交纸质版及Word格式电子版质疑文件至新疆沃图恒辉建设工程项目管理有限公司</w:t>
            </w:r>
          </w:p>
          <w:p>
            <w:pPr>
              <w:spacing w:line="440" w:lineRule="exact"/>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rPr>
              <w:t>接受质疑的单位：</w:t>
            </w:r>
            <w:r>
              <w:rPr>
                <w:rFonts w:hint="eastAsia" w:asciiTheme="minorEastAsia" w:hAnsiTheme="minorEastAsia" w:eastAsiaTheme="minorEastAsia" w:cstheme="minorEastAsia"/>
                <w:color w:val="auto"/>
                <w:sz w:val="24"/>
                <w:szCs w:val="24"/>
                <w:highlight w:val="none"/>
                <w:lang w:eastAsia="zh-CN"/>
              </w:rPr>
              <w:t>新疆沃图恒辉建设工程项目管理有限公司</w:t>
            </w:r>
          </w:p>
          <w:p>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接受质疑截止时间：应当在获取采购文件或者采购文件公告期限届满之日起7个工作日内提出</w:t>
            </w:r>
          </w:p>
          <w:p>
            <w:pPr>
              <w:spacing w:line="440" w:lineRule="exac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w:t>
            </w:r>
            <w:r>
              <w:rPr>
                <w:rFonts w:hint="eastAsia" w:asciiTheme="minorEastAsia" w:hAnsiTheme="minorEastAsia" w:eastAsiaTheme="minorEastAsia" w:cstheme="minorEastAsia"/>
                <w:color w:val="auto"/>
                <w:sz w:val="24"/>
                <w:szCs w:val="24"/>
                <w:highlight w:val="none"/>
                <w:lang w:eastAsia="zh-CN"/>
              </w:rPr>
              <w:t>人及</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eastAsiaTheme="minorEastAsia" w:cstheme="minorEastAsia"/>
                <w:color w:val="auto"/>
                <w:sz w:val="24"/>
                <w:szCs w:val="24"/>
                <w:highlight w:val="none"/>
                <w:lang w:eastAsia="zh-CN"/>
              </w:rPr>
              <w:t>张工、</w:t>
            </w:r>
            <w:r>
              <w:rPr>
                <w:rFonts w:hint="eastAsia" w:asciiTheme="minorEastAsia" w:hAnsiTheme="minorEastAsia" w:eastAsiaTheme="minorEastAsia" w:cstheme="minorEastAsia"/>
                <w:color w:val="auto"/>
                <w:sz w:val="24"/>
                <w:szCs w:val="24"/>
                <w:highlight w:val="none"/>
                <w:lang w:val="en-US" w:eastAsia="zh-CN"/>
              </w:rPr>
              <w:t>13579707334</w:t>
            </w:r>
          </w:p>
          <w:p>
            <w:pPr>
              <w:spacing w:line="440" w:lineRule="exac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地址</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和田地区和田市名门大酒店B座6楼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500" w:type="dxa"/>
            <w:noWrap w:val="0"/>
            <w:vAlign w:val="center"/>
          </w:tcPr>
          <w:p>
            <w:pPr>
              <w:widowControl/>
              <w:spacing w:line="440" w:lineRule="exact"/>
              <w:jc w:val="center"/>
              <w:textAlignment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val="en-US" w:eastAsia="zh-CN"/>
              </w:rPr>
              <w:t>28</w:t>
            </w:r>
          </w:p>
        </w:tc>
        <w:tc>
          <w:tcPr>
            <w:tcW w:w="2864" w:type="dxa"/>
            <w:noWrap w:val="0"/>
            <w:vAlign w:val="center"/>
          </w:tcPr>
          <w:p>
            <w:pPr>
              <w:pStyle w:val="27"/>
              <w:spacing w:line="440" w:lineRule="exact"/>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公告发布媒体</w:t>
            </w:r>
          </w:p>
        </w:tc>
        <w:tc>
          <w:tcPr>
            <w:tcW w:w="6961" w:type="dxa"/>
            <w:noWrap w:val="0"/>
            <w:vAlign w:val="center"/>
          </w:tcPr>
          <w:p>
            <w:pPr>
              <w:widowControl/>
              <w:spacing w:line="440" w:lineRule="exact"/>
              <w:jc w:val="left"/>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0"/>
                <w:sz w:val="24"/>
                <w:szCs w:val="24"/>
                <w:highlight w:val="none"/>
                <w:lang w:eastAsia="zh-CN"/>
              </w:rPr>
              <w:t>新疆政府采购网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00" w:type="dxa"/>
            <w:noWrap w:val="0"/>
            <w:vAlign w:val="center"/>
          </w:tcPr>
          <w:p>
            <w:pPr>
              <w:overflowPunct w:val="0"/>
              <w:spacing w:line="440" w:lineRule="exact"/>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备注</w:t>
            </w:r>
          </w:p>
        </w:tc>
        <w:tc>
          <w:tcPr>
            <w:tcW w:w="9825" w:type="dxa"/>
            <w:gridSpan w:val="2"/>
            <w:noWrap w:val="0"/>
            <w:vAlign w:val="center"/>
          </w:tcPr>
          <w:p>
            <w:pPr>
              <w:spacing w:line="440" w:lineRule="exact"/>
              <w:ind w:firstLine="472" w:firstLineChars="196"/>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1、招标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440" w:lineRule="exact"/>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325" w:type="dxa"/>
            <w:gridSpan w:val="3"/>
            <w:noWrap w:val="0"/>
            <w:vAlign w:val="center"/>
          </w:tcPr>
          <w:p>
            <w:pPr>
              <w:spacing w:line="440" w:lineRule="exact"/>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36"/>
        <w:ind w:firstLine="0"/>
        <w:jc w:val="left"/>
        <w:rPr>
          <w:rStyle w:val="33"/>
          <w:rFonts w:hint="eastAsia" w:ascii="宋体" w:hAnsi="宋体" w:eastAsia="宋体" w:cs="宋体"/>
          <w:b/>
          <w:bCs/>
          <w:color w:val="auto"/>
          <w:sz w:val="28"/>
          <w:szCs w:val="18"/>
          <w:highlight w:val="none"/>
        </w:rPr>
      </w:pPr>
      <w:bookmarkStart w:id="34" w:name="_Toc507513095"/>
      <w:r>
        <w:rPr>
          <w:rStyle w:val="33"/>
          <w:rFonts w:hint="eastAsia" w:ascii="宋体" w:hAnsi="宋体" w:eastAsia="宋体" w:cs="宋体"/>
          <w:b/>
          <w:bCs/>
          <w:color w:val="auto"/>
          <w:sz w:val="28"/>
          <w:szCs w:val="18"/>
          <w:highlight w:val="none"/>
        </w:rPr>
        <w:t>特别提醒：</w:t>
      </w:r>
    </w:p>
    <w:p>
      <w:pPr>
        <w:spacing w:line="360" w:lineRule="auto"/>
        <w:jc w:val="left"/>
        <w:rPr>
          <w:rStyle w:val="33"/>
          <w:rFonts w:hint="eastAsia" w:ascii="宋体" w:hAnsi="宋体" w:eastAsia="宋体" w:cs="宋体"/>
          <w:b/>
          <w:color w:val="auto"/>
          <w:sz w:val="28"/>
          <w:szCs w:val="22"/>
          <w:highlight w:val="none"/>
          <w:lang w:val="en-US" w:eastAsia="zh-CN"/>
        </w:rPr>
      </w:pPr>
      <w:r>
        <w:rPr>
          <w:rStyle w:val="33"/>
          <w:rFonts w:hint="eastAsia" w:ascii="宋体" w:hAnsi="宋体" w:eastAsia="宋体" w:cs="宋体"/>
          <w:b/>
          <w:color w:val="auto"/>
          <w:sz w:val="28"/>
          <w:szCs w:val="22"/>
          <w:highlight w:val="none"/>
        </w:rPr>
        <w:t>1、由投标人基本账户汇出，且不得以分公司的名义转账，投标保证金需在202</w:t>
      </w:r>
      <w:r>
        <w:rPr>
          <w:rStyle w:val="33"/>
          <w:rFonts w:hint="eastAsia" w:ascii="宋体" w:hAnsi="宋体" w:eastAsia="宋体" w:cs="宋体"/>
          <w:b/>
          <w:color w:val="auto"/>
          <w:sz w:val="28"/>
          <w:szCs w:val="22"/>
          <w:highlight w:val="none"/>
          <w:lang w:val="en-US" w:eastAsia="zh-CN"/>
        </w:rPr>
        <w:t>1</w:t>
      </w:r>
      <w:r>
        <w:rPr>
          <w:rStyle w:val="33"/>
          <w:rFonts w:hint="eastAsia" w:ascii="宋体" w:hAnsi="宋体" w:eastAsia="宋体" w:cs="宋体"/>
          <w:b/>
          <w:color w:val="auto"/>
          <w:sz w:val="28"/>
          <w:szCs w:val="22"/>
          <w:highlight w:val="none"/>
        </w:rPr>
        <w:t>年</w:t>
      </w:r>
      <w:r>
        <w:rPr>
          <w:rStyle w:val="33"/>
          <w:rFonts w:hint="eastAsia" w:ascii="宋体" w:hAnsi="宋体" w:eastAsia="宋体" w:cs="宋体"/>
          <w:b/>
          <w:color w:val="auto"/>
          <w:sz w:val="28"/>
          <w:szCs w:val="22"/>
          <w:highlight w:val="none"/>
          <w:lang w:val="en-US" w:eastAsia="zh-CN"/>
        </w:rPr>
        <w:t xml:space="preserve"> </w:t>
      </w:r>
      <w:r>
        <w:rPr>
          <w:rStyle w:val="33"/>
          <w:rFonts w:hint="eastAsia" w:ascii="宋体" w:hAnsi="宋体" w:cs="宋体"/>
          <w:b/>
          <w:color w:val="auto"/>
          <w:sz w:val="28"/>
          <w:szCs w:val="22"/>
          <w:highlight w:val="none"/>
          <w:lang w:val="en-US" w:eastAsia="zh-CN"/>
        </w:rPr>
        <w:t>10</w:t>
      </w:r>
      <w:r>
        <w:rPr>
          <w:rStyle w:val="33"/>
          <w:rFonts w:hint="eastAsia" w:ascii="宋体" w:hAnsi="宋体" w:eastAsia="宋体" w:cs="宋体"/>
          <w:b/>
          <w:color w:val="auto"/>
          <w:sz w:val="28"/>
          <w:szCs w:val="22"/>
          <w:highlight w:val="none"/>
        </w:rPr>
        <w:t>月</w:t>
      </w:r>
      <w:r>
        <w:rPr>
          <w:rStyle w:val="33"/>
          <w:rFonts w:hint="eastAsia" w:ascii="宋体" w:hAnsi="宋体" w:eastAsia="宋体" w:cs="宋体"/>
          <w:b/>
          <w:color w:val="auto"/>
          <w:sz w:val="28"/>
          <w:szCs w:val="22"/>
          <w:highlight w:val="none"/>
          <w:lang w:val="en-US" w:eastAsia="zh-CN"/>
        </w:rPr>
        <w:t xml:space="preserve"> 1</w:t>
      </w:r>
      <w:r>
        <w:rPr>
          <w:rStyle w:val="33"/>
          <w:rFonts w:hint="eastAsia" w:ascii="宋体" w:hAnsi="宋体" w:cs="宋体"/>
          <w:b/>
          <w:color w:val="auto"/>
          <w:sz w:val="28"/>
          <w:szCs w:val="22"/>
          <w:highlight w:val="none"/>
          <w:lang w:val="en-US" w:eastAsia="zh-CN"/>
        </w:rPr>
        <w:t>8</w:t>
      </w:r>
      <w:r>
        <w:rPr>
          <w:rStyle w:val="33"/>
          <w:rFonts w:hint="eastAsia" w:ascii="宋体" w:hAnsi="宋体" w:eastAsia="宋体" w:cs="宋体"/>
          <w:b/>
          <w:color w:val="auto"/>
          <w:sz w:val="28"/>
          <w:szCs w:val="22"/>
          <w:highlight w:val="none"/>
          <w:lang w:val="en-US" w:eastAsia="zh-CN"/>
        </w:rPr>
        <w:t xml:space="preserve"> 日16</w:t>
      </w:r>
      <w:r>
        <w:rPr>
          <w:rStyle w:val="33"/>
          <w:rFonts w:hint="eastAsia" w:ascii="宋体" w:hAnsi="宋体" w:eastAsia="宋体" w:cs="宋体"/>
          <w:b/>
          <w:color w:val="auto"/>
          <w:sz w:val="28"/>
          <w:szCs w:val="22"/>
          <w:highlight w:val="none"/>
        </w:rPr>
        <w:t>：</w:t>
      </w:r>
      <w:r>
        <w:rPr>
          <w:rStyle w:val="33"/>
          <w:rFonts w:hint="eastAsia" w:ascii="宋体" w:hAnsi="宋体" w:cs="宋体"/>
          <w:b/>
          <w:color w:val="auto"/>
          <w:sz w:val="28"/>
          <w:szCs w:val="22"/>
          <w:highlight w:val="none"/>
          <w:lang w:val="en-US" w:eastAsia="zh-CN"/>
        </w:rPr>
        <w:t>0</w:t>
      </w:r>
      <w:r>
        <w:rPr>
          <w:rStyle w:val="33"/>
          <w:rFonts w:hint="eastAsia" w:ascii="宋体" w:hAnsi="宋体" w:eastAsia="宋体" w:cs="宋体"/>
          <w:b/>
          <w:color w:val="auto"/>
          <w:sz w:val="28"/>
          <w:szCs w:val="22"/>
          <w:highlight w:val="none"/>
        </w:rPr>
        <w:t>0前到账，超过时间则不予认可。</w:t>
      </w:r>
    </w:p>
    <w:p>
      <w:pPr>
        <w:spacing w:line="360" w:lineRule="auto"/>
        <w:jc w:val="left"/>
        <w:rPr>
          <w:rStyle w:val="33"/>
          <w:rFonts w:hint="eastAsia" w:ascii="宋体" w:hAnsi="宋体" w:eastAsia="宋体" w:cs="宋体"/>
          <w:b/>
          <w:color w:val="auto"/>
          <w:sz w:val="28"/>
          <w:szCs w:val="22"/>
          <w:highlight w:val="none"/>
          <w:lang w:val="en-US" w:eastAsia="zh-CN"/>
        </w:rPr>
      </w:pPr>
      <w:r>
        <w:rPr>
          <w:rStyle w:val="33"/>
          <w:rFonts w:hint="eastAsia" w:ascii="宋体" w:hAnsi="宋体" w:eastAsia="宋体" w:cs="宋体"/>
          <w:b/>
          <w:color w:val="auto"/>
          <w:sz w:val="28"/>
          <w:szCs w:val="22"/>
          <w:highlight w:val="none"/>
          <w:lang w:val="en-US" w:eastAsia="zh-CN"/>
        </w:rPr>
        <w:t xml:space="preserve">投标单位须在汇款单备注栏标明：XXX项目XXX包段（标段）或采购项目编号。 </w:t>
      </w:r>
    </w:p>
    <w:p>
      <w:pPr>
        <w:spacing w:line="440" w:lineRule="exact"/>
        <w:rPr>
          <w:rStyle w:val="33"/>
          <w:rFonts w:hint="default" w:ascii="宋体" w:hAnsi="宋体" w:eastAsia="宋体" w:cs="宋体"/>
          <w:b/>
          <w:color w:val="0000FF"/>
          <w:sz w:val="28"/>
          <w:szCs w:val="22"/>
          <w:highlight w:val="none"/>
          <w:lang w:val="en-US" w:eastAsia="zh-CN"/>
        </w:rPr>
      </w:pPr>
      <w:r>
        <w:rPr>
          <w:rStyle w:val="33"/>
          <w:rFonts w:hint="eastAsia" w:ascii="宋体" w:hAnsi="宋体" w:eastAsia="宋体" w:cs="宋体"/>
          <w:b/>
          <w:color w:val="0000FF"/>
          <w:sz w:val="28"/>
          <w:szCs w:val="22"/>
          <w:highlight w:val="none"/>
          <w:lang w:val="en-US" w:eastAsia="zh-CN"/>
        </w:rPr>
        <w:t>使用担保保函形式缴纳投标保证金的，投标企业可登录“http://hetian.jmrzdb.cn/”网站，自行注册账户办理缴纳投标保证金事宜，不明之处请查阅此网站《使用手册》或拨打咨询电话15209038888、18989736557;</w:t>
      </w:r>
      <w:r>
        <w:rPr>
          <w:rStyle w:val="33"/>
          <w:rFonts w:hint="eastAsia" w:ascii="宋体" w:hAnsi="宋体" w:eastAsia="宋体" w:cs="宋体"/>
          <w:b/>
          <w:color w:val="FF0000"/>
          <w:sz w:val="28"/>
          <w:szCs w:val="22"/>
          <w:highlight w:val="none"/>
          <w:lang w:val="en-US" w:eastAsia="zh-CN"/>
        </w:rPr>
        <w:t>开标现场查保证金汇款凭证或验银行保函的确认函。</w:t>
      </w:r>
      <w:bookmarkStart w:id="49" w:name="_GoBack"/>
      <w:bookmarkEnd w:id="49"/>
    </w:p>
    <w:p>
      <w:pPr>
        <w:spacing w:line="360" w:lineRule="auto"/>
        <w:jc w:val="left"/>
        <w:rPr>
          <w:rStyle w:val="33"/>
          <w:rFonts w:hint="eastAsia" w:ascii="宋体" w:hAnsi="宋体" w:eastAsia="宋体" w:cs="宋体"/>
          <w:b/>
          <w:color w:val="auto"/>
          <w:sz w:val="28"/>
          <w:szCs w:val="22"/>
          <w:highlight w:val="none"/>
        </w:rPr>
      </w:pPr>
      <w:r>
        <w:rPr>
          <w:rStyle w:val="33"/>
          <w:rFonts w:hint="eastAsia" w:ascii="宋体" w:hAnsi="宋体" w:eastAsia="宋体" w:cs="宋体"/>
          <w:b/>
          <w:color w:val="auto"/>
          <w:sz w:val="28"/>
          <w:szCs w:val="22"/>
          <w:highlight w:val="none"/>
          <w:lang w:val="en-US" w:eastAsia="zh-CN"/>
        </w:rPr>
        <w:t>2、投标企业下载招标文件后请仔细阅读，如对招标文件内容有质疑，投标人应当在获取采购文件或者采购文件公告期限届满之日起7个工作日内提出按招标文件中载明的邮箱：812180600@qq.com地址，以书面形式通知招标人。招标人认为必要时，将（澄清）修改后的公告发布在新疆政府采购网，敬请投标企业及时关注。在规定期限内投标企业未提出质疑的视为投标企业默认招标文件</w:t>
      </w:r>
      <w:r>
        <w:rPr>
          <w:rStyle w:val="33"/>
          <w:rFonts w:hint="eastAsia" w:ascii="宋体" w:hAnsi="宋体" w:eastAsia="宋体" w:cs="宋体"/>
          <w:b/>
          <w:color w:val="auto"/>
          <w:sz w:val="28"/>
          <w:szCs w:val="22"/>
          <w:highlight w:val="none"/>
        </w:rPr>
        <w:t>不存在质疑的相关问题。超过招标文件质疑时间将不再接受投标企业所提出的质疑。</w:t>
      </w:r>
    </w:p>
    <w:p>
      <w:pPr>
        <w:pStyle w:val="24"/>
        <w:snapToGrid w:val="0"/>
        <w:spacing w:line="480" w:lineRule="atLeast"/>
        <w:jc w:val="left"/>
        <w:rPr>
          <w:rFonts w:hint="eastAsia" w:ascii="宋体" w:hAnsi="宋体" w:eastAsia="宋体" w:cs="宋体"/>
          <w:b/>
          <w:color w:val="auto"/>
          <w:sz w:val="44"/>
          <w:highlight w:val="none"/>
        </w:rPr>
      </w:pPr>
      <w:r>
        <w:rPr>
          <w:rStyle w:val="33"/>
          <w:rFonts w:hint="eastAsia" w:hAnsi="宋体" w:eastAsia="宋体" w:cs="宋体"/>
          <w:b/>
          <w:color w:val="auto"/>
          <w:sz w:val="28"/>
          <w:szCs w:val="22"/>
          <w:highlight w:val="none"/>
          <w:lang w:val="en-US" w:eastAsia="zh-CN"/>
        </w:rPr>
        <w:t>3</w:t>
      </w:r>
      <w:r>
        <w:rPr>
          <w:rStyle w:val="33"/>
          <w:rFonts w:hint="eastAsia" w:ascii="宋体" w:hAnsi="宋体" w:eastAsia="宋体" w:cs="宋体"/>
          <w:b/>
          <w:color w:val="auto"/>
          <w:sz w:val="28"/>
          <w:szCs w:val="22"/>
          <w:highlight w:val="none"/>
        </w:rPr>
        <w:t>、为确保投标保证金的及时退还，评标结束后投标企业需提供保证金汇款凭证、开户许可证复印件、收据并注明开户行行号、联系方式（加盖公司鲜公章）交至</w:t>
      </w:r>
      <w:r>
        <w:rPr>
          <w:rStyle w:val="33"/>
          <w:rFonts w:hint="eastAsia" w:hAnsi="宋体" w:eastAsia="宋体" w:cs="宋体"/>
          <w:b/>
          <w:color w:val="auto"/>
          <w:sz w:val="28"/>
          <w:szCs w:val="22"/>
          <w:highlight w:val="none"/>
          <w:lang w:val="en-US" w:eastAsia="zh-CN"/>
        </w:rPr>
        <w:t>新疆沃图恒辉建设工程项目管理有限公司</w:t>
      </w:r>
      <w:r>
        <w:rPr>
          <w:rStyle w:val="33"/>
          <w:rFonts w:hint="eastAsia" w:ascii="宋体" w:hAnsi="宋体" w:eastAsia="宋体" w:cs="宋体"/>
          <w:b/>
          <w:color w:val="auto"/>
          <w:sz w:val="28"/>
          <w:szCs w:val="22"/>
          <w:highlight w:val="none"/>
        </w:rPr>
        <w:t>财务室办理。（注：废标项目投标保证金在后续项目再次招标时银行系统不做统计，请投标企业及时办理退款）。</w:t>
      </w:r>
    </w:p>
    <w:p>
      <w:pPr>
        <w:pStyle w:val="26"/>
        <w:keepNext w:val="0"/>
        <w:keepLines w:val="0"/>
        <w:pageBreakBefore/>
        <w:widowControl w:val="0"/>
        <w:kinsoku/>
        <w:wordWrap/>
        <w:overflowPunct/>
        <w:topLinePunct w:val="0"/>
        <w:autoSpaceDE w:val="0"/>
        <w:autoSpaceDN w:val="0"/>
        <w:bidi w:val="0"/>
        <w:adjustRightInd w:val="0"/>
        <w:snapToGrid/>
        <w:spacing w:line="440" w:lineRule="exact"/>
        <w:jc w:val="center"/>
        <w:textAlignment w:val="auto"/>
        <w:outlineLvl w:val="0"/>
        <w:rPr>
          <w:rFonts w:hint="eastAsia" w:ascii="宋体" w:hAnsi="宋体" w:eastAsia="宋体" w:cs="宋体"/>
          <w:b/>
          <w:color w:val="auto"/>
          <w:kern w:val="2"/>
          <w:sz w:val="36"/>
          <w:szCs w:val="20"/>
          <w:highlight w:val="none"/>
        </w:rPr>
      </w:pPr>
      <w:r>
        <w:rPr>
          <w:rFonts w:hint="eastAsia" w:ascii="宋体" w:hAnsi="宋体" w:eastAsia="宋体" w:cs="宋体"/>
          <w:b/>
          <w:color w:val="auto"/>
          <w:kern w:val="2"/>
          <w:sz w:val="36"/>
          <w:szCs w:val="20"/>
          <w:highlight w:val="none"/>
        </w:rPr>
        <w:t>第二部分招标说明</w:t>
      </w:r>
      <w:bookmarkEnd w:id="34"/>
    </w:p>
    <w:p>
      <w:pPr>
        <w:pStyle w:val="26"/>
        <w:spacing w:line="440" w:lineRule="exact"/>
        <w:jc w:val="center"/>
        <w:outlineLvl w:val="1"/>
        <w:rPr>
          <w:rFonts w:hint="eastAsia" w:ascii="宋体" w:hAnsi="宋体" w:eastAsia="宋体" w:cs="宋体"/>
          <w:b/>
          <w:color w:val="auto"/>
          <w:kern w:val="2"/>
          <w:sz w:val="32"/>
          <w:szCs w:val="32"/>
          <w:highlight w:val="none"/>
        </w:rPr>
      </w:pPr>
      <w:bookmarkStart w:id="35" w:name="_Toc507513096"/>
      <w:r>
        <w:rPr>
          <w:rFonts w:hint="eastAsia" w:ascii="宋体" w:hAnsi="宋体" w:eastAsia="宋体" w:cs="宋体"/>
          <w:b/>
          <w:color w:val="auto"/>
          <w:kern w:val="2"/>
          <w:sz w:val="32"/>
          <w:szCs w:val="32"/>
          <w:highlight w:val="none"/>
        </w:rPr>
        <w:t>第一章总则</w:t>
      </w:r>
      <w:bookmarkEnd w:id="35"/>
    </w:p>
    <w:p>
      <w:pPr>
        <w:spacing w:line="440" w:lineRule="exact"/>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本招标文件仅适用于</w:t>
      </w:r>
      <w:r>
        <w:rPr>
          <w:rFonts w:hint="eastAsia" w:ascii="宋体" w:hAnsi="宋体" w:cs="宋体"/>
          <w:color w:val="auto"/>
          <w:sz w:val="24"/>
          <w:highlight w:val="none"/>
          <w:lang w:val="en-US" w:eastAsia="zh-CN"/>
        </w:rPr>
        <w:t>洛浦县妇幼能力提升项目</w:t>
      </w:r>
      <w:r>
        <w:rPr>
          <w:rFonts w:hint="eastAsia" w:ascii="宋体" w:hAnsi="宋体" w:eastAsia="宋体" w:cs="宋体"/>
          <w:color w:val="auto"/>
          <w:sz w:val="24"/>
          <w:highlight w:val="none"/>
        </w:rPr>
        <w:t>的本次招标活动。</w:t>
      </w:r>
    </w:p>
    <w:p>
      <w:pPr>
        <w:tabs>
          <w:tab w:val="left" w:pos="1185"/>
        </w:tabs>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 投标资格</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具有承担本项目的能力以及符合下述条件的供应商（制造商、代理商）均为合格的投标人：</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val="en-US" w:eastAsia="zh-CN"/>
        </w:rPr>
        <w:t>1.符合中华人民共和国政府采购法第二十二条规定，具有独立承担民事责任的能力并有相应的经营范围和供货能力。（具备独立法人资格）；</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2</w:t>
      </w:r>
      <w:r>
        <w:rPr>
          <w:rFonts w:hint="eastAsia" w:ascii="宋体" w:hAnsi="宋体" w:eastAsia="宋体" w:cs="宋体"/>
          <w:color w:val="auto"/>
          <w:sz w:val="24"/>
          <w:szCs w:val="22"/>
          <w:highlight w:val="none"/>
          <w:lang w:val="en-US" w:eastAsia="zh-CN"/>
        </w:rPr>
        <w:t>. 提供有效的企业法人三证合一证营业执照（营业执照须包含本次招标内容），</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3</w:t>
      </w:r>
      <w:r>
        <w:rPr>
          <w:rFonts w:hint="eastAsia" w:ascii="宋体" w:hAnsi="宋体" w:eastAsia="宋体" w:cs="宋体"/>
          <w:color w:val="auto"/>
          <w:sz w:val="24"/>
          <w:szCs w:val="22"/>
          <w:highlight w:val="none"/>
          <w:lang w:val="en-US" w:eastAsia="zh-CN"/>
        </w:rPr>
        <w:t>、法定代表人的需携带法定代表人证明书（原件）及法定代表人身份证（原件）；委托代理人需携带法定代表人授权委托书（原件）及委托代理人身份证（原件）；</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4</w:t>
      </w:r>
      <w:r>
        <w:rPr>
          <w:rFonts w:hint="eastAsia" w:ascii="宋体" w:hAnsi="宋体" w:eastAsia="宋体" w:cs="宋体"/>
          <w:color w:val="auto"/>
          <w:sz w:val="24"/>
          <w:szCs w:val="22"/>
          <w:highlight w:val="none"/>
          <w:lang w:val="en-US" w:eastAsia="zh-CN"/>
        </w:rPr>
        <w:t>、 投标企业须提供2020年财务审计报告（2021年新成立公司提供近6个月有效的银行资信证明）；</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5</w:t>
      </w:r>
      <w:r>
        <w:rPr>
          <w:rFonts w:hint="eastAsia" w:ascii="宋体" w:hAnsi="宋体" w:eastAsia="宋体" w:cs="宋体"/>
          <w:color w:val="auto"/>
          <w:sz w:val="24"/>
          <w:szCs w:val="22"/>
          <w:highlight w:val="none"/>
          <w:lang w:val="en-US" w:eastAsia="zh-CN"/>
        </w:rPr>
        <w:t>、投标人须提供《医疗器械经营许可证》或《医疗器械生产许可证》；</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6</w:t>
      </w:r>
      <w:r>
        <w:rPr>
          <w:rFonts w:hint="eastAsia" w:ascii="宋体" w:hAnsi="宋体" w:eastAsia="宋体" w:cs="宋体"/>
          <w:color w:val="auto"/>
          <w:sz w:val="24"/>
          <w:szCs w:val="22"/>
          <w:highlight w:val="none"/>
          <w:lang w:val="en-US" w:eastAsia="zh-CN"/>
        </w:rPr>
        <w:t>、凡拟参加本次招标项目的投标人，如在信用中国网站（www.creditchina.gov.cn）、中国政府采购网（www.ccgp.gov.cn）、国家企业信用信息公示系统（http://www.gsxt.gov.cn）、被列入失信被执行人、重大税收违法案件当事人名单、政府采购严重违法失信行为记录名单的（尚在处罚期内的），被列入经营异常名录的企业，将拒绝其参加本次政府采购活动；</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7</w:t>
      </w:r>
      <w:r>
        <w:rPr>
          <w:rFonts w:hint="eastAsia" w:ascii="宋体" w:hAnsi="宋体" w:eastAsia="宋体" w:cs="宋体"/>
          <w:color w:val="auto"/>
          <w:sz w:val="24"/>
          <w:szCs w:val="22"/>
          <w:highlight w:val="none"/>
          <w:lang w:val="en-US" w:eastAsia="zh-CN"/>
        </w:rPr>
        <w:t>、单位负责人为同一人或者存在直接控股、管理关系的不同供应商，不得同时参加本次政府采购活动。</w:t>
      </w:r>
    </w:p>
    <w:p>
      <w:pPr>
        <w:widowControl/>
        <w:spacing w:line="440" w:lineRule="exact"/>
        <w:ind w:firstLine="360" w:firstLineChars="150"/>
        <w:jc w:val="left"/>
        <w:rPr>
          <w:rFonts w:hint="eastAsia" w:ascii="宋体" w:hAnsi="宋体" w:eastAsia="宋体" w:cs="宋体"/>
          <w:color w:val="auto"/>
          <w:sz w:val="24"/>
          <w:szCs w:val="22"/>
          <w:highlight w:val="none"/>
          <w:lang w:val="en-US" w:eastAsia="zh-CN"/>
        </w:rPr>
      </w:pPr>
      <w:r>
        <w:rPr>
          <w:rFonts w:hint="eastAsia" w:ascii="宋体" w:hAnsi="宋体" w:cs="宋体"/>
          <w:color w:val="auto"/>
          <w:sz w:val="24"/>
          <w:szCs w:val="22"/>
          <w:highlight w:val="none"/>
          <w:lang w:val="en-US" w:eastAsia="zh-CN"/>
        </w:rPr>
        <w:t>8、</w:t>
      </w:r>
      <w:r>
        <w:rPr>
          <w:rFonts w:hint="eastAsia" w:ascii="宋体" w:hAnsi="宋体" w:eastAsia="宋体" w:cs="宋体"/>
          <w:color w:val="auto"/>
          <w:sz w:val="24"/>
          <w:szCs w:val="22"/>
          <w:highlight w:val="none"/>
          <w:lang w:val="en-US" w:eastAsia="zh-CN"/>
        </w:rPr>
        <w:t>本项目不接受联合体投标；</w:t>
      </w:r>
    </w:p>
    <w:p>
      <w:pPr>
        <w:widowControl/>
        <w:spacing w:line="440" w:lineRule="exact"/>
        <w:ind w:firstLine="360" w:firstLineChars="150"/>
        <w:jc w:val="left"/>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2.2 投标</w:t>
      </w:r>
      <w:r>
        <w:rPr>
          <w:rFonts w:hint="eastAsia" w:ascii="宋体" w:hAnsi="宋体" w:eastAsia="宋体" w:cs="宋体"/>
          <w:color w:val="auto"/>
          <w:sz w:val="24"/>
          <w:highlight w:val="none"/>
        </w:rPr>
        <w:t>人存在下列情形之一的，拒绝其参加本次投标（已投标的按无效标处理）：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（1）为招标人不具有独立法人资格的附属机构（单位）；</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（2）为本标段前期准备提供设计或咨询服务的；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（3）为本标段提供招标代理服务的；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（4）法定代表人为同一人的两个及两个以上法人，母公司、全资子公司及其控股公司，在同一货物采购招标中同时投标的；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（5）单位负责人为同一人或者存在直接控股、管理关系的不同供应商（服务商），不得参加同一合同项下的政府采购活动；</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（6）被责令停业的；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（7）被暂停或取消投标资格的；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（8）财产被接管或冻结的；</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（9）在最近三年内有骗取中标或严重违约或重大质量问题的，受到行政处罚的。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有下列情形之一的，视为投标人串通投标，其投标无效：</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（1）不同投标人的投标文件由同一单位或者个人编制。</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（2）不同投标人委托同一单位或者个人办理投标事宜。</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（3）不同投标人的投标文件载明的项目管理成员或者联系人员为同一人。</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（4）不同投标人的投标文件异常一致或者投标报价呈规律性差异。</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（5）不同投标人的投标文件相互混装。</w:t>
      </w:r>
    </w:p>
    <w:p>
      <w:pPr>
        <w:spacing w:line="440" w:lineRule="exact"/>
        <w:ind w:firstLine="540" w:firstLineChars="2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（6）不同投标人的投标保证金从同一单位或者个人的账户转出。</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 投标人在本次招标活动中，必须遵守《中华人民共和国政府采购法》及《中华人民共和国招标投标法》的规定。</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 定义</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下列术语和缩写的定义为：</w:t>
      </w:r>
    </w:p>
    <w:p>
      <w:pPr>
        <w:tabs>
          <w:tab w:val="left" w:pos="1320"/>
        </w:tabs>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3.1  “采购人”系指</w:t>
      </w:r>
      <w:r>
        <w:rPr>
          <w:rFonts w:hint="eastAsia" w:ascii="宋体" w:hAnsi="宋体" w:cs="宋体"/>
          <w:color w:val="auto"/>
          <w:sz w:val="24"/>
          <w:highlight w:val="none"/>
          <w:lang w:val="en-US" w:eastAsia="zh-CN"/>
        </w:rPr>
        <w:t>洛浦县妇幼保健站</w:t>
      </w:r>
      <w:r>
        <w:rPr>
          <w:rFonts w:hint="eastAsia" w:ascii="宋体" w:hAnsi="宋体" w:eastAsia="宋体" w:cs="宋体"/>
          <w:color w:val="auto"/>
          <w:sz w:val="24"/>
          <w:szCs w:val="24"/>
          <w:highlight w:val="none"/>
        </w:rPr>
        <w:t>。</w:t>
      </w:r>
    </w:p>
    <w:p>
      <w:pPr>
        <w:tabs>
          <w:tab w:val="left" w:pos="1320"/>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  “招标代理机构”系指</w:t>
      </w:r>
      <w:r>
        <w:rPr>
          <w:rFonts w:hint="eastAsia" w:ascii="宋体" w:hAnsi="宋体" w:cs="宋体"/>
          <w:color w:val="auto"/>
          <w:sz w:val="24"/>
          <w:highlight w:val="none"/>
          <w:lang w:eastAsia="zh-CN"/>
        </w:rPr>
        <w:t>新疆沃图恒辉建设工程项目管理有限公司</w:t>
      </w:r>
      <w:r>
        <w:rPr>
          <w:rFonts w:hint="eastAsia" w:ascii="宋体" w:hAnsi="宋体" w:eastAsia="宋体" w:cs="宋体"/>
          <w:color w:val="auto"/>
          <w:sz w:val="24"/>
          <w:highlight w:val="none"/>
        </w:rPr>
        <w:t>。</w:t>
      </w:r>
    </w:p>
    <w:p>
      <w:pPr>
        <w:tabs>
          <w:tab w:val="left" w:pos="900"/>
        </w:tabs>
        <w:spacing w:line="440" w:lineRule="exact"/>
        <w:ind w:left="480"/>
        <w:rPr>
          <w:rFonts w:hint="eastAsia" w:ascii="宋体" w:hAnsi="宋体" w:eastAsia="宋体" w:cs="宋体"/>
          <w:color w:val="auto"/>
          <w:sz w:val="24"/>
          <w:highlight w:val="none"/>
        </w:rPr>
      </w:pPr>
      <w:r>
        <w:rPr>
          <w:rFonts w:hint="eastAsia" w:ascii="宋体" w:hAnsi="宋体" w:eastAsia="宋体" w:cs="宋体"/>
          <w:color w:val="auto"/>
          <w:sz w:val="24"/>
          <w:highlight w:val="none"/>
        </w:rPr>
        <w:t>3.3  “招标方”系指采购人和招标代理机构的统称。</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3.4  “投标人”系指有资格的</w:t>
      </w:r>
      <w:r>
        <w:rPr>
          <w:rFonts w:hint="eastAsia" w:ascii="宋体" w:hAnsi="宋体" w:eastAsia="宋体" w:cs="宋体"/>
          <w:color w:val="auto"/>
          <w:sz w:val="24"/>
          <w:szCs w:val="24"/>
          <w:highlight w:val="none"/>
        </w:rPr>
        <w:t>供应商（制造商、代理商）</w:t>
      </w:r>
      <w:r>
        <w:rPr>
          <w:rFonts w:hint="eastAsia" w:ascii="宋体" w:hAnsi="宋体" w:eastAsia="宋体" w:cs="宋体"/>
          <w:color w:val="auto"/>
          <w:sz w:val="24"/>
          <w:highlight w:val="none"/>
        </w:rPr>
        <w:t>及投标表现人。</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3.5  “中标方”系指经评标委员会评定后得分最高并由评标委员会推荐的投标人。</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3.6  “货物”、“产品”指本招标文件中第四部分《采购需求》及《政府采购品目分类目录》(财库[2013]189号)所述所有货物及相关服务。</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3.6.1采购信息安全产品的，应当采购经国家认证的信息安全产品；供应货物中的相关产品，供应商应提供由中国信息安全认证中心按国家标准认证颁发的有效认证证书。</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3.7 “节能产品”或者“环保产品”是指财政部发布的《节能产品政府采购清单》或者《环境标志产品政府采购清单》的产品。</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3.8 “进口产品”是指通过中国海关报关验放进入中国境内且产自关境外的产品，详见《关于政府采购进口产品管理有关问题的通知》(财库[2007]119号)。</w:t>
      </w:r>
    </w:p>
    <w:p>
      <w:pPr>
        <w:spacing w:line="440" w:lineRule="exact"/>
        <w:ind w:firstLine="482"/>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3.9  “服务”系指招</w:t>
      </w:r>
      <w:r>
        <w:rPr>
          <w:rFonts w:hint="eastAsia" w:ascii="宋体" w:hAnsi="宋体" w:eastAsia="宋体" w:cs="宋体"/>
          <w:color w:val="auto"/>
          <w:sz w:val="24"/>
          <w:szCs w:val="24"/>
          <w:highlight w:val="none"/>
        </w:rPr>
        <w:t>标文件中规定投标人须承担的质保、技术协助、培训及其他类似的责任。</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3.10  “响应”系指投标人根据招标代理机构发布的招标文件，编制投标文件并按规定投标的行为。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3.11  “标段（包）”系指一个完整独立的投标项目。</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投标费用</w:t>
      </w:r>
    </w:p>
    <w:p>
      <w:pPr>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4.1  无论投标结果如何，凡参与招标、投标活动有关的所有费用将由投标人自行承担。</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4.2  投标人被视为熟悉本招标项目的各种情况以及与履行合同有关的一切情况。</w:t>
      </w:r>
    </w:p>
    <w:p>
      <w:pPr>
        <w:pStyle w:val="26"/>
        <w:spacing w:line="440" w:lineRule="exact"/>
        <w:jc w:val="center"/>
        <w:outlineLvl w:val="1"/>
        <w:rPr>
          <w:rFonts w:hint="eastAsia" w:ascii="宋体" w:hAnsi="宋体" w:eastAsia="宋体" w:cs="宋体"/>
          <w:b/>
          <w:color w:val="auto"/>
          <w:kern w:val="2"/>
          <w:sz w:val="32"/>
          <w:szCs w:val="32"/>
          <w:highlight w:val="none"/>
        </w:rPr>
      </w:pPr>
      <w:bookmarkStart w:id="36" w:name="_Toc507513097"/>
      <w:r>
        <w:rPr>
          <w:rFonts w:hint="eastAsia" w:ascii="宋体" w:hAnsi="宋体" w:eastAsia="宋体" w:cs="宋体"/>
          <w:b/>
          <w:color w:val="auto"/>
          <w:kern w:val="2"/>
          <w:sz w:val="32"/>
          <w:szCs w:val="32"/>
          <w:highlight w:val="none"/>
        </w:rPr>
        <w:t>第二章招标文件</w:t>
      </w:r>
      <w:bookmarkEnd w:id="36"/>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5. 招标文件说明</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5.1  招标文件组成如下：</w:t>
      </w:r>
    </w:p>
    <w:p>
      <w:pPr>
        <w:tabs>
          <w:tab w:val="left" w:pos="1185"/>
        </w:tabs>
        <w:spacing w:line="440" w:lineRule="exact"/>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招标公告</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第一部分投标须知</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第二部分招标说明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第三部分投标说明</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第四部分采购需求</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第五部分合同部分</w:t>
      </w:r>
    </w:p>
    <w:p>
      <w:pPr>
        <w:spacing w:line="440" w:lineRule="exact"/>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第六部分投标文件格式（范本格式）</w:t>
      </w:r>
    </w:p>
    <w:p>
      <w:pPr>
        <w:tabs>
          <w:tab w:val="left" w:pos="118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  投标人应详细阅读招标文件的全部内容。如果投标人未按照招标文件要求提交全部资料或者投标文件没有对招标文件在各方面的要求做出实质性响应，将导致其投标被拒绝。</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6. 招标文件的澄清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6.1　投标人对招标文件如有疑点，可在投标截止期的</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u w:val="single"/>
          <w:lang w:eastAsia="zh-CN"/>
        </w:rPr>
        <w:t>三</w:t>
      </w:r>
      <w:r>
        <w:rPr>
          <w:rFonts w:hint="eastAsia" w:ascii="宋体" w:hAnsi="宋体" w:eastAsia="宋体" w:cs="宋体"/>
          <w:color w:val="auto"/>
          <w:sz w:val="24"/>
          <w:highlight w:val="none"/>
          <w:u w:val="single"/>
        </w:rPr>
        <w:t>日前　</w:t>
      </w:r>
      <w:r>
        <w:rPr>
          <w:rFonts w:hint="eastAsia" w:ascii="宋体" w:hAnsi="宋体" w:eastAsia="宋体" w:cs="宋体"/>
          <w:color w:val="auto"/>
          <w:sz w:val="24"/>
          <w:highlight w:val="none"/>
        </w:rPr>
        <w:t>按招标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7. 招标文件的修改或补充</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7.1　在投标截止期五日前的任何时间，招标方可主动或依据投标人要求澄清的问题而修改或补充招标文件，并以书面形式或网上公告通知所有投标人，投标人在收到该通知后应立即以电报或传真的形式予以确认。</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7.2　为使投标人在准备投标时有适当的时间考虑投标文件的修改，招标方有权决定推迟投标截止时间和开标时间，并将此变更通知所有的投标人。</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7.3　招标文件的修改和补充文件将构成招标文件的一部分，并且对投标人具有优先约束</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8.质疑须知</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投标人如需提出质疑的，应在法定质疑期内一次性提出针对同一采购程序环节的质疑。</w:t>
      </w:r>
    </w:p>
    <w:p>
      <w:pPr>
        <w:pStyle w:val="26"/>
        <w:spacing w:line="440" w:lineRule="exact"/>
        <w:jc w:val="both"/>
        <w:outlineLvl w:val="0"/>
        <w:rPr>
          <w:rFonts w:hint="eastAsia" w:ascii="宋体" w:hAnsi="宋体" w:eastAsia="宋体" w:cs="宋体"/>
          <w:b/>
          <w:color w:val="auto"/>
          <w:kern w:val="2"/>
          <w:sz w:val="36"/>
          <w:szCs w:val="20"/>
          <w:highlight w:val="none"/>
        </w:rPr>
      </w:pPr>
      <w:bookmarkStart w:id="37" w:name="_Toc507513098"/>
    </w:p>
    <w:p>
      <w:pPr>
        <w:pStyle w:val="26"/>
        <w:spacing w:line="440" w:lineRule="exact"/>
        <w:jc w:val="center"/>
        <w:outlineLvl w:val="0"/>
        <w:rPr>
          <w:rFonts w:hint="eastAsia" w:ascii="宋体" w:hAnsi="宋体" w:eastAsia="宋体" w:cs="宋体"/>
          <w:b/>
          <w:color w:val="auto"/>
          <w:kern w:val="2"/>
          <w:sz w:val="36"/>
          <w:szCs w:val="20"/>
          <w:highlight w:val="none"/>
        </w:rPr>
      </w:pPr>
      <w:r>
        <w:rPr>
          <w:rFonts w:hint="eastAsia" w:ascii="宋体" w:hAnsi="宋体" w:eastAsia="宋体" w:cs="宋体"/>
          <w:b/>
          <w:color w:val="auto"/>
          <w:kern w:val="2"/>
          <w:sz w:val="36"/>
          <w:szCs w:val="20"/>
          <w:highlight w:val="none"/>
        </w:rPr>
        <w:t>第三部分投标说明</w:t>
      </w:r>
      <w:bookmarkEnd w:id="37"/>
    </w:p>
    <w:p>
      <w:pPr>
        <w:pStyle w:val="26"/>
        <w:spacing w:line="440" w:lineRule="exact"/>
        <w:jc w:val="center"/>
        <w:outlineLvl w:val="0"/>
        <w:rPr>
          <w:rFonts w:hint="eastAsia" w:ascii="宋体" w:hAnsi="宋体" w:eastAsia="宋体" w:cs="宋体"/>
          <w:b/>
          <w:color w:val="auto"/>
          <w:kern w:val="2"/>
          <w:sz w:val="36"/>
          <w:szCs w:val="20"/>
          <w:highlight w:val="none"/>
        </w:rPr>
      </w:pPr>
    </w:p>
    <w:p>
      <w:pPr>
        <w:spacing w:line="440" w:lineRule="exact"/>
        <w:ind w:firstLine="2891" w:firstLineChars="900"/>
        <w:outlineLvl w:val="1"/>
        <w:rPr>
          <w:rFonts w:hint="eastAsia" w:ascii="宋体" w:hAnsi="宋体" w:eastAsia="宋体" w:cs="宋体"/>
          <w:b/>
          <w:color w:val="auto"/>
          <w:sz w:val="32"/>
          <w:highlight w:val="none"/>
        </w:rPr>
      </w:pPr>
      <w:bookmarkStart w:id="38" w:name="_Toc507513099"/>
      <w:r>
        <w:rPr>
          <w:rFonts w:hint="eastAsia" w:ascii="宋体" w:hAnsi="宋体" w:eastAsia="宋体" w:cs="宋体"/>
          <w:b/>
          <w:color w:val="auto"/>
          <w:sz w:val="32"/>
          <w:highlight w:val="none"/>
        </w:rPr>
        <w:t>第一章对投标人的资质要求</w:t>
      </w:r>
      <w:bookmarkEnd w:id="38"/>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1、开标会的资质要求、开标时间及地点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1.1、本项目开标的时间、地点已在投标人须知前附表列清。</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1.2、招标人将邀请所有投标人派代表参加开标会，投标人必须提交能够证明其具有履行本招标项目合同能力的资质证明文件，作为投标文件的一部分，具体要求如下：</w:t>
      </w:r>
    </w:p>
    <w:p>
      <w:pPr>
        <w:widowControl/>
        <w:spacing w:line="440" w:lineRule="exact"/>
        <w:ind w:firstLine="360" w:firstLineChars="150"/>
        <w:jc w:val="left"/>
        <w:rPr>
          <w:rFonts w:hint="eastAsia" w:ascii="宋体" w:hAnsi="宋体" w:eastAsia="宋体" w:cs="宋体"/>
          <w:color w:val="auto"/>
          <w:sz w:val="24"/>
          <w:szCs w:val="22"/>
          <w:highlight w:val="none"/>
          <w:lang w:eastAsia="zh-CN"/>
        </w:rPr>
      </w:pPr>
      <w:r>
        <w:rPr>
          <w:rFonts w:hint="eastAsia" w:ascii="宋体" w:hAnsi="宋体" w:cs="宋体"/>
          <w:color w:val="auto"/>
          <w:sz w:val="24"/>
          <w:szCs w:val="22"/>
          <w:highlight w:val="none"/>
          <w:lang w:eastAsia="zh-CN"/>
        </w:rPr>
        <w:t>法人授权委托书、被授权人身份证原件、</w:t>
      </w:r>
      <w:r>
        <w:rPr>
          <w:rFonts w:hint="eastAsia" w:ascii="宋体" w:hAnsi="宋体" w:eastAsia="宋体" w:cs="宋体"/>
          <w:color w:val="auto"/>
          <w:sz w:val="24"/>
          <w:szCs w:val="22"/>
          <w:highlight w:val="none"/>
        </w:rPr>
        <w:t>营业执照</w:t>
      </w:r>
      <w:r>
        <w:rPr>
          <w:rFonts w:hint="eastAsia" w:ascii="宋体" w:hAnsi="宋体" w:cs="宋体"/>
          <w:color w:val="auto"/>
          <w:sz w:val="24"/>
          <w:szCs w:val="22"/>
          <w:highlight w:val="none"/>
          <w:lang w:eastAsia="zh-CN"/>
        </w:rPr>
        <w:t>、《医疗器械经营许可证》或《医疗器械生产许可证》、</w:t>
      </w:r>
      <w:r>
        <w:rPr>
          <w:rFonts w:hint="eastAsia" w:ascii="宋体" w:hAnsi="宋体" w:eastAsia="宋体" w:cs="宋体"/>
          <w:color w:val="auto"/>
          <w:sz w:val="24"/>
          <w:szCs w:val="22"/>
          <w:highlight w:val="none"/>
        </w:rPr>
        <w:t>所代理产品的授权</w:t>
      </w:r>
      <w:r>
        <w:rPr>
          <w:rFonts w:hint="eastAsia" w:ascii="宋体" w:hAnsi="宋体" w:eastAsia="宋体" w:cs="宋体"/>
          <w:color w:val="auto"/>
          <w:sz w:val="24"/>
          <w:szCs w:val="22"/>
          <w:highlight w:val="none"/>
          <w:lang w:val="en-US" w:eastAsia="zh-CN"/>
        </w:rPr>
        <w:t>书</w:t>
      </w:r>
      <w:r>
        <w:rPr>
          <w:rFonts w:hint="eastAsia" w:ascii="宋体" w:hAnsi="宋体" w:cs="宋体"/>
          <w:color w:val="auto"/>
          <w:sz w:val="24"/>
          <w:szCs w:val="22"/>
          <w:highlight w:val="none"/>
          <w:lang w:val="en-US" w:eastAsia="zh-CN"/>
        </w:rPr>
        <w:t>或制造商声明函、</w:t>
      </w:r>
      <w:r>
        <w:rPr>
          <w:rFonts w:hint="eastAsia" w:ascii="宋体" w:hAnsi="宋体" w:eastAsia="宋体" w:cs="宋体"/>
          <w:color w:val="auto"/>
          <w:sz w:val="24"/>
          <w:szCs w:val="22"/>
          <w:highlight w:val="none"/>
        </w:rPr>
        <w:t>“信用中国”网站（http://www.creditchina.gov.cn/）无违法违规行为的查询纪录</w:t>
      </w:r>
      <w:r>
        <w:rPr>
          <w:rFonts w:hint="eastAsia" w:ascii="宋体" w:hAnsi="宋体" w:cs="宋体"/>
          <w:color w:val="auto"/>
          <w:sz w:val="24"/>
          <w:szCs w:val="22"/>
          <w:highlight w:val="none"/>
          <w:lang w:eastAsia="zh-CN"/>
        </w:rPr>
        <w:t>、中国政府采购网（www.ccgp.gov.cn）政府采购严重违法失信行为记录名单的查询截图并加盖公章、保证金汇款凭证</w:t>
      </w:r>
    </w:p>
    <w:p>
      <w:pPr>
        <w:spacing w:line="440" w:lineRule="exact"/>
        <w:ind w:firstLine="361" w:firstLineChars="150"/>
        <w:rPr>
          <w:rFonts w:hint="eastAsia" w:ascii="宋体" w:hAnsi="宋体" w:eastAsia="宋体" w:cs="宋体"/>
          <w:b/>
          <w:bCs/>
          <w:color w:val="auto"/>
          <w:sz w:val="24"/>
          <w:highlight w:val="none"/>
        </w:rPr>
      </w:pPr>
      <w:r>
        <w:rPr>
          <w:rFonts w:hint="eastAsia" w:ascii="宋体" w:hAnsi="宋体" w:eastAsia="宋体" w:cs="宋体"/>
          <w:b/>
          <w:bCs/>
          <w:color w:val="auto"/>
          <w:sz w:val="24"/>
          <w:szCs w:val="24"/>
          <w:highlight w:val="none"/>
        </w:rPr>
        <w:t>说明：</w:t>
      </w:r>
      <w:r>
        <w:rPr>
          <w:rFonts w:hint="eastAsia" w:ascii="宋体" w:hAnsi="宋体" w:cs="宋体"/>
          <w:b/>
          <w:bCs/>
          <w:color w:val="auto"/>
          <w:sz w:val="24"/>
          <w:szCs w:val="24"/>
          <w:highlight w:val="none"/>
          <w:lang w:eastAsia="zh-CN"/>
        </w:rPr>
        <w:t>上述资料为</w:t>
      </w:r>
      <w:r>
        <w:rPr>
          <w:rFonts w:hint="eastAsia" w:ascii="宋体" w:hAnsi="宋体" w:eastAsia="宋体" w:cs="宋体"/>
          <w:b/>
          <w:bCs/>
          <w:color w:val="auto"/>
          <w:sz w:val="24"/>
          <w:szCs w:val="24"/>
          <w:highlight w:val="none"/>
        </w:rPr>
        <w:t>投标时</w:t>
      </w:r>
      <w:r>
        <w:rPr>
          <w:rFonts w:hint="eastAsia" w:ascii="宋体" w:hAnsi="宋体" w:cs="宋体"/>
          <w:b/>
          <w:bCs/>
          <w:color w:val="auto"/>
          <w:sz w:val="24"/>
          <w:szCs w:val="24"/>
          <w:highlight w:val="none"/>
          <w:lang w:eastAsia="zh-CN"/>
        </w:rPr>
        <w:t>开标查验</w:t>
      </w:r>
      <w:r>
        <w:rPr>
          <w:rFonts w:hint="eastAsia" w:ascii="宋体" w:hAnsi="宋体" w:eastAsia="宋体" w:cs="宋体"/>
          <w:b/>
          <w:bCs/>
          <w:color w:val="auto"/>
          <w:sz w:val="24"/>
          <w:szCs w:val="24"/>
          <w:highlight w:val="none"/>
        </w:rPr>
        <w:t>的必备条件，必须单独提交；如果缺项则视为对招标文件资格审查内容的不响应，可作无效标处理。</w:t>
      </w:r>
    </w:p>
    <w:p>
      <w:pPr>
        <w:spacing w:line="440" w:lineRule="exact"/>
        <w:ind w:firstLine="352" w:firstLineChars="147"/>
        <w:rPr>
          <w:rFonts w:hint="eastAsia" w:ascii="宋体" w:hAnsi="宋体" w:eastAsia="宋体" w:cs="宋体"/>
          <w:b/>
          <w:bCs/>
          <w:color w:val="auto"/>
          <w:sz w:val="24"/>
          <w:highlight w:val="none"/>
        </w:rPr>
      </w:pPr>
      <w:r>
        <w:rPr>
          <w:rFonts w:hint="eastAsia" w:ascii="宋体" w:hAnsi="宋体" w:eastAsia="宋体" w:cs="宋体"/>
          <w:bCs/>
          <w:color w:val="auto"/>
          <w:sz w:val="24"/>
          <w:szCs w:val="24"/>
          <w:highlight w:val="none"/>
        </w:rPr>
        <w:t>1.3  所有资格证明文件，</w:t>
      </w:r>
      <w:r>
        <w:rPr>
          <w:rFonts w:hint="eastAsia" w:ascii="宋体" w:hAnsi="宋体" w:eastAsia="宋体" w:cs="宋体"/>
          <w:b/>
          <w:bCs/>
          <w:color w:val="auto"/>
          <w:sz w:val="24"/>
          <w:szCs w:val="24"/>
          <w:highlight w:val="none"/>
          <w:em w:val="dot"/>
        </w:rPr>
        <w:t>在正本中资格证明文件的复印件须加盖公章</w:t>
      </w:r>
      <w:r>
        <w:rPr>
          <w:rFonts w:hint="eastAsia" w:ascii="宋体" w:hAnsi="宋体" w:eastAsia="宋体" w:cs="宋体"/>
          <w:bCs/>
          <w:color w:val="auto"/>
          <w:sz w:val="24"/>
          <w:szCs w:val="24"/>
          <w:highlight w:val="none"/>
        </w:rPr>
        <w:t>，以备资格审查时与原件核对（有特别说明的除外），副本中可为复印件。</w:t>
      </w:r>
    </w:p>
    <w:p>
      <w:pPr>
        <w:spacing w:line="440" w:lineRule="exact"/>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　所有资格证明文件必须满足招标文件的要求，否则将导致废标。</w:t>
      </w:r>
      <w:bookmarkStart w:id="39" w:name="_Toc507513100"/>
    </w:p>
    <w:p>
      <w:pPr>
        <w:pStyle w:val="25"/>
        <w:rPr>
          <w:rFonts w:hint="eastAsia"/>
        </w:rPr>
      </w:pPr>
    </w:p>
    <w:p>
      <w:pPr>
        <w:spacing w:line="440" w:lineRule="exact"/>
        <w:ind w:firstLine="3213" w:firstLineChars="1000"/>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第二章 投标文件的编写</w:t>
      </w:r>
      <w:bookmarkEnd w:id="39"/>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 要求</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投标人应详细阅读招标文件中的条款、规范、表示、条件和格式等所有内容，按招标文件的要求份数提供投标文件，并保证所提供全部材料的真实性，使其投标对招标文件做出实质性响应。否则，其投标视为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2.2允许投标人对本招标文件中的所有包投标，也可根据本企业生产或代理产品的情况对部分包进行投标，但不允许投标人对某一包中的一项或部分项进行投标。招标人可选择一家投标单位为所有包的中标人，也可选择若干个投标单位分别中标。 </w:t>
      </w:r>
    </w:p>
    <w:p>
      <w:pPr>
        <w:spacing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3. 投标文件语言和度量单位</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  投标文件及投标人和招标方就招标、投标交换的文件和往来信件，须以中文书写。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除在招标文件的技术规格中另有规定外，计量单位应使用中华人民共和国法定计量单位。</w:t>
      </w:r>
    </w:p>
    <w:p>
      <w:pPr>
        <w:spacing w:line="440" w:lineRule="exact"/>
        <w:ind w:firstLine="482" w:firstLineChars="200"/>
        <w:rPr>
          <w:rFonts w:hint="eastAsia" w:ascii="宋体" w:hAnsi="宋体" w:eastAsia="宋体" w:cs="宋体"/>
          <w:b/>
          <w:color w:val="auto"/>
          <w:sz w:val="24"/>
          <w:szCs w:val="24"/>
          <w:highlight w:val="none"/>
        </w:rPr>
      </w:pP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 投标文件的组成</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投标人编写的投标文件应包括下列内容：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（1）开标一览表；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（2）投标资格证明文件；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（3）所投产品的相关技术证明资料；</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（4）招标文件中所要求的采购货物需求及技术规格、合同特殊条款中要求提交的文件、资料等。</w:t>
      </w:r>
    </w:p>
    <w:p>
      <w:pPr>
        <w:widowControl/>
        <w:spacing w:line="440" w:lineRule="exact"/>
        <w:ind w:firstLine="482" w:firstLineChars="200"/>
        <w:jc w:val="left"/>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4.2  投标人应按下列顺序排列、装订投标文件：</w:t>
      </w:r>
    </w:p>
    <w:p>
      <w:pPr>
        <w:widowControl/>
        <w:spacing w:line="440" w:lineRule="exact"/>
        <w:ind w:firstLine="482" w:firstLineChars="20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商务标</w:t>
      </w:r>
    </w:p>
    <w:tbl>
      <w:tblPr>
        <w:tblStyle w:val="1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3261"/>
        <w:gridCol w:w="1334"/>
        <w:gridCol w:w="1123"/>
        <w:gridCol w:w="3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640"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261"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编制文件名称</w:t>
            </w:r>
          </w:p>
        </w:tc>
        <w:tc>
          <w:tcPr>
            <w:tcW w:w="1334"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正本</w:t>
            </w:r>
          </w:p>
        </w:tc>
        <w:tc>
          <w:tcPr>
            <w:tcW w:w="1123"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副本</w:t>
            </w:r>
          </w:p>
        </w:tc>
        <w:tc>
          <w:tcPr>
            <w:tcW w:w="3522"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封面</w:t>
            </w:r>
          </w:p>
        </w:tc>
        <w:tc>
          <w:tcPr>
            <w:tcW w:w="1334"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1123"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格式自定（正本或副本、商务标或技术标、投标项目信息、投标单位信息）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目录</w:t>
            </w:r>
          </w:p>
        </w:tc>
        <w:tc>
          <w:tcPr>
            <w:tcW w:w="1334"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1123"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bCs/>
                <w:color w:val="auto"/>
                <w:sz w:val="24"/>
                <w:szCs w:val="24"/>
                <w:highlight w:val="none"/>
              </w:rPr>
              <w:t>营业执照</w:t>
            </w:r>
          </w:p>
        </w:tc>
        <w:tc>
          <w:tcPr>
            <w:tcW w:w="133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投标保证金缴纳凭证</w:t>
            </w:r>
          </w:p>
        </w:tc>
        <w:tc>
          <w:tcPr>
            <w:tcW w:w="133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电汇凭证或</w:t>
            </w:r>
            <w:r>
              <w:rPr>
                <w:rFonts w:hint="eastAsia" w:ascii="宋体" w:hAnsi="宋体" w:cs="宋体"/>
                <w:color w:val="auto"/>
                <w:kern w:val="0"/>
                <w:sz w:val="24"/>
                <w:highlight w:val="none"/>
                <w:lang w:eastAsia="zh-CN"/>
              </w:rPr>
              <w:t>相关材料</w:t>
            </w:r>
            <w:r>
              <w:rPr>
                <w:rFonts w:hint="eastAsia" w:ascii="宋体" w:hAnsi="宋体" w:eastAsia="宋体" w:cs="宋体"/>
                <w:color w:val="auto"/>
                <w:kern w:val="0"/>
                <w:sz w:val="24"/>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信用记录</w:t>
            </w:r>
          </w:p>
        </w:tc>
        <w:tc>
          <w:tcPr>
            <w:tcW w:w="133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“信用中国”查询结果</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rPr>
              <w:t>需体现查询日期（网页打印件须自招标文件发布之日起至首次提交投标文件截止时间内从上述网站中打印）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6</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关于资格的声明函</w:t>
            </w:r>
          </w:p>
        </w:tc>
        <w:tc>
          <w:tcPr>
            <w:tcW w:w="1334" w:type="dxa"/>
            <w:noWrap w:val="0"/>
            <w:vAlign w:val="center"/>
          </w:tcPr>
          <w:p>
            <w:pPr>
              <w:widowControl/>
              <w:spacing w:line="440" w:lineRule="exact"/>
              <w:ind w:firstLine="240" w:firstLineChars="1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法人授权委托书</w:t>
            </w:r>
          </w:p>
        </w:tc>
        <w:tc>
          <w:tcPr>
            <w:tcW w:w="1334" w:type="dxa"/>
            <w:noWrap w:val="0"/>
            <w:vAlign w:val="center"/>
          </w:tcPr>
          <w:p>
            <w:pPr>
              <w:widowControl/>
              <w:spacing w:line="440" w:lineRule="exact"/>
              <w:ind w:firstLine="240" w:firstLineChars="1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投标函</w:t>
            </w:r>
          </w:p>
        </w:tc>
        <w:tc>
          <w:tcPr>
            <w:tcW w:w="1334" w:type="dxa"/>
            <w:noWrap w:val="0"/>
            <w:vAlign w:val="center"/>
          </w:tcPr>
          <w:p>
            <w:pPr>
              <w:widowControl/>
              <w:spacing w:line="440" w:lineRule="exact"/>
              <w:ind w:firstLine="240" w:firstLineChars="1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（附件1-3）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26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商务条款偏离表</w:t>
            </w:r>
          </w:p>
        </w:tc>
        <w:tc>
          <w:tcPr>
            <w:tcW w:w="1334" w:type="dxa"/>
            <w:noWrap w:val="0"/>
            <w:vAlign w:val="center"/>
          </w:tcPr>
          <w:p>
            <w:pPr>
              <w:spacing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w:t>
            </w:r>
          </w:p>
        </w:tc>
        <w:tc>
          <w:tcPr>
            <w:tcW w:w="352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1-4</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261"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上一年度（201</w:t>
            </w: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rPr>
              <w:t>年度）财务审计报告或财务报表</w:t>
            </w:r>
          </w:p>
        </w:tc>
        <w:tc>
          <w:tcPr>
            <w:tcW w:w="1334"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1123"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3522" w:type="dxa"/>
            <w:noWrap w:val="0"/>
            <w:vAlign w:val="center"/>
          </w:tcPr>
          <w:p>
            <w:pPr>
              <w:numPr>
                <w:ilvl w:val="0"/>
                <w:numId w:val="5"/>
              </w:num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本年度新成立公司不提供</w:t>
            </w:r>
          </w:p>
          <w:p>
            <w:pPr>
              <w:spacing w:line="440" w:lineRule="exact"/>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、正本需加盖公章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261"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近三年经营业绩表</w:t>
            </w:r>
          </w:p>
        </w:tc>
        <w:tc>
          <w:tcPr>
            <w:tcW w:w="1334" w:type="dxa"/>
            <w:noWrap w:val="0"/>
            <w:vAlign w:val="center"/>
          </w:tcPr>
          <w:p>
            <w:pPr>
              <w:spacing w:line="440" w:lineRule="exact"/>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复印件</w:t>
            </w:r>
          </w:p>
        </w:tc>
        <w:tc>
          <w:tcPr>
            <w:tcW w:w="1123"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352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提供合同或中标通知书</w:t>
            </w:r>
          </w:p>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5</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40" w:type="dxa"/>
            <w:noWrap w:val="0"/>
            <w:vAlign w:val="center"/>
          </w:tcPr>
          <w:p>
            <w:pPr>
              <w:spacing w:line="440" w:lineRule="exact"/>
              <w:jc w:val="center"/>
              <w:rPr>
                <w:rFonts w:hint="default"/>
                <w:lang w:val="en-US" w:eastAsia="zh-CN"/>
              </w:rPr>
            </w:pPr>
            <w:r>
              <w:rPr>
                <w:rFonts w:hint="eastAsia"/>
                <w:lang w:val="en-US" w:eastAsia="zh-CN"/>
              </w:rPr>
              <w:t>12</w:t>
            </w:r>
          </w:p>
        </w:tc>
        <w:tc>
          <w:tcPr>
            <w:tcW w:w="3261"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反商业贿赂承诺书</w:t>
            </w:r>
          </w:p>
        </w:tc>
        <w:tc>
          <w:tcPr>
            <w:tcW w:w="1334" w:type="dxa"/>
            <w:noWrap w:val="0"/>
            <w:vAlign w:val="center"/>
          </w:tcPr>
          <w:p>
            <w:pPr>
              <w:spacing w:line="440" w:lineRule="exact"/>
              <w:ind w:left="0" w:leftChars="0"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复印件</w:t>
            </w:r>
          </w:p>
        </w:tc>
        <w:tc>
          <w:tcPr>
            <w:tcW w:w="1123"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3522"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6</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default" w:ascii="宋体" w:hAnsi="宋体" w:eastAsia="宋体" w:cs="宋体"/>
                <w:color w:val="auto"/>
                <w:sz w:val="24"/>
                <w:szCs w:val="24"/>
                <w:highlight w:val="cyan"/>
                <w:lang w:val="en-US" w:eastAsia="zh-CN"/>
              </w:rPr>
            </w:pPr>
            <w:r>
              <w:rPr>
                <w:rFonts w:hint="eastAsia" w:ascii="宋体" w:hAnsi="宋体" w:cs="宋体"/>
                <w:color w:val="auto"/>
                <w:sz w:val="24"/>
                <w:szCs w:val="24"/>
                <w:highlight w:val="none"/>
                <w:lang w:val="en-US" w:eastAsia="zh-CN"/>
              </w:rPr>
              <w:t>13</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lang w:val="en-US" w:eastAsia="zh-CN" w:bidi="ar-SA"/>
              </w:rPr>
            </w:pPr>
            <w:r>
              <w:rPr>
                <w:rFonts w:hint="eastAsia" w:ascii="宋体" w:hAnsi="宋体" w:eastAsia="宋体" w:cs="宋体"/>
                <w:color w:val="auto"/>
                <w:kern w:val="0"/>
                <w:sz w:val="24"/>
                <w:highlight w:val="none"/>
              </w:rPr>
              <w:t>开标一览表</w:t>
            </w:r>
          </w:p>
        </w:tc>
        <w:tc>
          <w:tcPr>
            <w:tcW w:w="1334" w:type="dxa"/>
            <w:noWrap w:val="0"/>
            <w:vAlign w:val="center"/>
          </w:tcPr>
          <w:p>
            <w:pPr>
              <w:widowControl/>
              <w:spacing w:line="440" w:lineRule="exact"/>
              <w:ind w:left="0" w:leftChars="0" w:firstLine="240" w:firstLineChars="100"/>
              <w:jc w:val="both"/>
              <w:rPr>
                <w:rFonts w:hint="eastAsia" w:ascii="宋体" w:hAnsi="宋体" w:eastAsia="宋体" w:cs="宋体"/>
                <w:color w:val="auto"/>
                <w:kern w:val="0"/>
                <w:sz w:val="24"/>
                <w:highlight w:val="none"/>
                <w:lang w:val="en-US" w:eastAsia="zh-CN" w:bidi="ar-SA"/>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lang w:val="en-US" w:eastAsia="zh-CN" w:bidi="ar-SA"/>
              </w:rPr>
            </w:pPr>
            <w:r>
              <w:rPr>
                <w:rFonts w:hint="eastAsia" w:ascii="宋体" w:hAnsi="宋体" w:eastAsia="宋体" w:cs="宋体"/>
                <w:color w:val="auto"/>
                <w:kern w:val="0"/>
                <w:sz w:val="24"/>
                <w:highlight w:val="none"/>
              </w:rPr>
              <w:t>复印件</w:t>
            </w:r>
          </w:p>
        </w:tc>
        <w:tc>
          <w:tcPr>
            <w:tcW w:w="3522" w:type="dxa"/>
            <w:noWrap w:val="0"/>
            <w:vAlign w:val="center"/>
          </w:tcPr>
          <w:p>
            <w:pPr>
              <w:spacing w:line="440" w:lineRule="exact"/>
              <w:jc w:val="center"/>
              <w:rPr>
                <w:rFonts w:hint="eastAsia" w:ascii="宋体" w:hAnsi="宋体" w:eastAsia="宋体" w:cs="宋体"/>
                <w:color w:val="auto"/>
                <w:kern w:val="0"/>
                <w:sz w:val="24"/>
                <w:highlight w:val="none"/>
                <w:lang w:val="en-US" w:eastAsia="zh-CN" w:bidi="ar-SA"/>
              </w:rPr>
            </w:pPr>
            <w:r>
              <w:rPr>
                <w:rFonts w:hint="eastAsia" w:ascii="宋体" w:hAnsi="宋体" w:eastAsia="宋体" w:cs="宋体"/>
                <w:b/>
                <w:color w:val="auto"/>
                <w:sz w:val="24"/>
                <w:szCs w:val="24"/>
                <w:highlight w:val="none"/>
              </w:rPr>
              <w:t>原件需另外制作一份密封后单独提交。</w:t>
            </w: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7</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lang w:val="en-US" w:eastAsia="zh-CN" w:bidi="ar-SA"/>
              </w:rPr>
            </w:pPr>
            <w:r>
              <w:rPr>
                <w:rFonts w:hint="eastAsia" w:ascii="宋体" w:hAnsi="宋体" w:eastAsia="宋体" w:cs="宋体"/>
                <w:color w:val="auto"/>
                <w:kern w:val="0"/>
                <w:sz w:val="24"/>
                <w:highlight w:val="none"/>
              </w:rPr>
              <w:t>明细报价表</w:t>
            </w:r>
          </w:p>
        </w:tc>
        <w:tc>
          <w:tcPr>
            <w:tcW w:w="1334" w:type="dxa"/>
            <w:noWrap w:val="0"/>
            <w:vAlign w:val="center"/>
          </w:tcPr>
          <w:p>
            <w:pPr>
              <w:widowControl/>
              <w:spacing w:line="440" w:lineRule="exact"/>
              <w:ind w:left="0" w:leftChars="0" w:firstLine="240" w:firstLineChars="100"/>
              <w:jc w:val="both"/>
              <w:rPr>
                <w:rFonts w:hint="eastAsia" w:ascii="宋体" w:hAnsi="宋体" w:eastAsia="宋体" w:cs="宋体"/>
                <w:color w:val="auto"/>
                <w:kern w:val="0"/>
                <w:sz w:val="24"/>
                <w:highlight w:val="none"/>
                <w:lang w:val="en-US" w:eastAsia="zh-CN" w:bidi="ar-SA"/>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lang w:val="en-US" w:eastAsia="zh-CN" w:bidi="ar-SA"/>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8</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261" w:type="dxa"/>
            <w:noWrap w:val="0"/>
            <w:vAlign w:val="center"/>
          </w:tcPr>
          <w:p>
            <w:pPr>
              <w:widowControl/>
              <w:spacing w:line="44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质量承诺保证</w:t>
            </w:r>
          </w:p>
        </w:tc>
        <w:tc>
          <w:tcPr>
            <w:tcW w:w="1334" w:type="dxa"/>
            <w:noWrap w:val="0"/>
            <w:vAlign w:val="center"/>
          </w:tcPr>
          <w:p>
            <w:pPr>
              <w:widowControl/>
              <w:spacing w:line="440" w:lineRule="exact"/>
              <w:ind w:left="0" w:leftChars="0" w:firstLine="240" w:firstLineChars="100"/>
              <w:jc w:val="both"/>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12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522"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1-</w:t>
            </w:r>
            <w:r>
              <w:rPr>
                <w:rFonts w:hint="eastAsia" w:ascii="宋体" w:hAnsi="宋体" w:cs="宋体"/>
                <w:color w:val="auto"/>
                <w:kern w:val="0"/>
                <w:sz w:val="24"/>
                <w:highlight w:val="none"/>
                <w:lang w:val="en-US" w:eastAsia="zh-CN"/>
              </w:rPr>
              <w:t>9</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40" w:type="dxa"/>
            <w:noWrap w:val="0"/>
            <w:vAlign w:val="center"/>
          </w:tcPr>
          <w:p>
            <w:pPr>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261"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招标文件中要求提交的和投标人认为需要提供的其它说明和资料。</w:t>
            </w:r>
          </w:p>
        </w:tc>
        <w:tc>
          <w:tcPr>
            <w:tcW w:w="1334" w:type="dxa"/>
            <w:noWrap w:val="0"/>
            <w:vAlign w:val="center"/>
          </w:tcPr>
          <w:p>
            <w:pPr>
              <w:spacing w:line="440" w:lineRule="exact"/>
              <w:ind w:firstLine="240" w:firstLineChars="1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highlight w:val="none"/>
              </w:rPr>
              <w:t>复印件</w:t>
            </w:r>
          </w:p>
        </w:tc>
        <w:tc>
          <w:tcPr>
            <w:tcW w:w="1123"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3522" w:type="dxa"/>
            <w:noWrap w:val="0"/>
            <w:vAlign w:val="center"/>
          </w:tcPr>
          <w:p>
            <w:pPr>
              <w:spacing w:line="44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格式自定</w:t>
            </w:r>
          </w:p>
        </w:tc>
      </w:tr>
    </w:tbl>
    <w:p>
      <w:pPr>
        <w:widowControl/>
        <w:spacing w:line="440" w:lineRule="exact"/>
        <w:jc w:val="left"/>
        <w:rPr>
          <w:rFonts w:hint="eastAsia" w:ascii="宋体" w:hAnsi="宋体" w:eastAsia="宋体" w:cs="宋体"/>
          <w:b/>
          <w:color w:val="auto"/>
          <w:kern w:val="0"/>
          <w:sz w:val="24"/>
          <w:highlight w:val="none"/>
        </w:rPr>
      </w:pPr>
    </w:p>
    <w:p>
      <w:pPr>
        <w:widowControl/>
        <w:spacing w:line="440" w:lineRule="exact"/>
        <w:ind w:firstLine="482" w:firstLineChars="200"/>
        <w:jc w:val="cente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技术标</w:t>
      </w:r>
    </w:p>
    <w:tbl>
      <w:tblPr>
        <w:tblStyle w:val="16"/>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3264"/>
        <w:gridCol w:w="1334"/>
        <w:gridCol w:w="1382"/>
        <w:gridCol w:w="3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jc w:val="center"/>
        </w:trPr>
        <w:tc>
          <w:tcPr>
            <w:tcW w:w="637"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264"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编制文件名称</w:t>
            </w:r>
          </w:p>
        </w:tc>
        <w:tc>
          <w:tcPr>
            <w:tcW w:w="1334"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正本</w:t>
            </w:r>
          </w:p>
        </w:tc>
        <w:tc>
          <w:tcPr>
            <w:tcW w:w="1382"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副本</w:t>
            </w:r>
          </w:p>
        </w:tc>
        <w:tc>
          <w:tcPr>
            <w:tcW w:w="3263" w:type="dxa"/>
            <w:noWrap w:val="0"/>
            <w:vAlign w:val="center"/>
          </w:tcPr>
          <w:p>
            <w:pPr>
              <w:widowControl/>
              <w:spacing w:line="440" w:lineRule="exact"/>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26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封面</w:t>
            </w:r>
          </w:p>
        </w:tc>
        <w:tc>
          <w:tcPr>
            <w:tcW w:w="1334"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1382"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326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格式自定（正本或副本、商务标或技术标、投标项目信息、投标单位信息）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26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目录</w:t>
            </w:r>
          </w:p>
        </w:tc>
        <w:tc>
          <w:tcPr>
            <w:tcW w:w="1334"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1382" w:type="dxa"/>
            <w:noWrap w:val="0"/>
            <w:vAlign w:val="center"/>
          </w:tcPr>
          <w:p>
            <w:pPr>
              <w:widowControl/>
              <w:spacing w:line="440" w:lineRule="exact"/>
              <w:jc w:val="center"/>
              <w:rPr>
                <w:rFonts w:hint="eastAsia" w:ascii="宋体" w:hAnsi="宋体" w:eastAsia="宋体" w:cs="宋体"/>
                <w:b/>
                <w:bCs/>
                <w:color w:val="auto"/>
                <w:kern w:val="0"/>
                <w:sz w:val="24"/>
                <w:highlight w:val="none"/>
              </w:rPr>
            </w:pPr>
          </w:p>
        </w:tc>
        <w:tc>
          <w:tcPr>
            <w:tcW w:w="3263"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326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产品来源证明材料</w:t>
            </w:r>
          </w:p>
        </w:tc>
        <w:tc>
          <w:tcPr>
            <w:tcW w:w="133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原件或复印件</w:t>
            </w:r>
          </w:p>
        </w:tc>
        <w:tc>
          <w:tcPr>
            <w:tcW w:w="138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复印件</w:t>
            </w:r>
          </w:p>
        </w:tc>
        <w:tc>
          <w:tcPr>
            <w:tcW w:w="3263" w:type="dxa"/>
            <w:noWrap w:val="0"/>
            <w:vAlign w:val="center"/>
          </w:tcPr>
          <w:p>
            <w:pPr>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所投产品合法来源证明材料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326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设备、技术简要</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说明一览表</w:t>
            </w:r>
          </w:p>
        </w:tc>
        <w:tc>
          <w:tcPr>
            <w:tcW w:w="133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复印件</w:t>
            </w:r>
          </w:p>
        </w:tc>
        <w:tc>
          <w:tcPr>
            <w:tcW w:w="138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复印件</w:t>
            </w:r>
          </w:p>
        </w:tc>
        <w:tc>
          <w:tcPr>
            <w:tcW w:w="326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2-1</w:t>
            </w:r>
            <w:r>
              <w:rPr>
                <w:rFonts w:hint="eastAsia" w:ascii="宋体" w:hAnsi="宋体" w:eastAsia="宋体" w:cs="宋体"/>
                <w:color w:val="auto"/>
                <w:sz w:val="24"/>
                <w:szCs w:val="24"/>
                <w:highlight w:val="none"/>
              </w:rPr>
              <w:t>）</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后附有效的检测报告、质量管理体系认证（国家法定检测部门出具有效）正本需加盖公章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326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所投产品市场使用情况</w:t>
            </w:r>
          </w:p>
        </w:tc>
        <w:tc>
          <w:tcPr>
            <w:tcW w:w="133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原件或复印件</w:t>
            </w:r>
          </w:p>
        </w:tc>
        <w:tc>
          <w:tcPr>
            <w:tcW w:w="138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复印件</w:t>
            </w:r>
          </w:p>
        </w:tc>
        <w:tc>
          <w:tcPr>
            <w:tcW w:w="3263" w:type="dxa"/>
            <w:noWrap w:val="0"/>
            <w:vAlign w:val="center"/>
          </w:tcPr>
          <w:p>
            <w:pPr>
              <w:spacing w:line="440" w:lineRule="exact"/>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提供产品在其他</w:t>
            </w:r>
            <w:r>
              <w:rPr>
                <w:rFonts w:hint="eastAsia" w:ascii="宋体" w:hAnsi="宋体" w:eastAsia="宋体" w:cs="宋体"/>
                <w:color w:val="auto"/>
                <w:sz w:val="24"/>
                <w:szCs w:val="24"/>
                <w:highlight w:val="none"/>
                <w:lang w:eastAsia="zh-CN"/>
              </w:rPr>
              <w:t>领域</w:t>
            </w:r>
            <w:r>
              <w:rPr>
                <w:rFonts w:hint="eastAsia" w:ascii="宋体" w:hAnsi="宋体" w:eastAsia="宋体" w:cs="宋体"/>
                <w:color w:val="auto"/>
                <w:sz w:val="24"/>
                <w:szCs w:val="24"/>
                <w:highlight w:val="none"/>
              </w:rPr>
              <w:t>应用的证明材料（中标通知书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合同等）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32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备品、备件清单</w:t>
            </w:r>
          </w:p>
        </w:tc>
        <w:tc>
          <w:tcPr>
            <w:tcW w:w="1334" w:type="dxa"/>
            <w:noWrap w:val="0"/>
            <w:vAlign w:val="center"/>
          </w:tcPr>
          <w:p>
            <w:pPr>
              <w:spacing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复印件</w:t>
            </w:r>
          </w:p>
        </w:tc>
        <w:tc>
          <w:tcPr>
            <w:tcW w:w="138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w:t>
            </w:r>
          </w:p>
        </w:tc>
        <w:tc>
          <w:tcPr>
            <w:tcW w:w="326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2-2</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32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规格、技术参数偏离表</w:t>
            </w:r>
          </w:p>
        </w:tc>
        <w:tc>
          <w:tcPr>
            <w:tcW w:w="1334" w:type="dxa"/>
            <w:noWrap w:val="0"/>
            <w:vAlign w:val="center"/>
          </w:tcPr>
          <w:p>
            <w:pPr>
              <w:spacing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复印件</w:t>
            </w:r>
          </w:p>
        </w:tc>
        <w:tc>
          <w:tcPr>
            <w:tcW w:w="138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w:t>
            </w:r>
          </w:p>
        </w:tc>
        <w:tc>
          <w:tcPr>
            <w:tcW w:w="326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2-3</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32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服务承诺书</w:t>
            </w:r>
          </w:p>
        </w:tc>
        <w:tc>
          <w:tcPr>
            <w:tcW w:w="1334" w:type="dxa"/>
            <w:noWrap w:val="0"/>
            <w:vAlign w:val="center"/>
          </w:tcPr>
          <w:p>
            <w:pPr>
              <w:spacing w:line="440" w:lineRule="exact"/>
              <w:ind w:firstLine="240" w:firstLineChars="100"/>
              <w:jc w:val="both"/>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复印件</w:t>
            </w:r>
          </w:p>
        </w:tc>
        <w:tc>
          <w:tcPr>
            <w:tcW w:w="138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w:t>
            </w:r>
          </w:p>
        </w:tc>
        <w:tc>
          <w:tcPr>
            <w:tcW w:w="326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kern w:val="0"/>
                <w:sz w:val="24"/>
                <w:highlight w:val="none"/>
              </w:rPr>
              <w:t>2-4</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326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服务方案</w:t>
            </w:r>
            <w:r>
              <w:rPr>
                <w:rFonts w:hint="eastAsia" w:ascii="宋体" w:hAnsi="宋体" w:eastAsia="宋体" w:cs="宋体"/>
                <w:color w:val="auto"/>
                <w:sz w:val="24"/>
                <w:highlight w:val="none"/>
              </w:rPr>
              <w:t>（服务承诺详述、维修、培训以及服务、联系人、联系方式等详述）</w:t>
            </w:r>
          </w:p>
        </w:tc>
        <w:tc>
          <w:tcPr>
            <w:tcW w:w="133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38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263"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格式自定。</w:t>
            </w:r>
          </w:p>
          <w:p>
            <w:pPr>
              <w:widowControl/>
              <w:spacing w:line="44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包括</w:t>
            </w:r>
            <w:r>
              <w:rPr>
                <w:rFonts w:hint="eastAsia" w:ascii="宋体" w:hAnsi="宋体" w:eastAsia="宋体" w:cs="宋体"/>
                <w:color w:val="auto"/>
                <w:kern w:val="0"/>
                <w:sz w:val="24"/>
                <w:highlight w:val="none"/>
                <w:lang w:eastAsia="zh-CN"/>
              </w:rPr>
              <w:t>售后服务承诺</w:t>
            </w:r>
            <w:r>
              <w:rPr>
                <w:rFonts w:hint="eastAsia" w:ascii="宋体" w:hAnsi="宋体" w:eastAsia="宋体" w:cs="宋体"/>
                <w:color w:val="auto"/>
                <w:kern w:val="0"/>
                <w:sz w:val="24"/>
                <w:highlight w:val="none"/>
              </w:rPr>
              <w:t>及应急处理方案，服务明确响应时间、出现质量问题解决时间、服务响应的联系人及联系方式，等相关信息及证明材料。</w:t>
            </w:r>
          </w:p>
          <w:p>
            <w:pPr>
              <w:widowControl/>
              <w:spacing w:line="440" w:lineRule="exact"/>
              <w:rPr>
                <w:rFonts w:hint="eastAsia" w:ascii="宋体" w:hAnsi="宋体" w:eastAsia="宋体" w:cs="宋体"/>
                <w:color w:val="auto"/>
                <w:szCs w:val="21"/>
                <w:highlight w:val="none"/>
              </w:rPr>
            </w:pPr>
            <w:r>
              <w:rPr>
                <w:rFonts w:hint="eastAsia" w:ascii="宋体" w:hAnsi="宋体" w:eastAsia="宋体" w:cs="宋体"/>
                <w:color w:val="auto"/>
                <w:kern w:val="0"/>
                <w:sz w:val="24"/>
                <w:highlight w:val="none"/>
              </w:rPr>
              <w:t>投标人的服务承诺应按不低于招标文件中要求的服务标准做出响应。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326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质量保证承诺书</w:t>
            </w:r>
          </w:p>
        </w:tc>
        <w:tc>
          <w:tcPr>
            <w:tcW w:w="1334"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1382" w:type="dxa"/>
            <w:noWrap w:val="0"/>
            <w:vAlign w:val="center"/>
          </w:tcPr>
          <w:p>
            <w:pPr>
              <w:widowControl/>
              <w:spacing w:line="44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复印件</w:t>
            </w:r>
          </w:p>
        </w:tc>
        <w:tc>
          <w:tcPr>
            <w:tcW w:w="3263" w:type="dxa"/>
            <w:noWrap w:val="0"/>
            <w:vAlign w:val="center"/>
          </w:tcPr>
          <w:p>
            <w:pPr>
              <w:widowControl/>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3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32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招标文件中要求提交的和投标人认为需要提供的其它说明和资料。</w:t>
            </w:r>
          </w:p>
        </w:tc>
        <w:tc>
          <w:tcPr>
            <w:tcW w:w="133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highlight w:val="none"/>
              </w:rPr>
              <w:t>复印件</w:t>
            </w:r>
          </w:p>
        </w:tc>
        <w:tc>
          <w:tcPr>
            <w:tcW w:w="1382"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复印件</w:t>
            </w:r>
          </w:p>
        </w:tc>
        <w:tc>
          <w:tcPr>
            <w:tcW w:w="326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格式自定</w:t>
            </w:r>
          </w:p>
        </w:tc>
      </w:tr>
    </w:tbl>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4.2.1投标人的服务承诺应按不低于招标文件中要求的服务标准做出响应。</w:t>
      </w:r>
    </w:p>
    <w:p>
      <w:pPr>
        <w:spacing w:line="440" w:lineRule="exact"/>
        <w:ind w:firstLine="361" w:firstLineChars="15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4.2.2投标文件正本中所提供资料需加盖公章，</w:t>
      </w:r>
      <w:r>
        <w:rPr>
          <w:rFonts w:hint="eastAsia" w:ascii="宋体" w:hAnsi="宋体" w:eastAsia="宋体" w:cs="宋体"/>
          <w:b/>
          <w:color w:val="auto"/>
          <w:sz w:val="24"/>
          <w:szCs w:val="24"/>
          <w:highlight w:val="none"/>
          <w:u w:val="single"/>
          <w:em w:val="dot"/>
        </w:rPr>
        <w:t>副本为正本的复印件</w:t>
      </w:r>
      <w:r>
        <w:rPr>
          <w:rFonts w:hint="eastAsia" w:ascii="宋体" w:hAnsi="宋体" w:eastAsia="宋体" w:cs="宋体"/>
          <w:b/>
          <w:color w:val="auto"/>
          <w:sz w:val="24"/>
          <w:szCs w:val="24"/>
          <w:highlight w:val="none"/>
          <w:u w:val="single"/>
        </w:rPr>
        <w:t>，正、副本不一致时，以正本为准。</w:t>
      </w:r>
    </w:p>
    <w:p>
      <w:pPr>
        <w:spacing w:line="44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开标一览表</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提交开标一览表是为了便于开标时唱标，投标人必须按本招标文件所附的格式填写，签字并加盖公章，开标一览表中小写和大写不符，以大写为准。开标一览表中的大小写均须按法定格式正确填写。投标报价没有同时填报大写和小写的，其投标将被拒绝。 </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投标文件格式</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见第一部份 投标须知。</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投标报价</w:t>
      </w:r>
    </w:p>
    <w:p>
      <w:pPr>
        <w:spacing w:line="44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6.1  投标报价不符合招标文件对投标报价要求的，其报价无效，不进入评标阶段。</w:t>
      </w:r>
    </w:p>
    <w:p>
      <w:pPr>
        <w:spacing w:line="44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u w:val="single"/>
        </w:rPr>
        <w:t>6.1.1  所投所有产品仅接受一个报价。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  投标人应在明细报价表上标明综合单价和总价。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（1）开标一览表内容与投标文件中相应内容不一致的，以开标一览表为准；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（2）大写金额和小写金额不一致的，以大写金额为准；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（3）综合单价金额小数点有明显错位的，以开标一览表的总价为准，并修改综合单价；</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（4）总价金额与按综合单价汇总金额不一致的，以综合单价金额计算结果为准。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同时出现两种以上不一致的，按照前款规定的顺序修正。修正后的报价经投标人确认后产生约束力，投标人不确认的，其投标无效。</w:t>
      </w:r>
    </w:p>
    <w:p>
      <w:pPr>
        <w:spacing w:line="440" w:lineRule="exact"/>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产品价格的货币单位</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产品价格单位为人民币。</w:t>
      </w:r>
    </w:p>
    <w:p>
      <w:pPr>
        <w:spacing w:line="440" w:lineRule="exact"/>
        <w:ind w:left="48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 证明货物的合格性和符合招标文件规定的文件</w:t>
      </w:r>
    </w:p>
    <w:p>
      <w:pPr>
        <w:adjustRightInd w:val="0"/>
        <w:snapToGrid w:val="0"/>
        <w:spacing w:line="440" w:lineRule="exact"/>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投标人应提交证明文件证明其拟投标的货物的合格性符合招标文件规定。该证明文件作为投标文件的一部分。</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提供相同品牌产品且通过资格审查、符合性审查的不同投标人参加同一合同项下投标的，按一家投标人计算，评审依据顺序如下：评审后得分最高的同品牌投标人获得中标人推荐资格；评审得分相同的，按报价最低的参加评标；评审得分相同且报价相同的，通过随机抽取产生。</w:t>
      </w:r>
    </w:p>
    <w:p>
      <w:pPr>
        <w:adjustRightInd w:val="0"/>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8.3非单一产品采购项目，采购人应当根据采购项目技术构成、产品价格比重等合理确定核心产品，并在招标文件中载明。多家投标人提供的核心产品品牌相同的，按上一款规定处理。</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8.4  投标人的服务承诺应按不低于招标文件中要求的服务标准做出响应。</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8.5  上述文件可以是文字资料、图纸和数据等，并提供：</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（1）货物主要技术及性能特点的详细描述； </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（2）货物主要部件的详细资料，包括检验报告等；</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（3）一份在技术规格中规定的保证服务正常和连续运转期间所需要的所有备件和专业工具的详细清单包括供货来源信息。</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8.6没有按要求提供资料或提供资料不完全的或仅仅复制招标文件提供的技术参数并与实际提供设备参数不符，将被视为对招标文件没有做出实质性响应，其风险由投标人自行承担。</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 xml:space="preserve"> 领取了招标文件的投标人应认真阅读招标文件的所有内容，按照招标文件的要求编制投标文件，投标文件正本中所提供资料需加盖公章。</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 xml:space="preserve"> 投标人提供的设备必须是正规厂家生产的高质量产品，不能提供劣质三无产品（无厂址,无商标,无合格证）。</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产品资料和检测报告所反映的技术参数和性能指标将作为验收产品实物的依据。</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投标人应提交证明文件证明其拟投标的货物的合格性符合招标文件规定。该证明文件作为投标文件的一部分。</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证明货物和服务与招标文件的要求一致的文件，可以是文字资料、图纸和数据，它包括：</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货物主要技术指标和性能的详细说明。</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货物从采购人开始使用至“投标人须知前附表”中规定的周期内正常、连续地使用所必须的备品备件和专用工具清单，包括备品备件和专用工具的供货来源。</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对照招标文件技术规格、参数与要求，逐条说明所提供货物和服务已对招标文件的技术规格、参数与要求做出了实质性的响应，或申明与技术规格、参数与要求条文的偏差和例外。特别对于有具体参数要求的指标，投标人必须提供所投设备的具体参数值。</w:t>
      </w:r>
    </w:p>
    <w:p>
      <w:pPr>
        <w:spacing w:line="44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投标人在阐述上述时应注意招标文件“货物技术规格、参数与要求”中指出的工艺、材料和设备的标准以及参照的牌号或分类号仅起说明作用，并没有任何限制性。投标人在响应中可以选用替代标准、牌号或分类号，但这些替代要实质上相当于技术规格的要求，并且使采购方满意。</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 投标有效期</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投标文件从开标之日起，投标有效期为</w:t>
      </w:r>
      <w:r>
        <w:rPr>
          <w:rFonts w:hint="eastAsia" w:ascii="宋体" w:hAnsi="宋体" w:eastAsia="宋体" w:cs="宋体"/>
          <w:color w:val="auto"/>
          <w:sz w:val="24"/>
          <w:szCs w:val="24"/>
          <w:highlight w:val="none"/>
          <w:u w:val="single"/>
        </w:rPr>
        <w:t>九十</w:t>
      </w:r>
      <w:r>
        <w:rPr>
          <w:rFonts w:hint="eastAsia" w:ascii="宋体" w:hAnsi="宋体" w:eastAsia="宋体" w:cs="宋体"/>
          <w:color w:val="auto"/>
          <w:sz w:val="24"/>
          <w:szCs w:val="24"/>
          <w:highlight w:val="none"/>
        </w:rPr>
        <w:t>天（如不满足将视为其投标无效）。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在特殊情况下，招标方可与投标人协商延长投标文件的有效期。</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投标文件的签署规定</w:t>
      </w:r>
    </w:p>
    <w:p>
      <w:pPr>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见第一部份 投标须知。</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招标方因投标人的违规行为而受到损害时将不予退还投标人的投标保证金，将其作为所受损害的补偿。</w:t>
      </w:r>
    </w:p>
    <w:p>
      <w:pPr>
        <w:pStyle w:val="9"/>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11.2　投标保证金应当以支票、汇票、本票等非现金形式提交，必须从投标人基本账户转出，其有效期应不低于投标有效期。投标人未按照招标文件要求提交投标保证金的，投标无效。</w:t>
      </w:r>
    </w:p>
    <w:p>
      <w:pPr>
        <w:pStyle w:val="9"/>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投标人应提交投标保证金，并于投标保证金缴纳截止时间前到达</w:t>
      </w:r>
      <w:r>
        <w:rPr>
          <w:rFonts w:hint="eastAsia" w:ascii="宋体" w:hAnsi="宋体" w:eastAsia="宋体" w:cs="宋体"/>
          <w:color w:val="auto"/>
          <w:sz w:val="24"/>
          <w:highlight w:val="none"/>
          <w:lang w:eastAsia="zh-CN"/>
        </w:rPr>
        <w:t>招标代理公司</w:t>
      </w:r>
      <w:r>
        <w:rPr>
          <w:rFonts w:hint="eastAsia" w:ascii="宋体" w:hAnsi="宋体" w:eastAsia="宋体" w:cs="宋体"/>
          <w:color w:val="auto"/>
          <w:sz w:val="24"/>
          <w:highlight w:val="none"/>
        </w:rPr>
        <w:t>指定账户（人民币）。如是本地转账支票需于投标保证金缴纳截止时间三个工作日前向</w:t>
      </w:r>
      <w:r>
        <w:rPr>
          <w:rFonts w:hint="eastAsia" w:ascii="宋体" w:hAnsi="宋体" w:eastAsia="宋体" w:cs="宋体"/>
          <w:color w:val="auto"/>
          <w:sz w:val="24"/>
          <w:highlight w:val="none"/>
          <w:lang w:eastAsia="zh-CN"/>
        </w:rPr>
        <w:t>招标代理公司</w:t>
      </w:r>
      <w:r>
        <w:rPr>
          <w:rFonts w:hint="eastAsia" w:ascii="宋体" w:hAnsi="宋体" w:eastAsia="宋体" w:cs="宋体"/>
          <w:color w:val="auto"/>
          <w:sz w:val="24"/>
          <w:highlight w:val="none"/>
        </w:rPr>
        <w:t>送达，如投标保证金为汇款形式的，（汇款时汇款单填写内容须备注投标企业名称、项目名称及项目编号）。</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　未中标的投标人的投标保证金，将在中标通知书发出后5个工作日内无息退还。</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中标人的投标保证金，将在领取中标通知书，缴纳履约保证金并签订合同后5个工作日内无息退还，</w:t>
      </w:r>
      <w:r>
        <w:rPr>
          <w:rFonts w:hint="eastAsia" w:ascii="宋体" w:hAnsi="宋体" w:eastAsia="宋体" w:cs="宋体"/>
          <w:color w:val="auto"/>
          <w:sz w:val="24"/>
          <w:highlight w:val="none"/>
        </w:rPr>
        <w:t>中标企业退还保证金时，还需提供采购合同复印件。</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在评标过程中，如发现下列情况之一的，其投标将被拒绝；</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（1）投标文件技术规格中的响应与事实不符或虚假投标的；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（2）投标人复制招标文件的技术规格相关部分内容作为其投标文件的一部分；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（3）投标文件符合招标文件中规定废标的其它技术条款；</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（4）投标文件有不符合招标文件带“*”要求的内容的；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（5）其他不符合招标文件重要参数的。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以下情形被视为投标无效；</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（1）未按规定提交投标保证金的投标；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（2）投标文件与招标文件有重大负偏离的；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（3）投标人拒绝修正错误的；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（4）投标文件的关键内容字迹模糊，无法辨认的；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（5）投标有效期不足的；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（6）其他违反相关法律法规规定的行为的；</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（7）评标委员会认为是其他应当否决的投标。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下列任何情况发生时，投标保证金将不予退还，转为违约金：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投标人在投标截止期后，投标有效期内撤回投标；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投标人在规定期限内未按规定向采购人缴纳履约保证金；</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中标人未按投标人须知规定缴纳招标代理费；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  以他人名义投标或者以其他方式弄虚作假，骗取中标；</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打架斗殴，扰乱标场秩序；</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本招标文件中或《政府采购货物和服务招标投标管理办法》第七十五条规定的其他不予退还投标保证金的情形。</w:t>
      </w:r>
    </w:p>
    <w:p>
      <w:pPr>
        <w:spacing w:line="440" w:lineRule="exact"/>
        <w:ind w:firstLine="840" w:firstLine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上述不予退还投标保证金的情况并给招标代理机构造成损失的，还要承担赔偿责任。</w:t>
      </w:r>
    </w:p>
    <w:p>
      <w:pPr>
        <w:spacing w:line="440" w:lineRule="exact"/>
        <w:rPr>
          <w:rFonts w:hint="eastAsia" w:ascii="宋体" w:hAnsi="宋体" w:eastAsia="宋体" w:cs="宋体"/>
          <w:color w:val="auto"/>
          <w:sz w:val="24"/>
          <w:szCs w:val="24"/>
          <w:highlight w:val="none"/>
        </w:rPr>
      </w:pPr>
    </w:p>
    <w:p>
      <w:pPr>
        <w:spacing w:line="440" w:lineRule="exact"/>
        <w:jc w:val="both"/>
        <w:outlineLvl w:val="1"/>
        <w:rPr>
          <w:rFonts w:hint="eastAsia" w:ascii="宋体" w:hAnsi="宋体" w:eastAsia="宋体" w:cs="宋体"/>
          <w:b/>
          <w:color w:val="auto"/>
          <w:sz w:val="32"/>
          <w:szCs w:val="32"/>
          <w:highlight w:val="none"/>
        </w:rPr>
      </w:pPr>
      <w:bookmarkStart w:id="40" w:name="_Toc507513101"/>
    </w:p>
    <w:p>
      <w:pPr>
        <w:keepNext w:val="0"/>
        <w:keepLines w:val="0"/>
        <w:pageBreakBefore/>
        <w:widowControl w:val="0"/>
        <w:kinsoku/>
        <w:wordWrap/>
        <w:overflowPunct/>
        <w:topLinePunct w:val="0"/>
        <w:autoSpaceDE/>
        <w:autoSpaceDN/>
        <w:bidi w:val="0"/>
        <w:adjustRightInd/>
        <w:snapToGrid/>
        <w:spacing w:line="440" w:lineRule="exact"/>
        <w:ind w:firstLine="482"/>
        <w:jc w:val="center"/>
        <w:textAlignment w:val="auto"/>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第三章 投标文件的递交</w:t>
      </w:r>
      <w:bookmarkEnd w:id="40"/>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 投标文件的标记</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任何不完整或不满足招标文件要求的投标文件将被拒绝。</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由于不可抗拒原因或无法控制的事件而导致的丢失或损坏投标包装体内的投标文件时，招标方将不负责任。</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 投标截止时间</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投标文件的递交不得迟于招标文件规定的截止时间，以密封形式递交至</w:t>
      </w:r>
      <w:r>
        <w:rPr>
          <w:rFonts w:hint="eastAsia" w:ascii="宋体" w:hAnsi="宋体" w:eastAsia="宋体" w:cs="宋体"/>
          <w:color w:val="auto"/>
          <w:sz w:val="24"/>
          <w:highlight w:val="none"/>
          <w:lang w:eastAsia="zh-CN"/>
        </w:rPr>
        <w:t>招标代理公司</w:t>
      </w:r>
      <w:r>
        <w:rPr>
          <w:rFonts w:hint="eastAsia" w:ascii="宋体" w:hAnsi="宋体" w:eastAsia="宋体" w:cs="宋体"/>
          <w:color w:val="auto"/>
          <w:sz w:val="24"/>
          <w:szCs w:val="24"/>
          <w:highlight w:val="none"/>
        </w:rPr>
        <w:t>指定开标地点。</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所有投标文件不论派人送交还是通过邮寄的方式递交，都必须在招标方规定的投标截止时间之前送达招标文件指定地点，在此之后送达的投标文件，为无效投标，投标文件将一律被拒绝。</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出现因招标文件的修改而推迟投标截止时间的情况时，投标人则需按招标方的书面修改通知重新规定的投标时间递交。</w:t>
      </w:r>
    </w:p>
    <w:p>
      <w:pPr>
        <w:spacing w:line="440" w:lineRule="exact"/>
        <w:ind w:firstLine="482" w:firstLineChars="200"/>
        <w:rPr>
          <w:rFonts w:hint="eastAsia" w:ascii="宋体" w:hAnsi="宋体" w:eastAsia="宋体" w:cs="宋体"/>
          <w:b/>
          <w:color w:val="auto"/>
          <w:sz w:val="22"/>
          <w:szCs w:val="24"/>
          <w:highlight w:val="none"/>
        </w:rPr>
      </w:pPr>
      <w:r>
        <w:rPr>
          <w:rFonts w:hint="eastAsia" w:ascii="宋体" w:hAnsi="宋体" w:eastAsia="宋体" w:cs="宋体"/>
          <w:b/>
          <w:color w:val="auto"/>
          <w:sz w:val="24"/>
          <w:szCs w:val="24"/>
          <w:highlight w:val="none"/>
        </w:rPr>
        <w:t>14. 投标文件的修改和撤销</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投标人在递交投标文件后，可在规定的投标截止时间之前，对其投标文件以书面通知的形式进行修改或撤消。该通知须有投标人的法定代表人或其委托代理人的签字，并得到招标方的确认。</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投标人对投标文件修改的书面材料或撤消通知应按招标文件要求进行密封、标注和递交，并注明“修改投标文件”或“撤消投标”字样，修改或撤销的内容须按招标文件的要求签署、盖章，并作为投标文件的组成部分。</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对投标文件修改的书面材料应于投标截止日前送达招标方，投标截止时间以后不得修改投标文件。</w:t>
      </w:r>
    </w:p>
    <w:p>
      <w:pPr>
        <w:spacing w:line="440" w:lineRule="exact"/>
        <w:ind w:firstLine="480" w:firstLineChars="200"/>
        <w:rPr>
          <w:rFonts w:hint="eastAsia" w:ascii="宋体" w:hAnsi="宋体" w:eastAsia="宋体" w:cs="宋体"/>
          <w:b/>
          <w:color w:val="auto"/>
          <w:sz w:val="32"/>
          <w:szCs w:val="32"/>
          <w:highlight w:val="none"/>
        </w:rPr>
      </w:pPr>
      <w:r>
        <w:rPr>
          <w:rFonts w:hint="eastAsia" w:ascii="宋体" w:hAnsi="宋体" w:eastAsia="宋体" w:cs="宋体"/>
          <w:color w:val="auto"/>
          <w:sz w:val="24"/>
          <w:szCs w:val="24"/>
          <w:highlight w:val="none"/>
        </w:rPr>
        <w:t>14.4  投标人不得在开标后至投标有效期期满前撤销投标文件，否则招标方将不予退还其投标保证金。</w:t>
      </w:r>
    </w:p>
    <w:p>
      <w:pPr>
        <w:spacing w:line="440" w:lineRule="exact"/>
        <w:ind w:firstLine="482" w:firstLineChars="150"/>
        <w:jc w:val="center"/>
        <w:outlineLvl w:val="1"/>
        <w:rPr>
          <w:rFonts w:hint="eastAsia" w:ascii="宋体" w:hAnsi="宋体" w:eastAsia="宋体" w:cs="宋体"/>
          <w:b/>
          <w:color w:val="auto"/>
          <w:sz w:val="32"/>
          <w:szCs w:val="32"/>
          <w:highlight w:val="none"/>
        </w:rPr>
      </w:pPr>
      <w:bookmarkStart w:id="41" w:name="_Toc507513102"/>
    </w:p>
    <w:p>
      <w:pPr>
        <w:spacing w:line="440" w:lineRule="exact"/>
        <w:ind w:firstLine="482" w:firstLineChars="150"/>
        <w:jc w:val="center"/>
        <w:outlineLvl w:val="1"/>
        <w:rPr>
          <w:rFonts w:hint="eastAsia" w:ascii="宋体" w:hAnsi="宋体" w:eastAsia="宋体" w:cs="宋体"/>
          <w:b/>
          <w:color w:val="auto"/>
          <w:sz w:val="32"/>
          <w:szCs w:val="32"/>
          <w:highlight w:val="none"/>
        </w:rPr>
      </w:pPr>
    </w:p>
    <w:p>
      <w:pPr>
        <w:spacing w:line="440" w:lineRule="exact"/>
        <w:ind w:firstLine="482" w:firstLineChars="150"/>
        <w:jc w:val="center"/>
        <w:outlineLvl w:val="1"/>
        <w:rPr>
          <w:rFonts w:hint="eastAsia" w:ascii="宋体" w:hAnsi="宋体" w:eastAsia="宋体" w:cs="宋体"/>
          <w:b/>
          <w:color w:val="auto"/>
          <w:sz w:val="32"/>
          <w:szCs w:val="32"/>
          <w:highlight w:val="none"/>
        </w:rPr>
      </w:pPr>
    </w:p>
    <w:p>
      <w:pPr>
        <w:spacing w:line="440" w:lineRule="exact"/>
        <w:ind w:firstLine="482" w:firstLineChars="150"/>
        <w:jc w:val="center"/>
        <w:outlineLvl w:val="1"/>
        <w:rPr>
          <w:rFonts w:hint="eastAsia" w:ascii="宋体" w:hAnsi="宋体" w:eastAsia="宋体" w:cs="宋体"/>
          <w:b/>
          <w:color w:val="auto"/>
          <w:sz w:val="32"/>
          <w:szCs w:val="32"/>
          <w:highlight w:val="none"/>
        </w:rPr>
      </w:pPr>
    </w:p>
    <w:p>
      <w:pPr>
        <w:spacing w:line="440" w:lineRule="exact"/>
        <w:ind w:firstLine="482" w:firstLineChars="150"/>
        <w:jc w:val="center"/>
        <w:outlineLvl w:val="1"/>
        <w:rPr>
          <w:rFonts w:hint="eastAsia" w:ascii="宋体" w:hAnsi="宋体" w:eastAsia="宋体" w:cs="宋体"/>
          <w:b/>
          <w:color w:val="auto"/>
          <w:sz w:val="32"/>
          <w:szCs w:val="32"/>
          <w:highlight w:val="none"/>
        </w:rPr>
      </w:pPr>
    </w:p>
    <w:p>
      <w:pPr>
        <w:spacing w:line="440" w:lineRule="exact"/>
        <w:ind w:firstLine="482" w:firstLineChars="150"/>
        <w:jc w:val="center"/>
        <w:outlineLvl w:val="1"/>
        <w:rPr>
          <w:rFonts w:hint="eastAsia" w:ascii="宋体" w:hAnsi="宋体" w:eastAsia="宋体" w:cs="宋体"/>
          <w:b/>
          <w:color w:val="auto"/>
          <w:sz w:val="32"/>
          <w:szCs w:val="32"/>
          <w:highlight w:val="none"/>
        </w:rPr>
      </w:pPr>
    </w:p>
    <w:p>
      <w:pPr>
        <w:spacing w:line="440" w:lineRule="exact"/>
        <w:ind w:firstLine="482" w:firstLineChars="150"/>
        <w:jc w:val="center"/>
        <w:outlineLvl w:val="1"/>
        <w:rPr>
          <w:rFonts w:hint="eastAsia" w:ascii="宋体" w:hAnsi="宋体" w:eastAsia="宋体" w:cs="宋体"/>
          <w:b/>
          <w:color w:val="auto"/>
          <w:sz w:val="32"/>
          <w:szCs w:val="32"/>
          <w:highlight w:val="none"/>
        </w:rPr>
      </w:pPr>
    </w:p>
    <w:p>
      <w:pPr>
        <w:spacing w:line="440" w:lineRule="exact"/>
        <w:ind w:firstLine="482" w:firstLineChars="150"/>
        <w:jc w:val="center"/>
        <w:outlineLvl w:val="1"/>
        <w:rPr>
          <w:rFonts w:hint="eastAsia" w:ascii="宋体" w:hAnsi="宋体" w:eastAsia="宋体" w:cs="宋体"/>
          <w:color w:val="auto"/>
          <w:sz w:val="24"/>
          <w:highlight w:val="none"/>
        </w:rPr>
      </w:pPr>
      <w:r>
        <w:rPr>
          <w:rFonts w:hint="eastAsia" w:ascii="宋体" w:hAnsi="宋体" w:eastAsia="宋体" w:cs="宋体"/>
          <w:b/>
          <w:color w:val="auto"/>
          <w:sz w:val="32"/>
          <w:szCs w:val="32"/>
          <w:highlight w:val="none"/>
        </w:rPr>
        <w:t>第四章 评标委员会</w:t>
      </w:r>
      <w:bookmarkEnd w:id="41"/>
    </w:p>
    <w:p>
      <w:pPr>
        <w:spacing w:line="440" w:lineRule="exact"/>
        <w:ind w:left="481" w:leftChars="22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 评标委员会</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15.1  招标方将根据《中华人民共和国政府采购法》和</w:t>
      </w:r>
      <w:r>
        <w:rPr>
          <w:rFonts w:hint="eastAsia" w:ascii="宋体" w:hAnsi="宋体" w:eastAsia="宋体" w:cs="宋体"/>
          <w:color w:val="auto"/>
          <w:sz w:val="24"/>
          <w:szCs w:val="24"/>
          <w:highlight w:val="none"/>
        </w:rPr>
        <w:t>《中华人民共和国招标投标法》</w:t>
      </w:r>
      <w:r>
        <w:rPr>
          <w:rFonts w:hint="eastAsia" w:ascii="宋体" w:hAnsi="宋体" w:eastAsia="宋体" w:cs="宋体"/>
          <w:color w:val="auto"/>
          <w:spacing w:val="-2"/>
          <w:sz w:val="24"/>
          <w:szCs w:val="24"/>
          <w:highlight w:val="none"/>
        </w:rPr>
        <w:t>，依法组建本次招标的评标委员会，负责本次招标的评标活动。评标委员会负责按招标文件规定的定标标准向招标方推荐中标候选人，并标明排列顺序。</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15.2　评标委员会人选于开标前确定。评标委员会成员名单在中标结果确定前保密。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15.3  评标委员会由有关技术、经济等方面的五名以上专家组成。</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15.5　评标专家的条件和回避规定。</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15.5.1　评标专家应符合下列条件：</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szCs w:val="24"/>
          <w:highlight w:val="none"/>
        </w:rPr>
        <w:t>熟悉有关政府采购和招标投标的法律法规；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szCs w:val="24"/>
          <w:highlight w:val="none"/>
        </w:rPr>
        <w:t>在相关专业领域工作满八年并具有高级职称或者同等专业水平；</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2"/>
          <w:sz w:val="24"/>
          <w:szCs w:val="24"/>
          <w:highlight w:val="none"/>
        </w:rPr>
        <w:t>具有与招标项目相关的实践经验；</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2"/>
          <w:sz w:val="24"/>
          <w:szCs w:val="24"/>
          <w:highlight w:val="none"/>
        </w:rPr>
        <w:t>能够认真、公正、诚实、廉洁的履行职责。</w:t>
      </w:r>
    </w:p>
    <w:p>
      <w:pPr>
        <w:spacing w:line="440" w:lineRule="exact"/>
        <w:ind w:left="474" w:leftChars="224" w:hanging="4" w:hangingChars="2"/>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15.5.2  有下列情形之一的，不得担任评标委员会成员：</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szCs w:val="24"/>
          <w:highlight w:val="none"/>
        </w:rPr>
        <w:t>与投标人或者投标人主要负责人有近亲关系的；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szCs w:val="24"/>
          <w:highlight w:val="none"/>
        </w:rPr>
        <w:t>与项目主管部门或者行政监督部门的人员有近亲关系的；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2"/>
          <w:sz w:val="24"/>
          <w:szCs w:val="24"/>
          <w:highlight w:val="none"/>
        </w:rPr>
        <w:t>与投标人有经济利益关系，可能影响对投标公正评审的；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2"/>
          <w:sz w:val="24"/>
          <w:szCs w:val="24"/>
          <w:highlight w:val="none"/>
        </w:rPr>
        <w:t>曾因在招标、评标以及其他与招标投标有关活动中从事违法行为而受过行政处罚或刑事处罚的。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评标委员会成员有前款规定情形之一的，应当主动提出回避。</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bCs/>
          <w:color w:val="auto"/>
          <w:sz w:val="24"/>
          <w:highlight w:val="none"/>
        </w:rPr>
        <w:t>15.6</w:t>
      </w:r>
      <w:r>
        <w:rPr>
          <w:rFonts w:hint="eastAsia" w:ascii="宋体" w:hAnsi="宋体" w:eastAsia="宋体" w:cs="宋体"/>
          <w:color w:val="auto"/>
          <w:spacing w:val="-2"/>
          <w:sz w:val="24"/>
          <w:szCs w:val="24"/>
          <w:highlight w:val="none"/>
        </w:rPr>
        <w:t>评标委员会成员应当熟悉并认真研究招标文件，至少应了解和熟悉以下内容：</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pacing w:val="-2"/>
          <w:sz w:val="24"/>
          <w:szCs w:val="24"/>
          <w:highlight w:val="none"/>
        </w:rPr>
        <w:t>招标目的；</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2"/>
          <w:sz w:val="24"/>
          <w:szCs w:val="24"/>
          <w:highlight w:val="none"/>
        </w:rPr>
        <w:t>招标项目的范围、性质；</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pacing w:val="-2"/>
          <w:sz w:val="24"/>
          <w:szCs w:val="24"/>
          <w:highlight w:val="none"/>
        </w:rPr>
        <w:t>招标文件中规定的主要技术要求、标准和商务条款；</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pacing w:val="-2"/>
          <w:sz w:val="24"/>
          <w:szCs w:val="24"/>
          <w:highlight w:val="none"/>
        </w:rPr>
        <w:t>招标文件规定的评标标准、评标方法和在评标过程中应考虑的相关因素。</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15.7  招标方应当向评标委员会提供评标所需的重要信息和数据。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15.8  评标委员会应当根据招标文件规定的评标标准和方法，对投标文件进行系统地评审和比较。招标文件中没有规定的标准和方法不得作为评标的依据。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15.10  评标委员会成员和与本次评标活动有关的工作人员，不得透露对投标文件的评审和比较、中标候选人的推荐情况以及与评标有关的其他情况。</w:t>
      </w:r>
    </w:p>
    <w:p>
      <w:pPr>
        <w:spacing w:line="440" w:lineRule="exact"/>
        <w:ind w:firstLine="472" w:firstLineChars="200"/>
        <w:rPr>
          <w:rFonts w:hint="eastAsia" w:ascii="宋体" w:hAnsi="宋体" w:eastAsia="宋体" w:cs="宋体"/>
          <w:b/>
          <w:color w:val="auto"/>
          <w:sz w:val="32"/>
          <w:szCs w:val="32"/>
          <w:highlight w:val="none"/>
        </w:rPr>
      </w:pPr>
      <w:r>
        <w:rPr>
          <w:rFonts w:hint="eastAsia" w:ascii="宋体" w:hAnsi="宋体" w:eastAsia="宋体" w:cs="宋体"/>
          <w:color w:val="auto"/>
          <w:spacing w:val="-2"/>
          <w:sz w:val="24"/>
          <w:szCs w:val="24"/>
          <w:highlight w:val="none"/>
        </w:rPr>
        <w:t>15.11　与评标活动有关的工作人员，是指评标委员会成员以外的、因参与评标监督工作或者事务性工作而知悉有关评标情况的所有人员。</w:t>
      </w:r>
      <w:bookmarkStart w:id="42" w:name="_Toc507513103"/>
    </w:p>
    <w:p>
      <w:pPr>
        <w:spacing w:line="440" w:lineRule="exact"/>
        <w:jc w:val="center"/>
        <w:outlineLvl w:val="1"/>
        <w:rPr>
          <w:rFonts w:hint="eastAsia" w:ascii="宋体" w:hAnsi="宋体" w:eastAsia="宋体" w:cs="宋体"/>
          <w:b/>
          <w:color w:val="auto"/>
          <w:sz w:val="32"/>
          <w:szCs w:val="32"/>
          <w:highlight w:val="none"/>
        </w:rPr>
      </w:pPr>
    </w:p>
    <w:p>
      <w:pPr>
        <w:spacing w:line="440" w:lineRule="exact"/>
        <w:jc w:val="center"/>
        <w:outlineLvl w:val="1"/>
        <w:rPr>
          <w:rFonts w:hint="eastAsia" w:ascii="宋体" w:hAnsi="宋体" w:eastAsia="宋体" w:cs="宋体"/>
          <w:b/>
          <w:color w:val="auto"/>
          <w:sz w:val="32"/>
          <w:szCs w:val="32"/>
          <w:highlight w:val="none"/>
        </w:rPr>
      </w:pPr>
    </w:p>
    <w:p>
      <w:pPr>
        <w:spacing w:line="44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第五章 开　标</w:t>
      </w:r>
      <w:bookmarkEnd w:id="42"/>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16. 开标</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16.1　本次招标按招标文件的投标须知中规定的时间和地点进行公开开标，允许投标人的法定代表人或其授权人参加开标会。</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16.2　开标时将检查所有投标文件的密封情况，并在确认无误后拆封投标文件进行唱标。唱标以投标人单独提交的“开标一览表”的内容为准，并对唱标内容作以记录。</w:t>
      </w:r>
    </w:p>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16.3　开标和唱标的顺序，按照递交投标文件的先后顺序依次进行。</w:t>
      </w:r>
    </w:p>
    <w:p>
      <w:pPr>
        <w:tabs>
          <w:tab w:val="left" w:pos="1155"/>
        </w:tabs>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16.4　评标原则以招标文件的规定为准，并在开标会议上予以宣布。</w:t>
      </w:r>
    </w:p>
    <w:p>
      <w:pPr>
        <w:spacing w:line="440" w:lineRule="exact"/>
        <w:ind w:firstLine="482" w:firstLineChars="200"/>
        <w:rPr>
          <w:rFonts w:hint="eastAsia" w:ascii="宋体" w:hAnsi="宋体" w:eastAsia="宋体" w:cs="宋体"/>
          <w:b/>
          <w:color w:val="auto"/>
          <w:sz w:val="24"/>
          <w:highlight w:val="none"/>
        </w:rPr>
      </w:pPr>
    </w:p>
    <w:p>
      <w:pPr>
        <w:spacing w:line="440" w:lineRule="exact"/>
        <w:ind w:firstLine="643" w:firstLineChars="200"/>
        <w:jc w:val="center"/>
        <w:outlineLvl w:val="1"/>
        <w:rPr>
          <w:rFonts w:hint="eastAsia" w:ascii="宋体" w:hAnsi="宋体" w:eastAsia="宋体" w:cs="宋体"/>
          <w:b/>
          <w:bCs/>
          <w:color w:val="auto"/>
          <w:sz w:val="32"/>
          <w:highlight w:val="none"/>
        </w:rPr>
      </w:pPr>
      <w:bookmarkStart w:id="43" w:name="_Toc507513104"/>
    </w:p>
    <w:p>
      <w:pPr>
        <w:spacing w:line="440" w:lineRule="exact"/>
        <w:ind w:firstLine="643" w:firstLineChars="200"/>
        <w:jc w:val="center"/>
        <w:outlineLvl w:val="1"/>
        <w:rPr>
          <w:rFonts w:hint="eastAsia" w:ascii="宋体" w:hAnsi="宋体" w:eastAsia="宋体" w:cs="宋体"/>
          <w:b/>
          <w:bCs/>
          <w:color w:val="auto"/>
          <w:sz w:val="32"/>
          <w:highlight w:val="none"/>
        </w:rPr>
      </w:pPr>
    </w:p>
    <w:p>
      <w:pPr>
        <w:spacing w:line="440" w:lineRule="exact"/>
        <w:ind w:firstLine="643" w:firstLineChars="200"/>
        <w:jc w:val="center"/>
        <w:outlineLvl w:val="1"/>
        <w:rPr>
          <w:rFonts w:hint="eastAsia" w:ascii="宋体" w:hAnsi="宋体" w:eastAsia="宋体" w:cs="宋体"/>
          <w:b/>
          <w:bCs/>
          <w:color w:val="auto"/>
          <w:sz w:val="32"/>
          <w:highlight w:val="none"/>
        </w:rPr>
      </w:pPr>
    </w:p>
    <w:p>
      <w:pPr>
        <w:spacing w:line="440" w:lineRule="exact"/>
        <w:ind w:firstLine="643" w:firstLineChars="200"/>
        <w:jc w:val="center"/>
        <w:outlineLvl w:val="1"/>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第六章 评　标</w:t>
      </w:r>
      <w:bookmarkEnd w:id="43"/>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 评标依据</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评标的依据为招标文件。</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 投标文件的澄清</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18.1　为有助于对投标文件进行审查、评估和比较，评标委员会将对认为需要（不是每一个）的投标人进行询标，请投标人澄清其投标内容，投标人有责任按照招标方通知的时间、地点指派专人进行答疑和澄清。询标时投标人代表应作书面记录，并对答疑和澄清的内容做出书面答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18.2　答疑和澄清的内容应是书面的，但不得对投标的价格、技术指标和参数等内容进行实质性修改。澄清文件须由投标人法定代表人或其授权代表签字或加盖投标人公章，并作为投标文件的组成部分。</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 对投标文件的评估和比较</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19.1　对实质性响应的投标文件进行评估和比较。</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19.2　对以下因素进行评估和比较：</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对投标文件的审查和响应性的确定；</w:t>
      </w:r>
    </w:p>
    <w:p>
      <w:pPr>
        <w:numPr>
          <w:ilvl w:val="0"/>
          <w:numId w:val="6"/>
        </w:numPr>
        <w:tabs>
          <w:tab w:val="left" w:pos="540"/>
        </w:tabs>
        <w:spacing w:line="440" w:lineRule="exact"/>
        <w:ind w:left="540"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对投标文件中投标人的财务、技术和生产/供货能力的确定；</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对投标产品技术性能先进性和经济性的确定；</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对投标人售后服务机构设置和能力的确定；</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对投标人投标文件技术规格偏差的调整确定；</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对投标人投标文件商务偏差的调整确定；</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对投标人的技术、商务澄清内容答复的确定；</w:t>
      </w:r>
    </w:p>
    <w:p>
      <w:pPr>
        <w:numPr>
          <w:ilvl w:val="0"/>
          <w:numId w:val="6"/>
        </w:numPr>
        <w:tabs>
          <w:tab w:val="left" w:pos="540"/>
          <w:tab w:val="left" w:pos="126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对近三年经营业绩表的业绩评估确定；</w:t>
      </w:r>
    </w:p>
    <w:p>
      <w:pPr>
        <w:numPr>
          <w:ilvl w:val="0"/>
          <w:numId w:val="6"/>
        </w:numPr>
        <w:tabs>
          <w:tab w:val="left" w:pos="540"/>
        </w:tabs>
        <w:spacing w:line="440" w:lineRule="exact"/>
        <w:ind w:left="720" w:hanging="1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其他特殊要求因素（如节能、安全和环保等）。</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 评标过程的保密</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20.1  </w:t>
      </w:r>
      <w:r>
        <w:rPr>
          <w:rFonts w:hint="eastAsia" w:ascii="宋体" w:hAnsi="宋体" w:eastAsia="宋体" w:cs="宋体"/>
          <w:color w:val="auto"/>
          <w:spacing w:val="-2"/>
          <w:sz w:val="24"/>
          <w:szCs w:val="24"/>
          <w:highlight w:val="none"/>
        </w:rPr>
        <w:t>开标后，凡是属于审查、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440" w:lineRule="exact"/>
        <w:ind w:firstLine="480"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 xml:space="preserve">20.2 </w:t>
      </w:r>
      <w:r>
        <w:rPr>
          <w:rFonts w:hint="eastAsia" w:ascii="宋体" w:hAnsi="宋体" w:eastAsia="宋体" w:cs="宋体"/>
          <w:color w:val="auto"/>
          <w:spacing w:val="-2"/>
          <w:sz w:val="24"/>
          <w:szCs w:val="24"/>
          <w:highlight w:val="none"/>
        </w:rPr>
        <w:t>投标人在评标过程中，所进行的试图影响评标结果的不符合《中华人民共和国政府采购法》</w:t>
      </w:r>
      <w:r>
        <w:rPr>
          <w:rFonts w:hint="eastAsia" w:ascii="宋体" w:hAnsi="宋体" w:eastAsia="宋体" w:cs="宋体"/>
          <w:color w:val="auto"/>
          <w:sz w:val="24"/>
          <w:szCs w:val="24"/>
          <w:highlight w:val="none"/>
        </w:rPr>
        <w:t>和《中华人民共和国招标投标法》</w:t>
      </w:r>
      <w:r>
        <w:rPr>
          <w:rFonts w:hint="eastAsia" w:ascii="宋体" w:hAnsi="宋体" w:eastAsia="宋体" w:cs="宋体"/>
          <w:color w:val="auto"/>
          <w:spacing w:val="-2"/>
          <w:sz w:val="24"/>
          <w:szCs w:val="24"/>
          <w:highlight w:val="none"/>
        </w:rPr>
        <w:t>及本次招标有关规定的活动，将被取消中标资格。</w:t>
      </w:r>
    </w:p>
    <w:p>
      <w:pPr>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 初步评审</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21.1  评标委员会可以以书面方式要求投标人对投标文件中含义不明确、对同类问题表述不一致或者有明显文字和计算错误的内容作必要的澄清、说明或补正。澄清、说明或补正应以书面方式进行,且不得超出投标文件的范围或者改变投标文件的实质性内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21.2　招标方不接受不符合国家有关部门相关规定的投标报价或优惠方案。</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21.3　在评标过程中，评标委员会发现投标人以他人名义投标、串通投标、以行贿手段谋取中标或者以其他弄虚作假方式投标的，该投标人的投标应作废标处理。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21.4  投标人的资格条件不符合国家有关规定和招标文件要求的，或者拒不按照要求对投标文件进行澄清、说明或补正的，评标委员会可以否决其投标。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21.5  评标委员会应当审查每一投标文件是否对招标文件提出的所有实质性要求和条件做出满足。未能在实质上满足的投标，应作废标处理。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21.6　投标人不得误导、干扰招标方的评标活动，否则将废除其投标。</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21.7　评标委员会应当根据招标文件，审查并逐项列出投标文件的全部投标偏差。投标偏差分为重大偏差和细微偏差。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 xml:space="preserve">21.8 </w:t>
      </w:r>
      <w:r>
        <w:rPr>
          <w:rFonts w:hint="eastAsia" w:ascii="宋体" w:hAnsi="宋体" w:eastAsia="宋体" w:cs="宋体"/>
          <w:b/>
          <w:bCs/>
          <w:color w:val="auto"/>
          <w:spacing w:val="-2"/>
          <w:sz w:val="24"/>
          <w:szCs w:val="24"/>
          <w:highlight w:val="none"/>
        </w:rPr>
        <w:t xml:space="preserve"> </w:t>
      </w:r>
      <w:r>
        <w:rPr>
          <w:rFonts w:hint="eastAsia" w:ascii="宋体" w:hAnsi="宋体" w:eastAsia="宋体" w:cs="宋体"/>
          <w:b w:val="0"/>
          <w:bCs w:val="0"/>
          <w:color w:val="auto"/>
          <w:spacing w:val="-2"/>
          <w:sz w:val="24"/>
          <w:szCs w:val="24"/>
          <w:highlight w:val="none"/>
        </w:rPr>
        <w:t>下列情况属于重大偏差：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（1）没有按照招标文件要求提供投标保证金的；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（2）投标文件没有投标人授权代表签字和加盖公章的；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（3）投标文件中附有招标方不能接受的条件的；</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（4）不符合招标文件中规定的其他实质性要求的。</w:t>
      </w:r>
    </w:p>
    <w:p>
      <w:pPr>
        <w:spacing w:line="44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kern w:val="2"/>
          <w:sz w:val="24"/>
          <w:szCs w:val="24"/>
          <w:highlight w:val="none"/>
          <w:lang w:val="en-US" w:eastAsia="zh-CN" w:bidi="ar-SA"/>
        </w:rPr>
        <w:t>投标报价高于本项目招标控制价的；</w:t>
      </w:r>
    </w:p>
    <w:p>
      <w:pPr>
        <w:spacing w:line="440" w:lineRule="exact"/>
        <w:ind w:firstLine="472" w:firstLineChars="200"/>
        <w:rPr>
          <w:rFonts w:hint="eastAsia" w:ascii="宋体" w:hAnsi="宋体" w:eastAsia="宋体" w:cs="宋体"/>
          <w:color w:val="auto"/>
          <w:spacing w:val="-2"/>
          <w:kern w:val="2"/>
          <w:sz w:val="24"/>
          <w:szCs w:val="24"/>
          <w:highlight w:val="none"/>
          <w:lang w:val="en-US" w:eastAsia="zh-CN" w:bidi="ar-SA"/>
        </w:rPr>
      </w:pPr>
      <w:r>
        <w:rPr>
          <w:rFonts w:hint="eastAsia" w:ascii="宋体" w:hAnsi="宋体" w:eastAsia="宋体" w:cs="宋体"/>
          <w:color w:val="auto"/>
          <w:spacing w:val="-2"/>
          <w:kern w:val="2"/>
          <w:sz w:val="24"/>
          <w:szCs w:val="24"/>
          <w:highlight w:val="none"/>
          <w:lang w:val="en-US" w:eastAsia="zh-CN" w:bidi="ar-SA"/>
        </w:rPr>
        <w:t>（6）不满足</w:t>
      </w:r>
      <w:r>
        <w:rPr>
          <w:rFonts w:hint="eastAsia" w:ascii="宋体" w:hAnsi="宋体" w:cs="宋体"/>
          <w:color w:val="auto"/>
          <w:spacing w:val="-2"/>
          <w:kern w:val="2"/>
          <w:sz w:val="24"/>
          <w:szCs w:val="24"/>
          <w:highlight w:val="none"/>
          <w:lang w:val="en-US" w:eastAsia="zh-CN" w:bidi="ar-SA"/>
        </w:rPr>
        <w:t>招标</w:t>
      </w:r>
      <w:r>
        <w:rPr>
          <w:rFonts w:hint="eastAsia" w:ascii="宋体" w:hAnsi="宋体" w:eastAsia="宋体" w:cs="宋体"/>
          <w:color w:val="auto"/>
          <w:spacing w:val="-2"/>
          <w:kern w:val="2"/>
          <w:sz w:val="24"/>
          <w:szCs w:val="24"/>
          <w:highlight w:val="none"/>
          <w:lang w:val="en-US" w:eastAsia="zh-CN" w:bidi="ar-SA"/>
        </w:rPr>
        <w:t>文件实质性要求的其他情形。</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投标文件有上述情形之一的，为未能对招标文件做出实质性满足的投标，并作废标处理。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21.9  细微偏差是指投标实质上满足了招标文件要求，但在个别地方存在漏项或者提供了不完整的技术信息和数据等情况，并且补正这些遗漏或不完整不会对其他投标人造成不公平的结果。细微偏差不影响投标文件的有效性。</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评标委员会应当要求存在细小偏差的投标人在评标结束前以书面形式予以补正。拒绝补正的，在详细评审时可以对细微偏差作不利于该投标人的量化。</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21.10 评标委员会根据本规定否决不合格投标或者界定为废标后，因有效投标不足三个使得投标明显缺乏竞争性时，根据《中华人民共和国政府采购法》</w:t>
      </w:r>
      <w:r>
        <w:rPr>
          <w:rFonts w:hint="eastAsia" w:ascii="宋体" w:hAnsi="宋体" w:eastAsia="宋体" w:cs="宋体"/>
          <w:color w:val="auto"/>
          <w:sz w:val="24"/>
          <w:szCs w:val="24"/>
          <w:highlight w:val="none"/>
        </w:rPr>
        <w:t>及《中华人民共和国招标投标法》</w:t>
      </w:r>
      <w:r>
        <w:rPr>
          <w:rFonts w:hint="eastAsia" w:ascii="宋体" w:hAnsi="宋体" w:eastAsia="宋体" w:cs="宋体"/>
          <w:color w:val="auto"/>
          <w:spacing w:val="-2"/>
          <w:sz w:val="24"/>
          <w:szCs w:val="24"/>
          <w:highlight w:val="none"/>
        </w:rPr>
        <w:t>的相关规定，将作废标处理。</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21.11  对投标文件满足招标文件条款的审查：</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（1）开标后，评标委员会将组织对投标文件进行审查，检查投标文件是否完整，是否出现计算性错误，投标文件正本是否满足招标文件的格式要求；</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（2）在对投标文件进行详细评估之前，评标委员会将依据投标人提供的资格证明文件审查投标人的财务和技术能力。如果确定投标人无能力履行合同，其投标将被拒绝；</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（4）评标委员会判断投标文件的满足性仅基于投标文件本身而不靠外部证据；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（5）评标委员会将拒绝被确定为非实质性满足的投标。投标人不能通过修正或撤消不符合之处而使其投标成为实质性满足的投标。</w:t>
      </w:r>
    </w:p>
    <w:p>
      <w:pPr>
        <w:spacing w:line="440" w:lineRule="exact"/>
        <w:jc w:val="both"/>
        <w:rPr>
          <w:rFonts w:hint="eastAsia" w:ascii="宋体" w:hAnsi="宋体" w:eastAsia="宋体" w:cs="宋体"/>
          <w:color w:val="auto"/>
          <w:spacing w:val="-2"/>
          <w:sz w:val="30"/>
          <w:szCs w:val="30"/>
          <w:highlight w:val="none"/>
        </w:rPr>
      </w:pPr>
    </w:p>
    <w:p>
      <w:pPr>
        <w:spacing w:line="440" w:lineRule="exact"/>
        <w:ind w:firstLine="592" w:firstLineChars="200"/>
        <w:jc w:val="center"/>
        <w:rPr>
          <w:rFonts w:hint="eastAsia" w:ascii="宋体" w:hAnsi="宋体" w:eastAsia="宋体" w:cs="宋体"/>
          <w:color w:val="auto"/>
          <w:spacing w:val="-2"/>
          <w:sz w:val="30"/>
          <w:szCs w:val="30"/>
          <w:highlight w:val="none"/>
        </w:rPr>
      </w:pPr>
      <w:r>
        <w:rPr>
          <w:rFonts w:hint="eastAsia" w:ascii="宋体" w:hAnsi="宋体" w:eastAsia="宋体" w:cs="宋体"/>
          <w:color w:val="auto"/>
          <w:spacing w:val="-2"/>
          <w:sz w:val="30"/>
          <w:szCs w:val="30"/>
          <w:highlight w:val="none"/>
        </w:rPr>
        <w:t>投标文件响应程度初步审查表</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1.资格性审查</w:t>
      </w:r>
    </w:p>
    <w:tbl>
      <w:tblPr>
        <w:tblStyle w:val="1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6415"/>
        <w:gridCol w:w="778"/>
        <w:gridCol w:w="778"/>
        <w:gridCol w:w="778"/>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restart"/>
            <w:tcBorders>
              <w:top w:val="single" w:color="auto" w:sz="12" w:space="0"/>
              <w:right w:val="single" w:color="auto" w:sz="4" w:space="0"/>
            </w:tcBorders>
            <w:noWrap w:val="0"/>
            <w:vAlign w:val="center"/>
          </w:tcPr>
          <w:p>
            <w:pPr>
              <w:spacing w:line="440" w:lineRule="exact"/>
              <w:ind w:firstLine="2666" w:firstLineChars="113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评审内容</w:t>
            </w:r>
          </w:p>
        </w:tc>
        <w:tc>
          <w:tcPr>
            <w:tcW w:w="2791" w:type="dxa"/>
            <w:gridSpan w:val="4"/>
            <w:tcBorders>
              <w:top w:val="single" w:color="auto" w:sz="12" w:space="0"/>
              <w:left w:val="single" w:color="auto" w:sz="4" w:space="0"/>
              <w:bottom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vMerge w:val="continue"/>
            <w:tcBorders>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top w:val="single" w:color="auto" w:sz="4" w:space="0"/>
              <w:left w:val="single" w:color="auto" w:sz="4" w:space="0"/>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w:t>
            </w:r>
          </w:p>
        </w:tc>
        <w:tc>
          <w:tcPr>
            <w:tcW w:w="778" w:type="dxa"/>
            <w:tcBorders>
              <w:top w:val="single" w:color="auto" w:sz="4" w:space="0"/>
              <w:lef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p>
        </w:tc>
        <w:tc>
          <w:tcPr>
            <w:tcW w:w="778" w:type="dxa"/>
            <w:noWrap w:val="0"/>
            <w:vAlign w:val="center"/>
          </w:tcPr>
          <w:p>
            <w:pPr>
              <w:spacing w:line="440" w:lineRule="exact"/>
              <w:ind w:firstLine="424" w:firstLineChars="180"/>
              <w:jc w:val="cente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w:t>
            </w:r>
          </w:p>
        </w:tc>
        <w:tc>
          <w:tcPr>
            <w:tcW w:w="457" w:type="dxa"/>
            <w:noWrap w:val="0"/>
            <w:vAlign w:val="center"/>
          </w:tcPr>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415" w:type="dxa"/>
            <w:tcBorders>
              <w:right w:val="single" w:color="auto" w:sz="4" w:space="0"/>
            </w:tcBorders>
            <w:shd w:val="clear" w:color="auto" w:fill="auto"/>
            <w:noWrap w:val="0"/>
            <w:vAlign w:val="center"/>
          </w:tcPr>
          <w:p>
            <w:pPr>
              <w:spacing w:line="44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符合《中华人民共和国政府采购法》第二十二条的相关规定；</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lef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457" w:type="dxa"/>
            <w:tcBorders>
              <w:left w:val="single" w:color="auto" w:sz="4" w:space="0"/>
            </w:tcBorders>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6415" w:type="dxa"/>
            <w:tcBorders>
              <w:right w:val="single" w:color="auto" w:sz="4" w:space="0"/>
            </w:tcBorders>
            <w:shd w:val="clear" w:color="auto" w:fill="auto"/>
            <w:noWrap w:val="0"/>
            <w:vAlign w:val="center"/>
          </w:tcPr>
          <w:p>
            <w:pPr>
              <w:spacing w:line="440" w:lineRule="exact"/>
              <w:rPr>
                <w:rFonts w:hint="eastAsia" w:ascii="宋体" w:hAnsi="宋体" w:eastAsia="宋体" w:cs="宋体"/>
                <w:i w:val="0"/>
                <w:caps w:val="0"/>
                <w:color w:val="auto"/>
                <w:spacing w:val="0"/>
                <w:sz w:val="24"/>
                <w:szCs w:val="24"/>
                <w:highlight w:val="none"/>
              </w:rPr>
            </w:pPr>
            <w:r>
              <w:rPr>
                <w:rFonts w:hint="eastAsia" w:ascii="宋体" w:hAnsi="宋体" w:eastAsia="宋体" w:cs="宋体"/>
                <w:i w:val="0"/>
                <w:caps w:val="0"/>
                <w:color w:val="auto"/>
                <w:spacing w:val="0"/>
                <w:sz w:val="24"/>
                <w:szCs w:val="24"/>
                <w:highlight w:val="none"/>
              </w:rPr>
              <w:t>投标人应在中华人民共和国注册，独立法人，具有有效的营业执照且经营范围中包含本次采购的服务内容；</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lef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457" w:type="dxa"/>
            <w:tcBorders>
              <w:left w:val="single" w:color="auto" w:sz="4" w:space="0"/>
            </w:tcBorders>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6415" w:type="dxa"/>
            <w:tcBorders>
              <w:right w:val="single" w:color="auto" w:sz="4" w:space="0"/>
            </w:tcBorders>
            <w:shd w:val="clear" w:color="auto" w:fill="auto"/>
            <w:noWrap w:val="0"/>
            <w:vAlign w:val="center"/>
          </w:tcPr>
          <w:p>
            <w:pPr>
              <w:spacing w:line="440" w:lineRule="exact"/>
              <w:rPr>
                <w:rFonts w:hint="eastAsia" w:ascii="宋体" w:hAnsi="宋体" w:eastAsia="宋体" w:cs="宋体"/>
                <w:i w:val="0"/>
                <w:caps w:val="0"/>
                <w:color w:val="auto"/>
                <w:spacing w:val="0"/>
                <w:sz w:val="24"/>
                <w:szCs w:val="24"/>
                <w:highlight w:val="none"/>
                <w:lang w:eastAsia="zh-CN"/>
              </w:rPr>
            </w:pPr>
            <w:r>
              <w:rPr>
                <w:rFonts w:hint="eastAsia" w:ascii="宋体" w:hAnsi="宋体" w:eastAsia="宋体" w:cs="宋体"/>
                <w:color w:val="auto"/>
                <w:sz w:val="24"/>
                <w:szCs w:val="24"/>
                <w:highlight w:val="none"/>
              </w:rPr>
              <w:t>是否提供</w:t>
            </w:r>
            <w:r>
              <w:rPr>
                <w:rFonts w:hint="eastAsia" w:ascii="宋体" w:hAnsi="宋体" w:eastAsia="宋体" w:cs="宋体"/>
                <w:i w:val="0"/>
                <w:caps w:val="0"/>
                <w:color w:val="auto"/>
                <w:spacing w:val="0"/>
                <w:sz w:val="24"/>
                <w:szCs w:val="24"/>
                <w:highlight w:val="none"/>
                <w:lang w:val="en-US" w:eastAsia="zh-CN"/>
              </w:rPr>
              <w:t>质量承诺保证</w:t>
            </w:r>
            <w:r>
              <w:rPr>
                <w:rFonts w:hint="eastAsia" w:ascii="宋体" w:hAnsi="宋体" w:cs="宋体"/>
                <w:i w:val="0"/>
                <w:caps w:val="0"/>
                <w:color w:val="auto"/>
                <w:spacing w:val="0"/>
                <w:sz w:val="24"/>
                <w:szCs w:val="24"/>
                <w:highlight w:val="none"/>
                <w:lang w:val="en-US" w:eastAsia="zh-CN"/>
              </w:rPr>
              <w:t>；</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lef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457" w:type="dxa"/>
            <w:tcBorders>
              <w:left w:val="single" w:color="auto" w:sz="4" w:space="0"/>
            </w:tcBorders>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6415" w:type="dxa"/>
            <w:tcBorders>
              <w:right w:val="single" w:color="auto" w:sz="4" w:space="0"/>
            </w:tcBorders>
            <w:shd w:val="clear" w:color="auto" w:fill="auto"/>
            <w:noWrap w:val="0"/>
            <w:vAlign w:val="center"/>
          </w:tcPr>
          <w:p>
            <w:pPr>
              <w:spacing w:line="44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是否提供拟参加本次招标项目的投标人在“信用中国”（www.creditchina.gov.cn）网站上未被列入失信被执行人、重大税收违法案件当事人名单以及政府采购严重违法失信行为记录名单的网页打印件</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中国政府采购网（www.ccgp.gov.cn）政府采购严重违法失信行为记录名单的查询截图并加盖公章；（网页打印件须自招标文件发布之日起至首次提交投标文件截止时间内从上述网站中打印）并加盖公章</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lef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457" w:type="dxa"/>
            <w:tcBorders>
              <w:left w:val="single" w:color="auto" w:sz="4" w:space="0"/>
            </w:tcBorders>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noWrap w:val="0"/>
            <w:vAlign w:val="center"/>
          </w:tcPr>
          <w:p>
            <w:pPr>
              <w:spacing w:line="4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6415" w:type="dxa"/>
            <w:tcBorders>
              <w:right w:val="single" w:color="auto" w:sz="4" w:space="0"/>
            </w:tcBorders>
            <w:noWrap w:val="0"/>
            <w:vAlign w:val="center"/>
          </w:tcPr>
          <w:p>
            <w:pPr>
              <w:spacing w:line="44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是否有投标保证金缴纳凭证</w:t>
            </w:r>
          </w:p>
        </w:tc>
        <w:tc>
          <w:tcPr>
            <w:tcW w:w="778" w:type="dxa"/>
            <w:tcBorders>
              <w:left w:val="single" w:color="auto" w:sz="4" w:space="0"/>
              <w:righ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left w:val="single" w:color="auto" w:sz="4" w:space="0"/>
            </w:tcBorders>
            <w:noWrap w:val="0"/>
            <w:vAlign w:val="center"/>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457" w:type="dxa"/>
            <w:tcBorders>
              <w:left w:val="single" w:color="auto" w:sz="4" w:space="0"/>
            </w:tcBorders>
            <w:noWrap w:val="0"/>
            <w:vAlign w:val="top"/>
          </w:tcPr>
          <w:p>
            <w:pPr>
              <w:spacing w:line="440" w:lineRule="exact"/>
              <w:rPr>
                <w:rFonts w:hint="eastAsia" w:ascii="宋体" w:hAnsi="宋体" w:eastAsia="宋体" w:cs="宋体"/>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063" w:type="dxa"/>
            <w:gridSpan w:val="2"/>
            <w:tcBorders>
              <w:bottom w:val="single" w:color="auto" w:sz="12" w:space="0"/>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结论：是否通过评审</w:t>
            </w:r>
          </w:p>
        </w:tc>
        <w:tc>
          <w:tcPr>
            <w:tcW w:w="778" w:type="dxa"/>
            <w:tcBorders>
              <w:left w:val="single" w:color="auto" w:sz="4" w:space="0"/>
              <w:bottom w:val="single" w:color="auto" w:sz="12" w:space="0"/>
              <w:right w:val="single" w:color="auto" w:sz="4"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left w:val="single" w:color="auto" w:sz="4" w:space="0"/>
              <w:bottom w:val="single" w:color="auto" w:sz="12"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778" w:type="dxa"/>
            <w:tcBorders>
              <w:bottom w:val="single" w:color="auto" w:sz="12" w:space="0"/>
            </w:tcBorders>
            <w:noWrap w:val="0"/>
            <w:vAlign w:val="top"/>
          </w:tcPr>
          <w:p>
            <w:pPr>
              <w:spacing w:line="440" w:lineRule="exact"/>
              <w:ind w:firstLine="424" w:firstLineChars="180"/>
              <w:rPr>
                <w:rFonts w:hint="eastAsia" w:ascii="宋体" w:hAnsi="宋体" w:eastAsia="宋体" w:cs="宋体"/>
                <w:color w:val="auto"/>
                <w:spacing w:val="-2"/>
                <w:sz w:val="24"/>
                <w:szCs w:val="24"/>
                <w:highlight w:val="none"/>
              </w:rPr>
            </w:pPr>
          </w:p>
        </w:tc>
        <w:tc>
          <w:tcPr>
            <w:tcW w:w="457" w:type="dxa"/>
            <w:tcBorders>
              <w:bottom w:val="single" w:color="auto" w:sz="12" w:space="0"/>
            </w:tcBorders>
            <w:noWrap w:val="0"/>
            <w:vAlign w:val="top"/>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color w:val="auto"/>
          <w:spacing w:val="-2"/>
          <w:sz w:val="24"/>
          <w:szCs w:val="24"/>
          <w:highlight w:val="none"/>
        </w:rPr>
      </w:pPr>
    </w:p>
    <w:p>
      <w:pPr>
        <w:spacing w:line="440" w:lineRule="exact"/>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2.符合性审查</w:t>
      </w:r>
    </w:p>
    <w:tbl>
      <w:tblPr>
        <w:tblStyle w:val="16"/>
        <w:tblW w:w="985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5"/>
        <w:gridCol w:w="6674"/>
        <w:gridCol w:w="646"/>
        <w:gridCol w:w="646"/>
        <w:gridCol w:w="646"/>
        <w:gridCol w:w="5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restart"/>
            <w:tcBorders>
              <w:top w:val="single" w:color="auto" w:sz="12" w:space="0"/>
              <w:right w:val="single" w:color="auto" w:sz="4" w:space="0"/>
            </w:tcBorders>
            <w:noWrap w:val="0"/>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2535" w:type="dxa"/>
            <w:gridSpan w:val="4"/>
            <w:tcBorders>
              <w:top w:val="single" w:color="auto" w:sz="12" w:space="0"/>
              <w:left w:val="single" w:color="auto" w:sz="4" w:space="0"/>
              <w:bottom w:val="single" w:color="auto" w:sz="4" w:space="0"/>
            </w:tcBorders>
            <w:noWrap w:val="0"/>
            <w:vAlign w:val="center"/>
          </w:tcPr>
          <w:p>
            <w:pPr>
              <w:spacing w:line="44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投标企业名称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vMerge w:val="continue"/>
            <w:tcBorders>
              <w:right w:val="single" w:color="auto" w:sz="4" w:space="0"/>
            </w:tcBorders>
            <w:noWrap w:val="0"/>
            <w:vAlign w:val="center"/>
          </w:tcPr>
          <w:p>
            <w:pPr>
              <w:spacing w:line="440" w:lineRule="exact"/>
              <w:jc w:val="center"/>
              <w:rPr>
                <w:rFonts w:hint="eastAsia" w:ascii="宋体" w:hAnsi="宋体" w:eastAsia="宋体" w:cs="宋体"/>
                <w:b/>
                <w:color w:val="auto"/>
                <w:szCs w:val="21"/>
                <w:highlight w:val="none"/>
              </w:rPr>
            </w:pPr>
          </w:p>
        </w:tc>
        <w:tc>
          <w:tcPr>
            <w:tcW w:w="646"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c>
          <w:tcPr>
            <w:tcW w:w="646" w:type="dxa"/>
            <w:tcBorders>
              <w:top w:val="single" w:color="auto" w:sz="4" w:space="0"/>
              <w:left w:val="single" w:color="auto" w:sz="4" w:space="0"/>
            </w:tcBorders>
            <w:noWrap w:val="0"/>
            <w:vAlign w:val="center"/>
          </w:tcPr>
          <w:p>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w:t>
            </w:r>
          </w:p>
        </w:tc>
        <w:tc>
          <w:tcPr>
            <w:tcW w:w="646" w:type="dxa"/>
            <w:noWrap w:val="0"/>
            <w:vAlign w:val="center"/>
          </w:tcPr>
          <w:p>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w:t>
            </w:r>
          </w:p>
        </w:tc>
        <w:tc>
          <w:tcPr>
            <w:tcW w:w="597" w:type="dxa"/>
            <w:noWrap w:val="0"/>
            <w:vAlign w:val="center"/>
          </w:tcPr>
          <w:p>
            <w:pPr>
              <w:spacing w:line="44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1</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投标函是否有单位盖章及法定代表人或法定代表人授权的代理人签字或盖章的；</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2</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是否按规定提交投标文件份数，正本1份 副本</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份；</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3</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是否按规定的格式填写，内容不全或关键字迹模糊、无法辨认的；</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4</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投标文件是否按照招标文件要求编写、装订；</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5</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投标有效期是否满足招标文件要求的；</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6</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投标人所报送货期限是否超过招标文件规定期限的；</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7</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投标文件是否附有招标人不能接受的条件；</w:t>
            </w:r>
          </w:p>
        </w:tc>
        <w:tc>
          <w:tcPr>
            <w:tcW w:w="646" w:type="dxa"/>
            <w:tcBorders>
              <w:left w:val="single" w:color="auto" w:sz="4" w:space="0"/>
              <w:right w:val="single" w:color="auto" w:sz="4" w:space="0"/>
            </w:tcBorders>
            <w:noWrap w:val="0"/>
            <w:vAlign w:val="center"/>
          </w:tcPr>
          <w:p>
            <w:pPr>
              <w:widowControl/>
              <w:shd w:val="clear" w:color="auto" w:fill="FAFAFA"/>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eastAsia" w:ascii="宋体" w:hAnsi="宋体" w:eastAsia="宋体" w:cs="宋体"/>
                <w:color w:val="auto"/>
                <w:szCs w:val="21"/>
                <w:highlight w:val="none"/>
                <w:lang w:eastAsia="zh-CN"/>
              </w:rPr>
            </w:pPr>
            <w:r>
              <w:rPr>
                <w:rFonts w:hint="eastAsia" w:ascii="宋体" w:hAnsi="宋体" w:cs="宋体"/>
                <w:color w:val="auto"/>
                <w:kern w:val="0"/>
                <w:szCs w:val="21"/>
                <w:highlight w:val="none"/>
                <w:lang w:val="en-US" w:eastAsia="zh-CN"/>
              </w:rPr>
              <w:t>8</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是否有不符合招标文件中规定的其他实质性要求；</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snapToGrid w:val="0"/>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投标人是否有违法招标投标纪律的。</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widowControl/>
              <w:shd w:val="clear" w:color="auto" w:fill="FAFAFA"/>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645" w:type="dxa"/>
            <w:noWrap w:val="0"/>
            <w:vAlign w:val="center"/>
          </w:tcPr>
          <w:p>
            <w:pPr>
              <w:widowControl/>
              <w:spacing w:line="440" w:lineRule="exact"/>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6674" w:type="dxa"/>
            <w:tcBorders>
              <w:right w:val="single" w:color="auto" w:sz="4" w:space="0"/>
            </w:tcBorders>
            <w:noWrap w:val="0"/>
            <w:vAlign w:val="center"/>
          </w:tcPr>
          <w:p>
            <w:pPr>
              <w:spacing w:line="44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lang w:eastAsia="zh-CN"/>
              </w:rPr>
              <w:t>所投报价是否超过采购预算</w:t>
            </w:r>
          </w:p>
        </w:tc>
        <w:tc>
          <w:tcPr>
            <w:tcW w:w="646" w:type="dxa"/>
            <w:tcBorders>
              <w:left w:val="single" w:color="auto" w:sz="4"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tcBorders>
            <w:noWrap w:val="0"/>
            <w:vAlign w:val="center"/>
          </w:tcPr>
          <w:p>
            <w:pPr>
              <w:widowControl/>
              <w:shd w:val="clear" w:color="auto" w:fill="FAFAFA"/>
              <w:spacing w:line="440" w:lineRule="exact"/>
              <w:jc w:val="center"/>
              <w:rPr>
                <w:rFonts w:hint="eastAsia" w:ascii="宋体" w:hAnsi="宋体" w:eastAsia="宋体" w:cs="宋体"/>
                <w:color w:val="auto"/>
                <w:szCs w:val="21"/>
                <w:highlight w:val="none"/>
              </w:rPr>
            </w:pPr>
          </w:p>
        </w:tc>
        <w:tc>
          <w:tcPr>
            <w:tcW w:w="646" w:type="dxa"/>
            <w:tcBorders>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lef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319" w:type="dxa"/>
            <w:gridSpan w:val="2"/>
            <w:tcBorders>
              <w:bottom w:val="single" w:color="auto" w:sz="12" w:space="0"/>
              <w:right w:val="single" w:color="auto" w:sz="4" w:space="0"/>
            </w:tcBorders>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结论：是否通过评审</w:t>
            </w:r>
          </w:p>
        </w:tc>
        <w:tc>
          <w:tcPr>
            <w:tcW w:w="646" w:type="dxa"/>
            <w:tcBorders>
              <w:left w:val="single" w:color="auto" w:sz="4" w:space="0"/>
              <w:bottom w:val="single" w:color="auto" w:sz="12" w:space="0"/>
              <w:right w:val="single" w:color="auto" w:sz="4"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left w:val="single" w:color="auto" w:sz="4" w:space="0"/>
              <w:bottom w:val="single" w:color="auto" w:sz="12" w:space="0"/>
            </w:tcBorders>
            <w:noWrap w:val="0"/>
            <w:vAlign w:val="center"/>
          </w:tcPr>
          <w:p>
            <w:pPr>
              <w:spacing w:line="440" w:lineRule="exact"/>
              <w:jc w:val="center"/>
              <w:rPr>
                <w:rFonts w:hint="eastAsia" w:ascii="宋体" w:hAnsi="宋体" w:eastAsia="宋体" w:cs="宋体"/>
                <w:color w:val="auto"/>
                <w:szCs w:val="21"/>
                <w:highlight w:val="none"/>
              </w:rPr>
            </w:pPr>
          </w:p>
        </w:tc>
        <w:tc>
          <w:tcPr>
            <w:tcW w:w="646" w:type="dxa"/>
            <w:tcBorders>
              <w:bottom w:val="single" w:color="auto" w:sz="12" w:space="0"/>
            </w:tcBorders>
            <w:noWrap w:val="0"/>
            <w:vAlign w:val="center"/>
          </w:tcPr>
          <w:p>
            <w:pPr>
              <w:spacing w:line="440" w:lineRule="exact"/>
              <w:jc w:val="center"/>
              <w:rPr>
                <w:rFonts w:hint="eastAsia" w:ascii="宋体" w:hAnsi="宋体" w:eastAsia="宋体" w:cs="宋体"/>
                <w:color w:val="auto"/>
                <w:szCs w:val="21"/>
                <w:highlight w:val="none"/>
              </w:rPr>
            </w:pPr>
          </w:p>
        </w:tc>
        <w:tc>
          <w:tcPr>
            <w:tcW w:w="597" w:type="dxa"/>
            <w:tcBorders>
              <w:bottom w:val="single" w:color="auto" w:sz="12" w:space="0"/>
            </w:tcBorders>
            <w:noWrap w:val="0"/>
            <w:vAlign w:val="center"/>
          </w:tcPr>
          <w:p>
            <w:pPr>
              <w:spacing w:line="440" w:lineRule="exact"/>
              <w:jc w:val="center"/>
              <w:rPr>
                <w:rFonts w:hint="eastAsia" w:ascii="宋体" w:hAnsi="宋体" w:eastAsia="宋体" w:cs="宋体"/>
                <w:color w:val="auto"/>
                <w:szCs w:val="21"/>
                <w:highlight w:val="none"/>
              </w:rPr>
            </w:pPr>
          </w:p>
        </w:tc>
      </w:tr>
    </w:tbl>
    <w:p>
      <w:pPr>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投标文件响应程度初步审查通过的投标企业，进入下一步详细评审阶段，未通过投标文件响应程度初步审查的企业，其投标作为无效标，不进入后期评审阶段。</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详细评审</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22.1  经初步评审合格的投标文件，评标委员会应当根据招标文件确定的评标标准和方法，对</w:t>
      </w:r>
      <w:r>
        <w:rPr>
          <w:rFonts w:hint="eastAsia" w:ascii="宋体" w:hAnsi="宋体" w:eastAsia="宋体" w:cs="宋体"/>
          <w:color w:val="auto"/>
          <w:sz w:val="24"/>
          <w:highlight w:val="none"/>
        </w:rPr>
        <w:t>投标人所有投标产品的</w:t>
      </w:r>
      <w:r>
        <w:rPr>
          <w:rFonts w:hint="eastAsia" w:ascii="宋体" w:hAnsi="宋体" w:eastAsia="宋体" w:cs="宋体"/>
          <w:color w:val="auto"/>
          <w:spacing w:val="-2"/>
          <w:sz w:val="24"/>
          <w:szCs w:val="24"/>
          <w:highlight w:val="none"/>
        </w:rPr>
        <w:t>技术和商务部分进行详细评审和比较</w:t>
      </w:r>
      <w:r>
        <w:rPr>
          <w:rFonts w:hint="eastAsia" w:ascii="宋体" w:hAnsi="宋体" w:eastAsia="宋体" w:cs="宋体"/>
          <w:color w:val="auto"/>
          <w:sz w:val="24"/>
          <w:highlight w:val="none"/>
        </w:rPr>
        <w:t>，未通过详细评审的投标产品视为无效投标产品。</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22.2  在评审过程中，为了有助于对投标文件进行审查、评估和比较，招标方有权向投标人质疑，请投标人澄清投标内容。投标人有责任按照招标方通知的时间、地点指派专人进行答疑和澄清。评标委员会可能要求投标人就投标文件中的内容进行答辩，招标方将以书面形式通知投标人，投标人应按要求进行答辩。</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22.3采用综合评分法衡量投标文件在是否最大限度地满足招标文件实质性要求前提下，按照招标文件中规定的各项因素进行综合评审后，依据得分高低，依次确定为中标候选人。</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22.4根据综合评分法完成评标后，评标委员会应当拟定一份书面评标报告提交招标方。评标报告应当载明投标人的投标项目、所作的任何修正、对商业偏差的调整、对技术偏差的调整、对各评审因素的评估以及对每一投标的最终评审结果。</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22.5投标人自本次招标采购活动前三年内在投标活动中有违法违纪活动一经查出，将取消投标资格，已经中标的，取消中标资格。</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22.6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投标保证金的有效期，但不得修改投标文件的实质性内容。</w:t>
      </w:r>
    </w:p>
    <w:p>
      <w:pPr>
        <w:spacing w:line="440" w:lineRule="exact"/>
        <w:rPr>
          <w:rFonts w:hint="eastAsia" w:ascii="宋体" w:hAnsi="宋体" w:eastAsia="宋体" w:cs="宋体"/>
          <w:b/>
          <w:color w:val="auto"/>
          <w:sz w:val="24"/>
          <w:szCs w:val="24"/>
          <w:highlight w:val="none"/>
        </w:rPr>
      </w:pPr>
    </w:p>
    <w:p>
      <w:pPr>
        <w:spacing w:line="440" w:lineRule="exact"/>
        <w:jc w:val="center"/>
        <w:outlineLvl w:val="1"/>
        <w:rPr>
          <w:rFonts w:hint="eastAsia" w:ascii="宋体" w:hAnsi="宋体" w:eastAsia="宋体" w:cs="宋体"/>
          <w:b/>
          <w:color w:val="auto"/>
          <w:sz w:val="32"/>
          <w:szCs w:val="32"/>
          <w:highlight w:val="none"/>
        </w:rPr>
      </w:pPr>
      <w:bookmarkStart w:id="44" w:name="_Toc507513105"/>
    </w:p>
    <w:p>
      <w:pPr>
        <w:spacing w:line="440" w:lineRule="exact"/>
        <w:jc w:val="center"/>
        <w:outlineLvl w:val="1"/>
        <w:rPr>
          <w:rFonts w:hint="eastAsia" w:ascii="宋体" w:hAnsi="宋体" w:eastAsia="宋体" w:cs="宋体"/>
          <w:b/>
          <w:color w:val="auto"/>
          <w:sz w:val="32"/>
          <w:szCs w:val="32"/>
          <w:highlight w:val="none"/>
        </w:rPr>
      </w:pPr>
    </w:p>
    <w:p>
      <w:pPr>
        <w:pStyle w:val="2"/>
        <w:rPr>
          <w:rFonts w:hint="eastAsia"/>
        </w:rPr>
      </w:pPr>
    </w:p>
    <w:p>
      <w:pPr>
        <w:spacing w:line="440" w:lineRule="exact"/>
        <w:jc w:val="center"/>
        <w:outlineLvl w:val="1"/>
        <w:rPr>
          <w:rFonts w:hint="eastAsia" w:ascii="宋体" w:hAnsi="宋体" w:eastAsia="宋体" w:cs="宋体"/>
          <w:b/>
          <w:color w:val="auto"/>
          <w:sz w:val="32"/>
          <w:szCs w:val="32"/>
          <w:highlight w:val="none"/>
        </w:rPr>
      </w:pPr>
    </w:p>
    <w:p>
      <w:pPr>
        <w:spacing w:line="440" w:lineRule="exact"/>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第七章 定　标</w:t>
      </w:r>
      <w:bookmarkEnd w:id="44"/>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定标标准</w:t>
      </w:r>
    </w:p>
    <w:p>
      <w:pPr>
        <w:spacing w:line="440" w:lineRule="exact"/>
        <w:ind w:firstLine="472" w:firstLineChars="200"/>
        <w:rPr>
          <w:rFonts w:hint="eastAsia" w:ascii="宋体" w:hAnsi="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23.1　合同将授予被确定为实质性响应招标文件要求，经评定认为具备履行合同能力、报价合理、技术和商务条件都符合招标文件要求的得分最高的投标人</w:t>
      </w:r>
      <w:r>
        <w:rPr>
          <w:rFonts w:hint="eastAsia" w:ascii="宋体" w:hAnsi="宋体" w:cs="宋体"/>
          <w:color w:val="auto"/>
          <w:spacing w:val="-2"/>
          <w:sz w:val="24"/>
          <w:szCs w:val="24"/>
          <w:highlight w:val="none"/>
          <w:lang w:val="en-US" w:eastAsia="zh-CN"/>
        </w:rPr>
        <w:t>。.</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lang w:val="en-US" w:eastAsia="zh-CN"/>
        </w:rPr>
        <w:t>23.2最低报价不作为评标的唯一依据。招标人不承诺将合同授予报价最低的投标人。</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23</w:t>
      </w:r>
      <w:r>
        <w:rPr>
          <w:rFonts w:hint="eastAsia" w:ascii="宋体" w:hAnsi="宋体" w:eastAsia="宋体" w:cs="宋体"/>
          <w:color w:val="auto"/>
          <w:spacing w:val="-2"/>
          <w:sz w:val="24"/>
          <w:szCs w:val="24"/>
          <w:highlight w:val="none"/>
          <w:lang w:val="en-US" w:eastAsia="zh-CN"/>
        </w:rPr>
        <w:t>.3评标委员会通过初步评审合格的投标人按技术标详细评审和商务标详细评审，投标人得分等于技术标得分加商务标得分，投标人得分由高到低排序确定出前三名中标候选人推荐给招标人。</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23</w:t>
      </w:r>
      <w:r>
        <w:rPr>
          <w:rFonts w:hint="eastAsia" w:ascii="宋体" w:hAnsi="宋体" w:eastAsia="宋体" w:cs="宋体"/>
          <w:color w:val="auto"/>
          <w:spacing w:val="-2"/>
          <w:sz w:val="24"/>
          <w:szCs w:val="24"/>
          <w:highlight w:val="none"/>
          <w:lang w:val="en-US" w:eastAsia="zh-CN"/>
        </w:rPr>
        <w:t>.4若投标人总得分相同，以报价低者确定为中标人候选人。若投标人总得分相同且报价也相同，以技术标得分最高者确定为中标人候选人。</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23</w:t>
      </w:r>
      <w:r>
        <w:rPr>
          <w:rFonts w:hint="eastAsia" w:ascii="宋体" w:hAnsi="宋体" w:eastAsia="宋体" w:cs="宋体"/>
          <w:color w:val="auto"/>
          <w:spacing w:val="-2"/>
          <w:sz w:val="24"/>
          <w:szCs w:val="24"/>
          <w:highlight w:val="none"/>
          <w:lang w:val="en-US" w:eastAsia="zh-CN"/>
        </w:rPr>
        <w:t>.5 招标人确定中标人的原则：招标人根据评标委员会的评标报告，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组织招标。</w:t>
      </w:r>
    </w:p>
    <w:p>
      <w:pPr>
        <w:spacing w:line="440" w:lineRule="exact"/>
        <w:ind w:firstLine="474"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b/>
          <w:bCs/>
          <w:color w:val="auto"/>
          <w:spacing w:val="-2"/>
          <w:sz w:val="24"/>
          <w:szCs w:val="24"/>
          <w:highlight w:val="none"/>
          <w:lang w:val="en-US" w:eastAsia="zh-CN"/>
        </w:rPr>
        <w:t xml:space="preserve">24. </w:t>
      </w:r>
      <w:r>
        <w:rPr>
          <w:rFonts w:hint="eastAsia" w:ascii="宋体" w:hAnsi="宋体" w:eastAsia="宋体" w:cs="宋体"/>
          <w:color w:val="auto"/>
          <w:spacing w:val="-2"/>
          <w:sz w:val="24"/>
          <w:szCs w:val="24"/>
          <w:highlight w:val="none"/>
          <w:lang w:val="en-US" w:eastAsia="zh-CN"/>
        </w:rPr>
        <w:t>评标过程的保密</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lang w:val="en-US" w:eastAsia="zh-CN"/>
        </w:rPr>
        <w:t>.1  凡属于对投标文件的审查、澄清、评价和比较有关的资料、中标候选人的推荐情况以及与评标有关的其他任何情况，评标委员会成员和与评标活动有关的工作人员不得对任何单位和个人透露。</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lang w:val="en-US" w:eastAsia="zh-CN"/>
        </w:rPr>
        <w:t>.2   在投标文件的评审和比较、中标候选人推荐以及授予合同的过程中，投标人向招标人或者评标委员会施加影响的任何行为，都将会导致其投标被拒绝。</w:t>
      </w:r>
    </w:p>
    <w:p>
      <w:pPr>
        <w:spacing w:line="440" w:lineRule="exact"/>
        <w:ind w:firstLine="472" w:firstLineChars="200"/>
        <w:rPr>
          <w:rFonts w:hint="eastAsia"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lang w:val="en-US" w:eastAsia="zh-CN"/>
        </w:rPr>
        <w:t>24</w:t>
      </w:r>
      <w:r>
        <w:rPr>
          <w:rFonts w:hint="eastAsia" w:ascii="宋体" w:hAnsi="宋体" w:eastAsia="宋体" w:cs="宋体"/>
          <w:color w:val="auto"/>
          <w:spacing w:val="-2"/>
          <w:sz w:val="24"/>
          <w:szCs w:val="24"/>
          <w:highlight w:val="none"/>
          <w:lang w:val="en-US" w:eastAsia="zh-CN"/>
        </w:rPr>
        <w:t>.3   中标人确定后，招标人不对未中标人就评标过程以及未能中标原因做出任何解释。未中标人不得向评标委员会组成人员或者其他有关人员索问评标过程的情况和材料。</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5</w:t>
      </w:r>
      <w:r>
        <w:rPr>
          <w:rFonts w:hint="eastAsia" w:ascii="宋体" w:hAnsi="宋体" w:eastAsia="宋体" w:cs="宋体"/>
          <w:b/>
          <w:color w:val="auto"/>
          <w:sz w:val="24"/>
          <w:highlight w:val="none"/>
        </w:rPr>
        <w:t>. 接受和拒绝任何或所有投标的权力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.1　为维护国家利益，招标方在授予合同之前仍有选择或拒绝任何全部投标的权力。</w:t>
      </w:r>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6</w:t>
      </w:r>
      <w:r>
        <w:rPr>
          <w:rFonts w:hint="eastAsia" w:ascii="宋体" w:hAnsi="宋体" w:eastAsia="宋体" w:cs="宋体"/>
          <w:b/>
          <w:color w:val="auto"/>
          <w:sz w:val="24"/>
          <w:highlight w:val="none"/>
        </w:rPr>
        <w:t>. 中标通知书</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.1 中标结果确定后，招标方将以书面形式发出《中标通知书》，但发出时间不超过投标有效期，《中标通知书》一经发出即发生法律效力。</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.2  《中标通知书》将作为签订合同的依据。</w:t>
      </w:r>
    </w:p>
    <w:p>
      <w:pPr>
        <w:spacing w:line="440" w:lineRule="exact"/>
        <w:ind w:firstLine="472" w:firstLineChars="200"/>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w:t>
      </w:r>
      <w:r>
        <w:rPr>
          <w:rFonts w:hint="eastAsia" w:ascii="宋体" w:hAnsi="宋体" w:cs="宋体"/>
          <w:color w:val="auto"/>
          <w:spacing w:val="-2"/>
          <w:sz w:val="24"/>
          <w:highlight w:val="none"/>
          <w:lang w:val="en-US" w:eastAsia="zh-CN"/>
        </w:rPr>
        <w:t>6</w:t>
      </w:r>
      <w:r>
        <w:rPr>
          <w:rFonts w:hint="eastAsia" w:ascii="宋体" w:hAnsi="宋体" w:eastAsia="宋体" w:cs="宋体"/>
          <w:color w:val="auto"/>
          <w:spacing w:val="-2"/>
          <w:sz w:val="24"/>
          <w:highlight w:val="none"/>
        </w:rPr>
        <w:t>.3  中标人在领取《中标通知书》时，必须按招标文件规定向招标代理机构缴纳招标代理服务费。</w:t>
      </w:r>
    </w:p>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 xml:space="preserve">.4 签订设备买卖合同中标人持《中标通知书》按要求与招标人签订医用设备买卖合同（或协议书）。招标文件、中标人的投标文件及澄清文件均为合同签订的依据。  </w:t>
      </w:r>
    </w:p>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6</w:t>
      </w:r>
      <w:r>
        <w:rPr>
          <w:rFonts w:hint="eastAsia" w:ascii="宋体" w:hAnsi="宋体" w:eastAsia="宋体" w:cs="宋体"/>
          <w:color w:val="auto"/>
          <w:spacing w:val="-2"/>
          <w:sz w:val="24"/>
          <w:szCs w:val="24"/>
          <w:highlight w:val="none"/>
        </w:rPr>
        <w:t xml:space="preserve">.5 合同的履约  </w:t>
      </w:r>
    </w:p>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1．如果中标人没有按照上述规定签订合同，招标人有理由取消该投标人的中标资格。</w:t>
      </w:r>
    </w:p>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2．中标人必须有能力履约合同义务，不得向他人转让中标项目，也不得将中标项目分包给他人。如果中标在履行合同时发生违约行为，招标人有权终止采购其所有中标品种。</w:t>
      </w:r>
    </w:p>
    <w:p>
      <w:pPr>
        <w:spacing w:line="440" w:lineRule="exact"/>
        <w:ind w:firstLine="424" w:firstLineChars="18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3.中标人负责中标产品的配送。</w:t>
      </w:r>
    </w:p>
    <w:p>
      <w:pPr>
        <w:spacing w:line="440" w:lineRule="exact"/>
        <w:ind w:firstLine="578" w:firstLineChars="180"/>
        <w:rPr>
          <w:rFonts w:hint="eastAsia" w:ascii="宋体" w:hAnsi="宋体" w:eastAsia="宋体" w:cs="宋体"/>
          <w:b/>
          <w:color w:val="auto"/>
          <w:sz w:val="32"/>
          <w:szCs w:val="32"/>
          <w:highlight w:val="none"/>
        </w:rPr>
      </w:pPr>
    </w:p>
    <w:p>
      <w:pPr>
        <w:spacing w:line="440" w:lineRule="exact"/>
        <w:ind w:firstLine="643" w:firstLineChars="200"/>
        <w:jc w:val="center"/>
        <w:outlineLvl w:val="1"/>
        <w:rPr>
          <w:rFonts w:hint="eastAsia" w:ascii="宋体" w:hAnsi="宋体" w:eastAsia="宋体" w:cs="宋体"/>
          <w:b/>
          <w:color w:val="auto"/>
          <w:sz w:val="32"/>
          <w:szCs w:val="32"/>
          <w:highlight w:val="none"/>
        </w:rPr>
      </w:pPr>
      <w:bookmarkStart w:id="45" w:name="_Toc507513106"/>
    </w:p>
    <w:p>
      <w:pPr>
        <w:spacing w:line="440" w:lineRule="exact"/>
        <w:ind w:firstLine="643" w:firstLineChars="200"/>
        <w:jc w:val="center"/>
        <w:outlineLvl w:val="1"/>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pStyle w:val="2"/>
        <w:rPr>
          <w:rFonts w:hint="eastAsia" w:ascii="宋体" w:hAnsi="宋体" w:eastAsia="宋体" w:cs="宋体"/>
          <w:b/>
          <w:color w:val="auto"/>
          <w:sz w:val="32"/>
          <w:szCs w:val="32"/>
          <w:highlight w:val="none"/>
        </w:rPr>
      </w:pPr>
    </w:p>
    <w:p>
      <w:pPr>
        <w:spacing w:line="440" w:lineRule="exact"/>
        <w:ind w:firstLine="643" w:firstLineChars="200"/>
        <w:jc w:val="center"/>
        <w:outlineLvl w:val="1"/>
        <w:rPr>
          <w:rFonts w:hint="eastAsia" w:ascii="宋体" w:hAnsi="宋体" w:eastAsia="宋体" w:cs="宋体"/>
          <w:b/>
          <w:color w:val="auto"/>
          <w:sz w:val="32"/>
          <w:szCs w:val="32"/>
          <w:highlight w:val="none"/>
        </w:rPr>
      </w:pPr>
    </w:p>
    <w:p>
      <w:pPr>
        <w:spacing w:line="440" w:lineRule="exact"/>
        <w:ind w:firstLine="643" w:firstLineChars="200"/>
        <w:jc w:val="center"/>
        <w:outlineLvl w:val="1"/>
        <w:rPr>
          <w:rFonts w:hint="eastAsia" w:ascii="宋体" w:hAnsi="宋体" w:eastAsia="宋体" w:cs="宋体"/>
          <w:b/>
          <w:color w:val="auto"/>
          <w:sz w:val="32"/>
          <w:szCs w:val="32"/>
          <w:highlight w:val="none"/>
        </w:rPr>
      </w:pPr>
    </w:p>
    <w:p>
      <w:pPr>
        <w:spacing w:line="440" w:lineRule="exact"/>
        <w:ind w:firstLine="643" w:firstLineChars="200"/>
        <w:jc w:val="center"/>
        <w:outlineLvl w:val="1"/>
        <w:rPr>
          <w:rFonts w:hint="eastAsia" w:ascii="宋体" w:hAnsi="宋体" w:eastAsia="宋体" w:cs="宋体"/>
          <w:b/>
          <w:color w:val="auto"/>
          <w:sz w:val="32"/>
          <w:szCs w:val="32"/>
          <w:highlight w:val="none"/>
        </w:rPr>
      </w:pPr>
    </w:p>
    <w:p>
      <w:pPr>
        <w:spacing w:line="440" w:lineRule="exact"/>
        <w:ind w:firstLine="643" w:firstLineChars="200"/>
        <w:jc w:val="center"/>
        <w:outlineLvl w:val="1"/>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第八章 授予合同</w:t>
      </w:r>
      <w:bookmarkEnd w:id="45"/>
    </w:p>
    <w:p>
      <w:pPr>
        <w:spacing w:line="440" w:lineRule="exact"/>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cs="宋体"/>
          <w:b/>
          <w:color w:val="auto"/>
          <w:sz w:val="24"/>
          <w:highlight w:val="none"/>
          <w:lang w:val="en-US" w:eastAsia="zh-CN"/>
        </w:rPr>
        <w:t>7</w:t>
      </w:r>
      <w:r>
        <w:rPr>
          <w:rFonts w:hint="eastAsia" w:ascii="宋体" w:hAnsi="宋体" w:eastAsia="宋体" w:cs="宋体"/>
          <w:b/>
          <w:color w:val="auto"/>
          <w:sz w:val="24"/>
          <w:highlight w:val="none"/>
        </w:rPr>
        <w:t>. 签订合同</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.1  中标人收到招标方的《中标通知书》后三十日内，按照招标文件和中标人投标文件中的约定与采购人签订书面合同，所签订的合同不得对招标文件和中标人的投标文件作实质性修改。</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.2  招标方在授予合同时，有权对招标文件中规定的货物和服务的数量在10%的幅度内予以增加或减少。</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.3  如中标人拒签合同，则按违约处理。招标方将不予退还其履约保证金。</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.4  招标文件、中标人的投标文件及其澄清文件等，均为签订经济合同的依据。</w:t>
      </w:r>
    </w:p>
    <w:p>
      <w:pPr>
        <w:spacing w:line="440" w:lineRule="exact"/>
        <w:ind w:firstLine="472" w:firstLineChars="20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.5  不允许中标人将中标项目分包或转交他人承担。</w:t>
      </w:r>
    </w:p>
    <w:p>
      <w:pPr>
        <w:spacing w:line="440" w:lineRule="exact"/>
        <w:ind w:firstLine="472" w:firstLineChars="200"/>
        <w:rPr>
          <w:rFonts w:hint="eastAsia" w:ascii="宋体" w:hAnsi="宋体" w:eastAsia="宋体" w:cs="宋体"/>
          <w:b/>
          <w:color w:val="auto"/>
          <w:spacing w:val="-2"/>
          <w:sz w:val="24"/>
          <w:szCs w:val="24"/>
          <w:highlight w:val="none"/>
        </w:rPr>
      </w:pPr>
      <w:r>
        <w:rPr>
          <w:rFonts w:hint="eastAsia" w:ascii="宋体" w:hAnsi="宋体" w:eastAsia="宋体" w:cs="宋体"/>
          <w:color w:val="auto"/>
          <w:spacing w:val="-2"/>
          <w:sz w:val="24"/>
          <w:szCs w:val="24"/>
          <w:highlight w:val="none"/>
        </w:rPr>
        <w:t>2</w:t>
      </w:r>
      <w:r>
        <w:rPr>
          <w:rFonts w:hint="eastAsia" w:ascii="宋体" w:hAnsi="宋体" w:cs="宋体"/>
          <w:color w:val="auto"/>
          <w:spacing w:val="-2"/>
          <w:sz w:val="24"/>
          <w:szCs w:val="24"/>
          <w:highlight w:val="none"/>
          <w:lang w:val="en-US" w:eastAsia="zh-CN"/>
        </w:rPr>
        <w:t>7</w:t>
      </w:r>
      <w:r>
        <w:rPr>
          <w:rFonts w:hint="eastAsia" w:ascii="宋体" w:hAnsi="宋体" w:eastAsia="宋体" w:cs="宋体"/>
          <w:color w:val="auto"/>
          <w:spacing w:val="-2"/>
          <w:sz w:val="24"/>
          <w:szCs w:val="24"/>
          <w:highlight w:val="none"/>
        </w:rPr>
        <w:t xml:space="preserve">.6  </w:t>
      </w:r>
      <w:r>
        <w:rPr>
          <w:rFonts w:hint="eastAsia" w:ascii="宋体" w:hAnsi="宋体" w:eastAsia="宋体" w:cs="宋体"/>
          <w:b/>
          <w:color w:val="auto"/>
          <w:spacing w:val="-2"/>
          <w:sz w:val="24"/>
          <w:szCs w:val="24"/>
          <w:highlight w:val="none"/>
        </w:rPr>
        <w:t>中标人必须保证在合同有效期内的供货。采购人要求中标人供货时，若中标人无法保证完成供货要求，则采购人有权按顺序从排名下一位的投标人进行供货。</w:t>
      </w:r>
    </w:p>
    <w:p>
      <w:pPr>
        <w:spacing w:line="440" w:lineRule="exact"/>
        <w:ind w:firstLine="487" w:firstLineChars="202"/>
        <w:rPr>
          <w:rFonts w:hint="eastAsia" w:ascii="宋体" w:hAnsi="宋体"/>
          <w:b/>
          <w:kern w:val="0"/>
          <w:sz w:val="24"/>
        </w:rPr>
      </w:pPr>
      <w:bookmarkStart w:id="46" w:name="_Toc507513107"/>
      <w:r>
        <w:rPr>
          <w:rFonts w:hint="eastAsia" w:ascii="宋体" w:hAnsi="宋体"/>
          <w:b/>
          <w:kern w:val="0"/>
          <w:sz w:val="24"/>
          <w:lang w:val="en-US" w:eastAsia="zh-CN"/>
        </w:rPr>
        <w:t>28</w:t>
      </w:r>
      <w:r>
        <w:rPr>
          <w:rFonts w:hint="eastAsia" w:ascii="宋体" w:hAnsi="宋体"/>
          <w:b/>
          <w:kern w:val="0"/>
          <w:sz w:val="24"/>
        </w:rPr>
        <w:t>.    履约担保</w:t>
      </w:r>
    </w:p>
    <w:p>
      <w:pPr>
        <w:spacing w:line="440" w:lineRule="exact"/>
        <w:ind w:firstLine="484" w:firstLineChars="202"/>
        <w:rPr>
          <w:rFonts w:hint="default"/>
          <w:lang w:val="en-US" w:eastAsia="zh-CN"/>
        </w:rPr>
      </w:pPr>
      <w:r>
        <w:rPr>
          <w:rFonts w:hint="eastAsia" w:ascii="宋体" w:hAnsi="宋体"/>
          <w:kern w:val="0"/>
          <w:sz w:val="24"/>
          <w:lang w:val="en-US" w:eastAsia="zh-CN"/>
        </w:rPr>
        <w:t xml:space="preserve">       </w:t>
      </w:r>
      <w:r>
        <w:rPr>
          <w:rFonts w:hint="eastAsia" w:ascii="宋体" w:hAnsi="宋体"/>
          <w:b/>
          <w:bCs/>
          <w:kern w:val="0"/>
          <w:sz w:val="24"/>
          <w:u w:val="none"/>
          <w:lang w:val="en-US" w:eastAsia="zh-CN"/>
        </w:rPr>
        <w:t xml:space="preserve">无   </w:t>
      </w:r>
    </w:p>
    <w:p>
      <w:pPr>
        <w:spacing w:line="440" w:lineRule="exact"/>
        <w:ind w:firstLine="487" w:firstLineChars="202"/>
        <w:rPr>
          <w:rFonts w:hint="eastAsia" w:ascii="宋体" w:hAnsi="宋体"/>
          <w:b/>
          <w:kern w:val="0"/>
          <w:sz w:val="24"/>
        </w:rPr>
      </w:pPr>
      <w:r>
        <w:rPr>
          <w:rFonts w:hint="eastAsia" w:ascii="宋体" w:hAnsi="宋体"/>
          <w:b/>
          <w:kern w:val="0"/>
          <w:sz w:val="24"/>
          <w:lang w:val="en-US" w:eastAsia="zh-CN"/>
        </w:rPr>
        <w:t>29</w:t>
      </w:r>
      <w:r>
        <w:rPr>
          <w:rFonts w:hint="eastAsia" w:ascii="宋体" w:hAnsi="宋体"/>
          <w:b/>
          <w:kern w:val="0"/>
          <w:sz w:val="24"/>
        </w:rPr>
        <w:t>.    其他</w:t>
      </w:r>
    </w:p>
    <w:p>
      <w:pPr>
        <w:spacing w:line="440" w:lineRule="exact"/>
        <w:ind w:firstLine="484" w:firstLineChars="202"/>
        <w:rPr>
          <w:rFonts w:hint="eastAsia" w:ascii="宋体" w:hAnsi="宋体"/>
          <w:kern w:val="0"/>
          <w:sz w:val="24"/>
        </w:rPr>
      </w:pPr>
      <w:r>
        <w:rPr>
          <w:rFonts w:hint="eastAsia" w:ascii="宋体" w:hAnsi="宋体"/>
          <w:kern w:val="0"/>
          <w:sz w:val="24"/>
          <w:lang w:val="en-US" w:eastAsia="zh-CN"/>
        </w:rPr>
        <w:t>29</w:t>
      </w:r>
      <w:r>
        <w:rPr>
          <w:rFonts w:hint="eastAsia" w:ascii="宋体" w:hAnsi="宋体"/>
          <w:kern w:val="0"/>
          <w:sz w:val="24"/>
        </w:rPr>
        <w:t>.1   未尽事宜将依照相关法律法规执行。</w:t>
      </w:r>
    </w:p>
    <w:p>
      <w:pPr>
        <w:spacing w:line="440" w:lineRule="exact"/>
        <w:jc w:val="both"/>
        <w:outlineLvl w:val="0"/>
        <w:rPr>
          <w:rFonts w:hint="eastAsia" w:ascii="宋体" w:hAnsi="宋体" w:eastAsia="宋体" w:cs="宋体"/>
          <w:b/>
          <w:color w:val="auto"/>
          <w:sz w:val="36"/>
          <w:highlight w:val="none"/>
        </w:rPr>
      </w:pPr>
    </w:p>
    <w:p>
      <w:pPr>
        <w:keepNext w:val="0"/>
        <w:keepLines w:val="0"/>
        <w:pageBreakBefore/>
        <w:widowControl w:val="0"/>
        <w:kinsoku/>
        <w:wordWrap/>
        <w:overflowPunct/>
        <w:topLinePunct w:val="0"/>
        <w:autoSpaceDE/>
        <w:autoSpaceDN/>
        <w:bidi w:val="0"/>
        <w:adjustRightInd/>
        <w:snapToGrid/>
        <w:spacing w:line="440" w:lineRule="exact"/>
        <w:jc w:val="center"/>
        <w:textAlignment w:val="auto"/>
        <w:outlineLvl w:val="0"/>
        <w:rPr>
          <w:rStyle w:val="33"/>
          <w:rFonts w:hint="eastAsia" w:ascii="黑体" w:hAnsi="黑体" w:eastAsia="黑体" w:cs="黑体"/>
          <w:b w:val="0"/>
          <w:bCs/>
          <w:kern w:val="2"/>
          <w:sz w:val="32"/>
          <w:szCs w:val="32"/>
          <w:lang w:val="en-US" w:eastAsia="zh-CN"/>
        </w:rPr>
      </w:pPr>
      <w:r>
        <w:rPr>
          <w:rFonts w:hint="eastAsia" w:ascii="宋体" w:hAnsi="宋体" w:eastAsia="宋体" w:cs="宋体"/>
          <w:b/>
          <w:color w:val="auto"/>
          <w:sz w:val="36"/>
          <w:highlight w:val="none"/>
        </w:rPr>
        <w:t>第四部分</w:t>
      </w:r>
      <w:r>
        <w:rPr>
          <w:rFonts w:hint="eastAsia" w:ascii="宋体" w:hAnsi="宋体" w:eastAsia="宋体" w:cs="宋体"/>
          <w:b/>
          <w:color w:val="auto"/>
          <w:sz w:val="36"/>
          <w:highlight w:val="none"/>
          <w:lang w:val="en-US" w:eastAsia="zh-CN"/>
        </w:rPr>
        <w:t xml:space="preserve"> </w:t>
      </w:r>
      <w:r>
        <w:rPr>
          <w:rFonts w:hint="eastAsia" w:ascii="宋体" w:hAnsi="宋体" w:eastAsia="宋体" w:cs="宋体"/>
          <w:b/>
          <w:color w:val="auto"/>
          <w:sz w:val="36"/>
          <w:highlight w:val="none"/>
        </w:rPr>
        <w:t>采购需求</w:t>
      </w:r>
      <w:bookmarkEnd w:id="46"/>
      <w:bookmarkStart w:id="47" w:name="_Toc507513108"/>
    </w:p>
    <w:p>
      <w:pPr>
        <w:kinsoku/>
        <w:wordWrap/>
        <w:overflowPunct/>
        <w:autoSpaceDE/>
        <w:autoSpaceDN/>
        <w:bidi w:val="0"/>
        <w:snapToGrid w:val="0"/>
        <w:spacing w:line="400" w:lineRule="exact"/>
        <w:ind w:left="0" w:leftChars="0" w:right="0" w:rightChars="0" w:firstLine="640" w:firstLineChars="200"/>
        <w:jc w:val="both"/>
        <w:textAlignment w:val="auto"/>
        <w:rPr>
          <w:rStyle w:val="33"/>
          <w:rFonts w:hint="eastAsia" w:ascii="黑体" w:hAnsi="黑体" w:eastAsia="黑体" w:cs="黑体"/>
          <w:b w:val="0"/>
          <w:bCs/>
          <w:kern w:val="2"/>
          <w:sz w:val="32"/>
          <w:szCs w:val="32"/>
          <w:lang w:val="en-US" w:eastAsia="zh-CN"/>
        </w:rPr>
      </w:pPr>
      <w:r>
        <w:rPr>
          <w:rStyle w:val="33"/>
          <w:rFonts w:hint="eastAsia" w:ascii="黑体" w:hAnsi="黑体" w:eastAsia="黑体" w:cs="黑体"/>
          <w:b w:val="0"/>
          <w:bCs/>
          <w:kern w:val="2"/>
          <w:sz w:val="32"/>
          <w:szCs w:val="32"/>
          <w:lang w:val="en-US" w:eastAsia="zh-CN"/>
        </w:rPr>
        <w:t>一、采购简介</w:t>
      </w:r>
    </w:p>
    <w:p>
      <w:pPr>
        <w:kinsoku/>
        <w:wordWrap/>
        <w:overflowPunct/>
        <w:autoSpaceDE/>
        <w:autoSpaceDN/>
        <w:bidi w:val="0"/>
        <w:snapToGrid w:val="0"/>
        <w:spacing w:line="560" w:lineRule="exact"/>
        <w:ind w:right="0" w:rightChars="0" w:firstLine="731" w:firstLineChars="200"/>
        <w:jc w:val="left"/>
        <w:textAlignment w:val="auto"/>
        <w:rPr>
          <w:rStyle w:val="33"/>
          <w:rFonts w:hint="eastAsia" w:ascii="宋体" w:hAnsi="宋体" w:cs="宋体"/>
          <w:b w:val="0"/>
          <w:bCs w:val="0"/>
          <w:color w:val="000000"/>
          <w:spacing w:val="2"/>
          <w:kern w:val="2"/>
          <w:sz w:val="32"/>
          <w:szCs w:val="32"/>
          <w:u w:val="none"/>
          <w:lang w:val="en-US" w:eastAsia="zh-CN"/>
        </w:rPr>
      </w:pPr>
      <w:r>
        <w:rPr>
          <w:rStyle w:val="33"/>
          <w:rFonts w:ascii="宋体" w:hAnsi="宋体" w:eastAsia="宋体" w:cs="宋体"/>
          <w:b/>
          <w:bCs/>
          <w:color w:val="000000"/>
          <w:spacing w:val="2"/>
          <w:kern w:val="2"/>
          <w:sz w:val="36"/>
          <w:szCs w:val="36"/>
          <w:u w:val="none"/>
          <w:lang w:val="en-US" w:eastAsia="zh-CN"/>
        </w:rPr>
        <w:t xml:space="preserve"> </w:t>
      </w:r>
      <w:r>
        <w:rPr>
          <w:rStyle w:val="33"/>
          <w:rFonts w:hint="eastAsia" w:ascii="宋体" w:hAnsi="宋体" w:cs="宋体"/>
          <w:b w:val="0"/>
          <w:bCs w:val="0"/>
          <w:color w:val="000000"/>
          <w:spacing w:val="2"/>
          <w:kern w:val="2"/>
          <w:sz w:val="32"/>
          <w:szCs w:val="32"/>
          <w:u w:val="none"/>
          <w:lang w:val="en-US" w:eastAsia="zh-CN"/>
        </w:rPr>
        <w:t>洛浦县妇幼保健站洛浦县妇幼能力提升项目</w:t>
      </w:r>
    </w:p>
    <w:p>
      <w:pPr>
        <w:kinsoku/>
        <w:wordWrap/>
        <w:overflowPunct/>
        <w:autoSpaceDE/>
        <w:autoSpaceDN/>
        <w:bidi w:val="0"/>
        <w:snapToGrid w:val="0"/>
        <w:spacing w:line="560" w:lineRule="exact"/>
        <w:ind w:right="0" w:rightChars="0" w:firstLine="960" w:firstLineChars="300"/>
        <w:jc w:val="left"/>
        <w:textAlignment w:val="auto"/>
        <w:rPr>
          <w:rStyle w:val="33"/>
          <w:rFonts w:hint="eastAsia" w:ascii="仿宋_GB2312" w:hAnsi="仿宋_GB2312" w:eastAsia="仿宋_GB2312"/>
          <w:kern w:val="2"/>
          <w:sz w:val="32"/>
          <w:szCs w:val="32"/>
          <w:u w:val="none"/>
          <w:lang w:val="en-US" w:eastAsia="zh-CN"/>
        </w:rPr>
      </w:pPr>
      <w:r>
        <w:rPr>
          <w:rStyle w:val="33"/>
          <w:rFonts w:hint="eastAsia" w:ascii="仿宋_GB2312" w:hAnsi="仿宋_GB2312" w:eastAsia="仿宋_GB2312"/>
          <w:kern w:val="2"/>
          <w:sz w:val="32"/>
          <w:szCs w:val="32"/>
          <w:u w:val="none"/>
          <w:lang w:val="en-US" w:eastAsia="zh-CN"/>
        </w:rPr>
        <w:t>采购项目招标标准</w:t>
      </w:r>
    </w:p>
    <w:p>
      <w:pPr>
        <w:kinsoku/>
        <w:wordWrap/>
        <w:overflowPunct/>
        <w:autoSpaceDE/>
        <w:autoSpaceDN/>
        <w:bidi w:val="0"/>
        <w:snapToGrid w:val="0"/>
        <w:spacing w:line="400" w:lineRule="exact"/>
        <w:ind w:left="0" w:leftChars="0" w:right="0" w:rightChars="0" w:firstLine="640" w:firstLineChars="200"/>
        <w:jc w:val="both"/>
        <w:textAlignment w:val="auto"/>
        <w:rPr>
          <w:rStyle w:val="33"/>
          <w:rFonts w:ascii="黑体" w:hAnsi="黑体" w:eastAsia="黑体" w:cs="黑体"/>
          <w:b w:val="0"/>
          <w:bCs/>
          <w:kern w:val="2"/>
          <w:sz w:val="32"/>
          <w:szCs w:val="32"/>
          <w:u w:val="none"/>
          <w:lang w:val="en-US" w:eastAsia="zh-CN"/>
        </w:rPr>
      </w:pPr>
      <w:r>
        <w:rPr>
          <w:rStyle w:val="33"/>
          <w:rFonts w:hint="eastAsia" w:ascii="黑体" w:hAnsi="黑体" w:eastAsia="黑体" w:cs="黑体"/>
          <w:b w:val="0"/>
          <w:bCs/>
          <w:kern w:val="2"/>
          <w:sz w:val="32"/>
          <w:szCs w:val="32"/>
          <w:u w:val="none"/>
          <w:lang w:val="en-US" w:eastAsia="zh-CN"/>
        </w:rPr>
        <w:t>二</w:t>
      </w:r>
      <w:r>
        <w:rPr>
          <w:rStyle w:val="33"/>
          <w:rFonts w:ascii="黑体" w:hAnsi="黑体" w:eastAsia="黑体" w:cs="黑体"/>
          <w:b w:val="0"/>
          <w:bCs/>
          <w:kern w:val="2"/>
          <w:sz w:val="32"/>
          <w:szCs w:val="32"/>
          <w:u w:val="none"/>
          <w:lang w:val="en-US" w:eastAsia="zh-CN"/>
        </w:rPr>
        <w:t>、</w:t>
      </w:r>
      <w:r>
        <w:rPr>
          <w:rStyle w:val="33"/>
          <w:rFonts w:hint="eastAsia" w:ascii="黑体" w:hAnsi="黑体" w:eastAsia="黑体" w:cs="黑体"/>
          <w:b w:val="0"/>
          <w:bCs/>
          <w:kern w:val="2"/>
          <w:sz w:val="32"/>
          <w:szCs w:val="32"/>
          <w:u w:val="none"/>
          <w:lang w:val="en-US" w:eastAsia="zh-CN"/>
        </w:rPr>
        <w:t>采购</w:t>
      </w:r>
      <w:r>
        <w:rPr>
          <w:rStyle w:val="33"/>
          <w:rFonts w:ascii="黑体" w:hAnsi="黑体" w:eastAsia="黑体" w:cs="黑体"/>
          <w:b w:val="0"/>
          <w:bCs/>
          <w:kern w:val="2"/>
          <w:sz w:val="32"/>
          <w:szCs w:val="32"/>
          <w:u w:val="none"/>
          <w:lang w:val="en-US" w:eastAsia="zh-CN"/>
        </w:rPr>
        <w:t>概况</w:t>
      </w:r>
    </w:p>
    <w:p>
      <w:pPr>
        <w:kinsoku/>
        <w:wordWrap/>
        <w:overflowPunct/>
        <w:autoSpaceDE/>
        <w:autoSpaceDN/>
        <w:bidi w:val="0"/>
        <w:snapToGrid w:val="0"/>
        <w:spacing w:line="560" w:lineRule="exact"/>
        <w:ind w:right="0" w:rightChars="0" w:firstLine="960" w:firstLineChars="300"/>
        <w:jc w:val="left"/>
        <w:textAlignment w:val="auto"/>
        <w:rPr>
          <w:rStyle w:val="33"/>
          <w:rFonts w:hint="eastAsia" w:ascii="仿宋_GB2312" w:hAnsi="仿宋_GB2312" w:eastAsia="仿宋_GB2312"/>
          <w:kern w:val="2"/>
          <w:sz w:val="32"/>
          <w:szCs w:val="32"/>
          <w:u w:val="none"/>
          <w:lang w:val="en-US" w:eastAsia="zh-CN"/>
        </w:rPr>
      </w:pPr>
      <w:r>
        <w:rPr>
          <w:rStyle w:val="33"/>
          <w:rFonts w:ascii="仿宋_GB2312" w:hAnsi="仿宋_GB2312" w:eastAsia="仿宋_GB2312"/>
          <w:kern w:val="2"/>
          <w:sz w:val="32"/>
          <w:szCs w:val="32"/>
          <w:u w:val="none"/>
          <w:lang w:val="en-US" w:eastAsia="zh-CN"/>
        </w:rPr>
        <w:t>1.招 标 人：</w:t>
      </w:r>
      <w:r>
        <w:rPr>
          <w:rStyle w:val="33"/>
          <w:rFonts w:hint="eastAsia" w:ascii="仿宋_GB2312" w:hAnsi="仿宋_GB2312" w:eastAsia="仿宋_GB2312"/>
          <w:kern w:val="2"/>
          <w:sz w:val="32"/>
          <w:szCs w:val="32"/>
          <w:u w:val="none"/>
          <w:lang w:val="en-US" w:eastAsia="zh-CN"/>
        </w:rPr>
        <w:t>洛浦县妇幼保健站</w:t>
      </w:r>
    </w:p>
    <w:p>
      <w:pPr>
        <w:kinsoku/>
        <w:wordWrap/>
        <w:overflowPunct/>
        <w:autoSpaceDE/>
        <w:autoSpaceDN/>
        <w:bidi w:val="0"/>
        <w:snapToGrid w:val="0"/>
        <w:spacing w:line="560" w:lineRule="exact"/>
        <w:ind w:right="0" w:rightChars="0" w:firstLine="960" w:firstLineChars="300"/>
        <w:jc w:val="left"/>
        <w:textAlignment w:val="auto"/>
        <w:rPr>
          <w:rFonts w:hint="default"/>
          <w:u w:val="none"/>
          <w:lang w:val="en-US" w:eastAsia="zh-CN"/>
        </w:rPr>
      </w:pPr>
      <w:r>
        <w:rPr>
          <w:rStyle w:val="33"/>
          <w:rFonts w:hint="eastAsia" w:ascii="仿宋_GB2312" w:hAnsi="仿宋_GB2312" w:eastAsia="仿宋_GB2312"/>
          <w:kern w:val="2"/>
          <w:sz w:val="32"/>
          <w:szCs w:val="32"/>
          <w:u w:val="none"/>
          <w:lang w:val="en-US" w:eastAsia="zh-CN"/>
        </w:rPr>
        <w:t>2.采购</w:t>
      </w:r>
      <w:r>
        <w:rPr>
          <w:rStyle w:val="33"/>
          <w:rFonts w:ascii="仿宋_GB2312" w:hAnsi="仿宋_GB2312" w:eastAsia="仿宋_GB2312"/>
          <w:kern w:val="2"/>
          <w:sz w:val="32"/>
          <w:szCs w:val="32"/>
          <w:u w:val="none"/>
          <w:lang w:val="en-US" w:eastAsia="zh-CN"/>
        </w:rPr>
        <w:t>名称：</w:t>
      </w:r>
      <w:r>
        <w:rPr>
          <w:rStyle w:val="33"/>
          <w:rFonts w:hint="eastAsia" w:ascii="仿宋_GB2312" w:hAnsi="仿宋_GB2312" w:eastAsia="仿宋_GB2312"/>
          <w:kern w:val="2"/>
          <w:sz w:val="32"/>
          <w:szCs w:val="32"/>
          <w:u w:val="none"/>
          <w:lang w:val="en-US" w:eastAsia="zh-CN"/>
        </w:rPr>
        <w:t>洛浦县妇幼能力提升项目</w:t>
      </w:r>
    </w:p>
    <w:p>
      <w:pPr>
        <w:pStyle w:val="5"/>
        <w:numPr>
          <w:ilvl w:val="0"/>
          <w:numId w:val="0"/>
        </w:numPr>
        <w:ind w:firstLine="640" w:firstLineChars="200"/>
        <w:rPr>
          <w:rStyle w:val="33"/>
          <w:rFonts w:hint="eastAsia" w:ascii="黑体" w:hAnsi="黑体" w:eastAsia="黑体" w:cs="黑体"/>
          <w:b w:val="0"/>
          <w:bCs/>
          <w:kern w:val="2"/>
          <w:sz w:val="32"/>
          <w:szCs w:val="32"/>
          <w:lang w:val="en-US" w:eastAsia="zh-CN"/>
        </w:rPr>
      </w:pPr>
      <w:r>
        <w:rPr>
          <w:rStyle w:val="33"/>
          <w:rFonts w:hint="eastAsia" w:ascii="黑体" w:hAnsi="黑体" w:eastAsia="黑体" w:cs="黑体"/>
          <w:b w:val="0"/>
          <w:bCs/>
          <w:kern w:val="2"/>
          <w:sz w:val="32"/>
          <w:szCs w:val="32"/>
          <w:lang w:val="en-US" w:eastAsia="zh-CN"/>
        </w:rPr>
        <w:t>三、招标范围：</w:t>
      </w:r>
    </w:p>
    <w:tbl>
      <w:tblPr>
        <w:tblStyle w:val="17"/>
        <w:tblW w:w="9346" w:type="dxa"/>
        <w:tblInd w:w="7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108"/>
        <w:gridCol w:w="6690"/>
        <w:gridCol w:w="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8" w:type="dxa"/>
            <w:vAlign w:val="center"/>
          </w:tcPr>
          <w:p>
            <w:pPr>
              <w:jc w:val="center"/>
              <w:rPr>
                <w:rFonts w:hint="eastAsia"/>
                <w:vertAlign w:val="baseline"/>
                <w:lang w:val="en-US" w:eastAsia="zh-CN"/>
              </w:rPr>
            </w:pPr>
            <w:r>
              <w:rPr>
                <w:rFonts w:hint="eastAsia"/>
                <w:vertAlign w:val="baseline"/>
                <w:lang w:val="en-US" w:eastAsia="zh-CN"/>
              </w:rPr>
              <w:t>单位</w:t>
            </w:r>
          </w:p>
        </w:tc>
        <w:tc>
          <w:tcPr>
            <w:tcW w:w="1108" w:type="dxa"/>
            <w:vAlign w:val="center"/>
          </w:tcPr>
          <w:p>
            <w:pPr>
              <w:jc w:val="center"/>
              <w:rPr>
                <w:rFonts w:hint="eastAsia"/>
                <w:vertAlign w:val="baseline"/>
                <w:lang w:val="en-US" w:eastAsia="zh-CN"/>
              </w:rPr>
            </w:pPr>
            <w:r>
              <w:rPr>
                <w:rFonts w:hint="eastAsia"/>
                <w:vertAlign w:val="baseline"/>
                <w:lang w:val="en-US" w:eastAsia="zh-CN"/>
              </w:rPr>
              <w:t>采购名称</w:t>
            </w:r>
          </w:p>
        </w:tc>
        <w:tc>
          <w:tcPr>
            <w:tcW w:w="6690" w:type="dxa"/>
            <w:vAlign w:val="center"/>
          </w:tcPr>
          <w:p>
            <w:pPr>
              <w:jc w:val="center"/>
              <w:rPr>
                <w:rFonts w:hint="eastAsia"/>
                <w:vertAlign w:val="baseline"/>
                <w:lang w:val="en-US" w:eastAsia="zh-CN"/>
              </w:rPr>
            </w:pPr>
            <w:r>
              <w:rPr>
                <w:rFonts w:hint="eastAsia"/>
                <w:vertAlign w:val="baseline"/>
                <w:lang w:val="en-US" w:eastAsia="zh-CN"/>
              </w:rPr>
              <w:t>硬件参数</w:t>
            </w:r>
          </w:p>
        </w:tc>
        <w:tc>
          <w:tcPr>
            <w:tcW w:w="600" w:type="dxa"/>
            <w:vAlign w:val="center"/>
          </w:tcPr>
          <w:p>
            <w:pPr>
              <w:jc w:val="center"/>
              <w:rPr>
                <w:rFonts w:hint="eastAsia"/>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0" w:hRule="atLeast"/>
        </w:trPr>
        <w:tc>
          <w:tcPr>
            <w:tcW w:w="948" w:type="dxa"/>
            <w:vAlign w:val="center"/>
          </w:tcPr>
          <w:p>
            <w:pPr>
              <w:jc w:val="center"/>
              <w:rPr>
                <w:rFonts w:hint="default"/>
                <w:vertAlign w:val="baseline"/>
                <w:lang w:val="en-US" w:eastAsia="zh-CN"/>
              </w:rPr>
            </w:pPr>
            <w:r>
              <w:rPr>
                <w:rFonts w:hint="eastAsia"/>
                <w:vertAlign w:val="baseline"/>
                <w:lang w:val="en-US" w:eastAsia="zh-CN"/>
              </w:rPr>
              <w:t>1</w:t>
            </w:r>
          </w:p>
        </w:tc>
        <w:tc>
          <w:tcPr>
            <w:tcW w:w="1108" w:type="dxa"/>
            <w:vAlign w:val="center"/>
          </w:tcPr>
          <w:p>
            <w:pPr>
              <w:jc w:val="center"/>
              <w:rPr>
                <w:rFonts w:hint="eastAsia"/>
                <w:vertAlign w:val="baseline"/>
                <w:lang w:val="en-US" w:eastAsia="zh-CN"/>
              </w:rPr>
            </w:pPr>
            <w:r>
              <w:rPr>
                <w:rFonts w:hint="eastAsia"/>
                <w:vertAlign w:val="baseline"/>
                <w:lang w:val="en-US" w:eastAsia="zh-CN"/>
              </w:rPr>
              <w:t>儿童营养成分分析仪</w:t>
            </w:r>
          </w:p>
        </w:tc>
        <w:tc>
          <w:tcPr>
            <w:tcW w:w="6690" w:type="dxa"/>
            <w:vAlign w:val="top"/>
          </w:tcPr>
          <w:p>
            <w:pPr>
              <w:jc w:val="both"/>
              <w:rPr>
                <w:rFonts w:hint="eastAsia"/>
                <w:vertAlign w:val="baseline"/>
                <w:lang w:val="en-US" w:eastAsia="zh-CN"/>
              </w:rPr>
            </w:pPr>
            <w:r>
              <w:rPr>
                <w:rFonts w:hint="eastAsia"/>
                <w:vertAlign w:val="baseline"/>
                <w:lang w:val="en-US" w:eastAsia="zh-CN"/>
              </w:rPr>
              <w:t>1、测量方法：生物电阻抗法，多体位检测（站立式或坐卧式）</w:t>
            </w:r>
            <w:r>
              <w:rPr>
                <w:rFonts w:hint="eastAsia"/>
                <w:vertAlign w:val="baseline"/>
                <w:lang w:val="en-US" w:eastAsia="zh-CN"/>
              </w:rPr>
              <w:br w:type="textWrapping"/>
            </w:r>
            <w:r>
              <w:rPr>
                <w:rFonts w:hint="eastAsia"/>
                <w:vertAlign w:val="baseline"/>
                <w:lang w:val="en-US" w:eastAsia="zh-CN"/>
              </w:rPr>
              <w:t>2、多节点测量：右上肢、左上肢、躯干、右下肢、左下肢</w:t>
            </w:r>
            <w:r>
              <w:rPr>
                <w:rFonts w:hint="eastAsia"/>
                <w:vertAlign w:val="baseline"/>
                <w:lang w:val="en-US" w:eastAsia="zh-CN"/>
              </w:rPr>
              <w:br w:type="textWrapping"/>
            </w:r>
            <w:r>
              <w:rPr>
                <w:rFonts w:hint="eastAsia"/>
                <w:vertAlign w:val="baseline"/>
                <w:lang w:val="en-US" w:eastAsia="zh-CN"/>
              </w:rPr>
              <w:t>3、测量电极片：</w:t>
            </w:r>
            <w:r>
              <w:rPr>
                <w:rFonts w:hint="eastAsia"/>
                <w:vertAlign w:val="baseline"/>
                <w:lang w:val="en-US" w:eastAsia="zh-CN"/>
              </w:rPr>
              <w:br w:type="textWrapping"/>
            </w:r>
            <w:r>
              <w:rPr>
                <w:rFonts w:hint="eastAsia"/>
                <w:vertAlign w:val="baseline"/>
                <w:lang w:val="en-US" w:eastAsia="zh-CN"/>
              </w:rPr>
              <w:t>（1）符合人体工程学设计</w:t>
            </w:r>
            <w:r>
              <w:rPr>
                <w:rFonts w:hint="eastAsia"/>
                <w:vertAlign w:val="baseline"/>
                <w:lang w:val="en-US" w:eastAsia="zh-CN"/>
              </w:rPr>
              <w:br w:type="textWrapping"/>
            </w:r>
            <w:r>
              <w:rPr>
                <w:rFonts w:hint="eastAsia"/>
                <w:vertAlign w:val="baseline"/>
                <w:lang w:val="en-US" w:eastAsia="zh-CN"/>
              </w:rPr>
              <w:t>（2）电极片具有良好的肢体接触性与导电性</w:t>
            </w:r>
            <w:r>
              <w:rPr>
                <w:rFonts w:hint="eastAsia"/>
                <w:vertAlign w:val="baseline"/>
                <w:lang w:val="en-US" w:eastAsia="zh-CN"/>
              </w:rPr>
              <w:br w:type="textWrapping"/>
            </w:r>
            <w:r>
              <w:rPr>
                <w:rFonts w:hint="eastAsia"/>
                <w:vertAlign w:val="baseline"/>
                <w:lang w:val="en-US" w:eastAsia="zh-CN"/>
              </w:rPr>
              <w:t>（3）8点接触式电极</w:t>
            </w:r>
            <w:r>
              <w:rPr>
                <w:rFonts w:hint="eastAsia"/>
                <w:vertAlign w:val="baseline"/>
                <w:lang w:val="en-US" w:eastAsia="zh-CN"/>
              </w:rPr>
              <w:br w:type="textWrapping"/>
            </w:r>
            <w:r>
              <w:rPr>
                <w:rFonts w:hint="eastAsia"/>
                <w:vertAlign w:val="baseline"/>
                <w:lang w:val="en-US" w:eastAsia="zh-CN"/>
              </w:rPr>
              <w:t>4、体成分测量操作提示：语音向导</w:t>
            </w:r>
            <w:r>
              <w:rPr>
                <w:rFonts w:hint="eastAsia"/>
                <w:vertAlign w:val="baseline"/>
                <w:lang w:val="en-US" w:eastAsia="zh-CN"/>
              </w:rPr>
              <w:br w:type="textWrapping"/>
            </w:r>
            <w:r>
              <w:rPr>
                <w:rFonts w:hint="eastAsia"/>
                <w:vertAlign w:val="baseline"/>
                <w:lang w:val="en-US" w:eastAsia="zh-CN"/>
              </w:rPr>
              <w:t>5、可对接身高体重秤，数据自动传输，无需手工输入。</w:t>
            </w:r>
            <w:r>
              <w:rPr>
                <w:rFonts w:hint="eastAsia"/>
                <w:vertAlign w:val="baseline"/>
                <w:lang w:val="en-US" w:eastAsia="zh-CN"/>
              </w:rPr>
              <w:br w:type="textWrapping"/>
            </w:r>
            <w:r>
              <w:rPr>
                <w:rFonts w:hint="eastAsia"/>
                <w:vertAlign w:val="baseline"/>
                <w:lang w:val="en-US" w:eastAsia="zh-CN"/>
              </w:rPr>
              <w:t>6、外置USB接口≥4个。</w:t>
            </w:r>
            <w:r>
              <w:rPr>
                <w:rFonts w:hint="eastAsia"/>
                <w:vertAlign w:val="baseline"/>
                <w:lang w:val="en-US" w:eastAsia="zh-CN"/>
              </w:rPr>
              <w:br w:type="textWrapping"/>
            </w:r>
            <w:r>
              <w:rPr>
                <w:rFonts w:hint="eastAsia"/>
                <w:vertAlign w:val="baseline"/>
                <w:lang w:val="en-US" w:eastAsia="zh-CN"/>
              </w:rPr>
              <w:t>7、计算机配置:</w:t>
            </w:r>
            <w:r>
              <w:rPr>
                <w:rFonts w:hint="eastAsia"/>
                <w:vertAlign w:val="baseline"/>
                <w:lang w:val="en-US" w:eastAsia="zh-CN"/>
              </w:rPr>
              <w:br w:type="textWrapping"/>
            </w:r>
            <w:r>
              <w:rPr>
                <w:rFonts w:hint="eastAsia"/>
                <w:vertAlign w:val="baseline"/>
                <w:lang w:val="en-US" w:eastAsia="zh-CN"/>
              </w:rPr>
              <w:t>（1）CPU≥I3</w:t>
            </w:r>
            <w:r>
              <w:rPr>
                <w:rFonts w:hint="eastAsia"/>
                <w:vertAlign w:val="baseline"/>
                <w:lang w:val="en-US" w:eastAsia="zh-CN"/>
              </w:rPr>
              <w:br w:type="textWrapping"/>
            </w:r>
            <w:r>
              <w:rPr>
                <w:rFonts w:hint="eastAsia"/>
                <w:vertAlign w:val="baseline"/>
                <w:lang w:val="en-US" w:eastAsia="zh-CN"/>
              </w:rPr>
              <w:t>（2）内存≥4G</w:t>
            </w:r>
            <w:r>
              <w:rPr>
                <w:rFonts w:hint="eastAsia"/>
                <w:vertAlign w:val="baseline"/>
                <w:lang w:val="en-US" w:eastAsia="zh-CN"/>
              </w:rPr>
              <w:br w:type="textWrapping"/>
            </w:r>
            <w:r>
              <w:rPr>
                <w:rFonts w:hint="eastAsia"/>
                <w:vertAlign w:val="baseline"/>
                <w:lang w:val="en-US" w:eastAsia="zh-CN"/>
              </w:rPr>
              <w:t>（3）硬盘存储≥120G固态</w:t>
            </w:r>
            <w:r>
              <w:rPr>
                <w:rFonts w:hint="eastAsia"/>
                <w:vertAlign w:val="baseline"/>
                <w:lang w:val="en-US" w:eastAsia="zh-CN"/>
              </w:rPr>
              <w:br w:type="textWrapping"/>
            </w:r>
            <w:r>
              <w:rPr>
                <w:rFonts w:hint="eastAsia"/>
                <w:vertAlign w:val="baseline"/>
                <w:lang w:val="en-US" w:eastAsia="zh-CN"/>
              </w:rPr>
              <w:t>（4）同时具有WIFI无线网卡和有线网卡，有线网络接口外置方便对接，有线速度≥100M。</w:t>
            </w:r>
            <w:r>
              <w:rPr>
                <w:rFonts w:hint="eastAsia"/>
                <w:vertAlign w:val="baseline"/>
                <w:lang w:val="en-US" w:eastAsia="zh-CN"/>
              </w:rPr>
              <w:br w:type="textWrapping"/>
            </w:r>
            <w:r>
              <w:rPr>
                <w:rFonts w:hint="eastAsia"/>
                <w:vertAlign w:val="baseline"/>
                <w:lang w:val="en-US" w:eastAsia="zh-CN"/>
              </w:rPr>
              <w:t xml:space="preserve"> 8、软硬件一体化设计，内置营养管理系统和检测系统，无需操作多个软件和仪器</w:t>
            </w:r>
            <w:r>
              <w:rPr>
                <w:rFonts w:hint="eastAsia"/>
                <w:vertAlign w:val="baseline"/>
                <w:lang w:val="en-US" w:eastAsia="zh-CN"/>
              </w:rPr>
              <w:br w:type="textWrapping"/>
            </w:r>
            <w:r>
              <w:rPr>
                <w:rFonts w:hint="eastAsia"/>
                <w:vertAlign w:val="baseline"/>
                <w:lang w:val="en-US" w:eastAsia="zh-CN"/>
              </w:rPr>
              <w:t>9、鼠标键盘：</w:t>
            </w:r>
            <w:r>
              <w:rPr>
                <w:rFonts w:hint="eastAsia"/>
                <w:vertAlign w:val="baseline"/>
                <w:lang w:val="en-US" w:eastAsia="zh-CN"/>
              </w:rPr>
              <w:br w:type="textWrapping"/>
            </w:r>
            <w:r>
              <w:rPr>
                <w:rFonts w:hint="eastAsia"/>
                <w:vertAlign w:val="baseline"/>
                <w:lang w:val="en-US" w:eastAsia="zh-CN"/>
              </w:rPr>
              <w:t>（1）键盘：迷你智能笔记本键盘</w:t>
            </w:r>
            <w:r>
              <w:rPr>
                <w:rFonts w:hint="eastAsia"/>
                <w:vertAlign w:val="baseline"/>
                <w:lang w:val="en-US" w:eastAsia="zh-CN"/>
              </w:rPr>
              <w:br w:type="textWrapping"/>
            </w:r>
            <w:r>
              <w:rPr>
                <w:rFonts w:hint="eastAsia"/>
                <w:vertAlign w:val="baseline"/>
                <w:lang w:val="en-US" w:eastAsia="zh-CN"/>
              </w:rPr>
              <w:t>（2）鼠标：有线鼠标</w:t>
            </w:r>
            <w:r>
              <w:rPr>
                <w:rFonts w:hint="eastAsia"/>
                <w:vertAlign w:val="baseline"/>
                <w:lang w:val="en-US" w:eastAsia="zh-CN"/>
              </w:rPr>
              <w:br w:type="textWrapping"/>
            </w:r>
            <w:r>
              <w:rPr>
                <w:rFonts w:hint="eastAsia"/>
                <w:vertAlign w:val="baseline"/>
                <w:lang w:val="en-US" w:eastAsia="zh-CN"/>
              </w:rPr>
              <w:t>10、工作环境要求</w:t>
            </w:r>
            <w:r>
              <w:rPr>
                <w:rFonts w:hint="eastAsia"/>
                <w:vertAlign w:val="baseline"/>
                <w:lang w:val="en-US" w:eastAsia="zh-CN"/>
              </w:rPr>
              <w:br w:type="textWrapping"/>
            </w:r>
            <w:r>
              <w:rPr>
                <w:rFonts w:hint="eastAsia"/>
                <w:vertAlign w:val="baseline"/>
                <w:lang w:val="en-US" w:eastAsia="zh-CN"/>
              </w:rPr>
              <w:t>（1）环境温度范围：5℃～40℃；</w:t>
            </w:r>
            <w:r>
              <w:rPr>
                <w:rFonts w:hint="eastAsia"/>
                <w:vertAlign w:val="baseline"/>
                <w:lang w:val="en-US" w:eastAsia="zh-CN"/>
              </w:rPr>
              <w:br w:type="textWrapping"/>
            </w:r>
            <w:r>
              <w:rPr>
                <w:rFonts w:hint="eastAsia"/>
                <w:vertAlign w:val="baseline"/>
                <w:lang w:val="en-US" w:eastAsia="zh-CN"/>
              </w:rPr>
              <w:t>（2）相对湿度范围：30％～75%；</w:t>
            </w:r>
            <w:r>
              <w:rPr>
                <w:rFonts w:hint="eastAsia"/>
                <w:vertAlign w:val="baseline"/>
                <w:lang w:val="en-US" w:eastAsia="zh-CN"/>
              </w:rPr>
              <w:br w:type="textWrapping"/>
            </w:r>
            <w:r>
              <w:rPr>
                <w:rFonts w:hint="eastAsia"/>
                <w:vertAlign w:val="baseline"/>
                <w:lang w:val="en-US" w:eastAsia="zh-CN"/>
              </w:rPr>
              <w:t>（3）大气压范围：700hPa～1060hPa；</w:t>
            </w:r>
            <w:r>
              <w:rPr>
                <w:rFonts w:hint="eastAsia"/>
                <w:vertAlign w:val="baseline"/>
                <w:lang w:val="en-US" w:eastAsia="zh-CN"/>
              </w:rPr>
              <w:br w:type="textWrapping"/>
            </w:r>
            <w:r>
              <w:rPr>
                <w:rFonts w:hint="eastAsia"/>
                <w:vertAlign w:val="baseline"/>
                <w:lang w:val="en-US" w:eastAsia="zh-CN"/>
              </w:rPr>
              <w:t>11、电源电压：AC220V  50Hz</w:t>
            </w:r>
            <w:r>
              <w:rPr>
                <w:rFonts w:hint="eastAsia"/>
                <w:vertAlign w:val="baseline"/>
                <w:lang w:val="en-US" w:eastAsia="zh-CN"/>
              </w:rPr>
              <w:br w:type="textWrapping"/>
            </w:r>
            <w:r>
              <w:rPr>
                <w:rFonts w:hint="eastAsia"/>
                <w:vertAlign w:val="baseline"/>
                <w:lang w:val="en-US" w:eastAsia="zh-CN"/>
              </w:rPr>
              <w:t>12、打印系统：彩色打印系统</w:t>
            </w:r>
            <w:r>
              <w:rPr>
                <w:rFonts w:hint="eastAsia"/>
                <w:vertAlign w:val="baseline"/>
                <w:lang w:val="en-US" w:eastAsia="zh-CN"/>
              </w:rPr>
              <w:br w:type="textWrapping"/>
            </w:r>
            <w:r>
              <w:rPr>
                <w:rFonts w:hint="eastAsia"/>
                <w:vertAlign w:val="baseline"/>
                <w:lang w:val="en-US" w:eastAsia="zh-CN"/>
              </w:rPr>
              <w:t>二、软件参数</w:t>
            </w:r>
            <w:r>
              <w:rPr>
                <w:rFonts w:hint="eastAsia"/>
                <w:vertAlign w:val="baseline"/>
                <w:lang w:val="en-US" w:eastAsia="zh-CN"/>
              </w:rPr>
              <w:br w:type="textWrapping"/>
            </w:r>
            <w:r>
              <w:rPr>
                <w:rFonts w:hint="eastAsia"/>
                <w:vertAlign w:val="baseline"/>
                <w:lang w:val="en-US" w:eastAsia="zh-CN"/>
              </w:rPr>
              <w:t>1、档案管理：</w:t>
            </w:r>
            <w:r>
              <w:rPr>
                <w:rFonts w:hint="eastAsia"/>
                <w:vertAlign w:val="baseline"/>
                <w:lang w:val="en-US" w:eastAsia="zh-CN"/>
              </w:rPr>
              <w:br w:type="textWrapping"/>
            </w:r>
            <w:r>
              <w:rPr>
                <w:rFonts w:hint="eastAsia"/>
                <w:vertAlign w:val="baseline"/>
                <w:lang w:val="en-US" w:eastAsia="zh-CN"/>
              </w:rPr>
              <w:t>①系统可以快速建档，自动生成病案号。</w:t>
            </w:r>
            <w:r>
              <w:rPr>
                <w:rFonts w:hint="eastAsia"/>
                <w:vertAlign w:val="baseline"/>
                <w:lang w:val="en-US" w:eastAsia="zh-CN"/>
              </w:rPr>
              <w:br w:type="textWrapping"/>
            </w:r>
            <w:r>
              <w:rPr>
                <w:rFonts w:hint="eastAsia"/>
                <w:vertAlign w:val="baseline"/>
                <w:lang w:val="en-US" w:eastAsia="zh-CN"/>
              </w:rPr>
              <w:t>②可对接儿保系统，接诊转诊患儿档案信息。</w:t>
            </w:r>
            <w:r>
              <w:rPr>
                <w:rFonts w:hint="eastAsia"/>
                <w:vertAlign w:val="baseline"/>
                <w:lang w:val="en-US" w:eastAsia="zh-CN"/>
              </w:rPr>
              <w:br w:type="textWrapping"/>
            </w:r>
            <w:r>
              <w:rPr>
                <w:rFonts w:hint="eastAsia"/>
                <w:vertAlign w:val="baseline"/>
                <w:lang w:val="en-US" w:eastAsia="zh-CN"/>
              </w:rPr>
              <w:t>2、营养健康检查：</w:t>
            </w:r>
            <w:r>
              <w:rPr>
                <w:rFonts w:hint="eastAsia"/>
                <w:vertAlign w:val="baseline"/>
                <w:lang w:val="en-US" w:eastAsia="zh-CN"/>
              </w:rPr>
              <w:br w:type="textWrapping"/>
            </w:r>
            <w:r>
              <w:rPr>
                <w:rFonts w:hint="eastAsia"/>
                <w:vertAlign w:val="baseline"/>
                <w:lang w:val="en-US" w:eastAsia="zh-CN"/>
              </w:rPr>
              <w:t>①人体成分：体重、体水分、体脂、蛋白质、无机盐、体脂率、基础代谢、细胞内外水分、节段肌肉、内脏脂肪等级等。</w:t>
            </w:r>
            <w:r>
              <w:rPr>
                <w:rFonts w:hint="eastAsia"/>
                <w:vertAlign w:val="baseline"/>
                <w:lang w:val="en-US" w:eastAsia="zh-CN"/>
              </w:rPr>
              <w:br w:type="textWrapping"/>
            </w:r>
            <w:r>
              <w:rPr>
                <w:rFonts w:hint="eastAsia"/>
                <w:vertAlign w:val="baseline"/>
                <w:lang w:val="en-US" w:eastAsia="zh-CN"/>
              </w:rPr>
              <w:t>②人体成分分析：多次人体成分结果可以连接成曲线。</w:t>
            </w:r>
            <w:r>
              <w:rPr>
                <w:rFonts w:hint="eastAsia"/>
                <w:vertAlign w:val="baseline"/>
                <w:lang w:val="en-US" w:eastAsia="zh-CN"/>
              </w:rPr>
              <w:br w:type="textWrapping"/>
            </w:r>
            <w:r>
              <w:rPr>
                <w:rFonts w:hint="eastAsia"/>
                <w:vertAlign w:val="baseline"/>
                <w:lang w:val="en-US" w:eastAsia="zh-CN"/>
              </w:rPr>
              <w:t>③体格检查：身高、体重、BMI、头围、上臂围、皮褶厚度、活动水平等；根据WHO的标准，采用“Z评分和百分位评分”两种方式，制作儿童体格生长发育曲线图；多次体格检查数据可连接成变化曲线，便于观察生长发育趋势。其中身高、体重有九省市生长发育参考标准。</w:t>
            </w:r>
            <w:r>
              <w:rPr>
                <w:rFonts w:hint="eastAsia"/>
                <w:vertAlign w:val="baseline"/>
                <w:lang w:val="en-US" w:eastAsia="zh-CN"/>
              </w:rPr>
              <w:br w:type="textWrapping"/>
            </w:r>
            <w:r>
              <w:rPr>
                <w:rFonts w:hint="eastAsia"/>
                <w:vertAlign w:val="baseline"/>
                <w:lang w:val="en-US" w:eastAsia="zh-CN"/>
              </w:rPr>
              <w:t>④针对较小年龄阶段早产儿，提供Fenton曲线评测生长发育。★</w:t>
            </w:r>
            <w:r>
              <w:rPr>
                <w:rFonts w:hint="eastAsia"/>
                <w:vertAlign w:val="baseline"/>
                <w:lang w:val="en-US" w:eastAsia="zh-CN"/>
              </w:rPr>
              <w:br w:type="textWrapping"/>
            </w:r>
            <w:r>
              <w:rPr>
                <w:rFonts w:hint="eastAsia"/>
                <w:vertAlign w:val="baseline"/>
                <w:lang w:val="en-US" w:eastAsia="zh-CN"/>
              </w:rPr>
              <w:t>⑤体征检查：判断可能营养素缺乏状况，与LIS对接可直接确认营养素缺乏。并针对可能缺乏的营养素，给出含该营养素较多的食物推荐。</w:t>
            </w:r>
            <w:r>
              <w:rPr>
                <w:rFonts w:hint="eastAsia"/>
                <w:vertAlign w:val="baseline"/>
                <w:lang w:val="en-US" w:eastAsia="zh-CN"/>
              </w:rPr>
              <w:br w:type="textWrapping"/>
            </w:r>
            <w:r>
              <w:rPr>
                <w:rFonts w:hint="eastAsia"/>
                <w:vertAlign w:val="baseline"/>
                <w:lang w:val="en-US" w:eastAsia="zh-CN"/>
              </w:rPr>
              <w:t>⑥营养风险筛查，自动算出筛查评分，推荐营养干预等。</w:t>
            </w:r>
            <w:r>
              <w:rPr>
                <w:rFonts w:hint="eastAsia"/>
                <w:vertAlign w:val="baseline"/>
                <w:lang w:val="en-US" w:eastAsia="zh-CN"/>
              </w:rPr>
              <w:br w:type="textWrapping"/>
            </w:r>
            <w:r>
              <w:rPr>
                <w:rFonts w:hint="eastAsia"/>
                <w:vertAlign w:val="baseline"/>
                <w:lang w:val="en-US" w:eastAsia="zh-CN"/>
              </w:rPr>
              <w:t>3、膳食调查</w:t>
            </w:r>
            <w:r>
              <w:rPr>
                <w:rFonts w:hint="eastAsia"/>
                <w:vertAlign w:val="baseline"/>
                <w:lang w:val="en-US" w:eastAsia="zh-CN"/>
              </w:rPr>
              <w:br w:type="textWrapping"/>
            </w:r>
            <w:r>
              <w:rPr>
                <w:rFonts w:hint="eastAsia"/>
                <w:vertAlign w:val="baseline"/>
                <w:lang w:val="en-US" w:eastAsia="zh-CN"/>
              </w:rPr>
              <w:t>①支持饮食绝对量调查并进行膳食结构分析。</w:t>
            </w:r>
            <w:r>
              <w:rPr>
                <w:rFonts w:hint="eastAsia"/>
                <w:vertAlign w:val="baseline"/>
                <w:lang w:val="en-US" w:eastAsia="zh-CN"/>
              </w:rPr>
              <w:br w:type="textWrapping"/>
            </w:r>
            <w:r>
              <w:rPr>
                <w:rFonts w:hint="eastAsia"/>
                <w:vertAlign w:val="baseline"/>
                <w:lang w:val="en-US" w:eastAsia="zh-CN"/>
              </w:rPr>
              <w:t>②支持饮食快速调查，并分析膳食，给出指导意见。★</w:t>
            </w:r>
            <w:r>
              <w:rPr>
                <w:rFonts w:hint="eastAsia"/>
                <w:vertAlign w:val="baseline"/>
                <w:lang w:val="en-US" w:eastAsia="zh-CN"/>
              </w:rPr>
              <w:br w:type="textWrapping"/>
            </w:r>
            <w:r>
              <w:rPr>
                <w:rFonts w:hint="eastAsia"/>
                <w:vertAlign w:val="baseline"/>
                <w:lang w:val="en-US" w:eastAsia="zh-CN"/>
              </w:rPr>
              <w:t>③支持饮食相对量调查。</w:t>
            </w:r>
            <w:r>
              <w:rPr>
                <w:rFonts w:hint="eastAsia"/>
                <w:vertAlign w:val="baseline"/>
                <w:lang w:val="en-US" w:eastAsia="zh-CN"/>
              </w:rPr>
              <w:br w:type="textWrapping"/>
            </w:r>
            <w:r>
              <w:rPr>
                <w:rFonts w:hint="eastAsia"/>
                <w:vertAlign w:val="baseline"/>
                <w:lang w:val="en-US" w:eastAsia="zh-CN"/>
              </w:rPr>
              <w:t>④支持24小时膳食回顾法调查并进行膳食结构分析、营养素含量分析、能量来源分析、餐次供能分析以及评价出可能缺乏的营养素并给出指导方案。★</w:t>
            </w:r>
            <w:r>
              <w:rPr>
                <w:rFonts w:hint="eastAsia"/>
                <w:vertAlign w:val="baseline"/>
                <w:lang w:val="en-US" w:eastAsia="zh-CN"/>
              </w:rPr>
              <w:br w:type="textWrapping"/>
            </w:r>
            <w:r>
              <w:rPr>
                <w:rFonts w:hint="eastAsia"/>
                <w:vertAlign w:val="baseline"/>
                <w:lang w:val="en-US" w:eastAsia="zh-CN"/>
              </w:rPr>
              <w:t>⑤支持婴幼儿膳食调查。</w:t>
            </w:r>
            <w:r>
              <w:rPr>
                <w:rFonts w:hint="eastAsia"/>
                <w:vertAlign w:val="baseline"/>
                <w:lang w:val="en-US" w:eastAsia="zh-CN"/>
              </w:rPr>
              <w:br w:type="textWrapping"/>
            </w:r>
            <w:r>
              <w:rPr>
                <w:rFonts w:hint="eastAsia"/>
                <w:vertAlign w:val="baseline"/>
                <w:lang w:val="en-US" w:eastAsia="zh-CN"/>
              </w:rPr>
              <w:t>4、运动调查</w:t>
            </w:r>
            <w:r>
              <w:rPr>
                <w:rFonts w:hint="eastAsia"/>
                <w:vertAlign w:val="baseline"/>
                <w:lang w:val="en-US" w:eastAsia="zh-CN"/>
              </w:rPr>
              <w:br w:type="textWrapping"/>
            </w:r>
            <w:r>
              <w:rPr>
                <w:rFonts w:hint="eastAsia"/>
                <w:vertAlign w:val="baseline"/>
                <w:lang w:val="en-US" w:eastAsia="zh-CN"/>
              </w:rPr>
              <w:t>①结合学龄前儿童进行运动发育指标检测，看儿童运动发展是否达标。★</w:t>
            </w:r>
            <w:r>
              <w:rPr>
                <w:rFonts w:hint="eastAsia"/>
                <w:vertAlign w:val="baseline"/>
                <w:lang w:val="en-US" w:eastAsia="zh-CN"/>
              </w:rPr>
              <w:br w:type="textWrapping"/>
            </w:r>
            <w:r>
              <w:rPr>
                <w:rFonts w:hint="eastAsia"/>
                <w:vertAlign w:val="baseline"/>
                <w:lang w:val="en-US" w:eastAsia="zh-CN"/>
              </w:rPr>
              <w:t>②结合学龄儿童、青少年运动量调查，以及心率记录数据，看运动效果是否达标。★</w:t>
            </w:r>
            <w:r>
              <w:rPr>
                <w:rFonts w:hint="eastAsia"/>
                <w:vertAlign w:val="baseline"/>
                <w:lang w:val="en-US" w:eastAsia="zh-CN"/>
              </w:rPr>
              <w:br w:type="textWrapping"/>
            </w:r>
            <w:r>
              <w:rPr>
                <w:rFonts w:hint="eastAsia"/>
                <w:vertAlign w:val="baseline"/>
                <w:lang w:val="en-US" w:eastAsia="zh-CN"/>
              </w:rPr>
              <w:t>5、提供个性化精准配餐</w:t>
            </w:r>
            <w:r>
              <w:rPr>
                <w:rFonts w:hint="eastAsia"/>
                <w:vertAlign w:val="baseline"/>
                <w:lang w:val="en-US" w:eastAsia="zh-CN"/>
              </w:rPr>
              <w:br w:type="textWrapping"/>
            </w:r>
            <w:r>
              <w:rPr>
                <w:rFonts w:hint="eastAsia"/>
                <w:vertAlign w:val="baseline"/>
                <w:lang w:val="en-US" w:eastAsia="zh-CN"/>
              </w:rPr>
              <w:t>①依据儿童年龄及生长发育情况给出营养配餐。</w:t>
            </w:r>
            <w:r>
              <w:rPr>
                <w:rFonts w:hint="eastAsia"/>
                <w:vertAlign w:val="baseline"/>
                <w:lang w:val="en-US" w:eastAsia="zh-CN"/>
              </w:rPr>
              <w:br w:type="textWrapping"/>
            </w:r>
            <w:r>
              <w:rPr>
                <w:rFonts w:hint="eastAsia"/>
                <w:vertAlign w:val="baseline"/>
                <w:lang w:val="en-US" w:eastAsia="zh-CN"/>
              </w:rPr>
              <w:t>②可选择一次性提供1--7套配餐方案。</w:t>
            </w:r>
            <w:r>
              <w:rPr>
                <w:rFonts w:hint="eastAsia"/>
                <w:vertAlign w:val="baseline"/>
                <w:lang w:val="en-US" w:eastAsia="zh-CN"/>
              </w:rPr>
              <w:br w:type="textWrapping"/>
            </w:r>
            <w:r>
              <w:rPr>
                <w:rFonts w:hint="eastAsia"/>
                <w:vertAlign w:val="baseline"/>
                <w:lang w:val="en-US" w:eastAsia="zh-CN"/>
              </w:rPr>
              <w:t>③个性化带量食谱，每餐每道菜品给出所需各项食材具体重量。</w:t>
            </w:r>
            <w:r>
              <w:rPr>
                <w:rFonts w:hint="eastAsia"/>
                <w:vertAlign w:val="baseline"/>
                <w:lang w:val="en-US" w:eastAsia="zh-CN"/>
              </w:rPr>
              <w:br w:type="textWrapping"/>
            </w:r>
            <w:r>
              <w:rPr>
                <w:rFonts w:hint="eastAsia"/>
                <w:vertAlign w:val="baseline"/>
                <w:lang w:val="en-US" w:eastAsia="zh-CN"/>
              </w:rPr>
              <w:t>④支持患儿定制食谱功能。</w:t>
            </w:r>
            <w:r>
              <w:rPr>
                <w:rFonts w:hint="eastAsia"/>
                <w:vertAlign w:val="baseline"/>
                <w:lang w:val="en-US" w:eastAsia="zh-CN"/>
              </w:rPr>
              <w:br w:type="textWrapping"/>
            </w:r>
            <w:r>
              <w:rPr>
                <w:rFonts w:hint="eastAsia"/>
                <w:vertAlign w:val="baseline"/>
                <w:lang w:val="en-US" w:eastAsia="zh-CN"/>
              </w:rPr>
              <w:t>⑤推荐营养素补充剂添加。</w:t>
            </w:r>
            <w:r>
              <w:rPr>
                <w:rFonts w:hint="eastAsia"/>
                <w:vertAlign w:val="baseline"/>
                <w:lang w:val="en-US" w:eastAsia="zh-CN"/>
              </w:rPr>
              <w:br w:type="textWrapping"/>
            </w:r>
            <w:r>
              <w:rPr>
                <w:rFonts w:hint="eastAsia"/>
                <w:vertAlign w:val="baseline"/>
                <w:lang w:val="en-US" w:eastAsia="zh-CN"/>
              </w:rPr>
              <w:t>⑥自动分析膳食结构含量、配餐方案的餐次供能分布、能量来源分布和各营养素含量。</w:t>
            </w:r>
            <w:r>
              <w:rPr>
                <w:rFonts w:hint="eastAsia"/>
                <w:vertAlign w:val="baseline"/>
                <w:lang w:val="en-US" w:eastAsia="zh-CN"/>
              </w:rPr>
              <w:br w:type="textWrapping"/>
            </w:r>
            <w:r>
              <w:rPr>
                <w:rFonts w:hint="eastAsia"/>
                <w:vertAlign w:val="baseline"/>
                <w:lang w:val="en-US" w:eastAsia="zh-CN"/>
              </w:rPr>
              <w:t>6、指导建议</w:t>
            </w:r>
            <w:r>
              <w:rPr>
                <w:rFonts w:hint="eastAsia"/>
                <w:vertAlign w:val="baseline"/>
                <w:lang w:val="en-US" w:eastAsia="zh-CN"/>
              </w:rPr>
              <w:br w:type="textWrapping"/>
            </w:r>
            <w:r>
              <w:rPr>
                <w:rFonts w:hint="eastAsia"/>
                <w:vertAlign w:val="baseline"/>
                <w:lang w:val="en-US" w:eastAsia="zh-CN"/>
              </w:rPr>
              <w:t>①提供该年龄段膳食指导。</w:t>
            </w:r>
            <w:r>
              <w:rPr>
                <w:rFonts w:hint="eastAsia"/>
                <w:vertAlign w:val="baseline"/>
                <w:lang w:val="en-US" w:eastAsia="zh-CN"/>
              </w:rPr>
              <w:br w:type="textWrapping"/>
            </w:r>
            <w:r>
              <w:rPr>
                <w:rFonts w:hint="eastAsia"/>
                <w:vertAlign w:val="baseline"/>
                <w:lang w:val="en-US" w:eastAsia="zh-CN"/>
              </w:rPr>
              <w:t>②提供个性化的运动指导。</w:t>
            </w:r>
            <w:r>
              <w:rPr>
                <w:rFonts w:hint="eastAsia"/>
                <w:vertAlign w:val="baseline"/>
                <w:lang w:val="en-US" w:eastAsia="zh-CN"/>
              </w:rPr>
              <w:br w:type="textWrapping"/>
            </w:r>
            <w:r>
              <w:rPr>
                <w:rFonts w:hint="eastAsia"/>
                <w:vertAlign w:val="baseline"/>
                <w:lang w:val="en-US" w:eastAsia="zh-CN"/>
              </w:rPr>
              <w:t>③针对儿童各系统常见疾病，给出相关营养指导模板库。★</w:t>
            </w:r>
            <w:r>
              <w:rPr>
                <w:rFonts w:hint="eastAsia"/>
                <w:vertAlign w:val="baseline"/>
                <w:lang w:val="en-US" w:eastAsia="zh-CN"/>
              </w:rPr>
              <w:br w:type="textWrapping"/>
            </w:r>
            <w:r>
              <w:rPr>
                <w:rFonts w:hint="eastAsia"/>
                <w:vertAlign w:val="baseline"/>
                <w:lang w:val="en-US" w:eastAsia="zh-CN"/>
              </w:rPr>
              <w:t>④医生可根据经验修改、增减模板库内容，给出指导意见。</w:t>
            </w:r>
            <w:r>
              <w:rPr>
                <w:rFonts w:hint="eastAsia"/>
                <w:vertAlign w:val="baseline"/>
                <w:lang w:val="en-US" w:eastAsia="zh-CN"/>
              </w:rPr>
              <w:br w:type="textWrapping"/>
            </w:r>
            <w:r>
              <w:rPr>
                <w:rFonts w:hint="eastAsia"/>
                <w:vertAlign w:val="baseline"/>
                <w:lang w:val="en-US" w:eastAsia="zh-CN"/>
              </w:rPr>
              <w:t>⑤设置医生意见栏，可自主编辑营养建议并存为模板，方便类似人群使用诊疗调用。</w:t>
            </w:r>
            <w:r>
              <w:rPr>
                <w:rFonts w:hint="eastAsia"/>
                <w:vertAlign w:val="baseline"/>
                <w:lang w:val="en-US" w:eastAsia="zh-CN"/>
              </w:rPr>
              <w:br w:type="textWrapping"/>
            </w:r>
            <w:r>
              <w:rPr>
                <w:rFonts w:hint="eastAsia"/>
                <w:vertAlign w:val="baseline"/>
                <w:lang w:val="en-US" w:eastAsia="zh-CN"/>
              </w:rPr>
              <w:t>7、运动指导</w:t>
            </w:r>
            <w:r>
              <w:rPr>
                <w:rFonts w:hint="eastAsia"/>
                <w:vertAlign w:val="baseline"/>
                <w:lang w:val="en-US" w:eastAsia="zh-CN"/>
              </w:rPr>
              <w:br w:type="textWrapping"/>
            </w:r>
            <w:r>
              <w:rPr>
                <w:rFonts w:hint="eastAsia"/>
                <w:vertAlign w:val="baseline"/>
                <w:lang w:val="en-US" w:eastAsia="zh-CN"/>
              </w:rPr>
              <w:t>①支持分类别运动调查，并自动计算出各类运动消耗的能量和总能量统计。</w:t>
            </w:r>
            <w:r>
              <w:rPr>
                <w:rFonts w:hint="eastAsia"/>
                <w:vertAlign w:val="baseline"/>
                <w:lang w:val="en-US" w:eastAsia="zh-CN"/>
              </w:rPr>
              <w:br w:type="textWrapping"/>
            </w:r>
            <w:r>
              <w:rPr>
                <w:rFonts w:hint="eastAsia"/>
                <w:vertAlign w:val="baseline"/>
                <w:lang w:val="en-US" w:eastAsia="zh-CN"/>
              </w:rPr>
              <w:t>②针对不同年龄阶段给出运动建议，促进肢体协调发展。</w:t>
            </w:r>
            <w:r>
              <w:rPr>
                <w:rFonts w:hint="eastAsia"/>
                <w:vertAlign w:val="baseline"/>
                <w:lang w:val="en-US" w:eastAsia="zh-CN"/>
              </w:rPr>
              <w:br w:type="textWrapping"/>
            </w:r>
            <w:r>
              <w:rPr>
                <w:rFonts w:hint="eastAsia"/>
                <w:vertAlign w:val="baseline"/>
                <w:lang w:val="en-US" w:eastAsia="zh-CN"/>
              </w:rPr>
              <w:t>③针对肥胖儿童给出特殊运动指导，协助减脂减重。★</w:t>
            </w:r>
            <w:r>
              <w:rPr>
                <w:rFonts w:hint="eastAsia"/>
                <w:vertAlign w:val="baseline"/>
                <w:lang w:val="en-US" w:eastAsia="zh-CN"/>
              </w:rPr>
              <w:br w:type="textWrapping"/>
            </w:r>
            <w:r>
              <w:rPr>
                <w:rFonts w:hint="eastAsia"/>
                <w:vertAlign w:val="baseline"/>
                <w:lang w:val="en-US" w:eastAsia="zh-CN"/>
              </w:rPr>
              <w:t>8、信息档案统计管理</w:t>
            </w:r>
            <w:r>
              <w:rPr>
                <w:rFonts w:hint="eastAsia"/>
                <w:vertAlign w:val="baseline"/>
                <w:lang w:val="en-US" w:eastAsia="zh-CN"/>
              </w:rPr>
              <w:br w:type="textWrapping"/>
            </w:r>
            <w:r>
              <w:rPr>
                <w:rFonts w:hint="eastAsia"/>
                <w:vertAlign w:val="baseline"/>
                <w:lang w:val="en-US" w:eastAsia="zh-CN"/>
              </w:rPr>
              <w:t>①按照日期统计段时间内医生工作量。</w:t>
            </w:r>
            <w:r>
              <w:rPr>
                <w:rFonts w:hint="eastAsia"/>
                <w:vertAlign w:val="baseline"/>
                <w:lang w:val="en-US" w:eastAsia="zh-CN"/>
              </w:rPr>
              <w:br w:type="textWrapping"/>
            </w:r>
            <w:r>
              <w:rPr>
                <w:rFonts w:hint="eastAsia"/>
                <w:vertAlign w:val="baseline"/>
                <w:lang w:val="en-US" w:eastAsia="zh-CN"/>
              </w:rPr>
              <w:t>②按照日期等统计档案信息及检查项目情况。</w:t>
            </w:r>
            <w:r>
              <w:rPr>
                <w:rFonts w:hint="eastAsia"/>
                <w:vertAlign w:val="baseline"/>
                <w:lang w:val="en-US" w:eastAsia="zh-CN"/>
              </w:rPr>
              <w:br w:type="textWrapping"/>
            </w:r>
            <w:r>
              <w:rPr>
                <w:rFonts w:hint="eastAsia"/>
                <w:vertAlign w:val="baseline"/>
                <w:lang w:val="en-US" w:eastAsia="zh-CN"/>
              </w:rPr>
              <w:t>③按照日期统计患者人体成分检测各项数据。</w:t>
            </w:r>
            <w:r>
              <w:rPr>
                <w:rFonts w:hint="eastAsia"/>
                <w:vertAlign w:val="baseline"/>
                <w:lang w:val="en-US" w:eastAsia="zh-CN"/>
              </w:rPr>
              <w:br w:type="textWrapping"/>
            </w:r>
            <w:r>
              <w:rPr>
                <w:rFonts w:hint="eastAsia"/>
                <w:vertAlign w:val="baseline"/>
                <w:lang w:val="en-US" w:eastAsia="zh-CN"/>
              </w:rPr>
              <w:t>9、设置功能</w:t>
            </w:r>
            <w:r>
              <w:rPr>
                <w:rFonts w:hint="eastAsia"/>
                <w:vertAlign w:val="baseline"/>
                <w:lang w:val="en-US" w:eastAsia="zh-CN"/>
              </w:rPr>
              <w:br w:type="textWrapping"/>
            </w:r>
            <w:r>
              <w:rPr>
                <w:rFonts w:hint="eastAsia"/>
                <w:vertAlign w:val="baseline"/>
                <w:lang w:val="en-US" w:eastAsia="zh-CN"/>
              </w:rPr>
              <w:t>①医院可自主配置食谱库，根据年龄段、能量段等，选择食谱可根据名称搜索★</w:t>
            </w:r>
            <w:r>
              <w:rPr>
                <w:rFonts w:hint="eastAsia"/>
                <w:vertAlign w:val="baseline"/>
                <w:lang w:val="en-US" w:eastAsia="zh-CN"/>
              </w:rPr>
              <w:br w:type="textWrapping"/>
            </w:r>
            <w:r>
              <w:rPr>
                <w:rFonts w:hint="eastAsia"/>
                <w:vertAlign w:val="baseline"/>
                <w:lang w:val="en-US" w:eastAsia="zh-CN"/>
              </w:rPr>
              <w:t>②医院营养补充剂设置，可自行增减补充剂库中的营养补充剂★</w:t>
            </w:r>
            <w:r>
              <w:rPr>
                <w:rFonts w:hint="eastAsia"/>
                <w:vertAlign w:val="baseline"/>
                <w:lang w:val="en-US" w:eastAsia="zh-CN"/>
              </w:rPr>
              <w:br w:type="textWrapping"/>
            </w:r>
            <w:r>
              <w:rPr>
                <w:rFonts w:hint="eastAsia"/>
                <w:vertAlign w:val="baseline"/>
                <w:lang w:val="en-US" w:eastAsia="zh-CN"/>
              </w:rPr>
              <w:t>10、手机小程序</w:t>
            </w:r>
            <w:r>
              <w:rPr>
                <w:rFonts w:hint="eastAsia"/>
                <w:vertAlign w:val="baseline"/>
                <w:lang w:val="en-US" w:eastAsia="zh-CN"/>
              </w:rPr>
              <w:br w:type="textWrapping"/>
            </w:r>
            <w:r>
              <w:rPr>
                <w:rFonts w:hint="eastAsia"/>
                <w:vertAlign w:val="baseline"/>
                <w:lang w:val="en-US" w:eastAsia="zh-CN"/>
              </w:rPr>
              <w:t>（1）与电脑PC端数据互联互通，实时同步。</w:t>
            </w:r>
            <w:r>
              <w:rPr>
                <w:rFonts w:hint="eastAsia"/>
                <w:vertAlign w:val="baseline"/>
                <w:lang w:val="en-US" w:eastAsia="zh-CN"/>
              </w:rPr>
              <w:br w:type="textWrapping"/>
            </w:r>
            <w:r>
              <w:rPr>
                <w:rFonts w:hint="eastAsia"/>
                <w:vertAlign w:val="baseline"/>
                <w:lang w:val="en-US" w:eastAsia="zh-CN"/>
              </w:rPr>
              <w:t>（2）每日记录孩子身高、体重、BMI指数、头围等数据,并形成趋势图。</w:t>
            </w:r>
            <w:r>
              <w:rPr>
                <w:rFonts w:hint="eastAsia"/>
                <w:vertAlign w:val="baseline"/>
                <w:lang w:val="en-US" w:eastAsia="zh-CN"/>
              </w:rPr>
              <w:br w:type="textWrapping"/>
            </w:r>
            <w:r>
              <w:rPr>
                <w:rFonts w:hint="eastAsia"/>
                <w:vertAlign w:val="baseline"/>
                <w:lang w:val="en-US" w:eastAsia="zh-CN"/>
              </w:rPr>
              <w:t>（3）孩子每日膳食记录，并进行餐次结构分析、膳食结构分析营养素分析。</w:t>
            </w:r>
            <w:r>
              <w:rPr>
                <w:rFonts w:hint="eastAsia"/>
                <w:vertAlign w:val="baseline"/>
                <w:lang w:val="en-US" w:eastAsia="zh-CN"/>
              </w:rPr>
              <w:br w:type="textWrapping"/>
            </w:r>
            <w:r>
              <w:rPr>
                <w:rFonts w:hint="eastAsia"/>
                <w:vertAlign w:val="baseline"/>
                <w:lang w:val="en-US" w:eastAsia="zh-CN"/>
              </w:rPr>
              <w:t>（4）可绑定营养师，实现在线咨询。</w:t>
            </w:r>
            <w:r>
              <w:rPr>
                <w:rFonts w:hint="eastAsia"/>
                <w:vertAlign w:val="baseline"/>
                <w:lang w:val="en-US" w:eastAsia="zh-CN"/>
              </w:rPr>
              <w:br w:type="textWrapping"/>
            </w:r>
            <w:r>
              <w:rPr>
                <w:rFonts w:hint="eastAsia"/>
                <w:vertAlign w:val="baseline"/>
                <w:lang w:val="en-US" w:eastAsia="zh-CN"/>
              </w:rPr>
              <w:t>（5）日营养报告比对，食材营养素比对等功能。</w:t>
            </w:r>
            <w:r>
              <w:rPr>
                <w:rFonts w:hint="eastAsia"/>
                <w:vertAlign w:val="baseline"/>
                <w:lang w:val="en-US" w:eastAsia="zh-CN"/>
              </w:rPr>
              <w:br w:type="textWrapping"/>
            </w:r>
            <w:r>
              <w:rPr>
                <w:rFonts w:hint="eastAsia"/>
                <w:vertAlign w:val="baseline"/>
                <w:lang w:val="en-US" w:eastAsia="zh-CN"/>
              </w:rPr>
              <w:t>（6）营养健康知识科普宣教、早教课堂等功能。</w:t>
            </w:r>
          </w:p>
          <w:p>
            <w:pPr>
              <w:jc w:val="both"/>
              <w:rPr>
                <w:rFonts w:hint="eastAsia"/>
                <w:vertAlign w:val="baseline"/>
                <w:lang w:val="en-US" w:eastAsia="zh-CN"/>
              </w:rPr>
            </w:pPr>
            <w:r>
              <w:rPr>
                <w:rFonts w:hint="eastAsia"/>
                <w:vertAlign w:val="baseline"/>
                <w:lang w:val="en-US" w:eastAsia="zh-CN"/>
              </w:rPr>
              <w:t>11、展示柜：打印机的桌子、椅子、挂墙图框、室内布局，食物模具、一台电脑、显示器、打印机。</w:t>
            </w:r>
          </w:p>
        </w:tc>
        <w:tc>
          <w:tcPr>
            <w:tcW w:w="600" w:type="dxa"/>
            <w:vAlign w:val="center"/>
          </w:tcPr>
          <w:p>
            <w:pPr>
              <w:jc w:val="center"/>
              <w:rPr>
                <w:rFonts w:hint="default"/>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948" w:type="dxa"/>
            <w:vAlign w:val="center"/>
          </w:tcPr>
          <w:p>
            <w:pPr>
              <w:jc w:val="center"/>
              <w:rPr>
                <w:rFonts w:hint="default"/>
                <w:vertAlign w:val="baseline"/>
                <w:lang w:val="en-US" w:eastAsia="zh-CN"/>
              </w:rPr>
            </w:pPr>
            <w:r>
              <w:rPr>
                <w:rFonts w:hint="eastAsia"/>
                <w:vertAlign w:val="baseline"/>
                <w:lang w:val="en-US" w:eastAsia="zh-CN"/>
              </w:rPr>
              <w:t>2</w:t>
            </w:r>
          </w:p>
        </w:tc>
        <w:tc>
          <w:tcPr>
            <w:tcW w:w="1108" w:type="dxa"/>
            <w:vAlign w:val="center"/>
          </w:tcPr>
          <w:p>
            <w:pPr>
              <w:jc w:val="center"/>
              <w:rPr>
                <w:rFonts w:hint="eastAsia"/>
                <w:vertAlign w:val="baseline"/>
                <w:lang w:val="en-US" w:eastAsia="zh-CN"/>
              </w:rPr>
            </w:pPr>
            <w:r>
              <w:rPr>
                <w:rFonts w:hint="eastAsia"/>
                <w:vertAlign w:val="baseline"/>
                <w:lang w:val="en-US" w:eastAsia="zh-CN"/>
              </w:rPr>
              <w:t>个体营养检测分析仪</w:t>
            </w:r>
          </w:p>
        </w:tc>
        <w:tc>
          <w:tcPr>
            <w:tcW w:w="6690" w:type="dxa"/>
            <w:vAlign w:val="top"/>
          </w:tcPr>
          <w:p>
            <w:pPr>
              <w:jc w:val="both"/>
              <w:rPr>
                <w:rFonts w:hint="eastAsia"/>
                <w:vertAlign w:val="baseline"/>
                <w:lang w:val="en-US" w:eastAsia="zh-CN"/>
              </w:rPr>
            </w:pPr>
            <w:r>
              <w:rPr>
                <w:rFonts w:hint="eastAsia"/>
                <w:vertAlign w:val="baseline"/>
                <w:lang w:val="en-US" w:eastAsia="zh-CN"/>
              </w:rPr>
              <w:t>*1.应用生物阻抗检测方法，八点接触式，电极多频段测量：1kHz、5kHz、50kHz、250kHz、500kHz、1000kHz；（误差范围±5%，需提供药监局产品检验报告）</w:t>
            </w:r>
            <w:r>
              <w:rPr>
                <w:rFonts w:hint="eastAsia"/>
                <w:vertAlign w:val="baseline"/>
                <w:lang w:val="en-US" w:eastAsia="zh-CN"/>
              </w:rPr>
              <w:br w:type="textWrapping"/>
            </w:r>
            <w:r>
              <w:rPr>
                <w:rFonts w:hint="eastAsia"/>
                <w:vertAlign w:val="baseline"/>
                <w:lang w:val="en-US" w:eastAsia="zh-CN"/>
              </w:rPr>
              <w:t>2.储存能力≥100万条</w:t>
            </w:r>
            <w:r>
              <w:rPr>
                <w:rFonts w:hint="eastAsia"/>
                <w:vertAlign w:val="baseline"/>
                <w:lang w:val="en-US" w:eastAsia="zh-CN"/>
              </w:rPr>
              <w:br w:type="textWrapping"/>
            </w:r>
            <w:r>
              <w:rPr>
                <w:rFonts w:hint="eastAsia"/>
                <w:vertAlign w:val="baseline"/>
                <w:lang w:val="en-US" w:eastAsia="zh-CN"/>
              </w:rPr>
              <w:t>3、提供孕期体成分检测及能量代谢分析，可检测孕期体成分≥26种，非孕期体成分≥43种。</w:t>
            </w:r>
            <w:r>
              <w:rPr>
                <w:rFonts w:hint="eastAsia"/>
                <w:vertAlign w:val="baseline"/>
                <w:lang w:val="en-US" w:eastAsia="zh-CN"/>
              </w:rPr>
              <w:br w:type="textWrapping"/>
            </w:r>
            <w:r>
              <w:rPr>
                <w:rFonts w:hint="eastAsia"/>
                <w:vertAlign w:val="baseline"/>
                <w:lang w:val="en-US" w:eastAsia="zh-CN"/>
              </w:rPr>
              <w:t>*4.阻抗值测量范围：10～1200Ω,测量误差范围±10%(需提供药监局产品检验报告)</w:t>
            </w:r>
            <w:r>
              <w:rPr>
                <w:rFonts w:hint="eastAsia"/>
                <w:vertAlign w:val="baseline"/>
                <w:lang w:val="en-US" w:eastAsia="zh-CN"/>
              </w:rPr>
              <w:br w:type="textWrapping"/>
            </w:r>
            <w:r>
              <w:rPr>
                <w:rFonts w:hint="eastAsia"/>
                <w:vertAlign w:val="baseline"/>
                <w:lang w:val="en-US" w:eastAsia="zh-CN"/>
              </w:rPr>
              <w:t>*5.具备脚电极加热功能，避免温度过低给被检测者带来的不适感。</w:t>
            </w:r>
            <w:r>
              <w:rPr>
                <w:rFonts w:hint="eastAsia"/>
                <w:vertAlign w:val="baseline"/>
                <w:lang w:val="en-US" w:eastAsia="zh-CN"/>
              </w:rPr>
              <w:br w:type="textWrapping"/>
            </w:r>
            <w:r>
              <w:rPr>
                <w:rFonts w:hint="eastAsia"/>
                <w:vertAlign w:val="baseline"/>
                <w:lang w:val="en-US" w:eastAsia="zh-CN"/>
              </w:rPr>
              <w:t>6.设备屏幕：触摸电容屏≥17英寸</w:t>
            </w:r>
            <w:r>
              <w:rPr>
                <w:rFonts w:hint="eastAsia"/>
                <w:vertAlign w:val="baseline"/>
                <w:lang w:val="en-US" w:eastAsia="zh-CN"/>
              </w:rPr>
              <w:br w:type="textWrapping"/>
            </w:r>
            <w:r>
              <w:rPr>
                <w:rFonts w:hint="eastAsia"/>
                <w:vertAlign w:val="baseline"/>
                <w:lang w:val="en-US" w:eastAsia="zh-CN"/>
              </w:rPr>
              <w:t>7.扫码建档：通过小程序记录个人信息，扫码枪扫描二维码的方式关联患者基本信息（姓名、年龄、身高、时期（备孕期、成年女性、孕期、哺乳期、产后恢复期），孕前体重、孕前BMI、胎数、孕周等）等档案的建立；同时可手动建档，并支持档案查询。</w:t>
            </w:r>
            <w:r>
              <w:rPr>
                <w:rFonts w:hint="eastAsia"/>
                <w:vertAlign w:val="baseline"/>
                <w:lang w:val="en-US" w:eastAsia="zh-CN"/>
              </w:rPr>
              <w:br w:type="textWrapping"/>
            </w:r>
            <w:r>
              <w:rPr>
                <w:rFonts w:hint="eastAsia"/>
                <w:vertAlign w:val="baseline"/>
                <w:lang w:val="en-US" w:eastAsia="zh-CN"/>
              </w:rPr>
              <w:t>*8.孕期/非孕期膳食摄入调查：食物库包含菜品库菜品库≥20000项数据，营养补充剂数据库≥150条，支持回顾法、频次法、智能扫码膳食调查3种调查方式。</w:t>
            </w:r>
            <w:r>
              <w:rPr>
                <w:rFonts w:hint="eastAsia"/>
                <w:vertAlign w:val="baseline"/>
                <w:lang w:val="en-US" w:eastAsia="zh-CN"/>
              </w:rPr>
              <w:br w:type="textWrapping"/>
            </w:r>
            <w:r>
              <w:rPr>
                <w:rFonts w:hint="eastAsia"/>
                <w:vertAlign w:val="baseline"/>
                <w:lang w:val="en-US" w:eastAsia="zh-CN"/>
              </w:rPr>
              <w:t>9．孕期/非孕期运动调查：支持≥110运动种类调查，支持快速调查、详细调查、智能扫码调查（小程序记录）。</w:t>
            </w:r>
            <w:r>
              <w:rPr>
                <w:rFonts w:hint="eastAsia"/>
                <w:vertAlign w:val="baseline"/>
                <w:lang w:val="en-US" w:eastAsia="zh-CN"/>
              </w:rPr>
              <w:br w:type="textWrapping"/>
            </w:r>
            <w:r>
              <w:rPr>
                <w:rFonts w:hint="eastAsia"/>
                <w:vertAlign w:val="baseline"/>
                <w:lang w:val="en-US" w:eastAsia="zh-CN"/>
              </w:rPr>
              <w:t>10. 妇女日常保健、更年期健康管理、围产保健、孕期风险评估等营养干预项目：针对围绝经期女性、备孕期、孕期、哺乳期、产后女性的营养状况进行指导，针对≥11种疾病与≥8种主诉调查结果，智能出具个性化营养指导方案。</w:t>
            </w:r>
            <w:r>
              <w:rPr>
                <w:rFonts w:hint="eastAsia"/>
                <w:vertAlign w:val="baseline"/>
                <w:lang w:val="en-US" w:eastAsia="zh-CN"/>
              </w:rPr>
              <w:br w:type="textWrapping"/>
            </w:r>
            <w:r>
              <w:rPr>
                <w:rFonts w:hint="eastAsia"/>
                <w:vertAlign w:val="baseline"/>
                <w:lang w:val="en-US" w:eastAsia="zh-CN"/>
              </w:rPr>
              <w:t>11、手动、扫码两种方式进行孕期生活方式调查。</w:t>
            </w:r>
            <w:r>
              <w:rPr>
                <w:rFonts w:hint="eastAsia"/>
                <w:vertAlign w:val="baseline"/>
                <w:lang w:val="en-US" w:eastAsia="zh-CN"/>
              </w:rPr>
              <w:br w:type="textWrapping"/>
            </w:r>
            <w:r>
              <w:rPr>
                <w:rFonts w:hint="eastAsia"/>
                <w:vertAlign w:val="baseline"/>
                <w:lang w:val="en-US" w:eastAsia="zh-CN"/>
              </w:rPr>
              <w:t>12.孕期/产后心理评估：对检测者进行孕期压力评估和产后抑郁评估，通过评估测评表的记录结果，展示调查者的心理压力状况，并智能出具改善建议。</w:t>
            </w:r>
            <w:r>
              <w:rPr>
                <w:rFonts w:hint="eastAsia"/>
                <w:vertAlign w:val="baseline"/>
                <w:lang w:val="en-US" w:eastAsia="zh-CN"/>
              </w:rPr>
              <w:br w:type="textWrapping"/>
            </w:r>
            <w:r>
              <w:rPr>
                <w:rFonts w:hint="eastAsia"/>
                <w:vertAlign w:val="baseline"/>
                <w:lang w:val="en-US" w:eastAsia="zh-CN"/>
              </w:rPr>
              <w:t>13.膳食评价：膳食调查的结果进行全面分析评价，包含膳食6餐次能量供能比分析评价，营养素摄入情况分析评价≥24种；膳食食物种类摄入评价≥10种，同时提供相关指标的推荐摄入量、参考范围及评价结果。</w:t>
            </w:r>
            <w:r>
              <w:rPr>
                <w:rFonts w:hint="eastAsia"/>
                <w:vertAlign w:val="baseline"/>
                <w:lang w:val="en-US" w:eastAsia="zh-CN"/>
              </w:rPr>
              <w:br w:type="textWrapping"/>
            </w:r>
            <w:r>
              <w:rPr>
                <w:rFonts w:hint="eastAsia"/>
                <w:vertAlign w:val="baseline"/>
                <w:lang w:val="en-US" w:eastAsia="zh-CN"/>
              </w:rPr>
              <w:t>14.个性化智能营养方案：结合检测者的营养摄入、疾病状况、体成分情况等基本信息的调查结果，智能推荐个性化标准化的1日/3日/7日个性化的带量食谱营养方案</w:t>
            </w:r>
            <w:r>
              <w:rPr>
                <w:rFonts w:hint="eastAsia"/>
                <w:vertAlign w:val="baseline"/>
                <w:lang w:val="en-US" w:eastAsia="zh-CN"/>
              </w:rPr>
              <w:br w:type="textWrapping"/>
            </w:r>
            <w:r>
              <w:rPr>
                <w:rFonts w:hint="eastAsia"/>
                <w:vertAlign w:val="baseline"/>
                <w:lang w:val="en-US" w:eastAsia="zh-CN"/>
              </w:rPr>
              <w:t>15.智能个性化运动指导及减重方案：基于调查者的所处不同时期智能出具个性化运动原则，结合检测者的身体状况，智能出具减重方案和运动指导。</w:t>
            </w:r>
            <w:r>
              <w:rPr>
                <w:rFonts w:hint="eastAsia"/>
                <w:vertAlign w:val="baseline"/>
                <w:lang w:val="en-US" w:eastAsia="zh-CN"/>
              </w:rPr>
              <w:br w:type="textWrapping"/>
            </w:r>
            <w:r>
              <w:rPr>
                <w:rFonts w:hint="eastAsia"/>
                <w:vertAlign w:val="baseline"/>
                <w:lang w:val="en-US" w:eastAsia="zh-CN"/>
              </w:rPr>
              <w:t>16. 手掌估量指导：膳食营养报告饮食建议中包含易操作、易执行的手掌估量指导。</w:t>
            </w:r>
            <w:r>
              <w:rPr>
                <w:rFonts w:hint="eastAsia"/>
                <w:vertAlign w:val="baseline"/>
                <w:lang w:val="en-US" w:eastAsia="zh-CN"/>
              </w:rPr>
              <w:br w:type="textWrapping"/>
            </w:r>
            <w:r>
              <w:rPr>
                <w:rFonts w:hint="eastAsia"/>
                <w:vertAlign w:val="baseline"/>
                <w:lang w:val="en-US" w:eastAsia="zh-CN"/>
              </w:rPr>
              <w:t>17. 实验室生化指标：支持血压（收缩压、舒张压）、空腹血糖、餐后一小时血糖、餐后二小时血糖等生化指标的录入。</w:t>
            </w:r>
            <w:r>
              <w:rPr>
                <w:rFonts w:hint="eastAsia"/>
                <w:vertAlign w:val="baseline"/>
                <w:lang w:val="en-US" w:eastAsia="zh-CN"/>
              </w:rPr>
              <w:br w:type="textWrapping"/>
            </w:r>
            <w:r>
              <w:rPr>
                <w:rFonts w:hint="eastAsia"/>
                <w:vertAlign w:val="baseline"/>
                <w:lang w:val="en-US" w:eastAsia="zh-CN"/>
              </w:rPr>
              <w:t>18.五色妊娠风险评估管理：结合五色评估结果对应等级，出具相对应的评估结果及指导。</w:t>
            </w:r>
            <w:r>
              <w:rPr>
                <w:rFonts w:hint="eastAsia"/>
                <w:vertAlign w:val="baseline"/>
                <w:lang w:val="en-US" w:eastAsia="zh-CN"/>
              </w:rPr>
              <w:br w:type="textWrapping"/>
            </w:r>
            <w:r>
              <w:rPr>
                <w:rFonts w:hint="eastAsia"/>
                <w:vertAlign w:val="baseline"/>
                <w:lang w:val="en-US" w:eastAsia="zh-CN"/>
              </w:rPr>
              <w:t>19.体重管理及控制目标：按照预先选择的国际/国内2种体重增长标准，依据孕前BMI，结合检测者的所处孕周个性化的出具孕期体重增长范围曲线，孕期体重增长建议（每周体重适宜增长范围，目前整体体重增长情况，不同时期体重增长建议）；</w:t>
            </w:r>
            <w:r>
              <w:rPr>
                <w:rFonts w:hint="eastAsia"/>
                <w:vertAlign w:val="baseline"/>
                <w:lang w:val="en-US" w:eastAsia="zh-CN"/>
              </w:rPr>
              <w:br w:type="textWrapping"/>
            </w:r>
            <w:r>
              <w:rPr>
                <w:rFonts w:hint="eastAsia"/>
                <w:vertAlign w:val="baseline"/>
                <w:lang w:val="en-US" w:eastAsia="zh-CN"/>
              </w:rPr>
              <w:t>20.怡家营养大师|孕妇版分为用户端与医生端，检测者可以更方便快捷的与本系统联动进行家中营养管理。个体营养检测分析仪可通过高精度扫码枪，扫描电子二维码进行数据采集（膳食记录数据、运动记录数据、实验室数据记录），并对数据调查结果进行分析与预警。对接微信小程序“怡家营养大师|孕妇版”，实现检测者家中膳食、运动方式、实验室检查、血糖、血压、体重的记录与指导，帮助医生对检测者的院内外营养管理建立互动平台。</w:t>
            </w:r>
            <w:r>
              <w:rPr>
                <w:rFonts w:hint="eastAsia"/>
                <w:vertAlign w:val="baseline"/>
                <w:lang w:val="en-US" w:eastAsia="zh-CN"/>
              </w:rPr>
              <w:br w:type="textWrapping"/>
            </w:r>
            <w:r>
              <w:rPr>
                <w:rFonts w:hint="eastAsia"/>
                <w:vertAlign w:val="baseline"/>
                <w:lang w:val="en-US" w:eastAsia="zh-CN"/>
              </w:rPr>
              <w:t>21.含工作站（主机（CPU i5 / 8G内存/1T硬盘；显示器：≥21.5英寸；无线路由器），彩色打印机，营养门诊标准化设施，桌椅，无线终端录入、展示柜、室内布局、墙上宣传挂图等。</w:t>
            </w:r>
            <w:r>
              <w:rPr>
                <w:rFonts w:hint="eastAsia"/>
                <w:vertAlign w:val="baseline"/>
                <w:lang w:val="en-US" w:eastAsia="zh-CN"/>
              </w:rPr>
              <w:br w:type="textWrapping"/>
            </w:r>
            <w:r>
              <w:rPr>
                <w:rFonts w:hint="eastAsia"/>
                <w:vertAlign w:val="baseline"/>
                <w:lang w:val="en-US" w:eastAsia="zh-CN"/>
              </w:rPr>
              <w:t>*22.出具产品的检查报告样式，需显示以上12-16条参数内容.</w:t>
            </w:r>
            <w:r>
              <w:rPr>
                <w:rFonts w:hint="eastAsia"/>
                <w:vertAlign w:val="baseline"/>
                <w:lang w:val="en-US" w:eastAsia="zh-CN"/>
              </w:rPr>
              <w:br w:type="textWrapping"/>
            </w:r>
            <w:r>
              <w:rPr>
                <w:rFonts w:hint="eastAsia"/>
                <w:vertAlign w:val="baseline"/>
                <w:lang w:val="en-US" w:eastAsia="zh-CN"/>
              </w:rPr>
              <w:t>23.国产设备，具备二类医疗器械注册证（注明适用人群），硬件设备和软件需同一品牌。</w:t>
            </w:r>
          </w:p>
        </w:tc>
        <w:tc>
          <w:tcPr>
            <w:tcW w:w="600" w:type="dxa"/>
            <w:vAlign w:val="center"/>
          </w:tcPr>
          <w:p>
            <w:pPr>
              <w:jc w:val="center"/>
              <w:rPr>
                <w:rFonts w:hint="default"/>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trPr>
        <w:tc>
          <w:tcPr>
            <w:tcW w:w="948" w:type="dxa"/>
            <w:vAlign w:val="center"/>
          </w:tcPr>
          <w:p>
            <w:pPr>
              <w:jc w:val="center"/>
              <w:rPr>
                <w:rFonts w:hint="default"/>
                <w:vertAlign w:val="baseline"/>
                <w:lang w:val="en-US" w:eastAsia="zh-CN"/>
              </w:rPr>
            </w:pPr>
            <w:r>
              <w:rPr>
                <w:rFonts w:hint="eastAsia"/>
                <w:vertAlign w:val="baseline"/>
                <w:lang w:val="en-US" w:eastAsia="zh-CN"/>
              </w:rPr>
              <w:t>3</w:t>
            </w:r>
          </w:p>
        </w:tc>
        <w:tc>
          <w:tcPr>
            <w:tcW w:w="1108" w:type="dxa"/>
            <w:vAlign w:val="center"/>
          </w:tcPr>
          <w:p>
            <w:pPr>
              <w:jc w:val="center"/>
              <w:rPr>
                <w:rFonts w:hint="eastAsia"/>
                <w:vertAlign w:val="baseline"/>
                <w:lang w:val="en-US" w:eastAsia="zh-CN"/>
              </w:rPr>
            </w:pPr>
            <w:r>
              <w:rPr>
                <w:rFonts w:hint="eastAsia"/>
                <w:vertAlign w:val="baseline"/>
                <w:lang w:val="en-US" w:eastAsia="zh-CN"/>
              </w:rPr>
              <w:t>永磁旋振治疗仪</w:t>
            </w:r>
          </w:p>
        </w:tc>
        <w:tc>
          <w:tcPr>
            <w:tcW w:w="6690" w:type="dxa"/>
            <w:vAlign w:val="top"/>
          </w:tcPr>
          <w:p>
            <w:pPr>
              <w:jc w:val="both"/>
              <w:rPr>
                <w:rFonts w:hint="eastAsia"/>
                <w:vertAlign w:val="baseline"/>
                <w:lang w:val="en-US" w:eastAsia="zh-CN"/>
              </w:rPr>
            </w:pPr>
            <w:r>
              <w:rPr>
                <w:rFonts w:hint="eastAsia"/>
                <w:vertAlign w:val="baseline"/>
                <w:lang w:val="en-US" w:eastAsia="zh-CN"/>
              </w:rPr>
              <w:t>1、  安全分类：</w:t>
            </w:r>
          </w:p>
          <w:p>
            <w:pPr>
              <w:jc w:val="both"/>
              <w:rPr>
                <w:rFonts w:hint="eastAsia"/>
                <w:vertAlign w:val="baseline"/>
                <w:lang w:val="en-US" w:eastAsia="zh-CN"/>
              </w:rPr>
            </w:pPr>
            <w:r>
              <w:rPr>
                <w:rFonts w:hint="eastAsia"/>
                <w:vertAlign w:val="baseline"/>
                <w:lang w:val="en-US" w:eastAsia="zh-CN"/>
              </w:rPr>
              <w:t>1.1防电击类型：I类设备</w:t>
            </w:r>
          </w:p>
          <w:p>
            <w:pPr>
              <w:jc w:val="both"/>
              <w:rPr>
                <w:rFonts w:hint="eastAsia"/>
                <w:vertAlign w:val="baseline"/>
                <w:lang w:val="en-US" w:eastAsia="zh-CN"/>
              </w:rPr>
            </w:pPr>
            <w:r>
              <w:rPr>
                <w:rFonts w:hint="eastAsia"/>
                <w:vertAlign w:val="baseline"/>
                <w:lang w:val="en-US" w:eastAsia="zh-CN"/>
              </w:rPr>
              <w:t xml:space="preserve">    1.2 防电击程度：BF型</w:t>
            </w:r>
          </w:p>
          <w:p>
            <w:pPr>
              <w:jc w:val="both"/>
              <w:rPr>
                <w:rFonts w:hint="eastAsia"/>
                <w:vertAlign w:val="baseline"/>
                <w:lang w:val="en-US" w:eastAsia="zh-CN"/>
              </w:rPr>
            </w:pPr>
            <w:r>
              <w:rPr>
                <w:rFonts w:hint="eastAsia"/>
                <w:vertAlign w:val="baseline"/>
                <w:lang w:val="en-US" w:eastAsia="zh-CN"/>
              </w:rPr>
              <w:t>2、电源：交流220V±22V，50Ｈz±1Hz</w:t>
            </w:r>
          </w:p>
          <w:p>
            <w:pPr>
              <w:jc w:val="both"/>
              <w:rPr>
                <w:rFonts w:hint="eastAsia"/>
                <w:vertAlign w:val="baseline"/>
                <w:lang w:val="en-US" w:eastAsia="zh-CN"/>
              </w:rPr>
            </w:pPr>
            <w:r>
              <w:rPr>
                <w:rFonts w:hint="eastAsia"/>
                <w:vertAlign w:val="baseline"/>
                <w:lang w:val="en-US" w:eastAsia="zh-CN"/>
              </w:rPr>
              <w:t>3、环境温度:  5℃~40℃； 相对湿度: 10％~ 90%</w:t>
            </w:r>
          </w:p>
          <w:p>
            <w:pPr>
              <w:jc w:val="both"/>
              <w:rPr>
                <w:rFonts w:hint="eastAsia"/>
                <w:vertAlign w:val="baseline"/>
                <w:lang w:val="en-US" w:eastAsia="zh-CN"/>
              </w:rPr>
            </w:pPr>
            <w:r>
              <w:rPr>
                <w:rFonts w:hint="eastAsia"/>
                <w:vertAlign w:val="baseline"/>
                <w:lang w:val="en-US" w:eastAsia="zh-CN"/>
              </w:rPr>
              <w:t>4、功率消耗：不大于58VA。</w:t>
            </w:r>
          </w:p>
          <w:p>
            <w:pPr>
              <w:jc w:val="both"/>
              <w:rPr>
                <w:rFonts w:hint="eastAsia"/>
                <w:vertAlign w:val="baseline"/>
                <w:lang w:val="en-US" w:eastAsia="zh-CN"/>
              </w:rPr>
            </w:pPr>
            <w:r>
              <w:rPr>
                <w:rFonts w:hint="eastAsia"/>
                <w:vertAlign w:val="baseline"/>
                <w:lang w:val="en-US" w:eastAsia="zh-CN"/>
              </w:rPr>
              <w:t>5、定时: 20min。</w:t>
            </w:r>
          </w:p>
          <w:p>
            <w:pPr>
              <w:jc w:val="both"/>
              <w:rPr>
                <w:rFonts w:hint="eastAsia"/>
                <w:vertAlign w:val="baseline"/>
                <w:lang w:val="en-US" w:eastAsia="zh-CN"/>
              </w:rPr>
            </w:pPr>
            <w:r>
              <w:rPr>
                <w:rFonts w:hint="eastAsia"/>
                <w:vertAlign w:val="baseline"/>
                <w:lang w:val="en-US" w:eastAsia="zh-CN"/>
              </w:rPr>
              <w:t>6、操作：智能操作，电脑系统控制，通过身份阅读识别器智能录入患者信息，建议治疗方案。</w:t>
            </w:r>
          </w:p>
          <w:p>
            <w:pPr>
              <w:jc w:val="both"/>
              <w:rPr>
                <w:rFonts w:hint="eastAsia"/>
                <w:vertAlign w:val="baseline"/>
                <w:lang w:val="en-US" w:eastAsia="zh-CN"/>
              </w:rPr>
            </w:pPr>
            <w:r>
              <w:rPr>
                <w:rFonts w:hint="eastAsia"/>
                <w:vertAlign w:val="baseline"/>
                <w:lang w:val="en-US" w:eastAsia="zh-CN"/>
              </w:rPr>
              <w:t>7、通信方式：串口通信</w:t>
            </w:r>
          </w:p>
          <w:p>
            <w:pPr>
              <w:jc w:val="both"/>
              <w:rPr>
                <w:rFonts w:hint="eastAsia"/>
                <w:vertAlign w:val="baseline"/>
                <w:lang w:val="en-US" w:eastAsia="zh-CN"/>
              </w:rPr>
            </w:pPr>
            <w:r>
              <w:rPr>
                <w:rFonts w:hint="eastAsia"/>
                <w:vertAlign w:val="baseline"/>
                <w:lang w:val="en-US" w:eastAsia="zh-CN"/>
              </w:rPr>
              <w:t>8、振动治疗头：</w:t>
            </w:r>
          </w:p>
          <w:p>
            <w:pPr>
              <w:jc w:val="both"/>
              <w:rPr>
                <w:rFonts w:hint="eastAsia"/>
                <w:vertAlign w:val="baseline"/>
                <w:lang w:val="en-US" w:eastAsia="zh-CN"/>
              </w:rPr>
            </w:pPr>
            <w:r>
              <w:rPr>
                <w:rFonts w:hint="eastAsia"/>
                <w:vertAlign w:val="baseline"/>
                <w:lang w:val="en-US" w:eastAsia="zh-CN"/>
              </w:rPr>
              <w:t>8.1、输出波形、电压和频率：波形为正弦半波，电压4.5V±1V，频率50Hz±1Hz。</w:t>
            </w:r>
          </w:p>
          <w:p>
            <w:pPr>
              <w:jc w:val="both"/>
              <w:rPr>
                <w:rFonts w:hint="eastAsia"/>
                <w:vertAlign w:val="baseline"/>
                <w:lang w:val="en-US" w:eastAsia="zh-CN"/>
              </w:rPr>
            </w:pPr>
            <w:r>
              <w:rPr>
                <w:rFonts w:hint="eastAsia"/>
                <w:vertAlign w:val="baseline"/>
                <w:lang w:val="en-US" w:eastAsia="zh-CN"/>
              </w:rPr>
              <w:t>8.2、振动频率和振幅: 振动频率为50Hz±1Hz；振幅≥1mm。</w:t>
            </w:r>
          </w:p>
          <w:p>
            <w:pPr>
              <w:jc w:val="both"/>
              <w:rPr>
                <w:rFonts w:hint="eastAsia"/>
                <w:vertAlign w:val="baseline"/>
                <w:lang w:val="en-US" w:eastAsia="zh-CN"/>
              </w:rPr>
            </w:pPr>
            <w:r>
              <w:rPr>
                <w:rFonts w:hint="eastAsia"/>
                <w:vertAlign w:val="baseline"/>
                <w:lang w:val="en-US" w:eastAsia="zh-CN"/>
              </w:rPr>
              <w:t>8.3、磁场强度: 振动片表面中心区域（圆心周围）10mm内的磁场最强点，磁场强度为180mT±50mT。</w:t>
            </w:r>
          </w:p>
          <w:p>
            <w:pPr>
              <w:jc w:val="both"/>
              <w:rPr>
                <w:rFonts w:hint="eastAsia"/>
                <w:vertAlign w:val="baseline"/>
                <w:lang w:val="en-US" w:eastAsia="zh-CN"/>
              </w:rPr>
            </w:pPr>
            <w:r>
              <w:rPr>
                <w:rFonts w:hint="eastAsia"/>
                <w:vertAlign w:val="baseline"/>
                <w:lang w:val="en-US" w:eastAsia="zh-CN"/>
              </w:rPr>
              <w:t>8.4、温升：常温下连续工作20min，表面温度不大于41℃.</w:t>
            </w:r>
          </w:p>
          <w:p>
            <w:pPr>
              <w:jc w:val="both"/>
              <w:rPr>
                <w:rFonts w:hint="eastAsia"/>
                <w:vertAlign w:val="baseline"/>
                <w:lang w:val="en-US" w:eastAsia="zh-CN"/>
              </w:rPr>
            </w:pPr>
            <w:r>
              <w:rPr>
                <w:rFonts w:hint="eastAsia"/>
                <w:vertAlign w:val="baseline"/>
                <w:lang w:val="en-US" w:eastAsia="zh-CN"/>
              </w:rPr>
              <w:t>9、旋转治疗头：</w:t>
            </w:r>
          </w:p>
          <w:p>
            <w:pPr>
              <w:jc w:val="both"/>
              <w:rPr>
                <w:rFonts w:hint="eastAsia"/>
                <w:vertAlign w:val="baseline"/>
                <w:lang w:val="en-US" w:eastAsia="zh-CN"/>
              </w:rPr>
            </w:pPr>
            <w:r>
              <w:rPr>
                <w:rFonts w:hint="eastAsia"/>
                <w:vertAlign w:val="baseline"/>
                <w:lang w:val="en-US" w:eastAsia="zh-CN"/>
              </w:rPr>
              <w:t>9.1、输出波形、电压和频率：波形为正弦半波，电压1.5V±0.5V，频率50Hz±1Hz。</w:t>
            </w:r>
          </w:p>
          <w:p>
            <w:pPr>
              <w:jc w:val="both"/>
              <w:rPr>
                <w:rFonts w:hint="eastAsia"/>
                <w:vertAlign w:val="baseline"/>
                <w:lang w:val="en-US" w:eastAsia="zh-CN"/>
              </w:rPr>
            </w:pPr>
            <w:r>
              <w:rPr>
                <w:rFonts w:hint="eastAsia"/>
                <w:vertAlign w:val="baseline"/>
                <w:lang w:val="en-US" w:eastAsia="zh-CN"/>
              </w:rPr>
              <w:t>9.2、磁场强度：静止状态下距顶端5mm周围（紧贴外壳表面）的磁场最强点，磁场强度为30mT±5mT。</w:t>
            </w:r>
          </w:p>
          <w:p>
            <w:pPr>
              <w:jc w:val="both"/>
              <w:rPr>
                <w:rFonts w:hint="eastAsia"/>
                <w:vertAlign w:val="baseline"/>
                <w:lang w:val="en-US" w:eastAsia="zh-CN"/>
              </w:rPr>
            </w:pPr>
            <w:r>
              <w:rPr>
                <w:rFonts w:hint="eastAsia"/>
                <w:vertAlign w:val="baseline"/>
                <w:lang w:val="en-US" w:eastAsia="zh-CN"/>
              </w:rPr>
              <w:t>9.3、电机转速：不低于3500转/分。</w:t>
            </w:r>
          </w:p>
          <w:p>
            <w:pPr>
              <w:jc w:val="both"/>
              <w:rPr>
                <w:rFonts w:hint="eastAsia"/>
                <w:vertAlign w:val="baseline"/>
                <w:lang w:val="en-US" w:eastAsia="zh-CN"/>
              </w:rPr>
            </w:pPr>
            <w:r>
              <w:rPr>
                <w:rFonts w:hint="eastAsia"/>
                <w:vertAlign w:val="baseline"/>
                <w:lang w:val="en-US" w:eastAsia="zh-CN"/>
              </w:rPr>
              <w:t>一套办公桌、档案柜、治疗床</w:t>
            </w:r>
          </w:p>
        </w:tc>
        <w:tc>
          <w:tcPr>
            <w:tcW w:w="600" w:type="dxa"/>
            <w:vAlign w:val="center"/>
          </w:tcPr>
          <w:p>
            <w:pPr>
              <w:jc w:val="center"/>
              <w:rPr>
                <w:rFonts w:hint="default"/>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0" w:hRule="atLeast"/>
        </w:trPr>
        <w:tc>
          <w:tcPr>
            <w:tcW w:w="948" w:type="dxa"/>
            <w:vAlign w:val="center"/>
          </w:tcPr>
          <w:p>
            <w:pPr>
              <w:jc w:val="center"/>
              <w:rPr>
                <w:rFonts w:hint="default"/>
                <w:vertAlign w:val="baseline"/>
                <w:lang w:val="en-US" w:eastAsia="zh-CN"/>
              </w:rPr>
            </w:pPr>
            <w:r>
              <w:rPr>
                <w:rFonts w:hint="eastAsia"/>
                <w:vertAlign w:val="baseline"/>
                <w:lang w:val="en-US" w:eastAsia="zh-CN"/>
              </w:rPr>
              <w:t>4</w:t>
            </w:r>
          </w:p>
        </w:tc>
        <w:tc>
          <w:tcPr>
            <w:tcW w:w="1108" w:type="dxa"/>
            <w:vAlign w:val="center"/>
          </w:tcPr>
          <w:p>
            <w:pPr>
              <w:jc w:val="center"/>
              <w:rPr>
                <w:rFonts w:hint="eastAsia"/>
                <w:vertAlign w:val="baseline"/>
                <w:lang w:val="en-US" w:eastAsia="zh-CN"/>
              </w:rPr>
            </w:pPr>
            <w:r>
              <w:rPr>
                <w:rFonts w:hint="eastAsia"/>
                <w:vertAlign w:val="baseline"/>
                <w:lang w:val="en-US" w:eastAsia="zh-CN"/>
              </w:rPr>
              <w:t>南丁格尔乳腺治疗仪</w:t>
            </w:r>
          </w:p>
        </w:tc>
        <w:tc>
          <w:tcPr>
            <w:tcW w:w="6690" w:type="dxa"/>
            <w:vAlign w:val="top"/>
          </w:tcPr>
          <w:p>
            <w:pPr>
              <w:jc w:val="both"/>
              <w:rPr>
                <w:rFonts w:hint="eastAsia"/>
                <w:vertAlign w:val="baseline"/>
                <w:lang w:val="en-US" w:eastAsia="zh-CN"/>
              </w:rPr>
            </w:pPr>
            <w:r>
              <w:rPr>
                <w:rFonts w:hint="eastAsia"/>
                <w:vertAlign w:val="baseline"/>
                <w:lang w:val="en-US" w:eastAsia="zh-CN"/>
              </w:rPr>
              <w:t xml:space="preserve">工作条件： </w:t>
            </w:r>
            <w:r>
              <w:rPr>
                <w:rFonts w:hint="eastAsia"/>
                <w:vertAlign w:val="baseline"/>
                <w:lang w:val="en-US" w:eastAsia="zh-CN"/>
              </w:rPr>
              <w:br w:type="textWrapping"/>
            </w:r>
            <w:r>
              <w:rPr>
                <w:rFonts w:hint="eastAsia"/>
                <w:vertAlign w:val="baseline"/>
                <w:lang w:val="en-US" w:eastAsia="zh-CN"/>
              </w:rPr>
              <w:t xml:space="preserve">    1.1环境温度  5℃～40℃；</w:t>
            </w:r>
            <w:r>
              <w:rPr>
                <w:rFonts w:hint="eastAsia"/>
                <w:vertAlign w:val="baseline"/>
                <w:lang w:val="en-US" w:eastAsia="zh-CN"/>
              </w:rPr>
              <w:br w:type="textWrapping"/>
            </w:r>
            <w:r>
              <w:rPr>
                <w:rFonts w:hint="eastAsia"/>
                <w:vertAlign w:val="baseline"/>
                <w:lang w:val="en-US" w:eastAsia="zh-CN"/>
              </w:rPr>
              <w:t xml:space="preserve">    1.2相对湿度  ≤80%；</w:t>
            </w:r>
            <w:r>
              <w:rPr>
                <w:rFonts w:hint="eastAsia"/>
                <w:vertAlign w:val="baseline"/>
                <w:lang w:val="en-US" w:eastAsia="zh-CN"/>
              </w:rPr>
              <w:br w:type="textWrapping"/>
            </w:r>
            <w:r>
              <w:rPr>
                <w:rFonts w:hint="eastAsia"/>
                <w:vertAlign w:val="baseline"/>
                <w:lang w:val="en-US" w:eastAsia="zh-CN"/>
              </w:rPr>
              <w:t xml:space="preserve">    1.3大气压力  700hPa～1060hPa；</w:t>
            </w:r>
            <w:r>
              <w:rPr>
                <w:rFonts w:hint="eastAsia"/>
                <w:vertAlign w:val="baseline"/>
                <w:lang w:val="en-US" w:eastAsia="zh-CN"/>
              </w:rPr>
              <w:br w:type="textWrapping"/>
            </w:r>
            <w:r>
              <w:rPr>
                <w:rFonts w:hint="eastAsia"/>
                <w:vertAlign w:val="baseline"/>
                <w:lang w:val="en-US" w:eastAsia="zh-CN"/>
              </w:rPr>
              <w:t xml:space="preserve">    1.4使用电源： 单相交流220V，50Hz；</w:t>
            </w:r>
            <w:r>
              <w:rPr>
                <w:rFonts w:hint="eastAsia"/>
                <w:vertAlign w:val="baseline"/>
                <w:lang w:val="en-US" w:eastAsia="zh-CN"/>
              </w:rPr>
              <w:br w:type="textWrapping"/>
            </w:r>
            <w:r>
              <w:rPr>
                <w:rFonts w:hint="eastAsia"/>
                <w:vertAlign w:val="baseline"/>
                <w:lang w:val="en-US" w:eastAsia="zh-CN"/>
              </w:rPr>
              <w:t>2．技术规格：</w:t>
            </w:r>
            <w:r>
              <w:rPr>
                <w:rFonts w:hint="eastAsia"/>
                <w:vertAlign w:val="baseline"/>
                <w:lang w:val="en-US" w:eastAsia="zh-CN"/>
              </w:rPr>
              <w:br w:type="textWrapping"/>
            </w:r>
            <w:r>
              <w:rPr>
                <w:rFonts w:hint="eastAsia"/>
                <w:vertAlign w:val="baseline"/>
                <w:lang w:val="en-US" w:eastAsia="zh-CN"/>
              </w:rPr>
              <w:t>2.1光谱范围 光谱应分布在800nm～2500nm内；</w:t>
            </w:r>
            <w:r>
              <w:rPr>
                <w:rFonts w:hint="eastAsia"/>
                <w:vertAlign w:val="baseline"/>
                <w:lang w:val="en-US" w:eastAsia="zh-CN"/>
              </w:rPr>
              <w:br w:type="textWrapping"/>
            </w:r>
            <w:r>
              <w:rPr>
                <w:rFonts w:hint="eastAsia"/>
                <w:vertAlign w:val="baseline"/>
                <w:lang w:val="en-US" w:eastAsia="zh-CN"/>
              </w:rPr>
              <w:t>★2.2红外探头温度 分三档，强档50℃、中档45℃、弱档41℃，误差±2℃；固定贴身电极温度：40℃±2℃</w:t>
            </w:r>
            <w:r>
              <w:rPr>
                <w:rFonts w:hint="eastAsia"/>
                <w:vertAlign w:val="baseline"/>
                <w:lang w:val="en-US" w:eastAsia="zh-CN"/>
              </w:rPr>
              <w:br w:type="textWrapping"/>
            </w:r>
            <w:r>
              <w:rPr>
                <w:rFonts w:hint="eastAsia"/>
                <w:vertAlign w:val="baseline"/>
                <w:lang w:val="en-US" w:eastAsia="zh-CN"/>
              </w:rPr>
              <w:t>2.3可以调节红外输出强度</w:t>
            </w:r>
            <w:r>
              <w:rPr>
                <w:rFonts w:hint="eastAsia"/>
                <w:vertAlign w:val="baseline"/>
                <w:lang w:val="en-US" w:eastAsia="zh-CN"/>
              </w:rPr>
              <w:br w:type="textWrapping"/>
            </w:r>
            <w:r>
              <w:rPr>
                <w:rFonts w:hint="eastAsia"/>
                <w:vertAlign w:val="baseline"/>
                <w:lang w:val="en-US" w:eastAsia="zh-CN"/>
              </w:rPr>
              <w:t>2.4定时时间：</w:t>
            </w:r>
            <w:r>
              <w:rPr>
                <w:rFonts w:hint="eastAsia"/>
                <w:vertAlign w:val="baseline"/>
                <w:lang w:val="en-US" w:eastAsia="zh-CN"/>
              </w:rPr>
              <w:br w:type="textWrapping"/>
            </w:r>
            <w:r>
              <w:rPr>
                <w:rFonts w:hint="eastAsia"/>
                <w:vertAlign w:val="baseline"/>
                <w:lang w:val="en-US" w:eastAsia="zh-CN"/>
              </w:rPr>
              <w:t>乳房：40分钟、60分钟、80分钟，可选择。</w:t>
            </w:r>
            <w:r>
              <w:rPr>
                <w:rFonts w:hint="eastAsia"/>
                <w:vertAlign w:val="baseline"/>
                <w:lang w:val="en-US" w:eastAsia="zh-CN"/>
              </w:rPr>
              <w:br w:type="textWrapping"/>
            </w:r>
            <w:r>
              <w:rPr>
                <w:rFonts w:hint="eastAsia"/>
                <w:vertAlign w:val="baseline"/>
                <w:lang w:val="en-US" w:eastAsia="zh-CN"/>
              </w:rPr>
              <w:t>腹部：20分钟、30分钟、40分钟，可选择。</w:t>
            </w:r>
            <w:r>
              <w:rPr>
                <w:rFonts w:hint="eastAsia"/>
                <w:vertAlign w:val="baseline"/>
                <w:lang w:val="en-US" w:eastAsia="zh-CN"/>
              </w:rPr>
              <w:br w:type="textWrapping"/>
            </w:r>
            <w:r>
              <w:rPr>
                <w:rFonts w:hint="eastAsia"/>
                <w:vertAlign w:val="baseline"/>
                <w:lang w:val="en-US" w:eastAsia="zh-CN"/>
              </w:rPr>
              <w:t>2.5连续工作时间：不少于12小时</w:t>
            </w:r>
            <w:r>
              <w:rPr>
                <w:rFonts w:hint="eastAsia"/>
                <w:vertAlign w:val="baseline"/>
                <w:lang w:val="en-US" w:eastAsia="zh-CN"/>
              </w:rPr>
              <w:br w:type="textWrapping"/>
            </w:r>
            <w:r>
              <w:rPr>
                <w:rFonts w:hint="eastAsia"/>
                <w:vertAlign w:val="baseline"/>
                <w:lang w:val="en-US" w:eastAsia="zh-CN"/>
              </w:rPr>
              <w:t xml:space="preserve">3. 基本配置： </w:t>
            </w:r>
            <w:r>
              <w:rPr>
                <w:rFonts w:hint="eastAsia"/>
                <w:vertAlign w:val="baseline"/>
                <w:lang w:val="en-US" w:eastAsia="zh-CN"/>
              </w:rPr>
              <w:br w:type="textWrapping"/>
            </w:r>
            <w:r>
              <w:rPr>
                <w:rFonts w:hint="eastAsia"/>
                <w:vertAlign w:val="baseline"/>
                <w:lang w:val="en-US" w:eastAsia="zh-CN"/>
              </w:rPr>
              <w:t>3.1微电脑模拟控制，结合中医基础理论，通配穴方法全方位对催乳通乳、乳腺炎及常见乳腺良性病进行治疗，效果显著，见效快，并被国家中医药管理局科技开发交流中心列为乳腺治疗重点推广项目。</w:t>
            </w:r>
            <w:r>
              <w:rPr>
                <w:rFonts w:hint="eastAsia"/>
                <w:vertAlign w:val="baseline"/>
                <w:lang w:val="en-US" w:eastAsia="zh-CN"/>
              </w:rPr>
              <w:br w:type="textWrapping"/>
            </w:r>
            <w:r>
              <w:rPr>
                <w:rFonts w:hint="eastAsia"/>
                <w:vertAlign w:val="baseline"/>
                <w:lang w:val="en-US" w:eastAsia="zh-CN"/>
              </w:rPr>
              <w:t xml:space="preserve"> 3.2主机、1个移动红外探头、1个固定贴身电极，患者可自助治疗，减轻医生的工作负担，提高效率。</w:t>
            </w:r>
            <w:r>
              <w:rPr>
                <w:rFonts w:hint="eastAsia"/>
                <w:vertAlign w:val="baseline"/>
                <w:lang w:val="en-US" w:eastAsia="zh-CN"/>
              </w:rPr>
              <w:br w:type="textWrapping"/>
            </w:r>
            <w:r>
              <w:rPr>
                <w:rFonts w:hint="eastAsia"/>
                <w:vertAlign w:val="baseline"/>
                <w:lang w:val="en-US" w:eastAsia="zh-CN"/>
              </w:rPr>
              <w:t>3.3两路独立输出（1路输出红外探头电极、1路输出固定贴身电极）旋钮调节。</w:t>
            </w:r>
            <w:r>
              <w:rPr>
                <w:rFonts w:hint="eastAsia"/>
                <w:vertAlign w:val="baseline"/>
                <w:lang w:val="en-US" w:eastAsia="zh-CN"/>
              </w:rPr>
              <w:br w:type="textWrapping"/>
            </w:r>
            <w:r>
              <w:rPr>
                <w:rFonts w:hint="eastAsia"/>
                <w:vertAlign w:val="baseline"/>
                <w:lang w:val="en-US" w:eastAsia="zh-CN"/>
              </w:rPr>
              <w:t>3.4四种治疗方案，可供选择，根据不同的病情选择不同的处方。</w:t>
            </w:r>
            <w:r>
              <w:rPr>
                <w:rFonts w:hint="eastAsia"/>
                <w:vertAlign w:val="baseline"/>
                <w:lang w:val="en-US" w:eastAsia="zh-CN"/>
              </w:rPr>
              <w:br w:type="textWrapping"/>
            </w:r>
            <w:r>
              <w:rPr>
                <w:rFonts w:hint="eastAsia"/>
                <w:vertAlign w:val="baseline"/>
                <w:lang w:val="en-US" w:eastAsia="zh-CN"/>
              </w:rPr>
              <w:t>3.5仪器操作面采用薄膜键盘和超清晰低功耗宽视野的中文液晶显示屏，可显示时间、光强、波形、部位、穴位、中科包络波大小，使操作更简单、直观。</w:t>
            </w:r>
            <w:r>
              <w:rPr>
                <w:rFonts w:hint="eastAsia"/>
                <w:vertAlign w:val="baseline"/>
                <w:lang w:val="en-US" w:eastAsia="zh-CN"/>
              </w:rPr>
              <w:br w:type="textWrapping"/>
            </w:r>
            <w:r>
              <w:rPr>
                <w:rFonts w:hint="eastAsia"/>
                <w:vertAlign w:val="baseline"/>
                <w:lang w:val="en-US" w:eastAsia="zh-CN"/>
              </w:rPr>
              <w:t>3.6 部位选择设置；乳房、腹部。</w:t>
            </w:r>
            <w:r>
              <w:rPr>
                <w:rFonts w:hint="eastAsia"/>
                <w:vertAlign w:val="baseline"/>
                <w:lang w:val="en-US" w:eastAsia="zh-CN"/>
              </w:rPr>
              <w:br w:type="textWrapping"/>
            </w:r>
            <w:r>
              <w:rPr>
                <w:rFonts w:hint="eastAsia"/>
                <w:vertAlign w:val="baseline"/>
                <w:lang w:val="en-US" w:eastAsia="zh-CN"/>
              </w:rPr>
              <w:t xml:space="preserve">★4.输出电压 </w:t>
            </w:r>
            <w:r>
              <w:rPr>
                <w:rFonts w:hint="eastAsia"/>
                <w:vertAlign w:val="baseline"/>
                <w:lang w:val="en-US" w:eastAsia="zh-CN"/>
              </w:rPr>
              <w:br w:type="textWrapping"/>
            </w:r>
            <w:r>
              <w:rPr>
                <w:rFonts w:hint="eastAsia"/>
                <w:vertAlign w:val="baseline"/>
                <w:lang w:val="en-US" w:eastAsia="zh-CN"/>
              </w:rPr>
              <w:t>可以调节输出电压强度</w:t>
            </w:r>
            <w:r>
              <w:rPr>
                <w:rFonts w:hint="eastAsia"/>
                <w:vertAlign w:val="baseline"/>
                <w:lang w:val="en-US" w:eastAsia="zh-CN"/>
              </w:rPr>
              <w:br w:type="textWrapping"/>
            </w:r>
            <w:r>
              <w:rPr>
                <w:rFonts w:hint="eastAsia"/>
                <w:vertAlign w:val="baseline"/>
                <w:lang w:val="en-US" w:eastAsia="zh-CN"/>
              </w:rPr>
              <w:t xml:space="preserve"> 输出电压 A波：探头电极：0～20V分级可调 (负载阻抗500时峰-峰值,满幅误差±15%)</w:t>
            </w:r>
            <w:r>
              <w:rPr>
                <w:rFonts w:hint="eastAsia"/>
                <w:vertAlign w:val="baseline"/>
                <w:lang w:val="en-US" w:eastAsia="zh-CN"/>
              </w:rPr>
              <w:br w:type="textWrapping"/>
            </w:r>
            <w:r>
              <w:rPr>
                <w:rFonts w:hint="eastAsia"/>
                <w:vertAlign w:val="baseline"/>
                <w:lang w:val="en-US" w:eastAsia="zh-CN"/>
              </w:rPr>
              <w:t>固定电极：0～30V分级可调 (负载阻抗500时峰-峰值, 满幅误差±15%)</w:t>
            </w:r>
            <w:r>
              <w:rPr>
                <w:rFonts w:hint="eastAsia"/>
                <w:vertAlign w:val="baseline"/>
                <w:lang w:val="en-US" w:eastAsia="zh-CN"/>
              </w:rPr>
              <w:br w:type="textWrapping"/>
            </w:r>
            <w:r>
              <w:rPr>
                <w:rFonts w:hint="eastAsia"/>
                <w:vertAlign w:val="baseline"/>
                <w:lang w:val="en-US" w:eastAsia="zh-CN"/>
              </w:rPr>
              <w:t xml:space="preserve"> B波：探头电极：0～35V分级可调 (负载阻抗500时峰-峰值, 满幅误差±15%)</w:t>
            </w:r>
            <w:r>
              <w:rPr>
                <w:rFonts w:hint="eastAsia"/>
                <w:vertAlign w:val="baseline"/>
                <w:lang w:val="en-US" w:eastAsia="zh-CN"/>
              </w:rPr>
              <w:br w:type="textWrapping"/>
            </w:r>
            <w:r>
              <w:rPr>
                <w:rFonts w:hint="eastAsia"/>
                <w:vertAlign w:val="baseline"/>
                <w:lang w:val="en-US" w:eastAsia="zh-CN"/>
              </w:rPr>
              <w:t>固定电极：0～55V分级可调 (负载阻抗500时峰-峰值, 满幅误差±15%)</w:t>
            </w:r>
            <w:r>
              <w:rPr>
                <w:rFonts w:hint="eastAsia"/>
                <w:vertAlign w:val="baseline"/>
                <w:lang w:val="en-US" w:eastAsia="zh-CN"/>
              </w:rPr>
              <w:br w:type="textWrapping"/>
            </w:r>
            <w:r>
              <w:rPr>
                <w:rFonts w:hint="eastAsia"/>
                <w:vertAlign w:val="baseline"/>
                <w:lang w:val="en-US" w:eastAsia="zh-CN"/>
              </w:rPr>
              <w:t xml:space="preserve"> C波：探头电极：0～25V分级可调 (负载阻抗500时峰-峰值, 满幅误差±15%)</w:t>
            </w:r>
            <w:r>
              <w:rPr>
                <w:rFonts w:hint="eastAsia"/>
                <w:vertAlign w:val="baseline"/>
                <w:lang w:val="en-US" w:eastAsia="zh-CN"/>
              </w:rPr>
              <w:br w:type="textWrapping"/>
            </w:r>
            <w:r>
              <w:rPr>
                <w:rFonts w:hint="eastAsia"/>
                <w:vertAlign w:val="baseline"/>
                <w:lang w:val="en-US" w:eastAsia="zh-CN"/>
              </w:rPr>
              <w:t>固定电极：0～45V分级可调 (负载阻抗500时峰-峰值, 满幅误差±15%)</w:t>
            </w:r>
            <w:r>
              <w:rPr>
                <w:rFonts w:hint="eastAsia"/>
                <w:vertAlign w:val="baseline"/>
                <w:lang w:val="en-US" w:eastAsia="zh-CN"/>
              </w:rPr>
              <w:br w:type="textWrapping"/>
            </w:r>
            <w:r>
              <w:rPr>
                <w:rFonts w:hint="eastAsia"/>
                <w:vertAlign w:val="baseline"/>
                <w:lang w:val="en-US" w:eastAsia="zh-CN"/>
              </w:rPr>
              <w:t xml:space="preserve"> 输出参数随波形实时变化，输出电压值与对应波形电压峰-峰值范围相同。</w:t>
            </w:r>
            <w:r>
              <w:rPr>
                <w:rFonts w:hint="eastAsia"/>
                <w:vertAlign w:val="baseline"/>
                <w:lang w:val="en-US" w:eastAsia="zh-CN"/>
              </w:rPr>
              <w:br w:type="textWrapping"/>
            </w:r>
            <w:r>
              <w:rPr>
                <w:rFonts w:hint="eastAsia"/>
                <w:vertAlign w:val="baseline"/>
                <w:lang w:val="en-US" w:eastAsia="zh-CN"/>
              </w:rPr>
              <w:t xml:space="preserve">★5.输出波形 </w:t>
            </w:r>
            <w:r>
              <w:rPr>
                <w:rFonts w:hint="eastAsia"/>
                <w:vertAlign w:val="baseline"/>
                <w:lang w:val="en-US" w:eastAsia="zh-CN"/>
              </w:rPr>
              <w:br w:type="textWrapping"/>
            </w:r>
            <w:r>
              <w:rPr>
                <w:rFonts w:hint="eastAsia"/>
                <w:vertAlign w:val="baseline"/>
                <w:lang w:val="en-US" w:eastAsia="zh-CN"/>
              </w:rPr>
              <w:t>a）A波</w:t>
            </w:r>
            <w:r>
              <w:rPr>
                <w:rFonts w:hint="eastAsia"/>
                <w:vertAlign w:val="baseline"/>
                <w:lang w:val="en-US" w:eastAsia="zh-CN"/>
              </w:rPr>
              <w:br w:type="textWrapping"/>
            </w:r>
            <w:r>
              <w:rPr>
                <w:rFonts w:hint="eastAsia"/>
                <w:vertAlign w:val="baseline"/>
                <w:lang w:val="en-US" w:eastAsia="zh-CN"/>
              </w:rPr>
              <w:t>近似三角波调幅的基波脉冲组合，调幅包络周期2.3S，误差±15％；基波脉宽320μs，误差±15％。</w:t>
            </w:r>
            <w:r>
              <w:rPr>
                <w:rFonts w:hint="eastAsia"/>
                <w:vertAlign w:val="baseline"/>
                <w:lang w:val="en-US" w:eastAsia="zh-CN"/>
              </w:rPr>
              <w:br w:type="textWrapping"/>
            </w:r>
            <w:r>
              <w:rPr>
                <w:rFonts w:hint="eastAsia"/>
                <w:vertAlign w:val="baseline"/>
                <w:lang w:val="en-US" w:eastAsia="zh-CN"/>
              </w:rPr>
              <w:t xml:space="preserve"> b）B波</w:t>
            </w:r>
            <w:r>
              <w:rPr>
                <w:rFonts w:hint="eastAsia"/>
                <w:vertAlign w:val="baseline"/>
                <w:lang w:val="en-US" w:eastAsia="zh-CN"/>
              </w:rPr>
              <w:br w:type="textWrapping"/>
            </w:r>
            <w:r>
              <w:rPr>
                <w:rFonts w:hint="eastAsia"/>
                <w:vertAlign w:val="baseline"/>
                <w:lang w:val="en-US" w:eastAsia="zh-CN"/>
              </w:rPr>
              <w:t>频率800Hz，误差±15%；脉宽625μs，误差±10%；</w:t>
            </w:r>
            <w:r>
              <w:rPr>
                <w:rFonts w:hint="eastAsia"/>
                <w:vertAlign w:val="baseline"/>
                <w:lang w:val="en-US" w:eastAsia="zh-CN"/>
              </w:rPr>
              <w:br w:type="textWrapping"/>
            </w:r>
            <w:r>
              <w:rPr>
                <w:rFonts w:hint="eastAsia"/>
                <w:vertAlign w:val="baseline"/>
                <w:lang w:val="en-US" w:eastAsia="zh-CN"/>
              </w:rPr>
              <w:t>调制波频率50Hz～400Hz，高低端点频率误差±18%；</w:t>
            </w:r>
            <w:r>
              <w:rPr>
                <w:rFonts w:hint="eastAsia"/>
                <w:vertAlign w:val="baseline"/>
                <w:lang w:val="en-US" w:eastAsia="zh-CN"/>
              </w:rPr>
              <w:br w:type="textWrapping"/>
            </w:r>
            <w:r>
              <w:rPr>
                <w:rFonts w:hint="eastAsia"/>
                <w:vertAlign w:val="baseline"/>
                <w:lang w:val="en-US" w:eastAsia="zh-CN"/>
              </w:rPr>
              <w:t>调制波脉宽1.25ms～10ms，高低端点脉宽误差±18%。</w:t>
            </w:r>
            <w:r>
              <w:rPr>
                <w:rFonts w:hint="eastAsia"/>
                <w:vertAlign w:val="baseline"/>
                <w:lang w:val="en-US" w:eastAsia="zh-CN"/>
              </w:rPr>
              <w:br w:type="textWrapping"/>
            </w:r>
            <w:r>
              <w:rPr>
                <w:rFonts w:hint="eastAsia"/>
                <w:vertAlign w:val="baseline"/>
                <w:lang w:val="en-US" w:eastAsia="zh-CN"/>
              </w:rPr>
              <w:t xml:space="preserve"> c) C波</w:t>
            </w:r>
            <w:r>
              <w:rPr>
                <w:rFonts w:hint="eastAsia"/>
                <w:vertAlign w:val="baseline"/>
                <w:lang w:val="en-US" w:eastAsia="zh-CN"/>
              </w:rPr>
              <w:br w:type="textWrapping"/>
            </w:r>
            <w:r>
              <w:rPr>
                <w:rFonts w:hint="eastAsia"/>
                <w:vertAlign w:val="baseline"/>
                <w:lang w:val="en-US" w:eastAsia="zh-CN"/>
              </w:rPr>
              <w:t xml:space="preserve">发出不等幅脉冲串，脉冲频率2.5kHz，误差±15%；串间隔0.4s, 误差±15%； </w:t>
            </w:r>
            <w:r>
              <w:rPr>
                <w:rFonts w:hint="eastAsia"/>
                <w:vertAlign w:val="baseline"/>
                <w:lang w:val="en-US" w:eastAsia="zh-CN"/>
              </w:rPr>
              <w:br w:type="textWrapping"/>
            </w:r>
            <w:r>
              <w:rPr>
                <w:rFonts w:hint="eastAsia"/>
                <w:vertAlign w:val="baseline"/>
                <w:lang w:val="en-US" w:eastAsia="zh-CN"/>
              </w:rPr>
              <w:t>其中短波串持续0.1s,误差±15%；</w:t>
            </w:r>
            <w:r>
              <w:rPr>
                <w:rFonts w:hint="eastAsia"/>
                <w:vertAlign w:val="baseline"/>
                <w:lang w:val="en-US" w:eastAsia="zh-CN"/>
              </w:rPr>
              <w:br w:type="textWrapping"/>
            </w:r>
            <w:r>
              <w:rPr>
                <w:rFonts w:hint="eastAsia"/>
                <w:vertAlign w:val="baseline"/>
                <w:lang w:val="en-US" w:eastAsia="zh-CN"/>
              </w:rPr>
              <w:t>长波串持续0.8s,误差±15%。</w:t>
            </w:r>
          </w:p>
          <w:p>
            <w:pPr>
              <w:jc w:val="both"/>
              <w:rPr>
                <w:rFonts w:hint="eastAsia"/>
                <w:vertAlign w:val="baseline"/>
                <w:lang w:val="en-US" w:eastAsia="zh-CN"/>
              </w:rPr>
            </w:pPr>
            <w:r>
              <w:rPr>
                <w:rFonts w:hint="eastAsia"/>
                <w:vertAlign w:val="baseline"/>
                <w:lang w:val="en-US" w:eastAsia="zh-CN"/>
              </w:rPr>
              <w:t>6、一套办公桌、档案柜、治疗床</w:t>
            </w:r>
          </w:p>
        </w:tc>
        <w:tc>
          <w:tcPr>
            <w:tcW w:w="600" w:type="dxa"/>
            <w:vAlign w:val="center"/>
          </w:tcPr>
          <w:p>
            <w:pPr>
              <w:jc w:val="center"/>
              <w:rPr>
                <w:rFonts w:hint="default"/>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5" w:hRule="atLeast"/>
        </w:trPr>
        <w:tc>
          <w:tcPr>
            <w:tcW w:w="948" w:type="dxa"/>
            <w:vAlign w:val="center"/>
          </w:tcPr>
          <w:p>
            <w:pPr>
              <w:jc w:val="center"/>
              <w:rPr>
                <w:rFonts w:hint="default"/>
                <w:vertAlign w:val="baseline"/>
                <w:lang w:val="en-US" w:eastAsia="zh-CN"/>
              </w:rPr>
            </w:pPr>
            <w:r>
              <w:rPr>
                <w:rFonts w:hint="eastAsia"/>
                <w:vertAlign w:val="baseline"/>
                <w:lang w:val="en-US" w:eastAsia="zh-CN"/>
              </w:rPr>
              <w:t>5</w:t>
            </w:r>
          </w:p>
        </w:tc>
        <w:tc>
          <w:tcPr>
            <w:tcW w:w="1108" w:type="dxa"/>
            <w:vAlign w:val="center"/>
          </w:tcPr>
          <w:p>
            <w:pPr>
              <w:jc w:val="center"/>
              <w:rPr>
                <w:rFonts w:hint="eastAsia"/>
                <w:vertAlign w:val="baseline"/>
                <w:lang w:val="en-US" w:eastAsia="zh-CN"/>
              </w:rPr>
            </w:pPr>
            <w:r>
              <w:rPr>
                <w:rFonts w:hint="eastAsia"/>
                <w:vertAlign w:val="baseline"/>
                <w:lang w:val="en-US" w:eastAsia="zh-CN"/>
              </w:rPr>
              <w:t>激光坐浴机</w:t>
            </w:r>
          </w:p>
        </w:tc>
        <w:tc>
          <w:tcPr>
            <w:tcW w:w="6690" w:type="dxa"/>
            <w:vAlign w:val="top"/>
          </w:tcPr>
          <w:p>
            <w:pPr>
              <w:jc w:val="both"/>
              <w:rPr>
                <w:rFonts w:hint="eastAsia"/>
                <w:vertAlign w:val="baseline"/>
                <w:lang w:val="en-US" w:eastAsia="zh-CN"/>
              </w:rPr>
            </w:pPr>
            <w:r>
              <w:rPr>
                <w:rFonts w:hint="eastAsia"/>
                <w:vertAlign w:val="baseline"/>
                <w:lang w:val="en-US" w:eastAsia="zh-CN"/>
              </w:rPr>
              <w:t>设备参数</w:t>
            </w:r>
            <w:r>
              <w:rPr>
                <w:rFonts w:hint="eastAsia"/>
                <w:vertAlign w:val="baseline"/>
                <w:lang w:val="en-US" w:eastAsia="zh-CN"/>
              </w:rPr>
              <w:br w:type="textWrapping"/>
            </w:r>
            <w:r>
              <w:rPr>
                <w:rFonts w:hint="eastAsia"/>
                <w:vertAlign w:val="baseline"/>
                <w:lang w:val="en-US" w:eastAsia="zh-CN"/>
              </w:rPr>
              <w:t>1、产品分类：I类设备  B型应用部分 IPX1外壳防护等级</w:t>
            </w:r>
            <w:r>
              <w:rPr>
                <w:rFonts w:hint="eastAsia"/>
                <w:vertAlign w:val="baseline"/>
                <w:lang w:val="en-US" w:eastAsia="zh-CN"/>
              </w:rPr>
              <w:br w:type="textWrapping"/>
            </w:r>
            <w:r>
              <w:rPr>
                <w:rFonts w:hint="eastAsia"/>
                <w:vertAlign w:val="baseline"/>
                <w:lang w:val="en-US" w:eastAsia="zh-CN"/>
              </w:rPr>
              <w:t>2、工作电压：~220V/50Hz</w:t>
            </w:r>
            <w:r>
              <w:rPr>
                <w:rFonts w:hint="eastAsia"/>
                <w:vertAlign w:val="baseline"/>
                <w:lang w:val="en-US" w:eastAsia="zh-CN"/>
              </w:rPr>
              <w:br w:type="textWrapping"/>
            </w:r>
            <w:r>
              <w:rPr>
                <w:rFonts w:hint="eastAsia"/>
                <w:vertAlign w:val="baseline"/>
                <w:lang w:val="en-US" w:eastAsia="zh-CN"/>
              </w:rPr>
              <w:t>3、输入功率：1.85kVA</w:t>
            </w:r>
            <w:r>
              <w:rPr>
                <w:rFonts w:hint="eastAsia"/>
                <w:vertAlign w:val="baseline"/>
                <w:lang w:val="en-US" w:eastAsia="zh-CN"/>
              </w:rPr>
              <w:br w:type="textWrapping"/>
            </w:r>
            <w:r>
              <w:rPr>
                <w:rFonts w:hint="eastAsia"/>
                <w:vertAlign w:val="baseline"/>
                <w:lang w:val="en-US" w:eastAsia="zh-CN"/>
              </w:rPr>
              <w:t>4、熔断器：规格：Φ6x30mm; 标称值：10A</w:t>
            </w:r>
            <w:r>
              <w:rPr>
                <w:rFonts w:hint="eastAsia"/>
                <w:vertAlign w:val="baseline"/>
                <w:lang w:val="en-US" w:eastAsia="zh-CN"/>
              </w:rPr>
              <w:br w:type="textWrapping"/>
            </w:r>
            <w:r>
              <w:rPr>
                <w:rFonts w:hint="eastAsia"/>
                <w:vertAlign w:val="baseline"/>
                <w:lang w:val="en-US" w:eastAsia="zh-CN"/>
              </w:rPr>
              <w:t>5、激光波长：半导体激光器650nm允差±20nm连续波</w:t>
            </w:r>
            <w:r>
              <w:rPr>
                <w:rFonts w:hint="eastAsia"/>
                <w:vertAlign w:val="baseline"/>
                <w:lang w:val="en-US" w:eastAsia="zh-CN"/>
              </w:rPr>
              <w:br w:type="textWrapping"/>
            </w:r>
            <w:r>
              <w:rPr>
                <w:rFonts w:hint="eastAsia"/>
                <w:vertAlign w:val="baseline"/>
                <w:lang w:val="en-US" w:eastAsia="zh-CN"/>
              </w:rPr>
              <w:t>6、激光最大输出功率：≤40mW</w:t>
            </w:r>
            <w:r>
              <w:rPr>
                <w:rFonts w:hint="eastAsia"/>
                <w:vertAlign w:val="baseline"/>
                <w:lang w:val="en-US" w:eastAsia="zh-CN"/>
              </w:rPr>
              <w:br w:type="textWrapping"/>
            </w:r>
            <w:r>
              <w:rPr>
                <w:rFonts w:hint="eastAsia"/>
                <w:vertAlign w:val="baseline"/>
                <w:lang w:val="en-US" w:eastAsia="zh-CN"/>
              </w:rPr>
              <w:t>7、治疗端面光斑直径大小：≤5.5mm</w:t>
            </w:r>
            <w:r>
              <w:rPr>
                <w:rFonts w:hint="eastAsia"/>
                <w:vertAlign w:val="baseline"/>
                <w:lang w:val="en-US" w:eastAsia="zh-CN"/>
              </w:rPr>
              <w:br w:type="textWrapping"/>
            </w:r>
            <w:r>
              <w:rPr>
                <w:rFonts w:hint="eastAsia"/>
                <w:vertAlign w:val="baseline"/>
                <w:lang w:val="en-US" w:eastAsia="zh-CN"/>
              </w:rPr>
              <w:t>8、激光输出功率不稳定度：St:优于±10%</w:t>
            </w:r>
            <w:r>
              <w:rPr>
                <w:rFonts w:hint="eastAsia"/>
                <w:vertAlign w:val="baseline"/>
                <w:lang w:val="en-US" w:eastAsia="zh-CN"/>
              </w:rPr>
              <w:br w:type="textWrapping"/>
            </w:r>
            <w:r>
              <w:rPr>
                <w:rFonts w:hint="eastAsia"/>
                <w:vertAlign w:val="baseline"/>
                <w:lang w:val="en-US" w:eastAsia="zh-CN"/>
              </w:rPr>
              <w:t xml:space="preserve">9、※自动程序模式：自动程序模式有三种：1.激光照射理疗；2.热水坐浴；3.热水气泡按摩    </w:t>
            </w:r>
            <w:r>
              <w:rPr>
                <w:rFonts w:hint="eastAsia"/>
                <w:vertAlign w:val="baseline"/>
                <w:lang w:val="en-US" w:eastAsia="zh-CN"/>
              </w:rPr>
              <w:br w:type="textWrapping"/>
            </w:r>
            <w:r>
              <w:rPr>
                <w:rFonts w:hint="eastAsia"/>
                <w:vertAlign w:val="baseline"/>
                <w:lang w:val="en-US" w:eastAsia="zh-CN"/>
              </w:rPr>
              <w:t>10、※热水温度范围：36℃~47℃可调</w:t>
            </w:r>
            <w:r>
              <w:rPr>
                <w:rFonts w:hint="eastAsia"/>
                <w:vertAlign w:val="baseline"/>
                <w:lang w:val="en-US" w:eastAsia="zh-CN"/>
              </w:rPr>
              <w:br w:type="textWrapping"/>
            </w:r>
            <w:r>
              <w:rPr>
                <w:rFonts w:hint="eastAsia"/>
                <w:vertAlign w:val="baseline"/>
                <w:lang w:val="en-US" w:eastAsia="zh-CN"/>
              </w:rPr>
              <w:t>11、※热风温度范围：分三挡可调：低档：室温；中档：室温+10℃； 高档：室温+20℃；允差均为±5℃；热风温度最高不超过55℃。</w:t>
            </w:r>
            <w:r>
              <w:rPr>
                <w:rFonts w:hint="eastAsia"/>
                <w:vertAlign w:val="baseline"/>
                <w:lang w:val="en-US" w:eastAsia="zh-CN"/>
              </w:rPr>
              <w:br w:type="textWrapping"/>
            </w:r>
            <w:r>
              <w:rPr>
                <w:rFonts w:hint="eastAsia"/>
                <w:vertAlign w:val="baseline"/>
                <w:lang w:val="en-US" w:eastAsia="zh-CN"/>
              </w:rPr>
              <w:t>12、※手动热风烘干时间：不小于20s±1s</w:t>
            </w:r>
            <w:r>
              <w:rPr>
                <w:rFonts w:hint="eastAsia"/>
                <w:vertAlign w:val="baseline"/>
                <w:lang w:val="en-US" w:eastAsia="zh-CN"/>
              </w:rPr>
              <w:br w:type="textWrapping"/>
            </w:r>
            <w:r>
              <w:rPr>
                <w:rFonts w:hint="eastAsia"/>
                <w:vertAlign w:val="baseline"/>
                <w:lang w:val="en-US" w:eastAsia="zh-CN"/>
              </w:rPr>
              <w:t>13、使用环境：温度：+10℃~+40℃；相对湿度：30%~75%;大气压力范围：700hPa~1060hPa</w:t>
            </w:r>
            <w:r>
              <w:rPr>
                <w:rFonts w:hint="eastAsia"/>
                <w:vertAlign w:val="baseline"/>
                <w:lang w:val="en-US" w:eastAsia="zh-CN"/>
              </w:rPr>
              <w:br w:type="textWrapping"/>
            </w:r>
            <w:r>
              <w:rPr>
                <w:rFonts w:hint="eastAsia"/>
                <w:vertAlign w:val="baseline"/>
                <w:lang w:val="en-US" w:eastAsia="zh-CN"/>
              </w:rPr>
              <w:t>14、运输和贮存环境：温度：-20℃~+55℃；相对湿度：≤85%；大气压力范围：500hPa~1060hAPa</w:t>
            </w:r>
            <w:r>
              <w:rPr>
                <w:rFonts w:hint="eastAsia"/>
                <w:vertAlign w:val="baseline"/>
                <w:lang w:val="en-US" w:eastAsia="zh-CN"/>
              </w:rPr>
              <w:br w:type="textWrapping"/>
            </w:r>
            <w:r>
              <w:rPr>
                <w:rFonts w:hint="eastAsia"/>
                <w:vertAlign w:val="baseline"/>
                <w:lang w:val="en-US" w:eastAsia="zh-CN"/>
              </w:rPr>
              <w:t>15、产品重量：≤40kg</w:t>
            </w:r>
            <w:r>
              <w:rPr>
                <w:rFonts w:hint="eastAsia"/>
                <w:vertAlign w:val="baseline"/>
                <w:lang w:val="en-US" w:eastAsia="zh-CN"/>
              </w:rPr>
              <w:br w:type="textWrapping"/>
            </w:r>
            <w:r>
              <w:rPr>
                <w:rFonts w:hint="eastAsia"/>
                <w:vertAlign w:val="baseline"/>
                <w:lang w:val="en-US" w:eastAsia="zh-CN"/>
              </w:rPr>
              <w:t>16、产品几何尺寸：长x宽x高不大于750mmx680mmx840mm</w:t>
            </w:r>
            <w:r>
              <w:rPr>
                <w:rFonts w:hint="eastAsia"/>
                <w:vertAlign w:val="baseline"/>
                <w:lang w:val="en-US" w:eastAsia="zh-CN"/>
              </w:rPr>
              <w:br w:type="textWrapping"/>
            </w:r>
            <w:r>
              <w:rPr>
                <w:rFonts w:hint="eastAsia"/>
                <w:vertAlign w:val="baseline"/>
                <w:lang w:val="en-US" w:eastAsia="zh-CN"/>
              </w:rPr>
              <w:t>17、使用期限：主机5年，质保期1年</w:t>
            </w:r>
            <w:r>
              <w:rPr>
                <w:rFonts w:hint="eastAsia"/>
                <w:vertAlign w:val="baseline"/>
                <w:lang w:val="en-US" w:eastAsia="zh-CN"/>
              </w:rPr>
              <w:br w:type="textWrapping"/>
            </w:r>
            <w:r>
              <w:rPr>
                <w:rFonts w:hint="eastAsia"/>
                <w:vertAlign w:val="baseline"/>
                <w:lang w:val="en-US" w:eastAsia="zh-CN"/>
              </w:rPr>
              <w:t>二、耗材（坐浴盆）参数</w:t>
            </w:r>
            <w:r>
              <w:rPr>
                <w:rFonts w:hint="eastAsia"/>
                <w:vertAlign w:val="baseline"/>
                <w:lang w:val="en-US" w:eastAsia="zh-CN"/>
              </w:rPr>
              <w:br w:type="textWrapping"/>
            </w:r>
            <w:r>
              <w:rPr>
                <w:rFonts w:hint="eastAsia"/>
                <w:vertAlign w:val="baseline"/>
                <w:lang w:val="en-US" w:eastAsia="zh-CN"/>
              </w:rPr>
              <w:t>1.产品主要性能结构及组成：坐浴盆是装置激光坐浴机用于治疗的应用部件。该产品采用高分子材料制作，产品由盆体、气管、出气耦合帽、出水口等组成</w:t>
            </w:r>
            <w:r>
              <w:rPr>
                <w:rFonts w:hint="eastAsia"/>
                <w:vertAlign w:val="baseline"/>
                <w:lang w:val="en-US" w:eastAsia="zh-CN"/>
              </w:rPr>
              <w:br w:type="textWrapping"/>
            </w:r>
            <w:r>
              <w:rPr>
                <w:rFonts w:hint="eastAsia"/>
                <w:vertAlign w:val="baseline"/>
                <w:lang w:val="en-US" w:eastAsia="zh-CN"/>
              </w:rPr>
              <w:t>2.适用范围：产品装置在激光坐浴机或其他类似坐浴式治疗设备上，与设备配合使用，用于对患者臀部，阴部部位的病患进行坐浴清洗治疗</w:t>
            </w:r>
            <w:r>
              <w:rPr>
                <w:rFonts w:hint="eastAsia"/>
                <w:vertAlign w:val="baseline"/>
                <w:lang w:val="en-US" w:eastAsia="zh-CN"/>
              </w:rPr>
              <w:br w:type="textWrapping"/>
            </w:r>
            <w:r>
              <w:rPr>
                <w:rFonts w:hint="eastAsia"/>
                <w:vertAlign w:val="baseline"/>
                <w:lang w:val="en-US" w:eastAsia="zh-CN"/>
              </w:rPr>
              <w:t>3.产品特点：</w:t>
            </w:r>
            <w:r>
              <w:rPr>
                <w:rFonts w:hint="eastAsia"/>
                <w:vertAlign w:val="baseline"/>
                <w:lang w:val="en-US" w:eastAsia="zh-CN"/>
              </w:rPr>
              <w:br w:type="textWrapping"/>
            </w:r>
            <w:r>
              <w:rPr>
                <w:rFonts w:hint="eastAsia"/>
                <w:vertAlign w:val="baseline"/>
                <w:lang w:val="en-US" w:eastAsia="zh-CN"/>
              </w:rPr>
              <w:t>（1）坐浴盆上装有出气耦合帽、气管。坐浴盆上的出气耦合帽与激光坐浴机的气管配合，将坐浴机内气泡发生器产生的其他引到盆中，当盆体内注入清水后，气泡形气浪对人体的臀部、阴部部位的病患进行清洗和按摩。</w:t>
            </w:r>
            <w:r>
              <w:rPr>
                <w:rFonts w:hint="eastAsia"/>
                <w:vertAlign w:val="baseline"/>
                <w:lang w:val="en-US" w:eastAsia="zh-CN"/>
              </w:rPr>
              <w:br w:type="textWrapping"/>
            </w:r>
            <w:r>
              <w:rPr>
                <w:rFonts w:hint="eastAsia"/>
                <w:vertAlign w:val="baseline"/>
                <w:lang w:val="en-US" w:eastAsia="zh-CN"/>
              </w:rPr>
              <w:t>（2）坐浴盆的出水口处装有封水装置，与坐浴机内的排水装置互相配合使用，用于坐浴清洗时水的密封和排水。</w:t>
            </w:r>
            <w:r>
              <w:rPr>
                <w:rFonts w:hint="eastAsia"/>
                <w:vertAlign w:val="baseline"/>
                <w:lang w:val="en-US" w:eastAsia="zh-CN"/>
              </w:rPr>
              <w:br w:type="textWrapping"/>
            </w:r>
            <w:r>
              <w:rPr>
                <w:rFonts w:hint="eastAsia"/>
                <w:vertAlign w:val="baseline"/>
                <w:lang w:val="en-US" w:eastAsia="zh-CN"/>
              </w:rPr>
              <w:t>（3）坐浴盆采用优质高分子材料制作，符合生物相容性要求，并且有良好的透光率。</w:t>
            </w:r>
            <w:r>
              <w:rPr>
                <w:rFonts w:hint="eastAsia"/>
                <w:vertAlign w:val="baseline"/>
                <w:lang w:val="en-US" w:eastAsia="zh-CN"/>
              </w:rPr>
              <w:br w:type="textWrapping"/>
            </w:r>
            <w:r>
              <w:rPr>
                <w:rFonts w:hint="eastAsia"/>
                <w:vertAlign w:val="baseline"/>
                <w:lang w:val="en-US" w:eastAsia="zh-CN"/>
              </w:rPr>
              <w:t>4.安装和使用：将坐浴盆从正面放入坐浴机的坐盘上，并将坐浴盆的出气耦合帽对准坐浴机上的气管接口压紧即可。坐浴盆安装好后患者即可坐入进行清洗。</w:t>
            </w:r>
            <w:r>
              <w:rPr>
                <w:rFonts w:hint="eastAsia"/>
                <w:vertAlign w:val="baseline"/>
                <w:lang w:val="en-US" w:eastAsia="zh-CN"/>
              </w:rPr>
              <w:br w:type="textWrapping"/>
            </w:r>
            <w:r>
              <w:rPr>
                <w:rFonts w:hint="eastAsia"/>
                <w:vertAlign w:val="baseline"/>
                <w:lang w:val="en-US" w:eastAsia="zh-CN"/>
              </w:rPr>
              <w:t>5.产品禁忌症：瘫痪病人及无意识行为者禁用</w:t>
            </w:r>
            <w:r>
              <w:rPr>
                <w:rFonts w:hint="eastAsia"/>
                <w:vertAlign w:val="baseline"/>
                <w:lang w:val="en-US" w:eastAsia="zh-CN"/>
              </w:rPr>
              <w:br w:type="textWrapping"/>
            </w:r>
            <w:r>
              <w:rPr>
                <w:rFonts w:hint="eastAsia"/>
                <w:vertAlign w:val="baseline"/>
                <w:lang w:val="en-US" w:eastAsia="zh-CN"/>
              </w:rPr>
              <w:t xml:space="preserve">6.注意事项： </w:t>
            </w:r>
            <w:r>
              <w:rPr>
                <w:rFonts w:hint="eastAsia"/>
                <w:vertAlign w:val="baseline"/>
                <w:lang w:val="en-US" w:eastAsia="zh-CN"/>
              </w:rPr>
              <w:br w:type="textWrapping"/>
            </w:r>
            <w:r>
              <w:rPr>
                <w:rFonts w:hint="eastAsia"/>
                <w:vertAlign w:val="baseline"/>
                <w:lang w:val="en-US" w:eastAsia="zh-CN"/>
              </w:rPr>
              <w:t>（1）为避免交叉感染，产品使用于一人/次使用，专人专用。</w:t>
            </w:r>
            <w:r>
              <w:rPr>
                <w:rFonts w:hint="eastAsia"/>
                <w:vertAlign w:val="baseline"/>
                <w:lang w:val="en-US" w:eastAsia="zh-CN"/>
              </w:rPr>
              <w:br w:type="textWrapping"/>
            </w:r>
            <w:r>
              <w:rPr>
                <w:rFonts w:hint="eastAsia"/>
                <w:vertAlign w:val="baseline"/>
                <w:lang w:val="en-US" w:eastAsia="zh-CN"/>
              </w:rPr>
              <w:t>（2）使用前用清水清洁后再用消毒液消毒。请勿用50℃以上温度的水清洗，以免坐浴盆变形。</w:t>
            </w:r>
            <w:r>
              <w:rPr>
                <w:rFonts w:hint="eastAsia"/>
                <w:vertAlign w:val="baseline"/>
                <w:lang w:val="en-US" w:eastAsia="zh-CN"/>
              </w:rPr>
              <w:br w:type="textWrapping"/>
            </w:r>
            <w:r>
              <w:rPr>
                <w:rFonts w:hint="eastAsia"/>
                <w:vertAlign w:val="baseline"/>
                <w:lang w:val="en-US" w:eastAsia="zh-CN"/>
              </w:rPr>
              <w:t>（3）勿在开机有激光输出时放置坐浴盆，避免激光照射眼睛。</w:t>
            </w:r>
            <w:r>
              <w:rPr>
                <w:rFonts w:hint="eastAsia"/>
                <w:vertAlign w:val="baseline"/>
                <w:lang w:val="en-US" w:eastAsia="zh-CN"/>
              </w:rPr>
              <w:br w:type="textWrapping"/>
            </w:r>
            <w:r>
              <w:rPr>
                <w:rFonts w:hint="eastAsia"/>
                <w:vertAlign w:val="baseline"/>
                <w:lang w:val="en-US" w:eastAsia="zh-CN"/>
              </w:rPr>
              <w:t>（4）产品出现破损或者变形后请勿使用，请及时更换新盆。</w:t>
            </w:r>
            <w:r>
              <w:rPr>
                <w:rFonts w:hint="eastAsia"/>
                <w:vertAlign w:val="baseline"/>
                <w:lang w:val="en-US" w:eastAsia="zh-CN"/>
              </w:rPr>
              <w:br w:type="textWrapping"/>
            </w:r>
            <w:r>
              <w:rPr>
                <w:rFonts w:hint="eastAsia"/>
                <w:vertAlign w:val="baseline"/>
                <w:lang w:val="en-US" w:eastAsia="zh-CN"/>
              </w:rPr>
              <w:t>（5）产品为存放于高温物体附近。</w:t>
            </w:r>
            <w:r>
              <w:rPr>
                <w:rFonts w:hint="eastAsia"/>
                <w:vertAlign w:val="baseline"/>
                <w:lang w:val="en-US" w:eastAsia="zh-CN"/>
              </w:rPr>
              <w:br w:type="textWrapping"/>
            </w:r>
            <w:r>
              <w:rPr>
                <w:rFonts w:hint="eastAsia"/>
                <w:vertAlign w:val="baseline"/>
                <w:lang w:val="en-US" w:eastAsia="zh-CN"/>
              </w:rPr>
              <w:t>7.贮存要求： 坐浴盆应贮存在相对湿度不超过85%。温度-5℃~45℃，无腐蚀性气体、阴凉、干燥、通风良好，清洁的室内，避免挤压和阳光长期直射。</w:t>
            </w:r>
            <w:r>
              <w:rPr>
                <w:rFonts w:hint="eastAsia"/>
                <w:vertAlign w:val="baseline"/>
                <w:lang w:val="en-US" w:eastAsia="zh-CN"/>
              </w:rPr>
              <w:br w:type="textWrapping"/>
            </w:r>
            <w:r>
              <w:rPr>
                <w:rFonts w:hint="eastAsia"/>
                <w:vertAlign w:val="baseline"/>
                <w:lang w:val="en-US" w:eastAsia="zh-CN"/>
              </w:rPr>
              <w:t>8.使用期限：在遵守贮存规则的条件下，产品自生产之日起有效期：三年</w:t>
            </w:r>
          </w:p>
        </w:tc>
        <w:tc>
          <w:tcPr>
            <w:tcW w:w="600" w:type="dxa"/>
            <w:vAlign w:val="center"/>
          </w:tcPr>
          <w:p>
            <w:pPr>
              <w:jc w:val="center"/>
              <w:rPr>
                <w:rFonts w:hint="default"/>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0" w:hRule="atLeast"/>
        </w:trPr>
        <w:tc>
          <w:tcPr>
            <w:tcW w:w="948" w:type="dxa"/>
            <w:vAlign w:val="center"/>
          </w:tcPr>
          <w:p>
            <w:pPr>
              <w:jc w:val="center"/>
              <w:rPr>
                <w:rFonts w:hint="default"/>
                <w:vertAlign w:val="baseline"/>
                <w:lang w:val="en-US" w:eastAsia="zh-CN"/>
              </w:rPr>
            </w:pPr>
            <w:r>
              <w:rPr>
                <w:rFonts w:hint="eastAsia"/>
                <w:vertAlign w:val="baseline"/>
                <w:lang w:val="en-US" w:eastAsia="zh-CN"/>
              </w:rPr>
              <w:t>6</w:t>
            </w:r>
          </w:p>
        </w:tc>
        <w:tc>
          <w:tcPr>
            <w:tcW w:w="1108" w:type="dxa"/>
            <w:vAlign w:val="center"/>
          </w:tcPr>
          <w:p>
            <w:pPr>
              <w:jc w:val="center"/>
              <w:rPr>
                <w:rFonts w:hint="eastAsia"/>
                <w:vertAlign w:val="baseline"/>
                <w:lang w:val="en-US" w:eastAsia="zh-CN"/>
              </w:rPr>
            </w:pPr>
            <w:r>
              <w:rPr>
                <w:rFonts w:hint="eastAsia"/>
                <w:vertAlign w:val="baseline"/>
                <w:lang w:val="en-US" w:eastAsia="zh-CN"/>
              </w:rPr>
              <w:t>折叠便携智能互联身高体重血压心率测量仪</w:t>
            </w:r>
          </w:p>
        </w:tc>
        <w:tc>
          <w:tcPr>
            <w:tcW w:w="6690" w:type="dxa"/>
            <w:vAlign w:val="top"/>
          </w:tcPr>
          <w:p>
            <w:pPr>
              <w:jc w:val="both"/>
              <w:rPr>
                <w:rFonts w:hint="eastAsia"/>
                <w:vertAlign w:val="baseline"/>
                <w:lang w:val="en-US" w:eastAsia="zh-CN"/>
              </w:rPr>
            </w:pPr>
            <w:r>
              <w:rPr>
                <w:rFonts w:hint="eastAsia"/>
                <w:vertAlign w:val="baseline"/>
                <w:lang w:val="en-US" w:eastAsia="zh-CN"/>
              </w:rPr>
              <w:t>超声波体检机</w:t>
            </w:r>
            <w:r>
              <w:rPr>
                <w:rFonts w:hint="eastAsia"/>
                <w:vertAlign w:val="baseline"/>
                <w:lang w:val="en-US" w:eastAsia="zh-CN"/>
              </w:rPr>
              <w:br w:type="textWrapping"/>
            </w:r>
            <w:r>
              <w:rPr>
                <w:rFonts w:hint="eastAsia"/>
                <w:vertAlign w:val="baseline"/>
                <w:lang w:val="en-US" w:eastAsia="zh-CN"/>
              </w:rPr>
              <w:t>身高测量方式 超声波测量（超声波测量通过超声波号筒缩小波束角，波束角小于±10º排除环境障碍物干扰, 自动温度补偿）</w:t>
            </w:r>
            <w:r>
              <w:rPr>
                <w:rFonts w:hint="eastAsia"/>
                <w:vertAlign w:val="baseline"/>
                <w:lang w:val="en-US" w:eastAsia="zh-CN"/>
              </w:rPr>
              <w:br w:type="textWrapping"/>
            </w:r>
            <w:r>
              <w:rPr>
                <w:rFonts w:hint="eastAsia"/>
                <w:vertAlign w:val="baseline"/>
                <w:lang w:val="en-US" w:eastAsia="zh-CN"/>
              </w:rPr>
              <w:t>体重测量方式 精密平衡梁式压力传感器称重（具有偏心负载功能，灵敏度高，线性好，测量快速精准，耐疲劳，寿命长）</w:t>
            </w:r>
            <w:r>
              <w:rPr>
                <w:rFonts w:hint="eastAsia"/>
                <w:vertAlign w:val="baseline"/>
                <w:lang w:val="en-US" w:eastAsia="zh-CN"/>
              </w:rPr>
              <w:br w:type="textWrapping"/>
            </w:r>
            <w:r>
              <w:rPr>
                <w:rFonts w:hint="eastAsia"/>
                <w:vertAlign w:val="baseline"/>
                <w:lang w:val="en-US" w:eastAsia="zh-CN"/>
              </w:rPr>
              <w:t xml:space="preserve">血压测量方式 示波测定法，压力:±3mmHg  脉搏数：±5%  </w:t>
            </w:r>
            <w:r>
              <w:rPr>
                <w:rFonts w:hint="eastAsia"/>
                <w:vertAlign w:val="baseline"/>
                <w:lang w:val="en-US" w:eastAsia="zh-CN"/>
              </w:rPr>
              <w:br w:type="textWrapping"/>
            </w:r>
            <w:r>
              <w:rPr>
                <w:rFonts w:hint="eastAsia"/>
                <w:vertAlign w:val="baseline"/>
                <w:lang w:val="en-US" w:eastAsia="zh-CN"/>
              </w:rPr>
              <w:t>血压: 0-299mmhg(0-39.9ka)，脉博: 40-180times/min</w:t>
            </w:r>
            <w:r>
              <w:rPr>
                <w:rFonts w:hint="eastAsia"/>
                <w:vertAlign w:val="baseline"/>
                <w:lang w:val="en-US" w:eastAsia="zh-CN"/>
              </w:rPr>
              <w:br w:type="textWrapping"/>
            </w:r>
            <w:r>
              <w:rPr>
                <w:rFonts w:hint="eastAsia"/>
                <w:vertAlign w:val="baseline"/>
                <w:lang w:val="en-US" w:eastAsia="zh-CN"/>
              </w:rPr>
              <w:t>测量范围 身高：20－210cm          体重：1kg－300kg</w:t>
            </w:r>
            <w:r>
              <w:rPr>
                <w:rFonts w:hint="eastAsia"/>
                <w:vertAlign w:val="baseline"/>
                <w:lang w:val="en-US" w:eastAsia="zh-CN"/>
              </w:rPr>
              <w:br w:type="textWrapping"/>
            </w:r>
            <w:r>
              <w:rPr>
                <w:rFonts w:hint="eastAsia"/>
                <w:vertAlign w:val="baseline"/>
                <w:lang w:val="en-US" w:eastAsia="zh-CN"/>
              </w:rPr>
              <w:t xml:space="preserve">精 确 度 身高：±0.5cm或±0.1cm   体重：±0.1kg </w:t>
            </w:r>
            <w:r>
              <w:rPr>
                <w:rFonts w:hint="eastAsia"/>
                <w:vertAlign w:val="baseline"/>
                <w:lang w:val="en-US" w:eastAsia="zh-CN"/>
              </w:rPr>
              <w:br w:type="textWrapping"/>
            </w:r>
            <w:r>
              <w:rPr>
                <w:rFonts w:hint="eastAsia"/>
                <w:vertAlign w:val="baseline"/>
                <w:lang w:val="en-US" w:eastAsia="zh-CN"/>
              </w:rPr>
              <w:t>使用温湿度  -20-40℃  20%-85%RH</w:t>
            </w:r>
            <w:r>
              <w:rPr>
                <w:rFonts w:hint="eastAsia"/>
                <w:vertAlign w:val="baseline"/>
                <w:lang w:val="en-US" w:eastAsia="zh-CN"/>
              </w:rPr>
              <w:br w:type="textWrapping"/>
            </w:r>
            <w:r>
              <w:rPr>
                <w:rFonts w:hint="eastAsia"/>
                <w:vertAlign w:val="baseline"/>
                <w:lang w:val="en-US" w:eastAsia="zh-CN"/>
              </w:rPr>
              <w:t>显示方式 高清液晶7.0寸触摸屏、智能指引语音/动画提示、多媒体播放。</w:t>
            </w:r>
            <w:r>
              <w:rPr>
                <w:rFonts w:hint="eastAsia"/>
                <w:vertAlign w:val="baseline"/>
                <w:lang w:val="en-US" w:eastAsia="zh-CN"/>
              </w:rPr>
              <w:br w:type="textWrapping"/>
            </w:r>
            <w:r>
              <w:rPr>
                <w:rFonts w:hint="eastAsia"/>
                <w:vertAlign w:val="baseline"/>
                <w:lang w:val="en-US" w:eastAsia="zh-CN"/>
              </w:rPr>
              <w:t>支持微信推广 支持微信公众号推广，快速长期吸粉（可定制公司或个人微信二维码）</w:t>
            </w:r>
            <w:r>
              <w:rPr>
                <w:rFonts w:hint="eastAsia"/>
                <w:vertAlign w:val="baseline"/>
                <w:lang w:val="en-US" w:eastAsia="zh-CN"/>
              </w:rPr>
              <w:br w:type="textWrapping"/>
            </w:r>
            <w:r>
              <w:rPr>
                <w:rFonts w:hint="eastAsia"/>
                <w:vertAlign w:val="baseline"/>
                <w:lang w:val="en-US" w:eastAsia="zh-CN"/>
              </w:rPr>
              <w:t>体    型 国际通用体型指数（BMI)</w:t>
            </w:r>
            <w:r>
              <w:rPr>
                <w:rFonts w:hint="eastAsia"/>
                <w:vertAlign w:val="baseline"/>
                <w:lang w:val="en-US" w:eastAsia="zh-CN"/>
              </w:rPr>
              <w:br w:type="textWrapping"/>
            </w:r>
            <w:r>
              <w:rPr>
                <w:rFonts w:hint="eastAsia"/>
                <w:vertAlign w:val="baseline"/>
                <w:lang w:val="en-US" w:eastAsia="zh-CN"/>
              </w:rPr>
              <w:t>热敏打印 打印结果身高、体重、血压、脉搏、BMI、标准体重范围。</w:t>
            </w:r>
            <w:r>
              <w:rPr>
                <w:rFonts w:hint="eastAsia"/>
                <w:vertAlign w:val="baseline"/>
                <w:lang w:val="en-US" w:eastAsia="zh-CN"/>
              </w:rPr>
              <w:br w:type="textWrapping"/>
            </w:r>
            <w:r>
              <w:rPr>
                <w:rFonts w:hint="eastAsia"/>
                <w:vertAlign w:val="baseline"/>
                <w:lang w:val="en-US" w:eastAsia="zh-CN"/>
              </w:rPr>
              <w:t>测量速度 5秒倒计时功能，测量快捷，每小时可测450人次</w:t>
            </w:r>
            <w:r>
              <w:rPr>
                <w:rFonts w:hint="eastAsia"/>
                <w:vertAlign w:val="baseline"/>
                <w:lang w:val="en-US" w:eastAsia="zh-CN"/>
              </w:rPr>
              <w:br w:type="textWrapping"/>
            </w:r>
            <w:r>
              <w:rPr>
                <w:rFonts w:hint="eastAsia"/>
                <w:vertAlign w:val="baseline"/>
                <w:lang w:val="en-US" w:eastAsia="zh-CN"/>
              </w:rPr>
              <w:t>折叠便携   采用双金属折叠锁扣，折叠后方便携带运输；配有轮子，轻松移动</w:t>
            </w:r>
            <w:r>
              <w:rPr>
                <w:rFonts w:hint="eastAsia"/>
                <w:vertAlign w:val="baseline"/>
                <w:lang w:val="en-US" w:eastAsia="zh-CN"/>
              </w:rPr>
              <w:br w:type="textWrapping"/>
            </w:r>
            <w:r>
              <w:rPr>
                <w:rFonts w:hint="eastAsia"/>
                <w:vertAlign w:val="baseline"/>
                <w:lang w:val="en-US" w:eastAsia="zh-CN"/>
              </w:rPr>
              <w:t>数据输出格式 RS-232有线传输、无线蓝牙（选配）、WIFI（选配）、网口（选配）和GPRS（选配）。数据可上传电脑、手机、云服务器、医院系统和远程健康系统。</w:t>
            </w:r>
            <w:r>
              <w:rPr>
                <w:rFonts w:hint="eastAsia"/>
                <w:vertAlign w:val="baseline"/>
                <w:lang w:val="en-US" w:eastAsia="zh-CN"/>
              </w:rPr>
              <w:br w:type="textWrapping"/>
            </w:r>
            <w:r>
              <w:rPr>
                <w:rFonts w:hint="eastAsia"/>
                <w:vertAlign w:val="baseline"/>
                <w:lang w:val="en-US" w:eastAsia="zh-CN"/>
              </w:rPr>
              <w:t xml:space="preserve">电源电压 AC 110-240V 50/60Hz              </w:t>
            </w:r>
            <w:r>
              <w:rPr>
                <w:rFonts w:hint="eastAsia"/>
                <w:vertAlign w:val="baseline"/>
                <w:lang w:val="en-US" w:eastAsia="zh-CN"/>
              </w:rPr>
              <w:br w:type="textWrapping"/>
            </w:r>
            <w:r>
              <w:rPr>
                <w:rFonts w:hint="eastAsia"/>
                <w:vertAlign w:val="baseline"/>
                <w:lang w:val="en-US" w:eastAsia="zh-CN"/>
              </w:rPr>
              <w:t>平均功耗 ≤20W</w:t>
            </w:r>
            <w:r>
              <w:rPr>
                <w:rFonts w:hint="eastAsia"/>
                <w:vertAlign w:val="baseline"/>
                <w:lang w:val="en-US" w:eastAsia="zh-CN"/>
              </w:rPr>
              <w:br w:type="textWrapping"/>
            </w:r>
            <w:r>
              <w:rPr>
                <w:rFonts w:hint="eastAsia"/>
                <w:vertAlign w:val="baseline"/>
                <w:lang w:val="en-US" w:eastAsia="zh-CN"/>
              </w:rPr>
              <w:t>电击防护 I类B型设备</w:t>
            </w:r>
            <w:r>
              <w:rPr>
                <w:rFonts w:hint="eastAsia"/>
                <w:vertAlign w:val="baseline"/>
                <w:lang w:val="en-US" w:eastAsia="zh-CN"/>
              </w:rPr>
              <w:br w:type="textWrapping"/>
            </w:r>
            <w:r>
              <w:rPr>
                <w:rFonts w:hint="eastAsia"/>
                <w:vertAlign w:val="baseline"/>
                <w:lang w:val="en-US" w:eastAsia="zh-CN"/>
              </w:rPr>
              <w:t>整机高度 240CM</w:t>
            </w:r>
            <w:r>
              <w:rPr>
                <w:rFonts w:hint="eastAsia"/>
                <w:vertAlign w:val="baseline"/>
                <w:lang w:val="en-US" w:eastAsia="zh-CN"/>
              </w:rPr>
              <w:br w:type="textWrapping"/>
            </w:r>
            <w:r>
              <w:rPr>
                <w:rFonts w:hint="eastAsia"/>
                <w:vertAlign w:val="baseline"/>
                <w:lang w:val="en-US" w:eastAsia="zh-CN"/>
              </w:rPr>
              <w:t>整机净重 45kg</w:t>
            </w:r>
            <w:r>
              <w:rPr>
                <w:rFonts w:hint="eastAsia"/>
                <w:vertAlign w:val="baseline"/>
                <w:lang w:val="en-US" w:eastAsia="zh-CN"/>
              </w:rPr>
              <w:br w:type="textWrapping"/>
            </w:r>
            <w:r>
              <w:rPr>
                <w:rFonts w:hint="eastAsia"/>
                <w:vertAlign w:val="baseline"/>
                <w:lang w:val="en-US" w:eastAsia="zh-CN"/>
              </w:rPr>
              <w:t>包装尺寸 方箱：695*345*435    长箱：1780*390*210</w:t>
            </w:r>
            <w:r>
              <w:rPr>
                <w:rFonts w:hint="eastAsia"/>
                <w:vertAlign w:val="baseline"/>
                <w:lang w:val="en-US" w:eastAsia="zh-CN"/>
              </w:rPr>
              <w:br w:type="textWrapping"/>
            </w:r>
            <w:r>
              <w:rPr>
                <w:rFonts w:hint="eastAsia"/>
                <w:vertAlign w:val="baseline"/>
                <w:lang w:val="en-US" w:eastAsia="zh-CN"/>
              </w:rPr>
              <w:t>其它认证* 国际通用CE认证，计量证，二类医疗器械经营备案证</w:t>
            </w:r>
          </w:p>
          <w:p>
            <w:pPr>
              <w:jc w:val="both"/>
              <w:rPr>
                <w:rFonts w:hint="eastAsia"/>
                <w:vertAlign w:val="baseline"/>
                <w:lang w:val="en-US" w:eastAsia="zh-CN"/>
              </w:rPr>
            </w:pPr>
            <w:r>
              <w:rPr>
                <w:rFonts w:hint="eastAsia"/>
                <w:vertAlign w:val="baseline"/>
                <w:lang w:val="en-US" w:eastAsia="zh-CN"/>
              </w:rPr>
              <w:t>9、一套办公桌、档案柜、治疗床</w:t>
            </w:r>
          </w:p>
        </w:tc>
        <w:tc>
          <w:tcPr>
            <w:tcW w:w="600" w:type="dxa"/>
            <w:vAlign w:val="center"/>
          </w:tcPr>
          <w:p>
            <w:pPr>
              <w:jc w:val="center"/>
              <w:rPr>
                <w:rFonts w:hint="default"/>
                <w:vertAlign w:val="baseline"/>
                <w:lang w:val="en-US" w:eastAsia="zh-CN"/>
              </w:rPr>
            </w:pPr>
            <w:r>
              <w:rPr>
                <w:rFonts w:hint="eastAsia"/>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948" w:type="dxa"/>
            <w:vAlign w:val="center"/>
          </w:tcPr>
          <w:p>
            <w:pPr>
              <w:jc w:val="center"/>
              <w:rPr>
                <w:rFonts w:hint="default"/>
                <w:vertAlign w:val="baseline"/>
                <w:lang w:val="en-US" w:eastAsia="zh-CN"/>
              </w:rPr>
            </w:pPr>
            <w:r>
              <w:rPr>
                <w:rFonts w:hint="eastAsia"/>
                <w:vertAlign w:val="baseline"/>
                <w:lang w:val="en-US" w:eastAsia="zh-CN"/>
              </w:rPr>
              <w:t>7</w:t>
            </w:r>
          </w:p>
        </w:tc>
        <w:tc>
          <w:tcPr>
            <w:tcW w:w="1108" w:type="dxa"/>
            <w:vAlign w:val="center"/>
          </w:tcPr>
          <w:p>
            <w:pPr>
              <w:jc w:val="center"/>
              <w:rPr>
                <w:rFonts w:hint="eastAsia"/>
                <w:vertAlign w:val="baseline"/>
                <w:lang w:val="en-US" w:eastAsia="zh-CN"/>
              </w:rPr>
            </w:pPr>
            <w:r>
              <w:rPr>
                <w:rFonts w:hint="eastAsia"/>
                <w:vertAlign w:val="baseline"/>
                <w:lang w:val="en-US" w:eastAsia="zh-CN"/>
              </w:rPr>
              <w:t>数字式十二导联心电图机</w:t>
            </w:r>
          </w:p>
        </w:tc>
        <w:tc>
          <w:tcPr>
            <w:tcW w:w="6690" w:type="dxa"/>
            <w:vAlign w:val="top"/>
          </w:tcPr>
          <w:p>
            <w:pPr>
              <w:jc w:val="both"/>
              <w:rPr>
                <w:rFonts w:hint="eastAsia"/>
                <w:vertAlign w:val="baseline"/>
                <w:lang w:val="en-US" w:eastAsia="zh-CN"/>
              </w:rPr>
            </w:pPr>
            <w:r>
              <w:rPr>
                <w:rFonts w:hint="eastAsia"/>
                <w:vertAlign w:val="baseline"/>
                <w:lang w:val="en-US" w:eastAsia="zh-CN"/>
              </w:rPr>
              <w:t>产品要求概述，为保证该产品采用的是最新的技术，产品必须为2019年以后推向市场的机型，以国家食品药品监督管理局第一次颁发的产品注册证日期为准.</w:t>
            </w:r>
            <w:r>
              <w:rPr>
                <w:rFonts w:hint="eastAsia"/>
                <w:vertAlign w:val="baseline"/>
                <w:lang w:val="en-US" w:eastAsia="zh-CN"/>
              </w:rPr>
              <w:br w:type="textWrapping"/>
            </w:r>
            <w:r>
              <w:rPr>
                <w:rFonts w:hint="eastAsia"/>
                <w:vertAlign w:val="baseline"/>
                <w:lang w:val="en-US" w:eastAsia="zh-CN"/>
              </w:rPr>
              <w:t xml:space="preserve"> 为保证在规定时间内顺利完成施工，请提供该品牌心电图机业绩证明：</w:t>
            </w:r>
            <w:r>
              <w:rPr>
                <w:rFonts w:hint="eastAsia"/>
                <w:vertAlign w:val="baseline"/>
                <w:lang w:val="en-US" w:eastAsia="zh-CN"/>
              </w:rPr>
              <w:br w:type="textWrapping"/>
            </w:r>
            <w:r>
              <w:rPr>
                <w:rFonts w:hint="eastAsia"/>
                <w:vertAlign w:val="baseline"/>
                <w:lang w:val="en-US" w:eastAsia="zh-CN"/>
              </w:rPr>
              <w:t xml:space="preserve"> 为保证产品质量，该品牌心电图为中国医学装备协会开展的优秀国产医疗设备遴选品牌。拥有CE认证，CMC计量认证，CCC认证，ROHS认证，心电图机软件产品登记证书，心电图机计算机软件著作权登记证书等其它国家强制性要求的证件，</w:t>
            </w:r>
            <w:r>
              <w:rPr>
                <w:rFonts w:hint="eastAsia"/>
                <w:vertAlign w:val="baseline"/>
                <w:lang w:val="en-US" w:eastAsia="zh-CN"/>
              </w:rPr>
              <w:br w:type="textWrapping"/>
            </w:r>
            <w:r>
              <w:rPr>
                <w:rFonts w:hint="eastAsia"/>
                <w:vertAlign w:val="baseline"/>
                <w:lang w:val="en-US" w:eastAsia="zh-CN"/>
              </w:rPr>
              <w:t>售后服务要求须按照甲方要求到场。</w:t>
            </w:r>
            <w:r>
              <w:rPr>
                <w:rFonts w:hint="eastAsia"/>
                <w:vertAlign w:val="baseline"/>
                <w:lang w:val="en-US" w:eastAsia="zh-CN"/>
              </w:rPr>
              <w:br w:type="textWrapping"/>
            </w:r>
            <w:r>
              <w:rPr>
                <w:rFonts w:hint="eastAsia"/>
                <w:vertAlign w:val="baseline"/>
                <w:lang w:val="en-US" w:eastAsia="zh-CN"/>
              </w:rPr>
              <w:t xml:space="preserve"> 在用户当地或省会中心城市，卖方应安排至少一次临床应用医师专业技术人员培训，该人员必须已获得执业医师资格证，保证使用人员正常操作设备的各种功能。</w:t>
            </w:r>
            <w:r>
              <w:rPr>
                <w:rFonts w:hint="eastAsia"/>
                <w:vertAlign w:val="baseline"/>
                <w:lang w:val="en-US" w:eastAsia="zh-CN"/>
              </w:rPr>
              <w:br w:type="textWrapping"/>
            </w:r>
            <w:r>
              <w:rPr>
                <w:rFonts w:hint="eastAsia"/>
                <w:vertAlign w:val="baseline"/>
                <w:lang w:val="en-US" w:eastAsia="zh-CN"/>
              </w:rPr>
              <w:t xml:space="preserve"> 整机保修期:24个月</w:t>
            </w:r>
            <w:r>
              <w:rPr>
                <w:rFonts w:hint="eastAsia"/>
                <w:vertAlign w:val="baseline"/>
                <w:lang w:val="en-US" w:eastAsia="zh-CN"/>
              </w:rPr>
              <w:br w:type="textWrapping"/>
            </w:r>
            <w:r>
              <w:rPr>
                <w:rFonts w:hint="eastAsia"/>
                <w:vertAlign w:val="baseline"/>
                <w:lang w:val="en-US" w:eastAsia="zh-CN"/>
              </w:rPr>
              <w:t>配置： 标准配置：主机1台，导联线1条，肢电极4个，胸电极6个，热敏打印纸1本，电源线1根，接地线1根，其它必要辅件一套</w:t>
            </w:r>
            <w:r>
              <w:rPr>
                <w:rFonts w:hint="eastAsia"/>
                <w:vertAlign w:val="baseline"/>
                <w:lang w:val="en-US" w:eastAsia="zh-CN"/>
              </w:rPr>
              <w:br w:type="textWrapping"/>
            </w:r>
            <w:r>
              <w:rPr>
                <w:rFonts w:hint="eastAsia"/>
                <w:vertAlign w:val="baseline"/>
                <w:lang w:val="en-US" w:eastAsia="zh-CN"/>
              </w:rPr>
              <w:t>工作条件： 产品的电源插头符合中国标准，无需适配器</w:t>
            </w:r>
            <w:r>
              <w:rPr>
                <w:rFonts w:hint="eastAsia"/>
                <w:vertAlign w:val="baseline"/>
                <w:lang w:val="en-US" w:eastAsia="zh-CN"/>
              </w:rPr>
              <w:br w:type="textWrapping"/>
            </w:r>
            <w:r>
              <w:rPr>
                <w:rFonts w:hint="eastAsia"/>
                <w:vertAlign w:val="baseline"/>
                <w:lang w:val="en-US" w:eastAsia="zh-CN"/>
              </w:rPr>
              <w:t>ECG输入 ECG输入通道：标准12导联、Cabrera导联心电信息同步采集</w:t>
            </w:r>
            <w:r>
              <w:rPr>
                <w:rFonts w:hint="eastAsia"/>
                <w:vertAlign w:val="baseline"/>
                <w:lang w:val="en-US" w:eastAsia="zh-CN"/>
              </w:rPr>
              <w:br w:type="textWrapping"/>
            </w:r>
            <w:r>
              <w:rPr>
                <w:rFonts w:hint="eastAsia"/>
                <w:vertAlign w:val="baseline"/>
                <w:lang w:val="en-US" w:eastAsia="zh-CN"/>
              </w:rPr>
              <w:t xml:space="preserve"> ★频率响应：0.01-330Hz (-3db)（提供证明文件）</w:t>
            </w:r>
            <w:r>
              <w:rPr>
                <w:rFonts w:hint="eastAsia"/>
                <w:vertAlign w:val="baseline"/>
                <w:lang w:val="en-US" w:eastAsia="zh-CN"/>
              </w:rPr>
              <w:br w:type="textWrapping"/>
            </w:r>
            <w:r>
              <w:rPr>
                <w:rFonts w:hint="eastAsia"/>
                <w:vertAlign w:val="baseline"/>
                <w:lang w:val="en-US" w:eastAsia="zh-CN"/>
              </w:rPr>
              <w:t xml:space="preserve"> ★耐极化电压：±920mV  ±1%</w:t>
            </w:r>
            <w:r>
              <w:rPr>
                <w:rFonts w:hint="eastAsia"/>
                <w:vertAlign w:val="baseline"/>
                <w:lang w:val="en-US" w:eastAsia="zh-CN"/>
              </w:rPr>
              <w:br w:type="textWrapping"/>
            </w:r>
            <w:r>
              <w:rPr>
                <w:rFonts w:hint="eastAsia"/>
                <w:vertAlign w:val="baseline"/>
                <w:lang w:val="en-US" w:eastAsia="zh-CN"/>
              </w:rPr>
              <w:t xml:space="preserve"> 共模抑制比：≥130dB</w:t>
            </w:r>
            <w:r>
              <w:rPr>
                <w:rFonts w:hint="eastAsia"/>
                <w:vertAlign w:val="baseline"/>
                <w:lang w:val="en-US" w:eastAsia="zh-CN"/>
              </w:rPr>
              <w:br w:type="textWrapping"/>
            </w:r>
            <w:r>
              <w:rPr>
                <w:rFonts w:hint="eastAsia"/>
                <w:vertAlign w:val="baseline"/>
                <w:lang w:val="en-US" w:eastAsia="zh-CN"/>
              </w:rPr>
              <w:t xml:space="preserve"> 除颤保护：具有抗除颤电击保护功能</w:t>
            </w:r>
            <w:r>
              <w:rPr>
                <w:rFonts w:hint="eastAsia"/>
                <w:vertAlign w:val="baseline"/>
                <w:lang w:val="en-US" w:eastAsia="zh-CN"/>
              </w:rPr>
              <w:br w:type="textWrapping"/>
            </w:r>
            <w:r>
              <w:rPr>
                <w:rFonts w:hint="eastAsia"/>
                <w:vertAlign w:val="baseline"/>
                <w:lang w:val="en-US" w:eastAsia="zh-CN"/>
              </w:rPr>
              <w:t xml:space="preserve"> 导联线：导联线内附抗除颤电击保护功能，并具有防缠绕设计</w:t>
            </w:r>
            <w:r>
              <w:rPr>
                <w:rFonts w:hint="eastAsia"/>
                <w:vertAlign w:val="baseline"/>
                <w:lang w:val="en-US" w:eastAsia="zh-CN"/>
              </w:rPr>
              <w:br w:type="textWrapping"/>
            </w:r>
            <w:r>
              <w:rPr>
                <w:rFonts w:hint="eastAsia"/>
                <w:vertAlign w:val="baseline"/>
                <w:lang w:val="en-US" w:eastAsia="zh-CN"/>
              </w:rPr>
              <w:t xml:space="preserve"> ★中英文输入及操作提示,全触屏操作，中文输入支持手写和拼音、五笔输入法</w:t>
            </w:r>
            <w:r>
              <w:rPr>
                <w:rFonts w:hint="eastAsia"/>
                <w:vertAlign w:val="baseline"/>
                <w:lang w:val="en-US" w:eastAsia="zh-CN"/>
              </w:rPr>
              <w:br w:type="textWrapping"/>
            </w:r>
            <w:r>
              <w:rPr>
                <w:rFonts w:hint="eastAsia"/>
                <w:vertAlign w:val="baseline"/>
                <w:lang w:val="en-US" w:eastAsia="zh-CN"/>
              </w:rPr>
              <w:t>技术及性能 A/D转换：22bit</w:t>
            </w:r>
            <w:r>
              <w:rPr>
                <w:rFonts w:hint="eastAsia"/>
                <w:vertAlign w:val="baseline"/>
                <w:lang w:val="en-US" w:eastAsia="zh-CN"/>
              </w:rPr>
              <w:br w:type="textWrapping"/>
            </w:r>
            <w:r>
              <w:rPr>
                <w:rFonts w:hint="eastAsia"/>
                <w:vertAlign w:val="baseline"/>
                <w:lang w:val="en-US" w:eastAsia="zh-CN"/>
              </w:rPr>
              <w:t xml:space="preserve"> 采样率：≥29000Hz（提供证明文件）</w:t>
            </w:r>
            <w:r>
              <w:rPr>
                <w:rFonts w:hint="eastAsia"/>
                <w:vertAlign w:val="baseline"/>
                <w:lang w:val="en-US" w:eastAsia="zh-CN"/>
              </w:rPr>
              <w:br w:type="textWrapping"/>
            </w:r>
            <w:r>
              <w:rPr>
                <w:rFonts w:hint="eastAsia"/>
                <w:vertAlign w:val="baseline"/>
                <w:lang w:val="en-US" w:eastAsia="zh-CN"/>
              </w:rPr>
              <w:t xml:space="preserve"> 灵敏度选择：2.5、5、10、20mm/mV±2%</w:t>
            </w:r>
            <w:r>
              <w:rPr>
                <w:rFonts w:hint="eastAsia"/>
                <w:vertAlign w:val="baseline"/>
                <w:lang w:val="en-US" w:eastAsia="zh-CN"/>
              </w:rPr>
              <w:br w:type="textWrapping"/>
            </w:r>
            <w:r>
              <w:rPr>
                <w:rFonts w:hint="eastAsia"/>
                <w:vertAlign w:val="baseline"/>
                <w:lang w:val="en-US" w:eastAsia="zh-CN"/>
              </w:rPr>
              <w:t xml:space="preserve"> ★支持心脏起搏信号检测（提供证明图片）</w:t>
            </w:r>
            <w:r>
              <w:rPr>
                <w:rFonts w:hint="eastAsia"/>
                <w:vertAlign w:val="baseline"/>
                <w:lang w:val="en-US" w:eastAsia="zh-CN"/>
              </w:rPr>
              <w:br w:type="textWrapping"/>
            </w:r>
            <w:r>
              <w:rPr>
                <w:rFonts w:hint="eastAsia"/>
                <w:vertAlign w:val="baseline"/>
                <w:lang w:val="en-US" w:eastAsia="zh-CN"/>
              </w:rPr>
              <w:t xml:space="preserve"> ★支持预采集、实时采集、触发采集、周期采集等多种采集方式（提供证明图片）</w:t>
            </w:r>
            <w:r>
              <w:rPr>
                <w:rFonts w:hint="eastAsia"/>
                <w:vertAlign w:val="baseline"/>
                <w:lang w:val="en-US" w:eastAsia="zh-CN"/>
              </w:rPr>
              <w:br w:type="textWrapping"/>
            </w:r>
            <w:r>
              <w:rPr>
                <w:rFonts w:hint="eastAsia"/>
                <w:vertAlign w:val="baseline"/>
                <w:lang w:val="en-US" w:eastAsia="zh-CN"/>
              </w:rPr>
              <w:t xml:space="preserve"> ★本机支持有线、无线WiFi方式连接互联网（信息化建设参数、不满足可导致废标，提供证明图片）</w:t>
            </w:r>
            <w:r>
              <w:rPr>
                <w:rFonts w:hint="eastAsia"/>
                <w:vertAlign w:val="baseline"/>
                <w:lang w:val="en-US" w:eastAsia="zh-CN"/>
              </w:rPr>
              <w:br w:type="textWrapping"/>
            </w:r>
            <w:r>
              <w:rPr>
                <w:rFonts w:hint="eastAsia"/>
                <w:vertAlign w:val="baseline"/>
                <w:lang w:val="en-US" w:eastAsia="zh-CN"/>
              </w:rPr>
              <w:t>存储器 ★设备内置存储器，非U盘、SD卡等扩展本机可存储≥1000例</w:t>
            </w:r>
            <w:r>
              <w:rPr>
                <w:rFonts w:hint="eastAsia"/>
                <w:vertAlign w:val="baseline"/>
                <w:lang w:val="en-US" w:eastAsia="zh-CN"/>
              </w:rPr>
              <w:br w:type="textWrapping"/>
            </w:r>
            <w:r>
              <w:rPr>
                <w:rFonts w:hint="eastAsia"/>
                <w:vertAlign w:val="baseline"/>
                <w:lang w:val="en-US" w:eastAsia="zh-CN"/>
              </w:rPr>
              <w:t xml:space="preserve"> ★数据储存格式：pdf、png、ZQECG</w:t>
            </w:r>
            <w:r>
              <w:rPr>
                <w:rFonts w:hint="eastAsia"/>
                <w:vertAlign w:val="baseline"/>
                <w:lang w:val="en-US" w:eastAsia="zh-CN"/>
              </w:rPr>
              <w:br w:type="textWrapping"/>
            </w:r>
            <w:r>
              <w:rPr>
                <w:rFonts w:hint="eastAsia"/>
                <w:vertAlign w:val="baseline"/>
                <w:lang w:val="en-US" w:eastAsia="zh-CN"/>
              </w:rPr>
              <w:t xml:space="preserve"> 五、 外观：</w:t>
            </w:r>
            <w:r>
              <w:rPr>
                <w:rFonts w:hint="eastAsia"/>
                <w:vertAlign w:val="baseline"/>
                <w:lang w:val="en-US" w:eastAsia="zh-CN"/>
              </w:rPr>
              <w:br w:type="textWrapping"/>
            </w:r>
            <w:r>
              <w:rPr>
                <w:rFonts w:hint="eastAsia"/>
                <w:vertAlign w:val="baseline"/>
                <w:lang w:val="en-US" w:eastAsia="zh-CN"/>
              </w:rPr>
              <w:t>外观 ★≥10英寸1024*768点彩色LED触摸屏</w:t>
            </w:r>
            <w:r>
              <w:rPr>
                <w:rFonts w:hint="eastAsia"/>
                <w:vertAlign w:val="baseline"/>
                <w:lang w:val="en-US" w:eastAsia="zh-CN"/>
              </w:rPr>
              <w:br w:type="textWrapping"/>
            </w:r>
            <w:r>
              <w:rPr>
                <w:rFonts w:hint="eastAsia"/>
                <w:vertAlign w:val="baseline"/>
                <w:lang w:val="en-US" w:eastAsia="zh-CN"/>
              </w:rPr>
              <w:t xml:space="preserve"> ★物理全键盘及触控软件键盘设计，方便不同习惯的医生快速操作</w:t>
            </w:r>
            <w:r>
              <w:rPr>
                <w:rFonts w:hint="eastAsia"/>
                <w:vertAlign w:val="baseline"/>
                <w:lang w:val="en-US" w:eastAsia="zh-CN"/>
              </w:rPr>
              <w:br w:type="textWrapping"/>
            </w:r>
            <w:r>
              <w:rPr>
                <w:rFonts w:hint="eastAsia"/>
                <w:vertAlign w:val="baseline"/>
                <w:lang w:val="en-US" w:eastAsia="zh-CN"/>
              </w:rPr>
              <w:t xml:space="preserve"> 显示信息：同屏显示12道心电波形</w:t>
            </w:r>
            <w:r>
              <w:rPr>
                <w:rFonts w:hint="eastAsia"/>
                <w:vertAlign w:val="baseline"/>
                <w:lang w:val="en-US" w:eastAsia="zh-CN"/>
              </w:rPr>
              <w:br w:type="textWrapping"/>
            </w:r>
            <w:r>
              <w:rPr>
                <w:rFonts w:hint="eastAsia"/>
                <w:vertAlign w:val="baseline"/>
                <w:lang w:val="en-US" w:eastAsia="zh-CN"/>
              </w:rPr>
              <w:t>记录器 ★多轴联动热敏打印机技术 multi-axisTP®，可确保在任何环境（运动中的救护车、不平整的野外场地）都能平滑清晰地记录每一份心电报告</w:t>
            </w:r>
            <w:r>
              <w:rPr>
                <w:rFonts w:hint="eastAsia"/>
                <w:vertAlign w:val="baseline"/>
                <w:lang w:val="en-US" w:eastAsia="zh-CN"/>
              </w:rPr>
              <w:br w:type="textWrapping"/>
            </w:r>
            <w:r>
              <w:rPr>
                <w:rFonts w:hint="eastAsia"/>
                <w:vertAlign w:val="baseline"/>
                <w:lang w:val="en-US" w:eastAsia="zh-CN"/>
              </w:rPr>
              <w:t xml:space="preserve"> ★走纸速度：5、6.25、12.5、25、50 mm/s ±2%</w:t>
            </w:r>
            <w:r>
              <w:rPr>
                <w:rFonts w:hint="eastAsia"/>
                <w:vertAlign w:val="baseline"/>
                <w:lang w:val="en-US" w:eastAsia="zh-CN"/>
              </w:rPr>
              <w:br w:type="textWrapping"/>
            </w:r>
            <w:r>
              <w:rPr>
                <w:rFonts w:hint="eastAsia"/>
                <w:vertAlign w:val="baseline"/>
                <w:lang w:val="en-US" w:eastAsia="zh-CN"/>
              </w:rPr>
              <w:t xml:space="preserve"> ★记录模式：手动/自动打印：3CH、3CH+1R、3CH+3R、6CH、6CH+1R、12CH </w:t>
            </w:r>
            <w:r>
              <w:rPr>
                <w:rFonts w:hint="eastAsia"/>
                <w:vertAlign w:val="baseline"/>
                <w:lang w:val="en-US" w:eastAsia="zh-CN"/>
              </w:rPr>
              <w:br w:type="textWrapping"/>
            </w:r>
            <w:r>
              <w:rPr>
                <w:rFonts w:hint="eastAsia"/>
                <w:vertAlign w:val="baseline"/>
                <w:lang w:val="en-US" w:eastAsia="zh-CN"/>
              </w:rPr>
              <w:t xml:space="preserve"> 记录纸规格：折叠纸，216mm/210mm</w:t>
            </w:r>
            <w:r>
              <w:rPr>
                <w:rFonts w:hint="eastAsia"/>
                <w:vertAlign w:val="baseline"/>
                <w:lang w:val="en-US" w:eastAsia="zh-CN"/>
              </w:rPr>
              <w:br w:type="textWrapping"/>
            </w:r>
            <w:r>
              <w:rPr>
                <w:rFonts w:hint="eastAsia"/>
                <w:vertAlign w:val="baseline"/>
                <w:lang w:val="en-US" w:eastAsia="zh-CN"/>
              </w:rPr>
              <w:t xml:space="preserve"> 打印方式：实时同步或连续12道心电波形打印</w:t>
            </w:r>
            <w:r>
              <w:rPr>
                <w:rFonts w:hint="eastAsia"/>
                <w:vertAlign w:val="baseline"/>
                <w:lang w:val="en-US" w:eastAsia="zh-CN"/>
              </w:rPr>
              <w:br w:type="textWrapping"/>
            </w:r>
            <w:r>
              <w:rPr>
                <w:rFonts w:hint="eastAsia"/>
                <w:vertAlign w:val="baseline"/>
                <w:lang w:val="en-US" w:eastAsia="zh-CN"/>
              </w:rPr>
              <w:t xml:space="preserve"> ★支持直接外接激光打印机，通过A4纸打印心电波形和报告</w:t>
            </w:r>
            <w:r>
              <w:rPr>
                <w:rFonts w:hint="eastAsia"/>
                <w:vertAlign w:val="baseline"/>
                <w:lang w:val="en-US" w:eastAsia="zh-CN"/>
              </w:rPr>
              <w:br w:type="textWrapping"/>
            </w:r>
            <w:r>
              <w:rPr>
                <w:rFonts w:hint="eastAsia"/>
                <w:vertAlign w:val="baseline"/>
                <w:lang w:val="en-US" w:eastAsia="zh-CN"/>
              </w:rPr>
              <w:t xml:space="preserve"> ★具备在无网格纸上打印网格功能</w:t>
            </w:r>
            <w:r>
              <w:rPr>
                <w:rFonts w:hint="eastAsia"/>
                <w:vertAlign w:val="baseline"/>
                <w:lang w:val="en-US" w:eastAsia="zh-CN"/>
              </w:rPr>
              <w:br w:type="textWrapping"/>
            </w:r>
            <w:r>
              <w:rPr>
                <w:rFonts w:hint="eastAsia"/>
                <w:vertAlign w:val="baseline"/>
                <w:lang w:val="en-US" w:eastAsia="zh-CN"/>
              </w:rPr>
              <w:t xml:space="preserve"> 支持60s波形冻结与回放。</w:t>
            </w:r>
            <w:r>
              <w:rPr>
                <w:rFonts w:hint="eastAsia"/>
                <w:vertAlign w:val="baseline"/>
                <w:lang w:val="en-US" w:eastAsia="zh-CN"/>
              </w:rPr>
              <w:br w:type="textWrapping"/>
            </w:r>
            <w:r>
              <w:rPr>
                <w:rFonts w:hint="eastAsia"/>
                <w:vertAlign w:val="baseline"/>
                <w:lang w:val="en-US" w:eastAsia="zh-CN"/>
              </w:rPr>
              <w:t xml:space="preserve"> ★支持已保存病例的电影回放和选择任意一段波形打印。</w:t>
            </w:r>
            <w:r>
              <w:rPr>
                <w:rFonts w:hint="eastAsia"/>
                <w:vertAlign w:val="baseline"/>
                <w:lang w:val="en-US" w:eastAsia="zh-CN"/>
              </w:rPr>
              <w:br w:type="textWrapping"/>
            </w:r>
            <w:r>
              <w:rPr>
                <w:rFonts w:hint="eastAsia"/>
                <w:vertAlign w:val="baseline"/>
                <w:lang w:val="en-US" w:eastAsia="zh-CN"/>
              </w:rPr>
              <w:t xml:space="preserve"> ★支持病例重新编辑与重新诊断。</w:t>
            </w:r>
            <w:r>
              <w:rPr>
                <w:rFonts w:hint="eastAsia"/>
                <w:vertAlign w:val="baseline"/>
                <w:lang w:val="en-US" w:eastAsia="zh-CN"/>
              </w:rPr>
              <w:br w:type="textWrapping"/>
            </w:r>
            <w:r>
              <w:rPr>
                <w:rFonts w:hint="eastAsia"/>
                <w:vertAlign w:val="baseline"/>
                <w:lang w:val="en-US" w:eastAsia="zh-CN"/>
              </w:rPr>
              <w:t xml:space="preserve"> ★支持诊断结论模板化病例输入，只需输入相关病例首字母即可选择相应病例。</w:t>
            </w:r>
            <w:r>
              <w:rPr>
                <w:rFonts w:hint="eastAsia"/>
                <w:vertAlign w:val="baseline"/>
                <w:lang w:val="en-US" w:eastAsia="zh-CN"/>
              </w:rPr>
              <w:br w:type="textWrapping"/>
            </w:r>
            <w:r>
              <w:rPr>
                <w:rFonts w:hint="eastAsia"/>
                <w:vertAlign w:val="baseline"/>
                <w:lang w:val="en-US" w:eastAsia="zh-CN"/>
              </w:rPr>
              <w:t xml:space="preserve"> ★支持自定义病例模板的添加。</w:t>
            </w:r>
            <w:r>
              <w:rPr>
                <w:rFonts w:hint="eastAsia"/>
                <w:vertAlign w:val="baseline"/>
                <w:lang w:val="en-US" w:eastAsia="zh-CN"/>
              </w:rPr>
              <w:br w:type="textWrapping"/>
            </w:r>
            <w:r>
              <w:rPr>
                <w:rFonts w:hint="eastAsia"/>
                <w:vertAlign w:val="baseline"/>
                <w:lang w:val="en-US" w:eastAsia="zh-CN"/>
              </w:rPr>
              <w:t>外部输入接口 USB接口、SD卡接口、网络接口、导联接口</w:t>
            </w:r>
            <w:r>
              <w:rPr>
                <w:rFonts w:hint="eastAsia"/>
                <w:vertAlign w:val="baseline"/>
                <w:lang w:val="en-US" w:eastAsia="zh-CN"/>
              </w:rPr>
              <w:br w:type="textWrapping"/>
            </w:r>
            <w:r>
              <w:rPr>
                <w:rFonts w:hint="eastAsia"/>
                <w:vertAlign w:val="baseline"/>
                <w:lang w:val="en-US" w:eastAsia="zh-CN"/>
              </w:rPr>
              <w:t xml:space="preserve"> ★支持外接条码扫描仪和磁卡读卡器，支持即插即用。</w:t>
            </w:r>
            <w:r>
              <w:rPr>
                <w:rFonts w:hint="eastAsia"/>
                <w:vertAlign w:val="baseline"/>
                <w:lang w:val="en-US" w:eastAsia="zh-CN"/>
              </w:rPr>
              <w:br w:type="textWrapping"/>
            </w:r>
            <w:r>
              <w:rPr>
                <w:rFonts w:hint="eastAsia"/>
                <w:vertAlign w:val="baseline"/>
                <w:lang w:val="en-US" w:eastAsia="zh-CN"/>
              </w:rPr>
              <w:t xml:space="preserve"> ★支持输出PDF\ PNG\ECG\JPG（选配）\XML（选配）\SCP（选配）\DICOM（选配）格式标准协议，满足医院联网需求</w:t>
            </w:r>
            <w:r>
              <w:rPr>
                <w:rFonts w:hint="eastAsia"/>
                <w:vertAlign w:val="baseline"/>
                <w:lang w:val="en-US" w:eastAsia="zh-CN"/>
              </w:rPr>
              <w:br w:type="textWrapping"/>
            </w:r>
            <w:r>
              <w:rPr>
                <w:rFonts w:hint="eastAsia"/>
                <w:vertAlign w:val="baseline"/>
                <w:lang w:val="en-US" w:eastAsia="zh-CN"/>
              </w:rPr>
              <w:t xml:space="preserve"> ★支持本机直接接入第三方网络系统、医院的HIS\EMR等系统。</w:t>
            </w:r>
            <w:r>
              <w:rPr>
                <w:rFonts w:hint="eastAsia"/>
                <w:vertAlign w:val="baseline"/>
                <w:lang w:val="en-US" w:eastAsia="zh-CN"/>
              </w:rPr>
              <w:br w:type="textWrapping"/>
            </w:r>
            <w:r>
              <w:rPr>
                <w:rFonts w:hint="eastAsia"/>
                <w:vertAlign w:val="baseline"/>
                <w:lang w:val="en-US" w:eastAsia="zh-CN"/>
              </w:rPr>
              <w:t xml:space="preserve"> ★支持本机直接Email发送PNG、PDF格式报告，方便异地远程会诊（重要参数、后期援疆专家及医院远程会诊）。</w:t>
            </w:r>
            <w:r>
              <w:rPr>
                <w:rFonts w:hint="eastAsia"/>
                <w:vertAlign w:val="baseline"/>
                <w:lang w:val="en-US" w:eastAsia="zh-CN"/>
              </w:rPr>
              <w:br w:type="textWrapping"/>
            </w:r>
            <w:r>
              <w:rPr>
                <w:rFonts w:hint="eastAsia"/>
                <w:vertAlign w:val="baseline"/>
                <w:lang w:val="en-US" w:eastAsia="zh-CN"/>
              </w:rPr>
              <w:t>电源 交直流两用 自动转换</w:t>
            </w:r>
            <w:r>
              <w:rPr>
                <w:rFonts w:hint="eastAsia"/>
                <w:vertAlign w:val="baseline"/>
                <w:lang w:val="en-US" w:eastAsia="zh-CN"/>
              </w:rPr>
              <w:br w:type="textWrapping"/>
            </w:r>
            <w:r>
              <w:rPr>
                <w:rFonts w:hint="eastAsia"/>
                <w:vertAlign w:val="baseline"/>
                <w:lang w:val="en-US" w:eastAsia="zh-CN"/>
              </w:rPr>
              <w:t xml:space="preserve"> 交流电源：交流 220V  50Hz</w:t>
            </w:r>
            <w:r>
              <w:rPr>
                <w:rFonts w:hint="eastAsia"/>
                <w:vertAlign w:val="baseline"/>
                <w:lang w:val="en-US" w:eastAsia="zh-CN"/>
              </w:rPr>
              <w:br w:type="textWrapping"/>
            </w:r>
            <w:r>
              <w:rPr>
                <w:rFonts w:hint="eastAsia"/>
                <w:vertAlign w:val="baseline"/>
                <w:lang w:val="en-US" w:eastAsia="zh-CN"/>
              </w:rPr>
              <w:t xml:space="preserve"> 直流电源：内置可充电锂离子电池，充满电后可连续工作3小时以上</w:t>
            </w:r>
            <w:r>
              <w:rPr>
                <w:rFonts w:hint="eastAsia"/>
                <w:vertAlign w:val="baseline"/>
                <w:lang w:val="en-US" w:eastAsia="zh-CN"/>
              </w:rPr>
              <w:br w:type="textWrapping"/>
            </w:r>
            <w:r>
              <w:rPr>
                <w:rFonts w:hint="eastAsia"/>
                <w:vertAlign w:val="baseline"/>
                <w:lang w:val="en-US" w:eastAsia="zh-CN"/>
              </w:rPr>
              <w:t xml:space="preserve">分析扩展 ★支持GLASGOW大学心电算法，可根据患者年龄、性别、种族、用药做出精确诊断，对急性心肌缺血、室颤室速、极度心动过缓、恶性心律失常等能进行有效判断  </w:t>
            </w:r>
            <w:r>
              <w:rPr>
                <w:rFonts w:hint="eastAsia"/>
                <w:vertAlign w:val="baseline"/>
                <w:lang w:val="en-US" w:eastAsia="zh-CN"/>
              </w:rPr>
              <w:br w:type="textWrapping"/>
            </w:r>
            <w:r>
              <w:rPr>
                <w:rFonts w:hint="eastAsia"/>
                <w:vertAlign w:val="baseline"/>
                <w:lang w:val="en-US" w:eastAsia="zh-CN"/>
              </w:rPr>
              <w:t xml:space="preserve"> 注：打★的参数三个不满足即为废标</w:t>
            </w:r>
          </w:p>
          <w:p>
            <w:pPr>
              <w:jc w:val="both"/>
              <w:rPr>
                <w:rFonts w:hint="eastAsia"/>
                <w:vertAlign w:val="baseline"/>
                <w:lang w:val="en-US" w:eastAsia="zh-CN"/>
              </w:rPr>
            </w:pPr>
            <w:r>
              <w:rPr>
                <w:rFonts w:hint="eastAsia"/>
                <w:vertAlign w:val="baseline"/>
                <w:lang w:val="en-US" w:eastAsia="zh-CN"/>
              </w:rPr>
              <w:t>六、2套办公桌、检查床2个</w:t>
            </w:r>
          </w:p>
        </w:tc>
        <w:tc>
          <w:tcPr>
            <w:tcW w:w="600" w:type="dxa"/>
            <w:vAlign w:val="center"/>
          </w:tcPr>
          <w:p>
            <w:pPr>
              <w:jc w:val="center"/>
              <w:rPr>
                <w:rFonts w:hint="default"/>
                <w:vertAlign w:val="baseline"/>
                <w:lang w:val="en-US" w:eastAsia="zh-CN"/>
              </w:rPr>
            </w:pPr>
            <w:r>
              <w:rPr>
                <w:rFonts w:hint="eastAsia"/>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80" w:hRule="atLeast"/>
        </w:trPr>
        <w:tc>
          <w:tcPr>
            <w:tcW w:w="948" w:type="dxa"/>
            <w:vAlign w:val="center"/>
          </w:tcPr>
          <w:p>
            <w:pPr>
              <w:jc w:val="center"/>
              <w:rPr>
                <w:rFonts w:hint="default"/>
                <w:vertAlign w:val="baseline"/>
                <w:lang w:val="en-US" w:eastAsia="zh-CN"/>
              </w:rPr>
            </w:pPr>
            <w:r>
              <w:rPr>
                <w:rFonts w:hint="eastAsia"/>
                <w:vertAlign w:val="baseline"/>
                <w:lang w:val="en-US" w:eastAsia="zh-CN"/>
              </w:rPr>
              <w:t>8</w:t>
            </w:r>
          </w:p>
        </w:tc>
        <w:tc>
          <w:tcPr>
            <w:tcW w:w="1108" w:type="dxa"/>
            <w:vAlign w:val="center"/>
          </w:tcPr>
          <w:p>
            <w:pPr>
              <w:jc w:val="center"/>
              <w:rPr>
                <w:rFonts w:hint="eastAsia"/>
                <w:vertAlign w:val="baseline"/>
                <w:lang w:val="en-US" w:eastAsia="zh-CN"/>
              </w:rPr>
            </w:pPr>
            <w:r>
              <w:rPr>
                <w:rFonts w:hint="eastAsia"/>
                <w:vertAlign w:val="baseline"/>
                <w:lang w:val="en-US" w:eastAsia="zh-CN"/>
              </w:rPr>
              <w:t>液基薄层细胞制片机-产品技术参数</w:t>
            </w:r>
          </w:p>
        </w:tc>
        <w:tc>
          <w:tcPr>
            <w:tcW w:w="6690" w:type="dxa"/>
            <w:vAlign w:val="top"/>
          </w:tcPr>
          <w:p>
            <w:pPr>
              <w:jc w:val="both"/>
              <w:rPr>
                <w:rFonts w:hint="eastAsia"/>
              </w:rPr>
            </w:pPr>
            <w:r>
              <w:rPr>
                <w:rFonts w:hint="eastAsia"/>
                <w:lang w:val="en-US" w:eastAsia="zh-CN"/>
              </w:rPr>
              <w:t>一 总体要求</w:t>
            </w:r>
            <w:r>
              <w:rPr>
                <w:rFonts w:hint="eastAsia"/>
                <w:lang w:val="en-US" w:eastAsia="zh-CN"/>
              </w:rPr>
              <w:br w:type="textWrapping"/>
            </w:r>
            <w:r>
              <w:rPr>
                <w:rFonts w:hint="eastAsia"/>
                <w:lang w:val="en-US" w:eastAsia="zh-CN"/>
              </w:rPr>
              <w:t>1 满足临床科室要求，中标方负责将设备运送到甲方指定地点并完成安装调试工作，凡涉及设备运输、安装、施工、人工等产生的费用均由中标方负责</w:t>
            </w:r>
            <w:r>
              <w:rPr>
                <w:rFonts w:hint="eastAsia"/>
                <w:lang w:val="en-US" w:eastAsia="zh-CN"/>
              </w:rPr>
              <w:br w:type="textWrapping"/>
            </w:r>
            <w:r>
              <w:rPr>
                <w:rFonts w:hint="eastAsia"/>
                <w:lang w:val="en-US" w:eastAsia="zh-CN"/>
              </w:rPr>
              <w:t>2 投标产品应为知名品牌，先进机型及配置，适用于临床、科研、教学并满足将来发展临床应用领域的需要。提供 CFDA 等相关认证。</w:t>
            </w:r>
            <w:r>
              <w:rPr>
                <w:rFonts w:hint="eastAsia"/>
                <w:lang w:val="en-US" w:eastAsia="zh-CN"/>
              </w:rPr>
              <w:br w:type="textWrapping"/>
            </w:r>
            <w:r>
              <w:rPr>
                <w:rFonts w:hint="eastAsia"/>
                <w:lang w:val="en-US" w:eastAsia="zh-CN"/>
              </w:rPr>
              <w:t>二 功能说明</w:t>
            </w:r>
            <w:r>
              <w:rPr>
                <w:rFonts w:hint="eastAsia"/>
                <w:lang w:val="en-US" w:eastAsia="zh-CN"/>
              </w:rPr>
              <w:br w:type="textWrapping"/>
            </w:r>
            <w:r>
              <w:rPr>
                <w:rFonts w:hint="eastAsia"/>
                <w:lang w:val="en-US" w:eastAsia="zh-CN"/>
              </w:rPr>
              <w:t xml:space="preserve"> 液基薄层细胞制片机是根据沉降式液基细胞学制片原理，采用离心分离技术、自然  沉降制片技术进行制片，与液基细胞保存液试剂盒配套使用，仪器进行全自动制片  染色，按设定的程序全自动化完成加样、离心分离、制片、染色。</w:t>
            </w:r>
            <w:r>
              <w:rPr>
                <w:rFonts w:hint="eastAsia"/>
                <w:lang w:val="en-US" w:eastAsia="zh-CN"/>
              </w:rPr>
              <w:br w:type="textWrapping"/>
            </w:r>
            <w:r>
              <w:rPr>
                <w:rFonts w:hint="eastAsia"/>
                <w:lang w:val="en-US" w:eastAsia="zh-CN"/>
              </w:rPr>
              <w:t>三 型号</w:t>
            </w:r>
            <w:r>
              <w:rPr>
                <w:rFonts w:hint="eastAsia"/>
                <w:lang w:val="en-US" w:eastAsia="zh-CN"/>
              </w:rPr>
              <w:br w:type="textWrapping"/>
            </w:r>
            <w:r>
              <w:rPr>
                <w:rFonts w:hint="eastAsia"/>
                <w:lang w:val="en-US" w:eastAsia="zh-CN"/>
              </w:rPr>
              <w:t xml:space="preserve"> 24 片机</w:t>
            </w:r>
            <w:r>
              <w:rPr>
                <w:rFonts w:hint="eastAsia"/>
                <w:lang w:val="en-US" w:eastAsia="zh-CN"/>
              </w:rPr>
              <w:br w:type="textWrapping"/>
            </w:r>
            <w:r>
              <w:rPr>
                <w:rFonts w:hint="eastAsia"/>
                <w:lang w:val="en-US" w:eastAsia="zh-CN"/>
              </w:rPr>
              <w:t>四 技术参数</w:t>
            </w:r>
            <w:r>
              <w:rPr>
                <w:rFonts w:hint="eastAsia"/>
                <w:lang w:val="en-US" w:eastAsia="zh-CN"/>
              </w:rPr>
              <w:br w:type="textWrapping"/>
            </w:r>
            <w:r>
              <w:rPr>
                <w:rFonts w:hint="eastAsia"/>
                <w:lang w:val="en-US" w:eastAsia="zh-CN"/>
              </w:rPr>
              <w:t>1 标本加样量： 4ml±0.6ml</w:t>
            </w:r>
            <w:r>
              <w:rPr>
                <w:rFonts w:hint="eastAsia"/>
                <w:lang w:val="en-US" w:eastAsia="zh-CN"/>
              </w:rPr>
              <w:br w:type="textWrapping"/>
            </w:r>
            <w:r>
              <w:rPr>
                <w:rFonts w:hint="eastAsia"/>
                <w:lang w:val="en-US" w:eastAsia="zh-CN"/>
              </w:rPr>
              <w:t>2 标本细胞沉降时间： 4-10min</w:t>
            </w:r>
            <w:r>
              <w:rPr>
                <w:rFonts w:hint="eastAsia"/>
                <w:lang w:val="en-US" w:eastAsia="zh-CN"/>
              </w:rPr>
              <w:br w:type="textWrapping"/>
            </w:r>
            <w:r>
              <w:rPr>
                <w:rFonts w:hint="eastAsia"/>
                <w:lang w:val="en-US" w:eastAsia="zh-CN"/>
              </w:rPr>
              <w:t xml:space="preserve">3 制片时间： DYJ-LBP-24 仪器制 24 张片的时间应不大于 83min； </w:t>
            </w:r>
            <w:r>
              <w:rPr>
                <w:rFonts w:hint="eastAsia"/>
                <w:lang w:val="en-US" w:eastAsia="zh-CN"/>
              </w:rPr>
              <w:br w:type="textWrapping"/>
            </w:r>
            <w:r>
              <w:rPr>
                <w:rFonts w:hint="eastAsia"/>
                <w:lang w:val="en-US" w:eastAsia="zh-CN"/>
              </w:rPr>
              <w:t>4 运行样本数：DYJ-LBP-24 仪器可制 1-24 张</w:t>
            </w:r>
            <w:r>
              <w:rPr>
                <w:rFonts w:hint="eastAsia"/>
                <w:lang w:val="en-US" w:eastAsia="zh-CN"/>
              </w:rPr>
              <w:br w:type="textWrapping"/>
            </w:r>
            <w:r>
              <w:rPr>
                <w:rFonts w:hint="eastAsia"/>
                <w:lang w:val="en-US" w:eastAsia="zh-CN"/>
              </w:rPr>
              <w:t>5 仪器运行方式：多种模式可以选择</w:t>
            </w:r>
            <w:r>
              <w:rPr>
                <w:rFonts w:hint="eastAsia"/>
                <w:lang w:val="en-US" w:eastAsia="zh-CN"/>
              </w:rPr>
              <w:br w:type="textWrapping"/>
            </w:r>
            <w:r>
              <w:rPr>
                <w:rFonts w:hint="eastAsia"/>
                <w:lang w:val="en-US" w:eastAsia="zh-CN"/>
              </w:rPr>
              <w:t>1）单制片模式：每个样本制一张细胞片，只制片不染色；</w:t>
            </w:r>
            <w:r>
              <w:rPr>
                <w:rFonts w:hint="eastAsia"/>
                <w:lang w:val="en-US" w:eastAsia="zh-CN"/>
              </w:rPr>
              <w:br w:type="textWrapping"/>
            </w:r>
            <w:r>
              <w:rPr>
                <w:rFonts w:hint="eastAsia"/>
                <w:lang w:val="en-US" w:eastAsia="zh-CN"/>
              </w:rPr>
              <w:t>2）单染色模式：仅对每个样本进行巴氏染色</w:t>
            </w:r>
            <w:r>
              <w:rPr>
                <w:rFonts w:hint="eastAsia"/>
                <w:lang w:val="en-US" w:eastAsia="zh-CN"/>
              </w:rPr>
              <w:br w:type="textWrapping"/>
            </w:r>
            <w:r>
              <w:rPr>
                <w:rFonts w:hint="eastAsia"/>
                <w:lang w:val="en-US" w:eastAsia="zh-CN"/>
              </w:rPr>
              <w:t>3）制片染色模式：每个样本先制一张细胞片，随后立即执行巴氏染色流程进行常规巴氏染色。</w:t>
            </w:r>
            <w:r>
              <w:rPr>
                <w:rFonts w:hint="eastAsia"/>
                <w:lang w:val="en-US" w:eastAsia="zh-CN"/>
              </w:rPr>
              <w:br w:type="textWrapping"/>
            </w:r>
            <w:r>
              <w:rPr>
                <w:rFonts w:hint="eastAsia"/>
                <w:lang w:val="en-US" w:eastAsia="zh-CN"/>
              </w:rPr>
              <w:t>6 充管：根据设定的充管次数进行充管，使用相应的液体充满管路。</w:t>
            </w:r>
            <w:r>
              <w:rPr>
                <w:rFonts w:hint="eastAsia"/>
                <w:lang w:val="en-US" w:eastAsia="zh-CN"/>
              </w:rPr>
              <w:br w:type="textWrapping"/>
            </w:r>
            <w:r>
              <w:rPr>
                <w:rFonts w:hint="eastAsia"/>
                <w:lang w:val="en-US" w:eastAsia="zh-CN"/>
              </w:rPr>
              <w:t>7 排管：根据设定的排管次数进行排管，使管路中液体排到相应容器内。</w:t>
            </w:r>
            <w:r>
              <w:rPr>
                <w:rFonts w:hint="eastAsia"/>
                <w:lang w:val="en-US" w:eastAsia="zh-CN"/>
              </w:rPr>
              <w:br w:type="textWrapping"/>
            </w:r>
            <w:r>
              <w:rPr>
                <w:rFonts w:hint="eastAsia"/>
                <w:lang w:val="en-US" w:eastAsia="zh-CN"/>
              </w:rPr>
              <w:t>8 加分离液量：1.5-4.5ml</w:t>
            </w:r>
            <w:r>
              <w:rPr>
                <w:rFonts w:hint="eastAsia"/>
                <w:lang w:val="en-US" w:eastAsia="zh-CN"/>
              </w:rPr>
              <w:br w:type="textWrapping"/>
            </w:r>
            <w:r>
              <w:rPr>
                <w:rFonts w:hint="eastAsia"/>
                <w:lang w:val="en-US" w:eastAsia="zh-CN"/>
              </w:rPr>
              <w:t>9 加离心样本量：1.5-4.5ml</w:t>
            </w:r>
            <w:r>
              <w:rPr>
                <w:rFonts w:hint="eastAsia"/>
                <w:lang w:val="en-US" w:eastAsia="zh-CN"/>
              </w:rPr>
              <w:br w:type="textWrapping"/>
            </w:r>
            <w:r>
              <w:rPr>
                <w:rFonts w:hint="eastAsia"/>
                <w:lang w:val="en-US" w:eastAsia="zh-CN"/>
              </w:rPr>
              <w:t>10 玻片加样量：0.5-1.2ml</w:t>
            </w:r>
            <w:r>
              <w:rPr>
                <w:rFonts w:hint="eastAsia"/>
                <w:lang w:val="en-US" w:eastAsia="zh-CN"/>
              </w:rPr>
              <w:br w:type="textWrapping"/>
            </w:r>
            <w:r>
              <w:rPr>
                <w:rFonts w:hint="eastAsia"/>
                <w:lang w:val="en-US" w:eastAsia="zh-CN"/>
              </w:rPr>
              <w:t>11 苏木素染色执行时间：30-240s</w:t>
            </w:r>
            <w:r>
              <w:rPr>
                <w:rFonts w:hint="eastAsia"/>
                <w:lang w:val="en-US" w:eastAsia="zh-CN"/>
              </w:rPr>
              <w:br w:type="textWrapping"/>
            </w:r>
            <w:r>
              <w:rPr>
                <w:rFonts w:hint="eastAsia"/>
                <w:lang w:val="en-US" w:eastAsia="zh-CN"/>
              </w:rPr>
              <w:t>12 EA/OG 染色执行时间：50-400s</w:t>
            </w:r>
            <w:r>
              <w:rPr>
                <w:rFonts w:hint="eastAsia"/>
                <w:lang w:val="en-US" w:eastAsia="zh-CN"/>
              </w:rPr>
              <w:br w:type="textWrapping"/>
            </w:r>
            <w:r>
              <w:rPr>
                <w:rFonts w:hint="eastAsia"/>
                <w:lang w:val="en-US" w:eastAsia="zh-CN"/>
              </w:rPr>
              <w:t>13 沉降时间：5-15min</w:t>
            </w:r>
            <w:r>
              <w:rPr>
                <w:rFonts w:hint="eastAsia"/>
                <w:lang w:val="en-US" w:eastAsia="zh-CN"/>
              </w:rPr>
              <w:br w:type="textWrapping"/>
            </w:r>
            <w:r>
              <w:rPr>
                <w:rFonts w:hint="eastAsia"/>
                <w:lang w:val="en-US" w:eastAsia="zh-CN"/>
              </w:rPr>
              <w:t>14 离心转速：600-850 转/分钟</w:t>
            </w:r>
            <w:r>
              <w:rPr>
                <w:rFonts w:hint="eastAsia"/>
                <w:lang w:val="en-US" w:eastAsia="zh-CN"/>
              </w:rPr>
              <w:br w:type="textWrapping"/>
            </w:r>
            <w:r>
              <w:rPr>
                <w:rFonts w:hint="eastAsia"/>
                <w:lang w:val="en-US" w:eastAsia="zh-CN"/>
              </w:rPr>
              <w:t>15 离心时间：1-8min</w:t>
            </w:r>
            <w:r>
              <w:rPr>
                <w:rFonts w:hint="eastAsia"/>
                <w:lang w:val="en-US" w:eastAsia="zh-CN"/>
              </w:rPr>
              <w:br w:type="textWrapping"/>
            </w:r>
            <w:r>
              <w:rPr>
                <w:rFonts w:hint="eastAsia"/>
                <w:lang w:val="en-US" w:eastAsia="zh-CN"/>
              </w:rPr>
              <w:t>16 充管次数：1-7 次</w:t>
            </w:r>
            <w:r>
              <w:rPr>
                <w:rFonts w:hint="eastAsia"/>
                <w:lang w:val="en-US" w:eastAsia="zh-CN"/>
              </w:rPr>
              <w:br w:type="textWrapping"/>
            </w:r>
            <w:r>
              <w:rPr>
                <w:rFonts w:hint="eastAsia"/>
                <w:lang w:val="en-US" w:eastAsia="zh-CN"/>
              </w:rPr>
              <w:t>17 排管次数：1-7 次</w:t>
            </w:r>
            <w:r>
              <w:rPr>
                <w:rFonts w:hint="eastAsia"/>
                <w:lang w:val="en-US" w:eastAsia="zh-CN"/>
              </w:rPr>
              <w:br w:type="textWrapping"/>
            </w:r>
            <w:r>
              <w:rPr>
                <w:rFonts w:hint="eastAsia"/>
                <w:lang w:val="en-US" w:eastAsia="zh-CN"/>
              </w:rPr>
              <w:t>五 技术及售后服务</w:t>
            </w:r>
            <w:r>
              <w:rPr>
                <w:rFonts w:hint="eastAsia"/>
                <w:lang w:val="en-US" w:eastAsia="zh-CN"/>
              </w:rPr>
              <w:br w:type="textWrapping"/>
            </w:r>
            <w:r>
              <w:rPr>
                <w:rFonts w:hint="eastAsia"/>
                <w:lang w:val="en-US" w:eastAsia="zh-CN"/>
              </w:rPr>
              <w:t>1 质保期≥1 年（提供厂家保修承诺），每年由维修工程师提供至少 2 次的免费上门维护保养工作</w:t>
            </w:r>
            <w:r>
              <w:rPr>
                <w:rFonts w:hint="eastAsia"/>
                <w:lang w:val="en-US" w:eastAsia="zh-CN"/>
              </w:rPr>
              <w:br w:type="textWrapping"/>
            </w:r>
            <w:r>
              <w:rPr>
                <w:rFonts w:hint="eastAsia"/>
                <w:lang w:val="en-US" w:eastAsia="zh-CN"/>
              </w:rPr>
              <w:t>2 中标方应对设备操作及维修人员进行操作及维修培训，直至技术人员熟练掌握使用及维修技能为止，提供详细培训记录,提供设备设计使用寿命</w:t>
            </w:r>
            <w:r>
              <w:rPr>
                <w:rFonts w:hint="eastAsia"/>
                <w:lang w:val="en-US" w:eastAsia="zh-CN"/>
              </w:rPr>
              <w:br w:type="textWrapping"/>
            </w:r>
            <w:r>
              <w:rPr>
                <w:rFonts w:hint="eastAsia"/>
                <w:lang w:val="en-US" w:eastAsia="zh-CN"/>
              </w:rPr>
              <w:t>3 维修保障：提供中文说明书、操作手册。</w:t>
            </w:r>
            <w:r>
              <w:rPr>
                <w:rFonts w:hint="eastAsia"/>
                <w:lang w:val="en-US" w:eastAsia="zh-CN"/>
              </w:rPr>
              <w:br w:type="textWrapping"/>
            </w:r>
            <w:r>
              <w:rPr>
                <w:rFonts w:hint="eastAsia"/>
                <w:lang w:val="en-US" w:eastAsia="zh-CN"/>
              </w:rPr>
              <w:t>4 一个月内非人为质量问题提供换货。</w:t>
            </w:r>
            <w:r>
              <w:rPr>
                <w:rFonts w:hint="eastAsia"/>
                <w:lang w:val="en-US" w:eastAsia="zh-CN"/>
              </w:rPr>
              <w:br w:type="textWrapping"/>
            </w:r>
            <w:r>
              <w:rPr>
                <w:rFonts w:hint="eastAsia"/>
                <w:lang w:val="en-US" w:eastAsia="zh-CN"/>
              </w:rPr>
              <w:t>5 提供设备零配件及各类耗材详细报价清单</w:t>
            </w:r>
          </w:p>
          <w:p>
            <w:pPr>
              <w:jc w:val="both"/>
              <w:rPr>
                <w:rFonts w:hint="eastAsia"/>
              </w:rPr>
            </w:pPr>
            <w:r>
              <w:rPr>
                <w:rFonts w:hint="eastAsia"/>
              </w:rPr>
              <w:t>仪器类型</w:t>
            </w:r>
            <w:r>
              <w:rPr>
                <w:rFonts w:hint="eastAsia"/>
                <w:lang w:eastAsia="zh-CN"/>
              </w:rPr>
              <w:t>：</w:t>
            </w:r>
            <w:r>
              <w:rPr>
                <w:rFonts w:hint="eastAsia"/>
              </w:rPr>
              <w:t>全自动</w:t>
            </w:r>
            <w:r>
              <w:rPr>
                <w:rFonts w:hint="eastAsia"/>
                <w:lang w:eastAsia="zh-CN"/>
              </w:rPr>
              <w:t>沉降式</w:t>
            </w:r>
            <w:r>
              <w:rPr>
                <w:rFonts w:hint="eastAsia"/>
                <w:lang w:val="en-US" w:eastAsia="zh-CN"/>
              </w:rPr>
              <w:t>液基薄层细胞制片染色</w:t>
            </w:r>
            <w:r>
              <w:rPr>
                <w:rFonts w:hint="eastAsia"/>
              </w:rPr>
              <w:t>一体机</w:t>
            </w:r>
          </w:p>
          <w:p>
            <w:pPr>
              <w:jc w:val="both"/>
              <w:rPr>
                <w:rFonts w:hint="eastAsia"/>
                <w:lang w:val="en-US" w:eastAsia="zh-CN"/>
              </w:rPr>
            </w:pPr>
            <w:r>
              <w:rPr>
                <w:rFonts w:hint="eastAsia"/>
                <w:lang w:val="en-US" w:eastAsia="zh-CN"/>
              </w:rPr>
              <w:t>制片染色原理：分离液梯度离心分离，自然沉降制片，巴氏染色</w:t>
            </w:r>
          </w:p>
          <w:p>
            <w:pPr>
              <w:jc w:val="both"/>
              <w:rPr>
                <w:rFonts w:hint="eastAsia"/>
                <w:lang w:val="en-US" w:eastAsia="zh-CN"/>
              </w:rPr>
            </w:pPr>
            <w:r>
              <w:rPr>
                <w:rFonts w:hint="eastAsia"/>
                <w:lang w:val="en-US" w:eastAsia="zh-CN"/>
              </w:rPr>
              <w:t>自动化程度：集离心、样本处理、制片、染色一体全自动仪器。</w:t>
            </w:r>
          </w:p>
          <w:p>
            <w:pPr>
              <w:jc w:val="both"/>
              <w:rPr>
                <w:rFonts w:hint="eastAsia"/>
                <w:lang w:val="en-US" w:eastAsia="zh-CN"/>
              </w:rPr>
            </w:pPr>
            <w:r>
              <w:rPr>
                <w:rFonts w:hint="eastAsia"/>
                <w:lang w:val="en-US" w:eastAsia="zh-CN"/>
              </w:rPr>
              <w:t>必配的配套辅助设备：无需配备离心机、样本处理机</w:t>
            </w:r>
          </w:p>
          <w:p>
            <w:pPr>
              <w:jc w:val="both"/>
              <w:rPr>
                <w:rFonts w:hint="eastAsia"/>
                <w:lang w:val="en-US" w:eastAsia="zh-CN"/>
              </w:rPr>
            </w:pPr>
            <w:r>
              <w:rPr>
                <w:rFonts w:hint="eastAsia"/>
                <w:lang w:val="en-US" w:eastAsia="zh-CN"/>
              </w:rPr>
              <w:t>人员值守：全过程无需人员值守</w:t>
            </w:r>
          </w:p>
          <w:p>
            <w:pPr>
              <w:jc w:val="both"/>
              <w:rPr>
                <w:rFonts w:hint="eastAsia"/>
                <w:lang w:val="en-US" w:eastAsia="zh-CN"/>
              </w:rPr>
            </w:pPr>
            <w:r>
              <w:rPr>
                <w:rFonts w:hint="eastAsia"/>
                <w:lang w:val="en-US" w:eastAsia="zh-CN"/>
              </w:rPr>
              <w:t>操作流程简便:吸嘴、制片仓和玻片、离心管和样本（保存液原瓶）放在仪器对应位置，吸嘴和离心管不用编号，只要对样本和玻片编号即可，启动仪器染色。</w:t>
            </w:r>
          </w:p>
          <w:p>
            <w:pPr>
              <w:jc w:val="both"/>
              <w:rPr>
                <w:rFonts w:hint="eastAsia"/>
                <w:lang w:val="en-US" w:eastAsia="zh-CN"/>
              </w:rPr>
            </w:pPr>
            <w:r>
              <w:rPr>
                <w:rFonts w:hint="eastAsia"/>
                <w:lang w:val="en-US" w:eastAsia="zh-CN"/>
              </w:rPr>
              <w:t>取下玻片封片</w:t>
            </w:r>
          </w:p>
          <w:p>
            <w:pPr>
              <w:jc w:val="both"/>
              <w:rPr>
                <w:rFonts w:hint="eastAsia"/>
                <w:lang w:val="en-US" w:eastAsia="zh-CN"/>
              </w:rPr>
            </w:pPr>
            <w:r>
              <w:rPr>
                <w:rFonts w:hint="eastAsia"/>
                <w:lang w:val="en-US" w:eastAsia="zh-CN"/>
              </w:rPr>
              <w:t>上机样本要求:配套细胞保存液，保存液原瓶直接上机</w:t>
            </w:r>
          </w:p>
          <w:p>
            <w:pPr>
              <w:jc w:val="both"/>
              <w:rPr>
                <w:rFonts w:hint="eastAsia"/>
                <w:lang w:val="en-US" w:eastAsia="zh-CN"/>
              </w:rPr>
            </w:pPr>
            <w:r>
              <w:rPr>
                <w:rFonts w:hint="eastAsia"/>
                <w:lang w:val="en-US" w:eastAsia="zh-CN"/>
              </w:rPr>
              <w:t>单批制片量:单批24个样本（含24个）以上，支持不超过24个样本总数的任意数量样本制片染色，无需配成2或4的倍数，</w:t>
            </w:r>
          </w:p>
          <w:p>
            <w:pPr>
              <w:jc w:val="both"/>
              <w:rPr>
                <w:rFonts w:hint="eastAsia"/>
                <w:lang w:val="en-US" w:eastAsia="zh-CN"/>
              </w:rPr>
            </w:pPr>
            <w:r>
              <w:rPr>
                <w:rFonts w:hint="eastAsia"/>
                <w:lang w:val="en-US" w:eastAsia="zh-CN"/>
              </w:rPr>
              <w:t>制片速度:单批全程运行时间不超过75分钟，常规染色时长一般为70分钟</w:t>
            </w:r>
          </w:p>
          <w:p>
            <w:pPr>
              <w:jc w:val="both"/>
              <w:rPr>
                <w:rFonts w:hint="eastAsia"/>
                <w:lang w:val="en-US" w:eastAsia="zh-CN"/>
              </w:rPr>
            </w:pPr>
            <w:r>
              <w:rPr>
                <w:rFonts w:hint="eastAsia"/>
                <w:lang w:val="en-US" w:eastAsia="zh-CN"/>
              </w:rPr>
              <w:t>运行模式:支持制片染色模式、单独制片模式，单独染色模式（含沉降染色模式）。</w:t>
            </w:r>
          </w:p>
          <w:p>
            <w:pPr>
              <w:jc w:val="both"/>
              <w:rPr>
                <w:rFonts w:hint="eastAsia" w:ascii="仿宋" w:hAnsi="仿宋" w:eastAsia="仿宋" w:cs="仿宋"/>
                <w:bCs/>
                <w:color w:val="000000"/>
                <w:kern w:val="2"/>
                <w:sz w:val="21"/>
                <w:szCs w:val="21"/>
                <w:lang w:val="en-US" w:eastAsia="zh-CN" w:bidi="ar-SA"/>
              </w:rPr>
            </w:pPr>
            <w:r>
              <w:rPr>
                <w:rFonts w:hint="eastAsia"/>
                <w:lang w:val="en-US" w:eastAsia="zh-CN"/>
              </w:rPr>
              <w:t xml:space="preserve">操作系统:仪器采用内置嵌入式触控操作系统，电阻式触摸屏设计，操作界面简洁明了，操作简便、人性化，配备电脑、彩色打印机。 </w:t>
            </w:r>
          </w:p>
        </w:tc>
        <w:tc>
          <w:tcPr>
            <w:tcW w:w="600" w:type="dxa"/>
            <w:vAlign w:val="center"/>
          </w:tcPr>
          <w:p>
            <w:pPr>
              <w:jc w:val="center"/>
              <w:rPr>
                <w:rFonts w:hint="default"/>
                <w:vertAlign w:val="baseline"/>
                <w:lang w:val="en-US" w:eastAsia="zh-CN"/>
              </w:rPr>
            </w:pPr>
            <w:r>
              <w:rPr>
                <w:rFonts w:hint="eastAsia"/>
                <w:vertAlign w:val="baseline"/>
                <w:lang w:val="en-US" w:eastAsia="zh-CN"/>
              </w:rPr>
              <w:t>1</w:t>
            </w:r>
          </w:p>
        </w:tc>
      </w:tr>
    </w:tbl>
    <w:p>
      <w:pPr>
        <w:rPr>
          <w:rFonts w:hint="eastAsia"/>
          <w:lang w:val="en-US" w:eastAsia="zh-CN"/>
        </w:rPr>
      </w:pPr>
    </w:p>
    <w:p>
      <w:pPr>
        <w:kinsoku/>
        <w:wordWrap/>
        <w:overflowPunct/>
        <w:autoSpaceDE/>
        <w:autoSpaceDN/>
        <w:bidi w:val="0"/>
        <w:snapToGrid w:val="0"/>
        <w:spacing w:line="560" w:lineRule="exact"/>
        <w:ind w:left="0" w:leftChars="0" w:right="0" w:rightChars="0" w:firstLine="640" w:firstLineChars="200"/>
        <w:jc w:val="both"/>
        <w:textAlignment w:val="auto"/>
        <w:rPr>
          <w:rStyle w:val="33"/>
          <w:rFonts w:hint="eastAsia" w:ascii="仿宋_GB2312" w:hAnsi="仿宋_GB2312" w:eastAsia="仿宋_GB2312"/>
          <w:kern w:val="2"/>
          <w:sz w:val="32"/>
          <w:szCs w:val="32"/>
          <w:u w:val="single"/>
          <w:lang w:val="en-US" w:eastAsia="zh-CN"/>
        </w:rPr>
      </w:pPr>
    </w:p>
    <w:p>
      <w:pPr>
        <w:spacing w:line="440" w:lineRule="exact"/>
        <w:jc w:val="left"/>
        <w:rPr>
          <w:rFonts w:hint="eastAsia" w:ascii="宋体" w:hAnsi="宋体" w:cs="宋体"/>
          <w:sz w:val="24"/>
          <w:lang w:eastAsia="zh-CN"/>
        </w:rPr>
      </w:pPr>
    </w:p>
    <w:p>
      <w:pPr>
        <w:bidi w:val="0"/>
        <w:rPr>
          <w:rFonts w:hint="eastAsia" w:ascii="宋体" w:hAnsi="宋体" w:eastAsia="宋体" w:cs="宋体"/>
          <w:b/>
          <w:color w:val="auto"/>
          <w:spacing w:val="-2"/>
          <w:sz w:val="24"/>
          <w:highlight w:val="none"/>
        </w:rPr>
      </w:pPr>
    </w:p>
    <w:p>
      <w:pPr>
        <w:bidi w:val="0"/>
        <w:jc w:val="center"/>
        <w:rPr>
          <w:rFonts w:hint="eastAsia" w:ascii="宋体" w:hAnsi="宋体" w:eastAsia="宋体" w:cs="宋体"/>
          <w:b/>
          <w:color w:val="auto"/>
          <w:sz w:val="36"/>
          <w:highlight w:val="none"/>
        </w:rPr>
      </w:pPr>
      <w:r>
        <w:rPr>
          <w:rFonts w:hint="eastAsia" w:ascii="宋体" w:hAnsi="宋体" w:eastAsia="宋体" w:cs="宋体"/>
          <w:b/>
          <w:color w:val="auto"/>
          <w:spacing w:val="-2"/>
          <w:sz w:val="24"/>
          <w:highlight w:val="none"/>
        </w:rPr>
        <w:br w:type="page"/>
      </w:r>
      <w:r>
        <w:rPr>
          <w:rFonts w:hint="eastAsia" w:ascii="宋体" w:hAnsi="宋体" w:eastAsia="宋体" w:cs="宋体"/>
          <w:b/>
          <w:color w:val="auto"/>
          <w:sz w:val="36"/>
          <w:highlight w:val="none"/>
        </w:rPr>
        <w:t>第五部分 合同部分（模板）</w:t>
      </w:r>
      <w:bookmarkEnd w:id="47"/>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24"/>
          <w:highlight w:val="none"/>
        </w:rPr>
        <w:t>合同编号：</w:t>
      </w:r>
    </w:p>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签订日期：</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签订地点:</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        </w:t>
      </w:r>
    </w:p>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乙方： </w:t>
      </w:r>
    </w:p>
    <w:p>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甲、乙双方在平等互利的基础上，按照下列条款签订本合同，合同名称、品牌、产地、数量、价格：</w:t>
      </w:r>
    </w:p>
    <w:tbl>
      <w:tblPr>
        <w:tblStyle w:val="16"/>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294"/>
        <w:gridCol w:w="303"/>
        <w:gridCol w:w="7"/>
        <w:gridCol w:w="577"/>
        <w:gridCol w:w="717"/>
        <w:gridCol w:w="7"/>
        <w:gridCol w:w="381"/>
        <w:gridCol w:w="1105"/>
        <w:gridCol w:w="1062"/>
        <w:gridCol w:w="69"/>
        <w:gridCol w:w="7"/>
        <w:gridCol w:w="961"/>
        <w:gridCol w:w="7"/>
        <w:gridCol w:w="170"/>
        <w:gridCol w:w="1065"/>
        <w:gridCol w:w="7"/>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62" w:type="dxa"/>
            <w:gridSpan w:val="2"/>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合同名称</w:t>
            </w:r>
          </w:p>
        </w:tc>
        <w:tc>
          <w:tcPr>
            <w:tcW w:w="887" w:type="dxa"/>
            <w:gridSpan w:val="3"/>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w:t>
            </w:r>
          </w:p>
        </w:tc>
        <w:tc>
          <w:tcPr>
            <w:tcW w:w="1105" w:type="dxa"/>
            <w:gridSpan w:val="3"/>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105"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生产厂家</w:t>
            </w:r>
          </w:p>
        </w:tc>
        <w:tc>
          <w:tcPr>
            <w:tcW w:w="1062" w:type="dxa"/>
            <w:noWrap w:val="0"/>
            <w:vAlign w:val="center"/>
          </w:tcPr>
          <w:p>
            <w:pPr>
              <w:spacing w:line="440" w:lineRule="exact"/>
              <w:ind w:firstLine="102" w:firstLineChars="4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14" w:type="dxa"/>
            <w:gridSpan w:val="5"/>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2405" w:type="dxa"/>
            <w:gridSpan w:val="3"/>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1862"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887" w:type="dxa"/>
            <w:gridSpan w:val="3"/>
            <w:noWrap w:val="0"/>
            <w:vAlign w:val="center"/>
          </w:tcPr>
          <w:p>
            <w:pPr>
              <w:spacing w:line="440" w:lineRule="exact"/>
              <w:rPr>
                <w:rFonts w:hint="eastAsia" w:ascii="宋体" w:hAnsi="宋体" w:eastAsia="宋体" w:cs="宋体"/>
                <w:color w:val="auto"/>
                <w:szCs w:val="21"/>
                <w:highlight w:val="none"/>
              </w:rPr>
            </w:pPr>
          </w:p>
        </w:tc>
        <w:tc>
          <w:tcPr>
            <w:tcW w:w="1105" w:type="dxa"/>
            <w:gridSpan w:val="3"/>
            <w:noWrap w:val="0"/>
            <w:vAlign w:val="center"/>
          </w:tcPr>
          <w:p>
            <w:pPr>
              <w:spacing w:line="440" w:lineRule="exact"/>
              <w:rPr>
                <w:rFonts w:hint="eastAsia" w:ascii="宋体" w:hAnsi="宋体" w:eastAsia="宋体" w:cs="宋体"/>
                <w:color w:val="auto"/>
                <w:szCs w:val="21"/>
                <w:highlight w:val="none"/>
              </w:rPr>
            </w:pPr>
          </w:p>
        </w:tc>
        <w:tc>
          <w:tcPr>
            <w:tcW w:w="1105" w:type="dxa"/>
            <w:noWrap w:val="0"/>
            <w:vAlign w:val="center"/>
          </w:tcPr>
          <w:p>
            <w:pPr>
              <w:spacing w:line="440" w:lineRule="exact"/>
              <w:rPr>
                <w:rFonts w:hint="eastAsia" w:ascii="宋体" w:hAnsi="宋体" w:eastAsia="宋体" w:cs="宋体"/>
                <w:color w:val="auto"/>
                <w:szCs w:val="21"/>
                <w:highlight w:val="none"/>
              </w:rPr>
            </w:pPr>
          </w:p>
        </w:tc>
        <w:tc>
          <w:tcPr>
            <w:tcW w:w="1062"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14" w:type="dxa"/>
            <w:gridSpan w:val="5"/>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详见清单</w:t>
            </w:r>
          </w:p>
        </w:tc>
        <w:tc>
          <w:tcPr>
            <w:tcW w:w="2405"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40" w:type="dxa"/>
            <w:gridSpan w:val="18"/>
            <w:noWrap w:val="0"/>
            <w:vAlign w:val="center"/>
          </w:tcPr>
          <w:p>
            <w:pPr>
              <w:widowControl/>
              <w:spacing w:before="100" w:beforeAutospacing="1" w:after="100" w:afterAutospacing="1"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合同总价：</w:t>
            </w:r>
            <w:r>
              <w:rPr>
                <w:rFonts w:hint="eastAsia" w:ascii="宋体" w:hAnsi="宋体" w:eastAsia="宋体" w:cs="宋体"/>
                <w:color w:val="auto"/>
                <w:kern w:val="0"/>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640" w:type="dxa"/>
            <w:gridSpan w:val="18"/>
            <w:tcBorders>
              <w:left w:val="nil"/>
              <w:right w:val="nil"/>
            </w:tcBorders>
            <w:noWrap w:val="0"/>
            <w:vAlign w:val="center"/>
          </w:tcPr>
          <w:p>
            <w:pPr>
              <w:widowControl/>
              <w:spacing w:before="100" w:beforeAutospacing="1" w:after="100" w:afterAutospacing="1"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清单明细：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1597" w:type="dxa"/>
            <w:gridSpan w:val="2"/>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分项名称</w:t>
            </w:r>
          </w:p>
        </w:tc>
        <w:tc>
          <w:tcPr>
            <w:tcW w:w="1301" w:type="dxa"/>
            <w:gridSpan w:val="3"/>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品牌及产地</w:t>
            </w:r>
          </w:p>
        </w:tc>
        <w:tc>
          <w:tcPr>
            <w:tcW w:w="2624" w:type="dxa"/>
            <w:gridSpan w:val="5"/>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规格及型号</w:t>
            </w:r>
          </w:p>
        </w:tc>
        <w:tc>
          <w:tcPr>
            <w:tcW w:w="968" w:type="dxa"/>
            <w:gridSpan w:val="2"/>
            <w:noWrap w:val="0"/>
            <w:vAlign w:val="center"/>
          </w:tcPr>
          <w:p>
            <w:pPr>
              <w:widowControl/>
              <w:spacing w:before="100" w:beforeAutospacing="1" w:after="100" w:afterAutospacing="1" w:line="440" w:lineRule="exact"/>
              <w:ind w:firstLine="205" w:firstLineChars="98"/>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数量</w:t>
            </w:r>
          </w:p>
        </w:tc>
        <w:tc>
          <w:tcPr>
            <w:tcW w:w="1242" w:type="dxa"/>
            <w:gridSpan w:val="3"/>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综合单价</w:t>
            </w:r>
          </w:p>
        </w:tc>
        <w:tc>
          <w:tcPr>
            <w:tcW w:w="1340" w:type="dxa"/>
            <w:gridSpan w:val="2"/>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分项总价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568" w:type="dxa"/>
            <w:noWrap w:val="0"/>
            <w:vAlign w:val="center"/>
          </w:tcPr>
          <w:p>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04" w:type="dxa"/>
            <w:gridSpan w:val="3"/>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301" w:type="dxa"/>
            <w:gridSpan w:val="3"/>
            <w:noWrap w:val="0"/>
            <w:vAlign w:val="center"/>
          </w:tcPr>
          <w:p>
            <w:pPr>
              <w:spacing w:line="440" w:lineRule="exact"/>
              <w:rPr>
                <w:rFonts w:hint="eastAsia" w:ascii="宋体" w:hAnsi="宋体" w:eastAsia="宋体" w:cs="宋体"/>
                <w:color w:val="auto"/>
                <w:szCs w:val="21"/>
                <w:highlight w:val="none"/>
              </w:rPr>
            </w:pPr>
          </w:p>
        </w:tc>
        <w:tc>
          <w:tcPr>
            <w:tcW w:w="2624" w:type="dxa"/>
            <w:gridSpan w:val="5"/>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968" w:type="dxa"/>
            <w:gridSpan w:val="2"/>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c>
          <w:tcPr>
            <w:tcW w:w="1242" w:type="dxa"/>
            <w:gridSpan w:val="3"/>
            <w:noWrap w:val="0"/>
            <w:vAlign w:val="center"/>
          </w:tcPr>
          <w:p>
            <w:pPr>
              <w:widowControl/>
              <w:spacing w:before="100" w:beforeAutospacing="1" w:after="100" w:afterAutospacing="1" w:line="440" w:lineRule="exact"/>
              <w:jc w:val="center"/>
              <w:rPr>
                <w:rFonts w:hint="eastAsia" w:ascii="宋体" w:hAnsi="宋体" w:eastAsia="宋体" w:cs="宋体"/>
                <w:color w:val="auto"/>
                <w:kern w:val="0"/>
                <w:szCs w:val="21"/>
                <w:highlight w:val="none"/>
              </w:rPr>
            </w:pPr>
          </w:p>
        </w:tc>
        <w:tc>
          <w:tcPr>
            <w:tcW w:w="1333" w:type="dxa"/>
            <w:noWrap w:val="0"/>
            <w:vAlign w:val="center"/>
          </w:tcPr>
          <w:p>
            <w:pPr>
              <w:widowControl/>
              <w:spacing w:before="100" w:beforeAutospacing="1" w:after="100" w:afterAutospacing="1" w:line="440" w:lineRule="exact"/>
              <w:rPr>
                <w:rFonts w:hint="eastAsia" w:ascii="宋体" w:hAnsi="宋体" w:eastAsia="宋体" w:cs="宋体"/>
                <w:color w:val="auto"/>
                <w:kern w:val="0"/>
                <w:szCs w:val="21"/>
                <w:highlight w:val="none"/>
              </w:rPr>
            </w:pPr>
          </w:p>
        </w:tc>
      </w:tr>
    </w:tbl>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产品标准:符合</w:t>
      </w:r>
      <w:r>
        <w:rPr>
          <w:rFonts w:hint="eastAsia" w:ascii="宋体" w:hAnsi="宋体" w:eastAsia="宋体" w:cs="宋体"/>
          <w:color w:val="auto"/>
          <w:sz w:val="24"/>
          <w:highlight w:val="none"/>
          <w:lang w:eastAsia="zh-CN"/>
        </w:rPr>
        <w:t>相关标准</w:t>
      </w:r>
      <w:r>
        <w:rPr>
          <w:rFonts w:hint="eastAsia" w:ascii="宋体" w:hAnsi="宋体" w:eastAsia="宋体" w:cs="宋体"/>
          <w:color w:val="auto"/>
          <w:sz w:val="24"/>
          <w:highlight w:val="none"/>
        </w:rPr>
        <w:t>的要求</w:t>
      </w:r>
      <w:r>
        <w:rPr>
          <w:rFonts w:hint="eastAsia" w:ascii="宋体" w:hAnsi="宋体" w:eastAsia="宋体" w:cs="宋体"/>
          <w:color w:val="auto"/>
          <w:sz w:val="24"/>
          <w:highlight w:val="none"/>
          <w:lang w:eastAsia="zh-CN"/>
        </w:rPr>
        <w:t>。</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乙方应采用相应标准的保护措施进行包装，并承担由于其包装不妥引起的货物锈蚀、损坏和丢失责任。</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运输及到货地点：由乙方负责运输，运至安装现场，费用包括在合同总价中。</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交货：交货时，乙方必须提供产品检验合格证书、装箱单、产品安装使用说明书等资料。</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产品技术要求：</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安装及验收：乙方必须提前一天通知甲方具体的安装时间，乙方免费负责设备的安装和调试。经甲方现场验收合格后，为验收合格。</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供货时间：</w:t>
      </w:r>
      <w:r>
        <w:rPr>
          <w:rFonts w:hint="eastAsia" w:ascii="宋体" w:hAnsi="宋体" w:eastAsia="宋体" w:cs="宋体"/>
          <w:color w:val="auto"/>
          <w:sz w:val="24"/>
          <w:highlight w:val="none"/>
          <w:lang w:val="en-US" w:eastAsia="zh-CN"/>
        </w:rPr>
        <w:t>*****</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付款方式：</w:t>
      </w:r>
      <w:r>
        <w:rPr>
          <w:rFonts w:hint="eastAsia" w:ascii="宋体" w:hAnsi="宋体" w:eastAsia="宋体" w:cs="宋体"/>
          <w:color w:val="auto"/>
          <w:sz w:val="24"/>
          <w:highlight w:val="none"/>
          <w:lang w:val="en-US" w:eastAsia="zh-CN"/>
        </w:rPr>
        <w:t>****</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质保期：安装调试验收（以甲方验收时间为准）合格后起质保</w:t>
      </w:r>
      <w:r>
        <w:rPr>
          <w:rFonts w:hint="eastAsia" w:ascii="宋体" w:hAnsi="宋体" w:cs="宋体"/>
          <w:color w:val="auto"/>
          <w:sz w:val="24"/>
          <w:highlight w:val="none"/>
          <w:lang w:val="en-US" w:eastAsia="zh-CN"/>
        </w:rPr>
        <w:t>响应甲方要求</w:t>
      </w:r>
      <w:r>
        <w:rPr>
          <w:rFonts w:hint="eastAsia" w:ascii="宋体" w:hAnsi="宋体" w:eastAsia="宋体" w:cs="宋体"/>
          <w:color w:val="auto"/>
          <w:sz w:val="24"/>
          <w:highlight w:val="none"/>
        </w:rPr>
        <w:t>。在使用期内提供原厂的售后服务。</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培训：乙方负责对甲方维修人员和使用人员进行培训。操作人员 壹 名，维修工程师 壹名，使甲方维修人员能对设备的日常维护和一般性故障的查找及故障的排除，使用人员能熟练掌握设备的各项操作。</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保修条款：产品在质保期内，如发生由于产品本身质量所引起的故障，乙方负责免费维修，并相应延长所更换或维修过的零配件保修期；乙方在接到甲方报修电话后2小时内应于应答，如电话无法解决问题乙方应安排工程师48小时内到达现场解决问题。设备在保修期内出现三次及三次以上因质量问题引起的故障，乙方负责更换同类新的产品，由此产生的一切费用乙方承担。此费用甲方可以从合同总金额</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%的质保金中直接扣除，对不足以抵偿的部分，甲方保留追索的权利。</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乙方对由于产品质量问题产生的纠纷承担一切责任，并承担相关费用。</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未能按合同规定的时间按期交货（不可抗力因素除外），核定损失比率为每迟交一天，按合同全额的1%进行罚款。如果乙方在同意延长的时间内仍不能交货，甲方有权因乙方违约并撤销合同，乙方除赔偿甲方经济损失外，仍需接受上述迟交核定损失费。</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未经甲方同意的情况下，乙方不得将合同、合同中的规定透露给任何人。</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本合同引起的任何争议，双方应尽量协商解决。</w:t>
      </w:r>
    </w:p>
    <w:p>
      <w:pPr>
        <w:numPr>
          <w:ilvl w:val="0"/>
          <w:numId w:val="7"/>
        </w:num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乙方须保证甲方在使用设备、服务及其任何一部分时不受第三方关于侵权的指控，如果出现此类情况，由乙方与第三方交涉并承担可能发生的一切经济和法律责任。</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 xml:space="preserve">     乙方：</w:t>
      </w:r>
    </w:p>
    <w:p>
      <w:pPr>
        <w:spacing w:line="440" w:lineRule="exact"/>
        <w:ind w:left="5170" w:hanging="5169" w:hangingChars="2154"/>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法人签字（盖章）：                  法人签字（盖章）：</w:t>
      </w:r>
    </w:p>
    <w:p>
      <w:pPr>
        <w:spacing w:line="440" w:lineRule="exact"/>
        <w:ind w:left="5280" w:hanging="5280" w:hangingChars="2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开户银行：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账号：</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电话：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                       年     月     日</w:t>
      </w:r>
    </w:p>
    <w:p>
      <w:pPr>
        <w:pStyle w:val="4"/>
        <w:numPr>
          <w:ilvl w:val="0"/>
          <w:numId w:val="0"/>
        </w:numPr>
        <w:spacing w:line="440" w:lineRule="exact"/>
        <w:ind w:left="3195" w:firstLine="964" w:firstLineChars="3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质疑及处理</w:t>
      </w:r>
    </w:p>
    <w:p>
      <w:pPr>
        <w:rPr>
          <w:rFonts w:hint="eastAsia" w:ascii="宋体" w:hAnsi="宋体" w:eastAsia="宋体" w:cs="宋体"/>
          <w:color w:val="auto"/>
          <w:highlight w:val="none"/>
          <w:lang w:eastAsia="zh-CN"/>
        </w:rPr>
      </w:pPr>
    </w:p>
    <w:p>
      <w:pPr>
        <w:spacing w:line="440" w:lineRule="exact"/>
        <w:ind w:firstLine="241" w:firstLineChars="100"/>
        <w:rPr>
          <w:rFonts w:hint="eastAsia" w:ascii="宋体" w:hAnsi="宋体" w:eastAsia="宋体" w:cs="宋体"/>
          <w:color w:val="auto"/>
          <w:highlight w:val="none"/>
        </w:rPr>
      </w:pPr>
      <w:r>
        <w:rPr>
          <w:rFonts w:hint="eastAsia" w:ascii="宋体" w:hAnsi="宋体" w:eastAsia="宋体" w:cs="宋体"/>
          <w:b/>
          <w:color w:val="auto"/>
          <w:sz w:val="24"/>
          <w:highlight w:val="none"/>
        </w:rPr>
        <w:t>1 质疑的提出</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1.1 质疑人必须是直接参与本次采购活动的投标人。质疑不接受邮寄。</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 对中标公告有异议的，在中标公告发布之日起</w:t>
      </w:r>
      <w:r>
        <w:rPr>
          <w:rFonts w:hint="eastAsia" w:ascii="宋体" w:hAnsi="宋体" w:cs="宋体"/>
          <w:color w:val="auto"/>
          <w:sz w:val="24"/>
          <w:highlight w:val="none"/>
          <w:lang w:eastAsia="zh-CN"/>
        </w:rPr>
        <w:t>一</w:t>
      </w:r>
      <w:r>
        <w:rPr>
          <w:rFonts w:hint="eastAsia" w:ascii="宋体" w:hAnsi="宋体" w:eastAsia="宋体" w:cs="宋体"/>
          <w:color w:val="auto"/>
          <w:sz w:val="24"/>
          <w:highlight w:val="none"/>
        </w:rPr>
        <w:t>个工作日内，以书面形式并加盖公章和法定代表人签字向招标方提出质疑。</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 提出质疑时，必须按照“实事求是”、“谁主张，谁举证”的原则，提供相关证明材料，不能主观臆测。</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1.5 质疑函采用实名制，不得进行虚假、恶意质疑。质疑人应在质疑有效期内提交《质疑函》（格式后附），质疑函内容应包括质疑人相关信息、质疑事项、事实依据、适应法规条款、佐证材料等。</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1.7 佐证材料要具备客观性、关联性、合法性，无法查实的（如宣传册、媒体报道、猜测、推理等）不能作为佐证材料。</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1.8 对不能提供相关佐证材料的、涉及商业秘密的、非书面形式送达的、匿名的质疑将不予受理。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1.9 对于有关资质要求、技术参数存在限制性、倾向性条款的及付款方式等方面的质疑，可在规定的时间内直接向采购单位提出并抄送招标方。</w:t>
      </w:r>
    </w:p>
    <w:p>
      <w:pPr>
        <w:spacing w:line="440" w:lineRule="exact"/>
        <w:ind w:firstLine="241" w:firstLineChars="100"/>
        <w:rPr>
          <w:rFonts w:hint="eastAsia" w:ascii="宋体" w:hAnsi="宋体" w:eastAsia="宋体" w:cs="宋体"/>
          <w:b/>
          <w:color w:val="auto"/>
          <w:sz w:val="24"/>
          <w:highlight w:val="none"/>
        </w:rPr>
      </w:pPr>
    </w:p>
    <w:p>
      <w:pPr>
        <w:spacing w:line="440" w:lineRule="exact"/>
        <w:ind w:firstLine="241" w:firstLineChars="100"/>
        <w:rPr>
          <w:rFonts w:hint="eastAsia" w:ascii="宋体" w:hAnsi="宋体" w:eastAsia="宋体" w:cs="宋体"/>
          <w:color w:val="auto"/>
          <w:highlight w:val="none"/>
        </w:rPr>
      </w:pPr>
      <w:r>
        <w:rPr>
          <w:rFonts w:hint="eastAsia" w:ascii="宋体" w:hAnsi="宋体" w:eastAsia="宋体" w:cs="宋体"/>
          <w:b/>
          <w:color w:val="auto"/>
          <w:sz w:val="24"/>
          <w:highlight w:val="none"/>
        </w:rPr>
        <w:t>2 受理和处理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2.1 《质疑函》必须由质疑方的法定代表人或投标代表送达招标方或采购单位。</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2.2 对符合要求的质疑，采购单位或招标方须签收。同一质疑人的质疑只接受一次。</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2.3 对于不符合上述27项所有条款要求的质疑，招标方将不予受理。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2.4 在处理过程中，发现需要质疑人进一步补充相关佐证材料的，要求质疑人在规定时间内提供。质疑人不能按照要求提供相关佐证材料的，视同放弃质疑。</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2.5 招标方或采购单位负责对质疑的回复工作，将质疑人的质疑材料提供给相关专家或评标委员会，并将处理意见回复质疑人。</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2.7.质疑须知</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投标人如需提出质疑的，应在法定质疑期内一次性提出针对同一采购程序环节的质疑。</w:t>
      </w:r>
    </w:p>
    <w:p>
      <w:pPr>
        <w:spacing w:line="440" w:lineRule="exact"/>
        <w:ind w:firstLine="241" w:firstLineChars="100"/>
        <w:rPr>
          <w:rFonts w:hint="eastAsia" w:ascii="宋体" w:hAnsi="宋体" w:eastAsia="宋体" w:cs="宋体"/>
          <w:b/>
          <w:color w:val="auto"/>
          <w:sz w:val="24"/>
          <w:highlight w:val="none"/>
        </w:rPr>
      </w:pPr>
    </w:p>
    <w:p>
      <w:pPr>
        <w:spacing w:line="440" w:lineRule="exact"/>
        <w:ind w:firstLine="241" w:firstLineChars="100"/>
        <w:rPr>
          <w:rFonts w:hint="eastAsia" w:ascii="宋体" w:hAnsi="宋体" w:eastAsia="宋体" w:cs="宋体"/>
          <w:color w:val="auto"/>
          <w:highlight w:val="none"/>
        </w:rPr>
      </w:pPr>
      <w:r>
        <w:rPr>
          <w:rFonts w:hint="eastAsia" w:ascii="宋体" w:hAnsi="宋体" w:eastAsia="宋体" w:cs="宋体"/>
          <w:b/>
          <w:color w:val="auto"/>
          <w:sz w:val="24"/>
          <w:highlight w:val="none"/>
        </w:rPr>
        <w:t>3 质疑无效的处理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3.1 质疑人提供的相关佐证材料不能证明质疑成立的，招标方可要求质疑人补充相关佐证材料，如补充材料仍不能证明质疑成立的，将不予受理。</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3.2 对于质疑人在质疑期间不配合进行质疑调查处理的，视为自动放弃质疑。</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3.3 质疑人提出的质疑，经评标专家审定后驳回的，列为无效质疑。</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3.4 对于质疑中使用虚假材料或恶意方式质疑的，按无效质疑处理，并列入不良记录供应商名单。</w:t>
      </w:r>
    </w:p>
    <w:p>
      <w:pPr>
        <w:spacing w:line="440" w:lineRule="exact"/>
        <w:rPr>
          <w:rFonts w:hint="eastAsia" w:ascii="宋体" w:hAnsi="宋体" w:eastAsia="宋体" w:cs="宋体"/>
          <w:color w:val="auto"/>
          <w:spacing w:val="-2"/>
          <w:sz w:val="24"/>
          <w:highlight w:val="none"/>
        </w:rPr>
      </w:pPr>
      <w:r>
        <w:rPr>
          <w:rFonts w:hint="eastAsia" w:ascii="宋体" w:hAnsi="宋体" w:eastAsia="宋体" w:cs="宋体"/>
          <w:color w:val="auto"/>
          <w:sz w:val="24"/>
          <w:highlight w:val="none"/>
        </w:rPr>
        <w:t>3.5质疑人进行质疑后，招标方在法定时间内对质疑进行回复，质疑人认为回复不满意的，可向政府采购管理部门进行投诉。</w:t>
      </w:r>
    </w:p>
    <w:p>
      <w:pPr>
        <w:spacing w:line="440" w:lineRule="exact"/>
        <w:jc w:val="center"/>
        <w:outlineLvl w:val="0"/>
        <w:rPr>
          <w:rFonts w:hint="eastAsia" w:ascii="宋体" w:hAnsi="宋体" w:eastAsia="宋体" w:cs="宋体"/>
          <w:b/>
          <w:color w:val="auto"/>
          <w:sz w:val="36"/>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p>
    <w:p>
      <w:pPr>
        <w:tabs>
          <w:tab w:val="left" w:pos="3777"/>
          <w:tab w:val="center" w:pos="4819"/>
        </w:tabs>
        <w:spacing w:line="44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质疑函</w:t>
      </w:r>
    </w:p>
    <w:p>
      <w:pPr>
        <w:snapToGrid w:val="0"/>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依据政府采购相关法规，我公司对</w:t>
      </w:r>
      <w:r>
        <w:rPr>
          <w:rFonts w:hint="eastAsia" w:ascii="宋体" w:hAnsi="宋体" w:eastAsia="宋体" w:cs="宋体"/>
          <w:color w:val="auto"/>
          <w:sz w:val="24"/>
          <w:highlight w:val="none"/>
          <w:u w:val="single"/>
        </w:rPr>
        <w:t xml:space="preserve">           项目的（项目编号：         </w:t>
      </w:r>
      <w:r>
        <w:rPr>
          <w:rFonts w:hint="eastAsia" w:ascii="宋体" w:hAnsi="宋体" w:eastAsia="宋体" w:cs="宋体"/>
          <w:color w:val="auto"/>
          <w:sz w:val="24"/>
          <w:highlight w:val="none"/>
        </w:rPr>
        <w:t>）招标活动存在疑问，特提出质疑（详见下表）。</w:t>
      </w:r>
    </w:p>
    <w:p>
      <w:pPr>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我公司和本人对此质疑函内容的真实性负责，并愿意承担由此引起的相应处理和法律责任。</w:t>
      </w:r>
    </w:p>
    <w:p>
      <w:pPr>
        <w:snapToGrid w:val="0"/>
        <w:spacing w:line="440" w:lineRule="exact"/>
        <w:ind w:firstLine="480" w:firstLineChars="200"/>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法定代表人（签字并盖名章）：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固话：      传真：     手机：</w:t>
      </w:r>
    </w:p>
    <w:p>
      <w:pPr>
        <w:snapToGrid w:val="0"/>
        <w:spacing w:line="440" w:lineRule="exact"/>
        <w:rPr>
          <w:rFonts w:hint="eastAsia" w:ascii="宋体" w:hAnsi="宋体" w:eastAsia="宋体" w:cs="宋体"/>
          <w:color w:val="auto"/>
          <w:sz w:val="24"/>
          <w:highlight w:val="none"/>
        </w:rPr>
      </w:pPr>
    </w:p>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本项目授权委托人（签字并盖名章）：</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p>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固话：        传真：    手机：</w:t>
      </w:r>
    </w:p>
    <w:p>
      <w:pPr>
        <w:snapToGrid w:val="0"/>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公司地址：              邮编：</w:t>
      </w:r>
    </w:p>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（如法人为质疑人则不需要填此项）</w:t>
      </w:r>
    </w:p>
    <w:p>
      <w:pPr>
        <w:spacing w:line="440" w:lineRule="exact"/>
        <w:ind w:firstLine="3000" w:firstLineChars="125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质疑人（公章）：            </w:t>
      </w:r>
    </w:p>
    <w:p>
      <w:pPr>
        <w:snapToGrid w:val="0"/>
        <w:spacing w:line="440" w:lineRule="exact"/>
        <w:jc w:val="right"/>
        <w:rPr>
          <w:rFonts w:hint="eastAsia" w:ascii="宋体" w:hAnsi="宋体" w:eastAsia="宋体" w:cs="宋体"/>
          <w:color w:val="auto"/>
          <w:sz w:val="24"/>
          <w:highlight w:val="none"/>
        </w:rPr>
      </w:pPr>
    </w:p>
    <w:p>
      <w:pPr>
        <w:snapToGrid w:val="0"/>
        <w:spacing w:line="440" w:lineRule="exact"/>
        <w:ind w:firstLine="480" w:firstLineChars="200"/>
        <w:jc w:val="right"/>
        <w:rPr>
          <w:rFonts w:hint="eastAsia" w:ascii="宋体" w:hAnsi="宋体" w:eastAsia="宋体" w:cs="宋体"/>
          <w:color w:val="auto"/>
          <w:sz w:val="24"/>
          <w:highlight w:val="none"/>
        </w:rPr>
      </w:pPr>
    </w:p>
    <w:p>
      <w:pPr>
        <w:snapToGrid w:val="0"/>
        <w:spacing w:line="440" w:lineRule="exact"/>
        <w:ind w:firstLine="480" w:firstLineChars="20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年   月   日 </w:t>
      </w:r>
    </w:p>
    <w:p>
      <w:pPr>
        <w:spacing w:line="440" w:lineRule="exact"/>
        <w:rPr>
          <w:rFonts w:hint="eastAsia" w:ascii="宋体" w:hAnsi="宋体" w:eastAsia="宋体" w:cs="宋体"/>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p>
    <w:p>
      <w:pPr>
        <w:spacing w:line="440" w:lineRule="exact"/>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质   疑  内  容</w:t>
      </w:r>
    </w:p>
    <w:p>
      <w:pPr>
        <w:spacing w:line="440" w:lineRule="exact"/>
        <w:rPr>
          <w:rFonts w:hint="eastAsia" w:ascii="宋体" w:hAnsi="宋体" w:eastAsia="宋体" w:cs="宋体"/>
          <w:color w:val="auto"/>
          <w:sz w:val="24"/>
          <w:highlight w:val="none"/>
        </w:rPr>
      </w:pPr>
    </w:p>
    <w:tbl>
      <w:tblPr>
        <w:tblStyle w:val="16"/>
        <w:tblW w:w="8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948"/>
        <w:gridCol w:w="7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1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61"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13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2" w:hRule="atLeast"/>
          <w:jc w:val="center"/>
        </w:trPr>
        <w:tc>
          <w:tcPr>
            <w:tcW w:w="513" w:type="dxa"/>
            <w:tcBorders>
              <w:top w:val="single" w:color="auto" w:sz="4" w:space="0"/>
              <w:left w:val="single" w:color="auto" w:sz="4" w:space="0"/>
              <w:bottom w:val="single" w:color="auto" w:sz="4" w:space="0"/>
              <w:right w:val="single" w:color="auto" w:sz="4" w:space="0"/>
            </w:tcBorders>
            <w:noWrap w:val="0"/>
            <w:vAlign w:val="center"/>
          </w:tcPr>
          <w:p>
            <w:pPr>
              <w:snapToGrid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具体的质疑事项及事实依据</w:t>
            </w:r>
          </w:p>
        </w:tc>
        <w:tc>
          <w:tcPr>
            <w:tcW w:w="8079" w:type="dxa"/>
            <w:gridSpan w:val="2"/>
            <w:tcBorders>
              <w:top w:val="single" w:color="auto" w:sz="4" w:space="0"/>
              <w:left w:val="single" w:color="auto" w:sz="4" w:space="0"/>
              <w:bottom w:val="single" w:color="auto" w:sz="4" w:space="0"/>
              <w:right w:val="single" w:color="auto" w:sz="4" w:space="0"/>
            </w:tcBorders>
            <w:noWrap w:val="0"/>
            <w:vAlign w:val="top"/>
          </w:tcPr>
          <w:p>
            <w:pPr>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一、质疑事项1：</w:t>
            </w:r>
          </w:p>
          <w:p>
            <w:pPr>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w:t>
            </w:r>
          </w:p>
          <w:p>
            <w:pPr>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p>
          <w:p>
            <w:pPr>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适应法规条款：</w:t>
            </w:r>
          </w:p>
          <w:p>
            <w:pPr>
              <w:snapToGrid w:val="0"/>
              <w:spacing w:line="440" w:lineRule="exact"/>
              <w:ind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佐证材料：</w:t>
            </w:r>
          </w:p>
          <w:p>
            <w:pPr>
              <w:snapToGrid w:val="0"/>
              <w:spacing w:line="440" w:lineRule="exact"/>
              <w:ind w:firstLine="518" w:firstLineChars="216"/>
              <w:jc w:val="left"/>
              <w:rPr>
                <w:rFonts w:hint="eastAsia" w:ascii="宋体" w:hAnsi="宋体" w:eastAsia="宋体" w:cs="宋体"/>
                <w:color w:val="auto"/>
                <w:sz w:val="24"/>
                <w:highlight w:val="none"/>
              </w:rPr>
            </w:pPr>
          </w:p>
          <w:p>
            <w:pPr>
              <w:snapToGrid w:val="0"/>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二、质疑事项2：</w:t>
            </w:r>
          </w:p>
          <w:p>
            <w:pPr>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主要内容：</w:t>
            </w:r>
          </w:p>
          <w:p>
            <w:pPr>
              <w:snapToGrid w:val="0"/>
              <w:spacing w:line="440" w:lineRule="exact"/>
              <w:ind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p>
          <w:p>
            <w:pPr>
              <w:snapToGrid w:val="0"/>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适应法规条款：</w:t>
            </w:r>
          </w:p>
          <w:p>
            <w:pPr>
              <w:snapToGrid w:val="0"/>
              <w:spacing w:line="440" w:lineRule="exact"/>
              <w:ind w:firstLine="518" w:firstLineChars="216"/>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佐证材料：</w:t>
            </w:r>
          </w:p>
          <w:p>
            <w:pPr>
              <w:snapToGrid w:val="0"/>
              <w:spacing w:line="440" w:lineRule="exact"/>
              <w:ind w:firstLine="518" w:firstLineChars="216"/>
              <w:jc w:val="left"/>
              <w:rPr>
                <w:rFonts w:hint="eastAsia" w:ascii="宋体" w:hAnsi="宋体" w:eastAsia="宋体" w:cs="宋体"/>
                <w:color w:val="auto"/>
                <w:sz w:val="24"/>
                <w:highlight w:val="none"/>
              </w:rPr>
            </w:pPr>
          </w:p>
          <w:p>
            <w:pPr>
              <w:spacing w:line="440" w:lineRule="exact"/>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三、同上</w:t>
            </w:r>
          </w:p>
          <w:p>
            <w:pPr>
              <w:spacing w:line="440" w:lineRule="exact"/>
              <w:ind w:firstLine="465"/>
              <w:jc w:val="left"/>
              <w:rPr>
                <w:rFonts w:hint="eastAsia" w:ascii="宋体" w:hAnsi="宋体" w:eastAsia="宋体" w:cs="宋体"/>
                <w:color w:val="auto"/>
                <w:sz w:val="24"/>
                <w:highlight w:val="none"/>
              </w:rPr>
            </w:pPr>
          </w:p>
          <w:p>
            <w:pPr>
              <w:spacing w:line="440" w:lineRule="exact"/>
              <w:ind w:firstLine="465"/>
              <w:jc w:val="left"/>
              <w:rPr>
                <w:rFonts w:hint="eastAsia" w:ascii="宋体" w:hAnsi="宋体" w:eastAsia="宋体" w:cs="宋体"/>
                <w:color w:val="auto"/>
                <w:sz w:val="24"/>
                <w:highlight w:val="none"/>
              </w:rPr>
            </w:pPr>
          </w:p>
          <w:p>
            <w:pPr>
              <w:spacing w:line="440" w:lineRule="exact"/>
              <w:ind w:firstLine="465"/>
              <w:jc w:val="left"/>
              <w:rPr>
                <w:rFonts w:hint="eastAsia" w:ascii="宋体" w:hAnsi="宋体" w:eastAsia="宋体" w:cs="宋体"/>
                <w:color w:val="auto"/>
                <w:sz w:val="24"/>
                <w:highlight w:val="none"/>
              </w:rPr>
            </w:pPr>
          </w:p>
        </w:tc>
      </w:tr>
    </w:tbl>
    <w:p>
      <w:pPr>
        <w:spacing w:line="440" w:lineRule="exact"/>
        <w:ind w:left="1058" w:hanging="1058" w:hangingChars="441"/>
        <w:rPr>
          <w:rFonts w:hint="eastAsia" w:ascii="宋体" w:hAnsi="宋体" w:eastAsia="宋体" w:cs="宋体"/>
          <w:color w:val="auto"/>
          <w:sz w:val="24"/>
          <w:highlight w:val="none"/>
        </w:rPr>
      </w:pPr>
      <w:r>
        <w:rPr>
          <w:rFonts w:hint="eastAsia" w:ascii="宋体" w:hAnsi="宋体" w:eastAsia="宋体" w:cs="宋体"/>
          <w:color w:val="auto"/>
          <w:sz w:val="24"/>
          <w:highlight w:val="none"/>
        </w:rPr>
        <w:t>备注：</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3、“具体的质疑事项及事实依据”一栏填写不下时，质疑人可另附页（A4），但附纸要求加盖质疑人公章。</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4、与质疑事项有关的材料应与质疑函合并装订。</w:t>
      </w:r>
    </w:p>
    <w:p>
      <w:pPr>
        <w:spacing w:line="440" w:lineRule="exact"/>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 质疑函一式三份。</w:t>
      </w:r>
    </w:p>
    <w:p>
      <w:pPr>
        <w:spacing w:line="440" w:lineRule="exact"/>
        <w:jc w:val="center"/>
        <w:outlineLvl w:val="0"/>
        <w:rPr>
          <w:rFonts w:hint="eastAsia" w:ascii="宋体" w:hAnsi="宋体" w:eastAsia="宋体" w:cs="宋体"/>
          <w:b/>
          <w:color w:val="auto"/>
          <w:sz w:val="36"/>
          <w:highlight w:val="none"/>
        </w:rPr>
      </w:pPr>
      <w:r>
        <w:rPr>
          <w:rFonts w:hint="eastAsia" w:ascii="宋体" w:hAnsi="宋体" w:eastAsia="宋体" w:cs="宋体"/>
          <w:b/>
          <w:color w:val="auto"/>
          <w:sz w:val="36"/>
          <w:highlight w:val="none"/>
        </w:rPr>
        <w:br w:type="page"/>
      </w:r>
      <w:bookmarkStart w:id="48" w:name="_Toc507513109"/>
      <w:r>
        <w:rPr>
          <w:rFonts w:hint="eastAsia" w:ascii="宋体" w:hAnsi="宋体" w:eastAsia="宋体" w:cs="宋体"/>
          <w:b/>
          <w:color w:val="auto"/>
          <w:sz w:val="36"/>
          <w:highlight w:val="none"/>
        </w:rPr>
        <w:t xml:space="preserve">第六部分  </w:t>
      </w:r>
      <w:bookmarkEnd w:id="48"/>
      <w:r>
        <w:rPr>
          <w:rFonts w:hint="eastAsia" w:ascii="宋体" w:hAnsi="宋体" w:eastAsia="宋体" w:cs="宋体"/>
          <w:b/>
          <w:color w:val="auto"/>
          <w:sz w:val="36"/>
          <w:highlight w:val="none"/>
        </w:rPr>
        <w:t>投标文件格式</w:t>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一、投标文件封面</w:t>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ind w:firstLine="48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（正本/副本）</w:t>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（项目名称）</w:t>
      </w:r>
    </w:p>
    <w:p>
      <w:pPr>
        <w:spacing w:line="440" w:lineRule="exact"/>
        <w:jc w:val="center"/>
        <w:rPr>
          <w:rFonts w:hint="eastAsia" w:ascii="宋体" w:hAnsi="宋体" w:eastAsia="宋体" w:cs="宋体"/>
          <w:b/>
          <w:color w:val="auto"/>
          <w:sz w:val="24"/>
          <w:szCs w:val="24"/>
          <w:highlight w:val="none"/>
        </w:rPr>
      </w:pP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投标文件</w:t>
      </w:r>
    </w:p>
    <w:p>
      <w:pPr>
        <w:spacing w:line="440" w:lineRule="exact"/>
        <w:ind w:firstLine="48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（商务标/技术标）</w:t>
      </w:r>
    </w:p>
    <w:p>
      <w:pPr>
        <w:spacing w:line="440" w:lineRule="exact"/>
        <w:ind w:firstLine="480"/>
        <w:rPr>
          <w:rFonts w:hint="eastAsia" w:ascii="宋体" w:hAnsi="宋体" w:eastAsia="宋体" w:cs="宋体"/>
          <w:color w:val="auto"/>
          <w:sz w:val="24"/>
          <w:szCs w:val="24"/>
          <w:highlight w:val="none"/>
        </w:rPr>
      </w:pPr>
    </w:p>
    <w:p>
      <w:pPr>
        <w:spacing w:line="440" w:lineRule="exact"/>
        <w:ind w:firstLine="480"/>
        <w:rPr>
          <w:rFonts w:hint="eastAsia" w:ascii="宋体" w:hAnsi="宋体" w:eastAsia="宋体" w:cs="宋体"/>
          <w:color w:val="auto"/>
          <w:sz w:val="24"/>
          <w:szCs w:val="24"/>
          <w:highlight w:val="none"/>
        </w:rPr>
      </w:pPr>
    </w:p>
    <w:p>
      <w:pPr>
        <w:spacing w:line="440" w:lineRule="exact"/>
        <w:ind w:firstLine="480"/>
        <w:rPr>
          <w:rFonts w:hint="eastAsia" w:ascii="宋体" w:hAnsi="宋体" w:eastAsia="宋体" w:cs="宋体"/>
          <w:color w:val="auto"/>
          <w:sz w:val="24"/>
          <w:szCs w:val="24"/>
          <w:highlight w:val="none"/>
        </w:rPr>
      </w:pPr>
    </w:p>
    <w:p>
      <w:pPr>
        <w:spacing w:line="440" w:lineRule="exact"/>
        <w:ind w:firstLine="480"/>
        <w:rPr>
          <w:rFonts w:hint="eastAsia" w:ascii="宋体" w:hAnsi="宋体" w:eastAsia="宋体" w:cs="宋体"/>
          <w:color w:val="auto"/>
          <w:sz w:val="24"/>
          <w:szCs w:val="24"/>
          <w:highlight w:val="none"/>
        </w:rPr>
      </w:pP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投标单位联系人：</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投标单位联系电话：：</w:t>
      </w:r>
    </w:p>
    <w:p>
      <w:pPr>
        <w:spacing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二〇  年  月</w:t>
      </w:r>
    </w:p>
    <w:p>
      <w:pPr>
        <w:spacing w:line="440" w:lineRule="exact"/>
        <w:ind w:firstLine="480"/>
        <w:rPr>
          <w:rFonts w:hint="eastAsia" w:ascii="宋体" w:hAnsi="宋体" w:eastAsia="宋体" w:cs="宋体"/>
          <w:color w:val="auto"/>
          <w:sz w:val="24"/>
          <w:szCs w:val="24"/>
          <w:highlight w:val="none"/>
        </w:rPr>
        <w:sectPr>
          <w:pgSz w:w="11850" w:h="16783"/>
          <w:pgMar w:top="1440" w:right="1080" w:bottom="1440" w:left="1080" w:header="709" w:footer="709" w:gutter="0"/>
          <w:pgNumType w:start="1"/>
          <w:cols w:space="720" w:num="1"/>
          <w:docGrid w:type="lines" w:linePitch="360" w:charSpace="0"/>
        </w:sectPr>
      </w:pP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二、商务标组成</w:t>
      </w:r>
    </w:p>
    <w:p>
      <w:pPr>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目录</w:t>
      </w:r>
    </w:p>
    <w:p>
      <w:pPr>
        <w:widowControl/>
        <w:spacing w:line="440" w:lineRule="exact"/>
        <w:jc w:val="left"/>
        <w:rPr>
          <w:rFonts w:hint="eastAsia" w:ascii="宋体" w:hAnsi="宋体" w:eastAsia="宋体" w:cs="宋体"/>
          <w:color w:val="auto"/>
          <w:sz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营业执照</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投标保证金缴纳凭证</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4</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信用记录</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关于资格的声明函（附件1-1）</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法人授权委托书（附件1-2）</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投标函（附件1-3）</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商务条款偏离表（附件1-4）</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上一年度（20</w:t>
      </w:r>
      <w:r>
        <w:rPr>
          <w:rFonts w:hint="eastAsia" w:ascii="宋体" w:hAnsi="宋体" w:cs="宋体"/>
          <w:bCs/>
          <w:color w:val="auto"/>
          <w:sz w:val="24"/>
          <w:szCs w:val="24"/>
          <w:highlight w:val="none"/>
          <w:lang w:val="en-US" w:eastAsia="zh-CN"/>
        </w:rPr>
        <w:t>20</w:t>
      </w:r>
      <w:r>
        <w:rPr>
          <w:rFonts w:hint="eastAsia" w:ascii="宋体" w:hAnsi="宋体" w:eastAsia="宋体" w:cs="宋体"/>
          <w:bCs/>
          <w:color w:val="auto"/>
          <w:sz w:val="24"/>
          <w:szCs w:val="24"/>
          <w:highlight w:val="none"/>
        </w:rPr>
        <w:t>年度）财务审计报告或财务报表</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近三年经营业绩表（附件1-</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rPr>
        <w:t>）</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 xml:space="preserve">11  </w:t>
      </w:r>
      <w:r>
        <w:rPr>
          <w:rFonts w:hint="eastAsia" w:ascii="宋体" w:hAnsi="宋体" w:eastAsia="宋体" w:cs="宋体"/>
          <w:bCs/>
          <w:color w:val="auto"/>
          <w:sz w:val="24"/>
          <w:szCs w:val="24"/>
          <w:highlight w:val="none"/>
        </w:rPr>
        <w:t>反商业贿赂承诺书（附件1-</w:t>
      </w:r>
      <w:r>
        <w:rPr>
          <w:rFonts w:hint="eastAsia" w:ascii="宋体" w:hAnsi="宋体" w:cs="宋体"/>
          <w:bCs/>
          <w:color w:val="auto"/>
          <w:sz w:val="24"/>
          <w:szCs w:val="24"/>
          <w:highlight w:val="none"/>
          <w:lang w:val="en-US" w:eastAsia="zh-CN"/>
        </w:rPr>
        <w:t>6</w:t>
      </w:r>
      <w:r>
        <w:rPr>
          <w:rFonts w:hint="eastAsia" w:ascii="宋体" w:hAnsi="宋体" w:eastAsia="宋体" w:cs="宋体"/>
          <w:bCs/>
          <w:color w:val="auto"/>
          <w:sz w:val="24"/>
          <w:szCs w:val="24"/>
          <w:highlight w:val="none"/>
        </w:rPr>
        <w:t>）</w:t>
      </w:r>
    </w:p>
    <w:p>
      <w:pPr>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开标一览表（附件1-</w:t>
      </w:r>
      <w:r>
        <w:rPr>
          <w:rFonts w:hint="eastAsia" w:ascii="宋体" w:hAnsi="宋体" w:cs="宋体"/>
          <w:bCs/>
          <w:color w:val="auto"/>
          <w:sz w:val="24"/>
          <w:szCs w:val="24"/>
          <w:highlight w:val="none"/>
          <w:lang w:val="en-US" w:eastAsia="zh-CN"/>
        </w:rPr>
        <w:t>7</w:t>
      </w:r>
      <w:r>
        <w:rPr>
          <w:rFonts w:hint="eastAsia" w:ascii="宋体" w:hAnsi="宋体" w:eastAsia="宋体" w:cs="宋体"/>
          <w:bCs/>
          <w:color w:val="auto"/>
          <w:sz w:val="24"/>
          <w:szCs w:val="24"/>
          <w:highlight w:val="none"/>
        </w:rPr>
        <w:t>）</w:t>
      </w:r>
    </w:p>
    <w:p>
      <w:pPr>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1</w:t>
      </w:r>
      <w:r>
        <w:rPr>
          <w:rFonts w:hint="eastAsia" w:ascii="宋体" w:hAnsi="宋体" w:cs="宋体"/>
          <w:bCs/>
          <w:color w:val="auto"/>
          <w:sz w:val="24"/>
          <w:szCs w:val="24"/>
          <w:highlight w:val="none"/>
          <w:lang w:val="en-US" w:eastAsia="zh-CN"/>
        </w:rPr>
        <w:t>3</w:t>
      </w:r>
      <w:r>
        <w:rPr>
          <w:rFonts w:hint="eastAsia" w:ascii="宋体" w:hAnsi="宋体" w:eastAsia="宋体" w:cs="宋体"/>
          <w:bCs/>
          <w:color w:val="auto"/>
          <w:sz w:val="24"/>
          <w:szCs w:val="24"/>
          <w:highlight w:val="none"/>
        </w:rPr>
        <w:t xml:space="preserve">  明细报价表（附件1-</w:t>
      </w:r>
      <w:r>
        <w:rPr>
          <w:rFonts w:hint="eastAsia" w:ascii="宋体" w:hAnsi="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p>
    <w:p>
      <w:pPr>
        <w:pStyle w:val="23"/>
        <w:ind w:left="0" w:leftChars="0" w:firstLine="0" w:firstLineChars="0"/>
        <w:rPr>
          <w:rFonts w:hint="default" w:eastAsia="宋体"/>
          <w:lang w:val="en-US" w:eastAsia="zh-CN"/>
        </w:rPr>
      </w:pPr>
      <w:r>
        <w:rPr>
          <w:rFonts w:hint="eastAsia"/>
          <w:lang w:val="en-US" w:eastAsia="zh-CN"/>
        </w:rPr>
        <w:t>14  质量承诺保证</w:t>
      </w:r>
      <w:r>
        <w:rPr>
          <w:rFonts w:hint="eastAsia" w:ascii="宋体" w:hAnsi="宋体" w:eastAsia="宋体" w:cs="宋体"/>
          <w:bCs/>
          <w:color w:val="auto"/>
          <w:sz w:val="24"/>
          <w:szCs w:val="24"/>
          <w:highlight w:val="none"/>
        </w:rPr>
        <w:t>（附件1-</w:t>
      </w:r>
      <w:r>
        <w:rPr>
          <w:rFonts w:hint="eastAsia"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w:t>
      </w:r>
    </w:p>
    <w:p>
      <w:pPr>
        <w:spacing w:line="440" w:lineRule="exact"/>
        <w:jc w:val="left"/>
        <w:rPr>
          <w:rFonts w:hint="eastAsia" w:ascii="宋体" w:hAnsi="宋体" w:eastAsia="宋体" w:cs="宋体"/>
          <w:bCs/>
          <w:color w:val="auto"/>
          <w:sz w:val="24"/>
          <w:szCs w:val="24"/>
          <w:highlight w:val="none"/>
        </w:rPr>
      </w:pPr>
      <w:r>
        <w:rPr>
          <w:rFonts w:hint="eastAsia" w:ascii="宋体" w:hAnsi="宋体" w:cs="宋体"/>
          <w:bCs/>
          <w:color w:val="auto"/>
          <w:sz w:val="24"/>
          <w:szCs w:val="24"/>
          <w:highlight w:val="none"/>
          <w:lang w:val="en-US" w:eastAsia="zh-CN"/>
        </w:rPr>
        <w:t>15</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招标文件中要求提交的和投标人认为需要提供的其它说明和资料。</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注：1.投标人制作投标文件，应按照投标文件组成顺序制作，编好始末页码且在投标文件目录中一一列明并对应。</w:t>
      </w: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both"/>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附件1-1  关于资格的声明函</w:t>
      </w:r>
    </w:p>
    <w:p>
      <w:pPr>
        <w:spacing w:line="440" w:lineRule="exact"/>
        <w:jc w:val="center"/>
        <w:rPr>
          <w:rFonts w:hint="eastAsia" w:ascii="宋体" w:hAnsi="宋体" w:eastAsia="宋体" w:cs="宋体"/>
          <w:b/>
          <w:color w:val="auto"/>
          <w:sz w:val="30"/>
          <w:szCs w:val="30"/>
          <w:highlight w:val="none"/>
        </w:rPr>
      </w:pPr>
    </w:p>
    <w:p>
      <w:pPr>
        <w:pStyle w:val="8"/>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pStyle w:val="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关于贵方20</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日第</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招标公告关于</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的招标项目，本签字人愿意参加投标，并有能力提供</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项目中的招标货物及相关服务，并保证所提交的所有文件和说明是真实和准确的。</w:t>
      </w:r>
    </w:p>
    <w:p>
      <w:pPr>
        <w:pStyle w:val="8"/>
        <w:spacing w:line="440" w:lineRule="exact"/>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rPr>
        <w:t>投标人：</w:t>
      </w:r>
      <w:r>
        <w:rPr>
          <w:rFonts w:hint="eastAsia" w:ascii="宋体" w:hAnsi="宋体" w:eastAsia="宋体" w:cs="宋体"/>
          <w:color w:val="auto"/>
          <w:sz w:val="24"/>
          <w:highlight w:val="none"/>
          <w:u w:val="single"/>
        </w:rPr>
        <w:t>　投标人名称　</w:t>
      </w:r>
      <w:r>
        <w:rPr>
          <w:rFonts w:hint="eastAsia" w:ascii="宋体" w:hAnsi="宋体" w:eastAsia="宋体" w:cs="宋体"/>
          <w:color w:val="auto"/>
          <w:sz w:val="24"/>
          <w:highlight w:val="none"/>
        </w:rPr>
        <w:t>　签字人姓名、职务：</w:t>
      </w:r>
      <w:r>
        <w:rPr>
          <w:rFonts w:hint="eastAsia" w:ascii="宋体" w:hAnsi="宋体" w:cs="宋体"/>
          <w:color w:val="auto"/>
          <w:sz w:val="24"/>
          <w:highlight w:val="none"/>
          <w:u w:val="single"/>
          <w:lang w:val="en-US" w:eastAsia="zh-CN"/>
        </w:rPr>
        <w:t xml:space="preserve">            </w:t>
      </w:r>
    </w:p>
    <w:p>
      <w:pPr>
        <w:pStyle w:val="8"/>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授权签署本资格文件人：</w:t>
      </w:r>
      <w:r>
        <w:rPr>
          <w:rFonts w:hint="eastAsia" w:ascii="宋体" w:hAnsi="宋体" w:eastAsia="宋体" w:cs="宋体"/>
          <w:color w:val="auto"/>
          <w:sz w:val="24"/>
          <w:highlight w:val="none"/>
          <w:u w:val="single"/>
        </w:rPr>
        <w:t>授权人姓名</w:t>
      </w:r>
    </w:p>
    <w:p>
      <w:pPr>
        <w:pStyle w:val="8"/>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w:t>
      </w:r>
    </w:p>
    <w:p>
      <w:pPr>
        <w:pStyle w:val="8"/>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　电话：</w:t>
      </w:r>
      <w:r>
        <w:rPr>
          <w:rFonts w:hint="eastAsia" w:ascii="宋体" w:hAnsi="宋体" w:eastAsia="宋体" w:cs="宋体"/>
          <w:color w:val="auto"/>
          <w:sz w:val="24"/>
          <w:highlight w:val="none"/>
          <w:u w:val="single"/>
        </w:rPr>
        <w:t>　　　　　　　　</w:t>
      </w:r>
    </w:p>
    <w:p>
      <w:pPr>
        <w:spacing w:line="440" w:lineRule="exact"/>
        <w:ind w:firstLine="6240" w:firstLineChars="26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（单位公章）</w:t>
      </w:r>
    </w:p>
    <w:p>
      <w:pPr>
        <w:spacing w:line="440" w:lineRule="exact"/>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20  年  月  日</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0"/>
          <w:szCs w:val="30"/>
          <w:highlight w:val="none"/>
        </w:rPr>
        <w:t xml:space="preserve">附件1-2  </w:t>
      </w:r>
      <w:r>
        <w:rPr>
          <w:rFonts w:hint="eastAsia" w:ascii="宋体" w:hAnsi="宋体" w:eastAsia="宋体" w:cs="宋体"/>
          <w:b/>
          <w:color w:val="auto"/>
          <w:sz w:val="32"/>
          <w:szCs w:val="32"/>
          <w:highlight w:val="none"/>
        </w:rPr>
        <w:t>法定代表人授权委托书</w:t>
      </w:r>
    </w:p>
    <w:p>
      <w:pPr>
        <w:spacing w:line="440" w:lineRule="exact"/>
        <w:jc w:val="center"/>
        <w:rPr>
          <w:rFonts w:hint="eastAsia" w:ascii="宋体" w:hAnsi="宋体" w:eastAsia="宋体" w:cs="宋体"/>
          <w:b/>
          <w:color w:val="auto"/>
          <w:sz w:val="32"/>
          <w:szCs w:val="32"/>
          <w:highlight w:val="none"/>
        </w:rPr>
      </w:pPr>
    </w:p>
    <w:p>
      <w:pPr>
        <w:autoSpaceDE w:val="0"/>
        <w:autoSpaceDN w:val="0"/>
        <w:adjustRightInd w:val="0"/>
        <w:spacing w:line="440" w:lineRule="exact"/>
        <w:ind w:firstLine="422"/>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本授权声明：注册于中华人民共和国的</w:t>
      </w:r>
      <w:r>
        <w:rPr>
          <w:rFonts w:hint="eastAsia" w:ascii="宋体" w:hAnsi="宋体" w:eastAsia="宋体" w:cs="宋体"/>
          <w:color w:val="auto"/>
          <w:sz w:val="24"/>
          <w:highlight w:val="none"/>
          <w:u w:val="single"/>
        </w:rPr>
        <w:t>（投标人名称、住址）</w:t>
      </w:r>
      <w:r>
        <w:rPr>
          <w:rFonts w:hint="eastAsia" w:ascii="宋体" w:hAnsi="宋体" w:eastAsia="宋体" w:cs="宋体"/>
          <w:color w:val="auto"/>
          <w:sz w:val="24"/>
          <w:highlight w:val="none"/>
        </w:rPr>
        <w:t>的法人代表</w:t>
      </w:r>
      <w:r>
        <w:rPr>
          <w:rFonts w:hint="eastAsia" w:ascii="宋体" w:hAnsi="宋体" w:eastAsia="宋体" w:cs="宋体"/>
          <w:color w:val="auto"/>
          <w:sz w:val="24"/>
          <w:highlight w:val="none"/>
          <w:u w:val="single"/>
        </w:rPr>
        <w:t>（法定代表人姓名、职务）</w:t>
      </w:r>
      <w:r>
        <w:rPr>
          <w:rFonts w:hint="eastAsia" w:ascii="宋体" w:hAnsi="宋体" w:eastAsia="宋体" w:cs="宋体"/>
          <w:color w:val="auto"/>
          <w:sz w:val="24"/>
          <w:highlight w:val="none"/>
        </w:rPr>
        <w:t>代表本公司授权在下面签字的</w:t>
      </w:r>
      <w:r>
        <w:rPr>
          <w:rFonts w:hint="eastAsia" w:ascii="宋体" w:hAnsi="宋体" w:eastAsia="宋体" w:cs="宋体"/>
          <w:color w:val="auto"/>
          <w:sz w:val="24"/>
          <w:highlight w:val="none"/>
          <w:u w:val="single"/>
        </w:rPr>
        <w:t>（被授权人的姓名、职务）</w:t>
      </w:r>
      <w:r>
        <w:rPr>
          <w:rFonts w:hint="eastAsia" w:ascii="宋体" w:hAnsi="宋体" w:eastAsia="宋体" w:cs="宋体"/>
          <w:color w:val="auto"/>
          <w:sz w:val="24"/>
          <w:highlight w:val="none"/>
        </w:rPr>
        <w:t>为本公司的合法代理人，就此次</w:t>
      </w:r>
      <w:r>
        <w:rPr>
          <w:rFonts w:hint="eastAsia" w:ascii="宋体" w:hAnsi="宋体" w:eastAsia="宋体" w:cs="宋体"/>
          <w:color w:val="auto"/>
          <w:kern w:val="0"/>
          <w:sz w:val="24"/>
          <w:highlight w:val="none"/>
          <w:u w:val="single"/>
        </w:rPr>
        <w:t>项目名称</w:t>
      </w:r>
      <w:r>
        <w:rPr>
          <w:rFonts w:hint="eastAsia" w:ascii="宋体" w:hAnsi="宋体" w:eastAsia="宋体" w:cs="宋体"/>
          <w:color w:val="auto"/>
          <w:sz w:val="24"/>
          <w:highlight w:val="none"/>
        </w:rPr>
        <w:t>项目，招标编号为</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的投标及合同的执行、完成和保修，以本公司名义处理一切与之有关的事务。</w:t>
      </w:r>
    </w:p>
    <w:p>
      <w:pPr>
        <w:autoSpaceDE w:val="0"/>
        <w:autoSpaceDN w:val="0"/>
        <w:adjustRightInd w:val="0"/>
        <w:spacing w:line="44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本授权书于</w:t>
      </w:r>
      <w:r>
        <w:rPr>
          <w:rFonts w:hint="eastAsia" w:ascii="宋体" w:hAnsi="宋体" w:eastAsia="宋体" w:cs="宋体"/>
          <w:color w:val="auto"/>
          <w:sz w:val="24"/>
          <w:highlight w:val="none"/>
          <w:u w:val="single"/>
        </w:rPr>
        <w:t>年月日</w:t>
      </w:r>
      <w:r>
        <w:rPr>
          <w:rFonts w:hint="eastAsia" w:ascii="宋体" w:hAnsi="宋体" w:eastAsia="宋体" w:cs="宋体"/>
          <w:color w:val="auto"/>
          <w:sz w:val="24"/>
          <w:highlight w:val="none"/>
        </w:rPr>
        <w:t>签字生效，特此声明。</w:t>
      </w:r>
    </w:p>
    <w:p>
      <w:pPr>
        <w:autoSpaceDE w:val="0"/>
        <w:autoSpaceDN w:val="0"/>
        <w:adjustRightInd w:val="0"/>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法定代表人签字</w:t>
      </w:r>
      <w:r>
        <w:rPr>
          <w:rFonts w:hint="eastAsia" w:ascii="宋体" w:hAnsi="宋体" w:cs="宋体"/>
          <w:color w:val="auto"/>
          <w:sz w:val="24"/>
          <w:highlight w:val="none"/>
          <w:lang w:eastAsia="zh-CN"/>
        </w:rPr>
        <w:t>及</w:t>
      </w:r>
      <w:r>
        <w:rPr>
          <w:rFonts w:hint="eastAsia" w:ascii="宋体" w:hAnsi="宋体" w:eastAsia="宋体" w:cs="宋体"/>
          <w:color w:val="auto"/>
          <w:sz w:val="24"/>
          <w:highlight w:val="none"/>
        </w:rPr>
        <w:t>盖章：</w:t>
      </w:r>
    </w:p>
    <w:p>
      <w:pPr>
        <w:autoSpaceDE w:val="0"/>
        <w:autoSpaceDN w:val="0"/>
        <w:adjustRightInd w:val="0"/>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代理（被授权人）签字</w:t>
      </w:r>
      <w:r>
        <w:rPr>
          <w:rFonts w:hint="eastAsia" w:ascii="宋体" w:hAnsi="宋体" w:cs="宋体"/>
          <w:color w:val="auto"/>
          <w:sz w:val="24"/>
          <w:highlight w:val="none"/>
          <w:lang w:eastAsia="zh-CN"/>
        </w:rPr>
        <w:t>及</w:t>
      </w:r>
      <w:r>
        <w:rPr>
          <w:rFonts w:hint="eastAsia" w:ascii="宋体" w:hAnsi="宋体" w:eastAsia="宋体" w:cs="宋体"/>
          <w:color w:val="auto"/>
          <w:sz w:val="24"/>
          <w:highlight w:val="none"/>
        </w:rPr>
        <w:t>盖章：</w:t>
      </w:r>
    </w:p>
    <w:p>
      <w:pPr>
        <w:autoSpaceDE w:val="0"/>
        <w:autoSpaceDN w:val="0"/>
        <w:adjustRightInd w:val="0"/>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职务：</w:t>
      </w:r>
    </w:p>
    <w:p>
      <w:pPr>
        <w:autoSpaceDE w:val="0"/>
        <w:autoSpaceDN w:val="0"/>
        <w:adjustRightInd w:val="0"/>
        <w:spacing w:line="440" w:lineRule="exact"/>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单位名称：</w:t>
      </w:r>
    </w:p>
    <w:p>
      <w:pPr>
        <w:spacing w:line="44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授权日期：20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w:t>
      </w:r>
    </w:p>
    <w:p>
      <w:pPr>
        <w:spacing w:line="440" w:lineRule="exact"/>
        <w:ind w:firstLine="480"/>
        <w:rPr>
          <w:rFonts w:hint="eastAsia" w:ascii="宋体" w:hAnsi="宋体" w:eastAsia="宋体" w:cs="宋体"/>
          <w:color w:val="auto"/>
          <w:sz w:val="24"/>
          <w:highlight w:val="none"/>
        </w:rPr>
      </w:pPr>
    </w:p>
    <w:p>
      <w:pPr>
        <w:spacing w:line="440" w:lineRule="exact"/>
        <w:ind w:firstLine="6240" w:firstLineChars="26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（单位公章）</w:t>
      </w:r>
    </w:p>
    <w:p>
      <w:pPr>
        <w:spacing w:line="440" w:lineRule="exact"/>
        <w:ind w:firstLine="6360" w:firstLineChars="2650"/>
        <w:rPr>
          <w:rFonts w:hint="eastAsia" w:ascii="宋体" w:hAnsi="宋体" w:eastAsia="宋体" w:cs="宋体"/>
          <w:color w:val="auto"/>
          <w:sz w:val="24"/>
          <w:highlight w:val="none"/>
        </w:rPr>
      </w:pPr>
      <w:r>
        <w:rPr>
          <w:rFonts w:hint="eastAsia" w:ascii="宋体" w:hAnsi="宋体" w:eastAsia="宋体" w:cs="宋体"/>
          <w:color w:val="auto"/>
          <w:sz w:val="24"/>
          <w:highlight w:val="none"/>
        </w:rPr>
        <w:t>20    年    月   日</w:t>
      </w:r>
    </w:p>
    <w:p>
      <w:pPr>
        <w:spacing w:line="440" w:lineRule="exact"/>
        <w:ind w:firstLine="482" w:firstLineChars="200"/>
        <w:rPr>
          <w:rFonts w:hint="eastAsia" w:ascii="宋体" w:hAnsi="宋体" w:eastAsia="宋体" w:cs="宋体"/>
          <w:b/>
          <w:color w:val="auto"/>
          <w:sz w:val="24"/>
          <w:highlight w:val="none"/>
          <w:em w:val="dot"/>
        </w:rPr>
      </w:pPr>
      <w:r>
        <w:rPr>
          <w:rFonts w:hint="eastAsia" w:ascii="宋体" w:hAnsi="宋体" w:eastAsia="宋体" w:cs="宋体"/>
          <w:b/>
          <w:color w:val="auto"/>
          <w:sz w:val="24"/>
          <w:highlight w:val="none"/>
          <w:em w:val="dot"/>
        </w:rPr>
        <w:t>注：参加开标会议的投标人的法定代表人或其委托代理人应携带本人身份证（原件并附复印件），委托代理人还应携带《法定代表人授权委托书》原件一份，以证明其身份。</w:t>
      </w:r>
    </w:p>
    <w:p>
      <w:pPr>
        <w:spacing w:line="440" w:lineRule="exact"/>
        <w:rPr>
          <w:rFonts w:hint="eastAsia" w:ascii="宋体" w:hAnsi="宋体" w:eastAsia="宋体" w:cs="宋体"/>
          <w:b/>
          <w:color w:val="auto"/>
          <w:sz w:val="24"/>
          <w:highlight w:val="none"/>
          <w:em w:val="dot"/>
        </w:rPr>
      </w:pPr>
    </w:p>
    <w:p>
      <w:pPr>
        <w:spacing w:line="440" w:lineRule="exact"/>
        <w:rPr>
          <w:rFonts w:hint="eastAsia" w:ascii="宋体" w:hAnsi="宋体" w:eastAsia="宋体" w:cs="宋体"/>
          <w:b/>
          <w:color w:val="auto"/>
          <w:sz w:val="24"/>
          <w:highlight w:val="none"/>
          <w:em w:val="dot"/>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106045</wp:posOffset>
                </wp:positionV>
                <wp:extent cx="2857500" cy="1584960"/>
                <wp:effectExtent l="4445" t="5080" r="14605" b="10160"/>
                <wp:wrapNone/>
                <wp:docPr id="4" name="文本框 4"/>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wps:txbx>
                      <wps:bodyPr upright="1"/>
                    </wps:wsp>
                  </a:graphicData>
                </a:graphic>
              </wp:anchor>
            </w:drawing>
          </mc:Choice>
          <mc:Fallback>
            <w:pict>
              <v:shape id="_x0000_s1026" o:spid="_x0000_s1026" o:spt="202" type="#_x0000_t202" style="position:absolute;left:0pt;margin-left:243pt;margin-top:8.35pt;height:124.8pt;width:225pt;z-index:251660288;mso-width-relative:page;mso-height-relative:page;" fillcolor="#FFFFFF" filled="t" stroked="t" coordsize="21600,21600" o:gfxdata="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K8JnHYAAAACgEAAA8AAAAAAAAA&#10;AQAgAAAAIgAAAGRycy9kb3ducmV2LnhtbFBLAQIUABQAAAAIAIdO4kAEg1mFEQIAADgEAAAOAAAA&#10;AAAAAAEAIAAAACcBAABkcnMvZTJvRG9jLnhtbFBLBQYAAAAABgAGAFkBAACqBQAAAAA=&#10;">
                <v:fill on="t" focussize="0,0"/>
                <v:stroke color="#000000" joinstyle="miter" dashstyle="1 1"/>
                <v:imagedata o:title=""/>
                <o:lock v:ext="edit" aspectratio="f"/>
                <v:textbox>
                  <w:txbxContent>
                    <w:p>
                      <w:pPr>
                        <w:jc w:val="center"/>
                      </w:pPr>
                    </w:p>
                    <w:p>
                      <w:pPr>
                        <w:rPr>
                          <w:b/>
                        </w:rPr>
                      </w:pPr>
                    </w:p>
                    <w:p>
                      <w:pPr>
                        <w:jc w:val="center"/>
                        <w:rPr>
                          <w:rFonts w:ascii="仿宋_GB2312" w:hAnsi="仿宋" w:eastAsia="仿宋_GB2312"/>
                          <w:b/>
                          <w:sz w:val="24"/>
                        </w:rPr>
                      </w:pPr>
                      <w:r>
                        <w:rPr>
                          <w:rFonts w:hint="eastAsia" w:ascii="仿宋_GB2312" w:hAnsi="仿宋" w:eastAsia="仿宋_GB2312"/>
                          <w:b/>
                          <w:sz w:val="24"/>
                        </w:rPr>
                        <w:t>此处附身份证复印件背面</w:t>
                      </w:r>
                    </w:p>
                    <w:p/>
                  </w:txbxContent>
                </v:textbox>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106045</wp:posOffset>
                </wp:positionV>
                <wp:extent cx="2857500" cy="1584960"/>
                <wp:effectExtent l="4445" t="5080" r="14605" b="10160"/>
                <wp:wrapNone/>
                <wp:docPr id="3" name="文本框 3"/>
                <wp:cNvGraphicFramePr/>
                <a:graphic xmlns:a="http://schemas.openxmlformats.org/drawingml/2006/main">
                  <a:graphicData uri="http://schemas.microsoft.com/office/word/2010/wordprocessingShape">
                    <wps:wsp>
                      <wps:cNvSpPr txBox="1"/>
                      <wps:spPr>
                        <a:xfrm>
                          <a:off x="0" y="0"/>
                          <a:ext cx="2857500" cy="1584960"/>
                        </a:xfrm>
                        <a:prstGeom prst="rect">
                          <a:avLst/>
                        </a:prstGeom>
                        <a:solidFill>
                          <a:srgbClr val="FFFFFF"/>
                        </a:solidFill>
                        <a:ln w="9525" cap="flat" cmpd="sng">
                          <a:solidFill>
                            <a:srgbClr val="000000"/>
                          </a:solidFill>
                          <a:prstDash val="sysDot"/>
                          <a:miter/>
                          <a:headEnd type="none" w="med" len="med"/>
                          <a:tailEnd type="none" w="med" len="med"/>
                        </a:ln>
                      </wps:spPr>
                      <wps:txbx>
                        <w:txbxContent>
                          <w:p>
                            <w:pPr>
                              <w:jc w:val="center"/>
                            </w:pPr>
                          </w:p>
                          <w:p>
                            <w:pPr>
                              <w:jc w:val="center"/>
                              <w:rPr>
                                <w:b/>
                              </w:rPr>
                            </w:pPr>
                          </w:p>
                          <w:p>
                            <w:pPr>
                              <w:jc w:val="center"/>
                              <w:rPr>
                                <w:rFonts w:ascii="宋体" w:hAnsi="宋体"/>
                                <w:b/>
                                <w:sz w:val="24"/>
                              </w:rPr>
                            </w:pPr>
                            <w:r>
                              <w:rPr>
                                <w:rFonts w:hint="eastAsia" w:ascii="宋体" w:hAnsi="宋体"/>
                                <w:b/>
                                <w:sz w:val="24"/>
                              </w:rPr>
                              <w:t>此处附身份证复印件正面</w:t>
                            </w:r>
                          </w:p>
                        </w:txbxContent>
                      </wps:txbx>
                      <wps:bodyPr upright="1"/>
                    </wps:wsp>
                  </a:graphicData>
                </a:graphic>
              </wp:anchor>
            </w:drawing>
          </mc:Choice>
          <mc:Fallback>
            <w:pict>
              <v:shape id="_x0000_s1026" o:spid="_x0000_s1026" o:spt="202" type="#_x0000_t202" style="position:absolute;left:0pt;margin-left:-9pt;margin-top:8.35pt;height:124.8pt;width:225pt;z-index:251659264;mso-width-relative:page;mso-height-relative:page;" fillcolor="#FFFFFF" filled="t" stroked="t" coordsize="21600,21600" o:gfxdata="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02FBdkAAAAKAQAADwAAAAAA&#10;AAABACAAAAAiAAAAZHJzL2Rvd25yZXYueG1sUEsBAhQAFAAAAAgAh07iQNwTf6YSAgAAOAQAAA4A&#10;AAAAAAAAAQAgAAAAKAEAAGRycy9lMm9Eb2MueG1sUEsFBgAAAAAGAAYAWQEAAKwFAAAAAA==&#10;">
                <v:fill on="t" focussize="0,0"/>
                <v:stroke color="#000000" joinstyle="miter" dashstyle="1 1"/>
                <v:imagedata o:title=""/>
                <o:lock v:ext="edit" aspectratio="f"/>
                <v:textbox>
                  <w:txbxContent>
                    <w:p>
                      <w:pPr>
                        <w:jc w:val="center"/>
                      </w:pPr>
                    </w:p>
                    <w:p>
                      <w:pPr>
                        <w:jc w:val="center"/>
                        <w:rPr>
                          <w:b/>
                        </w:rPr>
                      </w:pPr>
                    </w:p>
                    <w:p>
                      <w:pPr>
                        <w:jc w:val="center"/>
                        <w:rPr>
                          <w:rFonts w:ascii="宋体" w:hAnsi="宋体"/>
                          <w:b/>
                          <w:sz w:val="24"/>
                        </w:rPr>
                      </w:pPr>
                      <w:r>
                        <w:rPr>
                          <w:rFonts w:hint="eastAsia" w:ascii="宋体" w:hAnsi="宋体"/>
                          <w:b/>
                          <w:sz w:val="24"/>
                        </w:rPr>
                        <w:t>此处附身份证复印件正面</w:t>
                      </w:r>
                    </w:p>
                  </w:txbxContent>
                </v:textbox>
              </v:shape>
            </w:pict>
          </mc:Fallback>
        </mc:AlternateContent>
      </w:r>
    </w:p>
    <w:p>
      <w:pPr>
        <w:spacing w:line="440" w:lineRule="exact"/>
        <w:rPr>
          <w:rFonts w:hint="eastAsia" w:ascii="宋体" w:hAnsi="宋体" w:eastAsia="宋体" w:cs="宋体"/>
          <w:b/>
          <w:color w:val="auto"/>
          <w:sz w:val="24"/>
          <w:highlight w:val="none"/>
          <w:em w:val="dot"/>
        </w:rPr>
      </w:pPr>
    </w:p>
    <w:p>
      <w:pPr>
        <w:spacing w:line="440" w:lineRule="exact"/>
        <w:rPr>
          <w:rFonts w:hint="eastAsia" w:ascii="宋体" w:hAnsi="宋体" w:eastAsia="宋体" w:cs="宋体"/>
          <w:b/>
          <w:color w:val="auto"/>
          <w:sz w:val="24"/>
          <w:highlight w:val="none"/>
        </w:rPr>
      </w:pPr>
    </w:p>
    <w:p>
      <w:pPr>
        <w:spacing w:line="440" w:lineRule="exact"/>
        <w:rPr>
          <w:rFonts w:hint="eastAsia" w:ascii="宋体" w:hAnsi="宋体" w:eastAsia="宋体" w:cs="宋体"/>
          <w:b/>
          <w:color w:val="auto"/>
          <w:sz w:val="24"/>
          <w:highlight w:val="none"/>
        </w:rPr>
      </w:pPr>
    </w:p>
    <w:p>
      <w:pPr>
        <w:spacing w:line="440" w:lineRule="exact"/>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 xml:space="preserve">附件1-3  </w:t>
      </w:r>
      <w:r>
        <w:rPr>
          <w:rFonts w:hint="eastAsia" w:ascii="宋体" w:hAnsi="宋体" w:eastAsia="宋体" w:cs="宋体"/>
          <w:b/>
          <w:color w:val="auto"/>
          <w:sz w:val="32"/>
          <w:szCs w:val="32"/>
          <w:highlight w:val="none"/>
        </w:rPr>
        <w:t>投标函</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p>
    <w:p>
      <w:pPr>
        <w:spacing w:line="440" w:lineRule="exact"/>
        <w:ind w:firstLine="555"/>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根据贵方为项目招标的投标邀请</w:t>
      </w:r>
      <w:r>
        <w:rPr>
          <w:rFonts w:hint="eastAsia" w:ascii="宋体" w:hAnsi="宋体" w:eastAsia="宋体" w:cs="宋体"/>
          <w:color w:val="auto"/>
          <w:sz w:val="24"/>
          <w:highlight w:val="none"/>
          <w:u w:val="single"/>
        </w:rPr>
        <w:t xml:space="preserve"> 项目编号 </w:t>
      </w:r>
      <w:r>
        <w:rPr>
          <w:rFonts w:hint="eastAsia" w:ascii="宋体" w:hAnsi="宋体" w:eastAsia="宋体" w:cs="宋体"/>
          <w:color w:val="auto"/>
          <w:sz w:val="24"/>
          <w:highlight w:val="none"/>
        </w:rPr>
        <w:t>，签字代表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经正式授权并代表投标人</w:t>
      </w:r>
      <w:r>
        <w:rPr>
          <w:rFonts w:hint="eastAsia" w:ascii="宋体" w:hAnsi="宋体" w:eastAsia="宋体" w:cs="宋体"/>
          <w:color w:val="auto"/>
          <w:sz w:val="24"/>
          <w:highlight w:val="none"/>
          <w:u w:val="single"/>
        </w:rPr>
        <w:t>（投标人名称、地址）</w:t>
      </w:r>
      <w:r>
        <w:rPr>
          <w:rFonts w:hint="eastAsia" w:ascii="宋体" w:hAnsi="宋体" w:eastAsia="宋体" w:cs="宋体"/>
          <w:color w:val="auto"/>
          <w:sz w:val="24"/>
          <w:highlight w:val="none"/>
        </w:rPr>
        <w:t>对此项目进行投标。据此函，签字代表宣布并同意如下：</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1、我方同意在本项目招标文件中规定的开标日起</w:t>
      </w:r>
      <w:r>
        <w:rPr>
          <w:rFonts w:hint="eastAsia" w:ascii="宋体" w:hAnsi="宋体" w:eastAsia="宋体" w:cs="宋体"/>
          <w:color w:val="auto"/>
          <w:sz w:val="24"/>
          <w:highlight w:val="none"/>
          <w:u w:val="single"/>
        </w:rPr>
        <w:t>九十日内</w:t>
      </w:r>
      <w:r>
        <w:rPr>
          <w:rFonts w:hint="eastAsia" w:ascii="宋体" w:hAnsi="宋体" w:eastAsia="宋体" w:cs="宋体"/>
          <w:color w:val="auto"/>
          <w:sz w:val="24"/>
          <w:highlight w:val="none"/>
        </w:rPr>
        <w:t>遵守本投标文件中的承诺且在此期限期满之前均具有约束力。</w:t>
      </w:r>
    </w:p>
    <w:p>
      <w:pPr>
        <w:numPr>
          <w:ilvl w:val="0"/>
          <w:numId w:val="0"/>
        </w:numPr>
        <w:adjustRightInd w:val="0"/>
        <w:snapToGrid w:val="0"/>
        <w:spacing w:line="440" w:lineRule="exact"/>
        <w:ind w:left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2、我方承诺已经具备《中华人民共和国政府采购法》中规定的参加政府采购活动的供应商应当具备的条件：</w:t>
      </w:r>
    </w:p>
    <w:p>
      <w:pPr>
        <w:numPr>
          <w:ilvl w:val="0"/>
          <w:numId w:val="8"/>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具有独立承担民事责任的能力；</w:t>
      </w:r>
    </w:p>
    <w:p>
      <w:pPr>
        <w:numPr>
          <w:ilvl w:val="0"/>
          <w:numId w:val="8"/>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具有良好的商业信誉和健全的财务会计制度；</w:t>
      </w:r>
    </w:p>
    <w:p>
      <w:pPr>
        <w:numPr>
          <w:ilvl w:val="0"/>
          <w:numId w:val="8"/>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具有履行合同所必需的设备和专业技术能力；</w:t>
      </w:r>
    </w:p>
    <w:p>
      <w:pPr>
        <w:numPr>
          <w:ilvl w:val="0"/>
          <w:numId w:val="8"/>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有依法缴纳税收和社会保障资金的良好记录；</w:t>
      </w:r>
    </w:p>
    <w:p>
      <w:pPr>
        <w:numPr>
          <w:ilvl w:val="0"/>
          <w:numId w:val="8"/>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参加此项采购活动前三年内，在经营活动中没有重大违法记录。</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3、提供投标须知规定的全部投标文件，包括投标文件正本一份，副本</w:t>
      </w:r>
      <w:r>
        <w:rPr>
          <w:rFonts w:hint="eastAsia" w:ascii="宋体" w:hAnsi="宋体" w:cs="宋体"/>
          <w:color w:val="auto"/>
          <w:sz w:val="24"/>
          <w:highlight w:val="none"/>
          <w:lang w:eastAsia="zh-CN"/>
        </w:rPr>
        <w:t>四</w:t>
      </w:r>
      <w:r>
        <w:rPr>
          <w:rFonts w:hint="eastAsia" w:ascii="宋体" w:hAnsi="宋体" w:eastAsia="宋体" w:cs="宋体"/>
          <w:color w:val="auto"/>
          <w:sz w:val="24"/>
          <w:highlight w:val="none"/>
        </w:rPr>
        <w:t>份。</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4、保证忠实地执行双方所签订的合同，并承担合同规定的责任和义务。</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5、保证遵守招标文件的规定。</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6、如果在开标后规定的投标有效期内撤回投标，我方的投标保证金可被贵方没收。</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7、我方愿意向贵方提供任何与本项投标有关的数据、情况和技术资料。若贵方需要，我方愿意提供我方作出的一切承诺的证明材料。</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8、我方已详细审核全部投标文件，包括“修改投标文件”（如有的话）、参考资料及有关附件，确认无误。</w:t>
      </w:r>
    </w:p>
    <w:p>
      <w:pPr>
        <w:spacing w:line="44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9、</w:t>
      </w:r>
      <w:r>
        <w:rPr>
          <w:rFonts w:hint="eastAsia" w:ascii="宋体" w:hAnsi="宋体" w:eastAsia="宋体" w:cs="宋体"/>
          <w:color w:val="auto"/>
          <w:spacing w:val="-2"/>
          <w:sz w:val="24"/>
          <w:szCs w:val="24"/>
          <w:highlight w:val="none"/>
        </w:rPr>
        <w:t>若我方中标，我方承诺在领取中标通知书之前</w:t>
      </w:r>
      <w:r>
        <w:rPr>
          <w:rFonts w:hint="eastAsia" w:ascii="宋体" w:hAnsi="宋体" w:eastAsia="宋体" w:cs="宋体"/>
          <w:color w:val="auto"/>
          <w:kern w:val="0"/>
          <w:sz w:val="24"/>
          <w:highlight w:val="none"/>
        </w:rPr>
        <w:t>向甲方提供厂家授权书原件，如有特殊情况必须向甲方提出合理说明，经甲方确认后，在合理期限内提供相应产品厂家授权书原件。</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10、我方承诺接受招标文件中第五部分—合同部分的全部条款且无任何异议。</w:t>
      </w:r>
    </w:p>
    <w:p>
      <w:pPr>
        <w:adjustRightInd w:val="0"/>
        <w:snapToGrid w:val="0"/>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我方将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9"/>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提供虚假材料谋取中标、成交的；</w:t>
      </w:r>
    </w:p>
    <w:p>
      <w:pPr>
        <w:numPr>
          <w:ilvl w:val="0"/>
          <w:numId w:val="9"/>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采取不正当手段诋毁、排挤其他供应商的；</w:t>
      </w:r>
    </w:p>
    <w:p>
      <w:pPr>
        <w:numPr>
          <w:ilvl w:val="0"/>
          <w:numId w:val="9"/>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与采购人、其它供应商或者采购代理机构恶意串通的；</w:t>
      </w:r>
    </w:p>
    <w:p>
      <w:pPr>
        <w:numPr>
          <w:ilvl w:val="0"/>
          <w:numId w:val="9"/>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向采购人、采购代理机构行贿或者提供其他不正当利益的；</w:t>
      </w:r>
    </w:p>
    <w:p>
      <w:pPr>
        <w:numPr>
          <w:ilvl w:val="0"/>
          <w:numId w:val="9"/>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未经采购代理机构同意，在采购过程中与采购人进行协商谈判的；</w:t>
      </w:r>
    </w:p>
    <w:p>
      <w:pPr>
        <w:numPr>
          <w:ilvl w:val="0"/>
          <w:numId w:val="9"/>
        </w:numPr>
        <w:adjustRightInd w:val="0"/>
        <w:snapToGrid w:val="0"/>
        <w:spacing w:line="440" w:lineRule="exact"/>
        <w:ind w:left="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拒绝有关部门监督检查或提供虚假情况的。</w:t>
      </w:r>
    </w:p>
    <w:p>
      <w:pPr>
        <w:adjustRightInd w:val="0"/>
        <w:snapToGrid w:val="0"/>
        <w:spacing w:line="440" w:lineRule="exact"/>
        <w:rPr>
          <w:rFonts w:hint="eastAsia" w:ascii="宋体" w:hAnsi="宋体" w:eastAsia="宋体" w:cs="宋体"/>
          <w:color w:val="auto"/>
          <w:sz w:val="24"/>
          <w:highlight w:val="none"/>
        </w:rPr>
      </w:pPr>
    </w:p>
    <w:p>
      <w:pPr>
        <w:spacing w:line="440" w:lineRule="exact"/>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与本投标有关的一切正式往来信函请寄：</w:t>
      </w:r>
    </w:p>
    <w:p>
      <w:pPr>
        <w:spacing w:line="440" w:lineRule="exact"/>
        <w:ind w:firstLine="240" w:firstLineChars="1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single"/>
        </w:rPr>
        <w:t>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电　　　　　话：</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传真：</w:t>
      </w:r>
      <w:r>
        <w:rPr>
          <w:rFonts w:hint="eastAsia" w:ascii="宋体" w:hAnsi="宋体" w:eastAsia="宋体" w:cs="宋体"/>
          <w:color w:val="auto"/>
          <w:sz w:val="24"/>
          <w:highlight w:val="none"/>
          <w:u w:val="single"/>
        </w:rPr>
        <w:t>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投标人代表签字：</w:t>
      </w:r>
      <w:r>
        <w:rPr>
          <w:rFonts w:hint="eastAsia" w:ascii="宋体" w:hAnsi="宋体" w:eastAsia="宋体" w:cs="宋体"/>
          <w:color w:val="auto"/>
          <w:sz w:val="24"/>
          <w:highlight w:val="none"/>
          <w:u w:val="single"/>
        </w:rPr>
        <w:t>　　　　　　　　　　　　　</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投标人名称：</w:t>
      </w:r>
      <w:r>
        <w:rPr>
          <w:rFonts w:hint="eastAsia" w:ascii="宋体" w:hAnsi="宋体" w:eastAsia="宋体" w:cs="宋体"/>
          <w:color w:val="auto"/>
          <w:sz w:val="24"/>
          <w:highlight w:val="none"/>
          <w:u w:val="single"/>
        </w:rPr>
        <w:t>　　　　　　　　　　</w:t>
      </w:r>
    </w:p>
    <w:p>
      <w:pPr>
        <w:spacing w:line="440" w:lineRule="exact"/>
        <w:ind w:firstLine="6240" w:firstLineChars="26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（单位公章）</w:t>
      </w:r>
    </w:p>
    <w:p>
      <w:pPr>
        <w:spacing w:line="440" w:lineRule="exact"/>
        <w:ind w:firstLine="5880" w:firstLineChars="2450"/>
        <w:rPr>
          <w:rFonts w:hint="eastAsia" w:ascii="宋体" w:hAnsi="宋体" w:eastAsia="宋体" w:cs="宋体"/>
          <w:color w:val="auto"/>
          <w:sz w:val="24"/>
          <w:highlight w:val="none"/>
        </w:rPr>
      </w:pPr>
      <w:r>
        <w:rPr>
          <w:rFonts w:hint="eastAsia" w:ascii="宋体" w:hAnsi="宋体" w:eastAsia="宋体" w:cs="宋体"/>
          <w:color w:val="auto"/>
          <w:sz w:val="24"/>
          <w:highlight w:val="none"/>
        </w:rPr>
        <w:t>20  年  月  日</w:t>
      </w:r>
    </w:p>
    <w:p>
      <w:pPr>
        <w:adjustRightInd w:val="0"/>
        <w:snapToGrid w:val="0"/>
        <w:spacing w:line="440" w:lineRule="exact"/>
        <w:ind w:firstLine="482" w:firstLineChars="200"/>
        <w:rPr>
          <w:rFonts w:hint="eastAsia" w:ascii="宋体" w:hAnsi="宋体" w:eastAsia="宋体" w:cs="宋体"/>
          <w:b/>
          <w:color w:val="auto"/>
          <w:sz w:val="24"/>
          <w:szCs w:val="24"/>
          <w:highlight w:val="none"/>
          <w:em w:val="dot"/>
        </w:rPr>
      </w:pPr>
      <w:r>
        <w:rPr>
          <w:rFonts w:hint="eastAsia" w:ascii="宋体" w:hAnsi="宋体" w:eastAsia="宋体" w:cs="宋体"/>
          <w:b/>
          <w:color w:val="auto"/>
          <w:sz w:val="24"/>
          <w:szCs w:val="24"/>
          <w:highlight w:val="none"/>
          <w:em w:val="dot"/>
        </w:rPr>
        <w:t>注：除可填报项目外，对本投标函的任何修改将被视为非实质性响应投标，从而导致该投标被拒绝。</w:t>
      </w:r>
    </w:p>
    <w:p>
      <w:pPr>
        <w:spacing w:line="440" w:lineRule="exact"/>
        <w:jc w:val="center"/>
        <w:rPr>
          <w:rFonts w:hint="eastAsia"/>
          <w:b/>
          <w:bCs/>
          <w:sz w:val="32"/>
          <w:szCs w:val="32"/>
        </w:rPr>
      </w:pPr>
    </w:p>
    <w:p>
      <w:pPr>
        <w:spacing w:line="440" w:lineRule="exact"/>
        <w:jc w:val="center"/>
        <w:rPr>
          <w:rFonts w:hint="eastAsia"/>
          <w:b/>
          <w:bCs/>
          <w:sz w:val="32"/>
          <w:szCs w:val="32"/>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ind w:firstLine="4819" w:firstLineChars="1600"/>
        <w:rPr>
          <w:rFonts w:hint="eastAsia" w:ascii="宋体" w:hAnsi="宋体" w:eastAsia="宋体" w:cs="宋体"/>
          <w:b/>
          <w:color w:val="auto"/>
          <w:sz w:val="30"/>
          <w:szCs w:val="30"/>
          <w:highlight w:val="none"/>
        </w:rPr>
      </w:pPr>
    </w:p>
    <w:p>
      <w:pPr>
        <w:spacing w:line="440" w:lineRule="exact"/>
        <w:jc w:val="both"/>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 xml:space="preserve">附件1-4  </w:t>
      </w:r>
      <w:r>
        <w:rPr>
          <w:rFonts w:hint="eastAsia" w:ascii="宋体" w:hAnsi="宋体" w:eastAsia="宋体" w:cs="宋体"/>
          <w:b/>
          <w:color w:val="auto"/>
          <w:sz w:val="32"/>
          <w:szCs w:val="32"/>
          <w:highlight w:val="none"/>
        </w:rPr>
        <w:t>商务条款偏离表</w:t>
      </w:r>
    </w:p>
    <w:p>
      <w:pPr>
        <w:spacing w:line="440" w:lineRule="exact"/>
        <w:ind w:firstLine="120" w:firstLineChars="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602"/>
        <w:gridCol w:w="2458"/>
        <w:gridCol w:w="2885"/>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91"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02"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条目号</w:t>
            </w:r>
          </w:p>
        </w:tc>
        <w:tc>
          <w:tcPr>
            <w:tcW w:w="2458"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招标文件的商务条款</w:t>
            </w:r>
          </w:p>
        </w:tc>
        <w:tc>
          <w:tcPr>
            <w:tcW w:w="2885"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投标文件的商务条款</w:t>
            </w:r>
          </w:p>
        </w:tc>
        <w:tc>
          <w:tcPr>
            <w:tcW w:w="2018" w:type="dxa"/>
            <w:noWrap w:val="0"/>
            <w:vAlign w:val="center"/>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1</w:t>
            </w:r>
          </w:p>
        </w:tc>
        <w:tc>
          <w:tcPr>
            <w:tcW w:w="1602" w:type="dxa"/>
            <w:noWrap w:val="0"/>
            <w:vAlign w:val="top"/>
          </w:tcPr>
          <w:p>
            <w:pPr>
              <w:spacing w:line="440" w:lineRule="exact"/>
              <w:jc w:val="center"/>
              <w:rPr>
                <w:rFonts w:hint="eastAsia" w:ascii="宋体" w:hAnsi="宋体" w:eastAsia="宋体" w:cs="宋体"/>
                <w:color w:val="auto"/>
                <w:sz w:val="24"/>
                <w:highlight w:val="none"/>
              </w:rPr>
            </w:pPr>
          </w:p>
        </w:tc>
        <w:tc>
          <w:tcPr>
            <w:tcW w:w="2458" w:type="dxa"/>
            <w:noWrap w:val="0"/>
            <w:vAlign w:val="top"/>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2</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3</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center"/>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4</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center"/>
          </w:tcPr>
          <w:p>
            <w:pPr>
              <w:pStyle w:val="27"/>
              <w:spacing w:line="440" w:lineRule="exact"/>
              <w:rPr>
                <w:rFonts w:hint="eastAsia" w:ascii="宋体" w:hAnsi="宋体" w:eastAsia="宋体" w:cs="宋体"/>
                <w:color w:val="auto"/>
                <w:kern w:val="2"/>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5</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6</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napToGrid w:val="0"/>
              <w:spacing w:line="440" w:lineRule="exact"/>
              <w:ind w:firstLine="480" w:firstLineChars="200"/>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7</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napToGrid w:val="0"/>
              <w:spacing w:line="440" w:lineRule="exact"/>
              <w:rPr>
                <w:rFonts w:hint="eastAsia" w:ascii="宋体" w:hAnsi="宋体" w:eastAsia="宋体" w:cs="宋体"/>
                <w:color w:val="auto"/>
                <w:sz w:val="24"/>
                <w:szCs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8</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highlight w:val="none"/>
              </w:rPr>
              <w:t>9</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91" w:type="dxa"/>
            <w:noWrap w:val="0"/>
            <w:vAlign w:val="center"/>
          </w:tcPr>
          <w:p>
            <w:pPr>
              <w:spacing w:line="44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602" w:type="dxa"/>
            <w:noWrap w:val="0"/>
            <w:vAlign w:val="top"/>
          </w:tcPr>
          <w:p>
            <w:pPr>
              <w:spacing w:line="440" w:lineRule="exact"/>
              <w:rPr>
                <w:rFonts w:hint="eastAsia" w:ascii="宋体" w:hAnsi="宋体" w:eastAsia="宋体" w:cs="宋体"/>
                <w:color w:val="auto"/>
                <w:sz w:val="24"/>
                <w:highlight w:val="none"/>
              </w:rPr>
            </w:pPr>
          </w:p>
        </w:tc>
        <w:tc>
          <w:tcPr>
            <w:tcW w:w="2458" w:type="dxa"/>
            <w:noWrap w:val="0"/>
            <w:vAlign w:val="top"/>
          </w:tcPr>
          <w:p>
            <w:pPr>
              <w:spacing w:line="440" w:lineRule="exact"/>
              <w:rPr>
                <w:rFonts w:hint="eastAsia" w:ascii="宋体" w:hAnsi="宋体" w:eastAsia="宋体" w:cs="宋体"/>
                <w:color w:val="auto"/>
                <w:sz w:val="24"/>
                <w:highlight w:val="none"/>
              </w:rPr>
            </w:pPr>
          </w:p>
        </w:tc>
        <w:tc>
          <w:tcPr>
            <w:tcW w:w="2885" w:type="dxa"/>
            <w:noWrap w:val="0"/>
            <w:vAlign w:val="top"/>
          </w:tcPr>
          <w:p>
            <w:pPr>
              <w:spacing w:line="440" w:lineRule="exact"/>
              <w:rPr>
                <w:rFonts w:hint="eastAsia" w:ascii="宋体" w:hAnsi="宋体" w:eastAsia="宋体" w:cs="宋体"/>
                <w:color w:val="auto"/>
                <w:sz w:val="24"/>
                <w:highlight w:val="none"/>
              </w:rPr>
            </w:pPr>
          </w:p>
        </w:tc>
        <w:tc>
          <w:tcPr>
            <w:tcW w:w="2018" w:type="dxa"/>
            <w:noWrap w:val="0"/>
            <w:vAlign w:val="top"/>
          </w:tcPr>
          <w:p>
            <w:pPr>
              <w:spacing w:line="440" w:lineRule="exact"/>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投标人代表签字：</w:t>
      </w:r>
    </w:p>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20</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日　</w:t>
      </w:r>
    </w:p>
    <w:p>
      <w:pPr>
        <w:adjustRightInd w:val="0"/>
        <w:snapToGrid w:val="0"/>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30"/>
          <w:szCs w:val="30"/>
          <w:highlight w:val="none"/>
        </w:rPr>
        <w:t>附件1-</w:t>
      </w:r>
      <w:r>
        <w:rPr>
          <w:rFonts w:hint="eastAsia" w:ascii="宋体" w:hAnsi="宋体" w:cs="宋体"/>
          <w:b/>
          <w:color w:val="auto"/>
          <w:sz w:val="30"/>
          <w:szCs w:val="30"/>
          <w:highlight w:val="none"/>
          <w:lang w:val="en-US" w:eastAsia="zh-CN"/>
        </w:rPr>
        <w:t>5</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2"/>
          <w:szCs w:val="32"/>
          <w:highlight w:val="none"/>
        </w:rPr>
        <w:t>近三年经营业绩表</w:t>
      </w:r>
    </w:p>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8"/>
        <w:gridCol w:w="3763"/>
        <w:gridCol w:w="2154"/>
        <w:gridCol w:w="1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地区</w:t>
            </w:r>
          </w:p>
        </w:tc>
        <w:tc>
          <w:tcPr>
            <w:tcW w:w="3763"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2154"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tc>
        <w:tc>
          <w:tcPr>
            <w:tcW w:w="1719"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highlight w:val="none"/>
              </w:rPr>
            </w:pPr>
          </w:p>
        </w:tc>
        <w:tc>
          <w:tcPr>
            <w:tcW w:w="3763" w:type="dxa"/>
            <w:noWrap w:val="0"/>
            <w:vAlign w:val="top"/>
          </w:tcPr>
          <w:p>
            <w:pPr>
              <w:spacing w:line="440" w:lineRule="exact"/>
              <w:jc w:val="center"/>
              <w:rPr>
                <w:rFonts w:hint="eastAsia" w:ascii="宋体" w:hAnsi="宋体" w:eastAsia="宋体" w:cs="宋体"/>
                <w:color w:val="auto"/>
                <w:sz w:val="24"/>
                <w:highlight w:val="none"/>
              </w:rPr>
            </w:pPr>
          </w:p>
        </w:tc>
        <w:tc>
          <w:tcPr>
            <w:tcW w:w="2154" w:type="dxa"/>
            <w:noWrap w:val="0"/>
            <w:vAlign w:val="top"/>
          </w:tcPr>
          <w:p>
            <w:pPr>
              <w:spacing w:line="440" w:lineRule="exact"/>
              <w:jc w:val="center"/>
              <w:rPr>
                <w:rFonts w:hint="eastAsia" w:ascii="宋体" w:hAnsi="宋体" w:eastAsia="宋体" w:cs="宋体"/>
                <w:color w:val="auto"/>
                <w:sz w:val="24"/>
                <w:highlight w:val="none"/>
              </w:rPr>
            </w:pPr>
          </w:p>
        </w:tc>
        <w:tc>
          <w:tcPr>
            <w:tcW w:w="1719"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218" w:type="dxa"/>
            <w:noWrap w:val="0"/>
            <w:vAlign w:val="top"/>
          </w:tcPr>
          <w:p>
            <w:pPr>
              <w:spacing w:line="440" w:lineRule="exact"/>
              <w:jc w:val="center"/>
              <w:rPr>
                <w:rFonts w:hint="eastAsia" w:ascii="宋体" w:hAnsi="宋体" w:eastAsia="宋体" w:cs="宋体"/>
                <w:color w:val="auto"/>
                <w:sz w:val="24"/>
                <w:highlight w:val="none"/>
              </w:rPr>
            </w:pPr>
          </w:p>
        </w:tc>
        <w:tc>
          <w:tcPr>
            <w:tcW w:w="3763" w:type="dxa"/>
            <w:noWrap w:val="0"/>
            <w:vAlign w:val="top"/>
          </w:tcPr>
          <w:p>
            <w:pPr>
              <w:spacing w:line="440" w:lineRule="exact"/>
              <w:jc w:val="center"/>
              <w:rPr>
                <w:rFonts w:hint="eastAsia" w:ascii="宋体" w:hAnsi="宋体" w:eastAsia="宋体" w:cs="宋体"/>
                <w:color w:val="auto"/>
                <w:sz w:val="24"/>
                <w:highlight w:val="none"/>
              </w:rPr>
            </w:pPr>
          </w:p>
        </w:tc>
        <w:tc>
          <w:tcPr>
            <w:tcW w:w="2154" w:type="dxa"/>
            <w:noWrap w:val="0"/>
            <w:vAlign w:val="top"/>
          </w:tcPr>
          <w:p>
            <w:pPr>
              <w:spacing w:line="440" w:lineRule="exact"/>
              <w:jc w:val="center"/>
              <w:rPr>
                <w:rFonts w:hint="eastAsia" w:ascii="宋体" w:hAnsi="宋体" w:eastAsia="宋体" w:cs="宋体"/>
                <w:color w:val="auto"/>
                <w:sz w:val="24"/>
                <w:highlight w:val="none"/>
              </w:rPr>
            </w:pPr>
          </w:p>
        </w:tc>
        <w:tc>
          <w:tcPr>
            <w:tcW w:w="1719"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highlight w:val="none"/>
              </w:rPr>
            </w:pPr>
          </w:p>
        </w:tc>
        <w:tc>
          <w:tcPr>
            <w:tcW w:w="3763" w:type="dxa"/>
            <w:noWrap w:val="0"/>
            <w:vAlign w:val="top"/>
          </w:tcPr>
          <w:p>
            <w:pPr>
              <w:spacing w:line="440" w:lineRule="exact"/>
              <w:jc w:val="center"/>
              <w:rPr>
                <w:rFonts w:hint="eastAsia" w:ascii="宋体" w:hAnsi="宋体" w:eastAsia="宋体" w:cs="宋体"/>
                <w:color w:val="auto"/>
                <w:sz w:val="24"/>
                <w:highlight w:val="none"/>
              </w:rPr>
            </w:pPr>
          </w:p>
        </w:tc>
        <w:tc>
          <w:tcPr>
            <w:tcW w:w="2154" w:type="dxa"/>
            <w:noWrap w:val="0"/>
            <w:vAlign w:val="top"/>
          </w:tcPr>
          <w:p>
            <w:pPr>
              <w:spacing w:line="440" w:lineRule="exact"/>
              <w:jc w:val="center"/>
              <w:rPr>
                <w:rFonts w:hint="eastAsia" w:ascii="宋体" w:hAnsi="宋体" w:eastAsia="宋体" w:cs="宋体"/>
                <w:color w:val="auto"/>
                <w:sz w:val="24"/>
                <w:highlight w:val="none"/>
              </w:rPr>
            </w:pPr>
          </w:p>
        </w:tc>
        <w:tc>
          <w:tcPr>
            <w:tcW w:w="1719" w:type="dxa"/>
            <w:noWrap w:val="0"/>
            <w:vAlign w:val="top"/>
          </w:tcPr>
          <w:p>
            <w:pPr>
              <w:spacing w:line="440" w:lineRule="exact"/>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2218"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3763"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2154"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9" w:type="dxa"/>
            <w:noWrap w:val="0"/>
            <w:vAlign w:val="top"/>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附合同或中标通知书。</w:t>
      </w: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p>
    <w:p>
      <w:pPr>
        <w:spacing w:before="166" w:beforeLines="50" w:after="166" w:afterLines="50"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附件1-</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 xml:space="preserve">  反商业贿赂承诺书</w:t>
      </w:r>
    </w:p>
    <w:p>
      <w:pPr>
        <w:pStyle w:val="8"/>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我公司承诺在</w:t>
      </w:r>
      <w:r>
        <w:rPr>
          <w:rFonts w:hint="eastAsia" w:ascii="宋体" w:hAnsi="宋体" w:eastAsia="宋体" w:cs="宋体"/>
          <w:color w:val="auto"/>
          <w:sz w:val="24"/>
          <w:highlight w:val="none"/>
          <w:u w:val="single"/>
        </w:rPr>
        <w:t>（项目名称、项目编号）</w:t>
      </w:r>
      <w:r>
        <w:rPr>
          <w:rFonts w:hint="eastAsia" w:ascii="宋体" w:hAnsi="宋体" w:eastAsia="宋体" w:cs="宋体"/>
          <w:color w:val="auto"/>
          <w:sz w:val="24"/>
          <w:highlight w:val="none"/>
        </w:rPr>
        <w:t>招标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8"/>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公司法人代表</w:t>
      </w:r>
      <w:r>
        <w:rPr>
          <w:rFonts w:hint="eastAsia" w:ascii="宋体" w:hAnsi="宋体" w:cs="宋体"/>
          <w:color w:val="auto"/>
          <w:sz w:val="24"/>
          <w:highlight w:val="none"/>
          <w:lang w:eastAsia="zh-CN"/>
        </w:rPr>
        <w:t>签字及盖章</w:t>
      </w:r>
      <w:r>
        <w:rPr>
          <w:rFonts w:hint="eastAsia" w:ascii="宋体" w:hAnsi="宋体" w:eastAsia="宋体" w:cs="宋体"/>
          <w:color w:val="auto"/>
          <w:sz w:val="24"/>
          <w:highlight w:val="none"/>
        </w:rPr>
        <w:t>：</w:t>
      </w:r>
    </w:p>
    <w:p>
      <w:pPr>
        <w:pStyle w:val="8"/>
        <w:spacing w:line="440" w:lineRule="exact"/>
        <w:ind w:firstLine="482"/>
        <w:rPr>
          <w:rFonts w:hint="eastAsia" w:ascii="宋体" w:hAnsi="宋体" w:eastAsia="宋体" w:cs="宋体"/>
          <w:color w:val="auto"/>
          <w:sz w:val="24"/>
          <w:highlight w:val="none"/>
        </w:rPr>
      </w:pPr>
      <w:r>
        <w:rPr>
          <w:rFonts w:hint="eastAsia" w:ascii="宋体" w:hAnsi="宋体" w:eastAsia="宋体" w:cs="宋体"/>
          <w:color w:val="auto"/>
          <w:sz w:val="24"/>
          <w:highlight w:val="none"/>
        </w:rPr>
        <w:t>法人授权代表</w:t>
      </w:r>
      <w:r>
        <w:rPr>
          <w:rFonts w:hint="eastAsia" w:ascii="宋体" w:hAnsi="宋体" w:cs="宋体"/>
          <w:color w:val="auto"/>
          <w:sz w:val="24"/>
          <w:highlight w:val="none"/>
          <w:lang w:eastAsia="zh-CN"/>
        </w:rPr>
        <w:t>签字或盖章</w:t>
      </w:r>
      <w:r>
        <w:rPr>
          <w:rFonts w:hint="eastAsia" w:ascii="宋体" w:hAnsi="宋体" w:eastAsia="宋体" w:cs="宋体"/>
          <w:color w:val="auto"/>
          <w:sz w:val="24"/>
          <w:highlight w:val="none"/>
        </w:rPr>
        <w:t>：</w:t>
      </w:r>
    </w:p>
    <w:p>
      <w:pPr>
        <w:pStyle w:val="8"/>
        <w:spacing w:line="44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spacing w:line="440" w:lineRule="exact"/>
        <w:ind w:firstLine="3024" w:firstLineChars="1440"/>
        <w:rPr>
          <w:rFonts w:hint="eastAsia" w:ascii="宋体" w:hAnsi="宋体" w:eastAsia="宋体" w:cs="宋体"/>
          <w:b/>
          <w:bCs/>
          <w:color w:val="auto"/>
          <w:sz w:val="30"/>
          <w:szCs w:val="30"/>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附件1-</w:t>
      </w:r>
      <w:r>
        <w:rPr>
          <w:rFonts w:hint="eastAsia" w:ascii="宋体" w:hAnsi="宋体" w:cs="宋体"/>
          <w:b/>
          <w:color w:val="auto"/>
          <w:sz w:val="30"/>
          <w:szCs w:val="30"/>
          <w:highlight w:val="none"/>
          <w:lang w:val="en-US" w:eastAsia="zh-CN"/>
        </w:rPr>
        <w:t>7</w:t>
      </w:r>
      <w:r>
        <w:rPr>
          <w:rFonts w:hint="eastAsia" w:ascii="宋体" w:hAnsi="宋体" w:eastAsia="宋体" w:cs="宋体"/>
          <w:b/>
          <w:color w:val="auto"/>
          <w:sz w:val="30"/>
          <w:szCs w:val="30"/>
          <w:highlight w:val="none"/>
        </w:rPr>
        <w:t xml:space="preserve">  </w:t>
      </w:r>
      <w:r>
        <w:rPr>
          <w:rFonts w:hint="eastAsia" w:ascii="宋体" w:hAnsi="宋体" w:eastAsia="宋体" w:cs="宋体"/>
          <w:b/>
          <w:bCs/>
          <w:color w:val="auto"/>
          <w:sz w:val="30"/>
          <w:szCs w:val="30"/>
          <w:highlight w:val="none"/>
        </w:rPr>
        <w:t>开标一览表</w:t>
      </w:r>
    </w:p>
    <w:p>
      <w:pPr>
        <w:pStyle w:val="26"/>
        <w:spacing w:line="440" w:lineRule="exact"/>
        <w:ind w:left="210" w:leftChars="-86" w:hanging="391" w:hangingChars="163"/>
        <w:jc w:val="both"/>
        <w:rPr>
          <w:rFonts w:hint="eastAsia" w:ascii="宋体" w:hAnsi="宋体" w:eastAsia="宋体" w:cs="宋体"/>
          <w:color w:val="auto"/>
          <w:highlight w:val="none"/>
        </w:rPr>
      </w:pPr>
      <w:r>
        <w:rPr>
          <w:rFonts w:hint="eastAsia" w:ascii="宋体" w:hAnsi="宋体" w:eastAsia="宋体" w:cs="宋体"/>
          <w:color w:val="auto"/>
          <w:highlight w:val="none"/>
        </w:rPr>
        <w:t xml:space="preserve">招标项目名称：                          招标编号：    </w:t>
      </w:r>
    </w:p>
    <w:p>
      <w:pPr>
        <w:pStyle w:val="26"/>
        <w:spacing w:line="440" w:lineRule="exact"/>
        <w:ind w:left="210" w:leftChars="-86" w:hanging="391" w:hangingChars="163"/>
        <w:jc w:val="both"/>
        <w:rPr>
          <w:rFonts w:hint="eastAsia" w:ascii="宋体" w:hAnsi="宋体" w:eastAsia="宋体" w:cs="宋体"/>
          <w:color w:val="auto"/>
          <w:highlight w:val="none"/>
          <w:u w:val="single"/>
        </w:rPr>
      </w:pPr>
      <w:r>
        <w:rPr>
          <w:rFonts w:hint="eastAsia" w:ascii="宋体" w:hAnsi="宋体" w:eastAsia="宋体" w:cs="宋体"/>
          <w:color w:val="auto"/>
          <w:highlight w:val="none"/>
        </w:rPr>
        <w:t>投标单位名称：</w:t>
      </w:r>
      <w:r>
        <w:rPr>
          <w:rFonts w:hint="eastAsia" w:ascii="宋体" w:hAnsi="宋体" w:eastAsia="宋体" w:cs="宋体"/>
          <w:color w:val="auto"/>
          <w:highlight w:val="none"/>
          <w:u w:val="single"/>
        </w:rPr>
        <w:t xml:space="preserve">                        </w:t>
      </w:r>
    </w:p>
    <w:p>
      <w:pPr>
        <w:pStyle w:val="26"/>
        <w:spacing w:line="440" w:lineRule="exact"/>
        <w:ind w:left="210" w:leftChars="-86" w:hanging="391" w:hangingChars="163"/>
        <w:jc w:val="both"/>
        <w:rPr>
          <w:rFonts w:hint="eastAsia" w:ascii="宋体" w:hAnsi="宋体" w:eastAsia="宋体" w:cs="宋体"/>
          <w:color w:val="auto"/>
          <w:highlight w:val="none"/>
        </w:rPr>
      </w:pP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tbl>
      <w:tblPr>
        <w:tblStyle w:val="16"/>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2"/>
        <w:gridCol w:w="1835"/>
        <w:gridCol w:w="2741"/>
        <w:gridCol w:w="1333"/>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2741" w:type="dxa"/>
            <w:noWrap w:val="0"/>
            <w:vAlign w:val="center"/>
          </w:tcPr>
          <w:p>
            <w:pPr>
              <w:pStyle w:val="9"/>
              <w:spacing w:line="440" w:lineRule="exact"/>
              <w:jc w:val="center"/>
              <w:rPr>
                <w:rFonts w:hint="eastAsia" w:ascii="宋体" w:hAnsi="宋体" w:eastAsia="宋体" w:cs="宋体"/>
                <w:color w:val="auto"/>
                <w:sz w:val="24"/>
                <w:szCs w:val="24"/>
                <w:highlight w:val="none"/>
              </w:rPr>
            </w:pPr>
          </w:p>
        </w:tc>
        <w:tc>
          <w:tcPr>
            <w:tcW w:w="1333"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1859" w:type="dxa"/>
            <w:noWrap w:val="0"/>
            <w:vAlign w:val="center"/>
          </w:tcPr>
          <w:p>
            <w:pPr>
              <w:pStyle w:val="9"/>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包号</w:t>
            </w:r>
          </w:p>
        </w:tc>
        <w:tc>
          <w:tcPr>
            <w:tcW w:w="5933" w:type="dxa"/>
            <w:gridSpan w:val="3"/>
            <w:noWrap w:val="0"/>
            <w:vAlign w:val="center"/>
          </w:tcPr>
          <w:p>
            <w:pPr>
              <w:pStyle w:val="9"/>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4" w:hRule="atLeast"/>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总报价人民币</w:t>
            </w:r>
          </w:p>
        </w:tc>
        <w:tc>
          <w:tcPr>
            <w:tcW w:w="5933" w:type="dxa"/>
            <w:gridSpan w:val="3"/>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大写：人民币 ______元</w:t>
            </w:r>
          </w:p>
          <w:p>
            <w:pPr>
              <w:pStyle w:val="9"/>
              <w:spacing w:line="440" w:lineRule="exact"/>
              <w:ind w:firstLine="1560" w:firstLineChars="6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小写：¥ </w:t>
            </w:r>
            <w:r>
              <w:rPr>
                <w:rFonts w:hint="eastAsia" w:ascii="宋体" w:hAnsi="宋体" w:eastAsia="宋体" w:cs="宋体"/>
                <w:color w:val="auto"/>
                <w:sz w:val="24"/>
                <w:szCs w:val="24"/>
                <w:highlight w:val="none"/>
                <w:u w:val="single"/>
              </w:rPr>
              <w:t>_____  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 </w:t>
            </w: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w:t>
            </w:r>
          </w:p>
        </w:tc>
        <w:tc>
          <w:tcPr>
            <w:tcW w:w="5933" w:type="dxa"/>
            <w:gridSpan w:val="3"/>
            <w:noWrap w:val="0"/>
            <w:vAlign w:val="center"/>
          </w:tcPr>
          <w:p>
            <w:pPr>
              <w:pStyle w:val="9"/>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w:t>
            </w:r>
          </w:p>
        </w:tc>
        <w:tc>
          <w:tcPr>
            <w:tcW w:w="5933" w:type="dxa"/>
            <w:gridSpan w:val="3"/>
            <w:noWrap w:val="0"/>
            <w:vAlign w:val="center"/>
          </w:tcPr>
          <w:p>
            <w:pPr>
              <w:pStyle w:val="9"/>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5933" w:type="dxa"/>
            <w:gridSpan w:val="3"/>
            <w:noWrap w:val="0"/>
            <w:vAlign w:val="center"/>
          </w:tcPr>
          <w:p>
            <w:pPr>
              <w:pStyle w:val="9"/>
              <w:spacing w:line="440" w:lineRule="exact"/>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2" w:type="dxa"/>
            <w:noWrap w:val="0"/>
            <w:vAlign w:val="center"/>
          </w:tcPr>
          <w:p>
            <w:pPr>
              <w:pStyle w:val="9"/>
              <w:spacing w:line="440" w:lineRule="exact"/>
              <w:jc w:val="center"/>
              <w:rPr>
                <w:rFonts w:hint="eastAsia" w:ascii="宋体" w:hAnsi="宋体" w:eastAsia="宋体" w:cs="宋体"/>
                <w:color w:val="auto"/>
                <w:sz w:val="24"/>
                <w:szCs w:val="24"/>
                <w:highlight w:val="none"/>
              </w:rPr>
            </w:pPr>
          </w:p>
        </w:tc>
        <w:tc>
          <w:tcPr>
            <w:tcW w:w="1835" w:type="dxa"/>
            <w:noWrap w:val="0"/>
            <w:vAlign w:val="center"/>
          </w:tcPr>
          <w:p>
            <w:pPr>
              <w:pStyle w:val="9"/>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33" w:type="dxa"/>
            <w:gridSpan w:val="3"/>
            <w:noWrap w:val="0"/>
            <w:vAlign w:val="center"/>
          </w:tcPr>
          <w:p>
            <w:pPr>
              <w:pStyle w:val="9"/>
              <w:spacing w:line="440" w:lineRule="exact"/>
              <w:jc w:val="center"/>
              <w:rPr>
                <w:rFonts w:hint="eastAsia" w:ascii="宋体" w:hAnsi="宋体" w:eastAsia="宋体" w:cs="宋体"/>
                <w:color w:val="auto"/>
                <w:sz w:val="24"/>
                <w:szCs w:val="24"/>
                <w:highlight w:val="none"/>
              </w:rPr>
            </w:pPr>
          </w:p>
        </w:tc>
      </w:tr>
    </w:tbl>
    <w:p>
      <w:pPr>
        <w:pStyle w:val="26"/>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兹声明：以上投标报价在投标有效期内一直有效。</w:t>
      </w: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pPr>
        <w:pStyle w:val="30"/>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cs="宋体"/>
          <w:b w:val="0"/>
          <w:color w:val="auto"/>
          <w:sz w:val="24"/>
          <w:szCs w:val="24"/>
          <w:highlight w:val="none"/>
          <w:lang w:eastAsia="zh-CN"/>
        </w:rPr>
        <w:t>法人及</w:t>
      </w:r>
      <w:r>
        <w:rPr>
          <w:rFonts w:hint="eastAsia" w:ascii="宋体" w:hAnsi="宋体" w:eastAsia="宋体" w:cs="宋体"/>
          <w:b w:val="0"/>
          <w:color w:val="auto"/>
          <w:sz w:val="24"/>
          <w:szCs w:val="24"/>
          <w:highlight w:val="none"/>
        </w:rPr>
        <w:t>代理（被授权人）签字：</w:t>
      </w:r>
      <w:r>
        <w:rPr>
          <w:rFonts w:hint="eastAsia" w:ascii="宋体" w:hAnsi="宋体" w:eastAsia="宋体" w:cs="宋体"/>
          <w:b w:val="0"/>
          <w:color w:val="auto"/>
          <w:sz w:val="24"/>
          <w:szCs w:val="24"/>
          <w:highlight w:val="none"/>
          <w:u w:val="single"/>
        </w:rPr>
        <w:t xml:space="preserve">       </w:t>
      </w:r>
      <w:r>
        <w:rPr>
          <w:rFonts w:hint="eastAsia"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rPr>
        <w:t xml:space="preserve">   </w:t>
      </w:r>
      <w:r>
        <w:rPr>
          <w:rFonts w:hint="eastAsia" w:cs="宋体"/>
          <w:b w:val="0"/>
          <w:color w:val="auto"/>
          <w:sz w:val="24"/>
          <w:szCs w:val="24"/>
          <w:highlight w:val="none"/>
          <w:u w:val="single"/>
          <w:lang w:eastAsia="zh-CN"/>
        </w:rPr>
        <w:t>、</w:t>
      </w:r>
      <w:r>
        <w:rPr>
          <w:rFonts w:hint="eastAsia" w:cs="宋体"/>
          <w:b w:val="0"/>
          <w:color w:val="auto"/>
          <w:sz w:val="24"/>
          <w:szCs w:val="24"/>
          <w:highlight w:val="none"/>
          <w:u w:val="single"/>
          <w:lang w:val="en-US" w:eastAsia="zh-CN"/>
        </w:rPr>
        <w:t xml:space="preserve">   </w:t>
      </w:r>
      <w:r>
        <w:rPr>
          <w:rFonts w:hint="eastAsia" w:ascii="宋体" w:hAnsi="宋体" w:eastAsia="宋体" w:cs="宋体"/>
          <w:b w:val="0"/>
          <w:color w:val="auto"/>
          <w:sz w:val="24"/>
          <w:szCs w:val="24"/>
          <w:highlight w:val="none"/>
          <w:u w:val="single"/>
        </w:rPr>
        <w:t xml:space="preserve">        </w:t>
      </w:r>
    </w:p>
    <w:p>
      <w:pPr>
        <w:pStyle w:val="30"/>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p>
    <w:p>
      <w:pPr>
        <w:pStyle w:val="30"/>
        <w:keepNext w:val="0"/>
        <w:keepLines w:val="0"/>
        <w:adjustRightInd/>
        <w:spacing w:before="0" w:line="440" w:lineRule="exact"/>
        <w:textAlignment w:val="auto"/>
        <w:outlineLvl w:val="9"/>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b w:val="0"/>
          <w:color w:val="auto"/>
          <w:sz w:val="24"/>
          <w:szCs w:val="24"/>
          <w:highlight w:val="none"/>
        </w:rPr>
        <w:t>1、此表需密封后另外单独提交一份。</w:t>
      </w:r>
    </w:p>
    <w:p>
      <w:pPr>
        <w:pStyle w:val="26"/>
        <w:spacing w:line="440" w:lineRule="exact"/>
        <w:ind w:firstLine="480" w:firstLineChars="20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2、本表格式不得更改，投标人只能按要求填报，否则将被视为无效投标。</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highlight w:val="none"/>
        </w:rPr>
        <w:br w:type="page"/>
      </w:r>
      <w:r>
        <w:rPr>
          <w:rFonts w:hint="eastAsia" w:ascii="宋体" w:hAnsi="宋体" w:eastAsia="宋体" w:cs="宋体"/>
          <w:b/>
          <w:color w:val="auto"/>
          <w:sz w:val="30"/>
          <w:szCs w:val="30"/>
          <w:highlight w:val="none"/>
        </w:rPr>
        <w:t>附件1-</w:t>
      </w:r>
      <w:r>
        <w:rPr>
          <w:rFonts w:hint="eastAsia" w:ascii="宋体" w:hAnsi="宋体" w:cs="宋体"/>
          <w:b/>
          <w:color w:val="auto"/>
          <w:sz w:val="30"/>
          <w:szCs w:val="30"/>
          <w:highlight w:val="none"/>
          <w:lang w:val="en-US" w:eastAsia="zh-CN"/>
        </w:rPr>
        <w:t>8</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2"/>
          <w:szCs w:val="32"/>
          <w:highlight w:val="none"/>
        </w:rPr>
        <w:t>明细报价表</w:t>
      </w:r>
    </w:p>
    <w:p>
      <w:pPr>
        <w:pStyle w:val="26"/>
        <w:spacing w:line="440" w:lineRule="exact"/>
        <w:ind w:left="208" w:leftChars="99" w:firstLine="120" w:firstLineChars="5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 xml:space="preserve">招标项目名称：                          招标编号：    </w:t>
      </w:r>
    </w:p>
    <w:p>
      <w:pPr>
        <w:pStyle w:val="26"/>
        <w:spacing w:line="440" w:lineRule="exact"/>
        <w:ind w:left="208" w:leftChars="99" w:firstLine="120" w:firstLineChars="50"/>
        <w:jc w:val="both"/>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 xml:space="preserve">投标单位名称：                        </w:t>
      </w:r>
      <w:r>
        <w:rPr>
          <w:rFonts w:hint="eastAsia" w:ascii="宋体" w:hAnsi="宋体" w:eastAsia="宋体" w:cs="宋体"/>
          <w:color w:val="auto"/>
          <w:highlight w:val="none"/>
          <w:u w:val="single"/>
        </w:rPr>
        <w:t xml:space="preserve">         </w:t>
      </w:r>
      <w:r>
        <w:rPr>
          <w:rFonts w:hint="eastAsia" w:ascii="宋体" w:hAnsi="宋体" w:eastAsia="宋体" w:cs="宋体"/>
          <w:bCs/>
          <w:color w:val="auto"/>
          <w:kern w:val="2"/>
          <w:highlight w:val="none"/>
        </w:rPr>
        <w:t xml:space="preserve">  </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864"/>
        <w:gridCol w:w="1650"/>
        <w:gridCol w:w="960"/>
        <w:gridCol w:w="1129"/>
        <w:gridCol w:w="1265"/>
        <w:gridCol w:w="991"/>
        <w:gridCol w:w="1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864"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165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规格及型号</w:t>
            </w:r>
          </w:p>
        </w:tc>
        <w:tc>
          <w:tcPr>
            <w:tcW w:w="960"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129"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65"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w:t>
            </w:r>
          </w:p>
        </w:tc>
        <w:tc>
          <w:tcPr>
            <w:tcW w:w="991"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127"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品牌及</w:t>
            </w:r>
          </w:p>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868" w:type="dxa"/>
            <w:noWrap w:val="0"/>
            <w:vAlign w:val="center"/>
          </w:tcPr>
          <w:p>
            <w:pPr>
              <w:spacing w:line="440" w:lineRule="exact"/>
              <w:rPr>
                <w:rFonts w:hint="eastAsia" w:ascii="宋体" w:hAnsi="宋体" w:eastAsia="宋体" w:cs="宋体"/>
                <w:color w:val="auto"/>
                <w:sz w:val="24"/>
                <w:szCs w:val="24"/>
                <w:highlight w:val="none"/>
              </w:rPr>
            </w:pPr>
          </w:p>
        </w:tc>
        <w:tc>
          <w:tcPr>
            <w:tcW w:w="1864" w:type="dxa"/>
            <w:noWrap w:val="0"/>
            <w:vAlign w:val="center"/>
          </w:tcPr>
          <w:p>
            <w:pPr>
              <w:spacing w:line="440" w:lineRule="exact"/>
              <w:rPr>
                <w:rFonts w:hint="eastAsia" w:ascii="宋体" w:hAnsi="宋体" w:eastAsia="宋体" w:cs="宋体"/>
                <w:color w:val="auto"/>
                <w:sz w:val="24"/>
                <w:szCs w:val="24"/>
                <w:highlight w:val="none"/>
              </w:rPr>
            </w:pPr>
          </w:p>
        </w:tc>
        <w:tc>
          <w:tcPr>
            <w:tcW w:w="1650" w:type="dxa"/>
            <w:noWrap w:val="0"/>
            <w:vAlign w:val="center"/>
          </w:tcPr>
          <w:p>
            <w:pPr>
              <w:spacing w:line="440" w:lineRule="exact"/>
              <w:rPr>
                <w:rFonts w:hint="eastAsia" w:ascii="宋体" w:hAnsi="宋体" w:eastAsia="宋体" w:cs="宋体"/>
                <w:color w:val="auto"/>
                <w:sz w:val="24"/>
                <w:szCs w:val="24"/>
                <w:highlight w:val="none"/>
              </w:rPr>
            </w:pPr>
          </w:p>
        </w:tc>
        <w:tc>
          <w:tcPr>
            <w:tcW w:w="960" w:type="dxa"/>
            <w:noWrap w:val="0"/>
            <w:vAlign w:val="center"/>
          </w:tcPr>
          <w:p>
            <w:pPr>
              <w:spacing w:line="440" w:lineRule="exact"/>
              <w:rPr>
                <w:rFonts w:hint="eastAsia" w:ascii="宋体" w:hAnsi="宋体" w:eastAsia="宋体" w:cs="宋体"/>
                <w:color w:val="auto"/>
                <w:sz w:val="24"/>
                <w:szCs w:val="24"/>
                <w:highlight w:val="none"/>
              </w:rPr>
            </w:pPr>
          </w:p>
        </w:tc>
        <w:tc>
          <w:tcPr>
            <w:tcW w:w="1129" w:type="dxa"/>
            <w:noWrap w:val="0"/>
            <w:vAlign w:val="center"/>
          </w:tcPr>
          <w:p>
            <w:pPr>
              <w:spacing w:line="440" w:lineRule="exact"/>
              <w:rPr>
                <w:rFonts w:hint="eastAsia" w:ascii="宋体" w:hAnsi="宋体" w:eastAsia="宋体" w:cs="宋体"/>
                <w:color w:val="auto"/>
                <w:sz w:val="24"/>
                <w:szCs w:val="24"/>
                <w:highlight w:val="none"/>
              </w:rPr>
            </w:pPr>
          </w:p>
        </w:tc>
        <w:tc>
          <w:tcPr>
            <w:tcW w:w="1265" w:type="dxa"/>
            <w:noWrap w:val="0"/>
            <w:vAlign w:val="center"/>
          </w:tcPr>
          <w:p>
            <w:pPr>
              <w:spacing w:line="440" w:lineRule="exact"/>
              <w:rPr>
                <w:rFonts w:hint="eastAsia" w:ascii="宋体" w:hAnsi="宋体" w:eastAsia="宋体" w:cs="宋体"/>
                <w:color w:val="auto"/>
                <w:sz w:val="24"/>
                <w:szCs w:val="24"/>
                <w:highlight w:val="none"/>
              </w:rPr>
            </w:pPr>
          </w:p>
        </w:tc>
        <w:tc>
          <w:tcPr>
            <w:tcW w:w="991" w:type="dxa"/>
            <w:noWrap w:val="0"/>
            <w:vAlign w:val="center"/>
          </w:tcPr>
          <w:p>
            <w:pPr>
              <w:spacing w:line="440" w:lineRule="exact"/>
              <w:rPr>
                <w:rFonts w:hint="eastAsia" w:ascii="宋体" w:hAnsi="宋体" w:eastAsia="宋体" w:cs="宋体"/>
                <w:color w:val="auto"/>
                <w:sz w:val="24"/>
                <w:szCs w:val="24"/>
                <w:highlight w:val="none"/>
              </w:rPr>
            </w:pPr>
          </w:p>
        </w:tc>
        <w:tc>
          <w:tcPr>
            <w:tcW w:w="1127" w:type="dxa"/>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合计金额（小写）</w:t>
            </w:r>
          </w:p>
        </w:tc>
        <w:tc>
          <w:tcPr>
            <w:tcW w:w="7122" w:type="dxa"/>
            <w:gridSpan w:val="6"/>
            <w:noWrap w:val="0"/>
            <w:vAlign w:val="center"/>
          </w:tcPr>
          <w:p>
            <w:pPr>
              <w:spacing w:line="440" w:lineRule="exact"/>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2" w:type="dxa"/>
            <w:gridSpan w:val="2"/>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合计金额（大写）：</w:t>
            </w:r>
          </w:p>
        </w:tc>
        <w:tc>
          <w:tcPr>
            <w:tcW w:w="7122" w:type="dxa"/>
            <w:gridSpan w:val="6"/>
            <w:noWrap w:val="0"/>
            <w:vAlign w:val="center"/>
          </w:tcPr>
          <w:p>
            <w:pPr>
              <w:spacing w:line="440" w:lineRule="exact"/>
              <w:rPr>
                <w:rFonts w:hint="eastAsia" w:ascii="宋体" w:hAnsi="宋体" w:eastAsia="宋体" w:cs="宋体"/>
                <w:color w:val="auto"/>
                <w:sz w:val="24"/>
                <w:szCs w:val="24"/>
                <w:highlight w:val="none"/>
              </w:rPr>
            </w:pPr>
          </w:p>
        </w:tc>
      </w:tr>
    </w:tbl>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投标人代表签字：</w:t>
      </w:r>
    </w:p>
    <w:p>
      <w:pPr>
        <w:spacing w:line="440" w:lineRule="exac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日期：</w:t>
      </w:r>
    </w:p>
    <w:p>
      <w:pPr>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注：1、合计金额应为各分项价格之和。</w:t>
      </w:r>
    </w:p>
    <w:p>
      <w:pPr>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2、请各投标人根据投标方案，在本表中详细写明所有产品型号规格、数量、综合单价、总价及品牌和产地。</w:t>
      </w:r>
    </w:p>
    <w:p>
      <w:pPr>
        <w:spacing w:line="440" w:lineRule="exact"/>
        <w:ind w:firstLine="472" w:firstLineChars="19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3、综合单价必须包括货物、安装、调试、技术支持、运输、保险、售后服务、培训及其它必需服务的报价。</w:t>
      </w: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ind w:firstLine="590" w:firstLineChars="196"/>
        <w:jc w:val="center"/>
        <w:rPr>
          <w:rFonts w:hint="eastAsia" w:ascii="宋体" w:hAnsi="宋体" w:eastAsia="宋体" w:cs="宋体"/>
          <w:b/>
          <w:color w:val="auto"/>
          <w:sz w:val="30"/>
          <w:szCs w:val="30"/>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附件1-</w:t>
      </w:r>
      <w:r>
        <w:rPr>
          <w:rFonts w:hint="eastAsia" w:ascii="宋体" w:hAnsi="宋体" w:cs="宋体"/>
          <w:b/>
          <w:color w:val="auto"/>
          <w:sz w:val="30"/>
          <w:szCs w:val="30"/>
          <w:highlight w:val="none"/>
          <w:lang w:val="en-US" w:eastAsia="zh-CN"/>
        </w:rPr>
        <w:t xml:space="preserve">9 </w:t>
      </w:r>
      <w:r>
        <w:rPr>
          <w:rFonts w:hint="eastAsia" w:ascii="宋体" w:hAnsi="宋体" w:eastAsia="宋体" w:cs="宋体"/>
          <w:b/>
          <w:color w:val="auto"/>
          <w:sz w:val="30"/>
          <w:szCs w:val="30"/>
          <w:highlight w:val="none"/>
        </w:rPr>
        <w:t xml:space="preserve"> </w:t>
      </w:r>
      <w:r>
        <w:rPr>
          <w:rFonts w:hint="eastAsia" w:ascii="宋体" w:hAnsi="宋体" w:eastAsia="宋体" w:cs="宋体"/>
          <w:b/>
          <w:color w:val="auto"/>
          <w:sz w:val="30"/>
          <w:szCs w:val="30"/>
          <w:highlight w:val="none"/>
          <w:lang w:val="en-US" w:eastAsia="zh-CN"/>
        </w:rPr>
        <w:t>质量承诺保证</w:t>
      </w: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cs="宋体"/>
          <w:b/>
          <w:color w:val="auto"/>
          <w:sz w:val="32"/>
          <w:szCs w:val="32"/>
          <w:highlight w:val="none"/>
          <w:lang w:eastAsia="zh-CN"/>
        </w:rPr>
      </w:pPr>
    </w:p>
    <w:p>
      <w:pPr>
        <w:spacing w:line="440" w:lineRule="exact"/>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lang w:eastAsia="zh-CN"/>
        </w:rPr>
        <w:t>格式自拟。</w:t>
      </w: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p>
    <w:p>
      <w:pPr>
        <w:spacing w:line="440" w:lineRule="exact"/>
        <w:jc w:val="center"/>
        <w:rPr>
          <w:rFonts w:hint="eastAsia"/>
          <w:b/>
          <w:bCs/>
          <w:sz w:val="32"/>
          <w:szCs w:val="32"/>
        </w:rPr>
      </w:pPr>
    </w:p>
    <w:p>
      <w:pPr>
        <w:spacing w:line="440" w:lineRule="exact"/>
        <w:jc w:val="center"/>
        <w:rPr>
          <w:rFonts w:hint="eastAsia"/>
          <w:b/>
          <w:bCs/>
          <w:sz w:val="32"/>
          <w:szCs w:val="32"/>
        </w:rPr>
      </w:pPr>
    </w:p>
    <w:p>
      <w:pPr>
        <w:spacing w:line="440" w:lineRule="exact"/>
        <w:jc w:val="center"/>
        <w:rPr>
          <w:rFonts w:hint="default"/>
          <w:b/>
          <w:bCs/>
          <w:sz w:val="32"/>
          <w:szCs w:val="32"/>
          <w:lang w:val="en-US"/>
        </w:rPr>
      </w:pPr>
      <w:r>
        <w:rPr>
          <w:rFonts w:hint="eastAsia" w:ascii="宋体" w:hAnsi="宋体" w:eastAsia="宋体" w:cs="宋体"/>
          <w:b/>
          <w:color w:val="auto"/>
          <w:sz w:val="30"/>
          <w:szCs w:val="30"/>
          <w:highlight w:val="none"/>
        </w:rPr>
        <w:t>附件1-</w:t>
      </w:r>
      <w:r>
        <w:rPr>
          <w:rFonts w:hint="eastAsia" w:ascii="宋体" w:hAnsi="宋体" w:cs="宋体"/>
          <w:b/>
          <w:color w:val="auto"/>
          <w:sz w:val="30"/>
          <w:szCs w:val="30"/>
          <w:highlight w:val="none"/>
          <w:lang w:val="en-US" w:eastAsia="zh-CN"/>
        </w:rPr>
        <w:t>10</w:t>
      </w:r>
    </w:p>
    <w:p>
      <w:pPr>
        <w:spacing w:line="440" w:lineRule="exact"/>
        <w:jc w:val="center"/>
        <w:rPr>
          <w:b/>
          <w:bCs/>
          <w:sz w:val="32"/>
          <w:szCs w:val="32"/>
        </w:rPr>
      </w:pPr>
      <w:r>
        <w:rPr>
          <w:rFonts w:hint="eastAsia"/>
          <w:b/>
          <w:bCs/>
          <w:sz w:val="32"/>
          <w:szCs w:val="32"/>
        </w:rPr>
        <w:t>不参与围标串标承诺书</w:t>
      </w:r>
    </w:p>
    <w:p>
      <w:pPr>
        <w:spacing w:line="440" w:lineRule="exact"/>
      </w:pPr>
    </w:p>
    <w:p>
      <w:pPr>
        <w:spacing w:line="440" w:lineRule="exact"/>
        <w:rPr>
          <w:rFonts w:ascii="仿宋" w:hAnsi="仿宋" w:eastAsia="仿宋" w:cs="仿宋"/>
          <w:sz w:val="28"/>
          <w:szCs w:val="28"/>
        </w:rPr>
      </w:pPr>
      <w:r>
        <w:rPr>
          <w:rFonts w:hint="eastAsia" w:ascii="仿宋" w:hAnsi="仿宋" w:eastAsia="仿宋" w:cs="仿宋"/>
        </w:rPr>
        <w:t xml:space="preserve">     </w:t>
      </w:r>
      <w:r>
        <w:rPr>
          <w:rFonts w:hint="eastAsia" w:ascii="仿宋" w:hAnsi="仿宋" w:eastAsia="仿宋" w:cs="仿宋"/>
          <w:sz w:val="28"/>
          <w:szCs w:val="28"/>
        </w:rPr>
        <w:t xml:space="preserve"> 本人作为经授权投标人代表，清楚知晓我单位本项目投标活动，对以下事项作出承诺:</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一、我单位和我本人遵循公开、公平、公正、诚实守信的原则，依法依规参与本项目竞标。</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二、 我单位和我本人在本项目招标投标活动中，未参与围标串标。</w:t>
      </w:r>
    </w:p>
    <w:p>
      <w:pPr>
        <w:spacing w:line="440" w:lineRule="exact"/>
        <w:ind w:firstLine="560" w:firstLineChars="200"/>
        <w:rPr>
          <w:rFonts w:ascii="仿宋" w:hAnsi="仿宋" w:eastAsia="仿宋" w:cs="仿宋"/>
          <w:sz w:val="28"/>
          <w:szCs w:val="28"/>
        </w:rPr>
      </w:pPr>
      <w:r>
        <w:rPr>
          <w:rFonts w:hint="eastAsia" w:ascii="仿宋" w:hAnsi="仿宋" w:eastAsia="仿宋" w:cs="仿宋"/>
          <w:sz w:val="28"/>
          <w:szCs w:val="28"/>
        </w:rPr>
        <w:t>三、我单位如被查实在本项目招标投标活动中存在《新疆维吾尔自治区房屋建筑和市政基础设施工程串通投标和弄虚作假行为认定查处办法(试行)》所列围标串标行为的，递交投标文件行为作为实施串通投标违法行为的关键环节,本人承担直接责任人员法律责任，接受相应行政处罚和失信惩戒。</w:t>
      </w:r>
    </w:p>
    <w:p>
      <w:pPr>
        <w:spacing w:line="440" w:lineRule="exact"/>
        <w:jc w:val="left"/>
        <w:rPr>
          <w:rFonts w:ascii="仿宋" w:hAnsi="仿宋" w:eastAsia="仿宋" w:cs="仿宋"/>
          <w:sz w:val="28"/>
          <w:szCs w:val="28"/>
        </w:rPr>
      </w:pPr>
    </w:p>
    <w:p>
      <w:pPr>
        <w:spacing w:line="440" w:lineRule="exact"/>
        <w:ind w:firstLine="4480" w:firstLineChars="1600"/>
        <w:rPr>
          <w:rFonts w:hint="eastAsia" w:ascii="仿宋" w:hAnsi="仿宋" w:eastAsia="仿宋" w:cs="仿宋"/>
          <w:sz w:val="28"/>
          <w:szCs w:val="28"/>
        </w:rPr>
      </w:pPr>
    </w:p>
    <w:p>
      <w:pPr>
        <w:spacing w:line="440" w:lineRule="exact"/>
        <w:ind w:firstLine="4480" w:firstLineChars="1600"/>
        <w:rPr>
          <w:rFonts w:hint="eastAsia" w:ascii="仿宋" w:hAnsi="仿宋" w:eastAsia="仿宋" w:cs="仿宋"/>
          <w:sz w:val="28"/>
          <w:szCs w:val="28"/>
        </w:rPr>
      </w:pPr>
      <w:r>
        <w:rPr>
          <w:rFonts w:hint="eastAsia" w:ascii="仿宋" w:hAnsi="仿宋" w:eastAsia="仿宋" w:cs="仿宋"/>
          <w:sz w:val="28"/>
          <w:szCs w:val="28"/>
        </w:rPr>
        <w:t>法人: (</w:t>
      </w:r>
      <w:r>
        <w:rPr>
          <w:rFonts w:hint="eastAsia" w:ascii="仿宋" w:hAnsi="仿宋" w:eastAsia="仿宋" w:cs="仿宋"/>
          <w:sz w:val="28"/>
          <w:szCs w:val="28"/>
          <w:lang w:eastAsia="zh-CN"/>
        </w:rPr>
        <w:t>签字</w:t>
      </w:r>
      <w:r>
        <w:rPr>
          <w:rFonts w:hint="eastAsia" w:ascii="仿宋" w:hAnsi="仿宋" w:eastAsia="仿宋" w:cs="仿宋"/>
          <w:sz w:val="28"/>
          <w:szCs w:val="28"/>
        </w:rPr>
        <w:t>)</w:t>
      </w:r>
    </w:p>
    <w:p>
      <w:pPr>
        <w:spacing w:line="440" w:lineRule="exact"/>
        <w:ind w:firstLine="560" w:firstLineChars="200"/>
        <w:rPr>
          <w:rFonts w:hint="eastAsia" w:ascii="仿宋" w:hAnsi="仿宋" w:eastAsia="仿宋" w:cs="仿宋"/>
          <w:sz w:val="28"/>
          <w:szCs w:val="28"/>
        </w:rPr>
      </w:pPr>
    </w:p>
    <w:p>
      <w:pPr>
        <w:spacing w:line="440" w:lineRule="exact"/>
        <w:jc w:val="center"/>
        <w:rPr>
          <w:rFonts w:hint="eastAsia" w:ascii="宋体" w:hAnsi="宋体" w:eastAsia="宋体" w:cs="宋体"/>
          <w:b/>
          <w:color w:val="auto"/>
          <w:sz w:val="32"/>
          <w:szCs w:val="32"/>
          <w:highlight w:val="none"/>
        </w:rPr>
      </w:pPr>
      <w:r>
        <w:rPr>
          <w:rFonts w:hint="eastAsia" w:ascii="仿宋" w:hAnsi="仿宋" w:eastAsia="仿宋" w:cs="仿宋"/>
          <w:sz w:val="28"/>
          <w:szCs w:val="28"/>
        </w:rPr>
        <w:t>投标人: (盖单位章)</w:t>
      </w:r>
      <w:r>
        <w:rPr>
          <w:rFonts w:hint="eastAsia" w:ascii="宋体" w:hAnsi="宋体" w:eastAsia="宋体" w:cs="宋体"/>
          <w:b/>
          <w:color w:val="auto"/>
          <w:sz w:val="30"/>
          <w:szCs w:val="30"/>
          <w:highlight w:val="none"/>
        </w:rPr>
        <w:br w:type="page"/>
      </w:r>
    </w:p>
    <w:p>
      <w:pPr>
        <w:spacing w:line="440" w:lineRule="exact"/>
        <w:jc w:val="both"/>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招标文件中要求提交的和投标人认为需要提供的其它说明和资料</w:t>
      </w:r>
    </w:p>
    <w:p>
      <w:pPr>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rPr>
        <w:br w:type="page"/>
      </w:r>
      <w:r>
        <w:rPr>
          <w:rFonts w:hint="eastAsia" w:ascii="宋体" w:hAnsi="宋体" w:eastAsia="宋体" w:cs="宋体"/>
          <w:b/>
          <w:color w:val="auto"/>
          <w:sz w:val="24"/>
          <w:szCs w:val="24"/>
          <w:highlight w:val="none"/>
        </w:rPr>
        <w:t>三、技术标组成</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目录</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产品来源证明材料</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设备、技术简要说明一览表（附件2-1）后附有效的检测报告、质量管理体系认证（国家法定检测部门出具有效）</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   所投产品市场使用情况</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备品、备件清单（附件2-2）</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规格、技术参数偏离表（附件2-3）</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服务承诺书（附件2-4）</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服务方案（服务承诺详述、维修、培训以及服务联系人、联系方式等详述）</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9</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质量保证承诺书</w:t>
      </w: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招标文件中要求提交的和投标人认为需要提供的其它说明和资料。</w:t>
      </w:r>
    </w:p>
    <w:p>
      <w:pPr>
        <w:widowControl/>
        <w:spacing w:line="440" w:lineRule="exact"/>
        <w:jc w:val="left"/>
        <w:rPr>
          <w:rFonts w:hint="eastAsia" w:ascii="宋体" w:hAnsi="宋体" w:eastAsia="宋体" w:cs="宋体"/>
          <w:b/>
          <w:color w:val="auto"/>
          <w:sz w:val="24"/>
          <w:szCs w:val="24"/>
          <w:highlight w:val="none"/>
        </w:rPr>
      </w:pPr>
    </w:p>
    <w:p>
      <w:pPr>
        <w:widowControl/>
        <w:spacing w:line="440" w:lineRule="exact"/>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注：投标人制作投标文件，应按照投标文件组成顺序制作，所投产品的各项证明及技术资料，应按照所投产品在采购目录中的序号顺序制作，编好始末页码且在投标文件目录中一一列明并对应。</w:t>
      </w:r>
    </w:p>
    <w:p>
      <w:pPr>
        <w:pStyle w:val="26"/>
        <w:spacing w:line="440" w:lineRule="exact"/>
        <w:ind w:firstLine="482" w:firstLineChars="200"/>
        <w:jc w:val="center"/>
        <w:rPr>
          <w:rFonts w:hint="eastAsia" w:ascii="宋体" w:hAnsi="宋体" w:eastAsia="宋体" w:cs="宋体"/>
          <w:b/>
          <w:color w:val="auto"/>
          <w:sz w:val="32"/>
          <w:szCs w:val="32"/>
          <w:highlight w:val="none"/>
        </w:rPr>
      </w:pPr>
      <w:r>
        <w:rPr>
          <w:rFonts w:hint="eastAsia" w:ascii="宋体" w:hAnsi="宋体" w:eastAsia="宋体" w:cs="宋体"/>
          <w:b/>
          <w:color w:val="auto"/>
          <w:highlight w:val="none"/>
        </w:rPr>
        <w:br w:type="page"/>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附件2-1   设备、技术简要说明一览表</w:t>
      </w:r>
    </w:p>
    <w:p>
      <w:pPr>
        <w:spacing w:line="440" w:lineRule="exact"/>
        <w:rPr>
          <w:rFonts w:hint="eastAsia" w:ascii="宋体" w:hAnsi="宋体" w:eastAsia="宋体" w:cs="宋体"/>
          <w:b/>
          <w:color w:val="auto"/>
          <w:sz w:val="24"/>
          <w:highlight w:val="none"/>
        </w:rPr>
      </w:pPr>
    </w:p>
    <w:p>
      <w:pPr>
        <w:spacing w:line="440" w:lineRule="exact"/>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p>
      <w:pPr>
        <w:spacing w:line="440" w:lineRule="exact"/>
        <w:ind w:firstLine="360" w:firstLineChars="1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产品序号名称：</w:t>
      </w:r>
      <w:r>
        <w:rPr>
          <w:rFonts w:hint="eastAsia" w:ascii="宋体" w:hAnsi="宋体" w:eastAsia="宋体" w:cs="宋体"/>
          <w:color w:val="auto"/>
          <w:sz w:val="24"/>
          <w:highlight w:val="none"/>
          <w:u w:val="single"/>
        </w:rPr>
        <w:t>　　</w:t>
      </w:r>
    </w:p>
    <w:tbl>
      <w:tblPr>
        <w:tblStyle w:val="16"/>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464"/>
        <w:gridCol w:w="2783"/>
        <w:gridCol w:w="3082"/>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设备名称</w:t>
            </w: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规格型号及主要技术参数</w:t>
            </w: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性能说明</w:t>
            </w: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供货厂（商）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6" w:type="dxa"/>
            <w:noWrap w:val="0"/>
            <w:vAlign w:val="center"/>
          </w:tcPr>
          <w:p>
            <w:pPr>
              <w:spacing w:line="440" w:lineRule="exact"/>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p>
        </w:tc>
        <w:tc>
          <w:tcPr>
            <w:tcW w:w="1464"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2783"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3082" w:type="dxa"/>
            <w:noWrap w:val="0"/>
            <w:vAlign w:val="center"/>
          </w:tcPr>
          <w:p>
            <w:pPr>
              <w:spacing w:line="440" w:lineRule="exact"/>
              <w:jc w:val="center"/>
              <w:rPr>
                <w:rFonts w:hint="eastAsia" w:ascii="宋体" w:hAnsi="宋体" w:eastAsia="宋体" w:cs="宋体"/>
                <w:bCs/>
                <w:color w:val="auto"/>
                <w:sz w:val="24"/>
                <w:szCs w:val="24"/>
                <w:highlight w:val="none"/>
              </w:rPr>
            </w:pPr>
          </w:p>
        </w:tc>
        <w:tc>
          <w:tcPr>
            <w:tcW w:w="1579" w:type="dxa"/>
            <w:noWrap w:val="0"/>
            <w:vAlign w:val="center"/>
          </w:tcPr>
          <w:p>
            <w:pPr>
              <w:spacing w:line="440" w:lineRule="exact"/>
              <w:jc w:val="center"/>
              <w:rPr>
                <w:rFonts w:hint="eastAsia" w:ascii="宋体" w:hAnsi="宋体" w:eastAsia="宋体" w:cs="宋体"/>
                <w:bCs/>
                <w:color w:val="auto"/>
                <w:sz w:val="24"/>
                <w:szCs w:val="24"/>
                <w:highlight w:val="none"/>
              </w:rPr>
            </w:pPr>
          </w:p>
        </w:tc>
      </w:tr>
    </w:tbl>
    <w:p>
      <w:pPr>
        <w:tabs>
          <w:tab w:val="left" w:pos="2880"/>
        </w:tabs>
        <w:spacing w:line="440" w:lineRule="exact"/>
        <w:jc w:val="left"/>
        <w:rPr>
          <w:rFonts w:hint="eastAsia" w:ascii="宋体" w:hAnsi="宋体" w:eastAsia="宋体" w:cs="宋体"/>
          <w:color w:val="auto"/>
          <w:sz w:val="24"/>
          <w:szCs w:val="24"/>
          <w:highlight w:val="none"/>
        </w:rPr>
      </w:pPr>
    </w:p>
    <w:p>
      <w:pPr>
        <w:pStyle w:val="26"/>
        <w:spacing w:line="440" w:lineRule="exact"/>
        <w:rPr>
          <w:rFonts w:hint="eastAsia" w:ascii="宋体" w:hAnsi="宋体" w:eastAsia="宋体" w:cs="宋体"/>
          <w:b/>
          <w:color w:val="auto"/>
          <w:highlight w:val="none"/>
        </w:rPr>
      </w:pPr>
      <w:r>
        <w:rPr>
          <w:rFonts w:hint="eastAsia" w:ascii="宋体" w:hAnsi="宋体" w:eastAsia="宋体" w:cs="宋体"/>
          <w:b/>
          <w:color w:val="auto"/>
          <w:highlight w:val="none"/>
        </w:rPr>
        <w:t>注：1、此表需详列投标的每种设备。</w:t>
      </w:r>
    </w:p>
    <w:p>
      <w:pPr>
        <w:pStyle w:val="26"/>
        <w:spacing w:line="440" w:lineRule="exact"/>
        <w:ind w:firstLine="472" w:firstLineChars="196"/>
        <w:rPr>
          <w:rFonts w:hint="eastAsia" w:ascii="宋体" w:hAnsi="宋体" w:eastAsia="宋体" w:cs="宋体"/>
          <w:bCs/>
          <w:color w:val="auto"/>
          <w:kern w:val="2"/>
          <w:highlight w:val="none"/>
        </w:rPr>
      </w:pPr>
      <w:r>
        <w:rPr>
          <w:rFonts w:hint="eastAsia" w:ascii="宋体" w:hAnsi="宋体" w:eastAsia="宋体" w:cs="宋体"/>
          <w:b/>
          <w:color w:val="auto"/>
          <w:highlight w:val="none"/>
        </w:rPr>
        <w:t>2、后附有效的检测报告、质量管理体系认证（国家法定检测部门出具有效）</w:t>
      </w:r>
      <w:r>
        <w:rPr>
          <w:rFonts w:hint="eastAsia" w:ascii="宋体" w:hAnsi="宋体" w:eastAsia="宋体" w:cs="宋体"/>
          <w:color w:val="auto"/>
          <w:highlight w:val="none"/>
        </w:rPr>
        <w:br w:type="page"/>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 xml:space="preserve">附件2-2  </w:t>
      </w:r>
      <w:r>
        <w:rPr>
          <w:rFonts w:hint="eastAsia" w:ascii="宋体" w:hAnsi="宋体" w:eastAsia="宋体" w:cs="宋体"/>
          <w:b/>
          <w:color w:val="auto"/>
          <w:sz w:val="32"/>
          <w:szCs w:val="32"/>
          <w:highlight w:val="none"/>
        </w:rPr>
        <w:t>备品、备件清单</w:t>
      </w:r>
    </w:p>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618"/>
        <w:gridCol w:w="2314"/>
        <w:gridCol w:w="2777"/>
        <w:gridCol w:w="1088"/>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65"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61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2314"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2777"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生产厂家</w:t>
            </w:r>
          </w:p>
        </w:tc>
        <w:tc>
          <w:tcPr>
            <w:tcW w:w="108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1192"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5"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618" w:type="dxa"/>
            <w:noWrap w:val="0"/>
            <w:vAlign w:val="top"/>
          </w:tcPr>
          <w:p>
            <w:pPr>
              <w:spacing w:line="440" w:lineRule="exact"/>
              <w:rPr>
                <w:rFonts w:hint="eastAsia" w:ascii="宋体" w:hAnsi="宋体" w:eastAsia="宋体" w:cs="宋体"/>
                <w:color w:val="auto"/>
                <w:sz w:val="24"/>
                <w:highlight w:val="none"/>
              </w:rPr>
            </w:pPr>
          </w:p>
        </w:tc>
        <w:tc>
          <w:tcPr>
            <w:tcW w:w="2314" w:type="dxa"/>
            <w:noWrap w:val="0"/>
            <w:vAlign w:val="top"/>
          </w:tcPr>
          <w:p>
            <w:pPr>
              <w:spacing w:line="440" w:lineRule="exact"/>
              <w:rPr>
                <w:rFonts w:hint="eastAsia" w:ascii="宋体" w:hAnsi="宋体" w:eastAsia="宋体" w:cs="宋体"/>
                <w:color w:val="auto"/>
                <w:sz w:val="24"/>
                <w:highlight w:val="none"/>
              </w:rPr>
            </w:pPr>
          </w:p>
        </w:tc>
        <w:tc>
          <w:tcPr>
            <w:tcW w:w="2777" w:type="dxa"/>
            <w:noWrap w:val="0"/>
            <w:vAlign w:val="top"/>
          </w:tcPr>
          <w:p>
            <w:pPr>
              <w:spacing w:line="440" w:lineRule="exact"/>
              <w:rPr>
                <w:rFonts w:hint="eastAsia" w:ascii="宋体" w:hAnsi="宋体" w:eastAsia="宋体" w:cs="宋体"/>
                <w:color w:val="auto"/>
                <w:sz w:val="24"/>
                <w:highlight w:val="none"/>
              </w:rPr>
            </w:pPr>
          </w:p>
        </w:tc>
        <w:tc>
          <w:tcPr>
            <w:tcW w:w="1088" w:type="dxa"/>
            <w:noWrap w:val="0"/>
            <w:vAlign w:val="top"/>
          </w:tcPr>
          <w:p>
            <w:pPr>
              <w:spacing w:line="440" w:lineRule="exact"/>
              <w:rPr>
                <w:rFonts w:hint="eastAsia" w:ascii="宋体" w:hAnsi="宋体" w:eastAsia="宋体" w:cs="宋体"/>
                <w:color w:val="auto"/>
                <w:sz w:val="24"/>
                <w:highlight w:val="none"/>
              </w:rPr>
            </w:pPr>
          </w:p>
        </w:tc>
        <w:tc>
          <w:tcPr>
            <w:tcW w:w="1192"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5"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618" w:type="dxa"/>
            <w:noWrap w:val="0"/>
            <w:vAlign w:val="top"/>
          </w:tcPr>
          <w:p>
            <w:pPr>
              <w:spacing w:line="440" w:lineRule="exact"/>
              <w:rPr>
                <w:rFonts w:hint="eastAsia" w:ascii="宋体" w:hAnsi="宋体" w:eastAsia="宋体" w:cs="宋体"/>
                <w:color w:val="auto"/>
                <w:sz w:val="24"/>
                <w:highlight w:val="none"/>
              </w:rPr>
            </w:pPr>
          </w:p>
        </w:tc>
        <w:tc>
          <w:tcPr>
            <w:tcW w:w="2314" w:type="dxa"/>
            <w:noWrap w:val="0"/>
            <w:vAlign w:val="top"/>
          </w:tcPr>
          <w:p>
            <w:pPr>
              <w:spacing w:line="440" w:lineRule="exact"/>
              <w:rPr>
                <w:rFonts w:hint="eastAsia" w:ascii="宋体" w:hAnsi="宋体" w:eastAsia="宋体" w:cs="宋体"/>
                <w:color w:val="auto"/>
                <w:sz w:val="24"/>
                <w:highlight w:val="none"/>
              </w:rPr>
            </w:pPr>
          </w:p>
        </w:tc>
        <w:tc>
          <w:tcPr>
            <w:tcW w:w="2777" w:type="dxa"/>
            <w:noWrap w:val="0"/>
            <w:vAlign w:val="top"/>
          </w:tcPr>
          <w:p>
            <w:pPr>
              <w:spacing w:line="440" w:lineRule="exact"/>
              <w:rPr>
                <w:rFonts w:hint="eastAsia" w:ascii="宋体" w:hAnsi="宋体" w:eastAsia="宋体" w:cs="宋体"/>
                <w:color w:val="auto"/>
                <w:sz w:val="24"/>
                <w:highlight w:val="none"/>
              </w:rPr>
            </w:pPr>
          </w:p>
        </w:tc>
        <w:tc>
          <w:tcPr>
            <w:tcW w:w="1088" w:type="dxa"/>
            <w:noWrap w:val="0"/>
            <w:vAlign w:val="top"/>
          </w:tcPr>
          <w:p>
            <w:pPr>
              <w:spacing w:line="440" w:lineRule="exact"/>
              <w:rPr>
                <w:rFonts w:hint="eastAsia" w:ascii="宋体" w:hAnsi="宋体" w:eastAsia="宋体" w:cs="宋体"/>
                <w:color w:val="auto"/>
                <w:sz w:val="24"/>
                <w:highlight w:val="none"/>
              </w:rPr>
            </w:pPr>
          </w:p>
        </w:tc>
        <w:tc>
          <w:tcPr>
            <w:tcW w:w="1192"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5"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618" w:type="dxa"/>
            <w:noWrap w:val="0"/>
            <w:vAlign w:val="top"/>
          </w:tcPr>
          <w:p>
            <w:pPr>
              <w:spacing w:line="440" w:lineRule="exact"/>
              <w:rPr>
                <w:rFonts w:hint="eastAsia" w:ascii="宋体" w:hAnsi="宋体" w:eastAsia="宋体" w:cs="宋体"/>
                <w:color w:val="auto"/>
                <w:sz w:val="24"/>
                <w:highlight w:val="none"/>
              </w:rPr>
            </w:pPr>
          </w:p>
        </w:tc>
        <w:tc>
          <w:tcPr>
            <w:tcW w:w="2314" w:type="dxa"/>
            <w:noWrap w:val="0"/>
            <w:vAlign w:val="top"/>
          </w:tcPr>
          <w:p>
            <w:pPr>
              <w:spacing w:line="440" w:lineRule="exact"/>
              <w:rPr>
                <w:rFonts w:hint="eastAsia" w:ascii="宋体" w:hAnsi="宋体" w:eastAsia="宋体" w:cs="宋体"/>
                <w:color w:val="auto"/>
                <w:sz w:val="24"/>
                <w:highlight w:val="none"/>
              </w:rPr>
            </w:pPr>
          </w:p>
        </w:tc>
        <w:tc>
          <w:tcPr>
            <w:tcW w:w="2777" w:type="dxa"/>
            <w:noWrap w:val="0"/>
            <w:vAlign w:val="top"/>
          </w:tcPr>
          <w:p>
            <w:pPr>
              <w:spacing w:line="440" w:lineRule="exact"/>
              <w:rPr>
                <w:rFonts w:hint="eastAsia" w:ascii="宋体" w:hAnsi="宋体" w:eastAsia="宋体" w:cs="宋体"/>
                <w:color w:val="auto"/>
                <w:sz w:val="24"/>
                <w:highlight w:val="none"/>
              </w:rPr>
            </w:pPr>
          </w:p>
        </w:tc>
        <w:tc>
          <w:tcPr>
            <w:tcW w:w="1088" w:type="dxa"/>
            <w:noWrap w:val="0"/>
            <w:vAlign w:val="top"/>
          </w:tcPr>
          <w:p>
            <w:pPr>
              <w:spacing w:line="440" w:lineRule="exact"/>
              <w:rPr>
                <w:rFonts w:hint="eastAsia" w:ascii="宋体" w:hAnsi="宋体" w:eastAsia="宋体" w:cs="宋体"/>
                <w:color w:val="auto"/>
                <w:sz w:val="24"/>
                <w:highlight w:val="none"/>
              </w:rPr>
            </w:pPr>
          </w:p>
        </w:tc>
        <w:tc>
          <w:tcPr>
            <w:tcW w:w="1192"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865"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18" w:type="dxa"/>
            <w:noWrap w:val="0"/>
            <w:vAlign w:val="top"/>
          </w:tcPr>
          <w:p>
            <w:pPr>
              <w:spacing w:line="440" w:lineRule="exact"/>
              <w:rPr>
                <w:rFonts w:hint="eastAsia" w:ascii="宋体" w:hAnsi="宋体" w:eastAsia="宋体" w:cs="宋体"/>
                <w:color w:val="auto"/>
                <w:sz w:val="24"/>
                <w:highlight w:val="none"/>
              </w:rPr>
            </w:pPr>
          </w:p>
        </w:tc>
        <w:tc>
          <w:tcPr>
            <w:tcW w:w="2314" w:type="dxa"/>
            <w:noWrap w:val="0"/>
            <w:vAlign w:val="top"/>
          </w:tcPr>
          <w:p>
            <w:pPr>
              <w:spacing w:line="440" w:lineRule="exact"/>
              <w:rPr>
                <w:rFonts w:hint="eastAsia" w:ascii="宋体" w:hAnsi="宋体" w:eastAsia="宋体" w:cs="宋体"/>
                <w:color w:val="auto"/>
                <w:sz w:val="24"/>
                <w:highlight w:val="none"/>
              </w:rPr>
            </w:pPr>
          </w:p>
        </w:tc>
        <w:tc>
          <w:tcPr>
            <w:tcW w:w="2777" w:type="dxa"/>
            <w:noWrap w:val="0"/>
            <w:vAlign w:val="top"/>
          </w:tcPr>
          <w:p>
            <w:pPr>
              <w:spacing w:line="440" w:lineRule="exact"/>
              <w:rPr>
                <w:rFonts w:hint="eastAsia" w:ascii="宋体" w:hAnsi="宋体" w:eastAsia="宋体" w:cs="宋体"/>
                <w:color w:val="auto"/>
                <w:sz w:val="24"/>
                <w:highlight w:val="none"/>
              </w:rPr>
            </w:pPr>
          </w:p>
        </w:tc>
        <w:tc>
          <w:tcPr>
            <w:tcW w:w="1088" w:type="dxa"/>
            <w:noWrap w:val="0"/>
            <w:vAlign w:val="top"/>
          </w:tcPr>
          <w:p>
            <w:pPr>
              <w:spacing w:line="440" w:lineRule="exact"/>
              <w:rPr>
                <w:rFonts w:hint="eastAsia" w:ascii="宋体" w:hAnsi="宋体" w:eastAsia="宋体" w:cs="宋体"/>
                <w:color w:val="auto"/>
                <w:sz w:val="24"/>
                <w:highlight w:val="none"/>
              </w:rPr>
            </w:pPr>
          </w:p>
        </w:tc>
        <w:tc>
          <w:tcPr>
            <w:tcW w:w="1192" w:type="dxa"/>
            <w:noWrap w:val="0"/>
            <w:vAlign w:val="top"/>
          </w:tcPr>
          <w:p>
            <w:pPr>
              <w:spacing w:line="440" w:lineRule="exact"/>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投标人代表签字：</w:t>
      </w:r>
      <w:r>
        <w:rPr>
          <w:rFonts w:hint="eastAsia" w:ascii="宋体" w:hAnsi="宋体" w:eastAsia="宋体" w:cs="宋体"/>
          <w:color w:val="auto"/>
          <w:sz w:val="24"/>
          <w:highlight w:val="none"/>
          <w:u w:val="single"/>
        </w:rPr>
        <w:t>　　　　　　　　　</w:t>
      </w:r>
    </w:p>
    <w:p>
      <w:pPr>
        <w:spacing w:line="440" w:lineRule="exact"/>
        <w:rPr>
          <w:rFonts w:hint="eastAsia" w:ascii="宋体" w:hAnsi="宋体" w:eastAsia="宋体" w:cs="宋体"/>
          <w:bCs/>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bCs/>
          <w:color w:val="auto"/>
          <w:sz w:val="24"/>
          <w:highlight w:val="none"/>
        </w:rPr>
        <w:t>20</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日</w:t>
      </w:r>
    </w:p>
    <w:p>
      <w:pPr>
        <w:spacing w:line="440" w:lineRule="exact"/>
        <w:jc w:val="left"/>
        <w:rPr>
          <w:rFonts w:hint="eastAsia" w:ascii="宋体" w:hAnsi="宋体" w:eastAsia="宋体" w:cs="宋体"/>
          <w:b/>
          <w:color w:val="auto"/>
          <w:sz w:val="32"/>
          <w:szCs w:val="32"/>
          <w:highlight w:val="none"/>
        </w:rPr>
      </w:pPr>
    </w:p>
    <w:p>
      <w:pPr>
        <w:spacing w:line="440" w:lineRule="exact"/>
        <w:ind w:left="2880" w:hanging="2880"/>
        <w:jc w:val="center"/>
        <w:rPr>
          <w:rFonts w:hint="eastAsia" w:ascii="宋体" w:hAnsi="宋体" w:eastAsia="宋体" w:cs="宋体"/>
          <w:b/>
          <w:color w:val="auto"/>
          <w:sz w:val="30"/>
          <w:szCs w:val="30"/>
          <w:highlight w:val="none"/>
        </w:rPr>
      </w:pPr>
    </w:p>
    <w:p>
      <w:pPr>
        <w:spacing w:line="440" w:lineRule="exact"/>
        <w:ind w:left="2880" w:hanging="2880"/>
        <w:jc w:val="center"/>
        <w:rPr>
          <w:rFonts w:hint="eastAsia" w:ascii="宋体" w:hAnsi="宋体" w:eastAsia="宋体" w:cs="宋体"/>
          <w:b/>
          <w:color w:val="auto"/>
          <w:sz w:val="30"/>
          <w:szCs w:val="30"/>
          <w:highlight w:val="none"/>
        </w:rPr>
      </w:pPr>
    </w:p>
    <w:p>
      <w:pPr>
        <w:spacing w:line="440" w:lineRule="exact"/>
        <w:ind w:left="2880" w:hanging="2880"/>
        <w:jc w:val="center"/>
        <w:rPr>
          <w:rFonts w:hint="eastAsia" w:ascii="宋体" w:hAnsi="宋体" w:eastAsia="宋体" w:cs="宋体"/>
          <w:b/>
          <w:color w:val="auto"/>
          <w:sz w:val="30"/>
          <w:szCs w:val="30"/>
          <w:highlight w:val="none"/>
        </w:rPr>
      </w:pPr>
    </w:p>
    <w:p>
      <w:pPr>
        <w:spacing w:line="440" w:lineRule="exact"/>
        <w:ind w:left="2880" w:hanging="2880"/>
        <w:jc w:val="center"/>
        <w:rPr>
          <w:rFonts w:hint="eastAsia" w:ascii="宋体" w:hAnsi="宋体" w:eastAsia="宋体" w:cs="宋体"/>
          <w:b/>
          <w:color w:val="auto"/>
          <w:sz w:val="30"/>
          <w:szCs w:val="30"/>
          <w:highlight w:val="none"/>
        </w:rPr>
      </w:pPr>
    </w:p>
    <w:p>
      <w:pPr>
        <w:spacing w:line="440" w:lineRule="exact"/>
        <w:ind w:left="2880" w:hanging="2880"/>
        <w:jc w:val="center"/>
        <w:rPr>
          <w:rFonts w:hint="eastAsia" w:ascii="宋体" w:hAnsi="宋体" w:eastAsia="宋体" w:cs="宋体"/>
          <w:b/>
          <w:color w:val="auto"/>
          <w:sz w:val="30"/>
          <w:szCs w:val="30"/>
          <w:highlight w:val="none"/>
        </w:rPr>
      </w:pPr>
    </w:p>
    <w:p>
      <w:pPr>
        <w:spacing w:line="440" w:lineRule="exact"/>
        <w:ind w:left="2880" w:hanging="2880"/>
        <w:jc w:val="center"/>
        <w:rPr>
          <w:rFonts w:hint="eastAsia" w:ascii="宋体" w:hAnsi="宋体" w:eastAsia="宋体" w:cs="宋体"/>
          <w:b/>
          <w:color w:val="auto"/>
          <w:sz w:val="32"/>
          <w:szCs w:val="32"/>
          <w:highlight w:val="none"/>
        </w:rPr>
      </w:pPr>
      <w:r>
        <w:rPr>
          <w:rFonts w:hint="eastAsia" w:ascii="宋体" w:hAnsi="宋体" w:eastAsia="宋体" w:cs="宋体"/>
          <w:b/>
          <w:color w:val="auto"/>
          <w:sz w:val="30"/>
          <w:szCs w:val="30"/>
          <w:highlight w:val="none"/>
        </w:rPr>
        <w:t xml:space="preserve">附件2-3  </w:t>
      </w:r>
      <w:r>
        <w:rPr>
          <w:rFonts w:hint="eastAsia" w:ascii="宋体" w:hAnsi="宋体" w:eastAsia="宋体" w:cs="宋体"/>
          <w:b/>
          <w:color w:val="auto"/>
          <w:sz w:val="32"/>
          <w:szCs w:val="32"/>
          <w:highlight w:val="none"/>
        </w:rPr>
        <w:t>规格、技术参数偏离表</w:t>
      </w:r>
    </w:p>
    <w:p>
      <w:pPr>
        <w:spacing w:line="440" w:lineRule="exact"/>
        <w:rPr>
          <w:rFonts w:hint="eastAsia" w:ascii="宋体" w:hAnsi="宋体" w:eastAsia="宋体" w:cs="宋体"/>
          <w:color w:val="auto"/>
          <w:sz w:val="24"/>
          <w:highlight w:val="none"/>
        </w:rPr>
      </w:pPr>
    </w:p>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投标人名称（公章）：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招标编号：</w:t>
      </w:r>
      <w:r>
        <w:rPr>
          <w:rFonts w:hint="eastAsia" w:ascii="宋体" w:hAnsi="宋体" w:eastAsia="宋体" w:cs="宋体"/>
          <w:color w:val="auto"/>
          <w:sz w:val="24"/>
          <w:highlight w:val="none"/>
          <w:u w:val="single"/>
        </w:rPr>
        <w:t xml:space="preserve">　　　　           </w:t>
      </w:r>
    </w:p>
    <w:tbl>
      <w:tblPr>
        <w:tblStyle w:val="16"/>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40"/>
        <w:gridCol w:w="2056"/>
        <w:gridCol w:w="2393"/>
        <w:gridCol w:w="1721"/>
        <w:gridCol w:w="1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40"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招标文件规格条目号</w:t>
            </w:r>
          </w:p>
        </w:tc>
        <w:tc>
          <w:tcPr>
            <w:tcW w:w="2056"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招标规格</w:t>
            </w:r>
          </w:p>
        </w:tc>
        <w:tc>
          <w:tcPr>
            <w:tcW w:w="2393"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投标规格</w:t>
            </w:r>
          </w:p>
        </w:tc>
        <w:tc>
          <w:tcPr>
            <w:tcW w:w="1721"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w:t>
            </w:r>
          </w:p>
        </w:tc>
        <w:tc>
          <w:tcPr>
            <w:tcW w:w="1218" w:type="dxa"/>
            <w:noWrap w:val="0"/>
            <w:vAlign w:val="center"/>
          </w:tcPr>
          <w:p>
            <w:pPr>
              <w:spacing w:line="4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0" w:type="dxa"/>
            <w:noWrap w:val="0"/>
            <w:vAlign w:val="top"/>
          </w:tcPr>
          <w:p>
            <w:pPr>
              <w:spacing w:line="440" w:lineRule="exact"/>
              <w:rPr>
                <w:rFonts w:hint="eastAsia" w:ascii="宋体" w:hAnsi="宋体" w:eastAsia="宋体" w:cs="宋体"/>
                <w:color w:val="auto"/>
                <w:sz w:val="24"/>
                <w:highlight w:val="none"/>
              </w:rPr>
            </w:pPr>
          </w:p>
        </w:tc>
        <w:tc>
          <w:tcPr>
            <w:tcW w:w="2056" w:type="dxa"/>
            <w:noWrap w:val="0"/>
            <w:vAlign w:val="top"/>
          </w:tcPr>
          <w:p>
            <w:pPr>
              <w:spacing w:line="440" w:lineRule="exact"/>
              <w:rPr>
                <w:rFonts w:hint="eastAsia" w:ascii="宋体" w:hAnsi="宋体" w:eastAsia="宋体" w:cs="宋体"/>
                <w:color w:val="auto"/>
                <w:sz w:val="24"/>
                <w:highlight w:val="none"/>
              </w:rPr>
            </w:pPr>
          </w:p>
        </w:tc>
        <w:tc>
          <w:tcPr>
            <w:tcW w:w="2393" w:type="dxa"/>
            <w:noWrap w:val="0"/>
            <w:vAlign w:val="top"/>
          </w:tcPr>
          <w:p>
            <w:pPr>
              <w:spacing w:line="440" w:lineRule="exact"/>
              <w:rPr>
                <w:rFonts w:hint="eastAsia" w:ascii="宋体" w:hAnsi="宋体" w:eastAsia="宋体" w:cs="宋体"/>
                <w:color w:val="auto"/>
                <w:sz w:val="24"/>
                <w:highlight w:val="none"/>
              </w:rPr>
            </w:pPr>
          </w:p>
        </w:tc>
        <w:tc>
          <w:tcPr>
            <w:tcW w:w="1721" w:type="dxa"/>
            <w:noWrap w:val="0"/>
            <w:vAlign w:val="top"/>
          </w:tcPr>
          <w:p>
            <w:pPr>
              <w:spacing w:line="440" w:lineRule="exact"/>
              <w:rPr>
                <w:rFonts w:hint="eastAsia" w:ascii="宋体" w:hAnsi="宋体" w:eastAsia="宋体" w:cs="宋体"/>
                <w:color w:val="auto"/>
                <w:sz w:val="24"/>
                <w:highlight w:val="none"/>
              </w:rPr>
            </w:pPr>
          </w:p>
        </w:tc>
        <w:tc>
          <w:tcPr>
            <w:tcW w:w="12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0" w:type="dxa"/>
            <w:noWrap w:val="0"/>
            <w:vAlign w:val="top"/>
          </w:tcPr>
          <w:p>
            <w:pPr>
              <w:spacing w:line="440" w:lineRule="exact"/>
              <w:rPr>
                <w:rFonts w:hint="eastAsia" w:ascii="宋体" w:hAnsi="宋体" w:eastAsia="宋体" w:cs="宋体"/>
                <w:color w:val="auto"/>
                <w:sz w:val="24"/>
                <w:highlight w:val="none"/>
              </w:rPr>
            </w:pPr>
          </w:p>
        </w:tc>
        <w:tc>
          <w:tcPr>
            <w:tcW w:w="2056" w:type="dxa"/>
            <w:noWrap w:val="0"/>
            <w:vAlign w:val="top"/>
          </w:tcPr>
          <w:p>
            <w:pPr>
              <w:spacing w:line="440" w:lineRule="exact"/>
              <w:rPr>
                <w:rFonts w:hint="eastAsia" w:ascii="宋体" w:hAnsi="宋体" w:eastAsia="宋体" w:cs="宋体"/>
                <w:color w:val="auto"/>
                <w:sz w:val="24"/>
                <w:highlight w:val="none"/>
              </w:rPr>
            </w:pPr>
          </w:p>
        </w:tc>
        <w:tc>
          <w:tcPr>
            <w:tcW w:w="2393" w:type="dxa"/>
            <w:noWrap w:val="0"/>
            <w:vAlign w:val="top"/>
          </w:tcPr>
          <w:p>
            <w:pPr>
              <w:spacing w:line="440" w:lineRule="exact"/>
              <w:rPr>
                <w:rFonts w:hint="eastAsia" w:ascii="宋体" w:hAnsi="宋体" w:eastAsia="宋体" w:cs="宋体"/>
                <w:color w:val="auto"/>
                <w:sz w:val="24"/>
                <w:highlight w:val="none"/>
              </w:rPr>
            </w:pPr>
          </w:p>
        </w:tc>
        <w:tc>
          <w:tcPr>
            <w:tcW w:w="1721" w:type="dxa"/>
            <w:noWrap w:val="0"/>
            <w:vAlign w:val="top"/>
          </w:tcPr>
          <w:p>
            <w:pPr>
              <w:spacing w:line="440" w:lineRule="exact"/>
              <w:rPr>
                <w:rFonts w:hint="eastAsia" w:ascii="宋体" w:hAnsi="宋体" w:eastAsia="宋体" w:cs="宋体"/>
                <w:color w:val="auto"/>
                <w:sz w:val="24"/>
                <w:highlight w:val="none"/>
              </w:rPr>
            </w:pPr>
          </w:p>
        </w:tc>
        <w:tc>
          <w:tcPr>
            <w:tcW w:w="12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40" w:type="dxa"/>
            <w:noWrap w:val="0"/>
            <w:vAlign w:val="top"/>
          </w:tcPr>
          <w:p>
            <w:pPr>
              <w:spacing w:line="440" w:lineRule="exact"/>
              <w:rPr>
                <w:rFonts w:hint="eastAsia" w:ascii="宋体" w:hAnsi="宋体" w:eastAsia="宋体" w:cs="宋体"/>
                <w:color w:val="auto"/>
                <w:sz w:val="24"/>
                <w:highlight w:val="none"/>
              </w:rPr>
            </w:pPr>
          </w:p>
        </w:tc>
        <w:tc>
          <w:tcPr>
            <w:tcW w:w="2056" w:type="dxa"/>
            <w:noWrap w:val="0"/>
            <w:vAlign w:val="top"/>
          </w:tcPr>
          <w:p>
            <w:pPr>
              <w:spacing w:line="440" w:lineRule="exact"/>
              <w:rPr>
                <w:rFonts w:hint="eastAsia" w:ascii="宋体" w:hAnsi="宋体" w:eastAsia="宋体" w:cs="宋体"/>
                <w:color w:val="auto"/>
                <w:sz w:val="24"/>
                <w:highlight w:val="none"/>
              </w:rPr>
            </w:pPr>
          </w:p>
        </w:tc>
        <w:tc>
          <w:tcPr>
            <w:tcW w:w="2393" w:type="dxa"/>
            <w:noWrap w:val="0"/>
            <w:vAlign w:val="top"/>
          </w:tcPr>
          <w:p>
            <w:pPr>
              <w:spacing w:line="440" w:lineRule="exact"/>
              <w:rPr>
                <w:rFonts w:hint="eastAsia" w:ascii="宋体" w:hAnsi="宋体" w:eastAsia="宋体" w:cs="宋体"/>
                <w:color w:val="auto"/>
                <w:sz w:val="24"/>
                <w:highlight w:val="none"/>
              </w:rPr>
            </w:pPr>
          </w:p>
        </w:tc>
        <w:tc>
          <w:tcPr>
            <w:tcW w:w="1721" w:type="dxa"/>
            <w:noWrap w:val="0"/>
            <w:vAlign w:val="top"/>
          </w:tcPr>
          <w:p>
            <w:pPr>
              <w:spacing w:line="440" w:lineRule="exact"/>
              <w:rPr>
                <w:rFonts w:hint="eastAsia" w:ascii="宋体" w:hAnsi="宋体" w:eastAsia="宋体" w:cs="宋体"/>
                <w:color w:val="auto"/>
                <w:sz w:val="24"/>
                <w:highlight w:val="none"/>
              </w:rPr>
            </w:pPr>
          </w:p>
        </w:tc>
        <w:tc>
          <w:tcPr>
            <w:tcW w:w="1218" w:type="dxa"/>
            <w:noWrap w:val="0"/>
            <w:vAlign w:val="top"/>
          </w:tcPr>
          <w:p>
            <w:pPr>
              <w:spacing w:line="440" w:lineRule="exact"/>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726" w:type="dxa"/>
            <w:noWrap w:val="0"/>
            <w:vAlign w:val="top"/>
          </w:tcPr>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40" w:type="dxa"/>
            <w:noWrap w:val="0"/>
            <w:vAlign w:val="top"/>
          </w:tcPr>
          <w:p>
            <w:pPr>
              <w:spacing w:line="440" w:lineRule="exact"/>
              <w:rPr>
                <w:rFonts w:hint="eastAsia" w:ascii="宋体" w:hAnsi="宋体" w:eastAsia="宋体" w:cs="宋体"/>
                <w:color w:val="auto"/>
                <w:sz w:val="24"/>
                <w:highlight w:val="none"/>
              </w:rPr>
            </w:pPr>
          </w:p>
        </w:tc>
        <w:tc>
          <w:tcPr>
            <w:tcW w:w="2056" w:type="dxa"/>
            <w:noWrap w:val="0"/>
            <w:vAlign w:val="top"/>
          </w:tcPr>
          <w:p>
            <w:pPr>
              <w:spacing w:line="440" w:lineRule="exact"/>
              <w:rPr>
                <w:rFonts w:hint="eastAsia" w:ascii="宋体" w:hAnsi="宋体" w:eastAsia="宋体" w:cs="宋体"/>
                <w:color w:val="auto"/>
                <w:sz w:val="24"/>
                <w:highlight w:val="none"/>
              </w:rPr>
            </w:pPr>
          </w:p>
        </w:tc>
        <w:tc>
          <w:tcPr>
            <w:tcW w:w="2393" w:type="dxa"/>
            <w:noWrap w:val="0"/>
            <w:vAlign w:val="top"/>
          </w:tcPr>
          <w:p>
            <w:pPr>
              <w:spacing w:line="440" w:lineRule="exact"/>
              <w:rPr>
                <w:rFonts w:hint="eastAsia" w:ascii="宋体" w:hAnsi="宋体" w:eastAsia="宋体" w:cs="宋体"/>
                <w:color w:val="auto"/>
                <w:sz w:val="24"/>
                <w:highlight w:val="none"/>
              </w:rPr>
            </w:pPr>
          </w:p>
        </w:tc>
        <w:tc>
          <w:tcPr>
            <w:tcW w:w="1721" w:type="dxa"/>
            <w:noWrap w:val="0"/>
            <w:vAlign w:val="top"/>
          </w:tcPr>
          <w:p>
            <w:pPr>
              <w:spacing w:line="440" w:lineRule="exact"/>
              <w:rPr>
                <w:rFonts w:hint="eastAsia" w:ascii="宋体" w:hAnsi="宋体" w:eastAsia="宋体" w:cs="宋体"/>
                <w:color w:val="auto"/>
                <w:sz w:val="24"/>
                <w:highlight w:val="none"/>
              </w:rPr>
            </w:pPr>
          </w:p>
        </w:tc>
        <w:tc>
          <w:tcPr>
            <w:tcW w:w="1218" w:type="dxa"/>
            <w:noWrap w:val="0"/>
            <w:vAlign w:val="top"/>
          </w:tcPr>
          <w:p>
            <w:pPr>
              <w:spacing w:line="440" w:lineRule="exact"/>
              <w:rPr>
                <w:rFonts w:hint="eastAsia" w:ascii="宋体" w:hAnsi="宋体" w:eastAsia="宋体" w:cs="宋体"/>
                <w:color w:val="auto"/>
                <w:sz w:val="24"/>
                <w:highlight w:val="none"/>
              </w:rPr>
            </w:pPr>
          </w:p>
        </w:tc>
      </w:tr>
    </w:tbl>
    <w:p>
      <w:pPr>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注：与招标文件要求逐条对应填写。</w:t>
      </w:r>
    </w:p>
    <w:p>
      <w:pPr>
        <w:spacing w:line="440" w:lineRule="exac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投标人代表签字：</w:t>
      </w:r>
    </w:p>
    <w:p>
      <w:pPr>
        <w:spacing w:line="440" w:lineRule="exact"/>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bCs/>
          <w:color w:val="auto"/>
          <w:sz w:val="24"/>
          <w:highlight w:val="none"/>
        </w:rPr>
        <w:t>20</w:t>
      </w:r>
      <w:r>
        <w:rPr>
          <w:rFonts w:hint="eastAsia" w:ascii="宋体" w:hAnsi="宋体" w:eastAsia="宋体" w:cs="宋体"/>
          <w:color w:val="auto"/>
          <w:sz w:val="24"/>
          <w:highlight w:val="none"/>
          <w:u w:val="single"/>
        </w:rPr>
        <w:t xml:space="preserve">　 </w:t>
      </w:r>
      <w:r>
        <w:rPr>
          <w:rFonts w:hint="eastAsia" w:ascii="宋体" w:hAnsi="宋体" w:eastAsia="宋体" w:cs="宋体"/>
          <w:bCs/>
          <w:color w:val="auto"/>
          <w:sz w:val="24"/>
          <w:highlight w:val="none"/>
        </w:rPr>
        <w:t>年</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月</w:t>
      </w:r>
      <w:r>
        <w:rPr>
          <w:rFonts w:hint="eastAsia" w:ascii="宋体" w:hAnsi="宋体" w:eastAsia="宋体" w:cs="宋体"/>
          <w:bCs/>
          <w:color w:val="auto"/>
          <w:sz w:val="24"/>
          <w:highlight w:val="none"/>
          <w:u w:val="single"/>
        </w:rPr>
        <w:t>　</w:t>
      </w:r>
      <w:r>
        <w:rPr>
          <w:rFonts w:hint="eastAsia" w:ascii="宋体" w:hAnsi="宋体" w:eastAsia="宋体" w:cs="宋体"/>
          <w:bCs/>
          <w:color w:val="auto"/>
          <w:sz w:val="24"/>
          <w:highlight w:val="none"/>
        </w:rPr>
        <w:t>日</w:t>
      </w:r>
    </w:p>
    <w:p>
      <w:pPr>
        <w:spacing w:line="440" w:lineRule="exact"/>
        <w:jc w:val="left"/>
        <w:rPr>
          <w:rFonts w:hint="eastAsia" w:ascii="宋体" w:hAnsi="宋体" w:eastAsia="宋体" w:cs="宋体"/>
          <w:b/>
          <w:color w:val="auto"/>
          <w:sz w:val="32"/>
          <w:szCs w:val="32"/>
          <w:highlight w:val="none"/>
        </w:rPr>
      </w:pPr>
    </w:p>
    <w:p>
      <w:pPr>
        <w:spacing w:line="44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0"/>
          <w:szCs w:val="30"/>
          <w:highlight w:val="none"/>
        </w:rPr>
        <w:br w:type="page"/>
      </w:r>
      <w:r>
        <w:rPr>
          <w:rFonts w:hint="eastAsia" w:ascii="宋体" w:hAnsi="宋体" w:eastAsia="宋体" w:cs="宋体"/>
          <w:b/>
          <w:color w:val="auto"/>
          <w:sz w:val="30"/>
          <w:szCs w:val="30"/>
          <w:highlight w:val="none"/>
        </w:rPr>
        <w:t xml:space="preserve">附件2-4  </w:t>
      </w:r>
      <w:r>
        <w:rPr>
          <w:rFonts w:hint="eastAsia" w:ascii="宋体" w:hAnsi="宋体" w:eastAsia="宋体" w:cs="宋体"/>
          <w:b/>
          <w:color w:val="auto"/>
          <w:kern w:val="0"/>
          <w:sz w:val="32"/>
          <w:szCs w:val="32"/>
          <w:highlight w:val="none"/>
        </w:rPr>
        <w:t>服务承诺书</w:t>
      </w:r>
    </w:p>
    <w:p>
      <w:pPr>
        <w:shd w:val="clear" w:color="auto" w:fill="FFFFFF"/>
        <w:spacing w:line="440" w:lineRule="exact"/>
        <w:ind w:firstLine="475" w:firstLineChars="198"/>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售后服务：投标人必须按提交的服务承诺书，提供售后服务。</w:t>
      </w:r>
    </w:p>
    <w:p>
      <w:pPr>
        <w:shd w:val="clear" w:color="auto" w:fill="FFFFFF"/>
        <w:spacing w:line="44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一、拟提供售后服务的项目：</w:t>
      </w:r>
    </w:p>
    <w:p>
      <w:pPr>
        <w:shd w:val="clear" w:color="auto" w:fill="FFFFFF"/>
        <w:spacing w:line="44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二、售后免费服务期限：</w:t>
      </w:r>
    </w:p>
    <w:p>
      <w:pPr>
        <w:spacing w:line="44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三、服务响应及到达现场的时间：</w:t>
      </w:r>
    </w:p>
    <w:p>
      <w:pPr>
        <w:spacing w:line="440" w:lineRule="exact"/>
        <w:ind w:firstLine="480" w:firstLineChars="20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rPr>
        <w:t>四、</w:t>
      </w:r>
      <w:r>
        <w:rPr>
          <w:rFonts w:hint="eastAsia" w:ascii="宋体" w:hAnsi="宋体" w:eastAsia="宋体" w:cs="宋体"/>
          <w:color w:val="auto"/>
          <w:kern w:val="0"/>
          <w:sz w:val="24"/>
          <w:highlight w:val="none"/>
          <w:lang w:eastAsia="zh-CN"/>
        </w:rPr>
        <w:t>培训方案详述</w:t>
      </w:r>
    </w:p>
    <w:p>
      <w:pPr>
        <w:spacing w:line="44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五、投标人的其他服务承诺及优惠条件：</w:t>
      </w:r>
    </w:p>
    <w:p>
      <w:pPr>
        <w:spacing w:line="440" w:lineRule="exact"/>
        <w:rPr>
          <w:rFonts w:hint="eastAsia" w:ascii="宋体" w:hAnsi="宋体" w:eastAsia="宋体" w:cs="宋体"/>
          <w:bCs/>
          <w:color w:val="auto"/>
          <w:sz w:val="24"/>
          <w:szCs w:val="24"/>
          <w:highlight w:val="none"/>
        </w:rPr>
      </w:pPr>
    </w:p>
    <w:p>
      <w:pPr>
        <w:spacing w:line="440" w:lineRule="exact"/>
        <w:rPr>
          <w:rFonts w:hint="eastAsia" w:ascii="宋体" w:hAnsi="宋体" w:eastAsia="宋体" w:cs="宋体"/>
          <w:bCs/>
          <w:color w:val="auto"/>
          <w:sz w:val="24"/>
          <w:szCs w:val="24"/>
          <w:highlight w:val="none"/>
        </w:rPr>
      </w:pPr>
    </w:p>
    <w:p>
      <w:pPr>
        <w:spacing w:line="440" w:lineRule="exact"/>
        <w:rPr>
          <w:rFonts w:hint="eastAsia" w:ascii="宋体" w:hAnsi="宋体" w:eastAsia="宋体" w:cs="宋体"/>
          <w:bCs/>
          <w:color w:val="auto"/>
          <w:sz w:val="24"/>
          <w:szCs w:val="24"/>
          <w:highlight w:val="none"/>
        </w:rPr>
      </w:pPr>
    </w:p>
    <w:p>
      <w:pPr>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投标人名称（加盖公章）：</w:t>
      </w:r>
      <w:r>
        <w:rPr>
          <w:rFonts w:hint="eastAsia" w:ascii="宋体" w:hAnsi="宋体" w:eastAsia="宋体" w:cs="宋体"/>
          <w:bCs/>
          <w:color w:val="auto"/>
          <w:sz w:val="24"/>
          <w:szCs w:val="24"/>
          <w:highlight w:val="none"/>
          <w:u w:val="single"/>
        </w:rPr>
        <w:t xml:space="preserve">                               </w:t>
      </w:r>
    </w:p>
    <w:p>
      <w:pPr>
        <w:pStyle w:val="30"/>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cs="宋体"/>
          <w:b w:val="0"/>
          <w:color w:val="auto"/>
          <w:sz w:val="24"/>
          <w:szCs w:val="24"/>
          <w:highlight w:val="none"/>
          <w:lang w:eastAsia="zh-CN"/>
        </w:rPr>
        <w:t>法人及</w:t>
      </w:r>
      <w:r>
        <w:rPr>
          <w:rFonts w:hint="eastAsia" w:ascii="宋体" w:hAnsi="宋体" w:eastAsia="宋体" w:cs="宋体"/>
          <w:b w:val="0"/>
          <w:color w:val="auto"/>
          <w:sz w:val="24"/>
          <w:szCs w:val="24"/>
          <w:highlight w:val="none"/>
        </w:rPr>
        <w:t>代理（被授权人）签字：</w:t>
      </w:r>
      <w:r>
        <w:rPr>
          <w:rFonts w:hint="eastAsia" w:ascii="宋体" w:hAnsi="宋体" w:eastAsia="宋体" w:cs="宋体"/>
          <w:b w:val="0"/>
          <w:color w:val="auto"/>
          <w:sz w:val="24"/>
          <w:szCs w:val="24"/>
          <w:highlight w:val="none"/>
          <w:u w:val="single"/>
        </w:rPr>
        <w:t xml:space="preserve">                  </w:t>
      </w:r>
    </w:p>
    <w:p>
      <w:pPr>
        <w:pStyle w:val="30"/>
        <w:keepNext w:val="0"/>
        <w:keepLines w:val="0"/>
        <w:adjustRightInd/>
        <w:spacing w:before="0" w:line="440" w:lineRule="exact"/>
        <w:textAlignment w:val="auto"/>
        <w:outlineLvl w:val="9"/>
        <w:rPr>
          <w:rFonts w:hint="eastAsia" w:ascii="宋体" w:hAnsi="宋体" w:eastAsia="宋体" w:cs="宋体"/>
          <w:b w:val="0"/>
          <w:color w:val="auto"/>
          <w:kern w:val="2"/>
          <w:sz w:val="24"/>
          <w:szCs w:val="24"/>
          <w:highlight w:val="none"/>
        </w:rPr>
      </w:pPr>
      <w:r>
        <w:rPr>
          <w:rFonts w:hint="eastAsia" w:ascii="宋体" w:hAnsi="宋体" w:eastAsia="宋体" w:cs="宋体"/>
          <w:b w:val="0"/>
          <w:color w:val="auto"/>
          <w:spacing w:val="36"/>
          <w:kern w:val="2"/>
          <w:sz w:val="24"/>
          <w:szCs w:val="24"/>
          <w:highlight w:val="none"/>
        </w:rPr>
        <w:t>日期</w:t>
      </w:r>
      <w:r>
        <w:rPr>
          <w:rFonts w:hint="eastAsia" w:ascii="宋体" w:hAnsi="宋体" w:eastAsia="宋体" w:cs="宋体"/>
          <w:b w:val="0"/>
          <w:color w:val="auto"/>
          <w:kern w:val="2"/>
          <w:sz w:val="24"/>
          <w:szCs w:val="24"/>
          <w:highlight w:val="none"/>
        </w:rPr>
        <w:t>：</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年</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月</w:t>
      </w:r>
      <w:r>
        <w:rPr>
          <w:rFonts w:hint="eastAsia" w:ascii="宋体" w:hAnsi="宋体" w:eastAsia="宋体" w:cs="宋体"/>
          <w:b w:val="0"/>
          <w:color w:val="auto"/>
          <w:kern w:val="2"/>
          <w:sz w:val="24"/>
          <w:szCs w:val="24"/>
          <w:highlight w:val="none"/>
          <w:u w:val="single"/>
        </w:rPr>
        <w:t xml:space="preserve">    </w:t>
      </w:r>
      <w:r>
        <w:rPr>
          <w:rFonts w:hint="eastAsia" w:ascii="宋体" w:hAnsi="宋体" w:eastAsia="宋体" w:cs="宋体"/>
          <w:b w:val="0"/>
          <w:color w:val="auto"/>
          <w:kern w:val="2"/>
          <w:sz w:val="24"/>
          <w:szCs w:val="24"/>
          <w:highlight w:val="none"/>
        </w:rPr>
        <w:t>日</w:t>
      </w: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
          <w:color w:val="auto"/>
          <w:sz w:val="32"/>
          <w:szCs w:val="32"/>
          <w:highlight w:val="none"/>
        </w:rPr>
      </w:pPr>
    </w:p>
    <w:p>
      <w:pPr>
        <w:widowControl/>
        <w:spacing w:line="440" w:lineRule="exact"/>
        <w:jc w:val="left"/>
        <w:rPr>
          <w:rFonts w:hint="eastAsia" w:ascii="宋体" w:hAnsi="宋体" w:eastAsia="宋体" w:cs="宋体"/>
          <w:bCs/>
          <w:color w:val="auto"/>
          <w:sz w:val="24"/>
          <w:szCs w:val="24"/>
          <w:highlight w:val="none"/>
        </w:rPr>
      </w:pPr>
    </w:p>
    <w:p>
      <w:pPr>
        <w:tabs>
          <w:tab w:val="left" w:pos="2880"/>
        </w:tabs>
        <w:spacing w:line="44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评分标准100%（以下得分保留小数点后2位）</w:t>
      </w:r>
    </w:p>
    <w:p>
      <w:pPr>
        <w:spacing w:line="44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技术部分（</w:t>
      </w:r>
      <w:r>
        <w:rPr>
          <w:rFonts w:hint="eastAsia" w:ascii="宋体" w:hAnsi="宋体" w:cs="宋体"/>
          <w:b/>
          <w:color w:val="auto"/>
          <w:sz w:val="32"/>
          <w:szCs w:val="32"/>
          <w:highlight w:val="none"/>
          <w:lang w:val="en-US" w:eastAsia="zh-CN"/>
        </w:rPr>
        <w:t>5</w:t>
      </w:r>
      <w:r>
        <w:rPr>
          <w:rFonts w:hint="eastAsia" w:ascii="宋体" w:hAnsi="宋体" w:eastAsia="宋体" w:cs="宋体"/>
          <w:b/>
          <w:color w:val="auto"/>
          <w:sz w:val="32"/>
          <w:szCs w:val="32"/>
          <w:highlight w:val="none"/>
          <w:lang w:val="en-US" w:eastAsia="zh-CN"/>
        </w:rPr>
        <w:t>0分</w:t>
      </w:r>
      <w:r>
        <w:rPr>
          <w:rFonts w:hint="eastAsia" w:ascii="宋体" w:hAnsi="宋体" w:eastAsia="宋体" w:cs="宋体"/>
          <w:b/>
          <w:color w:val="auto"/>
          <w:sz w:val="32"/>
          <w:szCs w:val="32"/>
          <w:highlight w:val="none"/>
        </w:rPr>
        <w:t>）</w:t>
      </w:r>
    </w:p>
    <w:tbl>
      <w:tblPr>
        <w:tblStyle w:val="16"/>
        <w:tblW w:w="9854" w:type="dxa"/>
        <w:jc w:val="center"/>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317"/>
        <w:gridCol w:w="1351"/>
        <w:gridCol w:w="6467"/>
      </w:tblGrid>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68" w:hRule="atLeast"/>
          <w:jc w:val="center"/>
        </w:trPr>
        <w:tc>
          <w:tcPr>
            <w:tcW w:w="719"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1317"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评审项目</w:t>
            </w:r>
          </w:p>
        </w:tc>
        <w:tc>
          <w:tcPr>
            <w:tcW w:w="1351"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评审</w:t>
            </w:r>
            <w:r>
              <w:rPr>
                <w:rFonts w:hint="eastAsia" w:ascii="宋体" w:hAnsi="宋体" w:cs="宋体"/>
                <w:color w:val="auto"/>
                <w:szCs w:val="24"/>
                <w:highlight w:val="none"/>
                <w:lang w:eastAsia="zh-CN"/>
              </w:rPr>
              <w:t>分值</w:t>
            </w:r>
          </w:p>
        </w:tc>
        <w:tc>
          <w:tcPr>
            <w:tcW w:w="6467"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rPr>
            </w:pPr>
            <w:r>
              <w:rPr>
                <w:rFonts w:hint="eastAsia" w:ascii="宋体" w:hAnsi="宋体" w:cs="宋体"/>
                <w:color w:val="auto"/>
                <w:szCs w:val="24"/>
                <w:highlight w:val="none"/>
                <w:lang w:eastAsia="zh-CN"/>
              </w:rPr>
              <w:t>评审内容</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790" w:hRule="atLeast"/>
          <w:jc w:val="center"/>
        </w:trPr>
        <w:tc>
          <w:tcPr>
            <w:tcW w:w="719"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1</w:t>
            </w:r>
          </w:p>
        </w:tc>
        <w:tc>
          <w:tcPr>
            <w:tcW w:w="1317"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技术部分</w:t>
            </w:r>
          </w:p>
        </w:tc>
        <w:tc>
          <w:tcPr>
            <w:tcW w:w="1351" w:type="dxa"/>
            <w:noWrap w:val="0"/>
            <w:vAlign w:val="center"/>
          </w:tcPr>
          <w:p>
            <w:pPr>
              <w:pStyle w:val="31"/>
              <w:spacing w:before="0" w:after="0" w:line="440" w:lineRule="exact"/>
              <w:ind w:firstLine="0"/>
              <w:jc w:val="center"/>
              <w:rPr>
                <w:rFonts w:hint="default"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30</w:t>
            </w:r>
          </w:p>
        </w:tc>
        <w:tc>
          <w:tcPr>
            <w:tcW w:w="6467" w:type="dxa"/>
            <w:noWrap w:val="0"/>
            <w:vAlign w:val="center"/>
          </w:tcPr>
          <w:p>
            <w:pPr>
              <w:pStyle w:val="31"/>
              <w:spacing w:before="0" w:after="0" w:line="44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B扣分条款：</w:t>
            </w:r>
          </w:p>
          <w:p>
            <w:pPr>
              <w:pStyle w:val="31"/>
              <w:spacing w:before="0" w:after="0" w:line="44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1.重要技术参数（本招标文件技术参数带（</w:t>
            </w:r>
            <w:r>
              <w:rPr>
                <w:rFonts w:hint="eastAsia" w:ascii="宋体" w:hAnsi="宋体" w:eastAsia="宋体" w:cs="宋体"/>
                <w:b w:val="0"/>
                <w:bCs w:val="0"/>
                <w:i w:val="0"/>
                <w:iCs w:val="0"/>
                <w:color w:val="000000"/>
                <w:kern w:val="0"/>
                <w:sz w:val="16"/>
                <w:szCs w:val="16"/>
                <w:u w:val="none"/>
                <w:lang w:val="en-US" w:eastAsia="zh-CN" w:bidi="ar"/>
              </w:rPr>
              <w:t>★</w:t>
            </w:r>
            <w:r>
              <w:rPr>
                <w:rFonts w:hint="eastAsia" w:ascii="宋体" w:hAnsi="宋体" w:eastAsia="宋体" w:cs="宋体"/>
                <w:color w:val="auto"/>
                <w:szCs w:val="24"/>
                <w:highlight w:val="none"/>
                <w:lang w:val="en-US" w:eastAsia="zh-CN"/>
              </w:rPr>
              <w:t>）号标注的部分）有一条不满足的，技术部分得分为0分。</w:t>
            </w:r>
          </w:p>
          <w:p>
            <w:pPr>
              <w:pStyle w:val="31"/>
              <w:spacing w:before="0" w:after="0" w:line="44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2.一般性技术参数（本招标文件技术参数非（</w:t>
            </w:r>
            <w:r>
              <w:rPr>
                <w:rFonts w:hint="eastAsia" w:ascii="宋体" w:hAnsi="宋体" w:eastAsia="宋体" w:cs="宋体"/>
                <w:b w:val="0"/>
                <w:bCs w:val="0"/>
                <w:i w:val="0"/>
                <w:iCs w:val="0"/>
                <w:color w:val="000000"/>
                <w:kern w:val="0"/>
                <w:sz w:val="16"/>
                <w:szCs w:val="16"/>
                <w:u w:val="none"/>
                <w:lang w:val="en-US" w:eastAsia="zh-CN" w:bidi="ar"/>
              </w:rPr>
              <w:t>★</w:t>
            </w:r>
            <w:r>
              <w:rPr>
                <w:rFonts w:hint="eastAsia" w:ascii="宋体" w:hAnsi="宋体" w:eastAsia="宋体" w:cs="宋体"/>
                <w:color w:val="auto"/>
                <w:szCs w:val="24"/>
                <w:highlight w:val="none"/>
                <w:lang w:val="en-US" w:eastAsia="zh-CN"/>
              </w:rPr>
              <w:t>）号标注的部分）达不到招标文件要求的，每负偏离一条从起评分中扣除</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分；有</w:t>
            </w: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lang w:val="en-US" w:eastAsia="zh-CN"/>
              </w:rPr>
              <w:t>条不满足招标文件要求的，技术部分得分为0分。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35" w:hRule="atLeast"/>
          <w:jc w:val="center"/>
        </w:trPr>
        <w:tc>
          <w:tcPr>
            <w:tcW w:w="719"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2</w:t>
            </w:r>
          </w:p>
        </w:tc>
        <w:tc>
          <w:tcPr>
            <w:tcW w:w="1317"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供货服务方案</w:t>
            </w:r>
          </w:p>
        </w:tc>
        <w:tc>
          <w:tcPr>
            <w:tcW w:w="1351"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rPr>
              <w:t>分）</w:t>
            </w:r>
          </w:p>
        </w:tc>
        <w:tc>
          <w:tcPr>
            <w:tcW w:w="6467" w:type="dxa"/>
            <w:noWrap w:val="0"/>
            <w:vAlign w:val="center"/>
          </w:tcPr>
          <w:p>
            <w:pPr>
              <w:pStyle w:val="31"/>
              <w:spacing w:before="0" w:after="0" w:line="440" w:lineRule="exact"/>
              <w:ind w:firstLine="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①工期进度控制措施②拟派管理人员配备齐全③拟派专业技术人员齐全④运输配送保障措施</w:t>
            </w:r>
          </w:p>
          <w:p>
            <w:pPr>
              <w:pStyle w:val="31"/>
              <w:spacing w:before="0" w:after="0" w:line="440" w:lineRule="exact"/>
              <w:ind w:firstLine="0"/>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供货服务方案包含以上4项内容：描述详细、流程清晰、人员齐全、安全可靠，全部满足得</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分，有一项部分不满足的扣</w:t>
            </w: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分，有一项不满足或遗漏的扣</w:t>
            </w:r>
            <w:r>
              <w:rPr>
                <w:rFonts w:hint="eastAsia" w:ascii="宋体" w:hAnsi="宋体" w:cs="宋体"/>
                <w:color w:val="auto"/>
                <w:szCs w:val="24"/>
                <w:highlight w:val="none"/>
                <w:lang w:val="en-US" w:eastAsia="zh-CN"/>
              </w:rPr>
              <w:t>1</w:t>
            </w:r>
            <w:r>
              <w:rPr>
                <w:rFonts w:hint="eastAsia" w:ascii="宋体" w:hAnsi="宋体" w:eastAsia="宋体" w:cs="宋体"/>
                <w:color w:val="auto"/>
                <w:szCs w:val="24"/>
                <w:highlight w:val="none"/>
                <w:lang w:val="en-US" w:eastAsia="zh-CN"/>
              </w:rPr>
              <w:t>分，扣完为止。</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55" w:hRule="atLeast"/>
          <w:jc w:val="center"/>
        </w:trPr>
        <w:tc>
          <w:tcPr>
            <w:tcW w:w="719"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3</w:t>
            </w:r>
          </w:p>
        </w:tc>
        <w:tc>
          <w:tcPr>
            <w:tcW w:w="1317" w:type="dxa"/>
            <w:noWrap w:val="0"/>
            <w:vAlign w:val="center"/>
          </w:tcPr>
          <w:p>
            <w:pPr>
              <w:pStyle w:val="31"/>
              <w:spacing w:before="0" w:after="0" w:line="440" w:lineRule="exact"/>
              <w:ind w:firstLine="0" w:firstLineChars="0"/>
              <w:jc w:val="center"/>
              <w:rPr>
                <w:rFonts w:hint="eastAsia" w:ascii="宋体" w:hAnsi="宋体" w:eastAsia="宋体" w:cs="宋体"/>
                <w:color w:val="auto"/>
                <w:sz w:val="24"/>
                <w:szCs w:val="24"/>
                <w:highlight w:val="none"/>
                <w:lang w:val="en-US" w:eastAsia="zh-CN"/>
              </w:rPr>
            </w:pPr>
          </w:p>
          <w:p>
            <w:pPr>
              <w:pStyle w:val="31"/>
              <w:spacing w:before="0" w:after="0" w:line="44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质量保障措施</w:t>
            </w:r>
          </w:p>
          <w:p>
            <w:pPr>
              <w:pStyle w:val="31"/>
              <w:spacing w:before="0" w:after="0" w:line="44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 w:val="24"/>
                <w:szCs w:val="24"/>
                <w:highlight w:val="none"/>
                <w:lang w:val="en-US"/>
              </w:rPr>
              <w:br w:type="textWrapping"/>
            </w:r>
          </w:p>
        </w:tc>
        <w:tc>
          <w:tcPr>
            <w:tcW w:w="1351" w:type="dxa"/>
            <w:noWrap w:val="0"/>
            <w:vAlign w:val="center"/>
          </w:tcPr>
          <w:p>
            <w:pPr>
              <w:pStyle w:val="31"/>
              <w:spacing w:before="0" w:after="0" w:line="440" w:lineRule="exact"/>
              <w:ind w:firstLine="0" w:firstLineChars="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rPr>
              <w:t>（</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rPr>
              <w:t>分）</w:t>
            </w:r>
          </w:p>
        </w:tc>
        <w:tc>
          <w:tcPr>
            <w:tcW w:w="6467" w:type="dxa"/>
            <w:noWrap w:val="0"/>
            <w:vAlign w:val="center"/>
          </w:tcPr>
          <w:p>
            <w:pPr>
              <w:pStyle w:val="31"/>
              <w:spacing w:before="0" w:after="0" w:line="440" w:lineRule="exact"/>
              <w:ind w:firstLine="0" w:firstLineChars="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1.质量保障措施完善，针对本项目制定有效的方案、针对性强、措施合理切实得</w:t>
            </w:r>
            <w:r>
              <w:rPr>
                <w:rFonts w:hint="eastAsia" w:ascii="宋体" w:hAnsi="宋体" w:cs="宋体"/>
                <w:color w:val="auto"/>
                <w:szCs w:val="24"/>
                <w:highlight w:val="none"/>
                <w:lang w:val="en-US" w:eastAsia="zh-CN"/>
              </w:rPr>
              <w:t>5</w:t>
            </w:r>
            <w:r>
              <w:rPr>
                <w:rFonts w:hint="eastAsia" w:ascii="宋体" w:hAnsi="宋体" w:eastAsia="宋体" w:cs="宋体"/>
                <w:color w:val="auto"/>
                <w:szCs w:val="24"/>
                <w:highlight w:val="none"/>
                <w:lang w:val="en-US" w:eastAsia="zh-CN"/>
              </w:rPr>
              <w:t>分；方案基本可行得</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分；方案内容不完善得1分；未提供或不符合本项目得0分。</w:t>
            </w:r>
          </w:p>
        </w:tc>
      </w:tr>
      <w:tr>
        <w:tblPrEx>
          <w:tblBorders>
            <w:top w:val="single" w:color="auto" w:sz="6" w:space="0"/>
            <w:left w:val="single" w:color="auto" w:sz="6" w:space="0"/>
            <w:bottom w:val="single" w:color="auto" w:sz="4"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070" w:hRule="atLeast"/>
          <w:jc w:val="center"/>
        </w:trPr>
        <w:tc>
          <w:tcPr>
            <w:tcW w:w="719"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val="en-US" w:eastAsia="zh-CN"/>
              </w:rPr>
            </w:pPr>
            <w:r>
              <w:rPr>
                <w:rFonts w:hint="eastAsia" w:ascii="宋体" w:hAnsi="宋体" w:cs="宋体"/>
                <w:color w:val="auto"/>
                <w:szCs w:val="24"/>
                <w:highlight w:val="none"/>
                <w:lang w:val="en-US" w:eastAsia="zh-CN"/>
              </w:rPr>
              <w:t>4</w:t>
            </w:r>
          </w:p>
        </w:tc>
        <w:tc>
          <w:tcPr>
            <w:tcW w:w="1317"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eastAsia="zh-CN"/>
              </w:rPr>
            </w:pPr>
            <w:r>
              <w:rPr>
                <w:rStyle w:val="33"/>
                <w:rFonts w:ascii="宋体" w:hAnsi="宋体" w:eastAsia="宋体" w:cs="Times New Roman"/>
                <w:b w:val="0"/>
                <w:bCs/>
                <w:i w:val="0"/>
                <w:spacing w:val="0"/>
                <w:w w:val="100"/>
                <w:kern w:val="2"/>
                <w:sz w:val="21"/>
                <w:szCs w:val="21"/>
                <w:lang w:val="en-US" w:eastAsia="zh-CN" w:bidi="ar-SA"/>
              </w:rPr>
              <w:t>应急处置方案</w:t>
            </w:r>
          </w:p>
        </w:tc>
        <w:tc>
          <w:tcPr>
            <w:tcW w:w="1351" w:type="dxa"/>
            <w:noWrap w:val="0"/>
            <w:vAlign w:val="center"/>
          </w:tcPr>
          <w:p>
            <w:pPr>
              <w:pStyle w:val="31"/>
              <w:spacing w:before="0" w:after="0" w:line="440" w:lineRule="exact"/>
              <w:ind w:firstLine="0"/>
              <w:jc w:val="center"/>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lang w:eastAsia="zh-CN"/>
              </w:rPr>
              <w:t>（</w:t>
            </w:r>
            <w:r>
              <w:rPr>
                <w:rFonts w:hint="eastAsia" w:ascii="宋体" w:hAnsi="宋体" w:cs="宋体"/>
                <w:color w:val="auto"/>
                <w:szCs w:val="24"/>
                <w:highlight w:val="none"/>
                <w:lang w:val="en-US" w:eastAsia="zh-CN"/>
              </w:rPr>
              <w:t>10</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lang w:eastAsia="zh-CN"/>
              </w:rPr>
              <w:t>）</w:t>
            </w:r>
          </w:p>
        </w:tc>
        <w:tc>
          <w:tcPr>
            <w:tcW w:w="6467" w:type="dxa"/>
            <w:noWrap w:val="0"/>
            <w:vAlign w:val="center"/>
          </w:tcPr>
          <w:p>
            <w:pPr>
              <w:pStyle w:val="31"/>
              <w:spacing w:before="0" w:after="0" w:line="440" w:lineRule="exact"/>
              <w:ind w:firstLine="0"/>
              <w:jc w:val="left"/>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根据投标人对项目发生突发事件的处理、应急处理预案等进行评审。</w:t>
            </w:r>
            <w:r>
              <w:rPr>
                <w:rFonts w:hint="eastAsia" w:ascii="宋体" w:hAnsi="宋体" w:eastAsia="宋体" w:cs="宋体"/>
                <w:color w:val="auto"/>
                <w:szCs w:val="24"/>
                <w:highlight w:val="none"/>
                <w:lang w:val="en-US" w:eastAsia="zh-CN"/>
              </w:rPr>
              <w:br w:type="textWrapping"/>
            </w:r>
            <w:r>
              <w:rPr>
                <w:rFonts w:hint="eastAsia" w:ascii="宋体" w:hAnsi="宋体" w:eastAsia="宋体" w:cs="宋体"/>
                <w:color w:val="auto"/>
                <w:szCs w:val="24"/>
                <w:highlight w:val="none"/>
                <w:lang w:val="en-US" w:eastAsia="zh-CN"/>
              </w:rPr>
              <w:t>具有完整、合理的突发事件的处理、应急处理预案，应急经验丰富的，得</w:t>
            </w: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lang w:val="en-US" w:eastAsia="zh-CN"/>
              </w:rPr>
              <w:t>-10分；</w:t>
            </w:r>
            <w:r>
              <w:rPr>
                <w:rFonts w:hint="eastAsia" w:ascii="宋体" w:hAnsi="宋体" w:eastAsia="宋体" w:cs="宋体"/>
                <w:color w:val="auto"/>
                <w:szCs w:val="24"/>
                <w:highlight w:val="none"/>
                <w:lang w:val="en-US" w:eastAsia="zh-CN"/>
              </w:rPr>
              <w:br w:type="textWrapping"/>
            </w:r>
            <w:r>
              <w:rPr>
                <w:rFonts w:hint="eastAsia" w:ascii="宋体" w:hAnsi="宋体" w:eastAsia="宋体" w:cs="宋体"/>
                <w:color w:val="auto"/>
                <w:szCs w:val="24"/>
                <w:highlight w:val="none"/>
                <w:lang w:val="en-US" w:eastAsia="zh-CN"/>
              </w:rPr>
              <w:t>具有合理的突发事件的处理、应急处理预案，应急经验较丰富的，得</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w:t>
            </w:r>
            <w:r>
              <w:rPr>
                <w:rFonts w:hint="eastAsia" w:ascii="宋体" w:hAnsi="宋体" w:cs="宋体"/>
                <w:color w:val="auto"/>
                <w:szCs w:val="24"/>
                <w:highlight w:val="none"/>
                <w:lang w:val="en-US" w:eastAsia="zh-CN"/>
              </w:rPr>
              <w:t>6</w:t>
            </w:r>
            <w:r>
              <w:rPr>
                <w:rFonts w:hint="eastAsia" w:ascii="宋体" w:hAnsi="宋体" w:eastAsia="宋体" w:cs="宋体"/>
                <w:color w:val="auto"/>
                <w:szCs w:val="24"/>
                <w:highlight w:val="none"/>
                <w:lang w:val="en-US" w:eastAsia="zh-CN"/>
              </w:rPr>
              <w:t>分；</w:t>
            </w:r>
            <w:r>
              <w:rPr>
                <w:rFonts w:hint="eastAsia" w:ascii="宋体" w:hAnsi="宋体" w:eastAsia="宋体" w:cs="宋体"/>
                <w:color w:val="auto"/>
                <w:szCs w:val="24"/>
                <w:highlight w:val="none"/>
                <w:lang w:val="en-US" w:eastAsia="zh-CN"/>
              </w:rPr>
              <w:br w:type="textWrapping"/>
            </w:r>
            <w:r>
              <w:rPr>
                <w:rFonts w:hint="eastAsia" w:ascii="宋体" w:hAnsi="宋体" w:eastAsia="宋体" w:cs="宋体"/>
                <w:color w:val="auto"/>
                <w:szCs w:val="24"/>
                <w:highlight w:val="none"/>
                <w:lang w:val="en-US" w:eastAsia="zh-CN"/>
              </w:rPr>
              <w:t>突发事件的处理、应急处理预案描述不完整、不合理的，应急经验一般的，得0-</w:t>
            </w:r>
            <w:r>
              <w:rPr>
                <w:rFonts w:hint="eastAsia" w:ascii="宋体" w:hAnsi="宋体" w:cs="宋体"/>
                <w:color w:val="auto"/>
                <w:szCs w:val="24"/>
                <w:highlight w:val="none"/>
                <w:lang w:val="en-US" w:eastAsia="zh-CN"/>
              </w:rPr>
              <w:t>3</w:t>
            </w:r>
            <w:r>
              <w:rPr>
                <w:rFonts w:hint="eastAsia" w:ascii="宋体" w:hAnsi="宋体" w:eastAsia="宋体" w:cs="宋体"/>
                <w:color w:val="auto"/>
                <w:szCs w:val="24"/>
                <w:highlight w:val="none"/>
                <w:lang w:val="en-US" w:eastAsia="zh-CN"/>
              </w:rPr>
              <w:t>分。</w:t>
            </w:r>
          </w:p>
        </w:tc>
      </w:tr>
    </w:tbl>
    <w:p>
      <w:pPr>
        <w:pStyle w:val="25"/>
        <w:tabs>
          <w:tab w:val="left" w:pos="5438"/>
        </w:tabs>
        <w:ind w:left="0" w:leftChars="0" w:firstLine="0" w:firstLineChars="0"/>
        <w:jc w:val="left"/>
        <w:rPr>
          <w:rFonts w:hint="eastAsia" w:ascii="宋体" w:hAnsi="宋体" w:eastAsia="宋体" w:cs="宋体"/>
          <w:b/>
          <w:color w:val="auto"/>
          <w:sz w:val="32"/>
          <w:szCs w:val="32"/>
          <w:highlight w:val="none"/>
          <w:lang w:eastAsia="zh-CN"/>
        </w:rPr>
      </w:pPr>
    </w:p>
    <w:p>
      <w:pPr>
        <w:pStyle w:val="25"/>
        <w:tabs>
          <w:tab w:val="left" w:pos="5438"/>
        </w:tabs>
        <w:ind w:left="0" w:leftChars="0" w:firstLine="0" w:firstLineChars="0"/>
        <w:jc w:val="left"/>
        <w:rPr>
          <w:rFonts w:hint="eastAsia" w:ascii="宋体" w:hAnsi="宋体" w:eastAsia="宋体" w:cs="宋体"/>
          <w:b/>
          <w:color w:val="auto"/>
          <w:sz w:val="32"/>
          <w:szCs w:val="32"/>
          <w:highlight w:val="none"/>
          <w:lang w:eastAsia="zh-CN"/>
        </w:rPr>
      </w:pPr>
    </w:p>
    <w:p>
      <w:pPr>
        <w:pStyle w:val="25"/>
        <w:ind w:left="0" w:leftChars="0" w:firstLine="0" w:firstLineChars="0"/>
        <w:jc w:val="center"/>
        <w:rPr>
          <w:rFonts w:hint="eastAsia" w:ascii="宋体" w:hAnsi="宋体" w:eastAsia="宋体" w:cs="宋体"/>
          <w:b/>
          <w:color w:val="auto"/>
          <w:sz w:val="22"/>
          <w:szCs w:val="22"/>
          <w:highlight w:val="none"/>
        </w:rPr>
      </w:pPr>
      <w:r>
        <w:rPr>
          <w:rFonts w:hint="eastAsia" w:ascii="宋体" w:hAnsi="宋体" w:eastAsia="宋体" w:cs="宋体"/>
          <w:b/>
          <w:color w:val="auto"/>
          <w:sz w:val="32"/>
          <w:szCs w:val="32"/>
          <w:highlight w:val="none"/>
        </w:rPr>
        <w:t>商务部分（</w:t>
      </w:r>
      <w:r>
        <w:rPr>
          <w:rFonts w:hint="eastAsia" w:ascii="宋体" w:hAnsi="宋体" w:eastAsia="宋体" w:cs="宋体"/>
          <w:b/>
          <w:color w:val="auto"/>
          <w:sz w:val="32"/>
          <w:szCs w:val="32"/>
          <w:highlight w:val="none"/>
          <w:lang w:val="en-US" w:eastAsia="zh-CN"/>
        </w:rPr>
        <w:t>20分</w:t>
      </w:r>
      <w:r>
        <w:rPr>
          <w:rFonts w:hint="eastAsia" w:ascii="宋体" w:hAnsi="宋体" w:eastAsia="宋体" w:cs="宋体"/>
          <w:b/>
          <w:color w:val="auto"/>
          <w:sz w:val="32"/>
          <w:szCs w:val="32"/>
          <w:highlight w:val="none"/>
        </w:rPr>
        <w:t>）</w:t>
      </w:r>
    </w:p>
    <w:tbl>
      <w:tblPr>
        <w:tblStyle w:val="16"/>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34"/>
        <w:gridCol w:w="1183"/>
        <w:gridCol w:w="6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728" w:type="dxa"/>
            <w:noWrap w:val="0"/>
            <w:vAlign w:val="center"/>
          </w:tcPr>
          <w:p>
            <w:pPr>
              <w:pStyle w:val="31"/>
              <w:spacing w:before="0" w:after="0"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序号</w:t>
            </w:r>
          </w:p>
        </w:tc>
        <w:tc>
          <w:tcPr>
            <w:tcW w:w="1234" w:type="dxa"/>
            <w:noWrap w:val="0"/>
            <w:vAlign w:val="center"/>
          </w:tcPr>
          <w:p>
            <w:pPr>
              <w:pStyle w:val="31"/>
              <w:spacing w:before="0" w:after="0"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评审项目</w:t>
            </w:r>
          </w:p>
        </w:tc>
        <w:tc>
          <w:tcPr>
            <w:tcW w:w="1183" w:type="dxa"/>
            <w:noWrap w:val="0"/>
            <w:vAlign w:val="center"/>
          </w:tcPr>
          <w:p>
            <w:pPr>
              <w:pStyle w:val="31"/>
              <w:spacing w:before="0" w:after="0" w:line="440" w:lineRule="exact"/>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评审</w:t>
            </w:r>
            <w:r>
              <w:rPr>
                <w:rFonts w:hint="eastAsia" w:ascii="宋体" w:hAnsi="宋体" w:cs="宋体"/>
                <w:color w:val="auto"/>
                <w:szCs w:val="24"/>
                <w:highlight w:val="none"/>
                <w:lang w:eastAsia="zh-CN"/>
              </w:rPr>
              <w:t>分值</w:t>
            </w:r>
          </w:p>
        </w:tc>
        <w:tc>
          <w:tcPr>
            <w:tcW w:w="6716" w:type="dxa"/>
            <w:noWrap w:val="0"/>
            <w:vAlign w:val="center"/>
          </w:tcPr>
          <w:p>
            <w:pPr>
              <w:pStyle w:val="31"/>
              <w:spacing w:before="0" w:after="0" w:line="440" w:lineRule="exact"/>
              <w:ind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color w:val="auto"/>
                <w:szCs w:val="24"/>
                <w:highlight w:val="none"/>
                <w:lang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tabs>
                <w:tab w:val="left" w:pos="2880"/>
              </w:tabs>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234"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Cs w:val="21"/>
                <w:highlight w:val="none"/>
              </w:rPr>
              <w:t>售后服务及保障</w:t>
            </w:r>
          </w:p>
        </w:tc>
        <w:tc>
          <w:tcPr>
            <w:tcW w:w="1183" w:type="dxa"/>
            <w:noWrap w:val="0"/>
            <w:vAlign w:val="center"/>
          </w:tcPr>
          <w:p>
            <w:pPr>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716" w:type="dxa"/>
            <w:noWrap w:val="0"/>
            <w:vAlign w:val="center"/>
          </w:tcPr>
          <w:p>
            <w:pPr>
              <w:tabs>
                <w:tab w:val="left" w:pos="2880"/>
              </w:tabs>
              <w:spacing w:line="440" w:lineRule="exact"/>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提出了产品供货安装计划与调试的供应保障方案、安全保证措施方案、质量保证措施方案切实可行，有非常满意的承诺和优惠条件的，得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rPr>
              <w:t>分。</w:t>
            </w:r>
          </w:p>
          <w:p>
            <w:pPr>
              <w:tabs>
                <w:tab w:val="left" w:pos="2880"/>
              </w:tabs>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提出了产品供货安装计划与调试的供应保障方案、安全保证措施方案、质量保证措施方案的，得0-</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tabs>
                <w:tab w:val="left" w:pos="2880"/>
              </w:tabs>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234"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项目实施、供货及安装计划</w:t>
            </w:r>
          </w:p>
        </w:tc>
        <w:tc>
          <w:tcPr>
            <w:tcW w:w="1183" w:type="dxa"/>
            <w:noWrap w:val="0"/>
            <w:vAlign w:val="center"/>
          </w:tcPr>
          <w:p>
            <w:pPr>
              <w:spacing w:line="440" w:lineRule="exact"/>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（7分）</w:t>
            </w:r>
          </w:p>
        </w:tc>
        <w:tc>
          <w:tcPr>
            <w:tcW w:w="6716" w:type="dxa"/>
            <w:noWrap w:val="0"/>
            <w:vAlign w:val="center"/>
          </w:tcPr>
          <w:p>
            <w:pPr>
              <w:tabs>
                <w:tab w:val="left" w:pos="2880"/>
              </w:tabs>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rPr>
              <w:t>提出了产品供货安装计划与调试的供应保障方案、安全保证措施方案、质量保证措施方案的，得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rPr>
              <w:t>分；</w:t>
            </w:r>
            <w:r>
              <w:rPr>
                <w:rFonts w:hint="eastAsia" w:ascii="宋体" w:hAnsi="宋体" w:eastAsia="宋体" w:cs="宋体"/>
                <w:color w:val="auto"/>
                <w:sz w:val="24"/>
                <w:szCs w:val="24"/>
                <w:highlight w:val="none"/>
                <w:lang w:val="en-US"/>
              </w:rPr>
              <w:br w:type="textWrapping"/>
            </w:r>
            <w:r>
              <w:rPr>
                <w:rFonts w:hint="eastAsia" w:ascii="宋体" w:hAnsi="宋体" w:eastAsia="宋体" w:cs="宋体"/>
                <w:color w:val="auto"/>
                <w:sz w:val="24"/>
                <w:szCs w:val="24"/>
                <w:highlight w:val="none"/>
                <w:lang w:val="en-US"/>
              </w:rPr>
              <w:t>提出了产品供货安装计划与调试的供应保障方案、安全保证措施方案、质量保证措施方案切实可行，有非常满意的承诺和优惠条件的，得</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restart"/>
            <w:noWrap w:val="0"/>
            <w:vAlign w:val="center"/>
          </w:tcPr>
          <w:p>
            <w:pPr>
              <w:tabs>
                <w:tab w:val="left" w:pos="2880"/>
              </w:tabs>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234" w:type="dxa"/>
            <w:vMerge w:val="restart"/>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调试、培训</w:t>
            </w:r>
          </w:p>
        </w:tc>
        <w:tc>
          <w:tcPr>
            <w:tcW w:w="1183" w:type="dxa"/>
            <w:vMerge w:val="restart"/>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tc>
        <w:tc>
          <w:tcPr>
            <w:tcW w:w="6716"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调试、培训方案贴合实际，操作具有可行性（</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p>
        </w:tc>
        <w:tc>
          <w:tcPr>
            <w:tcW w:w="1234" w:type="dxa"/>
            <w:vMerge w:val="continue"/>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p>
        </w:tc>
        <w:tc>
          <w:tcPr>
            <w:tcW w:w="1183" w:type="dxa"/>
            <w:vMerge w:val="continue"/>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p>
        </w:tc>
        <w:tc>
          <w:tcPr>
            <w:tcW w:w="6716"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调试、培训方案较贴合实际，操作具有一定可行性（</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vMerge w:val="continue"/>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p>
        </w:tc>
        <w:tc>
          <w:tcPr>
            <w:tcW w:w="1234" w:type="dxa"/>
            <w:vMerge w:val="continue"/>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p>
        </w:tc>
        <w:tc>
          <w:tcPr>
            <w:tcW w:w="1183" w:type="dxa"/>
            <w:vMerge w:val="continue"/>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p>
        </w:tc>
        <w:tc>
          <w:tcPr>
            <w:tcW w:w="6716"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调试、培训方案一般，不具有操作可行性（1～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 w:type="dxa"/>
            <w:noWrap w:val="0"/>
            <w:vAlign w:val="center"/>
          </w:tcPr>
          <w:p>
            <w:pPr>
              <w:tabs>
                <w:tab w:val="left" w:pos="2880"/>
              </w:tabs>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234"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节能环保</w:t>
            </w:r>
          </w:p>
        </w:tc>
        <w:tc>
          <w:tcPr>
            <w:tcW w:w="1183" w:type="dxa"/>
            <w:noWrap w:val="0"/>
            <w:vAlign w:val="center"/>
          </w:tcPr>
          <w:p>
            <w:pPr>
              <w:tabs>
                <w:tab w:val="left" w:pos="2880"/>
              </w:tabs>
              <w:spacing w:line="4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p>
        </w:tc>
        <w:tc>
          <w:tcPr>
            <w:tcW w:w="6716"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财政部、发展改革委、生态环境部、市场监管总局《关于调整优化节能产品、环境标志产品政府采购执行机制的通知》（财库[2019]9号）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须提供所投产品由国家确定的认证机构出具的、处于有效期之内的产品认证证书彩色扫描件或复印件，每提供一项得1分，最高得分为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728"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234"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标书质量</w:t>
            </w:r>
          </w:p>
        </w:tc>
        <w:tc>
          <w:tcPr>
            <w:tcW w:w="1183"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w:t>
            </w:r>
          </w:p>
        </w:tc>
        <w:tc>
          <w:tcPr>
            <w:tcW w:w="6716" w:type="dxa"/>
            <w:noWrap w:val="0"/>
            <w:vAlign w:val="top"/>
          </w:tcPr>
          <w:p>
            <w:pPr>
              <w:tabs>
                <w:tab w:val="left" w:pos="2880"/>
              </w:tabs>
              <w:spacing w:line="440" w:lineRule="exact"/>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根据投标文件目录、页码指向准确，内容无涂改、错页、漏页现象，装订规范，双面打印等情况进行综合评定，优秀的得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分，一般的得</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9861" w:type="dxa"/>
            <w:gridSpan w:val="4"/>
            <w:noWrap w:val="0"/>
            <w:vAlign w:val="center"/>
          </w:tcPr>
          <w:p>
            <w:pPr>
              <w:tabs>
                <w:tab w:val="left" w:pos="2880"/>
              </w:tabs>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36"/>
                <w:szCs w:val="36"/>
                <w:highlight w:val="none"/>
              </w:rPr>
              <w:t>经济部分（</w:t>
            </w:r>
            <w:r>
              <w:rPr>
                <w:rFonts w:hint="eastAsia" w:ascii="宋体" w:hAnsi="宋体" w:eastAsia="宋体" w:cs="宋体"/>
                <w:b/>
                <w:color w:val="auto"/>
                <w:sz w:val="36"/>
                <w:szCs w:val="36"/>
                <w:highlight w:val="none"/>
                <w:lang w:val="en-US" w:eastAsia="zh-CN"/>
              </w:rPr>
              <w:t>30分</w:t>
            </w:r>
            <w:r>
              <w:rPr>
                <w:rFonts w:hint="eastAsia" w:ascii="宋体" w:hAnsi="宋体" w:eastAsia="宋体" w:cs="宋体"/>
                <w:b/>
                <w:color w:val="auto"/>
                <w:sz w:val="36"/>
                <w:szCs w:val="36"/>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8" w:hRule="atLeast"/>
        </w:trPr>
        <w:tc>
          <w:tcPr>
            <w:tcW w:w="728"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34" w:type="dxa"/>
            <w:noWrap w:val="0"/>
            <w:vAlign w:val="center"/>
          </w:tcPr>
          <w:p>
            <w:pPr>
              <w:tabs>
                <w:tab w:val="left" w:pos="2880"/>
              </w:tabs>
              <w:spacing w:line="440" w:lineRule="exact"/>
              <w:jc w:val="center"/>
              <w:rPr>
                <w:rFonts w:hint="eastAsia" w:ascii="宋体" w:hAnsi="宋体" w:eastAsia="宋体" w:cs="宋体"/>
                <w:color w:val="auto"/>
                <w:sz w:val="24"/>
                <w:szCs w:val="24"/>
                <w:highlight w:val="none"/>
              </w:rPr>
            </w:pPr>
          </w:p>
        </w:tc>
        <w:tc>
          <w:tcPr>
            <w:tcW w:w="1183" w:type="dxa"/>
            <w:noWrap w:val="0"/>
            <w:vAlign w:val="center"/>
          </w:tcPr>
          <w:p>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2"/>
                <w:szCs w:val="22"/>
                <w:highlight w:val="none"/>
              </w:rPr>
              <w:t>投标人报价（</w:t>
            </w:r>
            <w:r>
              <w:rPr>
                <w:rFonts w:hint="eastAsia" w:ascii="宋体" w:hAnsi="宋体" w:eastAsia="宋体" w:cs="宋体"/>
                <w:color w:val="auto"/>
                <w:sz w:val="22"/>
                <w:szCs w:val="22"/>
                <w:highlight w:val="none"/>
                <w:lang w:val="en-US" w:eastAsia="zh-CN"/>
              </w:rPr>
              <w:t>30</w:t>
            </w:r>
            <w:r>
              <w:rPr>
                <w:rFonts w:hint="eastAsia" w:ascii="宋体" w:hAnsi="宋体" w:eastAsia="宋体" w:cs="宋体"/>
                <w:color w:val="auto"/>
                <w:sz w:val="22"/>
                <w:szCs w:val="22"/>
                <w:highlight w:val="none"/>
              </w:rPr>
              <w:t>分）</w:t>
            </w:r>
          </w:p>
        </w:tc>
        <w:tc>
          <w:tcPr>
            <w:tcW w:w="6716" w:type="dxa"/>
            <w:noWrap w:val="0"/>
            <w:vAlign w:val="center"/>
          </w:tcPr>
          <w:p>
            <w:pPr>
              <w:numPr>
                <w:ilvl w:val="0"/>
                <w:numId w:val="0"/>
              </w:numPr>
              <w:tabs>
                <w:tab w:val="left" w:pos="2880"/>
              </w:tabs>
              <w:spacing w:line="4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在评审过程中，评审小组发现投标供应商的报价明显低于其他投标报价，使得其投标报价可能低于其个别成本的，应当要求该投标供应商做出书面说明并提供相关证明材料。投标供应商不能合理说明或者不能提供相关证明材料的，评审小组认定该投标供应商以低于成本报价竞标，其投标将被否决。</w:t>
            </w:r>
          </w:p>
          <w:p>
            <w:pPr>
              <w:tabs>
                <w:tab w:val="left" w:pos="2880"/>
              </w:tabs>
              <w:spacing w:line="4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）投标的最低报价，不作为是否成交的保证。</w:t>
            </w:r>
          </w:p>
          <w:p>
            <w:pPr>
              <w:tabs>
                <w:tab w:val="left" w:pos="2880"/>
              </w:tabs>
              <w:spacing w:line="4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满足招标文件要求且投标价格最低的投标报价为评标基准价，其价格分为满分。其他投标人的价格分统一按照下列公式计算：</w:t>
            </w:r>
          </w:p>
          <w:p>
            <w:pPr>
              <w:tabs>
                <w:tab w:val="left" w:pos="2880"/>
              </w:tabs>
              <w:spacing w:line="440" w:lineRule="exac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各合格投标人的价格得分按以下公式得出：</w:t>
            </w:r>
          </w:p>
          <w:p>
            <w:pPr>
              <w:tabs>
                <w:tab w:val="left" w:pos="2880"/>
              </w:tabs>
              <w:spacing w:line="44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各投标人的价格得分按以下方法得出：C=30×（BL/ B）。其中：C：投标人投标价格部分得分；B：投标人有效投标报价（即满足招标文件要求的投标人的投标报价）；BL：评标基准价（即满足招标文件要求且投标价格最低的投标报价）。</w:t>
            </w:r>
          </w:p>
        </w:tc>
      </w:tr>
    </w:tbl>
    <w:p>
      <w:pPr>
        <w:pStyle w:val="25"/>
        <w:ind w:left="0" w:leftChars="0" w:firstLine="0" w:firstLineChars="0"/>
        <w:rPr>
          <w:rFonts w:hint="eastAsia" w:ascii="宋体" w:hAnsi="宋体" w:eastAsia="宋体" w:cs="宋体"/>
          <w:color w:val="auto"/>
          <w:highlight w:val="none"/>
        </w:rPr>
      </w:pPr>
    </w:p>
    <w:sectPr>
      <w:pgSz w:w="11850" w:h="16783"/>
      <w:pgMar w:top="1440" w:right="1080" w:bottom="1440" w:left="1080"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fldChar w:fldCharType="end"/>
    </w:r>
  </w:p>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right"/>
      <w:rPr>
        <w:rFonts w:ascii="宋体"/>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4DAA8B"/>
    <w:multiLevelType w:val="singleLevel"/>
    <w:tmpl w:val="C44DAA8B"/>
    <w:lvl w:ilvl="0" w:tentative="0">
      <w:start w:val="2"/>
      <w:numFmt w:val="decimal"/>
      <w:suff w:val="nothing"/>
      <w:lvlText w:val="%1、"/>
      <w:lvlJc w:val="left"/>
    </w:lvl>
  </w:abstractNum>
  <w:abstractNum w:abstractNumId="1">
    <w:nsid w:val="D268BD29"/>
    <w:multiLevelType w:val="singleLevel"/>
    <w:tmpl w:val="D268BD29"/>
    <w:lvl w:ilvl="0" w:tentative="0">
      <w:start w:val="3"/>
      <w:numFmt w:val="decimal"/>
      <w:suff w:val="nothing"/>
      <w:lvlText w:val="%1、"/>
      <w:lvlJc w:val="left"/>
    </w:lvl>
  </w:abstractNum>
  <w:abstractNum w:abstractNumId="2">
    <w:nsid w:val="15812A10"/>
    <w:multiLevelType w:val="multilevel"/>
    <w:tmpl w:val="15812A10"/>
    <w:lvl w:ilvl="0" w:tentative="0">
      <w:start w:val="1"/>
      <w:numFmt w:val="upperLetter"/>
      <w:pStyle w:val="4"/>
      <w:lvlText w:val="%1、"/>
      <w:lvlJc w:val="left"/>
      <w:pPr>
        <w:tabs>
          <w:tab w:val="left" w:pos="360"/>
        </w:tabs>
        <w:ind w:left="360" w:hanging="360"/>
      </w:pPr>
      <w:rPr>
        <w:rFonts w:hint="eastAsia" w:cs="Times New Roman"/>
      </w:rPr>
    </w:lvl>
    <w:lvl w:ilvl="1" w:tentative="0">
      <w:start w:val="1"/>
      <w:numFmt w:val="decimal"/>
      <w:lvlText w:val="%2."/>
      <w:lvlJc w:val="left"/>
      <w:pPr>
        <w:tabs>
          <w:tab w:val="left" w:pos="780"/>
        </w:tabs>
        <w:ind w:left="780" w:hanging="36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219F15C3"/>
    <w:multiLevelType w:val="multilevel"/>
    <w:tmpl w:val="219F15C3"/>
    <w:lvl w:ilvl="0" w:tentative="0">
      <w:start w:val="1"/>
      <w:numFmt w:val="decimal"/>
      <w:lvlText w:val="（%1）"/>
      <w:lvlJc w:val="left"/>
      <w:pPr>
        <w:tabs>
          <w:tab w:val="left" w:pos="1440"/>
        </w:tabs>
        <w:ind w:left="1440" w:hanging="720"/>
      </w:pPr>
      <w:rPr>
        <w:rFonts w:hint="eastAsia" w:cs="Times New Roman"/>
      </w:rPr>
    </w:lvl>
    <w:lvl w:ilvl="1" w:tentative="0">
      <w:start w:val="1"/>
      <w:numFmt w:val="lowerLetter"/>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249D550C"/>
    <w:multiLevelType w:val="multilevel"/>
    <w:tmpl w:val="249D550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F707B4"/>
    <w:multiLevelType w:val="multilevel"/>
    <w:tmpl w:val="26F707B4"/>
    <w:lvl w:ilvl="0" w:tentative="0">
      <w:start w:val="1"/>
      <w:numFmt w:val="decimal"/>
      <w:lvlText w:val="（%1）"/>
      <w:lvlJc w:val="left"/>
      <w:pPr>
        <w:tabs>
          <w:tab w:val="left" w:pos="1260"/>
        </w:tabs>
        <w:ind w:left="1260" w:hanging="720"/>
      </w:pPr>
      <w:rPr>
        <w:rFonts w:hint="default" w:cs="Times New Roman"/>
      </w:rPr>
    </w:lvl>
    <w:lvl w:ilvl="1" w:tentative="0">
      <w:start w:val="1"/>
      <w:numFmt w:val="lowerLetter"/>
      <w:lvlText w:val="%2)"/>
      <w:lvlJc w:val="left"/>
      <w:pPr>
        <w:tabs>
          <w:tab w:val="left" w:pos="900"/>
        </w:tabs>
        <w:ind w:left="900" w:hanging="420"/>
      </w:pPr>
      <w:rPr>
        <w:rFonts w:cs="Times New Roman"/>
      </w:rPr>
    </w:lvl>
    <w:lvl w:ilvl="2" w:tentative="0">
      <w:start w:val="1"/>
      <w:numFmt w:val="lowerRoman"/>
      <w:lvlText w:val="%3."/>
      <w:lvlJc w:val="right"/>
      <w:pPr>
        <w:tabs>
          <w:tab w:val="left" w:pos="1320"/>
        </w:tabs>
        <w:ind w:left="1320" w:hanging="420"/>
      </w:pPr>
      <w:rPr>
        <w:rFonts w:cs="Times New Roman"/>
      </w:rPr>
    </w:lvl>
    <w:lvl w:ilvl="3" w:tentative="0">
      <w:start w:val="1"/>
      <w:numFmt w:val="decimal"/>
      <w:lvlText w:val="%4."/>
      <w:lvlJc w:val="left"/>
      <w:pPr>
        <w:tabs>
          <w:tab w:val="left" w:pos="1740"/>
        </w:tabs>
        <w:ind w:left="1740" w:hanging="420"/>
      </w:pPr>
      <w:rPr>
        <w:rFonts w:cs="Times New Roman"/>
      </w:rPr>
    </w:lvl>
    <w:lvl w:ilvl="4" w:tentative="0">
      <w:start w:val="1"/>
      <w:numFmt w:val="lowerLetter"/>
      <w:lvlText w:val="%5)"/>
      <w:lvlJc w:val="left"/>
      <w:pPr>
        <w:tabs>
          <w:tab w:val="left" w:pos="2160"/>
        </w:tabs>
        <w:ind w:left="2160" w:hanging="420"/>
      </w:pPr>
      <w:rPr>
        <w:rFonts w:cs="Times New Roman"/>
      </w:rPr>
    </w:lvl>
    <w:lvl w:ilvl="5" w:tentative="0">
      <w:start w:val="1"/>
      <w:numFmt w:val="lowerRoman"/>
      <w:lvlText w:val="%6."/>
      <w:lvlJc w:val="right"/>
      <w:pPr>
        <w:tabs>
          <w:tab w:val="left" w:pos="2580"/>
        </w:tabs>
        <w:ind w:left="2580" w:hanging="420"/>
      </w:pPr>
      <w:rPr>
        <w:rFonts w:cs="Times New Roman"/>
      </w:rPr>
    </w:lvl>
    <w:lvl w:ilvl="6" w:tentative="0">
      <w:start w:val="1"/>
      <w:numFmt w:val="decimal"/>
      <w:lvlText w:val="%7."/>
      <w:lvlJc w:val="left"/>
      <w:pPr>
        <w:tabs>
          <w:tab w:val="left" w:pos="3000"/>
        </w:tabs>
        <w:ind w:left="3000" w:hanging="420"/>
      </w:pPr>
      <w:rPr>
        <w:rFonts w:cs="Times New Roman"/>
      </w:rPr>
    </w:lvl>
    <w:lvl w:ilvl="7" w:tentative="0">
      <w:start w:val="1"/>
      <w:numFmt w:val="lowerLetter"/>
      <w:lvlText w:val="%8)"/>
      <w:lvlJc w:val="left"/>
      <w:pPr>
        <w:tabs>
          <w:tab w:val="left" w:pos="3420"/>
        </w:tabs>
        <w:ind w:left="3420" w:hanging="420"/>
      </w:pPr>
      <w:rPr>
        <w:rFonts w:cs="Times New Roman"/>
      </w:rPr>
    </w:lvl>
    <w:lvl w:ilvl="8" w:tentative="0">
      <w:start w:val="1"/>
      <w:numFmt w:val="lowerRoman"/>
      <w:lvlText w:val="%9."/>
      <w:lvlJc w:val="right"/>
      <w:pPr>
        <w:tabs>
          <w:tab w:val="left" w:pos="3840"/>
        </w:tabs>
        <w:ind w:left="3840" w:hanging="420"/>
      </w:pPr>
      <w:rPr>
        <w:rFonts w:cs="Times New Roman"/>
      </w:rPr>
    </w:lvl>
  </w:abstractNum>
  <w:abstractNum w:abstractNumId="6">
    <w:nsid w:val="4B8F68CF"/>
    <w:multiLevelType w:val="multilevel"/>
    <w:tmpl w:val="4B8F68CF"/>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53FC3C43"/>
    <w:multiLevelType w:val="multilevel"/>
    <w:tmpl w:val="53FC3C43"/>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736CA8AA"/>
    <w:multiLevelType w:val="singleLevel"/>
    <w:tmpl w:val="736CA8AA"/>
    <w:lvl w:ilvl="0" w:tentative="0">
      <w:start w:val="1"/>
      <w:numFmt w:val="chineseCounting"/>
      <w:suff w:val="space"/>
      <w:lvlText w:val="第%1部分"/>
      <w:lvlJc w:val="left"/>
      <w:rPr>
        <w:rFonts w:hint="eastAsia"/>
      </w:rPr>
    </w:lvl>
  </w:abstractNum>
  <w:num w:numId="1">
    <w:abstractNumId w:val="2"/>
  </w:num>
  <w:num w:numId="2">
    <w:abstractNumId w:val="8"/>
  </w:num>
  <w:num w:numId="3">
    <w:abstractNumId w:val="1"/>
  </w:num>
  <w:num w:numId="4">
    <w:abstractNumId w:val="0"/>
  </w:num>
  <w:num w:numId="5">
    <w:abstractNumId w:val="4"/>
  </w:num>
  <w:num w:numId="6">
    <w:abstractNumId w:val="3"/>
  </w:num>
  <w:num w:numId="7">
    <w:abstractNumId w:val="7"/>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27650"/>
    <w:rsid w:val="018B33F9"/>
    <w:rsid w:val="021A7CA1"/>
    <w:rsid w:val="03BD5289"/>
    <w:rsid w:val="056978AB"/>
    <w:rsid w:val="057F641B"/>
    <w:rsid w:val="058962AB"/>
    <w:rsid w:val="06C35CBC"/>
    <w:rsid w:val="07013583"/>
    <w:rsid w:val="081810E4"/>
    <w:rsid w:val="08945DC5"/>
    <w:rsid w:val="08F145BA"/>
    <w:rsid w:val="08FA6854"/>
    <w:rsid w:val="0AD108EB"/>
    <w:rsid w:val="0B295268"/>
    <w:rsid w:val="0BCC2594"/>
    <w:rsid w:val="0C3B3C0B"/>
    <w:rsid w:val="0CC546AF"/>
    <w:rsid w:val="0CC94690"/>
    <w:rsid w:val="0CE4276B"/>
    <w:rsid w:val="0E525194"/>
    <w:rsid w:val="0E5B25BA"/>
    <w:rsid w:val="0EAB09FD"/>
    <w:rsid w:val="0F271327"/>
    <w:rsid w:val="11F23270"/>
    <w:rsid w:val="11FD5D7A"/>
    <w:rsid w:val="12D9575B"/>
    <w:rsid w:val="137E3C78"/>
    <w:rsid w:val="14685E48"/>
    <w:rsid w:val="151226B6"/>
    <w:rsid w:val="1623511A"/>
    <w:rsid w:val="168D67B1"/>
    <w:rsid w:val="16D205B6"/>
    <w:rsid w:val="17861E73"/>
    <w:rsid w:val="17864A21"/>
    <w:rsid w:val="17917AD0"/>
    <w:rsid w:val="18B662A6"/>
    <w:rsid w:val="1CC87A2D"/>
    <w:rsid w:val="1CD5157C"/>
    <w:rsid w:val="1D040AD6"/>
    <w:rsid w:val="1D2C3FEC"/>
    <w:rsid w:val="1D955182"/>
    <w:rsid w:val="1E9639EA"/>
    <w:rsid w:val="1F920007"/>
    <w:rsid w:val="1FD22F3F"/>
    <w:rsid w:val="21057F47"/>
    <w:rsid w:val="22651EE2"/>
    <w:rsid w:val="23884D9C"/>
    <w:rsid w:val="241410E7"/>
    <w:rsid w:val="260A20D6"/>
    <w:rsid w:val="262D31C3"/>
    <w:rsid w:val="26AD1683"/>
    <w:rsid w:val="2764150C"/>
    <w:rsid w:val="2A5F0A58"/>
    <w:rsid w:val="2AC27DF5"/>
    <w:rsid w:val="2B253635"/>
    <w:rsid w:val="2B5203B7"/>
    <w:rsid w:val="2C021C08"/>
    <w:rsid w:val="2DFE1663"/>
    <w:rsid w:val="2E72131E"/>
    <w:rsid w:val="2ED64D46"/>
    <w:rsid w:val="31216852"/>
    <w:rsid w:val="31DF3CBA"/>
    <w:rsid w:val="32024405"/>
    <w:rsid w:val="343B1894"/>
    <w:rsid w:val="34E53A44"/>
    <w:rsid w:val="365456E8"/>
    <w:rsid w:val="36A42B84"/>
    <w:rsid w:val="37D26BCA"/>
    <w:rsid w:val="38A80E2F"/>
    <w:rsid w:val="3A2551BD"/>
    <w:rsid w:val="3B1324B6"/>
    <w:rsid w:val="3B7D0937"/>
    <w:rsid w:val="3C1B7AB1"/>
    <w:rsid w:val="3C9507E2"/>
    <w:rsid w:val="3CF7052A"/>
    <w:rsid w:val="3DCE5A15"/>
    <w:rsid w:val="3E23071B"/>
    <w:rsid w:val="3EF32CDB"/>
    <w:rsid w:val="3FEA18C9"/>
    <w:rsid w:val="4004090B"/>
    <w:rsid w:val="411B0D3A"/>
    <w:rsid w:val="4207327A"/>
    <w:rsid w:val="425B4D07"/>
    <w:rsid w:val="42AA7F49"/>
    <w:rsid w:val="43F822D4"/>
    <w:rsid w:val="459C78CA"/>
    <w:rsid w:val="470B7935"/>
    <w:rsid w:val="471D12E3"/>
    <w:rsid w:val="4834224A"/>
    <w:rsid w:val="486C4D41"/>
    <w:rsid w:val="498001B9"/>
    <w:rsid w:val="49AE715A"/>
    <w:rsid w:val="4ACE2DE1"/>
    <w:rsid w:val="4B3F5AA0"/>
    <w:rsid w:val="4BF378D0"/>
    <w:rsid w:val="4C564293"/>
    <w:rsid w:val="4E071177"/>
    <w:rsid w:val="4F221F7E"/>
    <w:rsid w:val="4F464DC7"/>
    <w:rsid w:val="4FAA5068"/>
    <w:rsid w:val="502D19F4"/>
    <w:rsid w:val="53FC6505"/>
    <w:rsid w:val="543B11D1"/>
    <w:rsid w:val="548029B4"/>
    <w:rsid w:val="55E849EB"/>
    <w:rsid w:val="574018AF"/>
    <w:rsid w:val="59086874"/>
    <w:rsid w:val="59C47C9C"/>
    <w:rsid w:val="5B4F711F"/>
    <w:rsid w:val="5BB5679F"/>
    <w:rsid w:val="5C02406D"/>
    <w:rsid w:val="5F01128E"/>
    <w:rsid w:val="5F757C3B"/>
    <w:rsid w:val="60305718"/>
    <w:rsid w:val="62CE171D"/>
    <w:rsid w:val="65D11814"/>
    <w:rsid w:val="67E978EB"/>
    <w:rsid w:val="686E22F3"/>
    <w:rsid w:val="698B0F5C"/>
    <w:rsid w:val="6B646F0A"/>
    <w:rsid w:val="6D2B72AC"/>
    <w:rsid w:val="6DB37848"/>
    <w:rsid w:val="6E3D7532"/>
    <w:rsid w:val="6E7D5225"/>
    <w:rsid w:val="6F502963"/>
    <w:rsid w:val="6F6842F5"/>
    <w:rsid w:val="6FBA679D"/>
    <w:rsid w:val="72207261"/>
    <w:rsid w:val="742D780A"/>
    <w:rsid w:val="75B442F3"/>
    <w:rsid w:val="78781E9C"/>
    <w:rsid w:val="7B72416E"/>
    <w:rsid w:val="7E4F71CF"/>
    <w:rsid w:val="7EC42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ind w:left="360" w:hanging="360"/>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样式1"/>
    <w:basedOn w:val="3"/>
    <w:qFormat/>
    <w:uiPriority w:val="0"/>
    <w:pPr>
      <w:tabs>
        <w:tab w:val="left" w:pos="480"/>
      </w:tabs>
      <w:adjustRightInd w:val="0"/>
      <w:ind w:left="480" w:hanging="480"/>
      <w:textAlignment w:val="baseline"/>
    </w:pPr>
    <w:rPr>
      <w:rFonts w:ascii="宋体" w:hAnsi="宋体"/>
      <w:kern w:val="0"/>
      <w:szCs w:val="21"/>
    </w:rPr>
  </w:style>
  <w:style w:type="paragraph" w:styleId="3">
    <w:name w:val="toa heading"/>
    <w:basedOn w:val="1"/>
    <w:next w:val="1"/>
    <w:qFormat/>
    <w:uiPriority w:val="0"/>
    <w:pPr>
      <w:spacing w:before="120" w:beforeLines="0" w:beforeAutospacing="0"/>
    </w:pPr>
    <w:rPr>
      <w:rFonts w:ascii="Arial" w:hAnsi="Arial"/>
      <w:sz w:val="24"/>
    </w:rPr>
  </w:style>
  <w:style w:type="paragraph" w:styleId="7">
    <w:name w:val="Normal Indent"/>
    <w:basedOn w:val="1"/>
    <w:next w:val="1"/>
    <w:qFormat/>
    <w:uiPriority w:val="0"/>
    <w:pPr>
      <w:ind w:firstLine="420" w:firstLineChars="200"/>
    </w:pPr>
    <w:rPr>
      <w:szCs w:val="24"/>
    </w:rPr>
  </w:style>
  <w:style w:type="paragraph" w:styleId="8">
    <w:name w:val="Body Text Indent"/>
    <w:basedOn w:val="1"/>
    <w:qFormat/>
    <w:uiPriority w:val="0"/>
    <w:pPr>
      <w:spacing w:after="120" w:afterLines="0"/>
      <w:ind w:left="420" w:leftChars="200"/>
    </w:pPr>
    <w:rPr>
      <w:kern w:val="0"/>
      <w:sz w:val="20"/>
    </w:rPr>
  </w:style>
  <w:style w:type="paragraph" w:styleId="9">
    <w:name w:val="Plain Text"/>
    <w:basedOn w:val="1"/>
    <w:next w:val="1"/>
    <w:qFormat/>
    <w:uiPriority w:val="0"/>
    <w:rPr>
      <w:rFonts w:ascii="宋体" w:hAnsi="Courier New"/>
    </w:rPr>
  </w:style>
  <w:style w:type="paragraph" w:styleId="10">
    <w:name w:val="Date"/>
    <w:basedOn w:val="1"/>
    <w:next w:val="1"/>
    <w:qFormat/>
    <w:uiPriority w:val="0"/>
    <w:pPr>
      <w:adjustRightInd w:val="0"/>
      <w:spacing w:line="360" w:lineRule="atLeast"/>
      <w:ind w:firstLine="454"/>
      <w:textAlignment w:val="baseline"/>
    </w:pPr>
    <w:rPr>
      <w:kern w:val="0"/>
      <w:sz w:val="20"/>
    </w:rPr>
  </w:style>
  <w:style w:type="paragraph" w:styleId="11">
    <w:name w:val="footer"/>
    <w:basedOn w:val="1"/>
    <w:qFormat/>
    <w:uiPriority w:val="99"/>
    <w:pPr>
      <w:tabs>
        <w:tab w:val="center" w:pos="4153"/>
        <w:tab w:val="right" w:pos="8306"/>
      </w:tabs>
      <w:snapToGrid w:val="0"/>
      <w:jc w:val="left"/>
    </w:pPr>
    <w:rPr>
      <w:kern w:val="0"/>
      <w:sz w:val="18"/>
    </w:rPr>
  </w:style>
  <w:style w:type="paragraph" w:styleId="12">
    <w:name w:val="header"/>
    <w:basedOn w:val="1"/>
    <w:qFormat/>
    <w:uiPriority w:val="0"/>
    <w:pPr>
      <w:pBdr>
        <w:bottom w:val="single" w:color="auto" w:sz="6" w:space="1"/>
      </w:pBdr>
      <w:tabs>
        <w:tab w:val="center" w:pos="4153"/>
        <w:tab w:val="right" w:pos="8306"/>
      </w:tabs>
      <w:snapToGrid w:val="0"/>
      <w:jc w:val="center"/>
    </w:pPr>
    <w:rPr>
      <w:kern w:val="0"/>
      <w:sz w:val="18"/>
    </w:rPr>
  </w:style>
  <w:style w:type="paragraph" w:styleId="13">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4">
    <w:name w:val="toc 2"/>
    <w:basedOn w:val="1"/>
    <w:next w:val="1"/>
    <w:qFormat/>
    <w:uiPriority w:val="39"/>
    <w:pPr>
      <w:tabs>
        <w:tab w:val="right" w:leader="dot" w:pos="9628"/>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rPr>
      <w:rFonts w:cs="Times New Roman"/>
    </w:rPr>
  </w:style>
  <w:style w:type="character" w:styleId="21">
    <w:name w:val="Hyperlink"/>
    <w:qFormat/>
    <w:uiPriority w:val="99"/>
    <w:rPr>
      <w:rFonts w:cs="Times New Roman"/>
      <w:color w:val="0000FF"/>
      <w:u w:val="single"/>
    </w:rPr>
  </w:style>
  <w:style w:type="paragraph" w:customStyle="1" w:styleId="22">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23">
    <w:name w:val="NormalIndent"/>
    <w:basedOn w:val="1"/>
    <w:qFormat/>
    <w:uiPriority w:val="0"/>
    <w:pPr>
      <w:ind w:firstLine="420"/>
      <w:jc w:val="left"/>
      <w:textAlignment w:val="baseline"/>
    </w:pPr>
    <w:rPr>
      <w:rFonts w:ascii="宋体" w:hAnsi="Times New Roman" w:eastAsia="宋体"/>
      <w:kern w:val="0"/>
      <w:sz w:val="24"/>
      <w:szCs w:val="20"/>
      <w:lang w:val="en-US" w:eastAsia="zh-CN" w:bidi="ar-SA"/>
    </w:rPr>
  </w:style>
  <w:style w:type="paragraph" w:customStyle="1" w:styleId="24">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5">
    <w:name w:val="正"/>
    <w:basedOn w:val="1"/>
    <w:qFormat/>
    <w:uiPriority w:val="0"/>
    <w:pPr>
      <w:tabs>
        <w:tab w:val="left" w:pos="-120"/>
      </w:tabs>
      <w:adjustRightInd w:val="0"/>
      <w:spacing w:line="560" w:lineRule="exact"/>
      <w:ind w:firstLine="600"/>
      <w:textAlignment w:val="baseline"/>
    </w:pPr>
    <w:rPr>
      <w:rFonts w:ascii="仿宋_GB2312" w:eastAsia="仿宋_GB2312"/>
      <w:color w:val="000000"/>
      <w:spacing w:val="20"/>
      <w:kern w:val="0"/>
      <w:szCs w:val="28"/>
    </w:rPr>
  </w:style>
  <w:style w:type="paragraph" w:customStyle="1" w:styleId="2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9">
    <w:name w:val="样式 宋体 五号 行距: 单倍行距"/>
    <w:basedOn w:val="1"/>
    <w:qFormat/>
    <w:uiPriority w:val="0"/>
    <w:pPr>
      <w:adjustRightInd w:val="0"/>
      <w:jc w:val="left"/>
      <w:textAlignment w:val="baseline"/>
    </w:pPr>
    <w:rPr>
      <w:rFonts w:ascii="宋体" w:hAnsi="宋体"/>
      <w:kern w:val="0"/>
    </w:rPr>
  </w:style>
  <w:style w:type="paragraph" w:customStyle="1" w:styleId="30">
    <w:name w:val="样式 样式 样式 样式 标题 2 + 宋体 五号 非加粗 黑色 + 段前: 6 磅 段后: 0 磅 行距: 单倍行距 + 段前:..."/>
    <w:basedOn w:val="1"/>
    <w:qFormat/>
    <w:uiPriority w:val="0"/>
    <w:pPr>
      <w:keepNext/>
      <w:keepLines/>
      <w:adjustRightInd w:val="0"/>
      <w:spacing w:before="240" w:beforeLines="0"/>
      <w:textAlignment w:val="baseline"/>
      <w:outlineLvl w:val="1"/>
    </w:pPr>
    <w:rPr>
      <w:rFonts w:ascii="宋体" w:hAnsi="宋体"/>
      <w:b/>
      <w:bCs/>
      <w:kern w:val="0"/>
    </w:rPr>
  </w:style>
  <w:style w:type="paragraph" w:customStyle="1" w:styleId="31">
    <w:name w:val="样式 样式 样式 左侧:  2 字符1 + 首行缩进:  2 字符1 + 首行缩进:  2 字符"/>
    <w:basedOn w:val="1"/>
    <w:qFormat/>
    <w:uiPriority w:val="0"/>
    <w:pPr>
      <w:widowControl/>
      <w:adjustRightInd w:val="0"/>
      <w:spacing w:before="60" w:beforeLines="0" w:after="120" w:afterLines="0" w:line="440" w:lineRule="atLeast"/>
      <w:ind w:firstLine="480"/>
      <w:textAlignment w:val="baseline"/>
    </w:pPr>
    <w:rPr>
      <w:sz w:val="24"/>
    </w:rPr>
  </w:style>
  <w:style w:type="paragraph" w:styleId="3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3">
    <w:name w:val="NormalCharacter"/>
    <w:link w:val="1"/>
    <w:qFormat/>
    <w:uiPriority w:val="0"/>
    <w:rPr>
      <w:rFonts w:ascii="Times New Roman" w:hAnsi="Times New Roman" w:eastAsia="宋体" w:cs="Times New Roman"/>
      <w:kern w:val="2"/>
      <w:sz w:val="21"/>
      <w:lang w:val="en-US" w:eastAsia="zh-CN" w:bidi="ar-SA"/>
    </w:rPr>
  </w:style>
  <w:style w:type="character" w:customStyle="1" w:styleId="34">
    <w:name w:val="font31"/>
    <w:basedOn w:val="18"/>
    <w:qFormat/>
    <w:uiPriority w:val="0"/>
    <w:rPr>
      <w:rFonts w:hint="default" w:ascii="Symbol" w:hAnsi="Symbol" w:cs="Symbol"/>
      <w:color w:val="000000"/>
      <w:sz w:val="16"/>
      <w:szCs w:val="16"/>
      <w:u w:val="none"/>
    </w:rPr>
  </w:style>
  <w:style w:type="character" w:customStyle="1" w:styleId="35">
    <w:name w:val="font21"/>
    <w:basedOn w:val="18"/>
    <w:qFormat/>
    <w:uiPriority w:val="0"/>
    <w:rPr>
      <w:rFonts w:hint="eastAsia" w:ascii="宋体" w:hAnsi="宋体" w:eastAsia="宋体" w:cs="宋体"/>
      <w:color w:val="000000"/>
      <w:sz w:val="16"/>
      <w:szCs w:val="16"/>
      <w:u w:val="none"/>
    </w:rPr>
  </w:style>
  <w:style w:type="paragraph" w:customStyle="1" w:styleId="36">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34077</Words>
  <Characters>36515</Characters>
  <Lines>0</Lines>
  <Paragraphs>0</Paragraphs>
  <TotalTime>2</TotalTime>
  <ScaleCrop>false</ScaleCrop>
  <LinksUpToDate>false</LinksUpToDate>
  <CharactersWithSpaces>38424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Xx______________________</cp:lastModifiedBy>
  <cp:lastPrinted>2021-09-26T03:41:00Z</cp:lastPrinted>
  <dcterms:modified xsi:type="dcterms:W3CDTF">2021-09-28T03:54:42Z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035AC7F6AA6042E8823570DDD90A00BA</vt:lpwstr>
  </property>
</Properties>
</file>