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before="0" w:after="0" w:line="360" w:lineRule="auto"/>
        <w:jc w:val="center"/>
        <w:rPr>
          <w:rFonts w:ascii="宋体" w:hAnsi="宋体"/>
          <w:color w:val="auto"/>
          <w:sz w:val="28"/>
          <w:szCs w:val="28"/>
        </w:rPr>
      </w:pPr>
      <w:bookmarkStart w:id="0" w:name="_Toc35393789"/>
      <w:bookmarkStart w:id="1" w:name="_Toc28359001"/>
      <w:r>
        <w:rPr>
          <w:rFonts w:hint="eastAsia" w:ascii="宋体" w:hAnsi="宋体"/>
          <w:color w:val="auto"/>
          <w:sz w:val="28"/>
          <w:szCs w:val="28"/>
        </w:rPr>
        <w:t>招标公告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u w:val="single"/>
          <w:lang w:eastAsia="zh-CN"/>
        </w:rPr>
        <w:t>沙湾市人民医院传染病区建设项目--负压病房</w:t>
      </w:r>
      <w:r>
        <w:rPr>
          <w:rFonts w:hint="eastAsia" w:ascii="宋体" w:hAnsi="宋体"/>
          <w:color w:val="auto"/>
          <w:sz w:val="24"/>
        </w:rPr>
        <w:t>招标项目的潜在投标人应在</w:t>
      </w:r>
      <w:r>
        <w:rPr>
          <w:rFonts w:hint="eastAsia" w:ascii="宋体" w:hAnsi="宋体"/>
          <w:color w:val="auto"/>
          <w:sz w:val="24"/>
          <w:u w:val="single"/>
          <w:lang w:eastAsia="zh-CN"/>
        </w:rPr>
        <w:t>新疆塔城地区沙湾市乌鲁木齐东路（原丝路明珠综合楼）</w:t>
      </w:r>
      <w:r>
        <w:rPr>
          <w:rFonts w:hint="eastAsia" w:ascii="宋体" w:hAnsi="宋体"/>
          <w:color w:val="auto"/>
          <w:sz w:val="24"/>
        </w:rPr>
        <w:t>获取招标文件，并于</w:t>
      </w:r>
      <w:r>
        <w:rPr>
          <w:rFonts w:hint="eastAsia" w:ascii="宋体" w:hAnsi="宋体"/>
          <w:color w:val="FF0000"/>
          <w:sz w:val="24"/>
          <w:u w:val="single"/>
          <w:lang w:eastAsia="zh-CN"/>
        </w:rPr>
        <w:t>2021年10月19日15点30分</w:t>
      </w:r>
      <w:r>
        <w:rPr>
          <w:rFonts w:hint="eastAsia" w:ascii="宋体" w:hAnsi="宋体"/>
          <w:color w:val="FF0000"/>
          <w:sz w:val="24"/>
          <w:u w:val="single"/>
        </w:rPr>
        <w:t>（北京时间）</w:t>
      </w:r>
      <w:r>
        <w:rPr>
          <w:rFonts w:hint="eastAsia" w:ascii="宋体" w:hAnsi="宋体"/>
          <w:bCs/>
          <w:color w:val="auto"/>
          <w:sz w:val="24"/>
        </w:rPr>
        <w:t>前递交投标</w:t>
      </w:r>
      <w:r>
        <w:rPr>
          <w:rFonts w:ascii="宋体" w:hAnsi="宋体"/>
          <w:bCs/>
          <w:color w:val="auto"/>
          <w:sz w:val="24"/>
        </w:rPr>
        <w:t>文件</w:t>
      </w:r>
      <w:r>
        <w:rPr>
          <w:rFonts w:hint="eastAsia" w:ascii="宋体" w:hAnsi="宋体"/>
          <w:color w:val="auto"/>
          <w:sz w:val="24"/>
        </w:rPr>
        <w:t>。</w:t>
      </w:r>
    </w:p>
    <w:p>
      <w:pPr>
        <w:pStyle w:val="3"/>
        <w:spacing w:line="360" w:lineRule="auto"/>
        <w:rPr>
          <w:rFonts w:ascii="宋体" w:hAnsi="宋体" w:eastAsia="宋体" w:cs="宋体"/>
          <w:color w:val="auto"/>
          <w:sz w:val="24"/>
          <w:szCs w:val="24"/>
        </w:rPr>
      </w:pPr>
      <w:bookmarkStart w:id="2" w:name="_Toc35393790"/>
      <w:bookmarkStart w:id="3" w:name="_Toc28359002"/>
      <w:bookmarkStart w:id="4" w:name="_Toc28359079"/>
      <w:bookmarkStart w:id="5" w:name="_Toc35393621"/>
      <w:bookmarkStart w:id="6" w:name="_Hlk24379207"/>
      <w:r>
        <w:rPr>
          <w:rFonts w:hint="eastAsia" w:ascii="宋体" w:hAnsi="宋体" w:eastAsia="宋体" w:cs="宋体"/>
          <w:color w:val="auto"/>
          <w:sz w:val="24"/>
          <w:szCs w:val="24"/>
        </w:rPr>
        <w:t>一、项目基本情况</w:t>
      </w:r>
      <w:bookmarkEnd w:id="2"/>
      <w:bookmarkEnd w:id="3"/>
      <w:bookmarkEnd w:id="4"/>
      <w:bookmarkEnd w:id="5"/>
    </w:p>
    <w:bookmarkEnd w:id="6"/>
    <w:p>
      <w:pPr>
        <w:spacing w:line="480" w:lineRule="auto"/>
        <w:ind w:firstLine="480" w:firstLineChars="200"/>
        <w:rPr>
          <w:rFonts w:hint="default" w:ascii="宋体" w:hAnsi="宋体"/>
          <w:color w:val="auto"/>
          <w:sz w:val="24"/>
          <w:lang w:val="en-US" w:eastAsia="zh-CN"/>
        </w:rPr>
      </w:pPr>
      <w:r>
        <w:rPr>
          <w:rFonts w:hint="eastAsia" w:ascii="宋体" w:hAnsi="宋体"/>
          <w:color w:val="auto"/>
          <w:sz w:val="24"/>
        </w:rPr>
        <w:t>项目编号：</w:t>
      </w:r>
      <w:r>
        <w:rPr>
          <w:rFonts w:hint="eastAsia" w:ascii="宋体" w:hAnsi="宋体"/>
          <w:color w:val="auto"/>
          <w:sz w:val="24"/>
          <w:lang w:eastAsia="zh-CN"/>
        </w:rPr>
        <w:t>XJZZ2021</w:t>
      </w:r>
      <w:r>
        <w:rPr>
          <w:rFonts w:hint="eastAsia" w:ascii="宋体" w:hAnsi="宋体"/>
          <w:color w:val="auto"/>
          <w:sz w:val="24"/>
          <w:lang w:val="en-US" w:eastAsia="zh-CN"/>
        </w:rPr>
        <w:t>0929</w:t>
      </w:r>
    </w:p>
    <w:p>
      <w:pPr>
        <w:spacing w:line="480" w:lineRule="auto"/>
        <w:ind w:firstLine="480" w:firstLineChars="200"/>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沙湾市人民医院传染病区建设项目--负压病房</w:t>
      </w:r>
    </w:p>
    <w:p>
      <w:pPr>
        <w:spacing w:line="480" w:lineRule="auto"/>
        <w:ind w:firstLine="480" w:firstLineChars="200"/>
        <w:rPr>
          <w:rFonts w:ascii="宋体" w:hAnsi="宋体"/>
          <w:color w:val="auto"/>
          <w:sz w:val="24"/>
        </w:rPr>
      </w:pPr>
      <w:r>
        <w:rPr>
          <w:rFonts w:hint="eastAsia" w:ascii="宋体" w:hAnsi="宋体"/>
          <w:color w:val="auto"/>
          <w:sz w:val="24"/>
        </w:rPr>
        <w:t>预算金额：</w:t>
      </w:r>
      <w:r>
        <w:rPr>
          <w:rFonts w:hint="eastAsia" w:ascii="宋体" w:hAnsi="宋体"/>
          <w:color w:val="auto"/>
          <w:sz w:val="24"/>
          <w:lang w:val="en-US" w:eastAsia="zh-CN"/>
        </w:rPr>
        <w:t>1500000</w:t>
      </w:r>
      <w:r>
        <w:rPr>
          <w:rFonts w:hint="eastAsia" w:ascii="宋体" w:hAnsi="宋体"/>
          <w:color w:val="auto"/>
          <w:sz w:val="24"/>
        </w:rPr>
        <w:t>元</w:t>
      </w:r>
    </w:p>
    <w:p>
      <w:pPr>
        <w:spacing w:line="480" w:lineRule="auto"/>
        <w:ind w:firstLine="480" w:firstLineChars="200"/>
        <w:rPr>
          <w:rFonts w:ascii="宋体" w:hAnsi="宋体"/>
          <w:color w:val="auto"/>
          <w:sz w:val="24"/>
        </w:rPr>
      </w:pPr>
      <w:r>
        <w:rPr>
          <w:rFonts w:hint="eastAsia" w:ascii="宋体" w:hAnsi="宋体"/>
          <w:color w:val="auto"/>
          <w:sz w:val="24"/>
        </w:rPr>
        <w:t>最高限价：</w:t>
      </w:r>
      <w:r>
        <w:rPr>
          <w:rFonts w:hint="eastAsia" w:ascii="宋体" w:hAnsi="宋体"/>
          <w:color w:val="auto"/>
          <w:sz w:val="24"/>
          <w:lang w:val="en-US" w:eastAsia="zh-CN"/>
        </w:rPr>
        <w:t>1500000</w:t>
      </w:r>
      <w:r>
        <w:rPr>
          <w:rFonts w:hint="eastAsia" w:ascii="宋体" w:hAnsi="宋体"/>
          <w:color w:val="auto"/>
          <w:sz w:val="24"/>
        </w:rPr>
        <w:t>元</w:t>
      </w:r>
    </w:p>
    <w:p>
      <w:pPr>
        <w:spacing w:line="480" w:lineRule="auto"/>
        <w:ind w:firstLine="480" w:firstLineChars="200"/>
        <w:rPr>
          <w:rFonts w:ascii="宋体" w:hAnsi="宋体"/>
          <w:color w:val="auto"/>
          <w:sz w:val="24"/>
        </w:rPr>
      </w:pPr>
      <w:r>
        <w:rPr>
          <w:rFonts w:hint="eastAsia" w:ascii="宋体" w:hAnsi="宋体"/>
          <w:color w:val="auto"/>
          <w:sz w:val="24"/>
        </w:rPr>
        <w:t>采购需求：</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134"/>
        <w:gridCol w:w="1276"/>
        <w:gridCol w:w="85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标项序号</w:t>
            </w:r>
          </w:p>
        </w:tc>
        <w:tc>
          <w:tcPr>
            <w:tcW w:w="1559"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标项名称</w:t>
            </w:r>
          </w:p>
        </w:tc>
        <w:tc>
          <w:tcPr>
            <w:tcW w:w="1134"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数量</w:t>
            </w:r>
          </w:p>
        </w:tc>
        <w:tc>
          <w:tcPr>
            <w:tcW w:w="1276"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预算金额(元)</w:t>
            </w:r>
          </w:p>
        </w:tc>
        <w:tc>
          <w:tcPr>
            <w:tcW w:w="851"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单位</w:t>
            </w:r>
          </w:p>
        </w:tc>
        <w:tc>
          <w:tcPr>
            <w:tcW w:w="3543" w:type="dxa"/>
            <w:vAlign w:val="center"/>
          </w:tcPr>
          <w:p>
            <w:pPr>
              <w:widowControl/>
              <w:spacing w:line="18" w:lineRule="atLeast"/>
              <w:jc w:val="center"/>
              <w:rPr>
                <w:rFonts w:ascii="宋体" w:hAnsi="宋体" w:cs="宋体"/>
                <w:color w:val="auto"/>
                <w:sz w:val="24"/>
                <w:szCs w:val="24"/>
              </w:rPr>
            </w:pPr>
            <w:r>
              <w:rPr>
                <w:rFonts w:hint="eastAsia" w:ascii="宋体" w:hAnsi="宋体" w:cs="宋体"/>
                <w:color w:val="auto"/>
                <w:kern w:val="0"/>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color w:val="auto"/>
                <w:sz w:val="24"/>
                <w:szCs w:val="24"/>
              </w:rPr>
            </w:pPr>
          </w:p>
          <w:p>
            <w:pPr>
              <w:spacing w:line="360" w:lineRule="auto"/>
              <w:jc w:val="center"/>
              <w:rPr>
                <w:rFonts w:ascii="宋体" w:hAnsi="宋体"/>
                <w:color w:val="auto"/>
                <w:sz w:val="24"/>
                <w:szCs w:val="24"/>
              </w:rPr>
            </w:pPr>
            <w:r>
              <w:rPr>
                <w:rFonts w:hint="eastAsia" w:ascii="宋体" w:hAnsi="宋体"/>
                <w:color w:val="auto"/>
                <w:sz w:val="24"/>
                <w:szCs w:val="24"/>
              </w:rPr>
              <w:t>1</w:t>
            </w:r>
          </w:p>
        </w:tc>
        <w:tc>
          <w:tcPr>
            <w:tcW w:w="1559" w:type="dxa"/>
          </w:tcPr>
          <w:p>
            <w:pPr>
              <w:spacing w:line="360" w:lineRule="auto"/>
              <w:jc w:val="center"/>
              <w:rPr>
                <w:rFonts w:ascii="宋体" w:hAnsi="宋体"/>
                <w:color w:val="auto"/>
                <w:sz w:val="24"/>
                <w:szCs w:val="24"/>
              </w:rPr>
            </w:pPr>
            <w:r>
              <w:rPr>
                <w:rFonts w:hint="eastAsia" w:ascii="宋体" w:hAnsi="宋体"/>
                <w:color w:val="auto"/>
                <w:sz w:val="24"/>
                <w:lang w:eastAsia="zh-CN"/>
              </w:rPr>
              <w:t>沙湾市人民医院传染病区建设项目--负压病房</w:t>
            </w:r>
          </w:p>
        </w:tc>
        <w:tc>
          <w:tcPr>
            <w:tcW w:w="1134" w:type="dxa"/>
          </w:tcPr>
          <w:p>
            <w:pPr>
              <w:spacing w:line="360" w:lineRule="auto"/>
              <w:jc w:val="center"/>
              <w:rPr>
                <w:rFonts w:ascii="宋体" w:hAnsi="宋体"/>
                <w:color w:val="auto"/>
                <w:sz w:val="24"/>
                <w:szCs w:val="24"/>
              </w:rPr>
            </w:pPr>
          </w:p>
          <w:p>
            <w:pPr>
              <w:spacing w:line="360" w:lineRule="auto"/>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5</w:t>
            </w:r>
          </w:p>
        </w:tc>
        <w:tc>
          <w:tcPr>
            <w:tcW w:w="1276" w:type="dxa"/>
          </w:tcPr>
          <w:p>
            <w:pPr>
              <w:spacing w:line="360" w:lineRule="auto"/>
              <w:jc w:val="center"/>
              <w:rPr>
                <w:rFonts w:ascii="宋体" w:hAnsi="宋体"/>
                <w:color w:val="auto"/>
                <w:sz w:val="24"/>
                <w:szCs w:val="24"/>
              </w:rPr>
            </w:pPr>
          </w:p>
          <w:p>
            <w:pPr>
              <w:spacing w:line="360" w:lineRule="auto"/>
              <w:jc w:val="center"/>
              <w:rPr>
                <w:rFonts w:hint="default" w:ascii="宋体" w:hAnsi="宋体"/>
                <w:color w:val="auto"/>
                <w:sz w:val="24"/>
                <w:szCs w:val="24"/>
                <w:lang w:val="en-US"/>
              </w:rPr>
            </w:pPr>
            <w:r>
              <w:rPr>
                <w:rFonts w:hint="eastAsia" w:ascii="宋体" w:hAnsi="宋体"/>
                <w:color w:val="auto"/>
                <w:sz w:val="24"/>
                <w:szCs w:val="24"/>
                <w:lang w:val="en-US" w:eastAsia="zh-CN"/>
              </w:rPr>
              <w:t>1500000</w:t>
            </w:r>
          </w:p>
        </w:tc>
        <w:tc>
          <w:tcPr>
            <w:tcW w:w="851" w:type="dxa"/>
          </w:tcPr>
          <w:p>
            <w:pPr>
              <w:spacing w:line="360" w:lineRule="auto"/>
              <w:jc w:val="center"/>
              <w:rPr>
                <w:rFonts w:ascii="宋体" w:hAnsi="宋体"/>
                <w:color w:val="auto"/>
                <w:sz w:val="24"/>
                <w:szCs w:val="24"/>
              </w:rPr>
            </w:pPr>
          </w:p>
          <w:p>
            <w:pPr>
              <w:spacing w:line="360" w:lineRule="auto"/>
              <w:jc w:val="center"/>
              <w:rPr>
                <w:rFonts w:hint="eastAsia" w:ascii="宋体" w:hAnsi="宋体" w:eastAsia="宋体"/>
                <w:color w:val="auto"/>
                <w:sz w:val="24"/>
                <w:szCs w:val="24"/>
                <w:lang w:eastAsia="zh-CN"/>
              </w:rPr>
            </w:pPr>
            <w:r>
              <w:rPr>
                <w:rFonts w:hint="eastAsia" w:ascii="宋体" w:hAnsi="宋体"/>
                <w:color w:val="auto"/>
                <w:sz w:val="24"/>
                <w:szCs w:val="24"/>
                <w:lang w:eastAsia="zh-CN"/>
              </w:rPr>
              <w:t>间</w:t>
            </w:r>
          </w:p>
        </w:tc>
        <w:tc>
          <w:tcPr>
            <w:tcW w:w="3543" w:type="dxa"/>
          </w:tcPr>
          <w:p>
            <w:pPr>
              <w:spacing w:line="360" w:lineRule="auto"/>
              <w:jc w:val="left"/>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 </w:t>
            </w:r>
          </w:p>
          <w:p>
            <w:pPr>
              <w:spacing w:line="360" w:lineRule="auto"/>
              <w:jc w:val="left"/>
              <w:rPr>
                <w:rFonts w:ascii="宋体" w:hAnsi="宋体"/>
                <w:color w:val="auto"/>
                <w:sz w:val="24"/>
                <w:szCs w:val="24"/>
              </w:rPr>
            </w:pPr>
            <w:r>
              <w:rPr>
                <w:rFonts w:hint="eastAsia" w:ascii="宋体" w:hAnsi="宋体"/>
                <w:color w:val="auto"/>
                <w:sz w:val="24"/>
                <w:szCs w:val="24"/>
              </w:rPr>
              <w:t>具体要求详见招标文件</w:t>
            </w:r>
          </w:p>
        </w:tc>
      </w:tr>
    </w:tbl>
    <w:p>
      <w:pPr>
        <w:spacing w:line="480" w:lineRule="auto"/>
        <w:ind w:firstLine="480" w:firstLineChars="200"/>
        <w:rPr>
          <w:rFonts w:ascii="宋体" w:hAnsi="宋体"/>
          <w:color w:val="auto"/>
          <w:sz w:val="24"/>
        </w:rPr>
      </w:pPr>
      <w:r>
        <w:rPr>
          <w:rFonts w:hint="eastAsia" w:ascii="宋体" w:hAnsi="宋体"/>
          <w:color w:val="auto"/>
          <w:sz w:val="24"/>
        </w:rPr>
        <w:t>合同履行期限：按甲方要求</w:t>
      </w:r>
    </w:p>
    <w:p>
      <w:pPr>
        <w:spacing w:line="480" w:lineRule="auto"/>
        <w:ind w:firstLine="480" w:firstLineChars="200"/>
        <w:rPr>
          <w:rFonts w:ascii="宋体" w:hAnsi="宋体"/>
          <w:color w:val="auto"/>
          <w:sz w:val="24"/>
        </w:rPr>
      </w:pPr>
      <w:r>
        <w:rPr>
          <w:rFonts w:hint="eastAsia" w:ascii="宋体" w:hAnsi="宋体"/>
          <w:color w:val="auto"/>
          <w:sz w:val="24"/>
        </w:rPr>
        <w:t>本项目不接受联合体投标。</w:t>
      </w:r>
    </w:p>
    <w:p>
      <w:pPr>
        <w:pStyle w:val="3"/>
        <w:spacing w:line="360" w:lineRule="auto"/>
        <w:rPr>
          <w:rFonts w:ascii="宋体" w:hAnsi="宋体" w:eastAsia="宋体" w:cs="宋体"/>
          <w:color w:val="auto"/>
          <w:sz w:val="24"/>
          <w:szCs w:val="24"/>
        </w:rPr>
      </w:pPr>
      <w:bookmarkStart w:id="7" w:name="_Toc35393791"/>
      <w:bookmarkStart w:id="8" w:name="_Toc28359003"/>
      <w:bookmarkStart w:id="9" w:name="_Toc28359080"/>
      <w:bookmarkStart w:id="10" w:name="_Toc35393622"/>
      <w:r>
        <w:rPr>
          <w:rFonts w:hint="eastAsia" w:ascii="宋体" w:hAnsi="宋体" w:eastAsia="宋体" w:cs="宋体"/>
          <w:color w:val="auto"/>
          <w:sz w:val="24"/>
          <w:szCs w:val="24"/>
        </w:rPr>
        <w:t>二、申请人的资格要求：</w:t>
      </w:r>
      <w:bookmarkEnd w:id="7"/>
      <w:bookmarkEnd w:id="8"/>
      <w:bookmarkEnd w:id="9"/>
      <w:bookmarkEnd w:id="10"/>
    </w:p>
    <w:p>
      <w:pPr>
        <w:spacing w:line="360" w:lineRule="auto"/>
        <w:rPr>
          <w:rFonts w:ascii="宋体" w:hAnsi="宋体" w:cs="宋体"/>
          <w:color w:val="auto"/>
          <w:kern w:val="0"/>
          <w:sz w:val="24"/>
        </w:rPr>
      </w:pPr>
      <w:bookmarkStart w:id="11" w:name="_Toc28359081"/>
      <w:bookmarkStart w:id="12" w:name="_Toc28359004"/>
      <w:bookmarkStart w:id="13" w:name="_Toc35393792"/>
      <w:bookmarkStart w:id="14" w:name="_Toc35393623"/>
      <w:r>
        <w:rPr>
          <w:rFonts w:hint="eastAsia" w:ascii="宋体" w:hAnsi="宋体" w:cs="宋体"/>
          <w:color w:val="auto"/>
          <w:kern w:val="0"/>
          <w:sz w:val="24"/>
        </w:rPr>
        <w:t>1、须符合《中华人民共和国政府采购法》第22条规定；</w:t>
      </w:r>
    </w:p>
    <w:p>
      <w:pPr>
        <w:spacing w:line="360" w:lineRule="auto"/>
        <w:ind w:firstLine="480" w:firstLineChars="200"/>
        <w:rPr>
          <w:rFonts w:ascii="宋体" w:hAnsi="宋体" w:cs="仿宋"/>
          <w:color w:val="auto"/>
          <w:sz w:val="24"/>
        </w:rPr>
      </w:pPr>
      <w:r>
        <w:rPr>
          <w:rFonts w:hint="eastAsia" w:ascii="宋体" w:hAnsi="宋体" w:cs="仿宋"/>
          <w:color w:val="auto"/>
          <w:sz w:val="24"/>
        </w:rPr>
        <w:t>（1）具有独立承担民事责任的能力的供应商；</w:t>
      </w:r>
    </w:p>
    <w:p>
      <w:pPr>
        <w:spacing w:line="360" w:lineRule="auto"/>
        <w:ind w:firstLine="480" w:firstLineChars="200"/>
        <w:rPr>
          <w:rFonts w:ascii="宋体" w:hAnsi="宋体" w:cs="仿宋"/>
          <w:color w:val="auto"/>
          <w:sz w:val="24"/>
        </w:rPr>
      </w:pPr>
      <w:r>
        <w:rPr>
          <w:rFonts w:hint="eastAsia" w:ascii="宋体" w:hAnsi="宋体" w:cs="仿宋"/>
          <w:color w:val="auto"/>
          <w:sz w:val="24"/>
        </w:rPr>
        <w:t>（2）具有良好的商业信誉和健全的财务会计制度；</w:t>
      </w:r>
    </w:p>
    <w:p>
      <w:pPr>
        <w:spacing w:line="360" w:lineRule="auto"/>
        <w:ind w:firstLine="480" w:firstLineChars="200"/>
        <w:rPr>
          <w:rFonts w:ascii="宋体" w:hAnsi="宋体" w:cs="仿宋"/>
          <w:color w:val="auto"/>
          <w:sz w:val="24"/>
        </w:rPr>
      </w:pPr>
      <w:r>
        <w:rPr>
          <w:rFonts w:hint="eastAsia" w:ascii="宋体" w:hAnsi="宋体" w:cs="仿宋"/>
          <w:color w:val="auto"/>
          <w:sz w:val="24"/>
        </w:rPr>
        <w:t>（3）具有履行合同所必需的设备和专业技术能力；</w:t>
      </w:r>
    </w:p>
    <w:p>
      <w:pPr>
        <w:spacing w:line="360" w:lineRule="auto"/>
        <w:ind w:firstLine="480" w:firstLineChars="200"/>
        <w:rPr>
          <w:rFonts w:ascii="宋体" w:hAnsi="宋体" w:cs="仿宋"/>
          <w:color w:val="auto"/>
          <w:sz w:val="24"/>
        </w:rPr>
      </w:pPr>
      <w:r>
        <w:rPr>
          <w:rFonts w:hint="eastAsia" w:ascii="宋体" w:hAnsi="宋体" w:cs="仿宋"/>
          <w:color w:val="auto"/>
          <w:sz w:val="24"/>
        </w:rPr>
        <w:t>（4）有依法缴纳税收和社会保障资金的良好记录；</w:t>
      </w:r>
    </w:p>
    <w:p>
      <w:pPr>
        <w:spacing w:line="360" w:lineRule="auto"/>
        <w:ind w:firstLine="480" w:firstLineChars="200"/>
        <w:rPr>
          <w:rFonts w:ascii="宋体" w:hAnsi="宋体" w:cs="仿宋"/>
          <w:color w:val="auto"/>
          <w:sz w:val="24"/>
        </w:rPr>
      </w:pPr>
      <w:r>
        <w:rPr>
          <w:rFonts w:hint="eastAsia" w:ascii="宋体" w:hAnsi="宋体" w:cs="仿宋"/>
          <w:color w:val="auto"/>
          <w:sz w:val="24"/>
        </w:rPr>
        <w:t>（5）参加本次采购活动前三年内，在经营活动中没有重大违法记录；</w:t>
      </w:r>
    </w:p>
    <w:p>
      <w:pPr>
        <w:spacing w:line="360" w:lineRule="auto"/>
        <w:ind w:firstLine="480" w:firstLineChars="200"/>
        <w:rPr>
          <w:rFonts w:ascii="宋体" w:hAnsi="宋体" w:cs="仿宋"/>
          <w:color w:val="auto"/>
          <w:sz w:val="24"/>
        </w:rPr>
      </w:pPr>
      <w:r>
        <w:rPr>
          <w:rFonts w:hint="eastAsia" w:ascii="宋体" w:hAnsi="宋体" w:cs="仿宋"/>
          <w:color w:val="auto"/>
          <w:sz w:val="24"/>
        </w:rPr>
        <w:t>（6）法律、行政法规规定的其他条件。</w:t>
      </w:r>
    </w:p>
    <w:p>
      <w:pPr>
        <w:spacing w:line="360" w:lineRule="auto"/>
        <w:rPr>
          <w:rFonts w:ascii="宋体" w:hAnsi="宋体" w:cs="仿宋"/>
          <w:bCs/>
          <w:color w:val="auto"/>
          <w:sz w:val="24"/>
        </w:rPr>
      </w:pPr>
      <w:r>
        <w:rPr>
          <w:rFonts w:hint="eastAsia" w:ascii="宋体" w:hAnsi="宋体"/>
          <w:color w:val="auto"/>
          <w:sz w:val="24"/>
        </w:rPr>
        <w:t>2、</w:t>
      </w:r>
      <w:r>
        <w:rPr>
          <w:rFonts w:hint="eastAsia" w:ascii="宋体" w:hAnsi="宋体" w:cs="仿宋"/>
          <w:bCs/>
          <w:color w:val="auto"/>
          <w:sz w:val="24"/>
        </w:rPr>
        <w:t>招标项目需要落实的政府采购政策：</w:t>
      </w:r>
    </w:p>
    <w:p>
      <w:pPr>
        <w:spacing w:line="360" w:lineRule="auto"/>
        <w:rPr>
          <w:rFonts w:ascii="宋体" w:hAnsi="宋体" w:cs="仿宋"/>
          <w:color w:val="auto"/>
          <w:sz w:val="24"/>
        </w:rPr>
      </w:pPr>
      <w:r>
        <w:rPr>
          <w:rFonts w:hint="eastAsia" w:ascii="宋体" w:hAnsi="宋体" w:cs="仿宋"/>
          <w:color w:val="auto"/>
          <w:sz w:val="24"/>
        </w:rPr>
        <w:t>《政府采购促进中小企业发展暂行办法》；《关于政府采购支持监狱企业发展有关问题的通知》；《中国残疾人联合会关于促进残疾人就业政府采购政策的通知》；节能环保等。</w:t>
      </w:r>
    </w:p>
    <w:p>
      <w:pPr>
        <w:numPr>
          <w:ilvl w:val="0"/>
          <w:numId w:val="1"/>
        </w:numPr>
        <w:spacing w:line="360" w:lineRule="auto"/>
        <w:rPr>
          <w:rFonts w:hint="eastAsia" w:ascii="宋体" w:hAnsi="宋体" w:cs="宋体"/>
          <w:color w:val="auto"/>
          <w:kern w:val="0"/>
          <w:sz w:val="24"/>
        </w:rPr>
      </w:pPr>
      <w:r>
        <w:rPr>
          <w:rStyle w:val="14"/>
          <w:rFonts w:hint="eastAsia" w:ascii="宋体" w:hAnsi="宋体" w:cs="宋体"/>
          <w:color w:val="auto"/>
          <w:sz w:val="24"/>
        </w:rPr>
        <w:t>本项目不接受“信用中国”（www.creditchina.gov.cn）和“中国政府采购网” （www.ccgp.gov.cn）网站等</w:t>
      </w:r>
      <w:r>
        <w:rPr>
          <w:rFonts w:ascii="宋体" w:hAnsi="宋体" w:cs="宋体"/>
          <w:color w:val="auto"/>
          <w:sz w:val="24"/>
        </w:rPr>
        <w:t>列入失信被执行人、重大税收违法案件当事人名单、政府采购严重违法失信行为记录名单</w:t>
      </w:r>
      <w:r>
        <w:rPr>
          <w:rStyle w:val="14"/>
          <w:rFonts w:hint="eastAsia" w:ascii="宋体" w:hAnsi="宋体" w:cs="宋体"/>
          <w:color w:val="auto"/>
          <w:sz w:val="24"/>
        </w:rPr>
        <w:t>的</w:t>
      </w:r>
      <w:r>
        <w:rPr>
          <w:rFonts w:hint="eastAsia" w:ascii="宋体" w:hAnsi="宋体" w:cs="宋体"/>
          <w:color w:val="auto"/>
          <w:kern w:val="0"/>
          <w:sz w:val="24"/>
        </w:rPr>
        <w:t>投标人投标。</w:t>
      </w:r>
    </w:p>
    <w:p>
      <w:pPr>
        <w:spacing w:line="360" w:lineRule="auto"/>
        <w:rPr>
          <w:rFonts w:ascii="宋体" w:hAnsi="宋体" w:cs="宋体"/>
          <w:kern w:val="0"/>
          <w:sz w:val="24"/>
        </w:rPr>
      </w:pPr>
      <w:r>
        <w:rPr>
          <w:rFonts w:hint="eastAsia" w:ascii="宋体" w:hAnsi="宋体" w:cs="宋体"/>
          <w:kern w:val="0"/>
          <w:sz w:val="24"/>
        </w:rPr>
        <w:t>4、本项目的特定资格要求：</w:t>
      </w:r>
    </w:p>
    <w:p>
      <w:pPr>
        <w:spacing w:line="360" w:lineRule="auto"/>
        <w:ind w:firstLine="240" w:firstLineChars="100"/>
        <w:jc w:val="left"/>
        <w:rPr>
          <w:rStyle w:val="14"/>
          <w:rFonts w:hint="eastAsia" w:ascii="宋体" w:hAnsi="宋体" w:cs="宋体"/>
          <w:color w:val="FF0000"/>
          <w:sz w:val="24"/>
          <w:szCs w:val="24"/>
          <w:lang w:eastAsia="zh-CN"/>
        </w:rPr>
      </w:pPr>
      <w:r>
        <w:rPr>
          <w:rFonts w:hint="eastAsia" w:ascii="宋体" w:hAnsi="宋体" w:cs="宋体"/>
          <w:color w:val="FF0000"/>
          <w:kern w:val="0"/>
          <w:sz w:val="24"/>
          <w:lang w:val="en-US" w:eastAsia="zh-CN"/>
        </w:rPr>
        <w:t>4.1</w:t>
      </w:r>
      <w:r>
        <w:rPr>
          <w:rStyle w:val="14"/>
          <w:rFonts w:hint="eastAsia" w:ascii="宋体" w:hAnsi="宋体" w:cs="宋体"/>
          <w:color w:val="FF0000"/>
          <w:sz w:val="24"/>
          <w:szCs w:val="24"/>
        </w:rPr>
        <w:t>投标人必须具有建筑装修装饰工程专业承包</w:t>
      </w:r>
      <w:r>
        <w:rPr>
          <w:rStyle w:val="14"/>
          <w:rFonts w:hint="eastAsia" w:ascii="宋体" w:hAnsi="宋体" w:cs="宋体"/>
          <w:color w:val="FF0000"/>
          <w:sz w:val="24"/>
          <w:szCs w:val="24"/>
          <w:lang w:eastAsia="zh-CN"/>
        </w:rPr>
        <w:t>二</w:t>
      </w:r>
      <w:r>
        <w:rPr>
          <w:rStyle w:val="14"/>
          <w:rFonts w:hint="eastAsia" w:ascii="宋体" w:hAnsi="宋体" w:cs="宋体"/>
          <w:color w:val="FF0000"/>
          <w:sz w:val="24"/>
          <w:szCs w:val="24"/>
        </w:rPr>
        <w:t>级（含</w:t>
      </w:r>
      <w:r>
        <w:rPr>
          <w:rStyle w:val="14"/>
          <w:rFonts w:hint="eastAsia" w:ascii="宋体" w:hAnsi="宋体" w:cs="宋体"/>
          <w:color w:val="FF0000"/>
          <w:sz w:val="24"/>
          <w:szCs w:val="24"/>
          <w:lang w:eastAsia="zh-CN"/>
        </w:rPr>
        <w:t>二</w:t>
      </w:r>
      <w:r>
        <w:rPr>
          <w:rStyle w:val="14"/>
          <w:rFonts w:hint="eastAsia" w:ascii="宋体" w:hAnsi="宋体" w:cs="宋体"/>
          <w:color w:val="FF0000"/>
          <w:sz w:val="24"/>
          <w:szCs w:val="24"/>
        </w:rPr>
        <w:t>级）以上资质</w:t>
      </w:r>
      <w:r>
        <w:rPr>
          <w:rStyle w:val="14"/>
          <w:rFonts w:hint="eastAsia" w:ascii="宋体" w:hAnsi="宋体" w:cs="宋体"/>
          <w:color w:val="FF0000"/>
          <w:sz w:val="24"/>
          <w:szCs w:val="24"/>
          <w:lang w:eastAsia="zh-CN"/>
        </w:rPr>
        <w:t>；</w:t>
      </w:r>
    </w:p>
    <w:p>
      <w:pPr>
        <w:spacing w:line="360" w:lineRule="auto"/>
        <w:ind w:firstLine="240" w:firstLineChars="100"/>
        <w:jc w:val="left"/>
        <w:rPr>
          <w:rFonts w:hint="eastAsia" w:ascii="宋体" w:hAnsi="宋体" w:cs="宋体"/>
          <w:color w:val="000000" w:themeColor="text1"/>
          <w:kern w:val="0"/>
          <w:sz w:val="24"/>
          <w14:textFill>
            <w14:solidFill>
              <w14:schemeClr w14:val="tx1"/>
            </w14:solidFill>
          </w14:textFill>
        </w:rPr>
      </w:pPr>
      <w:r>
        <w:rPr>
          <w:rStyle w:val="14"/>
          <w:rFonts w:hint="eastAsia" w:ascii="宋体" w:hAnsi="宋体" w:cs="宋体"/>
          <w:color w:val="FF0000"/>
          <w:sz w:val="24"/>
          <w:szCs w:val="24"/>
          <w:lang w:val="en-US" w:eastAsia="zh-CN"/>
        </w:rPr>
        <w:t>4.2项目经理须具备建筑工程专业或机电专业二级建造师（含）以上执业资格，具备有效的安全生产考核合格证书。</w:t>
      </w:r>
    </w:p>
    <w:p>
      <w:pPr>
        <w:spacing w:line="360" w:lineRule="auto"/>
        <w:rPr>
          <w:rFonts w:ascii="宋体" w:hAnsi="宋体" w:cs="宋体"/>
          <w:color w:val="auto"/>
          <w:kern w:val="0"/>
          <w:sz w:val="24"/>
        </w:rPr>
      </w:pPr>
      <w:r>
        <w:rPr>
          <w:rFonts w:hint="eastAsia" w:ascii="宋体" w:hAnsi="宋体" w:cs="宋体"/>
          <w:color w:val="auto"/>
          <w:kern w:val="0"/>
          <w:sz w:val="24"/>
          <w:lang w:val="en-US" w:eastAsia="zh-CN"/>
        </w:rPr>
        <w:t>5、</w:t>
      </w:r>
      <w:r>
        <w:rPr>
          <w:rFonts w:hint="eastAsia" w:ascii="宋体" w:hAnsi="宋体" w:cs="宋体"/>
          <w:color w:val="auto"/>
          <w:kern w:val="0"/>
          <w:sz w:val="24"/>
        </w:rPr>
        <w:t>本项目不接受联合体投标。</w:t>
      </w:r>
    </w:p>
    <w:p>
      <w:pPr>
        <w:pStyle w:val="3"/>
        <w:spacing w:line="360" w:lineRule="auto"/>
        <w:rPr>
          <w:rFonts w:ascii="宋体" w:hAnsi="宋体" w:eastAsia="宋体" w:cs="宋体"/>
          <w:color w:val="auto"/>
          <w:sz w:val="24"/>
          <w:szCs w:val="24"/>
        </w:rPr>
      </w:pPr>
      <w:r>
        <w:rPr>
          <w:rFonts w:hint="eastAsia" w:ascii="宋体" w:hAnsi="宋体" w:eastAsia="宋体" w:cs="宋体"/>
          <w:color w:val="auto"/>
          <w:sz w:val="24"/>
          <w:szCs w:val="24"/>
        </w:rPr>
        <w:t>三、获取招标文件</w:t>
      </w:r>
      <w:bookmarkEnd w:id="11"/>
      <w:bookmarkEnd w:id="12"/>
      <w:bookmarkEnd w:id="13"/>
      <w:bookmarkEnd w:id="14"/>
    </w:p>
    <w:p>
      <w:pPr>
        <w:spacing w:line="360" w:lineRule="auto"/>
        <w:ind w:firstLine="540"/>
        <w:rPr>
          <w:rFonts w:ascii="宋体" w:hAnsi="宋体" w:cs="宋体"/>
          <w:color w:val="auto"/>
          <w:sz w:val="24"/>
        </w:rPr>
      </w:pPr>
      <w:r>
        <w:rPr>
          <w:rFonts w:hint="eastAsia" w:ascii="宋体" w:hAnsi="宋体" w:cs="宋体"/>
          <w:color w:val="auto"/>
          <w:sz w:val="24"/>
        </w:rPr>
        <w:t>时间：</w:t>
      </w:r>
      <w:r>
        <w:rPr>
          <w:rFonts w:hint="eastAsia" w:ascii="宋体" w:hAnsi="宋体" w:cs="宋体"/>
          <w:color w:val="FF0000"/>
          <w:sz w:val="24"/>
          <w:u w:val="single"/>
          <w:lang w:eastAsia="zh-CN"/>
        </w:rPr>
        <w:t>2021年</w:t>
      </w:r>
      <w:r>
        <w:rPr>
          <w:rFonts w:hint="eastAsia" w:ascii="宋体" w:hAnsi="宋体" w:cs="宋体"/>
          <w:color w:val="FF0000"/>
          <w:sz w:val="24"/>
          <w:u w:val="single"/>
          <w:lang w:val="en-US" w:eastAsia="zh-CN"/>
        </w:rPr>
        <w:t>9</w:t>
      </w:r>
      <w:r>
        <w:rPr>
          <w:rFonts w:hint="eastAsia" w:ascii="宋体" w:hAnsi="宋体" w:cs="宋体"/>
          <w:color w:val="FF0000"/>
          <w:sz w:val="24"/>
          <w:u w:val="single"/>
          <w:lang w:eastAsia="zh-CN"/>
        </w:rPr>
        <w:t>月</w:t>
      </w:r>
      <w:r>
        <w:rPr>
          <w:rFonts w:hint="eastAsia" w:ascii="宋体" w:hAnsi="宋体" w:cs="宋体"/>
          <w:color w:val="FF0000"/>
          <w:sz w:val="24"/>
          <w:u w:val="single"/>
          <w:lang w:val="en-US" w:eastAsia="zh-CN"/>
        </w:rPr>
        <w:t>29</w:t>
      </w:r>
      <w:r>
        <w:rPr>
          <w:rFonts w:hint="eastAsia" w:ascii="宋体" w:hAnsi="宋体" w:cs="宋体"/>
          <w:color w:val="FF0000"/>
          <w:sz w:val="24"/>
          <w:u w:val="single"/>
          <w:lang w:eastAsia="zh-CN"/>
        </w:rPr>
        <w:t>日至 2021年</w:t>
      </w:r>
      <w:r>
        <w:rPr>
          <w:rFonts w:hint="eastAsia" w:ascii="宋体" w:hAnsi="宋体" w:cs="宋体"/>
          <w:color w:val="FF0000"/>
          <w:sz w:val="24"/>
          <w:u w:val="single"/>
          <w:lang w:val="en-US" w:eastAsia="zh-CN"/>
        </w:rPr>
        <w:t>10</w:t>
      </w:r>
      <w:r>
        <w:rPr>
          <w:rFonts w:hint="eastAsia" w:ascii="宋体" w:hAnsi="宋体" w:cs="宋体"/>
          <w:color w:val="FF0000"/>
          <w:sz w:val="24"/>
          <w:u w:val="single"/>
          <w:lang w:eastAsia="zh-CN"/>
        </w:rPr>
        <w:t>月</w:t>
      </w:r>
      <w:r>
        <w:rPr>
          <w:rFonts w:hint="eastAsia" w:ascii="宋体" w:hAnsi="宋体" w:cs="宋体"/>
          <w:color w:val="FF0000"/>
          <w:sz w:val="24"/>
          <w:u w:val="single"/>
          <w:lang w:val="en-US" w:eastAsia="zh-CN"/>
        </w:rPr>
        <w:t>11</w:t>
      </w:r>
      <w:r>
        <w:rPr>
          <w:rFonts w:hint="eastAsia" w:ascii="宋体" w:hAnsi="宋体" w:cs="宋体"/>
          <w:color w:val="FF0000"/>
          <w:sz w:val="24"/>
          <w:u w:val="single"/>
          <w:lang w:eastAsia="zh-CN"/>
        </w:rPr>
        <w:t>日</w:t>
      </w:r>
      <w:r>
        <w:rPr>
          <w:rFonts w:hint="eastAsia" w:ascii="宋体" w:hAnsi="宋体" w:cs="宋体"/>
          <w:color w:val="auto"/>
          <w:sz w:val="24"/>
        </w:rPr>
        <w:t>，每天上午</w:t>
      </w:r>
      <w:r>
        <w:rPr>
          <w:rFonts w:hint="eastAsia" w:ascii="宋体" w:hAnsi="宋体" w:cs="宋体"/>
          <w:color w:val="auto"/>
          <w:sz w:val="24"/>
          <w:u w:val="single"/>
        </w:rPr>
        <w:t>10:00</w:t>
      </w:r>
      <w:r>
        <w:rPr>
          <w:rFonts w:hint="eastAsia" w:ascii="宋体" w:hAnsi="宋体" w:cs="宋体"/>
          <w:color w:val="auto"/>
          <w:sz w:val="24"/>
        </w:rPr>
        <w:t>至</w:t>
      </w:r>
      <w:r>
        <w:rPr>
          <w:rFonts w:hint="eastAsia" w:ascii="宋体" w:hAnsi="宋体" w:cs="宋体"/>
          <w:color w:val="auto"/>
          <w:sz w:val="24"/>
          <w:u w:val="single"/>
        </w:rPr>
        <w:t>13:00</w:t>
      </w:r>
      <w:r>
        <w:rPr>
          <w:rFonts w:hint="eastAsia" w:ascii="宋体" w:hAnsi="宋体" w:cs="宋体"/>
          <w:color w:val="auto"/>
          <w:sz w:val="24"/>
        </w:rPr>
        <w:t>，下午</w:t>
      </w:r>
      <w:r>
        <w:rPr>
          <w:rFonts w:hint="eastAsia" w:ascii="宋体" w:hAnsi="宋体" w:cs="宋体"/>
          <w:color w:val="auto"/>
          <w:sz w:val="24"/>
          <w:u w:val="single"/>
        </w:rPr>
        <w:t>16:00</w:t>
      </w:r>
      <w:r>
        <w:rPr>
          <w:rFonts w:hint="eastAsia" w:ascii="宋体" w:hAnsi="宋体" w:cs="宋体"/>
          <w:color w:val="auto"/>
          <w:sz w:val="24"/>
        </w:rPr>
        <w:t>至</w:t>
      </w:r>
      <w:r>
        <w:rPr>
          <w:rFonts w:hint="eastAsia" w:ascii="宋体" w:hAnsi="宋体" w:cs="宋体"/>
          <w:color w:val="auto"/>
          <w:sz w:val="24"/>
          <w:u w:val="single"/>
        </w:rPr>
        <w:t>19:00</w:t>
      </w:r>
      <w:r>
        <w:rPr>
          <w:rFonts w:hint="eastAsia" w:ascii="宋体" w:hAnsi="宋体" w:cs="宋体"/>
          <w:color w:val="auto"/>
          <w:sz w:val="24"/>
        </w:rPr>
        <w:t>（北京时间，</w:t>
      </w:r>
      <w:r>
        <w:rPr>
          <w:rFonts w:ascii="宋体" w:hAnsi="宋体" w:cs="宋体"/>
          <w:color w:val="auto"/>
          <w:sz w:val="24"/>
        </w:rPr>
        <w:t>法定节假日</w:t>
      </w:r>
      <w:r>
        <w:rPr>
          <w:rFonts w:hint="eastAsia" w:ascii="宋体" w:hAnsi="宋体" w:cs="宋体"/>
          <w:color w:val="auto"/>
          <w:sz w:val="24"/>
        </w:rPr>
        <w:t>除外）</w:t>
      </w:r>
    </w:p>
    <w:p>
      <w:pPr>
        <w:spacing w:line="360" w:lineRule="auto"/>
        <w:ind w:firstLine="540"/>
        <w:rPr>
          <w:rFonts w:hint="eastAsia" w:ascii="宋体" w:hAnsi="宋体" w:eastAsia="宋体" w:cs="宋体"/>
          <w:color w:val="auto"/>
          <w:sz w:val="24"/>
          <w:u w:val="single"/>
          <w:lang w:eastAsia="zh-CN"/>
        </w:rPr>
      </w:pPr>
      <w:r>
        <w:rPr>
          <w:rFonts w:hint="eastAsia" w:ascii="宋体" w:hAnsi="宋体" w:cs="宋体"/>
          <w:color w:val="auto"/>
          <w:sz w:val="24"/>
        </w:rPr>
        <w:t>地点：</w:t>
      </w:r>
      <w:r>
        <w:rPr>
          <w:rFonts w:hint="eastAsia" w:ascii="宋体" w:hAnsi="宋体" w:cs="宋体"/>
          <w:color w:val="auto"/>
          <w:sz w:val="24"/>
          <w:lang w:eastAsia="zh-CN"/>
        </w:rPr>
        <w:t>新疆塔城地区沙湾市乌鲁木齐东路（原丝路明珠综合楼）</w:t>
      </w:r>
    </w:p>
    <w:p>
      <w:pPr>
        <w:spacing w:line="360" w:lineRule="auto"/>
        <w:ind w:firstLine="540"/>
        <w:rPr>
          <w:rFonts w:ascii="宋体" w:hAnsi="宋体" w:cs="宋体"/>
          <w:color w:val="auto"/>
          <w:sz w:val="24"/>
          <w:u w:val="single"/>
        </w:rPr>
      </w:pPr>
      <w:r>
        <w:rPr>
          <w:rFonts w:hint="eastAsia" w:ascii="宋体" w:hAnsi="宋体" w:cs="宋体"/>
          <w:color w:val="auto"/>
          <w:sz w:val="24"/>
        </w:rPr>
        <w:t xml:space="preserve">方式：线下获取 (现场购买) </w:t>
      </w:r>
    </w:p>
    <w:p>
      <w:pPr>
        <w:spacing w:line="360" w:lineRule="auto"/>
        <w:ind w:firstLine="540"/>
        <w:rPr>
          <w:rFonts w:ascii="宋体" w:hAnsi="宋体" w:cs="宋体"/>
          <w:color w:val="auto"/>
          <w:sz w:val="24"/>
        </w:rPr>
      </w:pPr>
      <w:r>
        <w:rPr>
          <w:rFonts w:hint="eastAsia" w:ascii="宋体" w:hAnsi="宋体" w:cs="宋体"/>
          <w:color w:val="auto"/>
          <w:sz w:val="24"/>
        </w:rPr>
        <w:t>售价：500元/份（招标文件一经售出概不退还）</w:t>
      </w:r>
    </w:p>
    <w:p>
      <w:pPr>
        <w:pStyle w:val="3"/>
        <w:spacing w:line="360" w:lineRule="auto"/>
        <w:rPr>
          <w:rFonts w:ascii="宋体" w:hAnsi="宋体" w:eastAsia="宋体" w:cs="宋体"/>
          <w:color w:val="auto"/>
          <w:sz w:val="24"/>
          <w:szCs w:val="24"/>
        </w:rPr>
      </w:pPr>
      <w:bookmarkStart w:id="15" w:name="_Toc28359005"/>
      <w:bookmarkStart w:id="16" w:name="_Toc28359082"/>
      <w:bookmarkStart w:id="17" w:name="_Toc35393793"/>
      <w:bookmarkStart w:id="18" w:name="_Toc35393624"/>
      <w:r>
        <w:rPr>
          <w:rFonts w:hint="eastAsia" w:ascii="宋体" w:hAnsi="宋体" w:eastAsia="宋体" w:cs="宋体"/>
          <w:color w:val="auto"/>
          <w:sz w:val="24"/>
          <w:szCs w:val="24"/>
        </w:rPr>
        <w:t>四、提交投标文件</w:t>
      </w:r>
      <w:bookmarkEnd w:id="15"/>
      <w:bookmarkEnd w:id="16"/>
      <w:r>
        <w:rPr>
          <w:rFonts w:hint="eastAsia" w:ascii="宋体" w:hAnsi="宋体" w:eastAsia="宋体" w:cs="宋体"/>
          <w:color w:val="auto"/>
          <w:sz w:val="24"/>
          <w:szCs w:val="24"/>
        </w:rPr>
        <w:t>截止时间、开标时间和地点</w:t>
      </w:r>
      <w:bookmarkEnd w:id="17"/>
      <w:bookmarkEnd w:id="18"/>
    </w:p>
    <w:p>
      <w:pPr>
        <w:spacing w:line="360" w:lineRule="auto"/>
        <w:ind w:firstLine="480" w:firstLineChars="200"/>
        <w:rPr>
          <w:rFonts w:ascii="宋体" w:hAnsi="宋体"/>
          <w:bCs/>
          <w:color w:val="FF0000"/>
          <w:sz w:val="24"/>
        </w:rPr>
      </w:pPr>
      <w:r>
        <w:rPr>
          <w:rFonts w:hint="eastAsia" w:ascii="宋体" w:hAnsi="宋体"/>
          <w:color w:val="auto"/>
          <w:sz w:val="24"/>
        </w:rPr>
        <w:t>投标文件递交截止时间及开标时间：</w:t>
      </w:r>
      <w:r>
        <w:rPr>
          <w:rFonts w:hint="eastAsia" w:ascii="宋体" w:hAnsi="宋体"/>
          <w:bCs/>
          <w:color w:val="FF0000"/>
          <w:sz w:val="24"/>
          <w:u w:val="single"/>
          <w:lang w:eastAsia="zh-CN"/>
        </w:rPr>
        <w:t>2021年10月19日15点30分</w:t>
      </w:r>
      <w:r>
        <w:rPr>
          <w:rFonts w:hint="eastAsia" w:ascii="宋体" w:hAnsi="宋体"/>
          <w:bCs/>
          <w:color w:val="FF0000"/>
          <w:sz w:val="24"/>
          <w:u w:val="single"/>
        </w:rPr>
        <w:t>（北京时间）</w:t>
      </w:r>
    </w:p>
    <w:p>
      <w:pPr>
        <w:spacing w:line="360" w:lineRule="auto"/>
        <w:ind w:firstLine="480" w:firstLineChars="200"/>
        <w:rPr>
          <w:rFonts w:ascii="宋体" w:hAnsi="宋体"/>
          <w:bCs/>
          <w:color w:val="auto"/>
          <w:sz w:val="24"/>
          <w:u w:val="single"/>
        </w:rPr>
      </w:pPr>
      <w:r>
        <w:rPr>
          <w:rFonts w:hint="eastAsia" w:ascii="宋体" w:hAnsi="宋体"/>
          <w:color w:val="auto"/>
          <w:sz w:val="24"/>
        </w:rPr>
        <w:t>地点：乌鲁木齐市新市区常州街新天润国际社区罗马广场二号楼五单元四楼（如有变动另行通知）</w:t>
      </w:r>
    </w:p>
    <w:p>
      <w:pPr>
        <w:pStyle w:val="3"/>
        <w:spacing w:line="360" w:lineRule="auto"/>
        <w:rPr>
          <w:rFonts w:ascii="宋体" w:hAnsi="宋体" w:eastAsia="宋体" w:cs="宋体"/>
          <w:color w:val="auto"/>
          <w:sz w:val="24"/>
          <w:szCs w:val="24"/>
        </w:rPr>
      </w:pPr>
      <w:bookmarkStart w:id="19" w:name="_Toc35393625"/>
      <w:bookmarkStart w:id="20" w:name="_Toc28359007"/>
      <w:bookmarkStart w:id="21" w:name="_Toc28359084"/>
      <w:bookmarkStart w:id="22" w:name="_Toc35393794"/>
      <w:r>
        <w:rPr>
          <w:rFonts w:hint="eastAsia" w:ascii="宋体" w:hAnsi="宋体" w:eastAsia="宋体" w:cs="宋体"/>
          <w:color w:val="auto"/>
          <w:sz w:val="24"/>
          <w:szCs w:val="24"/>
        </w:rPr>
        <w:t>五、公告期限</w:t>
      </w:r>
      <w:bookmarkEnd w:id="19"/>
      <w:bookmarkEnd w:id="20"/>
      <w:bookmarkEnd w:id="21"/>
      <w:bookmarkEnd w:id="22"/>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自本公告发布之日起5个工作日。</w:t>
      </w:r>
    </w:p>
    <w:p>
      <w:pPr>
        <w:pStyle w:val="3"/>
        <w:spacing w:line="360" w:lineRule="auto"/>
        <w:rPr>
          <w:rFonts w:ascii="宋体" w:hAnsi="宋体" w:eastAsia="宋体" w:cs="宋体"/>
          <w:color w:val="auto"/>
          <w:sz w:val="24"/>
          <w:szCs w:val="24"/>
        </w:rPr>
      </w:pPr>
      <w:bookmarkStart w:id="23" w:name="_Toc35393795"/>
      <w:bookmarkStart w:id="24" w:name="_Toc35393626"/>
      <w:r>
        <w:rPr>
          <w:rFonts w:hint="eastAsia" w:ascii="宋体" w:hAnsi="宋体" w:eastAsia="宋体" w:cs="宋体"/>
          <w:color w:val="auto"/>
          <w:sz w:val="24"/>
          <w:szCs w:val="24"/>
        </w:rPr>
        <w:t>六、其他补充事宜</w:t>
      </w:r>
      <w:bookmarkEnd w:id="23"/>
      <w:bookmarkEnd w:id="24"/>
    </w:p>
    <w:p>
      <w:pPr>
        <w:spacing w:line="360" w:lineRule="auto"/>
        <w:rPr>
          <w:rFonts w:ascii="宋体" w:hAnsi="宋体" w:cs="仿宋"/>
          <w:color w:val="auto"/>
          <w:sz w:val="24"/>
        </w:rPr>
      </w:pPr>
      <w:r>
        <w:rPr>
          <w:rFonts w:hint="eastAsia" w:ascii="宋体" w:hAnsi="宋体" w:cs="仿宋"/>
          <w:color w:val="auto"/>
          <w:sz w:val="24"/>
        </w:rPr>
        <w:t>1、投标人购买标书时应提交的资料：</w:t>
      </w:r>
    </w:p>
    <w:p>
      <w:pPr>
        <w:spacing w:line="360" w:lineRule="auto"/>
        <w:rPr>
          <w:rFonts w:ascii="宋体" w:hAnsi="宋体" w:cs="宋体"/>
          <w:color w:val="auto"/>
          <w:kern w:val="0"/>
          <w:sz w:val="24"/>
        </w:rPr>
      </w:pPr>
      <w:r>
        <w:rPr>
          <w:rFonts w:hint="eastAsia" w:ascii="宋体" w:hAnsi="宋体" w:cs="宋体"/>
          <w:color w:val="auto"/>
          <w:kern w:val="0"/>
          <w:sz w:val="24"/>
        </w:rPr>
        <w:t>（1）有效的营业执照原件（经营范围须满足本次采购要求）；</w:t>
      </w:r>
    </w:p>
    <w:p>
      <w:pPr>
        <w:spacing w:line="360" w:lineRule="auto"/>
        <w:rPr>
          <w:rFonts w:ascii="宋体" w:hAnsi="宋体" w:cs="宋体"/>
          <w:color w:val="auto"/>
          <w:kern w:val="0"/>
          <w:sz w:val="24"/>
        </w:rPr>
      </w:pPr>
      <w:r>
        <w:rPr>
          <w:rFonts w:hint="eastAsia" w:ascii="宋体" w:hAnsi="宋体" w:cs="宋体"/>
          <w:color w:val="auto"/>
          <w:kern w:val="0"/>
          <w:sz w:val="24"/>
        </w:rPr>
        <w:t>（2）法定代表人资格证明书或法人授权委托书（原件）；</w:t>
      </w:r>
    </w:p>
    <w:p>
      <w:pPr>
        <w:spacing w:line="360" w:lineRule="auto"/>
        <w:rPr>
          <w:rFonts w:hint="eastAsia" w:ascii="宋体" w:hAnsi="宋体" w:cs="宋体"/>
          <w:color w:val="auto"/>
          <w:kern w:val="0"/>
          <w:sz w:val="24"/>
        </w:rPr>
      </w:pPr>
      <w:r>
        <w:rPr>
          <w:rFonts w:hint="eastAsia" w:ascii="宋体" w:hAnsi="宋体" w:cs="宋体"/>
          <w:color w:val="auto"/>
          <w:kern w:val="0"/>
          <w:sz w:val="24"/>
        </w:rPr>
        <w:t>（3）法定代表人身份证或法人授权代表身份证（原件）；</w:t>
      </w:r>
    </w:p>
    <w:p>
      <w:pPr>
        <w:spacing w:line="360" w:lineRule="auto"/>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4</w:t>
      </w:r>
      <w:r>
        <w:rPr>
          <w:rFonts w:hint="eastAsia" w:ascii="宋体" w:hAnsi="宋体" w:cs="宋体"/>
          <w:kern w:val="0"/>
          <w:sz w:val="24"/>
          <w:lang w:eastAsia="zh-CN"/>
        </w:rPr>
        <w:t>）</w:t>
      </w:r>
      <w:r>
        <w:rPr>
          <w:rFonts w:hint="eastAsia" w:ascii="宋体" w:hAnsi="宋体" w:cs="宋体"/>
          <w:kern w:val="0"/>
          <w:sz w:val="24"/>
        </w:rPr>
        <w:t>本项目的特定资格要求：</w:t>
      </w:r>
    </w:p>
    <w:p>
      <w:pPr>
        <w:spacing w:line="360" w:lineRule="auto"/>
        <w:ind w:firstLine="240" w:firstLineChars="100"/>
        <w:jc w:val="left"/>
        <w:rPr>
          <w:rStyle w:val="14"/>
          <w:rFonts w:hint="eastAsia" w:ascii="宋体" w:hAnsi="宋体" w:eastAsia="宋体" w:cs="宋体"/>
          <w:color w:val="FF0000"/>
          <w:sz w:val="24"/>
          <w:szCs w:val="24"/>
          <w:lang w:eastAsia="zh-CN"/>
        </w:rPr>
      </w:pPr>
      <w:r>
        <w:rPr>
          <w:rFonts w:hint="eastAsia" w:ascii="宋体" w:hAnsi="宋体" w:cs="宋体"/>
          <w:color w:val="FF0000"/>
          <w:kern w:val="0"/>
          <w:sz w:val="24"/>
          <w:lang w:val="en-US" w:eastAsia="zh-CN"/>
        </w:rPr>
        <w:t>4.1</w:t>
      </w:r>
      <w:r>
        <w:rPr>
          <w:rStyle w:val="14"/>
          <w:rFonts w:hint="eastAsia" w:ascii="宋体" w:hAnsi="宋体" w:cs="宋体"/>
          <w:color w:val="FF0000"/>
          <w:sz w:val="24"/>
          <w:szCs w:val="24"/>
        </w:rPr>
        <w:t>投标人必须具有建筑装修装饰工程专业承包</w:t>
      </w:r>
      <w:r>
        <w:rPr>
          <w:rStyle w:val="14"/>
          <w:rFonts w:hint="eastAsia" w:ascii="宋体" w:hAnsi="宋体" w:cs="宋体"/>
          <w:color w:val="FF0000"/>
          <w:sz w:val="24"/>
          <w:szCs w:val="24"/>
          <w:lang w:eastAsia="zh-CN"/>
        </w:rPr>
        <w:t>二</w:t>
      </w:r>
      <w:r>
        <w:rPr>
          <w:rStyle w:val="14"/>
          <w:rFonts w:hint="eastAsia" w:ascii="宋体" w:hAnsi="宋体" w:cs="宋体"/>
          <w:color w:val="FF0000"/>
          <w:sz w:val="24"/>
          <w:szCs w:val="24"/>
        </w:rPr>
        <w:t>级（含</w:t>
      </w:r>
      <w:r>
        <w:rPr>
          <w:rStyle w:val="14"/>
          <w:rFonts w:hint="eastAsia" w:ascii="宋体" w:hAnsi="宋体" w:cs="宋体"/>
          <w:color w:val="FF0000"/>
          <w:sz w:val="24"/>
          <w:szCs w:val="24"/>
          <w:lang w:eastAsia="zh-CN"/>
        </w:rPr>
        <w:t>二</w:t>
      </w:r>
      <w:r>
        <w:rPr>
          <w:rStyle w:val="14"/>
          <w:rFonts w:hint="eastAsia" w:ascii="宋体" w:hAnsi="宋体" w:cs="宋体"/>
          <w:color w:val="FF0000"/>
          <w:sz w:val="24"/>
          <w:szCs w:val="24"/>
        </w:rPr>
        <w:t>级）以上资质</w:t>
      </w:r>
      <w:r>
        <w:rPr>
          <w:rStyle w:val="14"/>
          <w:rFonts w:hint="eastAsia" w:ascii="宋体" w:hAnsi="宋体" w:cs="宋体"/>
          <w:color w:val="FF0000"/>
          <w:sz w:val="24"/>
          <w:szCs w:val="24"/>
          <w:lang w:eastAsia="zh-CN"/>
        </w:rPr>
        <w:t>；</w:t>
      </w:r>
      <w:bookmarkStart w:id="33" w:name="_GoBack"/>
      <w:bookmarkEnd w:id="33"/>
    </w:p>
    <w:p>
      <w:pPr>
        <w:spacing w:line="360" w:lineRule="auto"/>
        <w:ind w:firstLine="240" w:firstLineChars="100"/>
        <w:jc w:val="left"/>
        <w:rPr>
          <w:rStyle w:val="14"/>
          <w:rFonts w:hint="default" w:ascii="宋体" w:hAnsi="宋体" w:cs="宋体"/>
          <w:color w:val="FF0000"/>
          <w:sz w:val="24"/>
          <w:szCs w:val="24"/>
          <w:lang w:val="en-US" w:eastAsia="zh-CN"/>
        </w:rPr>
      </w:pPr>
      <w:r>
        <w:rPr>
          <w:rStyle w:val="14"/>
          <w:rFonts w:hint="eastAsia" w:ascii="宋体" w:hAnsi="宋体" w:cs="宋体"/>
          <w:color w:val="FF0000"/>
          <w:sz w:val="24"/>
          <w:szCs w:val="24"/>
          <w:lang w:val="en-US" w:eastAsia="zh-CN"/>
        </w:rPr>
        <w:t>4.2项目经理须具备建筑工程专业或机电专业二级建造师（含）以上执业资格，具备有效的安全生产考核合格证书。</w:t>
      </w:r>
    </w:p>
    <w:p>
      <w:pPr>
        <w:numPr>
          <w:ilvl w:val="0"/>
          <w:numId w:val="0"/>
        </w:numPr>
        <w:spacing w:line="360" w:lineRule="auto"/>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5</w:t>
      </w:r>
      <w:r>
        <w:rPr>
          <w:rFonts w:hint="eastAsia" w:ascii="宋体" w:hAnsi="宋体" w:cs="宋体"/>
          <w:color w:val="auto"/>
          <w:kern w:val="0"/>
          <w:sz w:val="24"/>
          <w:lang w:eastAsia="zh-CN"/>
        </w:rPr>
        <w:t>）</w:t>
      </w:r>
      <w:r>
        <w:rPr>
          <w:rFonts w:hint="eastAsia" w:ascii="宋体" w:hAnsi="宋体" w:cs="宋体"/>
          <w:color w:val="auto"/>
          <w:kern w:val="0"/>
          <w:sz w:val="24"/>
        </w:rPr>
        <w:t>企业参与本项目投标前三年内，经营活动中没有重大违法记录的书面声明函原件（加盖公章）。</w:t>
      </w:r>
    </w:p>
    <w:p>
      <w:pPr>
        <w:numPr>
          <w:ilvl w:val="0"/>
          <w:numId w:val="0"/>
        </w:numPr>
        <w:spacing w:line="360" w:lineRule="auto"/>
        <w:rPr>
          <w:rFonts w:ascii="宋体" w:hAnsi="宋体" w:cs="宋体"/>
          <w:color w:val="auto"/>
          <w:kern w:val="0"/>
          <w:sz w:val="24"/>
        </w:rPr>
      </w:pPr>
      <w:r>
        <w:rPr>
          <w:rFonts w:hint="eastAsia" w:ascii="宋体" w:hAnsi="宋体" w:cs="宋体"/>
          <w:color w:val="auto"/>
          <w:kern w:val="0"/>
          <w:sz w:val="24"/>
        </w:rPr>
        <w:t>备注：报名时需提供以上资料复印件一份并加盖公章，并携带原件核对。资料不全，复印件不清楚，不予受理。</w:t>
      </w:r>
    </w:p>
    <w:p>
      <w:pPr>
        <w:pStyle w:val="3"/>
        <w:spacing w:line="360" w:lineRule="auto"/>
        <w:rPr>
          <w:rFonts w:ascii="宋体" w:hAnsi="宋体" w:eastAsia="宋体" w:cs="宋体"/>
          <w:color w:val="auto"/>
          <w:sz w:val="24"/>
          <w:szCs w:val="24"/>
        </w:rPr>
      </w:pPr>
      <w:bookmarkStart w:id="25" w:name="_Toc35393796"/>
      <w:bookmarkStart w:id="26" w:name="_Toc28359085"/>
      <w:bookmarkStart w:id="27" w:name="_Toc28359008"/>
      <w:bookmarkStart w:id="28" w:name="_Toc35393627"/>
      <w:r>
        <w:rPr>
          <w:rFonts w:hint="eastAsia" w:ascii="宋体" w:hAnsi="宋体" w:eastAsia="宋体" w:cs="宋体"/>
          <w:color w:val="auto"/>
          <w:sz w:val="24"/>
          <w:szCs w:val="24"/>
        </w:rPr>
        <w:t>七、对本次招标提出询问，请按</w:t>
      </w:r>
      <w:r>
        <w:rPr>
          <w:rFonts w:ascii="宋体" w:hAnsi="宋体" w:eastAsia="宋体" w:cs="宋体"/>
          <w:color w:val="auto"/>
          <w:sz w:val="24"/>
          <w:szCs w:val="24"/>
        </w:rPr>
        <w:t>以下方式</w:t>
      </w:r>
      <w:r>
        <w:rPr>
          <w:rFonts w:hint="eastAsia" w:ascii="宋体" w:hAnsi="宋体" w:eastAsia="宋体" w:cs="宋体"/>
          <w:color w:val="auto"/>
          <w:sz w:val="24"/>
          <w:szCs w:val="24"/>
        </w:rPr>
        <w:t>联系。</w:t>
      </w:r>
      <w:bookmarkEnd w:id="25"/>
      <w:bookmarkEnd w:id="26"/>
      <w:bookmarkEnd w:id="27"/>
      <w:bookmarkEnd w:id="28"/>
    </w:p>
    <w:p>
      <w:pPr>
        <w:widowControl/>
        <w:spacing w:line="360" w:lineRule="auto"/>
        <w:jc w:val="left"/>
        <w:rPr>
          <w:rFonts w:ascii="宋体" w:hAnsi="宋体"/>
          <w:b/>
          <w:color w:val="auto"/>
          <w:sz w:val="24"/>
        </w:rPr>
      </w:pPr>
      <w:r>
        <w:rPr>
          <w:rFonts w:hint="eastAsia" w:ascii="宋体" w:hAnsi="宋体" w:cs="宋体"/>
          <w:color w:val="auto"/>
          <w:sz w:val="24"/>
        </w:rPr>
        <w:t>　</w:t>
      </w:r>
      <w:r>
        <w:rPr>
          <w:rFonts w:hint="eastAsia" w:ascii="宋体" w:hAnsi="宋体" w:cs="宋体"/>
          <w:b/>
          <w:color w:val="auto"/>
          <w:sz w:val="24"/>
        </w:rPr>
        <w:t>　　1.采购人信息</w:t>
      </w:r>
    </w:p>
    <w:p>
      <w:pPr>
        <w:spacing w:line="360" w:lineRule="auto"/>
        <w:ind w:left="1079" w:leftChars="371" w:hanging="300" w:hangingChars="125"/>
        <w:jc w:val="left"/>
        <w:rPr>
          <w:rFonts w:ascii="宋体" w:hAnsi="宋体"/>
          <w:color w:val="auto"/>
          <w:sz w:val="24"/>
        </w:rPr>
      </w:pPr>
      <w:r>
        <w:rPr>
          <w:rFonts w:hint="eastAsia" w:ascii="宋体" w:hAnsi="宋体"/>
          <w:color w:val="auto"/>
          <w:sz w:val="24"/>
        </w:rPr>
        <w:t>名 称：</w:t>
      </w:r>
      <w:r>
        <w:rPr>
          <w:rFonts w:hint="eastAsia" w:ascii="宋体" w:hAnsi="宋体"/>
          <w:color w:val="auto"/>
          <w:sz w:val="24"/>
          <w:u w:val="single"/>
          <w:lang w:eastAsia="zh-CN"/>
        </w:rPr>
        <w:t>沙湾市人民医院</w:t>
      </w:r>
      <w:r>
        <w:rPr>
          <w:rFonts w:hint="eastAsia" w:ascii="宋体" w:hAnsi="宋体"/>
          <w:color w:val="auto"/>
          <w:sz w:val="24"/>
          <w:u w:val="single"/>
        </w:rPr>
        <w:t>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沙湾</w:t>
      </w:r>
      <w:r>
        <w:rPr>
          <w:rFonts w:hint="eastAsia" w:ascii="宋体" w:hAnsi="宋体"/>
          <w:color w:val="auto"/>
          <w:sz w:val="24"/>
          <w:u w:val="single"/>
          <w:lang w:eastAsia="zh-CN"/>
        </w:rPr>
        <w:t>市</w:t>
      </w:r>
      <w:r>
        <w:rPr>
          <w:rFonts w:hint="eastAsia" w:ascii="宋体" w:hAnsi="宋体"/>
          <w:color w:val="auto"/>
          <w:sz w:val="24"/>
          <w:u w:val="single"/>
        </w:rPr>
        <w:t>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联 系 人：</w:t>
      </w:r>
      <w:r>
        <w:rPr>
          <w:rFonts w:hint="eastAsia" w:ascii="宋体" w:hAnsi="宋体"/>
          <w:color w:val="auto"/>
          <w:sz w:val="24"/>
          <w:u w:val="single"/>
          <w:lang w:eastAsia="zh-CN"/>
        </w:rPr>
        <w:t>阚泓</w:t>
      </w:r>
      <w:r>
        <w:rPr>
          <w:rFonts w:hint="eastAsia" w:ascii="宋体" w:hAnsi="宋体"/>
          <w:color w:val="auto"/>
          <w:sz w:val="24"/>
          <w:u w:val="single"/>
        </w:rPr>
        <w:t xml:space="preserve">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联系方式：</w:t>
      </w:r>
      <w:r>
        <w:rPr>
          <w:rFonts w:hint="eastAsia" w:ascii="宋体" w:hAnsi="宋体"/>
          <w:color w:val="auto"/>
          <w:sz w:val="24"/>
          <w:u w:val="single"/>
          <w:lang w:val="en-US" w:eastAsia="zh-CN"/>
        </w:rPr>
        <w:t>18083949344</w:t>
      </w:r>
      <w:r>
        <w:rPr>
          <w:rFonts w:hint="eastAsia" w:ascii="宋体" w:hAnsi="宋体"/>
          <w:color w:val="auto"/>
          <w:sz w:val="24"/>
          <w:u w:val="single"/>
        </w:rPr>
        <w:t xml:space="preserve">       </w:t>
      </w:r>
      <w:bookmarkStart w:id="29" w:name="_Toc28359009"/>
      <w:bookmarkStart w:id="30" w:name="_Toc28359086"/>
    </w:p>
    <w:p>
      <w:pPr>
        <w:spacing w:line="360" w:lineRule="auto"/>
        <w:ind w:left="1080" w:leftChars="371" w:hanging="301" w:hangingChars="125"/>
        <w:jc w:val="left"/>
        <w:rPr>
          <w:rFonts w:ascii="宋体" w:hAnsi="宋体"/>
          <w:b/>
          <w:color w:val="auto"/>
          <w:sz w:val="24"/>
        </w:rPr>
      </w:pPr>
      <w:r>
        <w:rPr>
          <w:rFonts w:hint="eastAsia" w:ascii="宋体" w:hAnsi="宋体" w:cs="宋体"/>
          <w:b/>
          <w:color w:val="auto"/>
          <w:sz w:val="24"/>
        </w:rPr>
        <w:t>2.采购代理机构信息</w:t>
      </w:r>
      <w:bookmarkEnd w:id="29"/>
      <w:bookmarkEnd w:id="30"/>
    </w:p>
    <w:p>
      <w:pPr>
        <w:spacing w:line="360" w:lineRule="auto"/>
        <w:ind w:firstLine="720" w:firstLineChars="300"/>
        <w:rPr>
          <w:rFonts w:ascii="宋体" w:hAnsi="宋体"/>
          <w:color w:val="auto"/>
          <w:sz w:val="24"/>
        </w:rPr>
      </w:pPr>
      <w:r>
        <w:rPr>
          <w:rFonts w:hint="eastAsia" w:ascii="宋体" w:hAnsi="宋体"/>
          <w:color w:val="auto"/>
          <w:sz w:val="24"/>
        </w:rPr>
        <w:t>名 称：</w:t>
      </w:r>
      <w:r>
        <w:rPr>
          <w:rFonts w:hint="eastAsia" w:ascii="宋体" w:hAnsi="宋体"/>
          <w:color w:val="auto"/>
          <w:sz w:val="24"/>
          <w:u w:val="single"/>
        </w:rPr>
        <w:t xml:space="preserve">新疆正泽工程项目管理有限公司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720" w:firstLineChars="300"/>
        <w:rPr>
          <w:rFonts w:ascii="宋体" w:hAnsi="宋体"/>
          <w:color w:val="auto"/>
          <w:sz w:val="24"/>
          <w:u w:val="single"/>
        </w:rPr>
      </w:pPr>
      <w:r>
        <w:rPr>
          <w:rFonts w:hint="eastAsia" w:ascii="宋体" w:hAnsi="宋体"/>
          <w:color w:val="auto"/>
          <w:sz w:val="24"/>
        </w:rPr>
        <w:t>地　址：</w:t>
      </w:r>
      <w:r>
        <w:rPr>
          <w:rFonts w:hint="eastAsia" w:ascii="宋体" w:hAnsi="宋体"/>
          <w:color w:val="auto"/>
          <w:sz w:val="24"/>
          <w:u w:val="single"/>
          <w:lang w:eastAsia="zh-CN"/>
        </w:rPr>
        <w:t>新疆塔城地区沙湾市乌鲁木齐东路（原丝路明珠综合楼）</w:t>
      </w:r>
      <w:r>
        <w:rPr>
          <w:rFonts w:hint="eastAsia" w:ascii="宋体" w:hAnsi="宋体"/>
          <w:color w:val="auto"/>
          <w:sz w:val="24"/>
          <w:u w:val="single"/>
        </w:rPr>
        <w:t>　</w:t>
      </w:r>
    </w:p>
    <w:p>
      <w:pPr>
        <w:spacing w:line="360" w:lineRule="auto"/>
        <w:ind w:firstLine="720" w:firstLineChars="300"/>
        <w:rPr>
          <w:rFonts w:ascii="宋体" w:hAnsi="宋体"/>
          <w:color w:val="auto"/>
          <w:sz w:val="24"/>
          <w:u w:val="single"/>
        </w:rPr>
      </w:pPr>
      <w:r>
        <w:rPr>
          <w:rFonts w:hint="eastAsia" w:ascii="宋体" w:hAnsi="宋体"/>
          <w:color w:val="auto"/>
          <w:sz w:val="24"/>
        </w:rPr>
        <w:t>联系人：</w:t>
      </w:r>
      <w:r>
        <w:rPr>
          <w:rFonts w:hint="eastAsia" w:ascii="宋体" w:hAnsi="宋体"/>
          <w:color w:val="auto"/>
          <w:sz w:val="24"/>
          <w:u w:val="single"/>
        </w:rPr>
        <w:t xml:space="preserve">吴雪芮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720" w:firstLineChars="300"/>
        <w:rPr>
          <w:rFonts w:ascii="宋体" w:hAnsi="宋体"/>
          <w:color w:val="auto"/>
          <w:sz w:val="24"/>
        </w:rPr>
      </w:pPr>
      <w:r>
        <w:rPr>
          <w:rFonts w:hint="eastAsia" w:ascii="宋体" w:hAnsi="宋体"/>
          <w:color w:val="auto"/>
          <w:sz w:val="24"/>
        </w:rPr>
        <w:t>联系方式：</w:t>
      </w:r>
      <w:bookmarkStart w:id="31" w:name="_Toc28359010"/>
      <w:bookmarkStart w:id="32" w:name="_Toc28359087"/>
      <w:r>
        <w:rPr>
          <w:rFonts w:ascii="宋体" w:hAnsi="宋体"/>
          <w:color w:val="auto"/>
          <w:sz w:val="24"/>
          <w:u w:val="single"/>
        </w:rPr>
        <w:t>18699343968  0993-601</w:t>
      </w:r>
      <w:r>
        <w:rPr>
          <w:rFonts w:hint="eastAsia" w:ascii="宋体" w:hAnsi="宋体"/>
          <w:color w:val="auto"/>
          <w:sz w:val="24"/>
          <w:u w:val="single"/>
          <w:lang w:eastAsia="zh-CN"/>
        </w:rPr>
        <w:t>9</w:t>
      </w:r>
      <w:r>
        <w:rPr>
          <w:rFonts w:hint="eastAsia" w:ascii="宋体" w:hAnsi="宋体"/>
          <w:color w:val="auto"/>
          <w:sz w:val="24"/>
          <w:u w:val="single"/>
          <w:lang w:val="en-US" w:eastAsia="zh-CN"/>
        </w:rPr>
        <w:t>8</w:t>
      </w:r>
      <w:r>
        <w:rPr>
          <w:rFonts w:ascii="宋体" w:hAnsi="宋体"/>
          <w:color w:val="auto"/>
          <w:sz w:val="24"/>
          <w:u w:val="single"/>
        </w:rPr>
        <w:t xml:space="preserve">89 </w:t>
      </w:r>
      <w:r>
        <w:rPr>
          <w:rFonts w:hint="eastAsia" w:ascii="宋体" w:hAnsi="宋体"/>
          <w:color w:val="auto"/>
          <w:sz w:val="24"/>
          <w:u w:val="single"/>
          <w:lang w:val="en-US" w:eastAsia="zh-CN"/>
        </w:rPr>
        <w:t xml:space="preserve">                    </w:t>
      </w:r>
      <w:r>
        <w:rPr>
          <w:rFonts w:hint="eastAsia" w:ascii="宋体" w:hAnsi="宋体"/>
          <w:color w:val="auto"/>
          <w:sz w:val="24"/>
          <w:u w:val="single"/>
        </w:rPr>
        <w:t>　　</w:t>
      </w:r>
    </w:p>
    <w:bookmarkEnd w:id="31"/>
    <w:bookmarkEnd w:id="32"/>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44BF85"/>
    <w:multiLevelType w:val="singleLevel"/>
    <w:tmpl w:val="5644BF8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E6"/>
    <w:rsid w:val="00040A14"/>
    <w:rsid w:val="00146904"/>
    <w:rsid w:val="003010E6"/>
    <w:rsid w:val="003B7393"/>
    <w:rsid w:val="003E49E7"/>
    <w:rsid w:val="00497C4A"/>
    <w:rsid w:val="005327D0"/>
    <w:rsid w:val="00613E56"/>
    <w:rsid w:val="0067658F"/>
    <w:rsid w:val="00724A95"/>
    <w:rsid w:val="007C2278"/>
    <w:rsid w:val="0080080C"/>
    <w:rsid w:val="00884004"/>
    <w:rsid w:val="008C7EE2"/>
    <w:rsid w:val="00907155"/>
    <w:rsid w:val="00917353"/>
    <w:rsid w:val="00962568"/>
    <w:rsid w:val="00963322"/>
    <w:rsid w:val="009761BA"/>
    <w:rsid w:val="009E45D7"/>
    <w:rsid w:val="00A43DAC"/>
    <w:rsid w:val="00A70DEC"/>
    <w:rsid w:val="00B609CA"/>
    <w:rsid w:val="00B9136C"/>
    <w:rsid w:val="00C8444B"/>
    <w:rsid w:val="00E20D02"/>
    <w:rsid w:val="00ED681C"/>
    <w:rsid w:val="00F8223F"/>
    <w:rsid w:val="00FF2147"/>
    <w:rsid w:val="0E47668D"/>
    <w:rsid w:val="0F03615B"/>
    <w:rsid w:val="10E06F0C"/>
    <w:rsid w:val="1572016E"/>
    <w:rsid w:val="1719568D"/>
    <w:rsid w:val="212D738F"/>
    <w:rsid w:val="26055B06"/>
    <w:rsid w:val="293B2C38"/>
    <w:rsid w:val="2AAF77B1"/>
    <w:rsid w:val="2B0A14BF"/>
    <w:rsid w:val="2BF7743B"/>
    <w:rsid w:val="2DA550D0"/>
    <w:rsid w:val="376370C5"/>
    <w:rsid w:val="38AA2243"/>
    <w:rsid w:val="3E4B59E6"/>
    <w:rsid w:val="44C21BF7"/>
    <w:rsid w:val="55D07480"/>
    <w:rsid w:val="59C0332B"/>
    <w:rsid w:val="62ED1212"/>
    <w:rsid w:val="6911104E"/>
    <w:rsid w:val="73EF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kern w:val="44"/>
      <w:sz w:val="44"/>
      <w:szCs w:val="20"/>
    </w:rPr>
  </w:style>
  <w:style w:type="paragraph" w:styleId="3">
    <w:name w:val="heading 2"/>
    <w:basedOn w:val="1"/>
    <w:next w:val="1"/>
    <w:link w:val="12"/>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qFormat/>
    <w:uiPriority w:val="9"/>
    <w:rPr>
      <w:rFonts w:ascii="Calibri" w:hAnsi="Calibri" w:eastAsia="宋体" w:cs="Times New Roman"/>
      <w:b/>
      <w:bCs/>
      <w:kern w:val="44"/>
      <w:sz w:val="44"/>
      <w:szCs w:val="44"/>
    </w:rPr>
  </w:style>
  <w:style w:type="character" w:customStyle="1" w:styleId="11">
    <w:name w:val="标题 2 字符"/>
    <w:basedOn w:val="7"/>
    <w:semiHidden/>
    <w:qFormat/>
    <w:uiPriority w:val="9"/>
    <w:rPr>
      <w:rFonts w:asciiTheme="majorHAnsi" w:hAnsiTheme="majorHAnsi" w:eastAsiaTheme="majorEastAsia" w:cstheme="majorBidi"/>
      <w:b/>
      <w:bCs/>
      <w:sz w:val="32"/>
      <w:szCs w:val="32"/>
    </w:rPr>
  </w:style>
  <w:style w:type="character" w:customStyle="1" w:styleId="12">
    <w:name w:val="标题 2 字符1"/>
    <w:link w:val="3"/>
    <w:qFormat/>
    <w:uiPriority w:val="0"/>
    <w:rPr>
      <w:rFonts w:ascii="Arial" w:hAnsi="Arial" w:eastAsia="黑体" w:cs="Times New Roman"/>
      <w:b/>
      <w:bCs/>
      <w:sz w:val="32"/>
      <w:szCs w:val="32"/>
    </w:rPr>
  </w:style>
  <w:style w:type="character" w:customStyle="1" w:styleId="13">
    <w:name w:val="标题 1 字符1"/>
    <w:link w:val="2"/>
    <w:qFormat/>
    <w:uiPriority w:val="0"/>
    <w:rPr>
      <w:rFonts w:ascii="Calibri" w:hAnsi="Calibri" w:eastAsia="宋体" w:cs="Times New Roman"/>
      <w:b/>
      <w:kern w:val="44"/>
      <w:sz w:val="44"/>
      <w:szCs w:val="20"/>
    </w:rPr>
  </w:style>
  <w:style w:type="character" w:customStyle="1" w:styleId="14">
    <w:name w:val="bookmark-item"/>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251</Words>
  <Characters>1431</Characters>
  <Lines>11</Lines>
  <Paragraphs>3</Paragraphs>
  <TotalTime>1</TotalTime>
  <ScaleCrop>false</ScaleCrop>
  <LinksUpToDate>false</LinksUpToDate>
  <CharactersWithSpaces>1679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2020-12-02T03:08:00Z</dcterms:created>
  <dc:creator>杨 帆</dc:creator>
  <cp:lastModifiedBy>Administrator</cp:lastModifiedBy>
  <dcterms:modified xsi:type="dcterms:W3CDTF">2021-09-28T10:06:51Z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EDAFE1515F5D48E2A18450537D450780</vt:lpwstr>
  </property>
</Properties>
</file>