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动物疫病实验室监测试剂耗材及设备</w:t>
      </w:r>
      <w:bookmarkEnd w:id="0"/>
      <w:r>
        <w:rPr>
          <w:rFonts w:hint="eastAsia"/>
          <w:b/>
          <w:bCs/>
          <w:sz w:val="28"/>
          <w:szCs w:val="36"/>
        </w:rPr>
        <w:t>技术规格、数量及质量要求</w:t>
      </w:r>
    </w:p>
    <w:tbl>
      <w:tblPr>
        <w:tblStyle w:val="3"/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986"/>
        <w:gridCol w:w="6570"/>
        <w:gridCol w:w="780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技术参数和性能指标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口蹄疫液相阻断ELISA试剂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1、用途：采用液相阻断ELISA方法检测猪、牛、羊等偶蹄动物血清中口蹄疫O型病毒抗体，适用于动物疫苗免疫抗体定量检测；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2、规格：10×96孔板/盒；可检测样品100～200份；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试剂盒组成：(1)兔抗包被ELISA板10块；(2)U型96孔抗原抗体反应板2块；(3)移液槽3个；(4)口蹄疫O型病毒抗原约2瓶，7ml/瓶；(5)口蹄疫O型豚鼠抗体工作液1瓶，60ml；(6)兔抗豚鼠IgG-HRP工作液1瓶，60ml；(7)口蹄疫O型阳性对照血清1管，1ml；(8)口蹄疫阴性对照血清1管，1ml；(9)25倍PBST浓缩洗液3瓶，180ml/瓶；(10)TMB底物A、B溶液，各1瓶，30ml/瓶；(11) 终止液1瓶，50ml；(12)封膜板10张。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4、敏感性：98%以上；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5、特异性：98%以上；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6、稳定性：批内及批间差异≤3%；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7、保存条件：病毒抗原-20℃以下保存，其余试剂盒组分4℃保存；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8、试剂盒有效期≥6个月。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口蹄疫病毒非结构蛋白3ABC抗体检测ELISA试剂盒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1、用途：本试剂盒采用阻断ELISA反应模式，适用于检测牛、山羊、绵羊与猪等偶蹄动物血清中的FMDV非结构蛋白抗体，不区分病毒血清型，区分标记灭活疫苗免疫动物与自然感染动物；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试剂盒组成：①捕获3ABC抗原反应板；②25倍PBST浓缩液；③血清稀释液；④100倍酶标单克隆抗体；⑤阳性对照血清；⑥弱阳性对照血清；⑦阴性对照血清；⑧TMB底物溶液；⑨终止液；⑩一次性封板膜；⑫说明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3、规格：2×96孔板，可检测样品180头份；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4、敏感性：98%以上；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5、特异性：98%以上；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6、稳定性：批内及批间差异≤3%；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7、贮藏与有效期：试剂盒2～8℃保存，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8、试剂盒有效期≥1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9、产品资质：产品符合《口蹄疫诊断技术（GB/T18935-2018）》、《口蹄疫防治技术规范》要求；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禽流感病毒H7血凝抗原（Re3株）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1、抗原为灭活的H7亚型禽流感病毒（H7-Re3株），血凝效价≥7log2。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2、抗原为白色或淡黄色海绵状疏松团状，易于与瓶壁脱落，加稀释液后迅速溶解。作用：用于HI试验检测禽流感病毒H7亚型（H7-Re3株）抗体。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3、规格：2ml/瓶。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4、有效期≥2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禽流感病毒H7阳性血清（Re3株）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1、阳性血清为SPF鸡感染禽流感病毒H7亚型制备的高免血清，HI效价≥7log2。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2、阳性血清为微黄色或淡红色海绵状疏松团状，易于与瓶壁脱落，加稀释液后迅速溶解。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3、规格：2ml/瓶。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4、有效期≥2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猪瘟抗体检测ELISAS试剂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作用与用途：用于检测猪血清或血浆中猪瘟病毒（CSFV）抗体。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2．保存条件： 2~8℃保存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3.试剂盒规格：192 孔/盒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4、敏感性：98%以上；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5、特异性：98%以上；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6、稳定性：批内及批间差异≤3%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试剂盒组成：CSFV E2 I 抗原包被板 、样品稀释液、CSFV I  阴性血清、CSFV I 阳性血清、洗涤液 20×、酶标抗体、底物溶液 A、底物溶液 B、终止液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8．结果判定：① CSFV I 阴性血清（III）的平均 OD 值即 ODNC；CSFV I 阳性血清（IV）的平均 OD 值即 ODPC；样品 的 OD 值称为 ODS； ② 阈值计算（Cut Off 值）：Cut Off 值=ODNC×2.1（若 ODNC≥0.05 则按实际值计算；若 ODNC＜0.05 则按 0.05 计算）； ③ 试验成立条件：ODNC值≤0.2 且 ODPC值≥0.6，试验结果有效；否则重新进行试验； ④  判定： ODS＜Cut Off 值，结果判为阴性；ODS≥Cut Off 值，结果判为阳性。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9．试剂盒有效期12个月。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猪蓝耳病抗体检测ELISAS试剂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作用与用途： 用于检测猪血清或血浆中猪繁殖与呼吸综合征病毒（PRRSV）抗体。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2．保存条件： 2~8℃保存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3.试剂盒规格：192 孔/盒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4、敏感性：98%以上；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5、特异性：98%以上；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6、稳定性：批内及批间差异≤3%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试剂盒组成：PRRSV I抗原包被板 、样品稀释液、PRRSV I阴性血清、PRRSV I 阳性血清、洗涤液 20×、酶标抗体、底物溶液 A、底物溶液 B、终止液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8．结果判定：①  PRRSV I 阴性血清（III）的平均 OD 值即 ODNC；PRRSV I 阳性血清（IV）的平均 OD 值即 ODPC；样 品的 OD 值称为 ODS； ②  阈值计算（Cut Off 值）：Cut Off 值=ODNC×2.1（若 ODNC≥0.05 则按实际值计算；若 ODNC＜0.05 则按 0.05 计算）； ③ 试验成立条件：ODNC值≤0.3 且 ODPC值≥0.6，试验结果有效；否则重新进行试验；④  判定： ODS＜Cut Off 值，结果判为阴性；ODS≥Cut Off 值，结果判为阳性。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9．试剂盒有效期12个月。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小反刍兽疫抗体检测ELISA试剂（进口）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试剂盒内容：试剂微量滴定板，已用重组 PPR 核蛋白（NP)包被、酶结合物浓缩液（10X）、阳性对照、阴性对照、样品稀释液13、样品稀释液4、浓缩洗涤液（20X）、 底物溶液、终止液（H2SO4 0.5M）。                                          1. 酶结合物、阴阳性对照以及底物溶液必须在 5℃（±3℃）下贮存。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 其它试剂可放置+2℃～+26℃保存。                                       3. 洗涤液和样品稀释液可用于 ID VET 所有系列产品。                        4.为保证不同样品孵育时间一致，可用 96 孔板盛装待检样本和对照，然后用多道移液器转移到 ELISA 微量滴定板中。                                           5.洗涤液的准备： 浓缩洗涤液（20X）使用前恢复至室温（18-25℃）并充分混匀保证充分溶解。 用蒸馏水按照 1：20 的比例的稀释浓缩洗涤液（20X）制备洗涤液（1X）（1 份浓缩洗涤液加 19 份蒸馏水）。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6.实验原理： 微量滴定板用 PPR 核蛋白（NP)包被。加入样本和对照，如样本中含有 NP 抗体，将形成抗原-抗体复合物。加入过氧化物酶结合物，它与没有结合的 NP 的 点位结合，形成抗原-酶结合物复合体。经过洗板洗掉没结合的酶结合物，加入含 底物 TMB 液，呈色反应是与样本中抗体含量成反比：                                      （1）若无抗体，溶液将呈现蓝色，并在加入终止液后转为黄色，                         （2）抗体存在的情况下将不呈现任何显色反应。 在 450nm 波长检测 OD 值                                                                      7.结果判定： 对于每个样品，计算其竞争百分比（S/N%） S/N%= NC sample OD OD ×100 每个样品得出一个（S/N %）。                                            8.规格：四块板/盒。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小反刍兽疫抗体检测ELISA试剂（国产）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1、用途：用作检测小反刍兽疫血清抗体，适用于小反刍兽疫抗体检测、诊断及流行病学调查。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2、试剂盒组成：已包被的ELISA板，2块；洗涤液（25×PBST）1瓶，60mL、阴性对照血清1管，400 μL；阳性对照血清1管，400 μL；单克隆抗体工作液1瓶，150 ul、兔抗鼠酶标工作液1瓶，150 ul、底物溶液（TMB）1瓶，15mL、终止液1瓶，25 mL、说明书1份。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3、规格：2×96孔板/盒，可检测血清样品80～160份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4、敏感性：98%以上；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5、特异性：98%以上；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6、稳定性：批内及批间差异≤3%；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7、贮存与有效期：2～8℃保存。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8、有效期≥6个月。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口蹄疫病毒直接扩增RT-qPCR抗原检测试剂盒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1、作用与用途：本试剂盒反应buffer及酶抗干扰优势明显，因此可免于传统的核酸提取纯化。适用于对各种组织、水疱液、血清及OP液等样本中的口蹄疫病毒RNA进行检测；3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2、规格：50头份/盒；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3、试剂盒组成：直扩RT-qPCR反应液，1140 µl×2、直扩RT-qPCR酶混合液，120 µl、口蹄疫直扩RT-qPCR引物探针，300 µl、口蹄疫直扩RT-qPCR阳性对照，100 µl、直扩RT-qPCR阴性对照，1000 µl、裂解液B1，30 ml、裂解液B2，30 ml；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4、灵敏性可检出10拷贝/微升以上病毒核酸，特异性98%以上；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5、有效期：有效期≥1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口蹄疫通用型荧光定量RT-PCR检测试剂盒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途：本试剂盒采用实时荧光RT-PCR方法检测偶蹄动物血清、水疱皮、水疱液及OP液中的口蹄疫病毒（FMDV）的RNA，适用于FMDV的检测、诊断和流行病学调查对仪器设备要求较低，能够广泛用于实验室各种荧光PCR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2、保存及有效期：于-20℃以下保存，有效期≥1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3敏感性：敏感性达到98%以上。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4.、特异性：特异性达到100%。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5、稳定性：批内及批间差异≤3%。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6、试剂盒规格：50头份/盒。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新城疫通用型荧光定量RT-PCR检测试剂盒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1、本试剂盒适用于禽类组织、分泌物和排泄物及组织样品中新城疫病毒(NDV)强毒株核酸检测。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2、保存及有效期：于-20℃以下保存，有效期≥1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3、敏感性：敏感性达到98%以上。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4、特异性：特异性达到100%。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5、稳定性：批内及批间差异≤3%。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6、试剂盒规格：48检份/盒。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结果判定：①阳性对照的Ct值小于等于28.0，同时阴性对照无Ct值且无扩增曲线，实验结果成立②被检样品Ct值小于等于30.0，且出现扩增曲线，为新城疫病毒强毒株核酸阳性；被检样品Ct值大于等于40.0，判定为阴性；被检样品Ct值大于30.0小于40.0为可疑，需重新提取核酸重复检测仍为可疑则判定为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禽流感通用型荧光定量RT-PCR检测试剂盒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1、用途：本试剂盒用于禽类咽喉拭子、泄殖腔拭子、血清及组织样品中禽流感病毒(AIV)核酸检测。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2、保存及有效期：于-20℃以下保存，有效期≥1 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3、敏感性：敏感性达到98%以上。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4、特异性：特异性达到100%。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5、稳定性：批内及批间差异≤3%。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6、试剂盒规格：50头份/盒。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7、判定：① 结果的有效性  阳性对照应出现特异性扩增曲线且Ct值≤35，且阴性对照无特异性扩增曲线或无Ct值，则试验成立；否则试验不成立。② 结果判定当样品的扩增结果有典型的扩增曲线且Ct值≤35时可判定为禽流感病毒核酸阳性，Ct值＞37或无Ct值时可判定为禽流感病毒核酸阴性；当样品35＜Ct值≤37时判定为禽流感病毒核酸可疑，需重新提取核酸，重复检测仍为可疑则判定为禽流感病毒核酸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猪瘟通用型荧光定量RT-PCR检测试剂盒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作用与用途： 用于猪的扁桃体、脾脏、淋巴结、肾脏、肝脏、肌肉、血液、精液等样 品中的猪瘟病毒（CSFV）核酸检测。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2．保存条件：-20℃以下冷冻保存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3、敏感性：敏感性达到98%以上。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4、特异性：特异性达到100%。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5、稳定性：批内及批间差异≤3%。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6．试剂盒规格： 50 检份/盒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试剂盒组成：RTPCR 酶反应液 100μl/管 、引物探针 、阳性对照 500µl/管 、阴性对照 500μl/管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5．反应程序：① 50 Cº 反转录 15 分钟；② 95Cº 预变性 30 秒；③ 95Cº 变性 10 秒，60Cº 延伸 20 秒，共 45 个循环；设置 60 Cº 收集 FAM 荧光信号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8．结果判定： 阳性对照应出现特异性扩增曲线且 Ct 值≤35，且阴性对照无特异性扩增曲线或无 Ct 值，则试验成立；否则试验不成立。 样品的扩增结果有典型的扩增曲线且 Ct 值≤38 时可判定为猪瘟病毒核 酸阳性，Ct 值＞40 或无 Ct 值时可判定为猪瘟病毒核酸阴性；当样品 38＜Ct 值≤40 时判定为 猪瘟病毒核酸可疑，需重新提取核酸，重复检测仍为可疑则判定为猪瘟病毒核酸阳性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9．试剂盒有效期≥12个月。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猪蓝耳病通用型荧光定量RT-PCR检测试剂盒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作用与用途：用于猪的扁桃体、脾脏、淋巴结、肺脏、肝脏、血液、精液等样品中的 猪繁殖与呼吸综合征病毒（PRRSV）核酸的检测。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2．保存条件：-20℃以下冷冻保存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3、敏感性：敏感性达到98%以上。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4、特异性：特异性达到100%。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5、稳定性：批内及批间差异≤3%。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6．试剂盒规格： 50 检份/盒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 试剂盒组成：RTPCR 酶反应液 100μl/管 、引物探针 、阳性对照 500µl/管 、阴性对照 500μl/管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5．反应程序：① 50 Cº 反转录 15 分钟；② 95 Cº 预变性 30 秒；③ 95Cº 变性 10 秒，60 Cº 延伸 20 秒，共 40 个循环；设置 60 Cº 收集 FAM 荧光信号。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8．结果判定：阳性对照应出现特异性扩增曲线且 Ct 值＜35，且阴性对照无特异性扩增曲线或无 Ct 值，则试验成立样品的扩增结果有典型的扩增曲线且 Ct 值≤38 时可判定为猪繁殖与呼 吸综合征病毒核酸阳性， Ct 值＞40 或无 Ct 值时可判定为猪繁殖与呼吸综合征病毒核酸阴性； 当样品 38＜Ct 值≤40 时判定为猪繁殖与呼吸综合征病毒核酸可疑，需重新提取核酸，重复检 测仍为可疑则判定为猪繁殖与呼吸综合征病毒核酸阳性。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9．试剂盒有效期≥12个月。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10.所供产品须提供兽药批准文号复印件。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振荡器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1、应用于酶标板（96孔/384孔板）、细胞培养板（24孔板、48孔板、96孔板等）等溶液的混匀振荡。可应 用于免疫测定和染色等实验，可在室温低的环境或培养箱中使用。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2、可调速度范围：200-1500rpm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3、振荡转速范围：200-1500 rpm/min–标准、200-1000 rpm/min –满载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4、定时范围：99h59min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5、振荡幅度与方式：3mm（水平回转）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产品特点：（1）LED数码管显示，操作面板简洁，可精确显示时间和振荡速度参数。（2）微处理器控制转速和时间，振荡转速准确、波动小，安全稳定无噪音。（3）可放置4个标准酶标板或微孔板，对微量样品进行高效混合。（4）直流无刷电机驱动、长寿命、免保，可提供柔和或强力振荡。（5）具有定时功能，程序运行结束后发出声音报警提示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1、安全柜基本参数: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（1）分类:A2型,30%外排,70%循环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（2）外部尺寸≤(L×D×H）1100m×750mm×2250mm;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（3）内部尺寸≥（L×D×H）940mm ×600mm×660mm。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（4）台面距离地面高度∶750mm（尺寸可根据要求订制修改）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（5）风速:平均下降风速:0.33±0.025m/s;平均吸入口风速0.53±0.025m/s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（6）系统排风总量:360 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（7）额定功率:1100W（包含操作区插座负载500）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（8）噪音等级:≤65dB（A）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（9）照明:≥1000lx n维材质的HEPA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的硼宿盐玻明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（10）过滤效率:送风和排风过滤器均采用世界知名品管（ULPA）高效过滤器,对0.3um（0.12）颗粒过滤效率≥99.99%（99.9995%)表效率≥99.gu 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(11）使用人数∶单人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2、生物安全性: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（1）人员安全性:用碘化钾（KI）法测试,前窗操作口的保护因子应不小于1×10°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（2）产品安全性:菌落数≤5CFU/次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（3）交叉污染安全性:菌落数≤2CFU/次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二、结构功能特点: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1、安全柜裸露工作区三侧壁板采用优质304#不锈钢一体化结构,内部可清洗部位采用8mm大圆角处理,不留死角,易于清洁;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2、工作区采用四面（左右二侧、后部、底部）负压环绕设计工作区内,保护性更好、更安全;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3、工作台面材质为优质304#不锈钢,采用盆状式设计,即使实验有废液溢出,也不会流入积液槽中,便于清理;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4、福马脚轮设计:脚轮与支架一体化设计,安全柜即可通过脚轮安全移动,也可以通过调节脚轮支脚进行固定和调平;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5、柜体和支架可分离,支架高度可根据实际情况订制修改;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6、安全柜过滤器和风机的维修、更换,都可在安全柜的前侧进行。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7、前窗玻璃采用双层夹胶防爆安全玻璃;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高亮度LCD显示屏,实时动态显示操作区的下降气流流速和流入气流流速,显示安全柜的整体运行时间,UV灯的运行时间,操作区的温度和湿度,送风和排风过滤器的阻力,显示过滤器的使用时间并由条码显示过滤器的使用寿命,条码全部点亮是过滤器寿命到期,运行状态全部显示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9、电动控制前窗玻璃门,可同时采用脚踏控制、按键控制或强控时、玻璃门升降到安全操作高度时,自动停止升降;且玻璃门升降时不用直接接触玻璃;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10、遥控控制:安全柜的所有按键操作,都可通过遥控控制实现;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11、具有预约定时功能,能自动设定安全柜定时开机、关机及紫外灯消毒时间;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12、严格的气密性检测:安全柜内加压500Pa,保持30min后气压不低于450Pa。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前窗气流隔断设计:防止了气流通过前窗侧壁及上侧进行泄露,使试验更加安全;16、优良的风机选用:风机的电机当安全柜在正常运行而不调整电机的速度控制,经过滤器的风压下降50%时,风机的排气量下降不超过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14、完善的报警系统: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（1）玻璃门不在安全高度报警;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（2）过滤器压力超高报警；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（3）过滤器失效更换报警;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（4）气流波动报警。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15、安全的连锁保护设计：对误操作均设置连锁保护，即使误操作，也不会造成伤害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（1）安全柜风机与玻璃门互锁；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（2）紫外灯与安全柜玻璃门、风机及照明灯互锁；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三、设备配置清单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主机1台、底座1套、内风机2台、送风过滤器1套、排风过滤器1套、国标插座2个、 遥控器1件、脚踏开关1件、紫外灯1件、照明灯2件、水龙头1件、气龙头1件、搁手架1套。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实验凳子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2571750</wp:posOffset>
                  </wp:positionH>
                  <wp:positionV relativeFrom="paragraph">
                    <wp:posOffset>101600</wp:posOffset>
                  </wp:positionV>
                  <wp:extent cx="1483360" cy="2359025"/>
                  <wp:effectExtent l="0" t="0" r="2540" b="3175"/>
                  <wp:wrapNone/>
                  <wp:docPr id="2" name="图片 2" descr="baad0d4c348d164ad2edc47a24d8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aad0d4c348d164ad2edc47a24d849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235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1.高度40-54cm，可升降，带滑轮。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3.可否旋转：可以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4.框架：金属骨架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5.靠背：带靠背，靠背高度≥30cm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6.内部填充物：高弹泡沫海绵，皮质包裹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样式如图所示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实验凳子</w:t>
            </w:r>
          </w:p>
        </w:tc>
        <w:tc>
          <w:tcPr>
            <w:tcW w:w="6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2567305</wp:posOffset>
                  </wp:positionH>
                  <wp:positionV relativeFrom="paragraph">
                    <wp:posOffset>61595</wp:posOffset>
                  </wp:positionV>
                  <wp:extent cx="1465580" cy="2279015"/>
                  <wp:effectExtent l="0" t="0" r="1270" b="6985"/>
                  <wp:wrapNone/>
                  <wp:docPr id="1" name="图片 1" descr="adb3489fdec696f22a2eb89fb7c7c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db3489fdec696f22a2eb89fb7c7c8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22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1.高度40-60cm，可升降。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2.材质：金属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3.可否旋转：可以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4.框架：金属骨架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5.靠背：带靠背，靠背高度≥20cm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6.内部填充物：高弹泡沫海绵，皮质包裹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7.样式如图所示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E5B70"/>
    <w:rsid w:val="2A3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djustRightInd w:val="0"/>
      <w:spacing w:before="260" w:beforeLines="0" w:after="260" w:afterLines="0" w:line="416" w:lineRule="atLeast"/>
      <w:textAlignment w:val="baseline"/>
      <w:outlineLvl w:val="2"/>
    </w:pPr>
    <w:rPr>
      <w:b/>
      <w:kern w:val="0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2021-09-28T14:52:00Z</dcterms:created>
  <dc:creator>Administrator</dc:creator>
  <cp:lastModifiedBy>Administrator</cp:lastModifiedBy>
  <dcterms:modified xsi:type="dcterms:W3CDTF">2021-09-28T14:55:17Z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E12272E9F3224C599F5DDA884CA9F00C</vt:lpwstr>
  </property>
</Properties>
</file>