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sz w:val="24"/>
          <w:szCs w:val="24"/>
          <w:highlight w:val="none"/>
        </w:rPr>
      </w:pPr>
      <w:bookmarkStart w:id="86" w:name="_GoBack"/>
    </w:p>
    <w:p>
      <w:pPr>
        <w:autoSpaceDE w:val="0"/>
        <w:autoSpaceDN w:val="0"/>
        <w:adjustRightInd w:val="0"/>
        <w:spacing w:line="300" w:lineRule="auto"/>
        <w:rPr>
          <w:rFonts w:ascii="宋体" w:hAnsi="宋体" w:cs="宋体"/>
          <w:b/>
          <w:bCs/>
          <w:sz w:val="44"/>
          <w:szCs w:val="44"/>
          <w:highlight w:val="none"/>
          <w:lang w:val="zh-CN"/>
        </w:rPr>
      </w:pPr>
    </w:p>
    <w:p>
      <w:pPr>
        <w:spacing w:line="0" w:lineRule="atLeast"/>
        <w:jc w:val="center"/>
        <w:rPr>
          <w:rFonts w:ascii="楷体_GB2312"/>
          <w:b/>
          <w:sz w:val="72"/>
          <w:highlight w:val="none"/>
        </w:rPr>
      </w:pPr>
      <w:r>
        <w:rPr>
          <w:rFonts w:hint="eastAsia" w:ascii="宋体" w:hAnsi="宋体"/>
          <w:b/>
          <w:sz w:val="48"/>
          <w:szCs w:val="48"/>
          <w:highlight w:val="none"/>
          <w:lang w:val="zh-CN"/>
        </w:rPr>
        <w:t>和田县一万亩补充耕地项目施工监理和审计服务采购招标（包</w:t>
      </w:r>
      <w:r>
        <w:rPr>
          <w:rFonts w:hint="eastAsia" w:ascii="宋体" w:hAnsi="宋体"/>
          <w:b/>
          <w:sz w:val="48"/>
          <w:szCs w:val="48"/>
          <w:highlight w:val="none"/>
        </w:rPr>
        <w:t>一</w:t>
      </w:r>
      <w:r>
        <w:rPr>
          <w:rFonts w:hint="eastAsia" w:ascii="宋体" w:hAnsi="宋体"/>
          <w:b/>
          <w:sz w:val="48"/>
          <w:szCs w:val="48"/>
          <w:highlight w:val="none"/>
          <w:lang w:val="zh-CN"/>
        </w:rPr>
        <w:t>）</w:t>
      </w:r>
    </w:p>
    <w:p>
      <w:pPr>
        <w:ind w:firstLine="3012" w:firstLineChars="300"/>
        <w:rPr>
          <w:rFonts w:ascii="楷体_GB2312"/>
          <w:b/>
          <w:sz w:val="100"/>
          <w:highlight w:val="none"/>
        </w:rPr>
      </w:pPr>
    </w:p>
    <w:p>
      <w:pPr>
        <w:jc w:val="center"/>
        <w:rPr>
          <w:rFonts w:ascii="楷体_GB2312"/>
          <w:b/>
          <w:sz w:val="100"/>
          <w:highlight w:val="none"/>
        </w:rPr>
      </w:pPr>
      <w:r>
        <w:rPr>
          <w:rFonts w:hint="eastAsia" w:ascii="楷体_GB2312"/>
          <w:b/>
          <w:sz w:val="100"/>
          <w:highlight w:val="none"/>
        </w:rPr>
        <w:t>招标文件</w:t>
      </w:r>
    </w:p>
    <w:p>
      <w:pPr>
        <w:jc w:val="center"/>
        <w:rPr>
          <w:rFonts w:hint="eastAsia" w:eastAsia="宋体"/>
          <w:b/>
          <w:bCs/>
          <w:sz w:val="32"/>
          <w:szCs w:val="32"/>
          <w:highlight w:val="none"/>
          <w:lang w:eastAsia="zh-CN"/>
        </w:rPr>
      </w:pPr>
      <w:r>
        <w:rPr>
          <w:rFonts w:hint="eastAsia" w:ascii="宋体" w:hAnsi="宋体" w:cs="宋体"/>
          <w:b/>
          <w:bCs/>
          <w:kern w:val="0"/>
          <w:sz w:val="30"/>
          <w:szCs w:val="30"/>
          <w:highlight w:val="none"/>
        </w:rPr>
        <w:t>项目编号：</w:t>
      </w:r>
      <w:r>
        <w:rPr>
          <w:rFonts w:hint="eastAsia" w:ascii="宋体" w:hAnsi="宋体" w:cs="宋体"/>
          <w:b/>
          <w:bCs/>
          <w:kern w:val="0"/>
          <w:sz w:val="30"/>
          <w:szCs w:val="30"/>
          <w:highlight w:val="none"/>
          <w:lang w:eastAsia="zh-CN"/>
        </w:rPr>
        <w:t>HTXZFCG(2021FS)092-1号</w:t>
      </w:r>
    </w:p>
    <w:p>
      <w:pPr>
        <w:jc w:val="center"/>
        <w:rPr>
          <w:b/>
          <w:bCs/>
          <w:sz w:val="32"/>
          <w:szCs w:val="32"/>
          <w:highlight w:val="none"/>
        </w:rPr>
      </w:pPr>
    </w:p>
    <w:p>
      <w:pPr>
        <w:pStyle w:val="8"/>
        <w:tabs>
          <w:tab w:val="left" w:pos="9214"/>
        </w:tabs>
        <w:rPr>
          <w:highlight w:val="none"/>
        </w:rPr>
      </w:pPr>
    </w:p>
    <w:p>
      <w:pPr>
        <w:rPr>
          <w:b/>
          <w:sz w:val="30"/>
          <w:szCs w:val="30"/>
          <w:highlight w:val="none"/>
        </w:rPr>
      </w:pPr>
    </w:p>
    <w:p>
      <w:pPr>
        <w:pStyle w:val="2"/>
        <w:rPr>
          <w:rFonts w:hint="default"/>
          <w:sz w:val="30"/>
          <w:szCs w:val="30"/>
          <w:highlight w:val="none"/>
        </w:rPr>
      </w:pPr>
    </w:p>
    <w:p>
      <w:pPr>
        <w:rPr>
          <w:b/>
          <w:sz w:val="30"/>
          <w:szCs w:val="30"/>
          <w:highlight w:val="none"/>
        </w:rPr>
      </w:pPr>
    </w:p>
    <w:p>
      <w:pPr>
        <w:spacing w:before="312" w:beforeLines="100" w:after="312" w:afterLines="100"/>
        <w:ind w:firstLine="1205" w:firstLineChars="400"/>
        <w:rPr>
          <w:b/>
          <w:sz w:val="30"/>
          <w:szCs w:val="30"/>
          <w:highlight w:val="none"/>
        </w:rPr>
      </w:pPr>
      <w:r>
        <w:rPr>
          <w:rFonts w:hint="eastAsia"/>
          <w:b/>
          <w:sz w:val="30"/>
          <w:szCs w:val="30"/>
          <w:highlight w:val="none"/>
        </w:rPr>
        <w:t>招标代理：新疆新建联项目管理咨询有限公司</w:t>
      </w:r>
    </w:p>
    <w:p>
      <w:pPr>
        <w:spacing w:before="312" w:beforeLines="100" w:after="312" w:afterLines="100"/>
        <w:jc w:val="center"/>
        <w:rPr>
          <w:b/>
          <w:sz w:val="30"/>
          <w:szCs w:val="30"/>
          <w:highlight w:val="none"/>
        </w:rPr>
      </w:pPr>
      <w:r>
        <w:rPr>
          <w:rFonts w:hint="eastAsia"/>
          <w:b/>
          <w:sz w:val="30"/>
          <w:szCs w:val="30"/>
          <w:highlight w:val="none"/>
        </w:rPr>
        <w:t xml:space="preserve">  地址：和田市纳瓦格路157号</w:t>
      </w:r>
    </w:p>
    <w:p>
      <w:pPr>
        <w:spacing w:before="312" w:beforeLines="100" w:after="312" w:afterLines="100"/>
        <w:ind w:firstLine="3915" w:firstLineChars="1300"/>
        <w:rPr>
          <w:b/>
          <w:sz w:val="30"/>
          <w:szCs w:val="30"/>
          <w:highlight w:val="none"/>
        </w:rPr>
      </w:pPr>
      <w:r>
        <w:rPr>
          <w:rFonts w:hint="eastAsia"/>
          <w:b/>
          <w:sz w:val="30"/>
          <w:szCs w:val="30"/>
          <w:highlight w:val="none"/>
        </w:rPr>
        <w:t>2021年9月</w:t>
      </w:r>
    </w:p>
    <w:p>
      <w:pPr>
        <w:autoSpaceDE w:val="0"/>
        <w:autoSpaceDN w:val="0"/>
        <w:adjustRightInd w:val="0"/>
        <w:jc w:val="center"/>
        <w:rPr>
          <w:rFonts w:ascii="宋体" w:hAnsi="宋体" w:cs="宋体"/>
          <w:b/>
          <w:kern w:val="0"/>
          <w:sz w:val="36"/>
          <w:szCs w:val="36"/>
          <w:highlight w:val="none"/>
        </w:rPr>
      </w:pPr>
    </w:p>
    <w:p>
      <w:pPr>
        <w:autoSpaceDE w:val="0"/>
        <w:autoSpaceDN w:val="0"/>
        <w:jc w:val="center"/>
        <w:rPr>
          <w:rFonts w:ascii="宋体" w:hAnsi="宋体"/>
          <w:bCs/>
          <w:sz w:val="44"/>
          <w:szCs w:val="44"/>
          <w:highlight w:val="none"/>
        </w:rPr>
      </w:pPr>
      <w:r>
        <w:rPr>
          <w:rFonts w:hint="eastAsia" w:ascii="宋体" w:hAnsi="宋体" w:cs="宋体"/>
          <w:bCs/>
          <w:sz w:val="44"/>
          <w:szCs w:val="44"/>
          <w:highlight w:val="none"/>
          <w:lang w:val="zh-CN"/>
        </w:rPr>
        <w:t>招标文件</w:t>
      </w:r>
    </w:p>
    <w:p>
      <w:pPr>
        <w:autoSpaceDE w:val="0"/>
        <w:autoSpaceDN w:val="0"/>
        <w:adjustRightInd w:val="0"/>
        <w:ind w:left="4375" w:leftChars="150" w:hanging="4060" w:hangingChars="1450"/>
        <w:rPr>
          <w:rFonts w:ascii="宋体" w:hAnsi="宋体" w:cs="宋体"/>
          <w:bCs/>
          <w:kern w:val="0"/>
          <w:sz w:val="28"/>
          <w:szCs w:val="28"/>
          <w:highlight w:val="none"/>
          <w:lang w:val="zh-CN"/>
        </w:rPr>
      </w:pPr>
    </w:p>
    <w:p>
      <w:pPr>
        <w:autoSpaceDE w:val="0"/>
        <w:autoSpaceDN w:val="0"/>
        <w:adjustRightInd w:val="0"/>
        <w:ind w:left="4375" w:leftChars="150" w:hanging="4060" w:hangingChars="1450"/>
        <w:rPr>
          <w:rFonts w:ascii="宋体" w:hAnsi="宋体" w:cs="宋体"/>
          <w:bCs/>
          <w:kern w:val="0"/>
          <w:sz w:val="28"/>
          <w:szCs w:val="28"/>
          <w:highlight w:val="none"/>
          <w:lang w:val="zh-CN"/>
        </w:rPr>
      </w:pPr>
    </w:p>
    <w:p>
      <w:pPr>
        <w:autoSpaceDE w:val="0"/>
        <w:autoSpaceDN w:val="0"/>
        <w:adjustRightInd w:val="0"/>
        <w:spacing w:line="480" w:lineRule="auto"/>
        <w:ind w:left="2519" w:leftChars="133" w:hanging="2240" w:hangingChars="800"/>
        <w:rPr>
          <w:rFonts w:ascii="宋体" w:hAnsi="宋体" w:cs="宋体"/>
          <w:bCs/>
          <w:sz w:val="28"/>
          <w:szCs w:val="28"/>
          <w:highlight w:val="none"/>
          <w:lang w:val="zh-CN"/>
        </w:rPr>
      </w:pPr>
      <w:r>
        <w:rPr>
          <w:rFonts w:hint="eastAsia" w:ascii="宋体" w:hAnsi="宋体" w:cs="宋体"/>
          <w:bCs/>
          <w:kern w:val="0"/>
          <w:sz w:val="28"/>
          <w:szCs w:val="28"/>
          <w:highlight w:val="none"/>
        </w:rPr>
        <w:t>项</w:t>
      </w:r>
      <w:r>
        <w:rPr>
          <w:rFonts w:hint="eastAsia" w:ascii="宋体" w:hAnsi="宋体" w:cs="宋体"/>
          <w:bCs/>
          <w:sz w:val="28"/>
          <w:szCs w:val="28"/>
          <w:highlight w:val="none"/>
          <w:lang w:val="zh-CN"/>
        </w:rPr>
        <w:t xml:space="preserve"> </w:t>
      </w:r>
      <w:r>
        <w:rPr>
          <w:rFonts w:hint="eastAsia" w:ascii="宋体" w:hAnsi="宋体" w:cs="宋体"/>
          <w:bCs/>
          <w:sz w:val="28"/>
          <w:szCs w:val="28"/>
          <w:highlight w:val="none"/>
        </w:rPr>
        <w:t>目</w:t>
      </w:r>
      <w:r>
        <w:rPr>
          <w:rFonts w:hint="eastAsia" w:ascii="宋体" w:hAnsi="宋体" w:cs="宋体"/>
          <w:bCs/>
          <w:sz w:val="28"/>
          <w:szCs w:val="28"/>
          <w:highlight w:val="none"/>
          <w:lang w:val="zh-CN"/>
        </w:rPr>
        <w:t xml:space="preserve"> 名 称：</w:t>
      </w:r>
      <w:r>
        <w:rPr>
          <w:rFonts w:hint="eastAsia" w:hAnsi="宋体" w:cs="宋体"/>
          <w:sz w:val="28"/>
          <w:szCs w:val="28"/>
          <w:highlight w:val="none"/>
        </w:rPr>
        <w:t>和田县一万亩补充耕地项目施工监理和审计服务采购招标（包一）</w:t>
      </w:r>
    </w:p>
    <w:p>
      <w:pPr>
        <w:autoSpaceDE w:val="0"/>
        <w:autoSpaceDN w:val="0"/>
        <w:adjustRightInd w:val="0"/>
        <w:spacing w:line="480" w:lineRule="auto"/>
        <w:ind w:left="279" w:leftChars="133"/>
        <w:rPr>
          <w:rFonts w:ascii="宋体" w:hAnsi="宋体" w:cs="宋体"/>
          <w:bCs/>
          <w:sz w:val="28"/>
          <w:szCs w:val="28"/>
          <w:highlight w:val="none"/>
          <w:lang w:val="zh-CN"/>
        </w:rPr>
      </w:pPr>
      <w:r>
        <w:rPr>
          <w:rFonts w:hint="eastAsia" w:ascii="宋体" w:hAnsi="宋体" w:cs="宋体"/>
          <w:bCs/>
          <w:sz w:val="28"/>
          <w:szCs w:val="28"/>
          <w:highlight w:val="none"/>
          <w:lang w:val="zh-CN"/>
        </w:rPr>
        <w:t>招 标 人（盖章）：</w:t>
      </w:r>
      <w:r>
        <w:rPr>
          <w:rFonts w:hint="eastAsia" w:ascii="宋体" w:hAnsi="宋体" w:cs="宋体"/>
          <w:bCs/>
          <w:sz w:val="28"/>
          <w:szCs w:val="28"/>
          <w:highlight w:val="none"/>
        </w:rPr>
        <w:t>和田县自然资源局</w:t>
      </w:r>
    </w:p>
    <w:p>
      <w:pPr>
        <w:autoSpaceDE w:val="0"/>
        <w:autoSpaceDN w:val="0"/>
        <w:adjustRightInd w:val="0"/>
        <w:spacing w:line="480" w:lineRule="auto"/>
        <w:ind w:left="279" w:leftChars="133"/>
        <w:rPr>
          <w:rFonts w:ascii="宋体" w:hAnsi="宋体" w:cs="宋体"/>
          <w:bCs/>
          <w:sz w:val="28"/>
          <w:szCs w:val="28"/>
          <w:highlight w:val="none"/>
          <w:lang w:val="zh-CN"/>
        </w:rPr>
      </w:pPr>
      <w:r>
        <w:rPr>
          <w:rFonts w:hint="eastAsia" w:ascii="宋体" w:hAnsi="宋体" w:cs="宋体"/>
          <w:bCs/>
          <w:sz w:val="28"/>
          <w:szCs w:val="28"/>
          <w:highlight w:val="none"/>
          <w:lang w:val="zh-CN"/>
        </w:rPr>
        <w:t>联 系 人：</w:t>
      </w:r>
      <w:r>
        <w:rPr>
          <w:rFonts w:hint="eastAsia" w:ascii="宋体" w:hAnsi="宋体" w:cs="宋体"/>
          <w:bCs/>
          <w:sz w:val="28"/>
          <w:szCs w:val="28"/>
          <w:highlight w:val="none"/>
        </w:rPr>
        <w:t>克尤木</w:t>
      </w:r>
      <w:r>
        <w:rPr>
          <w:rFonts w:hint="eastAsia" w:ascii="宋体" w:hAnsi="宋体" w:cs="宋体"/>
          <w:bCs/>
          <w:sz w:val="28"/>
          <w:szCs w:val="28"/>
          <w:highlight w:val="none"/>
          <w:lang w:val="zh-CN"/>
        </w:rPr>
        <w:t xml:space="preserve">  </w:t>
      </w:r>
    </w:p>
    <w:p>
      <w:pPr>
        <w:autoSpaceDE w:val="0"/>
        <w:autoSpaceDN w:val="0"/>
        <w:adjustRightInd w:val="0"/>
        <w:spacing w:line="480" w:lineRule="auto"/>
        <w:ind w:left="279" w:leftChars="133"/>
        <w:rPr>
          <w:rFonts w:ascii="宋体" w:hAnsi="宋体" w:cs="宋体"/>
          <w:bCs/>
          <w:sz w:val="28"/>
          <w:szCs w:val="28"/>
          <w:highlight w:val="none"/>
        </w:rPr>
      </w:pPr>
      <w:r>
        <w:rPr>
          <w:rFonts w:hint="eastAsia" w:ascii="宋体" w:hAnsi="宋体" w:cs="宋体"/>
          <w:bCs/>
          <w:sz w:val="28"/>
          <w:szCs w:val="28"/>
          <w:highlight w:val="none"/>
          <w:lang w:val="zh-CN"/>
        </w:rPr>
        <w:t>电    话：</w:t>
      </w:r>
      <w:bookmarkStart w:id="0" w:name="_Toc4007"/>
      <w:r>
        <w:rPr>
          <w:rFonts w:hint="eastAsia" w:ascii="宋体" w:hAnsi="宋体" w:cs="宋体"/>
          <w:bCs/>
          <w:sz w:val="28"/>
          <w:szCs w:val="28"/>
          <w:highlight w:val="none"/>
        </w:rPr>
        <w:t>13999654284</w:t>
      </w:r>
    </w:p>
    <w:p>
      <w:pPr>
        <w:autoSpaceDE w:val="0"/>
        <w:autoSpaceDN w:val="0"/>
        <w:adjustRightInd w:val="0"/>
        <w:spacing w:line="480" w:lineRule="auto"/>
        <w:ind w:left="279" w:leftChars="133"/>
        <w:rPr>
          <w:rFonts w:ascii="宋体" w:hAnsi="宋体" w:cs="宋体"/>
          <w:bCs/>
          <w:sz w:val="28"/>
          <w:szCs w:val="28"/>
          <w:highlight w:val="none"/>
        </w:rPr>
      </w:pPr>
      <w:r>
        <w:rPr>
          <w:rFonts w:hint="eastAsia" w:ascii="宋体" w:hAnsi="宋体" w:cs="宋体"/>
          <w:bCs/>
          <w:sz w:val="28"/>
          <w:szCs w:val="28"/>
          <w:highlight w:val="none"/>
          <w:lang w:val="zh-CN"/>
        </w:rPr>
        <w:t>详细地址：</w:t>
      </w:r>
      <w:bookmarkEnd w:id="0"/>
      <w:r>
        <w:rPr>
          <w:rFonts w:hint="eastAsia" w:ascii="宋体" w:hAnsi="宋体" w:cs="宋体"/>
          <w:bCs/>
          <w:sz w:val="28"/>
          <w:szCs w:val="28"/>
          <w:highlight w:val="none"/>
        </w:rPr>
        <w:t>和田县</w:t>
      </w:r>
    </w:p>
    <w:p>
      <w:pPr>
        <w:rPr>
          <w:rFonts w:ascii="宋体" w:hAnsi="宋体" w:cs="宋体"/>
          <w:bCs/>
          <w:sz w:val="28"/>
          <w:szCs w:val="28"/>
          <w:highlight w:val="none"/>
          <w:lang w:val="zh-CN"/>
        </w:rPr>
      </w:pPr>
    </w:p>
    <w:p>
      <w:pPr>
        <w:pStyle w:val="22"/>
        <w:tabs>
          <w:tab w:val="left" w:pos="9214"/>
        </w:tabs>
        <w:rPr>
          <w:rFonts w:ascii="宋体" w:hAnsi="宋体" w:cs="宋体"/>
          <w:b/>
          <w:sz w:val="28"/>
          <w:szCs w:val="28"/>
          <w:highlight w:val="none"/>
          <w:lang w:val="zh-CN"/>
        </w:rPr>
      </w:pPr>
      <w:r>
        <w:rPr>
          <w:rFonts w:hint="eastAsia" w:ascii="宋体" w:hAnsi="宋体" w:cs="宋体"/>
          <w:b/>
          <w:sz w:val="28"/>
          <w:szCs w:val="30"/>
          <w:highlight w:val="none"/>
        </w:rPr>
        <w:t>-------------------------------------------------------</w:t>
      </w:r>
    </w:p>
    <w:p>
      <w:pPr>
        <w:pStyle w:val="22"/>
        <w:tabs>
          <w:tab w:val="left" w:pos="9214"/>
        </w:tabs>
        <w:rPr>
          <w:rFonts w:ascii="宋体" w:hAnsi="宋体" w:cs="宋体"/>
          <w:bCs/>
          <w:sz w:val="28"/>
          <w:szCs w:val="30"/>
          <w:highlight w:val="none"/>
          <w:lang w:val="zh-CN"/>
        </w:rPr>
      </w:pPr>
    </w:p>
    <w:p>
      <w:pPr>
        <w:pStyle w:val="22"/>
        <w:tabs>
          <w:tab w:val="left" w:pos="9214"/>
        </w:tabs>
        <w:rPr>
          <w:rFonts w:ascii="宋体" w:hAnsi="宋体" w:cs="宋体"/>
          <w:bCs/>
          <w:sz w:val="28"/>
          <w:szCs w:val="28"/>
          <w:highlight w:val="none"/>
          <w:lang w:val="zh-CN"/>
        </w:rPr>
      </w:pPr>
    </w:p>
    <w:p>
      <w:pPr>
        <w:pStyle w:val="22"/>
        <w:tabs>
          <w:tab w:val="left" w:pos="9214"/>
        </w:tabs>
        <w:rPr>
          <w:rFonts w:ascii="宋体" w:hAnsi="宋体" w:cs="宋体"/>
          <w:bCs/>
          <w:sz w:val="28"/>
          <w:szCs w:val="28"/>
          <w:highlight w:val="none"/>
          <w:lang w:val="zh-CN"/>
        </w:rPr>
      </w:pPr>
    </w:p>
    <w:p>
      <w:pPr>
        <w:pStyle w:val="22"/>
        <w:tabs>
          <w:tab w:val="left" w:pos="9214"/>
        </w:tabs>
        <w:rPr>
          <w:rFonts w:ascii="宋体" w:hAnsi="宋体" w:cs="宋体"/>
          <w:bCs/>
          <w:sz w:val="28"/>
          <w:szCs w:val="28"/>
          <w:highlight w:val="none"/>
          <w:lang w:val="zh-CN"/>
        </w:rPr>
      </w:pPr>
    </w:p>
    <w:p>
      <w:pPr>
        <w:rPr>
          <w:highlight w:val="none"/>
        </w:rPr>
      </w:pPr>
    </w:p>
    <w:p>
      <w:pPr>
        <w:autoSpaceDE w:val="0"/>
        <w:autoSpaceDN w:val="0"/>
        <w:adjustRightInd w:val="0"/>
        <w:spacing w:line="480" w:lineRule="auto"/>
        <w:ind w:firstLine="280" w:firstLineChars="100"/>
        <w:rPr>
          <w:rFonts w:ascii="宋体" w:hAnsi="宋体" w:cs="宋体"/>
          <w:bCs/>
          <w:spacing w:val="-20"/>
          <w:sz w:val="28"/>
          <w:szCs w:val="28"/>
          <w:highlight w:val="none"/>
        </w:rPr>
      </w:pPr>
      <w:r>
        <w:rPr>
          <w:rFonts w:hint="eastAsia" w:ascii="宋体" w:hAnsi="宋体" w:cs="宋体"/>
          <w:bCs/>
          <w:sz w:val="28"/>
          <w:szCs w:val="28"/>
          <w:highlight w:val="none"/>
          <w:lang w:val="zh-CN"/>
        </w:rPr>
        <w:t>招标代理机构</w:t>
      </w:r>
      <w:r>
        <w:rPr>
          <w:rFonts w:hint="eastAsia" w:ascii="宋体" w:hAnsi="宋体" w:cs="宋体"/>
          <w:sz w:val="28"/>
          <w:szCs w:val="28"/>
          <w:highlight w:val="none"/>
          <w:lang w:val="zh-CN"/>
        </w:rPr>
        <w:t>（盖章）</w:t>
      </w:r>
      <w:r>
        <w:rPr>
          <w:rFonts w:hint="eastAsia" w:ascii="宋体" w:hAnsi="宋体" w:cs="宋体"/>
          <w:bCs/>
          <w:sz w:val="28"/>
          <w:szCs w:val="28"/>
          <w:highlight w:val="none"/>
          <w:lang w:val="zh-CN"/>
        </w:rPr>
        <w:t>：</w:t>
      </w:r>
      <w:r>
        <w:rPr>
          <w:rFonts w:hint="eastAsia" w:ascii="宋体" w:hAnsi="宋体" w:cs="宋体"/>
          <w:bCs/>
          <w:spacing w:val="-20"/>
          <w:sz w:val="28"/>
          <w:szCs w:val="28"/>
          <w:highlight w:val="none"/>
        </w:rPr>
        <w:t>新疆新建联项目管理咨询有限公司</w:t>
      </w:r>
    </w:p>
    <w:p>
      <w:pPr>
        <w:autoSpaceDE w:val="0"/>
        <w:autoSpaceDN w:val="0"/>
        <w:adjustRightInd w:val="0"/>
        <w:spacing w:line="480" w:lineRule="auto"/>
        <w:ind w:firstLine="280" w:firstLineChars="100"/>
        <w:rPr>
          <w:rFonts w:ascii="宋体" w:hAnsi="宋体"/>
          <w:bCs/>
          <w:sz w:val="28"/>
          <w:szCs w:val="28"/>
          <w:highlight w:val="none"/>
        </w:rPr>
      </w:pPr>
      <w:r>
        <w:rPr>
          <w:rFonts w:hint="eastAsia" w:ascii="宋体" w:hAnsi="宋体" w:cs="宋体"/>
          <w:bCs/>
          <w:kern w:val="0"/>
          <w:sz w:val="28"/>
          <w:szCs w:val="28"/>
          <w:highlight w:val="none"/>
          <w:lang w:val="zh-CN"/>
        </w:rPr>
        <w:t>项目负责人</w:t>
      </w:r>
      <w:r>
        <w:rPr>
          <w:rFonts w:hint="eastAsia" w:ascii="宋体" w:hAnsi="宋体" w:cs="宋体"/>
          <w:bCs/>
          <w:sz w:val="28"/>
          <w:szCs w:val="28"/>
          <w:highlight w:val="none"/>
          <w:lang w:val="zh-CN"/>
        </w:rPr>
        <w:t>：</w:t>
      </w:r>
      <w:r>
        <w:rPr>
          <w:rFonts w:hint="eastAsia" w:ascii="宋体" w:hAnsi="宋体" w:cs="宋体"/>
          <w:bCs/>
          <w:sz w:val="28"/>
          <w:szCs w:val="28"/>
          <w:highlight w:val="none"/>
        </w:rPr>
        <w:t>王磊</w:t>
      </w:r>
    </w:p>
    <w:p>
      <w:pPr>
        <w:autoSpaceDE w:val="0"/>
        <w:autoSpaceDN w:val="0"/>
        <w:adjustRightInd w:val="0"/>
        <w:spacing w:line="480" w:lineRule="auto"/>
        <w:ind w:firstLine="280" w:firstLineChars="100"/>
        <w:rPr>
          <w:rFonts w:ascii="宋体" w:hAnsi="宋体" w:cs="宋体"/>
          <w:bCs/>
          <w:sz w:val="28"/>
          <w:szCs w:val="28"/>
          <w:highlight w:val="none"/>
        </w:rPr>
      </w:pPr>
      <w:r>
        <w:rPr>
          <w:rFonts w:hint="eastAsia" w:ascii="宋体" w:hAnsi="宋体" w:cs="宋体"/>
          <w:bCs/>
          <w:kern w:val="0"/>
          <w:sz w:val="28"/>
          <w:szCs w:val="28"/>
          <w:highlight w:val="none"/>
          <w:lang w:val="zh-CN"/>
        </w:rPr>
        <w:t>电    话</w:t>
      </w:r>
      <w:r>
        <w:rPr>
          <w:rFonts w:hint="eastAsia" w:ascii="宋体" w:hAnsi="宋体" w:cs="宋体"/>
          <w:bCs/>
          <w:sz w:val="28"/>
          <w:szCs w:val="28"/>
          <w:highlight w:val="none"/>
          <w:lang w:val="zh-CN"/>
        </w:rPr>
        <w:t>：</w:t>
      </w:r>
      <w:r>
        <w:rPr>
          <w:rFonts w:hint="eastAsia" w:ascii="宋体" w:hAnsi="宋体" w:cs="宋体"/>
          <w:bCs/>
          <w:sz w:val="28"/>
          <w:szCs w:val="28"/>
          <w:highlight w:val="none"/>
        </w:rPr>
        <w:t>18139180085</w:t>
      </w:r>
    </w:p>
    <w:p>
      <w:pPr>
        <w:autoSpaceDE w:val="0"/>
        <w:autoSpaceDN w:val="0"/>
        <w:adjustRightInd w:val="0"/>
        <w:spacing w:line="480" w:lineRule="auto"/>
        <w:ind w:firstLine="280" w:firstLineChars="100"/>
        <w:rPr>
          <w:rFonts w:ascii="宋体" w:hAnsi="宋体" w:cs="宋体"/>
          <w:bCs/>
          <w:spacing w:val="-20"/>
          <w:sz w:val="28"/>
          <w:szCs w:val="28"/>
          <w:highlight w:val="none"/>
          <w:lang w:val="zh-CN"/>
        </w:rPr>
      </w:pPr>
      <w:r>
        <w:rPr>
          <w:rFonts w:hint="eastAsia" w:ascii="宋体" w:hAnsi="宋体" w:cs="宋体"/>
          <w:bCs/>
          <w:kern w:val="0"/>
          <w:sz w:val="28"/>
          <w:szCs w:val="28"/>
          <w:highlight w:val="none"/>
          <w:lang w:val="zh-CN"/>
        </w:rPr>
        <w:t>详细地址</w:t>
      </w:r>
      <w:r>
        <w:rPr>
          <w:rFonts w:hint="eastAsia" w:ascii="宋体" w:hAnsi="宋体" w:cs="宋体"/>
          <w:bCs/>
          <w:spacing w:val="-20"/>
          <w:sz w:val="28"/>
          <w:szCs w:val="28"/>
          <w:highlight w:val="none"/>
          <w:lang w:val="zh-CN"/>
        </w:rPr>
        <w:t>：</w:t>
      </w:r>
      <w:r>
        <w:rPr>
          <w:rFonts w:hint="eastAsia" w:ascii="宋体" w:hAnsi="宋体" w:cs="宋体"/>
          <w:bCs/>
          <w:spacing w:val="-20"/>
          <w:sz w:val="28"/>
          <w:szCs w:val="28"/>
          <w:highlight w:val="none"/>
        </w:rPr>
        <w:t>和田市纳瓦格路157号</w:t>
      </w:r>
    </w:p>
    <w:p>
      <w:pPr>
        <w:rPr>
          <w:rFonts w:ascii="宋体" w:hAnsi="宋体"/>
          <w:b/>
          <w:bCs/>
          <w:sz w:val="28"/>
          <w:szCs w:val="28"/>
          <w:highlight w:val="none"/>
        </w:rPr>
      </w:pPr>
    </w:p>
    <w:p>
      <w:pPr>
        <w:rPr>
          <w:rFonts w:ascii="宋体" w:hAnsi="宋体"/>
          <w:b/>
          <w:bCs/>
          <w:sz w:val="28"/>
          <w:szCs w:val="28"/>
          <w:highlight w:val="none"/>
        </w:rPr>
      </w:pPr>
    </w:p>
    <w:p>
      <w:pPr>
        <w:spacing w:after="120" w:line="360" w:lineRule="auto"/>
        <w:rPr>
          <w:rFonts w:eastAsia="仿宋_GB2312"/>
          <w:spacing w:val="15"/>
          <w:kern w:val="10"/>
          <w:sz w:val="24"/>
          <w:szCs w:val="24"/>
          <w:highlight w:val="none"/>
        </w:rPr>
      </w:pPr>
    </w:p>
    <w:p>
      <w:pPr>
        <w:jc w:val="left"/>
        <w:rPr>
          <w:rFonts w:ascii="宋体" w:hAnsi="宋体" w:cs="宋体"/>
          <w:b/>
          <w:bCs/>
          <w:color w:val="000000"/>
          <w:sz w:val="28"/>
          <w:szCs w:val="28"/>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ind w:right="-45"/>
        <w:jc w:val="center"/>
        <w:rPr>
          <w:rFonts w:ascii="宋体" w:hAnsi="宋体" w:cs="宋体"/>
          <w:b/>
          <w:bCs/>
          <w:color w:val="000000"/>
          <w:sz w:val="24"/>
          <w:szCs w:val="24"/>
          <w:highlight w:val="none"/>
        </w:rPr>
      </w:pPr>
    </w:p>
    <w:p>
      <w:pPr>
        <w:jc w:val="center"/>
        <w:rPr>
          <w:sz w:val="32"/>
          <w:szCs w:val="28"/>
          <w:highlight w:val="none"/>
        </w:rPr>
      </w:pPr>
      <w:bookmarkStart w:id="1" w:name="_Toc7360_WPSOffice_Type1"/>
      <w:r>
        <w:rPr>
          <w:rFonts w:ascii="宋体" w:hAnsi="宋体"/>
          <w:b/>
          <w:bCs/>
          <w:sz w:val="32"/>
          <w:szCs w:val="28"/>
          <w:highlight w:val="none"/>
        </w:rPr>
        <w:t>目录</w:t>
      </w:r>
    </w:p>
    <w:p>
      <w:pPr>
        <w:pStyle w:val="52"/>
        <w:tabs>
          <w:tab w:val="right" w:leader="dot" w:pos="9298"/>
        </w:tabs>
        <w:rPr>
          <w:sz w:val="28"/>
          <w:szCs w:val="28"/>
          <w:highlight w:val="none"/>
        </w:rPr>
      </w:pPr>
      <w:r>
        <w:rPr>
          <w:highlight w:val="none"/>
        </w:rPr>
        <w:fldChar w:fldCharType="begin"/>
      </w:r>
      <w:r>
        <w:rPr>
          <w:highlight w:val="none"/>
        </w:rPr>
        <w:instrText xml:space="preserve"> HYPERLINK \l "_Toc7467_WPSOffice_Level1" </w:instrText>
      </w:r>
      <w:r>
        <w:rPr>
          <w:highlight w:val="none"/>
        </w:rPr>
        <w:fldChar w:fldCharType="separate"/>
      </w:r>
      <w:r>
        <w:rPr>
          <w:rFonts w:hint="eastAsia" w:ascii="宋体" w:hAnsi="宋体" w:cs="宋体"/>
          <w:sz w:val="28"/>
          <w:szCs w:val="28"/>
          <w:highlight w:val="none"/>
        </w:rPr>
        <w:t>第一章  招标公告</w:t>
      </w:r>
      <w:r>
        <w:rPr>
          <w:sz w:val="28"/>
          <w:szCs w:val="28"/>
          <w:highlight w:val="none"/>
        </w:rPr>
        <w:tab/>
      </w:r>
      <w:r>
        <w:rPr>
          <w:rFonts w:hint="eastAsia"/>
          <w:sz w:val="28"/>
          <w:szCs w:val="28"/>
          <w:highlight w:val="none"/>
          <w:lang w:val="en-US" w:eastAsia="zh-CN"/>
        </w:rPr>
        <w:t>4</w:t>
      </w:r>
      <w:r>
        <w:rPr>
          <w:sz w:val="28"/>
          <w:szCs w:val="28"/>
          <w:highlight w:val="none"/>
        </w:rPr>
        <w:fldChar w:fldCharType="end"/>
      </w:r>
    </w:p>
    <w:p>
      <w:pPr>
        <w:pStyle w:val="52"/>
        <w:tabs>
          <w:tab w:val="right" w:leader="dot" w:pos="9298"/>
        </w:tabs>
        <w:rPr>
          <w:sz w:val="28"/>
          <w:szCs w:val="28"/>
          <w:highlight w:val="none"/>
        </w:rPr>
      </w:pPr>
      <w:r>
        <w:rPr>
          <w:highlight w:val="none"/>
        </w:rPr>
        <w:fldChar w:fldCharType="begin"/>
      </w:r>
      <w:r>
        <w:rPr>
          <w:highlight w:val="none"/>
        </w:rPr>
        <w:instrText xml:space="preserve"> HYPERLINK \l "_Toc10829_WPSOffice_Level1" </w:instrText>
      </w:r>
      <w:r>
        <w:rPr>
          <w:highlight w:val="none"/>
        </w:rPr>
        <w:fldChar w:fldCharType="separate"/>
      </w:r>
      <w:r>
        <w:rPr>
          <w:rFonts w:hint="eastAsia" w:ascii="宋体" w:hAnsi="宋体" w:cs="宋体"/>
          <w:sz w:val="28"/>
          <w:szCs w:val="28"/>
          <w:highlight w:val="none"/>
        </w:rPr>
        <w:t>第二章  投标人须知前附表</w:t>
      </w:r>
      <w:r>
        <w:rPr>
          <w:sz w:val="28"/>
          <w:szCs w:val="28"/>
          <w:highlight w:val="none"/>
        </w:rPr>
        <w:tab/>
      </w:r>
      <w:r>
        <w:rPr>
          <w:rFonts w:hint="eastAsia"/>
          <w:sz w:val="28"/>
          <w:szCs w:val="28"/>
          <w:highlight w:val="none"/>
          <w:lang w:val="en-US" w:eastAsia="zh-CN"/>
        </w:rPr>
        <w:t>6</w:t>
      </w:r>
      <w:r>
        <w:rPr>
          <w:sz w:val="28"/>
          <w:szCs w:val="28"/>
          <w:highlight w:val="none"/>
        </w:rPr>
        <w:fldChar w:fldCharType="end"/>
      </w:r>
    </w:p>
    <w:p>
      <w:pPr>
        <w:pStyle w:val="52"/>
        <w:tabs>
          <w:tab w:val="right" w:leader="dot" w:pos="9298"/>
        </w:tabs>
        <w:rPr>
          <w:sz w:val="28"/>
          <w:szCs w:val="28"/>
          <w:highlight w:val="none"/>
        </w:rPr>
      </w:pPr>
      <w:r>
        <w:rPr>
          <w:highlight w:val="none"/>
        </w:rPr>
        <w:fldChar w:fldCharType="begin"/>
      </w:r>
      <w:r>
        <w:rPr>
          <w:highlight w:val="none"/>
        </w:rPr>
        <w:instrText xml:space="preserve"> HYPERLINK \l "_Toc24423_WPSOffice_Level1" </w:instrText>
      </w:r>
      <w:r>
        <w:rPr>
          <w:highlight w:val="none"/>
        </w:rPr>
        <w:fldChar w:fldCharType="separate"/>
      </w:r>
      <w:r>
        <w:rPr>
          <w:rFonts w:hint="eastAsia" w:ascii="宋体" w:hAnsi="宋体" w:cs="宋体"/>
          <w:sz w:val="28"/>
          <w:szCs w:val="28"/>
          <w:highlight w:val="none"/>
        </w:rPr>
        <w:t>第三章  招标书</w:t>
      </w:r>
      <w:r>
        <w:rPr>
          <w:sz w:val="28"/>
          <w:szCs w:val="28"/>
          <w:highlight w:val="none"/>
        </w:rPr>
        <w:tab/>
      </w:r>
      <w:r>
        <w:rPr>
          <w:rFonts w:hint="eastAsia"/>
          <w:sz w:val="28"/>
          <w:szCs w:val="28"/>
          <w:highlight w:val="none"/>
          <w:lang w:val="en-US" w:eastAsia="zh-CN"/>
        </w:rPr>
        <w:t>9</w:t>
      </w:r>
      <w:r>
        <w:rPr>
          <w:sz w:val="28"/>
          <w:szCs w:val="28"/>
          <w:highlight w:val="none"/>
        </w:rPr>
        <w:fldChar w:fldCharType="end"/>
      </w:r>
    </w:p>
    <w:p>
      <w:pPr>
        <w:pStyle w:val="52"/>
        <w:tabs>
          <w:tab w:val="right" w:leader="dot" w:pos="9298"/>
        </w:tabs>
        <w:rPr>
          <w:rFonts w:hint="eastAsia" w:eastAsia="宋体"/>
          <w:sz w:val="28"/>
          <w:szCs w:val="28"/>
          <w:highlight w:val="none"/>
          <w:lang w:val="en-US" w:eastAsia="zh-CN"/>
        </w:rPr>
      </w:pPr>
      <w:r>
        <w:rPr>
          <w:highlight w:val="none"/>
        </w:rPr>
        <w:fldChar w:fldCharType="begin"/>
      </w:r>
      <w:r>
        <w:rPr>
          <w:highlight w:val="none"/>
        </w:rPr>
        <w:instrText xml:space="preserve"> HYPERLINK \l "_Toc16906_WPSOffice_Level1" </w:instrText>
      </w:r>
      <w:r>
        <w:rPr>
          <w:highlight w:val="none"/>
        </w:rPr>
        <w:fldChar w:fldCharType="separate"/>
      </w:r>
      <w:r>
        <w:rPr>
          <w:rFonts w:hint="eastAsia" w:ascii="宋体" w:hAnsi="宋体" w:cs="宋体"/>
          <w:sz w:val="28"/>
          <w:szCs w:val="28"/>
          <w:highlight w:val="none"/>
        </w:rPr>
        <w:t>第四章  投标须知</w:t>
      </w:r>
      <w:r>
        <w:rPr>
          <w:sz w:val="28"/>
          <w:szCs w:val="28"/>
          <w:highlight w:val="none"/>
        </w:rPr>
        <w:tab/>
      </w:r>
      <w:r>
        <w:rPr>
          <w:rFonts w:hint="eastAsia"/>
          <w:sz w:val="28"/>
          <w:szCs w:val="28"/>
          <w:highlight w:val="none"/>
          <w:lang w:val="en-US" w:eastAsia="zh-CN"/>
        </w:rPr>
        <w:t>1</w:t>
      </w:r>
      <w:r>
        <w:rPr>
          <w:sz w:val="28"/>
          <w:szCs w:val="28"/>
          <w:highlight w:val="none"/>
        </w:rPr>
        <w:fldChar w:fldCharType="end"/>
      </w:r>
      <w:r>
        <w:rPr>
          <w:rFonts w:hint="eastAsia"/>
          <w:sz w:val="28"/>
          <w:szCs w:val="28"/>
          <w:highlight w:val="none"/>
          <w:lang w:val="en-US" w:eastAsia="zh-CN"/>
        </w:rPr>
        <w:t>0</w:t>
      </w:r>
    </w:p>
    <w:p>
      <w:pPr>
        <w:pStyle w:val="52"/>
        <w:tabs>
          <w:tab w:val="right" w:leader="dot" w:pos="9298"/>
        </w:tabs>
        <w:rPr>
          <w:rFonts w:hint="eastAsia" w:eastAsia="宋体"/>
          <w:sz w:val="28"/>
          <w:szCs w:val="28"/>
          <w:highlight w:val="none"/>
          <w:lang w:val="en-US" w:eastAsia="zh-CN"/>
        </w:rPr>
      </w:pPr>
      <w:r>
        <w:rPr>
          <w:highlight w:val="none"/>
        </w:rPr>
        <w:fldChar w:fldCharType="begin"/>
      </w:r>
      <w:r>
        <w:rPr>
          <w:highlight w:val="none"/>
        </w:rPr>
        <w:instrText xml:space="preserve"> HYPERLINK \l "_Toc3578_WPSOffice_Level1" </w:instrText>
      </w:r>
      <w:r>
        <w:rPr>
          <w:highlight w:val="none"/>
        </w:rPr>
        <w:fldChar w:fldCharType="separate"/>
      </w:r>
      <w:r>
        <w:rPr>
          <w:rFonts w:hint="eastAsia" w:ascii="宋体" w:hAnsi="宋体" w:cs="宋体"/>
          <w:sz w:val="28"/>
          <w:szCs w:val="28"/>
          <w:highlight w:val="none"/>
        </w:rPr>
        <w:t>第五章  技术要求</w:t>
      </w:r>
      <w:r>
        <w:rPr>
          <w:sz w:val="28"/>
          <w:szCs w:val="28"/>
          <w:highlight w:val="none"/>
        </w:rPr>
        <w:tab/>
      </w:r>
      <w:r>
        <w:rPr>
          <w:rFonts w:hint="eastAsia"/>
          <w:sz w:val="28"/>
          <w:szCs w:val="28"/>
          <w:highlight w:val="none"/>
          <w:lang w:val="en-US" w:eastAsia="zh-CN"/>
        </w:rPr>
        <w:t>2</w:t>
      </w:r>
      <w:r>
        <w:rPr>
          <w:sz w:val="28"/>
          <w:szCs w:val="28"/>
          <w:highlight w:val="none"/>
        </w:rPr>
        <w:fldChar w:fldCharType="end"/>
      </w:r>
      <w:r>
        <w:rPr>
          <w:rFonts w:hint="eastAsia"/>
          <w:sz w:val="28"/>
          <w:szCs w:val="28"/>
          <w:highlight w:val="none"/>
          <w:lang w:val="en-US" w:eastAsia="zh-CN"/>
        </w:rPr>
        <w:t>6</w:t>
      </w:r>
    </w:p>
    <w:p>
      <w:pPr>
        <w:pStyle w:val="52"/>
        <w:tabs>
          <w:tab w:val="right" w:leader="dot" w:pos="9298"/>
        </w:tabs>
        <w:rPr>
          <w:rFonts w:hint="eastAsia" w:eastAsia="宋体"/>
          <w:sz w:val="28"/>
          <w:szCs w:val="28"/>
          <w:highlight w:val="none"/>
          <w:lang w:val="en-US" w:eastAsia="zh-CN"/>
        </w:rPr>
      </w:pPr>
      <w:r>
        <w:rPr>
          <w:highlight w:val="none"/>
        </w:rPr>
        <w:fldChar w:fldCharType="begin"/>
      </w:r>
      <w:r>
        <w:rPr>
          <w:highlight w:val="none"/>
        </w:rPr>
        <w:instrText xml:space="preserve"> HYPERLINK \l "_Toc8595_WPSOffice_Level1" </w:instrText>
      </w:r>
      <w:r>
        <w:rPr>
          <w:highlight w:val="none"/>
        </w:rPr>
        <w:fldChar w:fldCharType="separate"/>
      </w:r>
      <w:r>
        <w:rPr>
          <w:rFonts w:hint="eastAsia" w:ascii="宋体" w:hAnsi="宋体" w:cs="宋体"/>
          <w:sz w:val="28"/>
          <w:szCs w:val="28"/>
          <w:highlight w:val="none"/>
        </w:rPr>
        <w:t>第六章  合同</w:t>
      </w:r>
      <w:r>
        <w:rPr>
          <w:sz w:val="28"/>
          <w:szCs w:val="28"/>
          <w:highlight w:val="none"/>
        </w:rPr>
        <w:tab/>
      </w:r>
      <w:r>
        <w:rPr>
          <w:rFonts w:hint="eastAsia"/>
          <w:sz w:val="28"/>
          <w:szCs w:val="28"/>
          <w:highlight w:val="none"/>
          <w:lang w:val="en-US" w:eastAsia="zh-CN"/>
        </w:rPr>
        <w:t>2</w:t>
      </w:r>
      <w:r>
        <w:rPr>
          <w:sz w:val="28"/>
          <w:szCs w:val="28"/>
          <w:highlight w:val="none"/>
        </w:rPr>
        <w:fldChar w:fldCharType="end"/>
      </w:r>
      <w:r>
        <w:rPr>
          <w:rFonts w:hint="eastAsia"/>
          <w:sz w:val="28"/>
          <w:szCs w:val="28"/>
          <w:highlight w:val="none"/>
          <w:lang w:val="en-US" w:eastAsia="zh-CN"/>
        </w:rPr>
        <w:t>7</w:t>
      </w:r>
    </w:p>
    <w:p>
      <w:pPr>
        <w:pStyle w:val="52"/>
        <w:tabs>
          <w:tab w:val="right" w:leader="dot" w:pos="9298"/>
        </w:tabs>
        <w:rPr>
          <w:rFonts w:hint="eastAsia" w:eastAsia="宋体"/>
          <w:sz w:val="28"/>
          <w:szCs w:val="28"/>
          <w:highlight w:val="none"/>
          <w:lang w:val="en-US" w:eastAsia="zh-CN"/>
        </w:rPr>
      </w:pPr>
      <w:r>
        <w:rPr>
          <w:highlight w:val="none"/>
        </w:rPr>
        <w:fldChar w:fldCharType="begin"/>
      </w:r>
      <w:r>
        <w:rPr>
          <w:highlight w:val="none"/>
        </w:rPr>
        <w:instrText xml:space="preserve"> HYPERLINK \l "_Toc18368_WPSOffice_Level1" </w:instrText>
      </w:r>
      <w:r>
        <w:rPr>
          <w:highlight w:val="none"/>
        </w:rPr>
        <w:fldChar w:fldCharType="separate"/>
      </w:r>
      <w:r>
        <w:rPr>
          <w:rFonts w:hint="eastAsia" w:ascii="宋体" w:hAnsi="宋体" w:cs="宋体"/>
          <w:sz w:val="28"/>
          <w:szCs w:val="28"/>
          <w:highlight w:val="none"/>
        </w:rPr>
        <w:t>第七章  投标文件格式</w:t>
      </w:r>
      <w:r>
        <w:rPr>
          <w:sz w:val="28"/>
          <w:szCs w:val="28"/>
          <w:highlight w:val="none"/>
        </w:rPr>
        <w:tab/>
      </w:r>
      <w:r>
        <w:rPr>
          <w:rFonts w:hint="eastAsia"/>
          <w:sz w:val="28"/>
          <w:szCs w:val="28"/>
          <w:highlight w:val="none"/>
          <w:lang w:val="en-US" w:eastAsia="zh-CN"/>
        </w:rPr>
        <w:t>3</w:t>
      </w:r>
      <w:r>
        <w:rPr>
          <w:sz w:val="28"/>
          <w:szCs w:val="28"/>
          <w:highlight w:val="none"/>
        </w:rPr>
        <w:fldChar w:fldCharType="end"/>
      </w:r>
      <w:bookmarkEnd w:id="1"/>
      <w:r>
        <w:rPr>
          <w:rFonts w:hint="eastAsia"/>
          <w:sz w:val="28"/>
          <w:szCs w:val="28"/>
          <w:highlight w:val="none"/>
          <w:lang w:val="en-US" w:eastAsia="zh-CN"/>
        </w:rPr>
        <w:t>9</w:t>
      </w: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40"/>
          <w:szCs w:val="40"/>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4"/>
          <w:szCs w:val="24"/>
          <w:highlight w:val="none"/>
        </w:rPr>
      </w:pPr>
    </w:p>
    <w:p>
      <w:pPr>
        <w:rPr>
          <w:rFonts w:ascii="宋体" w:hAnsi="宋体" w:cs="宋体"/>
          <w:b/>
          <w:bCs/>
          <w:sz w:val="24"/>
          <w:szCs w:val="24"/>
          <w:highlight w:val="none"/>
        </w:rPr>
      </w:pPr>
    </w:p>
    <w:p>
      <w:pPr>
        <w:pStyle w:val="2"/>
        <w:rPr>
          <w:rFonts w:hint="default" w:cs="宋体"/>
          <w:bCs/>
          <w:sz w:val="24"/>
          <w:szCs w:val="24"/>
          <w:highlight w:val="none"/>
        </w:rPr>
      </w:pPr>
    </w:p>
    <w:p>
      <w:pPr>
        <w:rPr>
          <w:highlight w:val="none"/>
        </w:rPr>
      </w:pPr>
    </w:p>
    <w:p>
      <w:pPr>
        <w:pStyle w:val="30"/>
        <w:rPr>
          <w:rFonts w:hAnsi="宋体"/>
          <w:b/>
          <w:bCs/>
          <w:highlight w:val="none"/>
        </w:rPr>
      </w:pPr>
    </w:p>
    <w:p>
      <w:pPr>
        <w:pStyle w:val="30"/>
        <w:rPr>
          <w:rFonts w:hAnsi="宋体"/>
          <w:b/>
          <w:bCs/>
          <w:highlight w:val="none"/>
        </w:rPr>
      </w:pPr>
    </w:p>
    <w:p>
      <w:pPr>
        <w:pStyle w:val="30"/>
        <w:rPr>
          <w:rFonts w:hAnsi="宋体"/>
          <w:b/>
          <w:bCs/>
          <w:highlight w:val="none"/>
        </w:rPr>
      </w:pPr>
    </w:p>
    <w:p>
      <w:pPr>
        <w:pStyle w:val="30"/>
        <w:rPr>
          <w:rFonts w:hAnsi="宋体"/>
          <w:b/>
          <w:bCs/>
          <w:highlight w:val="none"/>
        </w:rPr>
      </w:pPr>
    </w:p>
    <w:p>
      <w:pPr>
        <w:pStyle w:val="30"/>
        <w:rPr>
          <w:rFonts w:hAnsi="宋体"/>
          <w:b/>
          <w:bCs/>
          <w:highlight w:val="none"/>
        </w:rPr>
      </w:pPr>
    </w:p>
    <w:p>
      <w:pPr>
        <w:pStyle w:val="30"/>
        <w:rPr>
          <w:rFonts w:hAnsi="宋体"/>
          <w:b/>
          <w:bCs/>
          <w:highlight w:val="none"/>
        </w:rPr>
      </w:pPr>
    </w:p>
    <w:p>
      <w:pPr>
        <w:pStyle w:val="30"/>
        <w:rPr>
          <w:rFonts w:hAnsi="宋体"/>
          <w:b/>
          <w:bCs/>
          <w:highlight w:val="none"/>
        </w:rPr>
      </w:pPr>
    </w:p>
    <w:p>
      <w:pPr>
        <w:pStyle w:val="3"/>
        <w:tabs>
          <w:tab w:val="left" w:pos="0"/>
          <w:tab w:val="left" w:pos="3165"/>
          <w:tab w:val="center" w:pos="4153"/>
        </w:tabs>
        <w:autoSpaceDE w:val="0"/>
        <w:autoSpaceDN w:val="0"/>
        <w:adjustRightInd w:val="0"/>
        <w:spacing w:before="0" w:after="0" w:line="360" w:lineRule="auto"/>
        <w:jc w:val="center"/>
        <w:rPr>
          <w:rFonts w:ascii="宋体" w:hAnsi="宋体" w:cs="宋体"/>
          <w:sz w:val="28"/>
          <w:szCs w:val="28"/>
          <w:highlight w:val="none"/>
        </w:rPr>
      </w:pPr>
      <w:bookmarkStart w:id="2" w:name="_Toc7467_WPSOffice_Level1"/>
      <w:r>
        <w:rPr>
          <w:rFonts w:hint="eastAsia" w:ascii="宋体" w:hAnsi="宋体" w:cs="宋体"/>
          <w:sz w:val="28"/>
          <w:szCs w:val="28"/>
          <w:highlight w:val="none"/>
        </w:rPr>
        <w:t>第一章 招标公告</w:t>
      </w:r>
      <w:bookmarkEnd w:id="2"/>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highlight w:val="none"/>
        </w:rPr>
      </w:pPr>
      <w:r>
        <w:rPr>
          <w:rFonts w:hint="eastAsia" w:ascii="宋体" w:hAnsi="宋体" w:cs="宋体"/>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b/>
          <w:bCs/>
          <w:sz w:val="24"/>
          <w:szCs w:val="24"/>
          <w:highlight w:val="none"/>
          <w:u w:val="single"/>
        </w:rPr>
      </w:pPr>
      <w:r>
        <w:rPr>
          <w:rFonts w:hint="eastAsia" w:ascii="宋体" w:hAnsi="宋体" w:cs="宋体"/>
          <w:color w:val="000000" w:themeColor="text1"/>
          <w:sz w:val="24"/>
          <w:szCs w:val="24"/>
          <w:highlight w:val="none"/>
          <w:u w:val="single"/>
          <w14:textFill>
            <w14:solidFill>
              <w14:schemeClr w14:val="tx1"/>
            </w14:solidFill>
          </w14:textFill>
        </w:rPr>
        <w:t>和田县一万亩补充耕地项目施工监理和审计服务采购招标（包一）</w:t>
      </w:r>
      <w:r>
        <w:rPr>
          <w:rFonts w:hint="eastAsia" w:ascii="宋体" w:hAnsi="宋体" w:cs="宋体"/>
          <w:color w:val="000000" w:themeColor="text1"/>
          <w:sz w:val="24"/>
          <w:szCs w:val="24"/>
          <w:highlight w:val="none"/>
          <w14:textFill>
            <w14:solidFill>
              <w14:schemeClr w14:val="tx1"/>
            </w14:solidFill>
          </w14:textFill>
        </w:rPr>
        <w:t>招标</w:t>
      </w:r>
      <w:r>
        <w:rPr>
          <w:rFonts w:hint="eastAsia" w:ascii="宋体" w:hAnsi="宋体" w:cs="宋体"/>
          <w:sz w:val="24"/>
          <w:szCs w:val="24"/>
          <w:highlight w:val="none"/>
        </w:rPr>
        <w:t>项目的潜在投标人应在</w:t>
      </w:r>
      <w:r>
        <w:rPr>
          <w:rFonts w:hint="eastAsia" w:ascii="宋体" w:hAnsi="宋体" w:eastAsia="宋体" w:cs="宋体"/>
          <w:sz w:val="24"/>
          <w:szCs w:val="24"/>
          <w:highlight w:val="none"/>
          <w:u w:val="single"/>
        </w:rPr>
        <w:t>新疆政府采购网http://www.ccgp-xinjiang.gov.cn/）</w:t>
      </w:r>
      <w:r>
        <w:rPr>
          <w:rFonts w:hint="eastAsia" w:ascii="宋体" w:hAnsi="宋体" w:cs="宋体"/>
          <w:sz w:val="24"/>
          <w:szCs w:val="24"/>
          <w:highlight w:val="none"/>
        </w:rPr>
        <w:t>获取招标文件，并</w:t>
      </w:r>
      <w:r>
        <w:rPr>
          <w:rFonts w:hint="eastAsia" w:ascii="宋体" w:hAnsi="宋体" w:cs="宋体"/>
          <w:color w:val="000000" w:themeColor="text1"/>
          <w:sz w:val="24"/>
          <w:szCs w:val="24"/>
          <w:highlight w:val="none"/>
          <w14:textFill>
            <w14:solidFill>
              <w14:schemeClr w14:val="tx1"/>
            </w14:solidFill>
          </w14:textFill>
        </w:rPr>
        <w:t>于</w:t>
      </w:r>
      <w:r>
        <w:rPr>
          <w:rFonts w:hint="eastAsia" w:ascii="宋体" w:hAnsi="宋体" w:cs="宋体"/>
          <w:b/>
          <w:bCs/>
          <w:color w:val="000000" w:themeColor="text1"/>
          <w:sz w:val="24"/>
          <w:szCs w:val="24"/>
          <w:highlight w:val="none"/>
          <w:u w:val="single"/>
          <w14:textFill>
            <w14:solidFill>
              <w14:schemeClr w14:val="tx1"/>
            </w14:solidFill>
          </w14:textFill>
        </w:rPr>
        <w:t>2021年10月21日11点00分</w:t>
      </w:r>
      <w:r>
        <w:rPr>
          <w:rFonts w:hint="eastAsia" w:ascii="宋体" w:hAnsi="宋体" w:cs="宋体"/>
          <w:bCs/>
          <w:color w:val="000000" w:themeColor="text1"/>
          <w:sz w:val="24"/>
          <w:szCs w:val="24"/>
          <w:highlight w:val="none"/>
          <w14:textFill>
            <w14:solidFill>
              <w14:schemeClr w14:val="tx1"/>
            </w14:solidFill>
          </w14:textFill>
        </w:rPr>
        <w:t>（北</w:t>
      </w:r>
      <w:r>
        <w:rPr>
          <w:rFonts w:hint="eastAsia" w:ascii="宋体" w:hAnsi="宋体" w:cs="宋体"/>
          <w:bCs/>
          <w:sz w:val="24"/>
          <w:szCs w:val="24"/>
          <w:highlight w:val="none"/>
        </w:rPr>
        <w:t>京时间）前递交投标文件</w:t>
      </w:r>
      <w:r>
        <w:rPr>
          <w:rFonts w:hint="eastAsia" w:ascii="宋体" w:hAnsi="宋体" w:cs="宋体"/>
          <w:sz w:val="24"/>
          <w:szCs w:val="24"/>
          <w:highlight w:val="none"/>
        </w:rPr>
        <w:t>。</w:t>
      </w:r>
    </w:p>
    <w:p>
      <w:pPr>
        <w:spacing w:line="370" w:lineRule="exact"/>
        <w:rPr>
          <w:rFonts w:ascii="宋体" w:hAnsi="宋体" w:cs="宋体"/>
          <w:b/>
          <w:bCs/>
          <w:sz w:val="24"/>
          <w:szCs w:val="24"/>
          <w:highlight w:val="none"/>
        </w:rPr>
      </w:pPr>
      <w:bookmarkStart w:id="3" w:name="_Toc28359079"/>
      <w:bookmarkStart w:id="4" w:name="_Toc35393621"/>
      <w:bookmarkStart w:id="5" w:name="_Toc28359002"/>
      <w:bookmarkStart w:id="6" w:name="_Toc35393790"/>
      <w:bookmarkStart w:id="7" w:name="_Hlk24379207"/>
      <w:r>
        <w:rPr>
          <w:rFonts w:hint="eastAsia" w:ascii="宋体" w:hAnsi="宋体" w:cs="宋体"/>
          <w:b/>
          <w:bCs/>
          <w:sz w:val="24"/>
          <w:szCs w:val="24"/>
          <w:highlight w:val="none"/>
        </w:rPr>
        <w:t>一、项目基本情况</w:t>
      </w:r>
      <w:bookmarkEnd w:id="3"/>
      <w:bookmarkEnd w:id="4"/>
      <w:bookmarkEnd w:id="5"/>
      <w:bookmarkEnd w:id="6"/>
    </w:p>
    <w:p>
      <w:pPr>
        <w:spacing w:line="370" w:lineRule="exact"/>
        <w:ind w:firstLine="480" w:firstLineChars="200"/>
        <w:rPr>
          <w:rFonts w:hint="eastAsia" w:ascii="宋体" w:hAnsi="宋体" w:eastAsia="宋体" w:cs="宋体"/>
          <w:color w:val="FF0000"/>
          <w:sz w:val="24"/>
          <w:szCs w:val="24"/>
          <w:highlight w:val="none"/>
          <w:u w:val="none"/>
          <w:lang w:val="en-US" w:eastAsia="zh-CN"/>
        </w:rPr>
      </w:pPr>
      <w:r>
        <w:rPr>
          <w:rFonts w:hint="eastAsia" w:ascii="宋体" w:hAnsi="宋体" w:cs="宋体"/>
          <w:sz w:val="24"/>
          <w:szCs w:val="24"/>
          <w:highlight w:val="none"/>
        </w:rPr>
        <w:t>项目编号</w:t>
      </w:r>
      <w:r>
        <w:rPr>
          <w:rFonts w:hint="eastAsia" w:ascii="宋体" w:hAnsi="宋体" w:cs="宋体"/>
          <w:sz w:val="24"/>
          <w:szCs w:val="24"/>
          <w:highlight w:val="none"/>
          <w:u w:val="none"/>
        </w:rPr>
        <w:t>：</w:t>
      </w:r>
      <w:r>
        <w:rPr>
          <w:rFonts w:hint="eastAsia" w:ascii="宋体" w:hAnsi="宋体" w:cs="宋体"/>
          <w:sz w:val="24"/>
          <w:szCs w:val="24"/>
          <w:highlight w:val="none"/>
          <w:u w:val="none"/>
          <w:lang w:eastAsia="zh-CN"/>
        </w:rPr>
        <w:t>HTXZFCG(2021FS)092-1</w:t>
      </w:r>
      <w:r>
        <w:rPr>
          <w:rFonts w:hint="eastAsia" w:ascii="宋体" w:hAnsi="宋体" w:cs="宋体"/>
          <w:sz w:val="24"/>
          <w:szCs w:val="24"/>
          <w:highlight w:val="none"/>
          <w:u w:val="none"/>
        </w:rPr>
        <w:t xml:space="preserve"> </w:t>
      </w:r>
      <w:r>
        <w:rPr>
          <w:rFonts w:hint="eastAsia" w:ascii="宋体" w:hAnsi="宋体" w:cs="宋体"/>
          <w:sz w:val="24"/>
          <w:szCs w:val="24"/>
          <w:highlight w:val="none"/>
          <w:u w:val="none"/>
          <w:lang w:val="en-US" w:eastAsia="zh-CN"/>
        </w:rPr>
        <w:t>号</w:t>
      </w:r>
    </w:p>
    <w:p>
      <w:pPr>
        <w:spacing w:line="370" w:lineRule="exact"/>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项目名称：</w:t>
      </w:r>
      <w:bookmarkEnd w:id="7"/>
      <w:r>
        <w:rPr>
          <w:rFonts w:hint="eastAsia" w:ascii="宋体" w:hAnsi="宋体" w:cs="宋体"/>
          <w:sz w:val="24"/>
          <w:szCs w:val="24"/>
          <w:highlight w:val="none"/>
          <w:u w:val="none"/>
        </w:rPr>
        <w:t>和田县一万亩补充耕地项目施工监理和审计服务采购招标（包一）</w:t>
      </w:r>
    </w:p>
    <w:p>
      <w:pPr>
        <w:spacing w:line="370" w:lineRule="exact"/>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预算金额：37</w:t>
      </w:r>
      <w:r>
        <w:rPr>
          <w:rFonts w:hint="eastAsia" w:ascii="宋体" w:hAnsi="宋体" w:cs="宋体"/>
          <w:sz w:val="24"/>
          <w:szCs w:val="24"/>
          <w:highlight w:val="none"/>
          <w:u w:val="none"/>
          <w:lang w:val="en-US" w:eastAsia="zh-CN"/>
        </w:rPr>
        <w:t>5000.00</w:t>
      </w:r>
      <w:r>
        <w:rPr>
          <w:rFonts w:hint="eastAsia" w:ascii="宋体" w:hAnsi="宋体" w:cs="宋体"/>
          <w:sz w:val="24"/>
          <w:szCs w:val="24"/>
          <w:highlight w:val="none"/>
          <w:u w:val="none"/>
        </w:rPr>
        <w:t>元</w:t>
      </w:r>
    </w:p>
    <w:p>
      <w:pPr>
        <w:spacing w:line="370" w:lineRule="exact"/>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最高限价：</w:t>
      </w:r>
      <w:r>
        <w:rPr>
          <w:rFonts w:hint="eastAsia" w:ascii="宋体" w:hAnsi="宋体" w:cs="宋体"/>
          <w:sz w:val="24"/>
          <w:szCs w:val="24"/>
          <w:highlight w:val="none"/>
          <w:u w:val="none"/>
          <w:lang w:val="en-US" w:eastAsia="zh-CN"/>
        </w:rPr>
        <w:t>375000.00</w:t>
      </w:r>
      <w:r>
        <w:rPr>
          <w:rFonts w:hint="eastAsia" w:ascii="宋体" w:hAnsi="宋体" w:cs="宋体"/>
          <w:sz w:val="24"/>
          <w:szCs w:val="24"/>
          <w:highlight w:val="none"/>
          <w:u w:val="none"/>
        </w:rPr>
        <w:t>元</w:t>
      </w:r>
    </w:p>
    <w:p>
      <w:pPr>
        <w:spacing w:line="370" w:lineRule="exact"/>
        <w:ind w:firstLine="480" w:firstLineChars="200"/>
        <w:rPr>
          <w:rFonts w:ascii="宋体" w:hAnsi="宋体" w:cs="宋体"/>
          <w:sz w:val="24"/>
          <w:szCs w:val="24"/>
          <w:highlight w:val="none"/>
          <w:u w:val="none"/>
        </w:rPr>
      </w:pPr>
      <w:r>
        <w:rPr>
          <w:rFonts w:hint="eastAsia" w:ascii="宋体" w:hAnsi="宋体" w:cs="宋体"/>
          <w:sz w:val="24"/>
          <w:szCs w:val="24"/>
          <w:highlight w:val="none"/>
          <w:u w:val="none"/>
        </w:rPr>
        <w:t>采购需求：和田县一万亩补充耕地项目施工监理服务（详见招标文件）。</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合同履行期限：施工期及缺陷责任期（一年）的全部监理内容</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本项目（否）接受联合体投标。</w:t>
      </w:r>
    </w:p>
    <w:p>
      <w:pPr>
        <w:spacing w:line="370" w:lineRule="exact"/>
        <w:rPr>
          <w:rFonts w:ascii="宋体" w:hAnsi="宋体" w:cs="宋体"/>
          <w:b/>
          <w:bCs/>
          <w:sz w:val="24"/>
          <w:szCs w:val="24"/>
          <w:highlight w:val="none"/>
        </w:rPr>
      </w:pPr>
      <w:bookmarkStart w:id="8" w:name="_Toc35393791"/>
      <w:bookmarkStart w:id="9" w:name="_Toc28359080"/>
      <w:bookmarkStart w:id="10" w:name="_Toc35393622"/>
      <w:bookmarkStart w:id="11" w:name="_Toc28359003"/>
      <w:r>
        <w:rPr>
          <w:rFonts w:hint="eastAsia" w:ascii="宋体" w:hAnsi="宋体" w:cs="宋体"/>
          <w:b/>
          <w:bCs/>
          <w:sz w:val="24"/>
          <w:szCs w:val="24"/>
          <w:highlight w:val="none"/>
        </w:rPr>
        <w:t>二、申请人的资格要求：</w:t>
      </w:r>
      <w:bookmarkEnd w:id="8"/>
      <w:bookmarkEnd w:id="9"/>
      <w:bookmarkEnd w:id="10"/>
      <w:bookmarkEnd w:id="11"/>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 1、供应商必须是在中华人民共和国境内注册，具有独立法人资格的企业，并且具备水利工程施工监理乙级及以上资质；</w:t>
      </w:r>
    </w:p>
    <w:p>
      <w:pPr>
        <w:spacing w:line="37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（2）总监具有全国水利工程建设监理工程师资格证书、聘用为本项目总监理工程师的聘用书或总监培训证或总监岗位证、高级及以上技术职称（水利专业）；</w:t>
      </w:r>
    </w:p>
    <w:p>
      <w:pPr>
        <w:pStyle w:val="22"/>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bookmarkStart w:id="12" w:name="_Toc35393623"/>
      <w:bookmarkStart w:id="13" w:name="_Toc35393792"/>
      <w:r>
        <w:rPr>
          <w:rFonts w:hint="eastAsia" w:ascii="宋体" w:hAnsi="宋体" w:eastAsia="宋体" w:cs="宋体"/>
          <w:kern w:val="2"/>
          <w:sz w:val="24"/>
          <w:szCs w:val="24"/>
          <w:highlight w:val="none"/>
          <w:lang w:val="en-US" w:eastAsia="zh-CN" w:bidi="ar-SA"/>
        </w:rPr>
        <w:t>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r>
        <w:rPr>
          <w:rFonts w:hint="eastAsia" w:ascii="宋体" w:hAnsi="宋体" w:cs="宋体"/>
          <w:kern w:val="2"/>
          <w:sz w:val="24"/>
          <w:szCs w:val="24"/>
          <w:highlight w:val="none"/>
          <w:lang w:val="en-US" w:eastAsia="zh-CN" w:bidi="ar-SA"/>
        </w:rPr>
        <w:t>；</w:t>
      </w:r>
    </w:p>
    <w:p>
      <w:pPr>
        <w:pStyle w:val="22"/>
        <w:ind w:firstLine="0"/>
        <w:rPr>
          <w:rFonts w:ascii="宋体" w:hAnsi="宋体" w:cs="宋体"/>
          <w:kern w:val="2"/>
          <w:sz w:val="24"/>
          <w:szCs w:val="24"/>
          <w:highlight w:val="none"/>
        </w:rPr>
      </w:pPr>
      <w:r>
        <w:rPr>
          <w:rFonts w:hint="eastAsia" w:ascii="宋体" w:hAnsi="宋体" w:cs="宋体"/>
          <w:b/>
          <w:bCs/>
          <w:sz w:val="24"/>
          <w:szCs w:val="24"/>
          <w:highlight w:val="none"/>
        </w:rPr>
        <w:t> </w:t>
      </w:r>
      <w:r>
        <w:rPr>
          <w:rFonts w:hint="eastAsia" w:ascii="宋体" w:hAnsi="宋体" w:cs="宋体"/>
          <w:kern w:val="2"/>
          <w:sz w:val="24"/>
          <w:szCs w:val="24"/>
          <w:highlight w:val="none"/>
        </w:rPr>
        <w:t xml:space="preserve">  （</w:t>
      </w:r>
      <w:r>
        <w:rPr>
          <w:rFonts w:hint="eastAsia" w:ascii="宋体" w:hAnsi="宋体" w:cs="宋体"/>
          <w:kern w:val="2"/>
          <w:sz w:val="24"/>
          <w:szCs w:val="24"/>
          <w:highlight w:val="none"/>
          <w:lang w:val="en-US" w:eastAsia="zh-CN"/>
        </w:rPr>
        <w:t>4</w:t>
      </w:r>
      <w:r>
        <w:rPr>
          <w:rFonts w:hint="eastAsia" w:ascii="宋体" w:hAnsi="宋体" w:cs="宋体"/>
          <w:kern w:val="2"/>
          <w:sz w:val="24"/>
          <w:szCs w:val="24"/>
          <w:highlight w:val="none"/>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行政处罚信息、列入经营异常名录信息、列入严重违法失信企业名单（黑名单）信息，将拒绝其参本次采购活动。</w:t>
      </w:r>
    </w:p>
    <w:p>
      <w:pPr>
        <w:pStyle w:val="22"/>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w:t>
      </w: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rPr>
        <w:t>）单位负责人为同一人或者存在直接控股、管理关系的不同投标人，不得参加同一合同项下的政府采购活动；</w:t>
      </w:r>
    </w:p>
    <w:p>
      <w:pPr>
        <w:pStyle w:val="22"/>
        <w:ind w:firstLine="480" w:firstLineChars="200"/>
        <w:rPr>
          <w:rFonts w:hint="eastAsia" w:ascii="宋体" w:hAnsi="宋体" w:cs="宋体"/>
          <w:kern w:val="2"/>
          <w:sz w:val="24"/>
          <w:szCs w:val="24"/>
          <w:highlight w:val="none"/>
        </w:rPr>
      </w:pPr>
      <w:r>
        <w:rPr>
          <w:rFonts w:hint="eastAsia" w:ascii="宋体" w:hAnsi="宋体" w:cs="宋体"/>
          <w:kern w:val="2"/>
          <w:sz w:val="24"/>
          <w:szCs w:val="24"/>
          <w:highlight w:val="none"/>
        </w:rPr>
        <w:t>（</w:t>
      </w: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rPr>
        <w:t>）本项目不接受联合体投标。</w:t>
      </w:r>
    </w:p>
    <w:p>
      <w:pPr>
        <w:pStyle w:val="22"/>
        <w:ind w:firstLine="480" w:firstLineChars="200"/>
        <w:rPr>
          <w:rFonts w:hint="eastAsia" w:ascii="宋体" w:hAnsi="宋体" w:cs="宋体"/>
          <w:kern w:val="2"/>
          <w:sz w:val="24"/>
          <w:szCs w:val="24"/>
          <w:highlight w:val="none"/>
        </w:rPr>
      </w:pPr>
    </w:p>
    <w:p>
      <w:pPr>
        <w:pStyle w:val="22"/>
        <w:ind w:firstLine="480" w:firstLineChars="200"/>
        <w:rPr>
          <w:rFonts w:hint="eastAsia" w:ascii="宋体" w:hAnsi="宋体" w:cs="宋体"/>
          <w:kern w:val="2"/>
          <w:sz w:val="24"/>
          <w:szCs w:val="24"/>
          <w:highlight w:val="none"/>
        </w:rPr>
      </w:pPr>
    </w:p>
    <w:p>
      <w:pPr>
        <w:pStyle w:val="22"/>
        <w:ind w:firstLine="480" w:firstLineChars="200"/>
        <w:rPr>
          <w:rFonts w:hint="eastAsia" w:ascii="宋体" w:hAnsi="宋体" w:cs="宋体"/>
          <w:kern w:val="2"/>
          <w:sz w:val="24"/>
          <w:szCs w:val="24"/>
          <w:highlight w:val="none"/>
        </w:rPr>
      </w:pPr>
    </w:p>
    <w:p>
      <w:pPr>
        <w:pStyle w:val="22"/>
        <w:ind w:firstLine="480" w:firstLineChars="200"/>
        <w:rPr>
          <w:rFonts w:hint="eastAsia" w:ascii="宋体" w:hAnsi="宋体" w:cs="宋体"/>
          <w:kern w:val="2"/>
          <w:sz w:val="24"/>
          <w:szCs w:val="24"/>
          <w:highlight w:val="none"/>
        </w:rPr>
      </w:pPr>
    </w:p>
    <w:p>
      <w:pPr>
        <w:pStyle w:val="22"/>
        <w:ind w:firstLine="0"/>
        <w:rPr>
          <w:rFonts w:hint="eastAsia" w:ascii="宋体" w:hAnsi="宋体" w:cs="宋体"/>
          <w:b/>
          <w:bCs/>
          <w:sz w:val="24"/>
          <w:szCs w:val="24"/>
          <w:highlight w:val="none"/>
        </w:rPr>
      </w:pPr>
      <w:r>
        <w:rPr>
          <w:rFonts w:hint="eastAsia" w:ascii="宋体" w:hAnsi="宋体" w:cs="宋体"/>
          <w:b/>
          <w:bCs/>
          <w:sz w:val="24"/>
          <w:szCs w:val="24"/>
          <w:highlight w:val="none"/>
        </w:rPr>
        <w:t>四、获取招标文件</w:t>
      </w:r>
      <w:bookmarkEnd w:id="12"/>
      <w:bookmarkEnd w:id="13"/>
    </w:p>
    <w:p>
      <w:pPr>
        <w:pStyle w:val="22"/>
        <w:ind w:firstLine="0"/>
        <w:rPr>
          <w:rFonts w:hint="eastAsia" w:ascii="宋体" w:hAnsi="宋体" w:cs="宋体"/>
          <w:b/>
          <w:bCs/>
          <w:sz w:val="24"/>
          <w:szCs w:val="24"/>
          <w:highlight w:val="none"/>
        </w:rPr>
      </w:pPr>
    </w:p>
    <w:p>
      <w:pPr>
        <w:spacing w:line="370" w:lineRule="exact"/>
        <w:ind w:firstLine="482" w:firstLineChars="20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时间：2021年</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日至2021 年</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20</w:t>
      </w:r>
      <w:r>
        <w:rPr>
          <w:rFonts w:hint="eastAsia" w:ascii="宋体" w:hAnsi="宋体" w:cs="宋体"/>
          <w:b/>
          <w:bCs/>
          <w:color w:val="000000" w:themeColor="text1"/>
          <w:sz w:val="24"/>
          <w:szCs w:val="24"/>
          <w:highlight w:val="none"/>
          <w14:textFill>
            <w14:solidFill>
              <w14:schemeClr w14:val="tx1"/>
            </w14:solidFill>
          </w14:textFill>
        </w:rPr>
        <w:t>日，每天上午</w:t>
      </w:r>
      <w:r>
        <w:rPr>
          <w:rFonts w:hint="eastAsia" w:ascii="宋体" w:hAnsi="宋体" w:cs="宋体"/>
          <w:b/>
          <w:bCs/>
          <w:color w:val="000000" w:themeColor="text1"/>
          <w:sz w:val="24"/>
          <w:szCs w:val="24"/>
          <w:highlight w:val="none"/>
          <w:lang w:val="en-US" w:eastAsia="zh-CN"/>
          <w14:textFill>
            <w14:solidFill>
              <w14:schemeClr w14:val="tx1"/>
            </w14:solidFill>
          </w14:textFill>
        </w:rPr>
        <w:t>00:00</w:t>
      </w:r>
      <w:r>
        <w:rPr>
          <w:rFonts w:hint="eastAsia" w:ascii="宋体" w:hAnsi="宋体" w:cs="宋体"/>
          <w:b/>
          <w:bCs/>
          <w:color w:val="000000" w:themeColor="text1"/>
          <w:sz w:val="24"/>
          <w:szCs w:val="24"/>
          <w:highlight w:val="none"/>
          <w14:textFill>
            <w14:solidFill>
              <w14:schemeClr w14:val="tx1"/>
            </w14:solidFill>
          </w14:textFill>
        </w:rPr>
        <w:t>至</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cs="宋体"/>
          <w:b/>
          <w:bCs/>
          <w:color w:val="000000" w:themeColor="text1"/>
          <w:sz w:val="24"/>
          <w:szCs w:val="24"/>
          <w:highlight w:val="none"/>
          <w14:textFill>
            <w14:solidFill>
              <w14:schemeClr w14:val="tx1"/>
            </w14:solidFill>
          </w14:textFill>
        </w:rPr>
        <w:t>:00，下午</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cs="宋体"/>
          <w:b/>
          <w:bCs/>
          <w:color w:val="000000" w:themeColor="text1"/>
          <w:sz w:val="24"/>
          <w:szCs w:val="24"/>
          <w:highlight w:val="none"/>
          <w14:textFill>
            <w14:solidFill>
              <w14:schemeClr w14:val="tx1"/>
            </w14:solidFill>
          </w14:textFill>
        </w:rPr>
        <w:t>:00至2</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59</w:t>
      </w:r>
    </w:p>
    <w:p>
      <w:pPr>
        <w:spacing w:line="37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w:t>
      </w:r>
      <w:r>
        <w:rPr>
          <w:rFonts w:hint="eastAsia" w:ascii="宋体" w:hAnsi="宋体" w:cs="宋体"/>
          <w:color w:val="000000" w:themeColor="text1"/>
          <w:sz w:val="24"/>
          <w:szCs w:val="24"/>
          <w:highlight w:val="none"/>
          <w:lang w:val="en-US" w:eastAsia="zh-CN"/>
          <w14:textFill>
            <w14:solidFill>
              <w14:schemeClr w14:val="tx1"/>
            </w14:solidFill>
          </w14:textFill>
        </w:rPr>
        <w:t>新疆政府采购网</w:t>
      </w:r>
      <w:r>
        <w:rPr>
          <w:rFonts w:hint="eastAsia" w:ascii="宋体" w:hAnsi="宋体" w:cs="宋体"/>
          <w:color w:val="000000" w:themeColor="text1"/>
          <w:sz w:val="24"/>
          <w:szCs w:val="24"/>
          <w:highlight w:val="none"/>
          <w14:textFill>
            <w14:solidFill>
              <w14:schemeClr w14:val="tx1"/>
            </w14:solidFill>
          </w14:textFill>
        </w:rPr>
        <w:t>（https://www.zcygov.cn/）线上获取</w:t>
      </w:r>
    </w:p>
    <w:p>
      <w:pPr>
        <w:spacing w:line="370" w:lineRule="exact"/>
        <w:ind w:firstLine="480" w:firstLineChars="200"/>
        <w:rPr>
          <w:rFonts w:hint="eastAsia" w:ascii="宋体" w:hAnsi="宋体" w:cs="宋体"/>
          <w:b/>
          <w:bCs/>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方式：投标人登陆政采云平台https://www.zcygov.cn/在线申请获取采购文件（进入“项目采购”应用，在获取采购文件菜单中选择项目，申请获取采购文件）</w:t>
      </w:r>
    </w:p>
    <w:p>
      <w:pPr>
        <w:spacing w:line="370" w:lineRule="exact"/>
        <w:rPr>
          <w:rFonts w:ascii="宋体" w:hAnsi="宋体" w:cs="宋体"/>
          <w:b/>
          <w:bCs/>
          <w:color w:val="000000" w:themeColor="text1"/>
          <w:sz w:val="24"/>
          <w:szCs w:val="24"/>
          <w:highlight w:val="none"/>
          <w14:textFill>
            <w14:solidFill>
              <w14:schemeClr w14:val="tx1"/>
            </w14:solidFill>
          </w14:textFill>
        </w:rPr>
      </w:pPr>
      <w:bookmarkStart w:id="14" w:name="_Toc28359005"/>
      <w:bookmarkStart w:id="15" w:name="_Toc28359082"/>
      <w:bookmarkStart w:id="16" w:name="_Toc35393624"/>
      <w:bookmarkStart w:id="17" w:name="_Toc35393793"/>
      <w:r>
        <w:rPr>
          <w:rFonts w:hint="eastAsia" w:ascii="宋体" w:hAnsi="宋体" w:cs="宋体"/>
          <w:b/>
          <w:bCs/>
          <w:color w:val="000000" w:themeColor="text1"/>
          <w:sz w:val="24"/>
          <w:szCs w:val="24"/>
          <w:highlight w:val="none"/>
          <w14:textFill>
            <w14:solidFill>
              <w14:schemeClr w14:val="tx1"/>
            </w14:solidFill>
          </w14:textFill>
        </w:rPr>
        <w:t>五、提交投标文件</w:t>
      </w:r>
      <w:bookmarkEnd w:id="14"/>
      <w:bookmarkEnd w:id="15"/>
      <w:r>
        <w:rPr>
          <w:rFonts w:hint="eastAsia" w:ascii="宋体" w:hAnsi="宋体" w:cs="宋体"/>
          <w:b/>
          <w:bCs/>
          <w:color w:val="000000" w:themeColor="text1"/>
          <w:sz w:val="24"/>
          <w:szCs w:val="24"/>
          <w:highlight w:val="none"/>
          <w14:textFill>
            <w14:solidFill>
              <w14:schemeClr w14:val="tx1"/>
            </w14:solidFill>
          </w14:textFill>
        </w:rPr>
        <w:t>截止时间、开标时间和地点</w:t>
      </w:r>
      <w:bookmarkEnd w:id="16"/>
      <w:bookmarkEnd w:id="17"/>
    </w:p>
    <w:p>
      <w:pPr>
        <w:spacing w:line="370" w:lineRule="exact"/>
        <w:ind w:firstLine="480" w:firstLineChars="200"/>
        <w:rPr>
          <w:rFonts w:ascii="宋体" w:hAnsi="宋体" w:cs="宋体"/>
          <w:sz w:val="24"/>
          <w:szCs w:val="24"/>
          <w:highlight w:val="none"/>
        </w:rPr>
      </w:pPr>
      <w:bookmarkStart w:id="18" w:name="_Toc28359007"/>
      <w:bookmarkStart w:id="19" w:name="_Toc28359084"/>
      <w:bookmarkStart w:id="20" w:name="_Toc35393625"/>
      <w:bookmarkStart w:id="21" w:name="_Toc35393794"/>
      <w:r>
        <w:rPr>
          <w:rFonts w:hint="eastAsia" w:ascii="宋体" w:hAnsi="宋体" w:cs="宋体"/>
          <w:sz w:val="24"/>
          <w:szCs w:val="24"/>
          <w:highlight w:val="none"/>
        </w:rPr>
        <w:t>提交投标文件截止时间：2021年10月21日 11:00（北京时间）</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投标地点：和田县公共资源交易中心（和田县经济新区昌盛路）</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开标时间：2021年10月21日 11:00（北京时间）</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开标地点：和田县公共资源交易中心（和田县经济新区昌盛路）</w:t>
      </w:r>
    </w:p>
    <w:p>
      <w:pPr>
        <w:spacing w:line="370" w:lineRule="exact"/>
        <w:rPr>
          <w:rFonts w:ascii="宋体" w:hAnsi="宋体" w:cs="宋体"/>
          <w:b/>
          <w:bCs/>
          <w:sz w:val="24"/>
          <w:szCs w:val="24"/>
          <w:highlight w:val="none"/>
        </w:rPr>
      </w:pPr>
      <w:r>
        <w:rPr>
          <w:rFonts w:hint="eastAsia" w:ascii="宋体" w:hAnsi="宋体" w:cs="宋体"/>
          <w:b/>
          <w:bCs/>
          <w:sz w:val="24"/>
          <w:szCs w:val="24"/>
          <w:highlight w:val="none"/>
        </w:rPr>
        <w:t>六、公告期限</w:t>
      </w:r>
      <w:bookmarkEnd w:id="18"/>
      <w:bookmarkEnd w:id="19"/>
      <w:bookmarkEnd w:id="20"/>
      <w:bookmarkEnd w:id="21"/>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自本公告发布之日起5个工作日。</w:t>
      </w:r>
    </w:p>
    <w:p>
      <w:pPr>
        <w:spacing w:line="370" w:lineRule="exact"/>
        <w:rPr>
          <w:rFonts w:ascii="宋体" w:hAnsi="宋体" w:cs="宋体"/>
          <w:b/>
          <w:bCs/>
          <w:sz w:val="24"/>
          <w:szCs w:val="24"/>
          <w:highlight w:val="none"/>
        </w:rPr>
      </w:pPr>
      <w:bookmarkStart w:id="22" w:name="_Toc28359008"/>
      <w:bookmarkStart w:id="23" w:name="_Toc28359085"/>
      <w:bookmarkStart w:id="24" w:name="_Toc35393627"/>
      <w:bookmarkStart w:id="25" w:name="_Toc35393796"/>
      <w:r>
        <w:rPr>
          <w:rFonts w:hint="eastAsia" w:ascii="宋体" w:hAnsi="宋体" w:cs="宋体"/>
          <w:b/>
          <w:bCs/>
          <w:sz w:val="24"/>
          <w:szCs w:val="24"/>
          <w:highlight w:val="none"/>
        </w:rPr>
        <w:t>七、对本次招标提出询问，请按以下方式联系。</w:t>
      </w:r>
      <w:bookmarkEnd w:id="22"/>
      <w:bookmarkEnd w:id="23"/>
      <w:bookmarkEnd w:id="24"/>
      <w:bookmarkEnd w:id="25"/>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1、名 称：和田县自然资源局</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址：和田县</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联系方式：13999654284</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2.采购代理机构信息</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名 称：新疆新建联项目管理咨询有限公司</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址：和田市纳瓦格路157号</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联系方式：18139180085</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3.项目联系方式</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项目联系人：王磊</w:t>
      </w:r>
    </w:p>
    <w:p>
      <w:pPr>
        <w:spacing w:line="370" w:lineRule="exact"/>
        <w:ind w:firstLine="480" w:firstLineChars="200"/>
        <w:rPr>
          <w:rFonts w:ascii="宋体" w:hAnsi="宋体" w:cs="宋体"/>
          <w:sz w:val="24"/>
          <w:szCs w:val="24"/>
          <w:highlight w:val="none"/>
        </w:rPr>
      </w:pPr>
      <w:r>
        <w:rPr>
          <w:rFonts w:hint="eastAsia" w:ascii="宋体" w:hAnsi="宋体" w:cs="宋体"/>
          <w:sz w:val="24"/>
          <w:szCs w:val="24"/>
          <w:highlight w:val="none"/>
        </w:rPr>
        <w:t>电 话：18139180085</w:t>
      </w: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widowControl/>
        <w:spacing w:line="320" w:lineRule="exact"/>
        <w:ind w:firstLine="1928" w:firstLineChars="600"/>
        <w:rPr>
          <w:rFonts w:ascii="宋体" w:hAnsi="宋体" w:cs="宋体"/>
          <w:b/>
          <w:sz w:val="32"/>
          <w:szCs w:val="32"/>
          <w:highlight w:val="none"/>
        </w:rPr>
      </w:pPr>
      <w:bookmarkStart w:id="26" w:name="_Toc10829_WPSOffice_Level1"/>
      <w:r>
        <w:rPr>
          <w:rFonts w:hint="eastAsia" w:ascii="宋体" w:hAnsi="宋体" w:cs="宋体"/>
          <w:b/>
          <w:sz w:val="32"/>
          <w:szCs w:val="32"/>
          <w:highlight w:val="none"/>
        </w:rPr>
        <w:t>第二章  投标人须知前附表</w:t>
      </w:r>
      <w:bookmarkEnd w:id="26"/>
    </w:p>
    <w:tbl>
      <w:tblPr>
        <w:tblStyle w:val="24"/>
        <w:tblW w:w="99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530"/>
        <w:gridCol w:w="7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32" w:type="dxa"/>
            <w:tcBorders>
              <w:top w:val="single" w:color="auto" w:sz="12" w:space="0"/>
            </w:tcBorders>
            <w:vAlign w:val="center"/>
          </w:tcPr>
          <w:p>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序号</w:t>
            </w:r>
          </w:p>
        </w:tc>
        <w:tc>
          <w:tcPr>
            <w:tcW w:w="1530" w:type="dxa"/>
            <w:tcBorders>
              <w:top w:val="single" w:color="auto" w:sz="12" w:space="0"/>
              <w:right w:val="single" w:color="auto" w:sz="4" w:space="0"/>
            </w:tcBorders>
            <w:vAlign w:val="center"/>
          </w:tcPr>
          <w:p>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条款名称</w:t>
            </w:r>
          </w:p>
        </w:tc>
        <w:tc>
          <w:tcPr>
            <w:tcW w:w="7611" w:type="dxa"/>
            <w:tcBorders>
              <w:top w:val="single" w:color="auto" w:sz="12" w:space="0"/>
              <w:left w:val="single" w:color="auto" w:sz="4" w:space="0"/>
            </w:tcBorders>
            <w:vAlign w:val="center"/>
          </w:tcPr>
          <w:p>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1530" w:type="dxa"/>
            <w:tcBorders>
              <w:right w:val="single" w:color="auto" w:sz="4" w:space="0"/>
            </w:tcBorders>
            <w:vAlign w:val="center"/>
          </w:tcPr>
          <w:p>
            <w:pPr>
              <w:spacing w:before="24" w:beforeLines="10" w:after="24" w:afterLines="10" w:line="36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7611" w:type="dxa"/>
            <w:tcBorders>
              <w:left w:val="single" w:color="auto" w:sz="4" w:space="0"/>
            </w:tcBorders>
            <w:vAlign w:val="center"/>
          </w:tcPr>
          <w:p>
            <w:pPr>
              <w:spacing w:before="24" w:beforeLines="10" w:after="24" w:afterLines="10" w:line="400" w:lineRule="exact"/>
              <w:rPr>
                <w:rFonts w:ascii="宋体" w:hAnsi="宋体" w:cs="宋体"/>
                <w:kern w:val="0"/>
                <w:sz w:val="24"/>
                <w:highlight w:val="none"/>
              </w:rPr>
            </w:pPr>
            <w:r>
              <w:rPr>
                <w:rFonts w:hint="eastAsia" w:ascii="宋体" w:hAnsi="宋体" w:cs="宋体"/>
                <w:kern w:val="0"/>
                <w:sz w:val="24"/>
                <w:highlight w:val="none"/>
              </w:rPr>
              <w:t>名  称：</w:t>
            </w:r>
            <w:r>
              <w:rPr>
                <w:rFonts w:hint="eastAsia" w:ascii="宋体" w:hAnsi="宋体" w:cs="宋体"/>
                <w:kern w:val="0"/>
                <w:sz w:val="24"/>
                <w:highlight w:val="none"/>
                <w:lang w:val="zh-CN"/>
              </w:rPr>
              <w:t>和田县自然资源局</w:t>
            </w:r>
          </w:p>
          <w:p>
            <w:pPr>
              <w:spacing w:before="24" w:beforeLines="10" w:after="24" w:afterLines="10" w:line="400" w:lineRule="exact"/>
              <w:rPr>
                <w:rFonts w:ascii="宋体" w:hAnsi="宋体" w:cs="宋体"/>
                <w:kern w:val="0"/>
                <w:sz w:val="24"/>
                <w:highlight w:val="none"/>
              </w:rPr>
            </w:pPr>
            <w:r>
              <w:rPr>
                <w:rFonts w:hint="eastAsia" w:ascii="宋体" w:hAnsi="宋体" w:cs="宋体"/>
                <w:kern w:val="0"/>
                <w:sz w:val="24"/>
                <w:highlight w:val="none"/>
              </w:rPr>
              <w:t>联系人: 克尤木</w:t>
            </w:r>
          </w:p>
          <w:p>
            <w:pPr>
              <w:spacing w:before="24" w:beforeLines="10" w:after="24" w:afterLines="10" w:line="400" w:lineRule="exact"/>
              <w:rPr>
                <w:rFonts w:ascii="宋体" w:hAnsi="宋体" w:cs="宋体"/>
                <w:sz w:val="24"/>
                <w:szCs w:val="24"/>
                <w:highlight w:val="none"/>
              </w:rPr>
            </w:pPr>
            <w:r>
              <w:rPr>
                <w:rFonts w:hint="eastAsia" w:ascii="宋体" w:hAnsi="宋体" w:cs="宋体"/>
                <w:kern w:val="0"/>
                <w:sz w:val="24"/>
                <w:highlight w:val="none"/>
              </w:rPr>
              <w:t>电  话：13999654284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2</w:t>
            </w:r>
          </w:p>
        </w:tc>
        <w:tc>
          <w:tcPr>
            <w:tcW w:w="1530" w:type="dxa"/>
            <w:tcBorders>
              <w:right w:val="single" w:color="auto" w:sz="4" w:space="0"/>
            </w:tcBorders>
            <w:vAlign w:val="center"/>
          </w:tcPr>
          <w:p>
            <w:pPr>
              <w:spacing w:before="24" w:beforeLines="10" w:after="24" w:afterLines="10" w:line="360" w:lineRule="exact"/>
              <w:jc w:val="center"/>
              <w:rPr>
                <w:rFonts w:ascii="宋体" w:hAnsi="宋体" w:cs="宋体"/>
                <w:sz w:val="24"/>
                <w:szCs w:val="24"/>
                <w:highlight w:val="none"/>
              </w:rPr>
            </w:pPr>
            <w:r>
              <w:rPr>
                <w:rFonts w:hint="eastAsia" w:ascii="宋体" w:hAnsi="宋体" w:cs="宋体"/>
                <w:sz w:val="24"/>
                <w:szCs w:val="24"/>
                <w:highlight w:val="none"/>
              </w:rPr>
              <w:t>代理机构</w:t>
            </w:r>
          </w:p>
        </w:tc>
        <w:tc>
          <w:tcPr>
            <w:tcW w:w="7611" w:type="dxa"/>
            <w:tcBorders>
              <w:left w:val="single" w:color="auto" w:sz="4" w:space="0"/>
            </w:tcBorders>
            <w:vAlign w:val="center"/>
          </w:tcPr>
          <w:p>
            <w:pPr>
              <w:spacing w:before="24" w:beforeLines="10" w:after="24" w:afterLines="10" w:line="400" w:lineRule="exact"/>
              <w:rPr>
                <w:rFonts w:ascii="宋体" w:hAnsi="宋体" w:cs="宋体"/>
                <w:sz w:val="24"/>
                <w:highlight w:val="none"/>
              </w:rPr>
            </w:pPr>
            <w:r>
              <w:rPr>
                <w:rFonts w:hint="eastAsia" w:ascii="宋体" w:hAnsi="宋体" w:cs="宋体"/>
                <w:sz w:val="24"/>
                <w:highlight w:val="none"/>
              </w:rPr>
              <w:t>名  称：新疆新建联项目管理咨询有限公司</w:t>
            </w:r>
          </w:p>
          <w:p>
            <w:pPr>
              <w:spacing w:before="24" w:beforeLines="10" w:after="24" w:afterLines="10" w:line="400" w:lineRule="exac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lang w:val="zh-CN"/>
              </w:rPr>
              <w:t>和田市纳瓦格路157号</w:t>
            </w:r>
          </w:p>
          <w:p>
            <w:pPr>
              <w:spacing w:before="24" w:beforeLines="10" w:after="24" w:afterLines="10" w:line="400" w:lineRule="exact"/>
              <w:rPr>
                <w:rFonts w:ascii="宋体" w:hAnsi="宋体" w:cs="宋体"/>
                <w:sz w:val="24"/>
                <w:highlight w:val="none"/>
              </w:rPr>
            </w:pPr>
            <w:r>
              <w:rPr>
                <w:rFonts w:hint="eastAsia" w:ascii="宋体" w:hAnsi="宋体" w:cs="宋体"/>
                <w:sz w:val="24"/>
                <w:highlight w:val="none"/>
              </w:rPr>
              <w:t>联系人：王磊</w:t>
            </w:r>
          </w:p>
          <w:p>
            <w:pPr>
              <w:spacing w:before="24" w:beforeLines="10" w:after="24" w:afterLines="10" w:line="400" w:lineRule="exact"/>
              <w:rPr>
                <w:rFonts w:ascii="宋体" w:hAnsi="宋体" w:cs="宋体"/>
                <w:sz w:val="24"/>
                <w:szCs w:val="24"/>
                <w:highlight w:val="none"/>
              </w:rPr>
            </w:pPr>
            <w:r>
              <w:rPr>
                <w:rFonts w:hint="eastAsia" w:ascii="宋体" w:hAnsi="宋体" w:cs="宋体"/>
                <w:sz w:val="24"/>
                <w:highlight w:val="none"/>
              </w:rPr>
              <w:t>电  话：18139180085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1530" w:type="dxa"/>
            <w:tcBorders>
              <w:right w:val="single" w:color="auto" w:sz="4" w:space="0"/>
            </w:tcBorders>
            <w:vAlign w:val="center"/>
          </w:tcPr>
          <w:p>
            <w:pPr>
              <w:spacing w:line="370" w:lineRule="exact"/>
              <w:jc w:val="center"/>
              <w:rPr>
                <w:rFonts w:ascii="宋体" w:hAnsi="宋体" w:cs="宋体"/>
                <w:sz w:val="24"/>
                <w:szCs w:val="24"/>
                <w:highlight w:val="none"/>
              </w:rPr>
            </w:pPr>
            <w:r>
              <w:rPr>
                <w:rFonts w:hint="eastAsia" w:ascii="宋体" w:hAnsi="宋体" w:cs="宋体"/>
                <w:sz w:val="24"/>
                <w:szCs w:val="24"/>
                <w:highlight w:val="none"/>
              </w:rPr>
              <w:t>采购项目名称</w:t>
            </w:r>
          </w:p>
        </w:tc>
        <w:tc>
          <w:tcPr>
            <w:tcW w:w="7611" w:type="dxa"/>
            <w:tcBorders>
              <w:left w:val="single" w:color="auto" w:sz="4" w:space="0"/>
            </w:tcBorders>
            <w:vAlign w:val="center"/>
          </w:tcPr>
          <w:p>
            <w:pPr>
              <w:spacing w:line="370" w:lineRule="exact"/>
              <w:rPr>
                <w:rFonts w:ascii="宋体" w:hAnsi="宋体" w:cs="宋体"/>
                <w:sz w:val="24"/>
                <w:szCs w:val="24"/>
                <w:highlight w:val="none"/>
              </w:rPr>
            </w:pPr>
            <w:r>
              <w:rPr>
                <w:rFonts w:hint="eastAsia" w:ascii="宋体" w:hAnsi="宋体" w:cs="宋体"/>
                <w:sz w:val="24"/>
                <w:szCs w:val="24"/>
                <w:highlight w:val="none"/>
              </w:rPr>
              <w:t>和田县一万亩补充耕地项目施工监理和审计服务采购招标（包一）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1530" w:type="dxa"/>
            <w:tcBorders>
              <w:right w:val="single" w:color="auto" w:sz="4" w:space="0"/>
            </w:tcBorders>
            <w:vAlign w:val="center"/>
          </w:tcPr>
          <w:p>
            <w:pPr>
              <w:spacing w:line="370" w:lineRule="exact"/>
              <w:jc w:val="center"/>
              <w:rPr>
                <w:rFonts w:ascii="宋体" w:hAnsi="宋体" w:cs="宋体"/>
                <w:sz w:val="24"/>
                <w:szCs w:val="24"/>
                <w:highlight w:val="none"/>
              </w:rPr>
            </w:pPr>
            <w:r>
              <w:rPr>
                <w:rFonts w:hint="eastAsia" w:ascii="宋体" w:hAnsi="宋体" w:cs="宋体"/>
                <w:sz w:val="24"/>
                <w:szCs w:val="24"/>
                <w:highlight w:val="none"/>
              </w:rPr>
              <w:t>采购内容</w:t>
            </w:r>
          </w:p>
        </w:tc>
        <w:tc>
          <w:tcPr>
            <w:tcW w:w="7611" w:type="dxa"/>
            <w:tcBorders>
              <w:left w:val="single" w:color="auto" w:sz="4" w:space="0"/>
            </w:tcBorders>
            <w:vAlign w:val="center"/>
          </w:tcPr>
          <w:p>
            <w:pPr>
              <w:spacing w:line="370" w:lineRule="exact"/>
              <w:rPr>
                <w:rFonts w:ascii="宋体" w:hAnsi="宋体" w:cs="宋体"/>
                <w:sz w:val="24"/>
                <w:szCs w:val="24"/>
                <w:highlight w:val="none"/>
              </w:rPr>
            </w:pPr>
            <w:r>
              <w:rPr>
                <w:rFonts w:hint="eastAsia" w:ascii="宋体" w:hAnsi="宋体" w:cs="宋体"/>
                <w:sz w:val="24"/>
                <w:szCs w:val="24"/>
                <w:highlight w:val="none"/>
              </w:rPr>
              <w:t>和田县一万亩补充耕地项目施工监理服务（详见第五章技术要求）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1530" w:type="dxa"/>
            <w:tcBorders>
              <w:right w:val="single" w:color="auto" w:sz="4" w:space="0"/>
            </w:tcBorders>
            <w:vAlign w:val="center"/>
          </w:tcPr>
          <w:p>
            <w:pPr>
              <w:spacing w:line="370" w:lineRule="exact"/>
              <w:jc w:val="center"/>
              <w:rPr>
                <w:rFonts w:ascii="宋体" w:hAnsi="宋体" w:cs="宋体"/>
                <w:sz w:val="24"/>
                <w:szCs w:val="24"/>
                <w:highlight w:val="none"/>
              </w:rPr>
            </w:pPr>
            <w:r>
              <w:rPr>
                <w:rFonts w:hint="eastAsia" w:ascii="宋体" w:hAnsi="宋体" w:cs="宋体"/>
                <w:sz w:val="24"/>
                <w:szCs w:val="24"/>
                <w:highlight w:val="none"/>
              </w:rPr>
              <w:t>资金来源</w:t>
            </w:r>
          </w:p>
        </w:tc>
        <w:tc>
          <w:tcPr>
            <w:tcW w:w="7611" w:type="dxa"/>
            <w:tcBorders>
              <w:left w:val="single" w:color="auto" w:sz="4" w:space="0"/>
            </w:tcBorders>
            <w:vAlign w:val="center"/>
          </w:tcPr>
          <w:p>
            <w:pPr>
              <w:spacing w:line="370" w:lineRule="exact"/>
              <w:rPr>
                <w:rFonts w:ascii="宋体" w:hAnsi="宋体" w:cs="宋体"/>
                <w:sz w:val="24"/>
                <w:szCs w:val="24"/>
                <w:highlight w:val="none"/>
              </w:rPr>
            </w:pPr>
            <w:r>
              <w:rPr>
                <w:rFonts w:hint="eastAsia" w:ascii="宋体" w:hAnsi="宋体" w:cs="宋体"/>
                <w:sz w:val="24"/>
                <w:szCs w:val="24"/>
                <w:highlight w:val="none"/>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1530" w:type="dxa"/>
            <w:tcBorders>
              <w:right w:val="single" w:color="auto" w:sz="4" w:space="0"/>
            </w:tcBorders>
            <w:vAlign w:val="center"/>
          </w:tcPr>
          <w:p>
            <w:pPr>
              <w:tabs>
                <w:tab w:val="left" w:pos="900"/>
              </w:tabs>
              <w:spacing w:before="24" w:beforeLines="10" w:after="24" w:afterLines="10" w:line="360" w:lineRule="exact"/>
              <w:jc w:val="center"/>
              <w:rPr>
                <w:rFonts w:ascii="宋体" w:hAnsi="宋体" w:cs="宋体"/>
                <w:sz w:val="24"/>
                <w:szCs w:val="24"/>
                <w:highlight w:val="none"/>
              </w:rPr>
            </w:pPr>
            <w:r>
              <w:rPr>
                <w:rFonts w:hint="eastAsia" w:ascii="宋体" w:hAnsi="宋体" w:cs="宋体"/>
                <w:kern w:val="0"/>
                <w:sz w:val="24"/>
                <w:szCs w:val="24"/>
                <w:highlight w:val="none"/>
              </w:rPr>
              <w:t>采购预算价</w:t>
            </w:r>
          </w:p>
        </w:tc>
        <w:tc>
          <w:tcPr>
            <w:tcW w:w="7611" w:type="dxa"/>
            <w:tcBorders>
              <w:left w:val="single" w:color="auto" w:sz="4" w:space="0"/>
            </w:tcBorders>
            <w:vAlign w:val="center"/>
          </w:tcPr>
          <w:p>
            <w:pPr>
              <w:tabs>
                <w:tab w:val="left" w:pos="900"/>
              </w:tabs>
              <w:spacing w:before="24" w:beforeLines="10" w:after="24" w:afterLines="10" w:line="360" w:lineRule="exact"/>
              <w:rPr>
                <w:rFonts w:ascii="宋体" w:hAnsi="宋体" w:cs="宋体"/>
                <w:sz w:val="24"/>
                <w:szCs w:val="24"/>
                <w:highlight w:val="none"/>
              </w:rPr>
            </w:pPr>
            <w:r>
              <w:rPr>
                <w:rFonts w:hint="eastAsia" w:ascii="宋体" w:hAnsi="宋体" w:cs="宋体"/>
                <w:sz w:val="24"/>
                <w:szCs w:val="24"/>
                <w:highlight w:val="none"/>
              </w:rPr>
              <w:t>37.5万元</w:t>
            </w:r>
            <w:r>
              <w:rPr>
                <w:rFonts w:hint="eastAsia" w:ascii="宋体" w:hAnsi="宋体" w:cs="宋体"/>
                <w:bCs/>
                <w:kern w:val="0"/>
                <w:sz w:val="24"/>
                <w:szCs w:val="24"/>
                <w:highlight w:val="none"/>
              </w:rPr>
              <w:t>（此采购金额为最高限价，如超过预算价的报价为无效报价）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u w:val="single"/>
              </w:rPr>
            </w:pPr>
            <w:r>
              <w:rPr>
                <w:rFonts w:hint="eastAsia" w:ascii="宋体" w:hAnsi="宋体" w:cs="宋体"/>
                <w:kern w:val="0"/>
                <w:sz w:val="24"/>
                <w:szCs w:val="24"/>
                <w:highlight w:val="none"/>
              </w:rPr>
              <w:t>采购方式</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u w:val="single"/>
              </w:rPr>
            </w:pPr>
            <w:r>
              <w:rPr>
                <w:rFonts w:hint="eastAsia" w:ascii="宋体" w:hAnsi="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评标方法</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服务周期</w:t>
            </w:r>
          </w:p>
        </w:tc>
        <w:tc>
          <w:tcPr>
            <w:tcW w:w="7611" w:type="dxa"/>
            <w:tcBorders>
              <w:left w:val="single" w:color="auto" w:sz="4" w:space="0"/>
            </w:tcBorders>
            <w:vAlign w:val="center"/>
          </w:tcPr>
          <w:p>
            <w:pPr>
              <w:spacing w:line="360" w:lineRule="exact"/>
              <w:rPr>
                <w:rFonts w:ascii="宋体" w:hAnsi="宋体" w:cs="宋体"/>
                <w:sz w:val="24"/>
                <w:szCs w:val="24"/>
                <w:highlight w:val="none"/>
              </w:rPr>
            </w:pPr>
            <w:r>
              <w:rPr>
                <w:rFonts w:hint="eastAsia" w:ascii="宋体" w:hAnsi="宋体" w:cs="宋体"/>
                <w:sz w:val="24"/>
                <w:szCs w:val="24"/>
                <w:highlight w:val="none"/>
              </w:rPr>
              <w:t>施工期及缺陷责任期（一年）的全部监理内容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10</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质量要求</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11</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联合体投标</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12</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招标文件发放</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投标人登陆政采云平台</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cs="宋体"/>
                <w:sz w:val="24"/>
                <w:szCs w:val="24"/>
                <w:highlight w:val="none"/>
              </w:rPr>
              <w:t>https://www.zcygov.cn/</w:t>
            </w:r>
            <w:r>
              <w:rPr>
                <w:rFonts w:hint="eastAsia" w:ascii="宋体" w:hAnsi="宋体" w:cs="宋体"/>
                <w:sz w:val="24"/>
                <w:szCs w:val="24"/>
                <w:highlight w:val="none"/>
              </w:rPr>
              <w:fldChar w:fldCharType="end"/>
            </w:r>
            <w:r>
              <w:rPr>
                <w:rFonts w:hint="eastAsia" w:ascii="宋体" w:hAnsi="宋体" w:cs="宋体"/>
                <w:sz w:val="24"/>
                <w:szCs w:val="24"/>
                <w:highlight w:val="none"/>
              </w:rPr>
              <w:t>在线申请获取招标文件（进入“项目采购”应用，在获取招标文件菜单中选择项目，申请获取招标文件）。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13</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开标地点及</w:t>
            </w:r>
          </w:p>
          <w:p>
            <w:pPr>
              <w:spacing w:line="360" w:lineRule="exact"/>
              <w:jc w:val="center"/>
              <w:rPr>
                <w:rFonts w:ascii="宋体" w:hAnsi="宋体" w:cs="宋体"/>
                <w:sz w:val="24"/>
                <w:szCs w:val="24"/>
                <w:highlight w:val="none"/>
              </w:rPr>
            </w:pPr>
            <w:r>
              <w:rPr>
                <w:rFonts w:hint="eastAsia" w:ascii="宋体" w:hAnsi="宋体" w:cs="宋体"/>
                <w:sz w:val="24"/>
                <w:szCs w:val="24"/>
                <w:highlight w:val="none"/>
              </w:rPr>
              <w:t>投标文件递交</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开标地点：和田县公共资源交易中心（和田县经济新区昌盛路）</w:t>
            </w:r>
          </w:p>
          <w:p>
            <w:pPr>
              <w:spacing w:line="360" w:lineRule="exact"/>
              <w:jc w:val="left"/>
              <w:rPr>
                <w:rFonts w:ascii="宋体" w:hAnsi="宋体" w:cs="宋体"/>
                <w:sz w:val="24"/>
                <w:szCs w:val="24"/>
                <w:highlight w:val="none"/>
              </w:rPr>
            </w:pPr>
            <w:r>
              <w:rPr>
                <w:rFonts w:hint="eastAsia" w:ascii="宋体" w:hAnsi="宋体" w:cs="宋体"/>
                <w:sz w:val="24"/>
                <w:szCs w:val="24"/>
                <w:highlight w:val="none"/>
                <w:lang w:val="zh-CN"/>
              </w:rPr>
              <w:t>递交响应文件截止时间</w:t>
            </w:r>
            <w:r>
              <w:rPr>
                <w:rFonts w:hint="eastAsia" w:ascii="宋体" w:hAnsi="宋体" w:cs="宋体"/>
                <w:b/>
                <w:bCs/>
                <w:color w:val="000000" w:themeColor="text1"/>
                <w:sz w:val="24"/>
                <w:szCs w:val="24"/>
                <w:highlight w:val="none"/>
                <w:lang w:val="zh-CN"/>
                <w14:textFill>
                  <w14:solidFill>
                    <w14:schemeClr w14:val="tx1"/>
                  </w14:solidFill>
                </w14:textFill>
              </w:rPr>
              <w:t>：2021年</w:t>
            </w:r>
            <w:r>
              <w:rPr>
                <w:rFonts w:hint="eastAsia" w:ascii="宋体" w:hAnsi="宋体" w:cs="宋体"/>
                <w:b/>
                <w:bCs/>
                <w:color w:val="000000" w:themeColor="text1"/>
                <w:sz w:val="24"/>
                <w:szCs w:val="24"/>
                <w:highlight w:val="none"/>
                <w14:textFill>
                  <w14:solidFill>
                    <w14:schemeClr w14:val="tx1"/>
                  </w14:solidFill>
                </w14:textFill>
              </w:rPr>
              <w:t>10</w:t>
            </w:r>
            <w:r>
              <w:rPr>
                <w:rFonts w:hint="eastAsia" w:ascii="宋体" w:hAnsi="宋体" w:cs="宋体"/>
                <w:b/>
                <w:bCs/>
                <w:color w:val="000000" w:themeColor="text1"/>
                <w:sz w:val="24"/>
                <w:szCs w:val="24"/>
                <w:highlight w:val="none"/>
                <w:lang w:val="zh-CN"/>
                <w14:textFill>
                  <w14:solidFill>
                    <w14:schemeClr w14:val="tx1"/>
                  </w14:solidFill>
                </w14:textFill>
              </w:rPr>
              <w:t>月</w:t>
            </w:r>
            <w:r>
              <w:rPr>
                <w:rFonts w:hint="eastAsia" w:ascii="宋体" w:hAnsi="宋体" w:cs="宋体"/>
                <w:b/>
                <w:bCs/>
                <w:color w:val="000000" w:themeColor="text1"/>
                <w:sz w:val="24"/>
                <w:szCs w:val="24"/>
                <w:highlight w:val="none"/>
                <w14:textFill>
                  <w14:solidFill>
                    <w14:schemeClr w14:val="tx1"/>
                  </w14:solidFill>
                </w14:textFill>
              </w:rPr>
              <w:t>21</w:t>
            </w:r>
            <w:r>
              <w:rPr>
                <w:rFonts w:hint="eastAsia" w:ascii="宋体" w:hAnsi="宋体" w:cs="宋体"/>
                <w:b/>
                <w:bCs/>
                <w:color w:val="000000" w:themeColor="text1"/>
                <w:sz w:val="24"/>
                <w:szCs w:val="24"/>
                <w:highlight w:val="none"/>
                <w:lang w:val="zh-CN"/>
                <w14:textFill>
                  <w14:solidFill>
                    <w14:schemeClr w14:val="tx1"/>
                  </w14:solidFill>
                </w14:textFill>
              </w:rPr>
              <w:t>日1</w:t>
            </w:r>
            <w:r>
              <w:rPr>
                <w:rFonts w:hint="eastAsia"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lang w:val="zh-CN"/>
                <w14:textFill>
                  <w14:solidFill>
                    <w14:schemeClr w14:val="tx1"/>
                  </w14:solidFill>
                </w14:textFill>
              </w:rPr>
              <w:t>:00（北京时间）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6"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14</w:t>
            </w:r>
          </w:p>
        </w:tc>
        <w:tc>
          <w:tcPr>
            <w:tcW w:w="1530" w:type="dxa"/>
            <w:tcBorders>
              <w:right w:val="single" w:color="auto" w:sz="4" w:space="0"/>
            </w:tcBorders>
            <w:vAlign w:val="center"/>
          </w:tcPr>
          <w:p>
            <w:pPr>
              <w:pStyle w:val="65"/>
              <w:jc w:val="center"/>
              <w:rPr>
                <w:rFonts w:ascii="Times New Roman" w:hAnsi="Times New Roman"/>
                <w:szCs w:val="24"/>
                <w:highlight w:val="none"/>
              </w:rPr>
            </w:pPr>
            <w:r>
              <w:rPr>
                <w:rFonts w:hint="eastAsia" w:ascii="Times New Roman" w:hAnsi="Times New Roman"/>
                <w:szCs w:val="24"/>
                <w:highlight w:val="none"/>
              </w:rPr>
              <w:t>供应商</w:t>
            </w:r>
          </w:p>
          <w:p>
            <w:pPr>
              <w:pStyle w:val="65"/>
              <w:jc w:val="center"/>
              <w:rPr>
                <w:rFonts w:cs="宋体"/>
                <w:szCs w:val="24"/>
                <w:highlight w:val="none"/>
              </w:rPr>
            </w:pPr>
            <w:r>
              <w:rPr>
                <w:rFonts w:hint="eastAsia" w:ascii="Times New Roman" w:hAnsi="Times New Roman"/>
                <w:szCs w:val="24"/>
                <w:highlight w:val="none"/>
              </w:rPr>
              <w:t>资格要求</w:t>
            </w:r>
          </w:p>
        </w:tc>
        <w:tc>
          <w:tcPr>
            <w:tcW w:w="7611" w:type="dxa"/>
            <w:tcBorders>
              <w:left w:val="single" w:color="auto" w:sz="4" w:space="0"/>
            </w:tcBorders>
            <w:vAlign w:val="center"/>
          </w:tcPr>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资质要求：</w:t>
            </w:r>
            <w:r>
              <w:rPr>
                <w:rFonts w:hint="eastAsia" w:ascii="Times New Roman" w:hAnsi="Times New Roman"/>
                <w:bCs/>
                <w:szCs w:val="24"/>
                <w:highlight w:val="none"/>
                <w:lang w:val="zh-CN"/>
              </w:rPr>
              <w:t>独立法人资格，具有水利工程施工监理乙级及以上资质；</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信誉要求：</w:t>
            </w:r>
            <w:r>
              <w:rPr>
                <w:rFonts w:hint="eastAsia" w:ascii="Times New Roman" w:hAnsi="Times New Roman"/>
                <w:bCs/>
                <w:szCs w:val="24"/>
                <w:highlight w:val="none"/>
                <w:lang w:val="zh-CN"/>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行政处罚信息、列入经营异常名录信息、列入严重违法失信企业名单（黑名单）信息，将拒绝其参本次采购活动；</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财务要求：</w:t>
            </w:r>
            <w:r>
              <w:rPr>
                <w:rFonts w:hint="eastAsia" w:ascii="Times New Roman" w:hAnsi="Times New Roman"/>
                <w:bCs/>
                <w:szCs w:val="24"/>
                <w:highlight w:val="none"/>
                <w:lang w:val="zh-CN"/>
              </w:rPr>
              <w:t>近3年财务状况良好，没有处于财产被接管、破产或其它关、停、并、转现象；</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en-US" w:eastAsia="zh-CN"/>
              </w:rPr>
              <w:t>企业</w:t>
            </w:r>
            <w:r>
              <w:rPr>
                <w:rFonts w:hint="eastAsia" w:ascii="Times New Roman" w:hAnsi="Times New Roman"/>
                <w:b/>
                <w:bCs w:val="0"/>
                <w:szCs w:val="24"/>
                <w:highlight w:val="none"/>
                <w:lang w:val="zh-CN"/>
              </w:rPr>
              <w:t>业绩要求：</w:t>
            </w:r>
            <w:r>
              <w:rPr>
                <w:rFonts w:hint="eastAsia" w:ascii="Times New Roman" w:hAnsi="Times New Roman"/>
                <w:bCs/>
                <w:szCs w:val="24"/>
                <w:highlight w:val="none"/>
                <w:lang w:val="zh-CN"/>
              </w:rPr>
              <w:t>投标人近三年内承担过类似工程施工业绩（附中标通知书和监理合同</w:t>
            </w:r>
            <w:r>
              <w:rPr>
                <w:rFonts w:hint="eastAsia" w:ascii="Times New Roman" w:hAnsi="Times New Roman"/>
                <w:bCs/>
                <w:szCs w:val="24"/>
                <w:highlight w:val="none"/>
                <w:lang w:val="en-US" w:eastAsia="zh-CN"/>
              </w:rPr>
              <w:t>扫描件</w:t>
            </w:r>
            <w:r>
              <w:rPr>
                <w:rFonts w:hint="eastAsia" w:ascii="Times New Roman" w:hAnsi="Times New Roman"/>
                <w:bCs/>
                <w:szCs w:val="24"/>
                <w:highlight w:val="none"/>
                <w:lang w:val="zh-CN"/>
              </w:rPr>
              <w:t>)，并在人员、设备、资金等方面具有承担本工程的能力；</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总监理工程师资格：</w:t>
            </w:r>
            <w:r>
              <w:rPr>
                <w:rFonts w:hint="eastAsia" w:ascii="Times New Roman" w:hAnsi="Times New Roman"/>
                <w:bCs/>
                <w:szCs w:val="24"/>
                <w:highlight w:val="none"/>
                <w:lang w:val="zh-CN"/>
              </w:rPr>
              <w:t>具有全国水利工程建设监理工程师资格证书、聘用为本项目总监理工程师的聘用书或总监培训证或总监理工程师岗位证、高级及以上水利技术职称；</w:t>
            </w:r>
          </w:p>
          <w:p>
            <w:pPr>
              <w:pStyle w:val="65"/>
              <w:rPr>
                <w:rFonts w:hint="eastAsia" w:ascii="Times New Roman" w:hAnsi="Times New Roman"/>
                <w:b/>
                <w:bCs w:val="0"/>
                <w:szCs w:val="24"/>
                <w:highlight w:val="none"/>
                <w:lang w:val="zh-CN"/>
              </w:rPr>
            </w:pPr>
            <w:r>
              <w:rPr>
                <w:rFonts w:hint="eastAsia" w:ascii="Times New Roman" w:hAnsi="Times New Roman"/>
                <w:b/>
                <w:bCs w:val="0"/>
                <w:szCs w:val="24"/>
                <w:highlight w:val="none"/>
                <w:lang w:val="zh-CN"/>
              </w:rPr>
              <w:t>其他主要人员要求：</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监理工程师：</w:t>
            </w:r>
            <w:r>
              <w:rPr>
                <w:rFonts w:hint="eastAsia" w:ascii="Times New Roman" w:hAnsi="Times New Roman"/>
                <w:bCs/>
                <w:szCs w:val="24"/>
                <w:highlight w:val="none"/>
                <w:lang w:val="zh-CN"/>
              </w:rPr>
              <w:t xml:space="preserve"> 具有全国水利工程监理工程师资格证书，中级及以上技术职称（水利专业）； </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监理员：</w:t>
            </w:r>
            <w:r>
              <w:rPr>
                <w:rFonts w:hint="eastAsia" w:ascii="Times New Roman" w:hAnsi="Times New Roman"/>
                <w:bCs/>
                <w:szCs w:val="24"/>
                <w:highlight w:val="none"/>
                <w:lang w:val="zh-CN"/>
              </w:rPr>
              <w:t>具有全国水利工程建设监理工程师资格证书或监理员证（或国家、省、 市、自治区有关监理培训机构的培训证，具有监理工作经验；</w:t>
            </w:r>
          </w:p>
          <w:p>
            <w:pPr>
              <w:pStyle w:val="65"/>
              <w:rPr>
                <w:rFonts w:hint="eastAsia" w:ascii="Times New Roman" w:hAnsi="Times New Roman"/>
                <w:bCs/>
                <w:szCs w:val="24"/>
                <w:highlight w:val="none"/>
                <w:lang w:val="zh-CN"/>
              </w:rPr>
            </w:pPr>
            <w:r>
              <w:rPr>
                <w:rFonts w:hint="eastAsia" w:ascii="Times New Roman" w:hAnsi="Times New Roman"/>
                <w:b/>
                <w:bCs w:val="0"/>
                <w:szCs w:val="24"/>
                <w:highlight w:val="none"/>
                <w:lang w:val="zh-CN"/>
              </w:rPr>
              <w:t>验检测仪器设备要求：</w:t>
            </w:r>
            <w:r>
              <w:rPr>
                <w:rFonts w:hint="eastAsia" w:ascii="Times New Roman" w:hAnsi="Times New Roman"/>
                <w:bCs/>
                <w:szCs w:val="24"/>
                <w:highlight w:val="none"/>
                <w:lang w:val="zh-CN"/>
              </w:rPr>
              <w:t>根据本工程实施内容合理配置相关设备以满足本工程监理工作的需要；</w:t>
            </w:r>
          </w:p>
          <w:p>
            <w:pPr>
              <w:pStyle w:val="65"/>
              <w:rPr>
                <w:rFonts w:cs="宋体"/>
                <w:szCs w:val="24"/>
                <w:highlight w:val="none"/>
              </w:rPr>
            </w:pPr>
            <w:r>
              <w:rPr>
                <w:rFonts w:hint="eastAsia" w:ascii="Times New Roman" w:hAnsi="Times New Roman"/>
                <w:b/>
                <w:bCs w:val="0"/>
                <w:szCs w:val="24"/>
                <w:highlight w:val="none"/>
                <w:lang w:val="zh-CN"/>
              </w:rPr>
              <w:t>其他要求：</w:t>
            </w:r>
            <w:r>
              <w:rPr>
                <w:rFonts w:hint="eastAsia" w:ascii="Times New Roman" w:hAnsi="Times New Roman"/>
                <w:bCs/>
                <w:szCs w:val="24"/>
                <w:highlight w:val="none"/>
                <w:lang w:val="zh-CN"/>
              </w:rPr>
              <w:t>拟投入本工程的总监理工程师未同时在两个及以上大中型工程中担任总监理工程师；在同一县（市、区）同类型小型工程项目中，同时担任总监理工程师的项目数量不得多于</w:t>
            </w:r>
            <w:r>
              <w:rPr>
                <w:rFonts w:hint="eastAsia" w:ascii="Times New Roman" w:hAnsi="Times New Roman"/>
                <w:bCs/>
                <w:szCs w:val="24"/>
                <w:highlight w:val="none"/>
                <w:lang w:val="en-US" w:eastAsia="zh-CN"/>
              </w:rPr>
              <w:t>2</w:t>
            </w:r>
            <w:r>
              <w:rPr>
                <w:rFonts w:hint="eastAsia" w:ascii="Times New Roman" w:hAnsi="Times New Roman"/>
                <w:bCs/>
                <w:szCs w:val="24"/>
                <w:highlight w:val="none"/>
                <w:lang w:val="zh-CN"/>
              </w:rPr>
              <w:t>个（含本项目）。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15</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投标人对招标文件提出质疑的时间</w:t>
            </w:r>
          </w:p>
        </w:tc>
        <w:tc>
          <w:tcPr>
            <w:tcW w:w="7611" w:type="dxa"/>
            <w:tcBorders>
              <w:left w:val="single" w:color="auto" w:sz="4" w:space="0"/>
            </w:tcBorders>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自招标文件发售时间起的七个工作日内。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16</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构成招标文件的其他文件</w:t>
            </w:r>
          </w:p>
        </w:tc>
        <w:tc>
          <w:tcPr>
            <w:tcW w:w="7611" w:type="dxa"/>
            <w:tcBorders>
              <w:lef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bCs/>
                <w:sz w:val="24"/>
                <w:szCs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17</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611" w:type="dxa"/>
            <w:tcBorders>
              <w:left w:val="single" w:color="auto" w:sz="4" w:space="0"/>
            </w:tcBorders>
            <w:vAlign w:val="center"/>
          </w:tcPr>
          <w:p>
            <w:pPr>
              <w:spacing w:line="360" w:lineRule="auto"/>
              <w:ind w:left="714" w:leftChars="1" w:hanging="712" w:hangingChars="297"/>
              <w:jc w:val="left"/>
              <w:rPr>
                <w:rFonts w:ascii="宋体" w:hAnsi="宋体" w:cs="宋体"/>
                <w:bCs/>
                <w:sz w:val="24"/>
                <w:szCs w:val="24"/>
                <w:highlight w:val="none"/>
              </w:rPr>
            </w:pPr>
            <w:r>
              <w:rPr>
                <w:rFonts w:hint="eastAsia" w:ascii="宋体" w:hAnsi="宋体" w:cs="宋体"/>
                <w:bCs/>
                <w:sz w:val="24"/>
                <w:szCs w:val="24"/>
                <w:highlight w:val="none"/>
              </w:rPr>
              <w:t>60日历天（从投标截止之日算起）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18</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611" w:type="dxa"/>
            <w:tcBorders>
              <w:left w:val="single" w:color="auto" w:sz="4" w:space="0"/>
            </w:tcBorders>
            <w:vAlign w:val="center"/>
          </w:tcPr>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投标保证金的缴纳形式：转账、汇款</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投标保证金的金额：7000元（大写：柒仟元整）</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账号：8770 1001 2010 1219 8457 8</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户名：和田县政务服务中心</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开户行名：和田县农村信用合作联社营业部</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地址：新疆和田市迎宾路346号</w:t>
            </w:r>
          </w:p>
          <w:p>
            <w:pPr>
              <w:spacing w:line="400" w:lineRule="exact"/>
              <w:ind w:right="210" w:rightChars="100"/>
              <w:jc w:val="left"/>
              <w:rPr>
                <w:rFonts w:ascii="宋体" w:hAnsi="宋体" w:cs="宋体"/>
                <w:bCs/>
                <w:sz w:val="24"/>
                <w:szCs w:val="24"/>
                <w:highlight w:val="none"/>
              </w:rPr>
            </w:pPr>
            <w:r>
              <w:rPr>
                <w:rFonts w:hint="eastAsia" w:ascii="宋体" w:hAnsi="宋体" w:cs="宋体"/>
                <w:bCs/>
                <w:sz w:val="24"/>
                <w:szCs w:val="24"/>
                <w:highlight w:val="none"/>
              </w:rPr>
              <w:t>开户行号：402896000110</w:t>
            </w:r>
          </w:p>
          <w:p>
            <w:pPr>
              <w:spacing w:line="400" w:lineRule="exact"/>
              <w:ind w:right="210" w:rightChars="100"/>
              <w:jc w:val="left"/>
              <w:rPr>
                <w:bCs/>
                <w:highlight w:val="none"/>
              </w:rPr>
            </w:pPr>
            <w:r>
              <w:rPr>
                <w:rFonts w:hint="eastAsia" w:ascii="宋体" w:hAnsi="宋体" w:cs="宋体"/>
                <w:bCs/>
                <w:sz w:val="24"/>
                <w:szCs w:val="24"/>
                <w:highlight w:val="none"/>
              </w:rPr>
              <w:t>联系电话：0903-2025123</w:t>
            </w:r>
          </w:p>
          <w:p>
            <w:pPr>
              <w:spacing w:line="400" w:lineRule="exact"/>
              <w:ind w:right="210" w:rightChars="100"/>
              <w:jc w:val="left"/>
              <w:rPr>
                <w:rFonts w:ascii="宋体" w:hAnsi="宋体" w:cs="宋体"/>
                <w:b/>
                <w:sz w:val="24"/>
                <w:szCs w:val="24"/>
                <w:highlight w:val="none"/>
              </w:rPr>
            </w:pPr>
            <w:r>
              <w:rPr>
                <w:rFonts w:hint="eastAsia" w:ascii="宋体" w:hAnsi="宋体" w:cs="宋体"/>
                <w:bCs/>
                <w:sz w:val="24"/>
                <w:szCs w:val="24"/>
                <w:highlight w:val="none"/>
              </w:rPr>
              <w:t>注：【投标保证金缴纳的截止时间为</w:t>
            </w:r>
            <w:r>
              <w:rPr>
                <w:rFonts w:hint="eastAsia" w:ascii="宋体" w:hAnsi="宋体" w:cs="宋体"/>
                <w:b/>
                <w:color w:val="000000" w:themeColor="text1"/>
                <w:sz w:val="24"/>
                <w:szCs w:val="24"/>
                <w:highlight w:val="none"/>
                <w14:textFill>
                  <w14:solidFill>
                    <w14:schemeClr w14:val="tx1"/>
                  </w14:solidFill>
                </w14:textFill>
              </w:rPr>
              <w:t>2021年 10月21日11：00</w:t>
            </w:r>
            <w:r>
              <w:rPr>
                <w:rFonts w:hint="eastAsia" w:ascii="宋体" w:hAnsi="宋体" w:cs="宋体"/>
                <w:bCs/>
                <w:sz w:val="24"/>
                <w:szCs w:val="24"/>
                <w:highlight w:val="none"/>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w:t>
            </w:r>
            <w:r>
              <w:rPr>
                <w:rFonts w:hint="eastAsia" w:ascii="宋体" w:hAnsi="宋体" w:cs="宋体"/>
                <w:b/>
                <w:sz w:val="24"/>
                <w:szCs w:val="24"/>
                <w:highlight w:val="none"/>
              </w:rPr>
              <w:t>开标前投标单位需至和田县行政服务和公共资源交易中心换取保证金收据原件</w:t>
            </w:r>
            <w:r>
              <w:rPr>
                <w:rFonts w:hint="eastAsia" w:ascii="宋体" w:hAnsi="宋体" w:cs="宋体"/>
                <w:bCs/>
                <w:sz w:val="24"/>
                <w:szCs w:val="24"/>
                <w:highlight w:val="none"/>
              </w:rPr>
              <w:t>,开标时需携带投标保证金缴纳凭证;开标结束后未中标企业现场将授权委托书或法人身份证复印件、开户许可证、收据（必须加盖公司公章/财务章）、银行回单递交至和田县行政服务和公共资源交易中心财务室。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19</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评标委员的组建</w:t>
            </w:r>
          </w:p>
        </w:tc>
        <w:tc>
          <w:tcPr>
            <w:tcW w:w="7611" w:type="dxa"/>
            <w:tcBorders>
              <w:left w:val="single" w:color="auto" w:sz="4" w:space="0"/>
            </w:tcBorders>
            <w:vAlign w:val="center"/>
          </w:tcPr>
          <w:p>
            <w:pPr>
              <w:spacing w:line="360" w:lineRule="auto"/>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评标委员会构成：5人或5人以上单数组成，业主专家1人；评标专</w:t>
            </w:r>
          </w:p>
          <w:p>
            <w:pPr>
              <w:spacing w:line="360" w:lineRule="auto"/>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家确定方式：由招标代理在开标前24小时在新疆维吾尔自治区政府</w:t>
            </w:r>
          </w:p>
          <w:p>
            <w:pPr>
              <w:spacing w:line="360" w:lineRule="auto"/>
              <w:ind w:left="714" w:leftChars="1" w:hanging="712" w:hangingChars="297"/>
              <w:rPr>
                <w:rFonts w:ascii="宋体" w:hAnsi="宋体" w:cs="宋体"/>
                <w:bCs/>
                <w:color w:val="000000"/>
                <w:sz w:val="24"/>
                <w:szCs w:val="24"/>
                <w:highlight w:val="none"/>
              </w:rPr>
            </w:pPr>
            <w:r>
              <w:rPr>
                <w:rFonts w:hint="eastAsia" w:ascii="宋体" w:hAnsi="宋体" w:cs="宋体"/>
                <w:bCs/>
                <w:sz w:val="24"/>
                <w:szCs w:val="24"/>
                <w:highlight w:val="none"/>
              </w:rPr>
              <w:t>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32" w:type="dxa"/>
            <w:tcBorders>
              <w:top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20</w:t>
            </w:r>
          </w:p>
        </w:tc>
        <w:tc>
          <w:tcPr>
            <w:tcW w:w="1530" w:type="dxa"/>
            <w:tcBorders>
              <w:top w:val="single" w:color="auto" w:sz="4" w:space="0"/>
              <w:right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611" w:type="dxa"/>
            <w:tcBorders>
              <w:top w:val="single" w:color="auto" w:sz="4" w:space="0"/>
              <w:left w:val="single" w:color="auto" w:sz="4" w:space="0"/>
            </w:tcBorders>
            <w:vAlign w:val="center"/>
          </w:tcPr>
          <w:p>
            <w:pPr>
              <w:rPr>
                <w:rFonts w:ascii="宋体" w:hAnsi="宋体" w:cs="宋体"/>
                <w:bCs/>
                <w:sz w:val="24"/>
                <w:szCs w:val="24"/>
                <w:highlight w:val="none"/>
              </w:rPr>
            </w:pPr>
            <w:r>
              <w:rPr>
                <w:rFonts w:hint="eastAsia" w:ascii="宋体" w:hAnsi="宋体" w:cs="宋体"/>
                <w:bCs/>
                <w:sz w:val="24"/>
                <w:szCs w:val="24"/>
                <w:highlight w:val="none"/>
              </w:rPr>
              <w:t>《中华人民共和国政府采购法实施条例》第四十八条规定：履约保证金的数额不得超过政府采购合同金额的10%。中标人与采购人签订合同前提交履约保证金，如中标人未按招标文件规定的工期及要求供货，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35" w:hRule="atLeast"/>
          <w:jc w:val="center"/>
        </w:trPr>
        <w:tc>
          <w:tcPr>
            <w:tcW w:w="832"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21</w:t>
            </w:r>
          </w:p>
        </w:tc>
        <w:tc>
          <w:tcPr>
            <w:tcW w:w="1530" w:type="dxa"/>
            <w:tcBorders>
              <w:right w:val="single" w:color="auto" w:sz="4" w:space="0"/>
            </w:tcBorders>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其他说明</w:t>
            </w:r>
          </w:p>
        </w:tc>
        <w:tc>
          <w:tcPr>
            <w:tcW w:w="7611" w:type="dxa"/>
            <w:tcBorders>
              <w:left w:val="single" w:color="auto" w:sz="4" w:space="0"/>
            </w:tcBorders>
            <w:vAlign w:val="center"/>
          </w:tcPr>
          <w:p>
            <w:pPr>
              <w:ind w:left="718" w:leftChars="1" w:hanging="716" w:hangingChars="297"/>
              <w:rPr>
                <w:rFonts w:ascii="宋体" w:hAnsi="宋体" w:cs="宋体"/>
                <w:b/>
                <w:sz w:val="24"/>
                <w:szCs w:val="24"/>
                <w:highlight w:val="none"/>
              </w:rPr>
            </w:pPr>
            <w:r>
              <w:rPr>
                <w:rFonts w:hint="eastAsia" w:ascii="宋体" w:hAnsi="宋体" w:cs="宋体"/>
                <w:b/>
                <w:sz w:val="24"/>
                <w:szCs w:val="24"/>
                <w:highlight w:val="none"/>
              </w:rPr>
              <w:t>特别提醒：</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1、所有投标人的报价高于采购预算额度视为无效报价（即作否决投</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标处理）。</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2、所有投标人的报价明显低于其他投标报价或者在设有标底时明显</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低于标底，使得其投标报价可能低于其个别成本的，应当要求该投标</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人作出书面说明并提供相应证明材料。投标人不能合理或者不能提供</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相应证明材料的，由评标委员会认定该投标人以低于成本报价竞标，</w:t>
            </w:r>
          </w:p>
          <w:p>
            <w:pPr>
              <w:ind w:left="714" w:leftChars="1" w:hanging="712" w:hangingChars="297"/>
              <w:rPr>
                <w:rFonts w:ascii="宋体" w:hAnsi="宋体" w:cs="宋体"/>
                <w:bCs/>
                <w:sz w:val="24"/>
                <w:szCs w:val="24"/>
                <w:highlight w:val="none"/>
              </w:rPr>
            </w:pPr>
            <w:r>
              <w:rPr>
                <w:rFonts w:hint="eastAsia" w:ascii="宋体" w:hAnsi="宋体" w:cs="宋体"/>
                <w:bCs/>
                <w:sz w:val="24"/>
                <w:szCs w:val="24"/>
                <w:highlight w:val="none"/>
              </w:rPr>
              <w:t>其投标视为无效标处理。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2" w:hRule="atLeast"/>
          <w:jc w:val="center"/>
        </w:trPr>
        <w:tc>
          <w:tcPr>
            <w:tcW w:w="832" w:type="dxa"/>
            <w:tcBorders>
              <w:right w:val="single" w:color="auto" w:sz="4" w:space="0"/>
            </w:tcBorders>
            <w:vAlign w:val="center"/>
          </w:tcPr>
          <w:p>
            <w:pPr>
              <w:spacing w:line="360" w:lineRule="auto"/>
              <w:ind w:left="714" w:leftChars="1" w:hanging="712" w:hangingChars="297"/>
              <w:jc w:val="center"/>
              <w:rPr>
                <w:rFonts w:ascii="宋体" w:hAnsi="宋体" w:cs="宋体"/>
                <w:bCs/>
                <w:sz w:val="24"/>
                <w:szCs w:val="24"/>
                <w:highlight w:val="none"/>
              </w:rPr>
            </w:pPr>
            <w:r>
              <w:rPr>
                <w:rFonts w:hint="eastAsia" w:ascii="宋体" w:hAnsi="宋体" w:cs="宋体"/>
                <w:bCs/>
                <w:sz w:val="24"/>
                <w:szCs w:val="24"/>
                <w:highlight w:val="none"/>
              </w:rPr>
              <w:t>22</w:t>
            </w:r>
          </w:p>
        </w:tc>
        <w:tc>
          <w:tcPr>
            <w:tcW w:w="1530" w:type="dxa"/>
            <w:tcBorders>
              <w:left w:val="single" w:color="auto" w:sz="4" w:space="0"/>
              <w:right w:val="single" w:color="auto" w:sz="4" w:space="0"/>
            </w:tcBorders>
            <w:vAlign w:val="center"/>
          </w:tcPr>
          <w:p>
            <w:pPr>
              <w:spacing w:line="360" w:lineRule="auto"/>
              <w:ind w:left="714" w:leftChars="1" w:hanging="712" w:hangingChars="297"/>
              <w:jc w:val="center"/>
              <w:rPr>
                <w:rFonts w:ascii="宋体" w:hAnsi="宋体" w:cs="宋体"/>
                <w:bCs/>
                <w:sz w:val="24"/>
                <w:szCs w:val="24"/>
                <w:highlight w:val="none"/>
              </w:rPr>
            </w:pPr>
            <w:r>
              <w:rPr>
                <w:rFonts w:hint="eastAsia" w:ascii="宋体" w:hAnsi="宋体" w:cs="宋体"/>
                <w:bCs/>
                <w:sz w:val="24"/>
                <w:szCs w:val="24"/>
                <w:highlight w:val="none"/>
              </w:rPr>
              <w:t>补充说明</w:t>
            </w:r>
          </w:p>
        </w:tc>
        <w:tc>
          <w:tcPr>
            <w:tcW w:w="7611" w:type="dxa"/>
            <w:tcBorders>
              <w:left w:val="single" w:color="auto" w:sz="4" w:space="0"/>
            </w:tcBorders>
          </w:tcPr>
          <w:p>
            <w:pPr>
              <w:jc w:val="left"/>
              <w:rPr>
                <w:rFonts w:ascii="宋体" w:hAnsi="宋体" w:cs="宋体"/>
                <w:b/>
                <w:sz w:val="24"/>
                <w:szCs w:val="24"/>
                <w:highlight w:val="none"/>
              </w:rPr>
            </w:pPr>
            <w:r>
              <w:rPr>
                <w:rFonts w:hint="eastAsia" w:ascii="宋体" w:hAnsi="宋体" w:cs="宋体"/>
                <w:b/>
                <w:sz w:val="24"/>
                <w:szCs w:val="24"/>
                <w:highlight w:val="none"/>
              </w:rPr>
              <w:t>投标文件份数：</w:t>
            </w:r>
          </w:p>
          <w:p>
            <w:pPr>
              <w:jc w:val="left"/>
              <w:rPr>
                <w:rFonts w:ascii="宋体" w:hAnsi="宋体" w:cs="宋体"/>
                <w:bCs/>
                <w:sz w:val="24"/>
                <w:szCs w:val="24"/>
                <w:highlight w:val="none"/>
                <w:lang w:val="zh-CN"/>
              </w:rPr>
            </w:pPr>
            <w:r>
              <w:rPr>
                <w:rFonts w:hint="eastAsia" w:ascii="宋体" w:hAnsi="宋体" w:cs="宋体"/>
                <w:bCs/>
                <w:sz w:val="24"/>
                <w:szCs w:val="24"/>
                <w:highlight w:val="none"/>
              </w:rPr>
              <w:t>（1）</w:t>
            </w:r>
            <w:r>
              <w:rPr>
                <w:rFonts w:hint="eastAsia" w:ascii="宋体" w:hAnsi="宋体" w:cs="宋体"/>
                <w:bCs/>
                <w:sz w:val="24"/>
                <w:szCs w:val="24"/>
                <w:highlight w:val="none"/>
                <w:lang w:val="zh-CN"/>
              </w:rPr>
              <w:t>响应文件正本1份（单独密封）</w:t>
            </w:r>
          </w:p>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w:t>
            </w:r>
            <w:r>
              <w:rPr>
                <w:rFonts w:hint="eastAsia" w:ascii="宋体" w:hAnsi="宋体" w:cs="宋体"/>
                <w:bCs/>
                <w:sz w:val="24"/>
                <w:szCs w:val="24"/>
                <w:highlight w:val="none"/>
              </w:rPr>
              <w:t>2</w:t>
            </w:r>
            <w:r>
              <w:rPr>
                <w:rFonts w:hint="eastAsia" w:ascii="宋体" w:hAnsi="宋体" w:cs="宋体"/>
                <w:bCs/>
                <w:sz w:val="24"/>
                <w:szCs w:val="24"/>
                <w:highlight w:val="none"/>
                <w:lang w:val="zh-CN"/>
              </w:rPr>
              <w:t>）响应文件副本</w:t>
            </w:r>
            <w:r>
              <w:rPr>
                <w:rFonts w:hint="eastAsia" w:ascii="宋体" w:hAnsi="宋体" w:cs="宋体"/>
                <w:bCs/>
                <w:sz w:val="24"/>
                <w:szCs w:val="24"/>
                <w:highlight w:val="none"/>
              </w:rPr>
              <w:t>3</w:t>
            </w:r>
            <w:r>
              <w:rPr>
                <w:rFonts w:hint="eastAsia" w:ascii="宋体" w:hAnsi="宋体" w:cs="宋体"/>
                <w:bCs/>
                <w:sz w:val="24"/>
                <w:szCs w:val="24"/>
                <w:highlight w:val="none"/>
                <w:lang w:val="zh-CN"/>
              </w:rPr>
              <w:t>份（单独密封）</w:t>
            </w:r>
          </w:p>
          <w:p>
            <w:pPr>
              <w:jc w:val="left"/>
              <w:rPr>
                <w:rFonts w:ascii="宋体" w:hAnsi="宋体" w:cs="宋体"/>
                <w:bCs/>
                <w:sz w:val="24"/>
                <w:szCs w:val="24"/>
                <w:highlight w:val="none"/>
              </w:rPr>
            </w:pPr>
            <w:r>
              <w:rPr>
                <w:rFonts w:hint="eastAsia" w:ascii="宋体" w:hAnsi="宋体" w:cs="宋体"/>
                <w:bCs/>
                <w:sz w:val="24"/>
                <w:szCs w:val="24"/>
                <w:highlight w:val="none"/>
                <w:lang w:val="zh-CN"/>
              </w:rPr>
              <w:t>（</w:t>
            </w:r>
            <w:r>
              <w:rPr>
                <w:rFonts w:hint="eastAsia" w:ascii="宋体" w:hAnsi="宋体" w:cs="宋体"/>
                <w:bCs/>
                <w:sz w:val="24"/>
                <w:szCs w:val="24"/>
                <w:highlight w:val="none"/>
              </w:rPr>
              <w:t>3</w:t>
            </w:r>
            <w:r>
              <w:rPr>
                <w:rFonts w:hint="eastAsia" w:ascii="宋体" w:hAnsi="宋体" w:cs="宋体"/>
                <w:bCs/>
                <w:sz w:val="24"/>
                <w:szCs w:val="24"/>
                <w:highlight w:val="none"/>
                <w:lang w:val="zh-CN"/>
              </w:rPr>
              <w:t>）电子版（U盘）1份及开标一览表1份。（电子版包含响应文件商务及技术全部内容）</w:t>
            </w:r>
          </w:p>
          <w:p>
            <w:pPr>
              <w:jc w:val="left"/>
              <w:rPr>
                <w:rFonts w:ascii="宋体" w:hAnsi="宋体" w:cs="宋体"/>
                <w:b/>
                <w:sz w:val="24"/>
                <w:szCs w:val="24"/>
                <w:highlight w:val="none"/>
              </w:rPr>
            </w:pPr>
            <w:r>
              <w:rPr>
                <w:rFonts w:hint="eastAsia" w:ascii="宋体" w:hAnsi="宋体" w:cs="宋体"/>
                <w:b/>
                <w:sz w:val="24"/>
                <w:szCs w:val="24"/>
                <w:highlight w:val="none"/>
              </w:rPr>
              <w:t>投标文件的密封：</w:t>
            </w:r>
          </w:p>
          <w:p>
            <w:pPr>
              <w:jc w:val="left"/>
              <w:rPr>
                <w:rFonts w:ascii="宋体" w:hAnsi="宋体" w:cs="宋体"/>
                <w:bCs/>
                <w:sz w:val="24"/>
                <w:szCs w:val="24"/>
                <w:highlight w:val="none"/>
              </w:rPr>
            </w:pPr>
            <w:r>
              <w:rPr>
                <w:rFonts w:hint="eastAsia" w:ascii="宋体" w:hAnsi="宋体" w:cs="宋体"/>
                <w:bCs/>
                <w:sz w:val="24"/>
                <w:szCs w:val="24"/>
                <w:highlight w:val="none"/>
                <w:lang w:val="zh-CN"/>
              </w:rPr>
              <w:t>（</w:t>
            </w:r>
            <w:r>
              <w:rPr>
                <w:rFonts w:hint="eastAsia" w:ascii="宋体" w:hAnsi="宋体" w:cs="宋体"/>
                <w:bCs/>
                <w:sz w:val="24"/>
                <w:szCs w:val="24"/>
                <w:highlight w:val="none"/>
              </w:rPr>
              <w:t>1</w:t>
            </w:r>
            <w:r>
              <w:rPr>
                <w:rFonts w:hint="eastAsia" w:ascii="宋体" w:hAnsi="宋体" w:cs="宋体"/>
                <w:bCs/>
                <w:sz w:val="24"/>
                <w:szCs w:val="24"/>
                <w:highlight w:val="none"/>
                <w:lang w:val="zh-CN"/>
              </w:rPr>
              <w:t>）供应商须按招标文件的规定制作响应文件，正、副本单独密封提交。密封袋封口处加盖公章，并注明“开标时启封”字样</w:t>
            </w:r>
            <w:r>
              <w:rPr>
                <w:rFonts w:hint="eastAsia" w:ascii="宋体" w:hAnsi="宋体" w:cs="宋体"/>
                <w:bCs/>
                <w:sz w:val="24"/>
                <w:szCs w:val="24"/>
                <w:highlight w:val="none"/>
              </w:rPr>
              <w:t>及</w:t>
            </w:r>
            <w:r>
              <w:rPr>
                <w:rFonts w:hint="eastAsia" w:ascii="宋体" w:hAnsi="宋体" w:cs="宋体"/>
                <w:bCs/>
                <w:sz w:val="24"/>
                <w:szCs w:val="24"/>
                <w:highlight w:val="none"/>
                <w:lang w:val="zh-CN"/>
              </w:rPr>
              <w:t>“正本”或“副本”</w:t>
            </w:r>
            <w:r>
              <w:rPr>
                <w:rFonts w:hint="eastAsia" w:ascii="宋体" w:hAnsi="宋体" w:cs="宋体"/>
                <w:bCs/>
                <w:sz w:val="24"/>
                <w:szCs w:val="24"/>
                <w:highlight w:val="none"/>
              </w:rPr>
              <w:t>字样。（副本可以为正本的复印件）</w:t>
            </w:r>
          </w:p>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w:t>
            </w:r>
            <w:r>
              <w:rPr>
                <w:rFonts w:hint="eastAsia" w:ascii="宋体" w:hAnsi="宋体" w:cs="宋体"/>
                <w:bCs/>
                <w:sz w:val="24"/>
                <w:szCs w:val="24"/>
                <w:highlight w:val="none"/>
              </w:rPr>
              <w:t>2</w:t>
            </w:r>
            <w:r>
              <w:rPr>
                <w:rFonts w:hint="eastAsia" w:ascii="宋体" w:hAnsi="宋体" w:cs="宋体"/>
                <w:bCs/>
                <w:sz w:val="24"/>
                <w:szCs w:val="24"/>
                <w:highlight w:val="none"/>
                <w:lang w:val="zh-CN"/>
              </w:rPr>
              <w:t>）供应商应将“开标一览表”，与电子版（U盘）一起密封提交，密封袋封口处加盖公章，并注明“开标时启封”字样。</w:t>
            </w:r>
            <w:r>
              <w:rPr>
                <w:rFonts w:hint="eastAsia" w:ascii="宋体" w:hAnsi="宋体" w:cs="宋体"/>
                <w:bCs/>
                <w:sz w:val="24"/>
                <w:szCs w:val="24"/>
                <w:highlight w:val="none"/>
              </w:rPr>
              <w:t>U盘</w:t>
            </w:r>
            <w:r>
              <w:rPr>
                <w:rFonts w:hint="eastAsia" w:ascii="宋体" w:hAnsi="宋体" w:cs="宋体"/>
                <w:bCs/>
                <w:sz w:val="24"/>
                <w:szCs w:val="24"/>
                <w:highlight w:val="none"/>
                <w:lang w:val="zh-CN"/>
              </w:rPr>
              <w:t>内存储响应文件正副本</w:t>
            </w:r>
            <w:r>
              <w:rPr>
                <w:rFonts w:hint="eastAsia" w:ascii="宋体" w:hAnsi="宋体" w:cs="宋体"/>
                <w:bCs/>
                <w:sz w:val="24"/>
                <w:szCs w:val="24"/>
                <w:highlight w:val="none"/>
              </w:rPr>
              <w:t>PDF一份。</w:t>
            </w:r>
          </w:p>
          <w:p>
            <w:pPr>
              <w:jc w:val="left"/>
              <w:rPr>
                <w:rFonts w:ascii="宋体" w:hAnsi="宋体" w:cs="宋体"/>
                <w:b/>
                <w:sz w:val="24"/>
                <w:szCs w:val="24"/>
                <w:highlight w:val="none"/>
                <w:lang w:val="zh-CN"/>
              </w:rPr>
            </w:pPr>
            <w:r>
              <w:rPr>
                <w:rFonts w:hint="eastAsia" w:ascii="宋体" w:hAnsi="宋体" w:cs="宋体"/>
                <w:b/>
                <w:sz w:val="24"/>
                <w:szCs w:val="24"/>
                <w:highlight w:val="none"/>
              </w:rPr>
              <w:t>投标</w:t>
            </w:r>
            <w:r>
              <w:rPr>
                <w:rFonts w:hint="eastAsia" w:ascii="宋体" w:hAnsi="宋体" w:cs="宋体"/>
                <w:b/>
                <w:sz w:val="24"/>
                <w:szCs w:val="24"/>
                <w:highlight w:val="none"/>
                <w:lang w:val="zh-CN"/>
              </w:rPr>
              <w:t>文件袋和《开标一览表》（含电子版U盘）袋上写明：</w:t>
            </w:r>
          </w:p>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w:t>
            </w:r>
            <w:r>
              <w:rPr>
                <w:rFonts w:hint="eastAsia" w:ascii="宋体" w:hAnsi="宋体" w:cs="宋体"/>
                <w:bCs/>
                <w:sz w:val="24"/>
                <w:szCs w:val="24"/>
                <w:highlight w:val="none"/>
              </w:rPr>
              <w:t>1</w:t>
            </w:r>
            <w:r>
              <w:rPr>
                <w:rFonts w:hint="eastAsia" w:ascii="宋体" w:hAnsi="宋体" w:cs="宋体"/>
                <w:bCs/>
                <w:sz w:val="24"/>
                <w:szCs w:val="24"/>
                <w:highlight w:val="none"/>
                <w:lang w:val="zh-CN"/>
              </w:rPr>
              <w:t xml:space="preserve">）采购人：                        </w:t>
            </w:r>
          </w:p>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w:t>
            </w:r>
            <w:r>
              <w:rPr>
                <w:rFonts w:hint="eastAsia" w:ascii="宋体" w:hAnsi="宋体" w:cs="宋体"/>
                <w:bCs/>
                <w:sz w:val="24"/>
                <w:szCs w:val="24"/>
                <w:highlight w:val="none"/>
              </w:rPr>
              <w:t>2</w:t>
            </w:r>
            <w:r>
              <w:rPr>
                <w:rFonts w:hint="eastAsia" w:ascii="宋体" w:hAnsi="宋体" w:cs="宋体"/>
                <w:bCs/>
                <w:sz w:val="24"/>
                <w:szCs w:val="24"/>
                <w:highlight w:val="none"/>
                <w:lang w:val="zh-CN"/>
              </w:rPr>
              <w:t xml:space="preserve">）项目名称：                      </w:t>
            </w:r>
          </w:p>
          <w:p>
            <w:pPr>
              <w:jc w:val="left"/>
              <w:rPr>
                <w:rFonts w:ascii="宋体" w:hAnsi="宋体" w:cs="宋体"/>
                <w:bCs/>
                <w:sz w:val="24"/>
                <w:szCs w:val="24"/>
                <w:highlight w:val="none"/>
                <w:lang w:val="zh-CN"/>
              </w:rPr>
            </w:pPr>
            <w:r>
              <w:rPr>
                <w:rFonts w:hint="eastAsia" w:ascii="宋体" w:hAnsi="宋体" w:cs="宋体"/>
                <w:bCs/>
                <w:sz w:val="24"/>
                <w:szCs w:val="24"/>
                <w:highlight w:val="none"/>
                <w:lang w:val="zh-CN"/>
              </w:rPr>
              <w:t>（</w:t>
            </w:r>
            <w:r>
              <w:rPr>
                <w:rFonts w:hint="eastAsia" w:ascii="宋体" w:hAnsi="宋体" w:cs="宋体"/>
                <w:bCs/>
                <w:sz w:val="24"/>
                <w:szCs w:val="24"/>
                <w:highlight w:val="none"/>
              </w:rPr>
              <w:t>3</w:t>
            </w:r>
            <w:r>
              <w:rPr>
                <w:rFonts w:hint="eastAsia" w:ascii="宋体" w:hAnsi="宋体" w:cs="宋体"/>
                <w:bCs/>
                <w:sz w:val="24"/>
                <w:szCs w:val="24"/>
                <w:highlight w:val="none"/>
                <w:lang w:val="zh-CN"/>
              </w:rPr>
              <w:t xml:space="preserve">）项目编号：                      </w:t>
            </w:r>
          </w:p>
          <w:p>
            <w:pPr>
              <w:jc w:val="left"/>
              <w:rPr>
                <w:rFonts w:ascii="宋体" w:hAnsi="宋体" w:cs="宋体"/>
                <w:bCs/>
                <w:sz w:val="24"/>
                <w:szCs w:val="24"/>
                <w:highlight w:val="none"/>
              </w:rPr>
            </w:pPr>
            <w:r>
              <w:rPr>
                <w:rFonts w:hint="eastAsia" w:ascii="宋体" w:hAnsi="宋体" w:cs="宋体"/>
                <w:bCs/>
                <w:sz w:val="24"/>
                <w:szCs w:val="24"/>
                <w:highlight w:val="none"/>
                <w:lang w:val="zh-CN"/>
              </w:rPr>
              <w:t>（</w:t>
            </w:r>
            <w:r>
              <w:rPr>
                <w:rFonts w:hint="eastAsia" w:ascii="宋体" w:hAnsi="宋体" w:cs="宋体"/>
                <w:bCs/>
                <w:sz w:val="24"/>
                <w:szCs w:val="24"/>
                <w:highlight w:val="none"/>
              </w:rPr>
              <w:t>4</w:t>
            </w:r>
            <w:r>
              <w:rPr>
                <w:rFonts w:hint="eastAsia" w:ascii="宋体" w:hAnsi="宋体" w:cs="宋体"/>
                <w:bCs/>
                <w:sz w:val="24"/>
                <w:szCs w:val="24"/>
                <w:highlight w:val="none"/>
                <w:lang w:val="zh-CN"/>
              </w:rPr>
              <w:t>）供应商名称：</w:t>
            </w:r>
            <w:r>
              <w:rPr>
                <w:rFonts w:hint="eastAsia" w:ascii="宋体" w:hAnsi="宋体" w:cs="宋体"/>
                <w:b/>
                <w:sz w:val="24"/>
                <w:szCs w:val="24"/>
                <w:highlight w:val="none"/>
                <w:u w:val="single"/>
                <w:lang w:val="zh-CN"/>
              </w:rPr>
              <w:t>（全称且加盖公章）</w:t>
            </w:r>
            <w:r>
              <w:rPr>
                <w:rFonts w:hint="eastAsia" w:ascii="宋体" w:hAnsi="宋体" w:cs="宋体"/>
                <w:bCs/>
                <w:sz w:val="24"/>
                <w:szCs w:val="24"/>
                <w:highlight w:val="non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832" w:type="dxa"/>
            <w:tcBorders>
              <w:right w:val="single" w:color="auto" w:sz="4" w:space="0"/>
            </w:tcBorders>
            <w:vAlign w:val="center"/>
          </w:tcPr>
          <w:p>
            <w:pPr>
              <w:jc w:val="center"/>
              <w:rPr>
                <w:rFonts w:ascii="宋体" w:hAnsi="宋体" w:cs="宋体"/>
                <w:bCs/>
                <w:sz w:val="24"/>
                <w:szCs w:val="24"/>
                <w:highlight w:val="none"/>
              </w:rPr>
            </w:pPr>
            <w:r>
              <w:rPr>
                <w:rFonts w:hint="eastAsia" w:ascii="宋体" w:hAnsi="宋体" w:cs="宋体"/>
                <w:bCs/>
                <w:sz w:val="24"/>
                <w:szCs w:val="24"/>
                <w:highlight w:val="none"/>
              </w:rPr>
              <w:t>23</w:t>
            </w:r>
          </w:p>
        </w:tc>
        <w:tc>
          <w:tcPr>
            <w:tcW w:w="1530" w:type="dxa"/>
            <w:tcBorders>
              <w:left w:val="single" w:color="auto" w:sz="4" w:space="0"/>
              <w:right w:val="single" w:color="auto" w:sz="4" w:space="0"/>
            </w:tcBorders>
            <w:vAlign w:val="center"/>
          </w:tcPr>
          <w:p>
            <w:pPr>
              <w:jc w:val="center"/>
              <w:rPr>
                <w:rFonts w:ascii="宋体" w:hAnsi="宋体" w:cs="宋体"/>
                <w:bCs/>
                <w:sz w:val="24"/>
                <w:szCs w:val="24"/>
                <w:highlight w:val="none"/>
              </w:rPr>
            </w:pPr>
            <w:r>
              <w:rPr>
                <w:rFonts w:hint="eastAsia" w:ascii="宋体" w:hAnsi="宋体" w:cs="宋体"/>
                <w:bCs/>
                <w:sz w:val="24"/>
                <w:szCs w:val="24"/>
                <w:highlight w:val="none"/>
              </w:rPr>
              <w:t>开标现场需携带验证材料</w:t>
            </w:r>
          </w:p>
        </w:tc>
        <w:tc>
          <w:tcPr>
            <w:tcW w:w="7611" w:type="dxa"/>
            <w:tcBorders>
              <w:left w:val="single" w:color="auto" w:sz="4" w:space="0"/>
            </w:tcBorders>
          </w:tcPr>
          <w:p>
            <w:pPr>
              <w:jc w:val="left"/>
              <w:rPr>
                <w:highlight w:val="none"/>
              </w:rPr>
            </w:pPr>
            <w:r>
              <w:rPr>
                <w:rFonts w:hint="eastAsia" w:ascii="宋体" w:hAnsi="宋体" w:cs="宋体"/>
                <w:bCs/>
                <w:sz w:val="24"/>
                <w:szCs w:val="24"/>
                <w:highlight w:val="none"/>
              </w:rPr>
              <w:t>企业法人营业执照、资质证书、委托代理人身份证原件、法人授权委托书、委托人必须是本公司员工并且需提供近三个月社保证明（出具缴费明细）投标保证金交纳证明</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现场</w:t>
            </w:r>
            <w:r>
              <w:rPr>
                <w:rFonts w:hint="eastAsia" w:ascii="宋体" w:hAnsi="宋体" w:cs="宋体"/>
                <w:bCs/>
                <w:sz w:val="24"/>
                <w:szCs w:val="24"/>
                <w:highlight w:val="none"/>
              </w:rPr>
              <w:t>查验。以上证件均须原件。</w:t>
            </w:r>
          </w:p>
        </w:tc>
      </w:tr>
    </w:tbl>
    <w:p>
      <w:pPr>
        <w:spacing w:line="500" w:lineRule="exact"/>
        <w:rPr>
          <w:rFonts w:ascii="宋体" w:hAnsi="宋体" w:cs="宋体"/>
          <w:b/>
          <w:sz w:val="24"/>
          <w:szCs w:val="24"/>
          <w:highlight w:val="none"/>
        </w:rPr>
      </w:pPr>
    </w:p>
    <w:p>
      <w:pPr>
        <w:spacing w:line="500" w:lineRule="exact"/>
        <w:ind w:firstLine="3213" w:firstLineChars="1000"/>
        <w:rPr>
          <w:rFonts w:ascii="宋体" w:hAnsi="宋体" w:cs="宋体"/>
          <w:b/>
          <w:sz w:val="32"/>
          <w:szCs w:val="32"/>
          <w:highlight w:val="none"/>
        </w:rPr>
      </w:pPr>
      <w:bookmarkStart w:id="27" w:name="_Toc24423_WPSOffice_Level1"/>
    </w:p>
    <w:p>
      <w:pPr>
        <w:spacing w:line="500" w:lineRule="exact"/>
        <w:ind w:firstLine="3213" w:firstLineChars="1000"/>
        <w:rPr>
          <w:rFonts w:ascii="宋体" w:hAnsi="宋体" w:cs="宋体"/>
          <w:b/>
          <w:sz w:val="32"/>
          <w:szCs w:val="32"/>
          <w:highlight w:val="none"/>
        </w:rPr>
      </w:pPr>
    </w:p>
    <w:p>
      <w:pPr>
        <w:spacing w:line="500" w:lineRule="exact"/>
        <w:ind w:firstLine="3213" w:firstLineChars="1000"/>
        <w:rPr>
          <w:rFonts w:ascii="宋体" w:hAnsi="宋体" w:cs="宋体"/>
          <w:b/>
          <w:sz w:val="32"/>
          <w:szCs w:val="32"/>
          <w:highlight w:val="none"/>
        </w:rPr>
      </w:pPr>
    </w:p>
    <w:p>
      <w:pPr>
        <w:spacing w:line="500" w:lineRule="exact"/>
        <w:rPr>
          <w:rFonts w:ascii="宋体" w:hAnsi="宋体" w:cs="宋体"/>
          <w:b/>
          <w:sz w:val="32"/>
          <w:szCs w:val="32"/>
          <w:highlight w:val="none"/>
        </w:rPr>
      </w:pPr>
    </w:p>
    <w:p>
      <w:pPr>
        <w:spacing w:line="500" w:lineRule="exact"/>
        <w:ind w:firstLine="3213" w:firstLineChars="1000"/>
        <w:rPr>
          <w:rFonts w:ascii="宋体" w:hAnsi="宋体" w:cs="宋体"/>
          <w:b/>
          <w:sz w:val="32"/>
          <w:szCs w:val="32"/>
          <w:highlight w:val="none"/>
        </w:rPr>
      </w:pPr>
      <w:r>
        <w:rPr>
          <w:rFonts w:hint="eastAsia" w:ascii="宋体" w:hAnsi="宋体" w:cs="宋体"/>
          <w:b/>
          <w:sz w:val="32"/>
          <w:szCs w:val="32"/>
          <w:highlight w:val="none"/>
        </w:rPr>
        <w:t>第三章 招标书</w:t>
      </w:r>
      <w:bookmarkEnd w:id="27"/>
    </w:p>
    <w:p>
      <w:pPr>
        <w:spacing w:line="500" w:lineRule="exact"/>
        <w:ind w:firstLine="560"/>
        <w:rPr>
          <w:rFonts w:ascii="宋体" w:hAnsi="宋体" w:cs="宋体"/>
          <w:sz w:val="24"/>
          <w:szCs w:val="24"/>
          <w:highlight w:val="none"/>
        </w:rPr>
      </w:pPr>
      <w:r>
        <w:rPr>
          <w:rFonts w:hint="eastAsia" w:ascii="宋体" w:hAnsi="宋体" w:cs="宋体"/>
          <w:b/>
          <w:bCs/>
          <w:sz w:val="24"/>
          <w:szCs w:val="24"/>
          <w:highlight w:val="none"/>
          <w:u w:val="single"/>
        </w:rPr>
        <w:t>新疆新建联项目管理咨询有限公司</w:t>
      </w:r>
      <w:r>
        <w:rPr>
          <w:rFonts w:hint="eastAsia" w:ascii="宋体" w:hAnsi="宋体" w:cs="宋体"/>
          <w:b/>
          <w:bCs/>
          <w:sz w:val="24"/>
          <w:szCs w:val="24"/>
          <w:highlight w:val="none"/>
        </w:rPr>
        <w:t>受</w:t>
      </w:r>
      <w:r>
        <w:rPr>
          <w:rFonts w:hint="eastAsia" w:ascii="宋体" w:hAnsi="宋体" w:cs="宋体"/>
          <w:b/>
          <w:bCs/>
          <w:sz w:val="24"/>
          <w:szCs w:val="24"/>
          <w:highlight w:val="none"/>
          <w:u w:val="single"/>
        </w:rPr>
        <w:t>和田县自然资源局</w:t>
      </w:r>
      <w:r>
        <w:rPr>
          <w:rFonts w:hint="eastAsia" w:ascii="宋体" w:hAnsi="宋体" w:cs="宋体"/>
          <w:b/>
          <w:bCs/>
          <w:sz w:val="24"/>
          <w:szCs w:val="24"/>
          <w:highlight w:val="none"/>
        </w:rPr>
        <w:t>委托</w:t>
      </w:r>
      <w:r>
        <w:rPr>
          <w:rFonts w:hint="eastAsia" w:ascii="宋体" w:hAnsi="宋体" w:cs="宋体"/>
          <w:sz w:val="24"/>
          <w:szCs w:val="24"/>
          <w:highlight w:val="none"/>
        </w:rPr>
        <w:t>，为</w:t>
      </w:r>
      <w:r>
        <w:rPr>
          <w:rFonts w:hint="eastAsia" w:ascii="宋体" w:hAnsi="宋体" w:cs="宋体"/>
          <w:sz w:val="24"/>
          <w:szCs w:val="24"/>
          <w:highlight w:val="none"/>
          <w:lang w:val="zh-CN"/>
        </w:rPr>
        <w:t>本次采购项目</w:t>
      </w:r>
      <w:r>
        <w:rPr>
          <w:rFonts w:hint="eastAsia" w:ascii="宋体" w:hAnsi="宋体" w:cs="宋体"/>
          <w:sz w:val="24"/>
          <w:szCs w:val="24"/>
          <w:highlight w:val="none"/>
        </w:rPr>
        <w:t>进行公开招标采购。</w:t>
      </w:r>
    </w:p>
    <w:p>
      <w:pPr>
        <w:widowControl/>
        <w:spacing w:line="360" w:lineRule="auto"/>
        <w:jc w:val="left"/>
        <w:rPr>
          <w:rFonts w:ascii="宋体" w:hAnsi="宋体" w:cs="宋体"/>
          <w:bCs/>
          <w:sz w:val="24"/>
          <w:szCs w:val="24"/>
          <w:highlight w:val="none"/>
        </w:rPr>
      </w:pPr>
      <w:r>
        <w:rPr>
          <w:rFonts w:hint="eastAsia" w:ascii="宋体" w:hAnsi="宋体" w:cs="宋体"/>
          <w:b/>
          <w:sz w:val="24"/>
          <w:szCs w:val="24"/>
          <w:highlight w:val="none"/>
        </w:rPr>
        <w:t>一、招标文件编号：</w:t>
      </w:r>
    </w:p>
    <w:p>
      <w:pPr>
        <w:widowControl/>
        <w:spacing w:line="360" w:lineRule="auto"/>
        <w:ind w:left="961" w:leftChars="228" w:hanging="482" w:hangingChars="200"/>
        <w:rPr>
          <w:rFonts w:ascii="宋体" w:hAnsi="宋体" w:cs="宋体"/>
          <w:sz w:val="24"/>
          <w:szCs w:val="24"/>
          <w:highlight w:val="none"/>
          <w:lang w:val="zh-CN"/>
        </w:rPr>
      </w:pPr>
      <w:r>
        <w:rPr>
          <w:rFonts w:hint="eastAsia" w:ascii="宋体" w:hAnsi="宋体" w:cs="宋体"/>
          <w:b/>
          <w:sz w:val="24"/>
          <w:szCs w:val="24"/>
          <w:highlight w:val="none"/>
        </w:rPr>
        <w:t>二、项目名称：</w:t>
      </w:r>
      <w:r>
        <w:rPr>
          <w:rFonts w:hint="eastAsia" w:ascii="宋体" w:hAnsi="宋体" w:cs="宋体"/>
          <w:b/>
          <w:bCs/>
          <w:sz w:val="24"/>
          <w:szCs w:val="24"/>
          <w:highlight w:val="none"/>
          <w:u w:val="single"/>
        </w:rPr>
        <w:t>和田县一万亩补充耕地项目施工监理和审计服务采购招标（包一）</w:t>
      </w:r>
      <w:r>
        <w:rPr>
          <w:rFonts w:hint="eastAsia" w:ascii="宋体" w:hAnsi="宋体" w:cs="宋体"/>
          <w:b/>
          <w:bCs/>
          <w:sz w:val="24"/>
          <w:szCs w:val="24"/>
          <w:highlight w:val="none"/>
        </w:rPr>
        <w:t>采购内容：和田县一万亩补充耕地项目施工监理服务</w:t>
      </w:r>
      <w:r>
        <w:rPr>
          <w:rFonts w:hint="eastAsia" w:ascii="宋体" w:hAnsi="宋体" w:cs="宋体"/>
          <w:sz w:val="24"/>
          <w:szCs w:val="24"/>
          <w:highlight w:val="none"/>
        </w:rPr>
        <w:t>（详见第五章技术要求）</w:t>
      </w:r>
    </w:p>
    <w:p>
      <w:pPr>
        <w:spacing w:line="360" w:lineRule="auto"/>
        <w:rPr>
          <w:rFonts w:ascii="宋体" w:hAnsi="宋体" w:cs="宋体"/>
          <w:b/>
          <w:bCs/>
          <w:color w:val="auto"/>
          <w:sz w:val="24"/>
          <w:szCs w:val="24"/>
          <w:highlight w:val="none"/>
        </w:rPr>
      </w:pPr>
      <w:r>
        <w:rPr>
          <w:rFonts w:hint="eastAsia" w:ascii="宋体" w:hAnsi="宋体" w:cs="宋体"/>
          <w:b/>
          <w:bCs/>
          <w:sz w:val="24"/>
          <w:szCs w:val="24"/>
          <w:highlight w:val="none"/>
        </w:rPr>
        <w:t>三、简</w:t>
      </w:r>
      <w:r>
        <w:rPr>
          <w:rFonts w:hint="eastAsia" w:ascii="宋体" w:hAnsi="宋体" w:cs="宋体"/>
          <w:b/>
          <w:bCs/>
          <w:color w:val="auto"/>
          <w:sz w:val="24"/>
          <w:szCs w:val="24"/>
          <w:highlight w:val="none"/>
        </w:rPr>
        <w:t>要说明：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1、项目实施地点：业主指定地点。</w:t>
      </w:r>
    </w:p>
    <w:p>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2、项目周期：施工期及缺陷责任期（一年）的全部监理内容</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四、招标内容</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详见第五章    技术要求</w:t>
      </w:r>
    </w:p>
    <w:p>
      <w:pPr>
        <w:spacing w:line="360" w:lineRule="auto"/>
        <w:rPr>
          <w:rFonts w:ascii="宋体" w:hAnsi="宋体" w:cs="宋体"/>
          <w:b/>
          <w:sz w:val="24"/>
          <w:szCs w:val="24"/>
          <w:highlight w:val="none"/>
        </w:rPr>
      </w:pPr>
      <w:r>
        <w:rPr>
          <w:rFonts w:hint="eastAsia" w:ascii="宋体" w:hAnsi="宋体" w:cs="宋体"/>
          <w:b/>
          <w:sz w:val="24"/>
          <w:szCs w:val="24"/>
          <w:highlight w:val="none"/>
        </w:rPr>
        <w:t>五、投标保证金数额：</w:t>
      </w:r>
      <w:r>
        <w:rPr>
          <w:rFonts w:hint="eastAsia" w:ascii="宋体" w:hAnsi="宋体" w:cs="宋体"/>
          <w:bCs/>
          <w:sz w:val="24"/>
          <w:szCs w:val="24"/>
          <w:highlight w:val="none"/>
        </w:rPr>
        <w:t>详见投标人须知前附表</w:t>
      </w:r>
      <w:r>
        <w:rPr>
          <w:rFonts w:hint="eastAsia" w:ascii="宋体" w:hAnsi="宋体" w:cs="宋体"/>
          <w:b/>
          <w:sz w:val="24"/>
          <w:szCs w:val="24"/>
          <w:highlight w:val="none"/>
        </w:rPr>
        <w:t>。</w:t>
      </w:r>
    </w:p>
    <w:p>
      <w:pPr>
        <w:spacing w:line="360" w:lineRule="auto"/>
        <w:rPr>
          <w:rFonts w:ascii="宋体" w:hAnsi="宋体" w:cs="宋体"/>
          <w:b/>
          <w:sz w:val="24"/>
          <w:szCs w:val="24"/>
          <w:highlight w:val="none"/>
        </w:rPr>
      </w:pPr>
      <w:r>
        <w:rPr>
          <w:rFonts w:hint="eastAsia" w:ascii="宋体" w:hAnsi="宋体" w:cs="宋体"/>
          <w:b/>
          <w:sz w:val="24"/>
          <w:szCs w:val="24"/>
          <w:highlight w:val="none"/>
        </w:rPr>
        <w:t>六、特别提示</w:t>
      </w:r>
    </w:p>
    <w:p>
      <w:pPr>
        <w:spacing w:line="360" w:lineRule="auto"/>
        <w:ind w:left="240" w:hanging="240" w:hangingChars="100"/>
        <w:rPr>
          <w:rFonts w:ascii="宋体" w:hAnsi="宋体" w:cs="宋体"/>
          <w:color w:val="0000FF"/>
          <w:sz w:val="24"/>
          <w:szCs w:val="24"/>
          <w:highlight w:val="none"/>
        </w:rPr>
      </w:pPr>
      <w:r>
        <w:rPr>
          <w:rFonts w:hint="eastAsia" w:ascii="宋体" w:hAnsi="宋体" w:cs="宋体"/>
          <w:sz w:val="24"/>
          <w:szCs w:val="24"/>
          <w:highlight w:val="none"/>
        </w:rPr>
        <w:t>1、获取文件地址：新疆政府采购网自行下载。</w:t>
      </w:r>
    </w:p>
    <w:p>
      <w:pPr>
        <w:spacing w:line="500" w:lineRule="exact"/>
        <w:jc w:val="center"/>
        <w:rPr>
          <w:rFonts w:ascii="宋体" w:hAnsi="宋体" w:cs="宋体"/>
          <w:b/>
          <w:sz w:val="24"/>
          <w:szCs w:val="24"/>
          <w:highlight w:val="none"/>
        </w:rPr>
      </w:pPr>
    </w:p>
    <w:p>
      <w:pPr>
        <w:pStyle w:val="30"/>
        <w:rPr>
          <w:rFonts w:hAnsi="宋体"/>
          <w:b/>
          <w:highlight w:val="none"/>
        </w:rPr>
      </w:pPr>
    </w:p>
    <w:p>
      <w:pPr>
        <w:pStyle w:val="30"/>
        <w:rPr>
          <w:rFonts w:hAnsi="宋体"/>
          <w:b/>
          <w:highlight w:val="none"/>
        </w:rPr>
      </w:pPr>
    </w:p>
    <w:p>
      <w:pPr>
        <w:pStyle w:val="30"/>
        <w:rPr>
          <w:rFonts w:hAnsi="宋体"/>
          <w:b/>
          <w:highlight w:val="none"/>
        </w:rPr>
      </w:pPr>
    </w:p>
    <w:p>
      <w:pPr>
        <w:spacing w:line="500" w:lineRule="exact"/>
        <w:jc w:val="center"/>
        <w:rPr>
          <w:rFonts w:ascii="宋体" w:hAnsi="宋体" w:cs="宋体"/>
          <w:b/>
          <w:sz w:val="30"/>
          <w:szCs w:val="30"/>
          <w:highlight w:val="none"/>
        </w:rPr>
      </w:pPr>
      <w:bookmarkStart w:id="28" w:name="_Toc16906_WPSOffice_Level1"/>
    </w:p>
    <w:p>
      <w:pPr>
        <w:pStyle w:val="2"/>
        <w:rPr>
          <w:rFonts w:hint="default" w:cs="宋体"/>
          <w:sz w:val="30"/>
          <w:szCs w:val="30"/>
          <w:highlight w:val="none"/>
        </w:rPr>
      </w:pPr>
    </w:p>
    <w:p>
      <w:pPr>
        <w:rPr>
          <w:rFonts w:ascii="宋体" w:hAnsi="宋体" w:cs="宋体"/>
          <w:b/>
          <w:sz w:val="30"/>
          <w:szCs w:val="30"/>
          <w:highlight w:val="none"/>
        </w:rPr>
      </w:pPr>
    </w:p>
    <w:p>
      <w:pPr>
        <w:pStyle w:val="2"/>
        <w:rPr>
          <w:rFonts w:hint="default" w:cs="宋体"/>
          <w:sz w:val="30"/>
          <w:szCs w:val="30"/>
          <w:highlight w:val="none"/>
        </w:rPr>
      </w:pPr>
    </w:p>
    <w:p>
      <w:pPr>
        <w:rPr>
          <w:rFonts w:ascii="宋体" w:hAnsi="宋体" w:cs="宋体"/>
          <w:b/>
          <w:sz w:val="30"/>
          <w:szCs w:val="30"/>
          <w:highlight w:val="none"/>
        </w:rPr>
      </w:pPr>
    </w:p>
    <w:p>
      <w:pPr>
        <w:pStyle w:val="2"/>
        <w:rPr>
          <w:rFonts w:hint="default" w:cs="宋体"/>
          <w:sz w:val="30"/>
          <w:szCs w:val="30"/>
          <w:highlight w:val="none"/>
        </w:rPr>
      </w:pPr>
    </w:p>
    <w:p>
      <w:pPr>
        <w:spacing w:line="500" w:lineRule="exact"/>
        <w:rPr>
          <w:rFonts w:ascii="宋体" w:hAnsi="宋体" w:cs="宋体"/>
          <w:b/>
          <w:sz w:val="30"/>
          <w:szCs w:val="30"/>
          <w:highlight w:val="none"/>
        </w:rPr>
      </w:pPr>
    </w:p>
    <w:p>
      <w:pPr>
        <w:spacing w:line="500" w:lineRule="exact"/>
        <w:jc w:val="center"/>
        <w:rPr>
          <w:rFonts w:ascii="宋体" w:hAnsi="宋体" w:cs="宋体"/>
          <w:b/>
          <w:sz w:val="30"/>
          <w:szCs w:val="30"/>
          <w:highlight w:val="none"/>
        </w:rPr>
      </w:pPr>
      <w:r>
        <w:rPr>
          <w:rFonts w:hint="eastAsia" w:ascii="宋体" w:hAnsi="宋体" w:cs="宋体"/>
          <w:b/>
          <w:sz w:val="30"/>
          <w:szCs w:val="30"/>
          <w:highlight w:val="none"/>
        </w:rPr>
        <w:t>第四章 投标须知</w:t>
      </w:r>
      <w:bookmarkEnd w:id="28"/>
    </w:p>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一、总  则</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1、适用范围</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 本招标文件仅适于本次投标中所述的</w:t>
      </w:r>
      <w:r>
        <w:rPr>
          <w:rFonts w:hint="eastAsia" w:ascii="宋体" w:hAnsi="宋体" w:cs="宋体"/>
          <w:b/>
          <w:bCs/>
          <w:sz w:val="24"/>
          <w:szCs w:val="24"/>
          <w:highlight w:val="none"/>
          <w:u w:val="single"/>
        </w:rPr>
        <w:t>和田县一万亩补充耕地项目施工监理和审计服务采购招标（包一）</w:t>
      </w:r>
      <w:r>
        <w:rPr>
          <w:rFonts w:hint="eastAsia" w:ascii="宋体" w:hAnsi="宋体" w:cs="宋体"/>
          <w:sz w:val="24"/>
          <w:szCs w:val="24"/>
          <w:highlight w:val="none"/>
        </w:rPr>
        <w:t>进行招标。</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2、合格的投标人</w:t>
      </w:r>
    </w:p>
    <w:p>
      <w:pPr>
        <w:spacing w:line="500" w:lineRule="exact"/>
        <w:ind w:firstLine="460" w:firstLineChars="192"/>
        <w:rPr>
          <w:rFonts w:ascii="宋体" w:hAnsi="宋体" w:cs="宋体"/>
          <w:bCs/>
          <w:sz w:val="24"/>
          <w:szCs w:val="24"/>
          <w:highlight w:val="none"/>
        </w:rPr>
      </w:pPr>
      <w:r>
        <w:rPr>
          <w:rFonts w:hint="eastAsia" w:ascii="宋体" w:hAnsi="宋体" w:cs="宋体"/>
          <w:bCs/>
          <w:sz w:val="24"/>
          <w:szCs w:val="24"/>
          <w:highlight w:val="none"/>
        </w:rPr>
        <w:t>2.1投标人资格要求：</w:t>
      </w:r>
    </w:p>
    <w:p>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详见投标人须知前附表</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3、定义</w:t>
      </w:r>
    </w:p>
    <w:p>
      <w:pPr>
        <w:pStyle w:val="6"/>
        <w:overflowPunct w:val="0"/>
        <w:spacing w:line="500" w:lineRule="exact"/>
        <w:ind w:firstLine="0"/>
        <w:rPr>
          <w:rFonts w:ascii="宋体" w:hAnsi="宋体" w:eastAsia="宋体" w:cs="宋体"/>
          <w:szCs w:val="24"/>
          <w:highlight w:val="none"/>
          <w:lang w:val="zh-CN"/>
        </w:rPr>
      </w:pPr>
      <w:r>
        <w:rPr>
          <w:rFonts w:hint="eastAsia" w:ascii="宋体" w:hAnsi="宋体" w:eastAsia="宋体" w:cs="宋体"/>
          <w:szCs w:val="24"/>
          <w:highlight w:val="none"/>
        </w:rPr>
        <w:t xml:space="preserve">    3.1 “采购人”系指合同中明确规定的实际购买货物和服务的法人、行政事业单位、团体组织。</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 “投标人”系指响应招标，并按照招标文件的要求参与工程任务竞争的法人，中标后即为中标人，签定合同后即为卖方。</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3.3 “招标机构”系指在委托人授权范围内具体组织实施招标活动的法人。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 “货物”系指卖方按合同要求，须向买方提供的一切产品及其它技术资料和材料。</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3.6 “卖方”系指提供合同货物和服务的法人。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3.7 “买方”系指购买货物的单位。</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4、投标费用</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 无论投标结果如何，投标人须自行承担所有与参加投标有关的全部费用,采购人和招标代理机构在任何情况下均无义务和责任承担这些费用。</w:t>
      </w:r>
    </w:p>
    <w:p>
      <w:pPr>
        <w:spacing w:line="500" w:lineRule="exact"/>
        <w:ind w:firstLine="480" w:firstLineChars="200"/>
        <w:rPr>
          <w:rFonts w:ascii="宋体" w:hAnsi="宋体" w:cs="宋体"/>
          <w:sz w:val="24"/>
          <w:szCs w:val="24"/>
          <w:highlight w:val="none"/>
        </w:rPr>
      </w:pPr>
    </w:p>
    <w:p>
      <w:pPr>
        <w:spacing w:line="500" w:lineRule="exact"/>
        <w:jc w:val="both"/>
        <w:rPr>
          <w:rFonts w:ascii="宋体" w:hAnsi="宋体" w:cs="宋体"/>
          <w:b/>
          <w:sz w:val="24"/>
          <w:szCs w:val="24"/>
          <w:highlight w:val="none"/>
        </w:rPr>
      </w:pPr>
    </w:p>
    <w:p>
      <w:pPr>
        <w:pStyle w:val="22"/>
        <w:rPr>
          <w:highlight w:val="none"/>
        </w:rPr>
      </w:pPr>
    </w:p>
    <w:p>
      <w:pPr>
        <w:spacing w:line="500" w:lineRule="exact"/>
        <w:jc w:val="center"/>
        <w:rPr>
          <w:rFonts w:ascii="宋体" w:hAnsi="宋体" w:cs="宋体"/>
          <w:b/>
          <w:sz w:val="24"/>
          <w:szCs w:val="24"/>
          <w:highlight w:val="none"/>
        </w:rPr>
      </w:pPr>
    </w:p>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二、招标文件</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5、招标文件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 招标文件用以阐明所招标的内容，招标投标程序及合同条款，包括：</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5.1.1 招标公告</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5.1.2投标人须知前附表；</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5.1.3招标书；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5.1.4 投标人须知；</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5.1.5 技术要求；</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5.1.6合同；</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5.1.7 投标文件格式。</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5.2投标人应仔细阅读招标文件中的所有内容。招标机构将拒绝未按招标文件的要求提供全部资料或提交的投标文件未对招标文件作出实质性响应的投标。</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6、招标文件的澄清</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 任何要求澄清招标文件的投标人，均应在投标截止日期五天前以书面形式或传真、电报通知招标机构。招标机构将以书面形式予以答复，同时将书面通知每个购买招标文件的投标人。投标人不得与采购人私下就工程招投标的有关实质性的问题进行磋商。</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7、招标文件的修改</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 在投标截止时间3天以前，采购人都可能以《招标文件补充》的方式修改招标文件。并将以书面形式通知所有购买招标文件的投标人，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 《招标文件补充》作为招标文件的组成部分，对投标人具有同等约束力。如果招标文件补充内容与在此招标文件补充发出之前的招标文件等书面材料中相关内容相冲突，请投标人执行招标文件补充的相关内容，先前发出的招标文件等书面材料中相关内容自动废止。</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 为使投标人在编制投标文件时把《招标文件补充》内容考虑进去，采购人可以相应延长投标截止日期，具体时间将在《招标文件补充》中写明。</w:t>
      </w:r>
    </w:p>
    <w:p>
      <w:pPr>
        <w:spacing w:line="500" w:lineRule="exact"/>
        <w:jc w:val="center"/>
        <w:rPr>
          <w:rFonts w:ascii="宋体" w:hAnsi="宋体" w:cs="宋体"/>
          <w:b/>
          <w:sz w:val="24"/>
          <w:szCs w:val="24"/>
          <w:highlight w:val="none"/>
        </w:rPr>
      </w:pPr>
    </w:p>
    <w:p>
      <w:pPr>
        <w:spacing w:line="500" w:lineRule="exact"/>
        <w:rPr>
          <w:rFonts w:ascii="宋体" w:hAnsi="宋体" w:cs="宋体"/>
          <w:b/>
          <w:sz w:val="30"/>
          <w:szCs w:val="30"/>
          <w:highlight w:val="none"/>
        </w:rPr>
      </w:pPr>
    </w:p>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三、投标文件的编制</w:t>
      </w:r>
    </w:p>
    <w:p>
      <w:pPr>
        <w:spacing w:line="500" w:lineRule="exact"/>
        <w:rPr>
          <w:rFonts w:ascii="宋体" w:hAnsi="宋体" w:cs="宋体"/>
          <w:b/>
          <w:sz w:val="24"/>
          <w:szCs w:val="24"/>
          <w:highlight w:val="none"/>
        </w:rPr>
      </w:pP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8、 投标文件的编写</w:t>
      </w:r>
    </w:p>
    <w:p>
      <w:pPr>
        <w:widowControl/>
        <w:spacing w:line="500" w:lineRule="exact"/>
        <w:rPr>
          <w:rFonts w:ascii="宋体" w:hAnsi="宋体" w:cs="宋体"/>
          <w:b/>
          <w:color w:val="FF00FF"/>
          <w:sz w:val="24"/>
          <w:szCs w:val="24"/>
          <w:highlight w:val="none"/>
          <w:shd w:val="pct10" w:color="auto" w:fill="FFFFFF"/>
        </w:rPr>
      </w:pPr>
      <w:r>
        <w:rPr>
          <w:rFonts w:hint="eastAsia" w:ascii="宋体" w:hAnsi="宋体" w:cs="宋体"/>
          <w:sz w:val="24"/>
          <w:szCs w:val="24"/>
          <w:highlight w:val="none"/>
        </w:rPr>
        <w:t xml:space="preserve">    8.1 投标人应仔细阅读招标文件，了解招标文件的要求。在充分理解招标文件提出的技术要求、服务和商务条件后，编制投标文件。</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9、 投标的语言</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9.2投标文件中使用的计量单位除招标文件中有特殊规定外，一律使用法定计量单位。</w:t>
      </w:r>
    </w:p>
    <w:p>
      <w:pPr>
        <w:spacing w:line="500" w:lineRule="exact"/>
        <w:ind w:firstLine="560"/>
        <w:rPr>
          <w:rFonts w:ascii="宋体" w:hAnsi="宋体" w:cs="宋体"/>
          <w:b/>
          <w:bCs/>
          <w:sz w:val="24"/>
          <w:szCs w:val="24"/>
          <w:highlight w:val="none"/>
        </w:rPr>
      </w:pPr>
      <w:r>
        <w:rPr>
          <w:rFonts w:hint="eastAsia" w:ascii="宋体" w:hAnsi="宋体" w:cs="宋体"/>
          <w:b/>
          <w:bCs/>
          <w:sz w:val="24"/>
          <w:szCs w:val="24"/>
          <w:highlight w:val="none"/>
        </w:rPr>
        <w:t>10、投标文件的格式</w:t>
      </w:r>
    </w:p>
    <w:p>
      <w:pPr>
        <w:spacing w:line="500" w:lineRule="exact"/>
        <w:ind w:firstLine="560"/>
        <w:rPr>
          <w:rFonts w:ascii="宋体" w:hAnsi="宋体" w:cs="宋体"/>
          <w:sz w:val="24"/>
          <w:szCs w:val="24"/>
          <w:highlight w:val="none"/>
        </w:rPr>
      </w:pPr>
      <w:r>
        <w:rPr>
          <w:rFonts w:hint="eastAsia" w:ascii="宋体" w:hAnsi="宋体" w:cs="宋体"/>
          <w:sz w:val="24"/>
          <w:szCs w:val="24"/>
          <w:highlight w:val="none"/>
        </w:rPr>
        <w:t>10.1投标人应按招标文件提供的格式及投标报价说明完整地填写所提供的产品、服务、数量及价格。</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500" w:lineRule="exact"/>
        <w:rPr>
          <w:rFonts w:ascii="宋体" w:hAnsi="宋体" w:cs="宋体"/>
          <w:b/>
          <w:color w:val="000000"/>
          <w:sz w:val="24"/>
          <w:szCs w:val="24"/>
          <w:highlight w:val="none"/>
        </w:rPr>
      </w:pPr>
      <w:r>
        <w:rPr>
          <w:rFonts w:hint="eastAsia" w:ascii="宋体" w:hAnsi="宋体" w:cs="宋体"/>
          <w:b/>
          <w:sz w:val="24"/>
          <w:szCs w:val="24"/>
          <w:highlight w:val="none"/>
        </w:rPr>
        <w:t xml:space="preserve">    11、投标文件的组成和顺序:投标文件由监理投标书、监理大纲、二部分组成，合装成一本标书（胶装）。</w:t>
      </w:r>
      <w:r>
        <w:rPr>
          <w:rFonts w:hint="eastAsia" w:ascii="宋体" w:hAnsi="宋体" w:cs="宋体"/>
          <w:b/>
          <w:color w:val="000000"/>
          <w:sz w:val="24"/>
          <w:szCs w:val="24"/>
          <w:highlight w:val="none"/>
        </w:rPr>
        <w:t>报价一览表需按招标文件提供的格式填写，统一规范，不得自行增减内容，并单独提供且与投标文件中提供的一致，并按招标文件要求密封。</w:t>
      </w:r>
    </w:p>
    <w:p>
      <w:pPr>
        <w:spacing w:line="500" w:lineRule="exact"/>
        <w:rPr>
          <w:rFonts w:ascii="宋体" w:hAnsi="宋体" w:cs="宋体"/>
          <w:sz w:val="24"/>
          <w:szCs w:val="24"/>
          <w:highlight w:val="none"/>
        </w:rPr>
      </w:pPr>
      <w:r>
        <w:rPr>
          <w:rFonts w:hint="eastAsia" w:ascii="宋体" w:hAnsi="宋体" w:cs="宋体"/>
          <w:sz w:val="24"/>
          <w:szCs w:val="24"/>
          <w:highlight w:val="none"/>
        </w:rPr>
        <w:t>一、监理投标书</w:t>
      </w:r>
    </w:p>
    <w:p>
      <w:pPr>
        <w:spacing w:line="500" w:lineRule="exact"/>
        <w:rPr>
          <w:rFonts w:ascii="宋体" w:hAnsi="宋体" w:cs="宋体"/>
          <w:sz w:val="24"/>
          <w:szCs w:val="24"/>
          <w:highlight w:val="none"/>
        </w:rPr>
      </w:pPr>
      <w:r>
        <w:rPr>
          <w:rFonts w:hint="eastAsia" w:ascii="宋体" w:hAnsi="宋体" w:cs="宋体"/>
          <w:sz w:val="24"/>
          <w:szCs w:val="24"/>
          <w:highlight w:val="none"/>
        </w:rPr>
        <w:t>二、监理费用构成明细表</w:t>
      </w:r>
    </w:p>
    <w:p>
      <w:pPr>
        <w:spacing w:line="500" w:lineRule="exact"/>
        <w:rPr>
          <w:rFonts w:ascii="宋体" w:hAnsi="宋体" w:cs="宋体"/>
          <w:sz w:val="24"/>
          <w:szCs w:val="24"/>
          <w:highlight w:val="none"/>
        </w:rPr>
      </w:pPr>
      <w:r>
        <w:rPr>
          <w:rFonts w:hint="eastAsia" w:ascii="宋体" w:hAnsi="宋体" w:cs="宋体"/>
          <w:sz w:val="24"/>
          <w:szCs w:val="24"/>
          <w:highlight w:val="none"/>
        </w:rPr>
        <w:t>三、投标保证金</w:t>
      </w:r>
    </w:p>
    <w:p>
      <w:pPr>
        <w:spacing w:line="500" w:lineRule="exact"/>
        <w:rPr>
          <w:rFonts w:ascii="宋体" w:hAnsi="宋体" w:cs="宋体"/>
          <w:sz w:val="24"/>
          <w:szCs w:val="24"/>
          <w:highlight w:val="none"/>
        </w:rPr>
      </w:pPr>
      <w:r>
        <w:rPr>
          <w:rFonts w:hint="eastAsia" w:ascii="宋体" w:hAnsi="宋体" w:cs="宋体"/>
          <w:sz w:val="24"/>
          <w:szCs w:val="24"/>
          <w:highlight w:val="none"/>
        </w:rPr>
        <w:t>四、法定代表人授权委托书</w:t>
      </w:r>
    </w:p>
    <w:p>
      <w:pPr>
        <w:spacing w:line="500" w:lineRule="exact"/>
        <w:rPr>
          <w:rFonts w:ascii="宋体" w:hAnsi="宋体" w:cs="宋体"/>
          <w:sz w:val="24"/>
          <w:szCs w:val="24"/>
          <w:highlight w:val="none"/>
        </w:rPr>
      </w:pPr>
      <w:r>
        <w:rPr>
          <w:rFonts w:hint="eastAsia" w:ascii="宋体" w:hAnsi="宋体" w:cs="宋体"/>
          <w:sz w:val="24"/>
          <w:szCs w:val="24"/>
          <w:highlight w:val="none"/>
        </w:rPr>
        <w:t>五、项目总监理工程师情况一览表</w:t>
      </w:r>
    </w:p>
    <w:p>
      <w:pPr>
        <w:spacing w:line="500" w:lineRule="exact"/>
        <w:rPr>
          <w:rFonts w:ascii="宋体" w:hAnsi="宋体" w:cs="宋体"/>
          <w:sz w:val="24"/>
          <w:szCs w:val="24"/>
          <w:highlight w:val="none"/>
        </w:rPr>
      </w:pPr>
      <w:r>
        <w:rPr>
          <w:rFonts w:hint="eastAsia" w:ascii="宋体" w:hAnsi="宋体" w:cs="宋体"/>
          <w:sz w:val="24"/>
          <w:szCs w:val="24"/>
          <w:highlight w:val="none"/>
        </w:rPr>
        <w:t>六、专业监理工程师、监理员配备一览表</w:t>
      </w:r>
    </w:p>
    <w:p>
      <w:pPr>
        <w:spacing w:line="500" w:lineRule="exact"/>
        <w:rPr>
          <w:rFonts w:ascii="宋体" w:hAnsi="宋体" w:cs="宋体"/>
          <w:sz w:val="24"/>
          <w:szCs w:val="24"/>
          <w:highlight w:val="none"/>
        </w:rPr>
      </w:pPr>
      <w:r>
        <w:rPr>
          <w:rFonts w:hint="eastAsia" w:ascii="宋体" w:hAnsi="宋体" w:cs="宋体"/>
          <w:sz w:val="24"/>
          <w:szCs w:val="24"/>
          <w:highlight w:val="none"/>
        </w:rPr>
        <w:t>七、主要检测设备仪器一览表</w:t>
      </w:r>
    </w:p>
    <w:p>
      <w:pPr>
        <w:spacing w:line="500" w:lineRule="exact"/>
        <w:rPr>
          <w:rFonts w:ascii="宋体" w:hAnsi="宋体" w:cs="宋体"/>
          <w:sz w:val="24"/>
          <w:szCs w:val="24"/>
          <w:highlight w:val="none"/>
        </w:rPr>
      </w:pPr>
      <w:r>
        <w:rPr>
          <w:rFonts w:hint="eastAsia" w:ascii="宋体" w:hAnsi="宋体" w:cs="宋体"/>
          <w:sz w:val="24"/>
          <w:szCs w:val="24"/>
          <w:highlight w:val="none"/>
        </w:rPr>
        <w:t>八、企业承担类似或相近工程情况一览表</w:t>
      </w:r>
    </w:p>
    <w:p>
      <w:pPr>
        <w:spacing w:line="500" w:lineRule="exact"/>
        <w:rPr>
          <w:rFonts w:ascii="宋体" w:hAnsi="宋体" w:cs="宋体"/>
          <w:sz w:val="24"/>
          <w:szCs w:val="24"/>
          <w:highlight w:val="none"/>
        </w:rPr>
      </w:pPr>
      <w:r>
        <w:rPr>
          <w:rFonts w:hint="eastAsia" w:ascii="宋体" w:hAnsi="宋体" w:cs="宋体"/>
          <w:sz w:val="24"/>
          <w:szCs w:val="24"/>
          <w:highlight w:val="none"/>
        </w:rPr>
        <w:t>九、财务状况表</w:t>
      </w:r>
    </w:p>
    <w:p>
      <w:pPr>
        <w:spacing w:line="500" w:lineRule="exact"/>
        <w:rPr>
          <w:rFonts w:ascii="宋体" w:hAnsi="宋体" w:cs="宋体"/>
          <w:sz w:val="24"/>
          <w:szCs w:val="24"/>
          <w:highlight w:val="none"/>
        </w:rPr>
      </w:pPr>
      <w:r>
        <w:rPr>
          <w:rFonts w:hint="eastAsia" w:ascii="宋体" w:hAnsi="宋体" w:cs="宋体"/>
          <w:sz w:val="24"/>
          <w:szCs w:val="24"/>
          <w:highlight w:val="none"/>
        </w:rPr>
        <w:t>十、监理大纲</w:t>
      </w:r>
    </w:p>
    <w:p>
      <w:pPr>
        <w:spacing w:line="500" w:lineRule="exact"/>
        <w:rPr>
          <w:rFonts w:ascii="宋体" w:hAnsi="宋体" w:cs="宋体"/>
          <w:sz w:val="24"/>
          <w:szCs w:val="24"/>
          <w:highlight w:val="none"/>
        </w:rPr>
      </w:pPr>
      <w:r>
        <w:rPr>
          <w:rFonts w:hint="eastAsia" w:ascii="宋体" w:hAnsi="宋体" w:cs="宋体"/>
          <w:sz w:val="24"/>
          <w:szCs w:val="24"/>
          <w:highlight w:val="none"/>
        </w:rPr>
        <w:t>十一、其他资料</w:t>
      </w:r>
    </w:p>
    <w:p>
      <w:pPr>
        <w:spacing w:line="500" w:lineRule="exact"/>
        <w:rPr>
          <w:rFonts w:ascii="宋体" w:hAnsi="宋体" w:cs="宋体"/>
          <w:sz w:val="24"/>
          <w:szCs w:val="24"/>
          <w:highlight w:val="none"/>
        </w:rPr>
      </w:pPr>
      <w:r>
        <w:rPr>
          <w:rFonts w:hint="eastAsia" w:ascii="宋体" w:hAnsi="宋体" w:cs="宋体"/>
          <w:sz w:val="24"/>
          <w:szCs w:val="24"/>
          <w:highlight w:val="none"/>
        </w:rPr>
        <w:t>十二、</w:t>
      </w:r>
      <w:r>
        <w:rPr>
          <w:rFonts w:ascii="宋体" w:hAnsi="宋体" w:cs="宋体"/>
          <w:sz w:val="24"/>
          <w:szCs w:val="24"/>
          <w:highlight w:val="none"/>
        </w:rPr>
        <w:t>中小企业声明函（如是）</w:t>
      </w:r>
    </w:p>
    <w:p>
      <w:pPr>
        <w:spacing w:line="500" w:lineRule="exact"/>
        <w:rPr>
          <w:rFonts w:ascii="宋体" w:hAnsi="宋体" w:cs="宋体"/>
          <w:color w:val="0000FF"/>
          <w:sz w:val="24"/>
          <w:szCs w:val="24"/>
          <w:highlight w:val="none"/>
        </w:rPr>
      </w:pPr>
      <w:r>
        <w:rPr>
          <w:rFonts w:hint="eastAsia" w:ascii="宋体" w:hAnsi="宋体" w:cs="宋体"/>
          <w:sz w:val="24"/>
          <w:szCs w:val="24"/>
          <w:highlight w:val="none"/>
        </w:rPr>
        <w:t>十三、</w:t>
      </w:r>
      <w:r>
        <w:rPr>
          <w:rFonts w:ascii="宋体" w:hAnsi="宋体" w:cs="宋体"/>
          <w:sz w:val="24"/>
          <w:szCs w:val="24"/>
          <w:highlight w:val="none"/>
        </w:rPr>
        <w:t>关于对本投标文件中资料真实性的承诺</w:t>
      </w:r>
      <w:r>
        <w:rPr>
          <w:rFonts w:hint="eastAsia" w:ascii="宋体" w:hAnsi="宋体" w:cs="宋体"/>
          <w:b/>
          <w:bCs/>
          <w:sz w:val="24"/>
          <w:szCs w:val="24"/>
          <w:highlight w:val="none"/>
        </w:rPr>
        <w:t xml:space="preserve"> </w:t>
      </w:r>
    </w:p>
    <w:p>
      <w:pPr>
        <w:spacing w:line="48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注：投标文件按统一格式、顺序编写。</w:t>
      </w:r>
    </w:p>
    <w:p>
      <w:pPr>
        <w:numPr>
          <w:ilvl w:val="0"/>
          <w:numId w:val="2"/>
        </w:num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投标报价：</w:t>
      </w:r>
      <w:bookmarkStart w:id="29" w:name="OLE_LINK1"/>
    </w:p>
    <w:p>
      <w:pPr>
        <w:spacing w:line="500" w:lineRule="exact"/>
        <w:rPr>
          <w:rFonts w:ascii="宋体" w:hAnsi="宋体" w:cs="宋体"/>
          <w:color w:val="000000"/>
          <w:sz w:val="24"/>
          <w:szCs w:val="24"/>
          <w:highlight w:val="none"/>
        </w:rPr>
      </w:pPr>
      <w:r>
        <w:rPr>
          <w:rFonts w:hint="eastAsia" w:ascii="宋体" w:hAnsi="宋体" w:cs="宋体"/>
          <w:sz w:val="24"/>
          <w:szCs w:val="24"/>
          <w:highlight w:val="none"/>
        </w:rPr>
        <w:t xml:space="preserve">    12.1投标人应在投标的投价表上标明单价和总价如单价和总价不符，以总价累计为准。小写与大写不符的，以大写为准。投标人应在投标报价表中标明其提供</w:t>
      </w:r>
      <w:r>
        <w:rPr>
          <w:rFonts w:hint="eastAsia" w:ascii="宋体" w:hAnsi="宋体" w:cs="宋体"/>
          <w:color w:val="000000"/>
          <w:sz w:val="24"/>
          <w:szCs w:val="24"/>
          <w:highlight w:val="none"/>
        </w:rPr>
        <w:t>的所有货物及其相关工作范围内所在费用的总价。</w:t>
      </w:r>
    </w:p>
    <w:p>
      <w:pPr>
        <w:spacing w:line="500" w:lineRule="exact"/>
        <w:rPr>
          <w:rFonts w:ascii="宋体" w:hAnsi="宋体" w:cs="宋体"/>
          <w:sz w:val="24"/>
          <w:szCs w:val="24"/>
          <w:highlight w:val="none"/>
        </w:rPr>
      </w:pPr>
      <w:r>
        <w:rPr>
          <w:rFonts w:hint="eastAsia" w:ascii="宋体" w:hAnsi="宋体" w:cs="宋体"/>
          <w:color w:val="000000"/>
          <w:sz w:val="24"/>
          <w:szCs w:val="24"/>
          <w:highlight w:val="none"/>
        </w:rPr>
        <w:t xml:space="preserve">   12.2 除非合同中另有规定，投标人对《投标报价表》 中的全部服务的报价应包括所投本项目审计工作所发生的全部费用以及投标人企业利润、税金和政策性文件规定及合同包含的所有风险、责任等各项应有费用。投标报价为最终报价，除非因特殊原因并经买卖双方及相</w:t>
      </w:r>
      <w:r>
        <w:rPr>
          <w:rFonts w:hint="eastAsia" w:ascii="宋体" w:hAnsi="宋体" w:cs="宋体"/>
          <w:sz w:val="24"/>
          <w:szCs w:val="24"/>
          <w:highlight w:val="none"/>
        </w:rPr>
        <w:t>关监督部门协商同意，投标人不得再要求追加任何费用。同时，除非合同条款中另有规定，否则，投标单位所报价格在合同实施期间不因市场变化因素而变动。</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12.3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12.4 一项投标内容只允许一个报价，采购人不接受任何有选择性的投标报价。</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12.5投标文件报价中的单价和总价全部采用人民币表示，除非合同的主要条款另有规定。</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12.</w:t>
      </w:r>
      <w:r>
        <w:rPr>
          <w:rFonts w:hint="eastAsia" w:ascii="宋体" w:hAnsi="宋体" w:eastAsia="宋体" w:cs="宋体"/>
          <w:color w:val="000000"/>
          <w:szCs w:val="24"/>
          <w:highlight w:val="none"/>
        </w:rPr>
        <w:t>6</w:t>
      </w:r>
      <w:r>
        <w:rPr>
          <w:rFonts w:hint="eastAsia" w:ascii="宋体" w:hAnsi="宋体" w:eastAsia="宋体" w:cs="宋体"/>
          <w:b/>
          <w:bCs/>
          <w:color w:val="000000"/>
          <w:szCs w:val="24"/>
          <w:highlight w:val="none"/>
        </w:rPr>
        <w:t>投标报价作为此次评标的评定因素之一，同时也是中标后在本次项目中的收费标准，不得进行更改收费标准。</w:t>
      </w:r>
    </w:p>
    <w:bookmarkEnd w:id="29"/>
    <w:p>
      <w:pPr>
        <w:spacing w:line="500" w:lineRule="exact"/>
        <w:rPr>
          <w:rFonts w:ascii="宋体" w:hAnsi="宋体" w:cs="宋体"/>
          <w:b/>
          <w:sz w:val="24"/>
          <w:szCs w:val="24"/>
          <w:highlight w:val="none"/>
        </w:rPr>
      </w:pPr>
      <w:r>
        <w:rPr>
          <w:rFonts w:hint="eastAsia" w:ascii="宋体" w:hAnsi="宋体" w:cs="宋体"/>
          <w:b/>
          <w:sz w:val="24"/>
          <w:szCs w:val="24"/>
          <w:highlight w:val="none"/>
        </w:rPr>
        <w:t xml:space="preserve">    13、投标人应逐条详细阅读招标文件有关要求，表明所提供的服务是否对招标文件做出实质性响应。</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14、投标文件的有效期</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 投标文件从实际开标之日起</w:t>
      </w:r>
      <w:r>
        <w:rPr>
          <w:rFonts w:hint="eastAsia" w:ascii="宋体" w:hAnsi="宋体" w:cs="宋体"/>
          <w:sz w:val="24"/>
          <w:szCs w:val="24"/>
          <w:highlight w:val="none"/>
          <w:u w:val="single"/>
        </w:rPr>
        <w:t>60</w:t>
      </w:r>
      <w:r>
        <w:rPr>
          <w:rFonts w:hint="eastAsia" w:ascii="宋体" w:hAnsi="宋体" w:cs="宋体"/>
          <w:sz w:val="24"/>
          <w:szCs w:val="24"/>
          <w:highlight w:val="none"/>
        </w:rPr>
        <w:t>天内有效。</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如遇特殊情况，在原投标有效期届满之前，采购人可与投标人协商延长投标文件的有效期，并经投标人确认。</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15、投标文件的份数、签署、字体、装订</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15.1 投标人必须按“投标人须知前附表”中规定的“正本”和“副本”份数，投标文件正本和副本如有不一致之处，以正本为准。参考资料数量不限。</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15.2投标文件正本和副本须使用不能擦掉的墨水打印或书写，</w:t>
      </w:r>
      <w:r>
        <w:rPr>
          <w:rFonts w:hint="eastAsia" w:ascii="宋体" w:hAnsi="宋体" w:cs="宋体"/>
          <w:b/>
          <w:bCs/>
          <w:sz w:val="24"/>
          <w:szCs w:val="24"/>
          <w:highlight w:val="none"/>
        </w:rPr>
        <w:t>并由投标人法人代表或正式授权的投标人代表逐页签字并加盖公章</w:t>
      </w:r>
      <w:r>
        <w:rPr>
          <w:rFonts w:hint="eastAsia" w:ascii="宋体" w:hAnsi="宋体" w:cs="宋体"/>
          <w:sz w:val="24"/>
          <w:szCs w:val="24"/>
          <w:highlight w:val="none"/>
        </w:rPr>
        <w:t>。</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15.3 投标文件应由企业法人或法人授权代表在凡规定签章处逐一签署及加盖单位公章。</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15.4投标文件一律采用胶装方式进行装订。</w:t>
      </w:r>
    </w:p>
    <w:p>
      <w:pPr>
        <w:pStyle w:val="10"/>
        <w:spacing w:line="360" w:lineRule="auto"/>
        <w:ind w:firstLine="482" w:firstLineChars="200"/>
        <w:rPr>
          <w:rFonts w:hAnsi="宋体" w:cs="宋体"/>
          <w:b/>
          <w:color w:val="000000"/>
          <w:sz w:val="24"/>
          <w:szCs w:val="24"/>
          <w:highlight w:val="none"/>
        </w:rPr>
      </w:pPr>
      <w:r>
        <w:rPr>
          <w:rFonts w:hint="eastAsia" w:hAnsi="宋体" w:cs="宋体"/>
          <w:b/>
          <w:sz w:val="24"/>
          <w:szCs w:val="24"/>
          <w:highlight w:val="none"/>
        </w:rPr>
        <w:t>16、</w:t>
      </w:r>
      <w:bookmarkStart w:id="30" w:name="_Toc243907593"/>
      <w:bookmarkStart w:id="31" w:name="_Toc245897293"/>
      <w:bookmarkStart w:id="32" w:name="_Toc233274833"/>
      <w:bookmarkStart w:id="33" w:name="_Toc243906332"/>
      <w:r>
        <w:rPr>
          <w:rFonts w:hint="eastAsia" w:hAnsi="宋体" w:cs="宋体"/>
          <w:b/>
          <w:color w:val="000000"/>
          <w:sz w:val="24"/>
          <w:szCs w:val="24"/>
          <w:highlight w:val="none"/>
        </w:rPr>
        <w:t>投标保证金及退还</w:t>
      </w:r>
      <w:bookmarkEnd w:id="30"/>
      <w:bookmarkEnd w:id="31"/>
      <w:bookmarkEnd w:id="32"/>
      <w:bookmarkEnd w:id="33"/>
    </w:p>
    <w:p>
      <w:pPr>
        <w:pStyle w:val="10"/>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16.1 投标保证金为投标文件的组成部分之一。投标保证金是为了保护采购人免遭因投标人的行为而蒙受的损失，采购人在因投标人的行为而蒙受损失时，采购人可根据本须知第16.3条的规定对其投标保证金不予退还。</w:t>
      </w:r>
    </w:p>
    <w:p>
      <w:pPr>
        <w:pStyle w:val="10"/>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16.2投标保证金的退还</w:t>
      </w:r>
    </w:p>
    <w:p>
      <w:pPr>
        <w:spacing w:line="360" w:lineRule="auto"/>
        <w:ind w:firstLine="480" w:firstLineChars="200"/>
        <w:rPr>
          <w:rFonts w:ascii="宋体" w:hAnsi="宋体" w:cs="宋体"/>
          <w:b/>
          <w:bCs/>
          <w:color w:val="000000"/>
          <w:sz w:val="24"/>
          <w:szCs w:val="24"/>
          <w:highlight w:val="none"/>
        </w:rPr>
      </w:pPr>
      <w:r>
        <w:rPr>
          <w:rFonts w:hint="eastAsia" w:ascii="宋体" w:hAnsi="宋体" w:cs="宋体"/>
          <w:color w:val="000000"/>
          <w:sz w:val="24"/>
          <w:szCs w:val="24"/>
          <w:highlight w:val="none"/>
        </w:rPr>
        <w:t>16.2.1未中标单位的投标保证金自中标通知书发出之日起5个工作日内一次性无息退还，</w:t>
      </w:r>
      <w:r>
        <w:rPr>
          <w:rFonts w:hint="eastAsia" w:ascii="宋体" w:hAnsi="宋体" w:cs="宋体"/>
          <w:b/>
          <w:bCs/>
          <w:color w:val="000000"/>
          <w:sz w:val="24"/>
          <w:szCs w:val="24"/>
          <w:highlight w:val="none"/>
        </w:rPr>
        <w:t>投标人凭投标保证金收据原件到</w:t>
      </w:r>
      <w:r>
        <w:rPr>
          <w:rFonts w:hint="eastAsia" w:ascii="宋体" w:hAnsi="宋体" w:cs="宋体"/>
          <w:b/>
          <w:bCs/>
          <w:sz w:val="24"/>
          <w:szCs w:val="24"/>
          <w:highlight w:val="none"/>
        </w:rPr>
        <w:t>和田县行政服务和公共资源交易中心</w:t>
      </w:r>
      <w:r>
        <w:rPr>
          <w:rFonts w:hint="eastAsia" w:ascii="宋体" w:hAnsi="宋体" w:cs="宋体"/>
          <w:b/>
          <w:bCs/>
          <w:color w:val="000000"/>
          <w:sz w:val="24"/>
          <w:szCs w:val="24"/>
          <w:highlight w:val="none"/>
        </w:rPr>
        <w:t>办理退还手续。</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16.2.2中标单位的投标保证金应自签订采购合同后5个工作日内一次性无息予以退还。</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16.2.3符合退还投标保证金条件的中标单位和未中标的投标人应及时到和田县行政服务和公共资源交易中心办理退还手续，如中标单位和未中标的投标人因自身原因逾期办理投标保证金退还的，招标代理机构不承担逾期退还的责任。</w:t>
      </w:r>
    </w:p>
    <w:p>
      <w:pPr>
        <w:pStyle w:val="10"/>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16.3 有下列情形之一者，其投标保证金将不予退还：</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16.3.1投标人在提交投标文件截止时间后撤回投标文件；</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16.3.2投标人在投标文件中提供虚假材料的；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16.3.3投标人与采购人、其他投标人或者招标代理机构恶意串通的；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16.3.4除因不可抗力或招标文件认可的情形外，中标单位在投标文件有效期内收到中标通知书后，由于中标单位原因未能按照招标文件要求与采购人签订并履行合同；</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16.3.5《中华人民共和国政府采购法》及相关法律、法规及本招标文件规定不予退还投标保证金的其它情形。</w:t>
      </w:r>
      <w:bookmarkStart w:id="34" w:name="_Toc154996583"/>
    </w:p>
    <w:p>
      <w:pPr>
        <w:pStyle w:val="6"/>
        <w:rPr>
          <w:highlight w:val="none"/>
        </w:rPr>
      </w:pPr>
    </w:p>
    <w:p>
      <w:pPr>
        <w:rPr>
          <w:highlight w:val="none"/>
        </w:rPr>
      </w:pPr>
    </w:p>
    <w:bookmarkEnd w:id="34"/>
    <w:p>
      <w:pPr>
        <w:spacing w:line="480" w:lineRule="exact"/>
        <w:jc w:val="center"/>
        <w:rPr>
          <w:rFonts w:ascii="宋体" w:hAnsi="宋体" w:cs="宋体"/>
          <w:b/>
          <w:sz w:val="28"/>
          <w:szCs w:val="28"/>
          <w:highlight w:val="none"/>
        </w:rPr>
      </w:pPr>
      <w:r>
        <w:rPr>
          <w:rFonts w:hint="eastAsia" w:ascii="宋体" w:hAnsi="宋体" w:cs="宋体"/>
          <w:b/>
          <w:sz w:val="28"/>
          <w:szCs w:val="28"/>
          <w:highlight w:val="none"/>
        </w:rPr>
        <w:t>四、投标文件的递交</w:t>
      </w:r>
    </w:p>
    <w:p>
      <w:pPr>
        <w:pStyle w:val="30"/>
        <w:spacing w:line="360" w:lineRule="auto"/>
        <w:rPr>
          <w:rFonts w:hAnsi="宋体"/>
          <w:b/>
          <w:bCs/>
          <w:kern w:val="2"/>
          <w:highlight w:val="none"/>
        </w:rPr>
      </w:pPr>
      <w:r>
        <w:rPr>
          <w:rFonts w:hint="eastAsia" w:hAnsi="宋体"/>
          <w:b/>
          <w:bCs/>
          <w:kern w:val="2"/>
          <w:highlight w:val="none"/>
        </w:rPr>
        <w:t>17. 投标文件的标记</w:t>
      </w:r>
    </w:p>
    <w:p>
      <w:pPr>
        <w:pStyle w:val="30"/>
        <w:spacing w:line="360" w:lineRule="auto"/>
        <w:ind w:firstLine="480" w:firstLineChars="200"/>
        <w:rPr>
          <w:rFonts w:hAnsi="宋体"/>
          <w:kern w:val="2"/>
          <w:highlight w:val="none"/>
        </w:rPr>
      </w:pPr>
      <w:r>
        <w:rPr>
          <w:rFonts w:hint="eastAsia" w:hAnsi="宋体"/>
          <w:kern w:val="2"/>
          <w:highlight w:val="none"/>
        </w:rPr>
        <w:t>17.1　任何不完整或不满足招标文件要求的投标文件将被拒绝。</w:t>
      </w:r>
    </w:p>
    <w:p>
      <w:pPr>
        <w:pStyle w:val="30"/>
        <w:spacing w:line="360" w:lineRule="auto"/>
        <w:rPr>
          <w:rFonts w:hAnsi="宋体"/>
          <w:b/>
          <w:bCs/>
          <w:kern w:val="2"/>
          <w:highlight w:val="none"/>
        </w:rPr>
      </w:pPr>
      <w:r>
        <w:rPr>
          <w:rFonts w:hint="eastAsia" w:hAnsi="宋体"/>
          <w:b/>
          <w:bCs/>
          <w:kern w:val="2"/>
          <w:highlight w:val="none"/>
        </w:rPr>
        <w:t>18. 投标截止时间</w:t>
      </w:r>
    </w:p>
    <w:p>
      <w:pPr>
        <w:pStyle w:val="30"/>
        <w:spacing w:line="360" w:lineRule="auto"/>
        <w:ind w:firstLine="480" w:firstLineChars="200"/>
        <w:rPr>
          <w:rFonts w:hAnsi="宋体"/>
          <w:kern w:val="2"/>
          <w:highlight w:val="none"/>
        </w:rPr>
      </w:pPr>
      <w:r>
        <w:rPr>
          <w:rFonts w:hint="eastAsia" w:hAnsi="宋体"/>
          <w:kern w:val="2"/>
          <w:highlight w:val="none"/>
        </w:rPr>
        <w:t>18.1  投标文件的递交不得迟于招标文件规定的截止时间。</w:t>
      </w:r>
    </w:p>
    <w:p>
      <w:pPr>
        <w:pStyle w:val="30"/>
        <w:spacing w:line="360" w:lineRule="auto"/>
        <w:ind w:firstLine="480" w:firstLineChars="200"/>
        <w:rPr>
          <w:rFonts w:hAnsi="宋体"/>
          <w:kern w:val="2"/>
          <w:highlight w:val="none"/>
        </w:rPr>
      </w:pPr>
      <w:r>
        <w:rPr>
          <w:rFonts w:hint="eastAsia" w:hAnsi="宋体"/>
          <w:kern w:val="2"/>
          <w:highlight w:val="none"/>
        </w:rPr>
        <w:t>18.2　所有投标文件，都必须在招标方规定的投标截止时间之前上传并解密投标文件，在此之后送达的投标文件，为无效投标，投标文件将一律被拒绝。</w:t>
      </w:r>
    </w:p>
    <w:p>
      <w:pPr>
        <w:pStyle w:val="30"/>
        <w:spacing w:line="360" w:lineRule="auto"/>
        <w:rPr>
          <w:rFonts w:hAnsi="宋体"/>
          <w:b/>
          <w:bCs/>
          <w:kern w:val="2"/>
          <w:highlight w:val="none"/>
        </w:rPr>
      </w:pPr>
      <w:r>
        <w:rPr>
          <w:rFonts w:hint="eastAsia" w:hAnsi="宋体"/>
          <w:b/>
          <w:bCs/>
          <w:kern w:val="2"/>
          <w:highlight w:val="none"/>
        </w:rPr>
        <w:t>19. 投标文件的修改和撤销</w:t>
      </w:r>
    </w:p>
    <w:p>
      <w:pPr>
        <w:pStyle w:val="30"/>
        <w:spacing w:line="360" w:lineRule="auto"/>
        <w:ind w:firstLine="480" w:firstLineChars="200"/>
        <w:rPr>
          <w:rFonts w:hAnsi="宋体"/>
          <w:kern w:val="2"/>
          <w:highlight w:val="none"/>
        </w:rPr>
      </w:pPr>
      <w:r>
        <w:rPr>
          <w:rFonts w:hint="eastAsia" w:hAnsi="宋体"/>
          <w:kern w:val="2"/>
          <w:highlight w:val="none"/>
        </w:rPr>
        <w:t>19.1　投标人在递交投标文件后，可在规定的投标截止时间之前，对其投标文件以书面通知的形式进行修改或撤消。该通知须有投标人的法人代表或其委托代理人的签字，并得到招标方的确认。</w:t>
      </w:r>
    </w:p>
    <w:p>
      <w:pPr>
        <w:pStyle w:val="30"/>
        <w:spacing w:line="360" w:lineRule="auto"/>
        <w:ind w:firstLine="480" w:firstLineChars="200"/>
        <w:rPr>
          <w:rFonts w:hAnsi="宋体"/>
          <w:kern w:val="2"/>
          <w:highlight w:val="none"/>
        </w:rPr>
      </w:pPr>
      <w:r>
        <w:rPr>
          <w:rFonts w:hint="eastAsia" w:hAnsi="宋体"/>
          <w:kern w:val="2"/>
          <w:highlight w:val="none"/>
        </w:rPr>
        <w:t>19.2  投标人对投标文件修改的书面材料或撤消通知应按招标文件要求进行密封、标注和递交，并注明“修改投标文件”或“撤消投标”字样，修改或撤销的内容须按招标文件的要求签署、盖章，并作为投标文件的组成部分。</w:t>
      </w:r>
    </w:p>
    <w:p>
      <w:pPr>
        <w:pStyle w:val="30"/>
        <w:spacing w:line="360" w:lineRule="auto"/>
        <w:ind w:firstLine="480" w:firstLineChars="200"/>
        <w:rPr>
          <w:rFonts w:hAnsi="宋体"/>
          <w:kern w:val="2"/>
          <w:highlight w:val="none"/>
        </w:rPr>
      </w:pPr>
      <w:r>
        <w:rPr>
          <w:rFonts w:hint="eastAsia" w:hAnsi="宋体"/>
          <w:kern w:val="2"/>
          <w:highlight w:val="none"/>
        </w:rPr>
        <w:t>19.3　对投标文件修改的书面材料应于投标截止日前送达招标方，投标截止时间以后不得修改投标文件。</w:t>
      </w:r>
    </w:p>
    <w:p>
      <w:pPr>
        <w:pStyle w:val="30"/>
        <w:spacing w:line="360" w:lineRule="auto"/>
        <w:ind w:firstLine="480" w:firstLineChars="200"/>
        <w:rPr>
          <w:rFonts w:hAnsi="宋体"/>
          <w:b/>
          <w:highlight w:val="none"/>
        </w:rPr>
      </w:pPr>
      <w:r>
        <w:rPr>
          <w:rFonts w:hint="eastAsia" w:hAnsi="宋体"/>
          <w:kern w:val="2"/>
          <w:highlight w:val="none"/>
        </w:rPr>
        <w:t>19.4  投标人不得在开标后至投标有效期期满前撤销投标文件，否则招标方将不予退还其投标保证金。</w:t>
      </w:r>
    </w:p>
    <w:p>
      <w:pPr>
        <w:spacing w:line="480" w:lineRule="exact"/>
        <w:jc w:val="center"/>
        <w:rPr>
          <w:rFonts w:ascii="宋体" w:hAnsi="宋体" w:cs="宋体"/>
          <w:b/>
          <w:sz w:val="28"/>
          <w:szCs w:val="28"/>
          <w:highlight w:val="none"/>
        </w:rPr>
      </w:pPr>
      <w:r>
        <w:rPr>
          <w:rFonts w:hint="eastAsia" w:ascii="宋体" w:hAnsi="宋体" w:cs="宋体"/>
          <w:b/>
          <w:sz w:val="28"/>
          <w:szCs w:val="28"/>
          <w:highlight w:val="none"/>
        </w:rPr>
        <w:t>五、开    标</w:t>
      </w:r>
    </w:p>
    <w:p>
      <w:pPr>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20、开标</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20.1　本次招标按招标文件的投标须知中规定的时间和地点进行公开开标。</w:t>
      </w:r>
    </w:p>
    <w:p>
      <w:pPr>
        <w:pStyle w:val="30"/>
        <w:spacing w:line="360" w:lineRule="auto"/>
        <w:rPr>
          <w:rFonts w:hAnsi="宋体"/>
          <w:b/>
          <w:bCs/>
          <w:sz w:val="28"/>
          <w:szCs w:val="28"/>
          <w:highlight w:val="none"/>
        </w:rPr>
      </w:pPr>
      <w:r>
        <w:rPr>
          <w:rFonts w:hint="eastAsia" w:hAnsi="宋体"/>
          <w:b/>
          <w:bCs/>
          <w:sz w:val="28"/>
          <w:szCs w:val="28"/>
          <w:highlight w:val="none"/>
        </w:rPr>
        <w:t>开标程序：</w:t>
      </w:r>
    </w:p>
    <w:p>
      <w:pPr>
        <w:pStyle w:val="30"/>
        <w:spacing w:line="360" w:lineRule="auto"/>
        <w:rPr>
          <w:rFonts w:hAnsi="宋体"/>
          <w:highlight w:val="none"/>
        </w:rPr>
      </w:pPr>
      <w:r>
        <w:rPr>
          <w:rFonts w:hint="eastAsia" w:hAnsi="宋体"/>
          <w:highlight w:val="none"/>
        </w:rPr>
        <w:t>（一）投标文件初审。初审分为资格性检查和响应性检查。</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1.开标后采购人将审查投标文件的完整性、准确性以及保证金提交、文件签署情况。在审查时，投标文件中开标一览表（报价表）内容与投标文件中相应内容不一致的，以开标一览表（报价表）为准；</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2.大写金额与小写金额不一致的，以大写金额为准；单价金额小数点或者百分比有明显错位的，以开标一览表（报价表）的总价为准，并修改单价；总价金额与按单价汇总金额不一致的，以单价金额计算为准。</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若投标人拒绝接受上述修正，其投标将可能被拒绝。</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4.采购人判断投标文件的响应性是基于投标文件本身而不靠外部证据。</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 采购人将拒绝被定为非响应性的投标，投标人不能通过修正或撤消不符之处而使其投标成为响应性投标。</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（三）比较与评价。按规定的评标方法和标准，对资格性检查和符合性检查合格的投标文件进行商务和技术评估，综合比较与评价。</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（四）推荐中标候选投标人名单，并按顺序排列。</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(五)编写评标报告。评标报告是评标委员会根据全体评标成员签字的原始评标记录和评标结果编写的报告，其主要内容包括：</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1、招标公告刊登的媒体名称、开标日期和地点；</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2、购买招标文件的投标人名单和评标委员会成员名单；</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3、评标方法和标准；</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4、开标记录和评标情况及说明，包括投标无效投标人名单及原因；</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5、评标结果和中标候选投标人排序表；</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6、评标委员会的授标建议。</w:t>
      </w:r>
    </w:p>
    <w:p>
      <w:pPr>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在评标中，不得改变已规定的评标标准、方法和中标条件。</w:t>
      </w:r>
    </w:p>
    <w:p>
      <w:pPr>
        <w:spacing w:line="500" w:lineRule="exact"/>
        <w:jc w:val="center"/>
        <w:rPr>
          <w:rFonts w:ascii="宋体" w:hAnsi="宋体" w:cs="宋体"/>
          <w:b/>
          <w:sz w:val="30"/>
          <w:szCs w:val="30"/>
          <w:highlight w:val="none"/>
        </w:rPr>
      </w:pPr>
      <w:r>
        <w:rPr>
          <w:rFonts w:hint="eastAsia" w:ascii="宋体" w:hAnsi="宋体" w:cs="宋体"/>
          <w:b/>
          <w:sz w:val="30"/>
          <w:szCs w:val="30"/>
          <w:highlight w:val="none"/>
        </w:rPr>
        <w:t>六、评标、定标</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21、评标</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21.1  </w:t>
      </w:r>
      <w:r>
        <w:rPr>
          <w:rFonts w:hint="eastAsia" w:ascii="宋体" w:hAnsi="宋体" w:cs="宋体"/>
          <w:b/>
          <w:sz w:val="24"/>
          <w:szCs w:val="24"/>
          <w:highlight w:val="none"/>
        </w:rPr>
        <w:t xml:space="preserve">评标委员会或评标小组 </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21.1.1评标委员会或评标小组（以下简称评标委员会）的评标工作由招标单位负责组织，具体评标事务由评标委员会负责，并独立履行其法规规定的职责。</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21.1.2评标委员会由采购人和专家库中熟悉相关技术的专家组成，成员人数为五人以上的单数，其中熟悉相关技术方面的专家不得少于成员总数的三之二。评标委员会设负责人的，评标委员会负责人由评标委员会推举产生或者由采购人确定。评标委员会负责人与评标委员会的其他成员有同等的表决权。</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21.1.3  评标委员会或评标小组负责具体的评标事务，并独立履行以下职责：</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21.1.3.1 审查投标文件是否符合招标文件的要求，并作出评价；</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21.1.3.2 可以要求投标投标人对投标文件有关事项作出解释或澄清；</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21.1.3.3 推荐中标候选投标人名单，或者受采购人委托按照事先确定的办法直接确定中标人；</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21.1.3.4 向招标单位或者有关部门报告非法干预评标工作的行为。</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评标委员会成员应当履行下列义务：</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21.1.4.1 遵纪守法，客观、公正、廉洁地履行职责；</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.2 按照招标文件规定的评标办法和评标标准进行评标，对评审意见承担个人责任；</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.3 对评标过程和结果，以及投标人的商业秘密保密；</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.4 参与评标报告的起草；</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.5 配合财政部门的投诉处理工作；</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21.1.4 .6 配合招标单位答复投标投标人提出的质疑。</w:t>
      </w:r>
    </w:p>
    <w:p>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 xml:space="preserve"> 21.2按国家计委等七部委颁发的《评标委员会和评标方法暂行规定》，结合本工程特点，</w:t>
      </w:r>
      <w:r>
        <w:rPr>
          <w:rFonts w:hint="eastAsia" w:ascii="宋体" w:hAnsi="宋体" w:cs="宋体"/>
          <w:b/>
          <w:color w:val="000000"/>
          <w:sz w:val="24"/>
          <w:szCs w:val="24"/>
          <w:highlight w:val="none"/>
        </w:rPr>
        <w:t>本项目采用综合评分法，最低报价不是中标的唯一条件</w:t>
      </w:r>
      <w:r>
        <w:rPr>
          <w:rFonts w:hint="eastAsia" w:ascii="宋体" w:hAnsi="宋体" w:cs="宋体"/>
          <w:sz w:val="24"/>
          <w:szCs w:val="24"/>
          <w:highlight w:val="none"/>
        </w:rPr>
        <w:t>，</w:t>
      </w:r>
      <w:r>
        <w:rPr>
          <w:rFonts w:hint="eastAsia" w:ascii="宋体" w:hAnsi="宋体" w:cs="宋体"/>
          <w:b/>
          <w:color w:val="000000"/>
          <w:sz w:val="24"/>
          <w:szCs w:val="24"/>
          <w:highlight w:val="none"/>
        </w:rPr>
        <w:t>综合评分因素的主要因素为项目实施方案、价格、人员、财务状况、信誉、业绩、服务以及对招标文件的响应程度等。每一投标人的最终得分为所有评委评分的算数平均值。（总分100分：其中商务部分和方案部分占70分，投标报价占30分），按得分高低排序。</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21.3 评标的依据为招标文件和投标文件。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21.4评标过程的保密性。开标后，直到授予投标人合同止，凡是属于审查、澄清、评价和比较的有关资料以及授标建议等均不得向投标人或其他无关的人员透露。</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21.5 投标人在评标过程中所进行的力图影响评标结果、有悖于招标规则的活动，可能导致取消其中标资格。</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21.6 与招标文件有重大偏离的投标文件将被拒绝。且此重大偏离在开标后不许修改。</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21.7 根据国家计委等七部委颁发的《评标委员会和评标方法暂行规定》以下为</w:t>
      </w:r>
      <w:r>
        <w:rPr>
          <w:rFonts w:hint="eastAsia" w:ascii="宋体" w:hAnsi="宋体" w:cs="宋体"/>
          <w:b/>
          <w:bCs/>
          <w:sz w:val="24"/>
          <w:szCs w:val="24"/>
          <w:highlight w:val="none"/>
        </w:rPr>
        <w:t>重大偏离：</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（一）投标保证金的缴纳主体与投标人不一致的，没有按照招标文件要求提供投标担保，或者所提供的投标担保有瑕疵的；</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（二）投标文件没有投标人法定代表人或其授权代表签字（章）和加盖投标单位公章的；</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（三）投标文件记载的招标项目完成期限超过招标文件规定的完成期限；</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（四）商务条款有偏离情况的；</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（五）投标附有采购人不能接受的条件；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（六）不符合招标文件中规定的其他实质性要求</w:t>
      </w:r>
    </w:p>
    <w:p>
      <w:pPr>
        <w:spacing w:line="500" w:lineRule="exact"/>
        <w:ind w:firstLine="480" w:firstLineChars="200"/>
        <w:rPr>
          <w:rFonts w:ascii="宋体" w:hAnsi="宋体" w:cs="宋体"/>
          <w:color w:val="0000FF"/>
          <w:sz w:val="24"/>
          <w:szCs w:val="24"/>
          <w:highlight w:val="none"/>
        </w:rPr>
      </w:pPr>
      <w:r>
        <w:rPr>
          <w:rFonts w:hint="eastAsia" w:ascii="宋体" w:hAnsi="宋体" w:cs="宋体"/>
          <w:sz w:val="24"/>
          <w:szCs w:val="24"/>
          <w:highlight w:val="none"/>
        </w:rPr>
        <w:t>（七)投标报价不符合招标文件规定的要求。</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投标文件有上述情形之一的，视为非实质性响应招标，并按规定作废标处理。招标文件对重大偏差另有规定的，从其规定。</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评标委员会应当审查每一投标文件是否对招标文件提出的所有实质性要求和条件作出响应。未能在实质上响应招标的投标，将作废标处理。</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22、对投标文件的初步审查和响应性确定</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22.1 开标后采购人将审查投标文件的完整性、准确性以及保证金提交、文件签署情况。在审查时，投标报价大写与数字有出入，以大写金额为准。若投标人拒绝接受上述修正，其投标将可能被拒绝。</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22.3采购人判断投标文件的响应性是基于投标文件本身而不靠外部证据。</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22.4 采购人将拒绝被定为非响应性的投标，投标人不能通过修正或撤消不符之处而使其投标成为响应性投标。</w:t>
      </w:r>
    </w:p>
    <w:p>
      <w:pPr>
        <w:spacing w:line="360" w:lineRule="auto"/>
        <w:rPr>
          <w:rFonts w:ascii="宋体" w:hAnsi="宋体" w:cs="宋体"/>
          <w:b/>
          <w:bCs/>
          <w:sz w:val="24"/>
          <w:szCs w:val="24"/>
          <w:highlight w:val="none"/>
        </w:rPr>
      </w:pPr>
    </w:p>
    <w:p>
      <w:pPr>
        <w:spacing w:line="360" w:lineRule="auto"/>
        <w:rPr>
          <w:rFonts w:ascii="宋体" w:hAnsi="宋体" w:cs="宋体"/>
          <w:b/>
          <w:bCs/>
          <w:sz w:val="24"/>
          <w:szCs w:val="24"/>
          <w:highlight w:val="none"/>
        </w:rPr>
      </w:pPr>
    </w:p>
    <w:p>
      <w:pPr>
        <w:spacing w:line="360" w:lineRule="auto"/>
        <w:rPr>
          <w:rFonts w:ascii="宋体" w:hAnsi="宋体" w:cs="宋体"/>
          <w:b/>
          <w:bCs/>
          <w:sz w:val="24"/>
          <w:szCs w:val="24"/>
          <w:highlight w:val="none"/>
        </w:rPr>
      </w:pPr>
    </w:p>
    <w:p>
      <w:pPr>
        <w:spacing w:line="360" w:lineRule="auto"/>
        <w:rPr>
          <w:rFonts w:ascii="宋体" w:hAnsi="宋体" w:cs="宋体"/>
          <w:b/>
          <w:bCs/>
          <w:sz w:val="24"/>
          <w:szCs w:val="24"/>
          <w:highlight w:val="none"/>
        </w:rPr>
      </w:pPr>
    </w:p>
    <w:p>
      <w:pPr>
        <w:pStyle w:val="30"/>
        <w:rPr>
          <w:rFonts w:hAnsi="宋体"/>
          <w:b/>
          <w:bCs/>
          <w:highlight w:val="none"/>
        </w:rPr>
      </w:pPr>
    </w:p>
    <w:p>
      <w:pPr>
        <w:pStyle w:val="30"/>
        <w:rPr>
          <w:rFonts w:hAnsi="宋体"/>
          <w:b/>
          <w:bCs/>
          <w:highlight w:val="none"/>
        </w:rPr>
      </w:pPr>
    </w:p>
    <w:p>
      <w:pPr>
        <w:spacing w:line="360" w:lineRule="auto"/>
        <w:rPr>
          <w:rFonts w:ascii="宋体" w:hAnsi="宋体" w:cs="宋体"/>
          <w:b/>
          <w:bCs/>
          <w:sz w:val="24"/>
          <w:szCs w:val="24"/>
          <w:highlight w:val="none"/>
        </w:rPr>
      </w:pPr>
    </w:p>
    <w:p>
      <w:pPr>
        <w:rPr>
          <w:rFonts w:ascii="宋体" w:hAnsi="宋体" w:cs="宋体"/>
          <w:b/>
          <w:bCs/>
          <w:sz w:val="24"/>
          <w:szCs w:val="24"/>
          <w:highlight w:val="none"/>
        </w:rPr>
      </w:pPr>
      <w:r>
        <w:rPr>
          <w:rFonts w:hint="eastAsia" w:ascii="宋体" w:hAnsi="宋体" w:cs="宋体"/>
          <w:b/>
          <w:bCs/>
          <w:sz w:val="24"/>
          <w:szCs w:val="24"/>
          <w:highlight w:val="none"/>
        </w:rPr>
        <w:br w:type="page"/>
      </w: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七、评标标准</w:t>
      </w:r>
    </w:p>
    <w:tbl>
      <w:tblPr>
        <w:tblStyle w:val="2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52"/>
        <w:gridCol w:w="6775"/>
        <w:gridCol w:w="83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652"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775"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1640" w:type="dxa"/>
            <w:gridSpan w:val="2"/>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52"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775" w:type="dxa"/>
            <w:vMerge w:val="continue"/>
            <w:vAlign w:val="center"/>
          </w:tcPr>
          <w:p>
            <w:pPr>
              <w:autoSpaceDE w:val="0"/>
              <w:autoSpaceDN w:val="0"/>
              <w:spacing w:line="0" w:lineRule="atLeast"/>
              <w:rPr>
                <w:rFonts w:ascii="宋体" w:hAnsi="宋体" w:cs="宋体"/>
                <w:color w:val="auto"/>
                <w:sz w:val="24"/>
                <w:szCs w:val="24"/>
                <w:highlight w:val="none"/>
              </w:rPr>
            </w:pPr>
          </w:p>
        </w:tc>
        <w:tc>
          <w:tcPr>
            <w:tcW w:w="837"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通过</w:t>
            </w:r>
          </w:p>
        </w:tc>
        <w:tc>
          <w:tcPr>
            <w:tcW w:w="803"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形式审查</w:t>
            </w: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775" w:type="dxa"/>
            <w:vAlign w:val="center"/>
          </w:tcPr>
          <w:p>
            <w:pPr>
              <w:rPr>
                <w:rFonts w:hint="eastAsia" w:ascii="宋体" w:hAnsi="宋体"/>
                <w:color w:val="auto"/>
                <w:highlight w:val="none"/>
              </w:rPr>
            </w:pPr>
            <w:r>
              <w:rPr>
                <w:rFonts w:hint="eastAsia" w:ascii="宋体" w:hAnsi="宋体"/>
                <w:color w:val="auto"/>
                <w:highlight w:val="none"/>
              </w:rPr>
              <w:t>投标人名称应营业执照、资质证书一致</w:t>
            </w:r>
          </w:p>
        </w:tc>
        <w:tc>
          <w:tcPr>
            <w:tcW w:w="837" w:type="dxa"/>
            <w:vAlign w:val="center"/>
          </w:tcPr>
          <w:p>
            <w:pPr>
              <w:autoSpaceDE w:val="0"/>
              <w:autoSpaceDN w:val="0"/>
              <w:spacing w:line="0" w:lineRule="atLeast"/>
              <w:jc w:val="center"/>
              <w:rPr>
                <w:rFonts w:hint="eastAsia" w:ascii="宋体" w:hAnsi="宋体" w:cs="宋体"/>
                <w:color w:val="auto"/>
                <w:sz w:val="24"/>
                <w:szCs w:val="24"/>
                <w:highlight w:val="none"/>
              </w:rPr>
            </w:pPr>
          </w:p>
        </w:tc>
        <w:tc>
          <w:tcPr>
            <w:tcW w:w="803" w:type="dxa"/>
            <w:vAlign w:val="center"/>
          </w:tcPr>
          <w:p>
            <w:pPr>
              <w:autoSpaceDE w:val="0"/>
              <w:autoSpaceDN w:val="0"/>
              <w:spacing w:line="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775" w:type="dxa"/>
            <w:vAlign w:val="center"/>
          </w:tcPr>
          <w:p>
            <w:pPr>
              <w:rPr>
                <w:rFonts w:hint="eastAsia" w:ascii="宋体" w:hAnsi="宋体"/>
                <w:color w:val="auto"/>
                <w:highlight w:val="none"/>
              </w:rPr>
            </w:pPr>
            <w:r>
              <w:rPr>
                <w:rFonts w:hint="eastAsia" w:ascii="宋体" w:hAnsi="宋体"/>
                <w:color w:val="auto"/>
                <w:highlight w:val="none"/>
              </w:rPr>
              <w:t>投标文件的装订、签名盖章符合规定</w:t>
            </w:r>
          </w:p>
        </w:tc>
        <w:tc>
          <w:tcPr>
            <w:tcW w:w="837" w:type="dxa"/>
            <w:vAlign w:val="center"/>
          </w:tcPr>
          <w:p>
            <w:pPr>
              <w:autoSpaceDE w:val="0"/>
              <w:autoSpaceDN w:val="0"/>
              <w:spacing w:line="0" w:lineRule="atLeast"/>
              <w:jc w:val="center"/>
              <w:rPr>
                <w:rFonts w:hint="eastAsia" w:ascii="宋体" w:hAnsi="宋体" w:cs="宋体"/>
                <w:color w:val="auto"/>
                <w:sz w:val="24"/>
                <w:szCs w:val="24"/>
                <w:highlight w:val="none"/>
              </w:rPr>
            </w:pPr>
          </w:p>
        </w:tc>
        <w:tc>
          <w:tcPr>
            <w:tcW w:w="803" w:type="dxa"/>
            <w:vAlign w:val="center"/>
          </w:tcPr>
          <w:p>
            <w:pPr>
              <w:autoSpaceDE w:val="0"/>
              <w:autoSpaceDN w:val="0"/>
              <w:spacing w:line="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775" w:type="dxa"/>
            <w:vAlign w:val="center"/>
          </w:tcPr>
          <w:p>
            <w:pPr>
              <w:rPr>
                <w:rFonts w:hint="eastAsia" w:ascii="宋体" w:hAnsi="宋体"/>
                <w:color w:val="auto"/>
                <w:highlight w:val="none"/>
              </w:rPr>
            </w:pPr>
            <w:r>
              <w:rPr>
                <w:rFonts w:hint="eastAsia" w:ascii="宋体" w:hAnsi="宋体"/>
                <w:color w:val="auto"/>
                <w:highlight w:val="none"/>
              </w:rPr>
              <w:t>单位负责人为同一人或者存在控股管理关系的不同单位，不得参加同一标段或者未划分标段的同一招标项目投标</w:t>
            </w:r>
          </w:p>
        </w:tc>
        <w:tc>
          <w:tcPr>
            <w:tcW w:w="837" w:type="dxa"/>
            <w:vAlign w:val="center"/>
          </w:tcPr>
          <w:p>
            <w:pPr>
              <w:autoSpaceDE w:val="0"/>
              <w:autoSpaceDN w:val="0"/>
              <w:spacing w:line="0" w:lineRule="atLeast"/>
              <w:jc w:val="center"/>
              <w:rPr>
                <w:rFonts w:hint="eastAsia" w:ascii="宋体" w:hAnsi="宋体" w:cs="宋体"/>
                <w:color w:val="auto"/>
                <w:sz w:val="24"/>
                <w:szCs w:val="24"/>
                <w:highlight w:val="none"/>
              </w:rPr>
            </w:pPr>
          </w:p>
        </w:tc>
        <w:tc>
          <w:tcPr>
            <w:tcW w:w="803" w:type="dxa"/>
            <w:vAlign w:val="center"/>
          </w:tcPr>
          <w:p>
            <w:pPr>
              <w:autoSpaceDE w:val="0"/>
              <w:autoSpaceDN w:val="0"/>
              <w:spacing w:line="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775" w:type="dxa"/>
            <w:vAlign w:val="center"/>
          </w:tcPr>
          <w:p>
            <w:pPr>
              <w:rPr>
                <w:rFonts w:ascii="宋体" w:hAnsi="宋体"/>
                <w:color w:val="auto"/>
                <w:highlight w:val="none"/>
              </w:rPr>
            </w:pPr>
            <w:r>
              <w:rPr>
                <w:rFonts w:hint="eastAsia" w:ascii="宋体" w:hAnsi="宋体"/>
                <w:color w:val="auto"/>
                <w:highlight w:val="none"/>
              </w:rPr>
              <w:t>与招标人存在利害关系可能影响招标公正性的法人、其他组织或者个人不得参加投标</w:t>
            </w:r>
          </w:p>
        </w:tc>
        <w:tc>
          <w:tcPr>
            <w:tcW w:w="837" w:type="dxa"/>
            <w:vAlign w:val="center"/>
          </w:tcPr>
          <w:p>
            <w:pPr>
              <w:autoSpaceDE w:val="0"/>
              <w:autoSpaceDN w:val="0"/>
              <w:spacing w:line="0" w:lineRule="atLeast"/>
              <w:jc w:val="center"/>
              <w:rPr>
                <w:rFonts w:hint="eastAsia" w:ascii="宋体" w:hAnsi="宋体" w:cs="宋体"/>
                <w:color w:val="auto"/>
                <w:sz w:val="24"/>
                <w:szCs w:val="24"/>
                <w:highlight w:val="none"/>
              </w:rPr>
            </w:pPr>
          </w:p>
        </w:tc>
        <w:tc>
          <w:tcPr>
            <w:tcW w:w="803" w:type="dxa"/>
            <w:vAlign w:val="center"/>
          </w:tcPr>
          <w:p>
            <w:pPr>
              <w:autoSpaceDE w:val="0"/>
              <w:autoSpaceDN w:val="0"/>
              <w:spacing w:line="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775" w:type="dxa"/>
            <w:vAlign w:val="center"/>
          </w:tcPr>
          <w:p>
            <w:pPr>
              <w:rPr>
                <w:rFonts w:ascii="宋体" w:hAnsi="宋体"/>
                <w:color w:val="auto"/>
                <w:highlight w:val="none"/>
              </w:rPr>
            </w:pPr>
            <w:r>
              <w:rPr>
                <w:rFonts w:hint="eastAsia" w:ascii="宋体" w:hAnsi="宋体"/>
                <w:color w:val="auto"/>
                <w:highlight w:val="none"/>
              </w:rPr>
              <w:t>只能有一个报价（含修正报价）</w:t>
            </w:r>
          </w:p>
        </w:tc>
        <w:tc>
          <w:tcPr>
            <w:tcW w:w="837" w:type="dxa"/>
            <w:vAlign w:val="center"/>
          </w:tcPr>
          <w:p>
            <w:pPr>
              <w:autoSpaceDE w:val="0"/>
              <w:autoSpaceDN w:val="0"/>
              <w:spacing w:line="0" w:lineRule="atLeast"/>
              <w:jc w:val="center"/>
              <w:rPr>
                <w:rFonts w:hint="eastAsia" w:ascii="宋体" w:hAnsi="宋体" w:cs="宋体"/>
                <w:color w:val="auto"/>
                <w:sz w:val="24"/>
                <w:szCs w:val="24"/>
                <w:highlight w:val="none"/>
              </w:rPr>
            </w:pPr>
          </w:p>
        </w:tc>
        <w:tc>
          <w:tcPr>
            <w:tcW w:w="803" w:type="dxa"/>
            <w:vAlign w:val="center"/>
          </w:tcPr>
          <w:p>
            <w:pPr>
              <w:autoSpaceDE w:val="0"/>
              <w:autoSpaceDN w:val="0"/>
              <w:spacing w:line="0" w:lineRule="atLeas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668"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资格审查</w:t>
            </w: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775" w:type="dxa"/>
            <w:vAlign w:val="center"/>
          </w:tcPr>
          <w:p>
            <w:pPr>
              <w:rPr>
                <w:rFonts w:hint="eastAsia" w:ascii="宋体" w:hAnsi="宋体"/>
                <w:color w:val="auto"/>
                <w:highlight w:val="none"/>
              </w:rPr>
            </w:pPr>
            <w:r>
              <w:rPr>
                <w:rFonts w:hint="eastAsia" w:ascii="宋体" w:hAnsi="宋体"/>
                <w:color w:val="auto"/>
                <w:highlight w:val="none"/>
              </w:rPr>
              <w:t>投标人资质符合招标文件规定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775" w:type="dxa"/>
            <w:vAlign w:val="center"/>
          </w:tcPr>
          <w:p>
            <w:pPr>
              <w:rPr>
                <w:rFonts w:hint="eastAsia" w:ascii="宋体" w:hAnsi="宋体"/>
                <w:color w:val="auto"/>
                <w:highlight w:val="none"/>
              </w:rPr>
            </w:pPr>
            <w:r>
              <w:rPr>
                <w:rFonts w:hint="eastAsia" w:ascii="宋体" w:hAnsi="宋体"/>
                <w:color w:val="auto"/>
                <w:highlight w:val="none"/>
              </w:rPr>
              <w:t>投标人拟投入招标项目主要管理人员（包括总监理工程师、监理工程师、监理员）资格符合招标文件规定。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775" w:type="dxa"/>
            <w:vAlign w:val="center"/>
          </w:tcPr>
          <w:p>
            <w:pPr>
              <w:spacing w:line="320" w:lineRule="exact"/>
              <w:rPr>
                <w:rFonts w:hint="eastAsia" w:ascii="宋体" w:hAnsi="宋体" w:cs="Tahoma"/>
                <w:color w:val="auto"/>
                <w:szCs w:val="21"/>
                <w:highlight w:val="none"/>
              </w:rPr>
            </w:pPr>
            <w:r>
              <w:rPr>
                <w:rFonts w:hint="eastAsia" w:ascii="宋体" w:hAnsi="宋体" w:cs="Tahoma"/>
                <w:color w:val="auto"/>
                <w:szCs w:val="21"/>
                <w:highlight w:val="none"/>
              </w:rPr>
              <w:t>拟投入本工程的总监理工程师未同时在两个及以上大中型工程中担任总监理工程师；在同一县（市、区）小型工程项目中，同时担任总监理工程师的项目数量不得多于 2 个（含本项目）</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775" w:type="dxa"/>
            <w:vAlign w:val="center"/>
          </w:tcPr>
          <w:p>
            <w:pPr>
              <w:rPr>
                <w:rFonts w:hint="eastAsia" w:ascii="宋体" w:hAnsi="宋体"/>
                <w:color w:val="auto"/>
                <w:highlight w:val="none"/>
              </w:rPr>
            </w:pPr>
            <w:r>
              <w:rPr>
                <w:rFonts w:hint="eastAsia" w:ascii="宋体" w:hAnsi="宋体"/>
                <w:color w:val="auto"/>
                <w:highlight w:val="none"/>
              </w:rPr>
              <w:t>业绩符合招标文件规定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775" w:type="dxa"/>
            <w:vAlign w:val="center"/>
          </w:tcPr>
          <w:p>
            <w:pPr>
              <w:rPr>
                <w:rFonts w:hint="eastAsia" w:ascii="宋体" w:hAnsi="宋体"/>
                <w:color w:val="auto"/>
                <w:highlight w:val="none"/>
              </w:rPr>
            </w:pPr>
            <w:r>
              <w:rPr>
                <w:rFonts w:hint="eastAsia" w:ascii="宋体" w:hAnsi="宋体"/>
                <w:color w:val="auto"/>
                <w:highlight w:val="none"/>
              </w:rPr>
              <w:t>信誉符合招标文件规定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668" w:type="dxa"/>
            <w:vMerge w:val="restart"/>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响应性</w:t>
            </w:r>
          </w:p>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评审</w:t>
            </w: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775" w:type="dxa"/>
            <w:vAlign w:val="center"/>
          </w:tcPr>
          <w:p>
            <w:pPr>
              <w:rPr>
                <w:rFonts w:ascii="宋体" w:hAnsi="宋体"/>
                <w:color w:val="auto"/>
                <w:highlight w:val="none"/>
              </w:rPr>
            </w:pPr>
            <w:r>
              <w:rPr>
                <w:rFonts w:hint="eastAsia" w:ascii="宋体" w:hAnsi="宋体"/>
                <w:color w:val="auto"/>
                <w:highlight w:val="none"/>
              </w:rPr>
              <w:t>投标范围符合招标文件规定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775" w:type="dxa"/>
            <w:vAlign w:val="center"/>
          </w:tcPr>
          <w:p>
            <w:pPr>
              <w:rPr>
                <w:rFonts w:ascii="宋体" w:hAnsi="宋体"/>
                <w:color w:val="auto"/>
                <w:highlight w:val="none"/>
              </w:rPr>
            </w:pPr>
            <w:r>
              <w:rPr>
                <w:rFonts w:hint="eastAsia" w:ascii="宋体" w:hAnsi="宋体"/>
                <w:color w:val="auto"/>
                <w:highlight w:val="none"/>
              </w:rPr>
              <w:t>计划工期（或监理服务期）符合招标文件规定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775" w:type="dxa"/>
            <w:vAlign w:val="center"/>
          </w:tcPr>
          <w:p>
            <w:pPr>
              <w:rPr>
                <w:rFonts w:ascii="宋体" w:hAnsi="宋体"/>
                <w:color w:val="auto"/>
                <w:highlight w:val="none"/>
              </w:rPr>
            </w:pPr>
            <w:r>
              <w:rPr>
                <w:rFonts w:hint="eastAsia" w:ascii="宋体" w:hAnsi="宋体"/>
                <w:color w:val="auto"/>
                <w:highlight w:val="none"/>
              </w:rPr>
              <w:t>工程质量符合招标文件规定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68" w:type="dxa"/>
            <w:vMerge w:val="continue"/>
            <w:vAlign w:val="center"/>
          </w:tcPr>
          <w:p>
            <w:pPr>
              <w:widowControl/>
              <w:spacing w:line="0" w:lineRule="atLeast"/>
              <w:jc w:val="left"/>
              <w:rPr>
                <w:rFonts w:ascii="宋体" w:hAnsi="宋体" w:cs="宋体"/>
                <w:color w:val="auto"/>
                <w:sz w:val="24"/>
                <w:szCs w:val="24"/>
                <w:highlight w:val="none"/>
              </w:rPr>
            </w:pPr>
          </w:p>
        </w:tc>
        <w:tc>
          <w:tcPr>
            <w:tcW w:w="652" w:type="dxa"/>
            <w:vAlign w:val="center"/>
          </w:tcPr>
          <w:p>
            <w:pPr>
              <w:autoSpaceDE w:val="0"/>
              <w:autoSpaceDN w:val="0"/>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775" w:type="dxa"/>
            <w:vAlign w:val="center"/>
          </w:tcPr>
          <w:p>
            <w:pPr>
              <w:rPr>
                <w:rFonts w:ascii="宋体" w:hAnsi="宋体"/>
                <w:color w:val="auto"/>
                <w:highlight w:val="none"/>
              </w:rPr>
            </w:pPr>
            <w:r>
              <w:rPr>
                <w:rFonts w:hint="eastAsia" w:ascii="宋体" w:hAnsi="宋体"/>
                <w:color w:val="auto"/>
                <w:highlight w:val="none"/>
              </w:rPr>
              <w:t>投标有效期符合招标文件规定</w:t>
            </w:r>
          </w:p>
        </w:tc>
        <w:tc>
          <w:tcPr>
            <w:tcW w:w="837" w:type="dxa"/>
          </w:tcPr>
          <w:p>
            <w:pPr>
              <w:autoSpaceDE w:val="0"/>
              <w:autoSpaceDN w:val="0"/>
              <w:spacing w:line="0" w:lineRule="atLeast"/>
              <w:jc w:val="left"/>
              <w:rPr>
                <w:rFonts w:ascii="宋体" w:hAnsi="宋体" w:cs="宋体"/>
                <w:color w:val="auto"/>
                <w:sz w:val="24"/>
                <w:szCs w:val="24"/>
                <w:highlight w:val="none"/>
              </w:rPr>
            </w:pPr>
          </w:p>
        </w:tc>
        <w:tc>
          <w:tcPr>
            <w:tcW w:w="803" w:type="dxa"/>
          </w:tcPr>
          <w:p>
            <w:pPr>
              <w:autoSpaceDE w:val="0"/>
              <w:autoSpaceDN w:val="0"/>
              <w:spacing w:line="0" w:lineRule="atLeast"/>
              <w:jc w:val="left"/>
              <w:rPr>
                <w:rFonts w:ascii="宋体" w:hAnsi="宋体" w:cs="宋体"/>
                <w:color w:val="auto"/>
                <w:sz w:val="24"/>
                <w:szCs w:val="24"/>
                <w:highlight w:val="none"/>
              </w:rPr>
            </w:pPr>
          </w:p>
        </w:tc>
      </w:tr>
    </w:tbl>
    <w:p>
      <w:pPr>
        <w:spacing w:line="500" w:lineRule="exact"/>
        <w:ind w:firstLine="482" w:firstLineChars="200"/>
        <w:rPr>
          <w:rFonts w:ascii="宋体" w:hAnsi="宋体" w:cs="宋体"/>
          <w:b/>
          <w:bCs/>
          <w:sz w:val="24"/>
          <w:szCs w:val="24"/>
          <w:highlight w:val="none"/>
        </w:rPr>
      </w:pPr>
    </w:p>
    <w:p>
      <w:pPr>
        <w:rPr>
          <w:rFonts w:ascii="宋体" w:hAnsi="宋体" w:cs="宋体"/>
          <w:b/>
          <w:bCs/>
          <w:sz w:val="24"/>
          <w:szCs w:val="24"/>
          <w:highlight w:val="none"/>
        </w:rPr>
      </w:pPr>
      <w:r>
        <w:rPr>
          <w:rFonts w:hint="eastAsia" w:ascii="宋体" w:hAnsi="宋体" w:cs="宋体"/>
          <w:b/>
          <w:bCs/>
          <w:sz w:val="24"/>
          <w:szCs w:val="24"/>
          <w:highlight w:val="none"/>
        </w:rPr>
        <w:br w:type="page"/>
      </w:r>
    </w:p>
    <w:p>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22.5投标评审标准：</w:t>
      </w:r>
    </w:p>
    <w:tbl>
      <w:tblPr>
        <w:tblStyle w:val="24"/>
        <w:tblW w:w="9458"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224"/>
        <w:gridCol w:w="2353"/>
        <w:gridCol w:w="453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540" w:type="dxa"/>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序号</w:t>
            </w:r>
          </w:p>
        </w:tc>
        <w:tc>
          <w:tcPr>
            <w:tcW w:w="1224" w:type="dxa"/>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评分项目</w:t>
            </w:r>
          </w:p>
        </w:tc>
        <w:tc>
          <w:tcPr>
            <w:tcW w:w="6889" w:type="dxa"/>
            <w:gridSpan w:val="2"/>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评分</w:t>
            </w:r>
          </w:p>
        </w:tc>
        <w:tc>
          <w:tcPr>
            <w:tcW w:w="805" w:type="dxa"/>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40" w:type="dxa"/>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224" w:type="dxa"/>
            <w:vAlign w:val="center"/>
          </w:tcPr>
          <w:p>
            <w:pPr>
              <w:widowControl/>
              <w:jc w:val="center"/>
              <w:textAlignment w:val="center"/>
              <w:rPr>
                <w:rFonts w:ascii="宋体" w:hAnsi="宋体" w:cs="宋体"/>
                <w:kern w:val="0"/>
                <w:szCs w:val="24"/>
                <w:highlight w:val="none"/>
              </w:rPr>
            </w:pPr>
            <w:r>
              <w:rPr>
                <w:rFonts w:ascii="宋体" w:hAnsi="宋体" w:cs="宋体"/>
                <w:kern w:val="0"/>
                <w:szCs w:val="24"/>
                <w:highlight w:val="none"/>
              </w:rPr>
              <w:t>近五年同类工程业绩</w:t>
            </w:r>
          </w:p>
          <w:p>
            <w:pPr>
              <w:widowControl/>
              <w:jc w:val="center"/>
              <w:textAlignment w:val="center"/>
              <w:rPr>
                <w:rFonts w:ascii="宋体" w:hAnsi="宋体" w:cs="宋体"/>
                <w:color w:val="000000"/>
                <w:kern w:val="0"/>
                <w:sz w:val="24"/>
                <w:szCs w:val="24"/>
                <w:highlight w:val="none"/>
              </w:rPr>
            </w:pPr>
            <w:r>
              <w:rPr>
                <w:rFonts w:hint="eastAsia" w:ascii="宋体" w:hAnsi="宋体" w:cs="宋体"/>
                <w:kern w:val="0"/>
                <w:szCs w:val="24"/>
                <w:highlight w:val="none"/>
              </w:rPr>
              <w:t>（5分）</w:t>
            </w:r>
            <w:r>
              <w:rPr>
                <w:rFonts w:ascii="宋体" w:hAnsi="宋体" w:cs="宋体"/>
                <w:kern w:val="0"/>
                <w:szCs w:val="24"/>
                <w:highlight w:val="none"/>
              </w:rPr>
              <w:t xml:space="preserve"> </w:t>
            </w:r>
          </w:p>
        </w:tc>
        <w:tc>
          <w:tcPr>
            <w:tcW w:w="6889" w:type="dxa"/>
            <w:gridSpan w:val="2"/>
            <w:vAlign w:val="center"/>
          </w:tcPr>
          <w:p>
            <w:pPr>
              <w:widowControl/>
              <w:textAlignment w:val="center"/>
              <w:rPr>
                <w:rFonts w:ascii="宋体" w:hAnsi="宋体" w:cs="宋体"/>
                <w:kern w:val="0"/>
                <w:szCs w:val="24"/>
                <w:highlight w:val="none"/>
              </w:rPr>
            </w:pPr>
            <w:r>
              <w:rPr>
                <w:rFonts w:hint="eastAsia" w:ascii="宋体" w:hAnsi="宋体" w:cs="宋体"/>
                <w:kern w:val="0"/>
                <w:szCs w:val="24"/>
                <w:highlight w:val="none"/>
              </w:rPr>
              <w:t>1、</w:t>
            </w:r>
            <w:r>
              <w:rPr>
                <w:rFonts w:ascii="宋体" w:hAnsi="宋体" w:cs="宋体"/>
                <w:kern w:val="0"/>
                <w:szCs w:val="24"/>
                <w:highlight w:val="none"/>
              </w:rPr>
              <w:t>近五年（从投标截止日往前推算，以合同签订日期为准，下同）投标人承接过单项合同额大于本招标工程评标基准价的类似工程的（类似工程应当在招标文件中界定，证明文件以合同文件或者验收文件为准，下同）,得2分,每多一项加1分,最多得5分；</w:t>
            </w:r>
          </w:p>
          <w:p>
            <w:pPr>
              <w:widowControl/>
              <w:textAlignment w:val="center"/>
              <w:rPr>
                <w:rFonts w:ascii="宋体" w:hAnsi="宋体" w:cs="宋体"/>
                <w:kern w:val="0"/>
                <w:szCs w:val="24"/>
                <w:highlight w:val="none"/>
              </w:rPr>
            </w:pPr>
            <w:r>
              <w:rPr>
                <w:rFonts w:hint="eastAsia" w:ascii="宋体" w:hAnsi="宋体" w:cs="宋体"/>
                <w:kern w:val="0"/>
                <w:szCs w:val="24"/>
                <w:highlight w:val="none"/>
              </w:rPr>
              <w:t>2、</w:t>
            </w:r>
            <w:r>
              <w:rPr>
                <w:rFonts w:ascii="宋体" w:hAnsi="宋体" w:cs="宋体"/>
                <w:kern w:val="0"/>
                <w:szCs w:val="24"/>
                <w:highlight w:val="none"/>
              </w:rPr>
              <w:t>近五年投标人承接过单项合同额小于本招标工程评标基准价的类似工程，且有证明文件的得2分；</w:t>
            </w:r>
          </w:p>
          <w:p>
            <w:pPr>
              <w:widowControl/>
              <w:textAlignment w:val="center"/>
              <w:rPr>
                <w:rFonts w:ascii="宋体" w:hAnsi="宋体" w:cs="宋体"/>
                <w:color w:val="000000"/>
                <w:sz w:val="24"/>
                <w:szCs w:val="24"/>
                <w:highlight w:val="none"/>
              </w:rPr>
            </w:pPr>
            <w:r>
              <w:rPr>
                <w:rFonts w:hint="eastAsia" w:ascii="宋体" w:hAnsi="宋体" w:cs="宋体"/>
                <w:kern w:val="0"/>
                <w:szCs w:val="24"/>
                <w:highlight w:val="none"/>
              </w:rPr>
              <w:t>3、</w:t>
            </w:r>
            <w:r>
              <w:rPr>
                <w:rFonts w:ascii="宋体" w:hAnsi="宋体" w:cs="宋体"/>
                <w:kern w:val="0"/>
                <w:szCs w:val="24"/>
                <w:highlight w:val="none"/>
              </w:rPr>
              <w:t>近五年投标人未承接过类似工程的，得0分。</w:t>
            </w:r>
          </w:p>
        </w:tc>
        <w:tc>
          <w:tcPr>
            <w:tcW w:w="805" w:type="dxa"/>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rPr>
              <w:t>5</w:t>
            </w:r>
            <w:r>
              <w:rPr>
                <w:rFonts w:ascii="宋体" w:hAnsi="宋体" w:cs="宋体"/>
                <w:kern w:val="0"/>
                <w:szCs w:val="24"/>
                <w:highlight w:val="none"/>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40" w:type="dxa"/>
            <w:vMerge w:val="restart"/>
            <w:vAlign w:val="center"/>
          </w:tcPr>
          <w:p>
            <w:pPr>
              <w:widowControl/>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1224" w:type="dxa"/>
            <w:vMerge w:val="restart"/>
            <w:vAlign w:val="center"/>
          </w:tcPr>
          <w:p>
            <w:pPr>
              <w:widowControl/>
              <w:jc w:val="center"/>
              <w:textAlignment w:val="center"/>
              <w:rPr>
                <w:rFonts w:ascii="宋体" w:hAnsi="宋体" w:cs="宋体"/>
                <w:kern w:val="0"/>
                <w:szCs w:val="24"/>
                <w:highlight w:val="none"/>
              </w:rPr>
            </w:pPr>
            <w:r>
              <w:rPr>
                <w:rFonts w:hint="eastAsia" w:ascii="宋体" w:hAnsi="宋体" w:cs="宋体"/>
                <w:kern w:val="0"/>
                <w:szCs w:val="24"/>
                <w:highlight w:val="none"/>
              </w:rPr>
              <w:t>总监理工程师素质和能力（2</w:t>
            </w:r>
            <w:r>
              <w:rPr>
                <w:rFonts w:ascii="宋体" w:hAnsi="宋体" w:cs="宋体"/>
                <w:kern w:val="0"/>
                <w:szCs w:val="24"/>
                <w:highlight w:val="none"/>
              </w:rPr>
              <w:t>3</w:t>
            </w:r>
            <w:r>
              <w:rPr>
                <w:rFonts w:hint="eastAsia" w:ascii="宋体" w:hAnsi="宋体" w:cs="宋体"/>
                <w:kern w:val="0"/>
                <w:szCs w:val="24"/>
                <w:highlight w:val="none"/>
              </w:rPr>
              <w:t>分）</w:t>
            </w:r>
          </w:p>
        </w:tc>
        <w:tc>
          <w:tcPr>
            <w:tcW w:w="2353" w:type="dxa"/>
            <w:vAlign w:val="center"/>
          </w:tcPr>
          <w:p>
            <w:pPr>
              <w:widowControl/>
              <w:textAlignment w:val="center"/>
              <w:rPr>
                <w:rFonts w:hint="eastAsia" w:ascii="宋体" w:hAnsi="宋体" w:cs="宋体"/>
                <w:kern w:val="0"/>
                <w:szCs w:val="24"/>
                <w:highlight w:val="none"/>
              </w:rPr>
            </w:pPr>
            <w:r>
              <w:rPr>
                <w:rFonts w:ascii="宋体" w:hAnsi="宋体" w:cs="宋体"/>
                <w:kern w:val="0"/>
                <w:szCs w:val="24"/>
                <w:highlight w:val="none"/>
              </w:rPr>
              <w:t>总监理工程师资格</w:t>
            </w:r>
          </w:p>
        </w:tc>
        <w:tc>
          <w:tcPr>
            <w:tcW w:w="4536" w:type="dxa"/>
            <w:vAlign w:val="center"/>
          </w:tcPr>
          <w:p>
            <w:pPr>
              <w:pStyle w:val="7"/>
              <w:numPr>
                <w:ilvl w:val="0"/>
                <w:numId w:val="3"/>
              </w:numPr>
              <w:rPr>
                <w:rFonts w:ascii="宋体" w:hAnsi="宋体" w:cs="宋体"/>
                <w:kern w:val="0"/>
                <w:szCs w:val="24"/>
                <w:highlight w:val="none"/>
              </w:rPr>
            </w:pPr>
            <w:r>
              <w:rPr>
                <w:rFonts w:hint="eastAsia" w:ascii="宋体" w:hAnsi="宋体" w:cs="宋体"/>
                <w:kern w:val="0"/>
                <w:szCs w:val="24"/>
                <w:highlight w:val="none"/>
              </w:rPr>
              <w:t>具有本单位出具的聘用为本项目的总监理工程师聘用书，具有全国水利工程监理工程师资格证书（水工</w:t>
            </w:r>
            <w:r>
              <w:rPr>
                <w:rFonts w:ascii="宋体" w:hAnsi="宋体" w:cs="宋体"/>
                <w:kern w:val="0"/>
                <w:szCs w:val="24"/>
                <w:highlight w:val="none"/>
              </w:rPr>
              <w:t>建筑专业</w:t>
            </w:r>
            <w:r>
              <w:rPr>
                <w:rFonts w:hint="eastAsia" w:ascii="宋体" w:hAnsi="宋体" w:cs="宋体"/>
                <w:kern w:val="0"/>
                <w:szCs w:val="24"/>
                <w:highlight w:val="none"/>
              </w:rPr>
              <w:t>）</w:t>
            </w:r>
            <w:r>
              <w:rPr>
                <w:rFonts w:ascii="宋体" w:hAnsi="宋体" w:cs="宋体"/>
                <w:kern w:val="0"/>
                <w:szCs w:val="24"/>
                <w:highlight w:val="none"/>
              </w:rPr>
              <w:t>的得</w:t>
            </w:r>
            <w:r>
              <w:rPr>
                <w:rFonts w:hint="eastAsia" w:ascii="宋体" w:hAnsi="宋体" w:cs="宋体"/>
                <w:kern w:val="0"/>
                <w:szCs w:val="24"/>
                <w:highlight w:val="none"/>
              </w:rPr>
              <w:t>3分；</w:t>
            </w:r>
          </w:p>
          <w:p>
            <w:pPr>
              <w:pStyle w:val="49"/>
              <w:numPr>
                <w:ilvl w:val="0"/>
                <w:numId w:val="3"/>
              </w:numPr>
              <w:ind w:firstLineChars="0"/>
              <w:rPr>
                <w:rFonts w:ascii="宋体" w:hAnsi="宋体" w:cs="宋体"/>
                <w:kern w:val="0"/>
                <w:szCs w:val="24"/>
                <w:highlight w:val="none"/>
              </w:rPr>
            </w:pPr>
            <w:r>
              <w:rPr>
                <w:rFonts w:hint="eastAsia" w:ascii="宋体" w:hAnsi="宋体" w:cs="宋体"/>
                <w:kern w:val="0"/>
                <w:szCs w:val="24"/>
                <w:highlight w:val="none"/>
              </w:rPr>
              <w:t>具有本单位出具的聘用为本项目的总监理工程师聘用书，具有全国水利工程监理工程师资格证书（水工建筑专业和</w:t>
            </w:r>
            <w:r>
              <w:rPr>
                <w:rFonts w:ascii="宋体" w:hAnsi="宋体" w:cs="宋体"/>
                <w:kern w:val="0"/>
                <w:szCs w:val="24"/>
                <w:highlight w:val="none"/>
              </w:rPr>
              <w:t>水土保持专业</w:t>
            </w:r>
            <w:r>
              <w:rPr>
                <w:rFonts w:hint="eastAsia" w:ascii="宋体" w:hAnsi="宋体" w:cs="宋体"/>
                <w:kern w:val="0"/>
                <w:szCs w:val="24"/>
                <w:highlight w:val="none"/>
              </w:rPr>
              <w:t>）得</w:t>
            </w:r>
            <w:r>
              <w:rPr>
                <w:rFonts w:ascii="宋体" w:hAnsi="宋体" w:cs="宋体"/>
                <w:kern w:val="0"/>
                <w:szCs w:val="24"/>
                <w:highlight w:val="none"/>
              </w:rPr>
              <w:t>6</w:t>
            </w:r>
            <w:r>
              <w:rPr>
                <w:rFonts w:hint="eastAsia" w:ascii="宋体" w:hAnsi="宋体" w:cs="宋体"/>
                <w:kern w:val="0"/>
                <w:szCs w:val="24"/>
                <w:highlight w:val="none"/>
              </w:rPr>
              <w:t>分。</w:t>
            </w:r>
            <w:r>
              <w:rPr>
                <w:rFonts w:ascii="宋体" w:hAnsi="宋体" w:cs="宋体"/>
                <w:kern w:val="0"/>
                <w:szCs w:val="24"/>
                <w:highlight w:val="none"/>
              </w:rPr>
              <w:t xml:space="preserve"> </w:t>
            </w:r>
          </w:p>
        </w:tc>
        <w:tc>
          <w:tcPr>
            <w:tcW w:w="805" w:type="dxa"/>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kern w:val="0"/>
                <w:szCs w:val="24"/>
                <w:highlight w:val="none"/>
              </w:rPr>
              <w:t>0~</w:t>
            </w:r>
            <w:r>
              <w:rPr>
                <w:rFonts w:ascii="宋体" w:hAnsi="宋体" w:cs="宋体"/>
                <w:kern w:val="0"/>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40" w:type="dxa"/>
            <w:vMerge w:val="continue"/>
            <w:vAlign w:val="center"/>
          </w:tcPr>
          <w:p>
            <w:pPr>
              <w:widowControl/>
              <w:jc w:val="center"/>
              <w:textAlignment w:val="center"/>
              <w:rPr>
                <w:rFonts w:hint="eastAsia" w:ascii="宋体" w:hAnsi="宋体" w:cs="宋体"/>
                <w:color w:val="000000"/>
                <w:kern w:val="0"/>
                <w:sz w:val="24"/>
                <w:szCs w:val="24"/>
                <w:highlight w:val="none"/>
              </w:rPr>
            </w:pPr>
          </w:p>
        </w:tc>
        <w:tc>
          <w:tcPr>
            <w:tcW w:w="1224" w:type="dxa"/>
            <w:vMerge w:val="continue"/>
            <w:vAlign w:val="center"/>
          </w:tcPr>
          <w:p>
            <w:pPr>
              <w:widowControl/>
              <w:jc w:val="center"/>
              <w:textAlignment w:val="center"/>
              <w:rPr>
                <w:rFonts w:hint="eastAsia" w:ascii="宋体" w:hAnsi="宋体" w:cs="宋体"/>
                <w:kern w:val="0"/>
                <w:szCs w:val="24"/>
                <w:highlight w:val="none"/>
              </w:rPr>
            </w:pPr>
          </w:p>
        </w:tc>
        <w:tc>
          <w:tcPr>
            <w:tcW w:w="2353" w:type="dxa"/>
            <w:vAlign w:val="center"/>
          </w:tcPr>
          <w:p>
            <w:pPr>
              <w:widowControl/>
              <w:textAlignment w:val="center"/>
              <w:rPr>
                <w:rFonts w:hint="eastAsia" w:ascii="宋体" w:hAnsi="宋体" w:cs="宋体"/>
                <w:kern w:val="0"/>
                <w:szCs w:val="24"/>
                <w:highlight w:val="none"/>
              </w:rPr>
            </w:pPr>
            <w:r>
              <w:rPr>
                <w:rFonts w:ascii="宋体" w:hAnsi="宋体" w:cs="宋体"/>
                <w:kern w:val="0"/>
                <w:szCs w:val="24"/>
                <w:highlight w:val="none"/>
              </w:rPr>
              <w:t>总监理工程师工作经验</w:t>
            </w:r>
          </w:p>
        </w:tc>
        <w:tc>
          <w:tcPr>
            <w:tcW w:w="4536" w:type="dxa"/>
            <w:vAlign w:val="center"/>
          </w:tcPr>
          <w:p>
            <w:pPr>
              <w:pStyle w:val="49"/>
              <w:numPr>
                <w:ilvl w:val="0"/>
                <w:numId w:val="4"/>
              </w:numPr>
              <w:ind w:firstLineChars="0"/>
              <w:textAlignment w:val="center"/>
              <w:rPr>
                <w:rFonts w:ascii="宋体" w:hAnsi="宋体" w:cs="宋体"/>
                <w:kern w:val="0"/>
                <w:szCs w:val="24"/>
                <w:highlight w:val="none"/>
              </w:rPr>
            </w:pPr>
            <w:r>
              <w:rPr>
                <w:rFonts w:ascii="宋体" w:hAnsi="宋体" w:cs="宋体"/>
                <w:kern w:val="0"/>
                <w:szCs w:val="24"/>
                <w:highlight w:val="none"/>
              </w:rPr>
              <w:t>担任过同等级类似工程（类似工程应当在招标文件中界定，证明文件以中标通知书、合同文件、业主对其能胜任工作的评价为准，以下同）总监理工程师职务的，得5分，每多一个项目业绩得3分,最高得14分；</w:t>
            </w:r>
          </w:p>
          <w:p>
            <w:pPr>
              <w:pStyle w:val="49"/>
              <w:numPr>
                <w:ilvl w:val="0"/>
                <w:numId w:val="4"/>
              </w:numPr>
              <w:ind w:firstLineChars="0"/>
              <w:textAlignment w:val="center"/>
              <w:rPr>
                <w:rFonts w:ascii="宋体" w:hAnsi="宋体" w:cs="宋体"/>
                <w:color w:val="000000"/>
                <w:sz w:val="24"/>
                <w:szCs w:val="24"/>
                <w:highlight w:val="none"/>
              </w:rPr>
            </w:pPr>
            <w:r>
              <w:rPr>
                <w:rFonts w:ascii="宋体" w:hAnsi="宋体" w:cs="宋体"/>
                <w:kern w:val="0"/>
                <w:szCs w:val="24"/>
                <w:highlight w:val="none"/>
              </w:rPr>
              <w:t>担任过同等级类似工程监理工程师及以上职务的，得3分，每多一个项目业绩得1.5分，最高9分；</w:t>
            </w:r>
          </w:p>
          <w:p>
            <w:pPr>
              <w:pStyle w:val="49"/>
              <w:numPr>
                <w:ilvl w:val="0"/>
                <w:numId w:val="4"/>
              </w:numPr>
              <w:ind w:firstLineChars="0"/>
              <w:textAlignment w:val="center"/>
              <w:rPr>
                <w:rFonts w:ascii="宋体" w:hAnsi="宋体" w:cs="宋体"/>
                <w:color w:val="000000"/>
                <w:sz w:val="24"/>
                <w:szCs w:val="24"/>
                <w:highlight w:val="none"/>
              </w:rPr>
            </w:pPr>
            <w:r>
              <w:rPr>
                <w:rFonts w:ascii="宋体" w:hAnsi="宋体" w:cs="宋体"/>
                <w:kern w:val="0"/>
                <w:szCs w:val="24"/>
                <w:highlight w:val="none"/>
              </w:rPr>
              <w:t>没有担任过类似工程监理工程师职务的，得0分。</w:t>
            </w:r>
          </w:p>
        </w:tc>
        <w:tc>
          <w:tcPr>
            <w:tcW w:w="805" w:type="dxa"/>
            <w:vAlign w:val="center"/>
          </w:tcPr>
          <w:p>
            <w:pPr>
              <w:widowControl/>
              <w:jc w:val="center"/>
              <w:textAlignment w:val="center"/>
              <w:rPr>
                <w:rFonts w:ascii="宋体" w:hAnsi="宋体" w:cs="宋体"/>
                <w:color w:val="000000"/>
                <w:sz w:val="24"/>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rPr>
              <w:t>14</w:t>
            </w:r>
            <w:r>
              <w:rPr>
                <w:rFonts w:ascii="宋体" w:hAnsi="宋体" w:cs="宋体"/>
                <w:kern w:val="0"/>
                <w:szCs w:val="24"/>
                <w:highlight w:val="none"/>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40" w:type="dxa"/>
            <w:vMerge w:val="continue"/>
            <w:vAlign w:val="center"/>
          </w:tcPr>
          <w:p>
            <w:pPr>
              <w:widowControl/>
              <w:jc w:val="center"/>
              <w:textAlignment w:val="center"/>
              <w:rPr>
                <w:rFonts w:hint="eastAsia" w:ascii="宋体" w:hAnsi="宋体" w:cs="宋体"/>
                <w:color w:val="000000"/>
                <w:kern w:val="0"/>
                <w:sz w:val="24"/>
                <w:szCs w:val="24"/>
                <w:highlight w:val="none"/>
              </w:rPr>
            </w:pPr>
          </w:p>
        </w:tc>
        <w:tc>
          <w:tcPr>
            <w:tcW w:w="1224" w:type="dxa"/>
            <w:vMerge w:val="continue"/>
            <w:vAlign w:val="center"/>
          </w:tcPr>
          <w:p>
            <w:pPr>
              <w:widowControl/>
              <w:jc w:val="center"/>
              <w:textAlignment w:val="center"/>
              <w:rPr>
                <w:rFonts w:hint="eastAsia" w:ascii="宋体" w:hAnsi="宋体" w:cs="宋体"/>
                <w:kern w:val="0"/>
                <w:szCs w:val="24"/>
                <w:highlight w:val="none"/>
              </w:rPr>
            </w:pPr>
          </w:p>
        </w:tc>
        <w:tc>
          <w:tcPr>
            <w:tcW w:w="2353" w:type="dxa"/>
            <w:vAlign w:val="center"/>
          </w:tcPr>
          <w:p>
            <w:pPr>
              <w:widowControl/>
              <w:textAlignment w:val="center"/>
              <w:rPr>
                <w:rFonts w:hint="eastAsia" w:ascii="宋体" w:hAnsi="宋体" w:cs="宋体"/>
                <w:kern w:val="0"/>
                <w:szCs w:val="24"/>
                <w:highlight w:val="none"/>
              </w:rPr>
            </w:pPr>
            <w:r>
              <w:rPr>
                <w:rFonts w:hint="eastAsia" w:ascii="宋体" w:hAnsi="宋体" w:cs="宋体"/>
                <w:kern w:val="0"/>
                <w:szCs w:val="24"/>
                <w:highlight w:val="none"/>
              </w:rPr>
              <w:t>总监理工程师驻现场工作时间承诺</w:t>
            </w:r>
          </w:p>
        </w:tc>
        <w:tc>
          <w:tcPr>
            <w:tcW w:w="4536" w:type="dxa"/>
            <w:vAlign w:val="center"/>
          </w:tcPr>
          <w:p>
            <w:pPr>
              <w:widowControl/>
              <w:textAlignment w:val="center"/>
              <w:rPr>
                <w:rFonts w:hint="eastAsia" w:ascii="宋体" w:hAnsi="宋体" w:cs="宋体"/>
                <w:kern w:val="0"/>
                <w:szCs w:val="24"/>
                <w:highlight w:val="none"/>
              </w:rPr>
            </w:pPr>
            <w:r>
              <w:rPr>
                <w:rFonts w:hint="eastAsia" w:ascii="宋体" w:hAnsi="宋体" w:cs="宋体"/>
                <w:kern w:val="0"/>
                <w:szCs w:val="24"/>
                <w:highlight w:val="none"/>
              </w:rPr>
              <w:t>总监理工程师月驻现场工作时间不少于22天，且有违约处罚（每少1天，愿按照日工资的5倍及以上受到处罚）承诺的，得3分，否则得0分。</w:t>
            </w:r>
          </w:p>
        </w:tc>
        <w:tc>
          <w:tcPr>
            <w:tcW w:w="805" w:type="dxa"/>
            <w:vAlign w:val="center"/>
          </w:tcPr>
          <w:p>
            <w:pPr>
              <w:widowControl/>
              <w:jc w:val="center"/>
              <w:textAlignment w:val="center"/>
              <w:rPr>
                <w:rFonts w:hint="eastAsia" w:ascii="宋体" w:hAnsi="宋体" w:cs="宋体"/>
                <w:kern w:val="0"/>
                <w:szCs w:val="24"/>
                <w:highlight w:val="none"/>
              </w:rPr>
            </w:pPr>
            <w:r>
              <w:rPr>
                <w:rFonts w:hint="eastAsia" w:ascii="宋体" w:hAnsi="宋体" w:cs="宋体"/>
                <w:kern w:val="0"/>
                <w:szCs w:val="24"/>
                <w:highlight w:val="none"/>
              </w:rPr>
              <w:t>0~</w:t>
            </w:r>
            <w:r>
              <w:rPr>
                <w:rFonts w:ascii="宋体" w:hAnsi="宋体" w:cs="宋体"/>
                <w:kern w:val="0"/>
                <w:szCs w:val="24"/>
                <w:highlight w:val="none"/>
              </w:rPr>
              <w:t>3</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restart"/>
            <w:vAlign w:val="center"/>
          </w:tcPr>
          <w:p>
            <w:pPr>
              <w:jc w:val="center"/>
              <w:textAlignment w:val="center"/>
              <w:rPr>
                <w:rFonts w:ascii="宋体" w:hAnsi="宋体" w:cs="宋体"/>
                <w:color w:val="000000"/>
                <w:sz w:val="24"/>
                <w:szCs w:val="24"/>
                <w:highlight w:val="none"/>
              </w:rPr>
            </w:pPr>
            <w:r>
              <w:rPr>
                <w:rFonts w:ascii="宋体" w:hAnsi="宋体" w:cs="宋体"/>
                <w:color w:val="000000"/>
                <w:sz w:val="24"/>
                <w:szCs w:val="24"/>
                <w:highlight w:val="none"/>
              </w:rPr>
              <w:t>3</w:t>
            </w:r>
          </w:p>
        </w:tc>
        <w:tc>
          <w:tcPr>
            <w:tcW w:w="1224" w:type="dxa"/>
            <w:vMerge w:val="restart"/>
            <w:vAlign w:val="center"/>
          </w:tcPr>
          <w:p>
            <w:pPr>
              <w:textAlignment w:val="center"/>
              <w:rPr>
                <w:rFonts w:ascii="宋体" w:hAnsi="宋体" w:cs="宋体"/>
                <w:kern w:val="0"/>
                <w:szCs w:val="24"/>
                <w:highlight w:val="none"/>
              </w:rPr>
            </w:pPr>
            <w:r>
              <w:rPr>
                <w:rFonts w:hint="eastAsia" w:ascii="宋体" w:hAnsi="宋体" w:cs="宋体"/>
                <w:kern w:val="0"/>
                <w:szCs w:val="24"/>
                <w:highlight w:val="none"/>
              </w:rPr>
              <w:t>资源配备</w:t>
            </w:r>
          </w:p>
          <w:p>
            <w:pPr>
              <w:textAlignment w:val="center"/>
              <w:rPr>
                <w:rFonts w:ascii="宋体" w:hAnsi="宋体" w:cs="宋体"/>
                <w:kern w:val="0"/>
                <w:szCs w:val="24"/>
                <w:highlight w:val="none"/>
              </w:rPr>
            </w:pPr>
            <w:r>
              <w:rPr>
                <w:rFonts w:hint="eastAsia" w:ascii="宋体" w:hAnsi="宋体" w:cs="宋体"/>
                <w:kern w:val="0"/>
                <w:szCs w:val="24"/>
                <w:highlight w:val="none"/>
              </w:rPr>
              <w:t>（</w:t>
            </w:r>
            <w:r>
              <w:rPr>
                <w:rFonts w:hint="eastAsia" w:ascii="宋体" w:hAnsi="宋体" w:cs="宋体"/>
                <w:kern w:val="0"/>
                <w:szCs w:val="24"/>
                <w:highlight w:val="none"/>
                <w:lang w:val="en-US" w:eastAsia="zh-CN"/>
              </w:rPr>
              <w:t>17</w:t>
            </w:r>
            <w:r>
              <w:rPr>
                <w:rFonts w:hint="eastAsia" w:ascii="宋体" w:hAnsi="宋体" w:cs="宋体"/>
                <w:kern w:val="0"/>
                <w:szCs w:val="24"/>
                <w:highlight w:val="none"/>
              </w:rPr>
              <w:t>分）</w:t>
            </w:r>
          </w:p>
        </w:tc>
        <w:tc>
          <w:tcPr>
            <w:tcW w:w="2353" w:type="dxa"/>
            <w:vAlign w:val="center"/>
          </w:tcPr>
          <w:p>
            <w:pPr>
              <w:widowControl/>
              <w:jc w:val="center"/>
              <w:rPr>
                <w:rFonts w:ascii="宋体" w:hAnsi="宋体" w:cs="宋体"/>
                <w:kern w:val="0"/>
                <w:szCs w:val="24"/>
                <w:highlight w:val="none"/>
              </w:rPr>
            </w:pPr>
            <w:r>
              <w:rPr>
                <w:rFonts w:ascii="宋体" w:hAnsi="宋体" w:cs="宋体"/>
                <w:kern w:val="0"/>
                <w:szCs w:val="24"/>
                <w:highlight w:val="none"/>
              </w:rPr>
              <w:t>项目监理机构设置、岗位职责及工作制度</w:t>
            </w:r>
          </w:p>
        </w:tc>
        <w:tc>
          <w:tcPr>
            <w:tcW w:w="4536" w:type="dxa"/>
            <w:vAlign w:val="center"/>
          </w:tcPr>
          <w:p>
            <w:pPr>
              <w:widowControl/>
              <w:jc w:val="center"/>
              <w:rPr>
                <w:rFonts w:ascii="宋体" w:hAnsi="宋体" w:cs="宋体"/>
                <w:kern w:val="0"/>
                <w:szCs w:val="24"/>
                <w:highlight w:val="none"/>
              </w:rPr>
            </w:pPr>
            <w:r>
              <w:rPr>
                <w:rFonts w:ascii="宋体" w:hAnsi="宋体" w:cs="宋体"/>
                <w:kern w:val="0"/>
                <w:szCs w:val="24"/>
                <w:highlight w:val="none"/>
              </w:rPr>
              <w:t>机构设置合理、岗位职责明确、制度健全的，得</w:t>
            </w:r>
            <w:r>
              <w:rPr>
                <w:rFonts w:hint="eastAsia" w:ascii="宋体" w:hAnsi="宋体" w:cs="宋体"/>
                <w:kern w:val="0"/>
                <w:szCs w:val="24"/>
                <w:highlight w:val="none"/>
                <w:lang w:val="en-US" w:eastAsia="zh-CN"/>
              </w:rPr>
              <w:t>3</w:t>
            </w:r>
            <w:r>
              <w:rPr>
                <w:rFonts w:ascii="宋体" w:hAnsi="宋体" w:cs="宋体"/>
                <w:kern w:val="0"/>
                <w:szCs w:val="24"/>
                <w:highlight w:val="none"/>
              </w:rPr>
              <w:t>分；机构设置基本合理、职责基本明确、制度基本健全的，得2分；机构设置不合理或者职责不明的，不得分。</w:t>
            </w:r>
          </w:p>
        </w:tc>
        <w:tc>
          <w:tcPr>
            <w:tcW w:w="805" w:type="dxa"/>
            <w:vAlign w:val="center"/>
          </w:tcPr>
          <w:p>
            <w:pPr>
              <w:widowControl/>
              <w:jc w:val="center"/>
              <w:rPr>
                <w:rFonts w:ascii="宋体" w:hAnsi="宋体" w:cs="宋体"/>
                <w:color w:val="000000"/>
                <w:sz w:val="24"/>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3</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highlight w:val="none"/>
              </w:rPr>
            </w:pPr>
            <w:r>
              <w:rPr>
                <w:rFonts w:ascii="宋体" w:hAnsi="宋体" w:cs="宋体"/>
                <w:kern w:val="0"/>
                <w:szCs w:val="24"/>
                <w:highlight w:val="none"/>
                <w:lang w:eastAsia="en-US"/>
              </w:rPr>
              <w:t xml:space="preserve">监理人员结构 </w:t>
            </w:r>
          </w:p>
        </w:tc>
        <w:tc>
          <w:tcPr>
            <w:tcW w:w="4536"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rPr>
              <w:t>监理工程师以上人员比例高于40%的，得</w:t>
            </w:r>
            <w:r>
              <w:rPr>
                <w:rFonts w:hint="eastAsia" w:ascii="宋体" w:hAnsi="宋体" w:cs="宋体"/>
                <w:kern w:val="0"/>
                <w:szCs w:val="24"/>
                <w:highlight w:val="none"/>
                <w:lang w:val="en-US" w:eastAsia="zh-CN"/>
              </w:rPr>
              <w:t>3</w:t>
            </w:r>
            <w:r>
              <w:rPr>
                <w:rFonts w:hint="eastAsia" w:ascii="宋体" w:hAnsi="宋体" w:cs="宋体"/>
                <w:kern w:val="0"/>
                <w:szCs w:val="24"/>
                <w:highlight w:val="none"/>
              </w:rPr>
              <w:t>分；</w:t>
            </w:r>
          </w:p>
          <w:p>
            <w:pPr>
              <w:widowControl/>
              <w:jc w:val="center"/>
              <w:rPr>
                <w:highlight w:val="none"/>
              </w:rPr>
            </w:pPr>
            <w:r>
              <w:rPr>
                <w:rFonts w:hint="eastAsia" w:ascii="宋体" w:hAnsi="宋体" w:cs="宋体"/>
                <w:kern w:val="0"/>
                <w:szCs w:val="24"/>
                <w:highlight w:val="none"/>
              </w:rPr>
              <w:t>介于40%～30%之间的，得</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分；介于30%～20%之间的，得</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分；低于20%的，得</w:t>
            </w:r>
            <w:r>
              <w:rPr>
                <w:rFonts w:hint="eastAsia" w:ascii="宋体" w:hAnsi="宋体" w:cs="宋体"/>
                <w:kern w:val="0"/>
                <w:szCs w:val="24"/>
                <w:highlight w:val="none"/>
                <w:lang w:val="en-US" w:eastAsia="zh-CN"/>
              </w:rPr>
              <w:t>0</w:t>
            </w:r>
            <w:r>
              <w:rPr>
                <w:rFonts w:hint="eastAsia" w:ascii="宋体" w:hAnsi="宋体" w:cs="宋体"/>
                <w:kern w:val="0"/>
                <w:szCs w:val="24"/>
                <w:highlight w:val="none"/>
              </w:rPr>
              <w:t>分。</w:t>
            </w:r>
          </w:p>
        </w:tc>
        <w:tc>
          <w:tcPr>
            <w:tcW w:w="805" w:type="dxa"/>
            <w:vAlign w:val="center"/>
          </w:tcPr>
          <w:p>
            <w:pPr>
              <w:widowControl/>
              <w:jc w:val="center"/>
              <w:rPr>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3</w:t>
            </w:r>
            <w:r>
              <w:rPr>
                <w:rFonts w:ascii="宋体" w:hAnsi="宋体" w:cs="宋体"/>
                <w:kern w:val="0"/>
                <w:szCs w:val="24"/>
                <w:highlight w:val="none"/>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highlight w:val="none"/>
              </w:rPr>
            </w:pPr>
            <w:r>
              <w:rPr>
                <w:rFonts w:ascii="宋体" w:hAnsi="宋体" w:cs="宋体"/>
                <w:kern w:val="0"/>
                <w:szCs w:val="24"/>
                <w:highlight w:val="none"/>
                <w:lang w:eastAsia="en-US"/>
              </w:rPr>
              <w:t>监理专业配套</w:t>
            </w:r>
          </w:p>
        </w:tc>
        <w:tc>
          <w:tcPr>
            <w:tcW w:w="4536" w:type="dxa"/>
            <w:vAlign w:val="center"/>
          </w:tcPr>
          <w:p>
            <w:pPr>
              <w:widowControl/>
              <w:jc w:val="center"/>
              <w:rPr>
                <w:highlight w:val="none"/>
              </w:rPr>
            </w:pPr>
            <w:r>
              <w:rPr>
                <w:rFonts w:ascii="宋体" w:hAnsi="宋体" w:cs="宋体"/>
                <w:kern w:val="0"/>
                <w:szCs w:val="24"/>
                <w:highlight w:val="none"/>
              </w:rPr>
              <w:t>根据项目需要，专业配套齐全的，得</w:t>
            </w:r>
            <w:r>
              <w:rPr>
                <w:rFonts w:hint="eastAsia" w:ascii="宋体" w:hAnsi="宋体" w:cs="宋体"/>
                <w:kern w:val="0"/>
                <w:szCs w:val="24"/>
                <w:highlight w:val="none"/>
                <w:lang w:val="en-US" w:eastAsia="zh-CN"/>
              </w:rPr>
              <w:t>3</w:t>
            </w:r>
            <w:r>
              <w:rPr>
                <w:rFonts w:ascii="宋体" w:hAnsi="宋体" w:cs="宋体"/>
                <w:kern w:val="0"/>
                <w:szCs w:val="24"/>
                <w:highlight w:val="none"/>
              </w:rPr>
              <w:t>分；主要专业配套基本齐全的，得</w:t>
            </w:r>
            <w:r>
              <w:rPr>
                <w:rFonts w:hint="eastAsia" w:ascii="宋体" w:hAnsi="宋体" w:cs="宋体"/>
                <w:kern w:val="0"/>
                <w:szCs w:val="24"/>
                <w:highlight w:val="none"/>
                <w:lang w:val="en-US" w:eastAsia="zh-CN"/>
              </w:rPr>
              <w:t>2</w:t>
            </w:r>
            <w:r>
              <w:rPr>
                <w:rFonts w:ascii="宋体" w:hAnsi="宋体" w:cs="宋体"/>
                <w:kern w:val="0"/>
                <w:szCs w:val="24"/>
                <w:highlight w:val="none"/>
              </w:rPr>
              <w:t>分；主要专业不齐全的，不得分。</w:t>
            </w:r>
          </w:p>
        </w:tc>
        <w:tc>
          <w:tcPr>
            <w:tcW w:w="805" w:type="dxa"/>
            <w:vAlign w:val="center"/>
          </w:tcPr>
          <w:p>
            <w:pPr>
              <w:widowControl/>
              <w:jc w:val="center"/>
              <w:rPr>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3</w:t>
            </w:r>
            <w:r>
              <w:rPr>
                <w:rFonts w:ascii="宋体" w:hAnsi="宋体" w:cs="宋体"/>
                <w:kern w:val="0"/>
                <w:szCs w:val="24"/>
                <w:highlight w:val="none"/>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highlight w:val="none"/>
              </w:rPr>
            </w:pPr>
            <w:r>
              <w:rPr>
                <w:rFonts w:ascii="宋体" w:hAnsi="宋体" w:cs="宋体"/>
                <w:kern w:val="0"/>
                <w:szCs w:val="24"/>
                <w:highlight w:val="none"/>
                <w:lang w:eastAsia="en-US"/>
              </w:rPr>
              <w:t>监理人员数量</w:t>
            </w:r>
          </w:p>
        </w:tc>
        <w:tc>
          <w:tcPr>
            <w:tcW w:w="4536" w:type="dxa"/>
            <w:vAlign w:val="center"/>
          </w:tcPr>
          <w:p>
            <w:pPr>
              <w:widowControl/>
              <w:jc w:val="center"/>
              <w:rPr>
                <w:highlight w:val="none"/>
              </w:rPr>
            </w:pPr>
            <w:r>
              <w:rPr>
                <w:rFonts w:hint="eastAsia" w:ascii="宋体" w:hAnsi="宋体" w:cs="宋体"/>
                <w:kern w:val="0"/>
                <w:szCs w:val="24"/>
                <w:highlight w:val="none"/>
              </w:rPr>
              <w:t>拟投入项目监理人数最多的，得4分，基本分2分，其它在2～4分内插。</w:t>
            </w:r>
          </w:p>
        </w:tc>
        <w:tc>
          <w:tcPr>
            <w:tcW w:w="805" w:type="dxa"/>
            <w:vAlign w:val="center"/>
          </w:tcPr>
          <w:p>
            <w:pPr>
              <w:widowControl/>
              <w:jc w:val="center"/>
              <w:rPr>
                <w:highlight w:val="none"/>
              </w:rPr>
            </w:pPr>
            <w:r>
              <w:rPr>
                <w:rFonts w:hint="eastAsia" w:ascii="宋体" w:hAnsi="宋体" w:cs="宋体"/>
                <w:kern w:val="0"/>
                <w:szCs w:val="24"/>
                <w:highlight w:val="none"/>
                <w:lang w:eastAsia="en-US"/>
              </w:rPr>
              <w:t>0~</w:t>
            </w:r>
            <w:r>
              <w:rPr>
                <w:rFonts w:ascii="宋体" w:hAnsi="宋体" w:cs="宋体"/>
                <w:kern w:val="0"/>
                <w:szCs w:val="24"/>
                <w:highlight w:val="none"/>
              </w:rPr>
              <w:t>4</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highlight w:val="none"/>
              </w:rPr>
            </w:pPr>
            <w:r>
              <w:rPr>
                <w:rFonts w:ascii="宋体" w:hAnsi="宋体" w:cs="宋体"/>
                <w:kern w:val="0"/>
                <w:szCs w:val="24"/>
                <w:highlight w:val="none"/>
                <w:lang w:eastAsia="en-US"/>
              </w:rPr>
              <w:t xml:space="preserve">监理人员进场计划 </w:t>
            </w:r>
          </w:p>
        </w:tc>
        <w:tc>
          <w:tcPr>
            <w:tcW w:w="4536" w:type="dxa"/>
            <w:vAlign w:val="center"/>
          </w:tcPr>
          <w:p>
            <w:pPr>
              <w:widowControl/>
              <w:jc w:val="center"/>
              <w:rPr>
                <w:highlight w:val="none"/>
              </w:rPr>
            </w:pPr>
            <w:r>
              <w:rPr>
                <w:rFonts w:ascii="宋体" w:hAnsi="宋体" w:cs="宋体"/>
                <w:kern w:val="0"/>
                <w:szCs w:val="24"/>
                <w:highlight w:val="none"/>
              </w:rPr>
              <w:t>计划合理可行的，得</w:t>
            </w:r>
            <w:r>
              <w:rPr>
                <w:rFonts w:hint="eastAsia" w:ascii="宋体" w:hAnsi="宋体" w:cs="宋体"/>
                <w:kern w:val="0"/>
                <w:szCs w:val="24"/>
                <w:highlight w:val="none"/>
                <w:lang w:val="en-US" w:eastAsia="zh-CN"/>
              </w:rPr>
              <w:t>2</w:t>
            </w:r>
            <w:r>
              <w:rPr>
                <w:rFonts w:ascii="宋体" w:hAnsi="宋体" w:cs="宋体"/>
                <w:kern w:val="0"/>
                <w:szCs w:val="24"/>
                <w:highlight w:val="none"/>
              </w:rPr>
              <w:t>分；基本合理的，得</w:t>
            </w:r>
            <w:r>
              <w:rPr>
                <w:rFonts w:hint="eastAsia" w:ascii="宋体" w:hAnsi="宋体" w:cs="宋体"/>
                <w:kern w:val="0"/>
                <w:szCs w:val="24"/>
                <w:highlight w:val="none"/>
                <w:lang w:val="en-US" w:eastAsia="zh-CN"/>
              </w:rPr>
              <w:t>1</w:t>
            </w:r>
            <w:r>
              <w:rPr>
                <w:rFonts w:ascii="宋体" w:hAnsi="宋体" w:cs="宋体"/>
                <w:kern w:val="0"/>
                <w:szCs w:val="24"/>
                <w:highlight w:val="none"/>
              </w:rPr>
              <w:t>分；计划不合理或者未制定计划的，得0分。</w:t>
            </w:r>
          </w:p>
        </w:tc>
        <w:tc>
          <w:tcPr>
            <w:tcW w:w="805" w:type="dxa"/>
            <w:vAlign w:val="center"/>
          </w:tcPr>
          <w:p>
            <w:pPr>
              <w:widowControl/>
              <w:jc w:val="center"/>
              <w:rPr>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highlight w:val="none"/>
              </w:rPr>
            </w:pPr>
            <w:r>
              <w:rPr>
                <w:rFonts w:ascii="宋体" w:hAnsi="宋体" w:cs="宋体"/>
                <w:kern w:val="0"/>
                <w:szCs w:val="24"/>
                <w:highlight w:val="none"/>
                <w:lang w:eastAsia="en-US"/>
              </w:rPr>
              <w:t xml:space="preserve">设施设备配置 </w:t>
            </w:r>
          </w:p>
        </w:tc>
        <w:tc>
          <w:tcPr>
            <w:tcW w:w="4536" w:type="dxa"/>
            <w:vAlign w:val="center"/>
          </w:tcPr>
          <w:p>
            <w:pPr>
              <w:widowControl/>
              <w:jc w:val="center"/>
              <w:rPr>
                <w:highlight w:val="none"/>
              </w:rPr>
            </w:pPr>
            <w:r>
              <w:rPr>
                <w:rFonts w:ascii="宋体" w:hAnsi="宋体" w:cs="宋体"/>
                <w:kern w:val="0"/>
                <w:szCs w:val="24"/>
                <w:highlight w:val="none"/>
              </w:rPr>
              <w:t>设施设备配置合理的，得2分 ； 基本合理的，得1分； 不能满足实施需要的，得0分。</w:t>
            </w:r>
          </w:p>
        </w:tc>
        <w:tc>
          <w:tcPr>
            <w:tcW w:w="805" w:type="dxa"/>
            <w:vAlign w:val="center"/>
          </w:tcPr>
          <w:p>
            <w:pPr>
              <w:widowControl/>
              <w:jc w:val="center"/>
              <w:rPr>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restart"/>
            <w:vAlign w:val="center"/>
          </w:tcPr>
          <w:p>
            <w:pPr>
              <w:jc w:val="center"/>
              <w:textAlignment w:val="center"/>
              <w:rPr>
                <w:highlight w:val="none"/>
              </w:rPr>
            </w:pPr>
            <w:r>
              <w:rPr>
                <w:rFonts w:ascii="宋体" w:hAnsi="宋体" w:cs="宋体"/>
                <w:color w:val="000000"/>
                <w:sz w:val="24"/>
                <w:szCs w:val="24"/>
                <w:highlight w:val="none"/>
              </w:rPr>
              <w:t>4</w:t>
            </w:r>
          </w:p>
        </w:tc>
        <w:tc>
          <w:tcPr>
            <w:tcW w:w="1224" w:type="dxa"/>
            <w:vMerge w:val="restart"/>
            <w:vAlign w:val="center"/>
          </w:tcPr>
          <w:p>
            <w:pPr>
              <w:textAlignment w:val="center"/>
              <w:rPr>
                <w:rFonts w:ascii="宋体" w:hAnsi="宋体" w:cs="宋体"/>
                <w:kern w:val="0"/>
                <w:szCs w:val="24"/>
                <w:highlight w:val="none"/>
                <w:lang w:eastAsia="en-US"/>
              </w:rPr>
            </w:pPr>
            <w:r>
              <w:rPr>
                <w:rFonts w:hint="eastAsia" w:ascii="宋体" w:hAnsi="宋体" w:cs="宋体"/>
                <w:kern w:val="0"/>
                <w:szCs w:val="24"/>
                <w:highlight w:val="none"/>
                <w:lang w:eastAsia="en-US"/>
              </w:rPr>
              <w:t>监理大纲</w:t>
            </w:r>
          </w:p>
          <w:p>
            <w:pPr>
              <w:textAlignment w:val="center"/>
              <w:rPr>
                <w:highlight w:val="none"/>
              </w:rPr>
            </w:pPr>
            <w:r>
              <w:rPr>
                <w:rFonts w:hint="eastAsia" w:ascii="宋体" w:hAnsi="宋体" w:cs="宋体"/>
                <w:kern w:val="0"/>
                <w:szCs w:val="24"/>
                <w:highlight w:val="none"/>
              </w:rPr>
              <w:t>（</w:t>
            </w:r>
            <w:r>
              <w:rPr>
                <w:rFonts w:hint="eastAsia" w:ascii="宋体" w:hAnsi="宋体" w:cs="宋体"/>
                <w:kern w:val="0"/>
                <w:szCs w:val="24"/>
                <w:highlight w:val="none"/>
                <w:lang w:val="en-US" w:eastAsia="zh-CN"/>
              </w:rPr>
              <w:t>25</w:t>
            </w:r>
            <w:r>
              <w:rPr>
                <w:rFonts w:hint="eastAsia" w:ascii="宋体" w:hAnsi="宋体" w:cs="宋体"/>
                <w:kern w:val="0"/>
                <w:szCs w:val="24"/>
                <w:highlight w:val="none"/>
              </w:rPr>
              <w:t>分）</w:t>
            </w:r>
          </w:p>
        </w:tc>
        <w:tc>
          <w:tcPr>
            <w:tcW w:w="2353" w:type="dxa"/>
            <w:vMerge w:val="restart"/>
            <w:vAlign w:val="center"/>
          </w:tcPr>
          <w:p>
            <w:pPr>
              <w:widowControl/>
              <w:jc w:val="center"/>
              <w:rPr>
                <w:rFonts w:ascii="宋体" w:hAnsi="宋体" w:cs="宋体"/>
                <w:kern w:val="0"/>
                <w:szCs w:val="24"/>
                <w:highlight w:val="none"/>
                <w:lang w:eastAsia="en-US"/>
              </w:rPr>
            </w:pPr>
            <w:r>
              <w:rPr>
                <w:rFonts w:hint="eastAsia" w:ascii="宋体" w:hAnsi="宋体" w:cs="宋体"/>
                <w:kern w:val="0"/>
                <w:szCs w:val="24"/>
                <w:highlight w:val="none"/>
                <w:lang w:eastAsia="en-US"/>
              </w:rPr>
              <w:t>工程分析</w:t>
            </w:r>
          </w:p>
        </w:tc>
        <w:tc>
          <w:tcPr>
            <w:tcW w:w="4536" w:type="dxa"/>
            <w:tcBorders>
              <w:top w:val="single" w:color="auto" w:sz="4" w:space="0"/>
              <w:left w:val="single" w:color="auto" w:sz="4" w:space="0"/>
              <w:bottom w:val="single" w:color="auto" w:sz="4" w:space="0"/>
            </w:tcBorders>
            <w:vAlign w:val="center"/>
          </w:tcPr>
          <w:p>
            <w:pPr>
              <w:spacing w:line="320" w:lineRule="exact"/>
              <w:rPr>
                <w:rFonts w:ascii="宋体" w:hAnsi="宋体" w:cs="Tahoma"/>
                <w:highlight w:val="none"/>
              </w:rPr>
            </w:pPr>
            <w:r>
              <w:rPr>
                <w:rFonts w:ascii="宋体" w:hAnsi="宋体" w:cs="Tahoma"/>
                <w:highlight w:val="none"/>
              </w:rPr>
              <w:t>1</w:t>
            </w:r>
            <w:r>
              <w:rPr>
                <w:rFonts w:hint="eastAsia" w:ascii="宋体" w:hAnsi="宋体" w:cs="Tahoma"/>
                <w:highlight w:val="none"/>
              </w:rPr>
              <w:t>、</w:t>
            </w:r>
            <w:r>
              <w:rPr>
                <w:rFonts w:ascii="宋体" w:hAnsi="宋体" w:cs="Tahoma"/>
                <w:highlight w:val="none"/>
              </w:rPr>
              <w:t>监理范围与目标明确的，得</w:t>
            </w:r>
            <w:r>
              <w:rPr>
                <w:rFonts w:hint="eastAsia" w:ascii="宋体" w:hAnsi="宋体" w:cs="Tahoma"/>
                <w:highlight w:val="none"/>
                <w:lang w:val="en-US" w:eastAsia="zh-CN"/>
              </w:rPr>
              <w:t>2</w:t>
            </w:r>
            <w:r>
              <w:rPr>
                <w:rFonts w:ascii="宋体" w:hAnsi="宋体" w:cs="Tahoma"/>
                <w:highlight w:val="none"/>
              </w:rPr>
              <w:t>分，否则得0～</w:t>
            </w:r>
            <w:r>
              <w:rPr>
                <w:rFonts w:hint="eastAsia" w:ascii="宋体" w:hAnsi="宋体" w:cs="Tahoma"/>
                <w:highlight w:val="none"/>
                <w:lang w:val="en-US" w:eastAsia="zh-CN"/>
              </w:rPr>
              <w:t>2</w:t>
            </w:r>
            <w:r>
              <w:rPr>
                <w:rFonts w:ascii="宋体" w:hAnsi="宋体" w:cs="Tahoma"/>
                <w:highlight w:val="none"/>
              </w:rPr>
              <w:t>分（保留一位小数，下同）</w:t>
            </w:r>
            <w:r>
              <w:rPr>
                <w:rFonts w:hint="eastAsia" w:ascii="宋体" w:hAnsi="宋体" w:cs="Tahoma"/>
                <w:highlight w:val="none"/>
              </w:rPr>
              <w:t>；</w:t>
            </w:r>
            <w:r>
              <w:rPr>
                <w:rFonts w:ascii="宋体" w:hAnsi="宋体" w:cs="Tahoma"/>
                <w:highlight w:val="none"/>
              </w:rPr>
              <w:t xml:space="preserve">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rFonts w:hint="eastAsia" w:ascii="宋体" w:hAnsi="宋体" w:cs="宋体"/>
                <w:color w:val="000000"/>
                <w:sz w:val="24"/>
                <w:szCs w:val="24"/>
                <w:highlight w:val="none"/>
              </w:rPr>
            </w:pPr>
          </w:p>
        </w:tc>
        <w:tc>
          <w:tcPr>
            <w:tcW w:w="1224" w:type="dxa"/>
            <w:vMerge w:val="continue"/>
            <w:vAlign w:val="center"/>
          </w:tcPr>
          <w:p>
            <w:pPr>
              <w:textAlignment w:val="center"/>
              <w:rPr>
                <w:rFonts w:hint="eastAsia" w:ascii="宋体" w:hAnsi="宋体" w:cs="宋体"/>
                <w:kern w:val="0"/>
                <w:szCs w:val="24"/>
                <w:highlight w:val="none"/>
              </w:rPr>
            </w:pPr>
          </w:p>
        </w:tc>
        <w:tc>
          <w:tcPr>
            <w:tcW w:w="2353" w:type="dxa"/>
            <w:vMerge w:val="continue"/>
            <w:vAlign w:val="center"/>
          </w:tcPr>
          <w:p>
            <w:pPr>
              <w:widowControl/>
              <w:jc w:val="center"/>
              <w:rPr>
                <w:rFonts w:hint="eastAsia"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spacing w:line="280" w:lineRule="exact"/>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对影响工程工期、质量、投资的关键问题以及工程的重点和难点分析清楚的，得</w:t>
            </w:r>
            <w:r>
              <w:rPr>
                <w:rFonts w:hint="eastAsia" w:ascii="宋体" w:hAnsi="宋体" w:cs="Tahoma"/>
                <w:highlight w:val="none"/>
                <w:lang w:val="en-US" w:eastAsia="zh-CN"/>
              </w:rPr>
              <w:t>3</w:t>
            </w:r>
            <w:r>
              <w:rPr>
                <w:rFonts w:ascii="宋体" w:hAnsi="宋体" w:cs="Tahoma"/>
                <w:highlight w:val="none"/>
              </w:rPr>
              <w:t>分，否则得0～</w:t>
            </w:r>
            <w:r>
              <w:rPr>
                <w:rFonts w:hint="eastAsia" w:ascii="宋体" w:hAnsi="宋体" w:cs="Tahoma"/>
                <w:highlight w:val="none"/>
                <w:lang w:val="en-US" w:eastAsia="zh-CN"/>
              </w:rPr>
              <w:t>3</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3</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restart"/>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质量控制</w:t>
            </w:r>
          </w:p>
        </w:tc>
        <w:tc>
          <w:tcPr>
            <w:tcW w:w="4536" w:type="dxa"/>
            <w:tcBorders>
              <w:top w:val="single" w:color="auto" w:sz="4" w:space="0"/>
              <w:left w:val="single" w:color="auto" w:sz="4" w:space="0"/>
              <w:bottom w:val="single" w:color="auto" w:sz="4" w:space="0"/>
            </w:tcBorders>
            <w:vAlign w:val="center"/>
          </w:tcPr>
          <w:p>
            <w:pPr>
              <w:spacing w:line="320" w:lineRule="exact"/>
              <w:rPr>
                <w:rFonts w:ascii="宋体" w:hAnsi="宋体" w:cs="Tahoma"/>
                <w:highlight w:val="none"/>
              </w:rPr>
            </w:pPr>
            <w:r>
              <w:rPr>
                <w:rFonts w:hint="eastAsia" w:ascii="宋体" w:hAnsi="宋体" w:cs="Tahoma"/>
                <w:highlight w:val="none"/>
              </w:rPr>
              <w:t>1、</w:t>
            </w:r>
            <w:r>
              <w:rPr>
                <w:rFonts w:ascii="宋体" w:hAnsi="宋体" w:cs="Tahoma"/>
                <w:highlight w:val="none"/>
              </w:rPr>
              <w:t>质量控制目标明确的，得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spacing w:line="320" w:lineRule="exact"/>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主要工序和关键部位的控制措施合理的，得</w:t>
            </w:r>
            <w:r>
              <w:rPr>
                <w:rFonts w:hint="eastAsia" w:ascii="宋体" w:hAnsi="宋体" w:cs="Tahoma"/>
                <w:highlight w:val="none"/>
                <w:lang w:val="en-US" w:eastAsia="zh-CN"/>
              </w:rPr>
              <w:t>2</w:t>
            </w:r>
            <w:r>
              <w:rPr>
                <w:rFonts w:ascii="宋体" w:hAnsi="宋体" w:cs="Tahoma"/>
                <w:highlight w:val="none"/>
              </w:rPr>
              <w:t>分，否则得0～</w:t>
            </w:r>
            <w:r>
              <w:rPr>
                <w:rFonts w:hint="eastAsia" w:ascii="宋体" w:hAnsi="宋体" w:cs="Tahoma"/>
                <w:highlight w:val="none"/>
                <w:lang w:val="en-US" w:eastAsia="zh-CN"/>
              </w:rPr>
              <w:t>2</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spacing w:line="320" w:lineRule="exact"/>
              <w:rPr>
                <w:rFonts w:ascii="宋体" w:hAnsi="宋体" w:cs="Tahoma"/>
                <w:highlight w:val="none"/>
              </w:rPr>
            </w:pPr>
            <w:r>
              <w:rPr>
                <w:rFonts w:ascii="宋体" w:hAnsi="宋体" w:cs="Tahoma"/>
                <w:highlight w:val="none"/>
              </w:rPr>
              <w:t>3</w:t>
            </w:r>
            <w:r>
              <w:rPr>
                <w:rFonts w:hint="eastAsia" w:ascii="宋体" w:hAnsi="宋体" w:cs="Tahoma"/>
                <w:highlight w:val="none"/>
              </w:rPr>
              <w:t>、</w:t>
            </w:r>
            <w:r>
              <w:rPr>
                <w:rFonts w:ascii="宋体" w:hAnsi="宋体" w:cs="Tahoma"/>
                <w:highlight w:val="none"/>
              </w:rPr>
              <w:t>旁站监理工作计划具体、部位明确的，得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spacing w:line="280" w:lineRule="exact"/>
              <w:rPr>
                <w:rFonts w:ascii="宋体" w:hAnsi="宋体" w:cs="Tahoma"/>
                <w:highlight w:val="none"/>
              </w:rPr>
            </w:pPr>
            <w:r>
              <w:rPr>
                <w:rFonts w:ascii="宋体" w:hAnsi="宋体" w:cs="Tahoma"/>
                <w:highlight w:val="none"/>
              </w:rPr>
              <w:t>4</w:t>
            </w:r>
            <w:r>
              <w:rPr>
                <w:rFonts w:hint="eastAsia" w:ascii="宋体" w:hAnsi="宋体" w:cs="Tahoma"/>
                <w:highlight w:val="none"/>
              </w:rPr>
              <w:t>、</w:t>
            </w:r>
            <w:r>
              <w:rPr>
                <w:rFonts w:ascii="宋体" w:hAnsi="宋体" w:cs="Tahoma"/>
                <w:highlight w:val="none"/>
              </w:rPr>
              <w:t>工程原材料和中间产品质量检测控制措施可行、跟踪检测和平行检测方法可行, 工程质量评定及验收方法和工作流程正确的，得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restart"/>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进度控制</w:t>
            </w: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1</w:t>
            </w:r>
            <w:r>
              <w:rPr>
                <w:rFonts w:hint="eastAsia" w:ascii="宋体" w:hAnsi="宋体" w:cs="Tahoma"/>
                <w:highlight w:val="none"/>
              </w:rPr>
              <w:t>、</w:t>
            </w:r>
            <w:r>
              <w:rPr>
                <w:rFonts w:ascii="宋体" w:hAnsi="宋体" w:cs="Tahoma"/>
                <w:highlight w:val="none"/>
              </w:rPr>
              <w:t>进度控制目标明确，且满足招标文件要求的，得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进度控制方法和措施正确、完善的，得</w:t>
            </w:r>
            <w:r>
              <w:rPr>
                <w:rFonts w:hint="eastAsia" w:ascii="宋体" w:hAnsi="宋体" w:cs="Tahoma"/>
                <w:highlight w:val="none"/>
                <w:lang w:val="en-US" w:eastAsia="zh-CN"/>
              </w:rPr>
              <w:t>2</w:t>
            </w:r>
            <w:r>
              <w:rPr>
                <w:rFonts w:ascii="宋体" w:hAnsi="宋体" w:cs="Tahoma"/>
                <w:highlight w:val="none"/>
              </w:rPr>
              <w:t>分，否则得0～</w:t>
            </w:r>
            <w:r>
              <w:rPr>
                <w:rFonts w:hint="eastAsia" w:ascii="宋体" w:hAnsi="宋体" w:cs="Tahoma"/>
                <w:highlight w:val="none"/>
                <w:lang w:val="en-US" w:eastAsia="zh-CN"/>
              </w:rPr>
              <w:t>2</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3</w:t>
            </w:r>
            <w:r>
              <w:rPr>
                <w:rFonts w:hint="eastAsia" w:ascii="宋体" w:hAnsi="宋体" w:cs="Tahoma"/>
                <w:highlight w:val="none"/>
              </w:rPr>
              <w:t>、</w:t>
            </w:r>
            <w:r>
              <w:rPr>
                <w:rFonts w:ascii="宋体" w:hAnsi="宋体" w:cs="Tahoma"/>
                <w:highlight w:val="none"/>
              </w:rPr>
              <w:t>进度控制工作流程正确合理的，得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restart"/>
            <w:vAlign w:val="center"/>
          </w:tcPr>
          <w:p>
            <w:pPr>
              <w:widowControl/>
              <w:jc w:val="center"/>
              <w:rPr>
                <w:rFonts w:ascii="宋体" w:hAnsi="宋体" w:cs="宋体"/>
                <w:kern w:val="0"/>
                <w:szCs w:val="24"/>
                <w:highlight w:val="none"/>
              </w:rPr>
            </w:pPr>
            <w:r>
              <w:rPr>
                <w:rFonts w:ascii="宋体" w:hAnsi="宋体" w:cs="Tahoma"/>
                <w:highlight w:val="none"/>
              </w:rPr>
              <w:t>投资控制</w:t>
            </w: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1</w:t>
            </w:r>
            <w:r>
              <w:rPr>
                <w:rFonts w:hint="eastAsia" w:ascii="宋体" w:hAnsi="宋体" w:cs="Tahoma"/>
                <w:highlight w:val="none"/>
              </w:rPr>
              <w:t>、</w:t>
            </w:r>
            <w:r>
              <w:rPr>
                <w:rFonts w:ascii="宋体" w:hAnsi="宋体" w:cs="Tahoma"/>
                <w:highlight w:val="none"/>
              </w:rPr>
              <w:t>投资控制目标明确、投资控制工作流程清晰的，得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分；</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投资控制方法和措施正确、完善的，得</w:t>
            </w:r>
            <w:r>
              <w:rPr>
                <w:rFonts w:hint="eastAsia" w:ascii="宋体" w:hAnsi="宋体" w:cs="Tahoma"/>
                <w:highlight w:val="none"/>
                <w:lang w:val="en-US" w:eastAsia="zh-CN"/>
              </w:rPr>
              <w:t>2</w:t>
            </w:r>
            <w:r>
              <w:rPr>
                <w:rFonts w:ascii="宋体" w:hAnsi="宋体" w:cs="Tahoma"/>
                <w:highlight w:val="none"/>
              </w:rPr>
              <w:t>分，否则得0～</w:t>
            </w:r>
            <w:r>
              <w:rPr>
                <w:rFonts w:hint="eastAsia" w:ascii="宋体" w:hAnsi="宋体" w:cs="Tahoma"/>
                <w:highlight w:val="none"/>
                <w:lang w:val="en-US" w:eastAsia="zh-CN"/>
              </w:rPr>
              <w:t>2</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2</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restart"/>
            <w:vAlign w:val="center"/>
          </w:tcPr>
          <w:p>
            <w:pPr>
              <w:widowControl/>
              <w:jc w:val="center"/>
              <w:rPr>
                <w:rFonts w:ascii="宋体" w:hAnsi="宋体" w:cs="宋体"/>
                <w:kern w:val="0"/>
                <w:szCs w:val="24"/>
                <w:highlight w:val="none"/>
              </w:rPr>
            </w:pPr>
            <w:r>
              <w:rPr>
                <w:rFonts w:ascii="宋体" w:hAnsi="宋体" w:cs="Tahoma"/>
                <w:highlight w:val="none"/>
              </w:rPr>
              <w:t>合同信息管理和组织协调</w:t>
            </w: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1</w:t>
            </w:r>
            <w:r>
              <w:rPr>
                <w:rFonts w:hint="eastAsia" w:ascii="宋体" w:hAnsi="宋体" w:cs="Tahoma"/>
                <w:highlight w:val="none"/>
              </w:rPr>
              <w:t>、</w:t>
            </w:r>
            <w:r>
              <w:rPr>
                <w:rFonts w:ascii="宋体" w:hAnsi="宋体" w:cs="Tahoma"/>
                <w:highlight w:val="none"/>
              </w:rPr>
              <w:t>信息管理制度健全、方法正确的，得1分，否则得0～0.5分；</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合同管理措施具体、完善，协调建设各方关系的措施可行的，得1分，否则得0～0.5分。</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restart"/>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安全与环境保护、文明施工措施</w:t>
            </w: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1</w:t>
            </w:r>
            <w:r>
              <w:rPr>
                <w:rFonts w:hint="eastAsia" w:ascii="宋体" w:hAnsi="宋体" w:cs="Tahoma"/>
                <w:highlight w:val="none"/>
              </w:rPr>
              <w:t>、</w:t>
            </w:r>
            <w:r>
              <w:rPr>
                <w:rFonts w:ascii="宋体" w:hAnsi="宋体" w:cs="Tahoma"/>
                <w:highlight w:val="none"/>
              </w:rPr>
              <w:t xml:space="preserve">安全管理体系健全、措施具体完善的，得1分，否则得0～1分；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ascii="宋体" w:hAnsi="宋体" w:cs="宋体"/>
                <w:kern w:val="0"/>
                <w:szCs w:val="24"/>
                <w:highlight w:val="none"/>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2</w:t>
            </w:r>
            <w:r>
              <w:rPr>
                <w:rFonts w:hint="eastAsia" w:ascii="宋体" w:hAnsi="宋体" w:cs="Tahoma"/>
                <w:highlight w:val="none"/>
              </w:rPr>
              <w:t>、</w:t>
            </w:r>
            <w:r>
              <w:rPr>
                <w:rFonts w:ascii="宋体" w:hAnsi="宋体" w:cs="Tahoma"/>
                <w:highlight w:val="none"/>
              </w:rPr>
              <w:t>环境保护措施具体完善的，得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 xml:space="preserve">分； </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Merge w:val="continue"/>
            <w:vAlign w:val="center"/>
          </w:tcPr>
          <w:p>
            <w:pPr>
              <w:widowControl/>
              <w:jc w:val="center"/>
              <w:rPr>
                <w:rFonts w:ascii="宋体" w:hAnsi="宋体" w:cs="宋体"/>
                <w:kern w:val="0"/>
                <w:szCs w:val="24"/>
                <w:highlight w:val="none"/>
              </w:rPr>
            </w:pPr>
          </w:p>
        </w:tc>
        <w:tc>
          <w:tcPr>
            <w:tcW w:w="4536" w:type="dxa"/>
            <w:tcBorders>
              <w:top w:val="single" w:color="auto" w:sz="4" w:space="0"/>
              <w:left w:val="single" w:color="auto" w:sz="4" w:space="0"/>
              <w:bottom w:val="single" w:color="auto" w:sz="4" w:space="0"/>
            </w:tcBorders>
            <w:vAlign w:val="center"/>
          </w:tcPr>
          <w:p>
            <w:pPr>
              <w:rPr>
                <w:rFonts w:ascii="宋体" w:hAnsi="宋体" w:cs="Tahoma"/>
                <w:highlight w:val="none"/>
              </w:rPr>
            </w:pPr>
            <w:r>
              <w:rPr>
                <w:rFonts w:ascii="宋体" w:hAnsi="宋体" w:cs="Tahoma"/>
                <w:highlight w:val="none"/>
              </w:rPr>
              <w:t>3</w:t>
            </w:r>
            <w:r>
              <w:rPr>
                <w:rFonts w:hint="eastAsia" w:ascii="宋体" w:hAnsi="宋体" w:cs="Tahoma"/>
                <w:highlight w:val="none"/>
              </w:rPr>
              <w:t>、</w:t>
            </w:r>
            <w:r>
              <w:rPr>
                <w:rFonts w:ascii="宋体" w:hAnsi="宋体" w:cs="Tahoma"/>
                <w:highlight w:val="none"/>
              </w:rPr>
              <w:t>文明施工管理措施具体、完善的，得</w:t>
            </w:r>
            <w:r>
              <w:rPr>
                <w:rFonts w:hint="eastAsia" w:ascii="宋体" w:hAnsi="宋体" w:cs="Tahoma"/>
                <w:highlight w:val="none"/>
                <w:lang w:val="en-US" w:eastAsia="zh-CN"/>
              </w:rPr>
              <w:t>1</w:t>
            </w:r>
            <w:r>
              <w:rPr>
                <w:rFonts w:ascii="宋体" w:hAnsi="宋体" w:cs="Tahoma"/>
                <w:highlight w:val="none"/>
              </w:rPr>
              <w:t>分，否则得0～</w:t>
            </w:r>
            <w:r>
              <w:rPr>
                <w:rFonts w:hint="eastAsia" w:ascii="宋体" w:hAnsi="宋体" w:cs="Tahoma"/>
                <w:highlight w:val="none"/>
                <w:lang w:val="en-US" w:eastAsia="zh-CN"/>
              </w:rPr>
              <w:t>1</w:t>
            </w:r>
            <w:r>
              <w:rPr>
                <w:rFonts w:ascii="宋体" w:hAnsi="宋体" w:cs="Tahoma"/>
                <w:highlight w:val="none"/>
              </w:rPr>
              <w:t>分。</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hint="eastAsia" w:ascii="宋体" w:hAnsi="宋体" w:cs="宋体"/>
                <w:kern w:val="0"/>
                <w:szCs w:val="24"/>
                <w:highlight w:val="none"/>
                <w:lang w:val="en-US" w:eastAsia="zh-CN"/>
              </w:rPr>
              <w:t>1</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540" w:type="dxa"/>
            <w:vMerge w:val="continue"/>
            <w:vAlign w:val="center"/>
          </w:tcPr>
          <w:p>
            <w:pPr>
              <w:jc w:val="center"/>
              <w:textAlignment w:val="center"/>
              <w:rPr>
                <w:highlight w:val="none"/>
              </w:rPr>
            </w:pPr>
          </w:p>
        </w:tc>
        <w:tc>
          <w:tcPr>
            <w:tcW w:w="1224" w:type="dxa"/>
            <w:vMerge w:val="continue"/>
            <w:vAlign w:val="center"/>
          </w:tcPr>
          <w:p>
            <w:pPr>
              <w:textAlignment w:val="center"/>
              <w:rPr>
                <w:highlight w:val="none"/>
              </w:rPr>
            </w:pPr>
          </w:p>
        </w:tc>
        <w:tc>
          <w:tcPr>
            <w:tcW w:w="235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合理化建议</w:t>
            </w:r>
          </w:p>
        </w:tc>
        <w:tc>
          <w:tcPr>
            <w:tcW w:w="4536" w:type="dxa"/>
            <w:tcBorders>
              <w:top w:val="single" w:color="auto" w:sz="4" w:space="0"/>
              <w:left w:val="single" w:color="auto" w:sz="4" w:space="0"/>
              <w:bottom w:val="single" w:color="auto" w:sz="4" w:space="0"/>
            </w:tcBorders>
            <w:vAlign w:val="center"/>
          </w:tcPr>
          <w:p>
            <w:pPr>
              <w:spacing w:line="280" w:lineRule="exact"/>
              <w:rPr>
                <w:rFonts w:ascii="宋体" w:hAnsi="宋体" w:cs="Tahoma"/>
                <w:highlight w:val="none"/>
              </w:rPr>
            </w:pPr>
            <w:r>
              <w:rPr>
                <w:rFonts w:ascii="宋体" w:hAnsi="宋体" w:cs="Tahoma"/>
                <w:highlight w:val="none"/>
              </w:rPr>
              <w:t>具有科学、合理、可行及具体措施的合理化建议的，得3分，否则得0～3分。</w:t>
            </w:r>
          </w:p>
        </w:tc>
        <w:tc>
          <w:tcPr>
            <w:tcW w:w="805" w:type="dxa"/>
            <w:vAlign w:val="center"/>
          </w:tcPr>
          <w:p>
            <w:pPr>
              <w:widowControl/>
              <w:jc w:val="center"/>
              <w:rPr>
                <w:rFonts w:hint="eastAsia" w:ascii="宋体" w:hAnsi="宋体" w:cs="宋体"/>
                <w:kern w:val="0"/>
                <w:szCs w:val="24"/>
                <w:highlight w:val="none"/>
              </w:rPr>
            </w:pPr>
            <w:r>
              <w:rPr>
                <w:rFonts w:hint="eastAsia" w:ascii="宋体" w:hAnsi="宋体" w:cs="宋体"/>
                <w:kern w:val="0"/>
                <w:szCs w:val="24"/>
                <w:highlight w:val="none"/>
                <w:lang w:eastAsia="en-US"/>
              </w:rPr>
              <w:t>0~</w:t>
            </w:r>
            <w:r>
              <w:rPr>
                <w:rFonts w:ascii="宋体" w:hAnsi="宋体" w:cs="宋体"/>
                <w:kern w:val="0"/>
                <w:szCs w:val="24"/>
                <w:highlight w:val="none"/>
              </w:rPr>
              <w:t>3</w:t>
            </w:r>
            <w:r>
              <w:rPr>
                <w:rFonts w:hint="eastAsia" w:ascii="宋体" w:hAnsi="宋体" w:cs="宋体"/>
                <w:kern w:val="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5" w:hRule="atLeast"/>
        </w:trPr>
        <w:tc>
          <w:tcPr>
            <w:tcW w:w="540" w:type="dxa"/>
            <w:vAlign w:val="center"/>
          </w:tcPr>
          <w:p>
            <w:pPr>
              <w:jc w:val="center"/>
              <w:textAlignment w:val="center"/>
              <w:rPr>
                <w:rFonts w:ascii="宋体" w:hAnsi="宋体" w:cs="宋体"/>
                <w:color w:val="000000"/>
                <w:sz w:val="24"/>
                <w:szCs w:val="24"/>
                <w:highlight w:val="none"/>
              </w:rPr>
            </w:pPr>
            <w:r>
              <w:rPr>
                <w:rFonts w:ascii="宋体" w:hAnsi="宋体" w:cs="宋体"/>
                <w:color w:val="000000"/>
                <w:sz w:val="24"/>
                <w:szCs w:val="24"/>
                <w:highlight w:val="none"/>
              </w:rPr>
              <w:t>5</w:t>
            </w:r>
          </w:p>
        </w:tc>
        <w:tc>
          <w:tcPr>
            <w:tcW w:w="1224" w:type="dxa"/>
            <w:vAlign w:val="center"/>
          </w:tcPr>
          <w:p>
            <w:pPr>
              <w:textAlignment w:val="center"/>
              <w:rPr>
                <w:rFonts w:ascii="宋体" w:hAnsi="宋体" w:cs="宋体"/>
                <w:kern w:val="0"/>
                <w:szCs w:val="24"/>
                <w:highlight w:val="none"/>
              </w:rPr>
            </w:pPr>
            <w:r>
              <w:rPr>
                <w:rFonts w:hint="eastAsia" w:ascii="宋体" w:hAnsi="宋体" w:cs="宋体"/>
                <w:kern w:val="0"/>
                <w:szCs w:val="24"/>
                <w:highlight w:val="none"/>
              </w:rPr>
              <w:t>投标报价</w:t>
            </w:r>
          </w:p>
          <w:p>
            <w:pPr>
              <w:textAlignment w:val="center"/>
              <w:rPr>
                <w:rFonts w:ascii="宋体" w:hAnsi="宋体" w:cs="宋体"/>
                <w:kern w:val="0"/>
                <w:szCs w:val="24"/>
                <w:highlight w:val="none"/>
                <w:lang w:eastAsia="en-US"/>
              </w:rPr>
            </w:pPr>
            <w:r>
              <w:rPr>
                <w:rFonts w:hint="eastAsia" w:ascii="宋体" w:hAnsi="宋体" w:cs="宋体"/>
                <w:kern w:val="0"/>
                <w:szCs w:val="24"/>
                <w:highlight w:val="none"/>
                <w:lang w:eastAsia="en-US"/>
              </w:rPr>
              <w:t>（</w:t>
            </w:r>
            <w:r>
              <w:rPr>
                <w:rFonts w:hint="eastAsia" w:ascii="宋体" w:hAnsi="宋体" w:cs="宋体"/>
                <w:kern w:val="0"/>
                <w:szCs w:val="24"/>
                <w:highlight w:val="none"/>
              </w:rPr>
              <w:t>30分</w:t>
            </w:r>
            <w:r>
              <w:rPr>
                <w:rFonts w:hint="eastAsia" w:ascii="宋体" w:hAnsi="宋体" w:cs="宋体"/>
                <w:kern w:val="0"/>
                <w:szCs w:val="24"/>
                <w:highlight w:val="none"/>
                <w:lang w:eastAsia="en-US"/>
              </w:rPr>
              <w:t>）</w:t>
            </w:r>
          </w:p>
        </w:tc>
        <w:tc>
          <w:tcPr>
            <w:tcW w:w="6889" w:type="dxa"/>
            <w:gridSpan w:val="2"/>
            <w:vAlign w:val="center"/>
          </w:tcPr>
          <w:p>
            <w:pPr>
              <w:textAlignment w:val="center"/>
              <w:rPr>
                <w:rFonts w:ascii="宋体" w:hAnsi="宋体" w:cs="宋体"/>
                <w:kern w:val="0"/>
                <w:szCs w:val="24"/>
                <w:highlight w:val="none"/>
              </w:rPr>
            </w:pPr>
            <w:r>
              <w:rPr>
                <w:rFonts w:hint="eastAsia" w:ascii="宋体" w:hAnsi="宋体" w:cs="宋体"/>
                <w:kern w:val="0"/>
                <w:szCs w:val="24"/>
                <w:highlight w:val="none"/>
              </w:rPr>
              <w:t>价格得分计算方法：</w:t>
            </w:r>
          </w:p>
          <w:p>
            <w:pPr>
              <w:textAlignment w:val="center"/>
              <w:rPr>
                <w:rFonts w:ascii="宋体" w:hAnsi="宋体" w:cs="宋体"/>
                <w:kern w:val="0"/>
                <w:szCs w:val="24"/>
                <w:highlight w:val="none"/>
              </w:rPr>
            </w:pPr>
            <w:r>
              <w:rPr>
                <w:rFonts w:hint="eastAsia" w:ascii="宋体" w:hAnsi="宋体" w:cs="宋体"/>
                <w:kern w:val="0"/>
                <w:szCs w:val="24"/>
                <w:highlight w:val="none"/>
              </w:rPr>
              <w:t>基准价的确定：以满足招标文件要求且投标价格最低的投标报价为评标基准价，其价格分为满分。其它投标人的</w:t>
            </w:r>
            <w:r>
              <w:rPr>
                <w:rFonts w:ascii="宋体" w:hAnsi="宋体" w:cs="宋体"/>
                <w:kern w:val="0"/>
                <w:szCs w:val="24"/>
                <w:highlight w:val="none"/>
              </w:rPr>
              <w:t>价格分统一按照下列公式计算：</w:t>
            </w:r>
          </w:p>
          <w:p>
            <w:pPr>
              <w:textAlignment w:val="center"/>
              <w:rPr>
                <w:rFonts w:hint="eastAsia" w:ascii="宋体" w:hAnsi="宋体" w:cs="宋体"/>
                <w:kern w:val="0"/>
                <w:szCs w:val="24"/>
                <w:highlight w:val="none"/>
              </w:rPr>
            </w:pPr>
            <w:r>
              <w:rPr>
                <w:rFonts w:ascii="宋体" w:hAnsi="宋体" w:cs="宋体"/>
                <w:kern w:val="0"/>
                <w:szCs w:val="24"/>
                <w:highlight w:val="none"/>
              </w:rPr>
              <w:t>投标报价得分</w:t>
            </w:r>
            <w:r>
              <w:rPr>
                <w:rFonts w:hint="eastAsia" w:ascii="宋体" w:hAnsi="宋体" w:cs="宋体"/>
                <w:kern w:val="0"/>
                <w:szCs w:val="24"/>
                <w:highlight w:val="none"/>
              </w:rPr>
              <w:t>=</w:t>
            </w:r>
            <w:r>
              <w:rPr>
                <w:rFonts w:ascii="宋体" w:hAnsi="宋体" w:cs="宋体"/>
                <w:kern w:val="0"/>
                <w:szCs w:val="24"/>
                <w:highlight w:val="none"/>
              </w:rPr>
              <w:t>（</w:t>
            </w:r>
            <w:r>
              <w:rPr>
                <w:rFonts w:hint="eastAsia" w:ascii="宋体" w:hAnsi="宋体" w:cs="宋体"/>
                <w:kern w:val="0"/>
                <w:szCs w:val="24"/>
                <w:highlight w:val="none"/>
              </w:rPr>
              <w:t>评标基准价/投标报价</w:t>
            </w:r>
            <w:r>
              <w:rPr>
                <w:rFonts w:ascii="宋体" w:hAnsi="宋体" w:cs="宋体"/>
                <w:kern w:val="0"/>
                <w:szCs w:val="24"/>
                <w:highlight w:val="none"/>
              </w:rPr>
              <w:t>）</w:t>
            </w:r>
            <w:r>
              <w:rPr>
                <w:rFonts w:hint="eastAsia" w:ascii="宋体" w:hAnsi="宋体" w:cs="宋体"/>
                <w:kern w:val="0"/>
                <w:szCs w:val="24"/>
                <w:highlight w:val="none"/>
              </w:rPr>
              <w:t>*30（精确到</w:t>
            </w:r>
            <w:r>
              <w:rPr>
                <w:rFonts w:ascii="宋体" w:hAnsi="宋体" w:cs="宋体"/>
                <w:kern w:val="0"/>
                <w:szCs w:val="24"/>
                <w:highlight w:val="none"/>
              </w:rPr>
              <w:t>小数点后两位，四舍五入。</w:t>
            </w:r>
            <w:r>
              <w:rPr>
                <w:rFonts w:hint="eastAsia" w:ascii="宋体" w:hAnsi="宋体" w:cs="宋体"/>
                <w:kern w:val="0"/>
                <w:szCs w:val="24"/>
                <w:highlight w:val="none"/>
              </w:rPr>
              <w:t>）</w:t>
            </w:r>
          </w:p>
        </w:tc>
        <w:tc>
          <w:tcPr>
            <w:tcW w:w="805" w:type="dxa"/>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8653" w:type="dxa"/>
            <w:gridSpan w:val="4"/>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合计</w:t>
            </w:r>
          </w:p>
        </w:tc>
        <w:tc>
          <w:tcPr>
            <w:tcW w:w="805" w:type="dxa"/>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color w:val="000000"/>
                <w:sz w:val="24"/>
                <w:szCs w:val="24"/>
                <w:highlight w:val="none"/>
              </w:rPr>
              <w:t>100分</w:t>
            </w:r>
          </w:p>
        </w:tc>
      </w:tr>
    </w:tbl>
    <w:p>
      <w:pPr>
        <w:spacing w:line="500" w:lineRule="exact"/>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23、投标文件的澄清</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23.1 评标委员会在评标过程中有权随时请投标人就投标文件中含混之处加以澄清或答疑。</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23.2 投标人对要求澄清的问题应以书面形式明确答复，并应有法人授权代表的签署。</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23.3 投标人的澄清文件是投标文件的组成部分，并取代投标文件中被澄清的部分。</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23.4 投标文件的澄清不得改变投标的实质内容。</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23.5如果投标人在投标文件中未对招标文件中的条款或参数要求提出偏离意见或澄清将视同投标人同意招标文件的全部或部分要求。</w:t>
      </w:r>
    </w:p>
    <w:p>
      <w:pPr>
        <w:spacing w:line="500" w:lineRule="exact"/>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24、定标</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24.1 评标委员会有权选择和拒绝投标人中标，且无需向投标人进行任何有关评标的解释工作。</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24.2 评标委员会通过上述评标方法以最终合计得分按得分高低排序。</w:t>
      </w:r>
    </w:p>
    <w:p>
      <w:pPr>
        <w:spacing w:line="500" w:lineRule="exact"/>
        <w:rPr>
          <w:rFonts w:ascii="宋体" w:hAnsi="宋体" w:cs="宋体"/>
          <w:sz w:val="24"/>
          <w:szCs w:val="24"/>
          <w:highlight w:val="none"/>
        </w:rPr>
      </w:pPr>
      <w:r>
        <w:rPr>
          <w:rFonts w:hint="eastAsia" w:ascii="宋体" w:hAnsi="宋体" w:cs="宋体"/>
          <w:sz w:val="24"/>
          <w:szCs w:val="24"/>
          <w:highlight w:val="none"/>
        </w:rPr>
        <w:t xml:space="preserve">    24.3 采购人根据评标委员会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25、中标的标准</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25.1 资格审查文件完整无缺；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25.2 已交纳投标保证金；</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25.3 报价合理，承诺条件优惠；</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25.4 投标文件与招标文件无重大偏离；</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25.5 有较强的技术力量，能提供完善的技术服务，有较好的行业业绩；</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25.6 其他；</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25.7 在合同签订之前，采购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26、中标通知</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26.1中标公示期：</w:t>
      </w:r>
      <w:r>
        <w:rPr>
          <w:rFonts w:hint="eastAsia" w:ascii="宋体" w:hAnsi="宋体" w:cs="宋体"/>
          <w:sz w:val="24"/>
          <w:szCs w:val="24"/>
          <w:highlight w:val="none"/>
          <w:u w:val="single"/>
        </w:rPr>
        <w:t>中标结果公示一个工作日。</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26.2招标代理机构根据定标结果，在投标有效期届满前，以书面形式向中标单位发出中标通知书。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26.3招标代理机构将定标结果及时通知未中标单位并退还投标保证金。无需解释落标原因。</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27、拒绝某些或所有投标的权力</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27.1采购人有权在定标之前拒绝任何有不正当行为或扰乱正常招标工作的投标人，由此对投标人造成的损失不负任何责任，同时对此无需做任何解释。</w:t>
      </w:r>
    </w:p>
    <w:p>
      <w:pPr>
        <w:widowControl/>
        <w:spacing w:line="500" w:lineRule="exact"/>
        <w:ind w:firstLine="236" w:firstLineChars="98"/>
        <w:rPr>
          <w:rFonts w:ascii="宋体" w:hAnsi="宋体" w:cs="宋体"/>
          <w:b/>
          <w:color w:val="FF0000"/>
          <w:kern w:val="0"/>
          <w:sz w:val="24"/>
          <w:szCs w:val="24"/>
          <w:highlight w:val="none"/>
        </w:rPr>
      </w:pPr>
      <w:r>
        <w:rPr>
          <w:rFonts w:hint="eastAsia" w:ascii="宋体" w:hAnsi="宋体" w:cs="宋体"/>
          <w:b/>
          <w:kern w:val="0"/>
          <w:sz w:val="24"/>
          <w:szCs w:val="24"/>
          <w:highlight w:val="none"/>
        </w:rPr>
        <w:t xml:space="preserve">  28、</w:t>
      </w:r>
      <w:r>
        <w:rPr>
          <w:rFonts w:hint="eastAsia" w:ascii="宋体" w:hAnsi="宋体" w:cs="宋体"/>
          <w:b/>
          <w:color w:val="000000"/>
          <w:sz w:val="24"/>
          <w:szCs w:val="24"/>
          <w:highlight w:val="none"/>
        </w:rPr>
        <w:t>付款方式</w:t>
      </w:r>
      <w:r>
        <w:rPr>
          <w:rFonts w:hint="eastAsia" w:ascii="宋体" w:hAnsi="宋体" w:cs="宋体"/>
          <w:b/>
          <w:color w:val="000000"/>
          <w:kern w:val="0"/>
          <w:sz w:val="24"/>
          <w:szCs w:val="24"/>
          <w:highlight w:val="none"/>
        </w:rPr>
        <w:t>：</w:t>
      </w:r>
      <w:r>
        <w:rPr>
          <w:rFonts w:hint="eastAsia" w:ascii="宋体" w:hAnsi="宋体" w:cs="宋体"/>
          <w:b/>
          <w:color w:val="000000"/>
          <w:sz w:val="24"/>
          <w:szCs w:val="24"/>
          <w:highlight w:val="none"/>
        </w:rPr>
        <w:t>详见投标须知前附表及招标书特别提示。</w:t>
      </w:r>
    </w:p>
    <w:p>
      <w:pPr>
        <w:spacing w:line="500" w:lineRule="exact"/>
        <w:jc w:val="center"/>
        <w:rPr>
          <w:rFonts w:ascii="宋体" w:hAnsi="宋体" w:cs="宋体"/>
          <w:b/>
          <w:sz w:val="24"/>
          <w:szCs w:val="24"/>
          <w:highlight w:val="none"/>
        </w:rPr>
      </w:pPr>
      <w:r>
        <w:rPr>
          <w:rFonts w:hint="eastAsia" w:ascii="宋体" w:hAnsi="宋体" w:cs="宋体"/>
          <w:b/>
          <w:sz w:val="24"/>
          <w:szCs w:val="24"/>
          <w:highlight w:val="none"/>
        </w:rPr>
        <w:t>七、签定合同</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29、签定合同</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29.1 采购人和中标人在自中标通知书发出之日起30日内，依据《中华人民共和国经济合同法》和有关法规及招、投标文件签定合同。</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29.2 中标合同不得转让。合同分包需在投标文件中予以说明，并需经采购人同意。否则，采购人有权取消中标人的中标资格。</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29.3 采购人如遇中标人违约，可从侯选中标人中重新选定中标人，并签定经济合同。</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29.4 合同的制订由采购人、中标人双方参加，为确保合同双方的利益均等，由采购人在合同制订过程中进行协调。</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29.5 合同一式三份，需经采购人、中标人及政府采购办三方签字盖章后即生效。采购人、中标人及政府采购办亦可自愿申请公证。</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30、合同的组成</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 下列文件均为合同不可分割部分：</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30.1.1 协议书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30.1.2 中标通知书；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30.1.3 专用条款及附录；</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30.1.4  通用条款</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30.1.5 中标人的投标文件；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30.1.5 招标文件；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30.1.6 评标答疑记录。</w:t>
      </w:r>
    </w:p>
    <w:p>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31、履约保证金</w:t>
      </w:r>
    </w:p>
    <w:p>
      <w:pPr>
        <w:pStyle w:val="6"/>
        <w:overflowPunct w:val="0"/>
        <w:spacing w:line="500" w:lineRule="exact"/>
        <w:ind w:firstLine="0"/>
        <w:rPr>
          <w:rFonts w:ascii="宋体" w:hAnsi="宋体" w:eastAsia="宋体" w:cs="宋体"/>
          <w:szCs w:val="24"/>
          <w:highlight w:val="none"/>
        </w:rPr>
      </w:pPr>
      <w:r>
        <w:rPr>
          <w:rFonts w:hint="eastAsia" w:ascii="宋体" w:hAnsi="宋体" w:eastAsia="宋体" w:cs="宋体"/>
          <w:szCs w:val="24"/>
          <w:highlight w:val="none"/>
        </w:rPr>
        <w:t xml:space="preserve">    31.1 中标的投标人应按中标金额的10%提交履约保证金。</w:t>
      </w:r>
    </w:p>
    <w:p>
      <w:pPr>
        <w:pStyle w:val="6"/>
        <w:overflowPunct w:val="0"/>
        <w:spacing w:line="50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31.2 中标人与采购人签订合同的同时提交履约保证金，如中标人未按招标文件规定的工期供货及所供产品不合格，则扣除履约保证金。</w:t>
      </w:r>
    </w:p>
    <w:p>
      <w:pPr>
        <w:pStyle w:val="6"/>
        <w:overflowPunct w:val="0"/>
        <w:spacing w:line="50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31.3履约保证金（无息）将在乙方履行完成合同所有义务后凭乙方的收款收据在五天内退返乙方。</w:t>
      </w:r>
    </w:p>
    <w:p>
      <w:pPr>
        <w:numPr>
          <w:ilvl w:val="0"/>
          <w:numId w:val="5"/>
        </w:numPr>
        <w:spacing w:after="156" w:line="500" w:lineRule="exact"/>
        <w:jc w:val="center"/>
        <w:rPr>
          <w:rFonts w:ascii="宋体" w:hAnsi="宋体" w:cs="宋体"/>
          <w:b/>
          <w:sz w:val="24"/>
          <w:szCs w:val="24"/>
          <w:highlight w:val="none"/>
        </w:rPr>
      </w:pPr>
      <w:r>
        <w:rPr>
          <w:rFonts w:hint="eastAsia" w:ascii="宋体" w:hAnsi="宋体" w:cs="宋体"/>
          <w:b/>
          <w:sz w:val="24"/>
          <w:szCs w:val="24"/>
          <w:highlight w:val="none"/>
        </w:rPr>
        <w:t>特别提示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31、投标人应认真研读招标文件，充分考虑招标文件中的技术要求和合同条款后编制投标文件。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32、如招标文件中未提供的各类表格样式，投标人可另行设计表格样式，但力求内容完整，表达清晰、准确。</w:t>
      </w:r>
    </w:p>
    <w:p>
      <w:pPr>
        <w:pStyle w:val="30"/>
        <w:rPr>
          <w:rFonts w:hAnsi="宋体"/>
          <w:highlight w:val="none"/>
        </w:rPr>
      </w:pPr>
    </w:p>
    <w:p>
      <w:pPr>
        <w:pStyle w:val="30"/>
        <w:rPr>
          <w:rFonts w:hAnsi="宋体"/>
          <w:highlight w:val="none"/>
        </w:rPr>
      </w:pPr>
    </w:p>
    <w:p>
      <w:pPr>
        <w:pStyle w:val="30"/>
        <w:rPr>
          <w:rFonts w:hAnsi="宋体"/>
          <w:highlight w:val="none"/>
        </w:rPr>
      </w:pPr>
    </w:p>
    <w:p>
      <w:pPr>
        <w:pStyle w:val="6"/>
        <w:spacing w:line="360" w:lineRule="auto"/>
        <w:ind w:firstLine="0"/>
        <w:rPr>
          <w:highlight w:val="none"/>
        </w:rPr>
      </w:pP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rPr>
          <w:highlight w:val="none"/>
        </w:rPr>
      </w:pPr>
    </w:p>
    <w:p>
      <w:pPr>
        <w:pStyle w:val="30"/>
        <w:rPr>
          <w:highlight w:val="none"/>
        </w:rPr>
      </w:pPr>
    </w:p>
    <w:p>
      <w:pPr>
        <w:pStyle w:val="30"/>
        <w:rPr>
          <w:highlight w:val="none"/>
        </w:rPr>
      </w:pPr>
    </w:p>
    <w:p>
      <w:pPr>
        <w:pStyle w:val="30"/>
        <w:rPr>
          <w:highlight w:val="none"/>
        </w:rPr>
      </w:pPr>
    </w:p>
    <w:p>
      <w:pPr>
        <w:pStyle w:val="30"/>
        <w:rPr>
          <w:highlight w:val="none"/>
        </w:rPr>
      </w:pPr>
    </w:p>
    <w:p>
      <w:pPr>
        <w:pStyle w:val="30"/>
        <w:rPr>
          <w:highlight w:val="none"/>
        </w:rPr>
      </w:pPr>
    </w:p>
    <w:p>
      <w:pPr>
        <w:pStyle w:val="30"/>
        <w:rPr>
          <w:highlight w:val="none"/>
        </w:rPr>
      </w:pPr>
    </w:p>
    <w:p>
      <w:pPr>
        <w:jc w:val="center"/>
        <w:rPr>
          <w:rFonts w:ascii="宋体" w:hAnsi="宋体" w:cs="宋体"/>
          <w:b/>
          <w:sz w:val="32"/>
          <w:szCs w:val="32"/>
          <w:highlight w:val="none"/>
        </w:rPr>
      </w:pPr>
      <w:bookmarkStart w:id="35" w:name="_Toc3578_WPSOffice_Level1"/>
      <w:r>
        <w:rPr>
          <w:rFonts w:hint="eastAsia" w:ascii="宋体" w:hAnsi="宋体" w:cs="宋体"/>
          <w:b/>
          <w:sz w:val="32"/>
          <w:szCs w:val="32"/>
          <w:highlight w:val="none"/>
        </w:rPr>
        <w:t>第五章   技术要求</w:t>
      </w:r>
      <w:bookmarkEnd w:id="35"/>
    </w:p>
    <w:p>
      <w:pPr>
        <w:widowControl/>
        <w:spacing w:line="360" w:lineRule="auto"/>
        <w:ind w:firstLine="480" w:firstLineChars="200"/>
        <w:jc w:val="left"/>
        <w:rPr>
          <w:rFonts w:hint="eastAsia" w:ascii="宋体" w:hAnsi="宋体" w:cs="宋体"/>
          <w:sz w:val="24"/>
          <w:szCs w:val="24"/>
          <w:highlight w:val="none"/>
        </w:rPr>
      </w:pPr>
      <w:bookmarkStart w:id="36" w:name="_Toc8595_WPSOffice_Level1"/>
    </w:p>
    <w:p>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1、采购内</w:t>
      </w:r>
      <w:r>
        <w:rPr>
          <w:rFonts w:hint="eastAsia" w:ascii="宋体" w:hAnsi="宋体" w:cs="宋体"/>
          <w:color w:val="000000"/>
          <w:sz w:val="24"/>
          <w:szCs w:val="24"/>
          <w:highlight w:val="none"/>
        </w:rPr>
        <w:t>容：和田县一万亩补充耕地项目施工监理服务</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w:t>
      </w:r>
      <w:r>
        <w:rPr>
          <w:rFonts w:hint="eastAsia" w:ascii="宋体" w:hAnsi="宋体"/>
          <w:sz w:val="24"/>
          <w:highlight w:val="none"/>
          <w:lang w:val="en-US" w:eastAsia="zh-CN"/>
        </w:rPr>
        <w:t>项目</w:t>
      </w:r>
      <w:r>
        <w:rPr>
          <w:rFonts w:hint="eastAsia" w:ascii="宋体" w:hAnsi="宋体"/>
          <w:sz w:val="24"/>
          <w:highlight w:val="none"/>
        </w:rPr>
        <w:t>监理服务内容：</w:t>
      </w:r>
      <w:r>
        <w:rPr>
          <w:rFonts w:hint="eastAsia" w:ascii="宋体" w:hAnsi="宋体"/>
          <w:sz w:val="24"/>
          <w:highlight w:val="none"/>
          <w:u w:val="single"/>
        </w:rPr>
        <w:t>（具体内容由双方协商确定）</w:t>
      </w:r>
    </w:p>
    <w:p>
      <w:pPr>
        <w:snapToGrid w:val="0"/>
        <w:spacing w:line="360" w:lineRule="auto"/>
        <w:rPr>
          <w:rFonts w:hint="eastAsia" w:ascii="宋体" w:hAnsi="宋体"/>
          <w:sz w:val="24"/>
          <w:highlight w:val="none"/>
        </w:rPr>
      </w:pPr>
      <w:r>
        <w:rPr>
          <w:rFonts w:hint="eastAsia" w:ascii="宋体" w:hAnsi="宋体"/>
          <w:sz w:val="24"/>
          <w:highlight w:val="none"/>
        </w:rPr>
        <w:t xml:space="preserve">（一）设计方面 </w:t>
      </w:r>
    </w:p>
    <w:p>
      <w:pPr>
        <w:snapToGrid w:val="0"/>
        <w:spacing w:line="360" w:lineRule="auto"/>
        <w:rPr>
          <w:rFonts w:hint="eastAsia" w:ascii="宋体" w:hAnsi="宋体"/>
          <w:sz w:val="24"/>
          <w:highlight w:val="none"/>
        </w:rPr>
      </w:pPr>
      <w:r>
        <w:rPr>
          <w:rFonts w:hint="eastAsia" w:ascii="宋体" w:hAnsi="宋体"/>
          <w:sz w:val="24"/>
          <w:highlight w:val="none"/>
        </w:rPr>
        <w:t>1．核查并签发施工图，发现问题向委托人反映，重大问题向委托人做专题报告。</w:t>
      </w:r>
    </w:p>
    <w:p>
      <w:pPr>
        <w:snapToGrid w:val="0"/>
        <w:spacing w:line="360" w:lineRule="auto"/>
        <w:rPr>
          <w:rFonts w:hint="eastAsia" w:ascii="宋体" w:hAnsi="宋体"/>
          <w:sz w:val="24"/>
          <w:highlight w:val="none"/>
        </w:rPr>
      </w:pPr>
      <w:r>
        <w:rPr>
          <w:rFonts w:hint="eastAsia" w:ascii="宋体" w:hAnsi="宋体"/>
          <w:sz w:val="24"/>
          <w:highlight w:val="none"/>
        </w:rPr>
        <w:t>2．主持或与委托人联合主持设计技术交底会议，编写会议纪要。</w:t>
      </w:r>
    </w:p>
    <w:p>
      <w:pPr>
        <w:snapToGrid w:val="0"/>
        <w:spacing w:line="360" w:lineRule="auto"/>
        <w:rPr>
          <w:rFonts w:hint="eastAsia" w:ascii="宋体" w:hAnsi="宋体"/>
          <w:sz w:val="24"/>
          <w:highlight w:val="none"/>
        </w:rPr>
      </w:pPr>
      <w:r>
        <w:rPr>
          <w:rFonts w:hint="eastAsia" w:ascii="宋体" w:hAnsi="宋体"/>
          <w:sz w:val="24"/>
          <w:highlight w:val="none"/>
        </w:rPr>
        <w:t>3．协助委托人会同设计人对重大技术问题和优化设计进行专题讨论。</w:t>
      </w:r>
    </w:p>
    <w:p>
      <w:pPr>
        <w:snapToGrid w:val="0"/>
        <w:spacing w:line="360" w:lineRule="auto"/>
        <w:rPr>
          <w:rFonts w:hint="eastAsia" w:ascii="宋体" w:hAnsi="宋体"/>
          <w:sz w:val="24"/>
          <w:highlight w:val="none"/>
        </w:rPr>
      </w:pPr>
      <w:r>
        <w:rPr>
          <w:rFonts w:hint="eastAsia" w:ascii="宋体" w:hAnsi="宋体"/>
          <w:sz w:val="24"/>
          <w:highlight w:val="none"/>
        </w:rPr>
        <w:t>4．审核承包人对施工图的意见和建议，协助委托人会同设计人进行研究。</w:t>
      </w:r>
    </w:p>
    <w:p>
      <w:pPr>
        <w:snapToGrid w:val="0"/>
        <w:spacing w:line="360" w:lineRule="auto"/>
        <w:rPr>
          <w:rFonts w:hint="eastAsia" w:ascii="宋体" w:hAnsi="宋体"/>
          <w:sz w:val="24"/>
          <w:highlight w:val="none"/>
        </w:rPr>
      </w:pPr>
      <w:r>
        <w:rPr>
          <w:rFonts w:hint="eastAsia" w:ascii="宋体" w:hAnsi="宋体"/>
          <w:sz w:val="24"/>
          <w:highlight w:val="none"/>
        </w:rPr>
        <w:t>5．其他相关业务。</w:t>
      </w:r>
    </w:p>
    <w:p>
      <w:pPr>
        <w:snapToGrid w:val="0"/>
        <w:spacing w:line="360" w:lineRule="auto"/>
        <w:rPr>
          <w:rFonts w:hint="eastAsia" w:ascii="宋体" w:hAnsi="宋体"/>
          <w:sz w:val="24"/>
          <w:highlight w:val="none"/>
        </w:rPr>
      </w:pPr>
      <w:r>
        <w:rPr>
          <w:rFonts w:hint="eastAsia" w:ascii="宋体" w:hAnsi="宋体"/>
          <w:sz w:val="24"/>
          <w:highlight w:val="none"/>
        </w:rPr>
        <w:t>（二）采购方面</w:t>
      </w:r>
    </w:p>
    <w:p>
      <w:pPr>
        <w:snapToGrid w:val="0"/>
        <w:spacing w:line="360" w:lineRule="auto"/>
        <w:rPr>
          <w:rFonts w:hint="eastAsia" w:ascii="宋体" w:hAnsi="宋体"/>
          <w:sz w:val="24"/>
          <w:highlight w:val="none"/>
        </w:rPr>
      </w:pPr>
      <w:r>
        <w:rPr>
          <w:rFonts w:hint="eastAsia" w:ascii="宋体" w:hAnsi="宋体"/>
          <w:sz w:val="24"/>
          <w:highlight w:val="none"/>
        </w:rPr>
        <w:t>1．协助委托人进行采购招标。</w:t>
      </w:r>
    </w:p>
    <w:p>
      <w:pPr>
        <w:snapToGrid w:val="0"/>
        <w:spacing w:line="360" w:lineRule="auto"/>
        <w:rPr>
          <w:rFonts w:hint="eastAsia" w:ascii="宋体" w:hAnsi="宋体"/>
          <w:sz w:val="24"/>
          <w:highlight w:val="none"/>
        </w:rPr>
      </w:pPr>
      <w:r>
        <w:rPr>
          <w:rFonts w:hint="eastAsia" w:ascii="宋体" w:hAnsi="宋体"/>
          <w:sz w:val="24"/>
          <w:highlight w:val="none"/>
        </w:rPr>
        <w:t>2．协助委托人对进场的永久工程设备进行质量检验与到货验收。</w:t>
      </w:r>
    </w:p>
    <w:p>
      <w:pPr>
        <w:snapToGrid w:val="0"/>
        <w:spacing w:line="360" w:lineRule="auto"/>
        <w:rPr>
          <w:rFonts w:hint="eastAsia" w:ascii="宋体" w:hAnsi="宋体"/>
          <w:sz w:val="24"/>
          <w:highlight w:val="none"/>
        </w:rPr>
      </w:pPr>
      <w:r>
        <w:rPr>
          <w:rFonts w:hint="eastAsia" w:ascii="宋体" w:hAnsi="宋体"/>
          <w:sz w:val="24"/>
          <w:highlight w:val="none"/>
        </w:rPr>
        <w:t>3．其他相关业务。</w:t>
      </w:r>
    </w:p>
    <w:p>
      <w:pPr>
        <w:snapToGrid w:val="0"/>
        <w:spacing w:line="360" w:lineRule="auto"/>
        <w:rPr>
          <w:rFonts w:hint="eastAsia" w:ascii="宋体" w:hAnsi="宋体"/>
          <w:sz w:val="24"/>
          <w:highlight w:val="none"/>
        </w:rPr>
      </w:pPr>
      <w:r>
        <w:rPr>
          <w:rFonts w:hint="eastAsia" w:ascii="宋体" w:hAnsi="宋体"/>
          <w:sz w:val="24"/>
          <w:highlight w:val="none"/>
        </w:rPr>
        <w:t>（三）施工方面</w:t>
      </w:r>
    </w:p>
    <w:p>
      <w:pPr>
        <w:snapToGrid w:val="0"/>
        <w:spacing w:line="360" w:lineRule="auto"/>
        <w:rPr>
          <w:rFonts w:hint="eastAsia" w:ascii="宋体" w:hAnsi="宋体"/>
          <w:sz w:val="24"/>
          <w:highlight w:val="none"/>
        </w:rPr>
      </w:pPr>
      <w:r>
        <w:rPr>
          <w:rFonts w:hint="eastAsia" w:ascii="宋体" w:hAnsi="宋体"/>
          <w:sz w:val="24"/>
          <w:highlight w:val="none"/>
        </w:rPr>
        <w:t>1．协助委托人进行工程施工招标和签订工程施工合同。</w:t>
      </w:r>
    </w:p>
    <w:p>
      <w:pPr>
        <w:snapToGrid w:val="0"/>
        <w:spacing w:line="360" w:lineRule="auto"/>
        <w:rPr>
          <w:rFonts w:hint="eastAsia" w:ascii="宋体" w:hAnsi="宋体"/>
          <w:sz w:val="24"/>
          <w:highlight w:val="none"/>
        </w:rPr>
      </w:pPr>
      <w:r>
        <w:rPr>
          <w:rFonts w:hint="eastAsia" w:ascii="宋体" w:hAnsi="宋体"/>
          <w:sz w:val="24"/>
          <w:highlight w:val="none"/>
        </w:rPr>
        <w:t>2．全面管理工程施工合同，审查承包人选择的分包单位，并报委托人批准。</w:t>
      </w:r>
    </w:p>
    <w:p>
      <w:pPr>
        <w:snapToGrid w:val="0"/>
        <w:spacing w:line="360" w:lineRule="auto"/>
        <w:rPr>
          <w:rFonts w:hint="eastAsia" w:ascii="宋体" w:hAnsi="宋体"/>
          <w:sz w:val="24"/>
          <w:highlight w:val="none"/>
        </w:rPr>
      </w:pPr>
      <w:r>
        <w:rPr>
          <w:rFonts w:hint="eastAsia" w:ascii="宋体" w:hAnsi="宋体"/>
          <w:sz w:val="24"/>
          <w:highlight w:val="none"/>
        </w:rPr>
        <w:t>3．督促委托人按工程施工合同的约定，落实必须提供的施工条件；检查承包人的开工准备工作。</w:t>
      </w:r>
    </w:p>
    <w:p>
      <w:pPr>
        <w:snapToGrid w:val="0"/>
        <w:spacing w:line="360" w:lineRule="auto"/>
        <w:rPr>
          <w:rFonts w:hint="eastAsia" w:ascii="宋体" w:hAnsi="宋体"/>
          <w:sz w:val="24"/>
          <w:highlight w:val="none"/>
        </w:rPr>
      </w:pPr>
      <w:r>
        <w:rPr>
          <w:rFonts w:hint="eastAsia" w:ascii="宋体" w:hAnsi="宋体"/>
          <w:sz w:val="24"/>
          <w:highlight w:val="none"/>
        </w:rPr>
        <w:t>4．审核按工程施工合同文件约定应由承包人提交的设计文件。</w:t>
      </w:r>
    </w:p>
    <w:p>
      <w:pPr>
        <w:snapToGrid w:val="0"/>
        <w:spacing w:line="360" w:lineRule="auto"/>
        <w:rPr>
          <w:rFonts w:hint="eastAsia" w:ascii="宋体" w:hAnsi="宋体"/>
          <w:sz w:val="24"/>
          <w:highlight w:val="none"/>
        </w:rPr>
      </w:pPr>
      <w:r>
        <w:rPr>
          <w:rFonts w:hint="eastAsia" w:ascii="宋体" w:hAnsi="宋体"/>
          <w:sz w:val="24"/>
          <w:highlight w:val="none"/>
        </w:rPr>
        <w:t>5．审查承包人提交的施工组织设计、施工进度计划、施工措施计划；审核工艺试验成果等。</w:t>
      </w:r>
    </w:p>
    <w:p>
      <w:pPr>
        <w:snapToGrid w:val="0"/>
        <w:spacing w:line="360" w:lineRule="auto"/>
        <w:rPr>
          <w:rFonts w:hint="eastAsia" w:ascii="宋体" w:hAnsi="宋体"/>
          <w:sz w:val="24"/>
          <w:highlight w:val="none"/>
        </w:rPr>
      </w:pPr>
      <w:r>
        <w:rPr>
          <w:rFonts w:hint="eastAsia" w:ascii="宋体" w:hAnsi="宋体"/>
          <w:sz w:val="24"/>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snapToGrid w:val="0"/>
        <w:spacing w:line="360" w:lineRule="auto"/>
        <w:rPr>
          <w:rFonts w:hint="eastAsia" w:ascii="宋体" w:hAnsi="宋体"/>
          <w:sz w:val="24"/>
          <w:highlight w:val="none"/>
        </w:rPr>
      </w:pPr>
      <w:r>
        <w:rPr>
          <w:rFonts w:hint="eastAsia" w:ascii="宋体" w:hAnsi="宋体"/>
          <w:sz w:val="24"/>
          <w:highlight w:val="none"/>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snapToGrid w:val="0"/>
        <w:spacing w:line="360" w:lineRule="auto"/>
        <w:rPr>
          <w:rFonts w:hint="eastAsia" w:ascii="宋体" w:hAnsi="宋体"/>
          <w:sz w:val="24"/>
          <w:highlight w:val="none"/>
        </w:rPr>
      </w:pPr>
      <w:r>
        <w:rPr>
          <w:rFonts w:hint="eastAsia" w:ascii="宋体" w:hAnsi="宋体"/>
          <w:sz w:val="24"/>
          <w:highlight w:val="none"/>
        </w:rPr>
        <w:t>8．资金控制。协助委托人编制付款计划；审查承包人提交的资金流计划；核定承包人完成的工程量，审核承包人提交的支付申请，签发付款凭证；受理索赔申请，提出处理建议意见；处理工程变更。</w:t>
      </w:r>
    </w:p>
    <w:p>
      <w:pPr>
        <w:snapToGrid w:val="0"/>
        <w:spacing w:line="360" w:lineRule="auto"/>
        <w:rPr>
          <w:rFonts w:hint="eastAsia" w:ascii="宋体" w:hAnsi="宋体"/>
          <w:sz w:val="24"/>
          <w:highlight w:val="none"/>
        </w:rPr>
      </w:pPr>
      <w:r>
        <w:rPr>
          <w:rFonts w:hint="eastAsia" w:ascii="宋体" w:hAnsi="宋体"/>
          <w:sz w:val="24"/>
          <w:highlight w:val="none"/>
        </w:rPr>
        <w:t>9．施工安全控制。审查承包人提出的安全技术措施、专项施工方案，并检查实施情况；检查项目落实情况；参与安全事故调查。</w:t>
      </w:r>
    </w:p>
    <w:p>
      <w:pPr>
        <w:snapToGrid w:val="0"/>
        <w:spacing w:line="360" w:lineRule="auto"/>
        <w:rPr>
          <w:rFonts w:hint="eastAsia" w:ascii="宋体" w:hAnsi="宋体"/>
          <w:sz w:val="24"/>
          <w:highlight w:val="none"/>
        </w:rPr>
      </w:pPr>
      <w:r>
        <w:rPr>
          <w:rFonts w:hint="eastAsia" w:ascii="宋体" w:hAnsi="宋体"/>
          <w:sz w:val="24"/>
          <w:highlight w:val="none"/>
        </w:rPr>
        <w:t>10.协调施工合同各方之间的关系。</w:t>
      </w:r>
    </w:p>
    <w:p>
      <w:pPr>
        <w:snapToGrid w:val="0"/>
        <w:spacing w:line="360" w:lineRule="auto"/>
        <w:rPr>
          <w:rFonts w:hint="eastAsia" w:ascii="宋体" w:hAnsi="宋体"/>
          <w:sz w:val="24"/>
          <w:highlight w:val="none"/>
        </w:rPr>
      </w:pPr>
      <w:r>
        <w:rPr>
          <w:rFonts w:hint="eastAsia" w:ascii="宋体" w:hAnsi="宋体"/>
          <w:sz w:val="24"/>
          <w:highlight w:val="none"/>
        </w:rPr>
        <w:t>11.按有关规定参加工程验收，负责完成监理资料的汇总、整理，协助委托人检查承包人的合同执行情况；做好验收的各项准备工作或者配合工作，提供工程监理资料，提交监理工作报告。</w:t>
      </w:r>
    </w:p>
    <w:p>
      <w:pPr>
        <w:snapToGrid w:val="0"/>
        <w:spacing w:line="360" w:lineRule="auto"/>
        <w:rPr>
          <w:rFonts w:hint="eastAsia" w:ascii="宋体" w:hAnsi="宋体"/>
          <w:sz w:val="24"/>
          <w:highlight w:val="none"/>
        </w:rPr>
      </w:pPr>
      <w:r>
        <w:rPr>
          <w:rFonts w:hint="eastAsia" w:ascii="宋体" w:hAnsi="宋体"/>
          <w:sz w:val="24"/>
          <w:highlight w:val="none"/>
        </w:rPr>
        <w:t>12.档案管理。做好施工现场的监理记录与信息反馈，做好监理文档管理工作，合同期限届满时按照档案管理要求整理、归档并移交委托人。</w:t>
      </w:r>
    </w:p>
    <w:p>
      <w:pPr>
        <w:snapToGrid w:val="0"/>
        <w:spacing w:line="360" w:lineRule="auto"/>
        <w:rPr>
          <w:rFonts w:hint="eastAsia" w:ascii="宋体" w:hAnsi="宋体"/>
          <w:sz w:val="24"/>
          <w:highlight w:val="none"/>
        </w:rPr>
      </w:pPr>
      <w:r>
        <w:rPr>
          <w:rFonts w:hint="eastAsia" w:ascii="宋体" w:hAnsi="宋体"/>
          <w:sz w:val="24"/>
          <w:highlight w:val="none"/>
        </w:rPr>
        <w:t>13.监督承包人执行保修期工作计划，检查和验收尾工项目，对已移交工程中出现的质量缺陷等调查原因并提出处理意见。</w:t>
      </w:r>
    </w:p>
    <w:p>
      <w:pPr>
        <w:snapToGrid w:val="0"/>
        <w:spacing w:line="360" w:lineRule="auto"/>
        <w:rPr>
          <w:rFonts w:hint="eastAsia" w:ascii="宋体" w:hAnsi="宋体"/>
          <w:sz w:val="24"/>
          <w:highlight w:val="none"/>
        </w:rPr>
      </w:pPr>
      <w:r>
        <w:rPr>
          <w:rFonts w:hint="eastAsia" w:ascii="宋体" w:hAnsi="宋体"/>
          <w:sz w:val="24"/>
          <w:highlight w:val="none"/>
        </w:rPr>
        <w:t>14.按照委托人签订的工程保险合同，做好施工现场工程保险合同的管理。协助委托人向保险公司及时提供一切必要的材料和证据。</w:t>
      </w:r>
    </w:p>
    <w:p>
      <w:pPr>
        <w:snapToGrid w:val="0"/>
        <w:spacing w:line="360" w:lineRule="auto"/>
        <w:rPr>
          <w:rFonts w:hint="eastAsia" w:ascii="宋体" w:hAnsi="宋体"/>
          <w:sz w:val="24"/>
          <w:highlight w:val="none"/>
        </w:rPr>
      </w:pPr>
      <w:r>
        <w:rPr>
          <w:rFonts w:hint="eastAsia" w:ascii="宋体" w:hAnsi="宋体"/>
          <w:sz w:val="24"/>
          <w:highlight w:val="none"/>
        </w:rPr>
        <w:t>15.其他相关工作。</w:t>
      </w: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center"/>
        <w:rPr>
          <w:rFonts w:ascii="宋体" w:hAnsi="宋体" w:cs="宋体"/>
          <w:b/>
          <w:sz w:val="30"/>
          <w:szCs w:val="30"/>
          <w:highlight w:val="none"/>
        </w:rPr>
      </w:pPr>
    </w:p>
    <w:p>
      <w:pPr>
        <w:spacing w:line="460" w:lineRule="exact"/>
        <w:jc w:val="both"/>
        <w:rPr>
          <w:rFonts w:ascii="宋体" w:hAnsi="宋体" w:cs="宋体"/>
          <w:b/>
          <w:sz w:val="30"/>
          <w:szCs w:val="30"/>
          <w:highlight w:val="none"/>
        </w:rPr>
      </w:pPr>
    </w:p>
    <w:p>
      <w:pPr>
        <w:rPr>
          <w:rFonts w:hint="eastAsia" w:ascii="宋体" w:hAnsi="宋体" w:cs="宋体"/>
          <w:b/>
          <w:sz w:val="30"/>
          <w:szCs w:val="30"/>
          <w:highlight w:val="none"/>
        </w:rPr>
      </w:pPr>
    </w:p>
    <w:p>
      <w:pPr>
        <w:jc w:val="center"/>
        <w:rPr>
          <w:rFonts w:ascii="宋体" w:hAnsi="宋体" w:cs="宋体"/>
          <w:b/>
          <w:sz w:val="30"/>
          <w:szCs w:val="30"/>
          <w:highlight w:val="none"/>
        </w:rPr>
      </w:pPr>
      <w:r>
        <w:rPr>
          <w:rFonts w:hint="eastAsia" w:ascii="宋体" w:hAnsi="宋体" w:cs="宋体"/>
          <w:b/>
          <w:sz w:val="30"/>
          <w:szCs w:val="30"/>
          <w:highlight w:val="none"/>
        </w:rPr>
        <w:t>第六章  合同</w:t>
      </w:r>
      <w:bookmarkEnd w:id="36"/>
    </w:p>
    <w:p>
      <w:pPr>
        <w:rPr>
          <w:rFonts w:ascii="宋体" w:hAnsi="宋体" w:cs="宋体"/>
          <w:sz w:val="24"/>
          <w:szCs w:val="24"/>
          <w:highlight w:val="none"/>
        </w:rPr>
      </w:pPr>
    </w:p>
    <w:p>
      <w:pPr>
        <w:pStyle w:val="30"/>
        <w:rPr>
          <w:rFonts w:hAnsi="宋体"/>
          <w:highlight w:val="none"/>
        </w:rPr>
      </w:pPr>
    </w:p>
    <w:p>
      <w:pPr>
        <w:rPr>
          <w:highlight w:val="none"/>
        </w:rPr>
      </w:pPr>
      <w:bookmarkStart w:id="37" w:name="EB50bde5c224c047e880772ac696705d12"/>
    </w:p>
    <w:p>
      <w:pPr>
        <w:spacing w:line="360" w:lineRule="auto"/>
        <w:jc w:val="center"/>
        <w:outlineLvl w:val="1"/>
        <w:rPr>
          <w:rFonts w:ascii="宋体" w:hAnsi="宋体"/>
          <w:bCs/>
          <w:sz w:val="24"/>
          <w:szCs w:val="24"/>
          <w:highlight w:val="none"/>
        </w:rPr>
      </w:pPr>
      <w:bookmarkStart w:id="38" w:name="_Toc256000031"/>
      <w:r>
        <w:rPr>
          <w:rFonts w:hint="eastAsia" w:ascii="宋体" w:hAnsi="宋体"/>
          <w:bCs/>
          <w:sz w:val="24"/>
          <w:szCs w:val="24"/>
          <w:highlight w:val="none"/>
        </w:rPr>
        <w:t>水利工程施工监理合同书</w:t>
      </w:r>
      <w:bookmarkEnd w:id="38"/>
    </w:p>
    <w:p>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委 托 人：</w:t>
      </w:r>
      <w:r>
        <w:rPr>
          <w:rFonts w:hint="eastAsia" w:ascii="宋体" w:hAnsi="宋体" w:cs="宋体"/>
          <w:bCs/>
          <w:sz w:val="24"/>
          <w:szCs w:val="24"/>
          <w:highlight w:val="none"/>
          <w:u w:val="single"/>
        </w:rPr>
        <w:t xml:space="preserve">                       </w:t>
      </w:r>
    </w:p>
    <w:p>
      <w:pPr>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监 理 人：</w:t>
      </w:r>
      <w:r>
        <w:rPr>
          <w:rFonts w:hint="eastAsia" w:ascii="宋体" w:hAnsi="宋体" w:cs="宋体"/>
          <w:bCs/>
          <w:sz w:val="24"/>
          <w:szCs w:val="24"/>
          <w:highlight w:val="none"/>
          <w:u w:val="single"/>
        </w:rPr>
        <w:t xml:space="preserve">                       </w:t>
      </w:r>
    </w:p>
    <w:p>
      <w:pPr>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合同编号：</w:t>
      </w:r>
      <w:r>
        <w:rPr>
          <w:rFonts w:hint="eastAsia" w:ascii="宋体" w:hAnsi="宋体" w:cs="宋体"/>
          <w:bCs/>
          <w:sz w:val="24"/>
          <w:szCs w:val="24"/>
          <w:highlight w:val="none"/>
          <w:u w:val="single"/>
        </w:rPr>
        <w:t xml:space="preserve">                       </w:t>
      </w:r>
    </w:p>
    <w:p>
      <w:pPr>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 xml:space="preserve">合同名称： </w:t>
      </w:r>
      <w:r>
        <w:rPr>
          <w:rFonts w:hint="eastAsia" w:ascii="宋体" w:hAnsi="宋体" w:cs="宋体"/>
          <w:bCs/>
          <w:sz w:val="24"/>
          <w:szCs w:val="24"/>
          <w:highlight w:val="none"/>
          <w:u w:val="single"/>
        </w:rPr>
        <w:t xml:space="preserve">                      </w:t>
      </w:r>
    </w:p>
    <w:p>
      <w:pPr>
        <w:spacing w:line="360" w:lineRule="auto"/>
        <w:ind w:firstLine="460" w:firstLineChars="192"/>
        <w:rPr>
          <w:rFonts w:ascii="宋体" w:hAnsi="宋体" w:cs="宋体"/>
          <w:bCs/>
          <w:color w:val="00CCFF"/>
          <w:sz w:val="24"/>
          <w:szCs w:val="24"/>
          <w:highlight w:val="none"/>
        </w:rPr>
      </w:pPr>
      <w:r>
        <w:rPr>
          <w:rFonts w:hint="eastAsia" w:ascii="宋体" w:hAnsi="宋体" w:cs="宋体"/>
          <w:sz w:val="24"/>
          <w:szCs w:val="24"/>
          <w:highlight w:val="none"/>
        </w:rPr>
        <w:t>依据国家有关法律、法规，___________，委托__________提供</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工程____________监理服务，经双方协商一致，订立本合同。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一、工程概况</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1、工程名称：</w:t>
      </w:r>
      <w:r>
        <w:rPr>
          <w:rFonts w:hint="eastAsia" w:ascii="宋体" w:hAnsi="宋体" w:cs="宋体"/>
          <w:sz w:val="24"/>
          <w:szCs w:val="24"/>
          <w:highlight w:val="none"/>
          <w:u w:val="single"/>
        </w:rPr>
        <w:t xml:space="preserve">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2、建设地点：</w:t>
      </w:r>
      <w:r>
        <w:rPr>
          <w:rFonts w:hint="eastAsia" w:ascii="宋体" w:hAnsi="宋体" w:cs="宋体"/>
          <w:sz w:val="24"/>
          <w:szCs w:val="24"/>
          <w:highlight w:val="none"/>
          <w:u w:val="single"/>
        </w:rPr>
        <w:t xml:space="preserve">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3、工程等别（级）：</w:t>
      </w:r>
      <w:r>
        <w:rPr>
          <w:rFonts w:hint="eastAsia" w:ascii="宋体" w:hAnsi="宋体" w:cs="宋体"/>
          <w:sz w:val="24"/>
          <w:szCs w:val="24"/>
          <w:highlight w:val="none"/>
          <w:u w:val="single"/>
        </w:rPr>
        <w:t xml:space="preserve">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4、工程总投资(人民币，下同)：</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w:t>
      </w:r>
    </w:p>
    <w:p>
      <w:pPr>
        <w:spacing w:line="360" w:lineRule="auto"/>
        <w:ind w:firstLine="720" w:firstLineChars="300"/>
        <w:rPr>
          <w:rFonts w:ascii="宋体" w:hAnsi="宋体" w:cs="宋体"/>
          <w:sz w:val="24"/>
          <w:szCs w:val="24"/>
          <w:highlight w:val="none"/>
          <w:u w:val="single"/>
        </w:rPr>
      </w:pPr>
      <w:r>
        <w:rPr>
          <w:rFonts w:hint="eastAsia" w:ascii="宋体" w:hAnsi="宋体" w:cs="宋体"/>
          <w:sz w:val="24"/>
          <w:szCs w:val="24"/>
          <w:highlight w:val="none"/>
        </w:rPr>
        <w:t>5、工期：</w:t>
      </w:r>
      <w:r>
        <w:rPr>
          <w:rFonts w:hint="eastAsia" w:ascii="宋体" w:hAnsi="宋体" w:cs="宋体"/>
          <w:sz w:val="24"/>
          <w:szCs w:val="24"/>
          <w:highlight w:val="none"/>
          <w:u w:val="single"/>
        </w:rPr>
        <w:t xml:space="preserve">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二、监理范围</w:t>
      </w:r>
    </w:p>
    <w:p>
      <w:pPr>
        <w:spacing w:line="360" w:lineRule="auto"/>
        <w:ind w:firstLine="616" w:firstLineChars="257"/>
        <w:rPr>
          <w:rFonts w:ascii="宋体" w:hAnsi="宋体" w:cs="宋体"/>
          <w:sz w:val="24"/>
          <w:szCs w:val="24"/>
          <w:highlight w:val="none"/>
        </w:rPr>
      </w:pPr>
      <w:r>
        <w:rPr>
          <w:rFonts w:hint="eastAsia" w:ascii="宋体" w:hAnsi="宋体" w:cs="宋体"/>
          <w:sz w:val="24"/>
          <w:szCs w:val="24"/>
          <w:highlight w:val="none"/>
        </w:rPr>
        <w:t>1、监理项目名称：</w:t>
      </w:r>
      <w:r>
        <w:rPr>
          <w:rFonts w:hint="eastAsia" w:ascii="宋体" w:hAnsi="宋体" w:cs="宋体"/>
          <w:sz w:val="24"/>
          <w:szCs w:val="24"/>
          <w:highlight w:val="none"/>
          <w:u w:val="single"/>
        </w:rPr>
        <w:t xml:space="preserve">                  </w:t>
      </w:r>
    </w:p>
    <w:p>
      <w:pPr>
        <w:spacing w:line="360" w:lineRule="auto"/>
        <w:ind w:firstLine="616" w:firstLineChars="257"/>
        <w:rPr>
          <w:rFonts w:ascii="宋体" w:hAnsi="宋体" w:cs="宋体"/>
          <w:sz w:val="24"/>
          <w:szCs w:val="24"/>
          <w:highlight w:val="none"/>
        </w:rPr>
      </w:pPr>
      <w:r>
        <w:rPr>
          <w:rFonts w:hint="eastAsia" w:ascii="宋体" w:hAnsi="宋体" w:cs="宋体"/>
          <w:sz w:val="24"/>
          <w:szCs w:val="24"/>
          <w:highlight w:val="none"/>
        </w:rPr>
        <w:t>2、监理项目内容及主要特性参数：</w:t>
      </w:r>
      <w:r>
        <w:rPr>
          <w:rFonts w:hint="eastAsia" w:ascii="宋体" w:hAnsi="宋体" w:cs="宋体"/>
          <w:sz w:val="24"/>
          <w:szCs w:val="24"/>
          <w:highlight w:val="none"/>
          <w:u w:val="single"/>
        </w:rPr>
        <w:t xml:space="preserve">                  </w:t>
      </w:r>
    </w:p>
    <w:p>
      <w:pPr>
        <w:spacing w:line="360" w:lineRule="auto"/>
        <w:ind w:firstLine="616" w:firstLineChars="257"/>
        <w:rPr>
          <w:rFonts w:ascii="宋体" w:hAnsi="宋体" w:cs="宋体"/>
          <w:sz w:val="24"/>
          <w:szCs w:val="24"/>
          <w:highlight w:val="none"/>
          <w:u w:val="single"/>
        </w:rPr>
      </w:pPr>
      <w:r>
        <w:rPr>
          <w:rFonts w:hint="eastAsia" w:ascii="宋体" w:hAnsi="宋体" w:cs="宋体"/>
          <w:sz w:val="24"/>
          <w:szCs w:val="24"/>
          <w:highlight w:val="none"/>
        </w:rPr>
        <w:t>3、监理项目投资：</w:t>
      </w:r>
      <w:r>
        <w:rPr>
          <w:rFonts w:hint="eastAsia" w:ascii="宋体" w:hAnsi="宋体" w:cs="宋体"/>
          <w:sz w:val="24"/>
          <w:szCs w:val="24"/>
          <w:highlight w:val="none"/>
          <w:u w:val="single"/>
        </w:rPr>
        <w:t xml:space="preserve">                      </w:t>
      </w:r>
    </w:p>
    <w:p>
      <w:pPr>
        <w:spacing w:line="360" w:lineRule="auto"/>
        <w:ind w:firstLine="616" w:firstLineChars="257"/>
        <w:rPr>
          <w:rFonts w:ascii="宋体" w:hAnsi="宋体" w:cs="宋体"/>
          <w:sz w:val="24"/>
          <w:szCs w:val="24"/>
          <w:highlight w:val="none"/>
        </w:rPr>
      </w:pPr>
      <w:r>
        <w:rPr>
          <w:rFonts w:hint="eastAsia" w:ascii="宋体" w:hAnsi="宋体" w:cs="宋体"/>
          <w:sz w:val="24"/>
          <w:szCs w:val="24"/>
          <w:highlight w:val="none"/>
        </w:rPr>
        <w:t>4、监理阶段：________________________</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三、监理服务内容、期限</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1、监理服务内容： 按专用合同条款约定。</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2、监理服务期限：</w:t>
      </w:r>
    </w:p>
    <w:p>
      <w:pPr>
        <w:spacing w:line="360" w:lineRule="auto"/>
        <w:ind w:left="420" w:firstLine="480"/>
        <w:rPr>
          <w:rFonts w:ascii="宋体" w:hAnsi="宋体" w:cs="宋体"/>
          <w:color w:val="FF0000"/>
          <w:sz w:val="24"/>
          <w:szCs w:val="24"/>
          <w:highlight w:val="none"/>
        </w:rPr>
      </w:pPr>
      <w:r>
        <w:rPr>
          <w:rFonts w:hint="eastAsia" w:ascii="宋体" w:hAnsi="宋体" w:cs="宋体"/>
          <w:sz w:val="24"/>
          <w:szCs w:val="24"/>
          <w:highlight w:val="none"/>
        </w:rPr>
        <w:t>自</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四、监理服务酬金</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监理正常服务酬金为（大写）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元，由委托人按专用合同条款约定的方式、时间向监理人支付。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五、监理合同的组成文件及解释顺序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1、监理合同书(含补充协议)；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2、中标通知书；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3、投标报价书；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4、专用合同条款；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5、通用合同条款；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6、监理大纲；</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7、双方确认需进入合同的其他文件。</w:t>
      </w:r>
    </w:p>
    <w:p>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六、本合同书经双方法定代表人或其授权代表人签名并加盖本单位公章后生效。</w:t>
      </w:r>
    </w:p>
    <w:p>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七、本合同书正本一式贰份，具有同等法律效力，由双方各执一份；副本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份，委托人执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份，监理人执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360" w:lineRule="auto"/>
        <w:ind w:left="200" w:firstLine="750"/>
        <w:rPr>
          <w:rFonts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left="-1063" w:leftChars="-506" w:firstLine="1831" w:firstLineChars="763"/>
        <w:rPr>
          <w:rFonts w:ascii="宋体" w:hAnsi="宋体" w:cs="宋体"/>
          <w:sz w:val="24"/>
          <w:szCs w:val="24"/>
          <w:highlight w:val="none"/>
        </w:rPr>
      </w:pPr>
      <w:r>
        <w:rPr>
          <w:rFonts w:hint="eastAsia" w:ascii="宋体" w:hAnsi="宋体" w:cs="宋体"/>
          <w:sz w:val="24"/>
          <w:szCs w:val="24"/>
          <w:highlight w:val="none"/>
        </w:rPr>
        <w:t>委托人（盖章）：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监理人（盖章）：</w:t>
      </w:r>
      <w:r>
        <w:rPr>
          <w:rFonts w:hint="eastAsia" w:ascii="宋体" w:hAnsi="宋体" w:cs="宋体"/>
          <w:sz w:val="24"/>
          <w:szCs w:val="24"/>
          <w:highlight w:val="none"/>
          <w:u w:val="single"/>
        </w:rPr>
        <w:t xml:space="preserve">          </w:t>
      </w:r>
    </w:p>
    <w:p>
      <w:pPr>
        <w:spacing w:line="360" w:lineRule="auto"/>
        <w:ind w:left="200" w:firstLine="1831" w:firstLineChars="763"/>
        <w:rPr>
          <w:rFonts w:ascii="宋体" w:hAnsi="宋体" w:cs="宋体"/>
          <w:sz w:val="24"/>
          <w:szCs w:val="24"/>
          <w:highlight w:val="none"/>
        </w:rPr>
      </w:pP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 xml:space="preserve">法定代表人（签名）：__________ 法定代表人（签名）：________________ </w:t>
      </w:r>
    </w:p>
    <w:p>
      <w:pPr>
        <w:spacing w:line="360" w:lineRule="auto"/>
        <w:ind w:left="200" w:firstLine="444" w:firstLineChars="185"/>
        <w:rPr>
          <w:rFonts w:ascii="宋体" w:hAnsi="宋体" w:cs="宋体"/>
          <w:sz w:val="24"/>
          <w:szCs w:val="24"/>
          <w:highlight w:val="none"/>
          <w:u w:val="single"/>
        </w:rPr>
      </w:pPr>
      <w:r>
        <w:rPr>
          <w:rFonts w:hint="eastAsia" w:ascii="宋体" w:hAnsi="宋体" w:cs="宋体"/>
          <w:sz w:val="24"/>
          <w:szCs w:val="24"/>
          <w:highlight w:val="none"/>
        </w:rPr>
        <w:t>或授权代表人（签名）：_________或授权代表人（签名）：__________</w:t>
      </w: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单位地址：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单位地址：</w:t>
      </w:r>
      <w:r>
        <w:rPr>
          <w:rFonts w:hint="eastAsia" w:ascii="宋体" w:hAnsi="宋体" w:cs="宋体"/>
          <w:sz w:val="24"/>
          <w:szCs w:val="24"/>
          <w:highlight w:val="none"/>
          <w:u w:val="single"/>
        </w:rPr>
        <w:t xml:space="preserve">                </w:t>
      </w: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电    话：</w:t>
      </w:r>
      <w:r>
        <w:rPr>
          <w:rFonts w:hint="eastAsia" w:ascii="宋体" w:hAnsi="宋体" w:cs="宋体"/>
          <w:sz w:val="24"/>
          <w:szCs w:val="24"/>
          <w:highlight w:val="none"/>
          <w:u w:val="single"/>
        </w:rPr>
        <w:t xml:space="preserve">                </w:t>
      </w:r>
    </w:p>
    <w:p>
      <w:pPr>
        <w:spacing w:line="360" w:lineRule="auto"/>
        <w:ind w:left="200" w:firstLine="444" w:firstLineChars="185"/>
        <w:rPr>
          <w:rFonts w:ascii="宋体" w:hAnsi="宋体" w:cs="宋体"/>
          <w:sz w:val="24"/>
          <w:szCs w:val="24"/>
          <w:highlight w:val="none"/>
          <w:u w:val="single"/>
        </w:rPr>
      </w:pPr>
      <w:r>
        <w:rPr>
          <w:rFonts w:hint="eastAsia" w:ascii="宋体" w:hAnsi="宋体" w:cs="宋体"/>
          <w:sz w:val="24"/>
          <w:szCs w:val="24"/>
          <w:highlight w:val="none"/>
        </w:rPr>
        <w:t>电子信箱：</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电子信箱：</w:t>
      </w:r>
      <w:r>
        <w:rPr>
          <w:rFonts w:hint="eastAsia" w:ascii="宋体" w:hAnsi="宋体" w:cs="宋体"/>
          <w:sz w:val="24"/>
          <w:szCs w:val="24"/>
          <w:highlight w:val="none"/>
          <w:u w:val="single"/>
        </w:rPr>
        <w:t xml:space="preserve">                </w:t>
      </w: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传    真：</w:t>
      </w:r>
      <w:r>
        <w:rPr>
          <w:rFonts w:hint="eastAsia" w:ascii="宋体" w:hAnsi="宋体" w:cs="宋体"/>
          <w:sz w:val="24"/>
          <w:szCs w:val="24"/>
          <w:highlight w:val="none"/>
          <w:u w:val="single"/>
        </w:rPr>
        <w:t xml:space="preserve">                </w:t>
      </w:r>
    </w:p>
    <w:p>
      <w:pPr>
        <w:spacing w:line="360" w:lineRule="auto"/>
        <w:ind w:left="200" w:firstLine="444" w:firstLineChars="185"/>
        <w:rPr>
          <w:rFonts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开户银行：</w:t>
      </w:r>
      <w:r>
        <w:rPr>
          <w:rFonts w:hint="eastAsia" w:ascii="宋体" w:hAnsi="宋体" w:cs="宋体"/>
          <w:sz w:val="24"/>
          <w:szCs w:val="24"/>
          <w:highlight w:val="none"/>
          <w:u w:val="single"/>
        </w:rPr>
        <w:t xml:space="preserve">                </w:t>
      </w:r>
    </w:p>
    <w:p>
      <w:pPr>
        <w:spacing w:line="360" w:lineRule="auto"/>
        <w:ind w:firstLine="616" w:firstLineChars="257"/>
        <w:rPr>
          <w:rFonts w:ascii="宋体" w:hAnsi="宋体" w:cs="宋体"/>
          <w:sz w:val="24"/>
          <w:szCs w:val="24"/>
          <w:highlight w:val="none"/>
          <w:u w:val="single"/>
        </w:rPr>
      </w:pPr>
      <w:r>
        <w:rPr>
          <w:rFonts w:hint="eastAsia" w:ascii="宋体" w:hAnsi="宋体" w:cs="宋体"/>
          <w:sz w:val="24"/>
          <w:szCs w:val="24"/>
          <w:highlight w:val="none"/>
        </w:rPr>
        <w:t>帐    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帐    号：</w:t>
      </w:r>
      <w:r>
        <w:rPr>
          <w:rFonts w:hint="eastAsia" w:ascii="宋体" w:hAnsi="宋体" w:cs="宋体"/>
          <w:sz w:val="24"/>
          <w:szCs w:val="24"/>
          <w:highlight w:val="none"/>
          <w:u w:val="single"/>
        </w:rPr>
        <w:t xml:space="preserve">                </w:t>
      </w:r>
    </w:p>
    <w:p>
      <w:pPr>
        <w:spacing w:line="360" w:lineRule="auto"/>
        <w:ind w:firstLine="614" w:firstLineChars="256"/>
        <w:rPr>
          <w:rFonts w:ascii="宋体" w:hAnsi="宋体" w:cs="宋体"/>
          <w:sz w:val="24"/>
          <w:szCs w:val="24"/>
          <w:highlight w:val="none"/>
        </w:rPr>
      </w:pPr>
      <w:r>
        <w:rPr>
          <w:rFonts w:hint="eastAsia" w:ascii="宋体" w:hAnsi="宋体" w:cs="宋体"/>
          <w:sz w:val="24"/>
          <w:szCs w:val="24"/>
          <w:highlight w:val="none"/>
        </w:rPr>
        <w:t>签订地点</w:t>
      </w:r>
      <w:r>
        <w:rPr>
          <w:rFonts w:hint="eastAsia" w:ascii="宋体" w:hAnsi="宋体" w:cs="宋体"/>
          <w:b/>
          <w:bCs/>
          <w:sz w:val="24"/>
          <w:szCs w:val="24"/>
          <w:highlight w:val="none"/>
        </w:rPr>
        <w:t>：</w:t>
      </w:r>
      <w:r>
        <w:rPr>
          <w:rFonts w:hint="eastAsia" w:ascii="宋体" w:hAnsi="宋体" w:cs="宋体"/>
          <w:sz w:val="24"/>
          <w:szCs w:val="24"/>
          <w:highlight w:val="none"/>
          <w:u w:val="single"/>
        </w:rPr>
        <w:t xml:space="preserve">                  </w:t>
      </w:r>
    </w:p>
    <w:p>
      <w:pPr>
        <w:spacing w:line="360" w:lineRule="auto"/>
        <w:ind w:firstLine="614" w:firstLineChars="256"/>
        <w:rPr>
          <w:rFonts w:ascii="宋体" w:hAnsi="宋体" w:cs="宋体"/>
          <w:sz w:val="24"/>
          <w:szCs w:val="24"/>
          <w:highlight w:val="none"/>
        </w:rPr>
      </w:pPr>
      <w:r>
        <w:rPr>
          <w:rFonts w:hint="eastAsia" w:ascii="宋体" w:hAnsi="宋体" w:cs="宋体"/>
          <w:sz w:val="24"/>
          <w:szCs w:val="24"/>
          <w:highlight w:val="none"/>
        </w:rPr>
        <w:t>签订时间：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keepNext/>
        <w:keepLines/>
        <w:pageBreakBefore/>
        <w:spacing w:line="360" w:lineRule="auto"/>
        <w:jc w:val="center"/>
        <w:outlineLvl w:val="1"/>
        <w:rPr>
          <w:rFonts w:ascii="宋体" w:hAnsi="宋体" w:cs="宋体"/>
          <w:bCs/>
          <w:sz w:val="24"/>
          <w:szCs w:val="24"/>
          <w:highlight w:val="none"/>
        </w:rPr>
      </w:pPr>
      <w:bookmarkStart w:id="39" w:name="_Toc256000032"/>
      <w:r>
        <w:rPr>
          <w:rFonts w:hint="eastAsia" w:ascii="宋体" w:hAnsi="宋体" w:cs="宋体"/>
          <w:bCs/>
          <w:sz w:val="24"/>
          <w:szCs w:val="24"/>
          <w:highlight w:val="none"/>
        </w:rPr>
        <w:t>第一部分 通用合同条款</w:t>
      </w:r>
      <w:bookmarkEnd w:id="39"/>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词语涵义及适用语言</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第一条</w:t>
      </w:r>
      <w:r>
        <w:rPr>
          <w:rFonts w:hint="eastAsia" w:ascii="宋体" w:hAnsi="宋体" w:cs="宋体"/>
          <w:sz w:val="24"/>
          <w:szCs w:val="24"/>
          <w:highlight w:val="none"/>
        </w:rPr>
        <w:t xml:space="preserve"> 下列名词和用语，除上下文另有约定外，具有本条所赋予的涵义：</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一、“委托人”指承担工程建设项目直接建设管理责任，委托监理业务的法人或其合法继承人。</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二、“监理人”指受委托人委托，提供监理服务的法人或其合法继承人。</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三、“承包人”指与委托人(发包人)签订了施工合同，承担工程施工的法人或其合法继承人。</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四、“监理机构”指监理人派驻工程现场直接开展监理业务的组织，由总监理工程师、监理工程师和监理员以及其他人员组成。</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五、“监理项目”是指委托人委托监理人实施建设监理的工程建设项目。</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六、“服务”是指监理人根据监理合同约定所承担的各项工作，包括正常服务和附加服务。</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七、“正常服务”指监理人按照合同约定的监理范围、内容和期限所提供的服务。</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八、“附加服务”指监理人为委托人提供正常服务以外的服务。</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九、“服务酬金”指本合同中监理人完成“正常服务”、“附加服务”应得到的正常服务酬金和附加服务酬金。</w:t>
      </w:r>
    </w:p>
    <w:p>
      <w:pPr>
        <w:tabs>
          <w:tab w:val="left" w:pos="-1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十、“天”指日历天。</w:t>
      </w:r>
    </w:p>
    <w:p>
      <w:pPr>
        <w:tabs>
          <w:tab w:val="left" w:pos="-180"/>
        </w:tabs>
        <w:spacing w:line="360" w:lineRule="auto"/>
        <w:ind w:firstLine="480" w:firstLineChars="200"/>
        <w:rPr>
          <w:rFonts w:ascii="宋体" w:hAnsi="宋体" w:cs="宋体"/>
          <w:sz w:val="24"/>
          <w:szCs w:val="24"/>
          <w:highlight w:val="none"/>
          <w:shd w:val="pct10" w:color="auto" w:fill="FFFFFF"/>
        </w:rPr>
      </w:pPr>
      <w:r>
        <w:rPr>
          <w:rFonts w:hint="eastAsia" w:ascii="宋体" w:hAnsi="宋体" w:cs="宋体"/>
          <w:sz w:val="24"/>
          <w:szCs w:val="24"/>
          <w:highlight w:val="none"/>
        </w:rPr>
        <w:t>十一、“现场”指监理项目实施的场所。</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第二条 本合同适用的语言文字为汉语文字。</w:t>
      </w:r>
    </w:p>
    <w:p>
      <w:pPr>
        <w:tabs>
          <w:tab w:val="left" w:pos="-180"/>
        </w:tabs>
        <w:spacing w:line="360" w:lineRule="auto"/>
        <w:jc w:val="center"/>
        <w:rPr>
          <w:rFonts w:ascii="宋体" w:hAnsi="宋体" w:cs="宋体"/>
          <w:bCs/>
          <w:sz w:val="24"/>
          <w:szCs w:val="24"/>
          <w:highlight w:val="none"/>
        </w:rPr>
      </w:pPr>
      <w:r>
        <w:rPr>
          <w:rFonts w:hint="eastAsia" w:ascii="宋体" w:hAnsi="宋体" w:cs="宋体"/>
          <w:bCs/>
          <w:color w:val="000000"/>
          <w:sz w:val="24"/>
          <w:szCs w:val="24"/>
          <w:highlight w:val="none"/>
        </w:rPr>
        <w:t>监理依据</w:t>
      </w:r>
    </w:p>
    <w:p>
      <w:pPr>
        <w:tabs>
          <w:tab w:val="left" w:pos="-180"/>
        </w:tabs>
        <w:spacing w:line="360" w:lineRule="auto"/>
        <w:ind w:firstLine="480" w:firstLineChars="200"/>
        <w:rPr>
          <w:rFonts w:ascii="宋体" w:hAnsi="宋体" w:cs="宋体"/>
          <w:bCs/>
          <w:spacing w:val="80"/>
          <w:sz w:val="24"/>
          <w:szCs w:val="24"/>
          <w:highlight w:val="none"/>
        </w:rPr>
      </w:pPr>
      <w:r>
        <w:rPr>
          <w:rFonts w:hint="eastAsia" w:ascii="宋体" w:hAnsi="宋体" w:cs="宋体"/>
          <w:bCs/>
          <w:sz w:val="24"/>
          <w:szCs w:val="24"/>
          <w:highlight w:val="none"/>
        </w:rPr>
        <w:t xml:space="preserve">第三条 监理的依据是有关工程建设的法律、法规、规章和规范性文件；工程建设强制性条文、有关技术标准；经批准的工程建设项目设计文件及其相关文件；监理合同、施工合同等合同文件。具体内容在专用合同条款中约定。                 </w:t>
      </w:r>
      <w:r>
        <w:rPr>
          <w:rFonts w:hint="eastAsia" w:ascii="宋体" w:hAnsi="宋体" w:cs="宋体"/>
          <w:bCs/>
          <w:spacing w:val="80"/>
          <w:sz w:val="24"/>
          <w:szCs w:val="24"/>
          <w:highlight w:val="none"/>
        </w:rPr>
        <w:t xml:space="preserve"> </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通知和联系</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第四条 委托人应指定一名联系人，负责与监理机构联系。更换联系人时，应提前通知监理人。</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第五条 在监理合同实施过程中，双方的联系均应以书面函件为准。在不做出紧急处理即可能导致安全、质量事故的情况下，可先以口头形式通知，并在48小时内补做书面通知。</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第六条 委托人对委托监理范围内工程项目实施的意见和决策，应通过监理机构下达，法律、法规另有规定的除外。</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委托人的权利</w:t>
      </w:r>
    </w:p>
    <w:p>
      <w:pPr>
        <w:tabs>
          <w:tab w:val="left" w:pos="-180"/>
        </w:tabs>
        <w:spacing w:line="360" w:lineRule="auto"/>
        <w:ind w:left="562"/>
        <w:rPr>
          <w:rFonts w:ascii="宋体" w:hAnsi="宋体" w:cs="宋体"/>
          <w:bCs/>
          <w:sz w:val="24"/>
          <w:szCs w:val="24"/>
          <w:highlight w:val="none"/>
        </w:rPr>
      </w:pPr>
      <w:r>
        <w:rPr>
          <w:rFonts w:hint="eastAsia" w:ascii="宋体" w:hAnsi="宋体" w:cs="宋体"/>
          <w:bCs/>
          <w:sz w:val="24"/>
          <w:szCs w:val="24"/>
          <w:highlight w:val="none"/>
        </w:rPr>
        <w:t>第七条 委托人享有如下权利：</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一、对监理工作进行监督、检查，并提出撤换不能胜任监理工作人员的建议或要求；</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二、对工程建设中质量、安全、投资、进度方面的重大问题的决策权；</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三、核定监理人签发的工程计量、付款凭证；</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四、要求监理人提交监理月报、监理专题报告、监理工作报告和监理工作总结报告；</w:t>
      </w:r>
    </w:p>
    <w:p>
      <w:pPr>
        <w:tabs>
          <w:tab w:val="left" w:pos="-180"/>
        </w:tabs>
        <w:spacing w:line="360" w:lineRule="auto"/>
        <w:ind w:firstLine="480" w:firstLineChars="200"/>
        <w:rPr>
          <w:rFonts w:ascii="宋体" w:hAnsi="宋体" w:cs="宋体"/>
          <w:bCs/>
          <w:color w:val="FF0000"/>
          <w:sz w:val="24"/>
          <w:szCs w:val="24"/>
          <w:highlight w:val="none"/>
        </w:rPr>
      </w:pPr>
      <w:r>
        <w:rPr>
          <w:rFonts w:hint="eastAsia" w:ascii="宋体" w:hAnsi="宋体" w:cs="宋体"/>
          <w:bCs/>
          <w:sz w:val="24"/>
          <w:szCs w:val="24"/>
          <w:highlight w:val="none"/>
        </w:rPr>
        <w:t>五、当监理人发生本合同专用条款约定的违约情形时，有权解除本合同。</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监理人的权利</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第八条 委托人赋予监理人如下权利：</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一、审查承包人拟选择的分包项目和分包人</w:t>
      </w:r>
      <w:r>
        <w:rPr>
          <w:rFonts w:hint="eastAsia" w:ascii="宋体" w:hAnsi="宋体" w:cs="宋体"/>
          <w:bCs/>
          <w:sz w:val="24"/>
          <w:szCs w:val="24"/>
          <w:highlight w:val="none"/>
          <w:shd w:val="clear" w:color="auto" w:fill="FFFFFF"/>
        </w:rPr>
        <w:t>，报委托人批准</w:t>
      </w:r>
      <w:r>
        <w:rPr>
          <w:rFonts w:hint="eastAsia" w:ascii="宋体" w:hAnsi="宋体" w:cs="宋体"/>
          <w:bCs/>
          <w:sz w:val="24"/>
          <w:szCs w:val="24"/>
          <w:highlight w:val="none"/>
        </w:rPr>
        <w:t>；</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二、审查承包人提交的施工组织设计、安全技术措施及专项施工方案等各类文件；</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三、核查并签发施工图纸；</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四、签发合同项目开工令、暂停施工</w:t>
      </w:r>
      <w:r>
        <w:rPr>
          <w:rFonts w:hint="eastAsia" w:ascii="宋体" w:hAnsi="宋体" w:cs="宋体"/>
          <w:bCs/>
          <w:sz w:val="24"/>
          <w:szCs w:val="24"/>
          <w:highlight w:val="none"/>
          <w:shd w:val="clear" w:color="auto" w:fill="FFFFFF"/>
        </w:rPr>
        <w:t>指示</w:t>
      </w:r>
      <w:r>
        <w:rPr>
          <w:rFonts w:hint="eastAsia" w:ascii="宋体" w:hAnsi="宋体" w:cs="宋体"/>
          <w:bCs/>
          <w:sz w:val="24"/>
          <w:szCs w:val="24"/>
          <w:highlight w:val="none"/>
        </w:rPr>
        <w:t>，但应事先征得委托人同意；</w:t>
      </w:r>
      <w:r>
        <w:rPr>
          <w:rFonts w:hint="eastAsia" w:ascii="宋体" w:hAnsi="宋体" w:cs="宋体"/>
          <w:bCs/>
          <w:sz w:val="24"/>
          <w:szCs w:val="24"/>
          <w:highlight w:val="none"/>
          <w:shd w:val="clear" w:color="auto" w:fill="FFFFFF"/>
        </w:rPr>
        <w:t>签发</w:t>
      </w:r>
      <w:r>
        <w:rPr>
          <w:rFonts w:hint="eastAsia" w:ascii="宋体" w:hAnsi="宋体" w:cs="宋体"/>
          <w:bCs/>
          <w:sz w:val="24"/>
          <w:szCs w:val="24"/>
          <w:highlight w:val="none"/>
        </w:rPr>
        <w:t>进场通知、复工通知；</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五、审核和签发工程计量、付款凭证；</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六、核查承包人现场工作人员数量及相应岗位资格，有权要求承包人撤换不称职的现场工作人员；</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七、发现承包人使用的施工设备影响工程质量或进度时，有权要求承包人增加或更换施工设备；</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八、当委托人发生本合同专用条款约定的违约情形时，有权解除本合同；</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九、专用合同条款约定的其他权利。</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委托人的义务</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第九条 工程建设外部环境的协调工作。</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第十条 按专用合同条款约定的时间、数量、方式，免费向监理机构提供开展监理服务的有关本工程建设的资料。</w:t>
      </w:r>
    </w:p>
    <w:p>
      <w:pPr>
        <w:tabs>
          <w:tab w:val="left" w:pos="-180"/>
        </w:tabs>
        <w:spacing w:line="360" w:lineRule="auto"/>
        <w:ind w:firstLine="480" w:firstLineChars="200"/>
        <w:rPr>
          <w:rFonts w:ascii="宋体" w:hAnsi="宋体" w:cs="宋体"/>
          <w:bCs/>
          <w:dstrike/>
          <w:color w:val="0000FF"/>
          <w:sz w:val="24"/>
          <w:szCs w:val="24"/>
          <w:highlight w:val="none"/>
        </w:rPr>
      </w:pPr>
      <w:r>
        <w:rPr>
          <w:rFonts w:hint="eastAsia" w:ascii="宋体" w:hAnsi="宋体" w:cs="宋体"/>
          <w:bCs/>
          <w:sz w:val="24"/>
          <w:szCs w:val="24"/>
          <w:highlight w:val="none"/>
        </w:rPr>
        <w:t>第十一条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pPr>
        <w:tabs>
          <w:tab w:val="left" w:pos="-180"/>
        </w:tabs>
        <w:spacing w:line="360" w:lineRule="auto"/>
        <w:ind w:firstLine="480" w:firstLineChars="200"/>
        <w:rPr>
          <w:rFonts w:ascii="宋体" w:hAnsi="宋体" w:cs="宋体"/>
          <w:bCs/>
          <w:color w:val="FF0000"/>
          <w:sz w:val="24"/>
          <w:szCs w:val="24"/>
          <w:highlight w:val="none"/>
          <w:shd w:val="pct10" w:color="auto" w:fill="FFFFFF"/>
        </w:rPr>
      </w:pPr>
      <w:r>
        <w:rPr>
          <w:rFonts w:hint="eastAsia" w:ascii="宋体" w:hAnsi="宋体" w:cs="宋体"/>
          <w:bCs/>
          <w:sz w:val="24"/>
          <w:szCs w:val="24"/>
          <w:highlight w:val="none"/>
        </w:rPr>
        <w:t xml:space="preserve">第十二条 </w:t>
      </w:r>
      <w:r>
        <w:rPr>
          <w:rFonts w:hint="eastAsia" w:ascii="宋体" w:hAnsi="宋体" w:cs="宋体"/>
          <w:bCs/>
          <w:sz w:val="24"/>
          <w:szCs w:val="24"/>
          <w:highlight w:val="none"/>
          <w:shd w:val="clear" w:color="auto" w:fill="FFFFFF"/>
        </w:rPr>
        <w:t>与承包人签订的施工合同中明确其赋予监理人的权限，并在工程开工前将监理单位、总监理工程师通知承包人。</w:t>
      </w:r>
    </w:p>
    <w:p>
      <w:pPr>
        <w:tabs>
          <w:tab w:val="left" w:pos="-180"/>
        </w:tabs>
        <w:spacing w:line="360" w:lineRule="auto"/>
        <w:ind w:firstLine="480" w:firstLineChars="200"/>
        <w:rPr>
          <w:rFonts w:ascii="宋体" w:hAnsi="宋体" w:cs="宋体"/>
          <w:bCs/>
          <w:sz w:val="24"/>
          <w:szCs w:val="24"/>
          <w:highlight w:val="none"/>
          <w:shd w:val="clear" w:color="auto" w:fill="FFFFFF"/>
        </w:rPr>
      </w:pPr>
      <w:r>
        <w:rPr>
          <w:rFonts w:hint="eastAsia" w:ascii="宋体" w:hAnsi="宋体" w:cs="宋体"/>
          <w:bCs/>
          <w:sz w:val="24"/>
          <w:szCs w:val="24"/>
          <w:highlight w:val="none"/>
        </w:rPr>
        <w:t>第十三条</w:t>
      </w:r>
      <w:r>
        <w:rPr>
          <w:rFonts w:hint="eastAsia" w:ascii="宋体" w:hAnsi="宋体" w:cs="宋体"/>
          <w:bCs/>
          <w:sz w:val="24"/>
          <w:szCs w:val="24"/>
          <w:highlight w:val="none"/>
          <w:shd w:val="clear" w:color="auto" w:fill="FFFFFF"/>
        </w:rPr>
        <w:t xml:space="preserve"> 提供监理人员在现场的工作和生活条件，具体内容在专用合同条款中明确。如果不能提供上述条件的，应按实际发生费用给予监理人补偿。</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第十四条 按本合同约定及时、足额支付监理服务酬金。</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第十五条 为监理机构指定具有检验、试验资质的机构并承担检验、试验相关费用。</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第十六条 维护监理机构工作的独立性，不干涉监理机构正常开展监理业务，不擅自作出有悖于监理机构在合同授权范围内所作出的指示的决定；未经监理机构签字确认，不得支付工程款。</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第十七条 为监理人员投保人身意外伤害险和第三者责任险。如要求监理人自己投保，则应同意监理人将投保的费用计入报价中。</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第十八条 将投保工程险的保险合同提供给监理人作为工程合同管理的一部分。</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第十九条 未经监理人同意，不得将监理人用于本工程监理服务的</w:t>
      </w:r>
      <w:r>
        <w:rPr>
          <w:rFonts w:hint="eastAsia" w:ascii="宋体" w:hAnsi="宋体" w:cs="宋体"/>
          <w:bCs/>
          <w:sz w:val="24"/>
          <w:szCs w:val="24"/>
          <w:highlight w:val="none"/>
          <w:shd w:val="clear" w:color="auto" w:fill="FFFFFF"/>
        </w:rPr>
        <w:t>任何</w:t>
      </w:r>
      <w:r>
        <w:rPr>
          <w:rFonts w:hint="eastAsia" w:ascii="宋体" w:hAnsi="宋体" w:cs="宋体"/>
          <w:bCs/>
          <w:sz w:val="24"/>
          <w:szCs w:val="24"/>
          <w:highlight w:val="none"/>
        </w:rPr>
        <w:t xml:space="preserve">文件直接或间接用于其他工程建设之中。 </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监理人的义务</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第二十条 本着“守法、诚信、公正、科学”的原则，按专用合同条款约定的监理服务内容为委托人提供优质服务。  </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第二十一条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第二十二条 发现设计文件不符合有关规定或合同约定时，应向委托人报告。</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第二十三条 核验建筑材料、建筑构配件和设备质量，检查、检验并确认工程的施工质量；检查施工安全生产情况。发现存在质量、安全事故隐患，或发生质量、安全事故，应按有关规定及时采取相应的监理措施。</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第二十四条 监督、检查工程施工进度。</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第二十五条 按照委托人签订的工程保险合同，做好施工现场工程保险合同的管理。协助委托人向保险公司及时提供一切必要的材料和证据。</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第二十六条 协调施工合同各方之间的关系。</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第二十七条 按照施工作业程序，采取旁站、巡视、跟踪检测和平行检测等方法实施监理。需要旁站的重要部位和关键工序在专用合同条款中约定。</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第二十八条 及时做好工程施工</w:t>
      </w:r>
      <w:r>
        <w:rPr>
          <w:rFonts w:hint="eastAsia" w:ascii="宋体" w:hAnsi="宋体" w:cs="宋体"/>
          <w:bCs/>
          <w:sz w:val="24"/>
          <w:szCs w:val="24"/>
          <w:highlight w:val="none"/>
          <w:shd w:val="clear" w:color="auto" w:fill="FFFFFF"/>
        </w:rPr>
        <w:t>过程</w:t>
      </w:r>
      <w:r>
        <w:rPr>
          <w:rFonts w:hint="eastAsia" w:ascii="宋体" w:hAnsi="宋体" w:cs="宋体"/>
          <w:bCs/>
          <w:sz w:val="24"/>
          <w:szCs w:val="24"/>
          <w:highlight w:val="none"/>
        </w:rPr>
        <w:t>各种监理信息的收集、整理和归档，并保证现场记录、试验、检验、检查等资料的完整和真实。</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第二十九条 编制《监理日志》，并向委托人提交监理月报、监理专题报告、监理工作报告和监理工作总结报告。</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第三十条 按有关规定参加工程验收，做好相关配合工作。委托人委托监理人主持的分部工程验收由专用合同条款约定。</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第三十一条 妥善做好委托人所提供的工程建设文件资料的保存、回收及保密工作。在本合同期限内或</w:t>
      </w:r>
      <w:r>
        <w:rPr>
          <w:rFonts w:hint="eastAsia" w:ascii="宋体" w:hAnsi="宋体" w:cs="宋体"/>
          <w:bCs/>
          <w:sz w:val="24"/>
          <w:szCs w:val="24"/>
          <w:highlight w:val="none"/>
          <w:shd w:val="clear" w:color="auto" w:fill="FFFFFF"/>
        </w:rPr>
        <w:t>专用合同条款约定的合同终止后的一定期限内</w:t>
      </w:r>
      <w:r>
        <w:rPr>
          <w:rFonts w:hint="eastAsia" w:ascii="宋体" w:hAnsi="宋体" w:cs="宋体"/>
          <w:bCs/>
          <w:sz w:val="24"/>
          <w:szCs w:val="24"/>
          <w:highlight w:val="none"/>
        </w:rPr>
        <w:t>，未征得委托人同意，不得公开涉及委托人的专利、专有技术或其他需保密的资料，不得泄露与本合同业务有关的技术、商务等</w:t>
      </w:r>
      <w:r>
        <w:rPr>
          <w:rFonts w:hint="eastAsia" w:ascii="宋体" w:hAnsi="宋体" w:cs="宋体"/>
          <w:bCs/>
          <w:sz w:val="24"/>
          <w:szCs w:val="24"/>
          <w:highlight w:val="none"/>
          <w:shd w:val="clear" w:color="auto" w:fill="FFFFFF"/>
        </w:rPr>
        <w:t>秘密</w:t>
      </w:r>
      <w:r>
        <w:rPr>
          <w:rFonts w:hint="eastAsia" w:ascii="宋体" w:hAnsi="宋体" w:cs="宋体"/>
          <w:bCs/>
          <w:sz w:val="24"/>
          <w:szCs w:val="24"/>
          <w:highlight w:val="none"/>
        </w:rPr>
        <w:t>。</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监理服务酬金</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第三十二条 监理正常服务酬金的支付时间和支付方式在专用合同条款中约定。</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第三十三条 除不可抗力外，有下列情形之一且由此引起监理工作量增加或服务期限延长，均应视为监理机构的附加服务，监理人应得到监理附加服务酬金：</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一、由于委托人、第三方责任、</w:t>
      </w:r>
      <w:r>
        <w:rPr>
          <w:rFonts w:hint="eastAsia" w:ascii="宋体" w:hAnsi="宋体" w:cs="宋体"/>
          <w:bCs/>
          <w:sz w:val="24"/>
          <w:szCs w:val="24"/>
          <w:highlight w:val="none"/>
          <w:shd w:val="clear" w:color="auto" w:fill="FFFFFF"/>
        </w:rPr>
        <w:t>设计变更</w:t>
      </w:r>
      <w:r>
        <w:rPr>
          <w:rFonts w:hint="eastAsia" w:ascii="宋体" w:hAnsi="宋体" w:cs="宋体"/>
          <w:bCs/>
          <w:sz w:val="24"/>
          <w:szCs w:val="24"/>
          <w:highlight w:val="none"/>
        </w:rPr>
        <w:t>及不良地质条件等非监理人原因致使正常的监理服务受到阻碍或延误；</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二、在本合同履行过程中，委托人要求监理机构完成监理合同约定范围和内容以外的服务；</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三、由于非监理人原因暂停或终止监理业务时，其善后工作或恢复执行监理业务的工作。</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监理人完成附加服务应得到的酬金，按</w:t>
      </w:r>
      <w:r>
        <w:rPr>
          <w:rFonts w:hint="eastAsia" w:ascii="宋体" w:hAnsi="宋体" w:cs="宋体"/>
          <w:bCs/>
          <w:sz w:val="24"/>
          <w:szCs w:val="24"/>
          <w:highlight w:val="none"/>
          <w:shd w:val="clear" w:color="auto" w:fill="FFFFFF"/>
        </w:rPr>
        <w:t>专用合同条款约定的方法或</w:t>
      </w:r>
      <w:r>
        <w:rPr>
          <w:rFonts w:hint="eastAsia" w:ascii="宋体" w:hAnsi="宋体" w:cs="宋体"/>
          <w:bCs/>
          <w:sz w:val="24"/>
          <w:szCs w:val="24"/>
          <w:highlight w:val="none"/>
        </w:rPr>
        <w:t>监理补充协议计取和支付。</w:t>
      </w:r>
    </w:p>
    <w:p>
      <w:pPr>
        <w:tabs>
          <w:tab w:val="left" w:pos="-180"/>
        </w:tabs>
        <w:spacing w:line="360" w:lineRule="auto"/>
        <w:ind w:firstLine="480" w:firstLineChars="200"/>
        <w:rPr>
          <w:rFonts w:ascii="宋体" w:hAnsi="宋体" w:cs="宋体"/>
          <w:bCs/>
          <w:color w:val="00CCFF"/>
          <w:sz w:val="24"/>
          <w:szCs w:val="24"/>
          <w:highlight w:val="none"/>
        </w:rPr>
      </w:pPr>
      <w:r>
        <w:rPr>
          <w:rFonts w:hint="eastAsia" w:ascii="宋体" w:hAnsi="宋体" w:cs="宋体"/>
          <w:bCs/>
          <w:sz w:val="24"/>
          <w:szCs w:val="24"/>
          <w:highlight w:val="none"/>
        </w:rPr>
        <w:t>第三十四条 国家有关法律、法规、规章和监理酬金标准发生变化时，应按有关规定调整监理服务酬金。</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第三十五条 委托人对监理人</w:t>
      </w:r>
      <w:r>
        <w:rPr>
          <w:rFonts w:hint="eastAsia" w:ascii="宋体" w:hAnsi="宋体" w:cs="宋体"/>
          <w:bCs/>
          <w:sz w:val="24"/>
          <w:szCs w:val="24"/>
          <w:highlight w:val="none"/>
          <w:shd w:val="clear" w:color="auto" w:fill="FFFFFF"/>
        </w:rPr>
        <w:t>申请支付的</w:t>
      </w:r>
      <w:r>
        <w:rPr>
          <w:rFonts w:hint="eastAsia" w:ascii="宋体" w:hAnsi="宋体" w:cs="宋体"/>
          <w:bCs/>
          <w:sz w:val="24"/>
          <w:szCs w:val="24"/>
          <w:highlight w:val="none"/>
        </w:rPr>
        <w:t>监理酬金项目及金额有异议时，应当在收到监理人支付申请书</w:t>
      </w:r>
      <w:r>
        <w:rPr>
          <w:rFonts w:hint="eastAsia" w:ascii="宋体" w:hAnsi="宋体" w:cs="宋体"/>
          <w:bCs/>
          <w:sz w:val="24"/>
          <w:szCs w:val="24"/>
          <w:highlight w:val="none"/>
          <w:shd w:val="clear" w:color="auto" w:fill="FFFFFF"/>
        </w:rPr>
        <w:t>后</w:t>
      </w:r>
      <w:r>
        <w:rPr>
          <w:rFonts w:hint="eastAsia" w:ascii="宋体" w:hAnsi="宋体" w:cs="宋体"/>
          <w:bCs/>
          <w:sz w:val="24"/>
          <w:szCs w:val="24"/>
          <w:highlight w:val="none"/>
        </w:rPr>
        <w:t>7天内向监理人发出异议通知，由双方协商解决。7天内未发出异议通知，则按通用合同条款第三十二条、第三十三条、第三十四条的约定支付。</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合同变更与终止</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第三十六条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tabs>
          <w:tab w:val="left" w:pos="-180"/>
        </w:tabs>
        <w:spacing w:line="360" w:lineRule="auto"/>
        <w:ind w:firstLine="480" w:firstLineChars="200"/>
        <w:rPr>
          <w:rFonts w:ascii="宋体" w:hAnsi="宋体" w:cs="宋体"/>
          <w:bCs/>
          <w:sz w:val="24"/>
          <w:szCs w:val="24"/>
          <w:highlight w:val="none"/>
          <w:u w:val="single"/>
          <w:shd w:val="pct10" w:color="auto" w:fill="FFFFFF"/>
        </w:rPr>
      </w:pPr>
      <w:r>
        <w:rPr>
          <w:rFonts w:hint="eastAsia" w:ascii="宋体" w:hAnsi="宋体" w:cs="宋体"/>
          <w:bCs/>
          <w:sz w:val="24"/>
          <w:szCs w:val="24"/>
          <w:highlight w:val="none"/>
        </w:rPr>
        <w:t>第</w:t>
      </w:r>
      <w:r>
        <w:rPr>
          <w:rFonts w:hint="eastAsia" w:ascii="宋体" w:hAnsi="宋体" w:cs="宋体"/>
          <w:bCs/>
          <w:sz w:val="24"/>
          <w:szCs w:val="24"/>
          <w:highlight w:val="none"/>
          <w:shd w:val="clear" w:color="auto" w:fill="FFFFFF"/>
        </w:rPr>
        <w:t>三十</w:t>
      </w:r>
      <w:r>
        <w:rPr>
          <w:rFonts w:hint="eastAsia" w:ascii="宋体" w:hAnsi="宋体" w:cs="宋体"/>
          <w:bCs/>
          <w:sz w:val="24"/>
          <w:szCs w:val="24"/>
          <w:highlight w:val="none"/>
        </w:rPr>
        <w:t>七</w:t>
      </w:r>
      <w:r>
        <w:rPr>
          <w:rFonts w:hint="eastAsia" w:ascii="宋体" w:hAnsi="宋体" w:cs="宋体"/>
          <w:bCs/>
          <w:sz w:val="24"/>
          <w:szCs w:val="24"/>
          <w:highlight w:val="none"/>
          <w:shd w:val="clear" w:color="auto" w:fill="FFFFFF"/>
        </w:rPr>
        <w:t>条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第三十八条 在监理服务期内，由于国家政策致使工程建设计划重大调整，或不可抗力致使合同不能履行时，双方协商解决因合同终止所产生的遗留问题。</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第三十九条 本合同在监理期限届满并结清监理服务酬金后即终止。</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违约责任</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第四十条 委托人未履行合同条款第十条、第十一条、第十三条、第十四条、第十五条、第十六条、第十七条、第十九条约定的义务和责任，除按专用合同条款约定向监理人支付违约金外，还应继续履行合同约定的义务和责任。</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第四十一条 委托人未按合同条款第三十二条、第三十三条、第三十四条约定支付监理服务酬金，除按专用合同条款约定向监理人支付逾期付款违约金外，还应继续履行合同约定的支付义务。</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第四十二条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争议的解决</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第四十三条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pPr>
        <w:tabs>
          <w:tab w:val="left" w:pos="-180"/>
        </w:tabs>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第四十四条 在争议协商、调解、仲裁或起诉过程中，双方仍应继续履行本合同约定的责任和义务。</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其   他</w:t>
      </w:r>
    </w:p>
    <w:p>
      <w:pPr>
        <w:tabs>
          <w:tab w:val="left" w:pos="-180"/>
        </w:tabs>
        <w:spacing w:line="360" w:lineRule="auto"/>
        <w:ind w:firstLine="480" w:firstLineChars="200"/>
        <w:jc w:val="center"/>
        <w:rPr>
          <w:rFonts w:ascii="宋体" w:hAnsi="宋体" w:cs="宋体"/>
          <w:b/>
          <w:sz w:val="24"/>
          <w:szCs w:val="24"/>
          <w:highlight w:val="none"/>
        </w:rPr>
      </w:pPr>
      <w:r>
        <w:rPr>
          <w:rFonts w:hint="eastAsia" w:ascii="宋体" w:hAnsi="宋体" w:cs="宋体"/>
          <w:bCs/>
          <w:sz w:val="24"/>
          <w:szCs w:val="24"/>
          <w:highlight w:val="none"/>
        </w:rPr>
        <w:t>第四十五条 委托人可以对监理人提出并落实的合理化建议给予奖励。奖励办法在专用合同条款中约定。</w:t>
      </w:r>
      <w:r>
        <w:rPr>
          <w:rFonts w:ascii="宋体" w:hAnsi="宋体" w:cs="宋体"/>
          <w:bCs/>
          <w:sz w:val="24"/>
          <w:szCs w:val="24"/>
          <w:highlight w:val="none"/>
        </w:rPr>
        <w:br w:type="page"/>
      </w:r>
      <w:bookmarkStart w:id="40" w:name="_Toc256000033"/>
      <w:r>
        <w:rPr>
          <w:rFonts w:hint="eastAsia" w:ascii="宋体" w:hAnsi="宋体" w:cs="宋体"/>
          <w:bCs/>
          <w:sz w:val="24"/>
          <w:szCs w:val="24"/>
          <w:highlight w:val="none"/>
        </w:rPr>
        <w:t>第二部分 专用合同条款</w:t>
      </w:r>
      <w:bookmarkEnd w:id="40"/>
    </w:p>
    <w:p>
      <w:pPr>
        <w:spacing w:line="360" w:lineRule="auto"/>
        <w:jc w:val="center"/>
        <w:rPr>
          <w:rFonts w:ascii="宋体" w:hAnsi="宋体" w:cs="宋体"/>
          <w:b/>
          <w:sz w:val="24"/>
          <w:szCs w:val="24"/>
          <w:highlight w:val="none"/>
        </w:rPr>
      </w:pP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监理依据</w:t>
      </w:r>
    </w:p>
    <w:p>
      <w:pPr>
        <w:spacing w:line="360" w:lineRule="auto"/>
        <w:ind w:firstLine="435"/>
        <w:rPr>
          <w:rFonts w:ascii="宋体" w:hAnsi="宋体" w:cs="宋体"/>
          <w:bCs/>
          <w:sz w:val="24"/>
          <w:szCs w:val="24"/>
          <w:highlight w:val="none"/>
        </w:rPr>
      </w:pPr>
      <w:r>
        <w:rPr>
          <w:rFonts w:hint="eastAsia" w:ascii="宋体" w:hAnsi="宋体" w:cs="宋体"/>
          <w:bCs/>
          <w:sz w:val="24"/>
          <w:szCs w:val="24"/>
          <w:highlight w:val="none"/>
        </w:rPr>
        <w:t>第三条 本合同的监理依据为：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委托人的权利</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第七条</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五、当监理人发生下列违约情形时，委托人有权解除合同：</w:t>
      </w:r>
    </w:p>
    <w:p>
      <w:pPr>
        <w:spacing w:line="360" w:lineRule="auto"/>
        <w:ind w:firstLine="268" w:firstLineChars="112"/>
        <w:rPr>
          <w:rFonts w:ascii="宋体" w:hAnsi="宋体" w:cs="宋体"/>
          <w:bCs/>
          <w:sz w:val="24"/>
          <w:szCs w:val="24"/>
          <w:highlight w:val="none"/>
          <w:u w:val="single"/>
        </w:rPr>
      </w:pPr>
      <w:r>
        <w:rPr>
          <w:rFonts w:hint="eastAsia" w:ascii="宋体" w:hAnsi="宋体" w:cs="宋体"/>
          <w:bCs/>
          <w:sz w:val="24"/>
          <w:szCs w:val="24"/>
          <w:highlight w:val="none"/>
        </w:rPr>
        <w:t>1、</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268" w:firstLineChars="112"/>
        <w:rPr>
          <w:rFonts w:ascii="宋体" w:hAnsi="宋体" w:cs="宋体"/>
          <w:bCs/>
          <w:sz w:val="24"/>
          <w:szCs w:val="24"/>
          <w:highlight w:val="none"/>
          <w:u w:val="single"/>
        </w:rPr>
      </w:pPr>
      <w:r>
        <w:rPr>
          <w:rFonts w:hint="eastAsia" w:ascii="宋体" w:hAnsi="宋体" w:cs="宋体"/>
          <w:bCs/>
          <w:sz w:val="24"/>
          <w:szCs w:val="24"/>
          <w:highlight w:val="none"/>
        </w:rPr>
        <w:t>3、</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tabs>
          <w:tab w:val="left" w:pos="-180"/>
        </w:tabs>
        <w:spacing w:after="120" w:line="360" w:lineRule="auto"/>
        <w:jc w:val="center"/>
        <w:rPr>
          <w:rFonts w:ascii="宋体" w:hAnsi="宋体" w:cs="宋体"/>
          <w:bCs/>
          <w:sz w:val="24"/>
          <w:szCs w:val="24"/>
          <w:highlight w:val="none"/>
        </w:rPr>
      </w:pPr>
      <w:r>
        <w:rPr>
          <w:rFonts w:hint="eastAsia" w:ascii="宋体" w:hAnsi="宋体" w:cs="宋体"/>
          <w:bCs/>
          <w:sz w:val="24"/>
          <w:szCs w:val="24"/>
          <w:highlight w:val="none"/>
        </w:rPr>
        <w:t>监理人的权利</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第八条</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八、当委托人发生下列违约情形时，监理人有权解除合同：</w:t>
      </w:r>
    </w:p>
    <w:p>
      <w:pPr>
        <w:spacing w:line="360" w:lineRule="auto"/>
        <w:ind w:firstLine="268" w:firstLineChars="112"/>
        <w:rPr>
          <w:rFonts w:ascii="宋体" w:hAnsi="宋体" w:cs="宋体"/>
          <w:bCs/>
          <w:sz w:val="24"/>
          <w:szCs w:val="24"/>
          <w:highlight w:val="none"/>
          <w:u w:val="single"/>
        </w:rPr>
      </w:pPr>
      <w:r>
        <w:rPr>
          <w:rFonts w:hint="eastAsia" w:ascii="宋体" w:hAnsi="宋体" w:cs="宋体"/>
          <w:bCs/>
          <w:sz w:val="24"/>
          <w:szCs w:val="24"/>
          <w:highlight w:val="none"/>
        </w:rPr>
        <w:t>1、</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268" w:firstLineChars="112"/>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268" w:firstLineChars="112"/>
        <w:rPr>
          <w:rFonts w:ascii="宋体" w:hAnsi="宋体" w:cs="宋体"/>
          <w:bCs/>
          <w:sz w:val="24"/>
          <w:szCs w:val="24"/>
          <w:highlight w:val="none"/>
          <w:u w:val="single"/>
        </w:rPr>
      </w:pPr>
      <w:r>
        <w:rPr>
          <w:rFonts w:hint="eastAsia" w:ascii="宋体" w:hAnsi="宋体" w:cs="宋体"/>
          <w:bCs/>
          <w:sz w:val="24"/>
          <w:szCs w:val="24"/>
          <w:highlight w:val="none"/>
        </w:rPr>
        <w:t>3、</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九、委托人</w:t>
      </w:r>
      <w:r>
        <w:rPr>
          <w:rFonts w:hint="eastAsia" w:ascii="宋体" w:hAnsi="宋体" w:cs="宋体"/>
          <w:bCs/>
          <w:sz w:val="24"/>
          <w:szCs w:val="24"/>
          <w:highlight w:val="none"/>
          <w:shd w:val="clear" w:color="auto" w:fill="FFFFFF"/>
        </w:rPr>
        <w:t>赋</w:t>
      </w:r>
      <w:r>
        <w:rPr>
          <w:rFonts w:hint="eastAsia" w:ascii="宋体" w:hAnsi="宋体" w:cs="宋体"/>
          <w:bCs/>
          <w:sz w:val="24"/>
          <w:szCs w:val="24"/>
          <w:highlight w:val="none"/>
        </w:rPr>
        <w:t>予监理人的其他权利：</w:t>
      </w:r>
    </w:p>
    <w:p>
      <w:pPr>
        <w:spacing w:line="360" w:lineRule="auto"/>
        <w:ind w:firstLine="435"/>
        <w:rPr>
          <w:rFonts w:ascii="宋体" w:hAnsi="宋体" w:cs="宋体"/>
          <w:bCs/>
          <w:sz w:val="24"/>
          <w:szCs w:val="24"/>
          <w:highlight w:val="none"/>
        </w:rPr>
      </w:pPr>
      <w:r>
        <w:rPr>
          <w:rFonts w:hint="eastAsia" w:ascii="宋体" w:hAnsi="宋体" w:cs="宋体"/>
          <w:bCs/>
          <w:sz w:val="24"/>
          <w:szCs w:val="24"/>
          <w:highlight w:val="none"/>
        </w:rPr>
        <w:t>1、签发工程移交证书（若不授予则删除此款；若授予应约定监理人的具体权限）；</w:t>
      </w:r>
    </w:p>
    <w:p>
      <w:pPr>
        <w:spacing w:line="360" w:lineRule="auto"/>
        <w:ind w:firstLine="435"/>
        <w:rPr>
          <w:rFonts w:ascii="宋体" w:hAnsi="宋体" w:cs="宋体"/>
          <w:bCs/>
          <w:sz w:val="24"/>
          <w:szCs w:val="24"/>
          <w:highlight w:val="none"/>
        </w:rPr>
      </w:pPr>
      <w:r>
        <w:rPr>
          <w:rFonts w:hint="eastAsia" w:ascii="宋体" w:hAnsi="宋体" w:cs="宋体"/>
          <w:bCs/>
          <w:sz w:val="24"/>
          <w:szCs w:val="24"/>
          <w:highlight w:val="none"/>
        </w:rPr>
        <w:t>2、签发保修责任终止证书（若不授予则删除此款；若授予应约定监理人的具体权   限）；</w:t>
      </w:r>
    </w:p>
    <w:p>
      <w:pPr>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3、</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委托人的义务</w:t>
      </w:r>
    </w:p>
    <w:p>
      <w:pPr>
        <w:spacing w:line="360" w:lineRule="auto"/>
        <w:ind w:firstLine="437"/>
        <w:rPr>
          <w:rFonts w:ascii="宋体" w:hAnsi="宋体"/>
          <w:bCs/>
          <w:sz w:val="24"/>
          <w:szCs w:val="24"/>
          <w:highlight w:val="none"/>
        </w:rPr>
      </w:pPr>
      <w:r>
        <w:rPr>
          <w:rFonts w:hint="eastAsia" w:ascii="宋体" w:hAnsi="宋体"/>
          <w:bCs/>
          <w:sz w:val="24"/>
          <w:szCs w:val="24"/>
          <w:highlight w:val="none"/>
        </w:rPr>
        <w:t>第十条 委托人向监理机构免费提供的资料为：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86"/>
        <w:gridCol w:w="758"/>
        <w:gridCol w:w="1326"/>
        <w:gridCol w:w="1326"/>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sz w:val="24"/>
                <w:szCs w:val="24"/>
                <w:highlight w:val="none"/>
              </w:rPr>
            </w:pPr>
            <w:r>
              <w:rPr>
                <w:rFonts w:hint="eastAsia" w:ascii="宋体" w:hAnsi="宋体"/>
                <w:sz w:val="24"/>
                <w:szCs w:val="24"/>
                <w:highlight w:val="none"/>
              </w:rPr>
              <w:t>序号</w:t>
            </w:r>
          </w:p>
        </w:tc>
        <w:tc>
          <w:tcPr>
            <w:tcW w:w="2786" w:type="dxa"/>
          </w:tcPr>
          <w:p>
            <w:pPr>
              <w:spacing w:line="360" w:lineRule="auto"/>
              <w:jc w:val="center"/>
              <w:rPr>
                <w:rFonts w:ascii="宋体" w:hAnsi="宋体"/>
                <w:sz w:val="24"/>
                <w:szCs w:val="24"/>
                <w:highlight w:val="none"/>
              </w:rPr>
            </w:pPr>
            <w:r>
              <w:rPr>
                <w:rFonts w:hint="eastAsia" w:ascii="宋体" w:hAnsi="宋体"/>
                <w:sz w:val="24"/>
                <w:szCs w:val="24"/>
                <w:highlight w:val="none"/>
              </w:rPr>
              <w:t>资料名称</w:t>
            </w:r>
          </w:p>
        </w:tc>
        <w:tc>
          <w:tcPr>
            <w:tcW w:w="758" w:type="dxa"/>
          </w:tcPr>
          <w:p>
            <w:pPr>
              <w:spacing w:line="360" w:lineRule="auto"/>
              <w:jc w:val="center"/>
              <w:rPr>
                <w:rFonts w:ascii="宋体" w:hAnsi="宋体"/>
                <w:sz w:val="24"/>
                <w:szCs w:val="24"/>
                <w:highlight w:val="none"/>
              </w:rPr>
            </w:pPr>
            <w:r>
              <w:rPr>
                <w:rFonts w:hint="eastAsia" w:ascii="宋体" w:hAnsi="宋体"/>
                <w:sz w:val="24"/>
                <w:szCs w:val="24"/>
                <w:highlight w:val="none"/>
              </w:rPr>
              <w:t>份数</w:t>
            </w:r>
          </w:p>
        </w:tc>
        <w:tc>
          <w:tcPr>
            <w:tcW w:w="1326" w:type="dxa"/>
          </w:tcPr>
          <w:p>
            <w:pPr>
              <w:spacing w:line="360" w:lineRule="auto"/>
              <w:jc w:val="center"/>
              <w:rPr>
                <w:rFonts w:ascii="宋体" w:hAnsi="宋体"/>
                <w:sz w:val="24"/>
                <w:szCs w:val="24"/>
                <w:highlight w:val="none"/>
              </w:rPr>
            </w:pPr>
            <w:r>
              <w:rPr>
                <w:rFonts w:hint="eastAsia" w:ascii="宋体" w:hAnsi="宋体"/>
                <w:sz w:val="24"/>
                <w:szCs w:val="24"/>
                <w:highlight w:val="none"/>
              </w:rPr>
              <w:t>提供时间</w:t>
            </w:r>
          </w:p>
        </w:tc>
        <w:tc>
          <w:tcPr>
            <w:tcW w:w="1326" w:type="dxa"/>
          </w:tcPr>
          <w:p>
            <w:pPr>
              <w:spacing w:line="360" w:lineRule="auto"/>
              <w:jc w:val="center"/>
              <w:rPr>
                <w:rFonts w:ascii="宋体" w:hAnsi="宋体"/>
                <w:sz w:val="24"/>
                <w:szCs w:val="24"/>
                <w:highlight w:val="none"/>
              </w:rPr>
            </w:pPr>
            <w:r>
              <w:rPr>
                <w:rFonts w:hint="eastAsia" w:ascii="宋体" w:hAnsi="宋体"/>
                <w:sz w:val="24"/>
                <w:szCs w:val="24"/>
                <w:highlight w:val="none"/>
              </w:rPr>
              <w:t>收回时间</w:t>
            </w:r>
          </w:p>
        </w:tc>
        <w:tc>
          <w:tcPr>
            <w:tcW w:w="2273" w:type="dxa"/>
          </w:tcPr>
          <w:p>
            <w:pPr>
              <w:spacing w:line="360" w:lineRule="auto"/>
              <w:jc w:val="center"/>
              <w:rPr>
                <w:rFonts w:ascii="宋体" w:hAnsi="宋体"/>
                <w:sz w:val="24"/>
                <w:szCs w:val="24"/>
                <w:highlight w:val="none"/>
              </w:rPr>
            </w:pPr>
            <w:r>
              <w:rPr>
                <w:rFonts w:hint="eastAsia" w:ascii="宋体" w:hAnsi="宋体"/>
                <w:sz w:val="24"/>
                <w:szCs w:val="24"/>
                <w:highlight w:val="none"/>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rPr>
                <w:rFonts w:ascii="宋体" w:hAnsi="宋体"/>
                <w:color w:val="FF0000"/>
                <w:sz w:val="24"/>
                <w:szCs w:val="24"/>
                <w:highlight w:val="none"/>
              </w:rPr>
            </w:pPr>
          </w:p>
        </w:tc>
        <w:tc>
          <w:tcPr>
            <w:tcW w:w="2786" w:type="dxa"/>
          </w:tcPr>
          <w:p>
            <w:pPr>
              <w:spacing w:line="360" w:lineRule="auto"/>
              <w:rPr>
                <w:rFonts w:ascii="宋体" w:hAnsi="宋体"/>
                <w:color w:val="FF0000"/>
                <w:sz w:val="24"/>
                <w:szCs w:val="24"/>
                <w:highlight w:val="none"/>
              </w:rPr>
            </w:pPr>
          </w:p>
        </w:tc>
        <w:tc>
          <w:tcPr>
            <w:tcW w:w="758"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2273" w:type="dxa"/>
          </w:tcPr>
          <w:p>
            <w:pPr>
              <w:spacing w:line="360" w:lineRule="auto"/>
              <w:rPr>
                <w:rFonts w:ascii="宋体" w:hAnsi="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rPr>
                <w:rFonts w:ascii="宋体" w:hAnsi="宋体"/>
                <w:color w:val="FF0000"/>
                <w:sz w:val="24"/>
                <w:szCs w:val="24"/>
                <w:highlight w:val="none"/>
              </w:rPr>
            </w:pPr>
          </w:p>
        </w:tc>
        <w:tc>
          <w:tcPr>
            <w:tcW w:w="2786" w:type="dxa"/>
          </w:tcPr>
          <w:p>
            <w:pPr>
              <w:spacing w:line="360" w:lineRule="auto"/>
              <w:rPr>
                <w:rFonts w:ascii="宋体" w:hAnsi="宋体"/>
                <w:color w:val="FF0000"/>
                <w:sz w:val="24"/>
                <w:szCs w:val="24"/>
                <w:highlight w:val="none"/>
              </w:rPr>
            </w:pPr>
          </w:p>
        </w:tc>
        <w:tc>
          <w:tcPr>
            <w:tcW w:w="758"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2273" w:type="dxa"/>
          </w:tcPr>
          <w:p>
            <w:pPr>
              <w:spacing w:line="360" w:lineRule="auto"/>
              <w:rPr>
                <w:rFonts w:ascii="宋体" w:hAnsi="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rPr>
                <w:rFonts w:ascii="宋体" w:hAnsi="宋体"/>
                <w:color w:val="FF0000"/>
                <w:sz w:val="24"/>
                <w:szCs w:val="24"/>
                <w:highlight w:val="none"/>
              </w:rPr>
            </w:pPr>
          </w:p>
        </w:tc>
        <w:tc>
          <w:tcPr>
            <w:tcW w:w="2786" w:type="dxa"/>
          </w:tcPr>
          <w:p>
            <w:pPr>
              <w:spacing w:line="360" w:lineRule="auto"/>
              <w:rPr>
                <w:rFonts w:ascii="宋体" w:hAnsi="宋体"/>
                <w:color w:val="FF0000"/>
                <w:sz w:val="24"/>
                <w:szCs w:val="24"/>
                <w:highlight w:val="none"/>
              </w:rPr>
            </w:pPr>
          </w:p>
        </w:tc>
        <w:tc>
          <w:tcPr>
            <w:tcW w:w="758"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2273" w:type="dxa"/>
          </w:tcPr>
          <w:p>
            <w:pPr>
              <w:spacing w:line="360" w:lineRule="auto"/>
              <w:rPr>
                <w:rFonts w:ascii="宋体" w:hAnsi="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rPr>
                <w:rFonts w:ascii="宋体" w:hAnsi="宋体"/>
                <w:color w:val="FF0000"/>
                <w:sz w:val="24"/>
                <w:szCs w:val="24"/>
                <w:highlight w:val="none"/>
              </w:rPr>
            </w:pPr>
          </w:p>
        </w:tc>
        <w:tc>
          <w:tcPr>
            <w:tcW w:w="2786" w:type="dxa"/>
          </w:tcPr>
          <w:p>
            <w:pPr>
              <w:spacing w:line="360" w:lineRule="auto"/>
              <w:rPr>
                <w:rFonts w:ascii="宋体" w:hAnsi="宋体"/>
                <w:color w:val="FF0000"/>
                <w:sz w:val="24"/>
                <w:szCs w:val="24"/>
                <w:highlight w:val="none"/>
              </w:rPr>
            </w:pPr>
          </w:p>
        </w:tc>
        <w:tc>
          <w:tcPr>
            <w:tcW w:w="758"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1326" w:type="dxa"/>
          </w:tcPr>
          <w:p>
            <w:pPr>
              <w:spacing w:line="360" w:lineRule="auto"/>
              <w:rPr>
                <w:rFonts w:ascii="宋体" w:hAnsi="宋体"/>
                <w:color w:val="FF0000"/>
                <w:sz w:val="24"/>
                <w:szCs w:val="24"/>
                <w:highlight w:val="none"/>
              </w:rPr>
            </w:pPr>
          </w:p>
        </w:tc>
        <w:tc>
          <w:tcPr>
            <w:tcW w:w="2273" w:type="dxa"/>
          </w:tcPr>
          <w:p>
            <w:pPr>
              <w:spacing w:line="360" w:lineRule="auto"/>
              <w:rPr>
                <w:rFonts w:ascii="宋体" w:hAnsi="宋体"/>
                <w:color w:val="FF0000"/>
                <w:sz w:val="24"/>
                <w:szCs w:val="24"/>
                <w:highlight w:val="none"/>
              </w:rPr>
            </w:pPr>
          </w:p>
        </w:tc>
      </w:tr>
    </w:tbl>
    <w:p>
      <w:pPr>
        <w:spacing w:line="360" w:lineRule="auto"/>
        <w:ind w:firstLine="482"/>
        <w:rPr>
          <w:rFonts w:ascii="宋体" w:hAnsi="宋体" w:cs="宋体"/>
          <w:bCs/>
          <w:sz w:val="24"/>
          <w:szCs w:val="24"/>
          <w:highlight w:val="none"/>
        </w:rPr>
      </w:pPr>
      <w:r>
        <w:rPr>
          <w:rFonts w:hint="eastAsia" w:ascii="宋体" w:hAnsi="宋体" w:cs="宋体"/>
          <w:bCs/>
          <w:sz w:val="24"/>
          <w:szCs w:val="24"/>
          <w:highlight w:val="none"/>
        </w:rPr>
        <w:t>第十一条 委托人对监理机构书面提交并要求作出决定的事宜作出书面决定并送达的时限：</w:t>
      </w:r>
    </w:p>
    <w:p>
      <w:pPr>
        <w:spacing w:line="360" w:lineRule="auto"/>
        <w:ind w:firstLine="437"/>
        <w:rPr>
          <w:rFonts w:ascii="宋体" w:hAnsi="宋体" w:cs="宋体"/>
          <w:bCs/>
          <w:sz w:val="24"/>
          <w:szCs w:val="24"/>
          <w:highlight w:val="none"/>
        </w:rPr>
      </w:pPr>
      <w:r>
        <w:rPr>
          <w:rFonts w:hint="eastAsia" w:ascii="宋体" w:hAnsi="宋体" w:cs="宋体"/>
          <w:bCs/>
          <w:sz w:val="24"/>
          <w:szCs w:val="24"/>
          <w:highlight w:val="none"/>
        </w:rPr>
        <w:t>一般文件</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天；紧急事项_______________天；变更文件_______________天。</w:t>
      </w:r>
    </w:p>
    <w:p>
      <w:pPr>
        <w:spacing w:line="360" w:lineRule="auto"/>
        <w:ind w:firstLine="437"/>
        <w:rPr>
          <w:rFonts w:ascii="宋体" w:hAnsi="宋体" w:cs="宋体"/>
          <w:bCs/>
          <w:sz w:val="24"/>
          <w:szCs w:val="24"/>
          <w:highlight w:val="none"/>
        </w:rPr>
      </w:pPr>
      <w:r>
        <w:rPr>
          <w:rFonts w:hint="eastAsia" w:ascii="宋体" w:hAnsi="宋体" w:cs="宋体"/>
          <w:bCs/>
          <w:sz w:val="24"/>
          <w:szCs w:val="24"/>
          <w:highlight w:val="none"/>
        </w:rPr>
        <w:t>第十三条 委托人无偿向监理机构提供的工作、生活条件为：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71"/>
        <w:gridCol w:w="843"/>
        <w:gridCol w:w="910"/>
        <w:gridCol w:w="1274"/>
        <w:gridCol w:w="1274"/>
        <w:gridCol w:w="1276"/>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tcPr>
          <w:p>
            <w:pPr>
              <w:spacing w:line="360" w:lineRule="auto"/>
              <w:ind w:left="-214" w:leftChars="-102" w:firstLine="288" w:firstLineChars="120"/>
              <w:jc w:val="center"/>
              <w:rPr>
                <w:rFonts w:ascii="宋体" w:hAnsi="宋体"/>
                <w:sz w:val="24"/>
                <w:szCs w:val="24"/>
                <w:highlight w:val="none"/>
              </w:rPr>
            </w:pPr>
            <w:r>
              <w:rPr>
                <w:rFonts w:hint="eastAsia" w:ascii="宋体" w:hAnsi="宋体"/>
                <w:sz w:val="24"/>
                <w:szCs w:val="24"/>
                <w:highlight w:val="none"/>
              </w:rPr>
              <w:t>序号</w:t>
            </w:r>
          </w:p>
        </w:tc>
        <w:tc>
          <w:tcPr>
            <w:tcW w:w="2071" w:type="dxa"/>
          </w:tcPr>
          <w:p>
            <w:pPr>
              <w:spacing w:line="360" w:lineRule="auto"/>
              <w:jc w:val="center"/>
              <w:rPr>
                <w:rFonts w:ascii="宋体" w:hAnsi="宋体"/>
                <w:sz w:val="24"/>
                <w:szCs w:val="24"/>
                <w:highlight w:val="none"/>
              </w:rPr>
            </w:pPr>
            <w:r>
              <w:rPr>
                <w:rFonts w:hint="eastAsia" w:ascii="宋体" w:hAnsi="宋体"/>
                <w:sz w:val="24"/>
                <w:szCs w:val="24"/>
                <w:highlight w:val="none"/>
              </w:rPr>
              <w:t>名称</w:t>
            </w:r>
          </w:p>
        </w:tc>
        <w:tc>
          <w:tcPr>
            <w:tcW w:w="843" w:type="dxa"/>
          </w:tcPr>
          <w:p>
            <w:pPr>
              <w:spacing w:line="360" w:lineRule="auto"/>
              <w:jc w:val="center"/>
              <w:rPr>
                <w:rFonts w:ascii="宋体" w:hAnsi="宋体"/>
                <w:sz w:val="24"/>
                <w:szCs w:val="24"/>
                <w:highlight w:val="none"/>
              </w:rPr>
            </w:pPr>
            <w:r>
              <w:rPr>
                <w:rFonts w:hint="eastAsia" w:ascii="宋体" w:hAnsi="宋体"/>
                <w:sz w:val="24"/>
                <w:szCs w:val="24"/>
                <w:highlight w:val="none"/>
              </w:rPr>
              <w:t>单位</w:t>
            </w:r>
          </w:p>
        </w:tc>
        <w:tc>
          <w:tcPr>
            <w:tcW w:w="910" w:type="dxa"/>
          </w:tcPr>
          <w:p>
            <w:pPr>
              <w:spacing w:line="360" w:lineRule="auto"/>
              <w:jc w:val="center"/>
              <w:rPr>
                <w:rFonts w:ascii="宋体" w:hAnsi="宋体"/>
                <w:sz w:val="24"/>
                <w:szCs w:val="24"/>
                <w:highlight w:val="none"/>
              </w:rPr>
            </w:pPr>
            <w:r>
              <w:rPr>
                <w:rFonts w:hint="eastAsia" w:ascii="宋体" w:hAnsi="宋体"/>
                <w:sz w:val="24"/>
                <w:szCs w:val="24"/>
                <w:highlight w:val="none"/>
              </w:rPr>
              <w:t>数量</w:t>
            </w:r>
          </w:p>
        </w:tc>
        <w:tc>
          <w:tcPr>
            <w:tcW w:w="1274" w:type="dxa"/>
          </w:tcPr>
          <w:p>
            <w:pPr>
              <w:spacing w:line="360" w:lineRule="auto"/>
              <w:jc w:val="center"/>
              <w:rPr>
                <w:rFonts w:ascii="宋体" w:hAnsi="宋体"/>
                <w:sz w:val="24"/>
                <w:szCs w:val="24"/>
                <w:highlight w:val="none"/>
              </w:rPr>
            </w:pPr>
            <w:r>
              <w:rPr>
                <w:rFonts w:hint="eastAsia" w:ascii="宋体" w:hAnsi="宋体"/>
                <w:sz w:val="24"/>
                <w:szCs w:val="24"/>
                <w:highlight w:val="none"/>
              </w:rPr>
              <w:t>提供时间</w:t>
            </w:r>
          </w:p>
        </w:tc>
        <w:tc>
          <w:tcPr>
            <w:tcW w:w="1274" w:type="dxa"/>
          </w:tcPr>
          <w:p>
            <w:pPr>
              <w:spacing w:line="360" w:lineRule="auto"/>
              <w:jc w:val="center"/>
              <w:rPr>
                <w:rFonts w:ascii="宋体" w:hAnsi="宋体"/>
                <w:sz w:val="24"/>
                <w:szCs w:val="24"/>
                <w:highlight w:val="none"/>
              </w:rPr>
            </w:pPr>
            <w:r>
              <w:rPr>
                <w:rFonts w:hint="eastAsia" w:ascii="宋体" w:hAnsi="宋体"/>
                <w:sz w:val="24"/>
                <w:szCs w:val="24"/>
                <w:highlight w:val="none"/>
              </w:rPr>
              <w:t>交还时间</w:t>
            </w:r>
          </w:p>
        </w:tc>
        <w:tc>
          <w:tcPr>
            <w:tcW w:w="1276" w:type="dxa"/>
          </w:tcPr>
          <w:p>
            <w:pPr>
              <w:spacing w:line="360" w:lineRule="auto"/>
              <w:jc w:val="center"/>
              <w:rPr>
                <w:rFonts w:ascii="宋体" w:hAnsi="宋体"/>
                <w:sz w:val="24"/>
                <w:szCs w:val="24"/>
                <w:highlight w:val="none"/>
              </w:rPr>
            </w:pPr>
            <w:r>
              <w:rPr>
                <w:rFonts w:hint="eastAsia" w:ascii="宋体" w:hAnsi="宋体"/>
                <w:sz w:val="24"/>
                <w:szCs w:val="24"/>
                <w:highlight w:val="none"/>
              </w:rPr>
              <w:t>管理要求</w:t>
            </w:r>
          </w:p>
        </w:tc>
        <w:tc>
          <w:tcPr>
            <w:tcW w:w="908" w:type="dxa"/>
          </w:tcPr>
          <w:p>
            <w:pPr>
              <w:spacing w:line="360" w:lineRule="auto"/>
              <w:jc w:val="center"/>
              <w:rPr>
                <w:rFonts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30" w:type="dxa"/>
            <w:tcBorders>
              <w:bottom w:val="single" w:color="auto" w:sz="4" w:space="0"/>
            </w:tcBorders>
            <w:vAlign w:val="center"/>
          </w:tcPr>
          <w:p>
            <w:pPr>
              <w:spacing w:line="360" w:lineRule="auto"/>
              <w:rPr>
                <w:rFonts w:ascii="宋体" w:hAnsi="宋体"/>
                <w:sz w:val="24"/>
                <w:szCs w:val="24"/>
                <w:highlight w:val="none"/>
              </w:rPr>
            </w:pPr>
            <w:r>
              <w:rPr>
                <w:rFonts w:hint="eastAsia" w:ascii="宋体" w:hAnsi="宋体"/>
                <w:sz w:val="24"/>
                <w:szCs w:val="24"/>
                <w:highlight w:val="none"/>
              </w:rPr>
              <w:t>1</w:t>
            </w:r>
          </w:p>
        </w:tc>
        <w:tc>
          <w:tcPr>
            <w:tcW w:w="2071" w:type="dxa"/>
            <w:tcBorders>
              <w:bottom w:val="single" w:color="auto" w:sz="4" w:space="0"/>
            </w:tcBorders>
          </w:tcPr>
          <w:p>
            <w:pPr>
              <w:spacing w:line="360" w:lineRule="auto"/>
              <w:rPr>
                <w:rFonts w:ascii="宋体" w:hAnsi="宋体"/>
                <w:sz w:val="24"/>
                <w:szCs w:val="24"/>
                <w:highlight w:val="none"/>
              </w:rPr>
            </w:pPr>
            <w:r>
              <w:rPr>
                <w:rFonts w:hint="eastAsia" w:ascii="宋体" w:hAnsi="宋体"/>
                <w:sz w:val="24"/>
                <w:szCs w:val="24"/>
                <w:highlight w:val="none"/>
              </w:rPr>
              <w:t>生活、办公用房</w:t>
            </w:r>
          </w:p>
          <w:p>
            <w:pPr>
              <w:spacing w:line="360" w:lineRule="auto"/>
              <w:rPr>
                <w:rFonts w:ascii="宋体" w:hAnsi="宋体"/>
                <w:sz w:val="24"/>
                <w:szCs w:val="24"/>
                <w:highlight w:val="none"/>
              </w:rPr>
            </w:pPr>
            <w:r>
              <w:rPr>
                <w:rFonts w:ascii="宋体" w:hAnsi="宋体"/>
                <w:sz w:val="24"/>
                <w:szCs w:val="24"/>
                <w:highlight w:val="none"/>
              </w:rPr>
              <w:t>…</w:t>
            </w:r>
          </w:p>
          <w:p>
            <w:pPr>
              <w:spacing w:line="360" w:lineRule="auto"/>
              <w:rPr>
                <w:rFonts w:ascii="宋体" w:hAnsi="宋体"/>
                <w:sz w:val="24"/>
                <w:szCs w:val="24"/>
                <w:highlight w:val="none"/>
              </w:rPr>
            </w:pPr>
            <w:r>
              <w:rPr>
                <w:rFonts w:ascii="宋体" w:hAnsi="宋体"/>
                <w:sz w:val="24"/>
                <w:szCs w:val="24"/>
                <w:highlight w:val="none"/>
              </w:rPr>
              <w:t>…</w:t>
            </w:r>
          </w:p>
        </w:tc>
        <w:tc>
          <w:tcPr>
            <w:tcW w:w="843" w:type="dxa"/>
            <w:tcBorders>
              <w:bottom w:val="single" w:color="auto" w:sz="4" w:space="0"/>
            </w:tcBorders>
          </w:tcPr>
          <w:p>
            <w:pPr>
              <w:spacing w:line="360" w:lineRule="auto"/>
              <w:rPr>
                <w:rFonts w:ascii="宋体" w:hAnsi="宋体"/>
                <w:sz w:val="24"/>
                <w:szCs w:val="24"/>
                <w:highlight w:val="none"/>
              </w:rPr>
            </w:pPr>
          </w:p>
        </w:tc>
        <w:tc>
          <w:tcPr>
            <w:tcW w:w="910" w:type="dxa"/>
            <w:tcBorders>
              <w:bottom w:val="single" w:color="auto" w:sz="4" w:space="0"/>
            </w:tcBorders>
          </w:tcPr>
          <w:p>
            <w:pPr>
              <w:spacing w:line="360" w:lineRule="auto"/>
              <w:rPr>
                <w:rFonts w:ascii="宋体" w:hAnsi="宋体"/>
                <w:sz w:val="24"/>
                <w:szCs w:val="24"/>
                <w:highlight w:val="none"/>
              </w:rPr>
            </w:pPr>
          </w:p>
        </w:tc>
        <w:tc>
          <w:tcPr>
            <w:tcW w:w="1274" w:type="dxa"/>
            <w:tcBorders>
              <w:bottom w:val="single" w:color="auto" w:sz="4" w:space="0"/>
            </w:tcBorders>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vAlign w:val="center"/>
          </w:tcPr>
          <w:p>
            <w:pPr>
              <w:spacing w:line="360" w:lineRule="auto"/>
              <w:rPr>
                <w:rFonts w:ascii="宋体" w:hAnsi="宋体"/>
                <w:sz w:val="24"/>
                <w:szCs w:val="24"/>
                <w:highlight w:val="none"/>
              </w:rPr>
            </w:pPr>
            <w:r>
              <w:rPr>
                <w:rFonts w:hint="eastAsia" w:ascii="宋体" w:hAnsi="宋体"/>
                <w:sz w:val="24"/>
                <w:szCs w:val="24"/>
                <w:highlight w:val="none"/>
              </w:rPr>
              <w:t>2</w:t>
            </w:r>
          </w:p>
        </w:tc>
        <w:tc>
          <w:tcPr>
            <w:tcW w:w="2071" w:type="dxa"/>
          </w:tcPr>
          <w:p>
            <w:pPr>
              <w:spacing w:line="360" w:lineRule="auto"/>
              <w:rPr>
                <w:rFonts w:ascii="宋体" w:hAnsi="宋体"/>
                <w:sz w:val="24"/>
                <w:szCs w:val="24"/>
                <w:highlight w:val="none"/>
              </w:rPr>
            </w:pPr>
            <w:r>
              <w:rPr>
                <w:rFonts w:hint="eastAsia" w:ascii="宋体" w:hAnsi="宋体"/>
                <w:sz w:val="24"/>
                <w:szCs w:val="24"/>
                <w:highlight w:val="none"/>
              </w:rPr>
              <w:t>办公设施、设备</w:t>
            </w:r>
          </w:p>
          <w:p>
            <w:pPr>
              <w:spacing w:line="360" w:lineRule="auto"/>
              <w:rPr>
                <w:rFonts w:ascii="宋体" w:hAnsi="宋体"/>
                <w:sz w:val="24"/>
                <w:szCs w:val="24"/>
                <w:highlight w:val="none"/>
              </w:rPr>
            </w:pPr>
            <w:r>
              <w:rPr>
                <w:rFonts w:ascii="宋体" w:hAnsi="宋体"/>
                <w:sz w:val="24"/>
                <w:szCs w:val="24"/>
                <w:highlight w:val="none"/>
              </w:rPr>
              <w:t>…</w:t>
            </w:r>
          </w:p>
          <w:p>
            <w:pPr>
              <w:spacing w:line="360" w:lineRule="auto"/>
              <w:rPr>
                <w:rFonts w:ascii="宋体" w:hAnsi="宋体"/>
                <w:sz w:val="24"/>
                <w:szCs w:val="24"/>
                <w:highlight w:val="none"/>
              </w:rPr>
            </w:pPr>
            <w:r>
              <w:rPr>
                <w:rFonts w:ascii="宋体" w:hAnsi="宋体"/>
                <w:sz w:val="24"/>
                <w:szCs w:val="24"/>
                <w:highlight w:val="none"/>
              </w:rPr>
              <w:t>…</w:t>
            </w:r>
          </w:p>
        </w:tc>
        <w:tc>
          <w:tcPr>
            <w:tcW w:w="843" w:type="dxa"/>
          </w:tcPr>
          <w:p>
            <w:pPr>
              <w:spacing w:line="360" w:lineRule="auto"/>
              <w:rPr>
                <w:rFonts w:ascii="宋体" w:hAnsi="宋体"/>
                <w:sz w:val="24"/>
                <w:szCs w:val="24"/>
                <w:highlight w:val="none"/>
              </w:rPr>
            </w:pPr>
          </w:p>
        </w:tc>
        <w:tc>
          <w:tcPr>
            <w:tcW w:w="910"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vAlign w:val="center"/>
          </w:tcPr>
          <w:p>
            <w:pPr>
              <w:spacing w:line="360" w:lineRule="auto"/>
              <w:rPr>
                <w:rFonts w:ascii="宋体" w:hAnsi="宋体"/>
                <w:sz w:val="24"/>
                <w:szCs w:val="24"/>
                <w:highlight w:val="none"/>
              </w:rPr>
            </w:pPr>
            <w:r>
              <w:rPr>
                <w:rFonts w:hint="eastAsia" w:ascii="宋体" w:hAnsi="宋体"/>
                <w:sz w:val="24"/>
                <w:szCs w:val="24"/>
                <w:highlight w:val="none"/>
              </w:rPr>
              <w:t>3</w:t>
            </w:r>
          </w:p>
        </w:tc>
        <w:tc>
          <w:tcPr>
            <w:tcW w:w="2071" w:type="dxa"/>
          </w:tcPr>
          <w:p>
            <w:pPr>
              <w:spacing w:line="360" w:lineRule="auto"/>
              <w:rPr>
                <w:rFonts w:ascii="宋体" w:hAnsi="宋体"/>
                <w:sz w:val="24"/>
                <w:szCs w:val="24"/>
                <w:highlight w:val="none"/>
              </w:rPr>
            </w:pPr>
            <w:r>
              <w:rPr>
                <w:rFonts w:hint="eastAsia" w:ascii="宋体" w:hAnsi="宋体"/>
                <w:sz w:val="24"/>
                <w:szCs w:val="24"/>
                <w:highlight w:val="none"/>
              </w:rPr>
              <w:t>检验、测试设备</w:t>
            </w:r>
          </w:p>
          <w:p>
            <w:pPr>
              <w:spacing w:line="360" w:lineRule="auto"/>
              <w:rPr>
                <w:rFonts w:ascii="宋体" w:hAnsi="宋体"/>
                <w:sz w:val="24"/>
                <w:szCs w:val="24"/>
                <w:highlight w:val="none"/>
              </w:rPr>
            </w:pPr>
            <w:r>
              <w:rPr>
                <w:rFonts w:ascii="宋体" w:hAnsi="宋体"/>
                <w:sz w:val="24"/>
                <w:szCs w:val="24"/>
                <w:highlight w:val="none"/>
              </w:rPr>
              <w:t>…</w:t>
            </w:r>
          </w:p>
          <w:p>
            <w:pPr>
              <w:spacing w:line="360" w:lineRule="auto"/>
              <w:rPr>
                <w:rFonts w:ascii="宋体" w:hAnsi="宋体"/>
                <w:sz w:val="24"/>
                <w:szCs w:val="24"/>
                <w:highlight w:val="none"/>
              </w:rPr>
            </w:pPr>
            <w:r>
              <w:rPr>
                <w:rFonts w:ascii="宋体" w:hAnsi="宋体"/>
                <w:sz w:val="24"/>
                <w:szCs w:val="24"/>
                <w:highlight w:val="none"/>
              </w:rPr>
              <w:t>…</w:t>
            </w:r>
          </w:p>
        </w:tc>
        <w:tc>
          <w:tcPr>
            <w:tcW w:w="843" w:type="dxa"/>
          </w:tcPr>
          <w:p>
            <w:pPr>
              <w:spacing w:line="360" w:lineRule="auto"/>
              <w:rPr>
                <w:rFonts w:ascii="宋体" w:hAnsi="宋体"/>
                <w:sz w:val="24"/>
                <w:szCs w:val="24"/>
                <w:highlight w:val="none"/>
              </w:rPr>
            </w:pPr>
          </w:p>
        </w:tc>
        <w:tc>
          <w:tcPr>
            <w:tcW w:w="910"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vAlign w:val="center"/>
          </w:tcPr>
          <w:p>
            <w:pPr>
              <w:spacing w:line="360" w:lineRule="auto"/>
              <w:rPr>
                <w:rFonts w:ascii="宋体" w:hAnsi="宋体"/>
                <w:sz w:val="24"/>
                <w:szCs w:val="24"/>
                <w:highlight w:val="none"/>
              </w:rPr>
            </w:pPr>
            <w:r>
              <w:rPr>
                <w:rFonts w:hint="eastAsia" w:ascii="宋体" w:hAnsi="宋体"/>
                <w:sz w:val="24"/>
                <w:szCs w:val="24"/>
                <w:highlight w:val="none"/>
              </w:rPr>
              <w:t>4</w:t>
            </w:r>
          </w:p>
        </w:tc>
        <w:tc>
          <w:tcPr>
            <w:tcW w:w="2071" w:type="dxa"/>
          </w:tcPr>
          <w:p>
            <w:pPr>
              <w:spacing w:line="360" w:lineRule="auto"/>
              <w:rPr>
                <w:rFonts w:ascii="宋体" w:hAnsi="宋体"/>
                <w:sz w:val="24"/>
                <w:szCs w:val="24"/>
                <w:highlight w:val="none"/>
              </w:rPr>
            </w:pPr>
            <w:r>
              <w:rPr>
                <w:rFonts w:hint="eastAsia" w:ascii="宋体" w:hAnsi="宋体"/>
                <w:sz w:val="24"/>
                <w:szCs w:val="24"/>
                <w:highlight w:val="none"/>
              </w:rPr>
              <w:t>交通工具</w:t>
            </w:r>
          </w:p>
          <w:p>
            <w:pPr>
              <w:spacing w:line="360" w:lineRule="auto"/>
              <w:rPr>
                <w:rFonts w:ascii="宋体" w:hAnsi="宋体"/>
                <w:sz w:val="24"/>
                <w:szCs w:val="24"/>
                <w:highlight w:val="none"/>
              </w:rPr>
            </w:pPr>
            <w:r>
              <w:rPr>
                <w:rFonts w:ascii="宋体" w:hAnsi="宋体"/>
                <w:sz w:val="24"/>
                <w:szCs w:val="24"/>
                <w:highlight w:val="none"/>
              </w:rPr>
              <w:t>…</w:t>
            </w:r>
          </w:p>
          <w:p>
            <w:pPr>
              <w:spacing w:line="360" w:lineRule="auto"/>
              <w:rPr>
                <w:rFonts w:ascii="宋体" w:hAnsi="宋体"/>
                <w:sz w:val="24"/>
                <w:szCs w:val="24"/>
                <w:highlight w:val="none"/>
              </w:rPr>
            </w:pPr>
            <w:r>
              <w:rPr>
                <w:rFonts w:ascii="宋体" w:hAnsi="宋体"/>
                <w:sz w:val="24"/>
                <w:szCs w:val="24"/>
                <w:highlight w:val="none"/>
              </w:rPr>
              <w:t>…</w:t>
            </w:r>
          </w:p>
        </w:tc>
        <w:tc>
          <w:tcPr>
            <w:tcW w:w="843" w:type="dxa"/>
          </w:tcPr>
          <w:p>
            <w:pPr>
              <w:spacing w:line="360" w:lineRule="auto"/>
              <w:rPr>
                <w:rFonts w:ascii="宋体" w:hAnsi="宋体"/>
                <w:sz w:val="24"/>
                <w:szCs w:val="24"/>
                <w:highlight w:val="none"/>
              </w:rPr>
            </w:pPr>
          </w:p>
        </w:tc>
        <w:tc>
          <w:tcPr>
            <w:tcW w:w="910"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vAlign w:val="center"/>
          </w:tcPr>
          <w:p>
            <w:pPr>
              <w:spacing w:line="360" w:lineRule="auto"/>
              <w:rPr>
                <w:rFonts w:ascii="宋体" w:hAnsi="宋体"/>
                <w:sz w:val="24"/>
                <w:szCs w:val="24"/>
                <w:highlight w:val="none"/>
              </w:rPr>
            </w:pPr>
            <w:r>
              <w:rPr>
                <w:rFonts w:hint="eastAsia" w:ascii="宋体" w:hAnsi="宋体"/>
                <w:sz w:val="24"/>
                <w:szCs w:val="24"/>
                <w:highlight w:val="none"/>
              </w:rPr>
              <w:t>5</w:t>
            </w:r>
          </w:p>
        </w:tc>
        <w:tc>
          <w:tcPr>
            <w:tcW w:w="2071" w:type="dxa"/>
          </w:tcPr>
          <w:p>
            <w:pPr>
              <w:spacing w:line="360" w:lineRule="auto"/>
              <w:rPr>
                <w:rFonts w:ascii="宋体" w:hAnsi="宋体"/>
                <w:sz w:val="24"/>
                <w:szCs w:val="24"/>
                <w:highlight w:val="none"/>
              </w:rPr>
            </w:pPr>
            <w:r>
              <w:rPr>
                <w:rFonts w:hint="eastAsia" w:ascii="宋体" w:hAnsi="宋体"/>
                <w:sz w:val="24"/>
                <w:szCs w:val="24"/>
                <w:highlight w:val="none"/>
              </w:rPr>
              <w:t xml:space="preserve">通讯设施 </w:t>
            </w:r>
          </w:p>
        </w:tc>
        <w:tc>
          <w:tcPr>
            <w:tcW w:w="843" w:type="dxa"/>
          </w:tcPr>
          <w:p>
            <w:pPr>
              <w:spacing w:line="360" w:lineRule="auto"/>
              <w:rPr>
                <w:rFonts w:ascii="宋体" w:hAnsi="宋体"/>
                <w:sz w:val="24"/>
                <w:szCs w:val="24"/>
                <w:highlight w:val="none"/>
              </w:rPr>
            </w:pPr>
          </w:p>
        </w:tc>
        <w:tc>
          <w:tcPr>
            <w:tcW w:w="910"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0" w:type="dxa"/>
            <w:vAlign w:val="center"/>
          </w:tcPr>
          <w:p>
            <w:pPr>
              <w:spacing w:line="360" w:lineRule="auto"/>
              <w:rPr>
                <w:rFonts w:ascii="宋体" w:hAnsi="宋体"/>
                <w:sz w:val="24"/>
                <w:szCs w:val="24"/>
                <w:highlight w:val="none"/>
              </w:rPr>
            </w:pPr>
            <w:r>
              <w:rPr>
                <w:rFonts w:hint="eastAsia" w:ascii="宋体" w:hAnsi="宋体"/>
                <w:sz w:val="24"/>
                <w:szCs w:val="24"/>
                <w:highlight w:val="none"/>
              </w:rPr>
              <w:t>6</w:t>
            </w:r>
          </w:p>
        </w:tc>
        <w:tc>
          <w:tcPr>
            <w:tcW w:w="2071" w:type="dxa"/>
          </w:tcPr>
          <w:p>
            <w:pPr>
              <w:spacing w:line="360" w:lineRule="auto"/>
              <w:rPr>
                <w:rFonts w:ascii="宋体" w:hAnsi="宋体"/>
                <w:sz w:val="24"/>
                <w:szCs w:val="24"/>
                <w:highlight w:val="none"/>
              </w:rPr>
            </w:pPr>
            <w:r>
              <w:rPr>
                <w:rFonts w:hint="eastAsia" w:ascii="宋体" w:hAnsi="宋体"/>
                <w:sz w:val="24"/>
                <w:szCs w:val="24"/>
                <w:highlight w:val="none"/>
              </w:rPr>
              <w:t>其他（水、电等）</w:t>
            </w:r>
          </w:p>
        </w:tc>
        <w:tc>
          <w:tcPr>
            <w:tcW w:w="843" w:type="dxa"/>
          </w:tcPr>
          <w:p>
            <w:pPr>
              <w:spacing w:line="360" w:lineRule="auto"/>
              <w:rPr>
                <w:rFonts w:ascii="宋体" w:hAnsi="宋体"/>
                <w:sz w:val="24"/>
                <w:szCs w:val="24"/>
                <w:highlight w:val="none"/>
              </w:rPr>
            </w:pPr>
          </w:p>
        </w:tc>
        <w:tc>
          <w:tcPr>
            <w:tcW w:w="910"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4" w:type="dxa"/>
          </w:tcPr>
          <w:p>
            <w:pPr>
              <w:spacing w:line="360" w:lineRule="auto"/>
              <w:rPr>
                <w:rFonts w:ascii="宋体" w:hAnsi="宋体"/>
                <w:sz w:val="24"/>
                <w:szCs w:val="24"/>
                <w:highlight w:val="none"/>
              </w:rPr>
            </w:pPr>
          </w:p>
        </w:tc>
        <w:tc>
          <w:tcPr>
            <w:tcW w:w="1276" w:type="dxa"/>
          </w:tcPr>
          <w:p>
            <w:pPr>
              <w:spacing w:line="360" w:lineRule="auto"/>
              <w:rPr>
                <w:rFonts w:ascii="宋体" w:hAnsi="宋体"/>
                <w:sz w:val="24"/>
                <w:szCs w:val="24"/>
                <w:highlight w:val="none"/>
              </w:rPr>
            </w:pPr>
          </w:p>
        </w:tc>
        <w:tc>
          <w:tcPr>
            <w:tcW w:w="908" w:type="dxa"/>
          </w:tcPr>
          <w:p>
            <w:pPr>
              <w:spacing w:line="360" w:lineRule="auto"/>
              <w:rPr>
                <w:rFonts w:ascii="宋体" w:hAnsi="宋体"/>
                <w:sz w:val="24"/>
                <w:szCs w:val="24"/>
                <w:highlight w:val="none"/>
              </w:rPr>
            </w:pPr>
          </w:p>
        </w:tc>
      </w:tr>
    </w:tbl>
    <w:p>
      <w:pPr>
        <w:spacing w:line="360" w:lineRule="auto"/>
        <w:ind w:firstLine="435"/>
        <w:rPr>
          <w:rFonts w:ascii="宋体" w:hAnsi="宋体"/>
          <w:sz w:val="24"/>
          <w:szCs w:val="24"/>
          <w:highlight w:val="none"/>
        </w:rPr>
      </w:pP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监理人的义务</w:t>
      </w:r>
    </w:p>
    <w:p>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第二十条  监理服务内容：</w:t>
      </w:r>
      <w:r>
        <w:rPr>
          <w:rFonts w:hint="eastAsia" w:ascii="宋体" w:hAnsi="宋体" w:cs="宋体"/>
          <w:bCs/>
          <w:sz w:val="24"/>
          <w:szCs w:val="24"/>
          <w:highlight w:val="none"/>
          <w:u w:val="single"/>
        </w:rPr>
        <w:t>（参照附件，由双方协商确定）</w:t>
      </w:r>
      <w:r>
        <w:rPr>
          <w:rFonts w:hint="eastAsia" w:ascii="宋体" w:hAnsi="宋体" w:cs="宋体"/>
          <w:bCs/>
          <w:sz w:val="24"/>
          <w:szCs w:val="24"/>
          <w:highlight w:val="none"/>
        </w:rPr>
        <w:t>。</w:t>
      </w:r>
    </w:p>
    <w:p>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第二十一条 监理人应当在本合同生效后</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天内组建监理机构，并进驻现场。</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第二十七条 需旁站监理的工程重要部位是：</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1800" w:firstLineChars="750"/>
        <w:rPr>
          <w:rFonts w:ascii="宋体" w:hAnsi="宋体" w:cs="宋体"/>
          <w:bCs/>
          <w:sz w:val="24"/>
          <w:szCs w:val="24"/>
          <w:highlight w:val="none"/>
        </w:rPr>
      </w:pPr>
      <w:r>
        <w:rPr>
          <w:rFonts w:hint="eastAsia" w:ascii="宋体" w:hAnsi="宋体" w:cs="宋体"/>
          <w:bCs/>
          <w:sz w:val="24"/>
          <w:szCs w:val="24"/>
          <w:highlight w:val="none"/>
        </w:rPr>
        <w:t>需旁站监理的关键工序是：</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tabs>
          <w:tab w:val="left" w:pos="-180"/>
        </w:tabs>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第三十条 委托人委托监理人主持的分部工程验收：</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第三十一条 在本合同终止后</w:t>
      </w:r>
      <w:r>
        <w:rPr>
          <w:rFonts w:hint="eastAsia" w:ascii="宋体" w:hAnsi="宋体" w:cs="宋体"/>
          <w:bCs/>
          <w:sz w:val="24"/>
          <w:szCs w:val="24"/>
          <w:highlight w:val="none"/>
          <w:u w:val="single"/>
          <w:shd w:val="clear" w:color="auto" w:fill="FFFFFF"/>
        </w:rPr>
        <w:t xml:space="preserve">     </w:t>
      </w:r>
      <w:r>
        <w:rPr>
          <w:rFonts w:hint="eastAsia" w:ascii="宋体" w:hAnsi="宋体" w:cs="宋体"/>
          <w:bCs/>
          <w:sz w:val="24"/>
          <w:szCs w:val="24"/>
          <w:highlight w:val="none"/>
          <w:shd w:val="clear" w:color="auto" w:fill="FFFFFF"/>
        </w:rPr>
        <w:t>天内</w:t>
      </w:r>
      <w:r>
        <w:rPr>
          <w:rFonts w:hint="eastAsia" w:ascii="宋体" w:hAnsi="宋体" w:cs="宋体"/>
          <w:bCs/>
          <w:sz w:val="24"/>
          <w:szCs w:val="24"/>
          <w:highlight w:val="none"/>
        </w:rPr>
        <w:t>，未征得委托人同意，不得泄露与本合同业务有关的技术、商务等</w:t>
      </w:r>
      <w:r>
        <w:rPr>
          <w:rFonts w:hint="eastAsia" w:ascii="宋体" w:hAnsi="宋体" w:cs="宋体"/>
          <w:bCs/>
          <w:sz w:val="24"/>
          <w:szCs w:val="24"/>
          <w:highlight w:val="none"/>
          <w:shd w:val="clear" w:color="auto" w:fill="FFFFFF"/>
        </w:rPr>
        <w:t>秘密</w:t>
      </w:r>
      <w:r>
        <w:rPr>
          <w:rFonts w:hint="eastAsia" w:ascii="宋体" w:hAnsi="宋体" w:cs="宋体"/>
          <w:bCs/>
          <w:sz w:val="24"/>
          <w:szCs w:val="24"/>
          <w:highlight w:val="none"/>
        </w:rPr>
        <w:t>。</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监理服务酬金</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第三十二条 监理正常服务酬金支付方法：</w:t>
      </w:r>
    </w:p>
    <w:p>
      <w:pPr>
        <w:spacing w:line="360" w:lineRule="auto"/>
        <w:ind w:firstLine="420" w:firstLineChars="175"/>
        <w:rPr>
          <w:rFonts w:ascii="宋体" w:hAnsi="宋体" w:cs="宋体"/>
          <w:bCs/>
          <w:sz w:val="24"/>
          <w:szCs w:val="24"/>
          <w:highlight w:val="none"/>
        </w:rPr>
      </w:pPr>
      <w:r>
        <w:rPr>
          <w:rFonts w:hint="eastAsia" w:ascii="宋体" w:hAnsi="宋体" w:cs="宋体"/>
          <w:bCs/>
          <w:sz w:val="24"/>
          <w:szCs w:val="24"/>
          <w:highlight w:val="none"/>
        </w:rPr>
        <w:t>一、支付时间为：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tabs>
          <w:tab w:val="left" w:pos="1335"/>
        </w:tabs>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二、支付方式为：_____________________。</w:t>
      </w:r>
    </w:p>
    <w:p>
      <w:pPr>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第三十三条 监理附加服务酬金的计取与支付方法：</w:t>
      </w:r>
    </w:p>
    <w:p>
      <w:pPr>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一、计取方法为：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二、支付方式为：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460" w:firstLineChars="192"/>
        <w:rPr>
          <w:rFonts w:ascii="宋体" w:hAnsi="宋体" w:cs="宋体"/>
          <w:bCs/>
          <w:sz w:val="24"/>
          <w:szCs w:val="24"/>
          <w:highlight w:val="none"/>
        </w:rPr>
      </w:pPr>
      <w:r>
        <w:rPr>
          <w:rFonts w:hint="eastAsia" w:ascii="宋体" w:hAnsi="宋体" w:cs="宋体"/>
          <w:bCs/>
          <w:sz w:val="24"/>
          <w:szCs w:val="24"/>
          <w:highlight w:val="none"/>
        </w:rPr>
        <w:t>三、支付时间为：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违约责任</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第四十条 委托人违约，应支付给监理人违约金。</w:t>
      </w:r>
    </w:p>
    <w:p>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违约金：</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第四十一条 因委托人延期支付监理服务酬金而向监理人支付逾期付款违约金的计算办法：</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第四十二条 监理人违约，应支付给委托人违约金。</w:t>
      </w:r>
    </w:p>
    <w:p>
      <w:pPr>
        <w:spacing w:line="360" w:lineRule="auto"/>
        <w:ind w:firstLine="540"/>
        <w:rPr>
          <w:rFonts w:ascii="宋体" w:hAnsi="宋体" w:cs="宋体"/>
          <w:bCs/>
          <w:sz w:val="24"/>
          <w:szCs w:val="24"/>
          <w:highlight w:val="none"/>
        </w:rPr>
      </w:pPr>
      <w:r>
        <w:rPr>
          <w:rFonts w:hint="eastAsia" w:ascii="宋体" w:hAnsi="宋体" w:cs="宋体"/>
          <w:bCs/>
          <w:sz w:val="24"/>
          <w:szCs w:val="24"/>
          <w:highlight w:val="none"/>
        </w:rPr>
        <w:t>违约金：</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tabs>
          <w:tab w:val="left" w:pos="-180"/>
        </w:tabs>
        <w:spacing w:line="360" w:lineRule="auto"/>
        <w:jc w:val="center"/>
        <w:rPr>
          <w:rFonts w:ascii="宋体" w:hAnsi="宋体" w:cs="宋体"/>
          <w:bCs/>
          <w:sz w:val="24"/>
          <w:szCs w:val="24"/>
          <w:highlight w:val="none"/>
        </w:rPr>
      </w:pPr>
      <w:r>
        <w:rPr>
          <w:rFonts w:hint="eastAsia" w:ascii="宋体" w:hAnsi="宋体" w:cs="宋体"/>
          <w:bCs/>
          <w:sz w:val="24"/>
          <w:szCs w:val="24"/>
          <w:highlight w:val="none"/>
        </w:rPr>
        <w:t>争议的解决</w:t>
      </w:r>
    </w:p>
    <w:p>
      <w:pPr>
        <w:spacing w:line="360" w:lineRule="auto"/>
        <w:ind w:left="435" w:firstLine="88" w:firstLineChars="37"/>
        <w:rPr>
          <w:rFonts w:ascii="宋体" w:hAnsi="宋体" w:cs="宋体"/>
          <w:bCs/>
          <w:sz w:val="24"/>
          <w:szCs w:val="24"/>
          <w:highlight w:val="none"/>
        </w:rPr>
      </w:pPr>
      <w:r>
        <w:rPr>
          <w:rFonts w:hint="eastAsia" w:ascii="宋体" w:hAnsi="宋体" w:cs="宋体"/>
          <w:bCs/>
          <w:sz w:val="24"/>
          <w:szCs w:val="24"/>
          <w:highlight w:val="none"/>
        </w:rPr>
        <w:t>第四十三条 争议调解、仲裁机构：</w:t>
      </w:r>
    </w:p>
    <w:p>
      <w:pPr>
        <w:spacing w:line="360" w:lineRule="auto"/>
        <w:ind w:left="435" w:firstLine="88" w:firstLineChars="37"/>
        <w:rPr>
          <w:rFonts w:ascii="宋体" w:hAnsi="宋体" w:cs="宋体"/>
          <w:bCs/>
          <w:sz w:val="24"/>
          <w:szCs w:val="24"/>
          <w:highlight w:val="none"/>
        </w:rPr>
      </w:pPr>
      <w:r>
        <w:rPr>
          <w:rFonts w:hint="eastAsia" w:ascii="宋体" w:hAnsi="宋体" w:cs="宋体"/>
          <w:bCs/>
          <w:sz w:val="24"/>
          <w:szCs w:val="24"/>
          <w:highlight w:val="none"/>
        </w:rPr>
        <w:t>一、争议调解机构为：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left="435" w:firstLine="88" w:firstLineChars="37"/>
        <w:rPr>
          <w:rFonts w:ascii="宋体" w:hAnsi="宋体" w:cs="宋体"/>
          <w:bCs/>
          <w:sz w:val="24"/>
          <w:szCs w:val="24"/>
          <w:highlight w:val="none"/>
        </w:rPr>
      </w:pPr>
      <w:r>
        <w:rPr>
          <w:rFonts w:hint="eastAsia" w:ascii="宋体" w:hAnsi="宋体" w:cs="宋体"/>
          <w:bCs/>
          <w:sz w:val="24"/>
          <w:szCs w:val="24"/>
          <w:highlight w:val="none"/>
        </w:rPr>
        <w:t>二、仲裁机构为：</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pPr>
        <w:spacing w:line="360" w:lineRule="auto"/>
        <w:ind w:left="437" w:firstLine="88" w:firstLineChars="37"/>
        <w:jc w:val="center"/>
        <w:rPr>
          <w:rFonts w:ascii="宋体" w:hAnsi="宋体" w:cs="宋体"/>
          <w:bCs/>
          <w:sz w:val="24"/>
          <w:szCs w:val="24"/>
          <w:highlight w:val="none"/>
        </w:rPr>
      </w:pPr>
      <w:r>
        <w:rPr>
          <w:rFonts w:hint="eastAsia" w:ascii="宋体" w:hAnsi="宋体" w:cs="宋体"/>
          <w:bCs/>
          <w:sz w:val="24"/>
          <w:szCs w:val="24"/>
          <w:highlight w:val="none"/>
        </w:rPr>
        <w:t>其  他</w:t>
      </w:r>
    </w:p>
    <w:p>
      <w:pPr>
        <w:spacing w:line="360" w:lineRule="auto"/>
        <w:ind w:left="435" w:firstLine="88" w:firstLineChars="37"/>
        <w:rPr>
          <w:rFonts w:ascii="宋体" w:hAnsi="宋体" w:cs="宋体"/>
          <w:bCs/>
          <w:sz w:val="24"/>
          <w:szCs w:val="24"/>
          <w:highlight w:val="none"/>
        </w:rPr>
      </w:pPr>
      <w:r>
        <w:rPr>
          <w:rFonts w:hint="eastAsia" w:ascii="宋体" w:hAnsi="宋体" w:cs="宋体"/>
          <w:bCs/>
          <w:sz w:val="24"/>
          <w:szCs w:val="24"/>
          <w:highlight w:val="none"/>
        </w:rPr>
        <w:t>第四十五条 委托人对监理人提出并落实的合理化建议的奖励办法为：_______________。</w:t>
      </w:r>
    </w:p>
    <w:p>
      <w:pPr>
        <w:spacing w:after="120" w:afterLines="50" w:line="360" w:lineRule="auto"/>
        <w:jc w:val="center"/>
        <w:outlineLvl w:val="1"/>
        <w:rPr>
          <w:rFonts w:ascii="宋体" w:hAnsi="宋体"/>
          <w:b/>
          <w:sz w:val="24"/>
          <w:szCs w:val="24"/>
          <w:highlight w:val="none"/>
        </w:rPr>
      </w:pPr>
      <w:r>
        <w:rPr>
          <w:rFonts w:ascii="宋体" w:hAnsi="宋体" w:cs="宋体"/>
          <w:bCs/>
          <w:sz w:val="24"/>
          <w:szCs w:val="24"/>
          <w:highlight w:val="none"/>
        </w:rPr>
        <w:br w:type="page"/>
      </w:r>
      <w:bookmarkStart w:id="41" w:name="_Toc256000034"/>
      <w:r>
        <w:rPr>
          <w:rFonts w:hint="eastAsia" w:ascii="宋体" w:hAnsi="宋体" w:cs="宋体"/>
          <w:bCs/>
          <w:sz w:val="24"/>
          <w:szCs w:val="24"/>
          <w:highlight w:val="none"/>
        </w:rPr>
        <w:t>第三部分 附件</w:t>
      </w:r>
      <w:bookmarkEnd w:id="41"/>
    </w:p>
    <w:p>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本合同监理服务内容：</w:t>
      </w:r>
      <w:r>
        <w:rPr>
          <w:rFonts w:hint="eastAsia" w:ascii="宋体" w:hAnsi="宋体" w:cs="宋体"/>
          <w:bCs/>
          <w:sz w:val="24"/>
          <w:szCs w:val="24"/>
          <w:highlight w:val="none"/>
          <w:u w:val="single"/>
        </w:rPr>
        <w:t>（具体内容由双方协商确定）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(一)设计方面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1、核查并签发施工图，发现问题向委托人反映，重大问题向委托人做专题报告。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2、主持或与委托人联合主持设计技术交底会议，编写会议纪要。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3、协助委托人会同设计人对重大技术问题和优化设计进行专题讨论。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4、审核承包人对施工图的意见和建议，协助委托人会同设计人进行研究。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5、其他相关业务。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(二)采购方面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1、协助委托人进行采购招标。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2、协助委托人对进场的永久工程设备进行质量检验与到货验收。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3、其他相关业务。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(三)施工方面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1、协助委托人进行工程施工招标和签订工程施工合同。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2、全面管理工程施工合同，审查承包人选择的分包单位，并报委托人批准。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3、督促委托人按工程施工合同的约定，落实必须提供的施工条件；检查承包人的开工准备工作。</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4、审核按工程施工合同文件约定应由承包人提交的设计文件。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5、审查承包人提交的施工组织设计、施工进度计划、施工措施计划；审核工艺试验成果等。</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8、资金控制。协助委托人编制付款计划；审查承包人提交的资金流计划；核定承包人完成的工程量，审核承包人提交的支付申请，签发付款凭证；受理索赔申请，提出处理建议意见；处理工程变更。</w:t>
      </w:r>
    </w:p>
    <w:p>
      <w:pPr>
        <w:spacing w:after="120" w:line="360" w:lineRule="auto"/>
        <w:ind w:firstLine="460" w:firstLineChars="192"/>
        <w:rPr>
          <w:rFonts w:ascii="宋体" w:hAnsi="宋体" w:cs="宋体"/>
          <w:sz w:val="24"/>
          <w:szCs w:val="24"/>
          <w:highlight w:val="none"/>
        </w:rPr>
      </w:pPr>
      <w:r>
        <w:rPr>
          <w:rFonts w:hint="eastAsia" w:ascii="宋体" w:hAnsi="宋体" w:cs="宋体"/>
          <w:sz w:val="24"/>
          <w:szCs w:val="24"/>
          <w:highlight w:val="none"/>
        </w:rPr>
        <w:t>9、施工安全控制。审查承包人提出的安全技术措施、专项施工方案，并检查实施情况；检查防洪度汛措施落实情况；参与安全事故调查。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10、协调施工合同各方之间的关系。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11、按有关规定参加工程验收，负责完成监理资料的汇总、整理，协助委托人检查承包人的合同执行情况；做好验收的各项准备工作或者配合工作，提供工程监理资料，提交监理工作报告。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12、档案管理。做好施工现场的监理记录与信息反馈，做好监理文档管理工作，合同期限届满时按照档案管理要求整理、归档并移交委托人。</w:t>
      </w:r>
    </w:p>
    <w:p>
      <w:pPr>
        <w:spacing w:line="360" w:lineRule="auto"/>
        <w:ind w:firstLine="480" w:firstLineChars="200"/>
        <w:rPr>
          <w:rFonts w:ascii="宋体" w:hAnsi="宋体" w:cs="宋体"/>
          <w:sz w:val="24"/>
          <w:szCs w:val="24"/>
          <w:highlight w:val="none"/>
          <w:shd w:val="pct10" w:color="auto" w:fill="FFFFFF"/>
        </w:rPr>
      </w:pPr>
      <w:r>
        <w:rPr>
          <w:rFonts w:hint="eastAsia" w:ascii="宋体" w:hAnsi="宋体" w:cs="宋体"/>
          <w:sz w:val="24"/>
          <w:szCs w:val="24"/>
          <w:highlight w:val="none"/>
        </w:rPr>
        <w:t>13、监督承包人执行保修期工作计划，检查和验收尾工项目，对已移交工程中出现的质量缺陷等调查原因并提出处理意见</w:t>
      </w:r>
      <w:r>
        <w:rPr>
          <w:rFonts w:hint="eastAsia" w:ascii="宋体" w:hAnsi="宋体" w:cs="宋体"/>
          <w:color w:val="0000FF"/>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14、按照委托人签订的工程保险合同，做好施工现场工程保险合同的管理。协助委托人向保险公司及时提供一切必要的材料和证据。</w:t>
      </w:r>
    </w:p>
    <w:p>
      <w:pPr>
        <w:spacing w:line="360" w:lineRule="auto"/>
        <w:ind w:firstLine="480" w:firstLineChars="200"/>
        <w:rPr>
          <w:sz w:val="24"/>
          <w:szCs w:val="24"/>
          <w:highlight w:val="none"/>
        </w:rPr>
      </w:pPr>
      <w:r>
        <w:rPr>
          <w:rFonts w:hint="eastAsia" w:ascii="宋体" w:hAnsi="宋体" w:cs="宋体"/>
          <w:sz w:val="24"/>
          <w:szCs w:val="24"/>
          <w:highlight w:val="none"/>
        </w:rPr>
        <w:t>15、其他相关</w:t>
      </w:r>
    </w:p>
    <w:p>
      <w:pPr>
        <w:rPr>
          <w:color w:val="000080"/>
          <w:sz w:val="24"/>
          <w:szCs w:val="24"/>
          <w:highlight w:val="none"/>
        </w:rPr>
        <w:sectPr>
          <w:footerReference r:id="rId5" w:type="default"/>
          <w:pgSz w:w="11906" w:h="16838"/>
          <w:pgMar w:top="1474" w:right="1418" w:bottom="1418" w:left="1418" w:header="851" w:footer="992" w:gutter="0"/>
          <w:cols w:space="720" w:num="1"/>
          <w:docGrid w:linePitch="312" w:charSpace="0"/>
        </w:sectPr>
      </w:pPr>
      <w:r>
        <w:rPr>
          <w:rFonts w:hint="eastAsia"/>
          <w:color w:val="000080"/>
          <w:sz w:val="24"/>
          <w:szCs w:val="24"/>
          <w:highlight w:val="none"/>
        </w:rPr>
        <w:t xml:space="preserve"> </w:t>
      </w:r>
      <w:bookmarkEnd w:id="37"/>
    </w:p>
    <w:p>
      <w:pPr>
        <w:pStyle w:val="30"/>
        <w:rPr>
          <w:rFonts w:hAnsi="宋体"/>
          <w:highlight w:val="none"/>
        </w:rPr>
      </w:pPr>
    </w:p>
    <w:p>
      <w:pPr>
        <w:pStyle w:val="30"/>
        <w:rPr>
          <w:rFonts w:hAnsi="宋体"/>
          <w:highlight w:val="none"/>
        </w:rPr>
      </w:pPr>
    </w:p>
    <w:p>
      <w:pPr>
        <w:pStyle w:val="30"/>
        <w:rPr>
          <w:rFonts w:hAnsi="宋体"/>
          <w:highlight w:val="none"/>
        </w:rPr>
      </w:pPr>
    </w:p>
    <w:p>
      <w:pPr>
        <w:pStyle w:val="30"/>
        <w:rPr>
          <w:rFonts w:hAnsi="宋体"/>
          <w:highlight w:val="none"/>
        </w:rPr>
      </w:pPr>
    </w:p>
    <w:p>
      <w:pPr>
        <w:pStyle w:val="57"/>
        <w:spacing w:line="380" w:lineRule="exact"/>
        <w:ind w:firstLine="1446" w:firstLineChars="400"/>
        <w:jc w:val="both"/>
        <w:rPr>
          <w:rFonts w:ascii="宋体" w:hAnsi="宋体" w:cs="宋体"/>
          <w:b/>
          <w:color w:val="auto"/>
          <w:sz w:val="36"/>
          <w:szCs w:val="36"/>
          <w:highlight w:val="none"/>
        </w:rPr>
      </w:pPr>
      <w:bookmarkStart w:id="42" w:name="_Toc18368_WPSOffice_Level1"/>
      <w:r>
        <w:rPr>
          <w:rFonts w:hint="eastAsia" w:ascii="宋体" w:hAnsi="宋体" w:cs="宋体"/>
          <w:b/>
          <w:color w:val="auto"/>
          <w:sz w:val="36"/>
          <w:szCs w:val="36"/>
          <w:highlight w:val="none"/>
        </w:rPr>
        <w:t>第七章  投标文件格式</w:t>
      </w:r>
      <w:bookmarkEnd w:id="42"/>
      <w:r>
        <w:rPr>
          <w:rFonts w:hint="eastAsia" w:ascii="宋体" w:hAnsi="宋体" w:cs="宋体"/>
          <w:b/>
          <w:color w:val="auto"/>
          <w:sz w:val="36"/>
          <w:szCs w:val="36"/>
          <w:highlight w:val="none"/>
        </w:rPr>
        <w:t>（仅供参考）</w:t>
      </w:r>
    </w:p>
    <w:p>
      <w:pPr>
        <w:pStyle w:val="57"/>
        <w:spacing w:line="380" w:lineRule="exact"/>
        <w:jc w:val="center"/>
        <w:rPr>
          <w:rFonts w:ascii="宋体" w:hAnsi="宋体" w:cs="宋体"/>
          <w:b/>
          <w:color w:val="auto"/>
          <w:szCs w:val="24"/>
          <w:highlight w:val="none"/>
        </w:rPr>
      </w:pPr>
    </w:p>
    <w:p>
      <w:pPr>
        <w:pStyle w:val="57"/>
        <w:spacing w:line="480" w:lineRule="auto"/>
        <w:jc w:val="center"/>
        <w:rPr>
          <w:rFonts w:ascii="宋体" w:hAnsi="宋体" w:cs="宋体"/>
          <w:szCs w:val="24"/>
          <w:highlight w:val="none"/>
          <w:bdr w:val="single" w:color="auto" w:sz="4" w:space="0"/>
        </w:rPr>
      </w:pPr>
      <w:r>
        <w:rPr>
          <w:rFonts w:hint="eastAsia" w:ascii="宋体" w:hAnsi="宋体" w:cs="宋体"/>
          <w:szCs w:val="24"/>
          <w:highlight w:val="none"/>
        </w:rPr>
        <w:t xml:space="preserve">                                           </w:t>
      </w:r>
      <w:r>
        <w:rPr>
          <w:rFonts w:hint="eastAsia" w:ascii="宋体" w:hAnsi="宋体" w:cs="宋体"/>
          <w:szCs w:val="24"/>
          <w:highlight w:val="none"/>
          <w:bdr w:val="single" w:color="auto" w:sz="4" w:space="0"/>
        </w:rPr>
        <w:t xml:space="preserve"> 正本</w:t>
      </w:r>
    </w:p>
    <w:p>
      <w:pPr>
        <w:pStyle w:val="57"/>
        <w:spacing w:line="380" w:lineRule="exact"/>
        <w:jc w:val="center"/>
        <w:rPr>
          <w:rFonts w:ascii="宋体" w:hAnsi="宋体" w:cs="宋体"/>
          <w:szCs w:val="24"/>
          <w:highlight w:val="none"/>
        </w:rPr>
      </w:pPr>
    </w:p>
    <w:p>
      <w:pPr>
        <w:ind w:right="980"/>
        <w:jc w:val="center"/>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（项目名称）</w:t>
      </w:r>
    </w:p>
    <w:p>
      <w:pP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ind w:firstLine="240" w:firstLineChars="1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项目编号： </w:t>
      </w:r>
      <w:r>
        <w:rPr>
          <w:rFonts w:hint="eastAsia" w:ascii="宋体" w:hAnsi="宋体" w:cs="宋体"/>
          <w:color w:val="000000"/>
          <w:sz w:val="24"/>
          <w:szCs w:val="24"/>
          <w:highlight w:val="none"/>
          <w:u w:val="single"/>
        </w:rPr>
        <w:t xml:space="preserve">                      </w:t>
      </w:r>
    </w:p>
    <w:p>
      <w:pPr>
        <w:rPr>
          <w:rFonts w:ascii="宋体" w:hAnsi="宋体" w:cs="宋体"/>
          <w:color w:val="000000"/>
          <w:sz w:val="24"/>
          <w:szCs w:val="24"/>
          <w:highlight w:val="none"/>
        </w:rPr>
      </w:pPr>
    </w:p>
    <w:p>
      <w:pPr>
        <w:rPr>
          <w:rFonts w:ascii="宋体" w:hAnsi="宋体" w:cs="宋体"/>
          <w:color w:val="000000"/>
          <w:sz w:val="24"/>
          <w:szCs w:val="24"/>
          <w:highlight w:val="none"/>
        </w:rPr>
      </w:pPr>
    </w:p>
    <w:p>
      <w:pPr>
        <w:rPr>
          <w:rFonts w:ascii="宋体" w:hAnsi="宋体" w:cs="宋体"/>
          <w:color w:val="000000"/>
          <w:sz w:val="24"/>
          <w:szCs w:val="24"/>
          <w:highlight w:val="none"/>
        </w:rPr>
      </w:pPr>
    </w:p>
    <w:p>
      <w:pPr>
        <w:rPr>
          <w:rFonts w:ascii="宋体" w:hAnsi="宋体" w:cs="宋体"/>
          <w:color w:val="000000"/>
          <w:sz w:val="24"/>
          <w:szCs w:val="24"/>
          <w:highlight w:val="none"/>
        </w:rPr>
      </w:pPr>
    </w:p>
    <w:p>
      <w:pPr>
        <w:rPr>
          <w:rFonts w:ascii="宋体" w:hAnsi="宋体" w:cs="宋体"/>
          <w:color w:val="000000"/>
          <w:sz w:val="24"/>
          <w:szCs w:val="24"/>
          <w:highlight w:val="none"/>
        </w:rPr>
      </w:pPr>
    </w:p>
    <w:p>
      <w:pPr>
        <w:rPr>
          <w:rFonts w:ascii="宋体" w:hAnsi="宋体" w:cs="宋体"/>
          <w:color w:val="000000"/>
          <w:sz w:val="36"/>
          <w:szCs w:val="36"/>
          <w:highlight w:val="none"/>
        </w:rPr>
      </w:pPr>
    </w:p>
    <w:p>
      <w:pPr>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投  标  文  件</w:t>
      </w:r>
    </w:p>
    <w:p>
      <w:pPr>
        <w:rPr>
          <w:rFonts w:ascii="宋体" w:hAnsi="宋体" w:cs="宋体"/>
          <w:b/>
          <w:bCs/>
          <w:color w:val="000000"/>
          <w:sz w:val="24"/>
          <w:szCs w:val="24"/>
          <w:highlight w:val="none"/>
        </w:rPr>
      </w:pPr>
    </w:p>
    <w:p>
      <w:pPr>
        <w:rPr>
          <w:rFonts w:ascii="宋体" w:hAnsi="宋体" w:cs="宋体"/>
          <w:color w:val="000000"/>
          <w:sz w:val="24"/>
          <w:szCs w:val="24"/>
          <w:highlight w:val="none"/>
        </w:rPr>
      </w:pPr>
    </w:p>
    <w:p>
      <w:pPr>
        <w:rPr>
          <w:rFonts w:ascii="宋体" w:hAnsi="宋体" w:cs="宋体"/>
          <w:bCs/>
          <w:color w:val="000000"/>
          <w:sz w:val="24"/>
          <w:szCs w:val="24"/>
          <w:highlight w:val="none"/>
        </w:rPr>
      </w:pPr>
    </w:p>
    <w:p>
      <w:pPr>
        <w:pStyle w:val="30"/>
        <w:rPr>
          <w:rFonts w:hAnsi="宋体"/>
          <w:bCs/>
          <w:highlight w:val="none"/>
        </w:rPr>
      </w:pPr>
    </w:p>
    <w:p>
      <w:pPr>
        <w:pStyle w:val="30"/>
        <w:rPr>
          <w:rFonts w:hAnsi="宋体"/>
          <w:bCs/>
          <w:highlight w:val="none"/>
        </w:rPr>
      </w:pPr>
    </w:p>
    <w:p>
      <w:pPr>
        <w:pStyle w:val="30"/>
        <w:rPr>
          <w:rFonts w:hAnsi="宋体"/>
          <w:bCs/>
          <w:highlight w:val="none"/>
        </w:rPr>
      </w:pPr>
    </w:p>
    <w:p>
      <w:pPr>
        <w:pStyle w:val="30"/>
        <w:rPr>
          <w:rFonts w:hAnsi="宋体"/>
          <w:bCs/>
          <w:highlight w:val="none"/>
        </w:rPr>
      </w:pPr>
    </w:p>
    <w:p>
      <w:pPr>
        <w:pStyle w:val="30"/>
        <w:rPr>
          <w:rFonts w:hAnsi="宋体"/>
          <w:bCs/>
          <w:highlight w:val="none"/>
        </w:rPr>
      </w:pPr>
    </w:p>
    <w:p>
      <w:pPr>
        <w:pStyle w:val="30"/>
        <w:rPr>
          <w:rFonts w:hAnsi="宋体"/>
          <w:bCs/>
          <w:highlight w:val="none"/>
        </w:rPr>
      </w:pPr>
    </w:p>
    <w:p>
      <w:pPr>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 xml:space="preserve"> </w:t>
      </w:r>
    </w:p>
    <w:p>
      <w:pPr>
        <w:ind w:firstLine="720" w:firstLineChars="300"/>
        <w:rPr>
          <w:rFonts w:ascii="宋体" w:hAnsi="宋体" w:cs="宋体"/>
          <w:bCs/>
          <w:color w:val="000000"/>
          <w:sz w:val="24"/>
          <w:szCs w:val="24"/>
          <w:highlight w:val="none"/>
        </w:rPr>
      </w:pPr>
      <w:r>
        <w:rPr>
          <w:rFonts w:hint="eastAsia" w:ascii="宋体" w:hAnsi="宋体" w:cs="宋体"/>
          <w:bCs/>
          <w:color w:val="000000"/>
          <w:sz w:val="24"/>
          <w:szCs w:val="24"/>
          <w:highlight w:val="none"/>
          <w:u w:val="single"/>
        </w:rPr>
        <w:t xml:space="preserve">                         </w:t>
      </w:r>
    </w:p>
    <w:p>
      <w:pPr>
        <w:rPr>
          <w:rFonts w:ascii="宋体" w:hAnsi="宋体" w:cs="宋体"/>
          <w:color w:val="000000"/>
          <w:sz w:val="24"/>
          <w:szCs w:val="24"/>
          <w:highlight w:val="none"/>
        </w:rPr>
      </w:pPr>
      <w:r>
        <w:rPr>
          <w:rFonts w:hint="eastAsia" w:ascii="宋体" w:hAnsi="宋体" w:cs="宋体"/>
          <w:color w:val="000000"/>
          <w:sz w:val="24"/>
          <w:szCs w:val="24"/>
          <w:highlight w:val="none"/>
        </w:rPr>
        <w:t xml:space="preserve">        投标人：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pStyle w:val="30"/>
        <w:rPr>
          <w:highlight w:val="none"/>
        </w:rPr>
      </w:pPr>
    </w:p>
    <w:p>
      <w:pPr>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jc w:val="center"/>
        <w:rPr>
          <w:rFonts w:ascii="宋体" w:hAnsi="宋体" w:cs="宋体"/>
          <w:color w:val="000000"/>
          <w:sz w:val="24"/>
          <w:szCs w:val="24"/>
          <w:highlight w:val="none"/>
        </w:rPr>
      </w:pPr>
    </w:p>
    <w:p>
      <w:pPr>
        <w:jc w:val="center"/>
        <w:rPr>
          <w:rFonts w:ascii="宋体" w:hAnsi="宋体" w:cs="宋体"/>
          <w:b/>
          <w:bCs/>
          <w:color w:val="000000"/>
          <w:sz w:val="24"/>
          <w:szCs w:val="24"/>
          <w:highlight w:val="none"/>
        </w:rPr>
      </w:pPr>
      <w:r>
        <w:rPr>
          <w:rFonts w:hint="eastAsia" w:ascii="宋体" w:hAnsi="宋体" w:cs="宋体"/>
          <w:color w:val="000000"/>
          <w:sz w:val="24"/>
          <w:szCs w:val="24"/>
          <w:highlight w:val="none"/>
        </w:rPr>
        <w:t xml:space="preserve"> 年        月        日</w:t>
      </w:r>
    </w:p>
    <w:p>
      <w:pPr>
        <w:jc w:val="center"/>
        <w:rPr>
          <w:rFonts w:ascii="宋体" w:hAnsi="宋体" w:cs="宋体"/>
          <w:b/>
          <w:bCs/>
          <w:color w:val="000000"/>
          <w:sz w:val="24"/>
          <w:szCs w:val="24"/>
          <w:highlight w:val="none"/>
        </w:rPr>
      </w:pPr>
    </w:p>
    <w:p>
      <w:pPr>
        <w:jc w:val="center"/>
        <w:rPr>
          <w:rFonts w:ascii="宋体" w:hAnsi="宋体" w:cs="宋体"/>
          <w:b/>
          <w:bCs/>
          <w:color w:val="000000"/>
          <w:sz w:val="24"/>
          <w:szCs w:val="24"/>
          <w:highlight w:val="none"/>
        </w:rPr>
      </w:pPr>
    </w:p>
    <w:p>
      <w:pPr>
        <w:jc w:val="center"/>
        <w:rPr>
          <w:rFonts w:ascii="宋体" w:hAnsi="宋体" w:cs="宋体"/>
          <w:b/>
          <w:bCs/>
          <w:color w:val="000000"/>
          <w:sz w:val="24"/>
          <w:szCs w:val="24"/>
          <w:highlight w:val="none"/>
        </w:rPr>
      </w:pPr>
    </w:p>
    <w:p>
      <w:pPr>
        <w:pStyle w:val="6"/>
        <w:rPr>
          <w:rFonts w:ascii="宋体" w:hAnsi="宋体" w:eastAsia="宋体" w:cs="宋体"/>
          <w:b/>
          <w:bCs/>
          <w:color w:val="000000"/>
          <w:szCs w:val="24"/>
          <w:highlight w:val="none"/>
        </w:rPr>
      </w:pPr>
    </w:p>
    <w:p>
      <w:pPr>
        <w:rPr>
          <w:rFonts w:ascii="宋体" w:hAnsi="宋体" w:cs="宋体"/>
          <w:b/>
          <w:bCs/>
          <w:color w:val="000000"/>
          <w:sz w:val="24"/>
          <w:szCs w:val="24"/>
          <w:highlight w:val="none"/>
        </w:rPr>
      </w:pPr>
    </w:p>
    <w:p>
      <w:pPr>
        <w:spacing w:line="440" w:lineRule="exact"/>
        <w:rPr>
          <w:rFonts w:ascii="宋体" w:hAnsi="宋体" w:cs="宋体"/>
          <w:b/>
          <w:bCs/>
          <w:sz w:val="24"/>
          <w:szCs w:val="24"/>
          <w:highlight w:val="none"/>
          <w:lang w:val="zh-CN"/>
        </w:rPr>
      </w:pPr>
    </w:p>
    <w:p>
      <w:pPr>
        <w:spacing w:line="360" w:lineRule="auto"/>
        <w:jc w:val="center"/>
        <w:rPr>
          <w:rFonts w:ascii="宋体" w:hAnsi="宋体" w:cs="宋体"/>
          <w:b/>
          <w:sz w:val="28"/>
          <w:szCs w:val="28"/>
          <w:highlight w:val="none"/>
        </w:rPr>
      </w:pPr>
      <w:bookmarkStart w:id="43" w:name="_Toc256000050"/>
      <w:r>
        <w:rPr>
          <w:rFonts w:hint="eastAsia" w:ascii="宋体" w:hAnsi="宋体" w:cs="宋体"/>
          <w:b/>
          <w:sz w:val="24"/>
          <w:szCs w:val="24"/>
          <w:highlight w:val="none"/>
        </w:rPr>
        <w:t>一、监理投标书</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致（项目法人）：</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我方收到并研究了贵方</w:t>
      </w:r>
      <w:r>
        <w:rPr>
          <w:rFonts w:hint="eastAsia" w:ascii="宋体" w:hAnsi="宋体" w:cs="宋体"/>
          <w:bCs/>
          <w:szCs w:val="21"/>
          <w:highlight w:val="none"/>
          <w:u w:val="single"/>
        </w:rPr>
        <w:t xml:space="preserve">                                   </w:t>
      </w:r>
      <w:r>
        <w:rPr>
          <w:rFonts w:hint="eastAsia" w:ascii="宋体" w:hAnsi="宋体" w:cs="宋体"/>
          <w:bCs/>
          <w:szCs w:val="21"/>
          <w:highlight w:val="none"/>
        </w:rPr>
        <w:t>工程施工监理的招标文件，愿意按照招标文件规定的内容承担该工程的施工监理任务，严格执行我方所承诺的责任和义务。</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1、我方愿以</w:t>
      </w:r>
      <w:r>
        <w:rPr>
          <w:rFonts w:hint="eastAsia" w:ascii="宋体" w:hAnsi="宋体" w:cs="宋体"/>
          <w:bCs/>
          <w:szCs w:val="21"/>
          <w:highlight w:val="none"/>
          <w:u w:val="single"/>
        </w:rPr>
        <w:t xml:space="preserve">                                   </w:t>
      </w:r>
      <w:r>
        <w:rPr>
          <w:rFonts w:hint="eastAsia" w:ascii="宋体" w:hAnsi="宋体" w:cs="宋体"/>
          <w:bCs/>
          <w:szCs w:val="21"/>
          <w:highlight w:val="none"/>
        </w:rPr>
        <w:t>（分别用大写和小写）的监理投标报价，监理服务期：</w:t>
      </w:r>
      <w:r>
        <w:rPr>
          <w:rFonts w:hint="eastAsia" w:ascii="宋体" w:hAnsi="宋体" w:cs="宋体"/>
          <w:bCs/>
          <w:szCs w:val="21"/>
          <w:highlight w:val="none"/>
          <w:u w:val="single"/>
        </w:rPr>
        <w:t xml:space="preserve">                    </w:t>
      </w:r>
      <w:r>
        <w:rPr>
          <w:rFonts w:hint="eastAsia" w:ascii="宋体" w:hAnsi="宋体" w:cs="宋体"/>
          <w:bCs/>
          <w:szCs w:val="21"/>
          <w:highlight w:val="none"/>
        </w:rPr>
        <w:t>，承担本招标文件所述招标范围内的全部建设监理任务；</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2、我们同意在投标有效期内遵守本投标文件，在此期限期满前的任何时间，本投标文件一直对我们具有约束力；</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3、如果我方中标，我方将按照招标文件的规定，提交约定数额的履约担保，并对此共同地和分别地承担责任；</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4、在签署合同协议书之前，你方的中标通知书和本投标文件， 将成为我们双方之间有约束力的契约；</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5、我方理解你们将不必接受你们所收到的最低标价或者其他任何投标书的约束。</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投</w:t>
      </w:r>
      <w:r>
        <w:rPr>
          <w:rFonts w:hint="eastAsia" w:ascii="宋体" w:hAnsi="宋体" w:cs="宋体"/>
          <w:bCs/>
          <w:szCs w:val="21"/>
          <w:highlight w:val="none"/>
        </w:rPr>
        <w:tab/>
      </w:r>
      <w:r>
        <w:rPr>
          <w:rFonts w:hint="eastAsia" w:ascii="宋体" w:hAnsi="宋体" w:cs="宋体"/>
          <w:bCs/>
          <w:szCs w:val="21"/>
          <w:highlight w:val="none"/>
        </w:rPr>
        <w:t>标</w:t>
      </w:r>
      <w:r>
        <w:rPr>
          <w:rFonts w:hint="eastAsia" w:ascii="宋体" w:hAnsi="宋体" w:cs="宋体"/>
          <w:bCs/>
          <w:szCs w:val="21"/>
          <w:highlight w:val="none"/>
        </w:rPr>
        <w:tab/>
      </w:r>
      <w:r>
        <w:rPr>
          <w:rFonts w:hint="eastAsia" w:ascii="宋体" w:hAnsi="宋体" w:cs="宋体"/>
          <w:bCs/>
          <w:szCs w:val="21"/>
          <w:highlight w:val="none"/>
        </w:rPr>
        <w:t>人：</w:t>
      </w:r>
      <w:r>
        <w:rPr>
          <w:rFonts w:hint="eastAsia" w:ascii="宋体" w:hAnsi="宋体" w:cs="宋体"/>
          <w:bCs/>
          <w:szCs w:val="21"/>
          <w:highlight w:val="none"/>
          <w:u w:val="single"/>
        </w:rPr>
        <w:t xml:space="preserve">                                        </w:t>
      </w:r>
      <w:r>
        <w:rPr>
          <w:rFonts w:hint="eastAsia" w:ascii="宋体" w:hAnsi="宋体" w:cs="宋体"/>
          <w:bCs/>
          <w:szCs w:val="21"/>
          <w:highlight w:val="none"/>
        </w:rPr>
        <w:t>（盖章）</w:t>
      </w:r>
    </w:p>
    <w:p>
      <w:pPr>
        <w:spacing w:line="360" w:lineRule="auto"/>
        <w:ind w:firstLine="359" w:firstLineChars="171"/>
        <w:jc w:val="left"/>
        <w:rPr>
          <w:rFonts w:ascii="宋体" w:hAnsi="宋体" w:cs="宋体"/>
          <w:bCs/>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法定代表人或其委托代理人：</w:t>
      </w:r>
      <w:r>
        <w:rPr>
          <w:rFonts w:hint="eastAsia" w:ascii="宋体" w:hAnsi="宋体" w:cs="宋体"/>
          <w:bCs/>
          <w:szCs w:val="21"/>
          <w:highlight w:val="none"/>
          <w:u w:val="single"/>
        </w:rPr>
        <w:t xml:space="preserve">                           </w:t>
      </w:r>
      <w:r>
        <w:rPr>
          <w:rFonts w:hint="eastAsia" w:ascii="宋体" w:hAnsi="宋体" w:cs="宋体"/>
          <w:bCs/>
          <w:szCs w:val="21"/>
          <w:highlight w:val="none"/>
        </w:rPr>
        <w:t>（签字）</w:t>
      </w:r>
    </w:p>
    <w:p>
      <w:pPr>
        <w:spacing w:line="360" w:lineRule="auto"/>
        <w:ind w:firstLine="359" w:firstLineChars="171"/>
        <w:jc w:val="left"/>
        <w:rPr>
          <w:rFonts w:ascii="宋体" w:hAnsi="宋体" w:cs="宋体"/>
          <w:bCs/>
          <w:szCs w:val="21"/>
          <w:highlight w:val="none"/>
        </w:rPr>
      </w:pPr>
    </w:p>
    <w:p>
      <w:pPr>
        <w:spacing w:line="360" w:lineRule="auto"/>
        <w:ind w:firstLine="7077" w:firstLineChars="3370"/>
        <w:jc w:val="left"/>
        <w:rPr>
          <w:rFonts w:ascii="宋体" w:hAnsi="宋体" w:cs="宋体"/>
          <w:bCs/>
          <w:szCs w:val="21"/>
          <w:highlight w:val="none"/>
        </w:rPr>
      </w:pPr>
      <w:r>
        <w:rPr>
          <w:rFonts w:hint="eastAsia" w:ascii="宋体" w:hAnsi="宋体" w:cs="宋体"/>
          <w:bCs/>
          <w:szCs w:val="21"/>
          <w:highlight w:val="none"/>
        </w:rPr>
        <w:t>年</w:t>
      </w:r>
      <w:r>
        <w:rPr>
          <w:rFonts w:hint="eastAsia" w:ascii="宋体" w:hAnsi="宋体" w:cs="宋体"/>
          <w:bCs/>
          <w:szCs w:val="21"/>
          <w:highlight w:val="none"/>
        </w:rPr>
        <w:tab/>
      </w:r>
      <w:r>
        <w:rPr>
          <w:rFonts w:hint="eastAsia" w:ascii="宋体" w:hAnsi="宋体" w:cs="宋体"/>
          <w:bCs/>
          <w:szCs w:val="21"/>
          <w:highlight w:val="none"/>
        </w:rPr>
        <w:t>月</w:t>
      </w:r>
      <w:r>
        <w:rPr>
          <w:rFonts w:hint="eastAsia" w:ascii="宋体" w:hAnsi="宋体" w:cs="宋体"/>
          <w:bCs/>
          <w:szCs w:val="21"/>
          <w:highlight w:val="none"/>
        </w:rPr>
        <w:tab/>
      </w:r>
      <w:r>
        <w:rPr>
          <w:rFonts w:hint="eastAsia" w:ascii="宋体" w:hAnsi="宋体" w:cs="宋体"/>
          <w:bCs/>
          <w:szCs w:val="21"/>
          <w:highlight w:val="none"/>
        </w:rPr>
        <w:t>日</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pStyle w:val="2"/>
        <w:rPr>
          <w:rFonts w:hint="default"/>
          <w:highlight w:val="none"/>
        </w:rPr>
      </w:pPr>
    </w:p>
    <w:p>
      <w:pPr>
        <w:spacing w:line="360" w:lineRule="auto"/>
        <w:jc w:val="left"/>
        <w:rPr>
          <w:rFonts w:ascii="宋体" w:hAnsi="宋体" w:cs="宋体"/>
          <w:bCs/>
          <w:szCs w:val="21"/>
          <w:highlight w:val="none"/>
        </w:rPr>
      </w:pPr>
    </w:p>
    <w:p>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二、监理费用构成明细表（开标一览表）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600"/>
        <w:gridCol w:w="1661"/>
        <w:gridCol w:w="1561"/>
        <w:gridCol w:w="980"/>
        <w:gridCol w:w="1422"/>
        <w:gridCol w:w="1636"/>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646" w:type="dxa"/>
            <w:vMerge w:val="restart"/>
          </w:tcPr>
          <w:p>
            <w:pPr>
              <w:pStyle w:val="66"/>
              <w:spacing w:before="2"/>
              <w:rPr>
                <w:b/>
                <w:szCs w:val="21"/>
                <w:highlight w:val="none"/>
              </w:rPr>
            </w:pPr>
          </w:p>
          <w:p>
            <w:pPr>
              <w:pStyle w:val="66"/>
              <w:spacing w:line="242" w:lineRule="auto"/>
              <w:ind w:left="203" w:right="190"/>
              <w:rPr>
                <w:szCs w:val="21"/>
                <w:highlight w:val="none"/>
              </w:rPr>
            </w:pPr>
            <w:r>
              <w:rPr>
                <w:rFonts w:hint="eastAsia"/>
                <w:szCs w:val="21"/>
                <w:highlight w:val="none"/>
              </w:rPr>
              <w:t>序号</w:t>
            </w:r>
          </w:p>
        </w:tc>
        <w:tc>
          <w:tcPr>
            <w:tcW w:w="3822" w:type="dxa"/>
            <w:gridSpan w:val="3"/>
            <w:vMerge w:val="restart"/>
          </w:tcPr>
          <w:p>
            <w:pPr>
              <w:pStyle w:val="66"/>
              <w:spacing w:before="5"/>
              <w:rPr>
                <w:b/>
                <w:szCs w:val="21"/>
                <w:highlight w:val="none"/>
              </w:rPr>
            </w:pPr>
          </w:p>
          <w:p>
            <w:pPr>
              <w:pStyle w:val="66"/>
              <w:ind w:left="890"/>
              <w:rPr>
                <w:szCs w:val="21"/>
                <w:highlight w:val="none"/>
              </w:rPr>
            </w:pPr>
            <w:r>
              <w:rPr>
                <w:rFonts w:hint="eastAsia"/>
                <w:szCs w:val="21"/>
                <w:highlight w:val="none"/>
              </w:rPr>
              <w:t>分 项 费 用 名 称</w:t>
            </w:r>
          </w:p>
        </w:tc>
        <w:tc>
          <w:tcPr>
            <w:tcW w:w="5599" w:type="dxa"/>
            <w:gridSpan w:val="4"/>
          </w:tcPr>
          <w:p>
            <w:pPr>
              <w:pStyle w:val="66"/>
              <w:tabs>
                <w:tab w:val="left" w:pos="1082"/>
              </w:tabs>
              <w:spacing w:before="60"/>
              <w:ind w:left="2"/>
              <w:jc w:val="center"/>
              <w:rPr>
                <w:szCs w:val="21"/>
                <w:highlight w:val="none"/>
              </w:rPr>
            </w:pPr>
            <w:r>
              <w:rPr>
                <w:rFonts w:hint="eastAsia"/>
                <w:szCs w:val="21"/>
                <w:highlight w:val="none"/>
              </w:rPr>
              <w:t>金</w:t>
            </w:r>
            <w:r>
              <w:rPr>
                <w:rFonts w:hint="eastAsia"/>
                <w:szCs w:val="21"/>
                <w:highlight w:val="none"/>
              </w:rPr>
              <w:tab/>
            </w:r>
            <w:r>
              <w:rPr>
                <w:rFonts w:hint="eastAsia"/>
                <w:szCs w:val="21"/>
                <w:highlight w:val="none"/>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continue"/>
            <w:tcBorders>
              <w:top w:val="nil"/>
            </w:tcBorders>
          </w:tcPr>
          <w:p>
            <w:pPr>
              <w:rPr>
                <w:rFonts w:ascii="宋体" w:hAnsi="宋体" w:cs="宋体"/>
                <w:szCs w:val="21"/>
                <w:highlight w:val="none"/>
              </w:rPr>
            </w:pPr>
          </w:p>
        </w:tc>
        <w:tc>
          <w:tcPr>
            <w:tcW w:w="3822" w:type="dxa"/>
            <w:gridSpan w:val="3"/>
            <w:vMerge w:val="continue"/>
            <w:tcBorders>
              <w:top w:val="nil"/>
            </w:tcBorders>
          </w:tcPr>
          <w:p>
            <w:pPr>
              <w:rPr>
                <w:rFonts w:ascii="宋体" w:hAnsi="宋体" w:cs="宋体"/>
                <w:szCs w:val="21"/>
                <w:highlight w:val="none"/>
              </w:rPr>
            </w:pPr>
          </w:p>
        </w:tc>
        <w:tc>
          <w:tcPr>
            <w:tcW w:w="980" w:type="dxa"/>
          </w:tcPr>
          <w:p>
            <w:pPr>
              <w:pStyle w:val="66"/>
              <w:spacing w:before="2"/>
              <w:ind w:left="160"/>
              <w:rPr>
                <w:szCs w:val="21"/>
                <w:highlight w:val="none"/>
              </w:rPr>
            </w:pPr>
            <w:r>
              <w:rPr>
                <w:rFonts w:hint="eastAsia"/>
                <w:spacing w:val="-20"/>
                <w:szCs w:val="21"/>
                <w:highlight w:val="none"/>
              </w:rPr>
              <w:t xml:space="preserve">人数 </w:t>
            </w:r>
            <w:r>
              <w:rPr>
                <w:rFonts w:hint="eastAsia"/>
                <w:szCs w:val="21"/>
                <w:highlight w:val="none"/>
              </w:rPr>
              <w:t>A</w:t>
            </w:r>
          </w:p>
          <w:p>
            <w:pPr>
              <w:pStyle w:val="66"/>
              <w:spacing w:before="4" w:line="289" w:lineRule="exact"/>
              <w:ind w:left="128"/>
              <w:rPr>
                <w:szCs w:val="21"/>
                <w:highlight w:val="none"/>
              </w:rPr>
            </w:pPr>
            <w:r>
              <w:rPr>
                <w:rFonts w:hint="eastAsia"/>
                <w:szCs w:val="21"/>
                <w:highlight w:val="none"/>
              </w:rPr>
              <w:t>（人）</w:t>
            </w:r>
          </w:p>
        </w:tc>
        <w:tc>
          <w:tcPr>
            <w:tcW w:w="1422" w:type="dxa"/>
          </w:tcPr>
          <w:p>
            <w:pPr>
              <w:pStyle w:val="66"/>
              <w:spacing w:before="2"/>
              <w:ind w:left="140"/>
              <w:rPr>
                <w:szCs w:val="21"/>
                <w:highlight w:val="none"/>
              </w:rPr>
            </w:pPr>
            <w:r>
              <w:rPr>
                <w:rFonts w:hint="eastAsia"/>
                <w:spacing w:val="-12"/>
                <w:szCs w:val="21"/>
                <w:highlight w:val="none"/>
              </w:rPr>
              <w:t xml:space="preserve">人员工资 </w:t>
            </w:r>
            <w:r>
              <w:rPr>
                <w:rFonts w:hint="eastAsia"/>
                <w:szCs w:val="21"/>
                <w:highlight w:val="none"/>
              </w:rPr>
              <w:t>B</w:t>
            </w:r>
          </w:p>
          <w:p>
            <w:pPr>
              <w:pStyle w:val="66"/>
              <w:spacing w:before="4" w:line="289" w:lineRule="exact"/>
              <w:ind w:left="168"/>
              <w:rPr>
                <w:szCs w:val="21"/>
                <w:highlight w:val="none"/>
              </w:rPr>
            </w:pPr>
            <w:r>
              <w:rPr>
                <w:rFonts w:hint="eastAsia"/>
                <w:szCs w:val="21"/>
                <w:highlight w:val="none"/>
              </w:rPr>
              <w:t>（元/人）</w:t>
            </w:r>
          </w:p>
        </w:tc>
        <w:tc>
          <w:tcPr>
            <w:tcW w:w="1636" w:type="dxa"/>
          </w:tcPr>
          <w:p>
            <w:pPr>
              <w:pStyle w:val="66"/>
              <w:spacing w:before="2"/>
              <w:ind w:left="213"/>
              <w:rPr>
                <w:szCs w:val="21"/>
                <w:highlight w:val="none"/>
              </w:rPr>
            </w:pPr>
            <w:r>
              <w:rPr>
                <w:rFonts w:hint="eastAsia"/>
                <w:szCs w:val="21"/>
                <w:highlight w:val="none"/>
              </w:rPr>
              <w:t>小计（元）</w:t>
            </w:r>
          </w:p>
          <w:p>
            <w:pPr>
              <w:pStyle w:val="66"/>
              <w:spacing w:before="4" w:line="289" w:lineRule="exact"/>
              <w:ind w:left="153"/>
              <w:rPr>
                <w:szCs w:val="21"/>
                <w:highlight w:val="none"/>
              </w:rPr>
            </w:pPr>
            <w:r>
              <w:rPr>
                <w:rFonts w:hint="eastAsia"/>
                <w:szCs w:val="21"/>
                <w:highlight w:val="none"/>
              </w:rPr>
              <w:t>C（C=A×B）</w:t>
            </w:r>
          </w:p>
        </w:tc>
        <w:tc>
          <w:tcPr>
            <w:tcW w:w="1561" w:type="dxa"/>
          </w:tcPr>
          <w:p>
            <w:pPr>
              <w:pStyle w:val="66"/>
              <w:spacing w:before="2"/>
              <w:ind w:left="153" w:right="151"/>
              <w:jc w:val="center"/>
              <w:rPr>
                <w:szCs w:val="21"/>
                <w:highlight w:val="none"/>
              </w:rPr>
            </w:pPr>
            <w:r>
              <w:rPr>
                <w:rFonts w:hint="eastAsia"/>
                <w:szCs w:val="21"/>
                <w:highlight w:val="none"/>
              </w:rPr>
              <w:t>合计</w:t>
            </w:r>
          </w:p>
          <w:p>
            <w:pPr>
              <w:pStyle w:val="66"/>
              <w:spacing w:before="4" w:line="289" w:lineRule="exact"/>
              <w:ind w:left="153" w:right="151"/>
              <w:jc w:val="center"/>
              <w:rPr>
                <w:szCs w:val="21"/>
                <w:highlight w:val="none"/>
              </w:rPr>
            </w:pPr>
            <w:r>
              <w:rPr>
                <w:rFonts w:hint="eastAsia"/>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restart"/>
          </w:tcPr>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spacing w:before="10"/>
              <w:rPr>
                <w:b/>
                <w:szCs w:val="21"/>
                <w:highlight w:val="none"/>
              </w:rPr>
            </w:pPr>
          </w:p>
          <w:p>
            <w:pPr>
              <w:pStyle w:val="66"/>
              <w:ind w:left="11"/>
              <w:jc w:val="center"/>
              <w:rPr>
                <w:szCs w:val="21"/>
                <w:highlight w:val="none"/>
              </w:rPr>
            </w:pPr>
            <w:r>
              <w:rPr>
                <w:rFonts w:hint="eastAsia"/>
                <w:szCs w:val="21"/>
                <w:highlight w:val="none"/>
              </w:rPr>
              <w:t>1</w:t>
            </w:r>
          </w:p>
        </w:tc>
        <w:tc>
          <w:tcPr>
            <w:tcW w:w="600" w:type="dxa"/>
            <w:vMerge w:val="restart"/>
          </w:tcPr>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spacing w:before="3"/>
              <w:rPr>
                <w:b/>
                <w:szCs w:val="21"/>
                <w:highlight w:val="none"/>
              </w:rPr>
            </w:pPr>
          </w:p>
          <w:p>
            <w:pPr>
              <w:pStyle w:val="66"/>
              <w:spacing w:before="1" w:line="242" w:lineRule="auto"/>
              <w:ind w:left="182" w:right="165"/>
              <w:rPr>
                <w:szCs w:val="21"/>
                <w:highlight w:val="none"/>
              </w:rPr>
            </w:pPr>
            <w:r>
              <w:rPr>
                <w:rFonts w:hint="eastAsia"/>
                <w:szCs w:val="21"/>
                <w:highlight w:val="none"/>
              </w:rPr>
              <w:t>直接成本</w:t>
            </w:r>
          </w:p>
        </w:tc>
        <w:tc>
          <w:tcPr>
            <w:tcW w:w="1661" w:type="dxa"/>
            <w:vMerge w:val="restart"/>
          </w:tcPr>
          <w:p>
            <w:pPr>
              <w:pStyle w:val="66"/>
              <w:spacing w:before="1"/>
              <w:rPr>
                <w:b/>
                <w:szCs w:val="21"/>
                <w:highlight w:val="none"/>
              </w:rPr>
            </w:pPr>
          </w:p>
          <w:p>
            <w:pPr>
              <w:pStyle w:val="66"/>
              <w:ind w:left="110"/>
              <w:rPr>
                <w:szCs w:val="21"/>
                <w:highlight w:val="none"/>
              </w:rPr>
            </w:pPr>
            <w:r>
              <w:rPr>
                <w:rFonts w:hint="eastAsia"/>
                <w:szCs w:val="21"/>
                <w:highlight w:val="none"/>
              </w:rPr>
              <w:t>监理人员费用</w:t>
            </w:r>
          </w:p>
          <w:p>
            <w:pPr>
              <w:pStyle w:val="66"/>
              <w:spacing w:before="4" w:line="244" w:lineRule="auto"/>
              <w:ind w:left="110" w:right="98"/>
              <w:rPr>
                <w:szCs w:val="21"/>
                <w:highlight w:val="none"/>
              </w:rPr>
            </w:pPr>
            <w:r>
              <w:rPr>
                <w:rFonts w:hint="eastAsia"/>
                <w:szCs w:val="21"/>
                <w:highlight w:val="none"/>
              </w:rPr>
              <w:t>（</w:t>
            </w:r>
            <w:r>
              <w:rPr>
                <w:rFonts w:hint="eastAsia"/>
                <w:spacing w:val="-4"/>
                <w:szCs w:val="21"/>
                <w:highlight w:val="none"/>
              </w:rPr>
              <w:t>包括监理人</w:t>
            </w:r>
            <w:r>
              <w:rPr>
                <w:rFonts w:hint="eastAsia"/>
                <w:spacing w:val="-3"/>
                <w:szCs w:val="21"/>
                <w:highlight w:val="none"/>
              </w:rPr>
              <w:t>员的工资总额及一切辅助工</w:t>
            </w:r>
            <w:r>
              <w:rPr>
                <w:rFonts w:hint="eastAsia"/>
                <w:szCs w:val="21"/>
                <w:highlight w:val="none"/>
              </w:rPr>
              <w:t>资、奖金等</w:t>
            </w:r>
            <w:r>
              <w:rPr>
                <w:rFonts w:hint="eastAsia"/>
                <w:spacing w:val="-17"/>
                <w:szCs w:val="21"/>
                <w:highlight w:val="none"/>
              </w:rPr>
              <w:t>）</w:t>
            </w:r>
          </w:p>
        </w:tc>
        <w:tc>
          <w:tcPr>
            <w:tcW w:w="1561" w:type="dxa"/>
          </w:tcPr>
          <w:p>
            <w:pPr>
              <w:pStyle w:val="66"/>
              <w:spacing w:before="2"/>
              <w:ind w:left="160" w:right="151"/>
              <w:jc w:val="center"/>
              <w:rPr>
                <w:szCs w:val="21"/>
                <w:highlight w:val="none"/>
              </w:rPr>
            </w:pPr>
            <w:r>
              <w:rPr>
                <w:rFonts w:hint="eastAsia"/>
                <w:szCs w:val="21"/>
                <w:highlight w:val="none"/>
              </w:rPr>
              <w:t>总监理工程</w:t>
            </w:r>
          </w:p>
          <w:p>
            <w:pPr>
              <w:pStyle w:val="66"/>
              <w:spacing w:before="4" w:line="289" w:lineRule="exact"/>
              <w:ind w:left="9"/>
              <w:jc w:val="center"/>
              <w:rPr>
                <w:szCs w:val="21"/>
                <w:highlight w:val="none"/>
              </w:rPr>
            </w:pPr>
            <w:r>
              <w:rPr>
                <w:rFonts w:hint="eastAsia"/>
                <w:szCs w:val="21"/>
                <w:highlight w:val="none"/>
              </w:rPr>
              <w:t>师</w:t>
            </w:r>
          </w:p>
        </w:tc>
        <w:tc>
          <w:tcPr>
            <w:tcW w:w="980" w:type="dxa"/>
          </w:tcPr>
          <w:p>
            <w:pPr>
              <w:pStyle w:val="66"/>
              <w:rPr>
                <w:szCs w:val="21"/>
                <w:highlight w:val="none"/>
              </w:rPr>
            </w:pPr>
          </w:p>
        </w:tc>
        <w:tc>
          <w:tcPr>
            <w:tcW w:w="1422" w:type="dxa"/>
          </w:tcPr>
          <w:p>
            <w:pPr>
              <w:pStyle w:val="66"/>
              <w:rPr>
                <w:szCs w:val="21"/>
                <w:highlight w:val="none"/>
              </w:rPr>
            </w:pPr>
          </w:p>
        </w:tc>
        <w:tc>
          <w:tcPr>
            <w:tcW w:w="1636" w:type="dxa"/>
          </w:tcPr>
          <w:p>
            <w:pPr>
              <w:pStyle w:val="66"/>
              <w:rPr>
                <w:szCs w:val="21"/>
                <w:highlight w:val="none"/>
              </w:rPr>
            </w:pPr>
          </w:p>
        </w:tc>
        <w:tc>
          <w:tcPr>
            <w:tcW w:w="1561" w:type="dxa"/>
            <w:vMerge w:val="restart"/>
          </w:tcPr>
          <w:p>
            <w:pPr>
              <w:pStyle w:val="66"/>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19" w:line="310" w:lineRule="atLeast"/>
              <w:ind w:left="420" w:right="288" w:hanging="120"/>
              <w:rPr>
                <w:szCs w:val="21"/>
                <w:highlight w:val="none"/>
              </w:rPr>
            </w:pPr>
            <w:r>
              <w:rPr>
                <w:rFonts w:hint="eastAsia"/>
                <w:szCs w:val="21"/>
                <w:highlight w:val="none"/>
              </w:rPr>
              <w:t>专业监理工程师</w:t>
            </w:r>
          </w:p>
        </w:tc>
        <w:tc>
          <w:tcPr>
            <w:tcW w:w="980" w:type="dxa"/>
          </w:tcPr>
          <w:p>
            <w:pPr>
              <w:pStyle w:val="66"/>
              <w:rPr>
                <w:szCs w:val="21"/>
                <w:highlight w:val="none"/>
              </w:rPr>
            </w:pPr>
          </w:p>
        </w:tc>
        <w:tc>
          <w:tcPr>
            <w:tcW w:w="1422" w:type="dxa"/>
          </w:tcPr>
          <w:p>
            <w:pPr>
              <w:pStyle w:val="66"/>
              <w:rPr>
                <w:szCs w:val="21"/>
                <w:highlight w:val="none"/>
              </w:rPr>
            </w:pPr>
          </w:p>
        </w:tc>
        <w:tc>
          <w:tcPr>
            <w:tcW w:w="1636" w:type="dxa"/>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100"/>
              <w:ind w:left="160" w:right="151"/>
              <w:jc w:val="center"/>
              <w:rPr>
                <w:szCs w:val="21"/>
                <w:highlight w:val="none"/>
              </w:rPr>
            </w:pPr>
            <w:r>
              <w:rPr>
                <w:rFonts w:hint="eastAsia"/>
                <w:szCs w:val="21"/>
                <w:highlight w:val="none"/>
              </w:rPr>
              <w:t>监理员</w:t>
            </w:r>
          </w:p>
        </w:tc>
        <w:tc>
          <w:tcPr>
            <w:tcW w:w="980" w:type="dxa"/>
          </w:tcPr>
          <w:p>
            <w:pPr>
              <w:pStyle w:val="66"/>
              <w:rPr>
                <w:szCs w:val="21"/>
                <w:highlight w:val="none"/>
              </w:rPr>
            </w:pPr>
          </w:p>
        </w:tc>
        <w:tc>
          <w:tcPr>
            <w:tcW w:w="1422" w:type="dxa"/>
          </w:tcPr>
          <w:p>
            <w:pPr>
              <w:pStyle w:val="66"/>
              <w:rPr>
                <w:szCs w:val="21"/>
                <w:highlight w:val="none"/>
              </w:rPr>
            </w:pPr>
          </w:p>
        </w:tc>
        <w:tc>
          <w:tcPr>
            <w:tcW w:w="1636" w:type="dxa"/>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36"/>
              <w:ind w:left="9"/>
              <w:jc w:val="center"/>
              <w:rPr>
                <w:szCs w:val="21"/>
                <w:highlight w:val="none"/>
              </w:rPr>
            </w:pPr>
            <w:r>
              <w:rPr>
                <w:rFonts w:hint="eastAsia"/>
                <w:szCs w:val="21"/>
                <w:highlight w:val="none"/>
              </w:rPr>
              <w:t>…</w:t>
            </w:r>
          </w:p>
        </w:tc>
        <w:tc>
          <w:tcPr>
            <w:tcW w:w="980" w:type="dxa"/>
          </w:tcPr>
          <w:p>
            <w:pPr>
              <w:pStyle w:val="66"/>
              <w:rPr>
                <w:szCs w:val="21"/>
                <w:highlight w:val="none"/>
              </w:rPr>
            </w:pPr>
          </w:p>
        </w:tc>
        <w:tc>
          <w:tcPr>
            <w:tcW w:w="1422" w:type="dxa"/>
          </w:tcPr>
          <w:p>
            <w:pPr>
              <w:pStyle w:val="66"/>
              <w:rPr>
                <w:szCs w:val="21"/>
                <w:highlight w:val="none"/>
              </w:rPr>
            </w:pPr>
          </w:p>
        </w:tc>
        <w:tc>
          <w:tcPr>
            <w:tcW w:w="1636" w:type="dxa"/>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restart"/>
          </w:tcPr>
          <w:p>
            <w:pPr>
              <w:pStyle w:val="66"/>
              <w:rPr>
                <w:b/>
                <w:szCs w:val="21"/>
                <w:highlight w:val="none"/>
              </w:rPr>
            </w:pPr>
          </w:p>
          <w:p>
            <w:pPr>
              <w:pStyle w:val="66"/>
              <w:rPr>
                <w:b/>
                <w:szCs w:val="21"/>
                <w:highlight w:val="none"/>
              </w:rPr>
            </w:pPr>
          </w:p>
          <w:p>
            <w:pPr>
              <w:pStyle w:val="66"/>
              <w:rPr>
                <w:b/>
                <w:szCs w:val="21"/>
                <w:highlight w:val="none"/>
              </w:rPr>
            </w:pPr>
          </w:p>
          <w:p>
            <w:pPr>
              <w:pStyle w:val="66"/>
              <w:rPr>
                <w:b/>
                <w:szCs w:val="21"/>
                <w:highlight w:val="none"/>
              </w:rPr>
            </w:pPr>
          </w:p>
          <w:p>
            <w:pPr>
              <w:pStyle w:val="66"/>
              <w:spacing w:before="7"/>
              <w:rPr>
                <w:b/>
                <w:szCs w:val="21"/>
                <w:highlight w:val="none"/>
              </w:rPr>
            </w:pPr>
          </w:p>
          <w:p>
            <w:pPr>
              <w:pStyle w:val="66"/>
              <w:spacing w:before="1"/>
              <w:ind w:left="110"/>
              <w:rPr>
                <w:szCs w:val="21"/>
                <w:highlight w:val="none"/>
              </w:rPr>
            </w:pPr>
            <w:r>
              <w:rPr>
                <w:rFonts w:hint="eastAsia"/>
                <w:szCs w:val="21"/>
                <w:highlight w:val="none"/>
              </w:rPr>
              <w:t>专项费用开支</w:t>
            </w:r>
          </w:p>
        </w:tc>
        <w:tc>
          <w:tcPr>
            <w:tcW w:w="1561" w:type="dxa"/>
          </w:tcPr>
          <w:p>
            <w:pPr>
              <w:pStyle w:val="66"/>
              <w:spacing w:before="110"/>
              <w:ind w:left="160" w:right="151"/>
              <w:jc w:val="center"/>
              <w:rPr>
                <w:szCs w:val="21"/>
                <w:highlight w:val="none"/>
              </w:rPr>
            </w:pPr>
            <w:r>
              <w:rPr>
                <w:rFonts w:hint="eastAsia"/>
                <w:szCs w:val="21"/>
                <w:highlight w:val="none"/>
              </w:rPr>
              <w:t>现场办公费</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50"/>
              <w:ind w:left="160" w:right="151"/>
              <w:jc w:val="center"/>
              <w:rPr>
                <w:szCs w:val="21"/>
                <w:highlight w:val="none"/>
              </w:rPr>
            </w:pPr>
            <w:r>
              <w:rPr>
                <w:rFonts w:hint="eastAsia"/>
                <w:szCs w:val="21"/>
                <w:highlight w:val="none"/>
              </w:rPr>
              <w:t>电讯费</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2"/>
              <w:ind w:left="160" w:right="151"/>
              <w:jc w:val="center"/>
              <w:rPr>
                <w:szCs w:val="21"/>
                <w:highlight w:val="none"/>
              </w:rPr>
            </w:pPr>
            <w:r>
              <w:rPr>
                <w:rFonts w:hint="eastAsia"/>
                <w:szCs w:val="21"/>
                <w:highlight w:val="none"/>
              </w:rPr>
              <w:t>交通、差</w:t>
            </w:r>
          </w:p>
          <w:p>
            <w:pPr>
              <w:pStyle w:val="66"/>
              <w:spacing w:before="4" w:line="289" w:lineRule="exact"/>
              <w:ind w:left="160" w:right="151"/>
              <w:jc w:val="center"/>
              <w:rPr>
                <w:szCs w:val="21"/>
                <w:highlight w:val="none"/>
              </w:rPr>
            </w:pPr>
            <w:r>
              <w:rPr>
                <w:rFonts w:hint="eastAsia"/>
                <w:szCs w:val="21"/>
                <w:highlight w:val="none"/>
              </w:rPr>
              <w:t>旅、住宿费</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165"/>
              <w:ind w:left="160" w:right="151"/>
              <w:jc w:val="center"/>
              <w:rPr>
                <w:szCs w:val="21"/>
                <w:highlight w:val="none"/>
              </w:rPr>
            </w:pPr>
            <w:r>
              <w:rPr>
                <w:rFonts w:hint="eastAsia"/>
                <w:szCs w:val="21"/>
                <w:highlight w:val="none"/>
              </w:rPr>
              <w:t>试验检测费</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77" w:line="242" w:lineRule="auto"/>
              <w:ind w:left="540" w:right="168" w:hanging="360"/>
              <w:rPr>
                <w:szCs w:val="21"/>
                <w:highlight w:val="none"/>
              </w:rPr>
            </w:pPr>
            <w:r>
              <w:rPr>
                <w:rFonts w:hint="eastAsia"/>
                <w:szCs w:val="21"/>
                <w:highlight w:val="none"/>
              </w:rPr>
              <w:t>现场临时设施费</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646" w:type="dxa"/>
            <w:vMerge w:val="continue"/>
            <w:tcBorders>
              <w:top w:val="nil"/>
            </w:tcBorders>
          </w:tcPr>
          <w:p>
            <w:pPr>
              <w:rPr>
                <w:rFonts w:ascii="宋体" w:hAnsi="宋体" w:cs="宋体"/>
                <w:szCs w:val="21"/>
                <w:highlight w:val="none"/>
              </w:rPr>
            </w:pPr>
          </w:p>
        </w:tc>
        <w:tc>
          <w:tcPr>
            <w:tcW w:w="600" w:type="dxa"/>
            <w:vMerge w:val="continue"/>
            <w:tcBorders>
              <w:top w:val="nil"/>
            </w:tcBorders>
          </w:tcPr>
          <w:p>
            <w:pPr>
              <w:rPr>
                <w:rFonts w:ascii="宋体" w:hAnsi="宋体" w:cs="宋体"/>
                <w:szCs w:val="21"/>
                <w:highlight w:val="none"/>
              </w:rPr>
            </w:pPr>
          </w:p>
        </w:tc>
        <w:tc>
          <w:tcPr>
            <w:tcW w:w="1661" w:type="dxa"/>
            <w:vMerge w:val="continue"/>
            <w:tcBorders>
              <w:top w:val="nil"/>
            </w:tcBorders>
          </w:tcPr>
          <w:p>
            <w:pPr>
              <w:rPr>
                <w:rFonts w:ascii="宋体" w:hAnsi="宋体" w:cs="宋体"/>
                <w:szCs w:val="21"/>
                <w:highlight w:val="none"/>
              </w:rPr>
            </w:pPr>
          </w:p>
        </w:tc>
        <w:tc>
          <w:tcPr>
            <w:tcW w:w="1561" w:type="dxa"/>
          </w:tcPr>
          <w:p>
            <w:pPr>
              <w:pStyle w:val="66"/>
              <w:spacing w:before="74"/>
              <w:ind w:left="9"/>
              <w:jc w:val="center"/>
              <w:rPr>
                <w:szCs w:val="21"/>
                <w:highlight w:val="none"/>
              </w:rPr>
            </w:pPr>
            <w:r>
              <w:rPr>
                <w:rFonts w:hint="eastAsia"/>
                <w:szCs w:val="21"/>
                <w:highlight w:val="none"/>
              </w:rPr>
              <w:t>…</w:t>
            </w:r>
          </w:p>
        </w:tc>
        <w:tc>
          <w:tcPr>
            <w:tcW w:w="4038" w:type="dxa"/>
            <w:gridSpan w:val="3"/>
          </w:tcPr>
          <w:p>
            <w:pPr>
              <w:pStyle w:val="66"/>
              <w:rPr>
                <w:szCs w:val="21"/>
                <w:highlight w:val="none"/>
              </w:rPr>
            </w:pPr>
          </w:p>
        </w:tc>
        <w:tc>
          <w:tcPr>
            <w:tcW w:w="1561" w:type="dxa"/>
            <w:vMerge w:val="continue"/>
            <w:tcBorders>
              <w:top w:val="nil"/>
            </w:tcBorders>
          </w:tcPr>
          <w:p>
            <w:pP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46" w:type="dxa"/>
          </w:tcPr>
          <w:p>
            <w:pPr>
              <w:pStyle w:val="66"/>
              <w:spacing w:before="143"/>
              <w:ind w:left="263"/>
              <w:rPr>
                <w:szCs w:val="21"/>
                <w:highlight w:val="none"/>
              </w:rPr>
            </w:pPr>
            <w:r>
              <w:rPr>
                <w:rFonts w:hint="eastAsia"/>
                <w:szCs w:val="21"/>
                <w:highlight w:val="none"/>
              </w:rPr>
              <w:t>2</w:t>
            </w:r>
          </w:p>
        </w:tc>
        <w:tc>
          <w:tcPr>
            <w:tcW w:w="7860" w:type="dxa"/>
            <w:gridSpan w:val="6"/>
          </w:tcPr>
          <w:p>
            <w:pPr>
              <w:pStyle w:val="66"/>
              <w:spacing w:before="143"/>
              <w:ind w:left="8"/>
              <w:jc w:val="center"/>
              <w:rPr>
                <w:szCs w:val="21"/>
                <w:highlight w:val="none"/>
              </w:rPr>
            </w:pPr>
            <w:r>
              <w:rPr>
                <w:rFonts w:hint="eastAsia"/>
                <w:szCs w:val="21"/>
                <w:highlight w:val="none"/>
              </w:rPr>
              <w:t>企业管理费</w:t>
            </w:r>
          </w:p>
        </w:tc>
        <w:tc>
          <w:tcPr>
            <w:tcW w:w="1561" w:type="dxa"/>
          </w:tcPr>
          <w:p>
            <w:pPr>
              <w:pStyle w:val="66"/>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646" w:type="dxa"/>
          </w:tcPr>
          <w:p>
            <w:pPr>
              <w:pStyle w:val="66"/>
              <w:spacing w:before="127"/>
              <w:ind w:left="263"/>
              <w:rPr>
                <w:szCs w:val="21"/>
                <w:highlight w:val="none"/>
              </w:rPr>
            </w:pPr>
            <w:r>
              <w:rPr>
                <w:rFonts w:hint="eastAsia"/>
                <w:szCs w:val="21"/>
                <w:highlight w:val="none"/>
              </w:rPr>
              <w:t>3</w:t>
            </w:r>
          </w:p>
        </w:tc>
        <w:tc>
          <w:tcPr>
            <w:tcW w:w="7860" w:type="dxa"/>
            <w:gridSpan w:val="6"/>
          </w:tcPr>
          <w:p>
            <w:pPr>
              <w:pStyle w:val="66"/>
              <w:tabs>
                <w:tab w:val="left" w:pos="848"/>
              </w:tabs>
              <w:spacing w:before="127"/>
              <w:ind w:left="8"/>
              <w:jc w:val="center"/>
              <w:rPr>
                <w:szCs w:val="21"/>
                <w:highlight w:val="none"/>
              </w:rPr>
            </w:pPr>
            <w:r>
              <w:rPr>
                <w:rFonts w:hint="eastAsia"/>
                <w:szCs w:val="21"/>
                <w:highlight w:val="none"/>
              </w:rPr>
              <w:t>利</w:t>
            </w:r>
            <w:r>
              <w:rPr>
                <w:rFonts w:hint="eastAsia"/>
                <w:szCs w:val="21"/>
                <w:highlight w:val="none"/>
              </w:rPr>
              <w:tab/>
            </w:r>
            <w:r>
              <w:rPr>
                <w:rFonts w:hint="eastAsia"/>
                <w:szCs w:val="21"/>
                <w:highlight w:val="none"/>
              </w:rPr>
              <w:t>润</w:t>
            </w:r>
          </w:p>
        </w:tc>
        <w:tc>
          <w:tcPr>
            <w:tcW w:w="1561" w:type="dxa"/>
          </w:tcPr>
          <w:p>
            <w:pPr>
              <w:pStyle w:val="66"/>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646" w:type="dxa"/>
          </w:tcPr>
          <w:p>
            <w:pPr>
              <w:pStyle w:val="66"/>
              <w:spacing w:before="122"/>
              <w:ind w:left="263"/>
              <w:rPr>
                <w:szCs w:val="21"/>
                <w:highlight w:val="none"/>
              </w:rPr>
            </w:pPr>
            <w:r>
              <w:rPr>
                <w:rFonts w:hint="eastAsia"/>
                <w:szCs w:val="21"/>
                <w:highlight w:val="none"/>
              </w:rPr>
              <w:t>4</w:t>
            </w:r>
          </w:p>
        </w:tc>
        <w:tc>
          <w:tcPr>
            <w:tcW w:w="7860" w:type="dxa"/>
            <w:gridSpan w:val="6"/>
          </w:tcPr>
          <w:p>
            <w:pPr>
              <w:pStyle w:val="66"/>
              <w:spacing w:before="122"/>
              <w:ind w:left="7"/>
              <w:jc w:val="center"/>
              <w:rPr>
                <w:szCs w:val="21"/>
                <w:highlight w:val="none"/>
              </w:rPr>
            </w:pPr>
            <w:r>
              <w:rPr>
                <w:rFonts w:hint="eastAsia"/>
                <w:szCs w:val="21"/>
                <w:highlight w:val="none"/>
              </w:rPr>
              <w:t>税金（包含企业所得税、增值税等）</w:t>
            </w:r>
          </w:p>
        </w:tc>
        <w:tc>
          <w:tcPr>
            <w:tcW w:w="1561" w:type="dxa"/>
          </w:tcPr>
          <w:p>
            <w:pPr>
              <w:pStyle w:val="66"/>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646" w:type="dxa"/>
          </w:tcPr>
          <w:p>
            <w:pPr>
              <w:pStyle w:val="66"/>
              <w:spacing w:before="117"/>
              <w:ind w:left="263"/>
              <w:rPr>
                <w:szCs w:val="21"/>
                <w:highlight w:val="none"/>
              </w:rPr>
            </w:pPr>
            <w:r>
              <w:rPr>
                <w:rFonts w:hint="eastAsia"/>
                <w:szCs w:val="21"/>
                <w:highlight w:val="none"/>
              </w:rPr>
              <w:t>5</w:t>
            </w:r>
          </w:p>
        </w:tc>
        <w:tc>
          <w:tcPr>
            <w:tcW w:w="7860" w:type="dxa"/>
            <w:gridSpan w:val="6"/>
          </w:tcPr>
          <w:p>
            <w:pPr>
              <w:pStyle w:val="66"/>
              <w:spacing w:before="117"/>
              <w:ind w:left="8"/>
              <w:jc w:val="center"/>
              <w:rPr>
                <w:szCs w:val="21"/>
                <w:highlight w:val="none"/>
              </w:rPr>
            </w:pPr>
            <w:r>
              <w:rPr>
                <w:rFonts w:hint="eastAsia"/>
                <w:szCs w:val="21"/>
                <w:highlight w:val="none"/>
              </w:rPr>
              <w:t>监 理 费 用 合 计</w:t>
            </w:r>
          </w:p>
        </w:tc>
        <w:tc>
          <w:tcPr>
            <w:tcW w:w="1561" w:type="dxa"/>
          </w:tcPr>
          <w:p>
            <w:pPr>
              <w:pStyle w:val="66"/>
              <w:rPr>
                <w:szCs w:val="21"/>
                <w:highlight w:val="none"/>
              </w:rPr>
            </w:pPr>
          </w:p>
        </w:tc>
      </w:tr>
    </w:tbl>
    <w:p>
      <w:pPr>
        <w:spacing w:line="242" w:lineRule="auto"/>
        <w:ind w:right="-70"/>
        <w:jc w:val="left"/>
        <w:rPr>
          <w:rFonts w:ascii="宋体" w:hAnsi="宋体" w:cs="宋体"/>
          <w:szCs w:val="21"/>
          <w:highlight w:val="none"/>
        </w:rPr>
      </w:pPr>
      <w:r>
        <w:rPr>
          <w:rFonts w:hint="eastAsia" w:ascii="宋体" w:hAnsi="宋体" w:cs="宋体"/>
          <w:szCs w:val="21"/>
          <w:highlight w:val="none"/>
        </w:rPr>
        <w:t>备注：1、若监理费用构成明细表中监理费用合计与监理投标书所报投标报价不一致，以监理投标书投标报价为准;</w:t>
      </w:r>
    </w:p>
    <w:p>
      <w:pPr>
        <w:spacing w:line="242" w:lineRule="auto"/>
        <w:ind w:right="-70"/>
        <w:jc w:val="left"/>
        <w:rPr>
          <w:sz w:val="24"/>
          <w:highlight w:val="none"/>
        </w:rPr>
      </w:pPr>
      <w:r>
        <w:rPr>
          <w:rFonts w:hint="eastAsia" w:ascii="宋体" w:hAnsi="宋体" w:cs="宋体"/>
          <w:szCs w:val="21"/>
          <w:highlight w:val="none"/>
        </w:rPr>
        <w:t>2、监理企业可根据企业实际情况增加分项费用进行报价。（本表可扩展）</w:t>
      </w:r>
    </w:p>
    <w:p>
      <w:pPr>
        <w:pStyle w:val="23"/>
        <w:ind w:firstLine="482"/>
        <w:rPr>
          <w:rFonts w:ascii="宋体" w:hAnsi="宋体" w:cs="宋体"/>
          <w:b/>
          <w:sz w:val="24"/>
          <w:szCs w:val="24"/>
          <w:highlight w:val="none"/>
        </w:rPr>
      </w:pPr>
    </w:p>
    <w:p>
      <w:pPr>
        <w:pStyle w:val="67"/>
        <w:spacing w:line="500" w:lineRule="exact"/>
        <w:ind w:firstLine="2100" w:firstLineChars="1000"/>
        <w:jc w:val="left"/>
        <w:rPr>
          <w:rFonts w:ascii="宋体" w:hAnsi="宋体" w:cs="宋体"/>
          <w:sz w:val="21"/>
          <w:szCs w:val="18"/>
          <w:highlight w:val="none"/>
        </w:rPr>
      </w:pPr>
      <w:r>
        <w:rPr>
          <w:rFonts w:hint="eastAsia" w:ascii="宋体" w:hAnsi="宋体" w:cs="宋体"/>
          <w:sz w:val="21"/>
          <w:szCs w:val="18"/>
          <w:highlight w:val="none"/>
        </w:rPr>
        <w:t>投 标 人：</w:t>
      </w:r>
      <w:r>
        <w:rPr>
          <w:rFonts w:hint="eastAsia" w:ascii="宋体" w:hAnsi="宋体" w:cs="宋体"/>
          <w:sz w:val="21"/>
          <w:szCs w:val="18"/>
          <w:highlight w:val="none"/>
          <w:u w:val="single"/>
        </w:rPr>
        <w:t xml:space="preserve">                             </w:t>
      </w:r>
      <w:r>
        <w:rPr>
          <w:rFonts w:hint="eastAsia" w:ascii="宋体" w:hAnsi="宋体" w:cs="宋体"/>
          <w:sz w:val="21"/>
          <w:szCs w:val="18"/>
          <w:highlight w:val="none"/>
        </w:rPr>
        <w:t>（盖章）</w:t>
      </w:r>
    </w:p>
    <w:p>
      <w:pPr>
        <w:pStyle w:val="67"/>
        <w:spacing w:line="500" w:lineRule="exact"/>
        <w:ind w:firstLine="2100" w:firstLineChars="1000"/>
        <w:jc w:val="left"/>
        <w:rPr>
          <w:rFonts w:ascii="宋体" w:hAnsi="宋体" w:cs="宋体"/>
          <w:sz w:val="21"/>
          <w:szCs w:val="18"/>
          <w:highlight w:val="none"/>
        </w:rPr>
      </w:pPr>
      <w:r>
        <w:rPr>
          <w:rFonts w:hint="eastAsia" w:ascii="宋体" w:hAnsi="宋体" w:cs="宋体"/>
          <w:sz w:val="21"/>
          <w:szCs w:val="18"/>
          <w:highlight w:val="none"/>
        </w:rPr>
        <w:t>法定代表人或授权代表人：</w:t>
      </w:r>
      <w:r>
        <w:rPr>
          <w:rFonts w:hint="eastAsia" w:ascii="宋体" w:hAnsi="宋体" w:cs="宋体"/>
          <w:sz w:val="21"/>
          <w:szCs w:val="18"/>
          <w:highlight w:val="none"/>
          <w:u w:val="single"/>
        </w:rPr>
        <w:t xml:space="preserve">               </w:t>
      </w:r>
    </w:p>
    <w:p>
      <w:pPr>
        <w:pStyle w:val="67"/>
        <w:spacing w:line="500" w:lineRule="exact"/>
        <w:jc w:val="left"/>
        <w:rPr>
          <w:rFonts w:ascii="宋体" w:hAnsi="宋体" w:cs="宋体"/>
          <w:sz w:val="21"/>
          <w:szCs w:val="18"/>
          <w:highlight w:val="none"/>
        </w:rPr>
      </w:pPr>
      <w:r>
        <w:rPr>
          <w:rFonts w:hint="eastAsia" w:ascii="宋体" w:hAnsi="宋体" w:cs="宋体"/>
          <w:sz w:val="21"/>
          <w:szCs w:val="18"/>
          <w:highlight w:val="none"/>
        </w:rPr>
        <w:t xml:space="preserve">                   </w:t>
      </w:r>
    </w:p>
    <w:p>
      <w:pPr>
        <w:pStyle w:val="23"/>
        <w:ind w:firstLine="5670" w:firstLineChars="2700"/>
        <w:rPr>
          <w:rFonts w:ascii="宋体" w:hAnsi="宋体" w:cs="宋体"/>
          <w:b/>
          <w:szCs w:val="21"/>
          <w:highlight w:val="none"/>
        </w:rPr>
      </w:pPr>
      <w:r>
        <w:rPr>
          <w:rFonts w:hint="eastAsia" w:ascii="宋体" w:hAnsi="宋体" w:cs="宋体"/>
          <w:szCs w:val="18"/>
          <w:highlight w:val="none"/>
          <w:u w:val="single"/>
        </w:rPr>
        <w:t xml:space="preserve">      </w:t>
      </w:r>
      <w:r>
        <w:rPr>
          <w:rFonts w:hint="eastAsia" w:ascii="宋体" w:hAnsi="宋体" w:cs="宋体"/>
          <w:szCs w:val="18"/>
          <w:highlight w:val="none"/>
        </w:rPr>
        <w:t>年</w:t>
      </w:r>
      <w:r>
        <w:rPr>
          <w:rFonts w:hint="eastAsia" w:ascii="宋体" w:hAnsi="宋体" w:cs="宋体"/>
          <w:szCs w:val="18"/>
          <w:highlight w:val="none"/>
          <w:u w:val="single"/>
        </w:rPr>
        <w:t xml:space="preserve">    </w:t>
      </w:r>
      <w:r>
        <w:rPr>
          <w:rFonts w:hint="eastAsia" w:ascii="宋体" w:hAnsi="宋体" w:cs="宋体"/>
          <w:szCs w:val="18"/>
          <w:highlight w:val="none"/>
        </w:rPr>
        <w:t>月</w:t>
      </w:r>
      <w:r>
        <w:rPr>
          <w:rFonts w:hint="eastAsia" w:ascii="宋体" w:hAnsi="宋体" w:cs="宋体"/>
          <w:szCs w:val="18"/>
          <w:highlight w:val="none"/>
          <w:u w:val="single"/>
        </w:rPr>
        <w:t xml:space="preserve">    日</w:t>
      </w:r>
    </w:p>
    <w:p>
      <w:pPr>
        <w:pStyle w:val="23"/>
        <w:ind w:firstLine="482"/>
        <w:rPr>
          <w:rFonts w:ascii="宋体" w:hAnsi="宋体" w:cs="宋体"/>
          <w:b/>
          <w:sz w:val="24"/>
          <w:szCs w:val="24"/>
          <w:highlight w:val="none"/>
        </w:rPr>
      </w:pPr>
    </w:p>
    <w:p>
      <w:pPr>
        <w:pStyle w:val="23"/>
        <w:ind w:firstLine="482"/>
        <w:rPr>
          <w:rFonts w:ascii="宋体" w:hAnsi="宋体" w:cs="宋体"/>
          <w:b/>
          <w:sz w:val="24"/>
          <w:szCs w:val="24"/>
          <w:highlight w:val="none"/>
        </w:rPr>
      </w:pPr>
    </w:p>
    <w:p>
      <w:pPr>
        <w:pStyle w:val="23"/>
        <w:ind w:firstLine="482"/>
        <w:rPr>
          <w:rFonts w:ascii="宋体" w:hAnsi="宋体" w:cs="宋体"/>
          <w:b/>
          <w:sz w:val="24"/>
          <w:szCs w:val="24"/>
          <w:highlight w:val="none"/>
        </w:rPr>
      </w:pPr>
    </w:p>
    <w:p>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三、投标保证金</w:t>
      </w:r>
    </w:p>
    <w:p>
      <w:pPr>
        <w:pStyle w:val="68"/>
        <w:widowControl/>
        <w:spacing w:after="182" w:line="256" w:lineRule="auto"/>
        <w:jc w:val="left"/>
        <w:rPr>
          <w:rFonts w:ascii="宋体" w:hAnsi="宋体" w:cs="宋体"/>
          <w:sz w:val="21"/>
          <w:szCs w:val="21"/>
          <w:highlight w:val="none"/>
        </w:rPr>
      </w:pPr>
      <w:r>
        <w:rPr>
          <w:rFonts w:hint="eastAsia" w:ascii="宋体" w:hAnsi="宋体" w:cs="宋体"/>
          <w:sz w:val="21"/>
          <w:szCs w:val="21"/>
          <w:highlight w:val="none"/>
          <w:u w:val="single"/>
        </w:rPr>
        <w:t xml:space="preserve">          （招标人名称）            </w:t>
      </w:r>
      <w:r>
        <w:rPr>
          <w:rFonts w:hint="eastAsia" w:ascii="宋体" w:hAnsi="宋体" w:cs="宋体"/>
          <w:sz w:val="21"/>
          <w:szCs w:val="21"/>
          <w:highlight w:val="none"/>
        </w:rPr>
        <w:t>：</w:t>
      </w:r>
    </w:p>
    <w:p>
      <w:pPr>
        <w:pStyle w:val="68"/>
        <w:widowControl/>
        <w:spacing w:after="32" w:line="367" w:lineRule="auto"/>
        <w:ind w:left="-15" w:right="197" w:firstLine="420" w:firstLineChars="200"/>
        <w:jc w:val="left"/>
        <w:rPr>
          <w:rFonts w:ascii="宋体" w:hAnsi="宋体" w:cs="宋体"/>
          <w:sz w:val="21"/>
          <w:szCs w:val="21"/>
          <w:highlight w:val="none"/>
        </w:rPr>
      </w:pPr>
      <w:r>
        <w:rPr>
          <w:rFonts w:hint="eastAsia" w:ascii="宋体" w:hAnsi="宋体" w:cs="宋体"/>
          <w:sz w:val="21"/>
          <w:szCs w:val="21"/>
          <w:highlight w:val="none"/>
        </w:rPr>
        <w:t>鉴于</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rPr>
        <w:t xml:space="preserve">（投标人名称）（以下称“投标人”）    </w:t>
      </w:r>
      <w:r>
        <w:rPr>
          <w:rFonts w:hint="eastAsia" w:ascii="宋体" w:hAnsi="宋体" w:cs="宋体"/>
          <w:sz w:val="21"/>
          <w:szCs w:val="21"/>
          <w:highlight w:val="none"/>
        </w:rPr>
        <w:t>于</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日参加</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rPr>
        <w:t xml:space="preserve">（项目名称）   </w:t>
      </w:r>
      <w:r>
        <w:rPr>
          <w:rFonts w:hint="eastAsia" w:ascii="宋体" w:hAnsi="宋体" w:cs="宋体"/>
          <w:sz w:val="21"/>
          <w:szCs w:val="21"/>
          <w:highlight w:val="none"/>
        </w:rPr>
        <w:t>监理招标的投标，</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rPr>
        <w:t xml:space="preserve">（担保人名称，以下简称“我方”）     </w:t>
      </w:r>
      <w:r>
        <w:rPr>
          <w:rFonts w:hint="eastAsia" w:ascii="宋体" w:hAnsi="宋体" w:cs="宋体"/>
          <w:sz w:val="21"/>
          <w:szCs w:val="21"/>
          <w:highlight w:val="none"/>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hint="eastAsia" w:ascii="宋体" w:hAnsi="宋体" w:cs="宋体"/>
          <w:sz w:val="21"/>
          <w:szCs w:val="21"/>
          <w:highlight w:val="none"/>
          <w:u w:val="single"/>
        </w:rPr>
        <w:t xml:space="preserve"> 7 </w:t>
      </w:r>
      <w:r>
        <w:rPr>
          <w:rFonts w:hint="eastAsia" w:ascii="宋体" w:hAnsi="宋体" w:cs="宋体"/>
          <w:sz w:val="21"/>
          <w:szCs w:val="21"/>
          <w:highlight w:val="none"/>
        </w:rPr>
        <w:t>日内向你方无条件支付人民币（大写）</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 xml:space="preserve">。 </w:t>
      </w:r>
    </w:p>
    <w:p>
      <w:pPr>
        <w:pStyle w:val="68"/>
        <w:widowControl/>
        <w:spacing w:after="6" w:line="388" w:lineRule="auto"/>
        <w:ind w:right="103" w:firstLine="420"/>
        <w:jc w:val="left"/>
        <w:rPr>
          <w:rFonts w:ascii="宋体" w:hAnsi="宋体" w:cs="宋体"/>
          <w:sz w:val="21"/>
          <w:szCs w:val="21"/>
          <w:highlight w:val="none"/>
        </w:rPr>
      </w:pPr>
      <w:r>
        <w:rPr>
          <w:rFonts w:hint="eastAsia" w:ascii="宋体" w:hAnsi="宋体" w:cs="宋体"/>
          <w:sz w:val="21"/>
          <w:szCs w:val="21"/>
          <w:highlight w:val="none"/>
        </w:rPr>
        <w:t xml:space="preserve">本保函在监理期限内保持有效。要求我方承担保证责任的通知应在监理期限内送达我方。 </w:t>
      </w:r>
    </w:p>
    <w:p>
      <w:pPr>
        <w:pStyle w:val="68"/>
        <w:widowControl/>
        <w:spacing w:after="175" w:line="256" w:lineRule="auto"/>
        <w:ind w:left="420"/>
        <w:jc w:val="left"/>
        <w:rPr>
          <w:rFonts w:ascii="宋体" w:hAnsi="宋体" w:cs="宋体"/>
          <w:sz w:val="21"/>
          <w:szCs w:val="21"/>
          <w:highlight w:val="none"/>
        </w:rPr>
      </w:pPr>
      <w:r>
        <w:rPr>
          <w:rFonts w:hint="eastAsia" w:ascii="宋体" w:hAnsi="宋体" w:cs="宋体"/>
          <w:sz w:val="21"/>
          <w:szCs w:val="21"/>
          <w:highlight w:val="none"/>
        </w:rPr>
        <w:t xml:space="preserve"> </w:t>
      </w:r>
    </w:p>
    <w:p>
      <w:pPr>
        <w:pStyle w:val="68"/>
        <w:widowControl/>
        <w:spacing w:line="396" w:lineRule="auto"/>
        <w:ind w:right="103" w:firstLine="2730" w:firstLineChars="1300"/>
        <w:jc w:val="left"/>
        <w:rPr>
          <w:rFonts w:ascii="宋体" w:hAnsi="宋体" w:cs="宋体"/>
          <w:sz w:val="21"/>
          <w:szCs w:val="21"/>
          <w:highlight w:val="none"/>
        </w:rPr>
      </w:pPr>
      <w:r>
        <w:rPr>
          <w:rFonts w:hint="eastAsia" w:ascii="宋体" w:hAnsi="宋体" w:cs="宋体"/>
          <w:sz w:val="21"/>
          <w:szCs w:val="21"/>
          <w:highlight w:val="none"/>
        </w:rPr>
        <w:t>担保人名称：</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（单位签章）</w:t>
      </w:r>
    </w:p>
    <w:p>
      <w:pPr>
        <w:pStyle w:val="68"/>
        <w:widowControl/>
        <w:spacing w:line="396" w:lineRule="auto"/>
        <w:ind w:right="103" w:firstLine="2730" w:firstLineChars="1300"/>
        <w:jc w:val="left"/>
        <w:rPr>
          <w:rFonts w:ascii="宋体" w:hAnsi="宋体" w:cs="宋体"/>
          <w:sz w:val="21"/>
          <w:szCs w:val="21"/>
          <w:highlight w:val="none"/>
        </w:rPr>
      </w:pPr>
      <w:r>
        <w:rPr>
          <w:rFonts w:hint="eastAsia" w:ascii="宋体" w:hAnsi="宋体" w:cs="宋体"/>
          <w:sz w:val="21"/>
          <w:szCs w:val="21"/>
          <w:highlight w:val="none"/>
        </w:rPr>
        <w:t>法定代表人或委托代理人：</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（签字）</w:t>
      </w:r>
    </w:p>
    <w:p>
      <w:pPr>
        <w:pStyle w:val="68"/>
        <w:widowControl/>
        <w:spacing w:line="396" w:lineRule="auto"/>
        <w:ind w:right="103" w:firstLine="2730" w:firstLineChars="1300"/>
        <w:jc w:val="left"/>
        <w:rPr>
          <w:rFonts w:ascii="宋体" w:hAnsi="宋体" w:cs="宋体"/>
          <w:sz w:val="21"/>
          <w:szCs w:val="21"/>
          <w:highlight w:val="none"/>
        </w:rPr>
      </w:pPr>
      <w:r>
        <w:rPr>
          <w:rFonts w:hint="eastAsia" w:ascii="宋体" w:hAnsi="宋体" w:cs="宋体"/>
          <w:sz w:val="21"/>
          <w:szCs w:val="21"/>
          <w:highlight w:val="none"/>
        </w:rPr>
        <w:t>地址：</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rPr>
        <w:t xml:space="preserve"> </w:t>
      </w:r>
    </w:p>
    <w:p>
      <w:pPr>
        <w:pStyle w:val="68"/>
        <w:widowControl/>
        <w:spacing w:line="396" w:lineRule="auto"/>
        <w:ind w:right="103" w:firstLine="2730" w:firstLineChars="1300"/>
        <w:jc w:val="left"/>
        <w:rPr>
          <w:rFonts w:ascii="宋体" w:hAnsi="宋体" w:cs="宋体"/>
          <w:sz w:val="21"/>
          <w:szCs w:val="21"/>
          <w:highlight w:val="none"/>
        </w:rPr>
      </w:pPr>
      <w:r>
        <w:rPr>
          <w:rFonts w:hint="eastAsia" w:ascii="宋体" w:hAnsi="宋体" w:cs="宋体"/>
          <w:sz w:val="21"/>
          <w:szCs w:val="21"/>
          <w:highlight w:val="none"/>
        </w:rPr>
        <w:t>邮政编码：</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rPr>
        <w:t xml:space="preserve"> </w:t>
      </w:r>
    </w:p>
    <w:p>
      <w:pPr>
        <w:pStyle w:val="68"/>
        <w:widowControl/>
        <w:spacing w:line="396" w:lineRule="auto"/>
        <w:ind w:right="103" w:firstLine="2730" w:firstLineChars="1300"/>
        <w:jc w:val="left"/>
        <w:rPr>
          <w:rFonts w:ascii="宋体" w:hAnsi="宋体" w:cs="宋体"/>
          <w:sz w:val="21"/>
          <w:szCs w:val="21"/>
          <w:highlight w:val="none"/>
        </w:rPr>
      </w:pPr>
      <w:r>
        <w:rPr>
          <w:rFonts w:hint="eastAsia" w:ascii="宋体" w:hAnsi="宋体" w:cs="宋体"/>
          <w:sz w:val="21"/>
          <w:szCs w:val="21"/>
          <w:highlight w:val="none"/>
        </w:rPr>
        <w:t>电话：</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u w:val="single" w:color="000000"/>
        </w:rPr>
        <w:tab/>
      </w:r>
      <w:r>
        <w:rPr>
          <w:rFonts w:hint="eastAsia" w:ascii="宋体" w:hAnsi="宋体" w:cs="宋体"/>
          <w:sz w:val="21"/>
          <w:szCs w:val="21"/>
          <w:highlight w:val="none"/>
        </w:rPr>
        <w:t xml:space="preserve"> </w:t>
      </w:r>
    </w:p>
    <w:p>
      <w:pPr>
        <w:pStyle w:val="68"/>
        <w:widowControl/>
        <w:spacing w:after="4" w:line="384" w:lineRule="auto"/>
        <w:ind w:right="1038" w:firstLine="2940" w:firstLineChars="1400"/>
        <w:jc w:val="left"/>
        <w:rPr>
          <w:rFonts w:ascii="宋体" w:hAnsi="宋体" w:cs="宋体"/>
          <w:sz w:val="21"/>
          <w:szCs w:val="21"/>
          <w:highlight w:val="none"/>
        </w:rPr>
      </w:pP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color="000000"/>
        </w:rPr>
        <w:t xml:space="preserve">        </w:t>
      </w:r>
      <w:r>
        <w:rPr>
          <w:rFonts w:hint="eastAsia" w:ascii="宋体" w:hAnsi="宋体" w:cs="宋体"/>
          <w:sz w:val="21"/>
          <w:szCs w:val="21"/>
          <w:highlight w:val="none"/>
        </w:rPr>
        <w:t xml:space="preserve">日 </w:t>
      </w:r>
    </w:p>
    <w:p>
      <w:pPr>
        <w:pStyle w:val="68"/>
        <w:widowControl/>
        <w:spacing w:after="175" w:line="256" w:lineRule="auto"/>
        <w:ind w:right="1041"/>
        <w:jc w:val="left"/>
        <w:rPr>
          <w:rFonts w:ascii="宋体" w:hAnsi="宋体" w:cs="宋体"/>
          <w:sz w:val="21"/>
          <w:szCs w:val="21"/>
          <w:highlight w:val="none"/>
        </w:rPr>
      </w:pPr>
    </w:p>
    <w:p>
      <w:pPr>
        <w:pStyle w:val="68"/>
        <w:rPr>
          <w:rFonts w:ascii="宋体" w:hAnsi="宋体" w:cs="宋体"/>
          <w:sz w:val="21"/>
          <w:szCs w:val="21"/>
          <w:highlight w:val="none"/>
        </w:rPr>
      </w:pPr>
      <w:r>
        <w:rPr>
          <w:rFonts w:hint="eastAsia" w:ascii="宋体" w:hAnsi="宋体" w:cs="宋体"/>
          <w:sz w:val="21"/>
          <w:szCs w:val="21"/>
          <w:highlight w:val="none"/>
        </w:rPr>
        <w:t>注：如采用银行保函，采用上述格式。若采用现金或支票等，投标人应在此提供汇款凭证的复印件</w:t>
      </w:r>
    </w:p>
    <w:p>
      <w:pPr>
        <w:pStyle w:val="68"/>
        <w:rPr>
          <w:rFonts w:ascii="宋体" w:hAnsi="宋体" w:cs="宋体"/>
          <w:sz w:val="21"/>
          <w:szCs w:val="21"/>
          <w:highlight w:val="none"/>
        </w:rPr>
      </w:pPr>
    </w:p>
    <w:p>
      <w:pPr>
        <w:pStyle w:val="68"/>
        <w:rPr>
          <w:rFonts w:ascii="宋体" w:hAnsi="宋体" w:cs="宋体"/>
          <w:sz w:val="21"/>
          <w:szCs w:val="21"/>
          <w:highlight w:val="none"/>
        </w:rPr>
      </w:pPr>
    </w:p>
    <w:p>
      <w:pPr>
        <w:pStyle w:val="68"/>
        <w:rPr>
          <w:rFonts w:ascii="宋体" w:hAnsi="宋体" w:cs="宋体"/>
          <w:sz w:val="21"/>
          <w:szCs w:val="21"/>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500"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 w:val="21"/>
                <w:szCs w:val="21"/>
                <w:highlight w:val="none"/>
              </w:rPr>
            </w:pPr>
            <w:r>
              <w:rPr>
                <w:rFonts w:hint="eastAsia" w:ascii="宋体" w:hAnsi="宋体" w:cs="宋体"/>
                <w:sz w:val="21"/>
                <w:szCs w:val="21"/>
                <w:highlight w:val="none"/>
              </w:rPr>
              <w:t>投标保证金银行汇款凭证扫描件粘贴处</w:t>
            </w:r>
          </w:p>
          <w:p>
            <w:pPr>
              <w:pStyle w:val="68"/>
              <w:jc w:val="center"/>
              <w:rPr>
                <w:rFonts w:ascii="宋体" w:hAnsi="宋体" w:cs="宋体"/>
                <w:sz w:val="21"/>
                <w:szCs w:val="21"/>
                <w:highlight w:val="none"/>
              </w:rPr>
            </w:pPr>
          </w:p>
        </w:tc>
      </w:tr>
    </w:tbl>
    <w:p>
      <w:pPr>
        <w:spacing w:line="360" w:lineRule="auto"/>
        <w:ind w:firstLine="412" w:firstLineChars="171"/>
        <w:jc w:val="center"/>
        <w:rPr>
          <w:rFonts w:ascii="宋体" w:hAnsi="宋体" w:cs="宋体"/>
          <w:b/>
          <w:sz w:val="24"/>
          <w:szCs w:val="24"/>
          <w:highlight w:val="none"/>
        </w:rPr>
      </w:pPr>
    </w:p>
    <w:p>
      <w:pPr>
        <w:spacing w:line="360" w:lineRule="auto"/>
        <w:rPr>
          <w:rFonts w:ascii="宋体" w:hAnsi="宋体" w:cs="宋体"/>
          <w:b/>
          <w:sz w:val="24"/>
          <w:szCs w:val="24"/>
          <w:highlight w:val="none"/>
        </w:rPr>
      </w:pPr>
    </w:p>
    <w:p>
      <w:pPr>
        <w:pStyle w:val="23"/>
        <w:ind w:firstLine="0" w:firstLineChars="0"/>
        <w:rPr>
          <w:rFonts w:ascii="宋体" w:hAnsi="宋体" w:cs="宋体"/>
          <w:b/>
          <w:sz w:val="24"/>
          <w:szCs w:val="24"/>
          <w:highlight w:val="none"/>
        </w:rPr>
      </w:pPr>
    </w:p>
    <w:p>
      <w:pPr>
        <w:spacing w:line="360" w:lineRule="auto"/>
        <w:jc w:val="center"/>
        <w:rPr>
          <w:rFonts w:ascii="宋体" w:hAnsi="宋体" w:cs="宋体"/>
          <w:bCs/>
          <w:szCs w:val="21"/>
          <w:highlight w:val="none"/>
        </w:rPr>
      </w:pPr>
      <w:r>
        <w:rPr>
          <w:rFonts w:hint="eastAsia" w:ascii="宋体" w:hAnsi="宋体" w:cs="宋体"/>
          <w:b/>
          <w:sz w:val="24"/>
          <w:szCs w:val="24"/>
          <w:highlight w:val="none"/>
        </w:rPr>
        <w:t>四、法定代表人授权委托书</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本授权委托书声明：我</w:t>
      </w:r>
      <w:r>
        <w:rPr>
          <w:rFonts w:hint="eastAsia" w:ascii="宋体" w:hAnsi="宋体" w:cs="宋体"/>
          <w:bCs/>
          <w:szCs w:val="21"/>
          <w:highlight w:val="none"/>
          <w:u w:val="single"/>
        </w:rPr>
        <w:t xml:space="preserve">                </w:t>
      </w:r>
      <w:r>
        <w:rPr>
          <w:rFonts w:hint="eastAsia" w:ascii="宋体" w:hAnsi="宋体" w:cs="宋体"/>
          <w:bCs/>
          <w:szCs w:val="21"/>
          <w:highlight w:val="none"/>
        </w:rPr>
        <w:t>系</w:t>
      </w:r>
      <w:r>
        <w:rPr>
          <w:rFonts w:hint="eastAsia" w:ascii="宋体" w:hAnsi="宋体" w:cs="宋体"/>
          <w:bCs/>
          <w:szCs w:val="21"/>
          <w:highlight w:val="none"/>
          <w:u w:val="single"/>
        </w:rPr>
        <w:t xml:space="preserve">                              </w:t>
      </w:r>
      <w:r>
        <w:rPr>
          <w:rFonts w:hint="eastAsia" w:ascii="宋体" w:hAnsi="宋体" w:cs="宋体"/>
          <w:bCs/>
          <w:szCs w:val="21"/>
          <w:highlight w:val="none"/>
        </w:rPr>
        <w:t>的法定代表人，现授权委托</w:t>
      </w:r>
      <w:r>
        <w:rPr>
          <w:rFonts w:hint="eastAsia" w:ascii="宋体" w:hAnsi="宋体" w:cs="宋体"/>
          <w:bCs/>
          <w:szCs w:val="21"/>
          <w:highlight w:val="none"/>
          <w:u w:val="single"/>
        </w:rPr>
        <w:t xml:space="preserve">                         </w:t>
      </w:r>
      <w:r>
        <w:rPr>
          <w:rFonts w:hint="eastAsia" w:ascii="宋体" w:hAnsi="宋体" w:cs="宋体"/>
          <w:bCs/>
          <w:szCs w:val="21"/>
          <w:highlight w:val="none"/>
        </w:rPr>
        <w:t>为我的代理人，以本单位的名义参加招标工程的投标活动。代理人在参加整个招标投标活动、合同谈判过程中所签署的一切文件和处理与之相关的一切事物，我均予承认。</w:t>
      </w:r>
    </w:p>
    <w:p>
      <w:pPr>
        <w:spacing w:line="360" w:lineRule="auto"/>
        <w:ind w:firstLine="359" w:firstLineChars="171"/>
        <w:jc w:val="left"/>
        <w:rPr>
          <w:rFonts w:ascii="宋体" w:hAnsi="宋体" w:cs="宋体"/>
          <w:bCs/>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2671445</wp:posOffset>
                </wp:positionH>
                <wp:positionV relativeFrom="paragraph">
                  <wp:posOffset>62230</wp:posOffset>
                </wp:positionV>
                <wp:extent cx="2381250" cy="1341120"/>
                <wp:effectExtent l="4445" t="4445" r="14605" b="6985"/>
                <wp:wrapNone/>
                <wp:docPr id="10" name="文本框 10"/>
                <wp:cNvGraphicFramePr/>
                <a:graphic xmlns:a="http://schemas.openxmlformats.org/drawingml/2006/main">
                  <a:graphicData uri="http://schemas.microsoft.com/office/word/2010/wordprocessingShape">
                    <wps:wsp>
                      <wps:cNvSpPr txBox="1"/>
                      <wps:spPr>
                        <a:xfrm>
                          <a:off x="0" y="0"/>
                          <a:ext cx="2381250" cy="13411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ind w:firstLine="630" w:firstLineChars="300"/>
                            </w:pPr>
                            <w:r>
                              <w:rPr>
                                <w:rFonts w:hint="eastAsia"/>
                              </w:rPr>
                              <w:t>法定代表人身份证反面</w:t>
                            </w:r>
                          </w:p>
                        </w:txbxContent>
                      </wps:txbx>
                      <wps:bodyPr upright="1"/>
                    </wps:wsp>
                  </a:graphicData>
                </a:graphic>
              </wp:anchor>
            </w:drawing>
          </mc:Choice>
          <mc:Fallback>
            <w:pict>
              <v:shape id="_x0000_s1026" o:spid="_x0000_s1026" o:spt="202" type="#_x0000_t202" style="position:absolute;left:0pt;margin-left:210.35pt;margin-top:4.9pt;height:105.6pt;width:187.5pt;z-index:251662336;mso-width-relative:page;mso-height-relative:page;" fillcolor="#FFFFFF" filled="t" stroked="t" coordsize="21600,21600" o:gfxdata="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V77+dgAAAAJAQAADwAAAAAAAAABACAA&#10;AAAiAAAAZHJzL2Rvd25yZXYueG1sUEsBAhQAFAAAAAgAh07iQAOTLi8NAgAAOQQAAA4AAAAAAAAA&#10;AQAgAAAAJwEAAGRycy9lMm9Eb2MueG1sUEsFBgAAAAAGAAYAWQEAAKYFAAAAAA==&#10;">
                <v:fill on="t" focussize="0,0"/>
                <v:stroke color="#000000" joinstyle="miter"/>
                <v:imagedata o:title=""/>
                <o:lock v:ext="edit" aspectratio="f"/>
                <v:textbox>
                  <w:txbxContent>
                    <w:p/>
                    <w:p/>
                    <w:p/>
                    <w:p>
                      <w:pPr>
                        <w:ind w:firstLine="630" w:firstLineChars="300"/>
                      </w:pPr>
                      <w:r>
                        <w:rPr>
                          <w:rFonts w:hint="eastAsia"/>
                        </w:rPr>
                        <w:t>法定代表人身份证反面</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69215</wp:posOffset>
                </wp:positionV>
                <wp:extent cx="2381250" cy="1341120"/>
                <wp:effectExtent l="4445" t="4445" r="14605" b="6985"/>
                <wp:wrapNone/>
                <wp:docPr id="11" name="文本框 11"/>
                <wp:cNvGraphicFramePr/>
                <a:graphic xmlns:a="http://schemas.openxmlformats.org/drawingml/2006/main">
                  <a:graphicData uri="http://schemas.microsoft.com/office/word/2010/wordprocessingShape">
                    <wps:wsp>
                      <wps:cNvSpPr txBox="1"/>
                      <wps:spPr>
                        <a:xfrm>
                          <a:off x="0" y="0"/>
                          <a:ext cx="2381250" cy="13411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ind w:firstLine="630" w:firstLineChars="300"/>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5.2pt;margin-top:5.45pt;height:105.6pt;width:187.5pt;z-index:251661312;mso-width-relative:page;mso-height-relative:page;" fillcolor="#FFFFFF" filled="t" stroked="t" coordsize="21600,21600" o:gfxdata="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9R6HYAAAACQEAAA8AAAAAAAAAAQAg&#10;AAAAIgAAAGRycy9kb3ducmV2LnhtbFBLAQIUABQAAAAIAIdO4kB/2G24DgIAADkEAAAOAAAAAAAA&#10;AAEAIAAAACcBAABkcnMvZTJvRG9jLnhtbFBLBQYAAAAABgAGAFkBAACnBQAAAAA=&#10;">
                <v:fill on="t" focussize="0,0"/>
                <v:stroke color="#000000" joinstyle="miter"/>
                <v:imagedata o:title=""/>
                <o:lock v:ext="edit" aspectratio="f"/>
                <v:textbox>
                  <w:txbxContent>
                    <w:p/>
                    <w:p/>
                    <w:p/>
                    <w:p>
                      <w:pPr>
                        <w:ind w:firstLine="630" w:firstLineChars="300"/>
                      </w:pPr>
                      <w:r>
                        <w:rPr>
                          <w:rFonts w:hint="eastAsia"/>
                        </w:rPr>
                        <w:t>法定代表人身份证正面</w:t>
                      </w:r>
                    </w:p>
                  </w:txbxContent>
                </v:textbox>
              </v:shape>
            </w:pict>
          </mc:Fallback>
        </mc:AlternateContent>
      </w: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r>
        <w:rPr>
          <w:sz w:val="21"/>
          <w:highlight w:val="none"/>
        </w:rPr>
        <mc:AlternateContent>
          <mc:Choice Requires="wps">
            <w:drawing>
              <wp:anchor distT="0" distB="0" distL="114300" distR="114300" simplePos="0" relativeHeight="251664384" behindDoc="0" locked="0" layoutInCell="1" allowOverlap="1">
                <wp:simplePos x="0" y="0"/>
                <wp:positionH relativeFrom="column">
                  <wp:posOffset>2682240</wp:posOffset>
                </wp:positionH>
                <wp:positionV relativeFrom="paragraph">
                  <wp:posOffset>97790</wp:posOffset>
                </wp:positionV>
                <wp:extent cx="2381250" cy="1341120"/>
                <wp:effectExtent l="4445" t="4445" r="14605" b="6985"/>
                <wp:wrapNone/>
                <wp:docPr id="13" name="文本框 13"/>
                <wp:cNvGraphicFramePr/>
                <a:graphic xmlns:a="http://schemas.openxmlformats.org/drawingml/2006/main">
                  <a:graphicData uri="http://schemas.microsoft.com/office/word/2010/wordprocessingShape">
                    <wps:wsp>
                      <wps:cNvSpPr txBox="1"/>
                      <wps:spPr>
                        <a:xfrm>
                          <a:off x="0" y="0"/>
                          <a:ext cx="2381250" cy="13411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ind w:firstLine="630" w:firstLineChars="300"/>
                            </w:pPr>
                            <w:r>
                              <w:rPr>
                                <w:rFonts w:hint="eastAsia"/>
                              </w:rPr>
                              <w:t>授权委托人身份证反面</w:t>
                            </w:r>
                          </w:p>
                        </w:txbxContent>
                      </wps:txbx>
                      <wps:bodyPr upright="1"/>
                    </wps:wsp>
                  </a:graphicData>
                </a:graphic>
              </wp:anchor>
            </w:drawing>
          </mc:Choice>
          <mc:Fallback>
            <w:pict>
              <v:shape id="_x0000_s1026" o:spid="_x0000_s1026" o:spt="202" type="#_x0000_t202" style="position:absolute;left:0pt;margin-left:211.2pt;margin-top:7.7pt;height:105.6pt;width:187.5pt;z-index:251664384;mso-width-relative:page;mso-height-relative:page;" fillcolor="#FFFFFF" filled="t" stroked="t" coordsize="21600,21600" o:gfxdata="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luEC2QAAAAoBAAAPAAAAAAAAAAEA&#10;IAAAACIAAABkcnMvZG93bnJldi54bWxQSwECFAAUAAAACACHTuJAxkiaTQ4CAAA5BAAADgAAAAAA&#10;AAABACAAAAAoAQAAZHJzL2Uyb0RvYy54bWxQSwUGAAAAAAYABgBZAQAAqAUAAAAA&#10;">
                <v:fill on="t" focussize="0,0"/>
                <v:stroke color="#000000" joinstyle="miter"/>
                <v:imagedata o:title=""/>
                <o:lock v:ext="edit" aspectratio="f"/>
                <v:textbox>
                  <w:txbxContent>
                    <w:p/>
                    <w:p/>
                    <w:p/>
                    <w:p>
                      <w:pPr>
                        <w:ind w:firstLine="630" w:firstLineChars="300"/>
                      </w:pPr>
                      <w:r>
                        <w:rPr>
                          <w:rFonts w:hint="eastAsia"/>
                        </w:rPr>
                        <w:t>授权委托人身份证反面</w:t>
                      </w:r>
                    </w:p>
                  </w:txbxContent>
                </v:textbox>
              </v:shape>
            </w:pict>
          </mc:Fallback>
        </mc:AlternateContent>
      </w: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109220</wp:posOffset>
                </wp:positionV>
                <wp:extent cx="2381250" cy="1341120"/>
                <wp:effectExtent l="4445" t="4445" r="14605" b="6985"/>
                <wp:wrapNone/>
                <wp:docPr id="12" name="文本框 12"/>
                <wp:cNvGraphicFramePr/>
                <a:graphic xmlns:a="http://schemas.openxmlformats.org/drawingml/2006/main">
                  <a:graphicData uri="http://schemas.microsoft.com/office/word/2010/wordprocessingShape">
                    <wps:wsp>
                      <wps:cNvSpPr txBox="1"/>
                      <wps:spPr>
                        <a:xfrm>
                          <a:off x="0" y="0"/>
                          <a:ext cx="2381250" cy="13411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ind w:firstLine="630" w:firstLineChars="300"/>
                            </w:pPr>
                            <w:r>
                              <w:rPr>
                                <w:rFonts w:hint="eastAsia"/>
                              </w:rPr>
                              <w:t>授权委托人身份证正面</w:t>
                            </w:r>
                          </w:p>
                        </w:txbxContent>
                      </wps:txbx>
                      <wps:bodyPr upright="1"/>
                    </wps:wsp>
                  </a:graphicData>
                </a:graphic>
              </wp:anchor>
            </w:drawing>
          </mc:Choice>
          <mc:Fallback>
            <w:pict>
              <v:shape id="_x0000_s1026" o:spid="_x0000_s1026" o:spt="202" type="#_x0000_t202" style="position:absolute;left:0pt;margin-left:3.8pt;margin-top:8.6pt;height:105.6pt;width:187.5pt;z-index:251663360;mso-width-relative:page;mso-height-relative:page;" fillcolor="#FFFFFF" filled="t" stroked="t" coordsize="21600,21600" o:gfxdata="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STQKtcAAAAIAQAADwAAAAAAAAABACAA&#10;AAAiAAAAZHJzL2Rvd25yZXYueG1sUEsBAhQAFAAAAAgAh07iQLoD2doOAgAAOQQAAA4AAAAAAAAA&#10;AQAgAAAAJgEAAGRycy9lMm9Eb2MueG1sUEsFBgAAAAAGAAYAWQEAAKYFAAAAAA==&#10;">
                <v:fill on="t" focussize="0,0"/>
                <v:stroke color="#000000" joinstyle="miter"/>
                <v:imagedata o:title=""/>
                <o:lock v:ext="edit" aspectratio="f"/>
                <v:textbox>
                  <w:txbxContent>
                    <w:p/>
                    <w:p/>
                    <w:p/>
                    <w:p>
                      <w:pPr>
                        <w:ind w:firstLine="630" w:firstLineChars="300"/>
                      </w:pPr>
                      <w:r>
                        <w:rPr>
                          <w:rFonts w:hint="eastAsia"/>
                        </w:rPr>
                        <w:t>授权委托人身份证正面</w:t>
                      </w:r>
                    </w:p>
                  </w:txbxContent>
                </v:textbox>
              </v:shape>
            </w:pict>
          </mc:Fallback>
        </mc:AlternateContent>
      </w: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pStyle w:val="16"/>
        <w:adjustRightInd w:val="0"/>
        <w:ind w:left="0" w:firstLine="0"/>
        <w:textAlignment w:val="baseline"/>
        <w:rPr>
          <w:rFonts w:ascii="宋体" w:hAnsi="宋体" w:cs="宋体"/>
          <w:bCs/>
          <w:sz w:val="21"/>
          <w:szCs w:val="21"/>
          <w:highlight w:val="none"/>
        </w:rPr>
      </w:pPr>
    </w:p>
    <w:p>
      <w:pPr>
        <w:spacing w:line="360" w:lineRule="auto"/>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投</w:t>
      </w:r>
      <w:r>
        <w:rPr>
          <w:rFonts w:hint="eastAsia" w:ascii="宋体" w:hAnsi="宋体" w:cs="宋体"/>
          <w:bCs/>
          <w:szCs w:val="21"/>
          <w:highlight w:val="none"/>
        </w:rPr>
        <w:tab/>
      </w:r>
      <w:r>
        <w:rPr>
          <w:rFonts w:hint="eastAsia" w:ascii="宋体" w:hAnsi="宋体" w:cs="宋体"/>
          <w:bCs/>
          <w:szCs w:val="21"/>
          <w:highlight w:val="none"/>
        </w:rPr>
        <w:t>标</w:t>
      </w:r>
      <w:r>
        <w:rPr>
          <w:rFonts w:hint="eastAsia" w:ascii="宋体" w:hAnsi="宋体" w:cs="宋体"/>
          <w:bCs/>
          <w:szCs w:val="21"/>
          <w:highlight w:val="none"/>
        </w:rPr>
        <w:tab/>
      </w:r>
      <w:r>
        <w:rPr>
          <w:rFonts w:hint="eastAsia" w:ascii="宋体" w:hAnsi="宋体" w:cs="宋体"/>
          <w:bCs/>
          <w:szCs w:val="21"/>
          <w:highlight w:val="none"/>
        </w:rPr>
        <w:t>人：</w:t>
      </w:r>
      <w:r>
        <w:rPr>
          <w:rFonts w:hint="eastAsia" w:ascii="宋体" w:hAnsi="宋体" w:cs="宋体"/>
          <w:bCs/>
          <w:szCs w:val="21"/>
          <w:highlight w:val="none"/>
          <w:u w:val="single"/>
        </w:rPr>
        <w:t xml:space="preserve">                                      </w:t>
      </w:r>
      <w:r>
        <w:rPr>
          <w:rFonts w:hint="eastAsia" w:ascii="宋体" w:hAnsi="宋体" w:cs="宋体"/>
          <w:bCs/>
          <w:szCs w:val="21"/>
          <w:highlight w:val="none"/>
        </w:rPr>
        <w:t>（盖章）</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法定代表人：</w:t>
      </w:r>
      <w:r>
        <w:rPr>
          <w:rFonts w:hint="eastAsia" w:ascii="宋体" w:hAnsi="宋体" w:cs="宋体"/>
          <w:bCs/>
          <w:szCs w:val="21"/>
          <w:highlight w:val="none"/>
          <w:u w:val="single"/>
        </w:rPr>
        <w:t xml:space="preserve">                                       </w:t>
      </w:r>
      <w:r>
        <w:rPr>
          <w:rFonts w:hint="eastAsia" w:ascii="宋体" w:hAnsi="宋体" w:cs="宋体"/>
          <w:bCs/>
          <w:szCs w:val="21"/>
          <w:highlight w:val="none"/>
        </w:rPr>
        <w:t>（签字）</w:t>
      </w:r>
    </w:p>
    <w:p>
      <w:pPr>
        <w:spacing w:line="360" w:lineRule="auto"/>
        <w:ind w:firstLine="359" w:firstLineChars="171"/>
        <w:jc w:val="left"/>
        <w:rPr>
          <w:rFonts w:ascii="宋体" w:hAnsi="宋体" w:cs="宋体"/>
          <w:bCs/>
          <w:szCs w:val="21"/>
          <w:highlight w:val="none"/>
        </w:rPr>
      </w:pPr>
    </w:p>
    <w:p>
      <w:pPr>
        <w:pStyle w:val="16"/>
        <w:adjustRightInd w:val="0"/>
        <w:ind w:left="0" w:firstLine="420" w:firstLineChars="200"/>
        <w:textAlignment w:val="baseline"/>
        <w:rPr>
          <w:highlight w:val="none"/>
        </w:rPr>
      </w:pPr>
      <w:r>
        <w:rPr>
          <w:rFonts w:hint="eastAsia" w:ascii="宋体" w:hAnsi="宋体" w:cs="宋体"/>
          <w:bCs/>
          <w:sz w:val="21"/>
          <w:szCs w:val="21"/>
          <w:highlight w:val="none"/>
        </w:rPr>
        <w:t>授权委托人：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（签字）</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6300" w:firstLineChars="3000"/>
        <w:jc w:val="left"/>
        <w:rPr>
          <w:rFonts w:ascii="宋体" w:hAnsi="宋体" w:cs="宋体"/>
          <w:bCs/>
          <w:szCs w:val="21"/>
          <w:highlight w:val="none"/>
        </w:rPr>
      </w:pPr>
      <w:r>
        <w:rPr>
          <w:rFonts w:hint="eastAsia" w:ascii="宋体" w:hAnsi="宋体" w:cs="宋体"/>
          <w:bCs/>
          <w:szCs w:val="21"/>
          <w:highlight w:val="none"/>
        </w:rPr>
        <w:t>年</w:t>
      </w:r>
      <w:r>
        <w:rPr>
          <w:rFonts w:hint="eastAsia" w:ascii="宋体" w:hAnsi="宋体" w:cs="宋体"/>
          <w:bCs/>
          <w:szCs w:val="21"/>
          <w:highlight w:val="none"/>
        </w:rPr>
        <w:tab/>
      </w:r>
      <w:r>
        <w:rPr>
          <w:rFonts w:hint="eastAsia" w:ascii="宋体" w:hAnsi="宋体" w:cs="宋体"/>
          <w:bCs/>
          <w:szCs w:val="21"/>
          <w:highlight w:val="none"/>
        </w:rPr>
        <w:t>月</w:t>
      </w:r>
      <w:r>
        <w:rPr>
          <w:rFonts w:hint="eastAsia" w:ascii="宋体" w:hAnsi="宋体" w:cs="宋体"/>
          <w:bCs/>
          <w:szCs w:val="21"/>
          <w:highlight w:val="none"/>
        </w:rPr>
        <w:tab/>
      </w:r>
      <w:r>
        <w:rPr>
          <w:rFonts w:hint="eastAsia" w:ascii="宋体" w:hAnsi="宋体" w:cs="宋体"/>
          <w:bCs/>
          <w:szCs w:val="21"/>
          <w:highlight w:val="none"/>
        </w:rPr>
        <w:t>日</w:t>
      </w:r>
    </w:p>
    <w:p>
      <w:pPr>
        <w:pStyle w:val="23"/>
        <w:ind w:firstLine="0" w:firstLineChars="0"/>
        <w:rPr>
          <w:rFonts w:ascii="宋体" w:hAnsi="宋体" w:cs="宋体"/>
          <w:bCs/>
          <w:szCs w:val="21"/>
          <w:highlight w:val="none"/>
        </w:rPr>
      </w:pPr>
    </w:p>
    <w:p>
      <w:pPr>
        <w:spacing w:line="360" w:lineRule="auto"/>
        <w:jc w:val="center"/>
        <w:rPr>
          <w:rFonts w:ascii="宋体" w:hAnsi="宋体" w:cs="宋体"/>
          <w:bCs/>
          <w:szCs w:val="21"/>
          <w:highlight w:val="none"/>
        </w:rPr>
      </w:pPr>
      <w:r>
        <w:rPr>
          <w:rFonts w:hint="eastAsia" w:ascii="宋体" w:hAnsi="宋体" w:cs="宋体"/>
          <w:b/>
          <w:sz w:val="24"/>
          <w:szCs w:val="24"/>
          <w:highlight w:val="none"/>
        </w:rPr>
        <w:t>五、项目总监理工程师情况一览表</w:t>
      </w: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6"/>
        <w:gridCol w:w="1491"/>
        <w:gridCol w:w="994"/>
        <w:gridCol w:w="492"/>
        <w:gridCol w:w="1210"/>
        <w:gridCol w:w="434"/>
        <w:gridCol w:w="1428"/>
        <w:gridCol w:w="547"/>
        <w:gridCol w:w="14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9507" w:type="dxa"/>
            <w:gridSpan w:val="9"/>
            <w:tcBorders>
              <w:bottom w:val="single" w:color="000000" w:sz="4" w:space="0"/>
            </w:tcBorders>
          </w:tcPr>
          <w:p>
            <w:pPr>
              <w:pStyle w:val="66"/>
              <w:spacing w:before="137"/>
              <w:ind w:left="2763" w:right="2734"/>
              <w:jc w:val="center"/>
              <w:rPr>
                <w:bCs/>
                <w:szCs w:val="21"/>
                <w:highlight w:val="none"/>
              </w:rPr>
            </w:pPr>
            <w:r>
              <w:rPr>
                <w:rFonts w:hint="eastAsia"/>
                <w:bCs/>
                <w:szCs w:val="21"/>
                <w:highlight w:val="none"/>
              </w:rPr>
              <w:t>总监理工程师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tcPr>
          <w:p>
            <w:pPr>
              <w:pStyle w:val="66"/>
              <w:tabs>
                <w:tab w:val="left" w:pos="579"/>
              </w:tabs>
              <w:spacing w:before="135"/>
              <w:ind w:left="15"/>
              <w:jc w:val="center"/>
              <w:rPr>
                <w:bCs/>
                <w:szCs w:val="21"/>
                <w:highlight w:val="none"/>
              </w:rPr>
            </w:pPr>
            <w:r>
              <w:rPr>
                <w:rFonts w:hint="eastAsia"/>
                <w:bCs/>
                <w:szCs w:val="21"/>
                <w:highlight w:val="none"/>
              </w:rPr>
              <w:t>姓</w:t>
            </w:r>
            <w:r>
              <w:rPr>
                <w:rFonts w:hint="eastAsia"/>
                <w:bCs/>
                <w:szCs w:val="21"/>
                <w:highlight w:val="none"/>
              </w:rPr>
              <w:tab/>
            </w:r>
            <w:r>
              <w:rPr>
                <w:rFonts w:hint="eastAsia"/>
                <w:bCs/>
                <w:szCs w:val="21"/>
                <w:highlight w:val="none"/>
              </w:rPr>
              <w:t>名</w:t>
            </w:r>
          </w:p>
        </w:tc>
        <w:tc>
          <w:tcPr>
            <w:tcW w:w="1491" w:type="dxa"/>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tcPr>
          <w:p>
            <w:pPr>
              <w:pStyle w:val="66"/>
              <w:tabs>
                <w:tab w:val="left" w:pos="894"/>
              </w:tabs>
              <w:spacing w:before="135"/>
              <w:ind w:left="330"/>
              <w:rPr>
                <w:bCs/>
                <w:szCs w:val="21"/>
                <w:highlight w:val="none"/>
              </w:rPr>
            </w:pPr>
            <w:r>
              <w:rPr>
                <w:rFonts w:hint="eastAsia"/>
                <w:bCs/>
                <w:szCs w:val="21"/>
                <w:highlight w:val="none"/>
              </w:rPr>
              <w:t>性</w:t>
            </w:r>
            <w:r>
              <w:rPr>
                <w:rFonts w:hint="eastAsia"/>
                <w:bCs/>
                <w:szCs w:val="21"/>
                <w:highlight w:val="none"/>
              </w:rPr>
              <w:tab/>
            </w:r>
            <w:r>
              <w:rPr>
                <w:rFonts w:hint="eastAsia"/>
                <w:bCs/>
                <w:szCs w:val="21"/>
                <w:highlight w:val="none"/>
              </w:rPr>
              <w:t>别</w:t>
            </w:r>
          </w:p>
        </w:tc>
        <w:tc>
          <w:tcPr>
            <w:tcW w:w="1644"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8" w:type="dxa"/>
            <w:tcBorders>
              <w:top w:val="single" w:color="000000" w:sz="4" w:space="0"/>
              <w:left w:val="single" w:color="000000" w:sz="4" w:space="0"/>
              <w:bottom w:val="single" w:color="000000" w:sz="4" w:space="0"/>
              <w:right w:val="single" w:color="000000" w:sz="4" w:space="0"/>
            </w:tcBorders>
          </w:tcPr>
          <w:p>
            <w:pPr>
              <w:pStyle w:val="66"/>
              <w:tabs>
                <w:tab w:val="left" w:pos="563"/>
              </w:tabs>
              <w:spacing w:before="135"/>
              <w:ind w:right="269"/>
              <w:jc w:val="right"/>
              <w:rPr>
                <w:bCs/>
                <w:szCs w:val="21"/>
                <w:highlight w:val="none"/>
              </w:rPr>
            </w:pPr>
            <w:r>
              <w:rPr>
                <w:rFonts w:hint="eastAsia"/>
                <w:bCs/>
                <w:szCs w:val="21"/>
                <w:highlight w:val="none"/>
              </w:rPr>
              <w:t>年</w:t>
            </w:r>
            <w:r>
              <w:rPr>
                <w:rFonts w:hint="eastAsia"/>
                <w:bCs/>
                <w:szCs w:val="21"/>
                <w:highlight w:val="none"/>
              </w:rPr>
              <w:tab/>
            </w:r>
            <w:r>
              <w:rPr>
                <w:rFonts w:hint="eastAsia"/>
                <w:bCs/>
                <w:w w:val="95"/>
                <w:szCs w:val="21"/>
                <w:highlight w:val="none"/>
              </w:rPr>
              <w:t>龄</w:t>
            </w:r>
          </w:p>
        </w:tc>
        <w:tc>
          <w:tcPr>
            <w:tcW w:w="1972" w:type="dxa"/>
            <w:gridSpan w:val="2"/>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tcPr>
          <w:p>
            <w:pPr>
              <w:pStyle w:val="66"/>
              <w:tabs>
                <w:tab w:val="left" w:pos="579"/>
              </w:tabs>
              <w:spacing w:before="135"/>
              <w:ind w:left="15"/>
              <w:jc w:val="center"/>
              <w:rPr>
                <w:bCs/>
                <w:szCs w:val="21"/>
                <w:highlight w:val="none"/>
              </w:rPr>
            </w:pPr>
            <w:r>
              <w:rPr>
                <w:rFonts w:hint="eastAsia"/>
                <w:bCs/>
                <w:szCs w:val="21"/>
                <w:highlight w:val="none"/>
              </w:rPr>
              <w:t>职</w:t>
            </w:r>
            <w:r>
              <w:rPr>
                <w:rFonts w:hint="eastAsia"/>
                <w:bCs/>
                <w:szCs w:val="21"/>
                <w:highlight w:val="none"/>
              </w:rPr>
              <w:tab/>
            </w:r>
            <w:r>
              <w:rPr>
                <w:rFonts w:hint="eastAsia"/>
                <w:bCs/>
                <w:szCs w:val="21"/>
                <w:highlight w:val="none"/>
              </w:rPr>
              <w:t>务</w:t>
            </w:r>
          </w:p>
        </w:tc>
        <w:tc>
          <w:tcPr>
            <w:tcW w:w="1491" w:type="dxa"/>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tcPr>
          <w:p>
            <w:pPr>
              <w:pStyle w:val="66"/>
              <w:tabs>
                <w:tab w:val="left" w:pos="894"/>
              </w:tabs>
              <w:spacing w:before="135"/>
              <w:ind w:left="330"/>
              <w:rPr>
                <w:bCs/>
                <w:szCs w:val="21"/>
                <w:highlight w:val="none"/>
              </w:rPr>
            </w:pPr>
            <w:r>
              <w:rPr>
                <w:rFonts w:hint="eastAsia"/>
                <w:bCs/>
                <w:szCs w:val="21"/>
                <w:highlight w:val="none"/>
              </w:rPr>
              <w:t>职</w:t>
            </w:r>
            <w:r>
              <w:rPr>
                <w:rFonts w:hint="eastAsia"/>
                <w:bCs/>
                <w:szCs w:val="21"/>
                <w:highlight w:val="none"/>
              </w:rPr>
              <w:tab/>
            </w:r>
            <w:r>
              <w:rPr>
                <w:rFonts w:hint="eastAsia"/>
                <w:bCs/>
                <w:szCs w:val="21"/>
                <w:highlight w:val="none"/>
              </w:rPr>
              <w:t>称</w:t>
            </w:r>
          </w:p>
        </w:tc>
        <w:tc>
          <w:tcPr>
            <w:tcW w:w="1644"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8" w:type="dxa"/>
            <w:tcBorders>
              <w:top w:val="single" w:color="000000" w:sz="4" w:space="0"/>
              <w:left w:val="single" w:color="000000" w:sz="4" w:space="0"/>
              <w:bottom w:val="single" w:color="000000" w:sz="4" w:space="0"/>
              <w:right w:val="single" w:color="000000" w:sz="4" w:space="0"/>
            </w:tcBorders>
          </w:tcPr>
          <w:p>
            <w:pPr>
              <w:pStyle w:val="66"/>
              <w:tabs>
                <w:tab w:val="left" w:pos="563"/>
              </w:tabs>
              <w:spacing w:before="135"/>
              <w:ind w:right="269"/>
              <w:jc w:val="right"/>
              <w:rPr>
                <w:bCs/>
                <w:szCs w:val="21"/>
                <w:highlight w:val="none"/>
              </w:rPr>
            </w:pPr>
            <w:r>
              <w:rPr>
                <w:rFonts w:hint="eastAsia"/>
                <w:bCs/>
                <w:szCs w:val="21"/>
                <w:highlight w:val="none"/>
              </w:rPr>
              <w:t>学</w:t>
            </w:r>
            <w:r>
              <w:rPr>
                <w:rFonts w:hint="eastAsia"/>
                <w:bCs/>
                <w:szCs w:val="21"/>
                <w:highlight w:val="none"/>
              </w:rPr>
              <w:tab/>
            </w:r>
            <w:r>
              <w:rPr>
                <w:rFonts w:hint="eastAsia"/>
                <w:bCs/>
                <w:w w:val="95"/>
                <w:szCs w:val="21"/>
                <w:highlight w:val="none"/>
              </w:rPr>
              <w:t>历</w:t>
            </w:r>
          </w:p>
        </w:tc>
        <w:tc>
          <w:tcPr>
            <w:tcW w:w="1972" w:type="dxa"/>
            <w:gridSpan w:val="2"/>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2977" w:type="dxa"/>
            <w:gridSpan w:val="2"/>
            <w:tcBorders>
              <w:top w:val="single" w:color="000000" w:sz="4" w:space="0"/>
              <w:bottom w:val="single" w:color="000000" w:sz="4" w:space="0"/>
              <w:right w:val="single" w:color="000000" w:sz="4" w:space="0"/>
            </w:tcBorders>
          </w:tcPr>
          <w:p>
            <w:pPr>
              <w:pStyle w:val="66"/>
              <w:spacing w:before="135"/>
              <w:ind w:left="668"/>
              <w:rPr>
                <w:bCs/>
                <w:szCs w:val="21"/>
                <w:highlight w:val="none"/>
              </w:rPr>
            </w:pPr>
            <w:r>
              <w:rPr>
                <w:rFonts w:hint="eastAsia"/>
                <w:bCs/>
                <w:szCs w:val="21"/>
                <w:highlight w:val="none"/>
              </w:rPr>
              <w:t>参加工作时间</w:t>
            </w:r>
          </w:p>
        </w:tc>
        <w:tc>
          <w:tcPr>
            <w:tcW w:w="1486"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3072" w:type="dxa"/>
            <w:gridSpan w:val="3"/>
            <w:tcBorders>
              <w:top w:val="single" w:color="000000" w:sz="4" w:space="0"/>
              <w:left w:val="single" w:color="000000" w:sz="4" w:space="0"/>
              <w:bottom w:val="single" w:color="000000" w:sz="4" w:space="0"/>
              <w:right w:val="single" w:color="000000" w:sz="4" w:space="0"/>
            </w:tcBorders>
          </w:tcPr>
          <w:p>
            <w:pPr>
              <w:pStyle w:val="66"/>
              <w:spacing w:before="135"/>
              <w:ind w:left="421"/>
              <w:rPr>
                <w:bCs/>
                <w:szCs w:val="21"/>
                <w:highlight w:val="none"/>
              </w:rPr>
            </w:pPr>
            <w:r>
              <w:rPr>
                <w:rFonts w:hint="eastAsia"/>
                <w:bCs/>
                <w:szCs w:val="21"/>
                <w:highlight w:val="none"/>
              </w:rPr>
              <w:t>从事项目监理年限</w:t>
            </w:r>
          </w:p>
        </w:tc>
        <w:tc>
          <w:tcPr>
            <w:tcW w:w="1972" w:type="dxa"/>
            <w:gridSpan w:val="2"/>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2977" w:type="dxa"/>
            <w:gridSpan w:val="2"/>
            <w:tcBorders>
              <w:top w:val="single" w:color="000000" w:sz="4" w:space="0"/>
              <w:bottom w:val="single" w:color="000000" w:sz="4" w:space="0"/>
              <w:right w:val="single" w:color="000000" w:sz="4" w:space="0"/>
            </w:tcBorders>
          </w:tcPr>
          <w:p>
            <w:pPr>
              <w:pStyle w:val="66"/>
              <w:spacing w:before="135"/>
              <w:ind w:left="222"/>
              <w:rPr>
                <w:bCs/>
                <w:szCs w:val="21"/>
                <w:highlight w:val="none"/>
              </w:rPr>
            </w:pPr>
            <w:r>
              <w:rPr>
                <w:rFonts w:hint="eastAsia"/>
                <w:bCs/>
                <w:szCs w:val="21"/>
                <w:highlight w:val="none"/>
              </w:rPr>
              <w:t>监理注册证书注册号</w:t>
            </w:r>
          </w:p>
        </w:tc>
        <w:tc>
          <w:tcPr>
            <w:tcW w:w="6530" w:type="dxa"/>
            <w:gridSpan w:val="7"/>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2977" w:type="dxa"/>
            <w:gridSpan w:val="2"/>
            <w:tcBorders>
              <w:top w:val="single" w:color="000000" w:sz="4" w:space="0"/>
              <w:right w:val="single" w:color="000000" w:sz="4" w:space="0"/>
            </w:tcBorders>
          </w:tcPr>
          <w:p>
            <w:pPr>
              <w:pStyle w:val="66"/>
              <w:spacing w:before="135"/>
              <w:ind w:left="923"/>
              <w:rPr>
                <w:bCs/>
                <w:szCs w:val="21"/>
                <w:highlight w:val="none"/>
              </w:rPr>
            </w:pPr>
            <w:r>
              <w:rPr>
                <w:rFonts w:hint="eastAsia"/>
                <w:bCs/>
                <w:szCs w:val="21"/>
                <w:highlight w:val="none"/>
              </w:rPr>
              <w:t>注册专业</w:t>
            </w:r>
          </w:p>
        </w:tc>
        <w:tc>
          <w:tcPr>
            <w:tcW w:w="6530" w:type="dxa"/>
            <w:gridSpan w:val="7"/>
            <w:tcBorders>
              <w:top w:val="single" w:color="000000" w:sz="4" w:space="0"/>
              <w:left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9507" w:type="dxa"/>
            <w:gridSpan w:val="9"/>
            <w:tcBorders>
              <w:bottom w:val="single" w:color="000000" w:sz="4" w:space="0"/>
            </w:tcBorders>
          </w:tcPr>
          <w:p>
            <w:pPr>
              <w:pStyle w:val="66"/>
              <w:spacing w:before="137"/>
              <w:ind w:left="2763" w:right="2737"/>
              <w:jc w:val="center"/>
              <w:rPr>
                <w:bCs/>
                <w:szCs w:val="21"/>
                <w:highlight w:val="none"/>
              </w:rPr>
            </w:pPr>
            <w:r>
              <w:rPr>
                <w:rFonts w:hint="eastAsia"/>
                <w:bCs/>
                <w:szCs w:val="21"/>
                <w:highlight w:val="none"/>
              </w:rPr>
              <w:t>近三年承担同类或相近工程项目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tcPr>
          <w:p>
            <w:pPr>
              <w:pStyle w:val="66"/>
              <w:spacing w:before="135"/>
              <w:ind w:left="13"/>
              <w:jc w:val="center"/>
              <w:rPr>
                <w:bCs/>
                <w:szCs w:val="21"/>
                <w:highlight w:val="none"/>
              </w:rPr>
            </w:pPr>
            <w:r>
              <w:rPr>
                <w:rFonts w:hint="eastAsia"/>
                <w:bCs/>
                <w:szCs w:val="21"/>
                <w:highlight w:val="none"/>
              </w:rPr>
              <w:t>建设单位</w:t>
            </w:r>
          </w:p>
        </w:tc>
        <w:tc>
          <w:tcPr>
            <w:tcW w:w="2485" w:type="dxa"/>
            <w:gridSpan w:val="2"/>
            <w:tcBorders>
              <w:top w:val="single" w:color="000000" w:sz="4" w:space="0"/>
              <w:left w:val="single" w:color="000000" w:sz="4" w:space="0"/>
              <w:bottom w:val="single" w:color="000000" w:sz="4" w:space="0"/>
              <w:right w:val="single" w:color="000000" w:sz="4" w:space="0"/>
            </w:tcBorders>
          </w:tcPr>
          <w:p>
            <w:pPr>
              <w:pStyle w:val="66"/>
              <w:spacing w:before="135"/>
              <w:ind w:left="688"/>
              <w:rPr>
                <w:bCs/>
                <w:szCs w:val="21"/>
                <w:highlight w:val="none"/>
              </w:rPr>
            </w:pPr>
            <w:r>
              <w:rPr>
                <w:rFonts w:hint="eastAsia"/>
                <w:bCs/>
                <w:szCs w:val="21"/>
                <w:highlight w:val="none"/>
              </w:rPr>
              <w:t>项目名称</w:t>
            </w:r>
          </w:p>
        </w:tc>
        <w:tc>
          <w:tcPr>
            <w:tcW w:w="2136" w:type="dxa"/>
            <w:gridSpan w:val="3"/>
            <w:tcBorders>
              <w:top w:val="single" w:color="000000" w:sz="4" w:space="0"/>
              <w:left w:val="single" w:color="000000" w:sz="4" w:space="0"/>
              <w:bottom w:val="single" w:color="000000" w:sz="4" w:space="0"/>
              <w:right w:val="single" w:color="000000" w:sz="4" w:space="0"/>
            </w:tcBorders>
          </w:tcPr>
          <w:p>
            <w:pPr>
              <w:pStyle w:val="66"/>
              <w:spacing w:before="135"/>
              <w:ind w:left="512"/>
              <w:rPr>
                <w:bCs/>
                <w:szCs w:val="21"/>
                <w:highlight w:val="none"/>
              </w:rPr>
            </w:pPr>
            <w:r>
              <w:rPr>
                <w:rFonts w:hint="eastAsia"/>
                <w:bCs/>
                <w:szCs w:val="21"/>
                <w:highlight w:val="none"/>
              </w:rPr>
              <w:t>建设规模</w:t>
            </w:r>
          </w:p>
        </w:tc>
        <w:tc>
          <w:tcPr>
            <w:tcW w:w="1975" w:type="dxa"/>
            <w:gridSpan w:val="2"/>
            <w:tcBorders>
              <w:top w:val="single" w:color="000000" w:sz="4" w:space="0"/>
              <w:left w:val="single" w:color="000000" w:sz="4" w:space="0"/>
              <w:bottom w:val="single" w:color="000000" w:sz="4" w:space="0"/>
              <w:right w:val="single" w:color="000000" w:sz="4" w:space="0"/>
            </w:tcBorders>
          </w:tcPr>
          <w:p>
            <w:pPr>
              <w:pStyle w:val="66"/>
              <w:spacing w:before="135"/>
              <w:ind w:left="152"/>
              <w:rPr>
                <w:bCs/>
                <w:szCs w:val="21"/>
                <w:highlight w:val="none"/>
              </w:rPr>
            </w:pPr>
            <w:r>
              <w:rPr>
                <w:rFonts w:hint="eastAsia"/>
                <w:bCs/>
                <w:szCs w:val="21"/>
                <w:highlight w:val="none"/>
              </w:rPr>
              <w:t>竣工验收日期</w:t>
            </w:r>
          </w:p>
        </w:tc>
        <w:tc>
          <w:tcPr>
            <w:tcW w:w="1425" w:type="dxa"/>
            <w:tcBorders>
              <w:top w:val="single" w:color="000000" w:sz="4" w:space="0"/>
              <w:left w:val="single" w:color="000000" w:sz="4" w:space="0"/>
              <w:bottom w:val="single" w:color="000000" w:sz="4" w:space="0"/>
            </w:tcBorders>
          </w:tcPr>
          <w:p>
            <w:pPr>
              <w:pStyle w:val="66"/>
              <w:spacing w:before="135"/>
              <w:ind w:left="158"/>
              <w:rPr>
                <w:bCs/>
                <w:szCs w:val="21"/>
                <w:highlight w:val="none"/>
              </w:rPr>
            </w:pPr>
            <w:r>
              <w:rPr>
                <w:rFonts w:hint="eastAsia"/>
                <w:bCs/>
                <w:szCs w:val="21"/>
                <w:highlight w:val="none"/>
              </w:rPr>
              <w:t>质量等级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2136" w:type="dxa"/>
            <w:gridSpan w:val="3"/>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97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486" w:type="dxa"/>
            <w:tcBorders>
              <w:top w:val="single" w:color="000000" w:sz="4" w:space="0"/>
              <w:bottom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2136" w:type="dxa"/>
            <w:gridSpan w:val="3"/>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97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486" w:type="dxa"/>
            <w:tcBorders>
              <w:top w:val="single" w:color="000000" w:sz="4" w:space="0"/>
              <w:bottom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2136" w:type="dxa"/>
            <w:gridSpan w:val="3"/>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97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right w:val="single" w:color="000000" w:sz="4" w:space="0"/>
            </w:tcBorders>
          </w:tcPr>
          <w:p>
            <w:pPr>
              <w:pStyle w:val="66"/>
              <w:rPr>
                <w:bCs/>
                <w:szCs w:val="21"/>
                <w:highlight w:val="none"/>
              </w:rPr>
            </w:pPr>
          </w:p>
        </w:tc>
        <w:tc>
          <w:tcPr>
            <w:tcW w:w="2136" w:type="dxa"/>
            <w:gridSpan w:val="3"/>
            <w:tcBorders>
              <w:top w:val="single" w:color="000000" w:sz="4" w:space="0"/>
              <w:left w:val="single" w:color="000000" w:sz="4" w:space="0"/>
              <w:right w:val="single" w:color="000000" w:sz="4" w:space="0"/>
            </w:tcBorders>
          </w:tcPr>
          <w:p>
            <w:pPr>
              <w:pStyle w:val="66"/>
              <w:rPr>
                <w:bCs/>
                <w:szCs w:val="21"/>
                <w:highlight w:val="none"/>
              </w:rPr>
            </w:pPr>
          </w:p>
        </w:tc>
        <w:tc>
          <w:tcPr>
            <w:tcW w:w="1975" w:type="dxa"/>
            <w:gridSpan w:val="2"/>
            <w:tcBorders>
              <w:top w:val="single" w:color="000000" w:sz="4" w:space="0"/>
              <w:left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9507" w:type="dxa"/>
            <w:gridSpan w:val="9"/>
            <w:tcBorders>
              <w:bottom w:val="single" w:color="000000" w:sz="4" w:space="0"/>
            </w:tcBorders>
          </w:tcPr>
          <w:p>
            <w:pPr>
              <w:pStyle w:val="66"/>
              <w:spacing w:before="134"/>
              <w:ind w:left="2763" w:right="2736"/>
              <w:jc w:val="center"/>
              <w:rPr>
                <w:bCs/>
                <w:szCs w:val="21"/>
                <w:highlight w:val="none"/>
              </w:rPr>
            </w:pPr>
            <w:r>
              <w:rPr>
                <w:rFonts w:hint="eastAsia"/>
                <w:bCs/>
                <w:szCs w:val="21"/>
                <w:highlight w:val="none"/>
              </w:rPr>
              <w:t>目 前 正 在 监 理 工 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702" w:type="dxa"/>
            <w:gridSpan w:val="2"/>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2409" w:type="dxa"/>
            <w:gridSpan w:val="3"/>
            <w:tcBorders>
              <w:top w:val="single" w:color="000000" w:sz="4" w:space="0"/>
              <w:left w:val="single" w:color="000000" w:sz="4" w:space="0"/>
              <w:bottom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bottom w:val="single" w:color="000000" w:sz="4" w:space="0"/>
            </w:tcBorders>
          </w:tcPr>
          <w:p>
            <w:pPr>
              <w:pStyle w:val="66"/>
              <w:rPr>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right w:val="single" w:color="000000" w:sz="4" w:space="0"/>
            </w:tcBorders>
          </w:tcPr>
          <w:p>
            <w:pPr>
              <w:pStyle w:val="66"/>
              <w:rPr>
                <w:bCs/>
                <w:szCs w:val="21"/>
                <w:highlight w:val="none"/>
              </w:rPr>
            </w:pPr>
          </w:p>
        </w:tc>
        <w:tc>
          <w:tcPr>
            <w:tcW w:w="2485" w:type="dxa"/>
            <w:gridSpan w:val="2"/>
            <w:tcBorders>
              <w:top w:val="single" w:color="000000" w:sz="4" w:space="0"/>
              <w:left w:val="single" w:color="000000" w:sz="4" w:space="0"/>
              <w:right w:val="single" w:color="000000" w:sz="4" w:space="0"/>
            </w:tcBorders>
          </w:tcPr>
          <w:p>
            <w:pPr>
              <w:pStyle w:val="66"/>
              <w:rPr>
                <w:bCs/>
                <w:szCs w:val="21"/>
                <w:highlight w:val="none"/>
              </w:rPr>
            </w:pPr>
          </w:p>
        </w:tc>
        <w:tc>
          <w:tcPr>
            <w:tcW w:w="1702" w:type="dxa"/>
            <w:gridSpan w:val="2"/>
            <w:tcBorders>
              <w:top w:val="single" w:color="000000" w:sz="4" w:space="0"/>
              <w:left w:val="single" w:color="000000" w:sz="4" w:space="0"/>
              <w:right w:val="single" w:color="000000" w:sz="4" w:space="0"/>
            </w:tcBorders>
          </w:tcPr>
          <w:p>
            <w:pPr>
              <w:pStyle w:val="66"/>
              <w:rPr>
                <w:bCs/>
                <w:szCs w:val="21"/>
                <w:highlight w:val="none"/>
              </w:rPr>
            </w:pPr>
          </w:p>
        </w:tc>
        <w:tc>
          <w:tcPr>
            <w:tcW w:w="2409" w:type="dxa"/>
            <w:gridSpan w:val="3"/>
            <w:tcBorders>
              <w:top w:val="single" w:color="000000" w:sz="4" w:space="0"/>
              <w:left w:val="single" w:color="000000" w:sz="4" w:space="0"/>
              <w:right w:val="single" w:color="000000" w:sz="4" w:space="0"/>
            </w:tcBorders>
          </w:tcPr>
          <w:p>
            <w:pPr>
              <w:pStyle w:val="66"/>
              <w:rPr>
                <w:bCs/>
                <w:szCs w:val="21"/>
                <w:highlight w:val="none"/>
              </w:rPr>
            </w:pPr>
          </w:p>
        </w:tc>
        <w:tc>
          <w:tcPr>
            <w:tcW w:w="1425" w:type="dxa"/>
            <w:tcBorders>
              <w:top w:val="single" w:color="000000" w:sz="4" w:space="0"/>
              <w:left w:val="single" w:color="000000" w:sz="4" w:space="0"/>
            </w:tcBorders>
          </w:tcPr>
          <w:p>
            <w:pPr>
              <w:pStyle w:val="66"/>
              <w:rPr>
                <w:bCs/>
                <w:szCs w:val="21"/>
                <w:highlight w:val="none"/>
              </w:rPr>
            </w:pPr>
          </w:p>
        </w:tc>
      </w:tr>
    </w:tbl>
    <w:p>
      <w:pPr>
        <w:spacing w:line="360" w:lineRule="auto"/>
        <w:ind w:firstLine="361" w:firstLineChars="171"/>
        <w:jc w:val="left"/>
        <w:rPr>
          <w:rFonts w:ascii="宋体" w:hAnsi="宋体" w:cs="宋体"/>
          <w:b/>
          <w:szCs w:val="21"/>
          <w:highlight w:val="none"/>
        </w:rPr>
      </w:pPr>
      <w:r>
        <w:rPr>
          <w:rFonts w:hint="eastAsia" w:ascii="宋体" w:hAnsi="宋体" w:cs="宋体"/>
          <w:b/>
          <w:szCs w:val="21"/>
          <w:highlight w:val="none"/>
        </w:rPr>
        <w:t>注：后附聘用书、证件等材料。</w:t>
      </w: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我方承诺上述填报内容真实。如不真实，将按照有关规定接受处理。</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投</w:t>
      </w:r>
      <w:r>
        <w:rPr>
          <w:rFonts w:hint="eastAsia" w:ascii="宋体" w:hAnsi="宋体" w:cs="宋体"/>
          <w:bCs/>
          <w:szCs w:val="21"/>
          <w:highlight w:val="none"/>
        </w:rPr>
        <w:tab/>
      </w:r>
      <w:r>
        <w:rPr>
          <w:rFonts w:hint="eastAsia" w:ascii="宋体" w:hAnsi="宋体" w:cs="宋体"/>
          <w:bCs/>
          <w:szCs w:val="21"/>
          <w:highlight w:val="none"/>
        </w:rPr>
        <w:t>标</w:t>
      </w:r>
      <w:r>
        <w:rPr>
          <w:rFonts w:hint="eastAsia" w:ascii="宋体" w:hAnsi="宋体" w:cs="宋体"/>
          <w:bCs/>
          <w:szCs w:val="21"/>
          <w:highlight w:val="none"/>
        </w:rPr>
        <w:tab/>
      </w:r>
      <w:r>
        <w:rPr>
          <w:rFonts w:hint="eastAsia" w:ascii="宋体" w:hAnsi="宋体" w:cs="宋体"/>
          <w:bCs/>
          <w:szCs w:val="21"/>
          <w:highlight w:val="none"/>
        </w:rPr>
        <w:t>人：</w:t>
      </w:r>
      <w:r>
        <w:rPr>
          <w:rFonts w:hint="eastAsia" w:ascii="宋体" w:hAnsi="宋体" w:cs="宋体"/>
          <w:bCs/>
          <w:szCs w:val="21"/>
          <w:highlight w:val="none"/>
          <w:u w:val="single"/>
        </w:rPr>
        <w:t xml:space="preserve">                                         </w:t>
      </w:r>
      <w:r>
        <w:rPr>
          <w:rFonts w:hint="eastAsia" w:ascii="宋体" w:hAnsi="宋体" w:cs="宋体"/>
          <w:bCs/>
          <w:szCs w:val="21"/>
          <w:highlight w:val="none"/>
        </w:rPr>
        <w:t>（盖章）</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r>
        <w:rPr>
          <w:rFonts w:hint="eastAsia" w:ascii="宋体" w:hAnsi="宋体" w:cs="宋体"/>
          <w:bCs/>
          <w:szCs w:val="21"/>
          <w:highlight w:val="none"/>
        </w:rPr>
        <w:t xml:space="preserve">法定代表人或其委托代理人： </w:t>
      </w:r>
      <w:r>
        <w:rPr>
          <w:rFonts w:hint="eastAsia" w:ascii="宋体" w:hAnsi="宋体" w:cs="宋体"/>
          <w:bCs/>
          <w:szCs w:val="21"/>
          <w:highlight w:val="none"/>
          <w:u w:val="single"/>
        </w:rPr>
        <w:t xml:space="preserve">                          </w:t>
      </w:r>
      <w:r>
        <w:rPr>
          <w:rFonts w:hint="eastAsia" w:ascii="宋体" w:hAnsi="宋体" w:cs="宋体"/>
          <w:bCs/>
          <w:szCs w:val="21"/>
          <w:highlight w:val="none"/>
        </w:rPr>
        <w:t>（签字）</w:t>
      </w:r>
    </w:p>
    <w:p>
      <w:pPr>
        <w:spacing w:line="360" w:lineRule="auto"/>
        <w:ind w:firstLine="359" w:firstLineChars="171"/>
        <w:jc w:val="left"/>
        <w:rPr>
          <w:rFonts w:ascii="宋体" w:hAnsi="宋体" w:cs="宋体"/>
          <w:bCs/>
          <w:szCs w:val="21"/>
          <w:highlight w:val="none"/>
        </w:rPr>
      </w:pPr>
    </w:p>
    <w:p>
      <w:pPr>
        <w:spacing w:line="360" w:lineRule="auto"/>
        <w:ind w:firstLine="7140" w:firstLineChars="3400"/>
        <w:jc w:val="left"/>
        <w:rPr>
          <w:rFonts w:ascii="宋体" w:hAnsi="宋体" w:cs="宋体"/>
          <w:bCs/>
          <w:szCs w:val="21"/>
          <w:highlight w:val="none"/>
        </w:rPr>
      </w:pPr>
      <w:r>
        <w:rPr>
          <w:rFonts w:hint="eastAsia" w:ascii="宋体" w:hAnsi="宋体" w:cs="宋体"/>
          <w:bCs/>
          <w:szCs w:val="21"/>
          <w:highlight w:val="none"/>
        </w:rPr>
        <w:t>年</w:t>
      </w:r>
      <w:r>
        <w:rPr>
          <w:rFonts w:hint="eastAsia" w:ascii="宋体" w:hAnsi="宋体" w:cs="宋体"/>
          <w:bCs/>
          <w:szCs w:val="21"/>
          <w:highlight w:val="none"/>
        </w:rPr>
        <w:tab/>
      </w:r>
      <w:r>
        <w:rPr>
          <w:rFonts w:hint="eastAsia" w:ascii="宋体" w:hAnsi="宋体" w:cs="宋体"/>
          <w:bCs/>
          <w:szCs w:val="21"/>
          <w:highlight w:val="none"/>
        </w:rPr>
        <w:t>月</w:t>
      </w:r>
      <w:r>
        <w:rPr>
          <w:rFonts w:hint="eastAsia" w:ascii="宋体" w:hAnsi="宋体" w:cs="宋体"/>
          <w:bCs/>
          <w:szCs w:val="21"/>
          <w:highlight w:val="none"/>
        </w:rPr>
        <w:tab/>
      </w:r>
      <w:r>
        <w:rPr>
          <w:rFonts w:hint="eastAsia" w:ascii="宋体" w:hAnsi="宋体" w:cs="宋体"/>
          <w:bCs/>
          <w:szCs w:val="21"/>
          <w:highlight w:val="none"/>
        </w:rPr>
        <w:t>日</w:t>
      </w:r>
    </w:p>
    <w:p>
      <w:pPr>
        <w:spacing w:line="360" w:lineRule="auto"/>
        <w:ind w:firstLine="359" w:firstLineChars="171"/>
        <w:jc w:val="left"/>
        <w:rPr>
          <w:rFonts w:ascii="宋体" w:hAnsi="宋体" w:cs="宋体"/>
          <w:bCs/>
          <w:szCs w:val="21"/>
          <w:highlight w:val="none"/>
        </w:rPr>
      </w:pPr>
    </w:p>
    <w:p>
      <w:pPr>
        <w:spacing w:line="360" w:lineRule="auto"/>
        <w:jc w:val="center"/>
        <w:rPr>
          <w:rFonts w:ascii="宋体" w:hAnsi="宋体" w:cs="宋体"/>
          <w:b/>
          <w:sz w:val="28"/>
          <w:szCs w:val="28"/>
          <w:highlight w:val="none"/>
        </w:rPr>
      </w:pPr>
      <w:r>
        <w:rPr>
          <w:rFonts w:hint="eastAsia" w:ascii="宋体" w:hAnsi="宋体" w:cs="宋体"/>
          <w:b/>
          <w:sz w:val="24"/>
          <w:szCs w:val="24"/>
          <w:highlight w:val="none"/>
        </w:rPr>
        <w:t>六、专业监理工程师、监理员配备一览表</w:t>
      </w:r>
    </w:p>
    <w:p>
      <w:pPr>
        <w:autoSpaceDE w:val="0"/>
        <w:autoSpaceDN w:val="0"/>
        <w:adjustRightInd w:val="0"/>
        <w:rPr>
          <w:rFonts w:ascii="宋体" w:hAnsi="宋体" w:cs="宋体"/>
          <w:b/>
          <w:bCs/>
          <w:kern w:val="0"/>
          <w:szCs w:val="21"/>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275"/>
        <w:gridCol w:w="851"/>
        <w:gridCol w:w="992"/>
        <w:gridCol w:w="1418"/>
        <w:gridCol w:w="56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742"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主要专业监理工程师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951" w:type="dxa"/>
            <w:tcBorders>
              <w:top w:val="single" w:color="auto" w:sz="4" w:space="0"/>
              <w:lef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监理职务</w:t>
            </w:r>
          </w:p>
        </w:tc>
        <w:tc>
          <w:tcPr>
            <w:tcW w:w="851" w:type="dxa"/>
            <w:tcBorders>
              <w:top w:val="single" w:color="auto" w:sz="4"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数量</w:t>
            </w:r>
          </w:p>
        </w:tc>
        <w:tc>
          <w:tcPr>
            <w:tcW w:w="1275" w:type="dxa"/>
            <w:tcBorders>
              <w:top w:val="nil"/>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851" w:type="dxa"/>
            <w:tcBorders>
              <w:top w:val="nil"/>
            </w:tcBorders>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年龄</w:t>
            </w:r>
          </w:p>
        </w:tc>
        <w:tc>
          <w:tcPr>
            <w:tcW w:w="992" w:type="dxa"/>
            <w:tcBorders>
              <w:top w:val="nil"/>
            </w:tcBorders>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职称</w:t>
            </w:r>
          </w:p>
        </w:tc>
        <w:tc>
          <w:tcPr>
            <w:tcW w:w="1418" w:type="dxa"/>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注册号</w:t>
            </w:r>
          </w:p>
        </w:tc>
        <w:tc>
          <w:tcPr>
            <w:tcW w:w="2404" w:type="dxa"/>
            <w:gridSpan w:val="2"/>
            <w:tcBorders>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正在承担监理</w:t>
            </w:r>
          </w:p>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restart"/>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Merge w:val="restart"/>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Merge w:val="continue"/>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742" w:type="dxa"/>
            <w:gridSpan w:val="8"/>
            <w:tcBorders>
              <w:left w:val="single" w:color="auto" w:sz="12" w:space="0"/>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其他专业监理工程师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tcBorders>
              <w:top w:val="nil"/>
            </w:tcBorders>
            <w:vAlign w:val="center"/>
          </w:tcPr>
          <w:p>
            <w:pPr>
              <w:autoSpaceDE w:val="0"/>
              <w:autoSpaceDN w:val="0"/>
              <w:adjustRightInd w:val="0"/>
              <w:rPr>
                <w:rFonts w:ascii="宋体" w:hAnsi="宋体" w:cs="宋体"/>
                <w:b/>
                <w:bCs/>
                <w:kern w:val="0"/>
                <w:szCs w:val="21"/>
                <w:highlight w:val="none"/>
              </w:rPr>
            </w:pPr>
          </w:p>
        </w:tc>
        <w:tc>
          <w:tcPr>
            <w:tcW w:w="1275" w:type="dxa"/>
            <w:tcBorders>
              <w:top w:val="nil"/>
            </w:tcBorders>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tcBorders>
              <w:top w:val="single" w:color="auto" w:sz="4" w:space="0"/>
            </w:tcBorders>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tcBorders>
              <w:top w:val="single" w:color="auto" w:sz="4" w:space="0"/>
            </w:tcBorders>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418" w:type="dxa"/>
            <w:vAlign w:val="center"/>
          </w:tcPr>
          <w:p>
            <w:pPr>
              <w:autoSpaceDE w:val="0"/>
              <w:autoSpaceDN w:val="0"/>
              <w:adjustRightInd w:val="0"/>
              <w:rPr>
                <w:rFonts w:ascii="宋体" w:hAnsi="宋体" w:cs="宋体"/>
                <w:b/>
                <w:bCs/>
                <w:kern w:val="0"/>
                <w:szCs w:val="21"/>
                <w:highlight w:val="none"/>
              </w:rPr>
            </w:pPr>
          </w:p>
        </w:tc>
        <w:tc>
          <w:tcPr>
            <w:tcW w:w="2404" w:type="dxa"/>
            <w:gridSpan w:val="2"/>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275"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992"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418"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2404" w:type="dxa"/>
            <w:gridSpan w:val="2"/>
            <w:tcBorders>
              <w:bottom w:val="single" w:color="auto" w:sz="12" w:space="0"/>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2" w:type="dxa"/>
            <w:gridSpan w:val="8"/>
            <w:tcBorders>
              <w:top w:val="single" w:color="auto" w:sz="12" w:space="0"/>
              <w:left w:val="single" w:color="auto" w:sz="12" w:space="0"/>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监理职务</w:t>
            </w:r>
          </w:p>
        </w:tc>
        <w:tc>
          <w:tcPr>
            <w:tcW w:w="851"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数量</w:t>
            </w:r>
          </w:p>
        </w:tc>
        <w:tc>
          <w:tcPr>
            <w:tcW w:w="1275" w:type="dxa"/>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851"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年龄</w:t>
            </w:r>
          </w:p>
        </w:tc>
        <w:tc>
          <w:tcPr>
            <w:tcW w:w="992"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职称</w:t>
            </w:r>
          </w:p>
        </w:tc>
        <w:tc>
          <w:tcPr>
            <w:tcW w:w="1985" w:type="dxa"/>
            <w:gridSpan w:val="2"/>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专业</w:t>
            </w:r>
          </w:p>
        </w:tc>
        <w:tc>
          <w:tcPr>
            <w:tcW w:w="1837" w:type="dxa"/>
            <w:tcBorders>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restart"/>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现场监理员</w:t>
            </w:r>
          </w:p>
        </w:tc>
        <w:tc>
          <w:tcPr>
            <w:tcW w:w="851" w:type="dxa"/>
            <w:vMerge w:val="restart"/>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985" w:type="dxa"/>
            <w:gridSpan w:val="2"/>
            <w:vAlign w:val="center"/>
          </w:tcPr>
          <w:p>
            <w:pPr>
              <w:autoSpaceDE w:val="0"/>
              <w:autoSpaceDN w:val="0"/>
              <w:adjustRightInd w:val="0"/>
              <w:rPr>
                <w:rFonts w:ascii="宋体" w:hAnsi="宋体" w:cs="宋体"/>
                <w:b/>
                <w:bCs/>
                <w:kern w:val="0"/>
                <w:szCs w:val="21"/>
                <w:highlight w:val="none"/>
              </w:rPr>
            </w:pPr>
          </w:p>
        </w:tc>
        <w:tc>
          <w:tcPr>
            <w:tcW w:w="1837" w:type="dxa"/>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Merge w:val="continue"/>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985" w:type="dxa"/>
            <w:gridSpan w:val="2"/>
            <w:vAlign w:val="center"/>
          </w:tcPr>
          <w:p>
            <w:pPr>
              <w:autoSpaceDE w:val="0"/>
              <w:autoSpaceDN w:val="0"/>
              <w:adjustRightInd w:val="0"/>
              <w:rPr>
                <w:rFonts w:ascii="宋体" w:hAnsi="宋体" w:cs="宋体"/>
                <w:b/>
                <w:bCs/>
                <w:kern w:val="0"/>
                <w:szCs w:val="21"/>
                <w:highlight w:val="none"/>
              </w:rPr>
            </w:pPr>
          </w:p>
        </w:tc>
        <w:tc>
          <w:tcPr>
            <w:tcW w:w="1837" w:type="dxa"/>
            <w:tcBorders>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bottom w:val="single" w:color="auto" w:sz="12" w:space="0"/>
            </w:tcBorders>
            <w:vAlign w:val="center"/>
          </w:tcPr>
          <w:p>
            <w:pPr>
              <w:autoSpaceDE w:val="0"/>
              <w:autoSpaceDN w:val="0"/>
              <w:adjustRightInd w:val="0"/>
              <w:jc w:val="center"/>
              <w:rPr>
                <w:rFonts w:ascii="宋体" w:hAnsi="宋体" w:cs="宋体"/>
                <w:b/>
                <w:bCs/>
                <w:kern w:val="0"/>
                <w:szCs w:val="21"/>
                <w:highlight w:val="none"/>
              </w:rPr>
            </w:pPr>
          </w:p>
        </w:tc>
        <w:tc>
          <w:tcPr>
            <w:tcW w:w="851" w:type="dxa"/>
            <w:vMerge w:val="continue"/>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275"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992"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985" w:type="dxa"/>
            <w:gridSpan w:val="2"/>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837" w:type="dxa"/>
            <w:tcBorders>
              <w:bottom w:val="single" w:color="auto" w:sz="12" w:space="0"/>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2" w:type="dxa"/>
            <w:gridSpan w:val="8"/>
            <w:tcBorders>
              <w:top w:val="single" w:color="auto" w:sz="12" w:space="0"/>
              <w:left w:val="single" w:color="auto" w:sz="12" w:space="0"/>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监理职务</w:t>
            </w:r>
          </w:p>
        </w:tc>
        <w:tc>
          <w:tcPr>
            <w:tcW w:w="851"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数量</w:t>
            </w:r>
          </w:p>
        </w:tc>
        <w:tc>
          <w:tcPr>
            <w:tcW w:w="1275" w:type="dxa"/>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851"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年龄</w:t>
            </w:r>
          </w:p>
        </w:tc>
        <w:tc>
          <w:tcPr>
            <w:tcW w:w="992" w:type="dxa"/>
            <w:vAlign w:val="center"/>
          </w:tcPr>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职称</w:t>
            </w:r>
          </w:p>
        </w:tc>
        <w:tc>
          <w:tcPr>
            <w:tcW w:w="1985" w:type="dxa"/>
            <w:gridSpan w:val="2"/>
            <w:tcBorders>
              <w:right w:val="single" w:color="auto" w:sz="4"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专业</w:t>
            </w:r>
          </w:p>
        </w:tc>
        <w:tc>
          <w:tcPr>
            <w:tcW w:w="1837" w:type="dxa"/>
            <w:tcBorders>
              <w:left w:val="single" w:color="auto" w:sz="4" w:space="0"/>
              <w:righ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951" w:type="dxa"/>
            <w:tcBorders>
              <w:left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1275" w:type="dxa"/>
            <w:vAlign w:val="center"/>
          </w:tcPr>
          <w:p>
            <w:pPr>
              <w:autoSpaceDE w:val="0"/>
              <w:autoSpaceDN w:val="0"/>
              <w:adjustRightInd w:val="0"/>
              <w:rPr>
                <w:rFonts w:ascii="宋体" w:hAnsi="宋体" w:cs="宋体"/>
                <w:b/>
                <w:bCs/>
                <w:kern w:val="0"/>
                <w:szCs w:val="21"/>
                <w:highlight w:val="none"/>
              </w:rPr>
            </w:pPr>
          </w:p>
        </w:tc>
        <w:tc>
          <w:tcPr>
            <w:tcW w:w="851" w:type="dxa"/>
            <w:vAlign w:val="center"/>
          </w:tcPr>
          <w:p>
            <w:pPr>
              <w:autoSpaceDE w:val="0"/>
              <w:autoSpaceDN w:val="0"/>
              <w:adjustRightInd w:val="0"/>
              <w:rPr>
                <w:rFonts w:ascii="宋体" w:hAnsi="宋体" w:cs="宋体"/>
                <w:b/>
                <w:bCs/>
                <w:kern w:val="0"/>
                <w:szCs w:val="21"/>
                <w:highlight w:val="none"/>
              </w:rPr>
            </w:pPr>
          </w:p>
        </w:tc>
        <w:tc>
          <w:tcPr>
            <w:tcW w:w="992" w:type="dxa"/>
            <w:vAlign w:val="center"/>
          </w:tcPr>
          <w:p>
            <w:pPr>
              <w:autoSpaceDE w:val="0"/>
              <w:autoSpaceDN w:val="0"/>
              <w:adjustRightInd w:val="0"/>
              <w:rPr>
                <w:rFonts w:ascii="宋体" w:hAnsi="宋体" w:cs="宋体"/>
                <w:b/>
                <w:bCs/>
                <w:kern w:val="0"/>
                <w:szCs w:val="21"/>
                <w:highlight w:val="none"/>
              </w:rPr>
            </w:pPr>
          </w:p>
        </w:tc>
        <w:tc>
          <w:tcPr>
            <w:tcW w:w="1985" w:type="dxa"/>
            <w:gridSpan w:val="2"/>
            <w:tcBorders>
              <w:right w:val="single" w:color="auto" w:sz="4" w:space="0"/>
            </w:tcBorders>
            <w:vAlign w:val="center"/>
          </w:tcPr>
          <w:p>
            <w:pPr>
              <w:autoSpaceDE w:val="0"/>
              <w:autoSpaceDN w:val="0"/>
              <w:adjustRightInd w:val="0"/>
              <w:rPr>
                <w:rFonts w:ascii="宋体" w:hAnsi="宋体" w:cs="宋体"/>
                <w:b/>
                <w:bCs/>
                <w:kern w:val="0"/>
                <w:szCs w:val="21"/>
                <w:highlight w:val="none"/>
              </w:rPr>
            </w:pPr>
          </w:p>
        </w:tc>
        <w:tc>
          <w:tcPr>
            <w:tcW w:w="1837" w:type="dxa"/>
            <w:tcBorders>
              <w:left w:val="single" w:color="auto" w:sz="4" w:space="0"/>
              <w:right w:val="single" w:color="auto" w:sz="12" w:space="0"/>
            </w:tcBorders>
            <w:vAlign w:val="center"/>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51" w:type="dxa"/>
            <w:tcBorders>
              <w:left w:val="single" w:color="auto" w:sz="12" w:space="0"/>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275"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851"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992" w:type="dxa"/>
            <w:tcBorders>
              <w:bottom w:val="single" w:color="auto" w:sz="12" w:space="0"/>
            </w:tcBorders>
            <w:vAlign w:val="center"/>
          </w:tcPr>
          <w:p>
            <w:pPr>
              <w:autoSpaceDE w:val="0"/>
              <w:autoSpaceDN w:val="0"/>
              <w:adjustRightInd w:val="0"/>
              <w:rPr>
                <w:rFonts w:ascii="宋体" w:hAnsi="宋体" w:cs="宋体"/>
                <w:b/>
                <w:bCs/>
                <w:kern w:val="0"/>
                <w:szCs w:val="21"/>
                <w:highlight w:val="none"/>
              </w:rPr>
            </w:pPr>
          </w:p>
        </w:tc>
        <w:tc>
          <w:tcPr>
            <w:tcW w:w="1985" w:type="dxa"/>
            <w:gridSpan w:val="2"/>
            <w:tcBorders>
              <w:bottom w:val="single" w:color="auto" w:sz="12" w:space="0"/>
              <w:right w:val="single" w:color="auto" w:sz="4" w:space="0"/>
            </w:tcBorders>
            <w:vAlign w:val="center"/>
          </w:tcPr>
          <w:p>
            <w:pPr>
              <w:autoSpaceDE w:val="0"/>
              <w:autoSpaceDN w:val="0"/>
              <w:adjustRightInd w:val="0"/>
              <w:rPr>
                <w:rFonts w:ascii="宋体" w:hAnsi="宋体" w:cs="宋体"/>
                <w:b/>
                <w:bCs/>
                <w:kern w:val="0"/>
                <w:szCs w:val="21"/>
                <w:highlight w:val="none"/>
              </w:rPr>
            </w:pPr>
          </w:p>
        </w:tc>
        <w:tc>
          <w:tcPr>
            <w:tcW w:w="1837" w:type="dxa"/>
            <w:tcBorders>
              <w:left w:val="single" w:color="auto" w:sz="4" w:space="0"/>
              <w:bottom w:val="single" w:color="auto" w:sz="12" w:space="0"/>
              <w:right w:val="single" w:color="auto" w:sz="12" w:space="0"/>
            </w:tcBorders>
            <w:vAlign w:val="center"/>
          </w:tcPr>
          <w:p>
            <w:pPr>
              <w:autoSpaceDE w:val="0"/>
              <w:autoSpaceDN w:val="0"/>
              <w:adjustRightInd w:val="0"/>
              <w:rPr>
                <w:rFonts w:ascii="宋体" w:hAnsi="宋体" w:cs="宋体"/>
                <w:b/>
                <w:bCs/>
                <w:kern w:val="0"/>
                <w:szCs w:val="21"/>
                <w:highlight w:val="none"/>
              </w:rPr>
            </w:pPr>
          </w:p>
        </w:tc>
      </w:tr>
    </w:tbl>
    <w:p>
      <w:pPr>
        <w:spacing w:line="360" w:lineRule="auto"/>
        <w:ind w:firstLine="424" w:firstLineChars="202"/>
        <w:rPr>
          <w:rFonts w:ascii="宋体" w:hAnsi="宋体" w:cs="宋体"/>
          <w:szCs w:val="21"/>
          <w:highlight w:val="none"/>
        </w:rPr>
      </w:pPr>
      <w:r>
        <w:rPr>
          <w:rFonts w:hint="eastAsia" w:ascii="宋体" w:hAnsi="宋体" w:cs="宋体"/>
          <w:szCs w:val="21"/>
          <w:highlight w:val="none"/>
        </w:rPr>
        <w:t>注：后附证件等材料。</w:t>
      </w:r>
    </w:p>
    <w:p>
      <w:pPr>
        <w:spacing w:line="360" w:lineRule="auto"/>
        <w:ind w:firstLine="424" w:firstLineChars="202"/>
        <w:rPr>
          <w:rFonts w:ascii="宋体" w:hAnsi="宋体" w:cs="宋体"/>
          <w:kern w:val="0"/>
          <w:szCs w:val="21"/>
          <w:highlight w:val="none"/>
        </w:rPr>
      </w:pPr>
      <w:r>
        <w:rPr>
          <w:rFonts w:hint="eastAsia" w:ascii="宋体" w:hAnsi="宋体" w:cs="宋体"/>
          <w:szCs w:val="21"/>
          <w:highlight w:val="none"/>
        </w:rPr>
        <w:t>我方承诺上述填报内容真实。如不真实，将按照有关规定接受处理。</w:t>
      </w:r>
      <w:r>
        <w:rPr>
          <w:rFonts w:hint="eastAsia" w:ascii="宋体" w:hAnsi="宋体" w:cs="宋体"/>
          <w:b/>
          <w:kern w:val="0"/>
          <w:szCs w:val="21"/>
          <w:highlight w:val="none"/>
        </w:rPr>
        <w:t>以上人员不得漏缺并不得在本项目同时担任两个及以上监理职务。</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3675" w:firstLineChars="1750"/>
        <w:jc w:val="left"/>
        <w:rPr>
          <w:rFonts w:ascii="宋体" w:hAnsi="宋体" w:cs="宋体"/>
          <w:szCs w:val="21"/>
          <w:highlight w:val="none"/>
        </w:rPr>
      </w:pPr>
    </w:p>
    <w:p>
      <w:pPr>
        <w:spacing w:line="360" w:lineRule="auto"/>
        <w:ind w:firstLine="4935" w:firstLineChars="2350"/>
        <w:jc w:val="left"/>
        <w:rPr>
          <w:rFonts w:ascii="宋体" w:hAnsi="宋体" w:cs="宋体"/>
          <w:szCs w:val="21"/>
          <w:highlight w:val="none"/>
        </w:rPr>
      </w:pPr>
      <w:r>
        <w:rPr>
          <w:rFonts w:hint="eastAsia" w:ascii="宋体" w:hAnsi="宋体" w:cs="宋体"/>
          <w:szCs w:val="21"/>
          <w:highlight w:val="none"/>
        </w:rPr>
        <w:t>年    月    日</w:t>
      </w:r>
    </w:p>
    <w:p>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六、-1拟参加本工程监理工作的监理人员汇总表</w:t>
      </w:r>
    </w:p>
    <w:p>
      <w:pPr>
        <w:jc w:val="center"/>
        <w:rPr>
          <w:sz w:val="26"/>
          <w:szCs w:val="26"/>
          <w:highlight w:val="none"/>
        </w:rPr>
      </w:pPr>
      <w:r>
        <w:rPr>
          <w:rFonts w:hint="eastAsia"/>
          <w:sz w:val="24"/>
          <w:szCs w:val="24"/>
          <w:highlight w:val="none"/>
        </w:rPr>
        <w:t>拟参加本工程监理工作的监理人员汇总表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51"/>
        <w:gridCol w:w="551"/>
        <w:gridCol w:w="551"/>
        <w:gridCol w:w="551"/>
        <w:gridCol w:w="551"/>
        <w:gridCol w:w="551"/>
        <w:gridCol w:w="873"/>
        <w:gridCol w:w="1087"/>
        <w:gridCol w:w="1087"/>
        <w:gridCol w:w="752"/>
        <w:gridCol w:w="601"/>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92" w:hRule="atLeast"/>
        </w:trPr>
        <w:tc>
          <w:tcPr>
            <w:tcW w:w="551" w:type="dxa"/>
            <w:tcBorders>
              <w:bottom w:val="single" w:color="auto" w:sz="12" w:space="0"/>
            </w:tcBorders>
            <w:vAlign w:val="center"/>
          </w:tcPr>
          <w:p>
            <w:pPr>
              <w:jc w:val="center"/>
              <w:rPr>
                <w:szCs w:val="21"/>
                <w:highlight w:val="none"/>
              </w:rPr>
            </w:pPr>
            <w:r>
              <w:rPr>
                <w:rFonts w:hint="eastAsia"/>
                <w:szCs w:val="21"/>
                <w:highlight w:val="none"/>
              </w:rPr>
              <w:t>序号</w:t>
            </w:r>
          </w:p>
        </w:tc>
        <w:tc>
          <w:tcPr>
            <w:tcW w:w="551" w:type="dxa"/>
            <w:tcBorders>
              <w:bottom w:val="single" w:color="auto" w:sz="12" w:space="0"/>
            </w:tcBorders>
            <w:vAlign w:val="center"/>
          </w:tcPr>
          <w:p>
            <w:pPr>
              <w:jc w:val="center"/>
              <w:rPr>
                <w:szCs w:val="21"/>
                <w:highlight w:val="none"/>
              </w:rPr>
            </w:pPr>
            <w:r>
              <w:rPr>
                <w:rFonts w:hint="eastAsia"/>
                <w:szCs w:val="21"/>
                <w:highlight w:val="none"/>
              </w:rPr>
              <w:t>姓名</w:t>
            </w:r>
          </w:p>
        </w:tc>
        <w:tc>
          <w:tcPr>
            <w:tcW w:w="551" w:type="dxa"/>
            <w:tcBorders>
              <w:bottom w:val="single" w:color="auto" w:sz="12" w:space="0"/>
            </w:tcBorders>
            <w:vAlign w:val="center"/>
          </w:tcPr>
          <w:p>
            <w:pPr>
              <w:jc w:val="center"/>
              <w:rPr>
                <w:szCs w:val="21"/>
                <w:highlight w:val="none"/>
              </w:rPr>
            </w:pPr>
            <w:r>
              <w:rPr>
                <w:rFonts w:hint="eastAsia"/>
                <w:szCs w:val="21"/>
                <w:highlight w:val="none"/>
              </w:rPr>
              <w:t>性别</w:t>
            </w:r>
          </w:p>
        </w:tc>
        <w:tc>
          <w:tcPr>
            <w:tcW w:w="551" w:type="dxa"/>
            <w:tcBorders>
              <w:bottom w:val="single" w:color="auto" w:sz="12" w:space="0"/>
            </w:tcBorders>
            <w:vAlign w:val="center"/>
          </w:tcPr>
          <w:p>
            <w:pPr>
              <w:jc w:val="center"/>
              <w:rPr>
                <w:szCs w:val="21"/>
                <w:highlight w:val="none"/>
              </w:rPr>
            </w:pPr>
            <w:r>
              <w:rPr>
                <w:rFonts w:hint="eastAsia"/>
                <w:szCs w:val="21"/>
                <w:highlight w:val="none"/>
              </w:rPr>
              <w:t>年龄</w:t>
            </w:r>
          </w:p>
        </w:tc>
        <w:tc>
          <w:tcPr>
            <w:tcW w:w="551" w:type="dxa"/>
            <w:tcBorders>
              <w:bottom w:val="single" w:color="auto" w:sz="12" w:space="0"/>
            </w:tcBorders>
            <w:vAlign w:val="center"/>
          </w:tcPr>
          <w:p>
            <w:pPr>
              <w:jc w:val="center"/>
              <w:rPr>
                <w:szCs w:val="21"/>
                <w:highlight w:val="none"/>
              </w:rPr>
            </w:pPr>
            <w:r>
              <w:rPr>
                <w:rFonts w:hint="eastAsia"/>
                <w:szCs w:val="21"/>
                <w:highlight w:val="none"/>
              </w:rPr>
              <w:t>学历</w:t>
            </w:r>
          </w:p>
        </w:tc>
        <w:tc>
          <w:tcPr>
            <w:tcW w:w="551" w:type="dxa"/>
            <w:tcBorders>
              <w:bottom w:val="single" w:color="auto" w:sz="12" w:space="0"/>
            </w:tcBorders>
            <w:vAlign w:val="center"/>
          </w:tcPr>
          <w:p>
            <w:pPr>
              <w:jc w:val="center"/>
              <w:rPr>
                <w:szCs w:val="21"/>
                <w:highlight w:val="none"/>
              </w:rPr>
            </w:pPr>
            <w:r>
              <w:rPr>
                <w:rFonts w:hint="eastAsia"/>
                <w:szCs w:val="21"/>
                <w:highlight w:val="none"/>
              </w:rPr>
              <w:t>专业</w:t>
            </w:r>
          </w:p>
        </w:tc>
        <w:tc>
          <w:tcPr>
            <w:tcW w:w="551" w:type="dxa"/>
            <w:tcBorders>
              <w:bottom w:val="single" w:color="auto" w:sz="12" w:space="0"/>
            </w:tcBorders>
            <w:vAlign w:val="center"/>
          </w:tcPr>
          <w:p>
            <w:pPr>
              <w:jc w:val="center"/>
              <w:rPr>
                <w:szCs w:val="21"/>
                <w:highlight w:val="none"/>
              </w:rPr>
            </w:pPr>
            <w:r>
              <w:rPr>
                <w:rFonts w:hint="eastAsia"/>
                <w:szCs w:val="21"/>
                <w:highlight w:val="none"/>
              </w:rPr>
              <w:t>职称</w:t>
            </w:r>
          </w:p>
        </w:tc>
        <w:tc>
          <w:tcPr>
            <w:tcW w:w="873" w:type="dxa"/>
            <w:tcBorders>
              <w:bottom w:val="single" w:color="auto" w:sz="12" w:space="0"/>
            </w:tcBorders>
            <w:vAlign w:val="center"/>
          </w:tcPr>
          <w:p>
            <w:pPr>
              <w:jc w:val="center"/>
              <w:rPr>
                <w:szCs w:val="21"/>
                <w:highlight w:val="none"/>
              </w:rPr>
            </w:pPr>
            <w:r>
              <w:rPr>
                <w:rFonts w:hint="eastAsia"/>
                <w:szCs w:val="21"/>
                <w:highlight w:val="none"/>
              </w:rPr>
              <w:t>从事监理工作年限</w:t>
            </w:r>
          </w:p>
        </w:tc>
        <w:tc>
          <w:tcPr>
            <w:tcW w:w="1087" w:type="dxa"/>
            <w:tcBorders>
              <w:bottom w:val="single" w:color="auto" w:sz="12" w:space="0"/>
            </w:tcBorders>
            <w:vAlign w:val="center"/>
          </w:tcPr>
          <w:p>
            <w:pPr>
              <w:jc w:val="center"/>
              <w:rPr>
                <w:szCs w:val="21"/>
                <w:highlight w:val="none"/>
              </w:rPr>
            </w:pPr>
            <w:r>
              <w:rPr>
                <w:rFonts w:hint="eastAsia"/>
                <w:szCs w:val="21"/>
                <w:highlight w:val="none"/>
              </w:rPr>
              <w:t>总监理工程师岗位证书编号</w:t>
            </w:r>
          </w:p>
        </w:tc>
        <w:tc>
          <w:tcPr>
            <w:tcW w:w="1087" w:type="dxa"/>
            <w:tcBorders>
              <w:bottom w:val="single" w:color="auto" w:sz="12" w:space="0"/>
            </w:tcBorders>
            <w:vAlign w:val="center"/>
          </w:tcPr>
          <w:p>
            <w:pPr>
              <w:jc w:val="center"/>
              <w:rPr>
                <w:szCs w:val="21"/>
                <w:highlight w:val="none"/>
              </w:rPr>
            </w:pPr>
            <w:r>
              <w:rPr>
                <w:rFonts w:hint="eastAsia"/>
                <w:szCs w:val="21"/>
                <w:highlight w:val="none"/>
              </w:rPr>
              <w:t>监理工程师注册证书编号</w:t>
            </w:r>
          </w:p>
        </w:tc>
        <w:tc>
          <w:tcPr>
            <w:tcW w:w="752" w:type="dxa"/>
            <w:tcBorders>
              <w:bottom w:val="single" w:color="auto" w:sz="12" w:space="0"/>
            </w:tcBorders>
          </w:tcPr>
          <w:p>
            <w:pPr>
              <w:jc w:val="center"/>
              <w:rPr>
                <w:szCs w:val="21"/>
                <w:highlight w:val="none"/>
              </w:rPr>
            </w:pPr>
            <w:r>
              <w:rPr>
                <w:rFonts w:hint="eastAsia"/>
                <w:szCs w:val="21"/>
                <w:highlight w:val="none"/>
              </w:rPr>
              <w:t>监理员资格证书编号</w:t>
            </w:r>
          </w:p>
        </w:tc>
        <w:tc>
          <w:tcPr>
            <w:tcW w:w="601" w:type="dxa"/>
            <w:tcBorders>
              <w:bottom w:val="single" w:color="auto" w:sz="12" w:space="0"/>
            </w:tcBorders>
            <w:vAlign w:val="center"/>
          </w:tcPr>
          <w:p>
            <w:pPr>
              <w:jc w:val="center"/>
              <w:rPr>
                <w:szCs w:val="21"/>
                <w:highlight w:val="none"/>
              </w:rPr>
            </w:pPr>
            <w:r>
              <w:rPr>
                <w:rFonts w:hint="eastAsia"/>
                <w:szCs w:val="21"/>
                <w:highlight w:val="none"/>
              </w:rPr>
              <w:t>拟任职务</w:t>
            </w:r>
          </w:p>
        </w:tc>
        <w:tc>
          <w:tcPr>
            <w:tcW w:w="1216" w:type="dxa"/>
            <w:tcBorders>
              <w:bottom w:val="single" w:color="auto" w:sz="12" w:space="0"/>
            </w:tcBorders>
            <w:vAlign w:val="center"/>
          </w:tcPr>
          <w:p>
            <w:pPr>
              <w:jc w:val="center"/>
              <w:rPr>
                <w:szCs w:val="21"/>
                <w:highlight w:val="none"/>
              </w:rPr>
            </w:pPr>
            <w:r>
              <w:rPr>
                <w:rFonts w:hint="eastAsia"/>
                <w:szCs w:val="21"/>
                <w:highlight w:val="none"/>
              </w:rPr>
              <w:t>拟进场时间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51" w:type="dxa"/>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873" w:type="dxa"/>
            <w:vAlign w:val="center"/>
          </w:tcPr>
          <w:p>
            <w:pPr>
              <w:jc w:val="center"/>
              <w:rPr>
                <w:sz w:val="26"/>
                <w:szCs w:val="26"/>
                <w:highlight w:val="none"/>
              </w:rPr>
            </w:pPr>
          </w:p>
        </w:tc>
        <w:tc>
          <w:tcPr>
            <w:tcW w:w="1087" w:type="dxa"/>
          </w:tcPr>
          <w:p>
            <w:pPr>
              <w:jc w:val="center"/>
              <w:rPr>
                <w:sz w:val="26"/>
                <w:szCs w:val="26"/>
                <w:highlight w:val="none"/>
              </w:rPr>
            </w:pPr>
          </w:p>
        </w:tc>
        <w:tc>
          <w:tcPr>
            <w:tcW w:w="1087" w:type="dxa"/>
          </w:tcPr>
          <w:p>
            <w:pPr>
              <w:jc w:val="center"/>
              <w:rPr>
                <w:sz w:val="26"/>
                <w:szCs w:val="26"/>
                <w:highlight w:val="none"/>
              </w:rPr>
            </w:pPr>
          </w:p>
        </w:tc>
        <w:tc>
          <w:tcPr>
            <w:tcW w:w="752" w:type="dxa"/>
          </w:tcPr>
          <w:p>
            <w:pPr>
              <w:jc w:val="center"/>
              <w:rPr>
                <w:sz w:val="26"/>
                <w:szCs w:val="26"/>
                <w:highlight w:val="none"/>
              </w:rPr>
            </w:pPr>
          </w:p>
        </w:tc>
        <w:tc>
          <w:tcPr>
            <w:tcW w:w="601" w:type="dxa"/>
          </w:tcPr>
          <w:p>
            <w:pPr>
              <w:jc w:val="center"/>
              <w:rPr>
                <w:sz w:val="26"/>
                <w:szCs w:val="26"/>
                <w:highlight w:val="none"/>
              </w:rPr>
            </w:pPr>
          </w:p>
        </w:tc>
        <w:tc>
          <w:tcPr>
            <w:tcW w:w="1216" w:type="dxa"/>
          </w:tcPr>
          <w:p>
            <w:pPr>
              <w:jc w:val="center"/>
              <w:rPr>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51" w:type="dxa"/>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873" w:type="dxa"/>
            <w:vAlign w:val="center"/>
          </w:tcPr>
          <w:p>
            <w:pPr>
              <w:jc w:val="center"/>
              <w:rPr>
                <w:sz w:val="26"/>
                <w:szCs w:val="26"/>
                <w:highlight w:val="none"/>
              </w:rPr>
            </w:pPr>
          </w:p>
        </w:tc>
        <w:tc>
          <w:tcPr>
            <w:tcW w:w="1087" w:type="dxa"/>
          </w:tcPr>
          <w:p>
            <w:pPr>
              <w:jc w:val="center"/>
              <w:rPr>
                <w:sz w:val="26"/>
                <w:szCs w:val="26"/>
                <w:highlight w:val="none"/>
              </w:rPr>
            </w:pPr>
          </w:p>
        </w:tc>
        <w:tc>
          <w:tcPr>
            <w:tcW w:w="1087" w:type="dxa"/>
          </w:tcPr>
          <w:p>
            <w:pPr>
              <w:jc w:val="center"/>
              <w:rPr>
                <w:sz w:val="26"/>
                <w:szCs w:val="26"/>
                <w:highlight w:val="none"/>
              </w:rPr>
            </w:pPr>
          </w:p>
        </w:tc>
        <w:tc>
          <w:tcPr>
            <w:tcW w:w="752" w:type="dxa"/>
          </w:tcPr>
          <w:p>
            <w:pPr>
              <w:jc w:val="center"/>
              <w:rPr>
                <w:sz w:val="26"/>
                <w:szCs w:val="26"/>
                <w:highlight w:val="none"/>
              </w:rPr>
            </w:pPr>
          </w:p>
        </w:tc>
        <w:tc>
          <w:tcPr>
            <w:tcW w:w="601" w:type="dxa"/>
          </w:tcPr>
          <w:p>
            <w:pPr>
              <w:jc w:val="center"/>
              <w:rPr>
                <w:sz w:val="26"/>
                <w:szCs w:val="26"/>
                <w:highlight w:val="none"/>
              </w:rPr>
            </w:pPr>
          </w:p>
        </w:tc>
        <w:tc>
          <w:tcPr>
            <w:tcW w:w="1216" w:type="dxa"/>
          </w:tcPr>
          <w:p>
            <w:pPr>
              <w:jc w:val="center"/>
              <w:rPr>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51" w:type="dxa"/>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873" w:type="dxa"/>
            <w:vAlign w:val="center"/>
          </w:tcPr>
          <w:p>
            <w:pPr>
              <w:jc w:val="center"/>
              <w:rPr>
                <w:sz w:val="26"/>
                <w:szCs w:val="26"/>
                <w:highlight w:val="none"/>
              </w:rPr>
            </w:pPr>
          </w:p>
        </w:tc>
        <w:tc>
          <w:tcPr>
            <w:tcW w:w="1087" w:type="dxa"/>
          </w:tcPr>
          <w:p>
            <w:pPr>
              <w:jc w:val="center"/>
              <w:rPr>
                <w:sz w:val="26"/>
                <w:szCs w:val="26"/>
                <w:highlight w:val="none"/>
              </w:rPr>
            </w:pPr>
          </w:p>
        </w:tc>
        <w:tc>
          <w:tcPr>
            <w:tcW w:w="1087" w:type="dxa"/>
          </w:tcPr>
          <w:p>
            <w:pPr>
              <w:jc w:val="center"/>
              <w:rPr>
                <w:sz w:val="26"/>
                <w:szCs w:val="26"/>
                <w:highlight w:val="none"/>
              </w:rPr>
            </w:pPr>
          </w:p>
        </w:tc>
        <w:tc>
          <w:tcPr>
            <w:tcW w:w="752" w:type="dxa"/>
          </w:tcPr>
          <w:p>
            <w:pPr>
              <w:jc w:val="center"/>
              <w:rPr>
                <w:sz w:val="26"/>
                <w:szCs w:val="26"/>
                <w:highlight w:val="none"/>
              </w:rPr>
            </w:pPr>
          </w:p>
        </w:tc>
        <w:tc>
          <w:tcPr>
            <w:tcW w:w="601" w:type="dxa"/>
          </w:tcPr>
          <w:p>
            <w:pPr>
              <w:jc w:val="center"/>
              <w:rPr>
                <w:sz w:val="26"/>
                <w:szCs w:val="26"/>
                <w:highlight w:val="none"/>
              </w:rPr>
            </w:pPr>
          </w:p>
        </w:tc>
        <w:tc>
          <w:tcPr>
            <w:tcW w:w="1216" w:type="dxa"/>
          </w:tcPr>
          <w:p>
            <w:pPr>
              <w:jc w:val="center"/>
              <w:rPr>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51" w:type="dxa"/>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873" w:type="dxa"/>
            <w:vAlign w:val="center"/>
          </w:tcPr>
          <w:p>
            <w:pPr>
              <w:jc w:val="center"/>
              <w:rPr>
                <w:sz w:val="26"/>
                <w:szCs w:val="26"/>
                <w:highlight w:val="none"/>
              </w:rPr>
            </w:pPr>
          </w:p>
        </w:tc>
        <w:tc>
          <w:tcPr>
            <w:tcW w:w="1087" w:type="dxa"/>
          </w:tcPr>
          <w:p>
            <w:pPr>
              <w:jc w:val="center"/>
              <w:rPr>
                <w:sz w:val="26"/>
                <w:szCs w:val="26"/>
                <w:highlight w:val="none"/>
              </w:rPr>
            </w:pPr>
          </w:p>
        </w:tc>
        <w:tc>
          <w:tcPr>
            <w:tcW w:w="1087" w:type="dxa"/>
          </w:tcPr>
          <w:p>
            <w:pPr>
              <w:jc w:val="center"/>
              <w:rPr>
                <w:sz w:val="26"/>
                <w:szCs w:val="26"/>
                <w:highlight w:val="none"/>
              </w:rPr>
            </w:pPr>
          </w:p>
        </w:tc>
        <w:tc>
          <w:tcPr>
            <w:tcW w:w="752" w:type="dxa"/>
          </w:tcPr>
          <w:p>
            <w:pPr>
              <w:jc w:val="center"/>
              <w:rPr>
                <w:sz w:val="26"/>
                <w:szCs w:val="26"/>
                <w:highlight w:val="none"/>
              </w:rPr>
            </w:pPr>
          </w:p>
        </w:tc>
        <w:tc>
          <w:tcPr>
            <w:tcW w:w="601" w:type="dxa"/>
          </w:tcPr>
          <w:p>
            <w:pPr>
              <w:jc w:val="center"/>
              <w:rPr>
                <w:sz w:val="26"/>
                <w:szCs w:val="26"/>
                <w:highlight w:val="none"/>
              </w:rPr>
            </w:pPr>
          </w:p>
        </w:tc>
        <w:tc>
          <w:tcPr>
            <w:tcW w:w="1216" w:type="dxa"/>
          </w:tcPr>
          <w:p>
            <w:pPr>
              <w:jc w:val="center"/>
              <w:rPr>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51" w:type="dxa"/>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551" w:type="dxa"/>
            <w:vAlign w:val="center"/>
          </w:tcPr>
          <w:p>
            <w:pPr>
              <w:jc w:val="center"/>
              <w:rPr>
                <w:sz w:val="26"/>
                <w:szCs w:val="26"/>
                <w:highlight w:val="none"/>
              </w:rPr>
            </w:pPr>
          </w:p>
        </w:tc>
        <w:tc>
          <w:tcPr>
            <w:tcW w:w="873" w:type="dxa"/>
            <w:vAlign w:val="center"/>
          </w:tcPr>
          <w:p>
            <w:pPr>
              <w:jc w:val="center"/>
              <w:rPr>
                <w:sz w:val="26"/>
                <w:szCs w:val="26"/>
                <w:highlight w:val="none"/>
              </w:rPr>
            </w:pPr>
          </w:p>
        </w:tc>
        <w:tc>
          <w:tcPr>
            <w:tcW w:w="1087" w:type="dxa"/>
          </w:tcPr>
          <w:p>
            <w:pPr>
              <w:jc w:val="center"/>
              <w:rPr>
                <w:sz w:val="26"/>
                <w:szCs w:val="26"/>
                <w:highlight w:val="none"/>
              </w:rPr>
            </w:pPr>
          </w:p>
        </w:tc>
        <w:tc>
          <w:tcPr>
            <w:tcW w:w="1087" w:type="dxa"/>
          </w:tcPr>
          <w:p>
            <w:pPr>
              <w:jc w:val="center"/>
              <w:rPr>
                <w:sz w:val="26"/>
                <w:szCs w:val="26"/>
                <w:highlight w:val="none"/>
              </w:rPr>
            </w:pPr>
          </w:p>
        </w:tc>
        <w:tc>
          <w:tcPr>
            <w:tcW w:w="752" w:type="dxa"/>
          </w:tcPr>
          <w:p>
            <w:pPr>
              <w:jc w:val="center"/>
              <w:rPr>
                <w:sz w:val="26"/>
                <w:szCs w:val="26"/>
                <w:highlight w:val="none"/>
              </w:rPr>
            </w:pPr>
          </w:p>
        </w:tc>
        <w:tc>
          <w:tcPr>
            <w:tcW w:w="601" w:type="dxa"/>
          </w:tcPr>
          <w:p>
            <w:pPr>
              <w:jc w:val="center"/>
              <w:rPr>
                <w:sz w:val="26"/>
                <w:szCs w:val="26"/>
                <w:highlight w:val="none"/>
              </w:rPr>
            </w:pPr>
          </w:p>
        </w:tc>
        <w:tc>
          <w:tcPr>
            <w:tcW w:w="1216" w:type="dxa"/>
          </w:tcPr>
          <w:p>
            <w:pPr>
              <w:jc w:val="center"/>
              <w:rPr>
                <w:sz w:val="26"/>
                <w:szCs w:val="26"/>
                <w:highlight w:val="none"/>
              </w:rPr>
            </w:pPr>
          </w:p>
        </w:tc>
      </w:tr>
    </w:tbl>
    <w:p>
      <w:pPr>
        <w:ind w:firstLine="420" w:firstLineChars="200"/>
        <w:rPr>
          <w:sz w:val="28"/>
          <w:szCs w:val="24"/>
          <w:highlight w:val="none"/>
        </w:rPr>
      </w:pPr>
      <w:r>
        <w:rPr>
          <w:rFonts w:hint="eastAsia" w:ascii="宋体" w:hAnsi="宋体" w:cs="宋体"/>
          <w:szCs w:val="21"/>
          <w:highlight w:val="none"/>
        </w:rPr>
        <w:t>说明：本表应加盖投标人公章。</w:t>
      </w:r>
    </w:p>
    <w:p>
      <w:pPr>
        <w:widowControl/>
        <w:jc w:val="center"/>
        <w:outlineLvl w:val="2"/>
        <w:rPr>
          <w:rFonts w:ascii="黑体" w:hAnsi="黑体" w:eastAsia="黑体" w:cs="黑体"/>
          <w:b/>
          <w:kern w:val="0"/>
          <w:sz w:val="28"/>
          <w:szCs w:val="24"/>
          <w:highlight w:val="none"/>
        </w:rPr>
      </w:pPr>
      <w:r>
        <w:rPr>
          <w:rFonts w:eastAsia="Times New Roman"/>
          <w:kern w:val="0"/>
          <w:sz w:val="24"/>
          <w:szCs w:val="24"/>
          <w:highlight w:val="none"/>
        </w:rPr>
        <w:br w:type="page"/>
      </w:r>
      <w:r>
        <w:rPr>
          <w:rFonts w:hint="eastAsia" w:ascii="宋体" w:hAnsi="宋体" w:cs="宋体"/>
          <w:b/>
          <w:sz w:val="24"/>
          <w:szCs w:val="24"/>
          <w:highlight w:val="none"/>
        </w:rPr>
        <w:t>六、-2拟任本工程主要监理人员情况表</w:t>
      </w:r>
    </w:p>
    <w:p>
      <w:pPr>
        <w:spacing w:line="480" w:lineRule="atLeast"/>
        <w:jc w:val="center"/>
        <w:rPr>
          <w:sz w:val="26"/>
          <w:szCs w:val="26"/>
          <w:highlight w:val="none"/>
        </w:rPr>
      </w:pPr>
      <w:r>
        <w:rPr>
          <w:rFonts w:hint="eastAsia"/>
          <w:spacing w:val="-3"/>
          <w:kern w:val="0"/>
          <w:sz w:val="24"/>
          <w:szCs w:val="24"/>
          <w:highlight w:val="none"/>
        </w:rPr>
        <w:t>拟任本工程主要监理人员情况表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300"/>
        <w:gridCol w:w="1114"/>
        <w:gridCol w:w="1671"/>
        <w:gridCol w:w="1486"/>
        <w:gridCol w:w="1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姓  名</w:t>
            </w:r>
          </w:p>
        </w:tc>
        <w:tc>
          <w:tcPr>
            <w:tcW w:w="1300" w:type="dxa"/>
            <w:vAlign w:val="center"/>
          </w:tcPr>
          <w:p>
            <w:pPr>
              <w:autoSpaceDE w:val="0"/>
              <w:autoSpaceDN w:val="0"/>
              <w:adjustRightInd w:val="0"/>
              <w:snapToGrid w:val="0"/>
              <w:jc w:val="center"/>
              <w:rPr>
                <w:spacing w:val="-3"/>
                <w:kern w:val="0"/>
                <w:szCs w:val="21"/>
                <w:highlight w:val="none"/>
              </w:rPr>
            </w:pPr>
          </w:p>
        </w:tc>
        <w:tc>
          <w:tcPr>
            <w:tcW w:w="1114"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性 别</w:t>
            </w:r>
          </w:p>
        </w:tc>
        <w:tc>
          <w:tcPr>
            <w:tcW w:w="1671" w:type="dxa"/>
            <w:vAlign w:val="center"/>
          </w:tcPr>
          <w:p>
            <w:pPr>
              <w:autoSpaceDE w:val="0"/>
              <w:autoSpaceDN w:val="0"/>
              <w:adjustRightInd w:val="0"/>
              <w:snapToGrid w:val="0"/>
              <w:jc w:val="center"/>
              <w:rPr>
                <w:spacing w:val="-3"/>
                <w:kern w:val="0"/>
                <w:szCs w:val="21"/>
                <w:highlight w:val="none"/>
              </w:rPr>
            </w:pPr>
          </w:p>
        </w:tc>
        <w:tc>
          <w:tcPr>
            <w:tcW w:w="1486"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出生年月</w:t>
            </w:r>
          </w:p>
        </w:tc>
        <w:tc>
          <w:tcPr>
            <w:tcW w:w="1486" w:type="dxa"/>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职 称</w:t>
            </w:r>
          </w:p>
        </w:tc>
        <w:tc>
          <w:tcPr>
            <w:tcW w:w="1300" w:type="dxa"/>
            <w:vAlign w:val="center"/>
          </w:tcPr>
          <w:p>
            <w:pPr>
              <w:autoSpaceDE w:val="0"/>
              <w:autoSpaceDN w:val="0"/>
              <w:adjustRightInd w:val="0"/>
              <w:snapToGrid w:val="0"/>
              <w:jc w:val="center"/>
              <w:rPr>
                <w:spacing w:val="-3"/>
                <w:kern w:val="0"/>
                <w:szCs w:val="21"/>
                <w:highlight w:val="none"/>
              </w:rPr>
            </w:pPr>
          </w:p>
        </w:tc>
        <w:tc>
          <w:tcPr>
            <w:tcW w:w="1114"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学  历</w:t>
            </w:r>
          </w:p>
        </w:tc>
        <w:tc>
          <w:tcPr>
            <w:tcW w:w="1671" w:type="dxa"/>
            <w:vAlign w:val="center"/>
          </w:tcPr>
          <w:p>
            <w:pPr>
              <w:autoSpaceDE w:val="0"/>
              <w:autoSpaceDN w:val="0"/>
              <w:adjustRightInd w:val="0"/>
              <w:snapToGrid w:val="0"/>
              <w:jc w:val="center"/>
              <w:rPr>
                <w:spacing w:val="-3"/>
                <w:kern w:val="0"/>
                <w:szCs w:val="21"/>
                <w:highlight w:val="none"/>
              </w:rPr>
            </w:pPr>
          </w:p>
        </w:tc>
        <w:tc>
          <w:tcPr>
            <w:tcW w:w="1486"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毕业时间</w:t>
            </w:r>
          </w:p>
        </w:tc>
        <w:tc>
          <w:tcPr>
            <w:tcW w:w="1486" w:type="dxa"/>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毕业院校</w:t>
            </w:r>
          </w:p>
        </w:tc>
        <w:tc>
          <w:tcPr>
            <w:tcW w:w="2414" w:type="dxa"/>
            <w:gridSpan w:val="2"/>
            <w:vAlign w:val="center"/>
          </w:tcPr>
          <w:p>
            <w:pPr>
              <w:autoSpaceDE w:val="0"/>
              <w:autoSpaceDN w:val="0"/>
              <w:adjustRightInd w:val="0"/>
              <w:snapToGrid w:val="0"/>
              <w:jc w:val="center"/>
              <w:rPr>
                <w:spacing w:val="-3"/>
                <w:kern w:val="0"/>
                <w:szCs w:val="21"/>
                <w:highlight w:val="none"/>
              </w:rPr>
            </w:pPr>
          </w:p>
        </w:tc>
        <w:tc>
          <w:tcPr>
            <w:tcW w:w="1671"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所学专业</w:t>
            </w:r>
          </w:p>
        </w:tc>
        <w:tc>
          <w:tcPr>
            <w:tcW w:w="2972" w:type="dxa"/>
            <w:gridSpan w:val="2"/>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29"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监理专业</w:t>
            </w:r>
          </w:p>
        </w:tc>
        <w:tc>
          <w:tcPr>
            <w:tcW w:w="2414" w:type="dxa"/>
            <w:gridSpan w:val="2"/>
            <w:vAlign w:val="center"/>
          </w:tcPr>
          <w:p>
            <w:pPr>
              <w:autoSpaceDE w:val="0"/>
              <w:autoSpaceDN w:val="0"/>
              <w:adjustRightInd w:val="0"/>
              <w:snapToGrid w:val="0"/>
              <w:jc w:val="center"/>
              <w:rPr>
                <w:spacing w:val="-3"/>
                <w:kern w:val="0"/>
                <w:szCs w:val="21"/>
                <w:highlight w:val="none"/>
              </w:rPr>
            </w:pPr>
          </w:p>
        </w:tc>
        <w:tc>
          <w:tcPr>
            <w:tcW w:w="1671" w:type="dxa"/>
            <w:vAlign w:val="center"/>
          </w:tcPr>
          <w:p>
            <w:pPr>
              <w:autoSpaceDE w:val="0"/>
              <w:autoSpaceDN w:val="0"/>
              <w:adjustRightInd w:val="0"/>
              <w:snapToGrid w:val="0"/>
              <w:jc w:val="center"/>
              <w:rPr>
                <w:spacing w:val="-3"/>
                <w:kern w:val="0"/>
                <w:szCs w:val="21"/>
                <w:highlight w:val="none"/>
              </w:rPr>
            </w:pPr>
          </w:p>
        </w:tc>
        <w:tc>
          <w:tcPr>
            <w:tcW w:w="2972" w:type="dxa"/>
            <w:gridSpan w:val="2"/>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29" w:type="dxa"/>
            <w:vAlign w:val="center"/>
          </w:tcPr>
          <w:p>
            <w:pPr>
              <w:autoSpaceDE w:val="0"/>
              <w:autoSpaceDN w:val="0"/>
              <w:adjustRightInd w:val="0"/>
              <w:snapToGrid w:val="0"/>
              <w:ind w:firstLine="234"/>
              <w:rPr>
                <w:spacing w:val="-3"/>
                <w:kern w:val="0"/>
                <w:szCs w:val="21"/>
                <w:highlight w:val="none"/>
              </w:rPr>
            </w:pPr>
            <w:r>
              <w:rPr>
                <w:rFonts w:hint="eastAsia"/>
                <w:spacing w:val="-3"/>
                <w:kern w:val="0"/>
                <w:szCs w:val="21"/>
                <w:highlight w:val="none"/>
              </w:rPr>
              <w:t>工作年限</w:t>
            </w:r>
          </w:p>
        </w:tc>
        <w:tc>
          <w:tcPr>
            <w:tcW w:w="2414" w:type="dxa"/>
            <w:gridSpan w:val="2"/>
            <w:vAlign w:val="center"/>
          </w:tcPr>
          <w:p>
            <w:pPr>
              <w:autoSpaceDE w:val="0"/>
              <w:autoSpaceDN w:val="0"/>
              <w:adjustRightInd w:val="0"/>
              <w:snapToGrid w:val="0"/>
              <w:jc w:val="center"/>
              <w:rPr>
                <w:spacing w:val="-3"/>
                <w:kern w:val="0"/>
                <w:szCs w:val="21"/>
                <w:highlight w:val="none"/>
              </w:rPr>
            </w:pPr>
          </w:p>
        </w:tc>
        <w:tc>
          <w:tcPr>
            <w:tcW w:w="1671" w:type="dxa"/>
            <w:vAlign w:val="center"/>
          </w:tcPr>
          <w:p>
            <w:pPr>
              <w:autoSpaceDE w:val="0"/>
              <w:autoSpaceDN w:val="0"/>
              <w:adjustRightInd w:val="0"/>
              <w:snapToGrid w:val="0"/>
              <w:jc w:val="center"/>
              <w:rPr>
                <w:spacing w:val="-3"/>
                <w:kern w:val="0"/>
                <w:szCs w:val="21"/>
                <w:highlight w:val="none"/>
              </w:rPr>
            </w:pPr>
            <w:r>
              <w:rPr>
                <w:rFonts w:hint="eastAsia"/>
                <w:spacing w:val="-3"/>
                <w:kern w:val="0"/>
                <w:szCs w:val="21"/>
                <w:highlight w:val="none"/>
              </w:rPr>
              <w:t>从事监理工作年限</w:t>
            </w:r>
          </w:p>
        </w:tc>
        <w:tc>
          <w:tcPr>
            <w:tcW w:w="2972" w:type="dxa"/>
            <w:gridSpan w:val="2"/>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vAlign w:val="center"/>
          </w:tcPr>
          <w:p>
            <w:pPr>
              <w:autoSpaceDE w:val="0"/>
              <w:autoSpaceDN w:val="0"/>
              <w:adjustRightInd w:val="0"/>
              <w:snapToGrid w:val="0"/>
              <w:ind w:firstLine="234"/>
              <w:rPr>
                <w:spacing w:val="-3"/>
                <w:kern w:val="0"/>
                <w:szCs w:val="21"/>
                <w:highlight w:val="none"/>
              </w:rPr>
            </w:pPr>
            <w:r>
              <w:rPr>
                <w:rFonts w:hint="eastAsia"/>
                <w:spacing w:val="-3"/>
                <w:kern w:val="0"/>
                <w:szCs w:val="21"/>
                <w:highlight w:val="none"/>
              </w:rPr>
              <w:t>拟在本工程中承担的职务</w:t>
            </w:r>
          </w:p>
        </w:tc>
        <w:tc>
          <w:tcPr>
            <w:tcW w:w="4643" w:type="dxa"/>
            <w:gridSpan w:val="3"/>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vAlign w:val="center"/>
          </w:tcPr>
          <w:p>
            <w:pPr>
              <w:autoSpaceDE w:val="0"/>
              <w:autoSpaceDN w:val="0"/>
              <w:adjustRightInd w:val="0"/>
              <w:snapToGrid w:val="0"/>
              <w:ind w:firstLine="234"/>
              <w:rPr>
                <w:spacing w:val="-3"/>
                <w:kern w:val="0"/>
                <w:szCs w:val="21"/>
                <w:highlight w:val="none"/>
              </w:rPr>
            </w:pPr>
            <w:r>
              <w:rPr>
                <w:rFonts w:hint="eastAsia"/>
                <w:spacing w:val="-3"/>
                <w:kern w:val="0"/>
                <w:szCs w:val="21"/>
                <w:highlight w:val="none"/>
              </w:rPr>
              <w:t>总监理工程师岗位证书编号</w:t>
            </w:r>
          </w:p>
        </w:tc>
        <w:tc>
          <w:tcPr>
            <w:tcW w:w="4643" w:type="dxa"/>
            <w:gridSpan w:val="3"/>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vAlign w:val="center"/>
          </w:tcPr>
          <w:p>
            <w:pPr>
              <w:autoSpaceDE w:val="0"/>
              <w:autoSpaceDN w:val="0"/>
              <w:adjustRightInd w:val="0"/>
              <w:snapToGrid w:val="0"/>
              <w:ind w:firstLine="234"/>
              <w:rPr>
                <w:spacing w:val="-3"/>
                <w:kern w:val="0"/>
                <w:szCs w:val="21"/>
                <w:highlight w:val="none"/>
              </w:rPr>
            </w:pPr>
            <w:r>
              <w:rPr>
                <w:rFonts w:hint="eastAsia"/>
                <w:spacing w:val="-3"/>
                <w:kern w:val="0"/>
                <w:szCs w:val="21"/>
                <w:highlight w:val="none"/>
              </w:rPr>
              <w:t>监理工程师注册证书编号</w:t>
            </w:r>
          </w:p>
        </w:tc>
        <w:tc>
          <w:tcPr>
            <w:tcW w:w="4643" w:type="dxa"/>
            <w:gridSpan w:val="3"/>
            <w:vAlign w:val="center"/>
          </w:tcPr>
          <w:p>
            <w:pPr>
              <w:autoSpaceDE w:val="0"/>
              <w:autoSpaceDN w:val="0"/>
              <w:adjustRightInd w:val="0"/>
              <w:snapToGrid w:val="0"/>
              <w:jc w:val="center"/>
              <w:rPr>
                <w:spacing w:val="-3"/>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286" w:type="dxa"/>
            <w:gridSpan w:val="6"/>
            <w:vAlign w:val="center"/>
          </w:tcPr>
          <w:p>
            <w:pPr>
              <w:autoSpaceDE w:val="0"/>
              <w:autoSpaceDN w:val="0"/>
              <w:adjustRightInd w:val="0"/>
              <w:snapToGrid w:val="0"/>
              <w:rPr>
                <w:spacing w:val="-3"/>
                <w:kern w:val="0"/>
                <w:szCs w:val="21"/>
                <w:highlight w:val="none"/>
              </w:rPr>
            </w:pPr>
            <w:r>
              <w:rPr>
                <w:rFonts w:hint="eastAsia"/>
                <w:spacing w:val="-3"/>
                <w:kern w:val="0"/>
                <w:szCs w:val="21"/>
                <w:highlight w:val="none"/>
              </w:rPr>
              <w:t>主要工作经历及业绩：</w:t>
            </w: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p>
            <w:pPr>
              <w:autoSpaceDE w:val="0"/>
              <w:autoSpaceDN w:val="0"/>
              <w:adjustRightInd w:val="0"/>
              <w:snapToGrid w:val="0"/>
              <w:rPr>
                <w:spacing w:val="-3"/>
                <w:kern w:val="0"/>
                <w:szCs w:val="21"/>
                <w:highlight w:val="none"/>
              </w:rPr>
            </w:pPr>
          </w:p>
        </w:tc>
      </w:tr>
    </w:tbl>
    <w:p>
      <w:pPr>
        <w:rPr>
          <w:rFonts w:ascii="宋体" w:hAnsi="宋体" w:cs="宋体"/>
          <w:szCs w:val="21"/>
          <w:highlight w:val="none"/>
        </w:rPr>
      </w:pPr>
      <w:r>
        <w:rPr>
          <w:rFonts w:hint="eastAsia" w:ascii="宋体" w:hAnsi="宋体" w:cs="宋体"/>
          <w:szCs w:val="21"/>
          <w:highlight w:val="none"/>
        </w:rPr>
        <w:t>说明：1、“主要人员”是指总监理工程师、副总监监理工程师、监理工程师；</w:t>
      </w:r>
    </w:p>
    <w:p>
      <w:pPr>
        <w:rPr>
          <w:rFonts w:ascii="宋体" w:hAnsi="宋体" w:cs="宋体"/>
          <w:szCs w:val="21"/>
          <w:highlight w:val="none"/>
        </w:rPr>
      </w:pPr>
      <w:r>
        <w:rPr>
          <w:rFonts w:hint="eastAsia" w:ascii="宋体" w:hAnsi="宋体" w:cs="宋体"/>
          <w:szCs w:val="21"/>
          <w:highlight w:val="none"/>
        </w:rPr>
        <w:t xml:space="preserve">      2、本表应相应附有身份证、职称证书、资格（注册、岗位）证书、业绩证明材料等复印件；</w:t>
      </w:r>
    </w:p>
    <w:p>
      <w:pPr>
        <w:rPr>
          <w:sz w:val="28"/>
          <w:szCs w:val="24"/>
          <w:highlight w:val="none"/>
        </w:rPr>
      </w:pPr>
      <w:r>
        <w:rPr>
          <w:rFonts w:hint="eastAsia" w:ascii="宋体" w:hAnsi="宋体" w:cs="宋体"/>
          <w:szCs w:val="21"/>
          <w:highlight w:val="none"/>
        </w:rPr>
        <w:t xml:space="preserve">      3、本表应加盖投标人公章。</w:t>
      </w:r>
    </w:p>
    <w:p>
      <w:pPr>
        <w:pStyle w:val="6"/>
        <w:rPr>
          <w:highlight w:val="none"/>
        </w:rPr>
      </w:pPr>
      <w:r>
        <w:rPr>
          <w:rFonts w:eastAsia="Times New Roman"/>
          <w:kern w:val="0"/>
          <w:szCs w:val="24"/>
          <w:highlight w:val="none"/>
        </w:rPr>
        <w:br w:type="page"/>
      </w:r>
    </w:p>
    <w:p>
      <w:pPr>
        <w:pStyle w:val="23"/>
        <w:ind w:firstLine="0" w:firstLineChars="0"/>
        <w:rPr>
          <w:rFonts w:ascii="宋体" w:hAnsi="宋体" w:cs="宋体"/>
          <w:bCs/>
          <w:szCs w:val="21"/>
          <w:highlight w:val="none"/>
        </w:rPr>
      </w:pPr>
    </w:p>
    <w:p>
      <w:pPr>
        <w:spacing w:line="360" w:lineRule="auto"/>
        <w:jc w:val="center"/>
        <w:rPr>
          <w:rFonts w:ascii="宋体" w:hAnsi="宋体" w:cs="宋体"/>
          <w:b/>
          <w:sz w:val="28"/>
          <w:szCs w:val="28"/>
          <w:highlight w:val="none"/>
        </w:rPr>
      </w:pPr>
      <w:r>
        <w:rPr>
          <w:rFonts w:hint="eastAsia" w:ascii="宋体" w:hAnsi="宋体" w:cs="宋体"/>
          <w:b/>
          <w:sz w:val="24"/>
          <w:szCs w:val="24"/>
          <w:highlight w:val="none"/>
        </w:rPr>
        <w:t>七、主要检测设备仪器一览表</w:t>
      </w:r>
    </w:p>
    <w:p>
      <w:pPr>
        <w:jc w:val="center"/>
        <w:rPr>
          <w:rFonts w:ascii="宋体" w:hAnsi="宋体" w:cs="宋体"/>
          <w:b/>
          <w:bCs/>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top w:val="single" w:color="auto" w:sz="12" w:space="0"/>
              <w:left w:val="single" w:color="auto" w:sz="12" w:space="0"/>
            </w:tcBorders>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268" w:type="dxa"/>
            <w:tcBorders>
              <w:top w:val="single" w:color="auto" w:sz="12" w:space="0"/>
            </w:tcBorders>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仪器或设备名称</w:t>
            </w:r>
          </w:p>
        </w:tc>
        <w:tc>
          <w:tcPr>
            <w:tcW w:w="1923" w:type="dxa"/>
            <w:tcBorders>
              <w:top w:val="single" w:color="auto" w:sz="12" w:space="0"/>
            </w:tcBorders>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型号、规格</w:t>
            </w:r>
          </w:p>
        </w:tc>
        <w:tc>
          <w:tcPr>
            <w:tcW w:w="959" w:type="dxa"/>
            <w:tcBorders>
              <w:top w:val="single" w:color="auto" w:sz="12" w:space="0"/>
            </w:tcBorders>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数量</w:t>
            </w:r>
          </w:p>
        </w:tc>
        <w:tc>
          <w:tcPr>
            <w:tcW w:w="3069" w:type="dxa"/>
            <w:tcBorders>
              <w:top w:val="single" w:color="auto" w:sz="12" w:space="0"/>
              <w:right w:val="single" w:color="auto" w:sz="12" w:space="0"/>
            </w:tcBorders>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vertAlign w:val="subscript"/>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vertAlign w:val="subscript"/>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6</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w:t>
            </w:r>
          </w:p>
        </w:tc>
        <w:tc>
          <w:tcPr>
            <w:tcW w:w="2268" w:type="dxa"/>
            <w:vAlign w:val="center"/>
          </w:tcPr>
          <w:p>
            <w:pPr>
              <w:spacing w:line="360" w:lineRule="auto"/>
              <w:jc w:val="center"/>
              <w:rPr>
                <w:rFonts w:ascii="宋体" w:hAnsi="宋体" w:cs="宋体"/>
                <w:szCs w:val="21"/>
                <w:highlight w:val="none"/>
              </w:rPr>
            </w:pPr>
          </w:p>
        </w:tc>
        <w:tc>
          <w:tcPr>
            <w:tcW w:w="1923" w:type="dxa"/>
            <w:vAlign w:val="center"/>
          </w:tcPr>
          <w:p>
            <w:pPr>
              <w:spacing w:line="360" w:lineRule="auto"/>
              <w:jc w:val="center"/>
              <w:rPr>
                <w:rFonts w:ascii="宋体" w:hAnsi="宋体" w:cs="宋体"/>
                <w:szCs w:val="21"/>
                <w:highlight w:val="none"/>
              </w:rPr>
            </w:pPr>
          </w:p>
        </w:tc>
        <w:tc>
          <w:tcPr>
            <w:tcW w:w="959" w:type="dxa"/>
            <w:vAlign w:val="center"/>
          </w:tcPr>
          <w:p>
            <w:pPr>
              <w:spacing w:line="360" w:lineRule="auto"/>
              <w:jc w:val="center"/>
              <w:rPr>
                <w:rFonts w:ascii="宋体" w:hAnsi="宋体" w:cs="宋体"/>
                <w:szCs w:val="21"/>
                <w:highlight w:val="none"/>
              </w:rPr>
            </w:pPr>
          </w:p>
        </w:tc>
        <w:tc>
          <w:tcPr>
            <w:tcW w:w="3069" w:type="dxa"/>
            <w:tcBorders>
              <w:right w:val="single" w:color="auto" w:sz="12" w:space="0"/>
            </w:tcBorders>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8</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9</w:t>
            </w:r>
          </w:p>
        </w:tc>
        <w:tc>
          <w:tcPr>
            <w:tcW w:w="2268" w:type="dxa"/>
            <w:vAlign w:val="center"/>
          </w:tcPr>
          <w:p>
            <w:pPr>
              <w:adjustRightInd w:val="0"/>
              <w:snapToGrid w:val="0"/>
              <w:spacing w:line="360" w:lineRule="auto"/>
              <w:jc w:val="center"/>
              <w:rPr>
                <w:rFonts w:ascii="宋体" w:hAnsi="宋体" w:cs="宋体"/>
                <w:szCs w:val="21"/>
                <w:highlight w:val="none"/>
              </w:rPr>
            </w:pPr>
          </w:p>
        </w:tc>
        <w:tc>
          <w:tcPr>
            <w:tcW w:w="1923" w:type="dxa"/>
            <w:vAlign w:val="center"/>
          </w:tcPr>
          <w:p>
            <w:pPr>
              <w:adjustRightInd w:val="0"/>
              <w:snapToGrid w:val="0"/>
              <w:spacing w:line="360" w:lineRule="auto"/>
              <w:jc w:val="center"/>
              <w:rPr>
                <w:rFonts w:ascii="宋体" w:hAnsi="宋体" w:cs="宋体"/>
                <w:szCs w:val="21"/>
                <w:highlight w:val="none"/>
              </w:rPr>
            </w:pPr>
          </w:p>
        </w:tc>
        <w:tc>
          <w:tcPr>
            <w:tcW w:w="959" w:type="dxa"/>
            <w:vAlign w:val="center"/>
          </w:tcPr>
          <w:p>
            <w:pPr>
              <w:adjustRightInd w:val="0"/>
              <w:snapToGrid w:val="0"/>
              <w:spacing w:line="360" w:lineRule="auto"/>
              <w:jc w:val="center"/>
              <w:rPr>
                <w:rFonts w:ascii="宋体" w:hAnsi="宋体" w:cs="宋体"/>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bottom w:val="single" w:color="auto" w:sz="12"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2268" w:type="dxa"/>
            <w:tcBorders>
              <w:bottom w:val="single" w:color="auto" w:sz="12" w:space="0"/>
            </w:tcBorders>
            <w:vAlign w:val="center"/>
          </w:tcPr>
          <w:p>
            <w:pPr>
              <w:adjustRightInd w:val="0"/>
              <w:snapToGrid w:val="0"/>
              <w:spacing w:line="360" w:lineRule="auto"/>
              <w:jc w:val="center"/>
              <w:rPr>
                <w:rFonts w:ascii="宋体" w:hAnsi="宋体" w:cs="宋体"/>
                <w:szCs w:val="21"/>
                <w:highlight w:val="none"/>
              </w:rPr>
            </w:pPr>
          </w:p>
        </w:tc>
        <w:tc>
          <w:tcPr>
            <w:tcW w:w="1923" w:type="dxa"/>
            <w:tcBorders>
              <w:bottom w:val="single" w:color="auto" w:sz="12" w:space="0"/>
            </w:tcBorders>
            <w:vAlign w:val="center"/>
          </w:tcPr>
          <w:p>
            <w:pPr>
              <w:adjustRightInd w:val="0"/>
              <w:snapToGrid w:val="0"/>
              <w:spacing w:line="360" w:lineRule="auto"/>
              <w:jc w:val="center"/>
              <w:rPr>
                <w:rFonts w:ascii="宋体" w:hAnsi="宋体" w:cs="宋体"/>
                <w:szCs w:val="21"/>
                <w:highlight w:val="none"/>
              </w:rPr>
            </w:pPr>
          </w:p>
        </w:tc>
        <w:tc>
          <w:tcPr>
            <w:tcW w:w="959" w:type="dxa"/>
            <w:tcBorders>
              <w:bottom w:val="single" w:color="auto" w:sz="12" w:space="0"/>
            </w:tcBorders>
            <w:vAlign w:val="center"/>
          </w:tcPr>
          <w:p>
            <w:pPr>
              <w:adjustRightInd w:val="0"/>
              <w:snapToGrid w:val="0"/>
              <w:spacing w:line="360" w:lineRule="auto"/>
              <w:jc w:val="center"/>
              <w:rPr>
                <w:rFonts w:ascii="宋体" w:hAnsi="宋体" w:cs="宋体"/>
                <w:szCs w:val="21"/>
                <w:highlight w:val="none"/>
              </w:rPr>
            </w:pPr>
          </w:p>
        </w:tc>
        <w:tc>
          <w:tcPr>
            <w:tcW w:w="3069" w:type="dxa"/>
            <w:tcBorders>
              <w:bottom w:val="single" w:color="auto" w:sz="12" w:space="0"/>
              <w:right w:val="single" w:color="auto" w:sz="12" w:space="0"/>
            </w:tcBorders>
            <w:vAlign w:val="center"/>
          </w:tcPr>
          <w:p>
            <w:pPr>
              <w:adjustRightInd w:val="0"/>
              <w:snapToGrid w:val="0"/>
              <w:spacing w:line="360" w:lineRule="auto"/>
              <w:jc w:val="center"/>
              <w:rPr>
                <w:rFonts w:ascii="宋体" w:hAnsi="宋体" w:cs="宋体"/>
                <w:szCs w:val="21"/>
                <w:highlight w:val="none"/>
              </w:rPr>
            </w:pPr>
          </w:p>
        </w:tc>
      </w:tr>
    </w:tbl>
    <w:p>
      <w:pPr>
        <w:autoSpaceDE w:val="0"/>
        <w:autoSpaceDN w:val="0"/>
        <w:adjustRightInd w:val="0"/>
        <w:rPr>
          <w:rFonts w:ascii="宋体" w:hAnsi="宋体" w:cs="宋体"/>
          <w:b/>
          <w:bCs/>
          <w:kern w:val="0"/>
          <w:szCs w:val="21"/>
          <w:highlight w:val="none"/>
        </w:rPr>
      </w:pPr>
    </w:p>
    <w:p>
      <w:pPr>
        <w:autoSpaceDE w:val="0"/>
        <w:autoSpaceDN w:val="0"/>
        <w:adjustRightInd w:val="0"/>
        <w:ind w:firstLine="525" w:firstLineChars="250"/>
        <w:rPr>
          <w:rFonts w:ascii="宋体" w:hAnsi="宋体" w:cs="宋体"/>
          <w:b/>
          <w:bCs/>
          <w:kern w:val="0"/>
          <w:szCs w:val="21"/>
          <w:highlight w:val="none"/>
        </w:rPr>
      </w:pPr>
      <w:r>
        <w:rPr>
          <w:rFonts w:hint="eastAsia" w:ascii="宋体" w:hAnsi="宋体" w:cs="宋体"/>
          <w:szCs w:val="21"/>
          <w:highlight w:val="none"/>
        </w:rPr>
        <w:t>我方承诺上述填报内容真实。如不真实，将按照有关规定接受处理。</w:t>
      </w:r>
    </w:p>
    <w:p>
      <w:pPr>
        <w:autoSpaceDE w:val="0"/>
        <w:autoSpaceDN w:val="0"/>
        <w:adjustRightInd w:val="0"/>
        <w:jc w:val="center"/>
        <w:rPr>
          <w:rFonts w:ascii="宋体" w:hAnsi="宋体" w:cs="宋体"/>
          <w:b/>
          <w:bCs/>
          <w:kern w:val="0"/>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840" w:firstLineChars="400"/>
        <w:rPr>
          <w:rFonts w:ascii="宋体" w:hAnsi="宋体" w:cs="宋体"/>
          <w:szCs w:val="21"/>
          <w:highlight w:val="none"/>
          <w:u w:val="single"/>
        </w:rPr>
      </w:pPr>
    </w:p>
    <w:p>
      <w:pPr>
        <w:pStyle w:val="23"/>
        <w:ind w:firstLine="5880" w:firstLineChars="2800"/>
        <w:rPr>
          <w:rFonts w:ascii="宋体" w:hAnsi="宋体" w:cs="宋体"/>
          <w:bCs/>
          <w:szCs w:val="21"/>
          <w:highlight w:val="none"/>
        </w:rPr>
      </w:pPr>
      <w:r>
        <w:rPr>
          <w:rFonts w:hint="eastAsia" w:ascii="宋体" w:hAnsi="宋体" w:cs="宋体"/>
          <w:szCs w:val="21"/>
          <w:highlight w:val="none"/>
        </w:rPr>
        <w:t>年    月    日</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jc w:val="center"/>
        <w:rPr>
          <w:rFonts w:ascii="宋体" w:hAnsi="宋体" w:cs="宋体"/>
          <w:b/>
          <w:sz w:val="28"/>
          <w:szCs w:val="28"/>
          <w:highlight w:val="none"/>
        </w:rPr>
      </w:pPr>
      <w:r>
        <w:rPr>
          <w:rFonts w:hint="eastAsia" w:ascii="宋体" w:hAnsi="宋体" w:cs="宋体"/>
          <w:b/>
          <w:sz w:val="24"/>
          <w:szCs w:val="24"/>
          <w:highlight w:val="none"/>
        </w:rPr>
        <w:t>八、企业承担类似或相近工程情况一览表</w:t>
      </w:r>
    </w:p>
    <w:p>
      <w:pPr>
        <w:autoSpaceDE w:val="0"/>
        <w:autoSpaceDN w:val="0"/>
        <w:adjustRightInd w:val="0"/>
        <w:rPr>
          <w:rFonts w:ascii="宋体" w:hAnsi="宋体" w:cs="宋体"/>
          <w:b/>
          <w:bCs/>
          <w:kern w:val="0"/>
          <w:szCs w:val="21"/>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建设单位</w:t>
            </w:r>
          </w:p>
        </w:tc>
        <w:tc>
          <w:tcPr>
            <w:tcW w:w="1985" w:type="dxa"/>
            <w:tcBorders>
              <w:top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工程项目名称</w:t>
            </w:r>
          </w:p>
        </w:tc>
        <w:tc>
          <w:tcPr>
            <w:tcW w:w="1275" w:type="dxa"/>
            <w:tcBorders>
              <w:top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建设</w:t>
            </w:r>
          </w:p>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规模</w:t>
            </w:r>
          </w:p>
        </w:tc>
        <w:tc>
          <w:tcPr>
            <w:tcW w:w="1418" w:type="dxa"/>
            <w:tcBorders>
              <w:top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竣工日期</w:t>
            </w:r>
          </w:p>
        </w:tc>
        <w:tc>
          <w:tcPr>
            <w:tcW w:w="850" w:type="dxa"/>
            <w:tcBorders>
              <w:top w:val="single" w:color="auto" w:sz="12"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质量等级</w:t>
            </w:r>
          </w:p>
        </w:tc>
        <w:tc>
          <w:tcPr>
            <w:tcW w:w="1134" w:type="dxa"/>
            <w:tcBorders>
              <w:top w:val="single" w:color="auto" w:sz="12" w:space="0"/>
              <w:right w:val="single" w:color="auto" w:sz="4" w:space="0"/>
            </w:tcBorders>
            <w:vAlign w:val="center"/>
          </w:tcPr>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项目</w:t>
            </w:r>
          </w:p>
          <w:p>
            <w:pPr>
              <w:autoSpaceDE w:val="0"/>
              <w:autoSpaceDN w:val="0"/>
              <w:adjustRightInd w:val="0"/>
              <w:jc w:val="center"/>
              <w:rPr>
                <w:rFonts w:ascii="宋体" w:hAnsi="宋体" w:cs="宋体"/>
                <w:b/>
                <w:bCs/>
                <w:kern w:val="0"/>
                <w:szCs w:val="21"/>
                <w:highlight w:val="none"/>
              </w:rPr>
            </w:pPr>
            <w:r>
              <w:rPr>
                <w:rFonts w:hint="eastAsia" w:ascii="宋体" w:hAnsi="宋体" w:cs="宋体"/>
                <w:b/>
                <w:bCs/>
                <w:kern w:val="0"/>
                <w:szCs w:val="21"/>
                <w:highlight w:val="none"/>
              </w:rPr>
              <w:t>总监</w:t>
            </w:r>
          </w:p>
        </w:tc>
        <w:tc>
          <w:tcPr>
            <w:tcW w:w="1696" w:type="dxa"/>
            <w:tcBorders>
              <w:top w:val="single" w:color="auto" w:sz="12" w:space="0"/>
              <w:left w:val="single" w:color="auto" w:sz="4" w:space="0"/>
              <w:right w:val="single" w:color="auto" w:sz="12" w:space="0"/>
            </w:tcBorders>
            <w:vAlign w:val="center"/>
          </w:tcPr>
          <w:p>
            <w:pPr>
              <w:widowControl/>
              <w:jc w:val="left"/>
              <w:rPr>
                <w:rFonts w:ascii="宋体" w:hAnsi="宋体" w:cs="宋体"/>
                <w:b/>
                <w:bCs/>
                <w:kern w:val="0"/>
                <w:szCs w:val="21"/>
                <w:highlight w:val="none"/>
              </w:rPr>
            </w:pPr>
            <w:r>
              <w:rPr>
                <w:rFonts w:hint="eastAsia" w:ascii="宋体" w:hAnsi="宋体" w:cs="宋体"/>
                <w:b/>
                <w:bCs/>
                <w:kern w:val="0"/>
                <w:szCs w:val="21"/>
                <w:highlight w:val="none"/>
              </w:rPr>
              <w:t>建设单位联系人\电话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cs="宋体"/>
                <w:b/>
                <w:bCs/>
                <w:kern w:val="0"/>
                <w:szCs w:val="21"/>
                <w:highlight w:val="none"/>
              </w:rPr>
            </w:pPr>
          </w:p>
        </w:tc>
        <w:tc>
          <w:tcPr>
            <w:tcW w:w="1985" w:type="dxa"/>
          </w:tcPr>
          <w:p>
            <w:pPr>
              <w:autoSpaceDE w:val="0"/>
              <w:autoSpaceDN w:val="0"/>
              <w:adjustRightInd w:val="0"/>
              <w:rPr>
                <w:rFonts w:ascii="宋体" w:hAnsi="宋体" w:cs="宋体"/>
                <w:b/>
                <w:bCs/>
                <w:kern w:val="0"/>
                <w:szCs w:val="21"/>
                <w:highlight w:val="none"/>
              </w:rPr>
            </w:pPr>
          </w:p>
        </w:tc>
        <w:tc>
          <w:tcPr>
            <w:tcW w:w="1275" w:type="dxa"/>
          </w:tcPr>
          <w:p>
            <w:pPr>
              <w:autoSpaceDE w:val="0"/>
              <w:autoSpaceDN w:val="0"/>
              <w:adjustRightInd w:val="0"/>
              <w:rPr>
                <w:rFonts w:ascii="宋体" w:hAnsi="宋体" w:cs="宋体"/>
                <w:b/>
                <w:bCs/>
                <w:kern w:val="0"/>
                <w:szCs w:val="21"/>
                <w:highlight w:val="none"/>
              </w:rPr>
            </w:pPr>
          </w:p>
        </w:tc>
        <w:tc>
          <w:tcPr>
            <w:tcW w:w="1418" w:type="dxa"/>
          </w:tcPr>
          <w:p>
            <w:pPr>
              <w:autoSpaceDE w:val="0"/>
              <w:autoSpaceDN w:val="0"/>
              <w:adjustRightInd w:val="0"/>
              <w:rPr>
                <w:rFonts w:ascii="宋体" w:hAnsi="宋体" w:cs="宋体"/>
                <w:b/>
                <w:bCs/>
                <w:kern w:val="0"/>
                <w:szCs w:val="21"/>
                <w:highlight w:val="none"/>
              </w:rPr>
            </w:pPr>
          </w:p>
        </w:tc>
        <w:tc>
          <w:tcPr>
            <w:tcW w:w="850" w:type="dxa"/>
          </w:tcPr>
          <w:p>
            <w:pPr>
              <w:autoSpaceDE w:val="0"/>
              <w:autoSpaceDN w:val="0"/>
              <w:adjustRightInd w:val="0"/>
              <w:rPr>
                <w:rFonts w:ascii="宋体" w:hAnsi="宋体" w:cs="宋体"/>
                <w:b/>
                <w:bCs/>
                <w:kern w:val="0"/>
                <w:szCs w:val="21"/>
                <w:highlight w:val="none"/>
              </w:rPr>
            </w:pPr>
          </w:p>
        </w:tc>
        <w:tc>
          <w:tcPr>
            <w:tcW w:w="1134" w:type="dxa"/>
            <w:tcBorders>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right w:val="single" w:color="auto" w:sz="12" w:space="0"/>
            </w:tcBorders>
          </w:tcPr>
          <w:p>
            <w:pPr>
              <w:autoSpaceDE w:val="0"/>
              <w:autoSpaceDN w:val="0"/>
              <w:adjustRightInd w:val="0"/>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rPr>
                <w:rFonts w:ascii="宋体" w:hAnsi="宋体" w:cs="宋体"/>
                <w:b/>
                <w:bCs/>
                <w:kern w:val="0"/>
                <w:szCs w:val="21"/>
                <w:highlight w:val="none"/>
              </w:rPr>
            </w:pPr>
          </w:p>
        </w:tc>
        <w:tc>
          <w:tcPr>
            <w:tcW w:w="1985" w:type="dxa"/>
            <w:tcBorders>
              <w:bottom w:val="single" w:color="auto" w:sz="12" w:space="0"/>
            </w:tcBorders>
          </w:tcPr>
          <w:p>
            <w:pPr>
              <w:autoSpaceDE w:val="0"/>
              <w:autoSpaceDN w:val="0"/>
              <w:adjustRightInd w:val="0"/>
              <w:rPr>
                <w:rFonts w:ascii="宋体" w:hAnsi="宋体" w:cs="宋体"/>
                <w:b/>
                <w:bCs/>
                <w:kern w:val="0"/>
                <w:szCs w:val="21"/>
                <w:highlight w:val="none"/>
              </w:rPr>
            </w:pPr>
          </w:p>
        </w:tc>
        <w:tc>
          <w:tcPr>
            <w:tcW w:w="1275" w:type="dxa"/>
            <w:tcBorders>
              <w:bottom w:val="single" w:color="auto" w:sz="12" w:space="0"/>
            </w:tcBorders>
          </w:tcPr>
          <w:p>
            <w:pPr>
              <w:autoSpaceDE w:val="0"/>
              <w:autoSpaceDN w:val="0"/>
              <w:adjustRightInd w:val="0"/>
              <w:rPr>
                <w:rFonts w:ascii="宋体" w:hAnsi="宋体" w:cs="宋体"/>
                <w:b/>
                <w:bCs/>
                <w:kern w:val="0"/>
                <w:szCs w:val="21"/>
                <w:highlight w:val="none"/>
              </w:rPr>
            </w:pPr>
          </w:p>
        </w:tc>
        <w:tc>
          <w:tcPr>
            <w:tcW w:w="1418" w:type="dxa"/>
            <w:tcBorders>
              <w:bottom w:val="single" w:color="auto" w:sz="12" w:space="0"/>
            </w:tcBorders>
          </w:tcPr>
          <w:p>
            <w:pPr>
              <w:autoSpaceDE w:val="0"/>
              <w:autoSpaceDN w:val="0"/>
              <w:adjustRightInd w:val="0"/>
              <w:rPr>
                <w:rFonts w:ascii="宋体" w:hAnsi="宋体" w:cs="宋体"/>
                <w:b/>
                <w:bCs/>
                <w:kern w:val="0"/>
                <w:szCs w:val="21"/>
                <w:highlight w:val="none"/>
              </w:rPr>
            </w:pPr>
          </w:p>
        </w:tc>
        <w:tc>
          <w:tcPr>
            <w:tcW w:w="850" w:type="dxa"/>
            <w:tcBorders>
              <w:bottom w:val="single" w:color="auto" w:sz="12" w:space="0"/>
            </w:tcBorders>
          </w:tcPr>
          <w:p>
            <w:pPr>
              <w:autoSpaceDE w:val="0"/>
              <w:autoSpaceDN w:val="0"/>
              <w:adjustRightInd w:val="0"/>
              <w:rPr>
                <w:rFonts w:ascii="宋体" w:hAnsi="宋体" w:cs="宋体"/>
                <w:b/>
                <w:bCs/>
                <w:kern w:val="0"/>
                <w:szCs w:val="21"/>
                <w:highlight w:val="none"/>
              </w:rPr>
            </w:pPr>
          </w:p>
        </w:tc>
        <w:tc>
          <w:tcPr>
            <w:tcW w:w="1134" w:type="dxa"/>
            <w:tcBorders>
              <w:bottom w:val="single" w:color="auto" w:sz="12" w:space="0"/>
              <w:right w:val="single" w:color="auto" w:sz="4" w:space="0"/>
            </w:tcBorders>
          </w:tcPr>
          <w:p>
            <w:pPr>
              <w:autoSpaceDE w:val="0"/>
              <w:autoSpaceDN w:val="0"/>
              <w:adjustRightInd w:val="0"/>
              <w:rPr>
                <w:rFonts w:ascii="宋体" w:hAnsi="宋体" w:cs="宋体"/>
                <w:b/>
                <w:bCs/>
                <w:kern w:val="0"/>
                <w:szCs w:val="21"/>
                <w:highlight w:val="none"/>
              </w:rPr>
            </w:pPr>
          </w:p>
        </w:tc>
        <w:tc>
          <w:tcPr>
            <w:tcW w:w="1696" w:type="dxa"/>
            <w:tcBorders>
              <w:left w:val="single" w:color="auto" w:sz="4" w:space="0"/>
              <w:bottom w:val="single" w:color="auto" w:sz="12" w:space="0"/>
              <w:right w:val="single" w:color="auto" w:sz="12" w:space="0"/>
            </w:tcBorders>
          </w:tcPr>
          <w:p>
            <w:pPr>
              <w:autoSpaceDE w:val="0"/>
              <w:autoSpaceDN w:val="0"/>
              <w:adjustRightInd w:val="0"/>
              <w:rPr>
                <w:rFonts w:ascii="宋体" w:hAnsi="宋体" w:cs="宋体"/>
                <w:b/>
                <w:bCs/>
                <w:kern w:val="0"/>
                <w:szCs w:val="21"/>
                <w:highlight w:val="none"/>
              </w:rPr>
            </w:pPr>
          </w:p>
        </w:tc>
      </w:tr>
    </w:tbl>
    <w:p>
      <w:pPr>
        <w:autoSpaceDE w:val="0"/>
        <w:autoSpaceDN w:val="0"/>
        <w:adjustRightInd w:val="0"/>
        <w:rPr>
          <w:rFonts w:ascii="宋体" w:hAnsi="宋体" w:cs="宋体"/>
          <w:b/>
          <w:bCs/>
          <w:kern w:val="0"/>
          <w:szCs w:val="21"/>
          <w:highlight w:val="none"/>
        </w:rPr>
      </w:pPr>
      <w:r>
        <w:rPr>
          <w:rFonts w:hint="eastAsia" w:ascii="宋体" w:hAnsi="宋体" w:cs="宋体"/>
          <w:b/>
          <w:bCs/>
          <w:kern w:val="0"/>
          <w:szCs w:val="21"/>
          <w:highlight w:val="none"/>
        </w:rPr>
        <w:t>注：</w:t>
      </w:r>
      <w:r>
        <w:rPr>
          <w:rFonts w:ascii="宋体" w:hAnsi="宋体" w:cs="宋体"/>
          <w:kern w:val="0"/>
          <w:szCs w:val="24"/>
          <w:highlight w:val="none"/>
        </w:rPr>
        <w:t>近五年（从投标截止日往前推算，以合同签订日期为准，下同）投标人承接过单项合同额大于本招标工程评标基准价的类似工程的（类似工程应当在招标文件中界定，证明文件以合同文件或者验收文件为准</w:t>
      </w:r>
      <w:r>
        <w:rPr>
          <w:rFonts w:hint="eastAsia" w:ascii="宋体" w:hAnsi="宋体" w:cs="宋体"/>
          <w:kern w:val="0"/>
          <w:szCs w:val="24"/>
          <w:highlight w:val="none"/>
        </w:rPr>
        <w:t>。</w:t>
      </w:r>
    </w:p>
    <w:p>
      <w:pPr>
        <w:autoSpaceDE w:val="0"/>
        <w:autoSpaceDN w:val="0"/>
        <w:adjustRightInd w:val="0"/>
        <w:spacing w:line="560" w:lineRule="exact"/>
        <w:ind w:firstLine="420" w:firstLineChars="200"/>
        <w:jc w:val="left"/>
        <w:rPr>
          <w:rFonts w:ascii="宋体" w:hAnsi="宋体" w:cs="宋体"/>
          <w:szCs w:val="21"/>
          <w:highlight w:val="none"/>
        </w:rPr>
      </w:pPr>
      <w:r>
        <w:rPr>
          <w:rFonts w:hint="eastAsia" w:ascii="宋体" w:hAnsi="宋体" w:cs="宋体"/>
          <w:szCs w:val="21"/>
          <w:highlight w:val="none"/>
        </w:rPr>
        <w:t>我方承诺上述填报内容真实，如不真实，将按照有关规定接受处理。</w:t>
      </w:r>
    </w:p>
    <w:p>
      <w:pPr>
        <w:autoSpaceDE w:val="0"/>
        <w:autoSpaceDN w:val="0"/>
        <w:adjustRightInd w:val="0"/>
        <w:spacing w:line="560" w:lineRule="exact"/>
        <w:jc w:val="left"/>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840" w:firstLineChars="400"/>
        <w:rPr>
          <w:rFonts w:ascii="宋体" w:hAnsi="宋体" w:cs="宋体"/>
          <w:szCs w:val="21"/>
          <w:highlight w:val="none"/>
          <w:u w:val="single"/>
        </w:rPr>
      </w:pPr>
    </w:p>
    <w:p>
      <w:pPr>
        <w:spacing w:line="360" w:lineRule="auto"/>
        <w:ind w:firstLine="6237" w:firstLineChars="2970"/>
        <w:jc w:val="left"/>
        <w:rPr>
          <w:rFonts w:ascii="宋体" w:hAnsi="宋体" w:cs="宋体"/>
          <w:bCs/>
          <w:szCs w:val="21"/>
          <w:highlight w:val="none"/>
        </w:rPr>
      </w:pPr>
      <w:r>
        <w:rPr>
          <w:rFonts w:hint="eastAsia" w:ascii="宋体" w:hAnsi="宋体" w:cs="宋体"/>
          <w:szCs w:val="21"/>
          <w:highlight w:val="none"/>
        </w:rPr>
        <w:t>年    月    日</w:t>
      </w: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spacing w:line="360" w:lineRule="auto"/>
        <w:ind w:firstLine="359" w:firstLineChars="171"/>
        <w:jc w:val="left"/>
        <w:rPr>
          <w:rFonts w:ascii="宋体" w:hAnsi="宋体" w:cs="宋体"/>
          <w:bCs/>
          <w:szCs w:val="21"/>
          <w:highlight w:val="none"/>
        </w:rPr>
      </w:pPr>
    </w:p>
    <w:p>
      <w:pPr>
        <w:pStyle w:val="23"/>
        <w:ind w:firstLine="0" w:firstLineChars="0"/>
        <w:rPr>
          <w:rFonts w:ascii="宋体" w:hAnsi="宋体" w:cs="宋体"/>
          <w:bCs/>
          <w:szCs w:val="21"/>
          <w:highlight w:val="none"/>
        </w:rPr>
      </w:pPr>
    </w:p>
    <w:p>
      <w:pPr>
        <w:spacing w:line="360" w:lineRule="auto"/>
        <w:jc w:val="center"/>
        <w:rPr>
          <w:rFonts w:ascii="宋体" w:hAnsi="宋体" w:cs="宋体"/>
          <w:szCs w:val="21"/>
          <w:highlight w:val="none"/>
        </w:rPr>
      </w:pPr>
      <w:r>
        <w:rPr>
          <w:rFonts w:hint="eastAsia" w:ascii="宋体" w:hAnsi="宋体" w:cs="宋体"/>
          <w:b/>
          <w:sz w:val="24"/>
          <w:szCs w:val="24"/>
          <w:highlight w:val="none"/>
        </w:rPr>
        <w:t>九、财务状况表</w:t>
      </w:r>
    </w:p>
    <w:p>
      <w:pPr>
        <w:pStyle w:val="69"/>
        <w:jc w:val="center"/>
        <w:rPr>
          <w:rFonts w:ascii="宋体" w:hAnsi="宋体" w:cs="宋体"/>
          <w:sz w:val="21"/>
          <w:szCs w:val="21"/>
          <w:highlight w:val="none"/>
        </w:rPr>
      </w:pPr>
      <w:r>
        <w:rPr>
          <w:rFonts w:hint="eastAsia" w:ascii="宋体" w:hAnsi="宋体" w:cs="宋体"/>
          <w:sz w:val="21"/>
          <w:szCs w:val="21"/>
          <w:highlight w:val="none"/>
        </w:rPr>
        <w:t>财务状况</w:t>
      </w:r>
    </w:p>
    <w:p>
      <w:pPr>
        <w:pStyle w:val="69"/>
        <w:spacing w:line="500" w:lineRule="exact"/>
        <w:ind w:firstLine="570"/>
        <w:rPr>
          <w:rFonts w:ascii="宋体" w:hAnsi="宋体" w:cs="宋体"/>
          <w:sz w:val="21"/>
          <w:szCs w:val="21"/>
          <w:highlight w:val="none"/>
        </w:rPr>
      </w:pPr>
      <w:r>
        <w:rPr>
          <w:rFonts w:hint="eastAsia" w:ascii="宋体" w:hAnsi="宋体" w:cs="宋体"/>
          <w:sz w:val="21"/>
          <w:szCs w:val="21"/>
          <w:highlight w:val="none"/>
        </w:rPr>
        <w:t>投标人应提供近三个年度财务报表中的资产负债表和损益表（复印件），或其他证明材料。财务会计报表复印件须加盖投标人公章。（成立未满一年的企业除外）</w:t>
      </w:r>
    </w:p>
    <w:p>
      <w:pPr>
        <w:pStyle w:val="69"/>
        <w:spacing w:line="500" w:lineRule="exact"/>
        <w:ind w:firstLine="570"/>
        <w:rPr>
          <w:sz w:val="24"/>
          <w:highlight w:val="none"/>
        </w:rPr>
      </w:pPr>
      <w:r>
        <w:rPr>
          <w:rFonts w:hint="eastAsia" w:ascii="宋体" w:hAnsi="宋体" w:cs="宋体"/>
          <w:sz w:val="21"/>
          <w:szCs w:val="21"/>
          <w:highlight w:val="none"/>
        </w:rPr>
        <w:t>若投标人为联合体，联合体各成员单位应分别提供各自财务状况证明材料。</w:t>
      </w: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p>
      <w:pPr>
        <w:pStyle w:val="23"/>
        <w:rPr>
          <w:rFonts w:ascii="宋体" w:hAnsi="宋体" w:cs="宋体"/>
          <w:bCs/>
          <w:szCs w:val="21"/>
          <w:highlight w:val="none"/>
        </w:rPr>
      </w:pPr>
    </w:p>
    <w:bookmarkEnd w:id="43"/>
    <w:p>
      <w:pPr>
        <w:pStyle w:val="6"/>
        <w:ind w:firstLine="0"/>
        <w:rPr>
          <w:highlight w:val="none"/>
        </w:rPr>
      </w:pPr>
    </w:p>
    <w:p>
      <w:pPr>
        <w:widowControl/>
        <w:jc w:val="left"/>
        <w:outlineLvl w:val="1"/>
        <w:rPr>
          <w:rFonts w:ascii="黑体" w:hAnsi="黑体" w:eastAsia="黑体" w:cs="黑体"/>
          <w:b/>
          <w:kern w:val="0"/>
          <w:sz w:val="32"/>
          <w:szCs w:val="24"/>
          <w:highlight w:val="none"/>
        </w:rPr>
      </w:pPr>
      <w:bookmarkStart w:id="44" w:name="_Toc256000052"/>
      <w:r>
        <w:rPr>
          <w:rFonts w:ascii="黑体" w:hAnsi="黑体" w:eastAsia="黑体" w:cs="黑体"/>
          <w:b/>
          <w:kern w:val="0"/>
          <w:sz w:val="32"/>
          <w:szCs w:val="24"/>
          <w:highlight w:val="none"/>
        </w:rPr>
        <w:t>八、监理大纲</w:t>
      </w:r>
      <w:bookmarkEnd w:id="44"/>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监理大纲应包括（但不限于）下列内容：</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一、监理工程概况；</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二、监理范围和服务内容，监理依据；</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三、监理机构设置（框图）、组成人员名单，监理人员岗位职责；</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四、监理工作程序、方法和制度；</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五、监理人员进场工作计划表；</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六、质量、安全、资金、进度、环境控制措施；</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七、合同管理方案；</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八、组织协调内容及措施；</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九、监理工作重点与难点分析及对策；</w:t>
      </w:r>
    </w:p>
    <w:p>
      <w:pPr>
        <w:spacing w:line="500" w:lineRule="exact"/>
        <w:ind w:firstLine="570"/>
        <w:rPr>
          <w:rFonts w:ascii="宋体" w:hAnsi="宋体" w:cs="宋体"/>
          <w:sz w:val="24"/>
          <w:szCs w:val="24"/>
          <w:highlight w:val="none"/>
        </w:rPr>
      </w:pPr>
      <w:r>
        <w:rPr>
          <w:rFonts w:hint="eastAsia" w:ascii="宋体" w:hAnsi="宋体" w:cs="宋体"/>
          <w:sz w:val="24"/>
          <w:szCs w:val="24"/>
          <w:highlight w:val="none"/>
        </w:rPr>
        <w:t>十、拟投入的监理设施、设备及配置计划；</w:t>
      </w:r>
    </w:p>
    <w:p>
      <w:pPr>
        <w:widowControl/>
        <w:jc w:val="left"/>
        <w:outlineLvl w:val="1"/>
        <w:rPr>
          <w:rFonts w:ascii="黑体" w:hAnsi="黑体" w:eastAsia="黑体" w:cs="黑体"/>
          <w:b/>
          <w:kern w:val="0"/>
          <w:sz w:val="32"/>
          <w:szCs w:val="24"/>
          <w:highlight w:val="none"/>
        </w:rPr>
      </w:pPr>
      <w:r>
        <w:rPr>
          <w:rFonts w:eastAsia="Times New Roman"/>
          <w:kern w:val="0"/>
          <w:sz w:val="24"/>
          <w:szCs w:val="24"/>
          <w:highlight w:val="none"/>
        </w:rPr>
        <w:br w:type="page"/>
      </w:r>
      <w:bookmarkStart w:id="45" w:name="_Toc256000053"/>
      <w:r>
        <w:rPr>
          <w:rFonts w:ascii="黑体" w:hAnsi="黑体" w:eastAsia="黑体" w:cs="黑体"/>
          <w:b/>
          <w:kern w:val="0"/>
          <w:sz w:val="32"/>
          <w:szCs w:val="24"/>
          <w:highlight w:val="none"/>
        </w:rPr>
        <w:t>九、监理投标计算书</w:t>
      </w:r>
      <w:bookmarkEnd w:id="45"/>
    </w:p>
    <w:p>
      <w:pPr>
        <w:spacing w:line="500" w:lineRule="exact"/>
        <w:rPr>
          <w:rFonts w:ascii="宋体" w:hAnsi="宋体" w:cs="宋体"/>
          <w:sz w:val="24"/>
          <w:szCs w:val="24"/>
          <w:highlight w:val="none"/>
        </w:rPr>
      </w:pPr>
      <w:r>
        <w:rPr>
          <w:rFonts w:hint="eastAsia" w:ascii="宋体" w:hAnsi="宋体" w:cs="宋体"/>
          <w:sz w:val="24"/>
          <w:szCs w:val="24"/>
          <w:highlight w:val="none"/>
        </w:rPr>
        <w:t>监理投标计算书</w:t>
      </w:r>
    </w:p>
    <w:p>
      <w:pPr>
        <w:spacing w:line="500" w:lineRule="exact"/>
        <w:rPr>
          <w:rFonts w:ascii="宋体" w:hAnsi="宋体" w:cs="宋体"/>
          <w:sz w:val="24"/>
          <w:szCs w:val="24"/>
          <w:highlight w:val="none"/>
        </w:rPr>
      </w:pPr>
      <w:r>
        <w:rPr>
          <w:rFonts w:hint="eastAsia" w:ascii="宋体" w:hAnsi="宋体" w:cs="宋体"/>
          <w:sz w:val="24"/>
          <w:szCs w:val="24"/>
          <w:highlight w:val="none"/>
        </w:rPr>
        <w:t>（1）报价组成</w:t>
      </w:r>
    </w:p>
    <w:p>
      <w:pPr>
        <w:spacing w:line="500" w:lineRule="exact"/>
        <w:ind w:firstLine="480" w:firstLineChars="200"/>
        <w:rPr>
          <w:sz w:val="26"/>
          <w:szCs w:val="26"/>
          <w:highlight w:val="none"/>
        </w:rPr>
      </w:pPr>
      <w:r>
        <w:rPr>
          <w:rFonts w:hint="eastAsia" w:ascii="宋体" w:hAnsi="宋体" w:cs="宋体"/>
          <w:sz w:val="24"/>
          <w:szCs w:val="24"/>
          <w:highlight w:val="none"/>
        </w:rPr>
        <w:t>投标报价包括投标人中标后按照合同约定提供本招标工程正常监理服务所需费用，包括监理人员费、设施设备购置和使用费、管理费、利润、税金。投标人应按上述五项分项计算列报，汇总计入投标报价。</w:t>
      </w:r>
    </w:p>
    <w:p>
      <w:pPr>
        <w:spacing w:line="500" w:lineRule="exact"/>
        <w:rPr>
          <w:sz w:val="26"/>
          <w:szCs w:val="26"/>
          <w:highlight w:val="none"/>
        </w:rPr>
      </w:pPr>
      <w:r>
        <w:rPr>
          <w:rFonts w:hint="eastAsia" w:ascii="宋体" w:hAnsi="宋体" w:cs="宋体"/>
          <w:sz w:val="24"/>
          <w:szCs w:val="24"/>
          <w:highlight w:val="none"/>
        </w:rPr>
        <w:t>（2）投标报价汇总</w:t>
      </w:r>
    </w:p>
    <w:p>
      <w:pPr>
        <w:jc w:val="center"/>
        <w:rPr>
          <w:sz w:val="24"/>
          <w:szCs w:val="24"/>
          <w:highlight w:val="none"/>
        </w:rPr>
      </w:pPr>
      <w:r>
        <w:rPr>
          <w:rFonts w:hint="eastAsia"/>
          <w:sz w:val="24"/>
          <w:szCs w:val="24"/>
          <w:highlight w:val="none"/>
        </w:rPr>
        <w:t>正常监理服务酬金投标报价汇总表</w:t>
      </w:r>
    </w:p>
    <w:p>
      <w:pPr>
        <w:jc w:val="right"/>
        <w:rPr>
          <w:sz w:val="26"/>
          <w:szCs w:val="26"/>
          <w:highlight w:val="none"/>
        </w:rPr>
      </w:pPr>
      <w:r>
        <w:rPr>
          <w:rFonts w:hint="eastAsia"/>
          <w:sz w:val="26"/>
          <w:szCs w:val="26"/>
          <w:highlight w:val="none"/>
        </w:rPr>
        <w:t>单位：元（人民币）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488"/>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项号</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项 目</w:t>
            </w:r>
          </w:p>
        </w:tc>
        <w:tc>
          <w:tcPr>
            <w:tcW w:w="4587" w:type="dxa"/>
            <w:vAlign w:val="center"/>
          </w:tcPr>
          <w:p>
            <w:pPr>
              <w:jc w:val="center"/>
              <w:rPr>
                <w:rFonts w:ascii="宋体" w:hAnsi="宋体" w:cs="宋体"/>
                <w:szCs w:val="21"/>
                <w:highlight w:val="none"/>
              </w:rPr>
            </w:pPr>
            <w:r>
              <w:rPr>
                <w:rFonts w:hint="eastAsia" w:ascii="宋体" w:hAnsi="宋体" w:cs="宋体"/>
                <w:szCs w:val="21"/>
                <w:highlight w:val="none"/>
              </w:rPr>
              <w:t>合价金额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A</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监理人员费</w:t>
            </w:r>
          </w:p>
        </w:tc>
        <w:tc>
          <w:tcPr>
            <w:tcW w:w="4587"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B</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设施设备购置和使用费</w:t>
            </w:r>
          </w:p>
        </w:tc>
        <w:tc>
          <w:tcPr>
            <w:tcW w:w="4587"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C</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管理费</w:t>
            </w:r>
          </w:p>
        </w:tc>
        <w:tc>
          <w:tcPr>
            <w:tcW w:w="4587"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D</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利润</w:t>
            </w:r>
          </w:p>
        </w:tc>
        <w:tc>
          <w:tcPr>
            <w:tcW w:w="4587"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pPr>
              <w:jc w:val="center"/>
              <w:rPr>
                <w:rFonts w:ascii="宋体" w:hAnsi="宋体" w:cs="宋体"/>
                <w:szCs w:val="21"/>
                <w:highlight w:val="none"/>
              </w:rPr>
            </w:pPr>
            <w:r>
              <w:rPr>
                <w:rFonts w:hint="eastAsia" w:ascii="宋体" w:hAnsi="宋体" w:cs="宋体"/>
                <w:szCs w:val="21"/>
                <w:highlight w:val="none"/>
              </w:rPr>
              <w:t>E</w:t>
            </w:r>
          </w:p>
        </w:tc>
        <w:tc>
          <w:tcPr>
            <w:tcW w:w="3488" w:type="dxa"/>
            <w:vAlign w:val="center"/>
          </w:tcPr>
          <w:p>
            <w:pPr>
              <w:jc w:val="center"/>
              <w:rPr>
                <w:rFonts w:ascii="宋体" w:hAnsi="宋体" w:cs="宋体"/>
                <w:szCs w:val="21"/>
                <w:highlight w:val="none"/>
              </w:rPr>
            </w:pPr>
            <w:r>
              <w:rPr>
                <w:rFonts w:hint="eastAsia" w:ascii="宋体" w:hAnsi="宋体" w:cs="宋体"/>
                <w:szCs w:val="21"/>
                <w:highlight w:val="none"/>
              </w:rPr>
              <w:t>税金</w:t>
            </w:r>
          </w:p>
        </w:tc>
        <w:tc>
          <w:tcPr>
            <w:tcW w:w="4587"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99" w:type="dxa"/>
            <w:gridSpan w:val="2"/>
            <w:vAlign w:val="center"/>
          </w:tcPr>
          <w:p>
            <w:pPr>
              <w:jc w:val="center"/>
              <w:rPr>
                <w:rFonts w:ascii="宋体" w:hAnsi="宋体" w:cs="宋体"/>
                <w:szCs w:val="21"/>
                <w:highlight w:val="none"/>
              </w:rPr>
            </w:pPr>
            <w:r>
              <w:rPr>
                <w:rFonts w:hint="eastAsia" w:ascii="宋体" w:hAnsi="宋体" w:cs="宋体"/>
                <w:szCs w:val="21"/>
                <w:highlight w:val="none"/>
              </w:rPr>
              <w:t>投标报价</w:t>
            </w:r>
          </w:p>
        </w:tc>
        <w:tc>
          <w:tcPr>
            <w:tcW w:w="4587" w:type="dxa"/>
            <w:vAlign w:val="center"/>
          </w:tcPr>
          <w:p>
            <w:pPr>
              <w:jc w:val="center"/>
              <w:rPr>
                <w:rFonts w:ascii="宋体" w:hAnsi="宋体" w:cs="宋体"/>
                <w:szCs w:val="21"/>
                <w:highlight w:val="none"/>
              </w:rPr>
            </w:pPr>
          </w:p>
        </w:tc>
      </w:tr>
    </w:tbl>
    <w:p>
      <w:pPr>
        <w:ind w:left="748" w:leftChars="356" w:firstLine="1560" w:firstLineChars="600"/>
        <w:jc w:val="left"/>
        <w:rPr>
          <w:sz w:val="26"/>
          <w:szCs w:val="26"/>
          <w:highlight w:val="none"/>
        </w:rPr>
      </w:pPr>
    </w:p>
    <w:p>
      <w:pPr>
        <w:ind w:left="748" w:leftChars="356" w:firstLine="1560" w:firstLineChars="600"/>
        <w:jc w:val="left"/>
        <w:rPr>
          <w:sz w:val="26"/>
          <w:szCs w:val="26"/>
          <w:highlight w:val="none"/>
          <w:u w:val="single"/>
        </w:rPr>
      </w:pPr>
      <w:r>
        <w:rPr>
          <w:rFonts w:hint="eastAsia"/>
          <w:sz w:val="26"/>
          <w:szCs w:val="26"/>
          <w:highlight w:val="none"/>
        </w:rPr>
        <w:t>投 标 人：</w:t>
      </w:r>
      <w:r>
        <w:rPr>
          <w:rFonts w:hint="eastAsia"/>
          <w:sz w:val="26"/>
          <w:szCs w:val="26"/>
          <w:highlight w:val="none"/>
          <w:u w:val="single"/>
        </w:rPr>
        <w:t xml:space="preserve">                      </w:t>
      </w:r>
    </w:p>
    <w:p>
      <w:pPr>
        <w:ind w:left="2008" w:leftChars="956" w:firstLine="2340" w:firstLineChars="900"/>
        <w:jc w:val="left"/>
        <w:rPr>
          <w:sz w:val="26"/>
          <w:szCs w:val="26"/>
          <w:highlight w:val="none"/>
        </w:rPr>
      </w:pPr>
      <w:r>
        <w:rPr>
          <w:rFonts w:hint="eastAsia"/>
          <w:sz w:val="26"/>
          <w:szCs w:val="26"/>
          <w:highlight w:val="none"/>
        </w:rPr>
        <w:t>（盖章）</w:t>
      </w:r>
    </w:p>
    <w:p>
      <w:pPr>
        <w:ind w:firstLine="2600" w:firstLineChars="1000"/>
        <w:jc w:val="left"/>
        <w:rPr>
          <w:sz w:val="26"/>
          <w:szCs w:val="26"/>
          <w:highlight w:val="none"/>
        </w:rPr>
      </w:pPr>
      <w:r>
        <w:rPr>
          <w:rFonts w:hint="eastAsia"/>
          <w:sz w:val="26"/>
          <w:szCs w:val="26"/>
          <w:highlight w:val="none"/>
        </w:rPr>
        <w:t>法定代表人或其授权代表人：</w:t>
      </w:r>
      <w:r>
        <w:rPr>
          <w:rFonts w:hint="eastAsia"/>
          <w:sz w:val="26"/>
          <w:szCs w:val="26"/>
          <w:highlight w:val="none"/>
          <w:u w:val="single"/>
        </w:rPr>
        <w:t xml:space="preserve">             </w:t>
      </w:r>
      <w:r>
        <w:rPr>
          <w:sz w:val="26"/>
          <w:szCs w:val="26"/>
          <w:highlight w:val="none"/>
          <w:u w:val="single"/>
        </w:rPr>
        <w:t xml:space="preserve"> </w:t>
      </w:r>
      <w:r>
        <w:rPr>
          <w:rFonts w:hint="eastAsia"/>
          <w:sz w:val="26"/>
          <w:szCs w:val="26"/>
          <w:highlight w:val="none"/>
          <w:u w:val="single"/>
        </w:rPr>
        <w:t xml:space="preserve">    </w:t>
      </w:r>
    </w:p>
    <w:p>
      <w:pPr>
        <w:jc w:val="left"/>
        <w:rPr>
          <w:sz w:val="26"/>
          <w:szCs w:val="26"/>
          <w:highlight w:val="none"/>
        </w:rPr>
      </w:pPr>
      <w:r>
        <w:rPr>
          <w:rFonts w:hint="eastAsia"/>
          <w:sz w:val="26"/>
          <w:szCs w:val="26"/>
          <w:highlight w:val="none"/>
        </w:rPr>
        <w:t xml:space="preserve">                   </w:t>
      </w:r>
    </w:p>
    <w:p>
      <w:pPr>
        <w:ind w:firstLine="5720" w:firstLineChars="2200"/>
        <w:rPr>
          <w:sz w:val="26"/>
          <w:szCs w:val="26"/>
          <w:highlight w:val="none"/>
        </w:rPr>
      </w:pPr>
      <w:r>
        <w:rPr>
          <w:rFonts w:hint="eastAsia"/>
          <w:sz w:val="26"/>
          <w:szCs w:val="26"/>
          <w:highlight w:val="none"/>
          <w:u w:val="single"/>
        </w:rPr>
        <w:t xml:space="preserve">      </w:t>
      </w:r>
      <w:r>
        <w:rPr>
          <w:rFonts w:hint="eastAsia"/>
          <w:sz w:val="26"/>
          <w:szCs w:val="26"/>
          <w:highlight w:val="none"/>
        </w:rPr>
        <w:t>年</w:t>
      </w:r>
      <w:r>
        <w:rPr>
          <w:rFonts w:hint="eastAsia"/>
          <w:sz w:val="26"/>
          <w:szCs w:val="26"/>
          <w:highlight w:val="none"/>
          <w:u w:val="single"/>
        </w:rPr>
        <w:t xml:space="preserve">    </w:t>
      </w:r>
      <w:r>
        <w:rPr>
          <w:rFonts w:hint="eastAsia"/>
          <w:sz w:val="26"/>
          <w:szCs w:val="26"/>
          <w:highlight w:val="none"/>
        </w:rPr>
        <w:t>月</w:t>
      </w:r>
      <w:r>
        <w:rPr>
          <w:rFonts w:hint="eastAsia"/>
          <w:sz w:val="26"/>
          <w:szCs w:val="26"/>
          <w:highlight w:val="none"/>
          <w:u w:val="single"/>
        </w:rPr>
        <w:t xml:space="preserve">   </w:t>
      </w:r>
      <w:r>
        <w:rPr>
          <w:sz w:val="26"/>
          <w:szCs w:val="26"/>
          <w:highlight w:val="none"/>
          <w:u w:val="single"/>
        </w:rPr>
        <w:t xml:space="preserve"> </w:t>
      </w:r>
      <w:r>
        <w:rPr>
          <w:rFonts w:hint="eastAsia"/>
          <w:sz w:val="26"/>
          <w:szCs w:val="26"/>
          <w:highlight w:val="none"/>
        </w:rPr>
        <w:t>日</w:t>
      </w:r>
    </w:p>
    <w:p>
      <w:pPr>
        <w:pStyle w:val="2"/>
        <w:rPr>
          <w:rFonts w:hint="default" w:ascii="Times New Roman" w:hAnsi="Times New Roman"/>
          <w:sz w:val="26"/>
          <w:szCs w:val="26"/>
          <w:highlight w:val="none"/>
        </w:rPr>
      </w:pPr>
    </w:p>
    <w:p>
      <w:pPr>
        <w:rPr>
          <w:sz w:val="26"/>
          <w:szCs w:val="26"/>
          <w:highlight w:val="none"/>
        </w:rPr>
      </w:pPr>
    </w:p>
    <w:p>
      <w:pPr>
        <w:pStyle w:val="2"/>
        <w:rPr>
          <w:rFonts w:hint="default" w:ascii="Times New Roman" w:hAnsi="Times New Roman"/>
          <w:sz w:val="26"/>
          <w:szCs w:val="26"/>
          <w:highlight w:val="none"/>
        </w:rPr>
      </w:pPr>
    </w:p>
    <w:p>
      <w:pPr>
        <w:rPr>
          <w:sz w:val="26"/>
          <w:szCs w:val="26"/>
          <w:highlight w:val="none"/>
        </w:rPr>
      </w:pPr>
    </w:p>
    <w:p>
      <w:pPr>
        <w:pStyle w:val="2"/>
        <w:rPr>
          <w:rFonts w:hint="default" w:ascii="Times New Roman" w:hAnsi="Times New Roman"/>
          <w:sz w:val="26"/>
          <w:szCs w:val="26"/>
          <w:highlight w:val="none"/>
        </w:rPr>
      </w:pPr>
    </w:p>
    <w:p>
      <w:pPr>
        <w:rPr>
          <w:sz w:val="26"/>
          <w:szCs w:val="26"/>
          <w:highlight w:val="none"/>
        </w:rPr>
      </w:pPr>
    </w:p>
    <w:p>
      <w:pPr>
        <w:pStyle w:val="2"/>
        <w:rPr>
          <w:rFonts w:hint="default"/>
          <w:highlight w:val="none"/>
        </w:rPr>
      </w:pPr>
    </w:p>
    <w:p>
      <w:pPr>
        <w:rPr>
          <w:rFonts w:ascii="宋体" w:hAnsi="宋体" w:cs="宋体"/>
          <w:b/>
          <w:bCs/>
          <w:sz w:val="24"/>
          <w:szCs w:val="24"/>
          <w:highlight w:val="none"/>
        </w:rPr>
      </w:pPr>
      <w:r>
        <w:rPr>
          <w:rFonts w:hint="eastAsia" w:ascii="宋体" w:hAnsi="宋体" w:cs="宋体"/>
          <w:sz w:val="24"/>
          <w:szCs w:val="24"/>
          <w:highlight w:val="none"/>
        </w:rPr>
        <w:t>（3）报价组成计算</w:t>
      </w:r>
    </w:p>
    <w:p>
      <w:pPr>
        <w:jc w:val="center"/>
        <w:rPr>
          <w:sz w:val="26"/>
          <w:szCs w:val="26"/>
          <w:highlight w:val="none"/>
        </w:rPr>
      </w:pPr>
      <w:r>
        <w:rPr>
          <w:rFonts w:hint="eastAsia" w:ascii="宋体" w:hAnsi="宋体" w:cs="宋体"/>
          <w:sz w:val="24"/>
          <w:szCs w:val="24"/>
          <w:highlight w:val="none"/>
        </w:rPr>
        <w:t>A 监理人员费用计算表</w:t>
      </w:r>
    </w:p>
    <w:p>
      <w:pPr>
        <w:jc w:val="right"/>
        <w:rPr>
          <w:sz w:val="26"/>
          <w:szCs w:val="26"/>
          <w:highlight w:val="none"/>
        </w:rPr>
      </w:pPr>
      <w:r>
        <w:rPr>
          <w:rFonts w:hint="eastAsia"/>
          <w:sz w:val="26"/>
          <w:szCs w:val="26"/>
          <w:highlight w:val="none"/>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424"/>
        <w:gridCol w:w="2019"/>
        <w:gridCol w:w="1651"/>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424" w:type="dxa"/>
            <w:vAlign w:val="center"/>
          </w:tcPr>
          <w:p>
            <w:pPr>
              <w:jc w:val="center"/>
              <w:rPr>
                <w:rFonts w:ascii="宋体" w:hAnsi="宋体" w:cs="宋体"/>
                <w:szCs w:val="21"/>
                <w:highlight w:val="none"/>
              </w:rPr>
            </w:pPr>
            <w:r>
              <w:rPr>
                <w:rFonts w:hint="eastAsia" w:ascii="宋体" w:hAnsi="宋体" w:cs="宋体"/>
                <w:szCs w:val="21"/>
                <w:highlight w:val="none"/>
              </w:rPr>
              <w:t>岗位设置</w:t>
            </w:r>
          </w:p>
        </w:tc>
        <w:tc>
          <w:tcPr>
            <w:tcW w:w="2019" w:type="dxa"/>
            <w:vAlign w:val="center"/>
          </w:tcPr>
          <w:p>
            <w:pPr>
              <w:jc w:val="center"/>
              <w:rPr>
                <w:rFonts w:ascii="宋体" w:hAnsi="宋体" w:cs="宋体"/>
                <w:szCs w:val="21"/>
                <w:highlight w:val="none"/>
              </w:rPr>
            </w:pPr>
            <w:r>
              <w:rPr>
                <w:rFonts w:hint="eastAsia" w:ascii="宋体" w:hAnsi="宋体" w:cs="宋体"/>
                <w:szCs w:val="21"/>
                <w:highlight w:val="none"/>
              </w:rPr>
              <w:t>人月数</w:t>
            </w:r>
          </w:p>
        </w:tc>
        <w:tc>
          <w:tcPr>
            <w:tcW w:w="1651" w:type="dxa"/>
          </w:tcPr>
          <w:p>
            <w:pPr>
              <w:jc w:val="center"/>
              <w:rPr>
                <w:rFonts w:ascii="宋体" w:hAnsi="宋体" w:cs="宋体"/>
                <w:szCs w:val="21"/>
                <w:highlight w:val="none"/>
              </w:rPr>
            </w:pPr>
            <w:r>
              <w:rPr>
                <w:rFonts w:hint="eastAsia" w:ascii="宋体" w:hAnsi="宋体" w:cs="宋体"/>
                <w:szCs w:val="21"/>
                <w:highlight w:val="none"/>
              </w:rPr>
              <w:t>标准（元/人月）</w:t>
            </w:r>
          </w:p>
        </w:tc>
        <w:tc>
          <w:tcPr>
            <w:tcW w:w="2387" w:type="dxa"/>
            <w:vAlign w:val="center"/>
          </w:tcPr>
          <w:p>
            <w:pPr>
              <w:jc w:val="center"/>
              <w:rPr>
                <w:rFonts w:ascii="宋体" w:hAnsi="宋体" w:cs="宋体"/>
                <w:szCs w:val="21"/>
                <w:highlight w:val="none"/>
              </w:rPr>
            </w:pPr>
            <w:r>
              <w:rPr>
                <w:rFonts w:hint="eastAsia" w:ascii="宋体" w:hAnsi="宋体" w:cs="宋体"/>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1</w:t>
            </w:r>
          </w:p>
        </w:tc>
        <w:tc>
          <w:tcPr>
            <w:tcW w:w="2424" w:type="dxa"/>
          </w:tcPr>
          <w:p>
            <w:pPr>
              <w:jc w:val="center"/>
              <w:rPr>
                <w:rFonts w:ascii="宋体" w:hAnsi="宋体" w:cs="宋体"/>
                <w:szCs w:val="21"/>
                <w:highlight w:val="none"/>
              </w:rPr>
            </w:pPr>
            <w:r>
              <w:rPr>
                <w:rFonts w:hint="eastAsia" w:ascii="宋体" w:hAnsi="宋体" w:cs="宋体"/>
                <w:szCs w:val="21"/>
                <w:highlight w:val="none"/>
              </w:rPr>
              <w:t>总监理工程师</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2</w:t>
            </w:r>
          </w:p>
        </w:tc>
        <w:tc>
          <w:tcPr>
            <w:tcW w:w="2424" w:type="dxa"/>
          </w:tcPr>
          <w:p>
            <w:pPr>
              <w:jc w:val="center"/>
              <w:rPr>
                <w:rFonts w:ascii="宋体" w:hAnsi="宋体" w:cs="宋体"/>
                <w:szCs w:val="21"/>
                <w:highlight w:val="none"/>
              </w:rPr>
            </w:pPr>
            <w:r>
              <w:rPr>
                <w:rFonts w:hint="eastAsia" w:ascii="宋体" w:hAnsi="宋体" w:cs="宋体"/>
                <w:szCs w:val="21"/>
                <w:highlight w:val="none"/>
              </w:rPr>
              <w:t>副总监理工程师</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3</w:t>
            </w:r>
          </w:p>
        </w:tc>
        <w:tc>
          <w:tcPr>
            <w:tcW w:w="2424" w:type="dxa"/>
          </w:tcPr>
          <w:p>
            <w:pPr>
              <w:jc w:val="center"/>
              <w:rPr>
                <w:rFonts w:ascii="宋体" w:hAnsi="宋体" w:cs="宋体"/>
                <w:szCs w:val="21"/>
                <w:highlight w:val="none"/>
              </w:rPr>
            </w:pPr>
            <w:r>
              <w:rPr>
                <w:rFonts w:hint="eastAsia" w:ascii="宋体" w:hAnsi="宋体" w:cs="宋体"/>
                <w:szCs w:val="21"/>
                <w:highlight w:val="none"/>
              </w:rPr>
              <w:t>监理工程师</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4</w:t>
            </w:r>
          </w:p>
        </w:tc>
        <w:tc>
          <w:tcPr>
            <w:tcW w:w="2424" w:type="dxa"/>
          </w:tcPr>
          <w:p>
            <w:pPr>
              <w:jc w:val="center"/>
              <w:rPr>
                <w:rFonts w:ascii="宋体" w:hAnsi="宋体" w:cs="宋体"/>
                <w:szCs w:val="21"/>
                <w:highlight w:val="none"/>
              </w:rPr>
            </w:pPr>
            <w:r>
              <w:rPr>
                <w:rFonts w:hint="eastAsia" w:ascii="宋体" w:hAnsi="宋体" w:cs="宋体"/>
                <w:szCs w:val="21"/>
                <w:highlight w:val="none"/>
              </w:rPr>
              <w:t>监理员</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5</w:t>
            </w:r>
          </w:p>
        </w:tc>
        <w:tc>
          <w:tcPr>
            <w:tcW w:w="2424" w:type="dxa"/>
          </w:tcPr>
          <w:p>
            <w:pPr>
              <w:jc w:val="center"/>
              <w:rPr>
                <w:rFonts w:ascii="宋体" w:hAnsi="宋体" w:cs="宋体"/>
                <w:szCs w:val="21"/>
                <w:highlight w:val="none"/>
              </w:rPr>
            </w:pPr>
            <w:r>
              <w:rPr>
                <w:rFonts w:hint="eastAsia" w:ascii="宋体" w:hAnsi="宋体" w:cs="宋体"/>
                <w:szCs w:val="21"/>
                <w:highlight w:val="none"/>
              </w:rPr>
              <w:t>辅助人员</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宋体" w:hAnsi="宋体" w:cs="宋体"/>
                <w:szCs w:val="21"/>
                <w:highlight w:val="none"/>
              </w:rPr>
            </w:pPr>
            <w:r>
              <w:rPr>
                <w:rFonts w:hint="eastAsia" w:ascii="宋体" w:hAnsi="宋体" w:cs="宋体"/>
                <w:szCs w:val="21"/>
                <w:highlight w:val="none"/>
              </w:rPr>
              <w:t>6</w:t>
            </w:r>
          </w:p>
        </w:tc>
        <w:tc>
          <w:tcPr>
            <w:tcW w:w="2424" w:type="dxa"/>
          </w:tcPr>
          <w:p>
            <w:pPr>
              <w:jc w:val="center"/>
              <w:rPr>
                <w:rFonts w:ascii="宋体" w:hAnsi="宋体" w:cs="宋体"/>
                <w:szCs w:val="21"/>
                <w:highlight w:val="none"/>
              </w:rPr>
            </w:pPr>
            <w:r>
              <w:rPr>
                <w:rFonts w:hint="eastAsia" w:ascii="宋体" w:hAnsi="宋体" w:cs="宋体"/>
                <w:szCs w:val="21"/>
                <w:highlight w:val="none"/>
              </w:rPr>
              <w:t>合计</w:t>
            </w:r>
          </w:p>
        </w:tc>
        <w:tc>
          <w:tcPr>
            <w:tcW w:w="2019" w:type="dxa"/>
          </w:tcPr>
          <w:p>
            <w:pPr>
              <w:jc w:val="center"/>
              <w:rPr>
                <w:rFonts w:ascii="宋体" w:hAnsi="宋体" w:cs="宋体"/>
                <w:szCs w:val="21"/>
                <w:highlight w:val="none"/>
              </w:rPr>
            </w:pPr>
          </w:p>
        </w:tc>
        <w:tc>
          <w:tcPr>
            <w:tcW w:w="1651" w:type="dxa"/>
          </w:tcPr>
          <w:p>
            <w:pPr>
              <w:jc w:val="center"/>
              <w:rPr>
                <w:rFonts w:ascii="宋体" w:hAnsi="宋体" w:cs="宋体"/>
                <w:szCs w:val="21"/>
                <w:highlight w:val="none"/>
              </w:rPr>
            </w:pPr>
          </w:p>
        </w:tc>
        <w:tc>
          <w:tcPr>
            <w:tcW w:w="2387" w:type="dxa"/>
          </w:tcPr>
          <w:p>
            <w:pPr>
              <w:jc w:val="center"/>
              <w:rPr>
                <w:rFonts w:ascii="宋体" w:hAnsi="宋体" w:cs="宋体"/>
                <w:szCs w:val="21"/>
                <w:highlight w:val="none"/>
              </w:rPr>
            </w:pPr>
          </w:p>
        </w:tc>
      </w:tr>
    </w:tbl>
    <w:p>
      <w:pPr>
        <w:ind w:left="748" w:leftChars="356" w:firstLine="1560" w:firstLineChars="600"/>
        <w:jc w:val="left"/>
        <w:rPr>
          <w:sz w:val="26"/>
          <w:szCs w:val="26"/>
          <w:highlight w:val="none"/>
        </w:rPr>
      </w:pPr>
    </w:p>
    <w:p>
      <w:pPr>
        <w:spacing w:line="500" w:lineRule="exact"/>
        <w:ind w:left="748" w:leftChars="356" w:firstLine="1440" w:firstLineChars="600"/>
        <w:jc w:val="left"/>
        <w:rPr>
          <w:sz w:val="24"/>
          <w:szCs w:val="24"/>
          <w:highlight w:val="none"/>
          <w:u w:val="single"/>
        </w:rPr>
      </w:pPr>
      <w:r>
        <w:rPr>
          <w:rFonts w:hint="eastAsia"/>
          <w:sz w:val="24"/>
          <w:szCs w:val="24"/>
          <w:highlight w:val="none"/>
        </w:rPr>
        <w:t>投 标 人：</w:t>
      </w:r>
      <w:r>
        <w:rPr>
          <w:rFonts w:hint="eastAsia"/>
          <w:sz w:val="24"/>
          <w:szCs w:val="24"/>
          <w:highlight w:val="none"/>
          <w:u w:val="single"/>
        </w:rPr>
        <w:t xml:space="preserve">                    </w:t>
      </w:r>
    </w:p>
    <w:p>
      <w:pPr>
        <w:spacing w:line="500" w:lineRule="exact"/>
        <w:ind w:left="2008" w:leftChars="956" w:firstLine="2160" w:firstLineChars="900"/>
        <w:jc w:val="left"/>
        <w:rPr>
          <w:sz w:val="24"/>
          <w:szCs w:val="24"/>
          <w:highlight w:val="none"/>
        </w:rPr>
      </w:pPr>
      <w:r>
        <w:rPr>
          <w:rFonts w:hint="eastAsia"/>
          <w:sz w:val="24"/>
          <w:szCs w:val="24"/>
          <w:highlight w:val="none"/>
        </w:rPr>
        <w:t>（盖章）</w:t>
      </w:r>
    </w:p>
    <w:p>
      <w:pPr>
        <w:spacing w:line="500" w:lineRule="exact"/>
        <w:ind w:firstLine="2400" w:firstLineChars="1000"/>
        <w:jc w:val="left"/>
        <w:rPr>
          <w:sz w:val="24"/>
          <w:szCs w:val="24"/>
          <w:highlight w:val="none"/>
        </w:rPr>
      </w:pPr>
      <w:r>
        <w:rPr>
          <w:rFonts w:hint="eastAsia"/>
          <w:sz w:val="24"/>
          <w:szCs w:val="24"/>
          <w:highlight w:val="none"/>
        </w:rPr>
        <w:t>法定代表人或授权代表人：</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p>
    <w:p>
      <w:pPr>
        <w:spacing w:line="500" w:lineRule="exact"/>
        <w:jc w:val="left"/>
        <w:rPr>
          <w:sz w:val="24"/>
          <w:szCs w:val="24"/>
          <w:highlight w:val="none"/>
        </w:rPr>
      </w:pPr>
      <w:r>
        <w:rPr>
          <w:rFonts w:hint="eastAsia"/>
          <w:sz w:val="24"/>
          <w:szCs w:val="24"/>
          <w:highlight w:val="none"/>
        </w:rPr>
        <w:t xml:space="preserve">                   </w:t>
      </w:r>
    </w:p>
    <w:p>
      <w:pPr>
        <w:spacing w:line="500" w:lineRule="exact"/>
        <w:ind w:firstLine="4800" w:firstLineChars="2000"/>
        <w:rPr>
          <w:sz w:val="24"/>
          <w:szCs w:val="24"/>
          <w:highlight w:val="none"/>
          <w:u w:val="single"/>
        </w:rPr>
      </w:pP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p>
    <w:p>
      <w:pPr>
        <w:spacing w:line="500" w:lineRule="exact"/>
        <w:jc w:val="center"/>
        <w:rPr>
          <w:sz w:val="26"/>
          <w:szCs w:val="26"/>
          <w:highlight w:val="none"/>
        </w:rPr>
      </w:pPr>
      <w:r>
        <w:rPr>
          <w:rFonts w:hint="eastAsia" w:ascii="宋体" w:hAnsi="宋体" w:cs="宋体"/>
          <w:sz w:val="24"/>
          <w:szCs w:val="24"/>
          <w:highlight w:val="none"/>
        </w:rPr>
        <w:t>B 设施设备购置和使用费计算表</w:t>
      </w:r>
    </w:p>
    <w:p>
      <w:pPr>
        <w:jc w:val="right"/>
        <w:rPr>
          <w:sz w:val="24"/>
          <w:szCs w:val="24"/>
          <w:highlight w:val="none"/>
        </w:rPr>
      </w:pPr>
      <w:r>
        <w:rPr>
          <w:rFonts w:hint="eastAsia"/>
          <w:sz w:val="24"/>
          <w:szCs w:val="24"/>
          <w:highlight w:val="none"/>
        </w:rPr>
        <w:t>单位：元（人民币）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19"/>
        <w:gridCol w:w="917"/>
        <w:gridCol w:w="917"/>
        <w:gridCol w:w="2019"/>
        <w:gridCol w:w="91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r>
              <w:rPr>
                <w:rFonts w:hint="eastAsia" w:ascii="宋体" w:hAnsi="宋体" w:cs="宋体"/>
                <w:szCs w:val="21"/>
                <w:highlight w:val="none"/>
              </w:rPr>
              <w:t>序号</w:t>
            </w:r>
          </w:p>
        </w:tc>
        <w:tc>
          <w:tcPr>
            <w:tcW w:w="2019" w:type="dxa"/>
          </w:tcPr>
          <w:p>
            <w:pPr>
              <w:jc w:val="center"/>
              <w:rPr>
                <w:rFonts w:ascii="宋体" w:hAnsi="宋体" w:cs="宋体"/>
                <w:szCs w:val="21"/>
                <w:highlight w:val="none"/>
              </w:rPr>
            </w:pPr>
            <w:r>
              <w:rPr>
                <w:rFonts w:hint="eastAsia" w:ascii="宋体" w:hAnsi="宋体" w:cs="宋体"/>
                <w:szCs w:val="21"/>
                <w:highlight w:val="none"/>
              </w:rPr>
              <w:t>设施设备名称</w:t>
            </w:r>
          </w:p>
        </w:tc>
        <w:tc>
          <w:tcPr>
            <w:tcW w:w="917" w:type="dxa"/>
          </w:tcPr>
          <w:p>
            <w:pPr>
              <w:jc w:val="center"/>
              <w:rPr>
                <w:rFonts w:ascii="宋体" w:hAnsi="宋体" w:cs="宋体"/>
                <w:szCs w:val="21"/>
                <w:highlight w:val="none"/>
              </w:rPr>
            </w:pPr>
            <w:r>
              <w:rPr>
                <w:rFonts w:hint="eastAsia" w:ascii="宋体" w:hAnsi="宋体" w:cs="宋体"/>
                <w:szCs w:val="21"/>
                <w:highlight w:val="none"/>
              </w:rPr>
              <w:t>规格</w:t>
            </w:r>
          </w:p>
        </w:tc>
        <w:tc>
          <w:tcPr>
            <w:tcW w:w="917" w:type="dxa"/>
          </w:tcPr>
          <w:p>
            <w:pPr>
              <w:jc w:val="center"/>
              <w:rPr>
                <w:rFonts w:ascii="宋体" w:hAnsi="宋体" w:cs="宋体"/>
                <w:szCs w:val="21"/>
                <w:highlight w:val="none"/>
              </w:rPr>
            </w:pPr>
            <w:r>
              <w:rPr>
                <w:rFonts w:hint="eastAsia" w:ascii="宋体" w:hAnsi="宋体" w:cs="宋体"/>
                <w:szCs w:val="21"/>
                <w:highlight w:val="none"/>
              </w:rPr>
              <w:t>数量</w:t>
            </w:r>
          </w:p>
        </w:tc>
        <w:tc>
          <w:tcPr>
            <w:tcW w:w="2019" w:type="dxa"/>
          </w:tcPr>
          <w:p>
            <w:pPr>
              <w:jc w:val="center"/>
              <w:rPr>
                <w:rFonts w:ascii="宋体" w:hAnsi="宋体" w:cs="宋体"/>
                <w:szCs w:val="21"/>
                <w:highlight w:val="none"/>
              </w:rPr>
            </w:pPr>
            <w:r>
              <w:rPr>
                <w:rFonts w:hint="eastAsia" w:ascii="宋体" w:hAnsi="宋体" w:cs="宋体"/>
                <w:szCs w:val="21"/>
                <w:highlight w:val="none"/>
              </w:rPr>
              <w:t>购置费（或折旧费）</w:t>
            </w:r>
          </w:p>
        </w:tc>
        <w:tc>
          <w:tcPr>
            <w:tcW w:w="917" w:type="dxa"/>
          </w:tcPr>
          <w:p>
            <w:pPr>
              <w:jc w:val="center"/>
              <w:rPr>
                <w:rFonts w:ascii="宋体" w:hAnsi="宋体" w:cs="宋体"/>
                <w:szCs w:val="21"/>
                <w:highlight w:val="none"/>
              </w:rPr>
            </w:pPr>
            <w:r>
              <w:rPr>
                <w:rFonts w:hint="eastAsia" w:ascii="宋体" w:hAnsi="宋体" w:cs="宋体"/>
                <w:szCs w:val="21"/>
                <w:highlight w:val="none"/>
              </w:rPr>
              <w:t>运行费用</w:t>
            </w:r>
          </w:p>
        </w:tc>
        <w:tc>
          <w:tcPr>
            <w:tcW w:w="1647" w:type="dxa"/>
          </w:tcPr>
          <w:p>
            <w:pPr>
              <w:jc w:val="center"/>
              <w:rPr>
                <w:rFonts w:ascii="宋体" w:hAnsi="宋体" w:cs="宋体"/>
                <w:szCs w:val="21"/>
                <w:highlight w:val="none"/>
              </w:rPr>
            </w:pPr>
            <w:r>
              <w:rPr>
                <w:rFonts w:hint="eastAsia" w:ascii="宋体" w:hAnsi="宋体" w:cs="宋体"/>
                <w:szCs w:val="21"/>
                <w:highlight w:val="none"/>
              </w:rPr>
              <w:t>金额    （小计）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r>
              <w:rPr>
                <w:rFonts w:hint="eastAsia" w:ascii="宋体" w:hAnsi="宋体" w:cs="宋体"/>
                <w:szCs w:val="21"/>
                <w:highlight w:val="none"/>
              </w:rPr>
              <w:t>一</w:t>
            </w:r>
          </w:p>
        </w:tc>
        <w:tc>
          <w:tcPr>
            <w:tcW w:w="2019" w:type="dxa"/>
          </w:tcPr>
          <w:p>
            <w:pPr>
              <w:jc w:val="center"/>
              <w:rPr>
                <w:rFonts w:ascii="宋体" w:hAnsi="宋体" w:cs="宋体"/>
                <w:szCs w:val="21"/>
                <w:highlight w:val="none"/>
              </w:rPr>
            </w:pPr>
            <w:r>
              <w:rPr>
                <w:rFonts w:hint="eastAsia" w:ascii="宋体" w:hAnsi="宋体" w:cs="宋体"/>
                <w:szCs w:val="21"/>
                <w:highlight w:val="none"/>
              </w:rPr>
              <w:t>办公生活设施</w:t>
            </w: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r>
              <w:rPr>
                <w:rFonts w:hint="eastAsia" w:ascii="宋体" w:hAnsi="宋体" w:cs="宋体"/>
                <w:szCs w:val="21"/>
                <w:highlight w:val="none"/>
              </w:rPr>
              <w:t>二</w:t>
            </w:r>
          </w:p>
        </w:tc>
        <w:tc>
          <w:tcPr>
            <w:tcW w:w="2019" w:type="dxa"/>
          </w:tcPr>
          <w:p>
            <w:pPr>
              <w:jc w:val="center"/>
              <w:rPr>
                <w:rFonts w:ascii="宋体" w:hAnsi="宋体" w:cs="宋体"/>
                <w:szCs w:val="21"/>
                <w:highlight w:val="none"/>
              </w:rPr>
            </w:pPr>
            <w:r>
              <w:rPr>
                <w:rFonts w:hint="eastAsia" w:ascii="宋体" w:hAnsi="宋体" w:cs="宋体"/>
                <w:szCs w:val="21"/>
                <w:highlight w:val="none"/>
              </w:rPr>
              <w:t>通讯设施</w:t>
            </w: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r>
              <w:rPr>
                <w:rFonts w:hint="eastAsia" w:ascii="宋体" w:hAnsi="宋体" w:cs="宋体"/>
                <w:szCs w:val="21"/>
                <w:highlight w:val="none"/>
              </w:rPr>
              <w:t>三</w:t>
            </w:r>
          </w:p>
        </w:tc>
        <w:tc>
          <w:tcPr>
            <w:tcW w:w="2019" w:type="dxa"/>
          </w:tcPr>
          <w:p>
            <w:pPr>
              <w:jc w:val="center"/>
              <w:rPr>
                <w:rFonts w:ascii="宋体" w:hAnsi="宋体" w:cs="宋体"/>
                <w:szCs w:val="21"/>
                <w:highlight w:val="none"/>
              </w:rPr>
            </w:pPr>
            <w:r>
              <w:rPr>
                <w:rFonts w:hint="eastAsia" w:ascii="宋体" w:hAnsi="宋体" w:cs="宋体"/>
                <w:szCs w:val="21"/>
                <w:highlight w:val="none"/>
              </w:rPr>
              <w:t>交通工具</w:t>
            </w: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r>
              <w:rPr>
                <w:rFonts w:hint="eastAsia" w:ascii="宋体" w:hAnsi="宋体" w:cs="宋体"/>
                <w:szCs w:val="21"/>
                <w:highlight w:val="none"/>
              </w:rPr>
              <w:t>四</w:t>
            </w:r>
          </w:p>
        </w:tc>
        <w:tc>
          <w:tcPr>
            <w:tcW w:w="2019" w:type="dxa"/>
          </w:tcPr>
          <w:p>
            <w:pPr>
              <w:jc w:val="center"/>
              <w:rPr>
                <w:rFonts w:ascii="宋体" w:hAnsi="宋体" w:cs="宋体"/>
                <w:szCs w:val="21"/>
                <w:highlight w:val="none"/>
              </w:rPr>
            </w:pPr>
            <w:r>
              <w:rPr>
                <w:rFonts w:hint="eastAsia" w:ascii="宋体" w:hAnsi="宋体" w:cs="宋体"/>
                <w:szCs w:val="21"/>
                <w:highlight w:val="none"/>
              </w:rPr>
              <w:t>其他</w:t>
            </w: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r>
              <w:rPr>
                <w:rFonts w:hint="eastAsia" w:ascii="宋体" w:hAnsi="宋体" w:cs="宋体"/>
                <w:szCs w:val="21"/>
                <w:highlight w:val="none"/>
              </w:rPr>
              <w:t>合计</w:t>
            </w:r>
          </w:p>
        </w:tc>
        <w:tc>
          <w:tcPr>
            <w:tcW w:w="917"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2019" w:type="dxa"/>
          </w:tcPr>
          <w:p>
            <w:pPr>
              <w:jc w:val="center"/>
              <w:rPr>
                <w:rFonts w:ascii="宋体" w:hAnsi="宋体" w:cs="宋体"/>
                <w:szCs w:val="21"/>
                <w:highlight w:val="none"/>
              </w:rPr>
            </w:pPr>
          </w:p>
        </w:tc>
        <w:tc>
          <w:tcPr>
            <w:tcW w:w="917" w:type="dxa"/>
          </w:tcPr>
          <w:p>
            <w:pPr>
              <w:jc w:val="center"/>
              <w:rPr>
                <w:rFonts w:ascii="宋体" w:hAnsi="宋体" w:cs="宋体"/>
                <w:szCs w:val="21"/>
                <w:highlight w:val="none"/>
              </w:rPr>
            </w:pPr>
          </w:p>
        </w:tc>
        <w:tc>
          <w:tcPr>
            <w:tcW w:w="1647" w:type="dxa"/>
          </w:tcPr>
          <w:p>
            <w:pPr>
              <w:jc w:val="center"/>
              <w:rPr>
                <w:rFonts w:ascii="宋体" w:hAnsi="宋体" w:cs="宋体"/>
                <w:szCs w:val="21"/>
                <w:highlight w:val="none"/>
              </w:rPr>
            </w:pPr>
          </w:p>
        </w:tc>
      </w:tr>
    </w:tbl>
    <w:p>
      <w:pPr>
        <w:ind w:left="748" w:leftChars="356" w:firstLine="1560" w:firstLineChars="600"/>
        <w:jc w:val="left"/>
        <w:rPr>
          <w:sz w:val="26"/>
          <w:szCs w:val="26"/>
          <w:highlight w:val="none"/>
        </w:rPr>
      </w:pPr>
    </w:p>
    <w:p>
      <w:pPr>
        <w:spacing w:line="500" w:lineRule="exact"/>
        <w:ind w:left="748" w:leftChars="356" w:firstLine="1560" w:firstLineChars="600"/>
        <w:jc w:val="left"/>
        <w:rPr>
          <w:sz w:val="26"/>
          <w:szCs w:val="26"/>
          <w:highlight w:val="none"/>
          <w:u w:val="single"/>
        </w:rPr>
      </w:pPr>
      <w:r>
        <w:rPr>
          <w:rFonts w:hint="eastAsia"/>
          <w:sz w:val="26"/>
          <w:szCs w:val="26"/>
          <w:highlight w:val="none"/>
        </w:rPr>
        <w:t>投 标 人：</w:t>
      </w:r>
      <w:r>
        <w:rPr>
          <w:rFonts w:hint="eastAsia"/>
          <w:sz w:val="26"/>
          <w:szCs w:val="26"/>
          <w:highlight w:val="none"/>
          <w:u w:val="single"/>
        </w:rPr>
        <w:t xml:space="preserve">                    </w:t>
      </w:r>
    </w:p>
    <w:p>
      <w:pPr>
        <w:spacing w:line="500" w:lineRule="exact"/>
        <w:ind w:left="2008" w:leftChars="956" w:firstLine="2340" w:firstLineChars="900"/>
        <w:jc w:val="left"/>
        <w:rPr>
          <w:sz w:val="26"/>
          <w:szCs w:val="26"/>
          <w:highlight w:val="none"/>
        </w:rPr>
      </w:pPr>
      <w:r>
        <w:rPr>
          <w:rFonts w:hint="eastAsia"/>
          <w:sz w:val="26"/>
          <w:szCs w:val="26"/>
          <w:highlight w:val="none"/>
        </w:rPr>
        <w:t>（盖章）</w:t>
      </w:r>
      <w:r>
        <w:rPr>
          <w:rFonts w:hint="eastAsia"/>
          <w:sz w:val="26"/>
          <w:szCs w:val="26"/>
          <w:highlight w:val="none"/>
          <w:u w:val="single"/>
        </w:rPr>
        <w:cr/>
      </w:r>
      <w:r>
        <w:rPr>
          <w:rFonts w:hint="eastAsia"/>
          <w:sz w:val="26"/>
          <w:szCs w:val="26"/>
          <w:highlight w:val="none"/>
        </w:rPr>
        <w:t>法定代表人</w:t>
      </w:r>
    </w:p>
    <w:p>
      <w:pPr>
        <w:spacing w:line="500" w:lineRule="exact"/>
        <w:ind w:firstLine="2600" w:firstLineChars="1000"/>
        <w:jc w:val="left"/>
        <w:rPr>
          <w:sz w:val="26"/>
          <w:szCs w:val="26"/>
          <w:highlight w:val="none"/>
        </w:rPr>
      </w:pPr>
      <w:r>
        <w:rPr>
          <w:rFonts w:hint="eastAsia"/>
          <w:sz w:val="26"/>
          <w:szCs w:val="26"/>
          <w:highlight w:val="none"/>
        </w:rPr>
        <w:t>或授权代表人：</w:t>
      </w:r>
      <w:r>
        <w:rPr>
          <w:rFonts w:hint="eastAsia"/>
          <w:sz w:val="26"/>
          <w:szCs w:val="26"/>
          <w:highlight w:val="none"/>
          <w:u w:val="single"/>
        </w:rPr>
        <w:t xml:space="preserve">    （签名）</w:t>
      </w:r>
      <w:r>
        <w:rPr>
          <w:sz w:val="26"/>
          <w:szCs w:val="26"/>
          <w:highlight w:val="none"/>
          <w:u w:val="single"/>
        </w:rPr>
        <w:t xml:space="preserve"> </w:t>
      </w:r>
      <w:r>
        <w:rPr>
          <w:rFonts w:hint="eastAsia"/>
          <w:sz w:val="26"/>
          <w:szCs w:val="26"/>
          <w:highlight w:val="none"/>
          <w:u w:val="single"/>
        </w:rPr>
        <w:t xml:space="preserve">   </w:t>
      </w:r>
    </w:p>
    <w:p>
      <w:pPr>
        <w:spacing w:line="500" w:lineRule="exact"/>
        <w:jc w:val="left"/>
        <w:rPr>
          <w:sz w:val="26"/>
          <w:szCs w:val="26"/>
          <w:highlight w:val="none"/>
        </w:rPr>
      </w:pPr>
      <w:r>
        <w:rPr>
          <w:rFonts w:hint="eastAsia"/>
          <w:sz w:val="26"/>
          <w:szCs w:val="26"/>
          <w:highlight w:val="none"/>
        </w:rPr>
        <w:t xml:space="preserve">                   </w:t>
      </w:r>
    </w:p>
    <w:p>
      <w:pPr>
        <w:spacing w:line="500" w:lineRule="exact"/>
        <w:ind w:firstLine="5460" w:firstLineChars="2100"/>
        <w:rPr>
          <w:rFonts w:hint="eastAsia"/>
          <w:sz w:val="26"/>
          <w:szCs w:val="26"/>
          <w:highlight w:val="none"/>
          <w:u w:val="single"/>
        </w:rPr>
      </w:pPr>
      <w:r>
        <w:rPr>
          <w:rFonts w:hint="eastAsia"/>
          <w:sz w:val="26"/>
          <w:szCs w:val="26"/>
          <w:highlight w:val="none"/>
          <w:u w:val="single"/>
        </w:rPr>
        <w:t xml:space="preserve">      </w:t>
      </w:r>
      <w:r>
        <w:rPr>
          <w:rFonts w:hint="eastAsia"/>
          <w:sz w:val="26"/>
          <w:szCs w:val="26"/>
          <w:highlight w:val="none"/>
        </w:rPr>
        <w:t>年</w:t>
      </w:r>
      <w:r>
        <w:rPr>
          <w:rFonts w:hint="eastAsia"/>
          <w:sz w:val="26"/>
          <w:szCs w:val="26"/>
          <w:highlight w:val="none"/>
          <w:u w:val="single"/>
        </w:rPr>
        <w:t xml:space="preserve">    </w:t>
      </w:r>
      <w:r>
        <w:rPr>
          <w:rFonts w:hint="eastAsia"/>
          <w:sz w:val="26"/>
          <w:szCs w:val="26"/>
          <w:highlight w:val="none"/>
        </w:rPr>
        <w:t>月</w:t>
      </w:r>
      <w:r>
        <w:rPr>
          <w:rFonts w:hint="eastAsia"/>
          <w:sz w:val="26"/>
          <w:szCs w:val="26"/>
          <w:highlight w:val="none"/>
          <w:u w:val="single"/>
        </w:rPr>
        <w:t xml:space="preserve">  </w:t>
      </w:r>
    </w:p>
    <w:p>
      <w:pPr>
        <w:pStyle w:val="22"/>
        <w:keepNext w:val="0"/>
        <w:keepLines w:val="0"/>
        <w:pageBreakBefore w:val="0"/>
        <w:widowControl/>
        <w:kinsoku/>
        <w:wordWrap/>
        <w:overflowPunct/>
        <w:topLinePunct w:val="0"/>
        <w:autoSpaceDE/>
        <w:autoSpaceDN/>
        <w:bidi w:val="0"/>
        <w:adjustRightInd/>
        <w:snapToGrid/>
        <w:spacing w:line="420" w:lineRule="exact"/>
        <w:ind w:firstLine="420"/>
        <w:jc w:val="center"/>
        <w:textAlignment w:val="auto"/>
        <w:rPr>
          <w:rFonts w:hint="default" w:ascii="宋体" w:hAnsi="宋体" w:eastAsia="宋体" w:cs="宋体"/>
          <w:b/>
          <w:bCs/>
          <w:kern w:val="2"/>
          <w:sz w:val="40"/>
          <w:szCs w:val="40"/>
          <w:highlight w:val="none"/>
          <w:lang w:val="en-US" w:eastAsia="zh-CN" w:bidi="ar-SA"/>
        </w:rPr>
      </w:pPr>
      <w:r>
        <w:rPr>
          <w:rFonts w:hint="eastAsia" w:ascii="宋体" w:hAnsi="宋体" w:cs="宋体"/>
          <w:b/>
          <w:bCs/>
          <w:kern w:val="2"/>
          <w:sz w:val="40"/>
          <w:szCs w:val="40"/>
          <w:highlight w:val="none"/>
          <w:lang w:val="en-US" w:eastAsia="zh-CN" w:bidi="ar-SA"/>
        </w:rPr>
        <w:t>招标附件（技术文件）</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line="420" w:lineRule="exact"/>
        <w:ind w:firstLine="420"/>
        <w:jc w:val="center"/>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一般规定</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46" w:name="_Toc387191854"/>
      <w:bookmarkStart w:id="47" w:name="_Toc392607637"/>
      <w:bookmarkStart w:id="48" w:name="_Toc26329"/>
      <w:bookmarkStart w:id="49" w:name="_Toc387247546"/>
      <w:r>
        <w:rPr>
          <w:rFonts w:hint="eastAsia" w:ascii="宋体" w:hAnsi="宋体" w:eastAsia="宋体" w:cs="宋体"/>
          <w:kern w:val="2"/>
          <w:sz w:val="21"/>
          <w:szCs w:val="21"/>
          <w:highlight w:val="none"/>
          <w:lang w:val="en-US" w:eastAsia="zh-CN" w:bidi="ar-SA"/>
        </w:rPr>
        <w:t>项目概况</w:t>
      </w:r>
      <w:bookmarkEnd w:id="46"/>
      <w:bookmarkEnd w:id="47"/>
      <w:bookmarkEnd w:id="48"/>
      <w:bookmarkEnd w:id="49"/>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1.1.1地貌类型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项目所在县自然地貌:</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项目区所在县地貌单元为平原，地势较平坦，总体类型地势南高北低，西高东低，南北向地形坡度1/1000 左右，东西向地形坡度1.5/1000 左右。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项目区微地貌:平原地貌</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50" w:name="_Toc392607638"/>
      <w:bookmarkStart w:id="51" w:name="_Toc387247547"/>
      <w:r>
        <w:rPr>
          <w:rFonts w:hint="eastAsia" w:ascii="宋体" w:hAnsi="宋体" w:eastAsia="宋体" w:cs="宋体"/>
          <w:kern w:val="2"/>
          <w:sz w:val="21"/>
          <w:szCs w:val="21"/>
          <w:highlight w:val="none"/>
          <w:lang w:val="en-US" w:eastAsia="zh-CN" w:bidi="ar-SA"/>
        </w:rPr>
        <w:t>1.1.2项目背景</w:t>
      </w:r>
      <w:bookmarkEnd w:id="50"/>
      <w:bookmarkEnd w:id="51"/>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为切实落实自治区党委农办、财政厅、自然资源厅、农业农村厅、扶贫办《关于下达2019年土地指标跨省域调剂收入安排的支出预算的通知》(新财综(2019)26号)要求，做好2019年度补充耕地指标跨省域调剂收入自治区统筹经费安排的补充耕地项目实施工作，根据《自治区统筹经费安排项目实施工作会议》精神，和田县拟开展1万亩补充耕地项目，其中涉及塔瓦库勒乡、阿瓦提乡，共划分为3个片区。本项目为和田县1万亩补充耕地项目塔瓦库勒乡塔尔艾格勒村等4个村片区。</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该项目的实施对促进和田县国民经济的发展有着重要意义，可有效改善生态环境，提高土地的投入产出效益，拓宽农民增收渠道，从而从根本上改变农业生产条件和农村生活水平，其显著的社会经济和生态环境效益对维护边疆地区社会稳定和民族团结具有十分重要的现实意义。</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宋体" w:hAnsi="宋体" w:eastAsia="宋体" w:cs="宋体"/>
          <w:kern w:val="2"/>
          <w:sz w:val="21"/>
          <w:szCs w:val="21"/>
          <w:highlight w:val="none"/>
          <w:lang w:val="en-US" w:eastAsia="zh-CN" w:bidi="ar-SA"/>
        </w:rPr>
      </w:pPr>
      <w:bookmarkStart w:id="52" w:name="_Toc392607639"/>
      <w:bookmarkStart w:id="53" w:name="_Toc387247548"/>
      <w:r>
        <w:rPr>
          <w:rFonts w:hint="eastAsia" w:ascii="宋体" w:hAnsi="宋体" w:eastAsia="宋体" w:cs="宋体"/>
          <w:kern w:val="2"/>
          <w:sz w:val="21"/>
          <w:szCs w:val="21"/>
          <w:highlight w:val="none"/>
          <w:lang w:val="en-US" w:eastAsia="zh-CN" w:bidi="ar-SA"/>
        </w:rPr>
        <w:t>1.1.3</w:t>
      </w:r>
      <w:bookmarkEnd w:id="52"/>
      <w:bookmarkEnd w:id="53"/>
      <w:r>
        <w:rPr>
          <w:rFonts w:hint="eastAsia" w:ascii="宋体" w:hAnsi="宋体" w:eastAsia="宋体" w:cs="宋体"/>
          <w:kern w:val="2"/>
          <w:sz w:val="21"/>
          <w:szCs w:val="21"/>
          <w:highlight w:val="none"/>
          <w:lang w:val="en-US" w:eastAsia="zh-CN" w:bidi="ar-SA"/>
        </w:rPr>
        <w:t>建设规模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和田县1万亩补充耕地项目塔瓦库勒乡塔尔艾格勒村等4个村片区(片区1)：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项目区总面积873.37hm2，其中耕地509.45hm2，占项目区总面积的51.40%；园地9.56hm2，占项目区总面积的0.96%；</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乔木林地2.06hm2，占项目区总面积的0.21%；灌木林地8.72hm2，占项目区总面积的0.88%；其他林地1.06hm2，占项目区总面积的0.11%；其他草地19.23hm2，占项目区总面积的1.94%；物流仓储用地0.22hm2，占项目区总面积的0.02%；商业服务业设施用地0.06hm2，占项目区总面积的0.01%；工业用地0.31hm2，占项目区总面积的0.03%；农村宅基地89.19hm2，占项目区总面积的9.00%；公用设施用地0.07hm2，占项目区总面积的0.01%；广场用地0.07hm2，占项目区总面积的0.01%；机关团体新闻出版用地1.4hm2，占项目区总面积的0.14%；科教文卫用地4.47hm2，占项目区总面积的0.45%；特殊用地2.58hm2，占项目区总面积的0.26%；</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路用地6.56hm2，占项目区总面积的0.66%；城镇村道路用地4.16hm2，占项目区总面积的0.42%；农村道路27.24hm2，占项目区总面积的2.75%；坑塘水面0.09hm2，占项目区总面积的0.01%；沟渠11.69hm2，占项目区总面积的1.18%；干渠6.09hm2，占项目区总面积的0.61%；水工建筑用地0.39hm2，占项目区的0.04%；设施农用地0.75hm2，占项目区的0.08%；盐碱地0.23hm2，占项目区的0.02%。沙地285.43hm2，占项目区的28.80%。项目区不动工面积117.70 hm2，建设规模873.37 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项目区建设规模中，水浇地509.45hm2，果园9.56hm2，乔木林地2.06hm2，灌木林地8.72hm2，其他林地1.06hm2，其他草地18.17hm2；农村道路27.24hm2，沟渠11.69hm2，沙地285.43hm2。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和田县1万亩补充耕地项目塔瓦库勒乡巴克墩村和卡热墩村片区(片区1)：项目区总面积842.34hm2，其中耕地450.96hm2，占项目区总面积的53.54%；园地6.86hm2，占项目区总面积的0.81%；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乔木林地3.09hm2，占项目区总面积的0.37%；其他草地203.74hm2，占项目区总面积的24.19%；农村宅基地21.59hm2，占项目区总面积的2.56%；机关团体新闻出版用地0.11hm2，占项目区总面积的0.01%；科教文卫用地2.24hm2，占项目区总面积的0.27%；公路用地4.04hm2，占项目区总面积的0.48%；城镇村道路用地1.05hm2，占项目区总面积的0.12%；农村道路18.06hm2，占项目区总面积的2.14%；养殖坑塘0.19hm2，占项目区总面积的0.02%；沟渠10.34hm2，占项目区总面积的1.23%；干渠1.01hm2，占项目区总面积的0.12%；水工建筑用地0.21hm2，占项目区的0.02%；设施农用地0.14hm2，占项目区的0.02%；盐碱地0.15hm2，占项目区的0.02%。沙地118.58hm2，占项目区的14.08%。项目区不动工面积31.25 hm2，建设规模811.09 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项目区建设规模中，水浇地450.96hm2，果园6.86hm2，乔木林地3.09hm2，其他草地203.74hm2；农村道路18.06hm2，沟渠10.34hm2，沙地118.58hm2。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和田县1万亩补充耕地项目阿瓦提乡哈特布隆村片区：</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总面积459.97hm2，其中耕地172.74hm2，占项目区总面积的42.50%；园地11.70hm2，占项目区总面积的2.88%；乔木林地14.35hm2，占项目区总面积的3.53%；其他林地5.22hm2，占项目区总面积的1.28%；沼泽草地1.61hm2，占项目区总面积的0.40%；其他草地104.65hm2，占项目区总面积的22.75%；物流仓储用地0.10hm2，占项目区总面积的0.02%；农村宅基地10.77hm2，占项目区总面积的2.65%；科教文卫用地2.54hm2，占项目区总面积的0.0.63%；公路用地8.34hm2，占项目区总面积的2.05%；城镇村道路用地0.04hm2，占项目区总面积的0.01%；农村道路9.56hm2，占项目区总面积的2.35%；坑塘水面1.91hm2，占项目区总面积的0.48%；沟渠26.76hm2，占项目区总面积的6.38%；设施农用地0.82hm2，占项目区的0.18%；盐碱地42.44hm2，占项目区的10.51%。项目区不动工面积32.73 hm2，建设规模427.23 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项目区建设规模中，水浇地172.74hm2，果园11.70hm2，乔木林地14.35hm2，其他林地5.22hm2；其他草地103.81hm2；农村道路9.56hm2，沟渠26.76hm2，盐碱地39.13hm2。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1.1.4项目区地理位置和范围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和田县1万亩补充耕地项目塔瓦库勒乡塔尔艾格勒村等4个村片区(片区1)：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项目区经纬度坐标范围：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东经80°18′17″~ 80°18′33″</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北纬</w:t>
      </w:r>
      <w:bookmarkStart w:id="54" w:name="_Hlk38231050"/>
      <w:r>
        <w:rPr>
          <w:rFonts w:hint="eastAsia" w:ascii="宋体" w:hAnsi="宋体" w:eastAsia="宋体" w:cs="宋体"/>
          <w:kern w:val="2"/>
          <w:sz w:val="21"/>
          <w:szCs w:val="21"/>
          <w:highlight w:val="none"/>
          <w:lang w:val="en-US" w:eastAsia="zh-CN" w:bidi="ar-SA"/>
        </w:rPr>
        <w:t>37°33′47″~ 37°35′17″</w:t>
      </w:r>
      <w:bookmarkEnd w:id="54"/>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项目所涉及行政乡（镇）、村：</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涉及乡（镇）：塔瓦库勒乡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涉及村：塔瓦库勒乡直属、喀萨普艾日克村、塔尔艾格勒村、也克先拜巴扎村</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和田县1万亩补充耕地项目塔瓦库勒乡巴克墩村和卡热墩村片区(片区1)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项目区经纬度坐标范围：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东经80°16′18″~ 80°18′23″</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北纬37°34′07″~ 37°36′28″</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涉及乡（镇）：塔瓦库勒乡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涉及村：塔瓦库勒乡直属、巴克墩村和卡热墩村</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项目区经纬度坐标范围：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东经80°16′32″~ 80°19′17″</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北纬37°38′09″~ 37°40′33″</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项目所涉及行政乡（镇）、村：</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涉及乡（镇）：阿瓦提乡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涉及村：和田县阿瓦提乡哈特布隆村</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1.1.5建设任务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和田县1万亩补充耕地项目塔瓦库勒乡塔尔艾格勒村等4个村片区(片区1)：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a）土地平整工程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项目区地势起伏较大，需对沙地进行平整，平整面积334.41hm²，共计平整土方113.42万m³。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b）土壤改良工程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土地翻耕281.81hm²，增施农家肥281.81 hm²。</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c）灌溉与排水工程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项目区以地表水资源为主进行灌溉。改建支渠1条，长1839m，新建滴管系统7座，灌溉面积334.41亩；支渠盖板涵4座，支渠节制单分水闸9座。 </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d）田间道路工程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规划修建田间道9条，共11880m，设计路面为宽6m，路基为20cm素土夯实。路面铺设30cm天然砂砾石。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e）农田防护工程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防护林树种选用新疆杨，主要布置在道路单侧，株行距1.5m×1.5m，共3.92万株（176亩）。</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和田县1万亩补充耕地项目塔瓦库勒乡巴克墩村和卡热墩村片区(片区1)：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a）土地平整工程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项目区地势起伏较大，需对沙地进行平整，平整面积330.21hm²，共计平整土方77.61万m³。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b）土壤改良工程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土地翻耕301.85 hm²，增施农家肥301.85 hm²。</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c）灌溉与排水工程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项目区以地表水资源为主进行灌溉。改建支渠1条，长5005m，新建斗渠2条，共1175m，新建滴管系统6座，灌溉面积330.21亩；支渠盖板涵14座，斗渠圆管涵5座，支渠节制单分水闸13座，斗渠节制单分水闸6座。 </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d）田间道路工程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规划修建田间道7条，共9485m，设计路面为宽6m，路基为20cm素土夯实。路面铺设30cm天然砂砾石。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e）农田防护工程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防护林树种选用新疆杨，主要布置在道路单侧，株行距1.5m×1.5m，共3.36万株（168亩）。</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和田县1万亩补充耕地项目阿瓦提乡哈特布隆村片区：</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a）土地平整工程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项目区地势起伏较大，需对沙地进行平整，平整面积147.03hm²，共计平整土方38.36万m³。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b）土壤改良工程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土地翻耕168.43hm²，增施农家肥168.43 hm²。</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c）灌溉与排水工程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项目区以地表水资源为主进行灌溉。改建斗渠1条，长5580m，斗渠圆管涵20座，斗渠节制单分水闸14座。 </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d）田间道路工程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规划修建田间道8条，共3815m，设计路面为宽6m，路基为20cm素土夯实。路面铺设30cm天然砂砾石。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e）农田防护工程</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防护林树种选用新疆杨，主要布置在道路单侧，株行距1.5m×1.5m，共0.77万株（70亩）。</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55" w:name="_Toc387247560"/>
      <w:bookmarkStart w:id="56" w:name="_Toc392607651"/>
      <w:bookmarkStart w:id="57" w:name="_Toc20675"/>
      <w:bookmarkStart w:id="58" w:name="_Toc387191859"/>
      <w:r>
        <w:rPr>
          <w:rFonts w:hint="eastAsia" w:ascii="宋体" w:hAnsi="宋体" w:eastAsia="宋体" w:cs="宋体"/>
          <w:kern w:val="2"/>
          <w:sz w:val="21"/>
          <w:szCs w:val="21"/>
          <w:highlight w:val="none"/>
          <w:lang w:val="en-US" w:eastAsia="zh-CN" w:bidi="ar-SA"/>
        </w:rPr>
        <w:t>区域简况</w:t>
      </w:r>
      <w:bookmarkEnd w:id="55"/>
      <w:bookmarkEnd w:id="56"/>
      <w:bookmarkEnd w:id="57"/>
      <w:bookmarkEnd w:id="58"/>
      <w:r>
        <w:rPr>
          <w:rFonts w:hint="eastAsia" w:ascii="宋体" w:hAnsi="宋体" w:eastAsia="宋体" w:cs="宋体"/>
          <w:kern w:val="2"/>
          <w:sz w:val="21"/>
          <w:szCs w:val="21"/>
          <w:highlight w:val="none"/>
          <w:lang w:val="en-US" w:eastAsia="zh-CN" w:bidi="ar-SA"/>
        </w:rPr>
        <w:t xml:space="preserve"> </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自然条件</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和田县1万亩补充耕地项目塔瓦库勒乡塔尔艾格勒村等4个村片区、和田县1万亩补充耕地项目塔瓦库勒乡巴克墩村和卡热墩村片区(片区1)、和田县1万亩补充耕地项目阿瓦提乡哈特布隆村片区</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a）地形地貌</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位于新疆南部，塔克拉玛干大沙漠南缘，喀喇昆仑山脉北麓。地处北纬34°22′—38°07′东径78°—80°30′，东与策勒县、洛浦县、和田市交界，东南与西藏自治区接壤，西南与印控克什米尔控制区为邻，西与皮山县、墨玉县相连，北入塔克拉玛干大沙漠腹地与阿瓦提县接壤。地形南宽北窄，呈葫芦状。东西宽20—150公里，南北长500公里，总面积4.10万平方千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b）土壤</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土壤有7个土类，11个亚类，22个土属，28个土种。灌淤土面积最大，分布最广的农业土壤，也是干旱、半干旱地区典型灌溉土壤类型。优势土类为灌淤土，面积稍大的有：草甸土、潮土、水稻土和盐土。主要土种为淡漠沙壤土。土壤质地轻松，易于耕作，透气性好，光、热、肥力因素容易满足需要，但不保水，不保肥，有机质含量低，缺磷少氮富钾，有机质量一般为0.6—1%，全氮0.04—0.06%，速效氮15—30mg/kg。全磷 0.05—0.07%，速效磷1—5 mg/kg，速效钾100—300 mg/kg。</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和田县农业土壤主要是灌淤土，约有46.24万亩，土壤养分总的情况是缺氮、少磷、富钾。</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c）气候</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和田县属于暖温带内陆荒漠气候。特点是：四季分明，夏长秋短，冬不严寒，降水稀少而蒸发量极大，春、夏多沙暴浮尘天气，冬季少积雪，昼夜温差大。</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降水稀少，空气干燥，是最主要的气候特征，年降水量在50毫米以下。山区受地形动力抬升甫合，个别地段降水量可达到400毫米。年均气温约13.6℃，最高温37.6℃，最低温-10.3℃，大于10℃的年积温4500℃以上，平原无霜期236天。有效生理辐射138.1—151.5千卡／厘米2，年均日照时数2470小时以上，日照百分率65％以上。年降水量19.2毫米，蒸发量2504.6毫米。年平均风速因地而异在1.3～22米／秒之间，春季多持续性大风，最大风速28米／秒。</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d）水文与水文地质</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和田县有两条河，西边是喀拉喀们一河，其与东边的玉龙喀什河汇合后称和田河。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①喀拉喀什河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该河发源于喀喇昆仑山，河源最高山峰是团结峰（6644m)，从河源到大红柳滩，河道基本是由南向北穿行于喀喇昆仑山，南屏雪山和谷顶雪山之间，山体相对窄小，山脊海拔高程一般大于6000m，发育众多冰川。过大红柳滩，河道折向西行，穿行于喀拉格山和康西瓦北山之间，两岸最高峰高程为6365m。过赛图拉后，河道转180°大弯，河道折向东穿行于康西瓦北山和桑株达坂山之间，过阿西伯克阿格孜，又转向北流，到乌鲁瓦提水文站流出山口不论河长还是集水面积均比玉龙喀什河大许多。</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喀拉喀什河从河源至赛图拉段与青藏高原相接，河道平均坡降6%，地形起伏和缓，山顶浑圆，终年积雪，河谷开阔，一般宽300-800。从赛图拉至乌鲁瓦提水文站峡谷段长230km，区间集水面积8576km2，平均海拔高程4070m，河道平均坡降8%，两岸高峰冰山对峙，谷底宽不超过100m，最窄处仅20m。</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从乌鲁瓦提至墨玉大桥，为丘陵和平原区，河长91km，河道平均坡降6%，河床由卵砾石组成。丘陵区冲沟发育，河谷多浅槽形断面，阶地发育多达四级，每阶高度15-20m，平原区水流集散频繁，河谷不明显，河床由中细沙组成，这一段为和田、墨玉两县农业区，由墨玉大桥至阔什拉什两河汇合处为沙漠区，河长128km，平均坡降不及1.5‰，河谷不明显，呈浅滩状，最宽处可达2km以上，一般不小于1km，河床为细砂和淤泥组成，河道渗漏损失严重，除汛期（6-9月）外，其余时间近于干涸。由于河道平坦，而沙丘移动常抵河岸，故水流侧蚀严重，河道内沙洲杂布，水流曲折游荡。</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喀拉喀什河上设有托满与乌鲁瓦提两处国家二类水文站。乌鲁瓦提为喀拉喀什河出山口径流控制站，集水面积19983 km2，支流众多，其主要支流有：胜利河、克孜勒吉勒朵、滚石河、阿克萨依河、吐日苏河、普守达里牙河、托满河、米提孜河等。河源至汇合口河道全长808km，流域总面积26600km2。2000年乌鲁瓦提水利枢纽建成后，改为出库站；位于乌鲁瓦提上游63km的托满水文站设立于1994年6月，为汛期站，1999年改为常年站并观测至今。托满站控制断面以上集水面积18080km2，河长526km2。喀河从乌鲁瓦提至墨玉大桥为丘陵平原区，冲沟、阶地发育，河道两岸为和田、墨玉两县农业种植区。是和田县西部七个乡镇的重要地表水源。</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喀河径流补给均以融冰雪水为主，流量日变化特征显著，呈现一日一峰、谷的流量过程，冬季则以地下水补给为主，径流量小且平稳。受补给水源影响，径流年际变化比较平稳，但年内分配极不均匀。喀拉喀什河汇入和田河的水量比旺龙和田河汇入量略少，喀拉喀什河径流年内分配十分不均，七月份为水量最大月份，该月径流量约占年径流量的29.5%，七、八两月水量占年总量的57%，连续最大四个月（9月）水量占到年总量的81.3%。喀河年冰川融水量分别为11.85亿m³，占喀河年径流量的55.2％。根据喀河上的乌鲁瓦提水文站多年实测流量资料统计，该站多年平均径流量21.48亿m³，多年平均流量67.7m3/s，保证率75％的年径流量为17.95亿m³，保证率95％的年径流量为14.68亿m³；多年平均含沙量为2.13kg/m³，1979年5月31日实测历年最大含沙量401kg/ m3，多年平均输沙量472万吨。</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②玉龙喀什河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该河发源于昆仑山主脉，山体高大雄伟，山脊海拔高程一般大于6000m，最高峰昆仑峰高程7167m，高山区由于侵蚀强烈，切割深度大，山势陡峻，奇峰林立，河谷多呈“V”字形。河源区，高的山峰和宽广平面，使该区成为本流域最大的冰川作用中心。著名在玉龙喀什河的多峰冰川、玉龙冰川、昆仑冰川等大型山谷冰川都在这里发育。</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从河源至出山口同古孜洛克水文站之间为山区，河长340km，集水面积14575km2，山区河道平均坡降11‰，岩石沙床，急流浅滩交替出现，一般河谷宽约300m，最窄处仅60m，谷坡陡峻，切割严重，冲沟发育，支流众多，主要支流有：再依勒克河、喀让古塔格河、尼萨河、恰其河、皮夏河、克赛尔河（库马特河）。流域总面积19803km2。</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从同古孜洛克至英艾日克之间为丘陵区，河长醉拓爪，沿河两岸是和田、洛浦两县的农业区，河道平均坡降6‰左右，河床多由卵石加细沙组成，河床比较开阔，两岸阶地明显，河谷最宽处超过1000m，最窄处仅30m，谷高100m以上。</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英艾日克以下至阔什拉什汇合口为平原沙漠区，河长100km，河道由南北向逐渐成为西南东北向，水流明显变缓，河道平均纵坡降不及0.7‰，河床由细沙淤泥组成，无明显河槽，河宽在1km以上，最宽处超过2km，两岸沙丘丛立，时远时近，两岸对称生长着茂密的胡杨，芦苇和沙棘等，宽约1-2km，林间众多小河河权，洪水期过水或漫流。是和田县东部四个乡的地表水源。</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玉两河径流补给均以融冰雪水为主，流量日变化特征显著，呈现一日一峰、谷的流量过程，冬季则以地下水补给为主，径流量小且平稳。受补给水源影响，径流年际变化比较平稳，但年内分配极不均匀。全年水量的70％以上集中于6-8月高温时期。玉河年冰川融水量分别为14.66亿m³，占玉河年径流量的66.1％。根据玉河上的同古孜洛克水文站实测流量资料统计，该站多年平均径流量22.19亿m³，多年平均流量70.2m3/s，保证率75％的年径流量为18.09亿m³，保证率95％的年径流量为13.64亿m³；多年平均含沙量5.27kg/m³，200年9月8日实测历年最大含沙量367kg/m³，多年平均输沙量1164.6万吨。</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③冰川</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玉龙喀什河、喀拉喀什河的发源地昆仑山、喀喇昆仑山巍峨挺拔，主山脊山体高大，流域内高程超过6000m的山峰有40多座，高山区为冰川发育提供了有利的条件，玉龙喀什河和喀拉喀什河源流区广泛分布着悬冰川、冰斗冰川、山谷冰川等多种类型的冰川。参考中国科学院兰州冰川冻土研究所1987年8月刊印的《中国冰川目录》有关数据。</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河流域计有各类冰川3318条，冰川总面积5121.48km2，冰储量566.4194km3。其中喀拉喀什河流域的冰川分布较分散，冰川面积可占42.2%，冰川储量只占全流域冰川储量的冰川面积可占27%；玉龙喀什河的冰川相对集中，冰川面积可占42.2%，冰川储量可占72.4％。</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根据兰州冰川冻土研究所分析，喀喇昆仑山平均冰川径流模数为74.73kg/s.km2，昆仑山平均冰川径流模数为37.481 kg/s.km2。以此估算，玉龙喀什河年冰川融水量为14.66亿m³，喀拉喀什河年冰川融水量为11.85亿m³，分别占玉龙喀什河和喀拉喀什河年径流量的66.3％和55.1％。</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（2）地下水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依据《和田地区地下水开发建设实施方案》地下水资源评价成果，和田县平原区现状年地下水资源贮量为4.52亿m³，地下水可开采量为3.8亿m³。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①泉水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灌区地下水资源中含包括平原区的泉水，主要分布于冲洪积平原的地下水溢出带，为地下水的自然排泄。根据《和田河流域灌区节水改造工程五年实施方案》，和田县现状年泉水可利用量为0.63亿m³。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②地下水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和田地区和田县水资源综合利用及工程规划报告》（中国水电顾问集团西北勘测设计研究院）分析，用和田县潜水无效或低效蒸发量来确定其地下水允许开采量。根据水文地质测绘，潜水位埋深≤3m时，植物生长状态良好。因此，潜水位埋深≤3m的潜水蒸发蒸腾量以及地下水位下降减少的泉水流量、减少的排渠排泄量之和均可做为和田县的地下水可开采量。</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可开采量计算中所有灌区的可开采系数除按上述方法计算外再参照《新疆地下水资源》把可开采系数控制在0.6以内，如果＜3m的潜水蒸发量与泉沟排水量一半之和大于总补给量（扣除重复量后）的0.6，可开采系数按0.6计算，如果小于0.6则按实际计算的＜3m的潜水蒸发量与泉沟排水量一半之和确定为可开采量。</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虑和田县非灌区大多为砾质平原、沙漠或沙漠绿洲，生态环境脆弱，因此非灌区可开采系数取0.3，得出和田县地下水总补给量为4.9574亿m3/a（扣除重复资源量），现状灌区可开采量为2.8490亿m3/a，现状年灌区实际开采量为0.50亿 m3/a，可增加开采量2.3490亿m3/a。</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e）植被</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生物资源丰富，自然植被主要有芦苇、红柳、甘草、党参、麻黄等，林木类主要有杨树、榆树、沙枣、红柳、白蜡树等；草本类铃铛刺、骆驼剌等。还生长有苦豆子、野苜蓿、狗尾草等杂草。农作物以小麦、玉米、棉花为主。</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59" w:name="_Toc387247573"/>
      <w:bookmarkStart w:id="60" w:name="_Toc3529"/>
      <w:bookmarkStart w:id="61" w:name="_Toc387191865"/>
      <w:bookmarkStart w:id="62" w:name="_Toc392607664"/>
      <w:r>
        <w:rPr>
          <w:rFonts w:hint="eastAsia" w:ascii="宋体" w:hAnsi="宋体" w:eastAsia="宋体" w:cs="宋体"/>
          <w:kern w:val="2"/>
          <w:sz w:val="21"/>
          <w:szCs w:val="21"/>
          <w:highlight w:val="none"/>
          <w:lang w:val="en-US" w:eastAsia="zh-CN" w:bidi="ar-SA"/>
        </w:rPr>
        <w:t>自然和资源条件</w:t>
      </w:r>
      <w:bookmarkEnd w:id="59"/>
      <w:bookmarkEnd w:id="60"/>
      <w:bookmarkEnd w:id="61"/>
      <w:bookmarkEnd w:id="62"/>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和田县1万亩补充耕地项目塔瓦库勒乡塔尔艾格勒村等4个村片区、和田县1万亩补充耕地项目塔瓦库勒乡巴克墩村和卡热墩村片区(片区1)、和田县1万亩补充耕地项目阿瓦提乡哈特布隆村片区</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63" w:name="_Toc392607665"/>
      <w:bookmarkStart w:id="64" w:name="_Toc387247574"/>
      <w:r>
        <w:rPr>
          <w:rFonts w:hint="eastAsia" w:ascii="宋体" w:hAnsi="宋体" w:eastAsia="宋体" w:cs="宋体"/>
          <w:kern w:val="2"/>
          <w:sz w:val="21"/>
          <w:szCs w:val="21"/>
          <w:highlight w:val="none"/>
          <w:lang w:val="en-US" w:eastAsia="zh-CN" w:bidi="ar-SA"/>
        </w:rPr>
        <w:t>地形地貌</w:t>
      </w:r>
      <w:bookmarkEnd w:id="63"/>
      <w:bookmarkEnd w:id="64"/>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65" w:name="_Hlk38231717"/>
      <w:bookmarkStart w:id="66" w:name="_Toc387247575"/>
      <w:bookmarkStart w:id="67" w:name="_Toc392607666"/>
      <w:r>
        <w:rPr>
          <w:rFonts w:hint="eastAsia" w:ascii="宋体" w:hAnsi="宋体" w:eastAsia="宋体" w:cs="宋体"/>
          <w:kern w:val="2"/>
          <w:sz w:val="21"/>
          <w:szCs w:val="21"/>
          <w:highlight w:val="none"/>
          <w:lang w:val="en-US" w:eastAsia="zh-CN" w:bidi="ar-SA"/>
        </w:rPr>
        <w:t>项目区位于克里雅河冲积扇中部细土平原地带，地貌为平原。地势南高北低，，海拔高度在1221-1216米之间，地形坡度在1-10‰之间。</w:t>
      </w:r>
      <w:bookmarkEnd w:id="65"/>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气候</w:t>
      </w:r>
      <w:bookmarkEnd w:id="66"/>
      <w:bookmarkEnd w:id="67"/>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68" w:name="_Hlk38231725"/>
      <w:bookmarkStart w:id="69" w:name="_Toc387247576"/>
      <w:bookmarkStart w:id="70" w:name="_Toc392607667"/>
      <w:r>
        <w:rPr>
          <w:rFonts w:hint="eastAsia" w:ascii="宋体" w:hAnsi="宋体" w:eastAsia="宋体" w:cs="宋体"/>
          <w:kern w:val="2"/>
          <w:sz w:val="21"/>
          <w:szCs w:val="21"/>
          <w:highlight w:val="none"/>
          <w:lang w:val="en-US" w:eastAsia="zh-CN" w:bidi="ar-SA"/>
        </w:rPr>
        <w:t>项目区降水稀少，空气干燥，是最主要的气候特征，年降水量在50毫米以下。山区受地形动力抬升甫合，个别地段降水量可达到400毫米。年均气温约13.6℃，最高温37.6℃，最低温-10.3℃，大于10℃的年积温4500℃以上，平原无霜期236天。有效生理辐射138.1—151.5千卡／厘米2，年均日照时数2470小时以上，日照百分率65％以上。年降水量19.2毫米，蒸发量2504.6毫米。年平均风速因地而异在1.3～22米／秒之间，春季多持续性大风，最大风速28米／秒。</w:t>
      </w:r>
    </w:p>
    <w:bookmarkEnd w:id="68"/>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水文与水文地质</w:t>
      </w:r>
      <w:bookmarkEnd w:id="69"/>
      <w:bookmarkEnd w:id="70"/>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71" w:name="_Hlk38231776"/>
      <w:r>
        <w:rPr>
          <w:rFonts w:hint="eastAsia" w:ascii="宋体" w:hAnsi="宋体" w:eastAsia="宋体" w:cs="宋体"/>
          <w:kern w:val="2"/>
          <w:sz w:val="21"/>
          <w:szCs w:val="21"/>
          <w:highlight w:val="none"/>
          <w:lang w:val="en-US" w:eastAsia="zh-CN" w:bidi="ar-SA"/>
        </w:rPr>
        <w:t>地表水资源分析</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项目区引水渠道为塔瓦库勒乡干渠，可供水量可满足项目新增耕地用水需求。</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吐孜亚伊拉克干渠天然水质的综合特征值如下：PH值：8.0～8.5，略呈碱性；河段的矿化度：1～4月为666毫克/升，5～8月为400毫克/升，9～12月为535毫克/升。总硬度、高锰酸钾指数、氨氮三项化验均达二级标准，其余项目为一级标准。地表水泥沙含量较大，悬浮泥沙含量为4.52千克/立方米，满足灌溉水质要求。</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水文地质</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和田县区域水文地质普查报告》，项目区位于洪积平原地带，地层岩性比较单一，主要为第四系松散堆积层，岩性为低液限砂壤土层及其下部的卵砾石层，区域内水文地质条件也相对简单，属水量中等丰富区，具有典型的西北干旱区倾斜平原水文地质条件的一般特性。岩性特点由山前的单一卵砾石层逐渐过渡为夹砂层透镜体的砂砾石含水层，由此再过渡为含砾中粗砂、中细砂夹粉砂透镜体的含水岩组。该区地下水类型为第四系松散岩类孔隙水，地下水埋深3～5米。项目区是地下水汇集和赋存的良好地段，含水层厚度大，透水性良好，地下水资源丰富，单位涌水量130～200立方米/天•米，渗透系数0.042米/秒。根据项目区内现有机井调查情况，单井出水量在130-160立方米/小时左右。</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项目区属细土平原区，含水岩组颗粒粗，径流条件好，水位埋深相对较小，水化学类型为HCO3-SO4-Mg.Ca型水。PH值7.75～8.1，矿化度一般小于1.2克/升左右，对混凝土结构和钢结构无腐蚀性。满足灌溉水质要求。</w:t>
      </w:r>
      <w:bookmarkEnd w:id="71"/>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72" w:name="_Toc387247577"/>
      <w:bookmarkStart w:id="73" w:name="_Toc392607668"/>
      <w:r>
        <w:rPr>
          <w:rFonts w:hint="eastAsia" w:ascii="宋体" w:hAnsi="宋体" w:eastAsia="宋体" w:cs="宋体"/>
          <w:kern w:val="2"/>
          <w:sz w:val="21"/>
          <w:szCs w:val="21"/>
          <w:highlight w:val="none"/>
          <w:lang w:val="en-US" w:eastAsia="zh-CN" w:bidi="ar-SA"/>
        </w:rPr>
        <w:t>工程地质</w:t>
      </w:r>
      <w:bookmarkEnd w:id="72"/>
      <w:bookmarkEnd w:id="73"/>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74" w:name="_Hlk38199251"/>
      <w:bookmarkStart w:id="75" w:name="_Hlk38231829"/>
      <w:bookmarkStart w:id="76" w:name="_Toc387247578"/>
      <w:bookmarkStart w:id="77" w:name="_Toc392607669"/>
      <w:r>
        <w:rPr>
          <w:rFonts w:hint="eastAsia" w:ascii="宋体" w:hAnsi="宋体" w:eastAsia="宋体" w:cs="宋体"/>
          <w:kern w:val="2"/>
          <w:sz w:val="21"/>
          <w:szCs w:val="21"/>
          <w:highlight w:val="none"/>
          <w:lang w:val="en-US" w:eastAsia="zh-CN" w:bidi="ar-SA"/>
        </w:rPr>
        <w:t>项目区位于和田县塔瓦库勒乡境内，从吐孜亚依拉克干渠引水。</w:t>
      </w:r>
      <w:bookmarkEnd w:id="74"/>
      <w:r>
        <w:rPr>
          <w:rFonts w:hint="eastAsia" w:ascii="宋体" w:hAnsi="宋体" w:eastAsia="宋体" w:cs="宋体"/>
          <w:kern w:val="2"/>
          <w:sz w:val="21"/>
          <w:szCs w:val="21"/>
          <w:highlight w:val="none"/>
          <w:lang w:val="en-US" w:eastAsia="zh-CN" w:bidi="ar-SA"/>
        </w:rPr>
        <w:t>项目区内灌溉工程沿线、田间道路工程沿线、建筑物工程场址，无岩溶、不稳定岸坡等不良地质现象，工程地质条件较优，项目规划拟建工程级别均为小型，不存在傍山渠道、道路产生的边坡稳定问题，地质条件能满足要求，能保证项目的顺利实施。</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a)渠线工程地质条件</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项目区处于冲洪积平原中下部，地形平缓。在勘探深度5.0米范围内，岩性主要可分为两层。</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①层低液限粉土：埋深0.3～0.5米，厚度0.6～4.0米，褐黄色、灰黄色，湿-很湿，松散-稍密。天然含水率8.6%～16.2%，天然密度1.63～1.68克/立方厘米，比重2.70～2.71克/立方厘米，液限19.5%～25.7%，塑限13.5%～17.2%，塑性指数6.0～9.6，孔隙比0.83～0.94，粘聚力7.9～16.3千帕，内摩擦角24.5°～27.2°，渗透系数2.0×10-4～4.4×10-4厘米/秒，具有中等压缩性，中等透水，无湿陷性。轻型动探锤击数13～24击。承载力100～120千帕，压缩模量5.0兆帕。</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②层圆砾：位于粉土层下部，青灰色，稍密，湿，可见最大粒径为150毫米，一般为10～40毫米，呈亚圆状。根据颗分试验：粒径＞60毫米含量10～15%，60～20毫米含量30～40%，20～2毫米含量22～30%，2～0.075毫米含量22～62%，小于0.075毫米含量3～5%。圆砾天然密度1.98～2.15克/立方厘米，天然含水率3.5%～5.5%，自然休止角30～35°，承载力值200～250千帕，渗透系数大于1.0×10-2厘米/秒，属强透水层。</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b）渠线工程地质评价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1）地震液化评价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基础坐落在巨厚的第四纪松散沉积层上，无活动性断裂存在，根据《中国地震动参数区划图》（GB18306—2001），项目区地震动峰值加速度分区为0.15g，相对地震烈度为Ⅵ度，属相对稳定区，因此可不考虑渠基土地震液化的影响。</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2）渠道边坡稳定性评价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根据和田县水利部门意见，并参考和田县实施水利及土地项目（干渠边坡1:1.5~2，支斗渠道边坡1:1.5），同时考虑占地问题，确定本项目渠道边坡比为1:1.5。</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3）地基土腐蚀性评价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本次根据渠基土易溶盐分析资料：土中熔盐总量0.1-0.209%，属非盐渍土，土中硫酸钠含量0.0048-0.038%，渠基土不具有盐胀性。</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依据《岩土工程勘察规范》（GB50021）附录G的规定，按I类环境进行评价：渠基土对混凝土结构不具有腐蚀性。</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4）地基土冻胀性评价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本区标准冻土深度为0.87米，即工程区表层土体属季节性冻土，因此根据《水工建筑物抗冻设计规范》（SL211-2006），对土的冻胀类别进行评价。</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渠道地基土由大厚度的低液限粉土组成，由颗分试验可知：粉土中粒径小于0.075毫米颗粒含量为68%-76%，依据《水工建筑物抗冻设计规范》（SL211-2006）第2.0.8条第2款“在季节冻融层内，土中粒径小于0.075毫米的土粒含量按重量比大于总土重10%的为冻胀性土”因此渠基土属冻胀性土，应采取防冻措施。</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5）区域构造稳定性</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和田县位于塔里木盆地南缘，昆仑山北麓的克里雅河冲洪积倾斜平原中上部，在构造上处于和田坳陷带内，属于区域构造基本稳定地区。场区地震动峰值加速度 0.10g，地震基本烈度为Ⅶ度。</w:t>
      </w:r>
      <w:bookmarkEnd w:id="75"/>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土壤</w:t>
      </w:r>
      <w:bookmarkEnd w:id="76"/>
      <w:bookmarkEnd w:id="77"/>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78" w:name="_Hlk38231740"/>
      <w:r>
        <w:rPr>
          <w:rFonts w:hint="eastAsia" w:ascii="宋体" w:hAnsi="宋体" w:eastAsia="宋体" w:cs="宋体"/>
          <w:kern w:val="2"/>
          <w:sz w:val="21"/>
          <w:szCs w:val="21"/>
          <w:highlight w:val="none"/>
          <w:lang w:val="en-US" w:eastAsia="zh-CN" w:bidi="ar-SA"/>
        </w:rPr>
        <w:t>根据和田县土样测试资料，项目区土壤类型有棕漠土、灌淤土，土质以轻壤、中壤为主。土层厚度50厘米以上，土壤有机质含量平均值为9.5‰，全氮含量7.34%，水解氮4.25ppm，全磷6.83%，有效磷1.237ppm，速效钾148.8ppm。</w:t>
      </w:r>
      <w:bookmarkEnd w:id="78"/>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79" w:name="_Toc392607670"/>
      <w:bookmarkStart w:id="80" w:name="_Toc387247579"/>
      <w:r>
        <w:rPr>
          <w:rFonts w:hint="eastAsia" w:ascii="宋体" w:hAnsi="宋体" w:eastAsia="宋体" w:cs="宋体"/>
          <w:kern w:val="2"/>
          <w:sz w:val="21"/>
          <w:szCs w:val="21"/>
          <w:highlight w:val="none"/>
          <w:lang w:val="en-US" w:eastAsia="zh-CN" w:bidi="ar-SA"/>
        </w:rPr>
        <w:t>植被</w:t>
      </w:r>
      <w:bookmarkEnd w:id="79"/>
      <w:bookmarkEnd w:id="80"/>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81" w:name="_Hlk38231751"/>
      <w:r>
        <w:rPr>
          <w:rFonts w:hint="eastAsia" w:ascii="宋体" w:hAnsi="宋体" w:eastAsia="宋体" w:cs="宋体"/>
          <w:kern w:val="2"/>
          <w:sz w:val="21"/>
          <w:szCs w:val="21"/>
          <w:highlight w:val="none"/>
          <w:lang w:val="en-US" w:eastAsia="zh-CN" w:bidi="ar-SA"/>
        </w:rPr>
        <w:t>项目区种植作物以玉米、小麦和果树为主，野生植物以胡杨、芦苇为主。地表植被覆盖率30%以上。</w:t>
      </w:r>
      <w:bookmarkEnd w:id="81"/>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82" w:name="_Toc392607671"/>
      <w:bookmarkStart w:id="83" w:name="_Toc387247580"/>
      <w:r>
        <w:rPr>
          <w:rFonts w:hint="eastAsia" w:ascii="宋体" w:hAnsi="宋体" w:eastAsia="宋体" w:cs="宋体"/>
          <w:kern w:val="2"/>
          <w:sz w:val="21"/>
          <w:szCs w:val="21"/>
          <w:highlight w:val="none"/>
          <w:lang w:val="en-US" w:eastAsia="zh-CN" w:bidi="ar-SA"/>
        </w:rPr>
        <w:t>自然灾害</w:t>
      </w:r>
      <w:bookmarkEnd w:id="82"/>
      <w:bookmarkEnd w:id="83"/>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84" w:name="_Hlk38231879"/>
      <w:r>
        <w:rPr>
          <w:rFonts w:hint="eastAsia" w:ascii="宋体" w:hAnsi="宋体" w:eastAsia="宋体" w:cs="宋体"/>
          <w:kern w:val="2"/>
          <w:sz w:val="21"/>
          <w:szCs w:val="21"/>
          <w:highlight w:val="none"/>
          <w:lang w:val="en-US" w:eastAsia="zh-CN" w:bidi="ar-SA"/>
        </w:rPr>
        <w:t>主要自然灾害干热风、浮尘和大风，该地区春季常有大风，大风伴有沙尘，严重时形成“黑风”，使幼苗干枯，禾谷倒伏，严重影响产量。</w:t>
      </w:r>
      <w:bookmarkEnd w:id="84"/>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天然建筑材料</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bookmarkStart w:id="85" w:name="_Hlk38231858"/>
      <w:r>
        <w:rPr>
          <w:rFonts w:hint="eastAsia" w:ascii="宋体" w:hAnsi="宋体" w:eastAsia="宋体" w:cs="宋体"/>
          <w:kern w:val="2"/>
          <w:sz w:val="21"/>
          <w:szCs w:val="21"/>
          <w:highlight w:val="none"/>
          <w:lang w:val="en-US" w:eastAsia="zh-CN" w:bidi="ar-SA"/>
        </w:rPr>
        <w:t>根据现场实际情况，最近的砂石料场位于项目区塔瓦库勒乡砂石料场，距项目区平均距离为12千米。</w:t>
      </w:r>
      <w:bookmarkEnd w:id="85"/>
      <w:r>
        <w:rPr>
          <w:rFonts w:hint="eastAsia" w:ascii="宋体" w:hAnsi="宋体" w:eastAsia="宋体" w:cs="宋体"/>
          <w:kern w:val="2"/>
          <w:sz w:val="21"/>
          <w:szCs w:val="21"/>
          <w:highlight w:val="none"/>
          <w:lang w:val="en-US" w:eastAsia="zh-CN" w:bidi="ar-SA"/>
        </w:rPr>
        <w:t>该料场储量丰富，根据颗分试验粒径＜0.075毫米的颗粒在2.1～3.9%之间。</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工程所需的混凝土粗细骨料均可到该砂石料场购买，混凝土粗骨料粒径＞5毫米的含量占75％，细骨料颗粒粒径5～0.16毫米含量占16.5％，其质量经过质量机构的认证完全满足设计要求。</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砂石路面所用级配砾石可到该砂石料场购买，最大粒径不应超过60毫米，压碎值不得大于30%，细长及扁平颗粒不超过20%，液限应小于28%，塑性指数应小于9。路基所用土料可就近取土。</w:t>
      </w:r>
    </w:p>
    <w:p>
      <w:pPr>
        <w:pStyle w:val="22"/>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项目区所需耕作层回填土土料场，位于项目区东南方向的沙地，平均运距为2km。该土料场土壤为沙壤土，基本无大的砾石，表土疏松，土壤透气性好。</w:t>
      </w:r>
    </w:p>
    <w:p>
      <w:pPr>
        <w:pStyle w:val="22"/>
        <w:rPr>
          <w:highlight w:val="none"/>
        </w:rPr>
      </w:pPr>
    </w:p>
    <w:bookmarkEnd w:id="86"/>
    <w:sectPr>
      <w:headerReference r:id="rId7" w:type="first"/>
      <w:footerReference r:id="rId9" w:type="first"/>
      <w:headerReference r:id="rId6" w:type="default"/>
      <w:footerReference r:id="rId8" w:type="default"/>
      <w:footnotePr>
        <w:numFmt w:val="decimalHalfWidth"/>
      </w:footnotePr>
      <w:endnotePr>
        <w:numFmt w:val="chineseCounting"/>
      </w:endnotePr>
      <w:pgSz w:w="11906" w:h="16838"/>
      <w:pgMar w:top="1134" w:right="1304" w:bottom="1134" w:left="1304" w:header="850" w:footer="850"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highlight w:val="white"/>
                            </w:rPr>
                            <w:instrText xml:space="preserve"> PAGE  \* MERGEFORMAT </w:instrText>
                          </w:r>
                          <w:r>
                            <w:rPr>
                              <w:rFonts w:hint="eastAsia"/>
                            </w:rPr>
                            <w:fldChar w:fldCharType="separate"/>
                          </w:r>
                          <w:r>
                            <w:rPr>
                              <w:highlight w:val="white"/>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pStyle w:val="12"/>
                    </w:pPr>
                    <w:r>
                      <w:rPr>
                        <w:rFonts w:hint="eastAsia"/>
                      </w:rPr>
                      <w:fldChar w:fldCharType="begin"/>
                    </w:r>
                    <w:r>
                      <w:rPr>
                        <w:rFonts w:hint="eastAsia"/>
                        <w:highlight w:val="white"/>
                      </w:rPr>
                      <w:instrText xml:space="preserve"> PAGE  \* MERGEFORMAT </w:instrText>
                    </w:r>
                    <w:r>
                      <w:rPr>
                        <w:rFonts w:hint="eastAsia"/>
                      </w:rPr>
                      <w:fldChar w:fldCharType="separate"/>
                    </w:r>
                    <w:r>
                      <w:rPr>
                        <w:highlight w:val="white"/>
                      </w:rP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wdY6/1AEAAKUDAAAOAAAAAAAAAAEAIAAA&#10;ACIBAABkcnMvZTJvRG9jLnhtbFBLBQYAAAAABgAGAFkBAABo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wg7AbTAQAApQMAAA4AAAAAAAAAAQAgAAAA&#10;IgEAAGRycy9lMm9Eb2MueG1sUEsFBgAAAAAGAAYAWQEAAGc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pStyle w:val="5"/>
      <w:lvlText w:val="%1."/>
      <w:lvlJc w:val="left"/>
      <w:pPr>
        <w:tabs>
          <w:tab w:val="left" w:pos="425"/>
        </w:tabs>
        <w:ind w:left="425" w:hanging="425"/>
      </w:pPr>
      <w:rPr>
        <w:rFonts w:hint="eastAsia"/>
      </w:rPr>
    </w:lvl>
  </w:abstractNum>
  <w:abstractNum w:abstractNumId="2">
    <w:nsid w:val="0FBF5091"/>
    <w:multiLevelType w:val="multilevel"/>
    <w:tmpl w:val="0FBF50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08D697"/>
    <w:multiLevelType w:val="singleLevel"/>
    <w:tmpl w:val="5808D697"/>
    <w:lvl w:ilvl="0" w:tentative="0">
      <w:start w:val="12"/>
      <w:numFmt w:val="decimal"/>
      <w:suff w:val="nothing"/>
      <w:lvlText w:val="%1、"/>
      <w:lvlJc w:val="left"/>
    </w:lvl>
  </w:abstractNum>
  <w:abstractNum w:abstractNumId="4">
    <w:nsid w:val="5C724955"/>
    <w:multiLevelType w:val="multilevel"/>
    <w:tmpl w:val="5C724955"/>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275"/>
    <w:rsid w:val="00040AFA"/>
    <w:rsid w:val="00044BCB"/>
    <w:rsid w:val="00044C60"/>
    <w:rsid w:val="00065F51"/>
    <w:rsid w:val="000800D9"/>
    <w:rsid w:val="000C1FD1"/>
    <w:rsid w:val="000F224A"/>
    <w:rsid w:val="000F2E53"/>
    <w:rsid w:val="00104A7D"/>
    <w:rsid w:val="001059C6"/>
    <w:rsid w:val="0011156E"/>
    <w:rsid w:val="00126166"/>
    <w:rsid w:val="00127A2F"/>
    <w:rsid w:val="00134B0B"/>
    <w:rsid w:val="001469EC"/>
    <w:rsid w:val="00157D11"/>
    <w:rsid w:val="00166BF8"/>
    <w:rsid w:val="00172A27"/>
    <w:rsid w:val="00192908"/>
    <w:rsid w:val="00192D78"/>
    <w:rsid w:val="001B2A68"/>
    <w:rsid w:val="001D29FB"/>
    <w:rsid w:val="001E7153"/>
    <w:rsid w:val="002364B6"/>
    <w:rsid w:val="002417A4"/>
    <w:rsid w:val="002447CA"/>
    <w:rsid w:val="00251914"/>
    <w:rsid w:val="002636E9"/>
    <w:rsid w:val="002662EA"/>
    <w:rsid w:val="00285A60"/>
    <w:rsid w:val="002B064F"/>
    <w:rsid w:val="002C2BF9"/>
    <w:rsid w:val="002C2F7A"/>
    <w:rsid w:val="002C6AE5"/>
    <w:rsid w:val="002F33B3"/>
    <w:rsid w:val="00305005"/>
    <w:rsid w:val="00357411"/>
    <w:rsid w:val="00373E9B"/>
    <w:rsid w:val="00396264"/>
    <w:rsid w:val="003A1C49"/>
    <w:rsid w:val="003B6120"/>
    <w:rsid w:val="00421FF8"/>
    <w:rsid w:val="00425EB7"/>
    <w:rsid w:val="00461A04"/>
    <w:rsid w:val="0046354F"/>
    <w:rsid w:val="004A1D23"/>
    <w:rsid w:val="004A6D6C"/>
    <w:rsid w:val="004B7B8E"/>
    <w:rsid w:val="004C6837"/>
    <w:rsid w:val="004F6B7E"/>
    <w:rsid w:val="005257CA"/>
    <w:rsid w:val="00526E96"/>
    <w:rsid w:val="005343A1"/>
    <w:rsid w:val="00535A9B"/>
    <w:rsid w:val="005429A1"/>
    <w:rsid w:val="00544B2F"/>
    <w:rsid w:val="0054546D"/>
    <w:rsid w:val="00546E26"/>
    <w:rsid w:val="0057115C"/>
    <w:rsid w:val="00580EBF"/>
    <w:rsid w:val="005A45B9"/>
    <w:rsid w:val="005B02D7"/>
    <w:rsid w:val="005B3E3C"/>
    <w:rsid w:val="005C7A7B"/>
    <w:rsid w:val="005C7FFA"/>
    <w:rsid w:val="005D40FE"/>
    <w:rsid w:val="005D44D9"/>
    <w:rsid w:val="005E0C68"/>
    <w:rsid w:val="005F47C7"/>
    <w:rsid w:val="00603699"/>
    <w:rsid w:val="00605A27"/>
    <w:rsid w:val="00645D8F"/>
    <w:rsid w:val="00655A35"/>
    <w:rsid w:val="0065627D"/>
    <w:rsid w:val="00672E06"/>
    <w:rsid w:val="00680947"/>
    <w:rsid w:val="006823B9"/>
    <w:rsid w:val="006902E1"/>
    <w:rsid w:val="006959DD"/>
    <w:rsid w:val="006C0ADF"/>
    <w:rsid w:val="006E0869"/>
    <w:rsid w:val="006E173A"/>
    <w:rsid w:val="006F7C8E"/>
    <w:rsid w:val="00707E13"/>
    <w:rsid w:val="00716D67"/>
    <w:rsid w:val="00724E54"/>
    <w:rsid w:val="00742F39"/>
    <w:rsid w:val="007517DA"/>
    <w:rsid w:val="007543AF"/>
    <w:rsid w:val="007619DD"/>
    <w:rsid w:val="00775A02"/>
    <w:rsid w:val="007964D1"/>
    <w:rsid w:val="007A4127"/>
    <w:rsid w:val="007A602D"/>
    <w:rsid w:val="007B0C64"/>
    <w:rsid w:val="007C4579"/>
    <w:rsid w:val="007C4780"/>
    <w:rsid w:val="007D4086"/>
    <w:rsid w:val="007E15E7"/>
    <w:rsid w:val="007F60A9"/>
    <w:rsid w:val="00801294"/>
    <w:rsid w:val="00831E47"/>
    <w:rsid w:val="00842E3D"/>
    <w:rsid w:val="00894620"/>
    <w:rsid w:val="008A6450"/>
    <w:rsid w:val="008B57E4"/>
    <w:rsid w:val="008C245B"/>
    <w:rsid w:val="008F4131"/>
    <w:rsid w:val="00904A6C"/>
    <w:rsid w:val="0091104B"/>
    <w:rsid w:val="009D55D7"/>
    <w:rsid w:val="009D565C"/>
    <w:rsid w:val="009E7CCD"/>
    <w:rsid w:val="00A02CFB"/>
    <w:rsid w:val="00A128F7"/>
    <w:rsid w:val="00A164B6"/>
    <w:rsid w:val="00A360C5"/>
    <w:rsid w:val="00A42F6F"/>
    <w:rsid w:val="00A433B6"/>
    <w:rsid w:val="00A44EC6"/>
    <w:rsid w:val="00A70320"/>
    <w:rsid w:val="00A7728B"/>
    <w:rsid w:val="00A823A5"/>
    <w:rsid w:val="00A87B2A"/>
    <w:rsid w:val="00AA3D6D"/>
    <w:rsid w:val="00AA6513"/>
    <w:rsid w:val="00AF5538"/>
    <w:rsid w:val="00B13FF0"/>
    <w:rsid w:val="00B20734"/>
    <w:rsid w:val="00B27427"/>
    <w:rsid w:val="00B442B7"/>
    <w:rsid w:val="00B528AA"/>
    <w:rsid w:val="00B737F8"/>
    <w:rsid w:val="00B73D5B"/>
    <w:rsid w:val="00B81E07"/>
    <w:rsid w:val="00B84DDD"/>
    <w:rsid w:val="00B87830"/>
    <w:rsid w:val="00B93BE4"/>
    <w:rsid w:val="00B97D3E"/>
    <w:rsid w:val="00BA0621"/>
    <w:rsid w:val="00BA57BA"/>
    <w:rsid w:val="00BB5E51"/>
    <w:rsid w:val="00BC5D41"/>
    <w:rsid w:val="00BE1CEA"/>
    <w:rsid w:val="00BF6A67"/>
    <w:rsid w:val="00C044F2"/>
    <w:rsid w:val="00C16E94"/>
    <w:rsid w:val="00C219C9"/>
    <w:rsid w:val="00C3238D"/>
    <w:rsid w:val="00C37218"/>
    <w:rsid w:val="00C377A9"/>
    <w:rsid w:val="00C606C2"/>
    <w:rsid w:val="00C7579F"/>
    <w:rsid w:val="00C87999"/>
    <w:rsid w:val="00C92FC2"/>
    <w:rsid w:val="00CA61B4"/>
    <w:rsid w:val="00CC0602"/>
    <w:rsid w:val="00CC2C02"/>
    <w:rsid w:val="00CE7A9C"/>
    <w:rsid w:val="00D30CF5"/>
    <w:rsid w:val="00D31934"/>
    <w:rsid w:val="00D42DCA"/>
    <w:rsid w:val="00D45F16"/>
    <w:rsid w:val="00D535E5"/>
    <w:rsid w:val="00D565BE"/>
    <w:rsid w:val="00D60EFD"/>
    <w:rsid w:val="00D73195"/>
    <w:rsid w:val="00D7515C"/>
    <w:rsid w:val="00D75EEF"/>
    <w:rsid w:val="00D95580"/>
    <w:rsid w:val="00D967F3"/>
    <w:rsid w:val="00DA02E7"/>
    <w:rsid w:val="00DA4CC4"/>
    <w:rsid w:val="00DB6C1E"/>
    <w:rsid w:val="00DF6272"/>
    <w:rsid w:val="00E43B17"/>
    <w:rsid w:val="00E57036"/>
    <w:rsid w:val="00E76FA0"/>
    <w:rsid w:val="00E954A8"/>
    <w:rsid w:val="00EA17C5"/>
    <w:rsid w:val="00EB549A"/>
    <w:rsid w:val="00EB603E"/>
    <w:rsid w:val="00ED5F64"/>
    <w:rsid w:val="00EF7A20"/>
    <w:rsid w:val="00F27364"/>
    <w:rsid w:val="00F4673E"/>
    <w:rsid w:val="00F46D59"/>
    <w:rsid w:val="00F51593"/>
    <w:rsid w:val="00F52729"/>
    <w:rsid w:val="00F65A1B"/>
    <w:rsid w:val="00F71315"/>
    <w:rsid w:val="00F80E02"/>
    <w:rsid w:val="00F85E97"/>
    <w:rsid w:val="00F96EDC"/>
    <w:rsid w:val="00FD1C4B"/>
    <w:rsid w:val="00FD37F7"/>
    <w:rsid w:val="01623555"/>
    <w:rsid w:val="01711A8F"/>
    <w:rsid w:val="01A4682D"/>
    <w:rsid w:val="01C741D1"/>
    <w:rsid w:val="02724EDA"/>
    <w:rsid w:val="02C016D2"/>
    <w:rsid w:val="03066C0B"/>
    <w:rsid w:val="031D6490"/>
    <w:rsid w:val="034A00CF"/>
    <w:rsid w:val="034A30ED"/>
    <w:rsid w:val="035212A8"/>
    <w:rsid w:val="03573508"/>
    <w:rsid w:val="03785405"/>
    <w:rsid w:val="03E45911"/>
    <w:rsid w:val="03EC5951"/>
    <w:rsid w:val="03F10DDB"/>
    <w:rsid w:val="03FE2F50"/>
    <w:rsid w:val="040E6C97"/>
    <w:rsid w:val="04433A31"/>
    <w:rsid w:val="045B4619"/>
    <w:rsid w:val="04E423FD"/>
    <w:rsid w:val="05151273"/>
    <w:rsid w:val="052C1273"/>
    <w:rsid w:val="053B4A0E"/>
    <w:rsid w:val="053D7925"/>
    <w:rsid w:val="054567CB"/>
    <w:rsid w:val="054661AD"/>
    <w:rsid w:val="054F67E4"/>
    <w:rsid w:val="05525437"/>
    <w:rsid w:val="05792D8F"/>
    <w:rsid w:val="061649B9"/>
    <w:rsid w:val="06501AF7"/>
    <w:rsid w:val="067A4552"/>
    <w:rsid w:val="06B409AA"/>
    <w:rsid w:val="06C81AEA"/>
    <w:rsid w:val="06EE5133"/>
    <w:rsid w:val="07454D3A"/>
    <w:rsid w:val="077638FC"/>
    <w:rsid w:val="07775437"/>
    <w:rsid w:val="079B78C3"/>
    <w:rsid w:val="079D051F"/>
    <w:rsid w:val="07B71C20"/>
    <w:rsid w:val="07BD6C23"/>
    <w:rsid w:val="07E6101B"/>
    <w:rsid w:val="087151F9"/>
    <w:rsid w:val="090872DF"/>
    <w:rsid w:val="09337B0E"/>
    <w:rsid w:val="093E0879"/>
    <w:rsid w:val="097B5724"/>
    <w:rsid w:val="09A90CA4"/>
    <w:rsid w:val="09F10115"/>
    <w:rsid w:val="09FA308F"/>
    <w:rsid w:val="09FB344A"/>
    <w:rsid w:val="0A5375D4"/>
    <w:rsid w:val="0A56303A"/>
    <w:rsid w:val="0B122C47"/>
    <w:rsid w:val="0B515123"/>
    <w:rsid w:val="0B594218"/>
    <w:rsid w:val="0B695F62"/>
    <w:rsid w:val="0B893F6C"/>
    <w:rsid w:val="0B996F7E"/>
    <w:rsid w:val="0B9B18C0"/>
    <w:rsid w:val="0BFB5C9F"/>
    <w:rsid w:val="0C024486"/>
    <w:rsid w:val="0C3C6EBF"/>
    <w:rsid w:val="0CB71CB1"/>
    <w:rsid w:val="0CBC718E"/>
    <w:rsid w:val="0CD127ED"/>
    <w:rsid w:val="0CE5724F"/>
    <w:rsid w:val="0D3F6C7E"/>
    <w:rsid w:val="0D67658E"/>
    <w:rsid w:val="0D8B2B38"/>
    <w:rsid w:val="0E0E1702"/>
    <w:rsid w:val="0E653B0B"/>
    <w:rsid w:val="0E7F583F"/>
    <w:rsid w:val="0E8D4238"/>
    <w:rsid w:val="0E944526"/>
    <w:rsid w:val="0EB813FB"/>
    <w:rsid w:val="0EF9713C"/>
    <w:rsid w:val="0F3F1C4B"/>
    <w:rsid w:val="0F6272D1"/>
    <w:rsid w:val="0F8F5C8F"/>
    <w:rsid w:val="0FC862F6"/>
    <w:rsid w:val="0FF55326"/>
    <w:rsid w:val="10135C67"/>
    <w:rsid w:val="103D402F"/>
    <w:rsid w:val="103D75A1"/>
    <w:rsid w:val="105643C0"/>
    <w:rsid w:val="107B3172"/>
    <w:rsid w:val="109F2C0A"/>
    <w:rsid w:val="10A47D6A"/>
    <w:rsid w:val="10AB1DC9"/>
    <w:rsid w:val="10E13651"/>
    <w:rsid w:val="110170F5"/>
    <w:rsid w:val="11031D1F"/>
    <w:rsid w:val="11195BD9"/>
    <w:rsid w:val="111C7165"/>
    <w:rsid w:val="113F4D18"/>
    <w:rsid w:val="114B5BA3"/>
    <w:rsid w:val="11715DF7"/>
    <w:rsid w:val="118268F8"/>
    <w:rsid w:val="11E11432"/>
    <w:rsid w:val="11ED27D5"/>
    <w:rsid w:val="12101949"/>
    <w:rsid w:val="121052C3"/>
    <w:rsid w:val="123637F5"/>
    <w:rsid w:val="123E2107"/>
    <w:rsid w:val="126834AC"/>
    <w:rsid w:val="127C3C0A"/>
    <w:rsid w:val="12B516B5"/>
    <w:rsid w:val="12E0725A"/>
    <w:rsid w:val="12EC76EF"/>
    <w:rsid w:val="133D4922"/>
    <w:rsid w:val="135F6A8F"/>
    <w:rsid w:val="13A04C5A"/>
    <w:rsid w:val="13A30EE0"/>
    <w:rsid w:val="13AD1B47"/>
    <w:rsid w:val="13B366DB"/>
    <w:rsid w:val="141C4FF9"/>
    <w:rsid w:val="14452B76"/>
    <w:rsid w:val="144F533C"/>
    <w:rsid w:val="145B7220"/>
    <w:rsid w:val="147E1422"/>
    <w:rsid w:val="14986E4B"/>
    <w:rsid w:val="149B0C7A"/>
    <w:rsid w:val="14D5496E"/>
    <w:rsid w:val="15012F6D"/>
    <w:rsid w:val="154C5CF5"/>
    <w:rsid w:val="156F5AE5"/>
    <w:rsid w:val="158832FC"/>
    <w:rsid w:val="159E016B"/>
    <w:rsid w:val="15A16711"/>
    <w:rsid w:val="15EB63C1"/>
    <w:rsid w:val="160062CA"/>
    <w:rsid w:val="164A397D"/>
    <w:rsid w:val="165258A4"/>
    <w:rsid w:val="165D60E0"/>
    <w:rsid w:val="16600B51"/>
    <w:rsid w:val="16CA4513"/>
    <w:rsid w:val="17174F0E"/>
    <w:rsid w:val="173A6102"/>
    <w:rsid w:val="173D65FB"/>
    <w:rsid w:val="174D12C7"/>
    <w:rsid w:val="17B20A74"/>
    <w:rsid w:val="180D432F"/>
    <w:rsid w:val="188C05F6"/>
    <w:rsid w:val="189F5775"/>
    <w:rsid w:val="18D102A3"/>
    <w:rsid w:val="18E5523E"/>
    <w:rsid w:val="18FC58F2"/>
    <w:rsid w:val="1941350B"/>
    <w:rsid w:val="19464028"/>
    <w:rsid w:val="195255E8"/>
    <w:rsid w:val="197F50EC"/>
    <w:rsid w:val="19A909AF"/>
    <w:rsid w:val="19AE3725"/>
    <w:rsid w:val="19CB539B"/>
    <w:rsid w:val="19E23584"/>
    <w:rsid w:val="19EB12E0"/>
    <w:rsid w:val="1A2D7577"/>
    <w:rsid w:val="1A3013B2"/>
    <w:rsid w:val="1A360509"/>
    <w:rsid w:val="1A483B09"/>
    <w:rsid w:val="1A711612"/>
    <w:rsid w:val="1A75465C"/>
    <w:rsid w:val="1ABD2BD8"/>
    <w:rsid w:val="1AD814C2"/>
    <w:rsid w:val="1AF90619"/>
    <w:rsid w:val="1B1A787C"/>
    <w:rsid w:val="1B3C2C0D"/>
    <w:rsid w:val="1B611C7F"/>
    <w:rsid w:val="1B88034C"/>
    <w:rsid w:val="1BC35484"/>
    <w:rsid w:val="1BED38F0"/>
    <w:rsid w:val="1C026177"/>
    <w:rsid w:val="1C2F7905"/>
    <w:rsid w:val="1C354928"/>
    <w:rsid w:val="1C466199"/>
    <w:rsid w:val="1C793EAA"/>
    <w:rsid w:val="1C991B79"/>
    <w:rsid w:val="1CCB2AF5"/>
    <w:rsid w:val="1D4A7748"/>
    <w:rsid w:val="1D854E4F"/>
    <w:rsid w:val="1D9C3408"/>
    <w:rsid w:val="1DC909D4"/>
    <w:rsid w:val="1DC94463"/>
    <w:rsid w:val="1DCB52FC"/>
    <w:rsid w:val="1DE7088F"/>
    <w:rsid w:val="1E257039"/>
    <w:rsid w:val="1E7966E2"/>
    <w:rsid w:val="1EAB6485"/>
    <w:rsid w:val="1EDA20F7"/>
    <w:rsid w:val="1F180648"/>
    <w:rsid w:val="1F696E19"/>
    <w:rsid w:val="1F800FB0"/>
    <w:rsid w:val="1FA27001"/>
    <w:rsid w:val="1FA308B1"/>
    <w:rsid w:val="1FF93F8E"/>
    <w:rsid w:val="203D3A29"/>
    <w:rsid w:val="20623B03"/>
    <w:rsid w:val="217432F0"/>
    <w:rsid w:val="217A0232"/>
    <w:rsid w:val="21930CE9"/>
    <w:rsid w:val="219E7824"/>
    <w:rsid w:val="21F318E1"/>
    <w:rsid w:val="21FD07CE"/>
    <w:rsid w:val="220629DA"/>
    <w:rsid w:val="225C023B"/>
    <w:rsid w:val="22747F5F"/>
    <w:rsid w:val="22914649"/>
    <w:rsid w:val="22A8302D"/>
    <w:rsid w:val="22C30269"/>
    <w:rsid w:val="22EB541D"/>
    <w:rsid w:val="232F3C30"/>
    <w:rsid w:val="23810CF5"/>
    <w:rsid w:val="238C0CC0"/>
    <w:rsid w:val="23FF1B6F"/>
    <w:rsid w:val="243240F7"/>
    <w:rsid w:val="243A0BE5"/>
    <w:rsid w:val="244C3021"/>
    <w:rsid w:val="24B02203"/>
    <w:rsid w:val="25DA7F3F"/>
    <w:rsid w:val="25E24917"/>
    <w:rsid w:val="264B5353"/>
    <w:rsid w:val="265C6B47"/>
    <w:rsid w:val="268B3230"/>
    <w:rsid w:val="268F3246"/>
    <w:rsid w:val="26BE1670"/>
    <w:rsid w:val="27002C46"/>
    <w:rsid w:val="271420A5"/>
    <w:rsid w:val="271E5A43"/>
    <w:rsid w:val="2776226E"/>
    <w:rsid w:val="27B04A9A"/>
    <w:rsid w:val="27C85434"/>
    <w:rsid w:val="27D30BD3"/>
    <w:rsid w:val="27E16397"/>
    <w:rsid w:val="27E366D9"/>
    <w:rsid w:val="28094648"/>
    <w:rsid w:val="285E69B2"/>
    <w:rsid w:val="28A12D7D"/>
    <w:rsid w:val="28B847CA"/>
    <w:rsid w:val="29085475"/>
    <w:rsid w:val="29134F06"/>
    <w:rsid w:val="292D1569"/>
    <w:rsid w:val="296A12DF"/>
    <w:rsid w:val="297F1D72"/>
    <w:rsid w:val="29904404"/>
    <w:rsid w:val="29B437BD"/>
    <w:rsid w:val="2A2502BA"/>
    <w:rsid w:val="2A267E8C"/>
    <w:rsid w:val="2A6A377A"/>
    <w:rsid w:val="2A986B9E"/>
    <w:rsid w:val="2AAD7299"/>
    <w:rsid w:val="2ACB0392"/>
    <w:rsid w:val="2AD25C7E"/>
    <w:rsid w:val="2B372617"/>
    <w:rsid w:val="2B390125"/>
    <w:rsid w:val="2B6C2007"/>
    <w:rsid w:val="2B810249"/>
    <w:rsid w:val="2BBE5F9B"/>
    <w:rsid w:val="2BD36390"/>
    <w:rsid w:val="2BEE15C2"/>
    <w:rsid w:val="2BF12F87"/>
    <w:rsid w:val="2BF51A22"/>
    <w:rsid w:val="2BFB7F22"/>
    <w:rsid w:val="2BFF1742"/>
    <w:rsid w:val="2C3D5E98"/>
    <w:rsid w:val="2C7348EC"/>
    <w:rsid w:val="2D2A55F4"/>
    <w:rsid w:val="2D3A7414"/>
    <w:rsid w:val="2D9446CD"/>
    <w:rsid w:val="2DB56B9C"/>
    <w:rsid w:val="2E6C2C2D"/>
    <w:rsid w:val="2E787EDB"/>
    <w:rsid w:val="2E926570"/>
    <w:rsid w:val="2EB15D3D"/>
    <w:rsid w:val="2EB337BF"/>
    <w:rsid w:val="2EB347BC"/>
    <w:rsid w:val="2EE70E27"/>
    <w:rsid w:val="2F757863"/>
    <w:rsid w:val="2F7F2DFB"/>
    <w:rsid w:val="2F865F67"/>
    <w:rsid w:val="300708C5"/>
    <w:rsid w:val="3029650B"/>
    <w:rsid w:val="30667891"/>
    <w:rsid w:val="30A1498B"/>
    <w:rsid w:val="30EB7223"/>
    <w:rsid w:val="31284409"/>
    <w:rsid w:val="320E6314"/>
    <w:rsid w:val="32210B24"/>
    <w:rsid w:val="32442125"/>
    <w:rsid w:val="32B23F6F"/>
    <w:rsid w:val="32CF62C4"/>
    <w:rsid w:val="33023280"/>
    <w:rsid w:val="335036D5"/>
    <w:rsid w:val="33626A7A"/>
    <w:rsid w:val="337B280B"/>
    <w:rsid w:val="33B076DF"/>
    <w:rsid w:val="33D24300"/>
    <w:rsid w:val="33E353E0"/>
    <w:rsid w:val="34234E35"/>
    <w:rsid w:val="346C260D"/>
    <w:rsid w:val="347A750A"/>
    <w:rsid w:val="34A84A7C"/>
    <w:rsid w:val="34CB7714"/>
    <w:rsid w:val="34F97376"/>
    <w:rsid w:val="34FD2A25"/>
    <w:rsid w:val="357A7991"/>
    <w:rsid w:val="35943E90"/>
    <w:rsid w:val="365725D5"/>
    <w:rsid w:val="37B208CF"/>
    <w:rsid w:val="381C647F"/>
    <w:rsid w:val="385E3DA4"/>
    <w:rsid w:val="386D4F26"/>
    <w:rsid w:val="38D63B72"/>
    <w:rsid w:val="38DF7412"/>
    <w:rsid w:val="38E05C9F"/>
    <w:rsid w:val="38E853DF"/>
    <w:rsid w:val="38FD0E8B"/>
    <w:rsid w:val="3908399E"/>
    <w:rsid w:val="39390324"/>
    <w:rsid w:val="399F5FAD"/>
    <w:rsid w:val="39B45EFF"/>
    <w:rsid w:val="39CC5BD2"/>
    <w:rsid w:val="39F40891"/>
    <w:rsid w:val="39FF7C50"/>
    <w:rsid w:val="3A133ED6"/>
    <w:rsid w:val="3A83714D"/>
    <w:rsid w:val="3A8A0E7C"/>
    <w:rsid w:val="3A8B7B96"/>
    <w:rsid w:val="3AC927B3"/>
    <w:rsid w:val="3B024D9A"/>
    <w:rsid w:val="3B0F7B52"/>
    <w:rsid w:val="3B2D72A6"/>
    <w:rsid w:val="3B7C61A5"/>
    <w:rsid w:val="3B872FBE"/>
    <w:rsid w:val="3BE54C29"/>
    <w:rsid w:val="3C1A27A9"/>
    <w:rsid w:val="3C3B3A65"/>
    <w:rsid w:val="3C5E458C"/>
    <w:rsid w:val="3C900653"/>
    <w:rsid w:val="3CA245FF"/>
    <w:rsid w:val="3CA27AD9"/>
    <w:rsid w:val="3CBB185A"/>
    <w:rsid w:val="3D432DA6"/>
    <w:rsid w:val="3D55649C"/>
    <w:rsid w:val="3D5C46D9"/>
    <w:rsid w:val="3D6868BF"/>
    <w:rsid w:val="3DB95E2D"/>
    <w:rsid w:val="3DC674C1"/>
    <w:rsid w:val="3DFA2861"/>
    <w:rsid w:val="3E751275"/>
    <w:rsid w:val="3ED730DC"/>
    <w:rsid w:val="3F1269B3"/>
    <w:rsid w:val="3F5C5A7F"/>
    <w:rsid w:val="3FB469BB"/>
    <w:rsid w:val="3FEF4B25"/>
    <w:rsid w:val="402D2414"/>
    <w:rsid w:val="406A0711"/>
    <w:rsid w:val="407D3476"/>
    <w:rsid w:val="40C072F9"/>
    <w:rsid w:val="40DB7696"/>
    <w:rsid w:val="40DD2E08"/>
    <w:rsid w:val="40EF1C95"/>
    <w:rsid w:val="411528E8"/>
    <w:rsid w:val="413714C2"/>
    <w:rsid w:val="413922CF"/>
    <w:rsid w:val="414017AD"/>
    <w:rsid w:val="41655510"/>
    <w:rsid w:val="41C567AE"/>
    <w:rsid w:val="423A71EF"/>
    <w:rsid w:val="42554FF2"/>
    <w:rsid w:val="42573053"/>
    <w:rsid w:val="42702E79"/>
    <w:rsid w:val="42974C74"/>
    <w:rsid w:val="42E2321E"/>
    <w:rsid w:val="4341377A"/>
    <w:rsid w:val="442265B2"/>
    <w:rsid w:val="446A4670"/>
    <w:rsid w:val="4487093E"/>
    <w:rsid w:val="44BC5E74"/>
    <w:rsid w:val="44FD6B7F"/>
    <w:rsid w:val="45257A4B"/>
    <w:rsid w:val="4527499A"/>
    <w:rsid w:val="452805E5"/>
    <w:rsid w:val="452E681A"/>
    <w:rsid w:val="45461A2F"/>
    <w:rsid w:val="455D708D"/>
    <w:rsid w:val="4561018E"/>
    <w:rsid w:val="45A50F6F"/>
    <w:rsid w:val="45AA1E49"/>
    <w:rsid w:val="45BD166C"/>
    <w:rsid w:val="45C70962"/>
    <w:rsid w:val="45E538C9"/>
    <w:rsid w:val="46332207"/>
    <w:rsid w:val="46A8357F"/>
    <w:rsid w:val="46AC349C"/>
    <w:rsid w:val="46C0074C"/>
    <w:rsid w:val="46D430DE"/>
    <w:rsid w:val="476963A2"/>
    <w:rsid w:val="476F1751"/>
    <w:rsid w:val="47AE45AF"/>
    <w:rsid w:val="48090B4C"/>
    <w:rsid w:val="480E2EC4"/>
    <w:rsid w:val="48107A3A"/>
    <w:rsid w:val="487959D5"/>
    <w:rsid w:val="487D65BC"/>
    <w:rsid w:val="489A22BA"/>
    <w:rsid w:val="48B5734F"/>
    <w:rsid w:val="48F549C6"/>
    <w:rsid w:val="495F04C0"/>
    <w:rsid w:val="498B7FF5"/>
    <w:rsid w:val="49900334"/>
    <w:rsid w:val="49C30E68"/>
    <w:rsid w:val="4A8E15AF"/>
    <w:rsid w:val="4AA97597"/>
    <w:rsid w:val="4ACC7267"/>
    <w:rsid w:val="4B240AE1"/>
    <w:rsid w:val="4B276A1F"/>
    <w:rsid w:val="4B2B66FC"/>
    <w:rsid w:val="4B306B44"/>
    <w:rsid w:val="4B8D3716"/>
    <w:rsid w:val="4C003E01"/>
    <w:rsid w:val="4C1A1578"/>
    <w:rsid w:val="4C926F9C"/>
    <w:rsid w:val="4CD518CA"/>
    <w:rsid w:val="4CFD46B6"/>
    <w:rsid w:val="4D5C48FE"/>
    <w:rsid w:val="4D683E54"/>
    <w:rsid w:val="4DF16A68"/>
    <w:rsid w:val="4E1848B8"/>
    <w:rsid w:val="4E283778"/>
    <w:rsid w:val="4E67561D"/>
    <w:rsid w:val="4E9F7D2E"/>
    <w:rsid w:val="4EAF06F2"/>
    <w:rsid w:val="4EBC7E47"/>
    <w:rsid w:val="4F0160EE"/>
    <w:rsid w:val="4F156EC6"/>
    <w:rsid w:val="4F336B91"/>
    <w:rsid w:val="4F876DDC"/>
    <w:rsid w:val="4F91255F"/>
    <w:rsid w:val="4FA718C9"/>
    <w:rsid w:val="506E0905"/>
    <w:rsid w:val="50C649A9"/>
    <w:rsid w:val="50EA5D60"/>
    <w:rsid w:val="51075293"/>
    <w:rsid w:val="51270CAB"/>
    <w:rsid w:val="51CD7B48"/>
    <w:rsid w:val="51FB71FC"/>
    <w:rsid w:val="52650152"/>
    <w:rsid w:val="526C4D7F"/>
    <w:rsid w:val="527E4F3C"/>
    <w:rsid w:val="52D625A9"/>
    <w:rsid w:val="53645904"/>
    <w:rsid w:val="53883256"/>
    <w:rsid w:val="539E76D2"/>
    <w:rsid w:val="53E67F15"/>
    <w:rsid w:val="53F50992"/>
    <w:rsid w:val="54073660"/>
    <w:rsid w:val="540745D9"/>
    <w:rsid w:val="54091E26"/>
    <w:rsid w:val="542F0E9E"/>
    <w:rsid w:val="54377082"/>
    <w:rsid w:val="54C61409"/>
    <w:rsid w:val="54E30563"/>
    <w:rsid w:val="54FF3AA2"/>
    <w:rsid w:val="551D0DE8"/>
    <w:rsid w:val="55387BC7"/>
    <w:rsid w:val="553948CD"/>
    <w:rsid w:val="554029EF"/>
    <w:rsid w:val="55A807B3"/>
    <w:rsid w:val="55B606FA"/>
    <w:rsid w:val="563F7D9B"/>
    <w:rsid w:val="56812ED3"/>
    <w:rsid w:val="569C0351"/>
    <w:rsid w:val="56DF561E"/>
    <w:rsid w:val="57023B67"/>
    <w:rsid w:val="57074709"/>
    <w:rsid w:val="571961EB"/>
    <w:rsid w:val="57211B8B"/>
    <w:rsid w:val="574635E1"/>
    <w:rsid w:val="57F77198"/>
    <w:rsid w:val="580C7104"/>
    <w:rsid w:val="58775F67"/>
    <w:rsid w:val="587B4A21"/>
    <w:rsid w:val="58BF4B5D"/>
    <w:rsid w:val="58E379E6"/>
    <w:rsid w:val="58F45F94"/>
    <w:rsid w:val="59123FAA"/>
    <w:rsid w:val="5924170C"/>
    <w:rsid w:val="599E5E1A"/>
    <w:rsid w:val="59BD040E"/>
    <w:rsid w:val="59BF66E0"/>
    <w:rsid w:val="59DA3A11"/>
    <w:rsid w:val="59DC3F50"/>
    <w:rsid w:val="5A040ED1"/>
    <w:rsid w:val="5A325959"/>
    <w:rsid w:val="5A6D3AB6"/>
    <w:rsid w:val="5A946A27"/>
    <w:rsid w:val="5ACD4951"/>
    <w:rsid w:val="5AEA0006"/>
    <w:rsid w:val="5B1A607C"/>
    <w:rsid w:val="5B397978"/>
    <w:rsid w:val="5B3F55F4"/>
    <w:rsid w:val="5B55264E"/>
    <w:rsid w:val="5B852993"/>
    <w:rsid w:val="5BC72EF0"/>
    <w:rsid w:val="5BD93009"/>
    <w:rsid w:val="5BE32A8E"/>
    <w:rsid w:val="5C067455"/>
    <w:rsid w:val="5C595F67"/>
    <w:rsid w:val="5C991EEB"/>
    <w:rsid w:val="5CAF760A"/>
    <w:rsid w:val="5CC021F5"/>
    <w:rsid w:val="5CC410DE"/>
    <w:rsid w:val="5D230EB4"/>
    <w:rsid w:val="5DD62EE8"/>
    <w:rsid w:val="5E765DCC"/>
    <w:rsid w:val="5E956894"/>
    <w:rsid w:val="5F736881"/>
    <w:rsid w:val="5F7F1B0C"/>
    <w:rsid w:val="5FA93928"/>
    <w:rsid w:val="603101F8"/>
    <w:rsid w:val="60566100"/>
    <w:rsid w:val="60A33536"/>
    <w:rsid w:val="60DC5664"/>
    <w:rsid w:val="60F43781"/>
    <w:rsid w:val="61146EF9"/>
    <w:rsid w:val="61294268"/>
    <w:rsid w:val="6147732A"/>
    <w:rsid w:val="61616DB9"/>
    <w:rsid w:val="617A36F2"/>
    <w:rsid w:val="618210DE"/>
    <w:rsid w:val="61EC4401"/>
    <w:rsid w:val="6221170F"/>
    <w:rsid w:val="62456123"/>
    <w:rsid w:val="624B5847"/>
    <w:rsid w:val="626A2633"/>
    <w:rsid w:val="62B34E9E"/>
    <w:rsid w:val="63022648"/>
    <w:rsid w:val="631553FD"/>
    <w:rsid w:val="6333357C"/>
    <w:rsid w:val="6353677B"/>
    <w:rsid w:val="636A040E"/>
    <w:rsid w:val="63AE5F49"/>
    <w:rsid w:val="63D72125"/>
    <w:rsid w:val="63EB793B"/>
    <w:rsid w:val="64452D8E"/>
    <w:rsid w:val="65AC5771"/>
    <w:rsid w:val="65AD184A"/>
    <w:rsid w:val="660D1283"/>
    <w:rsid w:val="663F138F"/>
    <w:rsid w:val="664875B0"/>
    <w:rsid w:val="66D72109"/>
    <w:rsid w:val="67322ED5"/>
    <w:rsid w:val="67931F6E"/>
    <w:rsid w:val="679407CF"/>
    <w:rsid w:val="679C7359"/>
    <w:rsid w:val="67BA705D"/>
    <w:rsid w:val="67DB7134"/>
    <w:rsid w:val="685A77C3"/>
    <w:rsid w:val="687218FC"/>
    <w:rsid w:val="68793059"/>
    <w:rsid w:val="68BE6561"/>
    <w:rsid w:val="68E3759A"/>
    <w:rsid w:val="697C2985"/>
    <w:rsid w:val="697F6F37"/>
    <w:rsid w:val="69AE455B"/>
    <w:rsid w:val="69BE456B"/>
    <w:rsid w:val="69C12552"/>
    <w:rsid w:val="69DD662F"/>
    <w:rsid w:val="69F612DF"/>
    <w:rsid w:val="6A6B1761"/>
    <w:rsid w:val="6A6C3234"/>
    <w:rsid w:val="6A6D4574"/>
    <w:rsid w:val="6AD16F27"/>
    <w:rsid w:val="6B0E16E8"/>
    <w:rsid w:val="6B217694"/>
    <w:rsid w:val="6B34279C"/>
    <w:rsid w:val="6B346035"/>
    <w:rsid w:val="6B3868C5"/>
    <w:rsid w:val="6BB716E3"/>
    <w:rsid w:val="6BDC2CFA"/>
    <w:rsid w:val="6BEA4C90"/>
    <w:rsid w:val="6BF501C0"/>
    <w:rsid w:val="6C6B12CA"/>
    <w:rsid w:val="6C88144A"/>
    <w:rsid w:val="6CB43FD0"/>
    <w:rsid w:val="6D3E00DE"/>
    <w:rsid w:val="6D707957"/>
    <w:rsid w:val="6D973EEF"/>
    <w:rsid w:val="6D986D88"/>
    <w:rsid w:val="6DC3327A"/>
    <w:rsid w:val="6DD01987"/>
    <w:rsid w:val="6DE6606E"/>
    <w:rsid w:val="6E0A6DCB"/>
    <w:rsid w:val="6E4C2B39"/>
    <w:rsid w:val="6EC81C85"/>
    <w:rsid w:val="6ED81B50"/>
    <w:rsid w:val="6EDA03A1"/>
    <w:rsid w:val="6EDF306E"/>
    <w:rsid w:val="6EEE052E"/>
    <w:rsid w:val="6F0F686C"/>
    <w:rsid w:val="6F624775"/>
    <w:rsid w:val="6F6C25A5"/>
    <w:rsid w:val="6F90683A"/>
    <w:rsid w:val="6F9E3278"/>
    <w:rsid w:val="6FD20CA7"/>
    <w:rsid w:val="6FDF3642"/>
    <w:rsid w:val="705C65F8"/>
    <w:rsid w:val="709B7E99"/>
    <w:rsid w:val="70A53D86"/>
    <w:rsid w:val="70AA2B21"/>
    <w:rsid w:val="70BD1230"/>
    <w:rsid w:val="70EE1F1D"/>
    <w:rsid w:val="711817D9"/>
    <w:rsid w:val="711F5457"/>
    <w:rsid w:val="7124079A"/>
    <w:rsid w:val="71B07AAF"/>
    <w:rsid w:val="71D73878"/>
    <w:rsid w:val="720042CB"/>
    <w:rsid w:val="720610EB"/>
    <w:rsid w:val="72E95234"/>
    <w:rsid w:val="72EF6C40"/>
    <w:rsid w:val="730369E2"/>
    <w:rsid w:val="741E3CB2"/>
    <w:rsid w:val="74684291"/>
    <w:rsid w:val="74E44E48"/>
    <w:rsid w:val="74E726FA"/>
    <w:rsid w:val="74F14B25"/>
    <w:rsid w:val="74F81EB4"/>
    <w:rsid w:val="751F7184"/>
    <w:rsid w:val="752B0C0F"/>
    <w:rsid w:val="7562724F"/>
    <w:rsid w:val="75844DE8"/>
    <w:rsid w:val="75AF16B5"/>
    <w:rsid w:val="76054C98"/>
    <w:rsid w:val="76401149"/>
    <w:rsid w:val="76426BCC"/>
    <w:rsid w:val="76472867"/>
    <w:rsid w:val="765A5969"/>
    <w:rsid w:val="76772E72"/>
    <w:rsid w:val="76E10833"/>
    <w:rsid w:val="76E6230C"/>
    <w:rsid w:val="77214A3B"/>
    <w:rsid w:val="775C04F2"/>
    <w:rsid w:val="77CD2345"/>
    <w:rsid w:val="77DC2FA9"/>
    <w:rsid w:val="77FC0B6C"/>
    <w:rsid w:val="782F3564"/>
    <w:rsid w:val="784B5F94"/>
    <w:rsid w:val="787F3970"/>
    <w:rsid w:val="788D5266"/>
    <w:rsid w:val="78964AB9"/>
    <w:rsid w:val="7899179B"/>
    <w:rsid w:val="78A652B5"/>
    <w:rsid w:val="78EC6499"/>
    <w:rsid w:val="794C401B"/>
    <w:rsid w:val="7975360C"/>
    <w:rsid w:val="79BE2DD4"/>
    <w:rsid w:val="79C73FFB"/>
    <w:rsid w:val="7A083E9E"/>
    <w:rsid w:val="7A15028F"/>
    <w:rsid w:val="7A330C77"/>
    <w:rsid w:val="7A75153D"/>
    <w:rsid w:val="7AF73FFB"/>
    <w:rsid w:val="7BAA10C4"/>
    <w:rsid w:val="7BCB5D8F"/>
    <w:rsid w:val="7C3A0396"/>
    <w:rsid w:val="7C5227C8"/>
    <w:rsid w:val="7C604535"/>
    <w:rsid w:val="7C880331"/>
    <w:rsid w:val="7CD11F2C"/>
    <w:rsid w:val="7CE320AB"/>
    <w:rsid w:val="7D0F797F"/>
    <w:rsid w:val="7D1A6CC4"/>
    <w:rsid w:val="7D6A02B5"/>
    <w:rsid w:val="7D6D02A2"/>
    <w:rsid w:val="7D780D3F"/>
    <w:rsid w:val="7D7952D1"/>
    <w:rsid w:val="7D9176BB"/>
    <w:rsid w:val="7DAE5DE0"/>
    <w:rsid w:val="7DD07CAE"/>
    <w:rsid w:val="7E3F7FEA"/>
    <w:rsid w:val="7E453643"/>
    <w:rsid w:val="7E7D169D"/>
    <w:rsid w:val="7EB66F81"/>
    <w:rsid w:val="7EBA492E"/>
    <w:rsid w:val="7EE80B61"/>
    <w:rsid w:val="7EEC52B3"/>
    <w:rsid w:val="7F4B3A14"/>
    <w:rsid w:val="7F4F324B"/>
    <w:rsid w:val="7F7F2C6A"/>
    <w:rsid w:val="7F895230"/>
    <w:rsid w:val="7FCD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qFormat/>
    <w:uiPriority w:val="0"/>
    <w:pPr>
      <w:keepNext/>
      <w:keepLines/>
      <w:numPr>
        <w:ilvl w:val="0"/>
        <w:numId w:val="1"/>
      </w:numPr>
      <w:spacing w:before="360" w:line="240" w:lineRule="exact"/>
      <w:outlineLvl w:val="3"/>
    </w:pPr>
    <w:rPr>
      <w:rFonts w:ascii="宋体"/>
      <w:b/>
      <w:sz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ind w:firstLine="420"/>
      <w:jc w:val="left"/>
    </w:pPr>
    <w:rPr>
      <w:rFonts w:eastAsia="楷体_GB2312"/>
      <w:sz w:val="24"/>
    </w:rPr>
  </w:style>
  <w:style w:type="paragraph" w:styleId="7">
    <w:name w:val="annotation text"/>
    <w:basedOn w:val="1"/>
    <w:qFormat/>
    <w:uiPriority w:val="0"/>
    <w:pPr>
      <w:jc w:val="left"/>
    </w:pPr>
  </w:style>
  <w:style w:type="paragraph" w:styleId="8">
    <w:name w:val="Body Text"/>
    <w:basedOn w:val="1"/>
    <w:next w:val="1"/>
    <w:qFormat/>
    <w:uiPriority w:val="0"/>
    <w:rPr>
      <w:sz w:val="28"/>
    </w:rPr>
  </w:style>
  <w:style w:type="paragraph" w:styleId="9">
    <w:name w:val="Body Text Indent"/>
    <w:basedOn w:val="1"/>
    <w:next w:val="5"/>
    <w:qFormat/>
    <w:uiPriority w:val="0"/>
    <w:pPr>
      <w:spacing w:line="360" w:lineRule="auto"/>
      <w:ind w:firstLine="560" w:firstLineChars="200"/>
    </w:pPr>
    <w:rPr>
      <w:sz w:val="28"/>
    </w:rPr>
  </w:style>
  <w:style w:type="paragraph" w:styleId="10">
    <w:name w:val="Plain Text"/>
    <w:basedOn w:val="1"/>
    <w:qFormat/>
    <w:uiPriority w:val="0"/>
    <w:rPr>
      <w:rFonts w:ascii="宋体" w:hAnsi="Courier New"/>
    </w:rPr>
  </w:style>
  <w:style w:type="paragraph" w:styleId="11">
    <w:name w:val="Date"/>
    <w:basedOn w:val="1"/>
    <w:next w:val="1"/>
    <w:link w:val="46"/>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unhideWhenUsed/>
    <w:qFormat/>
    <w:uiPriority w:val="39"/>
    <w:rPr>
      <w:rFonts w:eastAsia="黑体"/>
      <w:sz w:val="28"/>
    </w:rPr>
  </w:style>
  <w:style w:type="paragraph" w:styleId="15">
    <w:name w:val="Subtitle"/>
    <w:basedOn w:val="1"/>
    <w:next w:val="1"/>
    <w:link w:val="48"/>
    <w:qFormat/>
    <w:uiPriority w:val="0"/>
    <w:pPr>
      <w:spacing w:before="240" w:after="60" w:line="312" w:lineRule="auto"/>
      <w:jc w:val="center"/>
      <w:outlineLvl w:val="1"/>
    </w:pPr>
    <w:rPr>
      <w:rFonts w:ascii="Cambria" w:hAnsi="Cambria"/>
      <w:b/>
      <w:bCs/>
      <w:kern w:val="28"/>
      <w:sz w:val="32"/>
      <w:szCs w:val="32"/>
    </w:rPr>
  </w:style>
  <w:style w:type="paragraph" w:styleId="16">
    <w:name w:val="List"/>
    <w:basedOn w:val="1"/>
    <w:qFormat/>
    <w:uiPriority w:val="0"/>
    <w:pPr>
      <w:tabs>
        <w:tab w:val="center" w:pos="425"/>
      </w:tabs>
      <w:spacing w:line="360" w:lineRule="auto"/>
      <w:ind w:left="425" w:hanging="425"/>
    </w:pPr>
    <w:rPr>
      <w:rFonts w:ascii="Arial" w:hAnsi="Arial"/>
      <w:kern w:val="0"/>
      <w:sz w:val="24"/>
    </w:rPr>
  </w:style>
  <w:style w:type="paragraph" w:styleId="17">
    <w:name w:val="footnote text"/>
    <w:basedOn w:val="1"/>
    <w:qFormat/>
    <w:uiPriority w:val="0"/>
    <w:pPr>
      <w:snapToGrid w:val="0"/>
      <w:jc w:val="left"/>
    </w:pPr>
    <w:rPr>
      <w:sz w:val="18"/>
    </w:rPr>
  </w:style>
  <w:style w:type="paragraph" w:styleId="18">
    <w:name w:val="toc 2"/>
    <w:basedOn w:val="1"/>
    <w:next w:val="1"/>
    <w:unhideWhenUsed/>
    <w:qFormat/>
    <w:uiPriority w:val="39"/>
    <w:pPr>
      <w:ind w:left="420" w:leftChars="200"/>
    </w:p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Title"/>
    <w:basedOn w:val="1"/>
    <w:next w:val="1"/>
    <w:link w:val="34"/>
    <w:qFormat/>
    <w:uiPriority w:val="10"/>
    <w:pPr>
      <w:spacing w:before="60" w:after="60"/>
      <w:jc w:val="center"/>
      <w:outlineLvl w:val="0"/>
    </w:pPr>
    <w:rPr>
      <w:rFonts w:ascii="Cambria" w:hAnsi="Cambria"/>
      <w:b/>
      <w:bCs/>
      <w:kern w:val="0"/>
      <w:sz w:val="20"/>
      <w:szCs w:val="32"/>
    </w:rPr>
  </w:style>
  <w:style w:type="paragraph" w:styleId="22">
    <w:name w:val="Body Text First Indent"/>
    <w:basedOn w:val="8"/>
    <w:qFormat/>
    <w:uiPriority w:val="0"/>
    <w:pPr>
      <w:widowControl/>
      <w:ind w:firstLine="420"/>
      <w:jc w:val="left"/>
    </w:pPr>
    <w:rPr>
      <w:kern w:val="0"/>
      <w:sz w:val="20"/>
    </w:rPr>
  </w:style>
  <w:style w:type="paragraph" w:styleId="23">
    <w:name w:val="Body Text First Indent 2"/>
    <w:basedOn w:val="9"/>
    <w:qFormat/>
    <w:uiPriority w:val="0"/>
    <w:pPr>
      <w:ind w:firstLine="420"/>
    </w:pPr>
    <w:rPr>
      <w:sz w:val="21"/>
    </w:r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HTML Sample"/>
    <w:basedOn w:val="25"/>
    <w:unhideWhenUsed/>
    <w:qFormat/>
    <w:uiPriority w:val="99"/>
    <w:rPr>
      <w:rFonts w:ascii="Courier New" w:hAnsi="Courier New"/>
    </w:rPr>
  </w:style>
  <w:style w:type="paragraph" w:customStyle="1" w:styleId="29">
    <w:name w:val="Char Char Char Char"/>
    <w:basedOn w:val="1"/>
    <w:qFormat/>
    <w:uiPriority w:val="0"/>
    <w:rPr>
      <w:szCs w:val="21"/>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font01"/>
    <w:basedOn w:val="25"/>
    <w:qFormat/>
    <w:uiPriority w:val="0"/>
    <w:rPr>
      <w:rFonts w:hint="eastAsia" w:ascii="宋体" w:hAnsi="宋体" w:eastAsia="宋体" w:cs="宋体"/>
      <w:color w:val="FF0000"/>
      <w:sz w:val="20"/>
      <w:szCs w:val="20"/>
      <w:u w:val="none"/>
    </w:rPr>
  </w:style>
  <w:style w:type="character" w:customStyle="1" w:styleId="32">
    <w:name w:val="font61"/>
    <w:basedOn w:val="25"/>
    <w:qFormat/>
    <w:uiPriority w:val="0"/>
    <w:rPr>
      <w:rFonts w:hint="eastAsia" w:ascii="宋体" w:hAnsi="宋体" w:eastAsia="宋体" w:cs="宋体"/>
      <w:color w:val="000000"/>
      <w:sz w:val="18"/>
      <w:szCs w:val="18"/>
      <w:u w:val="none"/>
    </w:rPr>
  </w:style>
  <w:style w:type="character" w:customStyle="1" w:styleId="33">
    <w:name w:val="font21"/>
    <w:basedOn w:val="25"/>
    <w:qFormat/>
    <w:uiPriority w:val="0"/>
    <w:rPr>
      <w:rFonts w:hint="eastAsia" w:ascii="宋体" w:hAnsi="宋体" w:eastAsia="宋体" w:cs="宋体"/>
      <w:color w:val="000000"/>
      <w:sz w:val="20"/>
      <w:szCs w:val="20"/>
      <w:u w:val="none"/>
    </w:rPr>
  </w:style>
  <w:style w:type="character" w:customStyle="1" w:styleId="34">
    <w:name w:val="标题 Char"/>
    <w:link w:val="21"/>
    <w:qFormat/>
    <w:uiPriority w:val="10"/>
    <w:rPr>
      <w:rFonts w:ascii="Cambria" w:hAnsi="Cambria" w:cs="Times New Roman"/>
      <w:b/>
      <w:bCs/>
      <w:szCs w:val="32"/>
    </w:rPr>
  </w:style>
  <w:style w:type="character" w:customStyle="1" w:styleId="35">
    <w:name w:val="标题 2 Char"/>
    <w:link w:val="4"/>
    <w:qFormat/>
    <w:uiPriority w:val="0"/>
    <w:rPr>
      <w:rFonts w:ascii="Arial Black" w:hAnsi="Arial Black" w:eastAsia="黑体"/>
      <w:b/>
      <w:bCs/>
      <w:kern w:val="2"/>
      <w:sz w:val="32"/>
      <w:szCs w:val="32"/>
      <w:lang w:val="en-US" w:eastAsia="zh-CN" w:bidi="ar-SA"/>
    </w:rPr>
  </w:style>
  <w:style w:type="character" w:customStyle="1" w:styleId="36">
    <w:name w:val="font11"/>
    <w:basedOn w:val="25"/>
    <w:qFormat/>
    <w:uiPriority w:val="0"/>
    <w:rPr>
      <w:rFonts w:hint="eastAsia" w:ascii="宋体" w:hAnsi="宋体" w:eastAsia="宋体" w:cs="宋体"/>
      <w:color w:val="000000"/>
      <w:sz w:val="20"/>
      <w:szCs w:val="20"/>
      <w:u w:val="none"/>
    </w:rPr>
  </w:style>
  <w:style w:type="character" w:customStyle="1" w:styleId="37">
    <w:name w:val="ca-1"/>
    <w:basedOn w:val="25"/>
    <w:qFormat/>
    <w:uiPriority w:val="0"/>
  </w:style>
  <w:style w:type="character" w:customStyle="1" w:styleId="38">
    <w:name w:val="font91"/>
    <w:basedOn w:val="25"/>
    <w:qFormat/>
    <w:uiPriority w:val="0"/>
    <w:rPr>
      <w:rFonts w:hint="eastAsia" w:ascii="宋体" w:hAnsi="宋体" w:eastAsia="宋体" w:cs="宋体"/>
      <w:color w:val="000000"/>
      <w:sz w:val="18"/>
      <w:szCs w:val="18"/>
      <w:u w:val="none"/>
    </w:rPr>
  </w:style>
  <w:style w:type="character" w:customStyle="1" w:styleId="39">
    <w:name w:val="15"/>
    <w:qFormat/>
    <w:uiPriority w:val="0"/>
    <w:rPr>
      <w:rFonts w:hint="default" w:ascii="Times New Roman" w:hAnsi="Times New Roman" w:cs="Times New Roman"/>
      <w:color w:val="464445"/>
      <w:u w:val="none"/>
    </w:rPr>
  </w:style>
  <w:style w:type="character" w:customStyle="1" w:styleId="40">
    <w:name w:val="font81"/>
    <w:basedOn w:val="25"/>
    <w:qFormat/>
    <w:uiPriority w:val="0"/>
    <w:rPr>
      <w:rFonts w:hint="eastAsia" w:ascii="宋体" w:hAnsi="宋体" w:eastAsia="宋体" w:cs="宋体"/>
      <w:color w:val="000000"/>
      <w:sz w:val="20"/>
      <w:szCs w:val="20"/>
      <w:u w:val="none"/>
    </w:rPr>
  </w:style>
  <w:style w:type="character" w:customStyle="1" w:styleId="41">
    <w:name w:val="font131"/>
    <w:basedOn w:val="25"/>
    <w:qFormat/>
    <w:uiPriority w:val="0"/>
    <w:rPr>
      <w:rFonts w:hint="eastAsia" w:ascii="宋体" w:hAnsi="宋体" w:eastAsia="宋体" w:cs="宋体"/>
      <w:color w:val="000000"/>
      <w:sz w:val="20"/>
      <w:szCs w:val="20"/>
      <w:u w:val="none"/>
    </w:rPr>
  </w:style>
  <w:style w:type="character" w:customStyle="1" w:styleId="42">
    <w:name w:val="font121"/>
    <w:basedOn w:val="25"/>
    <w:qFormat/>
    <w:uiPriority w:val="0"/>
    <w:rPr>
      <w:rFonts w:hint="eastAsia" w:ascii="宋体" w:hAnsi="宋体" w:eastAsia="宋体" w:cs="宋体"/>
      <w:color w:val="000000"/>
      <w:sz w:val="20"/>
      <w:szCs w:val="20"/>
      <w:u w:val="none"/>
    </w:rPr>
  </w:style>
  <w:style w:type="character" w:customStyle="1" w:styleId="43">
    <w:name w:val="font51"/>
    <w:basedOn w:val="25"/>
    <w:qFormat/>
    <w:uiPriority w:val="0"/>
    <w:rPr>
      <w:rFonts w:hint="default" w:ascii="Arial" w:hAnsi="Arial" w:cs="Arial"/>
      <w:color w:val="000000"/>
      <w:sz w:val="18"/>
      <w:szCs w:val="18"/>
      <w:u w:val="none"/>
    </w:rPr>
  </w:style>
  <w:style w:type="character" w:customStyle="1" w:styleId="44">
    <w:name w:val="font31"/>
    <w:basedOn w:val="25"/>
    <w:qFormat/>
    <w:uiPriority w:val="0"/>
    <w:rPr>
      <w:rFonts w:hint="eastAsia" w:ascii="宋体" w:hAnsi="宋体" w:eastAsia="宋体" w:cs="宋体"/>
      <w:b/>
      <w:color w:val="000000"/>
      <w:sz w:val="20"/>
      <w:szCs w:val="20"/>
      <w:u w:val="none"/>
    </w:rPr>
  </w:style>
  <w:style w:type="character" w:customStyle="1" w:styleId="45">
    <w:name w:val="font71"/>
    <w:basedOn w:val="25"/>
    <w:qFormat/>
    <w:uiPriority w:val="0"/>
    <w:rPr>
      <w:rFonts w:hint="eastAsia" w:ascii="宋体" w:hAnsi="宋体" w:eastAsia="宋体" w:cs="宋体"/>
      <w:color w:val="000000"/>
      <w:sz w:val="20"/>
      <w:szCs w:val="20"/>
      <w:u w:val="none"/>
    </w:rPr>
  </w:style>
  <w:style w:type="character" w:customStyle="1" w:styleId="46">
    <w:name w:val="日期 Char"/>
    <w:basedOn w:val="25"/>
    <w:link w:val="11"/>
    <w:qFormat/>
    <w:uiPriority w:val="0"/>
    <w:rPr>
      <w:kern w:val="2"/>
      <w:sz w:val="21"/>
    </w:rPr>
  </w:style>
  <w:style w:type="character" w:customStyle="1" w:styleId="47">
    <w:name w:val="font41"/>
    <w:basedOn w:val="25"/>
    <w:qFormat/>
    <w:uiPriority w:val="0"/>
    <w:rPr>
      <w:rFonts w:hint="eastAsia" w:ascii="宋体" w:hAnsi="宋体" w:eastAsia="宋体" w:cs="宋体"/>
      <w:color w:val="000000"/>
      <w:sz w:val="22"/>
      <w:szCs w:val="22"/>
      <w:u w:val="none"/>
    </w:rPr>
  </w:style>
  <w:style w:type="character" w:customStyle="1" w:styleId="48">
    <w:name w:val="副标题 Char"/>
    <w:link w:val="15"/>
    <w:qFormat/>
    <w:uiPriority w:val="0"/>
    <w:rPr>
      <w:rFonts w:ascii="Cambria" w:hAnsi="Cambria" w:eastAsia="宋体"/>
      <w:b/>
      <w:bCs/>
      <w:kern w:val="28"/>
      <w:sz w:val="32"/>
      <w:szCs w:val="32"/>
      <w:lang w:val="en-US" w:eastAsia="zh-CN" w:bidi="ar-SA"/>
    </w:rPr>
  </w:style>
  <w:style w:type="paragraph" w:styleId="49">
    <w:name w:val="List Paragraph"/>
    <w:basedOn w:val="1"/>
    <w:qFormat/>
    <w:uiPriority w:val="0"/>
    <w:pPr>
      <w:ind w:firstLine="420" w:firstLineChars="200"/>
    </w:pPr>
    <w:rPr>
      <w:rFonts w:ascii="Calibri" w:hAnsi="Calibri"/>
      <w:szCs w:val="22"/>
    </w:rPr>
  </w:style>
  <w:style w:type="paragraph" w:customStyle="1" w:styleId="50">
    <w:name w:val="pa-7"/>
    <w:basedOn w:val="1"/>
    <w:qFormat/>
    <w:uiPriority w:val="0"/>
    <w:pPr>
      <w:widowControl/>
      <w:spacing w:before="150" w:after="150"/>
      <w:jc w:val="left"/>
    </w:pPr>
    <w:rPr>
      <w:rFonts w:ascii="宋体" w:hAnsi="宋体" w:cs="宋体"/>
      <w:kern w:val="0"/>
      <w:sz w:val="24"/>
      <w:szCs w:val="24"/>
    </w:rPr>
  </w:style>
  <w:style w:type="paragraph" w:customStyle="1" w:styleId="51">
    <w:name w:val="_Style 5"/>
    <w:basedOn w:val="1"/>
    <w:qFormat/>
    <w:uiPriority w:val="0"/>
    <w:pPr>
      <w:tabs>
        <w:tab w:val="left" w:pos="360"/>
      </w:tabs>
      <w:ind w:firstLine="420" w:firstLineChars="150"/>
    </w:pPr>
    <w:rPr>
      <w:rFonts w:ascii="Arial" w:hAnsi="Arial" w:cs="Arial"/>
      <w:sz w:val="20"/>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_Style 7"/>
    <w:basedOn w:val="1"/>
    <w:qFormat/>
    <w:uiPriority w:val="0"/>
    <w:pPr>
      <w:tabs>
        <w:tab w:val="left" w:pos="360"/>
      </w:tabs>
      <w:ind w:firstLine="420" w:firstLineChars="150"/>
    </w:pPr>
    <w:rPr>
      <w:rFonts w:ascii="Arial" w:hAnsi="Arial" w:cs="Arial"/>
      <w:sz w:val="20"/>
    </w:rPr>
  </w:style>
  <w:style w:type="paragraph" w:customStyle="1" w:styleId="54">
    <w:name w:val="p0"/>
    <w:basedOn w:val="1"/>
    <w:qFormat/>
    <w:uiPriority w:val="0"/>
    <w:pPr>
      <w:widowControl/>
    </w:pPr>
    <w:rPr>
      <w:rFonts w:ascii="Calibri" w:hAnsi="Calibri" w:cs="宋体"/>
      <w:kern w:val="0"/>
      <w:szCs w:val="21"/>
    </w:rPr>
  </w:style>
  <w:style w:type="paragraph" w:customStyle="1" w:styleId="55">
    <w:name w:val="纯文本1"/>
    <w:basedOn w:val="1"/>
    <w:qFormat/>
    <w:uiPriority w:val="0"/>
    <w:pPr>
      <w:adjustRightInd w:val="0"/>
    </w:pPr>
    <w:rPr>
      <w:rFonts w:hint="eastAsia" w:ascii="宋体" w:hAnsi="Courier New" w:eastAsia="楷体_GB2312"/>
      <w:sz w:val="28"/>
    </w:rPr>
  </w:style>
  <w:style w:type="paragraph" w:customStyle="1" w:styleId="56">
    <w:name w:val="Char Char Char Char1"/>
    <w:basedOn w:val="1"/>
    <w:qFormat/>
    <w:uiPriority w:val="0"/>
    <w:pPr>
      <w:tabs>
        <w:tab w:val="left" w:pos="360"/>
      </w:tabs>
      <w:ind w:firstLine="420" w:firstLineChars="150"/>
    </w:pPr>
    <w:rPr>
      <w:rFonts w:ascii="Arial" w:hAnsi="Arial" w:cs="Arial"/>
      <w:sz w:val="20"/>
    </w:rPr>
  </w:style>
  <w:style w:type="paragraph" w:customStyle="1" w:styleId="57">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8">
    <w:name w:val="Normal Indent1"/>
    <w:basedOn w:val="1"/>
    <w:qFormat/>
    <w:uiPriority w:val="99"/>
    <w:pPr>
      <w:adjustRightInd w:val="0"/>
      <w:snapToGrid w:val="0"/>
      <w:spacing w:line="312" w:lineRule="auto"/>
      <w:ind w:firstLine="420" w:firstLineChars="200"/>
    </w:pPr>
    <w:rPr>
      <w:sz w:val="24"/>
    </w:rPr>
  </w:style>
  <w:style w:type="paragraph" w:customStyle="1" w:styleId="59">
    <w:name w:val="List Paragraph1"/>
    <w:basedOn w:val="1"/>
    <w:qFormat/>
    <w:uiPriority w:val="0"/>
    <w:pPr>
      <w:ind w:firstLine="420" w:firstLineChars="200"/>
    </w:pPr>
  </w:style>
  <w:style w:type="paragraph" w:customStyle="1" w:styleId="60">
    <w:name w:val="zhang"/>
    <w:basedOn w:val="1"/>
    <w:qFormat/>
    <w:uiPriority w:val="0"/>
    <w:pPr>
      <w:spacing w:before="100" w:beforeAutospacing="1" w:after="100" w:afterAutospacing="1"/>
    </w:pPr>
    <w:rPr>
      <w:b/>
      <w:bCs/>
      <w:smallCaps/>
      <w:color w:val="000000"/>
      <w:sz w:val="20"/>
    </w:rPr>
  </w:style>
  <w:style w:type="paragraph" w:customStyle="1" w:styleId="6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样式1"/>
    <w:basedOn w:val="1"/>
    <w:qFormat/>
    <w:uiPriority w:val="0"/>
    <w:pPr>
      <w:tabs>
        <w:tab w:val="left" w:pos="420"/>
      </w:tabs>
      <w:adjustRightInd w:val="0"/>
      <w:snapToGrid w:val="0"/>
      <w:ind w:left="420" w:hanging="420"/>
    </w:pPr>
    <w:rPr>
      <w:rFonts w:ascii="宋体" w:hAnsi="宋体"/>
      <w:kern w:val="0"/>
      <w:szCs w:val="21"/>
    </w:rPr>
  </w:style>
  <w:style w:type="paragraph" w:customStyle="1" w:styleId="63">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64">
    <w:name w:val="TOC 标题1"/>
    <w:basedOn w:val="3"/>
    <w:next w:val="1"/>
    <w:qFormat/>
    <w:uiPriority w:val="0"/>
    <w:pPr>
      <w:spacing w:line="576" w:lineRule="auto"/>
      <w:outlineLvl w:val="9"/>
    </w:pPr>
    <w:rPr>
      <w:rFonts w:ascii="Calibri" w:hAnsi="Calibri"/>
    </w:rPr>
  </w:style>
  <w:style w:type="paragraph" w:customStyle="1" w:styleId="6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66">
    <w:name w:val="Table Paragraph"/>
    <w:basedOn w:val="1"/>
    <w:qFormat/>
    <w:uiPriority w:val="1"/>
    <w:rPr>
      <w:rFonts w:ascii="宋体" w:hAnsi="宋体" w:cs="宋体"/>
      <w:lang w:eastAsia="zh-TW"/>
    </w:rPr>
  </w:style>
  <w:style w:type="paragraph" w:customStyle="1" w:styleId="67">
    <w:name w:val="正文_13"/>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68">
    <w:name w:val="正文_2"/>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69">
    <w:name w:val="正文_7"/>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70">
    <w:name w:val="1"/>
    <w:basedOn w:val="1"/>
    <w:semiHidden/>
    <w:qFormat/>
    <w:uiPriority w:val="0"/>
    <w:rPr>
      <w:rFonts w:ascii="Tahoma" w:hAnsi="Tahoma"/>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1</Pages>
  <Words>4573</Words>
  <Characters>26068</Characters>
  <Lines>217</Lines>
  <Paragraphs>61</Paragraphs>
  <TotalTime>1</TotalTime>
  <ScaleCrop>false</ScaleCrop>
  <LinksUpToDate>false</LinksUpToDate>
  <CharactersWithSpaces>30580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2020-04-04T11:19:00Z</dcterms:created>
  <dc:creator>微软用户</dc:creator>
  <cp:lastModifiedBy>彭均安</cp:lastModifiedBy>
  <cp:lastPrinted>2021-09-29T09:15:00Z</cp:lastPrinted>
  <dcterms:modified xsi:type="dcterms:W3CDTF">2021-09-30T11:49:41Z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80E19E8B38C943ADA5B8C2442BD5A7B0</vt:lpwstr>
  </property>
</Properties>
</file>